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98B" w14:textId="1142C51D" w:rsidR="00BD776B" w:rsidRDefault="00DF0C24">
      <w:pPr>
        <w:spacing w:line="400" w:lineRule="exact"/>
        <w:jc w:val="center"/>
      </w:pPr>
      <w:r>
        <w:rPr>
          <w:rFonts w:ascii="標楷體" w:eastAsia="標楷體" w:hAnsi="標楷體"/>
          <w:b/>
          <w:sz w:val="32"/>
          <w:szCs w:val="32"/>
        </w:rPr>
        <w:t>藥品給付規定</w:t>
      </w:r>
      <w:r>
        <w:rPr>
          <w:rFonts w:ascii="標楷體" w:eastAsia="標楷體" w:hAnsi="標楷體"/>
          <w:b/>
          <w:color w:val="000000"/>
          <w:sz w:val="32"/>
          <w:szCs w:val="32"/>
        </w:rPr>
        <w:t>通則</w:t>
      </w:r>
    </w:p>
    <w:p w14:paraId="2A3D4787" w14:textId="77777777" w:rsidR="00BD776B" w:rsidRDefault="00BD776B">
      <w:pPr>
        <w:spacing w:line="400" w:lineRule="exact"/>
        <w:jc w:val="center"/>
        <w:rPr>
          <w:rFonts w:ascii="標楷體" w:eastAsia="標楷體" w:hAnsi="標楷體"/>
          <w:b/>
          <w:color w:val="000000"/>
          <w:sz w:val="32"/>
          <w:szCs w:val="32"/>
        </w:rPr>
      </w:pPr>
    </w:p>
    <w:p w14:paraId="0BEDCD9A" w14:textId="77777777" w:rsidR="00BD776B" w:rsidRDefault="00DF0C24">
      <w:pPr>
        <w:rPr>
          <w:rFonts w:ascii="標楷體" w:eastAsia="標楷體" w:hAnsi="標楷體"/>
          <w:color w:val="000000"/>
        </w:rPr>
      </w:pPr>
      <w:r>
        <w:rPr>
          <w:rFonts w:ascii="標楷體" w:eastAsia="標楷體" w:hAnsi="標楷體"/>
          <w:color w:val="000000"/>
        </w:rPr>
        <w:t>一、本保險醫事服務機構申報之藥品，以收載於本標準者為限。</w:t>
      </w:r>
    </w:p>
    <w:p w14:paraId="3CF55254" w14:textId="77777777" w:rsidR="00BD776B" w:rsidRDefault="00DF0C24">
      <w:pPr>
        <w:ind w:left="490" w:hanging="490"/>
        <w:rPr>
          <w:rFonts w:ascii="標楷體" w:eastAsia="標楷體" w:hAnsi="標楷體"/>
          <w:color w:val="000000"/>
        </w:rPr>
      </w:pPr>
      <w:r>
        <w:rPr>
          <w:rFonts w:ascii="標楷體" w:eastAsia="標楷體" w:hAnsi="標楷體"/>
          <w:color w:val="000000"/>
        </w:rPr>
        <w:t>二、本保險醫療用藥，由保險人就各醫事服務機構已申報之藥品品項及其藥價審查之。但因急救使用未經報備之藥品，可事後再報保險人備查。</w:t>
      </w:r>
    </w:p>
    <w:p w14:paraId="2A644200" w14:textId="77777777" w:rsidR="00BD776B" w:rsidRDefault="00DF0C24">
      <w:pPr>
        <w:ind w:left="490" w:hanging="490"/>
        <w:rPr>
          <w:rFonts w:ascii="標楷體" w:eastAsia="標楷體" w:hAnsi="標楷體"/>
          <w:color w:val="000000"/>
        </w:rPr>
      </w:pPr>
      <w:r>
        <w:rPr>
          <w:rFonts w:ascii="標楷體" w:eastAsia="標楷體" w:hAnsi="標楷體"/>
          <w:color w:val="000000"/>
        </w:rPr>
        <w:t>三、本保險處方用藥，醫師得按保險對象病情需要，每次開給七日以內之藥量。保險人指定之慢性疾病得一次給予三十日以內之用藥量。住院治療之保險對象於出院必須攜回藥品時，其給藥量規定同上。</w:t>
      </w:r>
    </w:p>
    <w:p w14:paraId="6344B98A" w14:textId="77777777" w:rsidR="00BD776B" w:rsidRDefault="00DF0C24">
      <w:pPr>
        <w:ind w:left="490" w:hanging="490"/>
        <w:rPr>
          <w:rFonts w:ascii="標楷體" w:eastAsia="標楷體" w:hAnsi="標楷體"/>
          <w:color w:val="000000"/>
        </w:rPr>
      </w:pPr>
      <w:r>
        <w:rPr>
          <w:rFonts w:ascii="標楷體" w:eastAsia="標楷體" w:hAnsi="標楷體"/>
          <w:color w:val="000000"/>
        </w:rPr>
        <w:t>四、注射藥品之使用原則：</w:t>
      </w:r>
    </w:p>
    <w:p w14:paraId="5E8EBE2B" w14:textId="77777777" w:rsidR="00BD776B" w:rsidRDefault="00DF0C24">
      <w:pPr>
        <w:ind w:left="727" w:hanging="727"/>
        <w:rPr>
          <w:rFonts w:ascii="標楷體" w:eastAsia="標楷體" w:hAnsi="標楷體"/>
          <w:color w:val="000000"/>
        </w:rPr>
      </w:pPr>
      <w:r>
        <w:rPr>
          <w:rFonts w:ascii="標楷體" w:eastAsia="標楷體" w:hAnsi="標楷體"/>
          <w:color w:val="000000"/>
        </w:rPr>
        <w:t>（一）注射藥品使用時機，應以經醫師診斷後，判斷病情需要且病人不能口服，或口服仍不能期待其有治療效果，記明於病歷表者，方得為之。(86/1/1)</w:t>
      </w:r>
    </w:p>
    <w:p w14:paraId="25226C10" w14:textId="77777777" w:rsidR="00BD776B" w:rsidRDefault="00DF0C24">
      <w:pPr>
        <w:rPr>
          <w:rFonts w:ascii="標楷體" w:eastAsia="標楷體" w:hAnsi="標楷體"/>
          <w:color w:val="000000"/>
        </w:rPr>
      </w:pPr>
      <w:r>
        <w:rPr>
          <w:rFonts w:ascii="標楷體" w:eastAsia="標楷體" w:hAnsi="標楷體"/>
          <w:color w:val="000000"/>
        </w:rPr>
        <w:t>（二）因病情需要，經醫師指導使用方法由病人持回注射之藥品包括：</w:t>
      </w:r>
    </w:p>
    <w:p w14:paraId="34985FA1" w14:textId="77777777" w:rsidR="00BD776B" w:rsidRDefault="00DF0C24">
      <w:pPr>
        <w:ind w:left="826" w:hanging="257"/>
        <w:rPr>
          <w:rFonts w:ascii="標楷體" w:eastAsia="標楷體" w:hAnsi="標楷體"/>
          <w:color w:val="000000"/>
        </w:rPr>
      </w:pPr>
      <w:r>
        <w:rPr>
          <w:rFonts w:ascii="標楷體" w:eastAsia="標楷體" w:hAnsi="標楷體"/>
          <w:color w:val="000000"/>
        </w:rPr>
        <w:t>1.治療糖尿病之insulin及GLP-1受體促效劑。(109/12/1)</w:t>
      </w:r>
    </w:p>
    <w:p w14:paraId="549977B5" w14:textId="77777777" w:rsidR="00BD776B" w:rsidRDefault="00DF0C24">
      <w:pPr>
        <w:ind w:left="826" w:hanging="257"/>
        <w:rPr>
          <w:rFonts w:ascii="標楷體" w:eastAsia="標楷體" w:hAnsi="標楷體"/>
          <w:color w:val="000000"/>
        </w:rPr>
      </w:pPr>
      <w:r>
        <w:rPr>
          <w:rFonts w:ascii="標楷體" w:eastAsia="標楷體" w:hAnsi="標楷體"/>
          <w:color w:val="000000"/>
        </w:rPr>
        <w:t>2.CAPD使用之透析液。</w:t>
      </w:r>
    </w:p>
    <w:p w14:paraId="1E923AE4" w14:textId="77777777" w:rsidR="00BD776B" w:rsidRDefault="00DF0C24">
      <w:pPr>
        <w:ind w:left="826" w:hanging="257"/>
        <w:rPr>
          <w:rFonts w:ascii="標楷體" w:eastAsia="標楷體" w:hAnsi="標楷體"/>
          <w:color w:val="000000"/>
        </w:rPr>
      </w:pPr>
      <w:r>
        <w:rPr>
          <w:rFonts w:ascii="標楷體" w:eastAsia="標楷體" w:hAnsi="標楷體"/>
          <w:color w:val="000000"/>
        </w:rPr>
        <w:t>3.CAPD使用之抗生素及抗凝血劑（至多攜回二週）。</w:t>
      </w:r>
    </w:p>
    <w:p w14:paraId="6AE9F206" w14:textId="77777777" w:rsidR="00BD776B" w:rsidRDefault="00DF0C24">
      <w:pPr>
        <w:ind w:left="826" w:hanging="257"/>
        <w:rPr>
          <w:rFonts w:ascii="標楷體" w:eastAsia="標楷體" w:hAnsi="標楷體"/>
          <w:color w:val="000000"/>
        </w:rPr>
      </w:pPr>
      <w:r>
        <w:rPr>
          <w:rFonts w:ascii="標楷體" w:eastAsia="標楷體" w:hAnsi="標楷體"/>
          <w:color w:val="000000"/>
        </w:rPr>
        <w:t>4.Desferrioxamine（如 Desferal）。</w:t>
      </w:r>
    </w:p>
    <w:p w14:paraId="2BF6CF09" w14:textId="77777777" w:rsidR="00BD776B" w:rsidRDefault="00DF0C24">
      <w:pPr>
        <w:ind w:left="826" w:hanging="257"/>
        <w:rPr>
          <w:rFonts w:ascii="標楷體" w:eastAsia="標楷體" w:hAnsi="標楷體"/>
          <w:color w:val="000000"/>
        </w:rPr>
      </w:pPr>
      <w:r>
        <w:rPr>
          <w:rFonts w:ascii="標楷體" w:eastAsia="標楷體" w:hAnsi="標楷體"/>
          <w:color w:val="000000"/>
        </w:rPr>
        <w:t>5.慢性腎臟功能衰竭，使用紅血球生成素（至多攜回二週，如因特殊病情需要，需敘明理由，得以臨床實際需要方式給藥，惟一個月不超過20,000U（如Eprex、Recormon）或100mcg（如Aranesp、Mircera）為原則）。(98/9/1)</w:t>
      </w:r>
    </w:p>
    <w:p w14:paraId="367153AD" w14:textId="77777777" w:rsidR="00BD776B" w:rsidRDefault="00DF0C24">
      <w:pPr>
        <w:ind w:left="826" w:hanging="257"/>
        <w:rPr>
          <w:rFonts w:ascii="標楷體" w:eastAsia="標楷體" w:hAnsi="標楷體"/>
          <w:color w:val="000000"/>
        </w:rPr>
      </w:pPr>
      <w:r>
        <w:rPr>
          <w:rFonts w:ascii="標楷體" w:eastAsia="標楷體" w:hAnsi="標楷體"/>
          <w:color w:val="000000"/>
        </w:rPr>
        <w:t>6.治療白血病使用之α-interferon（至多攜回二週）。</w:t>
      </w:r>
    </w:p>
    <w:p w14:paraId="34A3F1A9" w14:textId="77777777" w:rsidR="00BD776B" w:rsidRDefault="00DF0C24">
      <w:pPr>
        <w:ind w:left="826" w:hanging="257"/>
        <w:rPr>
          <w:rFonts w:ascii="標楷體" w:eastAsia="標楷體" w:hAnsi="標楷體"/>
          <w:color w:val="000000"/>
        </w:rPr>
      </w:pPr>
      <w:r>
        <w:rPr>
          <w:rFonts w:ascii="標楷體" w:eastAsia="標楷體" w:hAnsi="標楷體"/>
          <w:color w:val="000000"/>
        </w:rPr>
        <w:t>7.G-CSF (如filgrastim；lenograstim）(至多攜回六天）。(98/11/1)</w:t>
      </w:r>
    </w:p>
    <w:p w14:paraId="107AA3C2" w14:textId="77777777" w:rsidR="00BD776B" w:rsidRDefault="00DF0C24">
      <w:pPr>
        <w:ind w:left="826" w:hanging="257"/>
        <w:rPr>
          <w:rFonts w:ascii="標楷體" w:eastAsia="標楷體" w:hAnsi="標楷體"/>
          <w:color w:val="000000"/>
        </w:rPr>
      </w:pPr>
      <w:r>
        <w:rPr>
          <w:rFonts w:ascii="標楷體" w:eastAsia="標楷體" w:hAnsi="標楷體"/>
          <w:color w:val="000000"/>
        </w:rPr>
        <w:t>8.生長激素 (human growth hormone)（至多攜回一個月）。</w:t>
      </w:r>
    </w:p>
    <w:p w14:paraId="4BE90844" w14:textId="77777777" w:rsidR="00BD776B" w:rsidRDefault="00DF0C24">
      <w:pPr>
        <w:ind w:left="826" w:hanging="257"/>
        <w:rPr>
          <w:rFonts w:ascii="標楷體" w:eastAsia="標楷體" w:hAnsi="標楷體"/>
          <w:color w:val="000000"/>
        </w:rPr>
      </w:pPr>
      <w:r>
        <w:rPr>
          <w:rFonts w:ascii="標楷體" w:eastAsia="標楷體" w:hAnsi="標楷體"/>
          <w:color w:val="000000"/>
        </w:rPr>
        <w:t>9.門診之血友病人得攜回二~三劑量(至多攜回一個月)第八、第九凝血因子、繞徑治療藥物、第十三凝血因子備用，繼續治療時，比照化療以「療程」方式處理，並查驗上次治療紀錄（如附表十八之一─全民健康保險血友病患者使用第八、第九凝血因子在家治療紀錄等）及申報費用時上傳上述治療紀錄表電子檔。醫療機構、醫師開立使用血液製劑時，應依血液製劑條例之規定辦理。（86/9/1、92/5/1、100/4/1、108/10/1、109/2/1)</w:t>
      </w:r>
    </w:p>
    <w:p w14:paraId="45EEFAC9" w14:textId="77777777" w:rsidR="00BD776B" w:rsidRDefault="00DF0C24">
      <w:pPr>
        <w:ind w:left="826" w:hanging="257"/>
        <w:rPr>
          <w:rFonts w:ascii="標楷體" w:eastAsia="標楷體" w:hAnsi="標楷體"/>
          <w:color w:val="000000"/>
        </w:rPr>
      </w:pPr>
      <w:r>
        <w:rPr>
          <w:rFonts w:ascii="標楷體" w:eastAsia="標楷體" w:hAnsi="標楷體"/>
          <w:color w:val="000000"/>
        </w:rPr>
        <w:t>10.於醫院內完成調配之靜脈營養輸液(TPN)，或不需調配之靜脈營養輸液，可攜回使用。(85/10/1、93/12/1、111/1/1)</w:t>
      </w:r>
    </w:p>
    <w:p w14:paraId="7C17C1F0" w14:textId="77777777" w:rsidR="00BD776B" w:rsidRDefault="00DF0C24">
      <w:pPr>
        <w:ind w:left="826" w:hanging="257"/>
        <w:rPr>
          <w:rFonts w:ascii="標楷體" w:eastAsia="標楷體" w:hAnsi="標楷體"/>
          <w:color w:val="000000"/>
        </w:rPr>
      </w:pPr>
      <w:r>
        <w:rPr>
          <w:rFonts w:ascii="標楷體" w:eastAsia="標楷體" w:hAnsi="標楷體"/>
          <w:color w:val="000000"/>
        </w:rPr>
        <w:t>11.肢端肥大症病人使用之octreotide、lanreotide (如Sandostatin、Somatuline等) 至多攜回一個月，另octreotide (如Sandostatin等)需個案事前報准 (93/12/1)。lanreotide inj 30 mg (如Somatuline) 每次注射間隔兩週 (88/6/1)，octreotide LAR (如Sandostatin LAR Microspheres for Inj.) 每次注射間隔四週 (89/7/1)。</w:t>
      </w:r>
    </w:p>
    <w:p w14:paraId="36781AFC" w14:textId="77777777" w:rsidR="00BD776B" w:rsidRDefault="00DF0C24">
      <w:pPr>
        <w:ind w:left="826" w:hanging="257"/>
        <w:rPr>
          <w:rFonts w:ascii="標楷體" w:eastAsia="標楷體" w:hAnsi="標楷體"/>
          <w:color w:val="000000"/>
        </w:rPr>
      </w:pPr>
      <w:r>
        <w:rPr>
          <w:rFonts w:ascii="標楷體" w:eastAsia="標楷體" w:hAnsi="標楷體"/>
          <w:color w:val="000000"/>
        </w:rPr>
        <w:t>12.結核病病人持回之streptomycin、kanamycin及enviomycin注射劑（至多攜回二週）。（86/9/1）</w:t>
      </w:r>
    </w:p>
    <w:p w14:paraId="38B006B2" w14:textId="77777777" w:rsidR="00BD776B" w:rsidRDefault="00DF0C24">
      <w:pPr>
        <w:ind w:left="826" w:hanging="257"/>
        <w:rPr>
          <w:rFonts w:ascii="標楷體" w:eastAsia="標楷體" w:hAnsi="標楷體"/>
          <w:color w:val="000000"/>
        </w:rPr>
      </w:pPr>
      <w:r>
        <w:rPr>
          <w:rFonts w:ascii="標楷體" w:eastAsia="標楷體" w:hAnsi="標楷體"/>
          <w:color w:val="000000"/>
        </w:rPr>
        <w:t>13.抗精神病長效針劑（至多攜回三個月）。（87/4/1、109/6/1）</w:t>
      </w:r>
    </w:p>
    <w:p w14:paraId="53FDA9A3" w14:textId="77777777" w:rsidR="00BD776B" w:rsidRDefault="00DF0C24">
      <w:pPr>
        <w:ind w:left="826" w:hanging="257"/>
        <w:rPr>
          <w:rFonts w:ascii="標楷體" w:eastAsia="標楷體" w:hAnsi="標楷體"/>
          <w:color w:val="000000"/>
        </w:rPr>
      </w:pPr>
      <w:r>
        <w:rPr>
          <w:rFonts w:ascii="標楷體" w:eastAsia="標楷體" w:hAnsi="標楷體"/>
          <w:color w:val="000000"/>
        </w:rPr>
        <w:t>14.低分子量肝凝素注射劑：金屬瓣膜置換後之懷孕病患，可准予攜回低分子量肝凝素注射劑自行注射，但至多攜回兩週。（90/11/1）</w:t>
      </w:r>
    </w:p>
    <w:p w14:paraId="4561BD4A" w14:textId="77777777" w:rsidR="00BD776B" w:rsidRDefault="00DF0C24">
      <w:pPr>
        <w:ind w:left="826" w:hanging="257"/>
        <w:rPr>
          <w:rFonts w:ascii="標楷體" w:eastAsia="標楷體" w:hAnsi="標楷體"/>
          <w:color w:val="000000"/>
        </w:rPr>
      </w:pPr>
      <w:r>
        <w:rPr>
          <w:rFonts w:ascii="標楷體" w:eastAsia="標楷體" w:hAnsi="標楷體"/>
          <w:color w:val="000000"/>
        </w:rPr>
        <w:t>15.Apomorphine hydrochloride 10mg/mL（如Apo-Go Pen）：限使用於巴金森氏病後期產生藥效波動（on-and-off）現象，且經使用其他治療方式無法改善之</w:t>
      </w:r>
      <w:r>
        <w:rPr>
          <w:rFonts w:ascii="標楷體" w:eastAsia="標楷體" w:hAnsi="標楷體"/>
          <w:color w:val="000000"/>
        </w:rPr>
        <w:lastRenderedPageBreak/>
        <w:t>病患使用，每人每月使用量不得超過20支。（91/2/1、99/11/1）</w:t>
      </w:r>
    </w:p>
    <w:p w14:paraId="51A78903" w14:textId="77777777" w:rsidR="00BD776B" w:rsidRDefault="00DF0C24">
      <w:pPr>
        <w:ind w:left="826" w:hanging="257"/>
        <w:rPr>
          <w:rFonts w:ascii="標楷體" w:eastAsia="標楷體" w:hAnsi="標楷體"/>
          <w:color w:val="000000"/>
        </w:rPr>
      </w:pPr>
      <w:r>
        <w:rPr>
          <w:rFonts w:ascii="標楷體" w:eastAsia="標楷體" w:hAnsi="標楷體"/>
          <w:color w:val="000000"/>
        </w:rPr>
        <w:t>16.罹患惡性貧血（pernicious anemia）及維生素B12缺乏病患，如不能口服者或口服不能吸收者，得攜回維生素B12注射劑，每次以一個月為限，且每三個月應追蹤一次。(91/4/1)</w:t>
      </w:r>
    </w:p>
    <w:p w14:paraId="23401CB8" w14:textId="77777777" w:rsidR="00BD776B" w:rsidRDefault="00DF0C24">
      <w:pPr>
        <w:ind w:left="826" w:hanging="257"/>
        <w:rPr>
          <w:rFonts w:ascii="標楷體" w:eastAsia="標楷體" w:hAnsi="標楷體"/>
          <w:color w:val="000000"/>
        </w:rPr>
      </w:pPr>
      <w:r>
        <w:rPr>
          <w:rFonts w:ascii="標楷體" w:eastAsia="標楷體" w:hAnsi="標楷體"/>
          <w:color w:val="000000"/>
        </w:rPr>
        <w:t>17.患者初次使用aldesleukin (如Proleukin Inj) 治療期間（第一療程），應每週發藥，俾回診觀察是否有無嚴重之副作用發生。第一療程使用若未發生嚴重副作用，在第二療程以後可攜回兩週之處方量。(91/12/1)</w:t>
      </w:r>
    </w:p>
    <w:p w14:paraId="6D9A9682" w14:textId="77777777" w:rsidR="00BD776B" w:rsidRDefault="00DF0C24">
      <w:pPr>
        <w:ind w:left="826" w:hanging="257"/>
        <w:rPr>
          <w:rFonts w:ascii="標楷體" w:eastAsia="標楷體" w:hAnsi="標楷體"/>
          <w:color w:val="000000"/>
        </w:rPr>
      </w:pPr>
      <w:r>
        <w:rPr>
          <w:rFonts w:ascii="標楷體" w:eastAsia="標楷體" w:hAnsi="標楷體"/>
          <w:color w:val="000000"/>
        </w:rPr>
        <w:t>18.慢性病毒性B型肝炎、慢性病毒性C型肝炎所使用之長效型干擾素或短效型干擾素，至多攜回四週之使用量。(92/10/1)</w:t>
      </w:r>
    </w:p>
    <w:p w14:paraId="5E8CE6FF" w14:textId="77777777" w:rsidR="00BD776B" w:rsidRDefault="00DF0C24">
      <w:pPr>
        <w:ind w:left="826" w:hanging="257"/>
        <w:rPr>
          <w:rFonts w:ascii="標楷體" w:eastAsia="標楷體" w:hAnsi="標楷體"/>
          <w:color w:val="000000"/>
        </w:rPr>
      </w:pPr>
      <w:r>
        <w:rPr>
          <w:rFonts w:ascii="標楷體" w:eastAsia="標楷體" w:hAnsi="標楷體"/>
          <w:color w:val="000000"/>
        </w:rPr>
        <w:t>19.類風濕關節炎、僵直性脊椎炎、乾癬、乾癬性周邊關節炎、乾癬性脊椎病變與克隆氏症病患使用etanercept、adalimumab、abatacept、tocilizumab、opinercept、certolizumab、brodalumab等生物製劑皮下注射劑，經事前審查核准後，在醫師指導下，至多可攜回四週之使用量。(93/8/1、109/10/1)</w:t>
      </w:r>
    </w:p>
    <w:p w14:paraId="5E86A285" w14:textId="77777777" w:rsidR="00BD776B" w:rsidRDefault="00DF0C24">
      <w:pPr>
        <w:ind w:left="826" w:hanging="257"/>
        <w:rPr>
          <w:rFonts w:ascii="標楷體" w:eastAsia="標楷體" w:hAnsi="標楷體"/>
          <w:color w:val="000000"/>
        </w:rPr>
      </w:pPr>
      <w:r>
        <w:rPr>
          <w:rFonts w:ascii="標楷體" w:eastAsia="標楷體" w:hAnsi="標楷體"/>
          <w:color w:val="000000"/>
        </w:rPr>
        <w:t>20.(刪除) (109/12/1)</w:t>
      </w:r>
    </w:p>
    <w:p w14:paraId="6E15B902" w14:textId="77777777" w:rsidR="00BD776B" w:rsidRDefault="00DF0C24">
      <w:pPr>
        <w:ind w:left="826" w:hanging="257"/>
        <w:rPr>
          <w:rFonts w:ascii="標楷體" w:eastAsia="標楷體" w:hAnsi="標楷體"/>
          <w:color w:val="000000"/>
        </w:rPr>
      </w:pPr>
      <w:r>
        <w:rPr>
          <w:rFonts w:ascii="標楷體" w:eastAsia="標楷體" w:hAnsi="標楷體"/>
          <w:color w:val="000000"/>
        </w:rPr>
        <w:t>21.(刪除) (109/12/1)</w:t>
      </w:r>
    </w:p>
    <w:p w14:paraId="526762C2" w14:textId="77777777" w:rsidR="00BD776B" w:rsidRDefault="00DF0C24">
      <w:pPr>
        <w:ind w:left="826" w:hanging="257"/>
        <w:rPr>
          <w:rFonts w:ascii="標楷體" w:eastAsia="標楷體" w:hAnsi="標楷體"/>
          <w:color w:val="000000"/>
        </w:rPr>
      </w:pPr>
      <w:r>
        <w:rPr>
          <w:rFonts w:ascii="標楷體" w:eastAsia="標楷體" w:hAnsi="標楷體"/>
          <w:color w:val="000000"/>
        </w:rPr>
        <w:t>22.含teriparatide成分注射劑。(103/9/1)</w:t>
      </w:r>
    </w:p>
    <w:p w14:paraId="63448F01" w14:textId="77777777" w:rsidR="00BD776B" w:rsidRDefault="00DF0C24">
      <w:pPr>
        <w:ind w:left="826" w:hanging="257"/>
        <w:rPr>
          <w:rFonts w:ascii="標楷體" w:eastAsia="標楷體" w:hAnsi="標楷體"/>
          <w:color w:val="000000"/>
        </w:rPr>
      </w:pPr>
      <w:r>
        <w:rPr>
          <w:rFonts w:ascii="標楷體" w:eastAsia="標楷體" w:hAnsi="標楷體"/>
          <w:color w:val="000000"/>
        </w:rPr>
        <w:t>23.含interferon beta-1a 成分注射劑。(103/9/1)</w:t>
      </w:r>
    </w:p>
    <w:p w14:paraId="582F1418" w14:textId="77777777" w:rsidR="00BD776B" w:rsidRDefault="00DF0C24">
      <w:pPr>
        <w:ind w:left="826" w:hanging="257"/>
        <w:rPr>
          <w:rFonts w:ascii="標楷體" w:eastAsia="標楷體" w:hAnsi="標楷體"/>
          <w:color w:val="000000"/>
        </w:rPr>
      </w:pPr>
      <w:r>
        <w:rPr>
          <w:rFonts w:ascii="標楷體" w:eastAsia="標楷體" w:hAnsi="標楷體"/>
          <w:color w:val="000000"/>
        </w:rPr>
        <w:t>24.含interferon beta-1b成分注射劑。(103/9/1)</w:t>
      </w:r>
    </w:p>
    <w:p w14:paraId="2122CACA" w14:textId="77777777" w:rsidR="00BD776B" w:rsidRDefault="00DF0C24">
      <w:pPr>
        <w:ind w:left="826" w:hanging="257"/>
        <w:rPr>
          <w:rFonts w:ascii="標楷體" w:eastAsia="標楷體" w:hAnsi="標楷體"/>
          <w:color w:val="000000"/>
        </w:rPr>
      </w:pPr>
      <w:r>
        <w:rPr>
          <w:rFonts w:ascii="標楷體" w:eastAsia="標楷體" w:hAnsi="標楷體"/>
          <w:color w:val="000000"/>
        </w:rPr>
        <w:t>25.含glatiramer成分注射劑。(103/9/1)</w:t>
      </w:r>
    </w:p>
    <w:p w14:paraId="4ECA7AB4" w14:textId="77777777" w:rsidR="00BD776B" w:rsidRDefault="00DF0C24">
      <w:pPr>
        <w:ind w:left="826" w:hanging="257"/>
        <w:rPr>
          <w:rFonts w:ascii="標楷體" w:eastAsia="標楷體" w:hAnsi="標楷體"/>
          <w:color w:val="000000"/>
        </w:rPr>
      </w:pPr>
      <w:r>
        <w:rPr>
          <w:rFonts w:ascii="標楷體" w:eastAsia="標楷體" w:hAnsi="標楷體"/>
          <w:color w:val="000000"/>
        </w:rPr>
        <w:t>26.Fondaparinux（如Arixtra）用於靜脈血栓高危險病患，接受人工髖或膝關節置換術或再置換術後，預防其術後之靜脈血栓(VTE)。（111/3/1)</w:t>
      </w:r>
    </w:p>
    <w:p w14:paraId="48D224A1" w14:textId="77777777" w:rsidR="00BD776B" w:rsidRDefault="00DF0C24">
      <w:pPr>
        <w:ind w:left="727" w:hanging="727"/>
        <w:rPr>
          <w:rFonts w:ascii="標楷體" w:eastAsia="標楷體" w:hAnsi="標楷體"/>
          <w:color w:val="000000"/>
        </w:rPr>
      </w:pPr>
      <w:r>
        <w:rPr>
          <w:rFonts w:ascii="標楷體" w:eastAsia="標楷體" w:hAnsi="標楷體"/>
          <w:color w:val="000000"/>
        </w:rPr>
        <w:t>（三）電解質及營養靜脈補充輸液之使用，應說明理由並有明確需要，以積極治療為目的，始得為之。</w:t>
      </w:r>
    </w:p>
    <w:p w14:paraId="40D41B24" w14:textId="77777777" w:rsidR="00BD776B" w:rsidRDefault="00DF0C24">
      <w:pPr>
        <w:ind w:left="727" w:hanging="727"/>
        <w:rPr>
          <w:rFonts w:ascii="標楷體" w:eastAsia="標楷體" w:hAnsi="標楷體"/>
          <w:color w:val="000000"/>
        </w:rPr>
      </w:pPr>
      <w:r>
        <w:rPr>
          <w:rFonts w:ascii="標楷體" w:eastAsia="標楷體" w:hAnsi="標楷體"/>
          <w:color w:val="000000"/>
        </w:rPr>
        <w:t>（四）癌症病人使用之morphine及化學治療藥品，於院內經醫師或藥師完成調劑作業後，亦可由病人攜回使用。（85/10/1）</w:t>
      </w:r>
    </w:p>
    <w:p w14:paraId="24220813" w14:textId="77777777" w:rsidR="00BD776B" w:rsidRDefault="00DF0C24">
      <w:pPr>
        <w:ind w:left="490" w:hanging="490"/>
        <w:rPr>
          <w:rFonts w:ascii="標楷體" w:eastAsia="標楷體" w:hAnsi="標楷體"/>
          <w:color w:val="000000"/>
        </w:rPr>
      </w:pPr>
      <w:r>
        <w:rPr>
          <w:rFonts w:ascii="標楷體" w:eastAsia="標楷體" w:hAnsi="標楷體"/>
          <w:color w:val="000000"/>
        </w:rPr>
        <w:t>五、使用抗微生物製劑，應優先選用全民健康保險醫療常用第一線抗微生物製劑品名表 (附表一) 所列者為限。但經微生物培養及藥物敏感試驗確實有效或病情需要者，依本保險規定之抗微生物製劑使用原則用藥。</w:t>
      </w:r>
    </w:p>
    <w:p w14:paraId="489C8C21" w14:textId="77777777" w:rsidR="00BD776B" w:rsidRDefault="00DF0C24">
      <w:pPr>
        <w:ind w:left="490" w:hanging="490"/>
        <w:rPr>
          <w:rFonts w:ascii="標楷體" w:eastAsia="標楷體" w:hAnsi="標楷體"/>
          <w:color w:val="000000"/>
        </w:rPr>
      </w:pPr>
      <w:r>
        <w:rPr>
          <w:rFonts w:ascii="標楷體" w:eastAsia="標楷體" w:hAnsi="標楷體"/>
          <w:color w:val="000000"/>
        </w:rPr>
        <w:t>六、維生素、荷爾蒙及白蛋白製劑等類藥品之使用，門診以附表三-A及三-B所列醫治病症，住院以特殊病症或施行大手術後必須積極治療者為原則，凡作一般營養補給者，不予給付。</w:t>
      </w:r>
    </w:p>
    <w:p w14:paraId="38B8B5EA" w14:textId="77777777" w:rsidR="00BD776B" w:rsidRDefault="00DF0C24">
      <w:pPr>
        <w:ind w:left="490" w:hanging="490"/>
        <w:rPr>
          <w:rFonts w:ascii="標楷體" w:eastAsia="標楷體" w:hAnsi="標楷體"/>
          <w:color w:val="000000"/>
        </w:rPr>
      </w:pPr>
      <w:r>
        <w:rPr>
          <w:rFonts w:ascii="標楷體" w:eastAsia="標楷體" w:hAnsi="標楷體"/>
          <w:color w:val="000000"/>
        </w:rPr>
        <w:t>七、本保險處方用藥，需符合主管機關核准藥品許可證登載之適應症，並應依病情治療所需劑量，處方合理之含量或規格藥品。（85/1/1、86/1/1、94/6/1）</w:t>
      </w:r>
    </w:p>
    <w:p w14:paraId="2127A960" w14:textId="77777777" w:rsidR="00BD776B" w:rsidRDefault="00DF0C24">
      <w:pPr>
        <w:ind w:left="490" w:hanging="490"/>
        <w:rPr>
          <w:rFonts w:ascii="標楷體" w:eastAsia="標楷體" w:hAnsi="標楷體"/>
          <w:color w:val="000000"/>
        </w:rPr>
      </w:pPr>
      <w:r>
        <w:rPr>
          <w:rFonts w:ascii="標楷體" w:eastAsia="標楷體" w:hAnsi="標楷體"/>
          <w:color w:val="000000"/>
        </w:rPr>
        <w:t>八、內服液劑之使用原則：(94/11/1、97/3/1、97/12 /1)</w:t>
      </w:r>
    </w:p>
    <w:p w14:paraId="099999C6" w14:textId="77777777" w:rsidR="00BD776B" w:rsidRDefault="00DF0C24">
      <w:pPr>
        <w:ind w:left="727" w:hanging="727"/>
        <w:rPr>
          <w:rFonts w:ascii="標楷體" w:eastAsia="標楷體" w:hAnsi="標楷體"/>
          <w:color w:val="000000"/>
        </w:rPr>
      </w:pPr>
      <w:r>
        <w:rPr>
          <w:rFonts w:ascii="標楷體" w:eastAsia="標楷體" w:hAnsi="標楷體"/>
          <w:color w:val="000000"/>
        </w:rPr>
        <w:t>（一）12歲(含)以下兒童得使用內服液劑(97/3/1)。</w:t>
      </w:r>
    </w:p>
    <w:p w14:paraId="64AD08DC" w14:textId="77777777" w:rsidR="00BD776B" w:rsidRDefault="00DF0C24">
      <w:pPr>
        <w:ind w:left="727" w:hanging="727"/>
        <w:rPr>
          <w:rFonts w:ascii="標楷體" w:eastAsia="標楷體" w:hAnsi="標楷體"/>
          <w:color w:val="000000"/>
        </w:rPr>
      </w:pPr>
      <w:r>
        <w:rPr>
          <w:rFonts w:ascii="標楷體" w:eastAsia="標楷體" w:hAnsi="標楷體"/>
          <w:color w:val="000000"/>
        </w:rPr>
        <w:t>（二）不適合服用固型製劑之病人，如施行管灌飲食等，得依病情需要使用內服液劑(97/12/1)。</w:t>
      </w:r>
    </w:p>
    <w:p w14:paraId="5D39C825" w14:textId="77777777" w:rsidR="00BD776B" w:rsidRDefault="00DF0C24">
      <w:pPr>
        <w:ind w:left="727" w:hanging="727"/>
        <w:rPr>
          <w:rFonts w:ascii="標楷體" w:eastAsia="標楷體" w:hAnsi="標楷體"/>
          <w:color w:val="000000"/>
        </w:rPr>
      </w:pPr>
      <w:r>
        <w:rPr>
          <w:rFonts w:ascii="標楷體" w:eastAsia="標楷體" w:hAnsi="標楷體"/>
          <w:color w:val="000000"/>
        </w:rPr>
        <w:t>（三）非為兒童或吞嚥困難患者所設計之內服液劑，得依病情需要使用(97/12/1)。</w:t>
      </w:r>
    </w:p>
    <w:p w14:paraId="0CC026AF" w14:textId="77777777" w:rsidR="00BD776B" w:rsidRDefault="00DF0C24">
      <w:pPr>
        <w:ind w:left="490" w:hanging="490"/>
        <w:rPr>
          <w:rFonts w:ascii="標楷體" w:eastAsia="標楷體" w:hAnsi="標楷體"/>
          <w:color w:val="000000"/>
        </w:rPr>
      </w:pPr>
      <w:r>
        <w:rPr>
          <w:rFonts w:ascii="標楷體" w:eastAsia="標楷體" w:hAnsi="標楷體"/>
          <w:color w:val="000000"/>
        </w:rPr>
        <w:t>九、本保險處方用藥有下列情況者視為重複用藥，不予給付(87/4/1)：</w:t>
      </w:r>
    </w:p>
    <w:p w14:paraId="4298C8FD" w14:textId="77777777" w:rsidR="00BD776B" w:rsidRDefault="00DF0C24">
      <w:pPr>
        <w:ind w:left="727" w:hanging="727"/>
        <w:rPr>
          <w:rFonts w:ascii="標楷體" w:eastAsia="標楷體" w:hAnsi="標楷體"/>
          <w:color w:val="000000"/>
        </w:rPr>
      </w:pPr>
      <w:r>
        <w:rPr>
          <w:rFonts w:ascii="標楷體" w:eastAsia="標楷體" w:hAnsi="標楷體"/>
          <w:color w:val="000000"/>
        </w:rPr>
        <w:t>（一）為達相同之治療目的，使用兩種以上同一治療類別 (或作用機轉) 之藥品，視為重複用藥。</w:t>
      </w:r>
    </w:p>
    <w:p w14:paraId="7A635B56" w14:textId="77777777" w:rsidR="00BD776B" w:rsidRDefault="00DF0C24">
      <w:pPr>
        <w:ind w:left="727" w:hanging="727"/>
        <w:rPr>
          <w:rFonts w:ascii="標楷體" w:eastAsia="標楷體" w:hAnsi="標楷體"/>
          <w:color w:val="000000"/>
        </w:rPr>
      </w:pPr>
      <w:r>
        <w:rPr>
          <w:rFonts w:ascii="標楷體" w:eastAsia="標楷體" w:hAnsi="標楷體"/>
          <w:color w:val="000000"/>
        </w:rPr>
        <w:t>（二）為達相同之治療目的，使用兩種以上不同治療類別 (或作用機轉) 之藥品，而</w:t>
      </w:r>
      <w:r>
        <w:rPr>
          <w:rFonts w:ascii="標楷體" w:eastAsia="標楷體" w:hAnsi="標楷體"/>
          <w:color w:val="000000"/>
        </w:rPr>
        <w:lastRenderedPageBreak/>
        <w:t>未能增加療效；或其併用不符合一般醫學學理，且無文獻佐證者。</w:t>
      </w:r>
    </w:p>
    <w:p w14:paraId="50B3F2BE" w14:textId="77777777" w:rsidR="00BD776B" w:rsidRDefault="00DF0C24">
      <w:pPr>
        <w:ind w:left="727" w:hanging="727"/>
        <w:rPr>
          <w:rFonts w:ascii="標楷體" w:eastAsia="標楷體" w:hAnsi="標楷體"/>
          <w:color w:val="000000"/>
        </w:rPr>
      </w:pPr>
      <w:r>
        <w:rPr>
          <w:rFonts w:ascii="標楷體" w:eastAsia="標楷體" w:hAnsi="標楷體"/>
          <w:color w:val="000000"/>
        </w:rPr>
        <w:t>（三）但下列情形除外：</w:t>
      </w:r>
    </w:p>
    <w:p w14:paraId="227450A5" w14:textId="77777777" w:rsidR="00BD776B" w:rsidRDefault="00DF0C24">
      <w:pPr>
        <w:ind w:left="826" w:hanging="257"/>
        <w:rPr>
          <w:rFonts w:ascii="標楷體" w:eastAsia="標楷體" w:hAnsi="標楷體"/>
          <w:color w:val="000000"/>
        </w:rPr>
      </w:pPr>
      <w:r>
        <w:rPr>
          <w:rFonts w:ascii="標楷體" w:eastAsia="標楷體" w:hAnsi="標楷體"/>
          <w:color w:val="000000"/>
        </w:rPr>
        <w:t>1.長短效的藥品搭配使用或不同劑型配合使用，且其使用方法符合各項藥品藥動學或藥理性質之特色者。</w:t>
      </w:r>
    </w:p>
    <w:p w14:paraId="634699D0" w14:textId="77777777" w:rsidR="00BD776B" w:rsidRDefault="00DF0C24">
      <w:pPr>
        <w:ind w:left="826" w:hanging="257"/>
        <w:rPr>
          <w:rFonts w:ascii="標楷體" w:eastAsia="標楷體" w:hAnsi="標楷體"/>
          <w:color w:val="000000"/>
        </w:rPr>
      </w:pPr>
      <w:r>
        <w:rPr>
          <w:rFonts w:ascii="標楷體" w:eastAsia="標楷體" w:hAnsi="標楷體"/>
          <w:color w:val="000000"/>
        </w:rPr>
        <w:t>2.緊急傷病情況下之合併使用者，且其併用符合一般醫學學理。</w:t>
      </w:r>
    </w:p>
    <w:p w14:paraId="2687B288" w14:textId="77777777" w:rsidR="00BD776B" w:rsidRDefault="00DF0C24">
      <w:pPr>
        <w:ind w:left="826" w:hanging="257"/>
        <w:rPr>
          <w:rFonts w:ascii="標楷體" w:eastAsia="標楷體" w:hAnsi="標楷體"/>
          <w:color w:val="000000"/>
        </w:rPr>
      </w:pPr>
      <w:r>
        <w:rPr>
          <w:rFonts w:ascii="標楷體" w:eastAsia="標楷體" w:hAnsi="標楷體"/>
          <w:color w:val="000000"/>
        </w:rPr>
        <w:t>3.本標準藥品給付規定有特別規定者。</w:t>
      </w:r>
    </w:p>
    <w:p w14:paraId="3ED8C973" w14:textId="77777777" w:rsidR="00BD776B" w:rsidRDefault="00DF0C24">
      <w:pPr>
        <w:ind w:left="490" w:hanging="490"/>
        <w:rPr>
          <w:rFonts w:ascii="標楷體" w:eastAsia="標楷體" w:hAnsi="標楷體"/>
          <w:color w:val="000000"/>
        </w:rPr>
      </w:pPr>
      <w:r>
        <w:rPr>
          <w:rFonts w:ascii="標楷體" w:eastAsia="標楷體" w:hAnsi="標楷體"/>
          <w:color w:val="000000"/>
        </w:rPr>
        <w:t>十、下列藥品為本保險界定之「無積極療效藥品」，不建議使用：</w:t>
      </w:r>
    </w:p>
    <w:p w14:paraId="1DB5038A" w14:textId="77777777" w:rsidR="00BD776B" w:rsidRDefault="00DF0C24">
      <w:pPr>
        <w:ind w:left="727" w:hanging="727"/>
        <w:rPr>
          <w:rFonts w:ascii="標楷體" w:eastAsia="標楷體" w:hAnsi="標楷體"/>
          <w:color w:val="000000"/>
        </w:rPr>
      </w:pPr>
      <w:r>
        <w:rPr>
          <w:rFonts w:ascii="標楷體" w:eastAsia="標楷體" w:hAnsi="標楷體"/>
          <w:color w:val="000000"/>
        </w:rPr>
        <w:t>（一）無藥品許可證，或許可證過期，或經主管機關再評估後未通過者。</w:t>
      </w:r>
    </w:p>
    <w:p w14:paraId="445598E7" w14:textId="77777777" w:rsidR="00BD776B" w:rsidRDefault="00DF0C24">
      <w:pPr>
        <w:ind w:left="727" w:hanging="727"/>
        <w:rPr>
          <w:rFonts w:ascii="標楷體" w:eastAsia="標楷體" w:hAnsi="標楷體"/>
          <w:color w:val="000000"/>
        </w:rPr>
      </w:pPr>
      <w:r>
        <w:rPr>
          <w:rFonts w:ascii="標楷體" w:eastAsia="標楷體" w:hAnsi="標楷體"/>
          <w:color w:val="000000"/>
        </w:rPr>
        <w:t>（二）醫學專科教科書未列舉，或載明不適用者。</w:t>
      </w:r>
    </w:p>
    <w:p w14:paraId="22D7B29B" w14:textId="77777777" w:rsidR="00BD776B" w:rsidRDefault="00DF0C24">
      <w:pPr>
        <w:ind w:left="727" w:hanging="727"/>
        <w:rPr>
          <w:rFonts w:ascii="標楷體" w:eastAsia="標楷體" w:hAnsi="標楷體"/>
          <w:color w:val="000000"/>
        </w:rPr>
      </w:pPr>
      <w:r>
        <w:rPr>
          <w:rFonts w:ascii="標楷體" w:eastAsia="標楷體" w:hAnsi="標楷體"/>
          <w:color w:val="000000"/>
        </w:rPr>
        <w:t>（三）醫學專科治療手冊未列舉，或載明不適用者。</w:t>
      </w:r>
    </w:p>
    <w:p w14:paraId="47EBB23C" w14:textId="77777777" w:rsidR="00BD776B" w:rsidRDefault="00DF0C24">
      <w:pPr>
        <w:ind w:left="727" w:hanging="727"/>
        <w:rPr>
          <w:rFonts w:ascii="標楷體" w:eastAsia="標楷體" w:hAnsi="標楷體"/>
          <w:color w:val="000000"/>
        </w:rPr>
      </w:pPr>
      <w:r>
        <w:rPr>
          <w:rFonts w:ascii="標楷體" w:eastAsia="標楷體" w:hAnsi="標楷體"/>
          <w:color w:val="000000"/>
        </w:rPr>
        <w:t>（四）對藥品療效之原始文獻 (primary data) 之評論未收載於「臨床醫學電腦資訊系統」(Computer Clinical Information System)，或未給予正面評價者。</w:t>
      </w:r>
    </w:p>
    <w:p w14:paraId="2D171B11" w14:textId="77777777" w:rsidR="00893962" w:rsidRDefault="00DF0C24" w:rsidP="00893962">
      <w:pPr>
        <w:ind w:left="727" w:hanging="727"/>
        <w:rPr>
          <w:rFonts w:ascii="標楷體" w:eastAsia="標楷體" w:hAnsi="標楷體"/>
          <w:color w:val="000000"/>
        </w:rPr>
      </w:pPr>
      <w:r>
        <w:rPr>
          <w:rFonts w:ascii="標楷體" w:eastAsia="標楷體" w:hAnsi="標楷體"/>
          <w:color w:val="000000"/>
        </w:rPr>
        <w:t>十一、給付規定中年齡用詞統一使用「以上」、「以下」、「未滿」文字，並以阿拉伯數字呈現，定義如下(111/2/1)：</w:t>
      </w:r>
    </w:p>
    <w:p w14:paraId="77ED2217" w14:textId="5F6126B7" w:rsidR="00BD776B" w:rsidRDefault="00DF0C24" w:rsidP="00893962">
      <w:pPr>
        <w:ind w:left="727" w:hanging="727"/>
        <w:rPr>
          <w:rFonts w:ascii="標楷體" w:eastAsia="標楷體" w:hAnsi="標楷體"/>
          <w:color w:val="000000"/>
        </w:rPr>
      </w:pPr>
      <w:r>
        <w:rPr>
          <w:rFonts w:ascii="標楷體" w:eastAsia="標楷體" w:hAnsi="標楷體"/>
          <w:color w:val="000000"/>
        </w:rPr>
        <w:t>（一）○歲以上(包含○歲當日)。</w:t>
      </w:r>
    </w:p>
    <w:p w14:paraId="5F41D21A" w14:textId="77777777" w:rsidR="00BD776B" w:rsidRDefault="00DF0C24">
      <w:pPr>
        <w:ind w:left="727" w:hanging="727"/>
        <w:rPr>
          <w:rFonts w:ascii="標楷體" w:eastAsia="標楷體" w:hAnsi="標楷體"/>
          <w:color w:val="000000"/>
        </w:rPr>
      </w:pPr>
      <w:r>
        <w:rPr>
          <w:rFonts w:ascii="標楷體" w:eastAsia="標楷體" w:hAnsi="標楷體"/>
          <w:color w:val="000000"/>
        </w:rPr>
        <w:t>（二）○歲以下(包含○歲當日)。</w:t>
      </w:r>
    </w:p>
    <w:p w14:paraId="7B26121F" w14:textId="44A9B11A" w:rsidR="00BD776B" w:rsidRDefault="00DF0C24">
      <w:pPr>
        <w:ind w:left="727" w:hanging="727"/>
        <w:rPr>
          <w:rFonts w:ascii="標楷體" w:eastAsia="標楷體" w:hAnsi="標楷體"/>
          <w:color w:val="000000"/>
        </w:rPr>
      </w:pPr>
      <w:r>
        <w:rPr>
          <w:rFonts w:ascii="標楷體" w:eastAsia="標楷體" w:hAnsi="標楷體"/>
          <w:color w:val="000000"/>
        </w:rPr>
        <w:t>（三）○歲至未滿○歲(未滿○歲係不包含○歲當日)。</w:t>
      </w:r>
    </w:p>
    <w:p w14:paraId="7FEAE372" w14:textId="77777777" w:rsidR="00893962" w:rsidRDefault="00BD7B65" w:rsidP="00893962">
      <w:pPr>
        <w:ind w:left="727" w:hanging="727"/>
        <w:rPr>
          <w:rFonts w:ascii="標楷體" w:eastAsia="標楷體" w:hAnsi="標楷體"/>
          <w:color w:val="000000"/>
        </w:rPr>
      </w:pPr>
      <w:r w:rsidRPr="00BD7B65">
        <w:rPr>
          <w:rFonts w:ascii="標楷體" w:eastAsia="標楷體" w:hAnsi="標楷體" w:hint="eastAsia"/>
          <w:color w:val="000000"/>
        </w:rPr>
        <w:t>十二、藥物給付規定所列需檢附生物標記檢測結果報告者，其報告須符合下列任一條件：</w:t>
      </w:r>
    </w:p>
    <w:p w14:paraId="35FC87AB" w14:textId="4EE3456A" w:rsidR="00BD7B65" w:rsidRPr="00BD7B65" w:rsidRDefault="00BD7B65" w:rsidP="00893962">
      <w:pPr>
        <w:ind w:left="727" w:hanging="585"/>
        <w:rPr>
          <w:rFonts w:ascii="標楷體" w:eastAsia="標楷體" w:hAnsi="標楷體"/>
          <w:color w:val="000000"/>
        </w:rPr>
      </w:pPr>
      <w:r w:rsidRPr="00BD7B65">
        <w:rPr>
          <w:rFonts w:ascii="標楷體" w:eastAsia="標楷體" w:hAnsi="標楷體" w:hint="eastAsia"/>
          <w:color w:val="000000"/>
        </w:rPr>
        <w:t>(一)符合全民健康保險醫療服務給付項目及支付標準規定。</w:t>
      </w:r>
    </w:p>
    <w:p w14:paraId="33ED6DC9" w14:textId="7D677D5F" w:rsidR="00BD7B65" w:rsidRPr="00BD7B65" w:rsidRDefault="00BD7B65" w:rsidP="00893962">
      <w:pPr>
        <w:ind w:left="727" w:hanging="585"/>
        <w:rPr>
          <w:rFonts w:ascii="標楷體" w:eastAsia="標楷體" w:hAnsi="標楷體"/>
          <w:color w:val="000000"/>
        </w:rPr>
      </w:pPr>
      <w:r w:rsidRPr="00BD7B65">
        <w:rPr>
          <w:rFonts w:ascii="標楷體" w:eastAsia="標楷體" w:hAnsi="標楷體" w:hint="eastAsia"/>
          <w:color w:val="000000"/>
        </w:rPr>
        <w:t>(二)使用經衛生福利部許可之伴隨式診斷用體外診斷醫療器材檢測（IVD）。</w:t>
      </w:r>
    </w:p>
    <w:p w14:paraId="3CFC144D" w14:textId="0ADC736B" w:rsidR="00BD7B65" w:rsidRDefault="00BD7B65" w:rsidP="00893962">
      <w:pPr>
        <w:ind w:left="727" w:hanging="585"/>
        <w:rPr>
          <w:rFonts w:ascii="標楷體" w:eastAsia="標楷體" w:hAnsi="標楷體"/>
          <w:color w:val="000000"/>
        </w:rPr>
      </w:pPr>
      <w:r w:rsidRPr="00BD7B65">
        <w:rPr>
          <w:rFonts w:ascii="標楷體" w:eastAsia="標楷體" w:hAnsi="標楷體" w:hint="eastAsia"/>
          <w:color w:val="000000"/>
        </w:rPr>
        <w:t>(三)經衛生福利部核定之實驗室開發檢測施行計畫表列醫療機構之認證實驗室執行，且技術項目符合核定之分析標的。</w:t>
      </w:r>
    </w:p>
    <w:p w14:paraId="7E9237ED" w14:textId="77777777" w:rsidR="00BD776B" w:rsidRDefault="00BD776B">
      <w:pPr>
        <w:pageBreakBefore/>
        <w:widowControl/>
        <w:suppressAutoHyphens w:val="0"/>
      </w:pPr>
    </w:p>
    <w:p w14:paraId="4A788B4A" w14:textId="77777777" w:rsidR="00BD776B" w:rsidRDefault="00DF0C24">
      <w:pPr>
        <w:pStyle w:val="2"/>
      </w:pPr>
      <w:r>
        <w:t>第1節 神經系統藥物 Drugs acting on the nervous system</w:t>
      </w:r>
    </w:p>
    <w:p w14:paraId="0D846A08" w14:textId="77777777" w:rsidR="00BD776B" w:rsidRDefault="00BD776B">
      <w:pPr>
        <w:snapToGrid w:val="0"/>
        <w:spacing w:line="400" w:lineRule="exact"/>
        <w:jc w:val="center"/>
        <w:rPr>
          <w:rFonts w:ascii="標楷體" w:eastAsia="標楷體" w:hAnsi="標楷體"/>
          <w:b/>
          <w:color w:val="000000"/>
          <w:sz w:val="32"/>
          <w:szCs w:val="32"/>
        </w:rPr>
      </w:pPr>
    </w:p>
    <w:p w14:paraId="2BE467B6" w14:textId="77777777" w:rsidR="00BD776B" w:rsidRDefault="00DF0C24">
      <w:pPr>
        <w:ind w:left="672" w:hanging="386"/>
        <w:rPr>
          <w:rFonts w:ascii="標楷體" w:eastAsia="標楷體" w:hAnsi="標楷體"/>
          <w:color w:val="000000"/>
        </w:rPr>
      </w:pPr>
      <w:r>
        <w:rPr>
          <w:rFonts w:ascii="標楷體" w:eastAsia="標楷體" w:hAnsi="標楷體"/>
          <w:color w:val="000000"/>
        </w:rPr>
        <w:t>1.1.疼痛解除劑 Drugs used for pain relief</w:t>
      </w:r>
    </w:p>
    <w:p w14:paraId="746B6A6F" w14:textId="77777777" w:rsidR="00BD776B" w:rsidRDefault="00DF0C24">
      <w:pPr>
        <w:ind w:left="672" w:hanging="386"/>
        <w:rPr>
          <w:rFonts w:ascii="標楷體" w:eastAsia="標楷體" w:hAnsi="標楷體"/>
          <w:color w:val="000000"/>
        </w:rPr>
      </w:pPr>
      <w:r>
        <w:rPr>
          <w:rFonts w:ascii="標楷體" w:eastAsia="標楷體" w:hAnsi="標楷體"/>
          <w:color w:val="000000"/>
        </w:rPr>
        <w:t>1.1.1.非類固醇抗發炎劑外用製劑：(88/9/1、92/2/1、94/9/1、109/2/1)</w:t>
      </w:r>
    </w:p>
    <w:p w14:paraId="57DF22CD" w14:textId="77777777" w:rsidR="00BD776B" w:rsidRDefault="00DF0C24">
      <w:pPr>
        <w:ind w:left="811" w:hanging="245"/>
        <w:rPr>
          <w:rFonts w:ascii="標楷體" w:eastAsia="標楷體" w:hAnsi="標楷體"/>
          <w:color w:val="000000"/>
        </w:rPr>
      </w:pPr>
      <w:r>
        <w:rPr>
          <w:rFonts w:ascii="標楷體" w:eastAsia="標楷體" w:hAnsi="標楷體"/>
          <w:color w:val="000000"/>
        </w:rPr>
        <w:t>1.外用非類固醇抗發炎軟膏，不得同時併用口服或其他外用非類固醇發炎製劑，每4週至多以處方40gm為限(94/9/1、109/2/1)。</w:t>
      </w:r>
    </w:p>
    <w:p w14:paraId="264703B1" w14:textId="77777777" w:rsidR="00BD776B" w:rsidRDefault="00DF0C24">
      <w:pPr>
        <w:ind w:left="811" w:hanging="245"/>
        <w:rPr>
          <w:rFonts w:ascii="標楷體" w:eastAsia="標楷體" w:hAnsi="標楷體"/>
          <w:color w:val="000000"/>
        </w:rPr>
      </w:pPr>
      <w:r>
        <w:rPr>
          <w:rFonts w:ascii="標楷體" w:eastAsia="標楷體" w:hAnsi="標楷體"/>
          <w:color w:val="000000"/>
        </w:rPr>
        <w:t>2.Flurbiprofen 40mg patch (如Flur Di Fen Patch)：</w:t>
      </w:r>
    </w:p>
    <w:p w14:paraId="0D656263" w14:textId="77777777" w:rsidR="00BD776B" w:rsidRDefault="00DF0C24">
      <w:pPr>
        <w:ind w:left="798" w:hanging="1"/>
        <w:rPr>
          <w:rFonts w:ascii="標楷體" w:eastAsia="標楷體" w:hAnsi="標楷體"/>
          <w:color w:val="000000"/>
        </w:rPr>
      </w:pPr>
      <w:r>
        <w:rPr>
          <w:rFonts w:ascii="標楷體" w:eastAsia="標楷體" w:hAnsi="標楷體"/>
          <w:color w:val="000000"/>
        </w:rPr>
        <w:t>限同時符合下列條件之病患使用：(92/2/1、109/2/1)</w:t>
      </w:r>
    </w:p>
    <w:p w14:paraId="057C3594" w14:textId="77777777" w:rsidR="00BD776B" w:rsidRDefault="00DF0C24">
      <w:pPr>
        <w:ind w:left="1049" w:hanging="341"/>
        <w:rPr>
          <w:rFonts w:ascii="標楷體" w:eastAsia="標楷體" w:hAnsi="標楷體"/>
          <w:color w:val="000000"/>
        </w:rPr>
      </w:pPr>
      <w:r>
        <w:rPr>
          <w:rFonts w:ascii="標楷體" w:eastAsia="標楷體" w:hAnsi="標楷體"/>
          <w:color w:val="000000"/>
        </w:rPr>
        <w:t>(1)單一關節（部位）或軟組織風濕症。</w:t>
      </w:r>
    </w:p>
    <w:p w14:paraId="0920186E" w14:textId="77777777" w:rsidR="00BD776B" w:rsidRDefault="00DF0C24">
      <w:pPr>
        <w:ind w:left="1049" w:hanging="341"/>
        <w:rPr>
          <w:rFonts w:ascii="標楷體" w:eastAsia="標楷體" w:hAnsi="標楷體"/>
          <w:color w:val="000000"/>
        </w:rPr>
      </w:pPr>
      <w:r>
        <w:rPr>
          <w:rFonts w:ascii="標楷體" w:eastAsia="標楷體" w:hAnsi="標楷體"/>
          <w:color w:val="000000"/>
        </w:rPr>
        <w:t>(2)不適合口服非類固醇抗發炎製劑者。</w:t>
      </w:r>
    </w:p>
    <w:p w14:paraId="2F55E723" w14:textId="77777777" w:rsidR="00BD776B" w:rsidRDefault="00DF0C24">
      <w:pPr>
        <w:ind w:left="1049" w:hanging="341"/>
        <w:rPr>
          <w:rFonts w:ascii="標楷體" w:eastAsia="標楷體" w:hAnsi="標楷體"/>
          <w:color w:val="000000"/>
        </w:rPr>
      </w:pPr>
      <w:r>
        <w:rPr>
          <w:rFonts w:ascii="標楷體" w:eastAsia="標楷體" w:hAnsi="標楷體"/>
          <w:color w:val="000000"/>
        </w:rPr>
        <w:t>(3)不得同時併用口服或其他外用非類固醇發炎製劑，亦不得開立慢性連續處方箋(109/2/1)。</w:t>
      </w:r>
    </w:p>
    <w:p w14:paraId="0D9105E1" w14:textId="77777777" w:rsidR="00BD776B" w:rsidRDefault="00DF0C24">
      <w:pPr>
        <w:ind w:left="1049" w:hanging="341"/>
        <w:rPr>
          <w:rFonts w:ascii="標楷體" w:eastAsia="標楷體" w:hAnsi="標楷體"/>
          <w:color w:val="000000"/>
        </w:rPr>
      </w:pPr>
      <w:r>
        <w:rPr>
          <w:rFonts w:ascii="標楷體" w:eastAsia="標楷體" w:hAnsi="標楷體"/>
          <w:color w:val="000000"/>
        </w:rPr>
        <w:t>(4)每4週限處方16片以內(109/2/1)。</w:t>
      </w:r>
    </w:p>
    <w:p w14:paraId="0F9B4C41" w14:textId="77777777" w:rsidR="00BD776B" w:rsidRDefault="00DF0C24">
      <w:pPr>
        <w:ind w:left="672" w:hanging="386"/>
        <w:rPr>
          <w:rFonts w:ascii="標楷體" w:eastAsia="標楷體" w:hAnsi="標楷體"/>
          <w:color w:val="000000"/>
        </w:rPr>
      </w:pPr>
      <w:r>
        <w:rPr>
          <w:rFonts w:ascii="標楷體" w:eastAsia="標楷體" w:hAnsi="標楷體"/>
          <w:color w:val="000000"/>
        </w:rPr>
        <w:t>1.1.2.非類固醇抗發炎劑 (NSAIDs) 之注射劑：(88/12/1、97/7/1)</w:t>
      </w:r>
    </w:p>
    <w:p w14:paraId="53C8FFFA" w14:textId="77777777" w:rsidR="00BD776B" w:rsidRDefault="00DF0C24">
      <w:pPr>
        <w:ind w:left="811" w:hanging="245"/>
        <w:rPr>
          <w:rFonts w:ascii="標楷體" w:eastAsia="標楷體" w:hAnsi="標楷體"/>
          <w:color w:val="000000"/>
        </w:rPr>
      </w:pPr>
      <w:r>
        <w:rPr>
          <w:rFonts w:ascii="標楷體" w:eastAsia="標楷體" w:hAnsi="標楷體"/>
          <w:color w:val="000000"/>
        </w:rPr>
        <w:t>1.非類固醇抗發炎劑 (NSAIDs) 之注射劑（ketorolac成分之注射劑除外）：</w:t>
      </w:r>
    </w:p>
    <w:p w14:paraId="6110F3A8" w14:textId="77777777" w:rsidR="00BD776B" w:rsidRDefault="00DF0C24">
      <w:pPr>
        <w:ind w:left="1049" w:hanging="341"/>
        <w:rPr>
          <w:rFonts w:ascii="標楷體" w:eastAsia="標楷體" w:hAnsi="標楷體"/>
          <w:color w:val="000000"/>
        </w:rPr>
      </w:pPr>
      <w:r>
        <w:rPr>
          <w:rFonts w:ascii="標楷體" w:eastAsia="標楷體" w:hAnsi="標楷體"/>
          <w:color w:val="000000"/>
        </w:rPr>
        <w:t>(1)限不能口服，且不能使用肛門栓劑之病患使用。</w:t>
      </w:r>
    </w:p>
    <w:p w14:paraId="62606C11" w14:textId="77777777" w:rsidR="00BD776B" w:rsidRDefault="00DF0C24">
      <w:pPr>
        <w:ind w:left="1049" w:hanging="341"/>
        <w:rPr>
          <w:rFonts w:ascii="標楷體" w:eastAsia="標楷體" w:hAnsi="標楷體"/>
          <w:color w:val="000000"/>
        </w:rPr>
      </w:pPr>
      <w:r>
        <w:rPr>
          <w:rFonts w:ascii="標楷體" w:eastAsia="標楷體" w:hAnsi="標楷體"/>
          <w:color w:val="000000"/>
        </w:rPr>
        <w:t>(2)本類藥品不可作為急性上呼吸道感染之例行或長期性使用。</w:t>
      </w:r>
    </w:p>
    <w:p w14:paraId="281EA191" w14:textId="77777777" w:rsidR="00BD776B" w:rsidRDefault="00DF0C24">
      <w:pPr>
        <w:ind w:left="1049" w:hanging="341"/>
        <w:rPr>
          <w:rFonts w:ascii="標楷體" w:eastAsia="標楷體" w:hAnsi="標楷體"/>
          <w:color w:val="000000"/>
        </w:rPr>
      </w:pPr>
      <w:r>
        <w:rPr>
          <w:rFonts w:ascii="標楷體" w:eastAsia="標楷體" w:hAnsi="標楷體"/>
          <w:color w:val="000000"/>
        </w:rPr>
        <w:t>(3)使用本類藥品，每次不可連續超過五天。</w:t>
      </w:r>
    </w:p>
    <w:p w14:paraId="3A2905E7" w14:textId="77777777" w:rsidR="00BD776B" w:rsidRDefault="00DF0C24">
      <w:pPr>
        <w:ind w:left="811" w:hanging="245"/>
        <w:rPr>
          <w:rFonts w:ascii="標楷體" w:eastAsia="標楷體" w:hAnsi="標楷體"/>
          <w:color w:val="000000"/>
        </w:rPr>
      </w:pPr>
      <w:r>
        <w:rPr>
          <w:rFonts w:ascii="標楷體" w:eastAsia="標楷體" w:hAnsi="標楷體"/>
          <w:color w:val="000000"/>
        </w:rPr>
        <w:t>2.Ketorolac成分之注射劑：(97/7/1)</w:t>
      </w:r>
    </w:p>
    <w:p w14:paraId="52D43AAB" w14:textId="77777777" w:rsidR="00BD776B" w:rsidRDefault="00DF0C24">
      <w:pPr>
        <w:ind w:left="798" w:hanging="1"/>
        <w:rPr>
          <w:rFonts w:ascii="標楷體" w:eastAsia="標楷體" w:hAnsi="標楷體"/>
          <w:color w:val="000000"/>
        </w:rPr>
      </w:pPr>
      <w:r>
        <w:rPr>
          <w:rFonts w:ascii="標楷體" w:eastAsia="標楷體" w:hAnsi="標楷體"/>
          <w:color w:val="000000"/>
        </w:rPr>
        <w:t>限用於無法口服之病人且為手術後中重度急性疼痛之短期治療（治療期間為≦5天），惟禁止使用於產科止痛。</w:t>
      </w:r>
    </w:p>
    <w:p w14:paraId="32DBA476" w14:textId="77777777" w:rsidR="00BD776B" w:rsidRDefault="00DF0C24">
      <w:pPr>
        <w:ind w:left="672" w:hanging="386"/>
        <w:rPr>
          <w:rFonts w:ascii="標楷體" w:eastAsia="標楷體" w:hAnsi="標楷體"/>
          <w:color w:val="000000"/>
        </w:rPr>
      </w:pPr>
      <w:r>
        <w:rPr>
          <w:rFonts w:ascii="標楷體" w:eastAsia="標楷體" w:hAnsi="標楷體"/>
          <w:color w:val="000000"/>
        </w:rPr>
        <w:t>1.1.3.Tramadol (87/4/1)</w:t>
      </w:r>
    </w:p>
    <w:p w14:paraId="2F4123C0" w14:textId="77777777" w:rsidR="00BD776B" w:rsidRDefault="00DF0C24">
      <w:pPr>
        <w:ind w:left="798" w:hanging="1"/>
        <w:rPr>
          <w:rFonts w:ascii="標楷體" w:eastAsia="標楷體" w:hAnsi="標楷體"/>
          <w:color w:val="000000"/>
        </w:rPr>
      </w:pPr>
      <w:r>
        <w:rPr>
          <w:rFonts w:ascii="標楷體" w:eastAsia="標楷體" w:hAnsi="標楷體"/>
          <w:color w:val="000000"/>
        </w:rPr>
        <w:t>限</w:t>
      </w:r>
    </w:p>
    <w:p w14:paraId="71055144" w14:textId="77777777" w:rsidR="00BD776B" w:rsidRDefault="00DF0C24">
      <w:pPr>
        <w:ind w:left="811" w:hanging="245"/>
        <w:rPr>
          <w:rFonts w:ascii="標楷體" w:eastAsia="標楷體" w:hAnsi="標楷體"/>
          <w:color w:val="000000"/>
        </w:rPr>
      </w:pPr>
      <w:r>
        <w:rPr>
          <w:rFonts w:ascii="標楷體" w:eastAsia="標楷體" w:hAnsi="標楷體"/>
          <w:color w:val="000000"/>
        </w:rPr>
        <w:t>1.癌症病例使用。</w:t>
      </w:r>
    </w:p>
    <w:p w14:paraId="740B99B5" w14:textId="77777777" w:rsidR="00BD776B" w:rsidRDefault="00DF0C24">
      <w:pPr>
        <w:ind w:left="811" w:hanging="245"/>
        <w:rPr>
          <w:rFonts w:ascii="標楷體" w:eastAsia="標楷體" w:hAnsi="標楷體"/>
          <w:color w:val="000000"/>
        </w:rPr>
      </w:pPr>
      <w:r>
        <w:rPr>
          <w:rFonts w:ascii="標楷體" w:eastAsia="標楷體" w:hAnsi="標楷體"/>
          <w:color w:val="000000"/>
        </w:rPr>
        <w:t>2.用於非癌症慢性頑固性疼痛（疼痛期超過六個月）之病人，需同時符合下述條件：(1)需為服用NSAIDs仍無法控制疼痛或有嚴重副作用者。(2)需檢附疼痛評估報告，內容需包括疼痛強度及疼痛緩解的VAS與VRS (Visual Analogue Scale和Verbal Rating Scale)。</w:t>
      </w:r>
    </w:p>
    <w:p w14:paraId="7C14A644" w14:textId="77777777" w:rsidR="00BD776B" w:rsidRDefault="00DF0C24">
      <w:pPr>
        <w:ind w:left="672" w:hanging="386"/>
        <w:rPr>
          <w:rFonts w:ascii="標楷體" w:eastAsia="標楷體" w:hAnsi="標楷體"/>
          <w:color w:val="000000"/>
        </w:rPr>
      </w:pPr>
      <w:r>
        <w:rPr>
          <w:rFonts w:ascii="標楷體" w:eastAsia="標楷體" w:hAnsi="標楷體"/>
          <w:color w:val="000000"/>
        </w:rPr>
        <w:t>1.1.4.Tramadol HCl＋acetaminophen (如Ultracet Tablets) (93/7/1、95/5/1)</w:t>
      </w:r>
    </w:p>
    <w:p w14:paraId="3F3B8619" w14:textId="77777777" w:rsidR="00BD776B" w:rsidRDefault="00DF0C24">
      <w:pPr>
        <w:ind w:left="798" w:hanging="1"/>
        <w:rPr>
          <w:rFonts w:ascii="標楷體" w:eastAsia="標楷體" w:hAnsi="標楷體"/>
          <w:color w:val="000000"/>
        </w:rPr>
      </w:pPr>
      <w:r>
        <w:rPr>
          <w:rFonts w:ascii="標楷體" w:eastAsia="標楷體" w:hAnsi="標楷體"/>
          <w:color w:val="000000"/>
        </w:rPr>
        <w:t>限用於中度至嚴重性疼痛之病人，需符合下述條件：</w:t>
      </w:r>
    </w:p>
    <w:p w14:paraId="69944F9C" w14:textId="77777777" w:rsidR="00BD776B" w:rsidRDefault="00DF0C24">
      <w:pPr>
        <w:ind w:left="811" w:hanging="245"/>
        <w:rPr>
          <w:rFonts w:ascii="標楷體" w:eastAsia="標楷體" w:hAnsi="標楷體"/>
          <w:color w:val="000000"/>
        </w:rPr>
      </w:pPr>
      <w:r>
        <w:rPr>
          <w:rFonts w:ascii="標楷體" w:eastAsia="標楷體" w:hAnsi="標楷體"/>
          <w:color w:val="000000"/>
        </w:rPr>
        <w:t>1.經其他止痛藥、或非類固醇抗發炎藥物（NSAIDs）治療後仍無法控制疼痛或有嚴重副作用者。</w:t>
      </w:r>
    </w:p>
    <w:p w14:paraId="79BF0E67" w14:textId="77777777" w:rsidR="00BD776B" w:rsidRDefault="00DF0C24">
      <w:pPr>
        <w:ind w:left="811" w:hanging="245"/>
        <w:rPr>
          <w:rFonts w:ascii="標楷體" w:eastAsia="標楷體" w:hAnsi="標楷體"/>
          <w:color w:val="000000"/>
        </w:rPr>
      </w:pPr>
      <w:r>
        <w:rPr>
          <w:rFonts w:ascii="標楷體" w:eastAsia="標楷體" w:hAnsi="標楷體"/>
          <w:color w:val="000000"/>
        </w:rPr>
        <w:t>2.非癌症病患使用超過五天時，需檢附疼痛評估報告，並每隔三個月再評估乙次，內容需包括疼痛強度及疼痛緩解的VAS與VRS (Visual Analogue Scale和Verbal Rating Scale)。</w:t>
      </w:r>
    </w:p>
    <w:p w14:paraId="3198737D" w14:textId="77777777" w:rsidR="00BD776B" w:rsidRDefault="00DF0C24">
      <w:pPr>
        <w:ind w:left="686" w:hanging="341"/>
        <w:rPr>
          <w:rFonts w:ascii="標楷體" w:eastAsia="標楷體" w:hAnsi="標楷體"/>
          <w:color w:val="000000"/>
        </w:rPr>
      </w:pPr>
      <w:r>
        <w:rPr>
          <w:rFonts w:ascii="標楷體" w:eastAsia="標楷體" w:hAnsi="標楷體"/>
          <w:color w:val="000000"/>
        </w:rPr>
        <w:t>1.1.5.非類固醇抗發炎劑（NSAIDs）藥品，屬下列成分之口服製劑：celecoxib、nabumetone、meloxicam、etodolac、nimesulide (90/7/1、97/9/1)、etoricoxib (96/1/1、99/10/1)、含naproxen及esomeprazole複方製劑(101/10/1、106/12/1、111/2/1、111/7/1)</w:t>
      </w:r>
    </w:p>
    <w:p w14:paraId="409355CE" w14:textId="77777777" w:rsidR="00BD776B" w:rsidRDefault="00DF0C24">
      <w:pPr>
        <w:ind w:left="851" w:hanging="341"/>
        <w:rPr>
          <w:rFonts w:ascii="標楷體" w:eastAsia="標楷體" w:hAnsi="標楷體"/>
          <w:color w:val="000000"/>
        </w:rPr>
      </w:pPr>
      <w:r>
        <w:rPr>
          <w:rFonts w:ascii="標楷體" w:eastAsia="標楷體" w:hAnsi="標楷體"/>
          <w:color w:val="000000"/>
        </w:rPr>
        <w:t>1.本類製劑之使用需符合下列條件之一者(99/10/1、111/7/1)：</w:t>
      </w:r>
    </w:p>
    <w:p w14:paraId="6F4FA00B" w14:textId="77777777" w:rsidR="00BD776B" w:rsidRDefault="00DF0C24">
      <w:pPr>
        <w:ind w:left="1134" w:hanging="341"/>
        <w:rPr>
          <w:rFonts w:ascii="標楷體" w:eastAsia="標楷體" w:hAnsi="標楷體"/>
          <w:color w:val="000000"/>
        </w:rPr>
      </w:pPr>
      <w:r>
        <w:rPr>
          <w:rFonts w:ascii="標楷體" w:eastAsia="標楷體" w:hAnsi="標楷體"/>
          <w:color w:val="000000"/>
        </w:rPr>
        <w:t>(1)骨關節炎病患。(106/12/1、111/2/1、111/7/1)</w:t>
      </w:r>
    </w:p>
    <w:p w14:paraId="5CBBA886" w14:textId="77777777" w:rsidR="00BD776B" w:rsidRDefault="00DF0C24">
      <w:pPr>
        <w:ind w:left="1134" w:hanging="341"/>
        <w:rPr>
          <w:rFonts w:ascii="標楷體" w:eastAsia="標楷體" w:hAnsi="標楷體"/>
          <w:color w:val="000000"/>
        </w:rPr>
      </w:pPr>
      <w:r>
        <w:rPr>
          <w:rFonts w:ascii="標楷體" w:eastAsia="標楷體" w:hAnsi="標楷體"/>
          <w:color w:val="000000"/>
        </w:rPr>
        <w:lastRenderedPageBreak/>
        <w:t>Ⅰ.每日藥費為4.5元以下，可用於18歲以上病患。</w:t>
      </w:r>
    </w:p>
    <w:p w14:paraId="263D177D" w14:textId="77777777" w:rsidR="00BD776B" w:rsidRDefault="00DF0C24">
      <w:pPr>
        <w:ind w:left="1134" w:hanging="341"/>
        <w:rPr>
          <w:rFonts w:ascii="標楷體" w:eastAsia="標楷體" w:hAnsi="標楷體"/>
          <w:color w:val="000000"/>
        </w:rPr>
      </w:pPr>
      <w:r>
        <w:rPr>
          <w:rFonts w:ascii="標楷體" w:eastAsia="標楷體" w:hAnsi="標楷體"/>
          <w:color w:val="000000"/>
        </w:rPr>
        <w:t>Ⅱ.依個別成分規定如下：</w:t>
      </w:r>
    </w:p>
    <w:p w14:paraId="10BAE517" w14:textId="77777777" w:rsidR="00BD776B" w:rsidRDefault="00DF0C24">
      <w:pPr>
        <w:ind w:left="1134" w:hanging="341"/>
      </w:pPr>
      <w:r>
        <w:rPr>
          <w:rFonts w:ascii="標楷體" w:eastAsia="標楷體" w:hAnsi="標楷體"/>
          <w:color w:val="000000"/>
        </w:rPr>
        <w:t xml:space="preserve">   </w:t>
      </w:r>
      <w:r>
        <w:rPr>
          <w:rFonts w:ascii="新細明體" w:hAnsi="新細明體" w:cs="新細明體"/>
          <w:color w:val="000000"/>
        </w:rPr>
        <w:t>ⅰ</w:t>
      </w:r>
      <w:r>
        <w:rPr>
          <w:rFonts w:ascii="標楷體" w:eastAsia="標楷體" w:hAnsi="標楷體"/>
          <w:color w:val="000000"/>
        </w:rPr>
        <w:t>含celecoxib成分之Relecox 200mg僅可使用於50歲以上病患。</w:t>
      </w:r>
    </w:p>
    <w:p w14:paraId="6CF34C30" w14:textId="77777777" w:rsidR="00BD776B" w:rsidRDefault="00DF0C24">
      <w:pPr>
        <w:ind w:left="1134" w:hanging="341"/>
      </w:pPr>
      <w:r>
        <w:rPr>
          <w:rFonts w:ascii="標楷體" w:eastAsia="標楷體" w:hAnsi="標楷體"/>
          <w:color w:val="000000"/>
        </w:rPr>
        <w:t xml:space="preserve">   </w:t>
      </w:r>
      <w:r>
        <w:rPr>
          <w:rFonts w:ascii="新細明體" w:hAnsi="新細明體" w:cs="新細明體"/>
          <w:color w:val="000000"/>
        </w:rPr>
        <w:t>ⅱ</w:t>
      </w:r>
      <w:r>
        <w:rPr>
          <w:rFonts w:ascii="標楷體" w:eastAsia="標楷體" w:hAnsi="標楷體"/>
          <w:color w:val="000000"/>
        </w:rPr>
        <w:t xml:space="preserve">含nabumetone成分之No-Ton、Nabuton、Labuton及含 </w:t>
      </w:r>
    </w:p>
    <w:p w14:paraId="4CBECD6A" w14:textId="77777777" w:rsidR="00BD776B" w:rsidRDefault="00DF0C24">
      <w:pPr>
        <w:ind w:left="1134" w:hanging="341"/>
        <w:rPr>
          <w:rFonts w:ascii="標楷體" w:eastAsia="標楷體" w:hAnsi="標楷體"/>
          <w:color w:val="000000"/>
        </w:rPr>
      </w:pPr>
      <w:r>
        <w:rPr>
          <w:rFonts w:ascii="標楷體" w:eastAsia="標楷體" w:hAnsi="標楷體"/>
          <w:color w:val="000000"/>
        </w:rPr>
        <w:t xml:space="preserve">     etoricoxib之Arcoxia 60mg僅可使用於60歲以上病患。</w:t>
      </w:r>
    </w:p>
    <w:p w14:paraId="4EDB3EA3" w14:textId="77777777" w:rsidR="00BD776B" w:rsidRDefault="00DF0C24">
      <w:pPr>
        <w:ind w:left="1134" w:hanging="341"/>
      </w:pPr>
      <w:r>
        <w:rPr>
          <w:rFonts w:ascii="標楷體" w:eastAsia="標楷體" w:hAnsi="標楷體"/>
          <w:color w:val="000000"/>
        </w:rPr>
        <w:t xml:space="preserve">   </w:t>
      </w:r>
      <w:r>
        <w:rPr>
          <w:rFonts w:ascii="新細明體" w:hAnsi="新細明體" w:cs="新細明體"/>
          <w:color w:val="000000"/>
        </w:rPr>
        <w:t>ⅲ</w:t>
      </w:r>
      <w:r>
        <w:rPr>
          <w:rFonts w:ascii="標楷體" w:eastAsia="標楷體" w:hAnsi="標楷體"/>
          <w:color w:val="000000"/>
        </w:rPr>
        <w:t>含etodolac成分之緩釋錠劑膠囊劑及一般錠劑膠囊劑僅可使用於</w:t>
      </w:r>
    </w:p>
    <w:p w14:paraId="4BFED8F8" w14:textId="77777777" w:rsidR="00BD776B" w:rsidRDefault="00DF0C24">
      <w:pPr>
        <w:ind w:left="1134" w:hanging="341"/>
        <w:rPr>
          <w:rFonts w:ascii="標楷體" w:eastAsia="標楷體" w:hAnsi="標楷體"/>
          <w:color w:val="000000"/>
        </w:rPr>
      </w:pPr>
      <w:r>
        <w:rPr>
          <w:rFonts w:ascii="標楷體" w:eastAsia="標楷體" w:hAnsi="標楷體"/>
          <w:color w:val="000000"/>
        </w:rPr>
        <w:t xml:space="preserve">     60歲以上病患，惟單價低於2.25元(如Etopin、Etodon、Jenac、</w:t>
      </w:r>
    </w:p>
    <w:p w14:paraId="0AD66F33" w14:textId="77777777" w:rsidR="00BD776B" w:rsidRDefault="00DF0C24">
      <w:pPr>
        <w:ind w:left="1134" w:hanging="341"/>
        <w:rPr>
          <w:rFonts w:ascii="標楷體" w:eastAsia="標楷體" w:hAnsi="標楷體"/>
          <w:color w:val="000000"/>
        </w:rPr>
      </w:pPr>
      <w:r>
        <w:rPr>
          <w:rFonts w:ascii="標楷體" w:eastAsia="標楷體" w:hAnsi="標楷體"/>
          <w:color w:val="000000"/>
        </w:rPr>
        <w:t xml:space="preserve">     Doloc)且每日處方不超過2粒者，可用於18歲以上之病患。</w:t>
      </w:r>
    </w:p>
    <w:p w14:paraId="5F74A77B" w14:textId="77777777" w:rsidR="00BD776B" w:rsidRDefault="00DF0C24">
      <w:pPr>
        <w:ind w:left="1106" w:hanging="454"/>
        <w:rPr>
          <w:rFonts w:ascii="標楷體" w:eastAsia="標楷體" w:hAnsi="標楷體"/>
          <w:color w:val="000000"/>
        </w:rPr>
      </w:pPr>
      <w:r>
        <w:rPr>
          <w:rFonts w:ascii="標楷體" w:eastAsia="標楷體" w:hAnsi="標楷體"/>
          <w:color w:val="000000"/>
        </w:rPr>
        <w:t xml:space="preserve"> (2)類風濕性關節炎、僵直性脊髓炎、乾癬性關節炎等慢性病發炎性關 節病變，需長期使用非類固醇抗發炎劑者。</w:t>
      </w:r>
    </w:p>
    <w:p w14:paraId="1949FD1E" w14:textId="77777777" w:rsidR="00BD776B" w:rsidRDefault="00DF0C24">
      <w:pPr>
        <w:ind w:left="1134" w:hanging="341"/>
        <w:rPr>
          <w:rFonts w:ascii="標楷體" w:eastAsia="標楷體" w:hAnsi="標楷體"/>
          <w:color w:val="000000"/>
        </w:rPr>
      </w:pPr>
      <w:r>
        <w:rPr>
          <w:rFonts w:ascii="標楷體" w:eastAsia="標楷體" w:hAnsi="標楷體"/>
          <w:color w:val="000000"/>
        </w:rPr>
        <w:t>(3)合併有急性嚴重創傷、急性中風及急性心血管事件者 (97/2/1)</w:t>
      </w:r>
    </w:p>
    <w:p w14:paraId="46801CCC" w14:textId="77777777" w:rsidR="00BD776B" w:rsidRDefault="00DF0C24">
      <w:pPr>
        <w:ind w:left="1134" w:hanging="341"/>
        <w:rPr>
          <w:rFonts w:ascii="標楷體" w:eastAsia="標楷體" w:hAnsi="標楷體"/>
          <w:color w:val="000000"/>
        </w:rPr>
      </w:pPr>
      <w:r>
        <w:rPr>
          <w:rFonts w:ascii="標楷體" w:eastAsia="標楷體" w:hAnsi="標楷體"/>
          <w:color w:val="000000"/>
        </w:rPr>
        <w:t>(4)同時併有腎上腺類固醇之患者。</w:t>
      </w:r>
    </w:p>
    <w:p w14:paraId="3BDDA117" w14:textId="77777777" w:rsidR="00BD776B" w:rsidRDefault="00DF0C24">
      <w:pPr>
        <w:ind w:left="1134" w:hanging="341"/>
        <w:rPr>
          <w:rFonts w:ascii="標楷體" w:eastAsia="標楷體" w:hAnsi="標楷體"/>
          <w:color w:val="000000"/>
        </w:rPr>
      </w:pPr>
      <w:r>
        <w:rPr>
          <w:rFonts w:ascii="標楷體" w:eastAsia="標楷體" w:hAnsi="標楷體"/>
          <w:color w:val="000000"/>
        </w:rPr>
        <w:t>(5)曾有消化性潰瘍、上消化道出血或胃穿孔病史者。</w:t>
      </w:r>
    </w:p>
    <w:p w14:paraId="4079C72C" w14:textId="77777777" w:rsidR="00BD776B" w:rsidRDefault="00DF0C24">
      <w:pPr>
        <w:ind w:left="1134" w:hanging="341"/>
        <w:rPr>
          <w:rFonts w:ascii="標楷體" w:eastAsia="標楷體" w:hAnsi="標楷體"/>
          <w:color w:val="000000"/>
        </w:rPr>
      </w:pPr>
      <w:r>
        <w:rPr>
          <w:rFonts w:ascii="標楷體" w:eastAsia="標楷體" w:hAnsi="標楷體"/>
          <w:color w:val="000000"/>
        </w:rPr>
        <w:t>(6)同時併有抗擬血劑者。</w:t>
      </w:r>
    </w:p>
    <w:p w14:paraId="1ADAB855" w14:textId="77777777" w:rsidR="00BD776B" w:rsidRDefault="00DF0C24">
      <w:pPr>
        <w:ind w:left="1134" w:hanging="341"/>
        <w:rPr>
          <w:rFonts w:ascii="標楷體" w:eastAsia="標楷體" w:hAnsi="標楷體"/>
          <w:color w:val="000000"/>
        </w:rPr>
      </w:pPr>
      <w:r>
        <w:rPr>
          <w:rFonts w:ascii="標楷體" w:eastAsia="標楷體" w:hAnsi="標楷體"/>
          <w:color w:val="000000"/>
        </w:rPr>
        <w:t>(7)肝硬化患者。</w:t>
      </w:r>
    </w:p>
    <w:p w14:paraId="53DE4415" w14:textId="77777777" w:rsidR="00BD776B" w:rsidRDefault="00DF0C24">
      <w:pPr>
        <w:ind w:left="910" w:hanging="341"/>
        <w:rPr>
          <w:rFonts w:ascii="標楷體" w:eastAsia="標楷體" w:hAnsi="標楷體"/>
          <w:color w:val="000000"/>
        </w:rPr>
      </w:pPr>
      <w:r>
        <w:rPr>
          <w:rFonts w:ascii="標楷體" w:eastAsia="標楷體" w:hAnsi="標楷體"/>
          <w:color w:val="000000"/>
        </w:rPr>
        <w:t>2.使用本類製劑之病患不得預防性併用乙型組織胺受體阻斷劑、氫離子幫浦阻斷劑及其他消化性潰瘍用藥，亦不得合併使用前列腺素劑（如misoprostol）</w:t>
      </w:r>
    </w:p>
    <w:p w14:paraId="10E6C41B" w14:textId="77777777" w:rsidR="00BD776B" w:rsidRDefault="00DF0C24">
      <w:pPr>
        <w:ind w:left="910" w:hanging="341"/>
        <w:rPr>
          <w:rFonts w:ascii="標楷體" w:eastAsia="標楷體" w:hAnsi="標楷體"/>
          <w:color w:val="000000"/>
        </w:rPr>
      </w:pPr>
      <w:r>
        <w:rPr>
          <w:rFonts w:ascii="標楷體" w:eastAsia="標楷體" w:hAnsi="標楷體"/>
          <w:color w:val="000000"/>
        </w:rPr>
        <w:t>3.Nimesulide限用於急性疼痛緩解，其連續處方不得超過15日(97/9/1)。</w:t>
      </w:r>
    </w:p>
    <w:p w14:paraId="7FFDF78D" w14:textId="77777777" w:rsidR="00BD776B" w:rsidRDefault="00DF0C24">
      <w:pPr>
        <w:ind w:left="811" w:hanging="245"/>
        <w:rPr>
          <w:rFonts w:ascii="標楷體" w:eastAsia="標楷體" w:hAnsi="標楷體"/>
          <w:color w:val="000000"/>
        </w:rPr>
      </w:pPr>
      <w:r>
        <w:rPr>
          <w:rFonts w:ascii="標楷體" w:eastAsia="標楷體" w:hAnsi="標楷體"/>
          <w:color w:val="000000"/>
        </w:rPr>
        <w:t>4.含naproxen及esomeprazole複方製劑不得作為急性疼痛的初始治療。(101/10/1)</w:t>
      </w:r>
    </w:p>
    <w:p w14:paraId="4D0EE1D2" w14:textId="77777777" w:rsidR="00BD776B" w:rsidRDefault="00DF0C24">
      <w:pPr>
        <w:ind w:left="993" w:hanging="657"/>
        <w:rPr>
          <w:rFonts w:ascii="標楷體" w:eastAsia="標楷體" w:hAnsi="標楷體"/>
        </w:rPr>
      </w:pPr>
      <w:r>
        <w:rPr>
          <w:rFonts w:ascii="標楷體" w:eastAsia="標楷體" w:hAnsi="標楷體"/>
        </w:rPr>
        <w:t>1.1.6.Gabapentin、lidocaine貼片劑（97/12/1、98/4/1、98/9/1、101/2/1、101/5/1、102/2/1、110/5/1）</w:t>
      </w:r>
    </w:p>
    <w:p w14:paraId="4EFA0A08" w14:textId="77777777" w:rsidR="00BD776B" w:rsidRDefault="00DF0C24">
      <w:pPr>
        <w:ind w:left="798" w:hanging="1"/>
        <w:rPr>
          <w:rFonts w:ascii="標楷體" w:eastAsia="標楷體" w:hAnsi="標楷體"/>
          <w:color w:val="000000"/>
        </w:rPr>
      </w:pPr>
      <w:r>
        <w:rPr>
          <w:rFonts w:ascii="標楷體" w:eastAsia="標楷體" w:hAnsi="標楷體"/>
          <w:color w:val="000000"/>
        </w:rPr>
        <w:t>限使用於帶狀疱疹皮膚病灶後神經痛，並符合下列條件：</w:t>
      </w:r>
    </w:p>
    <w:p w14:paraId="695FBF74" w14:textId="77777777" w:rsidR="00BD776B" w:rsidRDefault="00DF0C24">
      <w:pPr>
        <w:ind w:left="811" w:hanging="245"/>
        <w:rPr>
          <w:rFonts w:ascii="標楷體" w:eastAsia="標楷體" w:hAnsi="標楷體"/>
          <w:color w:val="000000"/>
        </w:rPr>
      </w:pPr>
      <w:r>
        <w:rPr>
          <w:rFonts w:ascii="標楷體" w:eastAsia="標楷體" w:hAnsi="標楷體"/>
          <w:color w:val="000000"/>
        </w:rPr>
        <w:t>1.使用其他止痛劑或非類固醇抗發炎劑（NSAIDs）藥品治療後仍無法控制疼痛或有嚴重副作用者。(97/12/1、98/4/1)</w:t>
      </w:r>
    </w:p>
    <w:p w14:paraId="1940AA39" w14:textId="77777777" w:rsidR="00BD776B" w:rsidRDefault="00DF0C24">
      <w:pPr>
        <w:ind w:left="811" w:hanging="245"/>
        <w:rPr>
          <w:rFonts w:ascii="標楷體" w:eastAsia="標楷體" w:hAnsi="標楷體"/>
          <w:color w:val="000000"/>
        </w:rPr>
      </w:pPr>
      <w:r>
        <w:rPr>
          <w:rFonts w:ascii="標楷體" w:eastAsia="標楷體" w:hAnsi="標楷體"/>
          <w:color w:val="000000"/>
        </w:rPr>
        <w:t>2.Gabapentin成分口服製劑，限每日最大劑量為3,600mg，且日劑量超過2,400mg時，需於病歷記載理由。臨床症狀改善，應逐步調低劑量。 (97/12/1、98/4/1、98/9/1、101/5/1)</w:t>
      </w:r>
    </w:p>
    <w:p w14:paraId="60CF0174" w14:textId="77777777" w:rsidR="00BD776B" w:rsidRDefault="00DF0C24">
      <w:pPr>
        <w:ind w:left="811" w:hanging="245"/>
        <w:rPr>
          <w:rFonts w:ascii="標楷體" w:eastAsia="標楷體" w:hAnsi="標楷體"/>
          <w:color w:val="000000"/>
        </w:rPr>
      </w:pPr>
      <w:r>
        <w:rPr>
          <w:rFonts w:ascii="標楷體" w:eastAsia="標楷體" w:hAnsi="標楷體"/>
          <w:color w:val="000000"/>
        </w:rPr>
        <w:t>3.Lidocaine貼片劑：（98/9/1、110/5/1）</w:t>
      </w:r>
    </w:p>
    <w:p w14:paraId="0077BA8D" w14:textId="77777777" w:rsidR="00BD776B" w:rsidRDefault="00DF0C24">
      <w:pPr>
        <w:ind w:left="1078" w:hanging="370"/>
        <w:rPr>
          <w:rFonts w:ascii="標楷體" w:eastAsia="標楷體" w:hAnsi="標楷體"/>
          <w:color w:val="000000"/>
        </w:rPr>
      </w:pPr>
      <w:r>
        <w:rPr>
          <w:rFonts w:ascii="標楷體" w:eastAsia="標楷體" w:hAnsi="標楷體"/>
          <w:color w:val="000000"/>
        </w:rPr>
        <w:t>(1)限每日最大劑量為3片，且日劑量超過2片時，需於病歷記載理由。臨床症狀改善，應逐步調低劑量。（98/9/1、110/5/1）</w:t>
      </w:r>
    </w:p>
    <w:p w14:paraId="0C3C6CEC" w14:textId="77777777" w:rsidR="00BD776B" w:rsidRDefault="00DF0C24">
      <w:pPr>
        <w:ind w:left="1049" w:hanging="341"/>
      </w:pPr>
      <w:r>
        <w:rPr>
          <w:rFonts w:ascii="標楷體" w:eastAsia="標楷體" w:hAnsi="標楷體"/>
          <w:color w:val="000000"/>
        </w:rPr>
        <w:t>(2)</w:t>
      </w:r>
      <w:r>
        <w:t xml:space="preserve"> </w:t>
      </w:r>
      <w:r>
        <w:rPr>
          <w:rFonts w:ascii="標楷體" w:eastAsia="標楷體" w:hAnsi="標楷體"/>
          <w:color w:val="000000"/>
        </w:rPr>
        <w:t>Lidocaine貼片劑不得與gabapentin或pregabalin成分口服製劑併用。（101/2/1、110/5/1）</w:t>
      </w:r>
    </w:p>
    <w:p w14:paraId="052B47F8" w14:textId="4DB02A3C" w:rsidR="00BD776B" w:rsidRDefault="00DF0C24">
      <w:pPr>
        <w:ind w:left="672" w:hanging="386"/>
        <w:rPr>
          <w:rFonts w:ascii="標楷體" w:eastAsia="標楷體" w:hAnsi="標楷體"/>
        </w:rPr>
      </w:pPr>
      <w:r>
        <w:rPr>
          <w:rFonts w:ascii="標楷體" w:eastAsia="標楷體" w:hAnsi="標楷體"/>
        </w:rPr>
        <w:t>1.1.7.Pregabalin（101/2/1、102/2/1、105/1/1、106/3/1、109/5/1</w:t>
      </w:r>
      <w:r w:rsidR="005B5643">
        <w:rPr>
          <w:rFonts w:ascii="標楷體" w:eastAsia="標楷體" w:hAnsi="標楷體" w:hint="eastAsia"/>
        </w:rPr>
        <w:t>、113/12/1</w:t>
      </w:r>
      <w:r>
        <w:rPr>
          <w:rFonts w:ascii="標楷體" w:eastAsia="標楷體" w:hAnsi="標楷體"/>
        </w:rPr>
        <w:t>）</w:t>
      </w:r>
    </w:p>
    <w:p w14:paraId="6874B6D7" w14:textId="77777777" w:rsidR="00BD776B" w:rsidRDefault="00DF0C24">
      <w:pPr>
        <w:ind w:left="811" w:hanging="245"/>
        <w:rPr>
          <w:rFonts w:ascii="標楷體" w:eastAsia="標楷體" w:hAnsi="標楷體"/>
        </w:rPr>
      </w:pPr>
      <w:r>
        <w:rPr>
          <w:rFonts w:ascii="標楷體" w:eastAsia="標楷體" w:hAnsi="標楷體"/>
        </w:rPr>
        <w:t>1.使用於帶狀疱疹皮膚病灶後神經痛，並符合下列條件：</w:t>
      </w:r>
    </w:p>
    <w:p w14:paraId="60975213" w14:textId="77777777" w:rsidR="00BD776B" w:rsidRDefault="00DF0C24">
      <w:pPr>
        <w:tabs>
          <w:tab w:val="left" w:pos="709"/>
        </w:tabs>
        <w:ind w:left="1049" w:hanging="341"/>
        <w:rPr>
          <w:rFonts w:ascii="標楷體" w:eastAsia="標楷體" w:hAnsi="標楷體"/>
        </w:rPr>
      </w:pPr>
      <w:r>
        <w:rPr>
          <w:rFonts w:ascii="標楷體" w:eastAsia="標楷體" w:hAnsi="標楷體"/>
        </w:rPr>
        <w:t>(1)經使用其他止痛劑或非類固醇抗發炎劑（NSAIDs）藥品治療後仍無法控制疼痛或有嚴重副作用者。(97/12/1、98/4/1)</w:t>
      </w:r>
    </w:p>
    <w:p w14:paraId="28347DB8" w14:textId="77777777" w:rsidR="00BD776B" w:rsidRDefault="00DF0C24">
      <w:pPr>
        <w:ind w:left="1049" w:hanging="341"/>
        <w:rPr>
          <w:rFonts w:ascii="標楷體" w:eastAsia="標楷體" w:hAnsi="標楷體"/>
        </w:rPr>
      </w:pPr>
      <w:r>
        <w:rPr>
          <w:rFonts w:ascii="標楷體" w:eastAsia="標楷體" w:hAnsi="標楷體"/>
        </w:rPr>
        <w:t>(2)每日最大劑量為600mg。</w:t>
      </w:r>
    </w:p>
    <w:p w14:paraId="00C7B505" w14:textId="77777777" w:rsidR="00BD776B" w:rsidRDefault="00DF0C24">
      <w:pPr>
        <w:ind w:left="811" w:hanging="245"/>
        <w:rPr>
          <w:rFonts w:ascii="標楷體" w:eastAsia="標楷體" w:hAnsi="標楷體"/>
        </w:rPr>
      </w:pPr>
      <w:r>
        <w:rPr>
          <w:rFonts w:ascii="標楷體" w:eastAsia="標楷體" w:hAnsi="標楷體"/>
        </w:rPr>
        <w:t>2.使用於纖維肌痛(fibromyalgia)</w:t>
      </w:r>
    </w:p>
    <w:p w14:paraId="087824A3" w14:textId="77777777" w:rsidR="00BD776B" w:rsidRDefault="00DF0C24">
      <w:pPr>
        <w:ind w:left="1049" w:hanging="341"/>
        <w:rPr>
          <w:rFonts w:ascii="標楷體" w:eastAsia="標楷體" w:hAnsi="標楷體"/>
        </w:rPr>
      </w:pPr>
      <w:r>
        <w:rPr>
          <w:rFonts w:ascii="標楷體" w:eastAsia="標楷體" w:hAnsi="標楷體"/>
        </w:rPr>
        <w:t>(1)需符合American College of Rheumatology (ACR)及臨床試驗實證纖維肌痛診斷標準：</w:t>
      </w:r>
    </w:p>
    <w:p w14:paraId="04222DF4" w14:textId="77777777" w:rsidR="00BD776B" w:rsidRDefault="00DF0C24">
      <w:pPr>
        <w:ind w:left="1414" w:hanging="336"/>
        <w:rPr>
          <w:rFonts w:ascii="標楷體" w:eastAsia="標楷體" w:hAnsi="標楷體"/>
        </w:rPr>
      </w:pPr>
      <w:r>
        <w:rPr>
          <w:rFonts w:ascii="標楷體" w:eastAsia="標楷體" w:hAnsi="標楷體"/>
        </w:rPr>
        <w:t xml:space="preserve">Ⅰ.WPI(wide spread pain index)≧7、Symptom severity (SS)≧5且pain </w:t>
      </w:r>
      <w:r>
        <w:rPr>
          <w:rFonts w:ascii="標楷體" w:eastAsia="標楷體" w:hAnsi="標楷體"/>
        </w:rPr>
        <w:lastRenderedPageBreak/>
        <w:t>rating scale≧6分或WPI 3-6、SS scale≧9且pain rating scale≧6分。</w:t>
      </w:r>
    </w:p>
    <w:p w14:paraId="2E49931D" w14:textId="77777777" w:rsidR="00BD776B" w:rsidRDefault="00DF0C24">
      <w:pPr>
        <w:ind w:left="1414" w:hanging="336"/>
        <w:rPr>
          <w:rFonts w:ascii="標楷體" w:eastAsia="標楷體" w:hAnsi="標楷體"/>
        </w:rPr>
      </w:pPr>
      <w:r>
        <w:rPr>
          <w:rFonts w:ascii="標楷體" w:eastAsia="標楷體" w:hAnsi="標楷體"/>
        </w:rPr>
        <w:t>Ⅱ.症狀持續超過三個月。</w:t>
      </w:r>
    </w:p>
    <w:p w14:paraId="579D9AD6" w14:textId="77777777" w:rsidR="00BD776B" w:rsidRDefault="00DF0C24">
      <w:pPr>
        <w:ind w:left="1414" w:hanging="336"/>
        <w:rPr>
          <w:rFonts w:ascii="標楷體" w:eastAsia="標楷體" w:hAnsi="標楷體"/>
        </w:rPr>
      </w:pPr>
      <w:r>
        <w:rPr>
          <w:rFonts w:ascii="標楷體" w:eastAsia="標楷體" w:hAnsi="標楷體"/>
        </w:rPr>
        <w:t>Ⅲ.應排除其他疾病因素，並於病歷詳載。</w:t>
      </w:r>
    </w:p>
    <w:p w14:paraId="5529C911" w14:textId="45AA040A" w:rsidR="0008533F" w:rsidRDefault="00DF0C24">
      <w:pPr>
        <w:ind w:left="1049" w:hanging="341"/>
        <w:rPr>
          <w:rFonts w:ascii="標楷體" w:eastAsia="標楷體" w:hAnsi="標楷體"/>
        </w:rPr>
      </w:pPr>
      <w:r>
        <w:rPr>
          <w:rFonts w:ascii="標楷體" w:eastAsia="標楷體" w:hAnsi="標楷體"/>
        </w:rPr>
        <w:t>(2)</w:t>
      </w:r>
      <w:r w:rsidR="0008533F" w:rsidRPr="0008533F">
        <w:rPr>
          <w:rFonts w:hint="eastAsia"/>
        </w:rPr>
        <w:t xml:space="preserve"> </w:t>
      </w:r>
      <w:r w:rsidR="0008533F" w:rsidRPr="0008533F">
        <w:rPr>
          <w:rFonts w:ascii="標楷體" w:eastAsia="標楷體" w:hAnsi="標楷體" w:hint="eastAsia"/>
        </w:rPr>
        <w:t>處方醫師資格：(106/3/1、113/12/1)</w:t>
      </w:r>
    </w:p>
    <w:p w14:paraId="07A77CC2" w14:textId="2A7212C6" w:rsidR="0008533F" w:rsidRDefault="0008533F" w:rsidP="0008533F">
      <w:pPr>
        <w:ind w:left="1414" w:hanging="336"/>
        <w:rPr>
          <w:rFonts w:ascii="標楷體" w:eastAsia="標楷體" w:hAnsi="標楷體"/>
        </w:rPr>
      </w:pPr>
      <w:r w:rsidRPr="0008533F">
        <w:rPr>
          <w:rFonts w:ascii="標楷體" w:eastAsia="標楷體" w:hAnsi="標楷體" w:hint="eastAsia"/>
        </w:rPr>
        <w:t>Ⅰ.限風濕免疫科、神經內科、復健科、疼痛專科及精神科醫師使用，不得併用同適應症之他類藥品。(106/3/1)</w:t>
      </w:r>
    </w:p>
    <w:p w14:paraId="4B698722" w14:textId="77EDEFE9" w:rsidR="0008533F" w:rsidRDefault="0008533F" w:rsidP="0008533F">
      <w:pPr>
        <w:ind w:left="1414" w:hanging="336"/>
        <w:rPr>
          <w:rFonts w:ascii="標楷體" w:eastAsia="標楷體" w:hAnsi="標楷體"/>
        </w:rPr>
      </w:pPr>
      <w:r>
        <w:rPr>
          <w:rFonts w:ascii="標楷體" w:eastAsia="標楷體" w:hAnsi="標楷體"/>
        </w:rPr>
        <w:t>Ⅱ.</w:t>
      </w:r>
      <w:r w:rsidRPr="0008533F">
        <w:rPr>
          <w:rFonts w:ascii="標楷體" w:eastAsia="標楷體" w:hAnsi="標楷體" w:hint="eastAsia"/>
        </w:rPr>
        <w:t>全民健保公告之醫療資源不足地區及山地離島地區之就醫病人，倘其前經風濕免疫科、神經內科、復健科、疼痛專科及精神科醫師評估診斷符合規定開立過處方並檢附相關診斷證明資料，得由當地醫師處方，並於病歷詳細記載，但不得併用同適應症之他類藥品。(113/12/1)</w:t>
      </w:r>
    </w:p>
    <w:p w14:paraId="7E19AA5D" w14:textId="4E8E2C66" w:rsidR="0008533F" w:rsidRDefault="0008533F" w:rsidP="0008533F">
      <w:pPr>
        <w:ind w:left="1414" w:hanging="336"/>
        <w:rPr>
          <w:rFonts w:ascii="標楷體" w:eastAsia="標楷體" w:hAnsi="標楷體"/>
        </w:rPr>
      </w:pPr>
      <w:r>
        <w:rPr>
          <w:rFonts w:ascii="標楷體" w:eastAsia="標楷體" w:hAnsi="標楷體"/>
        </w:rPr>
        <w:t>Ⅲ.</w:t>
      </w:r>
      <w:r w:rsidRPr="0008533F">
        <w:rPr>
          <w:rFonts w:ascii="標楷體" w:eastAsia="標楷體" w:hAnsi="標楷體" w:hint="eastAsia"/>
        </w:rPr>
        <w:t>全民健保公告之醫療資源不足地區及山地離島地區之就醫病人初次診斷，倘符合「全民健康保險遠距醫療給付計畫」，由當地醫師以視訊方式與風濕免疫科、神經內科、復健科、疼痛專科及精神科醫師共同診察，經評估診斷符合規定開立處方，並檢附相關診斷證明資料，得由當地醫師開立處方，並於病歷詳細記載，但不得併用同適應症之他類藥品。(113/12/1)</w:t>
      </w:r>
    </w:p>
    <w:p w14:paraId="2FCAEA15" w14:textId="23CCECDC" w:rsidR="00BD776B" w:rsidRDefault="00DF0C24" w:rsidP="0008533F">
      <w:pPr>
        <w:ind w:left="1049" w:hanging="341"/>
        <w:rPr>
          <w:rFonts w:ascii="標楷體" w:eastAsia="標楷體" w:hAnsi="標楷體"/>
        </w:rPr>
      </w:pPr>
      <w:r>
        <w:rPr>
          <w:rFonts w:ascii="標楷體" w:eastAsia="標楷體" w:hAnsi="標楷體"/>
        </w:rPr>
        <w:t>(3)如使用3個月後pain rating scale未減少2分以上應予停藥。</w:t>
      </w:r>
    </w:p>
    <w:p w14:paraId="1682E67F" w14:textId="77777777" w:rsidR="00BD776B" w:rsidRDefault="00DF0C24">
      <w:pPr>
        <w:ind w:left="1049" w:hanging="341"/>
        <w:rPr>
          <w:rFonts w:ascii="標楷體" w:eastAsia="標楷體" w:hAnsi="標楷體"/>
        </w:rPr>
      </w:pPr>
      <w:r>
        <w:rPr>
          <w:rFonts w:ascii="標楷體" w:eastAsia="標楷體" w:hAnsi="標楷體"/>
        </w:rPr>
        <w:t>(4)病歷每3個月應記載一次評估結果，每日最大劑量為450mg。</w:t>
      </w:r>
    </w:p>
    <w:p w14:paraId="36D158D3" w14:textId="77777777" w:rsidR="00BD776B" w:rsidRDefault="00DF0C24">
      <w:pPr>
        <w:ind w:left="849" w:hanging="283"/>
        <w:rPr>
          <w:rFonts w:ascii="標楷體" w:eastAsia="標楷體" w:hAnsi="標楷體"/>
        </w:rPr>
      </w:pPr>
      <w:r>
        <w:rPr>
          <w:rFonts w:ascii="標楷體" w:eastAsia="標楷體" w:hAnsi="標楷體"/>
        </w:rPr>
        <w:t>3.使用於糖尿病併發周邊神經病變並具有臨床神經疼痛 (neuropathic pain)，且符合以下條件(105/1/1):</w:t>
      </w:r>
    </w:p>
    <w:p w14:paraId="18496375" w14:textId="77777777" w:rsidR="00BD776B" w:rsidRDefault="00DF0C24">
      <w:pPr>
        <w:ind w:left="1076" w:hanging="370"/>
        <w:rPr>
          <w:rFonts w:ascii="標楷體" w:eastAsia="標楷體" w:hAnsi="標楷體"/>
        </w:rPr>
      </w:pPr>
      <w:r>
        <w:rPr>
          <w:rFonts w:ascii="標楷體" w:eastAsia="標楷體" w:hAnsi="標楷體"/>
        </w:rPr>
        <w:t>(1)經神經科專科醫師診斷或經神經傳導(NCV) 檢查證實之多發性神經病變(polyneuropathy)。</w:t>
      </w:r>
    </w:p>
    <w:p w14:paraId="527939F2" w14:textId="77777777" w:rsidR="00BD776B" w:rsidRDefault="00DF0C24">
      <w:pPr>
        <w:ind w:left="1076" w:hanging="370"/>
        <w:rPr>
          <w:rFonts w:ascii="標楷體" w:eastAsia="標楷體" w:hAnsi="標楷體"/>
        </w:rPr>
      </w:pPr>
      <w:r>
        <w:rPr>
          <w:rFonts w:ascii="標楷體" w:eastAsia="標楷體" w:hAnsi="標楷體"/>
        </w:rPr>
        <w:t>(2)Pain rating scale≧4分。</w:t>
      </w:r>
    </w:p>
    <w:p w14:paraId="0FB0ECD5" w14:textId="77777777" w:rsidR="00BD776B" w:rsidRDefault="00DF0C24">
      <w:pPr>
        <w:ind w:left="1076" w:hanging="370"/>
        <w:rPr>
          <w:rFonts w:ascii="標楷體" w:eastAsia="標楷體" w:hAnsi="標楷體"/>
        </w:rPr>
      </w:pPr>
      <w:r>
        <w:rPr>
          <w:rFonts w:ascii="標楷體" w:eastAsia="標楷體" w:hAnsi="標楷體"/>
        </w:rPr>
        <w:t>(3)不得併用同類適應症之藥品。</w:t>
      </w:r>
    </w:p>
    <w:p w14:paraId="117A5AC8" w14:textId="77777777" w:rsidR="00BD776B" w:rsidRDefault="00DF0C24">
      <w:pPr>
        <w:ind w:left="1076" w:hanging="370"/>
        <w:rPr>
          <w:rFonts w:ascii="標楷體" w:eastAsia="標楷體" w:hAnsi="標楷體"/>
        </w:rPr>
      </w:pPr>
      <w:r>
        <w:rPr>
          <w:rFonts w:ascii="標楷體" w:eastAsia="標楷體" w:hAnsi="標楷體"/>
        </w:rPr>
        <w:t>(4)使用後應每3個月評估一次，並於病歷中記載評估結果，倘Pain rating scale較前一次評估之數值未改善或未持續改善，應予停止使用。</w:t>
      </w:r>
    </w:p>
    <w:p w14:paraId="1DF9755D" w14:textId="77777777" w:rsidR="00BD776B" w:rsidRDefault="00DF0C24">
      <w:pPr>
        <w:ind w:left="1076" w:hanging="370"/>
        <w:rPr>
          <w:rFonts w:ascii="標楷體" w:eastAsia="標楷體" w:hAnsi="標楷體"/>
        </w:rPr>
      </w:pPr>
      <w:r>
        <w:rPr>
          <w:rFonts w:ascii="標楷體" w:eastAsia="標楷體" w:hAnsi="標楷體"/>
        </w:rPr>
        <w:t>(5)每日最大劑量為300 mg。</w:t>
      </w:r>
    </w:p>
    <w:p w14:paraId="061827F0" w14:textId="77777777" w:rsidR="00BD776B" w:rsidRDefault="00DF0C24">
      <w:pPr>
        <w:ind w:left="849" w:hanging="283"/>
        <w:rPr>
          <w:rFonts w:ascii="標楷體" w:eastAsia="標楷體" w:hAnsi="標楷體"/>
        </w:rPr>
      </w:pPr>
      <w:r>
        <w:rPr>
          <w:rFonts w:ascii="標楷體" w:eastAsia="標楷體" w:hAnsi="標楷體"/>
        </w:rPr>
        <w:t>4.使用於脊髓損傷所引起的神經性疼痛(不包括Lyrica、Tirica、Phudialin、Suculin、Bergalin、Pregabalin "C.C.P.C."、PMS-Pregabalin、Probalin等藥品)，且符合以下條件(109/5/1):</w:t>
      </w:r>
    </w:p>
    <w:p w14:paraId="67C0C9AC" w14:textId="77777777" w:rsidR="00BD776B" w:rsidRDefault="00DF0C24">
      <w:pPr>
        <w:ind w:left="1076" w:hanging="370"/>
        <w:rPr>
          <w:rFonts w:ascii="標楷體" w:eastAsia="標楷體" w:hAnsi="標楷體"/>
        </w:rPr>
      </w:pPr>
      <w:r>
        <w:rPr>
          <w:rFonts w:ascii="標楷體" w:eastAsia="標楷體" w:hAnsi="標楷體"/>
        </w:rPr>
        <w:t>(1)經使用其他止痛劑或非類固醇抗發炎劑治療後無法控制疼痛(pain rating scale≧4)或有嚴重副作用。</w:t>
      </w:r>
    </w:p>
    <w:p w14:paraId="6A05C11F" w14:textId="77777777" w:rsidR="00BD776B" w:rsidRDefault="00DF0C24">
      <w:pPr>
        <w:ind w:left="1076" w:hanging="370"/>
        <w:rPr>
          <w:rFonts w:ascii="標楷體" w:eastAsia="標楷體" w:hAnsi="標楷體"/>
        </w:rPr>
      </w:pPr>
      <w:r>
        <w:rPr>
          <w:rFonts w:ascii="標楷體" w:eastAsia="標楷體" w:hAnsi="標楷體"/>
        </w:rPr>
        <w:t>(2)每日最大劑量為600mg。</w:t>
      </w:r>
    </w:p>
    <w:p w14:paraId="79CEA2D7" w14:textId="77777777" w:rsidR="00BD776B" w:rsidRDefault="00DF0C24">
      <w:pPr>
        <w:ind w:left="1076" w:hanging="370"/>
        <w:rPr>
          <w:rFonts w:ascii="標楷體" w:eastAsia="標楷體" w:hAnsi="標楷體"/>
        </w:rPr>
      </w:pPr>
      <w:r>
        <w:rPr>
          <w:rFonts w:ascii="標楷體" w:eastAsia="標楷體" w:hAnsi="標楷體"/>
        </w:rPr>
        <w:t>(3)不得併用同類適應症之藥品。</w:t>
      </w:r>
    </w:p>
    <w:p w14:paraId="074A177B" w14:textId="77777777" w:rsidR="00BD776B" w:rsidRDefault="00DF0C24">
      <w:pPr>
        <w:ind w:left="1076" w:hanging="370"/>
        <w:rPr>
          <w:rFonts w:ascii="標楷體" w:eastAsia="標楷體" w:hAnsi="標楷體"/>
        </w:rPr>
      </w:pPr>
      <w:r>
        <w:rPr>
          <w:rFonts w:ascii="標楷體" w:eastAsia="標楷體" w:hAnsi="標楷體"/>
        </w:rPr>
        <w:t>(4)每3個月評估一次並於病例中記載評估結果，倘pain rating scale較前次評估數值未改善或未持續改善，應予停止使用。</w:t>
      </w:r>
    </w:p>
    <w:p w14:paraId="40738973" w14:textId="6E939C76" w:rsidR="00BD776B" w:rsidRDefault="00DF0C24">
      <w:pPr>
        <w:ind w:left="706" w:hanging="425"/>
        <w:rPr>
          <w:rFonts w:ascii="標楷體" w:eastAsia="標楷體" w:hAnsi="標楷體"/>
          <w:color w:val="000000"/>
        </w:rPr>
      </w:pPr>
      <w:r>
        <w:rPr>
          <w:rFonts w:ascii="標楷體" w:eastAsia="標楷體" w:hAnsi="標楷體"/>
          <w:color w:val="000000"/>
        </w:rPr>
        <w:t>1.1.8.Duloxetine（如Cymbalta）：(102/8/1、105/2/1</w:t>
      </w:r>
      <w:r w:rsidR="007A3721">
        <w:rPr>
          <w:rFonts w:ascii="標楷體" w:eastAsia="標楷體" w:hAnsi="標楷體" w:hint="eastAsia"/>
          <w:color w:val="000000"/>
        </w:rPr>
        <w:t>、113/12/1</w:t>
      </w:r>
      <w:r>
        <w:rPr>
          <w:rFonts w:ascii="標楷體" w:eastAsia="標楷體" w:hAnsi="標楷體"/>
          <w:color w:val="000000"/>
        </w:rPr>
        <w:t>)</w:t>
      </w:r>
    </w:p>
    <w:p w14:paraId="2B6CCA5C" w14:textId="77777777" w:rsidR="00BD776B" w:rsidRDefault="00DF0C24">
      <w:pPr>
        <w:ind w:left="825" w:hanging="254"/>
        <w:rPr>
          <w:rFonts w:ascii="標楷體" w:eastAsia="標楷體" w:hAnsi="標楷體"/>
          <w:color w:val="000000"/>
        </w:rPr>
      </w:pPr>
      <w:r>
        <w:rPr>
          <w:rFonts w:ascii="標楷體" w:eastAsia="標楷體" w:hAnsi="標楷體"/>
          <w:color w:val="000000"/>
        </w:rPr>
        <w:t>1.使用於糖尿病併發周邊神經病變並具有臨床神經疼痛 (neuropathic pain)，且符合以下條件:</w:t>
      </w:r>
    </w:p>
    <w:p w14:paraId="079BED23" w14:textId="77777777" w:rsidR="00BD776B" w:rsidRDefault="00DF0C24">
      <w:pPr>
        <w:ind w:left="1102" w:hanging="396"/>
        <w:rPr>
          <w:rFonts w:ascii="標楷體" w:eastAsia="標楷體" w:hAnsi="標楷體"/>
          <w:color w:val="000000"/>
        </w:rPr>
      </w:pPr>
      <w:r>
        <w:rPr>
          <w:rFonts w:ascii="標楷體" w:eastAsia="標楷體" w:hAnsi="標楷體"/>
          <w:color w:val="000000"/>
        </w:rPr>
        <w:t>(1)經神經科專科醫師診斷或經神經傳導(NCV) 檢查證實之多發性神經病變(polyneuropathy)。</w:t>
      </w:r>
    </w:p>
    <w:p w14:paraId="03E516A9" w14:textId="77777777" w:rsidR="00BD776B" w:rsidRDefault="00DF0C24">
      <w:pPr>
        <w:ind w:left="1102" w:hanging="396"/>
        <w:rPr>
          <w:rFonts w:ascii="標楷體" w:eastAsia="標楷體" w:hAnsi="標楷體"/>
          <w:color w:val="000000"/>
        </w:rPr>
      </w:pPr>
      <w:r>
        <w:rPr>
          <w:rFonts w:ascii="標楷體" w:eastAsia="標楷體" w:hAnsi="標楷體"/>
          <w:color w:val="000000"/>
        </w:rPr>
        <w:lastRenderedPageBreak/>
        <w:t>(2)Pain rating scale≧4分。</w:t>
      </w:r>
    </w:p>
    <w:p w14:paraId="06A2F4B1" w14:textId="77777777" w:rsidR="00BD776B" w:rsidRDefault="00DF0C24">
      <w:pPr>
        <w:ind w:left="1133" w:hanging="425"/>
        <w:rPr>
          <w:rFonts w:ascii="標楷體" w:eastAsia="標楷體" w:hAnsi="標楷體"/>
          <w:color w:val="000000"/>
        </w:rPr>
      </w:pPr>
      <w:r>
        <w:rPr>
          <w:rFonts w:ascii="標楷體" w:eastAsia="標楷體" w:hAnsi="標楷體"/>
          <w:color w:val="000000"/>
        </w:rPr>
        <w:t>(3)不得併用同類適應症之藥品。</w:t>
      </w:r>
    </w:p>
    <w:p w14:paraId="3491CC9E" w14:textId="77777777" w:rsidR="00BD776B" w:rsidRDefault="00DF0C24">
      <w:pPr>
        <w:ind w:left="1076" w:hanging="370"/>
        <w:rPr>
          <w:rFonts w:ascii="標楷體" w:eastAsia="標楷體" w:hAnsi="標楷體"/>
          <w:color w:val="000000"/>
        </w:rPr>
      </w:pPr>
      <w:r>
        <w:rPr>
          <w:rFonts w:ascii="標楷體" w:eastAsia="標楷體" w:hAnsi="標楷體"/>
          <w:color w:val="000000"/>
        </w:rPr>
        <w:t>(4)使用後應每3個月評估一次，並於病歷中記載評估結果，倘Pain rating scale較前一次評估之數值未改善或未持續改善，應予停止使用。</w:t>
      </w:r>
    </w:p>
    <w:p w14:paraId="5863AA94" w14:textId="77777777" w:rsidR="00BD776B" w:rsidRDefault="00DF0C24">
      <w:pPr>
        <w:ind w:left="1133" w:hanging="425"/>
        <w:rPr>
          <w:rFonts w:ascii="標楷體" w:eastAsia="標楷體" w:hAnsi="標楷體"/>
          <w:color w:val="000000"/>
        </w:rPr>
      </w:pPr>
      <w:r>
        <w:rPr>
          <w:rFonts w:ascii="標楷體" w:eastAsia="標楷體" w:hAnsi="標楷體"/>
          <w:color w:val="000000"/>
        </w:rPr>
        <w:t>(5)每日最大劑量為60 mg。</w:t>
      </w:r>
    </w:p>
    <w:p w14:paraId="0293E02A" w14:textId="77777777" w:rsidR="00BD776B" w:rsidRDefault="00DF0C24">
      <w:pPr>
        <w:ind w:left="849" w:hanging="283"/>
        <w:rPr>
          <w:rFonts w:ascii="標楷體" w:eastAsia="標楷體" w:hAnsi="標楷體"/>
          <w:color w:val="000000"/>
        </w:rPr>
      </w:pPr>
      <w:r>
        <w:rPr>
          <w:rFonts w:ascii="標楷體" w:eastAsia="標楷體" w:hAnsi="標楷體"/>
          <w:color w:val="000000"/>
        </w:rPr>
        <w:t>2.使用於纖維肌痛(fibromyalgia)(105/2/1)</w:t>
      </w:r>
    </w:p>
    <w:p w14:paraId="7E0B4A0D" w14:textId="77777777" w:rsidR="00BD776B" w:rsidRDefault="00DF0C24">
      <w:pPr>
        <w:ind w:left="1102" w:hanging="396"/>
        <w:rPr>
          <w:rFonts w:ascii="標楷體" w:eastAsia="標楷體" w:hAnsi="標楷體"/>
          <w:color w:val="000000"/>
        </w:rPr>
      </w:pPr>
      <w:r>
        <w:rPr>
          <w:rFonts w:ascii="標楷體" w:eastAsia="標楷體" w:hAnsi="標楷體"/>
          <w:color w:val="000000"/>
        </w:rPr>
        <w:t>(1)需符合American College of Rheumatology (ACR)及臨床試驗實證纖維肌痛診斷標準：</w:t>
      </w:r>
    </w:p>
    <w:p w14:paraId="1224C7AB" w14:textId="77777777" w:rsidR="00BD776B" w:rsidRDefault="00DF0C24">
      <w:pPr>
        <w:ind w:left="1469" w:hanging="365"/>
        <w:rPr>
          <w:rFonts w:ascii="標楷體" w:eastAsia="標楷體" w:hAnsi="標楷體"/>
          <w:color w:val="000000"/>
        </w:rPr>
      </w:pPr>
      <w:r>
        <w:rPr>
          <w:rFonts w:ascii="標楷體" w:eastAsia="標楷體" w:hAnsi="標楷體"/>
          <w:color w:val="000000"/>
        </w:rPr>
        <w:t>Ⅰ.WPI(wide spread pain index)≧7、Symptom severity (SS)≧5且pain rating scale≧6分或WPI 3-6、SS scale≧9且pain rating scale≧6分。</w:t>
      </w:r>
    </w:p>
    <w:p w14:paraId="280CA7BD" w14:textId="77777777" w:rsidR="00BD776B" w:rsidRDefault="00DF0C24">
      <w:pPr>
        <w:ind w:left="1104"/>
        <w:rPr>
          <w:rFonts w:ascii="標楷體" w:eastAsia="標楷體" w:hAnsi="標楷體"/>
          <w:color w:val="000000"/>
        </w:rPr>
      </w:pPr>
      <w:r>
        <w:rPr>
          <w:rFonts w:ascii="標楷體" w:eastAsia="標楷體" w:hAnsi="標楷體"/>
          <w:color w:val="000000"/>
        </w:rPr>
        <w:t>Ⅱ.症狀持續超過三個月。</w:t>
      </w:r>
    </w:p>
    <w:p w14:paraId="088BD57B" w14:textId="77777777" w:rsidR="00BD776B" w:rsidRDefault="00DF0C24">
      <w:pPr>
        <w:ind w:left="1104"/>
        <w:rPr>
          <w:rFonts w:ascii="標楷體" w:eastAsia="標楷體" w:hAnsi="標楷體"/>
          <w:color w:val="000000"/>
        </w:rPr>
      </w:pPr>
      <w:r>
        <w:rPr>
          <w:rFonts w:ascii="標楷體" w:eastAsia="標楷體" w:hAnsi="標楷體"/>
          <w:color w:val="000000"/>
        </w:rPr>
        <w:t>Ⅲ.應排除其他疾病因素，並於病歷詳載。</w:t>
      </w:r>
    </w:p>
    <w:p w14:paraId="31F295DF" w14:textId="3FD90664" w:rsidR="003A43FF" w:rsidRDefault="00DF0C24">
      <w:pPr>
        <w:ind w:left="1102" w:hanging="396"/>
        <w:rPr>
          <w:rFonts w:ascii="標楷體" w:eastAsia="標楷體" w:hAnsi="標楷體"/>
          <w:color w:val="000000"/>
        </w:rPr>
      </w:pPr>
      <w:r>
        <w:rPr>
          <w:rFonts w:ascii="標楷體" w:eastAsia="標楷體" w:hAnsi="標楷體"/>
          <w:color w:val="000000"/>
        </w:rPr>
        <w:t>(2)</w:t>
      </w:r>
      <w:r w:rsidR="003A43FF" w:rsidRPr="003A43FF">
        <w:rPr>
          <w:rFonts w:ascii="標楷體" w:eastAsia="標楷體" w:hAnsi="標楷體" w:hint="eastAsia"/>
          <w:color w:val="000000"/>
        </w:rPr>
        <w:t>處方醫師資格：(105/2/1、113/12/1)</w:t>
      </w:r>
    </w:p>
    <w:p w14:paraId="77897EA9" w14:textId="7A275D40" w:rsidR="00BD776B" w:rsidRDefault="003A43FF" w:rsidP="003A43FF">
      <w:pPr>
        <w:ind w:left="1469" w:hanging="365"/>
        <w:rPr>
          <w:rFonts w:ascii="標楷體" w:eastAsia="標楷體" w:hAnsi="標楷體"/>
          <w:color w:val="000000"/>
        </w:rPr>
      </w:pPr>
      <w:r w:rsidRPr="003A43FF">
        <w:rPr>
          <w:rFonts w:ascii="標楷體" w:eastAsia="標楷體" w:hAnsi="標楷體" w:hint="eastAsia"/>
          <w:color w:val="000000"/>
        </w:rPr>
        <w:t>Ⅰ.</w:t>
      </w:r>
      <w:r w:rsidR="00DF0C24">
        <w:rPr>
          <w:rFonts w:ascii="標楷體" w:eastAsia="標楷體" w:hAnsi="標楷體"/>
          <w:color w:val="000000"/>
        </w:rPr>
        <w:t>限風濕免疫科、神經內科、復健科、疼痛專科及精神科醫師使用，不得併用同適應症之</w:t>
      </w:r>
      <w:r>
        <w:rPr>
          <w:rFonts w:ascii="標楷體" w:eastAsia="標楷體" w:hAnsi="標楷體" w:hint="eastAsia"/>
          <w:color w:val="000000"/>
        </w:rPr>
        <w:t>他</w:t>
      </w:r>
      <w:r w:rsidR="00DF0C24">
        <w:rPr>
          <w:rFonts w:ascii="標楷體" w:eastAsia="標楷體" w:hAnsi="標楷體"/>
          <w:color w:val="000000"/>
        </w:rPr>
        <w:t>類藥品。</w:t>
      </w:r>
    </w:p>
    <w:p w14:paraId="53316A31" w14:textId="0E2D9B00" w:rsidR="003A43FF" w:rsidRDefault="003A43FF" w:rsidP="003A43FF">
      <w:pPr>
        <w:ind w:left="1469" w:hanging="365"/>
        <w:rPr>
          <w:rFonts w:ascii="標楷體" w:eastAsia="標楷體" w:hAnsi="標楷體"/>
          <w:color w:val="000000"/>
        </w:rPr>
      </w:pPr>
      <w:r>
        <w:rPr>
          <w:rFonts w:ascii="標楷體" w:eastAsia="標楷體" w:hAnsi="標楷體"/>
          <w:color w:val="000000"/>
        </w:rPr>
        <w:t>Ⅱ.</w:t>
      </w:r>
      <w:r w:rsidRPr="003A43FF">
        <w:rPr>
          <w:rFonts w:ascii="標楷體" w:eastAsia="標楷體" w:hAnsi="標楷體" w:hint="eastAsia"/>
          <w:color w:val="000000"/>
        </w:rPr>
        <w:t>全民健保公告之醫療資源不足地區及山地離島地區之就醫病人，倘其前經風濕免疫科、神經內科、復健科、疼痛專科及精神科醫師評估診斷符合規定開立過處方並檢附相關診斷證明資料，得由當地醫師處方，並於病歷詳細記載，但不得併用同適應症之他類藥品。 (113/12/1)</w:t>
      </w:r>
    </w:p>
    <w:p w14:paraId="069FFAD6" w14:textId="18B2DC4B" w:rsidR="003A43FF" w:rsidRPr="003A43FF" w:rsidRDefault="003A43FF" w:rsidP="003A43FF">
      <w:pPr>
        <w:ind w:left="1469" w:hanging="365"/>
        <w:rPr>
          <w:rFonts w:ascii="標楷體" w:eastAsia="標楷體" w:hAnsi="標楷體"/>
          <w:color w:val="000000"/>
        </w:rPr>
      </w:pPr>
      <w:r>
        <w:rPr>
          <w:rFonts w:ascii="標楷體" w:eastAsia="標楷體" w:hAnsi="標楷體"/>
          <w:color w:val="000000"/>
        </w:rPr>
        <w:t>Ⅲ.</w:t>
      </w:r>
      <w:r w:rsidRPr="003A43FF">
        <w:rPr>
          <w:rFonts w:ascii="標楷體" w:eastAsia="標楷體" w:hAnsi="標楷體" w:hint="eastAsia"/>
          <w:color w:val="000000"/>
        </w:rPr>
        <w:t>全民健保公告之醫療資源不足地區及山地離島地區之就醫病人初次診斷，倘符合「全民健康保險遠距醫療給付計畫」，由當地醫師以視訊方式與風濕免疫科、神經內科、復健科、疼痛專科及精神科醫師共同診察，經評估診斷符合規定開立處方，並檢附相關診斷證明資料，得由當地醫師開立處方，並於病歷詳細記載，但不得併用同適應症之他類藥品。(113/12/1)</w:t>
      </w:r>
    </w:p>
    <w:p w14:paraId="70CD1553" w14:textId="77777777" w:rsidR="00BD776B" w:rsidRDefault="00DF0C24">
      <w:pPr>
        <w:ind w:left="1102" w:hanging="396"/>
        <w:rPr>
          <w:rFonts w:ascii="標楷體" w:eastAsia="標楷體" w:hAnsi="標楷體"/>
          <w:color w:val="000000"/>
        </w:rPr>
      </w:pPr>
      <w:r>
        <w:rPr>
          <w:rFonts w:ascii="標楷體" w:eastAsia="標楷體" w:hAnsi="標楷體"/>
          <w:color w:val="000000"/>
        </w:rPr>
        <w:t>(3)如使用3個月後pain rating scale未減少2分以上應予停藥。</w:t>
      </w:r>
    </w:p>
    <w:p w14:paraId="06B7FBC7" w14:textId="77777777" w:rsidR="00BD776B" w:rsidRDefault="00DF0C24">
      <w:pPr>
        <w:ind w:left="1102" w:hanging="396"/>
        <w:rPr>
          <w:rFonts w:ascii="標楷體" w:eastAsia="標楷體" w:hAnsi="標楷體"/>
          <w:color w:val="000000"/>
        </w:rPr>
      </w:pPr>
      <w:r>
        <w:rPr>
          <w:rFonts w:ascii="標楷體" w:eastAsia="標楷體" w:hAnsi="標楷體"/>
          <w:color w:val="000000"/>
        </w:rPr>
        <w:t>(4)病歷每3個月應記載一次評估結果，每日最大劑量為60mg。</w:t>
      </w:r>
    </w:p>
    <w:p w14:paraId="5B42C70D" w14:textId="77777777" w:rsidR="00BD776B" w:rsidRDefault="00DF0C24">
      <w:pPr>
        <w:ind w:left="284" w:hanging="32"/>
        <w:rPr>
          <w:rFonts w:ascii="標楷體" w:eastAsia="標楷體" w:hAnsi="標楷體"/>
          <w:color w:val="000000"/>
        </w:rPr>
      </w:pPr>
      <w:r>
        <w:rPr>
          <w:rFonts w:ascii="標楷體" w:eastAsia="標楷體" w:hAnsi="標楷體"/>
          <w:color w:val="000000"/>
        </w:rPr>
        <w:t>1.1.9. Fentanyl citrate口頰溶片或口頰錠(108/10/1、111/2/1)</w:t>
      </w:r>
    </w:p>
    <w:p w14:paraId="2BDB1BAF" w14:textId="77777777" w:rsidR="00BD776B" w:rsidRDefault="00DF0C24">
      <w:pPr>
        <w:ind w:left="993" w:hanging="316"/>
        <w:rPr>
          <w:rFonts w:ascii="標楷體" w:eastAsia="標楷體" w:hAnsi="標楷體"/>
          <w:color w:val="000000"/>
        </w:rPr>
      </w:pPr>
      <w:r>
        <w:rPr>
          <w:rFonts w:ascii="標楷體" w:eastAsia="標楷體" w:hAnsi="標楷體"/>
          <w:color w:val="000000"/>
        </w:rPr>
        <w:t>1.限用於突發性疼痛(breakthrough pain)，並已接受過口服morphine至少60mg/day、oxycodone至少30mg/day、hydromorphone至少8mg/day、或fentanyl貼片劑至少25/mcg/hr或其他等止痛劑量之類鴉片藥物達一星期(含)以上之18歲以上癌症患者(111/2/1)。</w:t>
      </w:r>
    </w:p>
    <w:p w14:paraId="0FC1D9E0" w14:textId="77777777" w:rsidR="00BD776B" w:rsidRDefault="00DF0C24">
      <w:pPr>
        <w:ind w:left="706" w:firstLine="2"/>
        <w:rPr>
          <w:rFonts w:ascii="標楷體" w:eastAsia="標楷體" w:hAnsi="標楷體"/>
          <w:color w:val="000000"/>
        </w:rPr>
      </w:pPr>
      <w:r>
        <w:rPr>
          <w:rFonts w:ascii="標楷體" w:eastAsia="標楷體" w:hAnsi="標楷體"/>
          <w:color w:val="000000"/>
        </w:rPr>
        <w:t>2.不得用於急性或術後疼痛之處置。</w:t>
      </w:r>
    </w:p>
    <w:p w14:paraId="1AD01CED" w14:textId="77777777" w:rsidR="00BD776B" w:rsidRDefault="00DF0C24">
      <w:pPr>
        <w:ind w:left="705" w:hanging="422"/>
      </w:pPr>
      <w:r>
        <w:rPr>
          <w:rFonts w:ascii="標楷體" w:eastAsia="標楷體" w:hAnsi="標楷體"/>
          <w:color w:val="000000"/>
        </w:rPr>
        <w:t>1.1.10.</w:t>
      </w:r>
      <w:r>
        <w:t xml:space="preserve"> </w:t>
      </w:r>
      <w:r>
        <w:rPr>
          <w:rFonts w:ascii="標楷體" w:eastAsia="標楷體" w:hAnsi="標楷體"/>
          <w:color w:val="000000"/>
        </w:rPr>
        <w:t>Acetaminophen 80mg一般錠劑膠囊劑：(112/6/1) 限用於6歲以下病人。</w:t>
      </w:r>
    </w:p>
    <w:p w14:paraId="3CF26C91" w14:textId="77777777" w:rsidR="00BD776B" w:rsidRDefault="00DF0C24">
      <w:pPr>
        <w:ind w:left="706" w:hanging="425"/>
        <w:rPr>
          <w:rFonts w:ascii="標楷體" w:eastAsia="標楷體" w:hAnsi="標楷體"/>
          <w:color w:val="000000"/>
        </w:rPr>
      </w:pPr>
      <w:r>
        <w:rPr>
          <w:rFonts w:ascii="標楷體" w:eastAsia="標楷體" w:hAnsi="標楷體"/>
          <w:color w:val="000000"/>
        </w:rPr>
        <w:t>1.2.精神治療劑  Psychotherapeutic drugs</w:t>
      </w:r>
    </w:p>
    <w:p w14:paraId="3B3BC08E" w14:textId="77777777" w:rsidR="00BD776B" w:rsidRDefault="00DF0C24">
      <w:pPr>
        <w:ind w:left="706" w:hanging="425"/>
        <w:rPr>
          <w:rFonts w:ascii="標楷體" w:eastAsia="標楷體" w:hAnsi="標楷體"/>
          <w:color w:val="000000"/>
        </w:rPr>
      </w:pPr>
      <w:r>
        <w:rPr>
          <w:rFonts w:ascii="標楷體" w:eastAsia="標楷體" w:hAnsi="標楷體"/>
          <w:color w:val="000000"/>
        </w:rPr>
        <w:t>1.2.1.選擇性血清促進素再吸收抑制劑 (SSRI)、血清促進素及正腎上腺素再吸收抑制劑 (SNRI)及其他抗憂鬱劑（fluvoxamine maleate、fluoxetine、paroxetine、sertraline、venlafaxine、milnacipran、mirtazapine、citalopram、escitalopram、duloxetine、agomelatine、vortioxetine等製劑）：(88/12/1、89/10/1、91/5/1、92/6/1、93/5/1、94/2/1、94/12/1、99/10/1、101/7/1、107/3/1)</w:t>
      </w:r>
    </w:p>
    <w:p w14:paraId="7E56E52B" w14:textId="77777777" w:rsidR="00BD776B" w:rsidRDefault="00DF0C24">
      <w:pPr>
        <w:ind w:left="708"/>
        <w:rPr>
          <w:rFonts w:ascii="標楷體" w:eastAsia="標楷體" w:hAnsi="標楷體"/>
          <w:color w:val="000000"/>
        </w:rPr>
      </w:pPr>
      <w:r>
        <w:rPr>
          <w:rFonts w:ascii="標楷體" w:eastAsia="標楷體" w:hAnsi="標楷體"/>
          <w:color w:val="000000"/>
        </w:rPr>
        <w:lastRenderedPageBreak/>
        <w:t>使用時病歷上應詳細註明診斷依據及使用理由。</w:t>
      </w:r>
    </w:p>
    <w:p w14:paraId="66A29DCD" w14:textId="77777777" w:rsidR="00BD776B" w:rsidRDefault="00DF0C24">
      <w:pPr>
        <w:ind w:left="672" w:hanging="386"/>
        <w:rPr>
          <w:rFonts w:ascii="標楷體" w:eastAsia="標楷體" w:hAnsi="標楷體"/>
          <w:color w:val="000000"/>
        </w:rPr>
      </w:pPr>
      <w:r>
        <w:rPr>
          <w:rFonts w:ascii="標楷體" w:eastAsia="標楷體" w:hAnsi="標楷體"/>
          <w:color w:val="000000"/>
        </w:rPr>
        <w:t>1.2.1.1.Bupropion HCL：(92/1/1、99/10/1)</w:t>
      </w:r>
    </w:p>
    <w:p w14:paraId="078CB2FE" w14:textId="77777777" w:rsidR="00BD776B" w:rsidRDefault="00DF0C24">
      <w:pPr>
        <w:ind w:left="798" w:hanging="1"/>
        <w:rPr>
          <w:rFonts w:ascii="標楷體" w:eastAsia="標楷體" w:hAnsi="標楷體"/>
          <w:color w:val="000000"/>
        </w:rPr>
      </w:pPr>
      <w:r>
        <w:rPr>
          <w:rFonts w:ascii="標楷體" w:eastAsia="標楷體" w:hAnsi="標楷體"/>
          <w:color w:val="000000"/>
        </w:rPr>
        <w:t>作為戒菸治療者不予給付。</w:t>
      </w:r>
    </w:p>
    <w:p w14:paraId="3BBB74DE" w14:textId="77777777" w:rsidR="00BD776B" w:rsidRDefault="00DF0C24">
      <w:pPr>
        <w:ind w:left="672" w:hanging="386"/>
        <w:rPr>
          <w:rFonts w:ascii="標楷體" w:eastAsia="標楷體" w:hAnsi="標楷體"/>
          <w:color w:val="000000"/>
        </w:rPr>
      </w:pPr>
      <w:r>
        <w:rPr>
          <w:rFonts w:ascii="標楷體" w:eastAsia="標楷體" w:hAnsi="標楷體"/>
          <w:color w:val="000000"/>
        </w:rPr>
        <w:t>1.2.2.抗精神病劑Antipsychotics</w:t>
      </w:r>
    </w:p>
    <w:p w14:paraId="217F4423" w14:textId="77777777" w:rsidR="00BD776B" w:rsidRDefault="00DF0C24">
      <w:pPr>
        <w:ind w:left="672" w:hanging="386"/>
        <w:rPr>
          <w:rFonts w:ascii="標楷體" w:eastAsia="標楷體" w:hAnsi="標楷體"/>
          <w:color w:val="000000"/>
        </w:rPr>
      </w:pPr>
      <w:r>
        <w:rPr>
          <w:rFonts w:ascii="標楷體" w:eastAsia="標楷體" w:hAnsi="標楷體"/>
          <w:color w:val="000000"/>
        </w:rPr>
        <w:t>1.2.2.1.Clozapine（如Clozaril）</w:t>
      </w:r>
    </w:p>
    <w:p w14:paraId="2A65C43D" w14:textId="77777777" w:rsidR="00BD776B" w:rsidRDefault="00DF0C24">
      <w:pPr>
        <w:ind w:left="811" w:hanging="245"/>
        <w:rPr>
          <w:rFonts w:ascii="標楷體" w:eastAsia="標楷體" w:hAnsi="標楷體"/>
          <w:color w:val="000000"/>
        </w:rPr>
      </w:pPr>
      <w:r>
        <w:rPr>
          <w:rFonts w:ascii="標楷體" w:eastAsia="標楷體" w:hAnsi="標楷體"/>
          <w:color w:val="000000"/>
        </w:rPr>
        <w:t>1.限精神科專科醫師使用。</w:t>
      </w:r>
    </w:p>
    <w:p w14:paraId="1D26239E" w14:textId="77777777" w:rsidR="00BD776B" w:rsidRDefault="00DF0C24">
      <w:pPr>
        <w:ind w:left="811" w:hanging="245"/>
        <w:rPr>
          <w:rFonts w:ascii="標楷體" w:eastAsia="標楷體" w:hAnsi="標楷體"/>
          <w:color w:val="000000"/>
        </w:rPr>
      </w:pPr>
      <w:r>
        <w:rPr>
          <w:rFonts w:ascii="標楷體" w:eastAsia="標楷體" w:hAnsi="標楷體"/>
          <w:color w:val="000000"/>
        </w:rPr>
        <w:t>2.前18週使用時，每週需作白血球檢驗，每次處方以七日為限，使用18週後，每月作一次白血球檢驗。</w:t>
      </w:r>
    </w:p>
    <w:p w14:paraId="5B311480" w14:textId="77777777" w:rsidR="00BD776B" w:rsidRDefault="00DF0C24">
      <w:pPr>
        <w:ind w:left="811" w:hanging="245"/>
        <w:rPr>
          <w:rFonts w:ascii="標楷體" w:eastAsia="標楷體" w:hAnsi="標楷體"/>
          <w:color w:val="000000"/>
        </w:rPr>
      </w:pPr>
      <w:r>
        <w:rPr>
          <w:rFonts w:ascii="標楷體" w:eastAsia="標楷體" w:hAnsi="標楷體"/>
          <w:color w:val="000000"/>
        </w:rPr>
        <w:t>3.申報費用時，應檢附白血球檢驗報告。</w:t>
      </w:r>
    </w:p>
    <w:p w14:paraId="04EC63DF" w14:textId="4F9EC08D" w:rsidR="00BD776B" w:rsidRDefault="00DF0C24">
      <w:pPr>
        <w:ind w:left="672" w:hanging="386"/>
      </w:pPr>
      <w:r>
        <w:rPr>
          <w:rFonts w:ascii="標楷體" w:eastAsia="標楷體" w:hAnsi="標楷體"/>
          <w:color w:val="000000"/>
        </w:rPr>
        <w:t>1.2.2.2</w:t>
      </w:r>
      <w:r w:rsidR="003D7D1F">
        <w:rPr>
          <w:rFonts w:ascii="標楷體" w:eastAsia="標楷體" w:hAnsi="標楷體" w:hint="eastAsia"/>
          <w:color w:val="000000"/>
        </w:rPr>
        <w:t>.</w:t>
      </w:r>
      <w:r>
        <w:rPr>
          <w:rFonts w:ascii="標楷體" w:eastAsia="標楷體" w:hAnsi="標楷體"/>
          <w:color w:val="000000"/>
        </w:rPr>
        <w:t>Second generation antipsychotics(簡稱第二代抗精神病藥品，如clozapine、olanzapine、risperidone、quetiapine、amisulpride、ziprasidone、aripiprazole、paliperidone、lurasidone、brexpiprazole等)：(91/9/1、92/1/1、92/7/1、94/1/1、95/10/1、97/5/1、99/10/1、106/1/1、109/1/1、109/6/1、112/7/1)</w:t>
      </w:r>
    </w:p>
    <w:p w14:paraId="7BC00EAA" w14:textId="77777777" w:rsidR="00BD776B" w:rsidRDefault="00DF0C24">
      <w:pPr>
        <w:ind w:left="811" w:hanging="245"/>
      </w:pPr>
      <w:r>
        <w:rPr>
          <w:rFonts w:ascii="標楷體" w:eastAsia="標楷體" w:hAnsi="標楷體"/>
          <w:color w:val="000000"/>
        </w:rPr>
        <w:t>1.</w:t>
      </w:r>
      <w:r>
        <w:t xml:space="preserve"> </w:t>
      </w:r>
      <w:r>
        <w:rPr>
          <w:rFonts w:ascii="標楷體" w:eastAsia="標楷體" w:hAnsi="標楷體"/>
          <w:color w:val="000000"/>
        </w:rPr>
        <w:t>本類製劑之使用需符合下列條件(95/10/1、97/5/1、99/10/1、106/1/1、109/1/1、112/7/1)：</w:t>
      </w:r>
    </w:p>
    <w:p w14:paraId="11FF99DB" w14:textId="77777777" w:rsidR="00BD776B" w:rsidRDefault="00DF0C24">
      <w:pPr>
        <w:ind w:left="1049" w:hanging="341"/>
      </w:pPr>
      <w:r>
        <w:rPr>
          <w:rFonts w:ascii="標楷體" w:eastAsia="標楷體" w:hAnsi="標楷體"/>
          <w:color w:val="000000"/>
        </w:rPr>
        <w:t>(1)</w:t>
      </w:r>
      <w:r>
        <w:t xml:space="preserve"> </w:t>
      </w:r>
      <w:r>
        <w:rPr>
          <w:rFonts w:ascii="標楷體" w:eastAsia="標楷體" w:hAnsi="標楷體"/>
          <w:color w:val="000000"/>
        </w:rPr>
        <w:t>開始使用「第二代抗精神病藥品」時需於病歷記載：醫療理由或診斷。(112/7/1)。</w:t>
      </w:r>
    </w:p>
    <w:p w14:paraId="15BE110C" w14:textId="77777777" w:rsidR="00BD776B" w:rsidRDefault="00DF0C24">
      <w:pPr>
        <w:ind w:left="1049" w:hanging="341"/>
        <w:rPr>
          <w:rFonts w:ascii="標楷體" w:eastAsia="標楷體" w:hAnsi="標楷體"/>
          <w:color w:val="000000"/>
        </w:rPr>
      </w:pPr>
      <w:r>
        <w:rPr>
          <w:rFonts w:ascii="標楷體" w:eastAsia="標楷體" w:hAnsi="標楷體"/>
          <w:color w:val="000000"/>
        </w:rPr>
        <w:t>(2)日劑量超過下列治療劑量時，需於病歷記載理由：</w:t>
      </w:r>
    </w:p>
    <w:p w14:paraId="37A0AC76" w14:textId="77777777" w:rsidR="00BD776B" w:rsidRDefault="00DF0C24">
      <w:pPr>
        <w:ind w:left="1063"/>
        <w:rPr>
          <w:rFonts w:ascii="標楷體" w:eastAsia="標楷體" w:hAnsi="標楷體"/>
          <w:color w:val="000000"/>
        </w:rPr>
      </w:pPr>
      <w:r>
        <w:rPr>
          <w:rFonts w:ascii="標楷體" w:eastAsia="標楷體" w:hAnsi="標楷體"/>
          <w:color w:val="000000"/>
        </w:rPr>
        <w:t>clozapine 400 mg/day</w:t>
      </w:r>
    </w:p>
    <w:p w14:paraId="2A050010" w14:textId="77777777" w:rsidR="00BD776B" w:rsidRDefault="00DF0C24">
      <w:pPr>
        <w:ind w:left="1063"/>
        <w:rPr>
          <w:rFonts w:ascii="標楷體" w:eastAsia="標楷體" w:hAnsi="標楷體"/>
          <w:color w:val="000000"/>
        </w:rPr>
      </w:pPr>
      <w:r>
        <w:rPr>
          <w:rFonts w:ascii="標楷體" w:eastAsia="標楷體" w:hAnsi="標楷體"/>
          <w:color w:val="000000"/>
        </w:rPr>
        <w:t>risperidone 6 mg/day</w:t>
      </w:r>
    </w:p>
    <w:p w14:paraId="1CE02D72" w14:textId="77777777" w:rsidR="00BD776B" w:rsidRDefault="00DF0C24">
      <w:pPr>
        <w:ind w:left="1063"/>
        <w:rPr>
          <w:rFonts w:ascii="標楷體" w:eastAsia="標楷體" w:hAnsi="標楷體"/>
          <w:color w:val="000000"/>
        </w:rPr>
      </w:pPr>
      <w:r>
        <w:rPr>
          <w:rFonts w:ascii="標楷體" w:eastAsia="標楷體" w:hAnsi="標楷體"/>
          <w:color w:val="000000"/>
        </w:rPr>
        <w:t>olanzapine 20 mg/day</w:t>
      </w:r>
    </w:p>
    <w:p w14:paraId="5F3C3AC4" w14:textId="77777777" w:rsidR="00BD776B" w:rsidRDefault="00DF0C24">
      <w:pPr>
        <w:ind w:left="1063"/>
        <w:rPr>
          <w:rFonts w:ascii="標楷體" w:eastAsia="標楷體" w:hAnsi="標楷體"/>
          <w:color w:val="000000"/>
        </w:rPr>
      </w:pPr>
      <w:r>
        <w:rPr>
          <w:rFonts w:ascii="標楷體" w:eastAsia="標楷體" w:hAnsi="標楷體"/>
          <w:color w:val="000000"/>
        </w:rPr>
        <w:t>quetiapine 600 mg/day</w:t>
      </w:r>
    </w:p>
    <w:p w14:paraId="24A74E91" w14:textId="77777777" w:rsidR="00BD776B" w:rsidRDefault="00DF0C24">
      <w:pPr>
        <w:ind w:left="1063"/>
        <w:rPr>
          <w:rFonts w:ascii="標楷體" w:eastAsia="標楷體" w:hAnsi="標楷體"/>
          <w:color w:val="000000"/>
        </w:rPr>
      </w:pPr>
      <w:r>
        <w:rPr>
          <w:rFonts w:ascii="標楷體" w:eastAsia="標楷體" w:hAnsi="標楷體"/>
          <w:color w:val="000000"/>
        </w:rPr>
        <w:t>amisulpride 800mg/day (92/1/1)</w:t>
      </w:r>
    </w:p>
    <w:p w14:paraId="417DD097" w14:textId="77777777" w:rsidR="00BD776B" w:rsidRDefault="00DF0C24">
      <w:pPr>
        <w:ind w:left="1063"/>
        <w:rPr>
          <w:rFonts w:ascii="標楷體" w:eastAsia="標楷體" w:hAnsi="標楷體"/>
          <w:color w:val="000000"/>
        </w:rPr>
      </w:pPr>
      <w:r>
        <w:rPr>
          <w:rFonts w:ascii="標楷體" w:eastAsia="標楷體" w:hAnsi="標楷體"/>
          <w:color w:val="000000"/>
        </w:rPr>
        <w:t>ziprasidone 120mg/day (92/7/1)</w:t>
      </w:r>
    </w:p>
    <w:p w14:paraId="12B80860" w14:textId="77777777" w:rsidR="00BD776B" w:rsidRDefault="00DF0C24">
      <w:pPr>
        <w:ind w:left="1063"/>
        <w:rPr>
          <w:rFonts w:ascii="標楷體" w:eastAsia="標楷體" w:hAnsi="標楷體"/>
          <w:color w:val="000000"/>
        </w:rPr>
      </w:pPr>
      <w:r>
        <w:rPr>
          <w:rFonts w:ascii="標楷體" w:eastAsia="標楷體" w:hAnsi="標楷體"/>
          <w:color w:val="000000"/>
        </w:rPr>
        <w:t>aripiprazole 15mg/day (94/1/1)</w:t>
      </w:r>
    </w:p>
    <w:p w14:paraId="39260459" w14:textId="77777777" w:rsidR="00BD776B" w:rsidRDefault="00DF0C24">
      <w:pPr>
        <w:ind w:left="1063"/>
        <w:rPr>
          <w:rFonts w:ascii="標楷體" w:eastAsia="標楷體" w:hAnsi="標楷體"/>
          <w:color w:val="000000"/>
        </w:rPr>
      </w:pPr>
      <w:r>
        <w:rPr>
          <w:rFonts w:ascii="標楷體" w:eastAsia="標楷體" w:hAnsi="標楷體"/>
          <w:color w:val="000000"/>
        </w:rPr>
        <w:t>paliperidone 12mg/day (97/5/1）</w:t>
      </w:r>
    </w:p>
    <w:p w14:paraId="02818A06" w14:textId="77777777" w:rsidR="00BD776B" w:rsidRDefault="00DF0C24">
      <w:pPr>
        <w:ind w:left="1063"/>
        <w:rPr>
          <w:rFonts w:ascii="標楷體" w:eastAsia="標楷體" w:hAnsi="標楷體"/>
          <w:color w:val="000000"/>
        </w:rPr>
      </w:pPr>
      <w:r>
        <w:rPr>
          <w:rFonts w:ascii="標楷體" w:eastAsia="標楷體" w:hAnsi="標楷體"/>
          <w:color w:val="000000"/>
        </w:rPr>
        <w:t>lurasidone 120mg/day (106/1/1）</w:t>
      </w:r>
    </w:p>
    <w:p w14:paraId="3E98CACB" w14:textId="77777777" w:rsidR="00BD776B" w:rsidRDefault="00DF0C24">
      <w:pPr>
        <w:ind w:left="1063"/>
        <w:rPr>
          <w:rFonts w:ascii="標楷體" w:eastAsia="標楷體" w:hAnsi="標楷體"/>
          <w:color w:val="000000"/>
        </w:rPr>
      </w:pPr>
      <w:r>
        <w:rPr>
          <w:rFonts w:ascii="標楷體" w:eastAsia="標楷體" w:hAnsi="標楷體"/>
          <w:color w:val="000000"/>
        </w:rPr>
        <w:t>brexpiprazole 4mg/day (109/1/1)</w:t>
      </w:r>
    </w:p>
    <w:p w14:paraId="06A89396" w14:textId="77777777" w:rsidR="00BD776B" w:rsidRDefault="00DF0C24">
      <w:pPr>
        <w:ind w:left="811" w:hanging="244"/>
        <w:rPr>
          <w:rFonts w:ascii="標楷體" w:eastAsia="標楷體" w:hAnsi="標楷體"/>
          <w:color w:val="000000"/>
        </w:rPr>
      </w:pPr>
      <w:r>
        <w:rPr>
          <w:rFonts w:ascii="標楷體" w:eastAsia="標楷體" w:hAnsi="標楷體"/>
          <w:color w:val="000000"/>
        </w:rPr>
        <w:t>2.本類藥品除quetiapine緩釋劑型及lurasidone外，不得使用於雙極性疾患之鬱症發作。(95/10/1、109/6/1)</w:t>
      </w:r>
    </w:p>
    <w:p w14:paraId="0C3290B3" w14:textId="77777777" w:rsidR="00BD776B" w:rsidRDefault="00DF0C24">
      <w:pPr>
        <w:ind w:left="672" w:hanging="105"/>
        <w:rPr>
          <w:rFonts w:ascii="標楷體" w:eastAsia="標楷體" w:hAnsi="標楷體"/>
          <w:color w:val="000000"/>
        </w:rPr>
      </w:pPr>
      <w:r>
        <w:rPr>
          <w:rFonts w:ascii="標楷體" w:eastAsia="標楷體" w:hAnsi="標楷體"/>
          <w:color w:val="000000"/>
        </w:rPr>
        <w:t>3.Olanzapine用於預防雙極性疾患復發時，限lithium、carbamazepine、valproate等藥品至少使用兩種以上，治療無效或無法耐受副作用時使用。(95/10/1)</w:t>
      </w:r>
    </w:p>
    <w:p w14:paraId="0AE5E724" w14:textId="77777777" w:rsidR="00BD776B" w:rsidRDefault="00DF0C24">
      <w:pPr>
        <w:ind w:left="672" w:hanging="386"/>
        <w:rPr>
          <w:rFonts w:ascii="標楷體" w:eastAsia="標楷體" w:hAnsi="標楷體"/>
          <w:color w:val="000000"/>
        </w:rPr>
      </w:pPr>
      <w:r>
        <w:rPr>
          <w:rFonts w:ascii="標楷體" w:eastAsia="標楷體" w:hAnsi="標楷體"/>
          <w:color w:val="000000"/>
        </w:rPr>
        <w:t>1.2.3.Zaleplon、zolpidem、zopiclone及eszopiclone（98/1/1、98/5/1、98/10/1、102/11/1）</w:t>
      </w:r>
    </w:p>
    <w:p w14:paraId="30E107D3" w14:textId="77777777" w:rsidR="00BD776B" w:rsidRDefault="00DF0C24">
      <w:pPr>
        <w:ind w:left="811" w:hanging="245"/>
        <w:rPr>
          <w:rFonts w:ascii="標楷體" w:eastAsia="標楷體" w:hAnsi="標楷體"/>
          <w:color w:val="000000"/>
        </w:rPr>
      </w:pPr>
      <w:r>
        <w:rPr>
          <w:rFonts w:ascii="標楷體" w:eastAsia="標楷體" w:hAnsi="標楷體"/>
          <w:color w:val="000000"/>
        </w:rPr>
        <w:t>1.使用安眠藥物，病歷應詳載病人發生睡眠障礙的情形，並作適當的評估和診斷，探討可能的原因，並提供衛教建立良好睡眠習慣。(98/5/1)</w:t>
      </w:r>
    </w:p>
    <w:p w14:paraId="43F608E3" w14:textId="77777777" w:rsidR="00BD776B" w:rsidRDefault="00DF0C24">
      <w:pPr>
        <w:ind w:left="811" w:hanging="245"/>
        <w:rPr>
          <w:rFonts w:ascii="標楷體" w:eastAsia="標楷體" w:hAnsi="標楷體"/>
          <w:color w:val="000000"/>
        </w:rPr>
      </w:pPr>
      <w:r>
        <w:rPr>
          <w:rFonts w:ascii="標楷體" w:eastAsia="標楷體" w:hAnsi="標楷體"/>
          <w:color w:val="000000"/>
        </w:rPr>
        <w:t>2.非精神科醫師、神經科專科醫師若需開立本類藥品，每日不宜超過一顆，連續治療期間不宜超過6個月。若因病情需長期使用，病歷應載明原因，必要時轉精神科、神經科專科醫師評估其繼續使用的適當性。(98/5/1、98/10/1)</w:t>
      </w:r>
    </w:p>
    <w:p w14:paraId="50BFC122" w14:textId="77777777" w:rsidR="00BD776B" w:rsidRDefault="00DF0C24">
      <w:pPr>
        <w:ind w:left="811" w:hanging="245"/>
        <w:rPr>
          <w:rFonts w:ascii="標楷體" w:eastAsia="標楷體" w:hAnsi="標楷體"/>
          <w:color w:val="000000"/>
        </w:rPr>
      </w:pPr>
      <w:r>
        <w:rPr>
          <w:rFonts w:ascii="標楷體" w:eastAsia="標楷體" w:hAnsi="標楷體"/>
          <w:color w:val="000000"/>
        </w:rPr>
        <w:t>3.精神科、神經科專科醫師應針對必須連續使用本藥的個案，提出合理的診斷，</w:t>
      </w:r>
      <w:r>
        <w:rPr>
          <w:rFonts w:ascii="標楷體" w:eastAsia="標楷體" w:hAnsi="標楷體"/>
          <w:color w:val="000000"/>
        </w:rPr>
        <w:lastRenderedPageBreak/>
        <w:t>並在病歷上詳細記錄。(98/5/1、98/10/1)</w:t>
      </w:r>
    </w:p>
    <w:p w14:paraId="676118EE" w14:textId="77777777" w:rsidR="00BD776B" w:rsidRDefault="00DF0C24">
      <w:pPr>
        <w:ind w:left="811" w:hanging="245"/>
        <w:rPr>
          <w:rFonts w:ascii="標楷體" w:eastAsia="標楷體" w:hAnsi="標楷體"/>
          <w:color w:val="000000"/>
        </w:rPr>
      </w:pPr>
      <w:r>
        <w:rPr>
          <w:rFonts w:ascii="標楷體" w:eastAsia="標楷體" w:hAnsi="標楷體"/>
          <w:color w:val="000000"/>
        </w:rPr>
        <w:t>4.依一般使用指引不建議各種安眠藥併用，應依睡眠障礙型態處方安眠藥，若需不同半衰期之藥物併用應有明確之睡眠障礙型態描述紀錄，且應在合理劑量範圍內。(98/5/1)</w:t>
      </w:r>
    </w:p>
    <w:p w14:paraId="13064BAA" w14:textId="77777777" w:rsidR="00BD776B" w:rsidRDefault="00DF0C24">
      <w:pPr>
        <w:ind w:left="811" w:hanging="245"/>
        <w:rPr>
          <w:rFonts w:ascii="標楷體" w:eastAsia="標楷體" w:hAnsi="標楷體"/>
          <w:color w:val="000000"/>
        </w:rPr>
      </w:pPr>
      <w:r>
        <w:rPr>
          <w:rFonts w:ascii="標楷體" w:eastAsia="標楷體" w:hAnsi="標楷體"/>
          <w:color w:val="000000"/>
        </w:rPr>
        <w:t>5.對於首次就診尚未建立穩定醫病關係之病患，限處方7日內安眠藥管制藥品。(98/5/1)</w:t>
      </w:r>
    </w:p>
    <w:p w14:paraId="73916D21" w14:textId="77777777" w:rsidR="00BD776B" w:rsidRDefault="00DF0C24">
      <w:pPr>
        <w:ind w:left="811" w:hanging="245"/>
        <w:rPr>
          <w:rFonts w:ascii="標楷體" w:eastAsia="標楷體" w:hAnsi="標楷體"/>
          <w:color w:val="000000"/>
        </w:rPr>
      </w:pPr>
      <w:r>
        <w:rPr>
          <w:rFonts w:ascii="標楷體" w:eastAsia="標楷體" w:hAnsi="標楷體"/>
          <w:color w:val="000000"/>
        </w:rPr>
        <w:t>6.zaleplon成分藥品用於治療難以入睡之失眠病人，僅適用於嚴重，病人功能障礙或遭受極度壓力之失眠症患者，用於65歲以上病患時，起始劑量為每日5mg (98/1/1、98/10/1)</w:t>
      </w:r>
    </w:p>
    <w:p w14:paraId="2D1489EB" w14:textId="77777777" w:rsidR="00BD776B" w:rsidRDefault="00DF0C24">
      <w:pPr>
        <w:ind w:left="811" w:hanging="245"/>
        <w:rPr>
          <w:rFonts w:ascii="標楷體" w:eastAsia="標楷體" w:hAnsi="標楷體"/>
          <w:color w:val="000000"/>
        </w:rPr>
      </w:pPr>
      <w:r>
        <w:rPr>
          <w:rFonts w:ascii="標楷體" w:eastAsia="標楷體" w:hAnsi="標楷體"/>
          <w:color w:val="000000"/>
        </w:rPr>
        <w:t>7.成人病患使用eszopiclone成分藥品之起始劑量為睡前1mg，最高劑量為睡前3mg，65歲以上病患之最高劑量為2mg。(102/11/1）</w:t>
      </w:r>
    </w:p>
    <w:p w14:paraId="07FBCAD3" w14:textId="77777777" w:rsidR="00BD776B" w:rsidRDefault="00DF0C24">
      <w:pPr>
        <w:ind w:left="672" w:hanging="386"/>
        <w:rPr>
          <w:rFonts w:ascii="標楷體" w:eastAsia="標楷體" w:hAnsi="標楷體"/>
          <w:color w:val="000000"/>
        </w:rPr>
      </w:pPr>
      <w:r>
        <w:rPr>
          <w:rFonts w:ascii="標楷體" w:eastAsia="標楷體" w:hAnsi="標楷體"/>
          <w:color w:val="000000"/>
        </w:rPr>
        <w:t>1.3.神經藥物  Neurologic drugs</w:t>
      </w:r>
    </w:p>
    <w:p w14:paraId="61A0BAF2" w14:textId="77777777" w:rsidR="00BD776B" w:rsidRDefault="00DF0C24">
      <w:pPr>
        <w:ind w:left="672" w:hanging="386"/>
        <w:rPr>
          <w:rFonts w:ascii="標楷體" w:eastAsia="標楷體" w:hAnsi="標楷體"/>
          <w:color w:val="000000"/>
        </w:rPr>
      </w:pPr>
      <w:r>
        <w:rPr>
          <w:rFonts w:ascii="標楷體" w:eastAsia="標楷體" w:hAnsi="標楷體"/>
          <w:color w:val="000000"/>
        </w:rPr>
        <w:t>1.3.1.骨骼肌鬆弛劑Skeletal muscle relaxants</w:t>
      </w:r>
    </w:p>
    <w:p w14:paraId="6E30BBE4" w14:textId="77777777" w:rsidR="00BD776B" w:rsidRDefault="00DF0C24">
      <w:pPr>
        <w:ind w:left="672" w:hanging="386"/>
        <w:rPr>
          <w:rFonts w:ascii="標楷體" w:eastAsia="標楷體" w:hAnsi="標楷體"/>
          <w:color w:val="000000"/>
        </w:rPr>
      </w:pPr>
      <w:r>
        <w:rPr>
          <w:rFonts w:ascii="標楷體" w:eastAsia="標楷體" w:hAnsi="標楷體"/>
          <w:color w:val="000000"/>
        </w:rPr>
        <w:t>1.3.1.1.Tizanidine HCl (如Sirdalud tab)：(90/10/1)</w:t>
      </w:r>
    </w:p>
    <w:p w14:paraId="5EA4FBD5" w14:textId="77777777" w:rsidR="00BD776B" w:rsidRDefault="00DF0C24">
      <w:pPr>
        <w:ind w:left="798" w:hanging="1"/>
        <w:rPr>
          <w:rFonts w:ascii="標楷體" w:eastAsia="標楷體" w:hAnsi="標楷體"/>
          <w:color w:val="000000"/>
        </w:rPr>
      </w:pPr>
      <w:r>
        <w:rPr>
          <w:rFonts w:ascii="標楷體" w:eastAsia="標楷體" w:hAnsi="標楷體"/>
          <w:color w:val="000000"/>
        </w:rPr>
        <w:t>限下列病患使用</w:t>
      </w:r>
    </w:p>
    <w:p w14:paraId="7A5E0AB1" w14:textId="77777777" w:rsidR="00BD776B" w:rsidRDefault="00DF0C24">
      <w:pPr>
        <w:ind w:left="811" w:hanging="245"/>
        <w:rPr>
          <w:rFonts w:ascii="標楷體" w:eastAsia="標楷體" w:hAnsi="標楷體"/>
          <w:color w:val="000000"/>
        </w:rPr>
      </w:pPr>
      <w:r>
        <w:rPr>
          <w:rFonts w:ascii="標楷體" w:eastAsia="標楷體" w:hAnsi="標楷體"/>
          <w:color w:val="000000"/>
        </w:rPr>
        <w:t>1.神經系統疾病引起痙攣症狀之病例。</w:t>
      </w:r>
    </w:p>
    <w:p w14:paraId="04CD3339" w14:textId="77777777" w:rsidR="00BD776B" w:rsidRDefault="00DF0C24">
      <w:pPr>
        <w:ind w:left="811" w:hanging="245"/>
        <w:rPr>
          <w:rFonts w:ascii="標楷體" w:eastAsia="標楷體" w:hAnsi="標楷體"/>
          <w:color w:val="000000"/>
        </w:rPr>
      </w:pPr>
      <w:r>
        <w:rPr>
          <w:rFonts w:ascii="標楷體" w:eastAsia="標楷體" w:hAnsi="標楷體"/>
          <w:color w:val="000000"/>
        </w:rPr>
        <w:t>2.急性疼痛性肌肉痙攣病例。</w:t>
      </w:r>
    </w:p>
    <w:p w14:paraId="4F32BC31" w14:textId="77777777" w:rsidR="00BD776B" w:rsidRDefault="00DF0C24">
      <w:pPr>
        <w:ind w:left="672" w:hanging="386"/>
        <w:rPr>
          <w:rFonts w:ascii="標楷體" w:eastAsia="標楷體" w:hAnsi="標楷體"/>
          <w:color w:val="000000"/>
        </w:rPr>
      </w:pPr>
      <w:r>
        <w:rPr>
          <w:rFonts w:ascii="標楷體" w:eastAsia="標楷體" w:hAnsi="標楷體"/>
          <w:color w:val="000000"/>
        </w:rPr>
        <w:t>1.3.2.抗癲癇劑Antiepileptic drugs</w:t>
      </w:r>
    </w:p>
    <w:p w14:paraId="686A7D43" w14:textId="77777777" w:rsidR="00BD776B" w:rsidRDefault="00DF0C24">
      <w:pPr>
        <w:ind w:left="672" w:hanging="386"/>
        <w:rPr>
          <w:rFonts w:ascii="標楷體" w:eastAsia="標楷體" w:hAnsi="標楷體"/>
          <w:color w:val="000000"/>
        </w:rPr>
      </w:pPr>
      <w:r>
        <w:rPr>
          <w:rFonts w:ascii="標楷體" w:eastAsia="標楷體" w:hAnsi="標楷體"/>
          <w:color w:val="000000"/>
        </w:rPr>
        <w:t>1.3.2.1.Sodium valproate注射劑 (如Depakine Lyophilized Injection)(89/7/1、93/2/1、93/6/1、102/10/1)</w:t>
      </w:r>
    </w:p>
    <w:p w14:paraId="58546EE5" w14:textId="77777777" w:rsidR="00BD776B" w:rsidRDefault="00DF0C24">
      <w:pPr>
        <w:ind w:left="798" w:hanging="1"/>
        <w:rPr>
          <w:rFonts w:ascii="標楷體" w:eastAsia="標楷體" w:hAnsi="標楷體"/>
          <w:color w:val="000000"/>
        </w:rPr>
      </w:pPr>
      <w:r>
        <w:rPr>
          <w:rFonts w:ascii="標楷體" w:eastAsia="標楷體" w:hAnsi="標楷體"/>
          <w:color w:val="000000"/>
        </w:rPr>
        <w:t>限癲癇症病患使用，且符合以下其中之一項者使用：</w:t>
      </w:r>
    </w:p>
    <w:p w14:paraId="3A2F3530" w14:textId="77777777" w:rsidR="00BD776B" w:rsidRDefault="00DF0C24">
      <w:pPr>
        <w:ind w:left="851" w:hanging="285"/>
        <w:rPr>
          <w:rFonts w:ascii="標楷體" w:eastAsia="標楷體" w:hAnsi="標楷體"/>
          <w:color w:val="000000"/>
        </w:rPr>
      </w:pPr>
      <w:r>
        <w:rPr>
          <w:rFonts w:ascii="標楷體" w:eastAsia="標楷體" w:hAnsi="標楷體"/>
          <w:color w:val="000000"/>
        </w:rPr>
        <w:t>1.對phenytoin注射劑無效或無法忍受phenytoin副作用且無法口服valproic acid之病患。</w:t>
      </w:r>
    </w:p>
    <w:p w14:paraId="40183ECA" w14:textId="77777777" w:rsidR="00BD776B" w:rsidRDefault="00DF0C24">
      <w:pPr>
        <w:ind w:left="849" w:hanging="283"/>
        <w:rPr>
          <w:rFonts w:ascii="標楷體" w:eastAsia="標楷體" w:hAnsi="標楷體"/>
          <w:color w:val="000000"/>
        </w:rPr>
      </w:pPr>
      <w:r>
        <w:rPr>
          <w:rFonts w:ascii="標楷體" w:eastAsia="標楷體" w:hAnsi="標楷體"/>
          <w:color w:val="000000"/>
        </w:rPr>
        <w:t>2.癲癇連續發作 (Seizure clusters) 之病患。</w:t>
      </w:r>
    </w:p>
    <w:p w14:paraId="7D2DA8BD" w14:textId="77777777" w:rsidR="00BD776B" w:rsidRDefault="00DF0C24">
      <w:pPr>
        <w:ind w:left="849" w:hanging="283"/>
        <w:rPr>
          <w:rFonts w:ascii="標楷體" w:eastAsia="標楷體" w:hAnsi="標楷體"/>
          <w:color w:val="000000"/>
        </w:rPr>
      </w:pPr>
      <w:r>
        <w:rPr>
          <w:rFonts w:ascii="標楷體" w:eastAsia="標楷體" w:hAnsi="標楷體"/>
          <w:color w:val="000000"/>
        </w:rPr>
        <w:t>3.癲癇重積狀態(Status epilepticus) 之病患。</w:t>
      </w:r>
    </w:p>
    <w:p w14:paraId="5BAF674D" w14:textId="77777777" w:rsidR="00BD776B" w:rsidRDefault="00DF0C24">
      <w:pPr>
        <w:ind w:left="672" w:hanging="386"/>
        <w:rPr>
          <w:rFonts w:ascii="標楷體" w:eastAsia="標楷體" w:hAnsi="標楷體"/>
        </w:rPr>
      </w:pPr>
      <w:r>
        <w:rPr>
          <w:rFonts w:ascii="標楷體" w:eastAsia="標楷體" w:hAnsi="標楷體"/>
        </w:rPr>
        <w:t>1.3.2.2.Gabapentin (如Neurontin)、vigabatrin (如Sabril)、tiagabine (如Gabitril)、pregabalin(如Lyrica)：(89/9/1、89/2/1、93/6/1、96/3/1、97/1/1、97/10/1、101/2/1、102/1/1、104/6/1、104/11/1、107/2/1、107/8/1、110/5/1）</w:t>
      </w:r>
    </w:p>
    <w:p w14:paraId="731ACC90" w14:textId="77777777" w:rsidR="00BD776B" w:rsidRDefault="00DF0C24">
      <w:pPr>
        <w:ind w:left="798" w:hanging="1"/>
      </w:pPr>
      <w:r>
        <w:rPr>
          <w:rFonts w:ascii="標楷體" w:eastAsia="標楷體" w:hAnsi="標楷體"/>
        </w:rPr>
        <w:t>限用於其他抗癲癇藥物無法有效控制之局部癲癇發作之輔助性治療(add on therapy)。</w:t>
      </w:r>
    </w:p>
    <w:p w14:paraId="6626971D" w14:textId="77777777" w:rsidR="00BD776B" w:rsidRDefault="00DF0C24">
      <w:pPr>
        <w:ind w:left="847" w:hanging="566"/>
        <w:rPr>
          <w:rFonts w:ascii="標楷體" w:eastAsia="標楷體" w:hAnsi="標楷體"/>
          <w:color w:val="000000"/>
        </w:rPr>
      </w:pPr>
      <w:r>
        <w:rPr>
          <w:rFonts w:ascii="標楷體" w:eastAsia="標楷體" w:hAnsi="標楷體"/>
          <w:color w:val="000000"/>
        </w:rPr>
        <w:t>1.3.2.3.Topiramate(如Topamax 、Trokendi）：（90/9/1、92/11/1、93/6/1、94/3/1、94/9/1、95/1/1、99/5/1、99/10/1、107/11/1、110/12/1)</w:t>
      </w:r>
    </w:p>
    <w:p w14:paraId="71801577" w14:textId="77777777" w:rsidR="00BD776B" w:rsidRDefault="00DF0C24">
      <w:pPr>
        <w:ind w:left="849" w:hanging="283"/>
        <w:rPr>
          <w:rFonts w:ascii="標楷體" w:eastAsia="標楷體" w:hAnsi="標楷體"/>
          <w:color w:val="000000"/>
        </w:rPr>
      </w:pPr>
      <w:r>
        <w:rPr>
          <w:rFonts w:ascii="標楷體" w:eastAsia="標楷體" w:hAnsi="標楷體"/>
          <w:color w:val="000000"/>
        </w:rPr>
        <w:t>1.限用於其他抗癲癇藥物無法有效控制之局部癲癇發作之輔助治療(add on therapy)或作為第二線之單一藥物治療。</w:t>
      </w:r>
    </w:p>
    <w:p w14:paraId="59C45F94" w14:textId="77777777" w:rsidR="00BD776B" w:rsidRDefault="00DF0C24">
      <w:pPr>
        <w:ind w:left="849" w:hanging="283"/>
        <w:rPr>
          <w:rFonts w:ascii="標楷體" w:eastAsia="標楷體" w:hAnsi="標楷體"/>
          <w:color w:val="000000"/>
        </w:rPr>
      </w:pPr>
      <w:r>
        <w:rPr>
          <w:rFonts w:ascii="標楷體" w:eastAsia="標楷體" w:hAnsi="標楷體"/>
          <w:color w:val="000000"/>
        </w:rPr>
        <w:t>2.用於預防偏頭痛之治療：(94/3/1、94/9/1、95/1/1、99/5/1、99/10/1、110/12/1）</w:t>
      </w:r>
    </w:p>
    <w:p w14:paraId="5D939997" w14:textId="77777777" w:rsidR="00BD776B" w:rsidRDefault="00DF0C24">
      <w:pPr>
        <w:ind w:left="806"/>
        <w:rPr>
          <w:rFonts w:ascii="標楷體" w:eastAsia="標楷體" w:hAnsi="標楷體"/>
          <w:color w:val="000000"/>
        </w:rPr>
      </w:pPr>
      <w:r>
        <w:rPr>
          <w:rFonts w:ascii="標楷體" w:eastAsia="標楷體" w:hAnsi="標楷體"/>
          <w:color w:val="000000"/>
        </w:rPr>
        <w:t>(1)限符合國際頭痛協會偏頭痛診斷標準並有以下任一狀況之偏頭痛患者，且對現有預防藥物療效不佳或無法忍受副作用或有使用禁忌者使用。</w:t>
      </w:r>
    </w:p>
    <w:p w14:paraId="0278141F" w14:textId="77777777" w:rsidR="00BD776B" w:rsidRDefault="00DF0C24">
      <w:pPr>
        <w:ind w:left="806"/>
        <w:rPr>
          <w:rFonts w:ascii="標楷體" w:eastAsia="標楷體" w:hAnsi="標楷體"/>
          <w:color w:val="000000"/>
        </w:rPr>
      </w:pPr>
      <w:r>
        <w:rPr>
          <w:rFonts w:ascii="標楷體" w:eastAsia="標楷體" w:hAnsi="標楷體"/>
          <w:color w:val="000000"/>
        </w:rPr>
        <w:t xml:space="preserve">  I.即使使用急性藥物，反覆發作偏頭痛已嚴重影響到患者的日常生活。</w:t>
      </w:r>
    </w:p>
    <w:p w14:paraId="53A889B4" w14:textId="77777777" w:rsidR="00BD776B" w:rsidRDefault="00DF0C24">
      <w:pPr>
        <w:ind w:left="1416" w:hanging="612"/>
        <w:rPr>
          <w:rFonts w:ascii="標楷體" w:eastAsia="標楷體" w:hAnsi="標楷體"/>
          <w:color w:val="000000"/>
        </w:rPr>
      </w:pPr>
      <w:r>
        <w:rPr>
          <w:rFonts w:ascii="標楷體" w:eastAsia="標楷體" w:hAnsi="標楷體"/>
          <w:color w:val="000000"/>
        </w:rPr>
        <w:t xml:space="preserve">  Ⅱ.特殊病例，如偏癱性偏頭痛、基底性偏頭痛、偏頭痛之前預兆時間過長或是偏頭痛梗塞等。</w:t>
      </w:r>
    </w:p>
    <w:p w14:paraId="03B7B130" w14:textId="77777777" w:rsidR="00BD776B" w:rsidRDefault="00DF0C24">
      <w:pPr>
        <w:ind w:left="806"/>
        <w:rPr>
          <w:rFonts w:ascii="標楷體" w:eastAsia="標楷體" w:hAnsi="標楷體"/>
          <w:color w:val="000000"/>
        </w:rPr>
      </w:pPr>
      <w:r>
        <w:rPr>
          <w:rFonts w:ascii="標楷體" w:eastAsia="標楷體" w:hAnsi="標楷體"/>
          <w:color w:val="000000"/>
        </w:rPr>
        <w:lastRenderedPageBreak/>
        <w:t xml:space="preserve">  Ⅲ.偏頭痛發作頻繁，每星期2次(含)以上。</w:t>
      </w:r>
    </w:p>
    <w:p w14:paraId="39152D0B" w14:textId="77777777" w:rsidR="00BD776B" w:rsidRDefault="00DF0C24">
      <w:pPr>
        <w:ind w:left="806"/>
        <w:rPr>
          <w:rFonts w:ascii="標楷體" w:eastAsia="標楷體" w:hAnsi="標楷體"/>
          <w:color w:val="000000"/>
        </w:rPr>
      </w:pPr>
      <w:r>
        <w:rPr>
          <w:rFonts w:ascii="標楷體" w:eastAsia="標楷體" w:hAnsi="標楷體"/>
          <w:color w:val="000000"/>
        </w:rPr>
        <w:t xml:space="preserve">(2)Topiramate每日治療劑量超過100mg時，需於病歷詳細記載使用理 </w:t>
      </w:r>
    </w:p>
    <w:p w14:paraId="7C6DD815" w14:textId="77777777" w:rsidR="00BD776B" w:rsidRDefault="00DF0C24">
      <w:pPr>
        <w:ind w:left="806"/>
        <w:rPr>
          <w:rFonts w:ascii="標楷體" w:eastAsia="標楷體" w:hAnsi="標楷體"/>
          <w:color w:val="000000"/>
        </w:rPr>
      </w:pPr>
      <w:r>
        <w:rPr>
          <w:rFonts w:ascii="標楷體" w:eastAsia="標楷體" w:hAnsi="標楷體"/>
          <w:color w:val="000000"/>
        </w:rPr>
        <w:t xml:space="preserve">   由。</w:t>
      </w:r>
    </w:p>
    <w:p w14:paraId="1D079CB6" w14:textId="77777777" w:rsidR="00BD776B" w:rsidRDefault="00DF0C24">
      <w:pPr>
        <w:ind w:left="284" w:hanging="1"/>
        <w:rPr>
          <w:rFonts w:ascii="標楷體" w:eastAsia="標楷體" w:hAnsi="標楷體"/>
          <w:color w:val="000000"/>
        </w:rPr>
      </w:pPr>
      <w:r>
        <w:rPr>
          <w:rFonts w:ascii="標楷體" w:eastAsia="標楷體" w:hAnsi="標楷體"/>
          <w:color w:val="000000"/>
        </w:rPr>
        <w:t>1.3.2.4.Levetiracetam（101/6/1、102/10/1、108/5/1、111/2/1)</w:t>
      </w:r>
    </w:p>
    <w:p w14:paraId="4813A7FE" w14:textId="77777777" w:rsidR="00BD776B" w:rsidRDefault="00DF0C24">
      <w:pPr>
        <w:ind w:left="567" w:hanging="1"/>
        <w:rPr>
          <w:rFonts w:ascii="標楷體" w:eastAsia="標楷體" w:hAnsi="標楷體"/>
          <w:color w:val="000000"/>
        </w:rPr>
      </w:pPr>
      <w:r>
        <w:rPr>
          <w:rFonts w:ascii="標楷體" w:eastAsia="標楷體" w:hAnsi="標楷體"/>
          <w:color w:val="000000"/>
        </w:rPr>
        <w:t>1.一般錠劑膠囊劑（如Keppra Film-Coated Tablets）：（97/1/1、101/6/1)</w:t>
      </w:r>
    </w:p>
    <w:p w14:paraId="352085C1" w14:textId="77777777" w:rsidR="00BD776B" w:rsidRDefault="00DF0C24">
      <w:pPr>
        <w:ind w:left="851" w:hanging="1"/>
        <w:rPr>
          <w:rFonts w:ascii="標楷體" w:eastAsia="標楷體" w:hAnsi="標楷體"/>
          <w:color w:val="000000"/>
        </w:rPr>
      </w:pPr>
      <w:r>
        <w:rPr>
          <w:rFonts w:ascii="標楷體" w:eastAsia="標楷體" w:hAnsi="標楷體"/>
          <w:color w:val="000000"/>
        </w:rPr>
        <w:t>(1)限用於其他抗癲癇藥物無法有效控制之局部癲癇發作之輔助性治療 (add on therapy) 或作為第二線之單一藥物治療。</w:t>
      </w:r>
    </w:p>
    <w:p w14:paraId="3BB805B8" w14:textId="77777777" w:rsidR="00BD776B" w:rsidRDefault="00DF0C24">
      <w:pPr>
        <w:ind w:left="851" w:hanging="1"/>
        <w:rPr>
          <w:rFonts w:ascii="標楷體" w:eastAsia="標楷體" w:hAnsi="標楷體"/>
          <w:color w:val="000000"/>
        </w:rPr>
      </w:pPr>
      <w:r>
        <w:rPr>
          <w:rFonts w:ascii="標楷體" w:eastAsia="標楷體" w:hAnsi="標楷體"/>
          <w:color w:val="000000"/>
        </w:rPr>
        <w:t>(2)12歲以上病患之肌抽躍性癲癇發作之輔助治療(111/2/1)。</w:t>
      </w:r>
    </w:p>
    <w:p w14:paraId="1DC03E0F" w14:textId="77777777" w:rsidR="00BD776B" w:rsidRDefault="00DF0C24">
      <w:pPr>
        <w:ind w:left="567" w:hanging="1"/>
        <w:rPr>
          <w:rFonts w:ascii="標楷體" w:eastAsia="標楷體" w:hAnsi="標楷體"/>
          <w:color w:val="000000"/>
        </w:rPr>
      </w:pPr>
      <w:r>
        <w:rPr>
          <w:rFonts w:ascii="標楷體" w:eastAsia="標楷體" w:hAnsi="標楷體"/>
          <w:color w:val="000000"/>
        </w:rPr>
        <w:t>2.緩釋錠劑膠囊劑：（101/6/1、108/5/1）</w:t>
      </w:r>
    </w:p>
    <w:p w14:paraId="73199399" w14:textId="77777777" w:rsidR="00BD776B" w:rsidRDefault="00DF0C24">
      <w:pPr>
        <w:ind w:left="851" w:hanging="1"/>
        <w:rPr>
          <w:rFonts w:ascii="標楷體" w:eastAsia="標楷體" w:hAnsi="標楷體"/>
          <w:color w:val="000000"/>
        </w:rPr>
      </w:pPr>
      <w:r>
        <w:rPr>
          <w:rFonts w:ascii="標楷體" w:eastAsia="標楷體" w:hAnsi="標楷體"/>
          <w:color w:val="000000"/>
        </w:rPr>
        <w:t>限使用於16歲以上病患之局部癲癇發作之輔助治療(111/2/1)。</w:t>
      </w:r>
    </w:p>
    <w:p w14:paraId="37403FBB" w14:textId="77777777" w:rsidR="00BD776B" w:rsidRDefault="00DF0C24">
      <w:pPr>
        <w:ind w:left="811" w:hanging="245"/>
        <w:rPr>
          <w:rFonts w:ascii="標楷體" w:eastAsia="標楷體" w:hAnsi="標楷體"/>
          <w:color w:val="000000"/>
        </w:rPr>
      </w:pPr>
      <w:r>
        <w:rPr>
          <w:rFonts w:ascii="標楷體" w:eastAsia="標楷體" w:hAnsi="標楷體"/>
          <w:color w:val="000000"/>
        </w:rPr>
        <w:t>3.口服液劑（如Keppra Oral Solution）：（97/4/1）</w:t>
      </w:r>
    </w:p>
    <w:p w14:paraId="36D9B92F" w14:textId="77777777" w:rsidR="00BD776B" w:rsidRDefault="00DF0C24">
      <w:pPr>
        <w:ind w:left="798" w:hanging="1"/>
        <w:rPr>
          <w:rFonts w:ascii="標楷體" w:eastAsia="標楷體" w:hAnsi="標楷體"/>
          <w:color w:val="000000"/>
        </w:rPr>
      </w:pPr>
      <w:r>
        <w:rPr>
          <w:rFonts w:ascii="標楷體" w:eastAsia="標楷體" w:hAnsi="標楷體"/>
          <w:color w:val="000000"/>
        </w:rPr>
        <w:t>限用於其他抗癲癇藥物無法有效控制之局部癲癇發作之輔助性治療 (add on therapy)。</w:t>
      </w:r>
    </w:p>
    <w:p w14:paraId="59A20827" w14:textId="77777777" w:rsidR="00BD776B" w:rsidRDefault="00DF0C24">
      <w:pPr>
        <w:ind w:left="811" w:hanging="245"/>
        <w:rPr>
          <w:rFonts w:ascii="標楷體" w:eastAsia="標楷體" w:hAnsi="標楷體"/>
          <w:color w:val="000000"/>
        </w:rPr>
      </w:pPr>
      <w:r>
        <w:rPr>
          <w:rFonts w:ascii="標楷體" w:eastAsia="標楷體" w:hAnsi="標楷體"/>
          <w:color w:val="000000"/>
        </w:rPr>
        <w:t>4.注射劑（如Keppra 濃縮輸注液）：（101/3/1、102/10/1）</w:t>
      </w:r>
    </w:p>
    <w:p w14:paraId="381FB655" w14:textId="77777777" w:rsidR="00BD776B" w:rsidRDefault="00DF0C24">
      <w:pPr>
        <w:ind w:left="811" w:firstLine="1"/>
        <w:rPr>
          <w:rFonts w:ascii="標楷體" w:eastAsia="標楷體" w:hAnsi="標楷體"/>
          <w:color w:val="000000"/>
        </w:rPr>
      </w:pPr>
      <w:r>
        <w:rPr>
          <w:rFonts w:ascii="標楷體" w:eastAsia="標楷體" w:hAnsi="標楷體"/>
          <w:color w:val="000000"/>
        </w:rPr>
        <w:t>限癲癇症病患使用，且符合以下其中之一項者使用：</w:t>
      </w:r>
    </w:p>
    <w:p w14:paraId="33A29F84" w14:textId="77777777" w:rsidR="00BD776B" w:rsidRDefault="00DF0C24">
      <w:pPr>
        <w:ind w:left="1133" w:hanging="281"/>
        <w:rPr>
          <w:rFonts w:ascii="標楷體" w:eastAsia="標楷體" w:hAnsi="標楷體"/>
          <w:color w:val="000000"/>
        </w:rPr>
      </w:pPr>
      <w:r>
        <w:rPr>
          <w:rFonts w:ascii="標楷體" w:eastAsia="標楷體" w:hAnsi="標楷體"/>
          <w:color w:val="000000"/>
        </w:rPr>
        <w:t>(1)對phenytoin注射劑無效或無法忍受phenytoin副作用且無法口服levetiracetam之病患。</w:t>
      </w:r>
    </w:p>
    <w:p w14:paraId="00CE4D1E" w14:textId="77777777" w:rsidR="00BD776B" w:rsidRDefault="00DF0C24">
      <w:pPr>
        <w:ind w:left="1133" w:hanging="281"/>
        <w:rPr>
          <w:rFonts w:ascii="標楷體" w:eastAsia="標楷體" w:hAnsi="標楷體"/>
          <w:color w:val="000000"/>
        </w:rPr>
      </w:pPr>
      <w:r>
        <w:rPr>
          <w:rFonts w:ascii="標楷體" w:eastAsia="標楷體" w:hAnsi="標楷體"/>
          <w:color w:val="000000"/>
        </w:rPr>
        <w:t>(2)癲癇連續發作 (Seizure clusters) 之病患。</w:t>
      </w:r>
    </w:p>
    <w:p w14:paraId="05713A4A" w14:textId="77777777" w:rsidR="00BD776B" w:rsidRDefault="00DF0C24">
      <w:pPr>
        <w:ind w:left="1133" w:hanging="281"/>
        <w:rPr>
          <w:rFonts w:ascii="標楷體" w:eastAsia="標楷體" w:hAnsi="標楷體"/>
          <w:color w:val="000000"/>
        </w:rPr>
      </w:pPr>
      <w:r>
        <w:rPr>
          <w:rFonts w:ascii="標楷體" w:eastAsia="標楷體" w:hAnsi="標楷體"/>
          <w:color w:val="000000"/>
        </w:rPr>
        <w:t>(3)癲癇重積狀態(Status epilepticus) 之病患。</w:t>
      </w:r>
    </w:p>
    <w:p w14:paraId="63D5D9CF" w14:textId="77777777" w:rsidR="00BD776B" w:rsidRDefault="00DF0C24">
      <w:pPr>
        <w:ind w:left="567" w:hanging="245"/>
        <w:rPr>
          <w:rFonts w:ascii="標楷體" w:eastAsia="標楷體" w:hAnsi="標楷體"/>
          <w:color w:val="000000"/>
        </w:rPr>
      </w:pPr>
      <w:r>
        <w:rPr>
          <w:rFonts w:ascii="標楷體" w:eastAsia="標楷體" w:hAnsi="標楷體"/>
          <w:color w:val="000000"/>
        </w:rPr>
        <w:t>1.3.2.5.Lamotrigine (如Lamictal) （97/10/1、111/2/1)</w:t>
      </w:r>
    </w:p>
    <w:p w14:paraId="1E11D6FD" w14:textId="77777777" w:rsidR="00BD776B" w:rsidRDefault="00DF0C24">
      <w:pPr>
        <w:ind w:left="811" w:hanging="245"/>
        <w:rPr>
          <w:rFonts w:ascii="標楷體" w:eastAsia="標楷體" w:hAnsi="標楷體"/>
          <w:color w:val="000000"/>
        </w:rPr>
      </w:pPr>
      <w:r>
        <w:rPr>
          <w:rFonts w:ascii="標楷體" w:eastAsia="標楷體" w:hAnsi="標楷體"/>
          <w:color w:val="000000"/>
        </w:rPr>
        <w:t>限下列病患使用：</w:t>
      </w:r>
    </w:p>
    <w:p w14:paraId="2D717B02"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1.限用於其他抗癲癇藥物無法有效控制之局部癲癇發作之輔助性治療(add on therapy)或作為第二線之單一藥物治療。</w:t>
      </w:r>
    </w:p>
    <w:p w14:paraId="7588C00F" w14:textId="77777777" w:rsidR="00BD776B" w:rsidRDefault="00DF0C24">
      <w:pPr>
        <w:ind w:left="811" w:hanging="245"/>
        <w:rPr>
          <w:rFonts w:ascii="標楷體" w:eastAsia="標楷體" w:hAnsi="標楷體"/>
          <w:color w:val="000000"/>
        </w:rPr>
      </w:pPr>
      <w:r>
        <w:rPr>
          <w:rFonts w:ascii="標楷體" w:eastAsia="標楷體" w:hAnsi="標楷體"/>
          <w:color w:val="000000"/>
        </w:rPr>
        <w:t>2.限使用於18歲以上且為雙極性疾患者，並依下列原則使用(111/2/1)：</w:t>
      </w:r>
    </w:p>
    <w:p w14:paraId="1A3CF277" w14:textId="77777777" w:rsidR="00BD776B" w:rsidRDefault="00DF0C24">
      <w:pPr>
        <w:ind w:left="1049" w:hanging="341"/>
        <w:rPr>
          <w:rFonts w:ascii="標楷體" w:eastAsia="標楷體" w:hAnsi="標楷體"/>
          <w:color w:val="000000"/>
        </w:rPr>
      </w:pPr>
      <w:r>
        <w:rPr>
          <w:rFonts w:ascii="標楷體" w:eastAsia="標楷體" w:hAnsi="標楷體"/>
          <w:color w:val="000000"/>
        </w:rPr>
        <w:t>(1)急性鬱期: 限使用於鋰鹽、carbamazepine、valproate 藥品治療療效不佳或治療後由鬱症轉為躁症之個案。</w:t>
      </w:r>
    </w:p>
    <w:p w14:paraId="2F2E922D" w14:textId="77777777" w:rsidR="00BD776B" w:rsidRDefault="00DF0C24">
      <w:pPr>
        <w:ind w:left="1049" w:hanging="341"/>
        <w:rPr>
          <w:rFonts w:ascii="標楷體" w:eastAsia="標楷體" w:hAnsi="標楷體"/>
          <w:color w:val="000000"/>
        </w:rPr>
      </w:pPr>
      <w:r>
        <w:rPr>
          <w:rFonts w:ascii="標楷體" w:eastAsia="標楷體" w:hAnsi="標楷體"/>
          <w:color w:val="000000"/>
        </w:rPr>
        <w:t>(2)雙極性疾患之鬱症預防: 限使用於鋰鹽、carbamazepine、valproate 藥品治療療效不佳或無法耐受其副作用者，單純用於躁症預防者不得使用。</w:t>
      </w:r>
    </w:p>
    <w:p w14:paraId="28AAA51C" w14:textId="77777777" w:rsidR="00BD776B" w:rsidRDefault="00DF0C24">
      <w:pPr>
        <w:ind w:left="1049" w:hanging="341"/>
        <w:rPr>
          <w:rFonts w:ascii="標楷體" w:eastAsia="標楷體" w:hAnsi="標楷體"/>
          <w:color w:val="000000"/>
        </w:rPr>
      </w:pPr>
      <w:r>
        <w:rPr>
          <w:rFonts w:ascii="標楷體" w:eastAsia="標楷體" w:hAnsi="標楷體"/>
          <w:color w:val="000000"/>
        </w:rPr>
        <w:t>(3)日劑量超過200mg時，需於病歷記載理由。</w:t>
      </w:r>
    </w:p>
    <w:p w14:paraId="358CF811" w14:textId="77777777" w:rsidR="00BD776B" w:rsidRDefault="00DF0C24">
      <w:pPr>
        <w:ind w:left="672" w:hanging="386"/>
        <w:rPr>
          <w:rFonts w:ascii="標楷體" w:eastAsia="標楷體" w:hAnsi="標楷體"/>
          <w:color w:val="000000"/>
        </w:rPr>
      </w:pPr>
      <w:r>
        <w:rPr>
          <w:rFonts w:ascii="標楷體" w:eastAsia="標楷體" w:hAnsi="標楷體"/>
          <w:color w:val="000000"/>
        </w:rPr>
        <w:t>1.3.2.6 Carbamazepine（100/8/1）</w:t>
      </w:r>
    </w:p>
    <w:p w14:paraId="7C15764B" w14:textId="77777777" w:rsidR="00BD776B" w:rsidRDefault="00DF0C24">
      <w:pPr>
        <w:ind w:left="811" w:hanging="245"/>
        <w:rPr>
          <w:rFonts w:ascii="標楷體" w:eastAsia="標楷體" w:hAnsi="標楷體"/>
          <w:color w:val="000000"/>
        </w:rPr>
      </w:pPr>
      <w:r>
        <w:rPr>
          <w:rFonts w:ascii="標楷體" w:eastAsia="標楷體" w:hAnsi="標楷體"/>
          <w:color w:val="000000"/>
        </w:rPr>
        <w:t>1.使用於新病患：</w:t>
      </w:r>
    </w:p>
    <w:p w14:paraId="5E681E72" w14:textId="77777777" w:rsidR="00BD776B" w:rsidRDefault="00DF0C24">
      <w:pPr>
        <w:ind w:left="1049" w:hanging="341"/>
        <w:rPr>
          <w:rFonts w:ascii="標楷體" w:eastAsia="標楷體" w:hAnsi="標楷體"/>
          <w:color w:val="000000"/>
        </w:rPr>
      </w:pPr>
      <w:r>
        <w:rPr>
          <w:rFonts w:ascii="標楷體" w:eastAsia="標楷體" w:hAnsi="標楷體"/>
          <w:color w:val="000000"/>
        </w:rPr>
        <w:t>(1)處方使用carbamazepine成分藥品之前，應先檢查病患IC健保卡是否已註記曾檢測帶有HLA-B 1502基因，檢測結果為陽性者，不得開立carbamazepine成分藥品之處方。</w:t>
      </w:r>
    </w:p>
    <w:p w14:paraId="5B64D75A" w14:textId="77777777" w:rsidR="00BD776B" w:rsidRDefault="00DF0C24">
      <w:pPr>
        <w:ind w:left="1049" w:hanging="341"/>
        <w:rPr>
          <w:rFonts w:ascii="標楷體" w:eastAsia="標楷體" w:hAnsi="標楷體"/>
          <w:color w:val="000000"/>
        </w:rPr>
      </w:pPr>
      <w:r>
        <w:rPr>
          <w:rFonts w:ascii="標楷體" w:eastAsia="標楷體" w:hAnsi="標楷體"/>
          <w:color w:val="000000"/>
        </w:rPr>
        <w:t>(2)醫師欲為病患處方carbamazepine成分藥品前，應先詢問病患是否對該藥品有過敏病史，若為不確認者或未檢測者，宜先行作HLA-B 1502基因檢測。</w:t>
      </w:r>
    </w:p>
    <w:p w14:paraId="46A66CAA" w14:textId="77777777" w:rsidR="00BD776B" w:rsidRDefault="00DF0C24">
      <w:pPr>
        <w:ind w:left="811" w:hanging="245"/>
        <w:rPr>
          <w:rFonts w:ascii="標楷體" w:eastAsia="標楷體" w:hAnsi="標楷體"/>
          <w:color w:val="000000"/>
        </w:rPr>
      </w:pPr>
      <w:r>
        <w:rPr>
          <w:rFonts w:ascii="標楷體" w:eastAsia="標楷體" w:hAnsi="標楷體"/>
          <w:color w:val="000000"/>
        </w:rPr>
        <w:t>2.使用於舊病患：</w:t>
      </w:r>
    </w:p>
    <w:p w14:paraId="79A38ED8" w14:textId="77777777" w:rsidR="00BD776B" w:rsidRDefault="00DF0C24">
      <w:pPr>
        <w:ind w:left="798" w:hanging="1"/>
        <w:rPr>
          <w:rFonts w:ascii="標楷體" w:eastAsia="標楷體" w:hAnsi="標楷體"/>
          <w:color w:val="000000"/>
        </w:rPr>
      </w:pPr>
      <w:r>
        <w:rPr>
          <w:rFonts w:ascii="標楷體" w:eastAsia="標楷體" w:hAnsi="標楷體"/>
          <w:color w:val="000000"/>
        </w:rPr>
        <w:t>若病患已服用4個月以上，且確認未曾出現喉嚨痛、嘴巴破或皮膚症狀（如分散的斑點或斑丘疹症狀）等類似Steven-Johnson症候群或其他不良反應時，可依病情繼續處方治療，但仍需提醒病患注意上述症狀之發生。</w:t>
      </w:r>
    </w:p>
    <w:p w14:paraId="12ABF38D" w14:textId="77777777" w:rsidR="00BD776B" w:rsidRDefault="00DF0C24">
      <w:pPr>
        <w:ind w:left="811" w:hanging="245"/>
        <w:rPr>
          <w:rFonts w:ascii="標楷體" w:eastAsia="標楷體" w:hAnsi="標楷體"/>
          <w:color w:val="000000"/>
        </w:rPr>
      </w:pPr>
      <w:r>
        <w:rPr>
          <w:rFonts w:ascii="標楷體" w:eastAsia="標楷體" w:hAnsi="標楷體"/>
          <w:color w:val="000000"/>
        </w:rPr>
        <w:t>3.醫師為病患處方使用carbamazepine成分藥品，以日劑藥費申報者，應依規定詳實申報處方明細。</w:t>
      </w:r>
    </w:p>
    <w:p w14:paraId="69AB1E18" w14:textId="77777777" w:rsidR="00BD776B" w:rsidRDefault="00DF0C24">
      <w:pPr>
        <w:ind w:left="283"/>
      </w:pPr>
      <w:r>
        <w:rPr>
          <w:rFonts w:ascii="標楷體" w:eastAsia="標楷體" w:hAnsi="標楷體"/>
          <w:color w:val="000000"/>
        </w:rPr>
        <w:lastRenderedPageBreak/>
        <w:t>1.3.2.7.Rufinamide (如Inovelon) (106/5/1</w:t>
      </w:r>
      <w:r>
        <w:rPr>
          <w:rFonts w:ascii="新細明體" w:hAnsi="新細明體"/>
          <w:color w:val="000000"/>
        </w:rPr>
        <w:t>、</w:t>
      </w:r>
      <w:r>
        <w:rPr>
          <w:rFonts w:ascii="標楷體" w:eastAsia="標楷體" w:hAnsi="標楷體"/>
          <w:color w:val="000000"/>
        </w:rPr>
        <w:t>110/5/1)</w:t>
      </w:r>
    </w:p>
    <w:p w14:paraId="64AE6F8F" w14:textId="77777777" w:rsidR="00BD776B" w:rsidRDefault="00DF0C24">
      <w:pPr>
        <w:ind w:left="811"/>
        <w:rPr>
          <w:rFonts w:ascii="標楷體" w:eastAsia="標楷體" w:hAnsi="標楷體"/>
          <w:color w:val="000000"/>
        </w:rPr>
      </w:pPr>
      <w:r>
        <w:rPr>
          <w:rFonts w:ascii="標楷體" w:eastAsia="標楷體" w:hAnsi="標楷體"/>
          <w:color w:val="000000"/>
        </w:rPr>
        <w:t>限用於1歲以上病患之Lennox-Gastaut症候群相關癲癇發作之輔助治療，且使用lamotrigine、topiramate無效或無法耐受副作用者。</w:t>
      </w:r>
    </w:p>
    <w:p w14:paraId="12FAAFEC" w14:textId="77777777" w:rsidR="00BD776B" w:rsidRDefault="00DF0C24">
      <w:pPr>
        <w:ind w:left="283"/>
        <w:rPr>
          <w:rFonts w:ascii="標楷體" w:eastAsia="標楷體" w:hAnsi="標楷體"/>
          <w:color w:val="000000"/>
        </w:rPr>
      </w:pPr>
      <w:r>
        <w:rPr>
          <w:rFonts w:ascii="標楷體" w:eastAsia="標楷體" w:hAnsi="標楷體"/>
          <w:color w:val="000000"/>
        </w:rPr>
        <w:t>1.3.2.8.Zonisamide(如Zonegran) (107/2/1)</w:t>
      </w:r>
    </w:p>
    <w:p w14:paraId="363BA496" w14:textId="77777777" w:rsidR="00BD776B" w:rsidRDefault="00DF0C24">
      <w:pPr>
        <w:ind w:left="811"/>
        <w:rPr>
          <w:rFonts w:ascii="標楷體" w:eastAsia="標楷體" w:hAnsi="標楷體"/>
          <w:color w:val="000000"/>
        </w:rPr>
      </w:pPr>
      <w:r>
        <w:rPr>
          <w:rFonts w:ascii="標楷體" w:eastAsia="標楷體" w:hAnsi="標楷體"/>
          <w:color w:val="000000"/>
        </w:rPr>
        <w:t>限用於其他抗癲癇藥物無法有效控制之局部癲癇發作之輔助性治療(add on therapy)或作為新診斷成人局部癲癇發作之單一藥物治療。</w:t>
      </w:r>
    </w:p>
    <w:p w14:paraId="2925DCA5" w14:textId="77777777" w:rsidR="00BD776B" w:rsidRDefault="00DF0C24">
      <w:pPr>
        <w:ind w:left="672" w:hanging="386"/>
        <w:rPr>
          <w:rFonts w:ascii="標楷體" w:eastAsia="標楷體" w:hAnsi="標楷體"/>
          <w:color w:val="000000"/>
        </w:rPr>
      </w:pPr>
      <w:r>
        <w:rPr>
          <w:rFonts w:ascii="標楷體" w:eastAsia="標楷體" w:hAnsi="標楷體"/>
          <w:color w:val="000000"/>
        </w:rPr>
        <w:t>1.3.2.9. Lacosamide (107/8/1）</w:t>
      </w:r>
    </w:p>
    <w:p w14:paraId="2C8E6ABA" w14:textId="77777777" w:rsidR="00BD776B" w:rsidRDefault="00DF0C24">
      <w:pPr>
        <w:ind w:left="811" w:hanging="245"/>
        <w:rPr>
          <w:rFonts w:ascii="標楷體" w:eastAsia="標楷體" w:hAnsi="標楷體"/>
          <w:color w:val="000000"/>
        </w:rPr>
      </w:pPr>
      <w:r>
        <w:rPr>
          <w:rFonts w:ascii="標楷體" w:eastAsia="標楷體" w:hAnsi="標楷體"/>
          <w:color w:val="000000"/>
        </w:rPr>
        <w:t>1.一般錠劑膠囊劑(如Vimpat  film-coated tablets)：限用於其他抗癲癇藥物無法有效控制之局部癲癇發作之輔助性治療(add on therapy)。</w:t>
      </w:r>
    </w:p>
    <w:p w14:paraId="6EA131AB" w14:textId="77777777" w:rsidR="00BD776B" w:rsidRDefault="00DF0C24">
      <w:pPr>
        <w:ind w:left="811" w:hanging="245"/>
        <w:rPr>
          <w:rFonts w:ascii="標楷體" w:eastAsia="標楷體" w:hAnsi="標楷體"/>
          <w:color w:val="000000"/>
        </w:rPr>
      </w:pPr>
      <w:r>
        <w:rPr>
          <w:rFonts w:ascii="標楷體" w:eastAsia="標楷體" w:hAnsi="標楷體"/>
          <w:color w:val="000000"/>
        </w:rPr>
        <w:t>2.注射劑(如Vimpat solution for infusion)：</w:t>
      </w:r>
    </w:p>
    <w:p w14:paraId="38FB4DA1" w14:textId="77777777" w:rsidR="00BD776B" w:rsidRDefault="00DF0C24">
      <w:pPr>
        <w:ind w:left="1051" w:hanging="245"/>
        <w:rPr>
          <w:rFonts w:ascii="標楷體" w:eastAsia="標楷體" w:hAnsi="標楷體"/>
          <w:color w:val="000000"/>
        </w:rPr>
      </w:pPr>
      <w:r>
        <w:rPr>
          <w:rFonts w:ascii="標楷體" w:eastAsia="標楷體" w:hAnsi="標楷體"/>
          <w:color w:val="000000"/>
        </w:rPr>
        <w:t>限癲癇症病患使用，且符合以下其中之一項者使用：</w:t>
      </w:r>
    </w:p>
    <w:p w14:paraId="1BDDF188" w14:textId="77777777" w:rsidR="00BD776B" w:rsidRDefault="00DF0C24">
      <w:pPr>
        <w:ind w:left="1049" w:hanging="341"/>
        <w:rPr>
          <w:rFonts w:ascii="標楷體" w:eastAsia="標楷體" w:hAnsi="標楷體"/>
          <w:color w:val="000000"/>
        </w:rPr>
      </w:pPr>
      <w:r>
        <w:rPr>
          <w:rFonts w:ascii="標楷體" w:eastAsia="標楷體" w:hAnsi="標楷體"/>
          <w:color w:val="000000"/>
        </w:rPr>
        <w:t>(1)對phenytoin注射劑無效或無法忍受phenytoin副作用且無法口服lacosamide之病患。</w:t>
      </w:r>
    </w:p>
    <w:p w14:paraId="2C87B24B" w14:textId="77777777" w:rsidR="00BD776B" w:rsidRDefault="00DF0C24">
      <w:pPr>
        <w:ind w:left="1049" w:hanging="341"/>
        <w:rPr>
          <w:rFonts w:ascii="標楷體" w:eastAsia="標楷體" w:hAnsi="標楷體"/>
          <w:color w:val="000000"/>
        </w:rPr>
      </w:pPr>
      <w:r>
        <w:rPr>
          <w:rFonts w:ascii="標楷體" w:eastAsia="標楷體" w:hAnsi="標楷體"/>
          <w:color w:val="000000"/>
        </w:rPr>
        <w:t>(2)癲癇連續發作(Seizure clusters)之病患。</w:t>
      </w:r>
    </w:p>
    <w:p w14:paraId="6CCFB073" w14:textId="77777777" w:rsidR="00BD776B" w:rsidRDefault="00DF0C24">
      <w:pPr>
        <w:ind w:left="1049" w:hanging="341"/>
        <w:rPr>
          <w:rFonts w:ascii="標楷體" w:eastAsia="標楷體" w:hAnsi="標楷體"/>
          <w:color w:val="000000"/>
        </w:rPr>
      </w:pPr>
      <w:r>
        <w:rPr>
          <w:rFonts w:ascii="標楷體" w:eastAsia="標楷體" w:hAnsi="標楷體"/>
          <w:color w:val="000000"/>
        </w:rPr>
        <w:t>(3)癲癇重積狀態(Status epilepticus)之病患。</w:t>
      </w:r>
    </w:p>
    <w:p w14:paraId="76B1175F" w14:textId="77777777" w:rsidR="00BD776B" w:rsidRDefault="00DF0C24">
      <w:pPr>
        <w:ind w:left="851" w:hanging="341"/>
        <w:rPr>
          <w:rFonts w:ascii="標楷體" w:eastAsia="標楷體" w:hAnsi="標楷體"/>
          <w:color w:val="000000"/>
        </w:rPr>
      </w:pPr>
      <w:r>
        <w:rPr>
          <w:rFonts w:ascii="標楷體" w:eastAsia="標楷體" w:hAnsi="標楷體"/>
          <w:color w:val="000000"/>
        </w:rPr>
        <w:t>1.3.2.10.Brivaracetam(如 Briviact)（110/1/1、111/3/1、112/3/1)</w:t>
      </w:r>
    </w:p>
    <w:p w14:paraId="02DA916D" w14:textId="77777777" w:rsidR="00BD776B" w:rsidRDefault="00DF0C24">
      <w:pPr>
        <w:ind w:left="1134" w:hanging="341"/>
        <w:rPr>
          <w:rFonts w:ascii="標楷體" w:eastAsia="標楷體" w:hAnsi="標楷體"/>
        </w:rPr>
      </w:pPr>
      <w:r>
        <w:rPr>
          <w:rFonts w:ascii="標楷體" w:eastAsia="標楷體" w:hAnsi="標楷體"/>
        </w:rPr>
        <w:t>1.一般錠劑膠囊劑（如Briviact Film-Coated Tablet)：（110/1/1、111/3/1)</w:t>
      </w:r>
    </w:p>
    <w:p w14:paraId="1609A418" w14:textId="77777777" w:rsidR="00BD776B" w:rsidRDefault="00DF0C24">
      <w:pPr>
        <w:ind w:left="993" w:hanging="341"/>
        <w:rPr>
          <w:rFonts w:ascii="標楷體" w:eastAsia="標楷體" w:hAnsi="標楷體"/>
        </w:rPr>
      </w:pPr>
      <w:r>
        <w:rPr>
          <w:rFonts w:ascii="標楷體" w:eastAsia="標楷體" w:hAnsi="標楷體"/>
        </w:rPr>
        <w:t>(1)限用於4歲以上經使用其他抗癲癇藥物後仍然無法有效控制之局部癲癇發作病人的單一療法或輔助性治療(addon therapy)。</w:t>
      </w:r>
    </w:p>
    <w:p w14:paraId="0AE8E79E" w14:textId="77777777" w:rsidR="00BD776B" w:rsidRDefault="00DF0C24">
      <w:pPr>
        <w:ind w:left="993" w:hanging="341"/>
        <w:rPr>
          <w:rFonts w:ascii="標楷體" w:eastAsia="標楷體" w:hAnsi="標楷體"/>
        </w:rPr>
      </w:pPr>
      <w:r>
        <w:rPr>
          <w:rFonts w:ascii="標楷體" w:eastAsia="標楷體" w:hAnsi="標楷體"/>
        </w:rPr>
        <w:t>(2)每日限使用2粒。</w:t>
      </w:r>
    </w:p>
    <w:p w14:paraId="240A5A0A" w14:textId="77777777" w:rsidR="00BD776B" w:rsidRDefault="00DF0C24">
      <w:pPr>
        <w:ind w:left="851" w:hanging="341"/>
        <w:rPr>
          <w:rFonts w:ascii="標楷體" w:eastAsia="標楷體" w:hAnsi="標楷體"/>
        </w:rPr>
      </w:pPr>
      <w:r>
        <w:rPr>
          <w:rFonts w:ascii="標楷體" w:eastAsia="標楷體" w:hAnsi="標楷體"/>
        </w:rPr>
        <w:t xml:space="preserve">2.注射劑（如Briviact Solution for Injection）：（111/3/1) </w:t>
      </w:r>
    </w:p>
    <w:p w14:paraId="3C2CE99B" w14:textId="77777777" w:rsidR="00BD776B" w:rsidRDefault="00DF0C24">
      <w:pPr>
        <w:ind w:left="851" w:hanging="341"/>
        <w:rPr>
          <w:rFonts w:ascii="標楷體" w:eastAsia="標楷體" w:hAnsi="標楷體"/>
        </w:rPr>
      </w:pPr>
      <w:r>
        <w:rPr>
          <w:rFonts w:ascii="標楷體" w:eastAsia="標楷體" w:hAnsi="標楷體"/>
        </w:rPr>
        <w:t>限用於16歲以上癲癇症病患且符合下列條件之一者使用：</w:t>
      </w:r>
    </w:p>
    <w:p w14:paraId="220AAD16" w14:textId="77777777" w:rsidR="00BD776B" w:rsidRDefault="00DF0C24">
      <w:pPr>
        <w:ind w:left="993" w:hanging="341"/>
        <w:rPr>
          <w:rFonts w:ascii="標楷體" w:eastAsia="標楷體" w:hAnsi="標楷體"/>
        </w:rPr>
      </w:pPr>
      <w:r>
        <w:rPr>
          <w:rFonts w:ascii="標楷體" w:eastAsia="標楷體" w:hAnsi="標楷體"/>
        </w:rPr>
        <w:t>(1)對phenytoin注射劑無效或無法忍受phenytoin副作用且無法口服bivaracetam之病患。</w:t>
      </w:r>
    </w:p>
    <w:p w14:paraId="0E9EED4D" w14:textId="77777777" w:rsidR="00BD776B" w:rsidRDefault="00DF0C24">
      <w:pPr>
        <w:ind w:left="993" w:hanging="341"/>
        <w:rPr>
          <w:rFonts w:ascii="標楷體" w:eastAsia="標楷體" w:hAnsi="標楷體"/>
        </w:rPr>
      </w:pPr>
      <w:r>
        <w:rPr>
          <w:rFonts w:ascii="標楷體" w:eastAsia="標楷體" w:hAnsi="標楷體"/>
        </w:rPr>
        <w:t>(2)癲癇連續發作（Seizure clusters）之病患。</w:t>
      </w:r>
    </w:p>
    <w:p w14:paraId="02026151" w14:textId="77777777" w:rsidR="00BD776B" w:rsidRDefault="00DF0C24">
      <w:pPr>
        <w:ind w:left="993" w:hanging="341"/>
        <w:rPr>
          <w:rFonts w:ascii="標楷體" w:eastAsia="標楷體" w:hAnsi="標楷體"/>
        </w:rPr>
      </w:pPr>
      <w:r>
        <w:rPr>
          <w:rFonts w:ascii="標楷體" w:eastAsia="標楷體" w:hAnsi="標楷體"/>
        </w:rPr>
        <w:t>(3)癲癇重積狀態（Status epilepticus）之病患。</w:t>
      </w:r>
    </w:p>
    <w:p w14:paraId="305C18B3" w14:textId="77777777" w:rsidR="00BD776B" w:rsidRDefault="00DF0C24">
      <w:pPr>
        <w:ind w:left="851" w:hanging="341"/>
        <w:rPr>
          <w:rFonts w:ascii="標楷體" w:eastAsia="標楷體" w:hAnsi="標楷體"/>
        </w:rPr>
      </w:pPr>
      <w:r>
        <w:rPr>
          <w:rFonts w:ascii="標楷體" w:eastAsia="標楷體" w:hAnsi="標楷體"/>
        </w:rPr>
        <w:t xml:space="preserve">3.口服液劑（如Briviact Oral Solution)：(112/3/1) </w:t>
      </w:r>
    </w:p>
    <w:p w14:paraId="582C4E50" w14:textId="77777777" w:rsidR="00BD776B" w:rsidRDefault="00DF0C24">
      <w:pPr>
        <w:ind w:left="756" w:hanging="246"/>
        <w:rPr>
          <w:rFonts w:ascii="標楷體" w:eastAsia="標楷體" w:hAnsi="標楷體"/>
        </w:rPr>
      </w:pPr>
      <w:r>
        <w:rPr>
          <w:rFonts w:ascii="標楷體" w:eastAsia="標楷體" w:hAnsi="標楷體"/>
        </w:rPr>
        <w:t xml:space="preserve">  限用於無法口服錠劑之4歲以上經使用其他抗癲癇藥物後仍然無法有效控制之局部癲癇發作病人的單一療法或輔助性治療(addon therapy)。</w:t>
      </w:r>
    </w:p>
    <w:p w14:paraId="36C54840" w14:textId="77777777" w:rsidR="00BD776B" w:rsidRDefault="00DF0C24">
      <w:pPr>
        <w:ind w:left="672" w:hanging="386"/>
        <w:rPr>
          <w:rFonts w:ascii="標楷體" w:eastAsia="標楷體" w:hAnsi="標楷體"/>
          <w:lang w:val="it-IT"/>
        </w:rPr>
      </w:pPr>
      <w:r>
        <w:rPr>
          <w:rFonts w:ascii="標楷體" w:eastAsia="標楷體" w:hAnsi="標楷體"/>
          <w:lang w:val="it-IT"/>
        </w:rPr>
        <w:t>1.3.2.11.Perampanel(如Fycompa)</w:t>
      </w:r>
    </w:p>
    <w:p w14:paraId="49719C63" w14:textId="77777777" w:rsidR="00BD776B" w:rsidRDefault="00DF0C24">
      <w:pPr>
        <w:ind w:left="811" w:hanging="245"/>
        <w:rPr>
          <w:rFonts w:ascii="標楷體" w:eastAsia="標楷體" w:hAnsi="標楷體"/>
          <w:lang w:val="it-IT"/>
        </w:rPr>
      </w:pPr>
      <w:r>
        <w:rPr>
          <w:rFonts w:ascii="標楷體" w:eastAsia="標楷體" w:hAnsi="標楷體"/>
          <w:lang w:val="it-IT"/>
        </w:rPr>
        <w:t>1.一般錠劑膠囊劑（如Fycompa Film-coated Tablets）：（104/6/1、110/5/1)</w:t>
      </w:r>
    </w:p>
    <w:p w14:paraId="26895357" w14:textId="77777777" w:rsidR="00BD776B" w:rsidRDefault="00DF0C24">
      <w:pPr>
        <w:ind w:left="710" w:hanging="960"/>
        <w:rPr>
          <w:rFonts w:ascii="標楷體" w:eastAsia="標楷體" w:hAnsi="標楷體"/>
          <w:lang w:val="it-IT"/>
        </w:rPr>
      </w:pPr>
      <w:r>
        <w:rPr>
          <w:rFonts w:ascii="標楷體" w:eastAsia="標楷體" w:hAnsi="標楷體"/>
          <w:lang w:val="it-IT"/>
        </w:rPr>
        <w:t xml:space="preserve">        限用於其他抗癲癇藥物無法有效控制之局部癲癇發作之輔助性治療 (add on therapy)。</w:t>
      </w:r>
    </w:p>
    <w:p w14:paraId="7D4EEE1E" w14:textId="77777777" w:rsidR="00BD776B" w:rsidRDefault="00DF0C24">
      <w:pPr>
        <w:rPr>
          <w:rFonts w:ascii="標楷體" w:eastAsia="標楷體" w:hAnsi="標楷體"/>
          <w:lang w:val="it-IT"/>
        </w:rPr>
      </w:pPr>
      <w:r>
        <w:rPr>
          <w:rFonts w:ascii="標楷體" w:eastAsia="標楷體" w:hAnsi="標楷體"/>
          <w:lang w:val="it-IT"/>
        </w:rPr>
        <w:t xml:space="preserve">     2.口服液劑（如Fycompa oral suspension）：（110/5/1)</w:t>
      </w:r>
    </w:p>
    <w:p w14:paraId="5811F9F8" w14:textId="77777777" w:rsidR="00BD776B" w:rsidRDefault="00DF0C24">
      <w:pPr>
        <w:ind w:left="1049" w:hanging="341"/>
        <w:rPr>
          <w:rFonts w:ascii="標楷體" w:eastAsia="標楷體" w:hAnsi="標楷體"/>
          <w:lang w:val="it-IT"/>
        </w:rPr>
      </w:pPr>
      <w:r>
        <w:rPr>
          <w:rFonts w:ascii="標楷體" w:eastAsia="標楷體" w:hAnsi="標楷體"/>
          <w:lang w:val="it-IT"/>
        </w:rPr>
        <w:t>(1)限用於其他抗癲癇藥物無法有效控制之局部癲癇發作之輔助性治療 (add on therapy)。</w:t>
      </w:r>
    </w:p>
    <w:p w14:paraId="44AF8FB6" w14:textId="77777777" w:rsidR="00BD776B" w:rsidRDefault="00DF0C24">
      <w:pPr>
        <w:ind w:left="1064" w:hanging="341"/>
        <w:rPr>
          <w:rFonts w:ascii="標楷體" w:eastAsia="標楷體" w:hAnsi="標楷體"/>
          <w:lang w:val="it-IT"/>
        </w:rPr>
      </w:pPr>
      <w:r>
        <w:rPr>
          <w:rFonts w:ascii="標楷體" w:eastAsia="標楷體" w:hAnsi="標楷體"/>
          <w:lang w:val="it-IT"/>
        </w:rPr>
        <w:t>(2)12歲以上成人及青少年患者原發型全身性強直陣攣癲癇發作併有原發性全身發作之輔助治療。</w:t>
      </w:r>
    </w:p>
    <w:p w14:paraId="1E29132F" w14:textId="77777777" w:rsidR="00BD776B" w:rsidRDefault="00DF0C24">
      <w:pPr>
        <w:ind w:left="567" w:hanging="281"/>
        <w:rPr>
          <w:rFonts w:ascii="標楷體" w:eastAsia="標楷體" w:hAnsi="標楷體"/>
          <w:szCs w:val="24"/>
        </w:rPr>
      </w:pPr>
      <w:r>
        <w:rPr>
          <w:rFonts w:ascii="標楷體" w:eastAsia="標楷體" w:hAnsi="標楷體"/>
          <w:szCs w:val="24"/>
        </w:rPr>
        <w:t>1.3.2.12.Stiripentol（如Diacomit）：（113/2/1）</w:t>
      </w:r>
    </w:p>
    <w:p w14:paraId="28D1B24A" w14:textId="77777777" w:rsidR="00BD776B" w:rsidRDefault="00DF0C24">
      <w:pPr>
        <w:ind w:left="807" w:hanging="281"/>
        <w:rPr>
          <w:rFonts w:ascii="標楷體" w:eastAsia="標楷體" w:hAnsi="標楷體"/>
          <w:szCs w:val="24"/>
        </w:rPr>
      </w:pPr>
      <w:r>
        <w:rPr>
          <w:rFonts w:ascii="標楷體" w:eastAsia="標楷體" w:hAnsi="標楷體"/>
          <w:szCs w:val="24"/>
        </w:rPr>
        <w:t>1.限用於經衛生福利部國民健康署認定之嬰兒期嚴重肌痙攣性癲癇(SMEI,Dravet syndrome)病人，並且合併服用clobazam及valproate兩種藥物無法充分控制癲癇發作時，併用本藥品作為輔助治療難治的全身性強直陣攣性發作</w:t>
      </w:r>
      <w:r>
        <w:rPr>
          <w:rFonts w:ascii="標楷體" w:eastAsia="標楷體" w:hAnsi="標楷體"/>
          <w:szCs w:val="24"/>
        </w:rPr>
        <w:lastRenderedPageBreak/>
        <w:t>(generalized tonic-clonic seizure)。</w:t>
      </w:r>
    </w:p>
    <w:p w14:paraId="0FB18DEA" w14:textId="77777777" w:rsidR="00BD776B" w:rsidRDefault="00DF0C24">
      <w:pPr>
        <w:ind w:left="807" w:hanging="281"/>
        <w:rPr>
          <w:rFonts w:ascii="標楷體" w:eastAsia="標楷體" w:hAnsi="標楷體"/>
          <w:szCs w:val="24"/>
        </w:rPr>
      </w:pPr>
      <w:r>
        <w:rPr>
          <w:rFonts w:ascii="標楷體" w:eastAsia="標楷體" w:hAnsi="標楷體"/>
          <w:szCs w:val="24"/>
        </w:rPr>
        <w:t>2.停止治療條件：在持續使用(含自費使用)1年後，若病人全身陣攣性及強直陣攣性發作頻率未比用藥前減少超過50%者，則應停止使用。</w:t>
      </w:r>
    </w:p>
    <w:p w14:paraId="299DF2FF" w14:textId="77777777" w:rsidR="00BD776B" w:rsidRDefault="00DF0C24">
      <w:pPr>
        <w:ind w:left="1126" w:hanging="360"/>
        <w:rPr>
          <w:rFonts w:ascii="標楷體" w:eastAsia="標楷體" w:hAnsi="標楷體"/>
          <w:szCs w:val="24"/>
        </w:rPr>
      </w:pPr>
      <w:r>
        <w:rPr>
          <w:rFonts w:ascii="標楷體" w:eastAsia="標楷體" w:hAnsi="標楷體"/>
          <w:szCs w:val="24"/>
        </w:rPr>
        <w:t>註：減少超過50%之定義為「【用藥前3個月之平均每個月全身陣攣性及強直陣攣性發作次數(a)-用藥後1年平均每個月全身性強直陣攣性發作次數(b)】/a」</w:t>
      </w:r>
    </w:p>
    <w:p w14:paraId="2B7FE1D3" w14:textId="77777777" w:rsidR="00BD776B" w:rsidRDefault="00DF0C24">
      <w:pPr>
        <w:ind w:left="807" w:hanging="281"/>
        <w:rPr>
          <w:rFonts w:ascii="標楷體" w:eastAsia="標楷體" w:hAnsi="標楷體"/>
          <w:szCs w:val="24"/>
        </w:rPr>
      </w:pPr>
      <w:r>
        <w:rPr>
          <w:rFonts w:ascii="標楷體" w:eastAsia="標楷體" w:hAnsi="標楷體"/>
          <w:szCs w:val="24"/>
        </w:rPr>
        <w:t>3.本藥品不能與cannabidiol合併使用。</w:t>
      </w:r>
    </w:p>
    <w:p w14:paraId="6407368A" w14:textId="77777777" w:rsidR="00BD776B" w:rsidRDefault="00DF0C24">
      <w:pPr>
        <w:ind w:left="240"/>
      </w:pPr>
      <w:r>
        <w:rPr>
          <w:rFonts w:ascii="標楷體" w:eastAsia="標楷體" w:hAnsi="標楷體"/>
          <w:szCs w:val="24"/>
        </w:rPr>
        <w:t>1.3.2.13.Cannabidiol（如Epidyolex）</w:t>
      </w:r>
      <w:r>
        <w:rPr>
          <w:rFonts w:ascii="新細明體" w:hAnsi="新細明體"/>
          <w:szCs w:val="24"/>
        </w:rPr>
        <w:t>：</w:t>
      </w:r>
      <w:r>
        <w:rPr>
          <w:rFonts w:ascii="標楷體" w:eastAsia="標楷體" w:hAnsi="標楷體"/>
          <w:szCs w:val="24"/>
        </w:rPr>
        <w:t>（113/4/1）</w:t>
      </w:r>
    </w:p>
    <w:p w14:paraId="03C432A4" w14:textId="77777777" w:rsidR="00BD776B" w:rsidRDefault="00DF0C24">
      <w:pPr>
        <w:numPr>
          <w:ilvl w:val="0"/>
          <w:numId w:val="8"/>
        </w:numPr>
        <w:suppressAutoHyphens w:val="0"/>
        <w:ind w:left="849" w:hanging="273"/>
        <w:textAlignment w:val="auto"/>
        <w:rPr>
          <w:rFonts w:ascii="標楷體" w:eastAsia="標楷體" w:hAnsi="標楷體"/>
          <w:szCs w:val="24"/>
        </w:rPr>
      </w:pPr>
      <w:r>
        <w:rPr>
          <w:rFonts w:ascii="標楷體" w:eastAsia="標楷體" w:hAnsi="標楷體"/>
          <w:szCs w:val="24"/>
        </w:rPr>
        <w:t>病人須符合以下(1)、(2)條件之一：</w:t>
      </w:r>
    </w:p>
    <w:p w14:paraId="18D75D47" w14:textId="77777777" w:rsidR="00BD776B" w:rsidRDefault="00DF0C24">
      <w:pPr>
        <w:ind w:left="1260" w:hanging="396"/>
        <w:rPr>
          <w:rFonts w:ascii="標楷體" w:eastAsia="標楷體" w:hAnsi="標楷體"/>
          <w:szCs w:val="24"/>
        </w:rPr>
      </w:pPr>
      <w:r>
        <w:rPr>
          <w:rFonts w:ascii="標楷體" w:eastAsia="標楷體" w:hAnsi="標楷體"/>
          <w:szCs w:val="24"/>
        </w:rPr>
        <w:t>(1)經衛生福利部國民健康署認定之年滿2歲之Dravet症候群病人，且符合下列條件：</w:t>
      </w:r>
    </w:p>
    <w:p w14:paraId="192219E7" w14:textId="77777777" w:rsidR="00BD776B" w:rsidRDefault="00DF0C24">
      <w:pPr>
        <w:ind w:left="1406" w:hanging="362"/>
        <w:rPr>
          <w:rFonts w:ascii="標楷體" w:eastAsia="標楷體" w:hAnsi="標楷體"/>
          <w:szCs w:val="24"/>
        </w:rPr>
      </w:pPr>
      <w:r>
        <w:rPr>
          <w:rFonts w:ascii="標楷體" w:eastAsia="標楷體" w:hAnsi="標楷體"/>
          <w:szCs w:val="24"/>
        </w:rPr>
        <w:t>Ⅰ.限用於至少使用三種以上抗癲癇藥物，仍無法有效控制癲癇發作之輔助性治療。</w:t>
      </w:r>
    </w:p>
    <w:p w14:paraId="4C4873BB" w14:textId="77777777" w:rsidR="00BD776B" w:rsidRDefault="00DF0C24">
      <w:pPr>
        <w:ind w:left="1406" w:hanging="362"/>
        <w:rPr>
          <w:rFonts w:ascii="標楷體" w:eastAsia="標楷體" w:hAnsi="標楷體"/>
          <w:szCs w:val="24"/>
        </w:rPr>
      </w:pPr>
      <w:r>
        <w:rPr>
          <w:rFonts w:ascii="標楷體" w:eastAsia="標楷體" w:hAnsi="標楷體"/>
          <w:szCs w:val="24"/>
        </w:rPr>
        <w:t>Ⅱ.最大建議維持劑量為20mg/kg/day。</w:t>
      </w:r>
    </w:p>
    <w:p w14:paraId="128CAB59" w14:textId="77777777" w:rsidR="00BD776B" w:rsidRDefault="00DF0C24">
      <w:pPr>
        <w:ind w:left="1430" w:hanging="360"/>
        <w:rPr>
          <w:rFonts w:ascii="標楷體" w:eastAsia="標楷體" w:hAnsi="標楷體"/>
          <w:szCs w:val="24"/>
        </w:rPr>
      </w:pPr>
      <w:r>
        <w:rPr>
          <w:rFonts w:ascii="標楷體" w:eastAsia="標楷體" w:hAnsi="標楷體"/>
          <w:szCs w:val="24"/>
        </w:rPr>
        <w:t>Ⅲ.須先經stiripentol治療後仍無法改善癲癇大發作次數或產生藥物不良反應時，方可使用本類藥品。</w:t>
      </w:r>
    </w:p>
    <w:p w14:paraId="399623B7" w14:textId="77777777" w:rsidR="00BD776B" w:rsidRDefault="00DF0C24">
      <w:pPr>
        <w:ind w:left="1190" w:hanging="360"/>
        <w:rPr>
          <w:rFonts w:ascii="標楷體" w:eastAsia="標楷體" w:hAnsi="標楷體"/>
          <w:szCs w:val="24"/>
        </w:rPr>
      </w:pPr>
      <w:r>
        <w:rPr>
          <w:rFonts w:ascii="標楷體" w:eastAsia="標楷體" w:hAnsi="標楷體"/>
          <w:szCs w:val="24"/>
        </w:rPr>
        <w:t>(2)經衛生福利部國民健康署認定之年滿1歲之結節性硬化症病人，且符合下列各項條件：</w:t>
      </w:r>
    </w:p>
    <w:p w14:paraId="4FE4E7AA" w14:textId="77777777" w:rsidR="00BD776B" w:rsidRDefault="00DF0C24">
      <w:pPr>
        <w:ind w:left="1310" w:hanging="240"/>
        <w:rPr>
          <w:rFonts w:ascii="標楷體" w:eastAsia="標楷體" w:hAnsi="標楷體"/>
          <w:szCs w:val="24"/>
        </w:rPr>
      </w:pPr>
      <w:r>
        <w:rPr>
          <w:rFonts w:ascii="標楷體" w:eastAsia="標楷體" w:hAnsi="標楷體"/>
          <w:szCs w:val="24"/>
        </w:rPr>
        <w:t>I.限用於至少使用三種以上抗癲癇藥物，仍無法有效控制癲癇發作之輔助性治療。</w:t>
      </w:r>
    </w:p>
    <w:p w14:paraId="1B9849D7" w14:textId="77777777" w:rsidR="00BD776B" w:rsidRDefault="00DF0C24">
      <w:pPr>
        <w:ind w:left="1190" w:hanging="120"/>
        <w:rPr>
          <w:rFonts w:ascii="標楷體" w:eastAsia="標楷體" w:hAnsi="標楷體"/>
          <w:szCs w:val="24"/>
        </w:rPr>
      </w:pPr>
      <w:r>
        <w:rPr>
          <w:rFonts w:ascii="標楷體" w:eastAsia="標楷體" w:hAnsi="標楷體"/>
          <w:szCs w:val="24"/>
        </w:rPr>
        <w:t>Ⅱ.最大建議維持劑量為25mg/kg/day。</w:t>
      </w:r>
    </w:p>
    <w:p w14:paraId="3C5571DB" w14:textId="77777777" w:rsidR="00BD776B" w:rsidRDefault="00DF0C24">
      <w:pPr>
        <w:pStyle w:val="xmsonormal"/>
        <w:spacing w:before="0" w:after="0"/>
        <w:ind w:left="1490" w:hanging="420"/>
      </w:pPr>
      <w:r>
        <w:rPr>
          <w:rFonts w:ascii="標楷體" w:eastAsia="標楷體" w:hAnsi="標楷體"/>
        </w:rPr>
        <w:t>Ⅲ.須先經癲</w:t>
      </w:r>
      <w:r>
        <w:rPr>
          <w:rFonts w:ascii="標楷體" w:eastAsia="標楷體" w:hAnsi="標楷體" w:cs="Times New Roman"/>
          <w:kern w:val="3"/>
        </w:rPr>
        <w:t>癇病灶切除術評估或迷走神經刺激術評估，無法以癲癇病灶切除術或迷走神經刺激術治療，或經癲癇病灶切除術或迷走神經刺激術治療無效或復發者，方可使用本類藥品。</w:t>
      </w:r>
    </w:p>
    <w:p w14:paraId="34FDB39A" w14:textId="77777777" w:rsidR="00BD776B" w:rsidRDefault="00DF0C24">
      <w:pPr>
        <w:numPr>
          <w:ilvl w:val="0"/>
          <w:numId w:val="8"/>
        </w:numPr>
        <w:suppressAutoHyphens w:val="0"/>
        <w:ind w:left="840"/>
        <w:textAlignment w:val="auto"/>
        <w:rPr>
          <w:rFonts w:ascii="標楷體" w:eastAsia="標楷體" w:hAnsi="標楷體"/>
          <w:szCs w:val="24"/>
        </w:rPr>
      </w:pPr>
      <w:r>
        <w:rPr>
          <w:rFonts w:ascii="標楷體" w:eastAsia="標楷體" w:hAnsi="標楷體"/>
          <w:szCs w:val="24"/>
        </w:rPr>
        <w:t>停止治療條件：在持續使用(含自費使用)1年後，若病人全身陣攣性及強直陣攣性發作頻率未比用藥前減少超過50%者，則應停止使用。</w:t>
      </w:r>
    </w:p>
    <w:p w14:paraId="03DFFB02" w14:textId="77777777" w:rsidR="00BD776B" w:rsidRDefault="00DF0C24">
      <w:pPr>
        <w:snapToGrid w:val="0"/>
        <w:ind w:left="1320" w:hanging="480"/>
      </w:pPr>
      <w:r>
        <w:rPr>
          <w:rFonts w:ascii="標楷體" w:eastAsia="標楷體" w:hAnsi="標楷體"/>
          <w:szCs w:val="24"/>
        </w:rPr>
        <w:t>註：減少超過50%之定義為</w:t>
      </w:r>
      <w:r>
        <w:rPr>
          <w:rFonts w:ascii="微軟正黑體" w:eastAsia="微軟正黑體" w:hAnsi="微軟正黑體"/>
          <w:szCs w:val="24"/>
        </w:rPr>
        <w:t>「【</w:t>
      </w:r>
      <w:r>
        <w:rPr>
          <w:rFonts w:ascii="標楷體" w:eastAsia="標楷體" w:hAnsi="標楷體"/>
          <w:szCs w:val="24"/>
        </w:rPr>
        <w:t>用藥前3個月之平均每個月全身陣攣性及強直陣攣性發作次數(a)-用藥後1年平均每個月全身性強直陣攣性發作次數(b)】/a</w:t>
      </w:r>
      <w:r>
        <w:rPr>
          <w:rFonts w:ascii="微軟正黑體" w:eastAsia="微軟正黑體" w:hAnsi="微軟正黑體"/>
          <w:szCs w:val="24"/>
        </w:rPr>
        <w:t>」</w:t>
      </w:r>
    </w:p>
    <w:p w14:paraId="42AD29F5" w14:textId="77777777" w:rsidR="00BD776B" w:rsidRDefault="00DF0C24">
      <w:pPr>
        <w:ind w:left="470" w:hanging="120"/>
        <w:rPr>
          <w:rFonts w:ascii="標楷體" w:eastAsia="標楷體" w:hAnsi="標楷體"/>
          <w:szCs w:val="24"/>
        </w:rPr>
      </w:pPr>
      <w:r>
        <w:rPr>
          <w:rFonts w:ascii="標楷體" w:eastAsia="標楷體" w:hAnsi="標楷體"/>
          <w:szCs w:val="24"/>
        </w:rPr>
        <w:t xml:space="preserve"> 3.限小兒神經科或神經科醫師使用。</w:t>
      </w:r>
    </w:p>
    <w:p w14:paraId="082F789E" w14:textId="77777777" w:rsidR="00BD776B" w:rsidRDefault="00DF0C24">
      <w:pPr>
        <w:ind w:left="710" w:hanging="360"/>
        <w:rPr>
          <w:rFonts w:ascii="標楷體" w:eastAsia="標楷體" w:hAnsi="標楷體"/>
          <w:szCs w:val="24"/>
        </w:rPr>
      </w:pPr>
      <w:r>
        <w:rPr>
          <w:rFonts w:ascii="標楷體" w:eastAsia="標楷體" w:hAnsi="標楷體"/>
          <w:szCs w:val="24"/>
        </w:rPr>
        <w:t xml:space="preserve"> 4.需經事前審查核准後使用，每次申請以1年為限，期滿需經再次申請核准後使用。</w:t>
      </w:r>
    </w:p>
    <w:p w14:paraId="20330C5C" w14:textId="77777777" w:rsidR="00BD776B" w:rsidRDefault="00DF0C24">
      <w:pPr>
        <w:ind w:left="590" w:hanging="240"/>
        <w:rPr>
          <w:rFonts w:ascii="標楷體" w:eastAsia="標楷體" w:hAnsi="標楷體"/>
          <w:szCs w:val="24"/>
        </w:rPr>
      </w:pPr>
      <w:r>
        <w:rPr>
          <w:rFonts w:ascii="標楷體" w:eastAsia="標楷體" w:hAnsi="標楷體"/>
          <w:szCs w:val="24"/>
        </w:rPr>
        <w:t xml:space="preserve"> 5.本藥品不能與stiripentol合併使用。</w:t>
      </w:r>
    </w:p>
    <w:p w14:paraId="616DD96C" w14:textId="77777777" w:rsidR="00BD776B" w:rsidRDefault="00BD776B">
      <w:pPr>
        <w:ind w:left="807" w:hanging="281"/>
        <w:rPr>
          <w:rFonts w:ascii="標楷體" w:eastAsia="標楷體" w:hAnsi="標楷體"/>
          <w:szCs w:val="24"/>
        </w:rPr>
      </w:pPr>
    </w:p>
    <w:p w14:paraId="4E3AE052" w14:textId="77777777" w:rsidR="00BD776B" w:rsidRDefault="00DF0C24">
      <w:pPr>
        <w:ind w:left="672" w:hanging="386"/>
        <w:rPr>
          <w:rFonts w:ascii="標楷體" w:eastAsia="標楷體" w:hAnsi="標楷體"/>
          <w:color w:val="000000"/>
        </w:rPr>
      </w:pPr>
      <w:r>
        <w:rPr>
          <w:rFonts w:ascii="標楷體" w:eastAsia="標楷體" w:hAnsi="標楷體"/>
          <w:color w:val="000000"/>
        </w:rPr>
        <w:t>1.3.3.失智症治療藥品</w:t>
      </w:r>
    </w:p>
    <w:p w14:paraId="43BC8CB2"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1.限用於依NINCDS-ADRDA或DSM或ICD標準診斷為阿滋海默氏症或帕金森氏症之失智症病患。</w:t>
      </w:r>
    </w:p>
    <w:p w14:paraId="336E5983" w14:textId="77777777" w:rsidR="00BD776B" w:rsidRDefault="00DF0C24">
      <w:pPr>
        <w:ind w:left="811" w:hanging="245"/>
        <w:rPr>
          <w:rFonts w:ascii="標楷體" w:eastAsia="標楷體" w:hAnsi="標楷體"/>
          <w:color w:val="000000"/>
        </w:rPr>
      </w:pPr>
      <w:r>
        <w:rPr>
          <w:rFonts w:ascii="標楷體" w:eastAsia="標楷體" w:hAnsi="標楷體"/>
          <w:color w:val="000000"/>
        </w:rPr>
        <w:t>2.臨床診斷為「血管性失智症」，或有嚴重心臟傳導阻斷（heart block）之病患，不建議使用。(108/12/1)</w:t>
      </w:r>
    </w:p>
    <w:p w14:paraId="2B6CD00E" w14:textId="77777777" w:rsidR="00BD776B" w:rsidRDefault="00DF0C24">
      <w:pPr>
        <w:ind w:left="811" w:hanging="245"/>
        <w:rPr>
          <w:rFonts w:ascii="標楷體" w:eastAsia="標楷體" w:hAnsi="標楷體"/>
          <w:color w:val="000000"/>
        </w:rPr>
      </w:pPr>
      <w:r>
        <w:rPr>
          <w:rFonts w:ascii="標楷體" w:eastAsia="標楷體" w:hAnsi="標楷體"/>
          <w:color w:val="000000"/>
        </w:rPr>
        <w:t>3.初次使用者，需於病歷上記載以下資料：(106/10/1)</w:t>
      </w:r>
    </w:p>
    <w:p w14:paraId="08767E48" w14:textId="77777777" w:rsidR="00BD776B" w:rsidRDefault="00DF0C24">
      <w:pPr>
        <w:ind w:left="1049" w:hanging="341"/>
        <w:rPr>
          <w:rFonts w:ascii="標楷體" w:eastAsia="標楷體" w:hAnsi="標楷體"/>
          <w:color w:val="000000"/>
        </w:rPr>
      </w:pPr>
      <w:r>
        <w:rPr>
          <w:rFonts w:ascii="標楷體" w:eastAsia="標楷體" w:hAnsi="標楷體"/>
          <w:color w:val="000000"/>
        </w:rPr>
        <w:t>(1)CT、MRI或哈金斯氏量表（Hachinski lschemic Score）三項其中之任一結果報告。</w:t>
      </w:r>
    </w:p>
    <w:p w14:paraId="44D757CA" w14:textId="77777777" w:rsidR="00BD776B" w:rsidRDefault="00DF0C24">
      <w:pPr>
        <w:ind w:left="1049" w:hanging="341"/>
        <w:rPr>
          <w:rFonts w:ascii="標楷體" w:eastAsia="標楷體" w:hAnsi="標楷體"/>
          <w:color w:val="000000"/>
        </w:rPr>
      </w:pPr>
      <w:r>
        <w:rPr>
          <w:rFonts w:ascii="標楷體" w:eastAsia="標楷體" w:hAnsi="標楷體"/>
          <w:color w:val="000000"/>
        </w:rPr>
        <w:t>(2)CBC, VDRL, BUN, Creatinine, GOT, GPT, T4, TSH檢驗。</w:t>
      </w:r>
    </w:p>
    <w:p w14:paraId="144FACBD"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(3)MMSE或CDR智能測驗報告。</w:t>
      </w:r>
    </w:p>
    <w:p w14:paraId="4FA285A8" w14:textId="77777777" w:rsidR="00BD776B" w:rsidRDefault="00DF0C24">
      <w:pPr>
        <w:ind w:left="811" w:hanging="245"/>
        <w:rPr>
          <w:rFonts w:ascii="標楷體" w:eastAsia="標楷體" w:hAnsi="標楷體"/>
          <w:color w:val="000000"/>
        </w:rPr>
      </w:pPr>
      <w:r>
        <w:rPr>
          <w:rFonts w:ascii="標楷體" w:eastAsia="標楷體" w:hAnsi="標楷體"/>
          <w:color w:val="000000"/>
        </w:rPr>
        <w:t>4.依疾病別及嚴重度，另規定如下：</w:t>
      </w:r>
    </w:p>
    <w:p w14:paraId="28EE644F" w14:textId="77777777" w:rsidR="00BD776B" w:rsidRDefault="00DF0C24">
      <w:pPr>
        <w:ind w:left="1049" w:hanging="341"/>
        <w:rPr>
          <w:rFonts w:ascii="標楷體" w:eastAsia="標楷體" w:hAnsi="標楷體"/>
          <w:color w:val="000000"/>
        </w:rPr>
      </w:pPr>
      <w:r>
        <w:rPr>
          <w:rFonts w:ascii="標楷體" w:eastAsia="標楷體" w:hAnsi="標楷體"/>
          <w:color w:val="000000"/>
        </w:rPr>
        <w:t>(1)阿滋海默氏症之失智症由神經科或精神科醫師處方使用。</w:t>
      </w:r>
    </w:p>
    <w:p w14:paraId="5C8B0237" w14:textId="77777777" w:rsidR="00BD776B" w:rsidRDefault="00DF0C24">
      <w:pPr>
        <w:ind w:left="1174" w:hanging="336"/>
        <w:rPr>
          <w:rFonts w:ascii="標楷體" w:eastAsia="標楷體" w:hAnsi="標楷體"/>
          <w:color w:val="000000"/>
        </w:rPr>
      </w:pPr>
      <w:r>
        <w:rPr>
          <w:rFonts w:ascii="標楷體" w:eastAsia="標楷體" w:hAnsi="標楷體"/>
          <w:color w:val="000000"/>
        </w:rPr>
        <w:t>Ⅰ.輕度至中度失智症：</w:t>
      </w:r>
    </w:p>
    <w:p w14:paraId="5BE0D7D0" w14:textId="77777777" w:rsidR="00BD776B" w:rsidRDefault="00DF0C24">
      <w:pPr>
        <w:ind w:left="1414" w:hanging="336"/>
        <w:rPr>
          <w:rFonts w:ascii="標楷體" w:eastAsia="標楷體" w:hAnsi="標楷體"/>
          <w:color w:val="000000"/>
        </w:rPr>
      </w:pPr>
      <w:r>
        <w:rPr>
          <w:rFonts w:ascii="標楷體" w:eastAsia="標楷體" w:hAnsi="標楷體"/>
          <w:color w:val="000000"/>
        </w:rPr>
        <w:t>限使用donepezil、rivastigmine及galantamine 口服製劑(90/10/1、92/1/1、95/6/1、100/3/1、102/8/1、106/10/1、108/5/1)：</w:t>
      </w:r>
    </w:p>
    <w:p w14:paraId="5BC42C9D" w14:textId="77777777" w:rsidR="00BD776B" w:rsidRDefault="00DF0C24">
      <w:pPr>
        <w:ind w:left="1414" w:hanging="336"/>
        <w:rPr>
          <w:rFonts w:ascii="標楷體" w:eastAsia="標楷體" w:hAnsi="標楷體"/>
          <w:color w:val="000000"/>
        </w:rPr>
      </w:pPr>
      <w:r>
        <w:rPr>
          <w:rFonts w:ascii="標楷體" w:eastAsia="標楷體" w:hAnsi="標楷體"/>
          <w:color w:val="000000"/>
        </w:rPr>
        <w:t>i.智能測驗結果為MMSE 10~26分或CDR 1級及2級之患者。</w:t>
      </w:r>
    </w:p>
    <w:p w14:paraId="0FF06C03" w14:textId="77777777" w:rsidR="00BD776B" w:rsidRDefault="00DF0C24">
      <w:pPr>
        <w:ind w:left="1414" w:hanging="336"/>
        <w:rPr>
          <w:rFonts w:ascii="標楷體" w:eastAsia="標楷體" w:hAnsi="標楷體"/>
          <w:color w:val="000000"/>
        </w:rPr>
      </w:pPr>
      <w:r>
        <w:rPr>
          <w:rFonts w:ascii="標楷體" w:eastAsia="標楷體" w:hAnsi="標楷體"/>
          <w:color w:val="000000"/>
        </w:rPr>
        <w:t>ii.使用前述三種藥品任一種後，三個月內，因副作用得換用本類另一種藥物，並於病歷上記載換藥理由。(93/4/1、102/8/1、106/10/1)</w:t>
      </w:r>
    </w:p>
    <w:p w14:paraId="156C74ED" w14:textId="77777777" w:rsidR="00BD776B" w:rsidRDefault="00DF0C24">
      <w:pPr>
        <w:ind w:left="1414" w:hanging="336"/>
      </w:pPr>
      <w:r>
        <w:rPr>
          <w:rFonts w:ascii="標楷體" w:eastAsia="標楷體" w:hAnsi="標楷體"/>
          <w:color w:val="000000"/>
        </w:rPr>
        <w:t>iii.</w:t>
      </w:r>
      <w:r>
        <w:t xml:space="preserve"> </w:t>
      </w:r>
      <w:r>
        <w:rPr>
          <w:rFonts w:ascii="標楷體" w:eastAsia="標楷體" w:hAnsi="標楷體"/>
          <w:color w:val="000000"/>
        </w:rPr>
        <w:t>使用後每一年需重新評估，追蹤MMSE或CDR智能測驗，並於病歷記錄，如MMSE較前一次治療時減少2分(不含)以上或CDR退步1級，則應停用此類藥品。 (98/1/1、99/5/1、102/8/1、106/10/1、108/5/1)</w:t>
      </w:r>
    </w:p>
    <w:p w14:paraId="7CCE66A9" w14:textId="77777777" w:rsidR="00BD776B" w:rsidRDefault="00DF0C24">
      <w:pPr>
        <w:ind w:left="1414" w:hanging="336"/>
        <w:rPr>
          <w:rFonts w:ascii="標楷體" w:eastAsia="標楷體" w:hAnsi="標楷體"/>
          <w:color w:val="000000"/>
        </w:rPr>
      </w:pPr>
      <w:r>
        <w:rPr>
          <w:rFonts w:ascii="標楷體" w:eastAsia="標楷體" w:hAnsi="標楷體"/>
          <w:color w:val="000000"/>
        </w:rPr>
        <w:t>iv.使用rivastigmine貼片劑（如Exelon Patch），每日限用一片，且不得併用同成分之口服藥品(100/3/1)。</w:t>
      </w:r>
    </w:p>
    <w:p w14:paraId="154554F0" w14:textId="77777777" w:rsidR="00BD776B" w:rsidRDefault="00DF0C24">
      <w:pPr>
        <w:ind w:left="1414" w:hanging="336"/>
        <w:rPr>
          <w:rFonts w:ascii="標楷體" w:eastAsia="標楷體" w:hAnsi="標楷體"/>
          <w:color w:val="000000"/>
        </w:rPr>
      </w:pPr>
      <w:r>
        <w:rPr>
          <w:rFonts w:ascii="標楷體" w:eastAsia="標楷體" w:hAnsi="標楷體"/>
          <w:color w:val="000000"/>
        </w:rPr>
        <w:t>Ⅱ.中重度失智症：</w:t>
      </w:r>
    </w:p>
    <w:p w14:paraId="1FD83243" w14:textId="77777777" w:rsidR="00BD776B" w:rsidRDefault="00DF0C24">
      <w:pPr>
        <w:ind w:left="1440"/>
        <w:rPr>
          <w:rFonts w:ascii="標楷體" w:eastAsia="標楷體" w:hAnsi="標楷體"/>
          <w:color w:val="000000"/>
        </w:rPr>
      </w:pPr>
      <w:r>
        <w:rPr>
          <w:rFonts w:ascii="標楷體" w:eastAsia="標楷體" w:hAnsi="標楷體"/>
          <w:color w:val="000000"/>
        </w:rPr>
        <w:t>限使用memantine口服製劑（95/6/1、99/10/1、102/8/1、106/10/1、111/3/1）</w:t>
      </w:r>
    </w:p>
    <w:p w14:paraId="440CFB39" w14:textId="77777777" w:rsidR="00BD776B" w:rsidRDefault="00DF0C24">
      <w:pPr>
        <w:ind w:left="1414" w:hanging="336"/>
      </w:pPr>
      <w:r>
        <w:rPr>
          <w:rFonts w:ascii="標楷體" w:eastAsia="標楷體" w:hAnsi="標楷體"/>
          <w:color w:val="000000"/>
        </w:rPr>
        <w:t>i.</w:t>
      </w:r>
      <w:r>
        <w:t xml:space="preserve"> </w:t>
      </w:r>
      <w:r>
        <w:rPr>
          <w:rFonts w:ascii="標楷體" w:eastAsia="標楷體" w:hAnsi="標楷體"/>
          <w:color w:val="000000"/>
        </w:rPr>
        <w:t>智能測驗結果為10≦MMSE≦14分或CDR 2級之患者。</w:t>
      </w:r>
    </w:p>
    <w:p w14:paraId="410E8D1A" w14:textId="77777777" w:rsidR="00BD776B" w:rsidRDefault="00DF0C24">
      <w:pPr>
        <w:ind w:left="1414" w:hanging="336"/>
        <w:rPr>
          <w:rFonts w:ascii="標楷體" w:eastAsia="標楷體" w:hAnsi="標楷體"/>
          <w:color w:val="000000"/>
        </w:rPr>
      </w:pPr>
      <w:r>
        <w:rPr>
          <w:rFonts w:ascii="標楷體" w:eastAsia="標楷體" w:hAnsi="標楷體"/>
          <w:color w:val="000000"/>
        </w:rPr>
        <w:t>ii.曾使用過donepezil、 rivastigmine、galantamine其中任一種藥品之患者，使用後每一年需重新評估，追蹤MMSE或CDR智能測驗，MMSE較起步治療時減少2分(不含)以上或CDR退步1級，且MMSE或CDR智能測驗達標準(10≦MMSE≦14分或CDR 2級)，得換用或併用memantine，惟Exiba、Evy、Manotin等3品項含memantine藥品不得與前述三種藥品併用。(106/10/1、111/3/1)</w:t>
      </w:r>
    </w:p>
    <w:p w14:paraId="6647FEA7" w14:textId="77777777" w:rsidR="00BD776B" w:rsidRDefault="00DF0C24">
      <w:pPr>
        <w:ind w:left="1414" w:hanging="336"/>
        <w:rPr>
          <w:rFonts w:ascii="標楷體" w:eastAsia="標楷體" w:hAnsi="標楷體"/>
          <w:color w:val="000000"/>
        </w:rPr>
      </w:pPr>
      <w:r>
        <w:rPr>
          <w:rFonts w:ascii="標楷體" w:eastAsia="標楷體" w:hAnsi="標楷體"/>
          <w:color w:val="000000"/>
        </w:rPr>
        <w:t>iii.換用或併用memantine後每一年需重新評估，追蹤MMSE或CDR智能測驗，並於病歷記錄，如MMSE較前一次治療時減少2分(不含)以上或CDR退步1級，則應停用此類藥品。惟Ebixa Tablets及Evy Tablets等2種藥品，使用後每一年需重新評估，追蹤MMSE或CDR智能測驗，並於病歷記錄，如MMSE較起步治療時減少2分(不含)以上或CDR退步1級，則應停用此類藥品。(98/1/1、99/5/1、102/8/1、106/10/1、111/3/1)</w:t>
      </w:r>
    </w:p>
    <w:p w14:paraId="73012F32" w14:textId="77777777" w:rsidR="00BD776B" w:rsidRDefault="00DF0C24">
      <w:pPr>
        <w:ind w:left="1414" w:hanging="336"/>
        <w:rPr>
          <w:rFonts w:ascii="標楷體" w:eastAsia="標楷體" w:hAnsi="標楷體"/>
          <w:color w:val="000000"/>
        </w:rPr>
      </w:pPr>
      <w:r>
        <w:rPr>
          <w:rFonts w:ascii="標楷體" w:eastAsia="標楷體" w:hAnsi="標楷體"/>
          <w:color w:val="000000"/>
        </w:rPr>
        <w:t>Ⅲ.重度失智症：(99/10/1、102/8/1、108/5/1、111/3/1)限使用donepezil及memantine口服製劑或是兩者併用(惟Exiba、Evy、Manotin等3品項含memantine藥品不得併用) (102/8/1、108/5/1、111/3/1)</w:t>
      </w:r>
    </w:p>
    <w:p w14:paraId="0F7C8BE6" w14:textId="77777777" w:rsidR="00BD776B" w:rsidRDefault="00DF0C24">
      <w:pPr>
        <w:ind w:left="1414" w:hanging="336"/>
        <w:rPr>
          <w:rFonts w:ascii="標楷體" w:eastAsia="標楷體" w:hAnsi="標楷體"/>
          <w:color w:val="000000"/>
        </w:rPr>
      </w:pPr>
      <w:r>
        <w:rPr>
          <w:rFonts w:ascii="標楷體" w:eastAsia="標楷體" w:hAnsi="標楷體"/>
          <w:color w:val="000000"/>
        </w:rPr>
        <w:t>i.智能測驗結果為MMSE 5-9分且CDR 3級之患者。</w:t>
      </w:r>
    </w:p>
    <w:p w14:paraId="380FBE69" w14:textId="77777777" w:rsidR="00BD776B" w:rsidRDefault="00DF0C24">
      <w:pPr>
        <w:ind w:left="1414" w:hanging="336"/>
        <w:rPr>
          <w:rFonts w:ascii="標楷體" w:eastAsia="標楷體" w:hAnsi="標楷體"/>
          <w:color w:val="000000"/>
        </w:rPr>
      </w:pPr>
      <w:r>
        <w:rPr>
          <w:rFonts w:ascii="標楷體" w:eastAsia="標楷體" w:hAnsi="標楷體"/>
          <w:color w:val="000000"/>
        </w:rPr>
        <w:t>ii.臥床或無行動能力者不得使用。</w:t>
      </w:r>
    </w:p>
    <w:p w14:paraId="4F08A367" w14:textId="77777777" w:rsidR="00BD776B" w:rsidRDefault="00DF0C24">
      <w:pPr>
        <w:ind w:left="1414" w:hanging="336"/>
      </w:pPr>
      <w:r>
        <w:rPr>
          <w:rFonts w:ascii="標楷體" w:eastAsia="標楷體" w:hAnsi="標楷體"/>
          <w:color w:val="000000"/>
        </w:rPr>
        <w:t>iii.</w:t>
      </w:r>
      <w:r>
        <w:t xml:space="preserve"> </w:t>
      </w:r>
      <w:r>
        <w:rPr>
          <w:rFonts w:ascii="標楷體" w:eastAsia="標楷體" w:hAnsi="標楷體"/>
          <w:color w:val="000000"/>
        </w:rPr>
        <w:t>曾單獨或是併用過memantine、donepezil、rivastigmine、galantamine而不再適用者，不得使用。(111/3/1)</w:t>
      </w:r>
    </w:p>
    <w:p w14:paraId="1971776B" w14:textId="77777777" w:rsidR="00BD776B" w:rsidRDefault="00DF0C24">
      <w:pPr>
        <w:ind w:left="1414" w:hanging="336"/>
        <w:rPr>
          <w:rFonts w:ascii="標楷體" w:eastAsia="標楷體" w:hAnsi="標楷體"/>
          <w:color w:val="000000"/>
        </w:rPr>
      </w:pPr>
      <w:r>
        <w:rPr>
          <w:rFonts w:ascii="標楷體" w:eastAsia="標楷體" w:hAnsi="標楷體"/>
          <w:color w:val="000000"/>
        </w:rPr>
        <w:t>iv.使用後每一年需重新評估，追蹤MMSE智能測驗，如MMSE較前一次治療時減少2分(不含)以上,則應停用此類藥品。惟Ebixa Tablets 及Evy Tablets等2種藥品，使用後每一年需重新評估，追蹤MMSE智能測驗，如MMSE較起步治療時減少2分(不含)以上，則應停用此類藥品。(99/10/1、102/8/1、108/5/1、111/3 /1)</w:t>
      </w:r>
    </w:p>
    <w:p w14:paraId="30FF04E9"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(2)帕金森氏症之失智症(99/5/1、100/3/1、102/8/1)</w:t>
      </w:r>
    </w:p>
    <w:p w14:paraId="426C2B99" w14:textId="77777777" w:rsidR="00BD776B" w:rsidRDefault="00DF0C24">
      <w:pPr>
        <w:ind w:left="1049"/>
        <w:rPr>
          <w:rFonts w:ascii="標楷體" w:eastAsia="標楷體" w:hAnsi="標楷體"/>
          <w:color w:val="000000"/>
        </w:rPr>
      </w:pPr>
      <w:r>
        <w:rPr>
          <w:rFonts w:ascii="標楷體" w:eastAsia="標楷體" w:hAnsi="標楷體"/>
          <w:color w:val="000000"/>
        </w:rPr>
        <w:t>限神經科醫師診斷及處方使用於輕度至中度之失智症。</w:t>
      </w:r>
    </w:p>
    <w:p w14:paraId="4AD154F6" w14:textId="77777777" w:rsidR="00BD776B" w:rsidRDefault="00DF0C24">
      <w:pPr>
        <w:ind w:left="1049"/>
        <w:rPr>
          <w:rFonts w:ascii="標楷體" w:eastAsia="標楷體" w:hAnsi="標楷體"/>
          <w:color w:val="000000"/>
        </w:rPr>
      </w:pPr>
      <w:r>
        <w:rPr>
          <w:rFonts w:ascii="標楷體" w:eastAsia="標楷體" w:hAnsi="標楷體"/>
          <w:color w:val="000000"/>
        </w:rPr>
        <w:t>限使用rivastigmine口服製劑 (102/8/1)</w:t>
      </w:r>
    </w:p>
    <w:p w14:paraId="5BB54D0A" w14:textId="77777777" w:rsidR="00BD776B" w:rsidRDefault="00DF0C24">
      <w:pPr>
        <w:ind w:left="1414" w:hanging="336"/>
        <w:rPr>
          <w:rFonts w:ascii="標楷體" w:eastAsia="標楷體" w:hAnsi="標楷體"/>
          <w:color w:val="000000"/>
        </w:rPr>
      </w:pPr>
      <w:r>
        <w:rPr>
          <w:rFonts w:ascii="標楷體" w:eastAsia="標楷體" w:hAnsi="標楷體"/>
          <w:color w:val="000000"/>
        </w:rPr>
        <w:t>Ⅰ.智能測驗結果為MMSE 10~26分或CDR 1級及2級之患者。</w:t>
      </w:r>
    </w:p>
    <w:p w14:paraId="55595325" w14:textId="77777777" w:rsidR="00BD776B" w:rsidRDefault="00DF0C24">
      <w:pPr>
        <w:ind w:left="1414" w:hanging="336"/>
        <w:rPr>
          <w:rFonts w:ascii="標楷體" w:eastAsia="標楷體" w:hAnsi="標楷體"/>
          <w:color w:val="000000"/>
        </w:rPr>
      </w:pPr>
      <w:r>
        <w:rPr>
          <w:rFonts w:ascii="標楷體" w:eastAsia="標楷體" w:hAnsi="標楷體"/>
          <w:color w:val="000000"/>
        </w:rPr>
        <w:t>Ⅱ.失智症發生於帕金森氏症診斷至少一年以後。</w:t>
      </w:r>
    </w:p>
    <w:p w14:paraId="5ED79C77" w14:textId="77777777" w:rsidR="00BD776B" w:rsidRDefault="00DF0C24">
      <w:pPr>
        <w:ind w:left="1414" w:hanging="336"/>
        <w:rPr>
          <w:rFonts w:ascii="標楷體" w:eastAsia="標楷體" w:hAnsi="標楷體"/>
          <w:color w:val="000000"/>
        </w:rPr>
      </w:pPr>
      <w:r>
        <w:rPr>
          <w:rFonts w:ascii="標楷體" w:eastAsia="標楷體" w:hAnsi="標楷體"/>
          <w:color w:val="000000"/>
        </w:rPr>
        <w:t>Ⅲ.使用後每一年需重新評估，追蹤MMSE或CDR智能測驗，如MMSE較前一次治療時減少2分(不含)以上或CDR退步1級，則應停用此類藥品。(99/5/1、102/8/1)</w:t>
      </w:r>
    </w:p>
    <w:p w14:paraId="109A5BE6" w14:textId="77777777" w:rsidR="00BD776B" w:rsidRDefault="00DF0C24">
      <w:pPr>
        <w:ind w:left="811" w:hanging="245"/>
      </w:pPr>
      <w:r>
        <w:rPr>
          <w:rFonts w:ascii="標楷體" w:eastAsia="標楷體" w:hAnsi="標楷體"/>
          <w:color w:val="000000"/>
        </w:rPr>
        <w:t xml:space="preserve">    備註:</w:t>
      </w:r>
      <w:r>
        <w:t xml:space="preserve"> </w:t>
      </w:r>
      <w:r>
        <w:rPr>
          <w:rFonts w:ascii="標楷體" w:eastAsia="標楷體" w:hAnsi="標楷體"/>
          <w:color w:val="000000"/>
        </w:rPr>
        <w:t>起步治療定義:係指同組藥品第一次申請同意治療之評分</w:t>
      </w:r>
    </w:p>
    <w:p w14:paraId="0CC431CB" w14:textId="77777777" w:rsidR="00BD776B" w:rsidRDefault="00DF0C24">
      <w:pPr>
        <w:ind w:left="811" w:hanging="527"/>
        <w:rPr>
          <w:rFonts w:ascii="標楷體" w:eastAsia="標楷體" w:hAnsi="標楷體"/>
          <w:color w:val="000000"/>
        </w:rPr>
      </w:pPr>
      <w:r>
        <w:rPr>
          <w:rFonts w:ascii="標楷體" w:eastAsia="標楷體" w:hAnsi="標楷體"/>
          <w:color w:val="000000"/>
        </w:rPr>
        <w:t>1.3.4.帕金森氏症治療藥品：(91/11/1、93/2/1、95/9/1、96/9/1、97/7/1、100/6/1、101/6/1、108/10/1、110/11/1、111/3/1)</w:t>
      </w:r>
    </w:p>
    <w:p w14:paraId="5DB6E4CD" w14:textId="77777777" w:rsidR="00BD776B" w:rsidRDefault="00DF0C24">
      <w:pPr>
        <w:ind w:left="811" w:hanging="245"/>
        <w:rPr>
          <w:rFonts w:ascii="標楷體" w:eastAsia="標楷體" w:hAnsi="標楷體"/>
          <w:color w:val="000000"/>
        </w:rPr>
      </w:pPr>
      <w:r>
        <w:rPr>
          <w:rFonts w:ascii="標楷體" w:eastAsia="標楷體" w:hAnsi="標楷體"/>
          <w:color w:val="000000"/>
        </w:rPr>
        <w:t>1.如病人開始出現功能障礙，在使用levodopa之前或同時，得使用一種dopamine agonist（ropinirole、pramipexole、pergolide、lisuride及rotigotine），或amantadine，或是levodopa併用 COMT抑制劑（entacapone：如Comtan film-coated tab.；opicapone：如Ongentys hard capsules）。(110/11/1）</w:t>
      </w:r>
    </w:p>
    <w:p w14:paraId="4C74852F" w14:textId="77777777" w:rsidR="00BD776B" w:rsidRDefault="00DF0C24">
      <w:pPr>
        <w:ind w:left="811" w:hanging="245"/>
      </w:pPr>
      <w:r>
        <w:rPr>
          <w:rFonts w:ascii="標楷體" w:eastAsia="標楷體" w:hAnsi="標楷體"/>
          <w:color w:val="000000"/>
        </w:rPr>
        <w:t>2.</w:t>
      </w:r>
      <w:r>
        <w:t xml:space="preserve"> </w:t>
      </w:r>
      <w:r>
        <w:rPr>
          <w:rFonts w:ascii="標楷體" w:eastAsia="標楷體" w:hAnsi="標楷體"/>
          <w:color w:val="000000"/>
        </w:rPr>
        <w:t>Levodopa＋carbidopa＋entacapone三合一製劑（如Stalevo）：限用於表現藥效終期運動功能波動現象，以左多巴/多巴脫羧基酶抑制劑無法達到穩定治療效果之巴金森氏症病人。（95/9/1）</w:t>
      </w:r>
    </w:p>
    <w:p w14:paraId="2D262774" w14:textId="77777777" w:rsidR="00BD776B" w:rsidRDefault="00DF0C24">
      <w:pPr>
        <w:ind w:left="811" w:hanging="245"/>
        <w:rPr>
          <w:rFonts w:ascii="標楷體" w:eastAsia="標楷體" w:hAnsi="標楷體"/>
          <w:color w:val="000000"/>
        </w:rPr>
      </w:pPr>
      <w:r>
        <w:rPr>
          <w:rFonts w:ascii="標楷體" w:eastAsia="標楷體" w:hAnsi="標楷體"/>
          <w:color w:val="000000"/>
        </w:rPr>
        <w:t>3.緩釋型levodopa + carbidopa  (如Numient)：(110/11/1)</w:t>
      </w:r>
    </w:p>
    <w:p w14:paraId="2BC45CA4" w14:textId="77777777" w:rsidR="00BD776B" w:rsidRDefault="00DF0C24">
      <w:pPr>
        <w:ind w:left="907" w:hanging="340"/>
        <w:rPr>
          <w:rFonts w:ascii="標楷體" w:eastAsia="標楷體" w:hAnsi="標楷體"/>
          <w:color w:val="000000"/>
        </w:rPr>
      </w:pPr>
      <w:r>
        <w:rPr>
          <w:rFonts w:ascii="標楷體" w:eastAsia="標楷體" w:hAnsi="標楷體"/>
          <w:color w:val="000000"/>
        </w:rPr>
        <w:t>(1)限使用於病人表現藥效終期運動功能波動現象，並使用Levodopa＋ carbidopa＋entacapone三合一製劑或其他 levodopa製劑合併COMT抑制劑後無效者，或是目前無其他積極治療的病人。</w:t>
      </w:r>
    </w:p>
    <w:p w14:paraId="2722CEB4" w14:textId="77777777" w:rsidR="00BD776B" w:rsidRDefault="00DF0C24">
      <w:pPr>
        <w:ind w:left="811" w:hanging="245"/>
        <w:rPr>
          <w:rFonts w:ascii="標楷體" w:eastAsia="標楷體" w:hAnsi="標楷體"/>
          <w:color w:val="000000"/>
        </w:rPr>
      </w:pPr>
      <w:r>
        <w:rPr>
          <w:rFonts w:ascii="標楷體" w:eastAsia="標楷體" w:hAnsi="標楷體"/>
          <w:color w:val="000000"/>
        </w:rPr>
        <w:t>(2)每日至多可使用4粒。</w:t>
      </w:r>
    </w:p>
    <w:p w14:paraId="7D60A208" w14:textId="77777777" w:rsidR="00BD776B" w:rsidRDefault="00DF0C24">
      <w:pPr>
        <w:ind w:left="811" w:hanging="245"/>
        <w:rPr>
          <w:rFonts w:ascii="標楷體" w:eastAsia="標楷體" w:hAnsi="標楷體"/>
          <w:color w:val="000000"/>
        </w:rPr>
      </w:pPr>
      <w:r>
        <w:rPr>
          <w:rFonts w:ascii="標楷體" w:eastAsia="標楷體" w:hAnsi="標楷體"/>
          <w:color w:val="000000"/>
        </w:rPr>
        <w:t>4.若已同時使用上述藥物且達高劑量，仍無法達到滿意的 "on" state，或出現運動併發症（如異動症或肌強直），需合併使用多類藥物治療時，應於病歷上詳細記載理由。</w:t>
      </w:r>
    </w:p>
    <w:p w14:paraId="7F351A84" w14:textId="77777777" w:rsidR="00BD776B" w:rsidRDefault="00DF0C24">
      <w:pPr>
        <w:ind w:left="811" w:hanging="245"/>
        <w:rPr>
          <w:rFonts w:ascii="標楷體" w:eastAsia="標楷體" w:hAnsi="標楷體"/>
          <w:color w:val="000000"/>
        </w:rPr>
      </w:pPr>
      <w:r>
        <w:rPr>
          <w:rFonts w:ascii="標楷體" w:eastAsia="標楷體" w:hAnsi="標楷體"/>
          <w:color w:val="000000"/>
        </w:rPr>
        <w:t>5.Rasagiline：(101/6/1、108/10/1)</w:t>
      </w:r>
    </w:p>
    <w:p w14:paraId="334745D8" w14:textId="77777777" w:rsidR="00BD776B" w:rsidRDefault="00DF0C24">
      <w:pPr>
        <w:ind w:left="1049" w:hanging="341"/>
        <w:rPr>
          <w:rFonts w:ascii="標楷體" w:eastAsia="標楷體" w:hAnsi="標楷體"/>
          <w:color w:val="000000"/>
        </w:rPr>
      </w:pPr>
      <w:r>
        <w:rPr>
          <w:rFonts w:ascii="標楷體" w:eastAsia="標楷體" w:hAnsi="標楷體"/>
          <w:color w:val="000000"/>
        </w:rPr>
        <w:t>(1)可單獨使用，每日最高劑量為1 mg。</w:t>
      </w:r>
    </w:p>
    <w:p w14:paraId="504F4E1A" w14:textId="77777777" w:rsidR="00BD776B" w:rsidRDefault="00DF0C24">
      <w:pPr>
        <w:ind w:left="1049" w:hanging="341"/>
      </w:pPr>
      <w:r>
        <w:rPr>
          <w:rFonts w:ascii="標楷體" w:eastAsia="標楷體" w:hAnsi="標楷體"/>
          <w:color w:val="000000"/>
        </w:rPr>
        <w:t>(2)</w:t>
      </w:r>
      <w:r>
        <w:t xml:space="preserve"> </w:t>
      </w:r>
      <w:r>
        <w:rPr>
          <w:rFonts w:ascii="標楷體" w:eastAsia="標楷體" w:hAnsi="標楷體"/>
          <w:color w:val="000000"/>
        </w:rPr>
        <w:t>與levodopa或是其他抗帕金森藥物併用，rasagiline每日最高劑量為0.5 mg。</w:t>
      </w:r>
    </w:p>
    <w:p w14:paraId="0D742519" w14:textId="77777777" w:rsidR="00BD776B" w:rsidRDefault="00DF0C24">
      <w:pPr>
        <w:ind w:left="811" w:hanging="245"/>
        <w:rPr>
          <w:rFonts w:ascii="標楷體" w:eastAsia="標楷體" w:hAnsi="標楷體"/>
          <w:color w:val="000000"/>
        </w:rPr>
      </w:pPr>
      <w:r>
        <w:rPr>
          <w:rFonts w:ascii="標楷體" w:eastAsia="標楷體" w:hAnsi="標楷體"/>
          <w:color w:val="000000"/>
        </w:rPr>
        <w:t>6.Pramipexole及ropinirole用於治療原發性腿部躁動症時需先排除腎衰竭、鐵缺乏症及多發性神經病變，且不得與dopamine agonist及levodopa併用。（96/9/1、97/7/1）</w:t>
      </w:r>
    </w:p>
    <w:p w14:paraId="3BBFE7E7" w14:textId="77777777" w:rsidR="00BD776B" w:rsidRDefault="00DF0C24">
      <w:pPr>
        <w:ind w:left="1049" w:hanging="341"/>
        <w:rPr>
          <w:rFonts w:ascii="標楷體" w:eastAsia="標楷體" w:hAnsi="標楷體"/>
          <w:color w:val="000000"/>
        </w:rPr>
      </w:pPr>
      <w:r>
        <w:rPr>
          <w:rFonts w:ascii="標楷體" w:eastAsia="標楷體" w:hAnsi="標楷體"/>
          <w:color w:val="000000"/>
        </w:rPr>
        <w:t>(1)pramipexole每日最大劑量為0.75mg。（96/9/1）</w:t>
      </w:r>
    </w:p>
    <w:p w14:paraId="4C306F1F" w14:textId="77777777" w:rsidR="00BD776B" w:rsidRDefault="00DF0C24">
      <w:pPr>
        <w:ind w:left="1049" w:hanging="341"/>
        <w:rPr>
          <w:rFonts w:ascii="標楷體" w:eastAsia="標楷體" w:hAnsi="標楷體"/>
          <w:color w:val="000000"/>
        </w:rPr>
      </w:pPr>
      <w:r>
        <w:rPr>
          <w:rFonts w:ascii="標楷體" w:eastAsia="標楷體" w:hAnsi="標楷體"/>
          <w:color w:val="000000"/>
        </w:rPr>
        <w:t>(2)ropinirole每日最大劑量為4mg。（97/7/1）</w:t>
      </w:r>
    </w:p>
    <w:p w14:paraId="7923C8CE" w14:textId="77777777" w:rsidR="00BD776B" w:rsidRDefault="00DF0C24">
      <w:pPr>
        <w:ind w:left="811" w:hanging="245"/>
        <w:rPr>
          <w:rFonts w:ascii="標楷體" w:eastAsia="標楷體" w:hAnsi="標楷體"/>
          <w:color w:val="000000"/>
        </w:rPr>
      </w:pPr>
      <w:r>
        <w:rPr>
          <w:rFonts w:ascii="標楷體" w:eastAsia="標楷體" w:hAnsi="標楷體"/>
          <w:color w:val="000000"/>
        </w:rPr>
        <w:t>7.Rotigotine貼片劑（如Neupro Patch），限用於原發性帕金森氏症，每日限用一片，且不得併用其他dopamine agonist之口服藥品(100/6/1)</w:t>
      </w:r>
    </w:p>
    <w:p w14:paraId="6CDB9127" w14:textId="77777777" w:rsidR="00BD776B" w:rsidRDefault="00DF0C24">
      <w:pPr>
        <w:ind w:left="811" w:hanging="245"/>
        <w:rPr>
          <w:rFonts w:ascii="標楷體" w:eastAsia="標楷體" w:hAnsi="標楷體"/>
          <w:color w:val="000000"/>
        </w:rPr>
      </w:pPr>
      <w:r>
        <w:rPr>
          <w:rFonts w:ascii="標楷體" w:eastAsia="標楷體" w:hAnsi="標楷體"/>
          <w:color w:val="000000"/>
        </w:rPr>
        <w:t>8.Safinamide(如Equfina)：(111/3/1)</w:t>
      </w:r>
    </w:p>
    <w:p w14:paraId="3E5C6AFF" w14:textId="77777777" w:rsidR="00BD776B" w:rsidRDefault="00DF0C24">
      <w:pPr>
        <w:ind w:left="1134" w:hanging="386"/>
        <w:rPr>
          <w:rFonts w:ascii="標楷體" w:eastAsia="標楷體" w:hAnsi="標楷體"/>
          <w:color w:val="000000"/>
        </w:rPr>
      </w:pPr>
      <w:r>
        <w:rPr>
          <w:rFonts w:ascii="標楷體" w:eastAsia="標楷體" w:hAnsi="標楷體"/>
          <w:color w:val="000000"/>
        </w:rPr>
        <w:t>(1)與levodopa併用，用於在使用含有levodopa製劑情況下出現運動功能波動現象之病患。</w:t>
      </w:r>
    </w:p>
    <w:p w14:paraId="7A818CC7" w14:textId="77777777" w:rsidR="00BD776B" w:rsidRDefault="00DF0C24">
      <w:pPr>
        <w:ind w:left="1134" w:hanging="386"/>
        <w:rPr>
          <w:rFonts w:ascii="標楷體" w:eastAsia="標楷體" w:hAnsi="標楷體"/>
          <w:color w:val="000000"/>
        </w:rPr>
      </w:pPr>
      <w:r>
        <w:rPr>
          <w:rFonts w:ascii="標楷體" w:eastAsia="標楷體" w:hAnsi="標楷體"/>
          <w:color w:val="000000"/>
        </w:rPr>
        <w:t>(2)每日限使用1錠。若每日需使用2錠，應於病歷上詳細記載理由。</w:t>
      </w:r>
    </w:p>
    <w:p w14:paraId="5702ADD2" w14:textId="06FB5F3D" w:rsidR="00BD776B" w:rsidRDefault="00DF0C24">
      <w:pPr>
        <w:ind w:left="709" w:hanging="387"/>
        <w:rPr>
          <w:rFonts w:ascii="標楷體" w:eastAsia="標楷體" w:hAnsi="標楷體"/>
          <w:color w:val="000000"/>
        </w:rPr>
      </w:pPr>
      <w:r>
        <w:rPr>
          <w:rFonts w:ascii="標楷體" w:eastAsia="標楷體" w:hAnsi="標楷體"/>
          <w:color w:val="000000"/>
        </w:rPr>
        <w:lastRenderedPageBreak/>
        <w:t>1.3.5. Methylphenidate HCl緩釋劑型（如Concerta Extended Release Tablets、Methydur Sustained Release Capsules）；atomoxetine HCl（如Strattera Hard capsules</w:t>
      </w:r>
      <w:r w:rsidR="00452918">
        <w:rPr>
          <w:rFonts w:ascii="標楷體" w:eastAsia="標楷體" w:hAnsi="標楷體" w:hint="eastAsia"/>
          <w:color w:val="000000"/>
        </w:rPr>
        <w:t>、</w:t>
      </w:r>
      <w:r w:rsidR="00452918" w:rsidRPr="00452918">
        <w:rPr>
          <w:rFonts w:ascii="標楷體" w:eastAsia="標楷體" w:hAnsi="標楷體"/>
          <w:color w:val="000000"/>
        </w:rPr>
        <w:t>Atotine oral Solution</w:t>
      </w:r>
      <w:r>
        <w:rPr>
          <w:rFonts w:ascii="標楷體" w:eastAsia="標楷體" w:hAnsi="標楷體"/>
          <w:color w:val="000000"/>
        </w:rPr>
        <w:t>）(93/9/1、96/5/1、96/9/1、97/5/1、106/3/1、109/9/1、111/2/1、111/8/1</w:t>
      </w:r>
      <w:r w:rsidR="00452918">
        <w:rPr>
          <w:rFonts w:ascii="標楷體" w:eastAsia="標楷體" w:hAnsi="標楷體" w:hint="eastAsia"/>
          <w:color w:val="000000"/>
        </w:rPr>
        <w:t>、113/11/1</w:t>
      </w:r>
      <w:r>
        <w:rPr>
          <w:rFonts w:ascii="標楷體" w:eastAsia="標楷體" w:hAnsi="標楷體"/>
          <w:color w:val="000000"/>
        </w:rPr>
        <w:t>)</w:t>
      </w:r>
    </w:p>
    <w:p w14:paraId="1CD33120" w14:textId="77777777" w:rsidR="00BD776B" w:rsidRDefault="00DF0C24">
      <w:pPr>
        <w:ind w:left="811" w:hanging="245"/>
        <w:rPr>
          <w:rFonts w:ascii="標楷體" w:eastAsia="標楷體" w:hAnsi="標楷體"/>
          <w:color w:val="000000"/>
        </w:rPr>
      </w:pPr>
      <w:r>
        <w:rPr>
          <w:rFonts w:ascii="標楷體" w:eastAsia="標楷體" w:hAnsi="標楷體"/>
          <w:color w:val="000000"/>
        </w:rPr>
        <w:t>1.限6歲以上至18歲以下，依DSM或ICD標準診斷為注意力不全過動症患者，並於病歷上詳細記載其症狀、病程及診斷。（96/9/1、106/3/1、111/2/1）</w:t>
      </w:r>
    </w:p>
    <w:p w14:paraId="6D105850" w14:textId="77777777" w:rsidR="00BD776B" w:rsidRDefault="00DF0C24">
      <w:pPr>
        <w:ind w:left="811" w:hanging="245"/>
        <w:rPr>
          <w:rFonts w:ascii="標楷體" w:eastAsia="標楷體" w:hAnsi="標楷體"/>
          <w:color w:val="000000"/>
        </w:rPr>
      </w:pPr>
      <w:r>
        <w:rPr>
          <w:rFonts w:ascii="標楷體" w:eastAsia="標楷體" w:hAnsi="標楷體"/>
          <w:color w:val="000000"/>
        </w:rPr>
        <w:t>2.如符合前項規定且已使用本類藥品治療半年以上，而18歲以上仍需服用者，需於病歷上詳細記載以往病史及使用理由。（96/9/1、111/2/1）</w:t>
      </w:r>
    </w:p>
    <w:p w14:paraId="2718DE0A" w14:textId="77777777" w:rsidR="00BD776B" w:rsidRDefault="00DF0C24">
      <w:pPr>
        <w:ind w:left="811" w:hanging="245"/>
        <w:rPr>
          <w:rFonts w:ascii="標楷體" w:eastAsia="標楷體" w:hAnsi="標楷體"/>
          <w:color w:val="000000"/>
        </w:rPr>
      </w:pPr>
      <w:r>
        <w:rPr>
          <w:rFonts w:ascii="標楷體" w:eastAsia="標楷體" w:hAnsi="標楷體"/>
          <w:color w:val="000000"/>
        </w:rPr>
        <w:t>3.19歲以上至未滿41歲才第一次診斷者，須符合下列條件並檢附詳細病歷紀錄及相關資料，經事前審查核准後使用(限用ATOTINE、XEIRDA)：（111/8/1）</w:t>
      </w:r>
    </w:p>
    <w:p w14:paraId="000AEB8C"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(1)注意力測驗(Continuous Performance Test ,CPT)或Gordon </w:t>
      </w:r>
    </w:p>
    <w:p w14:paraId="3DFAF908"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Diagnostic System,GDS。</w:t>
      </w:r>
    </w:p>
    <w:p w14:paraId="603070F6"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(2)世界衛生組織公告之Adult ADHD Self report Scale, ASRS (傳統中</w:t>
      </w:r>
    </w:p>
    <w:p w14:paraId="3D6A78AA"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文版)、Global Assessment of Functioning Scaling ,GAF。</w:t>
      </w:r>
    </w:p>
    <w:p w14:paraId="38A3EFCB"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(3)需由精神科醫師診斷及處方，臨床醫師對個案之診斷及處方有疑慮</w:t>
      </w:r>
    </w:p>
    <w:p w14:paraId="04331704"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時，宜由具有兒童青少年精神科訓練之專科醫師確認診斷。</w:t>
      </w:r>
    </w:p>
    <w:p w14:paraId="3706A6E1"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(4)排除其他疾病因素：</w:t>
      </w:r>
    </w:p>
    <w:p w14:paraId="153CE8F2"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Ⅰ.任何使用之藥品/物質、身體及注意力不全過動症以外之各種精神 </w:t>
      </w:r>
    </w:p>
    <w:p w14:paraId="5CC15245"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病等對注意力及衝動控制功能、症狀之影響作用。</w:t>
      </w:r>
    </w:p>
    <w:p w14:paraId="7F7E1068"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Ⅱ.一年內患有物質使用/物質成癮、嚴重憂鬱症。</w:t>
      </w:r>
    </w:p>
    <w:p w14:paraId="224862D7"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Ⅲ.思覺失調症 (Schizophrenia）、雙極性疾患(Bipolar </w:t>
      </w:r>
    </w:p>
    <w:p w14:paraId="4E048BBA"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disorder）、人格疾患、失智症及器質性因素</w:t>
      </w:r>
    </w:p>
    <w:p w14:paraId="1F712C33"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(5)換藥條件：若使用原藥物3個月無效(如ASRS得分大於24或較治療前</w:t>
      </w:r>
    </w:p>
    <w:p w14:paraId="53B95AE5"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增加)，得以更換methylphenidate成分藥品之短效劑型。</w:t>
      </w:r>
    </w:p>
    <w:p w14:paraId="08E0F024"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(6)退場機制：</w:t>
      </w:r>
    </w:p>
    <w:p w14:paraId="38694C9A"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Ⅰ.19歲以上並已接受治療之病患，超過一年未回診，再開立藥物</w:t>
      </w:r>
    </w:p>
    <w:p w14:paraId="3AAC7A46"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前，須重新經事前審查核准。</w:t>
      </w:r>
    </w:p>
    <w:p w14:paraId="05DBB077"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Ⅱ.換藥後半年應予評估，症狀未改善應予停用；症狀持續穩定逾一</w:t>
      </w:r>
    </w:p>
    <w:p w14:paraId="580D8152"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年者，得改為每年評估。</w:t>
      </w:r>
    </w:p>
    <w:p w14:paraId="19271A8E" w14:textId="2223C85B" w:rsidR="00BD776B" w:rsidRDefault="00DF0C24">
      <w:pPr>
        <w:ind w:left="811" w:hanging="245"/>
        <w:rPr>
          <w:rFonts w:ascii="標楷體" w:eastAsia="標楷體" w:hAnsi="標楷體"/>
          <w:color w:val="000000"/>
        </w:rPr>
      </w:pPr>
      <w:r>
        <w:rPr>
          <w:rFonts w:ascii="標楷體" w:eastAsia="標楷體" w:hAnsi="標楷體"/>
          <w:color w:val="000000"/>
        </w:rPr>
        <w:t>4.Atomoxetine HCl原則上每日限使用1粒，惟每日劑量需超過60mg時，應於病歷中記載理由，則每日至多可使用2粒，每日最大劑量為100mg。（97/5/1）</w:t>
      </w:r>
    </w:p>
    <w:p w14:paraId="51CA1A55" w14:textId="495B157A" w:rsidR="003F52C0" w:rsidRPr="003F52C0" w:rsidRDefault="003F52C0">
      <w:pPr>
        <w:ind w:left="811" w:hanging="245"/>
        <w:rPr>
          <w:rFonts w:ascii="標楷體" w:eastAsia="標楷體" w:hAnsi="標楷體"/>
          <w:color w:val="000000"/>
        </w:rPr>
      </w:pPr>
      <w:r>
        <w:rPr>
          <w:rFonts w:ascii="標楷體" w:eastAsia="標楷體" w:hAnsi="標楷體" w:hint="eastAsia"/>
          <w:color w:val="000000"/>
        </w:rPr>
        <w:t>5.</w:t>
      </w:r>
      <w:r w:rsidRPr="003F52C0">
        <w:rPr>
          <w:rFonts w:hint="eastAsia"/>
        </w:rPr>
        <w:t xml:space="preserve"> </w:t>
      </w:r>
      <w:r w:rsidRPr="003F52C0">
        <w:rPr>
          <w:rFonts w:ascii="標楷體" w:eastAsia="標楷體" w:hAnsi="標楷體" w:hint="eastAsia"/>
          <w:color w:val="000000"/>
        </w:rPr>
        <w:t>Atomoxetine HCl口服液劑，限用於6歲以上至18歲以下無法口服錠劑之病人，每日劑量需超過60mg時，應於病歷中記載理由，每日最大劑量為100mg。（113/11/1</w:t>
      </w:r>
      <w:r>
        <w:rPr>
          <w:rFonts w:ascii="標楷體" w:eastAsia="標楷體" w:hAnsi="標楷體"/>
          <w:color w:val="000000"/>
        </w:rPr>
        <w:t>）</w:t>
      </w:r>
    </w:p>
    <w:p w14:paraId="0C32856B" w14:textId="14D20052" w:rsidR="00BD776B" w:rsidRDefault="003F52C0">
      <w:pPr>
        <w:ind w:left="811" w:hanging="245"/>
        <w:rPr>
          <w:rFonts w:ascii="標楷體" w:eastAsia="標楷體" w:hAnsi="標楷體"/>
          <w:color w:val="000000"/>
        </w:rPr>
      </w:pPr>
      <w:r>
        <w:rPr>
          <w:rFonts w:ascii="標楷體" w:eastAsia="標楷體" w:hAnsi="標楷體" w:hint="eastAsia"/>
          <w:color w:val="000000"/>
        </w:rPr>
        <w:t>6</w:t>
      </w:r>
      <w:r w:rsidR="00DF0C24">
        <w:rPr>
          <w:rFonts w:ascii="標楷體" w:eastAsia="標楷體" w:hAnsi="標楷體"/>
          <w:color w:val="000000"/>
        </w:rPr>
        <w:t>.Methydur原則上每日限使用1粒，惟每日劑量需超過33mg時，應於病歷中記載理由，則每日至多可使用2粒，每日最大劑量為44mg。(109/9/1)</w:t>
      </w:r>
    </w:p>
    <w:p w14:paraId="09350675" w14:textId="77777777" w:rsidR="00BD776B" w:rsidRDefault="00DF0C24">
      <w:pPr>
        <w:ind w:left="811" w:hanging="527"/>
        <w:rPr>
          <w:rFonts w:ascii="標楷體" w:eastAsia="標楷體" w:hAnsi="標楷體"/>
          <w:color w:val="000000"/>
        </w:rPr>
      </w:pPr>
      <w:r>
        <w:rPr>
          <w:rFonts w:ascii="標楷體" w:eastAsia="標楷體" w:hAnsi="標楷體"/>
          <w:color w:val="000000"/>
        </w:rPr>
        <w:t>1.3.6.Modafinil(如Provigil)、pitolisant (如Wakix)：(96/2/1、109/12/1、110/12/1、112/3/1)</w:t>
      </w:r>
    </w:p>
    <w:p w14:paraId="52456CE7" w14:textId="77777777" w:rsidR="00BD776B" w:rsidRDefault="00DF0C24">
      <w:pPr>
        <w:ind w:left="811" w:hanging="527"/>
        <w:rPr>
          <w:rFonts w:ascii="標楷體" w:eastAsia="標楷體" w:hAnsi="標楷體"/>
          <w:color w:val="000000"/>
        </w:rPr>
      </w:pPr>
      <w:r>
        <w:rPr>
          <w:rFonts w:ascii="標楷體" w:eastAsia="標楷體" w:hAnsi="標楷體"/>
          <w:color w:val="000000"/>
        </w:rPr>
        <w:t>1.3.6.1.Modafinil(如Provigil)：(96/2/1、109/12/1、110/12/1、112/3/1)</w:t>
      </w:r>
    </w:p>
    <w:p w14:paraId="4C6FAED0" w14:textId="77777777" w:rsidR="00BD776B" w:rsidRDefault="00DF0C24">
      <w:pPr>
        <w:ind w:left="811" w:hanging="245"/>
        <w:rPr>
          <w:rFonts w:ascii="標楷體" w:eastAsia="標楷體" w:hAnsi="標楷體"/>
          <w:color w:val="000000"/>
        </w:rPr>
      </w:pPr>
      <w:r>
        <w:rPr>
          <w:rFonts w:ascii="標楷體" w:eastAsia="標楷體" w:hAnsi="標楷體"/>
          <w:color w:val="000000"/>
        </w:rPr>
        <w:t>同時需符合下列條件：</w:t>
      </w:r>
    </w:p>
    <w:p w14:paraId="739233AE" w14:textId="77777777" w:rsidR="00BD776B" w:rsidRDefault="00DF0C24">
      <w:pPr>
        <w:ind w:left="993" w:hanging="386"/>
        <w:rPr>
          <w:rFonts w:ascii="標楷體" w:eastAsia="標楷體" w:hAnsi="標楷體"/>
          <w:color w:val="000000"/>
        </w:rPr>
      </w:pPr>
      <w:r>
        <w:rPr>
          <w:rFonts w:ascii="標楷體" w:eastAsia="標楷體" w:hAnsi="標楷體"/>
          <w:color w:val="000000"/>
        </w:rPr>
        <w:t>1.限猝睡症(narcolepsy)患者有日間過度睡眠症狀。(109/12/1）</w:t>
      </w:r>
    </w:p>
    <w:p w14:paraId="4AD59D69" w14:textId="77777777" w:rsidR="00BD776B" w:rsidRDefault="00DF0C24">
      <w:pPr>
        <w:ind w:left="993" w:hanging="386"/>
        <w:rPr>
          <w:rFonts w:ascii="標楷體" w:eastAsia="標楷體" w:hAnsi="標楷體"/>
          <w:color w:val="000000"/>
        </w:rPr>
      </w:pPr>
      <w:r>
        <w:rPr>
          <w:rFonts w:ascii="標楷體" w:eastAsia="標楷體" w:hAnsi="標楷體"/>
          <w:color w:val="000000"/>
        </w:rPr>
        <w:t>2.猝睡症之診斷需符合ICSD-3診斷準則（2014國際睡眠障礙分類標準）為</w:t>
      </w:r>
      <w:r>
        <w:rPr>
          <w:rFonts w:ascii="標楷體" w:eastAsia="標楷體" w:hAnsi="標楷體"/>
          <w:color w:val="000000"/>
        </w:rPr>
        <w:lastRenderedPageBreak/>
        <w:t>Narcolepsy Type 1及Type 2，如下：(109/12/1）</w:t>
      </w:r>
    </w:p>
    <w:p w14:paraId="0004A116" w14:textId="77777777" w:rsidR="00BD776B" w:rsidRDefault="00DF0C24">
      <w:pPr>
        <w:ind w:left="993" w:hanging="386"/>
        <w:rPr>
          <w:rFonts w:ascii="標楷體" w:eastAsia="標楷體" w:hAnsi="標楷體"/>
          <w:color w:val="000000"/>
        </w:rPr>
      </w:pPr>
      <w:r>
        <w:rPr>
          <w:rFonts w:ascii="標楷體" w:eastAsia="標楷體" w:hAnsi="標楷體"/>
          <w:color w:val="000000"/>
        </w:rPr>
        <w:t>Ⅰ.病人必須出現3個月以上白天不可擋的嗜睡症狀。</w:t>
      </w:r>
    </w:p>
    <w:p w14:paraId="4CA47799" w14:textId="77777777" w:rsidR="00BD776B" w:rsidRDefault="00DF0C24">
      <w:pPr>
        <w:ind w:left="993" w:hanging="386"/>
        <w:rPr>
          <w:rFonts w:ascii="標楷體" w:eastAsia="標楷體" w:hAnsi="標楷體"/>
          <w:color w:val="000000"/>
        </w:rPr>
      </w:pPr>
      <w:r>
        <w:rPr>
          <w:rFonts w:ascii="標楷體" w:eastAsia="標楷體" w:hAnsi="標楷體"/>
          <w:color w:val="000000"/>
        </w:rPr>
        <w:t>Ⅱ.以下兩項至少出現一項以上。</w:t>
      </w:r>
    </w:p>
    <w:p w14:paraId="5C8D01AC" w14:textId="77777777" w:rsidR="00BD776B" w:rsidRDefault="00DF0C24">
      <w:pPr>
        <w:ind w:left="993" w:hanging="386"/>
        <w:rPr>
          <w:rFonts w:ascii="標楷體" w:eastAsia="標楷體" w:hAnsi="標楷體"/>
          <w:color w:val="000000"/>
        </w:rPr>
      </w:pPr>
      <w:r>
        <w:rPr>
          <w:rFonts w:ascii="標楷體" w:eastAsia="標楷體" w:hAnsi="標楷體"/>
          <w:color w:val="000000"/>
        </w:rPr>
        <w:t>(i)Type I Narcolepsy必須出現猝倒（cataplexy）及多次入睡睡眠檢查（Multiple Sleep Latency Test,MSLT）出現的平均入睡潛伏期（sleep latency）小於等於8分鐘，且有兩次以上的快速動眼期（SOREMPs）；或者前一晚多頻睡眠檢查 (Polysomnography,PSG)的快速動眼期潛伏期小於15分鐘，可取代一次白天的快速動眼期（SOREMP）。</w:t>
      </w:r>
    </w:p>
    <w:p w14:paraId="28860A10" w14:textId="77777777" w:rsidR="00BD776B" w:rsidRDefault="00DF0C24">
      <w:pPr>
        <w:ind w:left="993" w:hanging="102"/>
        <w:rPr>
          <w:rFonts w:ascii="標楷體" w:eastAsia="標楷體" w:hAnsi="標楷體"/>
          <w:color w:val="000000"/>
        </w:rPr>
      </w:pPr>
      <w:r>
        <w:rPr>
          <w:rFonts w:ascii="標楷體" w:eastAsia="標楷體" w:hAnsi="標楷體"/>
          <w:color w:val="000000"/>
        </w:rPr>
        <w:t>Type 2 Narcolepsy則沒有猝倒（cataplexy），但其多頻睡眠檢查 (Polysomnography,PSG)及多次入睡睡眠檢查（Multiple Sleep Latency Test,MSLT）準則如前述。</w:t>
      </w:r>
    </w:p>
    <w:p w14:paraId="393CD4D7" w14:textId="77777777" w:rsidR="00BD776B" w:rsidRDefault="00DF0C24">
      <w:pPr>
        <w:ind w:left="993" w:hanging="386"/>
        <w:rPr>
          <w:rFonts w:ascii="標楷體" w:eastAsia="標楷體" w:hAnsi="標楷體"/>
          <w:color w:val="000000"/>
        </w:rPr>
      </w:pPr>
      <w:r>
        <w:rPr>
          <w:rFonts w:ascii="標楷體" w:eastAsia="標楷體" w:hAnsi="標楷體"/>
          <w:color w:val="000000"/>
        </w:rPr>
        <w:t>(ii)Type 1 Narcolepsy病人腦脊髓液中的Hypocretin-1濃度低於110pg/mL或小於1/3正常人的平均濃度（是以immunoreactivity 測定）。</w:t>
      </w:r>
    </w:p>
    <w:p w14:paraId="6DBE0B74" w14:textId="77777777" w:rsidR="00BD776B" w:rsidRDefault="00DF0C24">
      <w:pPr>
        <w:ind w:left="993" w:firstLine="39"/>
        <w:rPr>
          <w:rFonts w:ascii="標楷體" w:eastAsia="標楷體" w:hAnsi="標楷體"/>
          <w:color w:val="000000"/>
        </w:rPr>
      </w:pPr>
      <w:r>
        <w:rPr>
          <w:rFonts w:ascii="標楷體" w:eastAsia="標楷體" w:hAnsi="標楷體"/>
          <w:color w:val="000000"/>
        </w:rPr>
        <w:t>Type 2 Narcolepsy病人腦脊髓液中的Hypocretin-1是大於110 pg/mL或大於1/3正常人的平均濃度，亦或是無法檢測Hypocretin-1。亦可參考血液 HLA-DQB1*0602檢驗是否為positive，來協助診斷或分類猝睡症類型。</w:t>
      </w:r>
    </w:p>
    <w:p w14:paraId="2ECA48B1" w14:textId="77777777" w:rsidR="00BD776B" w:rsidRDefault="00DF0C24">
      <w:pPr>
        <w:ind w:left="851" w:hanging="244"/>
        <w:rPr>
          <w:rFonts w:ascii="標楷體" w:eastAsia="標楷體" w:hAnsi="標楷體"/>
          <w:color w:val="000000"/>
        </w:rPr>
      </w:pPr>
      <w:r>
        <w:rPr>
          <w:rFonts w:ascii="標楷體" w:eastAsia="標楷體" w:hAnsi="標楷體"/>
          <w:color w:val="000000"/>
        </w:rPr>
        <w:t>3.日間過度睡眠持續至少3個月以上，應有客觀評估，如成人的愛普沃斯嗜睡量表ESS (Epworthsleepiness Scale)需高於9分，或兒童青少年日間嗜睡量表PDSS(Pediatric daytime sleepiness Scale)或史丹福嗜睡評量表SSS(Stanfordsleepiness scale)。病患嗜睡症狀及MSLT的結果必須排除其他原因，且需排除阻塞性睡眠呼吸障礙(obstructive sleep apnea)、週期性下肢抽動（Periodic leg movementdisorder）和睡眠相位後移症候群（Delayed sleep phase syndrome）等造成日間過度睡眠之可能性。(109/12/1）</w:t>
      </w:r>
    </w:p>
    <w:p w14:paraId="21538957" w14:textId="77777777" w:rsidR="00BD776B" w:rsidRDefault="00DF0C24">
      <w:pPr>
        <w:ind w:left="851" w:hanging="244"/>
        <w:rPr>
          <w:rFonts w:ascii="標楷體" w:eastAsia="標楷體" w:hAnsi="標楷體"/>
          <w:color w:val="000000"/>
        </w:rPr>
      </w:pPr>
      <w:r>
        <w:rPr>
          <w:rFonts w:ascii="標楷體" w:eastAsia="標楷體" w:hAnsi="標楷體"/>
          <w:color w:val="000000"/>
        </w:rPr>
        <w:t>4.限有睡眠實驗室之醫院之神經內科、精神科、胸腔內科、耳鼻喉科、兒童神經科及兒童胸腔科專科醫師使用。(110/12/1)</w:t>
      </w:r>
    </w:p>
    <w:p w14:paraId="1CC89CAF" w14:textId="77777777" w:rsidR="00BD776B" w:rsidRDefault="00DF0C24">
      <w:pPr>
        <w:ind w:left="851" w:hanging="244"/>
        <w:rPr>
          <w:rFonts w:ascii="標楷體" w:eastAsia="標楷體" w:hAnsi="標楷體"/>
          <w:color w:val="000000"/>
        </w:rPr>
      </w:pPr>
      <w:r>
        <w:rPr>
          <w:rFonts w:ascii="標楷體" w:eastAsia="標楷體" w:hAnsi="標楷體"/>
          <w:color w:val="000000"/>
        </w:rPr>
        <w:t>5.經事前審查核准後使用。首次申請時需檢附以下資料：1.病歷紀錄  2.ICSD II 診斷  3.PSG報告4.MSLT報告5.日間過度睡眠量表，如ESS、PDSS、SSS 等。使用後每3-6個月施測日間過量睡眠症狀量表ESS、或PDSS、SSS，以評估療效。</w:t>
      </w:r>
    </w:p>
    <w:p w14:paraId="572FA364" w14:textId="77777777" w:rsidR="00BD776B" w:rsidRDefault="00DF0C24">
      <w:pPr>
        <w:ind w:left="851" w:hanging="244"/>
        <w:rPr>
          <w:rFonts w:ascii="標楷體" w:eastAsia="標楷體" w:hAnsi="標楷體"/>
          <w:color w:val="000000"/>
        </w:rPr>
      </w:pPr>
      <w:r>
        <w:rPr>
          <w:rFonts w:ascii="標楷體" w:eastAsia="標楷體" w:hAnsi="標楷體"/>
          <w:color w:val="000000"/>
        </w:rPr>
        <w:t>6.使用期程：第1次申請獲准1年後，需重新進行MSLT檢查以評估客觀療效，並同時檢附過去1年之ESS或PDSS、SSS。連續2年申請，如病人服藥順從性高，且藥效確定，則可每次核准3年。否則仍需每年申請1次，若 ESS 或 MSLT其中之一顯示療效不佳，應即停用。</w:t>
      </w:r>
    </w:p>
    <w:p w14:paraId="599C078C" w14:textId="77777777" w:rsidR="00BD776B" w:rsidRDefault="00DF0C24">
      <w:pPr>
        <w:ind w:left="811" w:hanging="245"/>
        <w:rPr>
          <w:rFonts w:ascii="標楷體" w:eastAsia="標楷體" w:hAnsi="標楷體"/>
          <w:color w:val="000000"/>
        </w:rPr>
      </w:pPr>
      <w:r>
        <w:rPr>
          <w:rFonts w:ascii="標楷體" w:eastAsia="標楷體" w:hAnsi="標楷體"/>
          <w:color w:val="000000"/>
        </w:rPr>
        <w:t>7.限制每日最大劑量 200-400mg。(109/12/1）</w:t>
      </w:r>
    </w:p>
    <w:p w14:paraId="51DA65FE" w14:textId="77777777" w:rsidR="00BD776B" w:rsidRDefault="00DF0C24">
      <w:pPr>
        <w:spacing w:line="460" w:lineRule="exact"/>
        <w:ind w:left="197" w:hanging="240"/>
        <w:rPr>
          <w:rFonts w:ascii="標楷體" w:eastAsia="標楷體" w:hAnsi="標楷體"/>
          <w:color w:val="000000"/>
        </w:rPr>
      </w:pPr>
      <w:r>
        <w:rPr>
          <w:rFonts w:ascii="標楷體" w:eastAsia="標楷體" w:hAnsi="標楷體"/>
          <w:color w:val="000000"/>
        </w:rPr>
        <w:t xml:space="preserve">     8.Modafinil(如Provigil)與pitolisant(如Wakix)兩者限擇一使用。(112/3/1)</w:t>
      </w:r>
    </w:p>
    <w:p w14:paraId="42879CD6" w14:textId="77777777" w:rsidR="00BD776B" w:rsidRDefault="00DF0C24">
      <w:pPr>
        <w:ind w:left="851" w:hanging="567"/>
        <w:rPr>
          <w:rFonts w:ascii="標楷體" w:eastAsia="標楷體" w:hAnsi="標楷體"/>
          <w:color w:val="000000"/>
        </w:rPr>
      </w:pPr>
      <w:r>
        <w:rPr>
          <w:rFonts w:ascii="標楷體" w:eastAsia="標楷體" w:hAnsi="標楷體"/>
          <w:color w:val="000000"/>
        </w:rPr>
        <w:t>1.3.6.2.Pitolisant (如Wakix)：（112/3/1)</w:t>
      </w:r>
    </w:p>
    <w:p w14:paraId="6798963B" w14:textId="77777777" w:rsidR="00BD776B" w:rsidRDefault="00DF0C24">
      <w:pPr>
        <w:ind w:left="851" w:hanging="244"/>
        <w:rPr>
          <w:rFonts w:ascii="標楷體" w:eastAsia="標楷體" w:hAnsi="標楷體"/>
          <w:color w:val="000000"/>
        </w:rPr>
      </w:pPr>
      <w:r>
        <w:rPr>
          <w:rFonts w:ascii="標楷體" w:eastAsia="標楷體" w:hAnsi="標楷體"/>
          <w:color w:val="000000"/>
        </w:rPr>
        <w:t>1.限18歲以上之成人猝睡症 (narcolepsy)患者。</w:t>
      </w:r>
    </w:p>
    <w:p w14:paraId="63C84320" w14:textId="77777777" w:rsidR="00BD776B" w:rsidRDefault="00DF0C24">
      <w:pPr>
        <w:ind w:left="851" w:hanging="244"/>
        <w:rPr>
          <w:rFonts w:ascii="標楷體" w:eastAsia="標楷體" w:hAnsi="標楷體"/>
          <w:color w:val="000000"/>
        </w:rPr>
      </w:pPr>
      <w:r>
        <w:rPr>
          <w:rFonts w:ascii="標楷體" w:eastAsia="標楷體" w:hAnsi="標楷體"/>
          <w:color w:val="000000"/>
        </w:rPr>
        <w:t xml:space="preserve">2.猝睡症之診斷需符合ICSD-3診斷準則（2014國際睡眠障礙分類標準）為Narcolepsy Type 1及Type 2，如下： </w:t>
      </w:r>
    </w:p>
    <w:p w14:paraId="14C41FD5" w14:textId="77777777" w:rsidR="00BD776B" w:rsidRDefault="00DF0C24">
      <w:pPr>
        <w:ind w:left="1091" w:hanging="244"/>
        <w:rPr>
          <w:rFonts w:ascii="標楷體" w:eastAsia="標楷體" w:hAnsi="標楷體"/>
          <w:color w:val="000000"/>
        </w:rPr>
      </w:pPr>
      <w:r>
        <w:rPr>
          <w:rFonts w:ascii="標楷體" w:eastAsia="標楷體" w:hAnsi="標楷體"/>
          <w:color w:val="000000"/>
        </w:rPr>
        <w:t>Ⅰ.病人必須出現3個月以上白天不可擋的嗜睡症狀。</w:t>
      </w:r>
    </w:p>
    <w:p w14:paraId="4305F5DC" w14:textId="77777777" w:rsidR="00BD776B" w:rsidRDefault="00DF0C24">
      <w:pPr>
        <w:ind w:left="1091" w:hanging="244"/>
        <w:rPr>
          <w:rFonts w:ascii="標楷體" w:eastAsia="標楷體" w:hAnsi="標楷體"/>
          <w:color w:val="000000"/>
        </w:rPr>
      </w:pPr>
      <w:r>
        <w:rPr>
          <w:rFonts w:ascii="標楷體" w:eastAsia="標楷體" w:hAnsi="標楷體"/>
          <w:color w:val="000000"/>
        </w:rPr>
        <w:t>Ⅱ.以下兩項至少出現一項以上：</w:t>
      </w:r>
    </w:p>
    <w:p w14:paraId="56B5DDB3" w14:textId="77777777" w:rsidR="00BD776B" w:rsidRDefault="00DF0C24">
      <w:pPr>
        <w:ind w:left="1091" w:hanging="244"/>
        <w:rPr>
          <w:rFonts w:ascii="標楷體" w:eastAsia="標楷體" w:hAnsi="標楷體"/>
          <w:color w:val="000000"/>
        </w:rPr>
      </w:pPr>
      <w:r>
        <w:rPr>
          <w:rFonts w:ascii="標楷體" w:eastAsia="標楷體" w:hAnsi="標楷體"/>
          <w:color w:val="000000"/>
        </w:rPr>
        <w:t>(i)Type I Narcolepsy必須出現猝倒（cataplexy）及多次入睡睡眠檢查</w:t>
      </w:r>
      <w:r>
        <w:rPr>
          <w:rFonts w:ascii="標楷體" w:eastAsia="標楷體" w:hAnsi="標楷體"/>
          <w:color w:val="000000"/>
        </w:rPr>
        <w:lastRenderedPageBreak/>
        <w:t>（Multiple Sleep Latency Test,MSLT）出現的平均入睡潛伏期（sleep latency）小於等於8分鐘，且有兩次以上的快速動眼期（SOREMPs）；或者前一晚多頻睡眠檢查 (Polysomnography,PSG)的快速動眼期潛伏期小於15分鐘，可取代一次白天的快速動眼期（SOREMP）；Type 2 Narcolepsy則沒有猝倒（cataplexy），但其多頻睡眠檢查 (Polysomnography,PSG)及多次入睡睡眠檢查（Multiple Sleep Latency Test,MSLT）準則如前述。</w:t>
      </w:r>
    </w:p>
    <w:p w14:paraId="1A0701A2" w14:textId="77777777" w:rsidR="00BD776B" w:rsidRDefault="00DF0C24">
      <w:pPr>
        <w:ind w:left="1091" w:hanging="244"/>
        <w:rPr>
          <w:rFonts w:ascii="標楷體" w:eastAsia="標楷體" w:hAnsi="標楷體"/>
          <w:color w:val="000000"/>
        </w:rPr>
      </w:pPr>
      <w:r>
        <w:rPr>
          <w:rFonts w:ascii="標楷體" w:eastAsia="標楷體" w:hAnsi="標楷體"/>
          <w:color w:val="000000"/>
        </w:rPr>
        <w:t>(ii)Type 1 Narcolepsy病人腦脊髓液中的Hypocretin-1濃度低於110pg/mL或小於1/3正常人的平均濃度（是以immunoreactivity 測定）；Type 2 Narcolepsy病人腦脊髓液中的Hypocretin-1是大於110 pg/mL或大於1/3正常人的平均濃度，亦或是無法檢測Hypocretin-1。亦可參考血液 HLA-DQB1*0602檢驗是否為positive，來協助診斷或分類猝睡症類型。</w:t>
      </w:r>
    </w:p>
    <w:p w14:paraId="19D66305" w14:textId="77777777" w:rsidR="00BD776B" w:rsidRDefault="00DF0C24">
      <w:pPr>
        <w:ind w:left="851" w:hanging="244"/>
        <w:rPr>
          <w:rFonts w:ascii="標楷體" w:eastAsia="標楷體" w:hAnsi="標楷體"/>
          <w:color w:val="000000"/>
        </w:rPr>
      </w:pPr>
      <w:r>
        <w:rPr>
          <w:rFonts w:ascii="標楷體" w:eastAsia="標楷體" w:hAnsi="標楷體"/>
          <w:color w:val="000000"/>
        </w:rPr>
        <w:t>3.日間過度睡眠持續至少3個月以上，應有客觀評估，如成人的愛普沃斯嗜睡量表ESS (Epworthsleepiness Scale)需高於9分。病患嗜睡症狀及MSLT的結果必須排除其他原因，且需排除阻塞性睡眠呼吸障礙(obstructive sleep apnea)、週期性下肢抽動（Periodic leg movement disorder）和睡眠相位後移症候群（Delayed sleep phase syndrome）等造成日間過度睡眠之可能性。</w:t>
      </w:r>
    </w:p>
    <w:p w14:paraId="50A16F03" w14:textId="77777777" w:rsidR="00BD776B" w:rsidRDefault="00DF0C24">
      <w:pPr>
        <w:ind w:left="851" w:hanging="244"/>
        <w:rPr>
          <w:rFonts w:ascii="標楷體" w:eastAsia="標楷體" w:hAnsi="標楷體"/>
          <w:color w:val="000000"/>
        </w:rPr>
      </w:pPr>
      <w:r>
        <w:rPr>
          <w:rFonts w:ascii="標楷體" w:eastAsia="標楷體" w:hAnsi="標楷體"/>
          <w:color w:val="000000"/>
        </w:rPr>
        <w:t>4.限有睡眠實驗室之醫院之神經內科、精神科、胸腔內科、耳鼻喉科專科醫師使用。</w:t>
      </w:r>
    </w:p>
    <w:p w14:paraId="5C2CA8C5" w14:textId="77777777" w:rsidR="00BD776B" w:rsidRDefault="00DF0C24">
      <w:pPr>
        <w:ind w:left="851" w:hanging="244"/>
        <w:rPr>
          <w:rFonts w:ascii="標楷體" w:eastAsia="標楷體" w:hAnsi="標楷體"/>
          <w:color w:val="000000"/>
        </w:rPr>
      </w:pPr>
      <w:r>
        <w:rPr>
          <w:rFonts w:ascii="標楷體" w:eastAsia="標楷體" w:hAnsi="標楷體"/>
          <w:color w:val="000000"/>
        </w:rPr>
        <w:t>5.經事前審查核准後使用。首次申請時需檢附以下資料：</w:t>
      </w:r>
    </w:p>
    <w:p w14:paraId="38536FE0" w14:textId="77777777" w:rsidR="00BD776B" w:rsidRDefault="00DF0C24">
      <w:pPr>
        <w:ind w:left="1091" w:hanging="244"/>
        <w:rPr>
          <w:rFonts w:ascii="標楷體" w:eastAsia="標楷體" w:hAnsi="標楷體"/>
          <w:color w:val="000000"/>
        </w:rPr>
      </w:pPr>
      <w:r>
        <w:rPr>
          <w:rFonts w:ascii="標楷體" w:eastAsia="標楷體" w:hAnsi="標楷體"/>
          <w:color w:val="000000"/>
        </w:rPr>
        <w:t>(1)病歷紀錄。</w:t>
      </w:r>
    </w:p>
    <w:p w14:paraId="73F7A3D6" w14:textId="77777777" w:rsidR="00BD776B" w:rsidRDefault="00DF0C24">
      <w:pPr>
        <w:ind w:left="1091" w:hanging="244"/>
        <w:rPr>
          <w:rFonts w:ascii="標楷體" w:eastAsia="標楷體" w:hAnsi="標楷體"/>
          <w:color w:val="000000"/>
        </w:rPr>
      </w:pPr>
      <w:r>
        <w:rPr>
          <w:rFonts w:ascii="標楷體" w:eastAsia="標楷體" w:hAnsi="標楷體"/>
          <w:color w:val="000000"/>
        </w:rPr>
        <w:t>(2)ICSD II 診斷。</w:t>
      </w:r>
    </w:p>
    <w:p w14:paraId="7E55432C" w14:textId="77777777" w:rsidR="00BD776B" w:rsidRDefault="00DF0C24">
      <w:pPr>
        <w:ind w:left="1091" w:hanging="244"/>
        <w:rPr>
          <w:rFonts w:ascii="標楷體" w:eastAsia="標楷體" w:hAnsi="標楷體"/>
          <w:color w:val="000000"/>
        </w:rPr>
      </w:pPr>
      <w:r>
        <w:rPr>
          <w:rFonts w:ascii="標楷體" w:eastAsia="標楷體" w:hAnsi="標楷體"/>
          <w:color w:val="000000"/>
        </w:rPr>
        <w:t>(3)PSG報告。</w:t>
      </w:r>
    </w:p>
    <w:p w14:paraId="27FEE7B2" w14:textId="77777777" w:rsidR="00BD776B" w:rsidRDefault="00DF0C24">
      <w:pPr>
        <w:ind w:left="1091" w:hanging="244"/>
        <w:rPr>
          <w:rFonts w:ascii="標楷體" w:eastAsia="標楷體" w:hAnsi="標楷體"/>
          <w:color w:val="000000"/>
        </w:rPr>
      </w:pPr>
      <w:r>
        <w:rPr>
          <w:rFonts w:ascii="標楷體" w:eastAsia="標楷體" w:hAnsi="標楷體"/>
          <w:color w:val="000000"/>
        </w:rPr>
        <w:t>(4)MSLT報告。</w:t>
      </w:r>
    </w:p>
    <w:p w14:paraId="790B631D" w14:textId="77777777" w:rsidR="00BD776B" w:rsidRDefault="00DF0C24">
      <w:pPr>
        <w:ind w:left="1233" w:hanging="386"/>
        <w:rPr>
          <w:rFonts w:ascii="標楷體" w:eastAsia="標楷體" w:hAnsi="標楷體"/>
          <w:color w:val="000000"/>
        </w:rPr>
      </w:pPr>
      <w:r>
        <w:rPr>
          <w:rFonts w:ascii="標楷體" w:eastAsia="標楷體" w:hAnsi="標楷體"/>
          <w:color w:val="000000"/>
        </w:rPr>
        <w:t>(5)日間過度睡眠量表，如ESS等。使用後每3-6個月施測日間過量睡眠症狀量表ESS，以評估療效。</w:t>
      </w:r>
    </w:p>
    <w:p w14:paraId="44E64C5E" w14:textId="77777777" w:rsidR="00BD776B" w:rsidRDefault="00DF0C24">
      <w:pPr>
        <w:ind w:left="851" w:hanging="244"/>
        <w:rPr>
          <w:rFonts w:ascii="標楷體" w:eastAsia="標楷體" w:hAnsi="標楷體"/>
          <w:color w:val="000000"/>
        </w:rPr>
      </w:pPr>
      <w:r>
        <w:rPr>
          <w:rFonts w:ascii="標楷體" w:eastAsia="標楷體" w:hAnsi="標楷體"/>
          <w:color w:val="000000"/>
        </w:rPr>
        <w:t>6.使用期程：第1次申請獲准1年後，需重新進行MSLT檢查以評估客觀療效，並同時檢附過去1年之ESS。連續2年申請，如病人服藥順從性高，且藥效確定，則可每次核准3年。否則仍需每年申請1次，若MSLT其中之一顯示療效不佳，應即停用。</w:t>
      </w:r>
    </w:p>
    <w:p w14:paraId="520C7D4D" w14:textId="77777777" w:rsidR="00BD776B" w:rsidRDefault="00DF0C24">
      <w:pPr>
        <w:ind w:left="851" w:hanging="244"/>
        <w:rPr>
          <w:rFonts w:ascii="標楷體" w:eastAsia="標楷體" w:hAnsi="標楷體"/>
          <w:color w:val="000000"/>
        </w:rPr>
      </w:pPr>
      <w:r>
        <w:rPr>
          <w:rFonts w:ascii="標楷體" w:eastAsia="標楷體" w:hAnsi="標楷體"/>
          <w:color w:val="000000"/>
        </w:rPr>
        <w:t>7.限制每日最大劑量36mg，且每日至多使用2粒。</w:t>
      </w:r>
    </w:p>
    <w:p w14:paraId="442FD3EE" w14:textId="77777777" w:rsidR="00BD776B" w:rsidRDefault="00DF0C24">
      <w:pPr>
        <w:ind w:left="851" w:hanging="244"/>
        <w:rPr>
          <w:rFonts w:ascii="標楷體" w:eastAsia="標楷體" w:hAnsi="標楷體"/>
          <w:color w:val="000000"/>
        </w:rPr>
      </w:pPr>
      <w:r>
        <w:rPr>
          <w:rFonts w:ascii="標楷體" w:eastAsia="標楷體" w:hAnsi="標楷體"/>
          <w:color w:val="000000"/>
        </w:rPr>
        <w:t>8.Modafinil(如Provigil)與pitolisant(如Wakix)兩者限擇一使用。</w:t>
      </w:r>
    </w:p>
    <w:p w14:paraId="79E22CF2" w14:textId="77777777" w:rsidR="00BD776B" w:rsidRDefault="00DF0C24">
      <w:pPr>
        <w:ind w:left="851" w:hanging="567"/>
        <w:rPr>
          <w:rFonts w:ascii="標楷體" w:eastAsia="標楷體" w:hAnsi="標楷體"/>
          <w:color w:val="000000"/>
        </w:rPr>
      </w:pPr>
      <w:r>
        <w:rPr>
          <w:rFonts w:ascii="標楷體" w:eastAsia="標楷體" w:hAnsi="標楷體"/>
          <w:color w:val="000000"/>
        </w:rPr>
        <w:t>1.4.麻醉劑 Drugs used in anesthesia</w:t>
      </w:r>
    </w:p>
    <w:p w14:paraId="74E337CC" w14:textId="77777777" w:rsidR="00BD776B" w:rsidRDefault="00DF0C24">
      <w:pPr>
        <w:ind w:left="851" w:hanging="567"/>
        <w:rPr>
          <w:rFonts w:ascii="標楷體" w:eastAsia="標楷體" w:hAnsi="標楷體"/>
          <w:color w:val="000000"/>
        </w:rPr>
      </w:pPr>
      <w:r>
        <w:rPr>
          <w:rFonts w:ascii="標楷體" w:eastAsia="標楷體" w:hAnsi="標楷體"/>
          <w:color w:val="000000"/>
        </w:rPr>
        <w:t>1.4.1.Propofol：(91/2/1、100/7/1、109/2/1)</w:t>
      </w:r>
    </w:p>
    <w:p w14:paraId="4BE07EED" w14:textId="77777777" w:rsidR="00BD776B" w:rsidRDefault="00DF0C24">
      <w:pPr>
        <w:ind w:left="851" w:hanging="244"/>
        <w:rPr>
          <w:rFonts w:ascii="標楷體" w:eastAsia="標楷體" w:hAnsi="標楷體"/>
          <w:color w:val="000000"/>
        </w:rPr>
      </w:pPr>
      <w:r>
        <w:rPr>
          <w:rFonts w:ascii="標楷體" w:eastAsia="標楷體" w:hAnsi="標楷體"/>
          <w:color w:val="000000"/>
        </w:rPr>
        <w:t>1.限使用人工呼吸器治療且需要每日進行神智評估之病例使用(100/7/1)。</w:t>
      </w:r>
    </w:p>
    <w:p w14:paraId="7E7220A3" w14:textId="77777777" w:rsidR="00BD776B" w:rsidRDefault="00DF0C24">
      <w:pPr>
        <w:ind w:left="851" w:hanging="244"/>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每次使用以不超過七十二小時為原則，依病程需要至多延長至七天。超過三天之使用需醫師評估病患在非重度鎮靜之輕、中度鎮靜狀態下使用，且需做相關預防Propofol之併發症的評估(109/2/1)。</w:t>
      </w:r>
    </w:p>
    <w:p w14:paraId="7B5B058C" w14:textId="77777777" w:rsidR="00BD776B" w:rsidRDefault="00DF0C24">
      <w:pPr>
        <w:ind w:left="851" w:hanging="244"/>
        <w:rPr>
          <w:rFonts w:ascii="標楷體" w:eastAsia="標楷體" w:hAnsi="標楷體"/>
          <w:color w:val="000000"/>
        </w:rPr>
      </w:pPr>
      <w:r>
        <w:rPr>
          <w:rFonts w:ascii="標楷體" w:eastAsia="標楷體" w:hAnsi="標楷體"/>
          <w:color w:val="000000"/>
        </w:rPr>
        <w:t>3.不得作為例行性使用。</w:t>
      </w:r>
    </w:p>
    <w:p w14:paraId="6DF0C145" w14:textId="77777777" w:rsidR="00BD776B" w:rsidRDefault="00DF0C24">
      <w:pPr>
        <w:ind w:left="851" w:hanging="567"/>
        <w:rPr>
          <w:rFonts w:ascii="標楷體" w:eastAsia="標楷體" w:hAnsi="標楷體"/>
          <w:color w:val="000000"/>
        </w:rPr>
      </w:pPr>
      <w:r>
        <w:rPr>
          <w:rFonts w:ascii="標楷體" w:eastAsia="標楷體" w:hAnsi="標楷體"/>
          <w:color w:val="000000"/>
        </w:rPr>
        <w:t>1.4.2.Cis-atracurium、atracurium：(91/2/1、100/7/1)</w:t>
      </w:r>
    </w:p>
    <w:p w14:paraId="4833662F" w14:textId="77777777" w:rsidR="00BD776B" w:rsidRDefault="00DF0C24">
      <w:pPr>
        <w:ind w:left="851" w:hanging="244"/>
        <w:rPr>
          <w:rFonts w:ascii="標楷體" w:eastAsia="標楷體" w:hAnsi="標楷體"/>
          <w:color w:val="000000"/>
        </w:rPr>
      </w:pPr>
      <w:r>
        <w:rPr>
          <w:rFonts w:ascii="標楷體" w:eastAsia="標楷體" w:hAnsi="標楷體"/>
          <w:color w:val="000000"/>
        </w:rPr>
        <w:t>1.限使用人工呼吸器治療且肝或腎功能衰竭之病患使用(100/7/1)。</w:t>
      </w:r>
    </w:p>
    <w:p w14:paraId="76E3E520" w14:textId="77777777" w:rsidR="00BD776B" w:rsidRDefault="00DF0C24">
      <w:pPr>
        <w:ind w:left="851" w:hanging="244"/>
        <w:rPr>
          <w:rFonts w:ascii="標楷體" w:eastAsia="標楷體" w:hAnsi="標楷體"/>
          <w:color w:val="000000"/>
        </w:rPr>
      </w:pPr>
      <w:r>
        <w:rPr>
          <w:rFonts w:ascii="標楷體" w:eastAsia="標楷體" w:hAnsi="標楷體"/>
          <w:color w:val="000000"/>
        </w:rPr>
        <w:t>2.每次使用以不超過七十二小時為原則。</w:t>
      </w:r>
    </w:p>
    <w:p w14:paraId="1FD9E47A" w14:textId="77777777" w:rsidR="00BD776B" w:rsidRDefault="00DF0C24">
      <w:pPr>
        <w:ind w:left="851" w:hanging="244"/>
        <w:rPr>
          <w:rFonts w:ascii="標楷體" w:eastAsia="標楷體" w:hAnsi="標楷體"/>
          <w:color w:val="000000"/>
        </w:rPr>
      </w:pPr>
      <w:r>
        <w:rPr>
          <w:rFonts w:ascii="標楷體" w:eastAsia="標楷體" w:hAnsi="標楷體"/>
          <w:color w:val="000000"/>
        </w:rPr>
        <w:t>3.不得作為例行性使用。</w:t>
      </w:r>
    </w:p>
    <w:p w14:paraId="051EECDF" w14:textId="77777777" w:rsidR="00BD776B" w:rsidRDefault="00DF0C24">
      <w:pPr>
        <w:ind w:left="851" w:hanging="567"/>
        <w:rPr>
          <w:rFonts w:ascii="標楷體" w:eastAsia="標楷體" w:hAnsi="標楷體"/>
          <w:color w:val="000000"/>
        </w:rPr>
      </w:pPr>
      <w:r>
        <w:rPr>
          <w:rFonts w:ascii="標楷體" w:eastAsia="標楷體" w:hAnsi="標楷體"/>
          <w:color w:val="000000"/>
        </w:rPr>
        <w:lastRenderedPageBreak/>
        <w:t>1.4.3.Vecuronium、rocuronium：(91/2/1、100/7/1)</w:t>
      </w:r>
    </w:p>
    <w:p w14:paraId="0E71E49B" w14:textId="77777777" w:rsidR="00BD776B" w:rsidRDefault="00DF0C24">
      <w:pPr>
        <w:ind w:left="851" w:hanging="244"/>
        <w:rPr>
          <w:rFonts w:ascii="標楷體" w:eastAsia="標楷體" w:hAnsi="標楷體"/>
          <w:color w:val="000000"/>
        </w:rPr>
      </w:pPr>
      <w:r>
        <w:rPr>
          <w:rFonts w:ascii="標楷體" w:eastAsia="標楷體" w:hAnsi="標楷體"/>
          <w:color w:val="000000"/>
        </w:rPr>
        <w:t>1.限使用人工呼吸器治療之血液動力學不穩定之重症病患，且具有下述情形者(100/7/1)：</w:t>
      </w:r>
    </w:p>
    <w:p w14:paraId="425BCDA0" w14:textId="77777777" w:rsidR="00BD776B" w:rsidRDefault="00DF0C24">
      <w:pPr>
        <w:ind w:left="1049" w:hanging="341"/>
        <w:rPr>
          <w:rFonts w:ascii="標楷體" w:eastAsia="標楷體" w:hAnsi="標楷體"/>
          <w:color w:val="000000"/>
        </w:rPr>
      </w:pPr>
      <w:r>
        <w:rPr>
          <w:rFonts w:ascii="標楷體" w:eastAsia="標楷體" w:hAnsi="標楷體"/>
          <w:color w:val="000000"/>
        </w:rPr>
        <w:t>(1)心臟功能不穩定者。</w:t>
      </w:r>
    </w:p>
    <w:p w14:paraId="56EC3942" w14:textId="77777777" w:rsidR="00BD776B" w:rsidRDefault="00DF0C24">
      <w:pPr>
        <w:ind w:left="1049" w:hanging="341"/>
        <w:rPr>
          <w:rFonts w:ascii="標楷體" w:eastAsia="標楷體" w:hAnsi="標楷體"/>
          <w:color w:val="000000"/>
        </w:rPr>
      </w:pPr>
      <w:r>
        <w:rPr>
          <w:rFonts w:ascii="標楷體" w:eastAsia="標楷體" w:hAnsi="標楷體"/>
          <w:color w:val="000000"/>
        </w:rPr>
        <w:t>(2)心搏過速可能惡化者。</w:t>
      </w:r>
    </w:p>
    <w:p w14:paraId="3F5D736A" w14:textId="77777777" w:rsidR="00BD776B" w:rsidRDefault="00DF0C24">
      <w:pPr>
        <w:ind w:left="811" w:hanging="245"/>
        <w:rPr>
          <w:rFonts w:ascii="標楷體" w:eastAsia="標楷體" w:hAnsi="標楷體"/>
          <w:color w:val="000000"/>
        </w:rPr>
      </w:pPr>
      <w:r>
        <w:rPr>
          <w:rFonts w:ascii="標楷體" w:eastAsia="標楷體" w:hAnsi="標楷體"/>
          <w:color w:val="000000"/>
        </w:rPr>
        <w:t>2.每次使用以不超過七十二小時為原則。</w:t>
      </w:r>
    </w:p>
    <w:p w14:paraId="7F218C8F" w14:textId="77777777" w:rsidR="00BD776B" w:rsidRDefault="00DF0C24">
      <w:pPr>
        <w:ind w:left="811" w:hanging="245"/>
        <w:rPr>
          <w:rFonts w:ascii="標楷體" w:eastAsia="標楷體" w:hAnsi="標楷體"/>
          <w:color w:val="000000"/>
        </w:rPr>
      </w:pPr>
      <w:r>
        <w:rPr>
          <w:rFonts w:ascii="標楷體" w:eastAsia="標楷體" w:hAnsi="標楷體"/>
          <w:color w:val="000000"/>
        </w:rPr>
        <w:t>3.不得作為例行性使用。</w:t>
      </w:r>
    </w:p>
    <w:p w14:paraId="451A4F19" w14:textId="77777777" w:rsidR="00BD776B" w:rsidRDefault="00DF0C24">
      <w:pPr>
        <w:ind w:left="672" w:hanging="386"/>
        <w:rPr>
          <w:rFonts w:ascii="標楷體" w:eastAsia="標楷體" w:hAnsi="標楷體"/>
          <w:color w:val="000000"/>
        </w:rPr>
      </w:pPr>
      <w:r>
        <w:rPr>
          <w:rFonts w:ascii="標楷體" w:eastAsia="標楷體" w:hAnsi="標楷體"/>
          <w:color w:val="000000"/>
        </w:rPr>
        <w:t>1.4.4.局部麻醉劑（local anesthetics）</w:t>
      </w:r>
    </w:p>
    <w:p w14:paraId="1D594362" w14:textId="77777777" w:rsidR="00BD776B" w:rsidRDefault="00DF0C24">
      <w:pPr>
        <w:ind w:left="811" w:hanging="245"/>
        <w:rPr>
          <w:rFonts w:ascii="標楷體" w:eastAsia="標楷體" w:hAnsi="標楷體"/>
          <w:color w:val="000000"/>
        </w:rPr>
      </w:pPr>
      <w:r>
        <w:rPr>
          <w:rFonts w:ascii="標楷體" w:eastAsia="標楷體" w:hAnsi="標楷體"/>
          <w:color w:val="000000"/>
        </w:rPr>
        <w:t>Xylocaine 2 % jelly：</w:t>
      </w:r>
    </w:p>
    <w:p w14:paraId="047ABD27" w14:textId="77777777" w:rsidR="00BD776B" w:rsidRDefault="00DF0C24">
      <w:pPr>
        <w:ind w:left="565" w:hanging="1"/>
        <w:rPr>
          <w:rFonts w:ascii="標楷體" w:eastAsia="標楷體" w:hAnsi="標楷體"/>
          <w:color w:val="000000"/>
        </w:rPr>
      </w:pPr>
      <w:r>
        <w:rPr>
          <w:rFonts w:ascii="標楷體" w:eastAsia="標楷體" w:hAnsi="標楷體"/>
          <w:color w:val="000000"/>
        </w:rPr>
        <w:t>限直腸外科人工肛門造口病例需居家定期插入導管或脊椎畸型合併有神經功能障礙之病童需長期居家間歇導尿病例使用。</w:t>
      </w:r>
    </w:p>
    <w:p w14:paraId="73B73DA2" w14:textId="77777777" w:rsidR="00BD776B" w:rsidRDefault="00DF0C24">
      <w:pPr>
        <w:ind w:left="672" w:hanging="386"/>
        <w:rPr>
          <w:rFonts w:ascii="標楷體" w:eastAsia="標楷體" w:hAnsi="標楷體"/>
          <w:color w:val="000000"/>
        </w:rPr>
      </w:pPr>
      <w:r>
        <w:rPr>
          <w:rFonts w:ascii="標楷體" w:eastAsia="標楷體" w:hAnsi="標楷體"/>
          <w:color w:val="000000"/>
        </w:rPr>
        <w:t>1.4.5.Dexmedetomidine（如Precedex）：(96/8/1、108/3/1)</w:t>
      </w:r>
    </w:p>
    <w:p w14:paraId="57C46018"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1.限用於短期可拔管需鎮靜之18歲以上加護病房病人使用，連續使用不得超過24小時，再次使用需間隔6小時以上，每次住院最多使用3次。</w:t>
      </w:r>
    </w:p>
    <w:p w14:paraId="23A75675" w14:textId="77777777" w:rsidR="00BD776B" w:rsidRDefault="00DF0C24">
      <w:pPr>
        <w:ind w:left="811" w:hanging="245"/>
        <w:rPr>
          <w:rFonts w:ascii="標楷體" w:eastAsia="標楷體" w:hAnsi="標楷體"/>
          <w:color w:val="000000"/>
        </w:rPr>
      </w:pPr>
      <w:r>
        <w:rPr>
          <w:rFonts w:ascii="標楷體" w:eastAsia="標楷體" w:hAnsi="標楷體"/>
          <w:color w:val="000000"/>
        </w:rPr>
        <w:t>2.申報費用時檢附病歷紀錄(資料)。</w:t>
      </w:r>
    </w:p>
    <w:p w14:paraId="65AC82E5" w14:textId="77777777" w:rsidR="00BD776B" w:rsidRDefault="00DF0C24">
      <w:pPr>
        <w:ind w:left="672" w:hanging="386"/>
      </w:pPr>
      <w:r>
        <w:rPr>
          <w:rFonts w:ascii="標楷體" w:eastAsia="標楷體" w:hAnsi="標楷體"/>
          <w:color w:val="000000"/>
        </w:rPr>
        <w:t>1.5.Parasympathomimetic (Cholinergic) Agents（93/8/1、94/2/1、96/7/1、97/5/1</w:t>
      </w:r>
      <w:r>
        <w:rPr>
          <w:rFonts w:ascii="標楷體" w:eastAsia="標楷體" w:hAnsi="標楷體"/>
        </w:rPr>
        <w:t>、102/2/1</w:t>
      </w:r>
      <w:r>
        <w:rPr>
          <w:rFonts w:ascii="標楷體" w:eastAsia="標楷體" w:hAnsi="標楷體"/>
          <w:color w:val="000000"/>
        </w:rPr>
        <w:t>）</w:t>
      </w:r>
    </w:p>
    <w:p w14:paraId="26267478" w14:textId="77777777" w:rsidR="00BD776B" w:rsidRDefault="00DF0C24">
      <w:pPr>
        <w:ind w:left="672" w:hanging="386"/>
        <w:rPr>
          <w:rFonts w:ascii="標楷體" w:eastAsia="標楷體" w:hAnsi="標楷體"/>
          <w:color w:val="000000"/>
        </w:rPr>
      </w:pPr>
      <w:r>
        <w:rPr>
          <w:rFonts w:ascii="標楷體" w:eastAsia="標楷體" w:hAnsi="標楷體"/>
          <w:color w:val="000000"/>
        </w:rPr>
        <w:t>1.5.1.Pilocarpine hydrochloride口服劑型</w:t>
      </w:r>
    </w:p>
    <w:p w14:paraId="2C4EDAF0" w14:textId="77777777" w:rsidR="00BD776B" w:rsidRDefault="00DF0C24">
      <w:pPr>
        <w:ind w:left="811" w:hanging="245"/>
        <w:rPr>
          <w:rFonts w:ascii="標楷體" w:eastAsia="標楷體" w:hAnsi="標楷體"/>
          <w:color w:val="000000"/>
        </w:rPr>
      </w:pPr>
      <w:r>
        <w:rPr>
          <w:rFonts w:ascii="標楷體" w:eastAsia="標楷體" w:hAnsi="標楷體"/>
          <w:color w:val="000000"/>
        </w:rPr>
        <w:t>1.使用於修格蘭氏症候群 (Sjogren's syndrome) 病人：</w:t>
      </w:r>
    </w:p>
    <w:p w14:paraId="6831FDA1" w14:textId="77777777" w:rsidR="00BD776B" w:rsidRDefault="00DF0C24">
      <w:pPr>
        <w:ind w:left="1049" w:hanging="341"/>
        <w:rPr>
          <w:rFonts w:ascii="標楷體" w:eastAsia="標楷體" w:hAnsi="標楷體"/>
          <w:color w:val="000000"/>
        </w:rPr>
      </w:pPr>
      <w:r>
        <w:rPr>
          <w:rFonts w:ascii="標楷體" w:eastAsia="標楷體" w:hAnsi="標楷體"/>
          <w:color w:val="000000"/>
        </w:rPr>
        <w:t>(1)使用對象：需符合修格蘭氏症候群之診斷標準。</w:t>
      </w:r>
    </w:p>
    <w:p w14:paraId="60DBFE86" w14:textId="77777777" w:rsidR="00BD776B" w:rsidRDefault="00DF0C24">
      <w:pPr>
        <w:ind w:left="1049" w:hanging="341"/>
        <w:rPr>
          <w:rFonts w:ascii="標楷體" w:eastAsia="標楷體" w:hAnsi="標楷體"/>
          <w:color w:val="000000"/>
        </w:rPr>
      </w:pPr>
      <w:r>
        <w:rPr>
          <w:rFonts w:ascii="標楷體" w:eastAsia="標楷體" w:hAnsi="標楷體"/>
          <w:color w:val="000000"/>
        </w:rPr>
        <w:t>(2)使用時機：原發性或續發性修格蘭氏症候群病人具有口乾燥症狀者。</w:t>
      </w:r>
    </w:p>
    <w:p w14:paraId="72C0503D" w14:textId="77777777" w:rsidR="00BD776B" w:rsidRDefault="00DF0C24">
      <w:pPr>
        <w:ind w:left="1049" w:hanging="341"/>
        <w:rPr>
          <w:rFonts w:ascii="標楷體" w:eastAsia="標楷體" w:hAnsi="標楷體"/>
        </w:rPr>
      </w:pPr>
      <w:r>
        <w:rPr>
          <w:rFonts w:ascii="標楷體" w:eastAsia="標楷體" w:hAnsi="標楷體"/>
        </w:rPr>
        <w:t>(3)治療期程及評量：使用後每半年需檢附pilocarpine hydrochloride口服劑型治療後症狀改善評量表 (如附表十九) 於病歷上，證明pilocarpine hydrochloride口服劑型治療有效方可繼續使用。（102/2/1)</w:t>
      </w:r>
    </w:p>
    <w:p w14:paraId="56D33423" w14:textId="77777777" w:rsidR="00BD776B" w:rsidRDefault="00DF0C24">
      <w:pPr>
        <w:ind w:left="1049" w:hanging="341"/>
      </w:pPr>
      <w:r>
        <w:rPr>
          <w:rFonts w:ascii="標楷體" w:eastAsia="標楷體" w:hAnsi="標楷體"/>
        </w:rPr>
        <w:t>(4)使用劑量：每日三至四次，每次一錠 (5mg/tab) 依病人反映，可做劑量調整參考。</w:t>
      </w:r>
    </w:p>
    <w:p w14:paraId="7F8405D7" w14:textId="77777777" w:rsidR="00BD776B" w:rsidRDefault="00DF0C24">
      <w:pPr>
        <w:ind w:left="811" w:hanging="245"/>
        <w:rPr>
          <w:rFonts w:ascii="標楷體" w:eastAsia="標楷體" w:hAnsi="標楷體"/>
          <w:color w:val="000000"/>
        </w:rPr>
      </w:pPr>
      <w:r>
        <w:rPr>
          <w:rFonts w:ascii="標楷體" w:eastAsia="標楷體" w:hAnsi="標楷體"/>
          <w:color w:val="000000"/>
        </w:rPr>
        <w:t>2.使用於頭頸部癌放射線治療病人</w:t>
      </w:r>
    </w:p>
    <w:p w14:paraId="06E1153A" w14:textId="77777777" w:rsidR="00BD776B" w:rsidRDefault="00DF0C24">
      <w:pPr>
        <w:ind w:left="1049" w:hanging="341"/>
        <w:rPr>
          <w:rFonts w:ascii="標楷體" w:eastAsia="標楷體" w:hAnsi="標楷體"/>
          <w:color w:val="000000"/>
        </w:rPr>
      </w:pPr>
      <w:r>
        <w:rPr>
          <w:rFonts w:ascii="標楷體" w:eastAsia="標楷體" w:hAnsi="標楷體"/>
          <w:color w:val="000000"/>
        </w:rPr>
        <w:t>(1)使用對象：頭頸部癌放射線治療超過26GY之患者，造成唾腺功能減低而引起的口乾燥症狀。</w:t>
      </w:r>
    </w:p>
    <w:p w14:paraId="03F7F8F6" w14:textId="77777777" w:rsidR="00BD776B" w:rsidRDefault="00DF0C24">
      <w:pPr>
        <w:ind w:left="1049" w:hanging="341"/>
        <w:rPr>
          <w:rFonts w:ascii="標楷體" w:eastAsia="標楷體" w:hAnsi="標楷體"/>
          <w:color w:val="000000"/>
        </w:rPr>
      </w:pPr>
      <w:r>
        <w:rPr>
          <w:rFonts w:ascii="標楷體" w:eastAsia="標楷體" w:hAnsi="標楷體"/>
          <w:color w:val="000000"/>
        </w:rPr>
        <w:t>(2)使用時機：適用於放射線治療期間及治療後所引起的口乾燥症狀需藥物控制時。</w:t>
      </w:r>
    </w:p>
    <w:p w14:paraId="5B16B342" w14:textId="77777777" w:rsidR="00BD776B" w:rsidRDefault="00DF0C24">
      <w:pPr>
        <w:ind w:left="1049" w:hanging="341"/>
        <w:rPr>
          <w:rFonts w:ascii="標楷體" w:eastAsia="標楷體" w:hAnsi="標楷體"/>
          <w:color w:val="000000"/>
        </w:rPr>
      </w:pPr>
      <w:r>
        <w:rPr>
          <w:rFonts w:ascii="標楷體" w:eastAsia="標楷體" w:hAnsi="標楷體"/>
          <w:color w:val="000000"/>
        </w:rPr>
        <w:t>(3)治療期程及評量：每使用兩個月後，需以pilocarpine hydrochloride口服劑型治療後症狀改善評量表 (如附表十九) 評估，認定確有改善者達10分(含)以上者方可繼續使用。（96/7/1）</w:t>
      </w:r>
    </w:p>
    <w:p w14:paraId="10E7C62B" w14:textId="77777777" w:rsidR="00BD776B" w:rsidRDefault="00DF0C24">
      <w:pPr>
        <w:ind w:left="1049" w:hanging="341"/>
        <w:rPr>
          <w:rFonts w:ascii="標楷體" w:eastAsia="標楷體" w:hAnsi="標楷體"/>
          <w:color w:val="000000"/>
        </w:rPr>
      </w:pPr>
      <w:r>
        <w:rPr>
          <w:rFonts w:ascii="標楷體" w:eastAsia="標楷體" w:hAnsi="標楷體"/>
          <w:color w:val="000000"/>
        </w:rPr>
        <w:t>(4)使用劑量：每日三至四次，每次一錠 (5mg/tab) 依病人反應，可做劑量調整參考。</w:t>
      </w:r>
    </w:p>
    <w:p w14:paraId="26AA1546" w14:textId="77777777" w:rsidR="00BD776B" w:rsidRDefault="00DF0C24">
      <w:pPr>
        <w:ind w:left="1274" w:hanging="708"/>
        <w:rPr>
          <w:rFonts w:ascii="標楷體" w:eastAsia="標楷體" w:hAnsi="標楷體"/>
          <w:color w:val="000000"/>
        </w:rPr>
      </w:pPr>
      <w:r>
        <w:rPr>
          <w:rFonts w:ascii="標楷體" w:eastAsia="標楷體" w:hAnsi="標楷體"/>
          <w:color w:val="000000"/>
        </w:rPr>
        <w:t>備註：修格蘭氏症候群之診斷標準如下：【修格蘭氏症候群 (Sjogren's syndrome)之診斷標準依據2002年修立之歐洲分類標準】</w:t>
      </w:r>
    </w:p>
    <w:p w14:paraId="65FED400" w14:textId="77777777" w:rsidR="00BD776B" w:rsidRDefault="00DF0C24">
      <w:pPr>
        <w:ind w:left="811" w:hanging="245"/>
        <w:rPr>
          <w:rFonts w:ascii="標楷體" w:eastAsia="標楷體" w:hAnsi="標楷體"/>
          <w:color w:val="000000"/>
        </w:rPr>
      </w:pPr>
      <w:r>
        <w:rPr>
          <w:rFonts w:ascii="標楷體" w:eastAsia="標楷體" w:hAnsi="標楷體"/>
          <w:color w:val="000000"/>
        </w:rPr>
        <w:t>1.眼睛主觀症狀：至少符合下列問題之一：</w:t>
      </w:r>
    </w:p>
    <w:p w14:paraId="7C17FF54" w14:textId="77777777" w:rsidR="00BD776B" w:rsidRDefault="00DF0C24">
      <w:pPr>
        <w:ind w:left="1049" w:hanging="341"/>
        <w:rPr>
          <w:rFonts w:ascii="標楷體" w:eastAsia="標楷體" w:hAnsi="標楷體"/>
          <w:color w:val="000000"/>
        </w:rPr>
      </w:pPr>
      <w:r>
        <w:rPr>
          <w:rFonts w:ascii="標楷體" w:eastAsia="標楷體" w:hAnsi="標楷體"/>
          <w:color w:val="000000"/>
        </w:rPr>
        <w:t>(1)是否有每天，持續性，令人困擾的乾眼症狀持續三個月以上？</w:t>
      </w:r>
    </w:p>
    <w:p w14:paraId="3FAB38F8" w14:textId="77777777" w:rsidR="00BD776B" w:rsidRDefault="00DF0C24">
      <w:pPr>
        <w:ind w:left="1049" w:hanging="341"/>
        <w:rPr>
          <w:rFonts w:ascii="標楷體" w:eastAsia="標楷體" w:hAnsi="標楷體"/>
          <w:color w:val="000000"/>
        </w:rPr>
      </w:pPr>
      <w:r>
        <w:rPr>
          <w:rFonts w:ascii="標楷體" w:eastAsia="標楷體" w:hAnsi="標楷體"/>
          <w:color w:val="000000"/>
        </w:rPr>
        <w:t>(2)眼睛是否有反覆性的異物感？</w:t>
      </w:r>
    </w:p>
    <w:p w14:paraId="26B55AE3" w14:textId="77777777" w:rsidR="00BD776B" w:rsidRDefault="00DF0C24">
      <w:pPr>
        <w:ind w:left="1049" w:hanging="341"/>
        <w:rPr>
          <w:rFonts w:ascii="標楷體" w:eastAsia="標楷體" w:hAnsi="標楷體"/>
          <w:color w:val="000000"/>
        </w:rPr>
      </w:pPr>
      <w:r>
        <w:rPr>
          <w:rFonts w:ascii="標楷體" w:eastAsia="標楷體" w:hAnsi="標楷體"/>
          <w:color w:val="000000"/>
        </w:rPr>
        <w:t>(3)是否使用人工淚液一天大於三次？</w:t>
      </w:r>
    </w:p>
    <w:p w14:paraId="166C734F"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2.口腔主觀症狀：至少符合下列問題之一：</w:t>
      </w:r>
    </w:p>
    <w:p w14:paraId="5990640E" w14:textId="77777777" w:rsidR="00BD776B" w:rsidRDefault="00DF0C24">
      <w:pPr>
        <w:ind w:left="1049" w:hanging="341"/>
        <w:rPr>
          <w:rFonts w:ascii="標楷體" w:eastAsia="標楷體" w:hAnsi="標楷體"/>
          <w:color w:val="000000"/>
        </w:rPr>
      </w:pPr>
      <w:r>
        <w:rPr>
          <w:rFonts w:ascii="標楷體" w:eastAsia="標楷體" w:hAnsi="標楷體"/>
          <w:color w:val="000000"/>
        </w:rPr>
        <w:t>(1)是否每天都覺得口乾症狀持續三個月以上？</w:t>
      </w:r>
    </w:p>
    <w:p w14:paraId="135B5C6F" w14:textId="77777777" w:rsidR="00BD776B" w:rsidRDefault="00DF0C24">
      <w:pPr>
        <w:ind w:left="1049" w:hanging="341"/>
        <w:rPr>
          <w:rFonts w:ascii="標楷體" w:eastAsia="標楷體" w:hAnsi="標楷體"/>
          <w:color w:val="000000"/>
        </w:rPr>
      </w:pPr>
      <w:r>
        <w:rPr>
          <w:rFonts w:ascii="標楷體" w:eastAsia="標楷體" w:hAnsi="標楷體"/>
          <w:color w:val="000000"/>
        </w:rPr>
        <w:t>(2)是否於成年後曾經有反覆性或持續性唾液腺體腫大的現象？</w:t>
      </w:r>
    </w:p>
    <w:p w14:paraId="32F5BEA7" w14:textId="77777777" w:rsidR="00BD776B" w:rsidRDefault="00DF0C24">
      <w:pPr>
        <w:ind w:left="1049" w:hanging="341"/>
        <w:rPr>
          <w:rFonts w:ascii="標楷體" w:eastAsia="標楷體" w:hAnsi="標楷體"/>
          <w:color w:val="000000"/>
        </w:rPr>
      </w:pPr>
      <w:r>
        <w:rPr>
          <w:rFonts w:ascii="標楷體" w:eastAsia="標楷體" w:hAnsi="標楷體"/>
          <w:color w:val="000000"/>
        </w:rPr>
        <w:t>(3)是否經常使用流質來幫助吞食較乾的食物？</w:t>
      </w:r>
    </w:p>
    <w:p w14:paraId="189FEC94" w14:textId="77777777" w:rsidR="00BD776B" w:rsidRDefault="00DF0C24">
      <w:pPr>
        <w:ind w:left="811" w:hanging="245"/>
        <w:rPr>
          <w:rFonts w:ascii="標楷體" w:eastAsia="標楷體" w:hAnsi="標楷體"/>
          <w:color w:val="000000"/>
        </w:rPr>
      </w:pPr>
      <w:r>
        <w:rPr>
          <w:rFonts w:ascii="標楷體" w:eastAsia="標楷體" w:hAnsi="標楷體"/>
          <w:color w:val="000000"/>
        </w:rPr>
        <w:t>3.眼睛客觀表現：兩項檢查之中至少有一項呈陽性反應：</w:t>
      </w:r>
    </w:p>
    <w:p w14:paraId="4A43B06C" w14:textId="77777777" w:rsidR="00BD776B" w:rsidRDefault="00DF0C24">
      <w:pPr>
        <w:ind w:left="1049" w:hanging="341"/>
        <w:rPr>
          <w:rFonts w:ascii="標楷體" w:eastAsia="標楷體" w:hAnsi="標楷體"/>
          <w:color w:val="000000"/>
        </w:rPr>
      </w:pPr>
      <w:r>
        <w:rPr>
          <w:rFonts w:ascii="標楷體" w:eastAsia="標楷體" w:hAnsi="標楷體"/>
          <w:color w:val="000000"/>
        </w:rPr>
        <w:t>(1)Shirmer's 試驗：在無麻醉下測試，5分鐘後小於或等於5公厘。</w:t>
      </w:r>
    </w:p>
    <w:p w14:paraId="21D40417" w14:textId="77777777" w:rsidR="00BD776B" w:rsidRDefault="00DF0C24">
      <w:pPr>
        <w:ind w:left="1049" w:hanging="341"/>
        <w:rPr>
          <w:rFonts w:ascii="標楷體" w:eastAsia="標楷體" w:hAnsi="標楷體"/>
          <w:color w:val="000000"/>
        </w:rPr>
      </w:pPr>
      <w:r>
        <w:rPr>
          <w:rFonts w:ascii="標楷體" w:eastAsia="標楷體" w:hAnsi="標楷體"/>
          <w:color w:val="000000"/>
        </w:rPr>
        <w:t>(2)Rose Bengal score 或其他眼睛染色之評分，大於或等於4分 (依據van Bijsterveld's 評分系統)。</w:t>
      </w:r>
    </w:p>
    <w:p w14:paraId="5DADAC90" w14:textId="77777777" w:rsidR="00BD776B" w:rsidRDefault="00DF0C24">
      <w:pPr>
        <w:ind w:left="811" w:hanging="245"/>
      </w:pPr>
      <w:r>
        <w:rPr>
          <w:rFonts w:ascii="標楷體" w:eastAsia="標楷體" w:hAnsi="標楷體"/>
          <w:color w:val="000000"/>
        </w:rPr>
        <w:t>4.組織病理學：在4mm</w:t>
      </w:r>
      <w:r>
        <w:rPr>
          <w:rFonts w:ascii="標楷體" w:eastAsia="標楷體" w:hAnsi="標楷體"/>
          <w:color w:val="000000"/>
          <w:vertAlign w:val="superscript"/>
        </w:rPr>
        <w:t>2</w:t>
      </w:r>
      <w:r>
        <w:rPr>
          <w:rFonts w:ascii="標楷體" w:eastAsia="標楷體" w:hAnsi="標楷體"/>
          <w:color w:val="000000"/>
        </w:rPr>
        <w:t>的唾液腺組織切片中顯示腺體發炎而且≧1 focus的淋巴球浸潤 (1 Focus：≧50個淋巴球聚集)。</w:t>
      </w:r>
    </w:p>
    <w:p w14:paraId="6AC1F1B8" w14:textId="77777777" w:rsidR="00BD776B" w:rsidRDefault="00DF0C24">
      <w:pPr>
        <w:ind w:left="811" w:hanging="245"/>
        <w:rPr>
          <w:rFonts w:ascii="標楷體" w:eastAsia="標楷體" w:hAnsi="標楷體"/>
          <w:color w:val="000000"/>
        </w:rPr>
      </w:pPr>
      <w:r>
        <w:rPr>
          <w:rFonts w:ascii="標楷體" w:eastAsia="標楷體" w:hAnsi="標楷體"/>
          <w:color w:val="000000"/>
        </w:rPr>
        <w:t>5.唾液腺之侵犯：下列檢查之中至少有一項呈陽性反應：</w:t>
      </w:r>
    </w:p>
    <w:p w14:paraId="2D62FEC8" w14:textId="77777777" w:rsidR="00BD776B" w:rsidRDefault="00DF0C24">
      <w:pPr>
        <w:ind w:left="1049" w:hanging="341"/>
        <w:rPr>
          <w:rFonts w:ascii="標楷體" w:eastAsia="標楷體" w:hAnsi="標楷體"/>
          <w:color w:val="000000"/>
        </w:rPr>
      </w:pPr>
      <w:r>
        <w:rPr>
          <w:rFonts w:ascii="標楷體" w:eastAsia="標楷體" w:hAnsi="標楷體"/>
          <w:color w:val="000000"/>
        </w:rPr>
        <w:t>(1)無刺激下唾液的分泌總量減少 (15分鐘少於1.5㏄)</w:t>
      </w:r>
    </w:p>
    <w:p w14:paraId="49D4F774" w14:textId="77777777" w:rsidR="00BD776B" w:rsidRDefault="00DF0C24">
      <w:pPr>
        <w:ind w:left="1049" w:hanging="341"/>
        <w:rPr>
          <w:rFonts w:ascii="標楷體" w:eastAsia="標楷體" w:hAnsi="標楷體"/>
          <w:color w:val="000000"/>
        </w:rPr>
      </w:pPr>
      <w:r>
        <w:rPr>
          <w:rFonts w:ascii="標楷體" w:eastAsia="標楷體" w:hAnsi="標楷體"/>
          <w:color w:val="000000"/>
        </w:rPr>
        <w:t>(2)腮腺唾液管X光照像呈現瀰漫性唾液腺管擴大 (呈像為斑點狀，空洞狀或不規則狀) 且無唾液管阻塞現象。</w:t>
      </w:r>
    </w:p>
    <w:p w14:paraId="0A25EAD8" w14:textId="77777777" w:rsidR="00BD776B" w:rsidRDefault="00DF0C24">
      <w:pPr>
        <w:ind w:left="1049" w:hanging="341"/>
        <w:rPr>
          <w:rFonts w:ascii="標楷體" w:eastAsia="標楷體" w:hAnsi="標楷體"/>
          <w:color w:val="000000"/>
        </w:rPr>
      </w:pPr>
      <w:r>
        <w:rPr>
          <w:rFonts w:ascii="標楷體" w:eastAsia="標楷體" w:hAnsi="標楷體"/>
          <w:color w:val="000000"/>
        </w:rPr>
        <w:t>(3)唾液腺閃爍造影檢查呈現放射性同位元素之延遲顯影，低濃度以及/或排出延遲。</w:t>
      </w:r>
    </w:p>
    <w:p w14:paraId="6BAF21CE" w14:textId="77777777" w:rsidR="00BD776B" w:rsidRDefault="00DF0C24">
      <w:pPr>
        <w:ind w:left="811" w:hanging="245"/>
        <w:rPr>
          <w:rFonts w:ascii="標楷體" w:eastAsia="標楷體" w:hAnsi="標楷體"/>
          <w:color w:val="000000"/>
        </w:rPr>
      </w:pPr>
      <w:r>
        <w:rPr>
          <w:rFonts w:ascii="標楷體" w:eastAsia="標楷體" w:hAnsi="標楷體"/>
          <w:color w:val="000000"/>
        </w:rPr>
        <w:t>6.自體免疫抗體：出現以下自體抗體：</w:t>
      </w:r>
    </w:p>
    <w:p w14:paraId="38B0C4A9" w14:textId="77777777" w:rsidR="00BD776B" w:rsidRDefault="00DF0C24">
      <w:pPr>
        <w:ind w:left="1049" w:hanging="341"/>
        <w:rPr>
          <w:rFonts w:ascii="標楷體" w:eastAsia="標楷體" w:hAnsi="標楷體"/>
          <w:color w:val="000000"/>
        </w:rPr>
      </w:pPr>
      <w:r>
        <w:rPr>
          <w:rFonts w:ascii="標楷體" w:eastAsia="標楷體" w:hAnsi="標楷體"/>
          <w:color w:val="000000"/>
        </w:rPr>
        <w:t>(1)SSA或SSB或兩者皆有</w:t>
      </w:r>
    </w:p>
    <w:p w14:paraId="707565BA" w14:textId="77777777" w:rsidR="00BD776B" w:rsidRDefault="00DF0C24">
      <w:pPr>
        <w:ind w:left="991" w:firstLine="14"/>
        <w:rPr>
          <w:rFonts w:ascii="標楷體" w:eastAsia="標楷體" w:hAnsi="標楷體"/>
          <w:color w:val="000000"/>
        </w:rPr>
      </w:pPr>
      <w:r>
        <w:rPr>
          <w:rFonts w:ascii="標楷體" w:eastAsia="標楷體" w:hAnsi="標楷體"/>
          <w:color w:val="000000"/>
        </w:rPr>
        <w:t>合乎修格蘭氏症候群診斷標準之判定：</w:t>
      </w:r>
    </w:p>
    <w:p w14:paraId="62CC84B5" w14:textId="77777777" w:rsidR="00BD776B" w:rsidRDefault="00DF0C24">
      <w:pPr>
        <w:ind w:left="1414" w:hanging="336"/>
        <w:rPr>
          <w:rFonts w:ascii="標楷體" w:eastAsia="標楷體" w:hAnsi="標楷體"/>
          <w:color w:val="000000"/>
        </w:rPr>
      </w:pPr>
      <w:r>
        <w:rPr>
          <w:rFonts w:ascii="標楷體" w:eastAsia="標楷體" w:hAnsi="標楷體"/>
          <w:color w:val="000000"/>
        </w:rPr>
        <w:t>1.原發性修格蘭氏症：無任何相關疾病且需合乎下述(1)或(2)項條件：</w:t>
      </w:r>
    </w:p>
    <w:p w14:paraId="5B0C0292" w14:textId="77777777" w:rsidR="00BD776B" w:rsidRDefault="00DF0C24">
      <w:pPr>
        <w:ind w:left="1764" w:hanging="346"/>
        <w:rPr>
          <w:rFonts w:ascii="標楷體" w:eastAsia="標楷體" w:hAnsi="標楷體"/>
          <w:color w:val="000000"/>
        </w:rPr>
      </w:pPr>
      <w:r>
        <w:rPr>
          <w:rFonts w:ascii="標楷體" w:eastAsia="標楷體" w:hAnsi="標楷體"/>
          <w:color w:val="000000"/>
        </w:rPr>
        <w:t>(1)6項條件中4項符合，其中需有第4項 (組織病理) 或第6項 (血清檢查) 條件符合。</w:t>
      </w:r>
    </w:p>
    <w:p w14:paraId="76CB8DAD" w14:textId="77777777" w:rsidR="00BD776B" w:rsidRDefault="00DF0C24">
      <w:pPr>
        <w:ind w:left="1764" w:hanging="346"/>
        <w:rPr>
          <w:rFonts w:ascii="標楷體" w:eastAsia="標楷體" w:hAnsi="標楷體"/>
          <w:color w:val="000000"/>
        </w:rPr>
      </w:pPr>
      <w:r>
        <w:rPr>
          <w:rFonts w:ascii="標楷體" w:eastAsia="標楷體" w:hAnsi="標楷體"/>
          <w:color w:val="000000"/>
        </w:rPr>
        <w:t>(2)4項客觀條件 (即第3、4、5、6項) 中，任3項條件符合。</w:t>
      </w:r>
    </w:p>
    <w:p w14:paraId="7A07229A" w14:textId="77777777" w:rsidR="00BD776B" w:rsidRDefault="00DF0C24">
      <w:pPr>
        <w:ind w:left="1414" w:hanging="336"/>
        <w:rPr>
          <w:rFonts w:ascii="標楷體" w:eastAsia="標楷體" w:hAnsi="標楷體"/>
          <w:color w:val="000000"/>
        </w:rPr>
      </w:pPr>
      <w:r>
        <w:rPr>
          <w:rFonts w:ascii="標楷體" w:eastAsia="標楷體" w:hAnsi="標楷體"/>
          <w:color w:val="000000"/>
        </w:rPr>
        <w:t>2.次發性修格蘭氏症：</w:t>
      </w:r>
    </w:p>
    <w:p w14:paraId="7EC7586A" w14:textId="77777777" w:rsidR="00BD776B" w:rsidRDefault="00DF0C24">
      <w:pPr>
        <w:ind w:left="1301"/>
        <w:rPr>
          <w:rFonts w:ascii="標楷體" w:eastAsia="標楷體" w:hAnsi="標楷體"/>
          <w:color w:val="000000"/>
        </w:rPr>
      </w:pPr>
      <w:r>
        <w:rPr>
          <w:rFonts w:ascii="標楷體" w:eastAsia="標楷體" w:hAnsi="標楷體"/>
          <w:color w:val="000000"/>
        </w:rPr>
        <w:t>患者有潛在相關疾病 (例如：任何明確結締組織疾病) 而且存在有上述診斷標準中第1項條件，或第2條件，再加上第3、4、5項條件中任何2項，即考慮次發性修格蘭氏症候群。</w:t>
      </w:r>
    </w:p>
    <w:p w14:paraId="4097DF0E" w14:textId="77777777" w:rsidR="00BD776B" w:rsidRDefault="00DF0C24">
      <w:pPr>
        <w:ind w:left="672" w:hanging="386"/>
      </w:pPr>
      <w:r>
        <w:rPr>
          <w:rFonts w:ascii="標楷體" w:eastAsia="標楷體" w:hAnsi="標楷體"/>
          <w:color w:val="000000"/>
        </w:rPr>
        <w:t>1.5.2.Cevimeline hydrochloride（如Evoxac Capsules）（97/5/1</w:t>
      </w:r>
      <w:r>
        <w:rPr>
          <w:rFonts w:ascii="標楷體" w:eastAsia="標楷體" w:hAnsi="標楷體"/>
        </w:rPr>
        <w:t>、102/2/1</w:t>
      </w:r>
      <w:r>
        <w:rPr>
          <w:rFonts w:ascii="標楷體" w:eastAsia="標楷體" w:hAnsi="標楷體"/>
          <w:color w:val="000000"/>
        </w:rPr>
        <w:t>)</w:t>
      </w:r>
    </w:p>
    <w:p w14:paraId="1D55025E" w14:textId="77777777" w:rsidR="00BD776B" w:rsidRDefault="00DF0C24">
      <w:pPr>
        <w:ind w:left="811" w:hanging="245"/>
        <w:rPr>
          <w:rFonts w:ascii="標楷體" w:eastAsia="標楷體" w:hAnsi="標楷體"/>
          <w:color w:val="000000"/>
        </w:rPr>
      </w:pPr>
      <w:r>
        <w:rPr>
          <w:rFonts w:ascii="標楷體" w:eastAsia="標楷體" w:hAnsi="標楷體"/>
          <w:color w:val="000000"/>
        </w:rPr>
        <w:t>1.使用對象：需符合修格蘭氏症候群之診斷標準。</w:t>
      </w:r>
    </w:p>
    <w:p w14:paraId="6148814D" w14:textId="77777777" w:rsidR="00BD776B" w:rsidRDefault="00DF0C24">
      <w:pPr>
        <w:ind w:left="811" w:hanging="245"/>
        <w:rPr>
          <w:rFonts w:ascii="標楷體" w:eastAsia="標楷體" w:hAnsi="標楷體"/>
          <w:color w:val="000000"/>
        </w:rPr>
      </w:pPr>
      <w:r>
        <w:rPr>
          <w:rFonts w:ascii="標楷體" w:eastAsia="標楷體" w:hAnsi="標楷體"/>
          <w:color w:val="000000"/>
        </w:rPr>
        <w:t>2.使用時機：原發性或續發性修格蘭氏症候群病人具有口乾燥症狀者。</w:t>
      </w:r>
    </w:p>
    <w:p w14:paraId="359546CF" w14:textId="77777777" w:rsidR="00BD776B" w:rsidRDefault="00DF0C24">
      <w:pPr>
        <w:ind w:left="811" w:hanging="245"/>
        <w:rPr>
          <w:rFonts w:ascii="標楷體" w:eastAsia="標楷體" w:hAnsi="標楷體"/>
        </w:rPr>
      </w:pPr>
      <w:r>
        <w:rPr>
          <w:rFonts w:ascii="標楷體" w:eastAsia="標楷體" w:hAnsi="標楷體"/>
        </w:rPr>
        <w:t>3.治療期程及評量：使用後每半年需檢附cevimeline hydrochloride治療後症狀改善評量表（如附表二十）於病歷上，證明cevimeline hydrochloride治療有效方可繼續使用。（102/2/1)。</w:t>
      </w:r>
    </w:p>
    <w:p w14:paraId="3ACA32E4" w14:textId="77777777" w:rsidR="00BD776B" w:rsidRDefault="00DF0C24">
      <w:pPr>
        <w:ind w:left="811" w:hanging="245"/>
      </w:pPr>
      <w:r>
        <w:rPr>
          <w:rFonts w:ascii="標楷體" w:eastAsia="標楷體" w:hAnsi="標楷體"/>
        </w:rPr>
        <w:t>4.使用劑量：每日三次，每次一顆 (30mg/cap) 依病人反映，可做劑量調整參考。</w:t>
      </w:r>
    </w:p>
    <w:p w14:paraId="7A0F1770" w14:textId="77777777" w:rsidR="00BD776B" w:rsidRDefault="00DF0C24">
      <w:pPr>
        <w:ind w:left="672" w:hanging="386"/>
        <w:rPr>
          <w:rFonts w:ascii="標楷體" w:eastAsia="標楷體" w:hAnsi="標楷體"/>
          <w:color w:val="000000"/>
        </w:rPr>
      </w:pPr>
      <w:r>
        <w:rPr>
          <w:rFonts w:ascii="標楷體" w:eastAsia="標楷體" w:hAnsi="標楷體"/>
          <w:color w:val="000000"/>
        </w:rPr>
        <w:t>1.6.其他  Miscellaneous</w:t>
      </w:r>
    </w:p>
    <w:p w14:paraId="30030FE3" w14:textId="77777777" w:rsidR="00BD776B" w:rsidRDefault="00DF0C24">
      <w:pPr>
        <w:ind w:left="672" w:hanging="386"/>
        <w:rPr>
          <w:rFonts w:ascii="標楷體" w:eastAsia="標楷體" w:hAnsi="標楷體"/>
          <w:color w:val="000000"/>
        </w:rPr>
      </w:pPr>
      <w:r>
        <w:rPr>
          <w:rFonts w:ascii="標楷體" w:eastAsia="標楷體" w:hAnsi="標楷體"/>
          <w:color w:val="000000"/>
        </w:rPr>
        <w:t>1.6.1.Riluzole (如Rilutek、Teglutik) (87/4/1、92/11/1、95/4/1、112/7/1)</w:t>
      </w:r>
    </w:p>
    <w:p w14:paraId="00853609" w14:textId="77777777" w:rsidR="00BD776B" w:rsidRDefault="00DF0C24">
      <w:pPr>
        <w:ind w:left="912" w:hanging="386"/>
        <w:rPr>
          <w:rFonts w:ascii="標楷體" w:eastAsia="標楷體" w:hAnsi="標楷體"/>
          <w:color w:val="000000"/>
        </w:rPr>
      </w:pPr>
      <w:r>
        <w:rPr>
          <w:rFonts w:ascii="標楷體" w:eastAsia="標楷體" w:hAnsi="標楷體"/>
          <w:color w:val="000000"/>
        </w:rPr>
        <w:t>1.經兩位神經科專科醫師診斷為運動神經元疾病 (ALS/MND)，且未氣管切開或未使用人工呼吸器之病患。(92/11/1、95/4/1、112/7/1)</w:t>
      </w:r>
    </w:p>
    <w:p w14:paraId="11769E16" w14:textId="77777777" w:rsidR="00BD776B" w:rsidRDefault="00DF0C24">
      <w:pPr>
        <w:ind w:left="912" w:hanging="386"/>
        <w:rPr>
          <w:rFonts w:ascii="標楷體" w:eastAsia="標楷體" w:hAnsi="標楷體"/>
          <w:color w:val="000000"/>
        </w:rPr>
      </w:pPr>
      <w:r>
        <w:rPr>
          <w:rFonts w:ascii="標楷體" w:eastAsia="標楷體" w:hAnsi="標楷體"/>
          <w:color w:val="000000"/>
        </w:rPr>
        <w:t>2.遺傳性運動神經元萎縮症 (如spinal muscular atrophy等)，幼年性遠端肢體萎縮症 (如segmental or focal motor neuron disease等)，感染性神經元疾病 (如polio等) 不適用。</w:t>
      </w:r>
    </w:p>
    <w:p w14:paraId="0E9B68EB" w14:textId="77777777" w:rsidR="00BD776B" w:rsidRDefault="00DF0C24">
      <w:pPr>
        <w:ind w:left="912" w:hanging="386"/>
        <w:rPr>
          <w:rFonts w:ascii="標楷體" w:eastAsia="標楷體" w:hAnsi="標楷體"/>
          <w:color w:val="000000"/>
        </w:rPr>
      </w:pPr>
      <w:r>
        <w:rPr>
          <w:rFonts w:ascii="標楷體" w:eastAsia="標楷體" w:hAnsi="標楷體"/>
          <w:color w:val="000000"/>
        </w:rPr>
        <w:lastRenderedPageBreak/>
        <w:t>3. 錠劑膠囊劑限使用於無裝置鼻胃管或胃造廔餵食之病患。(112/7/1)</w:t>
      </w:r>
    </w:p>
    <w:p w14:paraId="7B14C3D1" w14:textId="77777777" w:rsidR="00BD776B" w:rsidRDefault="00DF0C24">
      <w:pPr>
        <w:ind w:left="672" w:hanging="386"/>
      </w:pPr>
      <w:r>
        <w:rPr>
          <w:rFonts w:ascii="標楷體" w:eastAsia="標楷體" w:hAnsi="標楷體"/>
          <w:color w:val="000000"/>
        </w:rPr>
        <w:t>1.6.2.</w:t>
      </w:r>
      <w:r>
        <w:t xml:space="preserve"> </w:t>
      </w:r>
      <w:r>
        <w:rPr>
          <w:rFonts w:ascii="標楷體" w:eastAsia="標楷體" w:hAnsi="標楷體"/>
          <w:color w:val="000000"/>
        </w:rPr>
        <w:t>Botulinum toxin type A</w:t>
      </w:r>
    </w:p>
    <w:p w14:paraId="66A91336" w14:textId="77777777" w:rsidR="00BD776B" w:rsidRDefault="00DF0C24">
      <w:pPr>
        <w:ind w:left="672" w:hanging="386"/>
        <w:rPr>
          <w:rFonts w:ascii="標楷體" w:eastAsia="標楷體" w:hAnsi="標楷體"/>
          <w:color w:val="000000"/>
        </w:rPr>
      </w:pPr>
      <w:r>
        <w:rPr>
          <w:rFonts w:ascii="標楷體" w:eastAsia="標楷體" w:hAnsi="標楷體"/>
          <w:color w:val="000000"/>
        </w:rPr>
        <w:t xml:space="preserve">  本類藥品限以下適應症使用，每一個案每一年需重新評估一次(98/5/1、107/2/1)。</w:t>
      </w:r>
    </w:p>
    <w:p w14:paraId="7F52DE99" w14:textId="77777777" w:rsidR="00BD776B" w:rsidRDefault="00DF0C24">
      <w:pPr>
        <w:ind w:left="672" w:hanging="386"/>
        <w:rPr>
          <w:rFonts w:ascii="標楷體" w:eastAsia="標楷體" w:hAnsi="標楷體"/>
          <w:color w:val="000000"/>
        </w:rPr>
      </w:pPr>
      <w:r>
        <w:rPr>
          <w:rFonts w:ascii="標楷體" w:eastAsia="標楷體" w:hAnsi="標楷體"/>
          <w:color w:val="000000"/>
        </w:rPr>
        <w:t>1.6.2.1.Botox(90/1/1、93/1/1、94/6/1、98/3/1、98/5/1、100/8/1、104/5/1、104/9/1、107/2/1、109/2/1、109/12/1、110/3/1、111/3/1)</w:t>
      </w:r>
    </w:p>
    <w:p w14:paraId="29328793" w14:textId="77777777" w:rsidR="00BD776B" w:rsidRDefault="00DF0C24">
      <w:pPr>
        <w:ind w:left="709" w:hanging="245"/>
        <w:rPr>
          <w:rFonts w:ascii="標楷體" w:eastAsia="標楷體" w:hAnsi="標楷體"/>
          <w:color w:val="000000"/>
        </w:rPr>
      </w:pPr>
      <w:r>
        <w:rPr>
          <w:rFonts w:ascii="標楷體" w:eastAsia="標楷體" w:hAnsi="標楷體"/>
          <w:color w:val="000000"/>
        </w:rPr>
        <w:t>1.使用於眼瞼痙攣或半面痙攣：</w:t>
      </w:r>
    </w:p>
    <w:p w14:paraId="1287CCC6" w14:textId="77777777" w:rsidR="00BD776B" w:rsidRDefault="00DF0C24">
      <w:pPr>
        <w:ind w:left="1049" w:hanging="341"/>
        <w:rPr>
          <w:rFonts w:ascii="標楷體" w:eastAsia="標楷體" w:hAnsi="標楷體"/>
          <w:color w:val="000000"/>
        </w:rPr>
      </w:pPr>
      <w:r>
        <w:rPr>
          <w:rFonts w:ascii="標楷體" w:eastAsia="標楷體" w:hAnsi="標楷體"/>
          <w:color w:val="000000"/>
        </w:rPr>
        <w:t>(1)限12歲以上，經區域以上（含）教學醫院之眼科、神經內科或小兒神經科專科醫師診斷為眼瞼痙攣或半面痙攣之病患使用。</w:t>
      </w:r>
    </w:p>
    <w:p w14:paraId="7EC78E82" w14:textId="77777777" w:rsidR="00BD776B" w:rsidRDefault="00DF0C24">
      <w:pPr>
        <w:ind w:left="1049" w:hanging="341"/>
        <w:rPr>
          <w:rFonts w:ascii="標楷體" w:eastAsia="標楷體" w:hAnsi="標楷體"/>
          <w:color w:val="000000"/>
        </w:rPr>
      </w:pPr>
      <w:r>
        <w:rPr>
          <w:rFonts w:ascii="標楷體" w:eastAsia="標楷體" w:hAnsi="標楷體"/>
          <w:color w:val="000000"/>
        </w:rPr>
        <w:t>(2)需符合Spasm Intensity Scale 3級（含）以上，另有病歷記載病史6個月以上者可申請治療。(94/6/1)</w:t>
      </w:r>
    </w:p>
    <w:p w14:paraId="48B3157A" w14:textId="77777777" w:rsidR="00BD776B" w:rsidRDefault="00DF0C24">
      <w:pPr>
        <w:ind w:left="1049" w:hanging="341"/>
        <w:rPr>
          <w:rFonts w:ascii="標楷體" w:eastAsia="標楷體" w:hAnsi="標楷體"/>
          <w:color w:val="000000"/>
        </w:rPr>
      </w:pPr>
      <w:r>
        <w:rPr>
          <w:rFonts w:ascii="標楷體" w:eastAsia="標楷體" w:hAnsi="標楷體"/>
          <w:color w:val="000000"/>
        </w:rPr>
        <w:t>(3)每次注射最高劑量：眼瞼痙攣為每側20單位，半面痙攣為每側30單位。每年最多注射3次為原則。</w:t>
      </w:r>
    </w:p>
    <w:p w14:paraId="194BB3BA" w14:textId="77777777" w:rsidR="00BD776B" w:rsidRDefault="00DF0C24">
      <w:pPr>
        <w:ind w:left="709" w:hanging="245"/>
        <w:rPr>
          <w:rFonts w:ascii="標楷體" w:eastAsia="標楷體" w:hAnsi="標楷體"/>
          <w:color w:val="000000"/>
        </w:rPr>
      </w:pPr>
      <w:r>
        <w:rPr>
          <w:rFonts w:ascii="標楷體" w:eastAsia="標楷體" w:hAnsi="標楷體"/>
          <w:color w:val="000000"/>
        </w:rPr>
        <w:t>2.使用於局部肌張力不全症（focal dystonia）（如斜頸、書寫性痙攣、口顎部肌張力不全等）</w:t>
      </w:r>
    </w:p>
    <w:p w14:paraId="083AA836" w14:textId="77777777" w:rsidR="00BD776B" w:rsidRDefault="00DF0C24">
      <w:pPr>
        <w:ind w:left="1049" w:hanging="341"/>
        <w:rPr>
          <w:rFonts w:ascii="標楷體" w:eastAsia="標楷體" w:hAnsi="標楷體"/>
          <w:color w:val="000000"/>
        </w:rPr>
      </w:pPr>
      <w:r>
        <w:rPr>
          <w:rFonts w:ascii="標楷體" w:eastAsia="標楷體" w:hAnsi="標楷體"/>
          <w:color w:val="000000"/>
        </w:rPr>
        <w:t>(1)限12歲以上，經區域以上（含）教學醫院之神經內科、小兒神經科或復健科專科醫師診斷為局部張力不全症之病患使用。</w:t>
      </w:r>
    </w:p>
    <w:p w14:paraId="4D53D797" w14:textId="77777777" w:rsidR="00BD776B" w:rsidRDefault="00DF0C24">
      <w:pPr>
        <w:ind w:left="1049" w:hanging="341"/>
        <w:rPr>
          <w:rFonts w:ascii="標楷體" w:eastAsia="標楷體" w:hAnsi="標楷體"/>
          <w:color w:val="000000"/>
        </w:rPr>
      </w:pPr>
      <w:r>
        <w:rPr>
          <w:rFonts w:ascii="標楷體" w:eastAsia="標楷體" w:hAnsi="標楷體"/>
          <w:color w:val="000000"/>
        </w:rPr>
        <w:t>(2)需有病歷記載已持續以其他方式治療6個月以上無效，且斜頸症者需符合Tsui’s rating scale for cervical dystonia分數11分（含）以上者。</w:t>
      </w:r>
    </w:p>
    <w:p w14:paraId="248289A2" w14:textId="77777777" w:rsidR="00BD776B" w:rsidRDefault="00DF0C24">
      <w:pPr>
        <w:ind w:left="1049" w:hanging="341"/>
        <w:rPr>
          <w:rFonts w:ascii="標楷體" w:eastAsia="標楷體" w:hAnsi="標楷體"/>
          <w:color w:val="000000"/>
        </w:rPr>
      </w:pPr>
      <w:r>
        <w:rPr>
          <w:rFonts w:ascii="標楷體" w:eastAsia="標楷體" w:hAnsi="標楷體"/>
          <w:color w:val="000000"/>
        </w:rPr>
        <w:t>(3)每次注射最高劑量：斜頸症為150單位，書寫性痙攣及口顎部肌張力不全為70單位，且每年最多注射3次為原則。</w:t>
      </w:r>
    </w:p>
    <w:p w14:paraId="3EE6D428" w14:textId="77777777" w:rsidR="00BD776B" w:rsidRDefault="00DF0C24">
      <w:pPr>
        <w:ind w:left="1049" w:hanging="341"/>
        <w:rPr>
          <w:rFonts w:ascii="標楷體" w:eastAsia="標楷體" w:hAnsi="標楷體"/>
          <w:color w:val="000000"/>
        </w:rPr>
      </w:pPr>
      <w:r>
        <w:rPr>
          <w:rFonts w:ascii="標楷體" w:eastAsia="標楷體" w:hAnsi="標楷體"/>
          <w:color w:val="000000"/>
        </w:rPr>
        <w:t>(4)全身性肌張力不全症不在給付範圍。</w:t>
      </w:r>
    </w:p>
    <w:p w14:paraId="3865E73C" w14:textId="77777777" w:rsidR="00BD776B" w:rsidRDefault="00DF0C24">
      <w:pPr>
        <w:ind w:left="709" w:hanging="245"/>
        <w:rPr>
          <w:rFonts w:ascii="標楷體" w:eastAsia="標楷體" w:hAnsi="標楷體"/>
          <w:color w:val="000000"/>
        </w:rPr>
      </w:pPr>
      <w:r>
        <w:rPr>
          <w:rFonts w:ascii="標楷體" w:eastAsia="標楷體" w:hAnsi="標楷體"/>
          <w:color w:val="000000"/>
        </w:rPr>
        <w:t>3.使用於腦性麻痺病患</w:t>
      </w:r>
    </w:p>
    <w:p w14:paraId="3864C76F" w14:textId="77777777" w:rsidR="00BD776B" w:rsidRDefault="00DF0C24">
      <w:pPr>
        <w:ind w:left="1049" w:hanging="341"/>
        <w:rPr>
          <w:rFonts w:ascii="標楷體" w:eastAsia="標楷體" w:hAnsi="標楷體"/>
          <w:color w:val="000000"/>
        </w:rPr>
      </w:pPr>
      <w:r>
        <w:rPr>
          <w:rFonts w:ascii="標楷體" w:eastAsia="標楷體" w:hAnsi="標楷體"/>
          <w:color w:val="000000"/>
        </w:rPr>
        <w:t>(1)限滿2歲以上，經區域以上（含）教學醫院復健科、神經內科或小兒神經科專科醫師診斷為痙攣型腦性麻痺之病患使用。</w:t>
      </w:r>
    </w:p>
    <w:p w14:paraId="0D43B09D" w14:textId="77777777" w:rsidR="00BD776B" w:rsidRDefault="00DF0C24">
      <w:pPr>
        <w:ind w:left="1049" w:hanging="341"/>
        <w:rPr>
          <w:rFonts w:ascii="標楷體" w:eastAsia="標楷體" w:hAnsi="標楷體"/>
          <w:color w:val="000000"/>
        </w:rPr>
      </w:pPr>
      <w:r>
        <w:rPr>
          <w:rFonts w:ascii="標楷體" w:eastAsia="標楷體" w:hAnsi="標楷體"/>
          <w:color w:val="000000"/>
        </w:rPr>
        <w:t>(2)其肢體之痙攣影響主動功能（如行走或手部動作），該肢體之痙攣程度以Modified Ashworth Scale評估為2或3級，且經藥物、復健或輔具治療至少6個月以上無效者。</w:t>
      </w:r>
    </w:p>
    <w:p w14:paraId="78DB2EDB" w14:textId="77777777" w:rsidR="00BD776B" w:rsidRDefault="00DF0C24">
      <w:pPr>
        <w:ind w:left="1049" w:hanging="341"/>
        <w:rPr>
          <w:rFonts w:ascii="標楷體" w:eastAsia="標楷體" w:hAnsi="標楷體"/>
          <w:color w:val="000000"/>
        </w:rPr>
      </w:pPr>
      <w:r>
        <w:rPr>
          <w:rFonts w:ascii="標楷體" w:eastAsia="標楷體" w:hAnsi="標楷體"/>
          <w:color w:val="000000"/>
        </w:rPr>
        <w:t>(3)無固定不可逆之關節攣縮。</w:t>
      </w:r>
    </w:p>
    <w:p w14:paraId="0BA16DC4" w14:textId="77777777" w:rsidR="00BD776B" w:rsidRDefault="00DF0C24">
      <w:pPr>
        <w:ind w:left="1049" w:hanging="341"/>
        <w:rPr>
          <w:rFonts w:ascii="標楷體" w:eastAsia="標楷體" w:hAnsi="標楷體"/>
          <w:color w:val="000000"/>
        </w:rPr>
      </w:pPr>
      <w:r>
        <w:rPr>
          <w:rFonts w:ascii="標楷體" w:eastAsia="標楷體" w:hAnsi="標楷體"/>
          <w:color w:val="000000"/>
        </w:rPr>
        <w:t>(4)每次注射最高劑量每公斤體重12~15單位（總劑量不超過300單位），下肢每塊肌肉每公斤體重使用3~6單位，上肢每塊肌肉每公斤體重使用1~2單位，且每年最多注射3次。(94/6/1)</w:t>
      </w:r>
    </w:p>
    <w:p w14:paraId="4AFCA263" w14:textId="77777777" w:rsidR="00BD776B" w:rsidRDefault="00DF0C24">
      <w:pPr>
        <w:ind w:left="1049" w:hanging="341"/>
        <w:rPr>
          <w:rFonts w:ascii="標楷體" w:eastAsia="標楷體" w:hAnsi="標楷體"/>
          <w:color w:val="000000"/>
        </w:rPr>
      </w:pPr>
      <w:r>
        <w:rPr>
          <w:rFonts w:ascii="標楷體" w:eastAsia="標楷體" w:hAnsi="標楷體"/>
          <w:color w:val="000000"/>
        </w:rPr>
        <w:t>(5)經外科手術治療之同肌肉部位不得再行注射。</w:t>
      </w:r>
    </w:p>
    <w:p w14:paraId="58EE93EB" w14:textId="77777777" w:rsidR="00BD776B" w:rsidRDefault="00DF0C24">
      <w:pPr>
        <w:ind w:left="1049" w:hanging="341"/>
        <w:rPr>
          <w:rFonts w:ascii="標楷體" w:eastAsia="標楷體" w:hAnsi="標楷體"/>
          <w:color w:val="000000"/>
        </w:rPr>
      </w:pPr>
      <w:r>
        <w:rPr>
          <w:rFonts w:ascii="標楷體" w:eastAsia="標楷體" w:hAnsi="標楷體"/>
          <w:color w:val="000000"/>
        </w:rPr>
        <w:t>(6)使用於12~17歲病患，需經事前審查一次，並附有復健科、小兒神經科或神經科專科醫師近期之診察紀錄；使用於18歲(含)以上病患，需再經事前審查一次。(107/2/1、109/2/1)</w:t>
      </w:r>
    </w:p>
    <w:p w14:paraId="53AD840C" w14:textId="77777777" w:rsidR="00BD776B" w:rsidRDefault="00DF0C24">
      <w:pPr>
        <w:ind w:left="709" w:hanging="245"/>
        <w:rPr>
          <w:rFonts w:ascii="標楷體" w:eastAsia="標楷體" w:hAnsi="標楷體"/>
          <w:color w:val="000000"/>
        </w:rPr>
      </w:pPr>
      <w:r>
        <w:rPr>
          <w:rFonts w:ascii="標楷體" w:eastAsia="標楷體" w:hAnsi="標楷體"/>
          <w:color w:val="000000"/>
        </w:rPr>
        <w:t>4.使用於成人中風後之手臂或下肢痙攣：（93/1/1、94/6/1、98/3/1、100/8/1、109/2/1、109/12/1)</w:t>
      </w:r>
    </w:p>
    <w:p w14:paraId="42AFACDB" w14:textId="77777777" w:rsidR="00BD776B" w:rsidRDefault="00DF0C24">
      <w:pPr>
        <w:ind w:left="1049" w:hanging="341"/>
        <w:rPr>
          <w:rFonts w:ascii="標楷體" w:eastAsia="標楷體" w:hAnsi="標楷體"/>
          <w:color w:val="000000"/>
        </w:rPr>
      </w:pPr>
      <w:r>
        <w:rPr>
          <w:rFonts w:ascii="標楷體" w:eastAsia="標楷體" w:hAnsi="標楷體"/>
          <w:color w:val="000000"/>
        </w:rPr>
        <w:t>(1)限20歲以上，中風發生後，經復健、輔具或藥物治療上肢至少6個月以上，下肢至少3個月以上痙攣，影響其日常活動(如飲食、衛生、穿衣等)者，痙攣程度符合Modified Ashworth Scale評估2或3級，且關節活動度（R1/R2）顯示顯著痙攣，並排除臥床、肢體攣縮或關節固定不可逆攣縮</w:t>
      </w:r>
      <w:r>
        <w:rPr>
          <w:rFonts w:ascii="標楷體" w:eastAsia="標楷體" w:hAnsi="標楷體"/>
          <w:color w:val="000000"/>
        </w:rPr>
        <w:lastRenderedPageBreak/>
        <w:t>者。(94/6/1、98/3/1、109/2/1)</w:t>
      </w:r>
    </w:p>
    <w:p w14:paraId="688727FF" w14:textId="77777777" w:rsidR="00BD776B" w:rsidRDefault="00DF0C24">
      <w:pPr>
        <w:ind w:left="1049" w:hanging="341"/>
        <w:rPr>
          <w:rFonts w:ascii="標楷體" w:eastAsia="標楷體" w:hAnsi="標楷體"/>
          <w:color w:val="000000"/>
        </w:rPr>
      </w:pPr>
      <w:r>
        <w:rPr>
          <w:rFonts w:ascii="標楷體" w:eastAsia="標楷體" w:hAnsi="標楷體"/>
          <w:color w:val="000000"/>
        </w:rPr>
        <w:t>(2)限地區醫院以上（含）神經內外科或復健科專科醫師診斷及注射。(94/6/1、100/8/1、109/2/1)</w:t>
      </w:r>
    </w:p>
    <w:p w14:paraId="241644B2" w14:textId="77777777" w:rsidR="00BD776B" w:rsidRDefault="00DF0C24">
      <w:pPr>
        <w:ind w:left="1049" w:hanging="341"/>
        <w:rPr>
          <w:rFonts w:ascii="標楷體" w:eastAsia="標楷體" w:hAnsi="標楷體"/>
          <w:color w:val="000000"/>
        </w:rPr>
      </w:pPr>
      <w:r>
        <w:rPr>
          <w:rFonts w:ascii="標楷體" w:eastAsia="標楷體" w:hAnsi="標楷體"/>
          <w:color w:val="000000"/>
        </w:rPr>
        <w:t>(3)每次注射Botox最高劑量上肢限360單位，下肢限400單位，且每年最多3次，需列出每條肌肉要注射的劑量。(94/6/1、109/2/1)</w:t>
      </w:r>
    </w:p>
    <w:p w14:paraId="05561917" w14:textId="77777777" w:rsidR="00BD776B" w:rsidRDefault="00DF0C24">
      <w:pPr>
        <w:ind w:left="1049" w:hanging="341"/>
        <w:rPr>
          <w:rFonts w:ascii="標楷體" w:eastAsia="標楷體" w:hAnsi="標楷體"/>
          <w:color w:val="000000"/>
        </w:rPr>
      </w:pPr>
      <w:r>
        <w:rPr>
          <w:rFonts w:ascii="標楷體" w:eastAsia="標楷體" w:hAnsi="標楷體"/>
          <w:color w:val="000000"/>
        </w:rPr>
        <w:t>(4)需經事前審查核准後使用，申請時需檢附病歷資料、治療計畫及照片或影片(109/2/1)。</w:t>
      </w:r>
    </w:p>
    <w:p w14:paraId="530D3237" w14:textId="77777777" w:rsidR="00BD776B" w:rsidRDefault="00DF0C24">
      <w:pPr>
        <w:ind w:left="1049" w:hanging="341"/>
        <w:rPr>
          <w:rFonts w:ascii="標楷體" w:eastAsia="標楷體" w:hAnsi="標楷體"/>
          <w:color w:val="000000"/>
        </w:rPr>
      </w:pPr>
      <w:r>
        <w:rPr>
          <w:rFonts w:ascii="標楷體" w:eastAsia="標楷體" w:hAnsi="標楷體"/>
          <w:color w:val="000000"/>
        </w:rPr>
        <w:t>(5)再次申請時需提出使用效果評估結果(如附表三十五)、病歷、治療紀錄及治療計畫以供參考，並檢附前次及本次病人之照片或影片，如病人已呈現「意識不清合併臥床」、「手部或下肢肌肉攣縮或關節固定不可逆者（Modified Ashworth Scale 4分) 」，該明顯不可逆攣縮肌肉與固定關節部位得不予給付。(109/12/1)</w:t>
      </w:r>
    </w:p>
    <w:p w14:paraId="3C4C3DEC" w14:textId="77777777" w:rsidR="00BD776B" w:rsidRDefault="00DF0C24">
      <w:pPr>
        <w:ind w:left="1049" w:hanging="341"/>
        <w:rPr>
          <w:rFonts w:ascii="標楷體" w:eastAsia="標楷體" w:hAnsi="標楷體"/>
          <w:color w:val="000000"/>
        </w:rPr>
      </w:pPr>
      <w:r>
        <w:rPr>
          <w:rFonts w:ascii="標楷體" w:eastAsia="標楷體" w:hAnsi="標楷體"/>
          <w:color w:val="000000"/>
        </w:rPr>
        <w:t>(6)如因再次中風而導致臥床、手部或下肢肌肉攣縮或關節固定不可逆攣縮，則應停用。(98/3/1、109/2/1)</w:t>
      </w:r>
    </w:p>
    <w:p w14:paraId="53F06DAF" w14:textId="77777777" w:rsidR="00BD776B" w:rsidRDefault="00DF0C24">
      <w:pPr>
        <w:ind w:left="709" w:hanging="283"/>
        <w:rPr>
          <w:rFonts w:ascii="標楷體" w:eastAsia="標楷體" w:hAnsi="標楷體"/>
          <w:color w:val="000000"/>
        </w:rPr>
      </w:pPr>
      <w:r>
        <w:rPr>
          <w:rFonts w:ascii="標楷體" w:eastAsia="標楷體" w:hAnsi="標楷體"/>
          <w:color w:val="000000"/>
        </w:rPr>
        <w:t>5.使用於脊髓病變所引起的逼尿肌過動而導致尿失禁(104/5/1)</w:t>
      </w:r>
    </w:p>
    <w:p w14:paraId="49ACC271" w14:textId="77777777" w:rsidR="00BD776B" w:rsidRDefault="00DF0C24">
      <w:pPr>
        <w:ind w:left="1049" w:hanging="341"/>
        <w:rPr>
          <w:rFonts w:ascii="標楷體" w:eastAsia="標楷體" w:hAnsi="標楷體"/>
          <w:color w:val="000000"/>
        </w:rPr>
      </w:pPr>
      <w:r>
        <w:rPr>
          <w:rFonts w:ascii="標楷體" w:eastAsia="標楷體" w:hAnsi="標楷體"/>
          <w:color w:val="000000"/>
        </w:rPr>
        <w:t>(1)事前審查，每年附尿動力學審查，確診為逼尿肌過動症。</w:t>
      </w:r>
    </w:p>
    <w:p w14:paraId="03AC4A29" w14:textId="77777777" w:rsidR="00BD776B" w:rsidRDefault="00DF0C24">
      <w:pPr>
        <w:ind w:left="1049" w:hanging="341"/>
        <w:rPr>
          <w:rFonts w:ascii="標楷體" w:eastAsia="標楷體" w:hAnsi="標楷體"/>
          <w:color w:val="000000"/>
        </w:rPr>
      </w:pPr>
      <w:r>
        <w:rPr>
          <w:rFonts w:ascii="標楷體" w:eastAsia="標楷體" w:hAnsi="標楷體"/>
          <w:color w:val="000000"/>
        </w:rPr>
        <w:t>(2)18歲以上(含)之成人病患。</w:t>
      </w:r>
    </w:p>
    <w:p w14:paraId="03A5C9F6" w14:textId="77777777" w:rsidR="00BD776B" w:rsidRDefault="00DF0C24">
      <w:pPr>
        <w:ind w:left="1049" w:hanging="341"/>
        <w:rPr>
          <w:rFonts w:ascii="標楷體" w:eastAsia="標楷體" w:hAnsi="標楷體"/>
          <w:color w:val="000000"/>
        </w:rPr>
      </w:pPr>
      <w:r>
        <w:rPr>
          <w:rFonts w:ascii="標楷體" w:eastAsia="標楷體" w:hAnsi="標楷體"/>
          <w:color w:val="000000"/>
        </w:rPr>
        <w:t>(3)泌尿專科或神經內科或復健科醫師診斷為因脊髓病變引發的逼尿肌過動症病患，由泌尿專科醫師施行注射。</w:t>
      </w:r>
    </w:p>
    <w:p w14:paraId="0A41854A" w14:textId="77777777" w:rsidR="00BD776B" w:rsidRDefault="00DF0C24">
      <w:pPr>
        <w:ind w:left="1049" w:hanging="341"/>
        <w:rPr>
          <w:rFonts w:ascii="標楷體" w:eastAsia="標楷體" w:hAnsi="標楷體"/>
          <w:color w:val="000000"/>
        </w:rPr>
      </w:pPr>
      <w:r>
        <w:rPr>
          <w:rFonts w:ascii="標楷體" w:eastAsia="標楷體" w:hAnsi="標楷體"/>
          <w:color w:val="000000"/>
        </w:rPr>
        <w:t>(4)每週尿失禁次數至少14次。</w:t>
      </w:r>
    </w:p>
    <w:p w14:paraId="0EA30DBA" w14:textId="77777777" w:rsidR="00BD776B" w:rsidRDefault="00DF0C24">
      <w:pPr>
        <w:ind w:left="1049" w:hanging="341"/>
        <w:rPr>
          <w:rFonts w:ascii="標楷體" w:eastAsia="標楷體" w:hAnsi="標楷體"/>
          <w:color w:val="000000"/>
        </w:rPr>
      </w:pPr>
      <w:r>
        <w:rPr>
          <w:rFonts w:ascii="標楷體" w:eastAsia="標楷體" w:hAnsi="標楷體"/>
          <w:color w:val="000000"/>
        </w:rPr>
        <w:t>(5)病患需經至少一種抗膽鹼藥物治療三個月無效(仍有明顯逼尿肌過動症狀)，或無法耐受抗膽鹼藥物副作用。</w:t>
      </w:r>
    </w:p>
    <w:p w14:paraId="205241A2" w14:textId="77777777" w:rsidR="00BD776B" w:rsidRDefault="00DF0C24">
      <w:pPr>
        <w:ind w:left="1049" w:hanging="341"/>
        <w:rPr>
          <w:rFonts w:ascii="標楷體" w:eastAsia="標楷體" w:hAnsi="標楷體"/>
          <w:color w:val="000000"/>
        </w:rPr>
      </w:pPr>
      <w:r>
        <w:rPr>
          <w:rFonts w:ascii="標楷體" w:eastAsia="標楷體" w:hAnsi="標楷體"/>
          <w:color w:val="000000"/>
        </w:rPr>
        <w:t>(6)第1次注射後6-12週評估尿失禁頻率改善未達50%者，不得再注射。</w:t>
      </w:r>
    </w:p>
    <w:p w14:paraId="0EACAC03" w14:textId="77777777" w:rsidR="00BD776B" w:rsidRDefault="00DF0C24">
      <w:pPr>
        <w:ind w:left="1049" w:hanging="341"/>
        <w:rPr>
          <w:rFonts w:ascii="標楷體" w:eastAsia="標楷體" w:hAnsi="標楷體"/>
          <w:color w:val="000000"/>
        </w:rPr>
      </w:pPr>
      <w:r>
        <w:rPr>
          <w:rFonts w:ascii="標楷體" w:eastAsia="標楷體" w:hAnsi="標楷體"/>
          <w:color w:val="000000"/>
        </w:rPr>
        <w:t>(7)每次治療建議劑量200個單位，二次注射時間應間隔24週以上，且病患有治療前症狀(頻尿、急尿與尿失禁)時再次注射，每年注射以兩次為限。</w:t>
      </w:r>
    </w:p>
    <w:p w14:paraId="114F9F7F" w14:textId="77777777" w:rsidR="00BD776B" w:rsidRDefault="00DF0C24">
      <w:pPr>
        <w:ind w:left="615" w:hanging="142"/>
        <w:rPr>
          <w:rFonts w:ascii="標楷體" w:eastAsia="標楷體" w:hAnsi="標楷體"/>
          <w:color w:val="000000"/>
        </w:rPr>
      </w:pPr>
      <w:r>
        <w:rPr>
          <w:rFonts w:ascii="標楷體" w:eastAsia="標楷體" w:hAnsi="標楷體"/>
          <w:color w:val="000000"/>
        </w:rPr>
        <w:t>6.使用於膀胱過動症：(104/9/1)</w:t>
      </w:r>
    </w:p>
    <w:p w14:paraId="36A68BA7" w14:textId="77777777" w:rsidR="00BD776B" w:rsidRDefault="00DF0C24">
      <w:pPr>
        <w:tabs>
          <w:tab w:val="left" w:pos="142"/>
        </w:tabs>
        <w:ind w:left="1063" w:hanging="353"/>
        <w:rPr>
          <w:rFonts w:ascii="標楷體" w:eastAsia="標楷體" w:hAnsi="標楷體"/>
          <w:color w:val="000000"/>
        </w:rPr>
      </w:pPr>
      <w:r>
        <w:rPr>
          <w:rFonts w:ascii="標楷體" w:eastAsia="標楷體" w:hAnsi="標楷體"/>
          <w:color w:val="000000"/>
        </w:rPr>
        <w:t>(1)經尿路動力學檢查診斷為原發性膀胱過動症 (idiopathic overactive bladder)且有尿失禁 (wet type)每週大於14次的成年患者，且經至少一種抗膽鹼藥物治療無效。</w:t>
      </w:r>
    </w:p>
    <w:p w14:paraId="2E484835" w14:textId="77777777" w:rsidR="00BD776B" w:rsidRDefault="00DF0C24">
      <w:pPr>
        <w:tabs>
          <w:tab w:val="left" w:pos="142"/>
        </w:tabs>
        <w:ind w:left="1063" w:hanging="353"/>
        <w:rPr>
          <w:rFonts w:ascii="標楷體" w:eastAsia="標楷體" w:hAnsi="標楷體"/>
          <w:color w:val="000000"/>
        </w:rPr>
      </w:pPr>
      <w:r>
        <w:rPr>
          <w:rFonts w:ascii="標楷體" w:eastAsia="標楷體" w:hAnsi="標楷體"/>
          <w:color w:val="000000"/>
        </w:rPr>
        <w:t>(2)需經事前審查核准後使用，每次治療建議劑量為100單位，每年限用兩次，兩次注射時間需相隔三個月以上，且第二次使用限於第一次注射後在6-12週評估有尿失禁頻率減少50%以上的患者。</w:t>
      </w:r>
    </w:p>
    <w:p w14:paraId="2606D81F" w14:textId="77777777" w:rsidR="00BD776B" w:rsidRDefault="00DF0C24">
      <w:pPr>
        <w:tabs>
          <w:tab w:val="left" w:pos="142"/>
        </w:tabs>
        <w:ind w:left="1063" w:hanging="353"/>
        <w:rPr>
          <w:rFonts w:ascii="標楷體" w:eastAsia="標楷體" w:hAnsi="標楷體"/>
          <w:color w:val="000000"/>
        </w:rPr>
      </w:pPr>
      <w:r>
        <w:rPr>
          <w:rFonts w:ascii="標楷體" w:eastAsia="標楷體" w:hAnsi="標楷體"/>
          <w:color w:val="000000"/>
        </w:rPr>
        <w:t>(3)限由泌尿專科或婦產科醫師診斷及施行注射。</w:t>
      </w:r>
    </w:p>
    <w:p w14:paraId="6F9DDFF2" w14:textId="77777777" w:rsidR="00BD776B" w:rsidRDefault="00DF0C24">
      <w:pPr>
        <w:ind w:left="565" w:hanging="1"/>
        <w:rPr>
          <w:rFonts w:ascii="標楷體" w:eastAsia="標楷體" w:hAnsi="標楷體"/>
          <w:color w:val="000000"/>
        </w:rPr>
      </w:pPr>
      <w:r>
        <w:rPr>
          <w:rFonts w:ascii="標楷體" w:eastAsia="標楷體" w:hAnsi="標楷體"/>
          <w:color w:val="000000"/>
        </w:rPr>
        <w:t>◎前開注射劑量單位僅適用於Botox®劑量計算。</w:t>
      </w:r>
    </w:p>
    <w:p w14:paraId="16A53A15" w14:textId="77777777" w:rsidR="00BD776B" w:rsidRDefault="00DF0C24">
      <w:pPr>
        <w:ind w:left="709" w:hanging="283"/>
        <w:rPr>
          <w:rFonts w:ascii="標楷體" w:eastAsia="標楷體" w:hAnsi="標楷體"/>
          <w:color w:val="000000"/>
        </w:rPr>
      </w:pPr>
      <w:r>
        <w:rPr>
          <w:rFonts w:ascii="標楷體" w:eastAsia="標楷體" w:hAnsi="標楷體"/>
          <w:color w:val="000000"/>
        </w:rPr>
        <w:t>7.慢性偏頭痛之預防性治療 (109/2/1、111/3/1)</w:t>
      </w:r>
    </w:p>
    <w:p w14:paraId="5BB1F226" w14:textId="77777777" w:rsidR="00BD776B" w:rsidRDefault="00DF0C24">
      <w:pPr>
        <w:ind w:firstLine="480"/>
        <w:rPr>
          <w:rFonts w:ascii="標楷體" w:eastAsia="標楷體" w:hAnsi="標楷體"/>
          <w:color w:val="000000"/>
        </w:rPr>
      </w:pPr>
      <w:r>
        <w:rPr>
          <w:rFonts w:ascii="標楷體" w:eastAsia="標楷體" w:hAnsi="標楷體"/>
          <w:color w:val="000000"/>
        </w:rPr>
        <w:t xml:space="preserve">  (1)需經事前審查核准後使用。</w:t>
      </w:r>
    </w:p>
    <w:p w14:paraId="54A37053" w14:textId="77777777" w:rsidR="00BD776B" w:rsidRDefault="00DF0C24">
      <w:pPr>
        <w:ind w:firstLine="480"/>
        <w:rPr>
          <w:rFonts w:ascii="標楷體" w:eastAsia="標楷體" w:hAnsi="標楷體"/>
          <w:color w:val="000000"/>
        </w:rPr>
      </w:pPr>
      <w:r>
        <w:rPr>
          <w:rFonts w:ascii="標楷體" w:eastAsia="標楷體" w:hAnsi="標楷體"/>
          <w:color w:val="000000"/>
        </w:rPr>
        <w:t xml:space="preserve">  (2)限神經內科或神經外科專科醫師診斷及注射。</w:t>
      </w:r>
    </w:p>
    <w:p w14:paraId="1D18F5CC" w14:textId="77777777" w:rsidR="00BD776B" w:rsidRDefault="00DF0C24">
      <w:pPr>
        <w:ind w:left="1018" w:hanging="454"/>
      </w:pPr>
      <w:r>
        <w:rPr>
          <w:rFonts w:ascii="標楷體" w:eastAsia="標楷體" w:hAnsi="標楷體"/>
          <w:color w:val="000000"/>
        </w:rPr>
        <w:t xml:space="preserve"> (3)需符合慢性偏頭痛診斷：至少有3個月時間，每個月≧15天，每次持續4小時以上，且其中符合偏頭痛診斷的發作每個月≧8天。(重要限制：Botox對每個月頭痛天數</w:t>
      </w:r>
      <w:r>
        <w:rPr>
          <w:rFonts w:ascii="Times New Roman" w:eastAsia="標楷體" w:hAnsi="Times New Roman"/>
          <w:color w:val="000000"/>
        </w:rPr>
        <w:t>≤</w:t>
      </w:r>
      <w:r>
        <w:rPr>
          <w:rFonts w:ascii="標楷體" w:eastAsia="標楷體" w:hAnsi="標楷體"/>
          <w:color w:val="000000"/>
        </w:rPr>
        <w:t>14天的陣發性偏頭痛之安全性及有效性，尚無證據證實其療效)。</w:t>
      </w:r>
    </w:p>
    <w:p w14:paraId="619A5E30" w14:textId="77777777" w:rsidR="00BD776B" w:rsidRDefault="00DF0C24">
      <w:pPr>
        <w:ind w:left="1018" w:hanging="454"/>
      </w:pPr>
      <w:r>
        <w:rPr>
          <w:rFonts w:ascii="標楷體" w:eastAsia="標楷體" w:hAnsi="標楷體"/>
          <w:color w:val="000000"/>
        </w:rPr>
        <w:t xml:space="preserve"> (4)患者需經3種（含）以上偏頭痛預防用藥物（依據台灣頭痛學會發表之慢性</w:t>
      </w:r>
      <w:r>
        <w:rPr>
          <w:rFonts w:ascii="標楷體" w:eastAsia="標楷體" w:hAnsi="標楷體"/>
          <w:color w:val="000000"/>
        </w:rPr>
        <w:lastRenderedPageBreak/>
        <w:t>偏頭痛預防性藥物治療準則之建議用藥，至少包括topiramate）治療無顯著療效，或無法忍受其副作用</w:t>
      </w:r>
      <w:r>
        <w:rPr>
          <w:rFonts w:ascii="新細明體" w:hAnsi="新細明體"/>
          <w:color w:val="000000"/>
        </w:rPr>
        <w:t>。</w:t>
      </w:r>
    </w:p>
    <w:p w14:paraId="7A1C316C" w14:textId="77777777" w:rsidR="00BD776B" w:rsidRDefault="00DF0C24">
      <w:pPr>
        <w:ind w:left="565" w:hanging="1"/>
        <w:rPr>
          <w:rFonts w:ascii="標楷體" w:eastAsia="標楷體" w:hAnsi="標楷體"/>
          <w:color w:val="000000"/>
        </w:rPr>
      </w:pPr>
      <w:r>
        <w:rPr>
          <w:rFonts w:ascii="標楷體" w:eastAsia="標楷體" w:hAnsi="標楷體"/>
          <w:color w:val="000000"/>
        </w:rPr>
        <w:t xml:space="preserve"> (5)每次注射最高劑量Botox 155單位，且每年最多4個療程。</w:t>
      </w:r>
    </w:p>
    <w:p w14:paraId="26A10235" w14:textId="77777777" w:rsidR="00BD776B" w:rsidRDefault="00DF0C24">
      <w:pPr>
        <w:ind w:left="1018" w:hanging="454"/>
        <w:rPr>
          <w:rFonts w:ascii="標楷體" w:eastAsia="標楷體" w:hAnsi="標楷體"/>
          <w:color w:val="000000"/>
        </w:rPr>
      </w:pPr>
      <w:r>
        <w:rPr>
          <w:rFonts w:ascii="標楷體" w:eastAsia="標楷體" w:hAnsi="標楷體"/>
          <w:color w:val="000000"/>
        </w:rPr>
        <w:t xml:space="preserve"> (6)首次申請給付2個療程，2個療程治療之後，評估每月頭痛天數，需比治療前降低50%以上，方可持續給付。</w:t>
      </w:r>
    </w:p>
    <w:p w14:paraId="09DE7C68" w14:textId="77777777" w:rsidR="00BD776B" w:rsidRDefault="00DF0C24">
      <w:pPr>
        <w:ind w:left="1044" w:hanging="480"/>
        <w:rPr>
          <w:rFonts w:ascii="標楷體" w:eastAsia="標楷體" w:hAnsi="標楷體"/>
          <w:color w:val="000000"/>
        </w:rPr>
      </w:pPr>
      <w:r>
        <w:rPr>
          <w:rFonts w:ascii="標楷體" w:eastAsia="標楷體" w:hAnsi="標楷體"/>
          <w:color w:val="000000"/>
        </w:rPr>
        <w:t xml:space="preserve"> (7)接續得申請一年療程，分為4次注射治療。療程完畢後半年內不得再次申請。</w:t>
      </w:r>
    </w:p>
    <w:p w14:paraId="37574A65" w14:textId="77777777" w:rsidR="00BD776B" w:rsidRDefault="00DF0C24">
      <w:pPr>
        <w:ind w:left="1044" w:hanging="480"/>
        <w:rPr>
          <w:rFonts w:ascii="標楷體" w:eastAsia="標楷體" w:hAnsi="標楷體"/>
          <w:color w:val="000000"/>
        </w:rPr>
      </w:pPr>
      <w:r>
        <w:rPr>
          <w:rFonts w:ascii="標楷體" w:eastAsia="標楷體" w:hAnsi="標楷體"/>
          <w:color w:val="000000"/>
        </w:rPr>
        <w:t xml:space="preserve"> (8)若病況再度符合慢性偏頭痛診斷，得再次申請一年使用量時，需於病歷記錄治療後相關臨床資料，包括頭痛天數。</w:t>
      </w:r>
    </w:p>
    <w:p w14:paraId="2ACDC967" w14:textId="77777777" w:rsidR="00BD776B" w:rsidRDefault="00DF0C24">
      <w:pPr>
        <w:ind w:left="1044" w:hanging="480"/>
        <w:rPr>
          <w:rFonts w:ascii="標楷體" w:eastAsia="標楷體" w:hAnsi="標楷體"/>
          <w:color w:val="000000"/>
        </w:rPr>
      </w:pPr>
      <w:r>
        <w:rPr>
          <w:rFonts w:ascii="標楷體" w:eastAsia="標楷體" w:hAnsi="標楷體"/>
          <w:color w:val="000000"/>
        </w:rPr>
        <w:t xml:space="preserve"> (9)神經內科、神經外科專科醫師需經台灣神經學學會訓練課程認證慢性偏頭痛診斷與Botox PREEMPT 155U 標準注射法。</w:t>
      </w:r>
    </w:p>
    <w:p w14:paraId="33B43D8D" w14:textId="77777777" w:rsidR="00BD776B" w:rsidRDefault="00DF0C24">
      <w:pPr>
        <w:ind w:left="1044" w:hanging="480"/>
      </w:pPr>
      <w:r>
        <w:rPr>
          <w:rFonts w:ascii="標楷體" w:eastAsia="標楷體" w:hAnsi="標楷體"/>
        </w:rPr>
        <w:t xml:space="preserve"> (</w:t>
      </w:r>
      <w:r>
        <w:rPr>
          <w:rFonts w:ascii="標楷體" w:eastAsia="標楷體" w:hAnsi="標楷體"/>
          <w:color w:val="000000"/>
        </w:rPr>
        <w:t>10</w:t>
      </w:r>
      <w:r>
        <w:rPr>
          <w:rFonts w:ascii="標楷體" w:eastAsia="標楷體" w:hAnsi="標楷體"/>
        </w:rPr>
        <w:t>)不得與CGRP(calcitonin gene-related peptide)單株抗體製劑併用(110/3/1、111/3/1)</w:t>
      </w:r>
    </w:p>
    <w:p w14:paraId="24AA087D" w14:textId="77777777" w:rsidR="00BD776B" w:rsidRDefault="00DF0C24">
      <w:pPr>
        <w:ind w:left="672" w:hanging="386"/>
        <w:rPr>
          <w:rFonts w:ascii="標楷體" w:eastAsia="標楷體" w:hAnsi="標楷體"/>
          <w:color w:val="000000"/>
        </w:rPr>
      </w:pPr>
      <w:r>
        <w:rPr>
          <w:rFonts w:ascii="標楷體" w:eastAsia="標楷體" w:hAnsi="標楷體"/>
          <w:color w:val="000000"/>
        </w:rPr>
        <w:t>1.6.2.2.Dysport (91/2/1、93/1/1、94/6/1、98/3/1、98/5/1、100/8/1、107/2/1、109/2/1、109/12/1、112/11/1)</w:t>
      </w:r>
    </w:p>
    <w:p w14:paraId="2A147B14" w14:textId="77777777" w:rsidR="00BD776B" w:rsidRDefault="00DF0C24">
      <w:pPr>
        <w:ind w:left="811" w:hanging="245"/>
        <w:rPr>
          <w:rFonts w:ascii="標楷體" w:eastAsia="標楷體" w:hAnsi="標楷體"/>
          <w:color w:val="000000"/>
        </w:rPr>
      </w:pPr>
      <w:r>
        <w:rPr>
          <w:rFonts w:ascii="標楷體" w:eastAsia="標楷體" w:hAnsi="標楷體"/>
          <w:color w:val="000000"/>
        </w:rPr>
        <w:t>1.使用於眼瞼痙攣或半面痙攣：</w:t>
      </w:r>
    </w:p>
    <w:p w14:paraId="6EC275AB" w14:textId="77777777" w:rsidR="00BD776B" w:rsidRDefault="00DF0C24">
      <w:pPr>
        <w:ind w:left="1049" w:hanging="341"/>
        <w:rPr>
          <w:rFonts w:ascii="標楷體" w:eastAsia="標楷體" w:hAnsi="標楷體"/>
          <w:color w:val="000000"/>
        </w:rPr>
      </w:pPr>
      <w:r>
        <w:rPr>
          <w:rFonts w:ascii="標楷體" w:eastAsia="標楷體" w:hAnsi="標楷體"/>
          <w:color w:val="000000"/>
        </w:rPr>
        <w:t>(1)限12歲以上，經區域以上（含）教學醫院之眼科、神經內科或小兒神經科專科醫師診斷為眼瞼痙攣或半面痙攣之病患使用。</w:t>
      </w:r>
    </w:p>
    <w:p w14:paraId="3529254C" w14:textId="77777777" w:rsidR="00BD776B" w:rsidRDefault="00DF0C24">
      <w:pPr>
        <w:ind w:left="1049" w:hanging="341"/>
        <w:rPr>
          <w:rFonts w:ascii="標楷體" w:eastAsia="標楷體" w:hAnsi="標楷體"/>
          <w:color w:val="000000"/>
        </w:rPr>
      </w:pPr>
      <w:r>
        <w:rPr>
          <w:rFonts w:ascii="標楷體" w:eastAsia="標楷體" w:hAnsi="標楷體"/>
          <w:color w:val="000000"/>
        </w:rPr>
        <w:t>(2)需符合Spasm Intensity Scale 3級（含）以上，另有病歷記載病史6個月以上者可申請治療。(94/6/1)</w:t>
      </w:r>
    </w:p>
    <w:p w14:paraId="068897F9" w14:textId="77777777" w:rsidR="00BD776B" w:rsidRDefault="00DF0C24">
      <w:pPr>
        <w:ind w:left="1049" w:hanging="341"/>
        <w:rPr>
          <w:rFonts w:ascii="標楷體" w:eastAsia="標楷體" w:hAnsi="標楷體"/>
          <w:color w:val="000000"/>
        </w:rPr>
      </w:pPr>
      <w:r>
        <w:rPr>
          <w:rFonts w:ascii="標楷體" w:eastAsia="標楷體" w:hAnsi="標楷體"/>
          <w:color w:val="000000"/>
        </w:rPr>
        <w:t>(3)每次注射最高劑量：眼瞼痙攣為每側80單位，半面痙攣為每側120單位。每年最多注射3次為原則。</w:t>
      </w:r>
    </w:p>
    <w:p w14:paraId="413AEA3F" w14:textId="77777777" w:rsidR="00BD776B" w:rsidRDefault="00DF0C24">
      <w:pPr>
        <w:ind w:left="811" w:hanging="245"/>
        <w:rPr>
          <w:rFonts w:ascii="標楷體" w:eastAsia="標楷體" w:hAnsi="標楷體"/>
          <w:color w:val="000000"/>
        </w:rPr>
      </w:pPr>
      <w:r>
        <w:rPr>
          <w:rFonts w:ascii="標楷體" w:eastAsia="標楷體" w:hAnsi="標楷體"/>
          <w:color w:val="000000"/>
        </w:rPr>
        <w:t>2.使用於局部肌張力不全症（focal dystonia）（如斜頸、書寫性痙攣、口顎部肌張力不全等）</w:t>
      </w:r>
    </w:p>
    <w:p w14:paraId="0C3954F9" w14:textId="77777777" w:rsidR="00BD776B" w:rsidRDefault="00DF0C24">
      <w:pPr>
        <w:ind w:left="1049" w:hanging="341"/>
        <w:rPr>
          <w:rFonts w:ascii="標楷體" w:eastAsia="標楷體" w:hAnsi="標楷體"/>
          <w:color w:val="000000"/>
        </w:rPr>
      </w:pPr>
      <w:r>
        <w:rPr>
          <w:rFonts w:ascii="標楷體" w:eastAsia="標楷體" w:hAnsi="標楷體"/>
          <w:color w:val="000000"/>
        </w:rPr>
        <w:t>(1)限12歲以上，經區域以上（含）教學醫院之神經內科、小兒神經科或復健科專科醫師診斷為局部張力不全症之病患使用。</w:t>
      </w:r>
    </w:p>
    <w:p w14:paraId="0E7D7F05" w14:textId="77777777" w:rsidR="00BD776B" w:rsidRDefault="00DF0C24">
      <w:pPr>
        <w:ind w:left="1049" w:hanging="341"/>
        <w:rPr>
          <w:rFonts w:ascii="標楷體" w:eastAsia="標楷體" w:hAnsi="標楷體"/>
          <w:color w:val="000000"/>
        </w:rPr>
      </w:pPr>
      <w:r>
        <w:rPr>
          <w:rFonts w:ascii="標楷體" w:eastAsia="標楷體" w:hAnsi="標楷體"/>
          <w:color w:val="000000"/>
        </w:rPr>
        <w:t>(2)需有病歷記載已持續以其他方式治療6個月以上無效，且斜頸症者需符合Tsui’s rating scale for cervical dystonia分數11分（含）以上者。</w:t>
      </w:r>
    </w:p>
    <w:p w14:paraId="7F7E9CE2" w14:textId="77777777" w:rsidR="00BD776B" w:rsidRDefault="00DF0C24">
      <w:pPr>
        <w:ind w:left="1049" w:hanging="341"/>
        <w:rPr>
          <w:rFonts w:ascii="標楷體" w:eastAsia="標楷體" w:hAnsi="標楷體"/>
          <w:color w:val="000000"/>
        </w:rPr>
      </w:pPr>
      <w:r>
        <w:rPr>
          <w:rFonts w:ascii="標楷體" w:eastAsia="標楷體" w:hAnsi="標楷體"/>
          <w:color w:val="000000"/>
        </w:rPr>
        <w:t>(3)每次注射最高劑量：斜頸症為600單位，書寫性痙攣及口顎部肌張力不全為280單位，且每年最多注射3次為原則。</w:t>
      </w:r>
    </w:p>
    <w:p w14:paraId="3755818A" w14:textId="77777777" w:rsidR="00BD776B" w:rsidRDefault="00DF0C24">
      <w:pPr>
        <w:ind w:left="1049" w:hanging="341"/>
        <w:rPr>
          <w:rFonts w:ascii="標楷體" w:eastAsia="標楷體" w:hAnsi="標楷體"/>
          <w:color w:val="000000"/>
        </w:rPr>
      </w:pPr>
      <w:r>
        <w:rPr>
          <w:rFonts w:ascii="標楷體" w:eastAsia="標楷體" w:hAnsi="標楷體"/>
          <w:color w:val="000000"/>
        </w:rPr>
        <w:t>(4)全身性肌張力不全症不在給付範圍。</w:t>
      </w:r>
    </w:p>
    <w:p w14:paraId="66575349" w14:textId="77777777" w:rsidR="00BD776B" w:rsidRDefault="00DF0C24">
      <w:pPr>
        <w:ind w:left="811" w:hanging="245"/>
        <w:rPr>
          <w:rFonts w:ascii="標楷體" w:eastAsia="標楷體" w:hAnsi="標楷體"/>
          <w:color w:val="000000"/>
        </w:rPr>
      </w:pPr>
      <w:r>
        <w:rPr>
          <w:rFonts w:ascii="標楷體" w:eastAsia="標楷體" w:hAnsi="標楷體"/>
          <w:color w:val="000000"/>
        </w:rPr>
        <w:t>3.使用於腦性麻痺病患</w:t>
      </w:r>
    </w:p>
    <w:p w14:paraId="3F2314A6" w14:textId="77777777" w:rsidR="00BD776B" w:rsidRDefault="00DF0C24">
      <w:pPr>
        <w:ind w:left="1049" w:hanging="341"/>
        <w:rPr>
          <w:rFonts w:ascii="標楷體" w:eastAsia="標楷體" w:hAnsi="標楷體"/>
          <w:color w:val="000000"/>
        </w:rPr>
      </w:pPr>
      <w:r>
        <w:rPr>
          <w:rFonts w:ascii="標楷體" w:eastAsia="標楷體" w:hAnsi="標楷體"/>
          <w:color w:val="000000"/>
        </w:rPr>
        <w:t>(1)限滿2歲以上，經區域以上（含）教學醫院復健科、神經內科或小兒神經科專科醫師診斷為痙攣型腦性麻痺之病患使用。</w:t>
      </w:r>
    </w:p>
    <w:p w14:paraId="3FDC0B2E" w14:textId="77777777" w:rsidR="00BD776B" w:rsidRDefault="00DF0C24">
      <w:pPr>
        <w:ind w:left="1049" w:hanging="341"/>
        <w:rPr>
          <w:rFonts w:ascii="標楷體" w:eastAsia="標楷體" w:hAnsi="標楷體"/>
          <w:color w:val="000000"/>
        </w:rPr>
      </w:pPr>
      <w:r>
        <w:rPr>
          <w:rFonts w:ascii="標楷體" w:eastAsia="標楷體" w:hAnsi="標楷體"/>
          <w:color w:val="000000"/>
        </w:rPr>
        <w:t>(2)其肢體之痙攣影響主動功能（如行走或手部動作），該肢體之痙攣程度以Modified Ashworth Scale評估為2或3級，且經藥物、復健或輔具治療至少6個月以上無效者。</w:t>
      </w:r>
    </w:p>
    <w:p w14:paraId="77A5CC9C" w14:textId="77777777" w:rsidR="00BD776B" w:rsidRDefault="00DF0C24">
      <w:pPr>
        <w:ind w:left="1049" w:hanging="341"/>
        <w:rPr>
          <w:rFonts w:ascii="標楷體" w:eastAsia="標楷體" w:hAnsi="標楷體"/>
          <w:color w:val="000000"/>
        </w:rPr>
      </w:pPr>
      <w:r>
        <w:rPr>
          <w:rFonts w:ascii="標楷體" w:eastAsia="標楷體" w:hAnsi="標楷體"/>
          <w:color w:val="000000"/>
        </w:rPr>
        <w:t>(3)無固定不可逆之關節攣縮。</w:t>
      </w:r>
    </w:p>
    <w:p w14:paraId="2EA761E7" w14:textId="77777777" w:rsidR="00BD776B" w:rsidRDefault="00DF0C24">
      <w:pPr>
        <w:ind w:left="1049" w:hanging="341"/>
        <w:rPr>
          <w:rFonts w:ascii="標楷體" w:eastAsia="標楷體" w:hAnsi="標楷體"/>
          <w:color w:val="000000"/>
        </w:rPr>
      </w:pPr>
      <w:r>
        <w:rPr>
          <w:rFonts w:ascii="標楷體" w:eastAsia="標楷體" w:hAnsi="標楷體"/>
          <w:color w:val="000000"/>
        </w:rPr>
        <w:t>(4)每次注射最高劑量每公斤體重30單位（總劑量不超過900單位），下肢每塊肌肉每公斤體重使用9~18單位，上肢每塊肌肉每公斤體重使用3~6單位，且每年最多注射3次。（94/6/1）</w:t>
      </w:r>
    </w:p>
    <w:p w14:paraId="66639DAD" w14:textId="77777777" w:rsidR="00BD776B" w:rsidRDefault="00DF0C24">
      <w:pPr>
        <w:ind w:left="1049" w:hanging="341"/>
        <w:rPr>
          <w:rFonts w:ascii="標楷體" w:eastAsia="標楷體" w:hAnsi="標楷體"/>
          <w:color w:val="000000"/>
        </w:rPr>
      </w:pPr>
      <w:r>
        <w:rPr>
          <w:rFonts w:ascii="標楷體" w:eastAsia="標楷體" w:hAnsi="標楷體"/>
          <w:color w:val="000000"/>
        </w:rPr>
        <w:t>(5)經外科手術治療之同肌肉部位不得再行注射。</w:t>
      </w:r>
    </w:p>
    <w:p w14:paraId="16A4EFFC"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(6)使用於12~17歲病患，需經事前審查一次，並附有復健科、小兒神經科或神經科專科醫師近期之診察紀錄；使用於18歲(含)以上病患，需再經事前審查一次。(107/2/1、109/2/1)</w:t>
      </w:r>
    </w:p>
    <w:p w14:paraId="50974CDF" w14:textId="77777777" w:rsidR="00BD776B" w:rsidRDefault="00DF0C24">
      <w:pPr>
        <w:ind w:left="811" w:hanging="245"/>
      </w:pPr>
      <w:r>
        <w:rPr>
          <w:rFonts w:ascii="標楷體" w:eastAsia="標楷體" w:hAnsi="標楷體"/>
          <w:color w:val="000000"/>
        </w:rPr>
        <w:t>4.使用於成人中風後之手臂或下肢痙攣：（93/1/1、94/6/1、98/3/1、100/8/1、109/2/1</w:t>
      </w:r>
      <w:r>
        <w:rPr>
          <w:rFonts w:ascii="新細明體" w:hAnsi="新細明體"/>
          <w:color w:val="000000"/>
        </w:rPr>
        <w:t>、</w:t>
      </w:r>
      <w:r>
        <w:rPr>
          <w:rFonts w:ascii="標楷體" w:eastAsia="標楷體" w:hAnsi="標楷體"/>
          <w:color w:val="000000"/>
        </w:rPr>
        <w:t>109/12/1、112/11/1）</w:t>
      </w:r>
    </w:p>
    <w:p w14:paraId="576CD4F0" w14:textId="77777777" w:rsidR="00BD776B" w:rsidRDefault="00DF0C24">
      <w:pPr>
        <w:ind w:left="1049" w:hanging="341"/>
        <w:rPr>
          <w:rFonts w:ascii="標楷體" w:eastAsia="標楷體" w:hAnsi="標楷體"/>
          <w:color w:val="000000"/>
        </w:rPr>
      </w:pPr>
      <w:r>
        <w:rPr>
          <w:rFonts w:ascii="標楷體" w:eastAsia="標楷體" w:hAnsi="標楷體"/>
          <w:color w:val="000000"/>
        </w:rPr>
        <w:t>(1)限18歲以上，中風發生後，經復健、輔具或藥物治療上肢至少3個月以上，下肢至少3個月以上痙攣，影響其日常活動(如飲食、衛生、穿衣等)者，痙攣程度符合Modified Ashworth Scale評估2或3級，且關節活動度（R1/R2）顯示顯著痙攣，並排除臥床、肢體攣縮或關節固定不可逆攣縮者。(94/6/1、98/3/1、109/2/1、112/11/1)</w:t>
      </w:r>
    </w:p>
    <w:p w14:paraId="0531D16F" w14:textId="77777777" w:rsidR="00BD776B" w:rsidRDefault="00DF0C24">
      <w:pPr>
        <w:ind w:left="1049" w:hanging="341"/>
        <w:rPr>
          <w:rFonts w:ascii="標楷體" w:eastAsia="標楷體" w:hAnsi="標楷體"/>
          <w:color w:val="000000"/>
        </w:rPr>
      </w:pPr>
      <w:r>
        <w:rPr>
          <w:rFonts w:ascii="標楷體" w:eastAsia="標楷體" w:hAnsi="標楷體"/>
          <w:color w:val="000000"/>
        </w:rPr>
        <w:t>(2)限地區醫院以上（含）神經內外科或復健科專科醫師診斷及注射。(94/6/1、100/8/1、109/2/1)</w:t>
      </w:r>
    </w:p>
    <w:p w14:paraId="633C456C" w14:textId="77777777" w:rsidR="00BD776B" w:rsidRDefault="00DF0C24">
      <w:pPr>
        <w:ind w:left="1049" w:hanging="341"/>
        <w:rPr>
          <w:rFonts w:ascii="標楷體" w:eastAsia="標楷體" w:hAnsi="標楷體"/>
          <w:color w:val="000000"/>
        </w:rPr>
      </w:pPr>
      <w:r>
        <w:rPr>
          <w:rFonts w:ascii="標楷體" w:eastAsia="標楷體" w:hAnsi="標楷體"/>
          <w:color w:val="000000"/>
        </w:rPr>
        <w:t>(3)每次注射Dysport最高劑量上肢限1000單位，下肢限1500單位，且每年最多3次，需列出每條肌肉要注射的劑量。(94/6/1、109/2/1)</w:t>
      </w:r>
    </w:p>
    <w:p w14:paraId="1A401F9F" w14:textId="77777777" w:rsidR="00BD776B" w:rsidRDefault="00DF0C24">
      <w:pPr>
        <w:ind w:left="1049" w:hanging="341"/>
        <w:rPr>
          <w:rFonts w:ascii="標楷體" w:eastAsia="標楷體" w:hAnsi="標楷體"/>
          <w:color w:val="000000"/>
        </w:rPr>
      </w:pPr>
      <w:r>
        <w:rPr>
          <w:rFonts w:ascii="標楷體" w:eastAsia="標楷體" w:hAnsi="標楷體"/>
          <w:color w:val="000000"/>
        </w:rPr>
        <w:t>(4)需經事前審查核准後使用，申請時需檢附病歷資料、治療計畫及照片或影片(109/2/1)。</w:t>
      </w:r>
    </w:p>
    <w:p w14:paraId="2909D301" w14:textId="77777777" w:rsidR="00BD776B" w:rsidRDefault="00DF0C24">
      <w:pPr>
        <w:ind w:left="1049" w:hanging="341"/>
        <w:rPr>
          <w:rFonts w:ascii="標楷體" w:eastAsia="標楷體" w:hAnsi="標楷體"/>
          <w:color w:val="000000"/>
        </w:rPr>
      </w:pPr>
      <w:r>
        <w:rPr>
          <w:rFonts w:ascii="標楷體" w:eastAsia="標楷體" w:hAnsi="標楷體"/>
          <w:color w:val="000000"/>
        </w:rPr>
        <w:t>(5)再次申請時需提出使用效果評估結果(如附表三十五)、病歷、治療紀錄及治療計畫以供參考，並檢附前次及本次病人之照片或影片，如病人已呈現「意識不清合併臥床」、「手部或下肢肌肉攣縮或關節固定不可逆者（Modified Ashworth Scale 4分)」，該明顯不可逆攣縮肌肉與固定關節部位得不予給付。(109/12/1)。</w:t>
      </w:r>
    </w:p>
    <w:p w14:paraId="78F0A8B3" w14:textId="77777777" w:rsidR="00BD776B" w:rsidRDefault="00DF0C24">
      <w:pPr>
        <w:ind w:left="1049" w:hanging="341"/>
        <w:rPr>
          <w:rFonts w:ascii="標楷體" w:eastAsia="標楷體" w:hAnsi="標楷體"/>
          <w:color w:val="000000"/>
        </w:rPr>
      </w:pPr>
      <w:r>
        <w:rPr>
          <w:rFonts w:ascii="標楷體" w:eastAsia="標楷體" w:hAnsi="標楷體"/>
          <w:color w:val="000000"/>
        </w:rPr>
        <w:t>(6)如因再次中風而導致臥床、手部或下肢肌肉攣縮或關節固定不可逆攣縮者，則應停用。(98/3/1、109/2/1)</w:t>
      </w:r>
    </w:p>
    <w:p w14:paraId="4384C4FA" w14:textId="77777777" w:rsidR="00BD776B" w:rsidRDefault="00DF0C24">
      <w:pPr>
        <w:ind w:left="565" w:hanging="1"/>
        <w:rPr>
          <w:rFonts w:ascii="標楷體" w:eastAsia="標楷體" w:hAnsi="標楷體"/>
          <w:color w:val="000000"/>
        </w:rPr>
      </w:pPr>
      <w:r>
        <w:rPr>
          <w:rFonts w:ascii="標楷體" w:eastAsia="標楷體" w:hAnsi="標楷體"/>
          <w:color w:val="000000"/>
        </w:rPr>
        <w:t>◎前開注射劑量單位僅適用於 Dysport 劑量計算。</w:t>
      </w:r>
    </w:p>
    <w:p w14:paraId="57857EAA" w14:textId="77777777" w:rsidR="00BD776B" w:rsidRDefault="00DF0C24">
      <w:pPr>
        <w:ind w:left="565" w:hanging="1"/>
        <w:rPr>
          <w:rFonts w:ascii="標楷體" w:eastAsia="標楷體" w:hAnsi="標楷體"/>
          <w:color w:val="000000"/>
        </w:rPr>
      </w:pPr>
      <w:r>
        <w:rPr>
          <w:rFonts w:ascii="標楷體" w:eastAsia="標楷體" w:hAnsi="標楷體"/>
          <w:color w:val="000000"/>
        </w:rPr>
        <w:t>◎Spasm Intensity Scale：</w:t>
      </w:r>
    </w:p>
    <w:p w14:paraId="3759236A" w14:textId="77777777" w:rsidR="00BD776B" w:rsidRDefault="00DF0C24">
      <w:pPr>
        <w:ind w:left="1231" w:hanging="379"/>
        <w:rPr>
          <w:rFonts w:ascii="標楷體" w:eastAsia="標楷體" w:hAnsi="標楷體"/>
          <w:color w:val="000000"/>
        </w:rPr>
      </w:pPr>
      <w:r>
        <w:rPr>
          <w:rFonts w:ascii="標楷體" w:eastAsia="標楷體" w:hAnsi="標楷體"/>
          <w:color w:val="000000"/>
        </w:rPr>
        <w:t>0</w:t>
      </w:r>
      <w:r>
        <w:rPr>
          <w:rFonts w:ascii="標楷體" w:eastAsia="標楷體" w:hAnsi="標楷體"/>
          <w:color w:val="000000"/>
        </w:rPr>
        <w:tab/>
        <w:t xml:space="preserve"> 正常眨眼次數。</w:t>
      </w:r>
    </w:p>
    <w:p w14:paraId="71B0634F" w14:textId="77777777" w:rsidR="00BD776B" w:rsidRDefault="00DF0C24">
      <w:pPr>
        <w:ind w:left="1231" w:hanging="379"/>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 xml:space="preserve"> 眨眼次數因對外界刺激（如光、風等）而增加。</w:t>
      </w:r>
    </w:p>
    <w:p w14:paraId="16DECAAF" w14:textId="77777777" w:rsidR="00BD776B" w:rsidRDefault="00DF0C24">
      <w:pPr>
        <w:ind w:left="1231" w:hanging="379"/>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 xml:space="preserve"> 輕微但明顯之眼瞼震顫（無痙攣），且未引起生活不便。</w:t>
      </w:r>
    </w:p>
    <w:p w14:paraId="7C124E26" w14:textId="77777777" w:rsidR="00BD776B" w:rsidRDefault="00DF0C24">
      <w:pPr>
        <w:ind w:left="1231" w:hanging="379"/>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 xml:space="preserve"> 中度，且極明顯之眼瞼痙攣，且引起生活不便。</w:t>
      </w:r>
    </w:p>
    <w:p w14:paraId="654CF8F2" w14:textId="77777777" w:rsidR="00BD776B" w:rsidRDefault="00DF0C24">
      <w:pPr>
        <w:ind w:left="1231" w:hanging="379"/>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 xml:space="preserve"> 嚴重影響生活（無法閱讀、駕駛等）。</w:t>
      </w:r>
    </w:p>
    <w:p w14:paraId="54F7408B" w14:textId="77777777" w:rsidR="00BD776B" w:rsidRDefault="00DF0C24">
      <w:pPr>
        <w:ind w:left="565" w:hanging="1"/>
        <w:rPr>
          <w:rFonts w:ascii="標楷體" w:eastAsia="標楷體" w:hAnsi="標楷體"/>
          <w:color w:val="000000"/>
        </w:rPr>
      </w:pPr>
      <w:r>
        <w:rPr>
          <w:rFonts w:ascii="標楷體" w:eastAsia="標楷體" w:hAnsi="標楷體"/>
          <w:color w:val="000000"/>
        </w:rPr>
        <w:t>◎ Modified Ashworth Scale：</w:t>
      </w:r>
    </w:p>
    <w:p w14:paraId="2C73EC2A" w14:textId="77777777" w:rsidR="00BD776B" w:rsidRDefault="00DF0C24">
      <w:pPr>
        <w:ind w:left="1231" w:hanging="379"/>
        <w:rPr>
          <w:rFonts w:ascii="標楷體" w:eastAsia="標楷體" w:hAnsi="標楷體"/>
          <w:color w:val="000000"/>
        </w:rPr>
      </w:pPr>
      <w:r>
        <w:rPr>
          <w:rFonts w:ascii="標楷體" w:eastAsia="標楷體" w:hAnsi="標楷體"/>
          <w:color w:val="000000"/>
        </w:rPr>
        <w:t>0</w:t>
      </w:r>
      <w:r>
        <w:rPr>
          <w:rFonts w:ascii="標楷體" w:eastAsia="標楷體" w:hAnsi="標楷體"/>
          <w:color w:val="000000"/>
        </w:rPr>
        <w:tab/>
        <w:t xml:space="preserve"> 無肌張力增加。</w:t>
      </w:r>
    </w:p>
    <w:p w14:paraId="7637CEA9" w14:textId="77777777" w:rsidR="00BD776B" w:rsidRDefault="00DF0C24">
      <w:pPr>
        <w:ind w:left="1231" w:hanging="379"/>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 xml:space="preserve"> 肌肉張力輕微增加，表現在關節活動範圍之末端。</w:t>
      </w:r>
    </w:p>
    <w:p w14:paraId="56002D91" w14:textId="77777777" w:rsidR="00BD776B" w:rsidRDefault="00DF0C24">
      <w:pPr>
        <w:ind w:left="1231" w:hanging="379"/>
        <w:rPr>
          <w:rFonts w:ascii="標楷體" w:eastAsia="標楷體" w:hAnsi="標楷體"/>
          <w:color w:val="000000"/>
        </w:rPr>
      </w:pPr>
      <w:r>
        <w:rPr>
          <w:rFonts w:ascii="標楷體" w:eastAsia="標楷體" w:hAnsi="標楷體"/>
          <w:color w:val="000000"/>
        </w:rPr>
        <w:t>1+  肌張力輕微增加，表現在關節活動一半範圍之內。</w:t>
      </w:r>
    </w:p>
    <w:p w14:paraId="5FE0FD66" w14:textId="77777777" w:rsidR="00BD776B" w:rsidRDefault="00DF0C24">
      <w:pPr>
        <w:ind w:left="1231" w:hanging="379"/>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 xml:space="preserve"> 肌肉張力明顯增加，表現在整個關節活動範圍內。</w:t>
      </w:r>
    </w:p>
    <w:p w14:paraId="55661735" w14:textId="77777777" w:rsidR="00BD776B" w:rsidRDefault="00DF0C24">
      <w:pPr>
        <w:ind w:left="1231" w:hanging="379"/>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 xml:space="preserve"> 肌張力更明顯增加，關節活動出現困難。</w:t>
      </w:r>
    </w:p>
    <w:p w14:paraId="48952E56"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  4</w:t>
      </w:r>
      <w:r>
        <w:rPr>
          <w:rFonts w:ascii="標楷體" w:eastAsia="標楷體" w:hAnsi="標楷體"/>
          <w:color w:val="000000"/>
        </w:rPr>
        <w:tab/>
        <w:t xml:space="preserve">   肌張力極高，無關節活動可言。</w:t>
      </w:r>
    </w:p>
    <w:p w14:paraId="1E1F6A2B" w14:textId="77777777" w:rsidR="00BD776B" w:rsidRDefault="00DF0C24">
      <w:pPr>
        <w:ind w:left="811" w:hanging="245"/>
      </w:pPr>
      <w:r>
        <w:rPr>
          <w:rFonts w:ascii="標楷體" w:eastAsia="標楷體" w:hAnsi="標楷體"/>
        </w:rPr>
        <w:t>◎附表三十五：成人中風後之手臂或下肢痙攣肉毒桿菌素再次申請治療效果評估表。(109/12/1</w:t>
      </w:r>
      <w:r>
        <w:rPr>
          <w:rFonts w:ascii="標楷體" w:eastAsia="標楷體" w:hAnsi="標楷體"/>
          <w:color w:val="000000"/>
        </w:rPr>
        <w:t>、112/11/1</w:t>
      </w:r>
      <w:r>
        <w:rPr>
          <w:rFonts w:ascii="標楷體" w:eastAsia="標楷體" w:hAnsi="標楷體"/>
        </w:rPr>
        <w:t>)</w:t>
      </w:r>
    </w:p>
    <w:p w14:paraId="3638ADB1" w14:textId="77777777" w:rsidR="00BD776B" w:rsidRDefault="00DF0C24">
      <w:pPr>
        <w:ind w:left="672" w:hanging="386"/>
        <w:rPr>
          <w:rFonts w:ascii="標楷體" w:eastAsia="標楷體" w:hAnsi="標楷體"/>
          <w:color w:val="000000"/>
        </w:rPr>
      </w:pPr>
      <w:r>
        <w:rPr>
          <w:rFonts w:ascii="標楷體" w:eastAsia="標楷體" w:hAnsi="標楷體"/>
          <w:color w:val="000000"/>
        </w:rPr>
        <w:t>1.6.3.Tolterodine L-tartrate  (如Detrusitol) ; solifenacin succinate  (如Vesicare)；mirabegron (如Betmiga):(90/7/1、93/10/1、96/4/1、104/2/1)</w:t>
      </w:r>
    </w:p>
    <w:p w14:paraId="376C3060"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1.限符合下列診斷標準條件之一者：</w:t>
      </w:r>
    </w:p>
    <w:p w14:paraId="4C889AE1" w14:textId="77777777" w:rsidR="00BD776B" w:rsidRDefault="00DF0C24">
      <w:pPr>
        <w:ind w:left="1049" w:hanging="341"/>
        <w:rPr>
          <w:rFonts w:ascii="標楷體" w:eastAsia="標楷體" w:hAnsi="標楷體"/>
          <w:color w:val="000000"/>
        </w:rPr>
      </w:pPr>
      <w:r>
        <w:rPr>
          <w:rFonts w:ascii="標楷體" w:eastAsia="標楷體" w:hAnsi="標楷體"/>
          <w:color w:val="000000"/>
        </w:rPr>
        <w:t>(1)頻尿：每天（24小時）排尿次數超過八次，並有詳實病歷紀錄。</w:t>
      </w:r>
    </w:p>
    <w:p w14:paraId="2FAA98EF" w14:textId="77777777" w:rsidR="00BD776B" w:rsidRDefault="00DF0C24">
      <w:pPr>
        <w:ind w:left="1049" w:hanging="341"/>
        <w:rPr>
          <w:rFonts w:ascii="標楷體" w:eastAsia="標楷體" w:hAnsi="標楷體"/>
          <w:color w:val="000000"/>
        </w:rPr>
      </w:pPr>
      <w:r>
        <w:rPr>
          <w:rFonts w:ascii="標楷體" w:eastAsia="標楷體" w:hAnsi="標楷體"/>
          <w:color w:val="000000"/>
        </w:rPr>
        <w:t>(2)急尿：病患自述經常有一種很突然、很強烈想解尿的感覺。</w:t>
      </w:r>
    </w:p>
    <w:p w14:paraId="3EB9D194" w14:textId="77777777" w:rsidR="00BD776B" w:rsidRDefault="00DF0C24">
      <w:pPr>
        <w:ind w:left="1049" w:hanging="341"/>
        <w:rPr>
          <w:rFonts w:ascii="標楷體" w:eastAsia="標楷體" w:hAnsi="標楷體"/>
          <w:color w:val="000000"/>
        </w:rPr>
      </w:pPr>
      <w:r>
        <w:rPr>
          <w:rFonts w:ascii="標楷體" w:eastAsia="標楷體" w:hAnsi="標楷體"/>
          <w:color w:val="000000"/>
        </w:rPr>
        <w:t>(3)急迫性尿失禁：對於尿急的感覺無法控制，並於24小時內至少也有一次漏尿之情形。</w:t>
      </w:r>
    </w:p>
    <w:p w14:paraId="79AA02EA" w14:textId="77777777" w:rsidR="00BD776B" w:rsidRDefault="00DF0C24">
      <w:pPr>
        <w:ind w:left="811" w:hanging="245"/>
        <w:rPr>
          <w:rFonts w:ascii="標楷體" w:eastAsia="標楷體" w:hAnsi="標楷體"/>
          <w:color w:val="000000"/>
        </w:rPr>
      </w:pPr>
      <w:r>
        <w:rPr>
          <w:rFonts w:ascii="標楷體" w:eastAsia="標楷體" w:hAnsi="標楷體"/>
          <w:color w:val="000000"/>
        </w:rPr>
        <w:t>2.不宜使用本類藥品者：</w:t>
      </w:r>
    </w:p>
    <w:p w14:paraId="0A3EB748" w14:textId="77777777" w:rsidR="00BD776B" w:rsidRDefault="00DF0C24">
      <w:pPr>
        <w:ind w:left="1049" w:hanging="341"/>
        <w:rPr>
          <w:rFonts w:ascii="標楷體" w:eastAsia="標楷體" w:hAnsi="標楷體"/>
          <w:color w:val="000000"/>
        </w:rPr>
      </w:pPr>
      <w:r>
        <w:rPr>
          <w:rFonts w:ascii="標楷體" w:eastAsia="標楷體" w:hAnsi="標楷體"/>
          <w:color w:val="000000"/>
        </w:rPr>
        <w:t>(1)小兒夜尿。</w:t>
      </w:r>
    </w:p>
    <w:p w14:paraId="230A0AC4" w14:textId="77777777" w:rsidR="00BD776B" w:rsidRDefault="00DF0C24">
      <w:pPr>
        <w:ind w:left="1049" w:hanging="341"/>
        <w:rPr>
          <w:rFonts w:ascii="標楷體" w:eastAsia="標楷體" w:hAnsi="標楷體"/>
          <w:color w:val="000000"/>
        </w:rPr>
      </w:pPr>
      <w:r>
        <w:rPr>
          <w:rFonts w:ascii="標楷體" w:eastAsia="標楷體" w:hAnsi="標楷體"/>
          <w:color w:val="000000"/>
        </w:rPr>
        <w:t>(2)單純性應力性尿失禁。</w:t>
      </w:r>
    </w:p>
    <w:p w14:paraId="534BD13A" w14:textId="77777777" w:rsidR="00BD776B" w:rsidRDefault="00DF0C24">
      <w:pPr>
        <w:ind w:left="1049" w:hanging="341"/>
        <w:rPr>
          <w:rFonts w:ascii="標楷體" w:eastAsia="標楷體" w:hAnsi="標楷體"/>
          <w:color w:val="000000"/>
        </w:rPr>
      </w:pPr>
      <w:r>
        <w:rPr>
          <w:rFonts w:ascii="標楷體" w:eastAsia="標楷體" w:hAnsi="標楷體"/>
          <w:color w:val="000000"/>
        </w:rPr>
        <w:t>(3)膀胱逼尿肌無反射（detrusor areflexia）或膀胱不收縮所引起之排尿困難或尿失禁之症狀。</w:t>
      </w:r>
    </w:p>
    <w:p w14:paraId="1EA6779D" w14:textId="77777777" w:rsidR="00BD776B" w:rsidRDefault="00DF0C24">
      <w:pPr>
        <w:ind w:left="811" w:hanging="245"/>
        <w:rPr>
          <w:rFonts w:ascii="標楷體" w:eastAsia="標楷體" w:hAnsi="標楷體"/>
          <w:color w:val="000000"/>
        </w:rPr>
      </w:pPr>
      <w:r>
        <w:rPr>
          <w:rFonts w:ascii="標楷體" w:eastAsia="標楷體" w:hAnsi="標楷體"/>
          <w:color w:val="000000"/>
        </w:rPr>
        <w:t>3.Solifenacin succinate（如Vesicare）及mirabegron (如Betmiga)藥品每天限使用1錠。(104/2/1)</w:t>
      </w:r>
    </w:p>
    <w:p w14:paraId="734777D5" w14:textId="53507FC9" w:rsidR="00BD776B" w:rsidRDefault="00DF0C24">
      <w:pPr>
        <w:ind w:left="672" w:hanging="386"/>
        <w:rPr>
          <w:rFonts w:ascii="標楷體" w:eastAsia="標楷體" w:hAnsi="標楷體"/>
          <w:color w:val="000000"/>
        </w:rPr>
      </w:pPr>
      <w:r>
        <w:rPr>
          <w:rFonts w:ascii="標楷體" w:eastAsia="標楷體" w:hAnsi="標楷體"/>
          <w:color w:val="000000"/>
        </w:rPr>
        <w:t>1.6.4. Nusinersen(如 Spinraza)、risdiplam（如Evrysdi）：（109/7/1、109/10/1、112/4/1、112/6/1、112/8/1</w:t>
      </w:r>
      <w:r w:rsidR="008801FC">
        <w:rPr>
          <w:rFonts w:ascii="標楷體" w:eastAsia="標楷體" w:hAnsi="標楷體" w:hint="eastAsia"/>
          <w:color w:val="000000"/>
        </w:rPr>
        <w:t>、113/8/1</w:t>
      </w:r>
      <w:r>
        <w:rPr>
          <w:rFonts w:ascii="標楷體" w:eastAsia="標楷體" w:hAnsi="標楷體"/>
          <w:color w:val="000000"/>
        </w:rPr>
        <w:t>）</w:t>
      </w:r>
    </w:p>
    <w:p w14:paraId="17CD1041" w14:textId="6CD39464" w:rsidR="00BD776B" w:rsidRDefault="00DF0C24">
      <w:pPr>
        <w:ind w:left="912" w:hanging="386"/>
        <w:rPr>
          <w:rFonts w:ascii="標楷體" w:eastAsia="標楷體" w:hAnsi="標楷體"/>
          <w:color w:val="000000"/>
        </w:rPr>
      </w:pPr>
      <w:r>
        <w:rPr>
          <w:rFonts w:ascii="標楷體" w:eastAsia="標楷體" w:hAnsi="標楷體"/>
          <w:color w:val="000000"/>
        </w:rPr>
        <w:t>1.限用經標準檢測方法 MLPA(Multiplex Ligation Dependent Probe Amplification) 或 NGS 檢測SMN1 基因變異之個案，且經衛生福利部國民健康署認定之脊髓性肌肉萎縮症(Spinal muscular atrophy,SMA)病人，並具以下(1)、(2)任何一個條件：(112/4/1、112/6/1、112/8/1</w:t>
      </w:r>
      <w:r w:rsidR="000B0861">
        <w:rPr>
          <w:rFonts w:ascii="標楷體" w:eastAsia="標楷體" w:hAnsi="標楷體" w:hint="eastAsia"/>
          <w:color w:val="000000"/>
        </w:rPr>
        <w:t>、113/8/1</w:t>
      </w:r>
      <w:r>
        <w:rPr>
          <w:rFonts w:ascii="標楷體" w:eastAsia="標楷體" w:hAnsi="標楷體"/>
          <w:color w:val="000000"/>
        </w:rPr>
        <w:t>)</w:t>
      </w:r>
    </w:p>
    <w:p w14:paraId="30F55A6B" w14:textId="0CCF91E4" w:rsidR="00BD776B" w:rsidRDefault="00DF0C24" w:rsidP="00D802BE">
      <w:pPr>
        <w:ind w:left="1066" w:hanging="386"/>
        <w:rPr>
          <w:rFonts w:ascii="標楷體" w:eastAsia="標楷體" w:hAnsi="標楷體"/>
          <w:color w:val="000000"/>
        </w:rPr>
      </w:pPr>
      <w:r>
        <w:rPr>
          <w:rFonts w:ascii="標楷體" w:eastAsia="標楷體" w:hAnsi="標楷體"/>
          <w:color w:val="000000"/>
        </w:rPr>
        <w:t>(1)</w:t>
      </w:r>
      <w:r w:rsidR="007E1334" w:rsidRPr="007E1334">
        <w:rPr>
          <w:rFonts w:ascii="標楷體" w:eastAsia="標楷體" w:hAnsi="標楷體" w:hint="eastAsia"/>
          <w:color w:val="000000"/>
        </w:rPr>
        <w:t>經新生兒篩檢確診之病人，限使用nusinersen。(113/8/1)</w:t>
      </w:r>
    </w:p>
    <w:p w14:paraId="4C6E423D" w14:textId="585D4291" w:rsidR="00BD776B" w:rsidRDefault="00DF0C24" w:rsidP="00D802BE">
      <w:pPr>
        <w:ind w:left="1066" w:hanging="386"/>
        <w:rPr>
          <w:rFonts w:ascii="標楷體" w:eastAsia="標楷體" w:hAnsi="標楷體"/>
          <w:color w:val="000000"/>
        </w:rPr>
      </w:pPr>
      <w:r>
        <w:rPr>
          <w:rFonts w:ascii="標楷體" w:eastAsia="標楷體" w:hAnsi="標楷體"/>
          <w:color w:val="000000"/>
        </w:rPr>
        <w:t>(2)</w:t>
      </w:r>
      <w:r w:rsidR="007E1334" w:rsidRPr="007E1334">
        <w:rPr>
          <w:rFonts w:ascii="標楷體" w:eastAsia="標楷體" w:hAnsi="標楷體" w:hint="eastAsia"/>
          <w:color w:val="000000"/>
        </w:rPr>
        <w:t>18歲以下發病確診之病人。(113/8/1)</w:t>
      </w:r>
    </w:p>
    <w:p w14:paraId="3CEFEE8F" w14:textId="77777777" w:rsidR="00BD776B" w:rsidRDefault="00DF0C24">
      <w:pPr>
        <w:ind w:left="912" w:hanging="386"/>
        <w:rPr>
          <w:rFonts w:ascii="標楷體" w:eastAsia="標楷體" w:hAnsi="標楷體"/>
          <w:color w:val="000000"/>
        </w:rPr>
      </w:pPr>
      <w:r>
        <w:rPr>
          <w:rFonts w:ascii="標楷體" w:eastAsia="標楷體" w:hAnsi="標楷體"/>
          <w:color w:val="000000"/>
        </w:rPr>
        <w:t>2.需檢附下列資料，經二位以上專家之專家小組特殊專案審查核准後使用，每年檢附療效評估資料重新申請。</w:t>
      </w:r>
    </w:p>
    <w:p w14:paraId="5B9FB9F7" w14:textId="77777777" w:rsidR="00BD776B" w:rsidRDefault="00DF0C24">
      <w:pPr>
        <w:ind w:left="1152" w:hanging="386"/>
        <w:rPr>
          <w:rFonts w:ascii="標楷體" w:eastAsia="標楷體" w:hAnsi="標楷體"/>
          <w:color w:val="000000"/>
        </w:rPr>
      </w:pPr>
      <w:r>
        <w:rPr>
          <w:rFonts w:ascii="標楷體" w:eastAsia="標楷體" w:hAnsi="標楷體"/>
          <w:color w:val="000000"/>
        </w:rPr>
        <w:t>(1)符合衛生福利部國民健康署SMA罕見疾病個案通報審查標準之臨床症狀錄影之影片（內容必須包含：a.全身肌張力低下，b.全身四肢無力，近端比遠端嚴重且下肢比上肢嚴重，c.深部肌腱反射，如：膝反射、踝反射、二頭肌反射等消失）。</w:t>
      </w:r>
    </w:p>
    <w:p w14:paraId="19AE26A7" w14:textId="77777777" w:rsidR="00BD776B" w:rsidRDefault="00DF0C24">
      <w:pPr>
        <w:ind w:left="1152" w:hanging="386"/>
        <w:rPr>
          <w:rFonts w:ascii="標楷體" w:eastAsia="標楷體" w:hAnsi="標楷體"/>
          <w:color w:val="000000"/>
        </w:rPr>
      </w:pPr>
      <w:r>
        <w:rPr>
          <w:rFonts w:ascii="標楷體" w:eastAsia="標楷體" w:hAnsi="標楷體"/>
          <w:color w:val="000000"/>
        </w:rPr>
        <w:t>(2)3個（含）以下 SMN2 基因拷貝數之即將發病之個案，須附經標準檢測方法MLPA 或 NGS 基因診斷技術報告。(112/4/1）</w:t>
      </w:r>
    </w:p>
    <w:p w14:paraId="490D9A0D" w14:textId="77777777" w:rsidR="00BD776B" w:rsidRDefault="00DF0C24">
      <w:pPr>
        <w:ind w:left="1152" w:hanging="386"/>
        <w:rPr>
          <w:rFonts w:ascii="標楷體" w:eastAsia="標楷體" w:hAnsi="標楷體"/>
          <w:color w:val="000000"/>
        </w:rPr>
      </w:pPr>
      <w:r>
        <w:rPr>
          <w:rFonts w:ascii="標楷體" w:eastAsia="標楷體" w:hAnsi="標楷體"/>
          <w:color w:val="000000"/>
        </w:rPr>
        <w:t>(3)臨床病歷摘要。</w:t>
      </w:r>
    </w:p>
    <w:p w14:paraId="29DBC635" w14:textId="77777777" w:rsidR="00BD776B" w:rsidRDefault="00DF0C24">
      <w:pPr>
        <w:ind w:left="1152" w:hanging="386"/>
        <w:rPr>
          <w:rFonts w:ascii="標楷體" w:eastAsia="標楷體" w:hAnsi="標楷體"/>
          <w:color w:val="000000"/>
        </w:rPr>
      </w:pPr>
      <w:r>
        <w:rPr>
          <w:rFonts w:ascii="標楷體" w:eastAsia="標楷體" w:hAnsi="標楷體"/>
          <w:color w:val="000000"/>
        </w:rPr>
        <w:t>(4)標準運動功能評估 (CHOP INTEND、HINE section 2、HFMSE、RULM、WHO motor milestone、MFM32、6MWT) 錄影之影片。(112/4/1）</w:t>
      </w:r>
    </w:p>
    <w:p w14:paraId="6F4F9ECA" w14:textId="77777777" w:rsidR="00BD776B" w:rsidRDefault="00DF0C24">
      <w:pPr>
        <w:ind w:left="912" w:hanging="386"/>
        <w:rPr>
          <w:rFonts w:ascii="標楷體" w:eastAsia="標楷體" w:hAnsi="標楷體"/>
          <w:color w:val="000000"/>
        </w:rPr>
      </w:pPr>
      <w:r>
        <w:rPr>
          <w:rFonts w:ascii="標楷體" w:eastAsia="標楷體" w:hAnsi="標楷體"/>
          <w:color w:val="000000"/>
        </w:rPr>
        <w:t>3.排除條件：</w:t>
      </w:r>
    </w:p>
    <w:p w14:paraId="5C8BACC8" w14:textId="77777777" w:rsidR="00BD776B" w:rsidRDefault="00DF0C24">
      <w:pPr>
        <w:ind w:left="766"/>
        <w:rPr>
          <w:rFonts w:ascii="標楷體" w:eastAsia="標楷體" w:hAnsi="標楷體"/>
          <w:color w:val="000000"/>
        </w:rPr>
      </w:pPr>
      <w:r>
        <w:rPr>
          <w:rFonts w:ascii="標楷體" w:eastAsia="標楷體" w:hAnsi="標楷體"/>
          <w:color w:val="000000"/>
        </w:rPr>
        <w:t>SMA病友在非急性住院期間，連續30天（含）以上呼吸器的使用且每天超過12小時。</w:t>
      </w:r>
    </w:p>
    <w:p w14:paraId="7570692B" w14:textId="77777777" w:rsidR="00BD776B" w:rsidRDefault="00DF0C24">
      <w:pPr>
        <w:ind w:left="912" w:hanging="386"/>
        <w:rPr>
          <w:rFonts w:ascii="標楷體" w:eastAsia="標楷體" w:hAnsi="標楷體"/>
          <w:color w:val="000000"/>
        </w:rPr>
      </w:pPr>
      <w:r>
        <w:rPr>
          <w:rFonts w:ascii="標楷體" w:eastAsia="標楷體" w:hAnsi="標楷體"/>
          <w:color w:val="000000"/>
        </w:rPr>
        <w:t>4.療效評估方式及時機：</w:t>
      </w:r>
    </w:p>
    <w:p w14:paraId="747F81C4" w14:textId="77777777" w:rsidR="00BD776B" w:rsidRDefault="00DF0C24">
      <w:pPr>
        <w:ind w:left="912" w:hanging="386"/>
        <w:rPr>
          <w:rFonts w:ascii="標楷體" w:eastAsia="標楷體" w:hAnsi="標楷體"/>
          <w:color w:val="000000"/>
        </w:rPr>
      </w:pPr>
      <w:r>
        <w:rPr>
          <w:rFonts w:ascii="標楷體" w:eastAsia="標楷體" w:hAnsi="標楷體"/>
          <w:color w:val="000000"/>
        </w:rPr>
        <w:t>(1)標準運動功能評估時機：</w:t>
      </w:r>
    </w:p>
    <w:p w14:paraId="5AA232D0" w14:textId="77777777" w:rsidR="00BD776B" w:rsidRDefault="00DF0C24">
      <w:pPr>
        <w:ind w:left="1152" w:hanging="386"/>
        <w:rPr>
          <w:rFonts w:ascii="標楷體" w:eastAsia="標楷體" w:hAnsi="標楷體"/>
          <w:color w:val="000000"/>
        </w:rPr>
      </w:pPr>
      <w:r>
        <w:rPr>
          <w:rFonts w:ascii="標楷體" w:eastAsia="標楷體" w:hAnsi="標楷體"/>
          <w:color w:val="000000"/>
        </w:rPr>
        <w:t>I.Nusinersen或 risdiplam治療前。(112/4/1）</w:t>
      </w:r>
    </w:p>
    <w:p w14:paraId="1B844416" w14:textId="546EA7FD" w:rsidR="00BD776B" w:rsidRDefault="00DF0C24">
      <w:pPr>
        <w:ind w:left="1152" w:hanging="386"/>
        <w:rPr>
          <w:rFonts w:ascii="標楷體" w:eastAsia="標楷體" w:hAnsi="標楷體"/>
          <w:color w:val="000000"/>
        </w:rPr>
      </w:pPr>
      <w:r>
        <w:rPr>
          <w:rFonts w:ascii="標楷體" w:eastAsia="標楷體" w:hAnsi="標楷體"/>
          <w:color w:val="000000"/>
        </w:rPr>
        <w:t>II.</w:t>
      </w:r>
      <w:r w:rsidR="00E83CA5" w:rsidRPr="00E83CA5">
        <w:rPr>
          <w:rFonts w:ascii="標楷體" w:eastAsia="標楷體" w:hAnsi="標楷體" w:hint="eastAsia"/>
          <w:color w:val="000000"/>
        </w:rPr>
        <w:t>在4劑 loading doses(0、14、28、63天）後，每4個月給與nusinersen maintain dose 治療前，若使用risdiplam則於開始用藥滿2個月評估一次，之後每4個月評估一次。若於113年8月1日前已依修訂前之給付規定使用risdiplam之病人，於首次重新申請時得滿2個月評估一次，之後每4個月評估一次。(112/4/1、113/8/1）。</w:t>
      </w:r>
    </w:p>
    <w:p w14:paraId="3C34B065" w14:textId="5AAD59F6" w:rsidR="00BD776B" w:rsidRDefault="00DF0C24">
      <w:pPr>
        <w:ind w:left="912" w:hanging="386"/>
        <w:rPr>
          <w:rFonts w:ascii="標楷體" w:eastAsia="標楷體" w:hAnsi="標楷體"/>
          <w:color w:val="000000"/>
        </w:rPr>
      </w:pPr>
      <w:r>
        <w:rPr>
          <w:rFonts w:ascii="標楷體" w:eastAsia="標楷體" w:hAnsi="標楷體"/>
          <w:color w:val="000000"/>
        </w:rPr>
        <w:lastRenderedPageBreak/>
        <w:t>(2)</w:t>
      </w:r>
      <w:r w:rsidR="00E83CA5" w:rsidRPr="00E83CA5">
        <w:rPr>
          <w:rFonts w:ascii="標楷體" w:eastAsia="標楷體" w:hAnsi="標楷體" w:hint="eastAsia"/>
          <w:color w:val="000000"/>
        </w:rPr>
        <w:t>標準運動功能評估：需由提供nusinersen或risdiplam治療之小兒神經專科、神經科醫師選擇下列適合療效評估工具並判定評估結果。須選擇治療前&gt;0分之評估工具（若RULM=0建議使用CHOP INTEND, HFMSE, MFM32）；有獨自行走能力的病人，須做6MWT暨其他兩項運動功能評估。除因不適合該年齡之評估工具外，不能轉換其他評估工具，以利後續評估。(112/4/1、113/8/1）</w:t>
      </w:r>
    </w:p>
    <w:p w14:paraId="4729D7F2" w14:textId="7438F088" w:rsidR="009F6B48" w:rsidRPr="009F6B48" w:rsidRDefault="00DF0C24" w:rsidP="009F6B48">
      <w:pPr>
        <w:ind w:left="1152" w:hanging="386"/>
        <w:rPr>
          <w:rFonts w:ascii="標楷體" w:eastAsia="標楷體" w:hAnsi="標楷體"/>
          <w:color w:val="000000"/>
        </w:rPr>
      </w:pPr>
      <w:r>
        <w:rPr>
          <w:rFonts w:ascii="標楷體" w:eastAsia="標楷體" w:hAnsi="標楷體"/>
          <w:color w:val="000000"/>
        </w:rPr>
        <w:t>Ⅰ.</w:t>
      </w:r>
      <w:r w:rsidR="009F6B48" w:rsidRPr="009F6B48">
        <w:rPr>
          <w:rFonts w:ascii="標楷體" w:eastAsia="標楷體" w:hAnsi="標楷體" w:hint="eastAsia"/>
          <w:color w:val="000000"/>
        </w:rPr>
        <w:t>CHOP INTEND(限用於嬰兒、兒童及RULM為0之第一型、第-二型之病人)(113/8/1）</w:t>
      </w:r>
    </w:p>
    <w:p w14:paraId="2B4E4199" w14:textId="77777777" w:rsidR="009F6B48" w:rsidRPr="009F6B48" w:rsidRDefault="009F6B48" w:rsidP="009F6B48">
      <w:pPr>
        <w:ind w:left="1152" w:hanging="386"/>
        <w:rPr>
          <w:rFonts w:ascii="標楷體" w:eastAsia="標楷體" w:hAnsi="標楷體"/>
          <w:color w:val="000000"/>
        </w:rPr>
      </w:pPr>
      <w:r w:rsidRPr="009F6B48">
        <w:rPr>
          <w:rFonts w:ascii="標楷體" w:eastAsia="標楷體" w:hAnsi="標楷體" w:hint="eastAsia"/>
          <w:color w:val="000000"/>
        </w:rPr>
        <w:t>Ⅱ.HINE section 2(限用於2至24個月大及第一型之病人) (113/8/1）</w:t>
      </w:r>
    </w:p>
    <w:p w14:paraId="74374686" w14:textId="77777777" w:rsidR="009F6B48" w:rsidRPr="009F6B48" w:rsidRDefault="009F6B48" w:rsidP="009F6B48">
      <w:pPr>
        <w:ind w:left="1152" w:hanging="386"/>
        <w:rPr>
          <w:rFonts w:ascii="標楷體" w:eastAsia="標楷體" w:hAnsi="標楷體"/>
          <w:color w:val="000000"/>
        </w:rPr>
      </w:pPr>
      <w:r w:rsidRPr="009F6B48">
        <w:rPr>
          <w:rFonts w:ascii="標楷體" w:eastAsia="標楷體" w:hAnsi="標楷體" w:hint="eastAsia"/>
          <w:color w:val="000000"/>
        </w:rPr>
        <w:t>Ⅲ.HFMSE(限用於2.5歲以上之病人)( 113/8/1）</w:t>
      </w:r>
    </w:p>
    <w:p w14:paraId="07996883" w14:textId="77777777" w:rsidR="009F6B48" w:rsidRPr="009F6B48" w:rsidRDefault="009F6B48" w:rsidP="009F6B48">
      <w:pPr>
        <w:ind w:left="1152" w:hanging="386"/>
        <w:rPr>
          <w:rFonts w:ascii="標楷體" w:eastAsia="標楷體" w:hAnsi="標楷體"/>
          <w:color w:val="000000"/>
        </w:rPr>
      </w:pPr>
      <w:r w:rsidRPr="009F6B48">
        <w:rPr>
          <w:rFonts w:ascii="標楷體" w:eastAsia="標楷體" w:hAnsi="標楷體" w:hint="eastAsia"/>
          <w:color w:val="000000"/>
        </w:rPr>
        <w:t>Ⅳ.RULM(起始治療年紀滿7歲以上病患必選) (112/6/1）</w:t>
      </w:r>
    </w:p>
    <w:p w14:paraId="234B1760" w14:textId="77777777" w:rsidR="009F6B48" w:rsidRPr="009F6B48" w:rsidRDefault="009F6B48" w:rsidP="009F6B48">
      <w:pPr>
        <w:ind w:left="1152" w:hanging="386"/>
        <w:rPr>
          <w:rFonts w:ascii="標楷體" w:eastAsia="標楷體" w:hAnsi="標楷體"/>
          <w:color w:val="000000"/>
        </w:rPr>
      </w:pPr>
      <w:r w:rsidRPr="009F6B48">
        <w:rPr>
          <w:rFonts w:ascii="標楷體" w:eastAsia="標楷體" w:hAnsi="標楷體" w:hint="eastAsia"/>
          <w:color w:val="000000"/>
        </w:rPr>
        <w:t>Ⅴ.WHO motor milestone(限用於嬰兒、兒童及第一型之病人)(113/8/1）</w:t>
      </w:r>
    </w:p>
    <w:p w14:paraId="12CC70AE" w14:textId="77777777" w:rsidR="009F6B48" w:rsidRPr="009F6B48" w:rsidRDefault="009F6B48" w:rsidP="009F6B48">
      <w:pPr>
        <w:ind w:left="1152" w:hanging="386"/>
        <w:rPr>
          <w:rFonts w:ascii="標楷體" w:eastAsia="標楷體" w:hAnsi="標楷體"/>
          <w:color w:val="000000"/>
        </w:rPr>
      </w:pPr>
      <w:r w:rsidRPr="009F6B48">
        <w:rPr>
          <w:rFonts w:ascii="標楷體" w:eastAsia="標楷體" w:hAnsi="標楷體" w:hint="eastAsia"/>
          <w:color w:val="000000"/>
        </w:rPr>
        <w:t>Ⅵ.MFM32(限用於2.5歲以上之病人)(112/4/1、113/8/1)</w:t>
      </w:r>
    </w:p>
    <w:p w14:paraId="7C223C66" w14:textId="480B7C88" w:rsidR="00BD776B" w:rsidRDefault="009F6B48" w:rsidP="009F6B48">
      <w:pPr>
        <w:ind w:left="1152" w:hanging="386"/>
        <w:rPr>
          <w:rFonts w:ascii="標楷體" w:eastAsia="標楷體" w:hAnsi="標楷體"/>
          <w:color w:val="000000"/>
        </w:rPr>
      </w:pPr>
      <w:r w:rsidRPr="009F6B48">
        <w:rPr>
          <w:rFonts w:ascii="標楷體" w:eastAsia="標楷體" w:hAnsi="標楷體" w:hint="eastAsia"/>
          <w:color w:val="000000"/>
        </w:rPr>
        <w:t>Ⅶ.6MWT(若可行走之病人必選)(112/4/1、113/8/1）</w:t>
      </w:r>
    </w:p>
    <w:p w14:paraId="4874152F" w14:textId="77777777" w:rsidR="00BD776B" w:rsidRDefault="00DF0C24">
      <w:pPr>
        <w:ind w:left="912" w:hanging="386"/>
        <w:rPr>
          <w:rFonts w:ascii="標楷體" w:eastAsia="標楷體" w:hAnsi="標楷體"/>
          <w:color w:val="000000"/>
        </w:rPr>
      </w:pPr>
      <w:r>
        <w:rPr>
          <w:rFonts w:ascii="標楷體" w:eastAsia="標楷體" w:hAnsi="標楷體"/>
          <w:color w:val="000000"/>
        </w:rPr>
        <w:t>(3)醫師提交接受 nusinersen 或 risdiplam治療之標準運動功能評估錄影之影片。(112/4/1）</w:t>
      </w:r>
    </w:p>
    <w:p w14:paraId="285D76EE" w14:textId="77777777" w:rsidR="00BD776B" w:rsidRDefault="00DF0C24">
      <w:pPr>
        <w:ind w:left="912" w:hanging="386"/>
        <w:rPr>
          <w:rFonts w:ascii="標楷體" w:eastAsia="標楷體" w:hAnsi="標楷體"/>
          <w:color w:val="000000"/>
        </w:rPr>
      </w:pPr>
      <w:r>
        <w:rPr>
          <w:rFonts w:ascii="標楷體" w:eastAsia="標楷體" w:hAnsi="標楷體"/>
          <w:color w:val="000000"/>
        </w:rPr>
        <w:t>(4)醫師提交接受 nusinersen或 risdiplam 治療之SMA 病友，每年的年度治療報告書包括標準運動功能評估項目、內容及錄影之影片。(112/4/1）</w:t>
      </w:r>
    </w:p>
    <w:p w14:paraId="24A84D8C" w14:textId="77777777" w:rsidR="00BD776B" w:rsidRDefault="00DF0C24">
      <w:pPr>
        <w:ind w:left="912" w:hanging="386"/>
        <w:rPr>
          <w:rFonts w:ascii="標楷體" w:eastAsia="標楷體" w:hAnsi="標楷體"/>
          <w:color w:val="000000"/>
        </w:rPr>
      </w:pPr>
      <w:r>
        <w:rPr>
          <w:rFonts w:ascii="標楷體" w:eastAsia="標楷體" w:hAnsi="標楷體"/>
          <w:color w:val="000000"/>
        </w:rPr>
        <w:t>(5)標準運動功能評估應由受過訓練之專科醫師，包含：小兒神經科、神經科醫師、復健科醫師或物理治療師執行。</w:t>
      </w:r>
    </w:p>
    <w:p w14:paraId="67B3B977" w14:textId="77777777" w:rsidR="00BD776B" w:rsidRDefault="00DF0C24">
      <w:pPr>
        <w:ind w:left="912" w:hanging="386"/>
        <w:rPr>
          <w:rFonts w:ascii="標楷體" w:eastAsia="標楷體" w:hAnsi="標楷體"/>
          <w:color w:val="000000"/>
        </w:rPr>
      </w:pPr>
      <w:r>
        <w:rPr>
          <w:rFonts w:ascii="標楷體" w:eastAsia="標楷體" w:hAnsi="標楷體"/>
          <w:color w:val="000000"/>
        </w:rPr>
        <w:t>(6)醫師提交接受nusinersen治療之SMA病友所有標準運動功能評估錄影之影片，必須包含所有可評估項目及內容。</w:t>
      </w:r>
    </w:p>
    <w:p w14:paraId="74DF009D" w14:textId="77777777" w:rsidR="00BD776B" w:rsidRDefault="00DF0C24">
      <w:pPr>
        <w:ind w:left="912" w:hanging="386"/>
        <w:rPr>
          <w:rFonts w:ascii="標楷體" w:eastAsia="標楷體" w:hAnsi="標楷體"/>
          <w:color w:val="000000"/>
        </w:rPr>
      </w:pPr>
      <w:r>
        <w:rPr>
          <w:rFonts w:ascii="標楷體" w:eastAsia="標楷體" w:hAnsi="標楷體"/>
          <w:color w:val="000000"/>
        </w:rPr>
        <w:t>5.停藥時機（下列評估需在 SMA 病友非急性住院期間執行）：用藥後追蹤至少2項標準運動功能評估(CHOP INTEND、HINE section 2、HFMSE、RULM、WHO motor milestone、MFM32、6MWT)，兩項評估分數每次均低於起始治療前該項標準運動功能之第1次評估分數。(112/4/1）</w:t>
      </w:r>
    </w:p>
    <w:p w14:paraId="2A2786F0" w14:textId="77777777" w:rsidR="00BD776B" w:rsidRDefault="00DF0C24">
      <w:pPr>
        <w:ind w:left="912" w:hanging="386"/>
        <w:rPr>
          <w:rFonts w:ascii="標楷體" w:eastAsia="標楷體" w:hAnsi="標楷體"/>
          <w:color w:val="000000"/>
        </w:rPr>
      </w:pPr>
      <w:r>
        <w:rPr>
          <w:rFonts w:ascii="標楷體" w:eastAsia="標楷體" w:hAnsi="標楷體"/>
          <w:color w:val="000000"/>
        </w:rPr>
        <w:t>6.使用本類藥品需完成個案系統登錄，亦需於療程結束或停止使用該藥品後，於此系統登錄結案。(109/10/1)</w:t>
      </w:r>
    </w:p>
    <w:p w14:paraId="3F98DD12" w14:textId="77777777" w:rsidR="00F86AA3" w:rsidRDefault="00DF0C24" w:rsidP="00F86AA3">
      <w:pPr>
        <w:ind w:left="912" w:hanging="386"/>
        <w:rPr>
          <w:rFonts w:ascii="標楷體" w:eastAsia="標楷體" w:hAnsi="標楷體"/>
          <w:color w:val="000000"/>
        </w:rPr>
      </w:pPr>
      <w:r>
        <w:rPr>
          <w:rFonts w:ascii="標楷體" w:eastAsia="標楷體" w:hAnsi="標楷體"/>
          <w:color w:val="000000"/>
        </w:rPr>
        <w:t>7.</w:t>
      </w:r>
      <w:r w:rsidR="00535CF3" w:rsidRPr="00535CF3">
        <w:rPr>
          <w:rFonts w:ascii="標楷體" w:eastAsia="標楷體" w:hAnsi="標楷體" w:hint="eastAsia"/>
          <w:color w:val="000000"/>
        </w:rPr>
        <w:t>Nusinersen或risdiplam或onasemnogene abeparvovec限擇一使用，且不得互換。惟使用nusinersen或risdiplam後出現嚴重不耐受反應，經特殊專案審查核准後，此兩種藥物得轉換，以一次為限。轉換時應考慮二者藥物動力學及半衰期之差異，注意替換後開始使用時間與前次最後使用日期。(112/4/1、112/8/1、113/8/1)</w:t>
      </w:r>
    </w:p>
    <w:p w14:paraId="79A48FDA" w14:textId="54E3BB64" w:rsidR="00535CF3" w:rsidRDefault="00F86AA3" w:rsidP="00F86AA3">
      <w:pPr>
        <w:ind w:left="1237" w:hanging="386"/>
        <w:rPr>
          <w:rFonts w:ascii="標楷體" w:eastAsia="標楷體" w:hAnsi="標楷體"/>
          <w:color w:val="000000"/>
        </w:rPr>
      </w:pPr>
      <w:r w:rsidRPr="00F86AA3">
        <w:rPr>
          <w:rFonts w:ascii="標楷體" w:eastAsia="標楷體" w:hAnsi="標楷體" w:hint="eastAsia"/>
          <w:color w:val="000000"/>
        </w:rPr>
        <w:t>註：建議從nusinersen轉換至risdiplam，至少間隔135天；risdiplam轉換至nusinersen，應至少間隔50小時。</w:t>
      </w:r>
    </w:p>
    <w:p w14:paraId="7C21FD13" w14:textId="77777777" w:rsidR="00BD776B" w:rsidRDefault="00DF0C24">
      <w:pPr>
        <w:ind w:left="567" w:hanging="386"/>
        <w:rPr>
          <w:rFonts w:ascii="標楷體" w:eastAsia="標楷體" w:hAnsi="標楷體"/>
          <w:color w:val="000000"/>
        </w:rPr>
      </w:pPr>
      <w:r>
        <w:rPr>
          <w:rFonts w:ascii="標楷體" w:eastAsia="標楷體" w:hAnsi="標楷體"/>
          <w:color w:val="000000"/>
        </w:rPr>
        <w:t>1.6.5.Galcanezumab(如Emgality)、fremanezumab(如Ajovy)：(110/3/1、111/3/1)</w:t>
      </w:r>
    </w:p>
    <w:p w14:paraId="3EF6B0DF" w14:textId="77777777" w:rsidR="00BD776B" w:rsidRDefault="00DF0C24">
      <w:pPr>
        <w:ind w:left="811" w:hanging="245"/>
        <w:rPr>
          <w:rFonts w:ascii="標楷體" w:eastAsia="標楷體" w:hAnsi="標楷體"/>
          <w:color w:val="000000"/>
        </w:rPr>
      </w:pPr>
      <w:r>
        <w:rPr>
          <w:rFonts w:ascii="標楷體" w:eastAsia="標楷體" w:hAnsi="標楷體"/>
          <w:color w:val="000000"/>
        </w:rPr>
        <w:t>慢性偏頭痛之預防性治療：</w:t>
      </w:r>
    </w:p>
    <w:p w14:paraId="18EC354E" w14:textId="77777777" w:rsidR="00BD776B" w:rsidRDefault="00DF0C24">
      <w:pPr>
        <w:ind w:left="811" w:hanging="245"/>
        <w:rPr>
          <w:rFonts w:ascii="標楷體" w:eastAsia="標楷體" w:hAnsi="標楷體"/>
          <w:color w:val="000000"/>
        </w:rPr>
      </w:pPr>
      <w:r>
        <w:rPr>
          <w:rFonts w:ascii="標楷體" w:eastAsia="標楷體" w:hAnsi="標楷體"/>
          <w:color w:val="000000"/>
        </w:rPr>
        <w:t>1.需經事前審查核准後使用。</w:t>
      </w:r>
    </w:p>
    <w:p w14:paraId="38C5A018" w14:textId="77777777" w:rsidR="00BD776B" w:rsidRDefault="00DF0C24">
      <w:pPr>
        <w:ind w:left="811" w:hanging="245"/>
        <w:rPr>
          <w:rFonts w:ascii="標楷體" w:eastAsia="標楷體" w:hAnsi="標楷體"/>
          <w:color w:val="000000"/>
        </w:rPr>
      </w:pPr>
      <w:r>
        <w:rPr>
          <w:rFonts w:ascii="標楷體" w:eastAsia="標楷體" w:hAnsi="標楷體"/>
          <w:color w:val="000000"/>
        </w:rPr>
        <w:t>2.限神經內科或神經外科專科醫師診斷處方，並不得攜回注射。</w:t>
      </w:r>
    </w:p>
    <w:p w14:paraId="109B7963" w14:textId="77777777" w:rsidR="00BD776B" w:rsidRDefault="00DF0C24">
      <w:pPr>
        <w:ind w:left="811" w:hanging="245"/>
        <w:rPr>
          <w:rFonts w:ascii="標楷體" w:eastAsia="標楷體" w:hAnsi="標楷體"/>
          <w:color w:val="000000"/>
        </w:rPr>
      </w:pPr>
      <w:r>
        <w:rPr>
          <w:rFonts w:ascii="標楷體" w:eastAsia="標楷體" w:hAnsi="標楷體"/>
          <w:color w:val="000000"/>
        </w:rPr>
        <w:t>3.需符合慢性偏頭痛診斷：至少有3個月時間，每個月≧15天，每次持續4小時以上，且其中符合偏頭痛診斷的發作每個月≧8天。</w:t>
      </w:r>
    </w:p>
    <w:p w14:paraId="378C7513" w14:textId="77777777" w:rsidR="00BD776B" w:rsidRDefault="00DF0C24">
      <w:pPr>
        <w:ind w:left="811" w:hanging="245"/>
        <w:rPr>
          <w:rFonts w:ascii="標楷體" w:eastAsia="標楷體" w:hAnsi="標楷體"/>
          <w:color w:val="000000"/>
        </w:rPr>
      </w:pPr>
      <w:r>
        <w:rPr>
          <w:rFonts w:ascii="標楷體" w:eastAsia="標楷體" w:hAnsi="標楷體"/>
          <w:color w:val="000000"/>
        </w:rPr>
        <w:t>4.患者需經3種（含）以上偏頭痛預防用藥物（依據台灣頭痛學會發表之慢性偏頭痛預防性藥物治療準則之建議用藥，至少包括topiramate）治療無顯著療</w:t>
      </w:r>
      <w:r>
        <w:rPr>
          <w:rFonts w:ascii="標楷體" w:eastAsia="標楷體" w:hAnsi="標楷體"/>
          <w:color w:val="000000"/>
        </w:rPr>
        <w:lastRenderedPageBreak/>
        <w:t>效，或無法忍受其副作用</w:t>
      </w:r>
    </w:p>
    <w:p w14:paraId="227436E4" w14:textId="77777777" w:rsidR="00BD776B" w:rsidRDefault="00DF0C24">
      <w:pPr>
        <w:ind w:left="811" w:hanging="245"/>
        <w:rPr>
          <w:rFonts w:ascii="標楷體" w:eastAsia="標楷體" w:hAnsi="標楷體"/>
          <w:color w:val="000000"/>
        </w:rPr>
      </w:pPr>
      <w:r>
        <w:rPr>
          <w:rFonts w:ascii="標楷體" w:eastAsia="標楷體" w:hAnsi="標楷體"/>
          <w:color w:val="000000"/>
        </w:rPr>
        <w:t>5. Galcanezumab：第一次注射240mg (連續兩次皮下注射，每次120mg)做為負荷劑量(loading dose)，之後每月皮下注射120 mg的劑量；fremanezumab為每月注射一次225 mg，或每3個月注射一次675 mg。</w:t>
      </w:r>
    </w:p>
    <w:p w14:paraId="5F6A8C43" w14:textId="77777777" w:rsidR="00BD776B" w:rsidRDefault="00DF0C24">
      <w:pPr>
        <w:ind w:left="811" w:hanging="245"/>
        <w:rPr>
          <w:rFonts w:ascii="標楷體" w:eastAsia="標楷體" w:hAnsi="標楷體"/>
          <w:color w:val="000000"/>
        </w:rPr>
      </w:pPr>
      <w:r>
        <w:rPr>
          <w:rFonts w:ascii="標楷體" w:eastAsia="標楷體" w:hAnsi="標楷體"/>
          <w:color w:val="000000"/>
        </w:rPr>
        <w:t>6.首次申請給付3個月療程(galcanezumab共4支； fremanezumab共3支)，3個月療程治療之後，評估每月頭痛天數，需比治療前降低50%以上，方可持續給付。</w:t>
      </w:r>
    </w:p>
    <w:p w14:paraId="1593D277" w14:textId="77777777" w:rsidR="00BD776B" w:rsidRDefault="00DF0C24">
      <w:pPr>
        <w:ind w:left="811" w:hanging="245"/>
        <w:rPr>
          <w:rFonts w:ascii="標楷體" w:eastAsia="標楷體" w:hAnsi="標楷體"/>
          <w:color w:val="000000"/>
        </w:rPr>
      </w:pPr>
      <w:r>
        <w:rPr>
          <w:rFonts w:ascii="標楷體" w:eastAsia="標楷體" w:hAnsi="標楷體"/>
          <w:color w:val="000000"/>
        </w:rPr>
        <w:t>7.接續得申請3個月療程，每月施打一次。療程完畢後半年內不得再次申請。</w:t>
      </w:r>
    </w:p>
    <w:p w14:paraId="62FDD6D3" w14:textId="77777777" w:rsidR="00BD776B" w:rsidRDefault="00DF0C24">
      <w:pPr>
        <w:ind w:left="811" w:hanging="245"/>
        <w:rPr>
          <w:rFonts w:ascii="標楷體" w:eastAsia="標楷體" w:hAnsi="標楷體"/>
          <w:color w:val="000000"/>
        </w:rPr>
      </w:pPr>
      <w:r>
        <w:rPr>
          <w:rFonts w:ascii="標楷體" w:eastAsia="標楷體" w:hAnsi="標楷體"/>
          <w:color w:val="000000"/>
        </w:rPr>
        <w:t>8.若病況再度符合慢性偏頭痛診斷，得再次申請3個月療程時，需於病歷記錄治療後相關臨床資料，包括頭痛天數。</w:t>
      </w:r>
    </w:p>
    <w:p w14:paraId="3F275450" w14:textId="77777777" w:rsidR="00BD776B" w:rsidRDefault="00DF0C24">
      <w:pPr>
        <w:ind w:left="811" w:hanging="245"/>
        <w:rPr>
          <w:rFonts w:ascii="標楷體" w:eastAsia="標楷體" w:hAnsi="標楷體"/>
          <w:color w:val="000000"/>
        </w:rPr>
      </w:pPr>
      <w:r>
        <w:rPr>
          <w:rFonts w:ascii="標楷體" w:eastAsia="標楷體" w:hAnsi="標楷體"/>
          <w:color w:val="000000"/>
        </w:rPr>
        <w:t>9. CGRP(calcitonin gene-related peptide)單株抗體製劑僅能擇一使用且不得互換，並不得與Botox併用。</w:t>
      </w:r>
    </w:p>
    <w:p w14:paraId="5C9C79AF" w14:textId="77777777" w:rsidR="007C5F36" w:rsidRPr="00042994" w:rsidRDefault="00DF0C24" w:rsidP="007C5F36">
      <w:pPr>
        <w:snapToGrid w:val="0"/>
        <w:spacing w:line="400" w:lineRule="exact"/>
        <w:ind w:left="360" w:hangingChars="150" w:hanging="360"/>
        <w:rPr>
          <w:rFonts w:ascii="標楷體" w:eastAsia="標楷體" w:hAnsi="標楷體"/>
          <w:kern w:val="2"/>
          <w:szCs w:val="24"/>
        </w:rPr>
      </w:pPr>
      <w:r>
        <w:rPr>
          <w:rFonts w:ascii="標楷體" w:eastAsia="標楷體" w:hAnsi="標楷體"/>
          <w:color w:val="000000"/>
        </w:rPr>
        <w:t xml:space="preserve">  </w:t>
      </w:r>
      <w:bookmarkStart w:id="0" w:name="_Hlk196313235"/>
      <w:r w:rsidR="007C5F36" w:rsidRPr="00042994">
        <w:rPr>
          <w:rFonts w:ascii="標楷體" w:eastAsia="標楷體" w:hAnsi="標楷體"/>
          <w:kern w:val="2"/>
          <w:szCs w:val="24"/>
        </w:rPr>
        <w:t>1.6.6.Patisiran（如Onpattro）、vutrisiran（如Amvuttra）：（112/5/1、</w:t>
      </w:r>
      <w:r w:rsidR="007C5F36" w:rsidRPr="00042994">
        <w:rPr>
          <w:rFonts w:ascii="標楷體" w:eastAsia="標楷體" w:hAnsi="標楷體" w:hint="eastAsia"/>
          <w:kern w:val="2"/>
          <w:szCs w:val="24"/>
        </w:rPr>
        <w:t>114</w:t>
      </w:r>
      <w:r w:rsidR="007C5F36" w:rsidRPr="00042994">
        <w:rPr>
          <w:rFonts w:ascii="標楷體" w:eastAsia="標楷體" w:hAnsi="標楷體"/>
          <w:kern w:val="2"/>
          <w:szCs w:val="24"/>
        </w:rPr>
        <w:t>/</w:t>
      </w:r>
      <w:r w:rsidR="007C5F36" w:rsidRPr="00042994">
        <w:rPr>
          <w:rFonts w:ascii="標楷體" w:eastAsia="標楷體" w:hAnsi="標楷體" w:hint="eastAsia"/>
          <w:kern w:val="2"/>
          <w:szCs w:val="24"/>
        </w:rPr>
        <w:t>5</w:t>
      </w:r>
      <w:r w:rsidR="007C5F36" w:rsidRPr="00042994">
        <w:rPr>
          <w:rFonts w:ascii="標楷體" w:eastAsia="標楷體" w:hAnsi="標楷體"/>
          <w:kern w:val="2"/>
          <w:szCs w:val="24"/>
        </w:rPr>
        <w:t>/1）</w:t>
      </w:r>
    </w:p>
    <w:p w14:paraId="79F51958" w14:textId="77777777" w:rsidR="007C5F36" w:rsidRPr="00042994" w:rsidRDefault="007C5F36" w:rsidP="007C5F36">
      <w:pPr>
        <w:suppressAutoHyphens w:val="0"/>
        <w:autoSpaceDN/>
        <w:snapToGrid w:val="0"/>
        <w:spacing w:line="400" w:lineRule="exact"/>
        <w:ind w:leftChars="313" w:left="991" w:hangingChars="100" w:hanging="240"/>
        <w:textAlignment w:val="auto"/>
        <w:rPr>
          <w:rFonts w:ascii="標楷體" w:eastAsia="標楷體" w:hAnsi="標楷體"/>
          <w:kern w:val="2"/>
          <w:szCs w:val="24"/>
        </w:rPr>
      </w:pPr>
      <w:r w:rsidRPr="00042994">
        <w:rPr>
          <w:rFonts w:ascii="標楷體" w:eastAsia="標楷體" w:hAnsi="標楷體"/>
          <w:kern w:val="2"/>
          <w:szCs w:val="24"/>
        </w:rPr>
        <w:t xml:space="preserve">1.限用於確診為衛生福利部國民健康署認定之TTR （transthyretin）家族性澱粉樣多發性神經病變（Familial Amyloidotic Polyneuropathy）之成人患者，並需同時符合下列條件者使用： </w:t>
      </w:r>
    </w:p>
    <w:p w14:paraId="4ADA3EF4" w14:textId="77777777" w:rsidR="007C5F36" w:rsidRPr="00042994" w:rsidRDefault="007C5F36" w:rsidP="007C5F36">
      <w:pPr>
        <w:suppressAutoHyphens w:val="0"/>
        <w:autoSpaceDN/>
        <w:snapToGrid w:val="0"/>
        <w:spacing w:line="400" w:lineRule="exact"/>
        <w:ind w:leftChars="322" w:left="1133" w:hangingChars="150" w:hanging="360"/>
        <w:textAlignment w:val="auto"/>
        <w:rPr>
          <w:rFonts w:ascii="標楷體" w:eastAsia="標楷體" w:hAnsi="標楷體"/>
          <w:kern w:val="2"/>
          <w:szCs w:val="24"/>
        </w:rPr>
      </w:pPr>
      <w:r w:rsidRPr="00042994">
        <w:rPr>
          <w:rFonts w:ascii="標楷體" w:eastAsia="標楷體" w:hAnsi="標楷體"/>
          <w:kern w:val="2"/>
          <w:szCs w:val="24"/>
        </w:rPr>
        <w:t>（1）含vutrisiran成分藥品用於神經病變的疾病嚴重度限於第一、二期的病人（</w:t>
      </w:r>
      <w:r w:rsidRPr="00042994">
        <w:rPr>
          <w:rFonts w:ascii="標楷體" w:eastAsia="標楷體" w:hAnsi="標楷體" w:hint="eastAsia"/>
          <w:kern w:val="2"/>
          <w:szCs w:val="24"/>
        </w:rPr>
        <w:t>114</w:t>
      </w:r>
      <w:r w:rsidRPr="00042994">
        <w:rPr>
          <w:rFonts w:ascii="標楷體" w:eastAsia="標楷體" w:hAnsi="標楷體"/>
          <w:kern w:val="2"/>
          <w:szCs w:val="24"/>
        </w:rPr>
        <w:t>/</w:t>
      </w:r>
      <w:r w:rsidRPr="00042994">
        <w:rPr>
          <w:rFonts w:ascii="標楷體" w:eastAsia="標楷體" w:hAnsi="標楷體" w:hint="eastAsia"/>
          <w:kern w:val="2"/>
          <w:szCs w:val="24"/>
        </w:rPr>
        <w:t>5</w:t>
      </w:r>
      <w:r w:rsidRPr="00042994">
        <w:rPr>
          <w:rFonts w:ascii="標楷體" w:eastAsia="標楷體" w:hAnsi="標楷體"/>
          <w:kern w:val="2"/>
          <w:szCs w:val="24"/>
        </w:rPr>
        <w:t>/1）：</w:t>
      </w:r>
    </w:p>
    <w:p w14:paraId="31ADE564" w14:textId="77777777" w:rsidR="007C5F36" w:rsidRPr="00042994" w:rsidRDefault="007C5F36" w:rsidP="007C5F36">
      <w:pPr>
        <w:suppressAutoHyphens w:val="0"/>
        <w:autoSpaceDN/>
        <w:snapToGrid w:val="0"/>
        <w:spacing w:line="400" w:lineRule="exact"/>
        <w:ind w:leftChars="440" w:left="1416" w:hangingChars="150" w:hanging="360"/>
        <w:textAlignment w:val="auto"/>
        <w:rPr>
          <w:rFonts w:ascii="標楷體" w:eastAsia="標楷體" w:hAnsi="標楷體"/>
          <w:kern w:val="2"/>
          <w:szCs w:val="24"/>
        </w:rPr>
      </w:pPr>
      <w:r w:rsidRPr="00042994">
        <w:rPr>
          <w:rFonts w:ascii="標楷體" w:eastAsia="標楷體" w:hAnsi="標楷體"/>
          <w:kern w:val="2"/>
          <w:szCs w:val="24"/>
        </w:rPr>
        <w:t>Ⅰ.polyneuropathy disability [PND] stage Ⅱ、Ⅲa~Ⅲb，或</w:t>
      </w:r>
    </w:p>
    <w:p w14:paraId="7746037E" w14:textId="77777777" w:rsidR="007C5F36" w:rsidRPr="00042994" w:rsidRDefault="007C5F36" w:rsidP="007C5F36">
      <w:pPr>
        <w:suppressAutoHyphens w:val="0"/>
        <w:autoSpaceDN/>
        <w:snapToGrid w:val="0"/>
        <w:spacing w:line="400" w:lineRule="exact"/>
        <w:ind w:leftChars="381" w:left="1274" w:hangingChars="150" w:hanging="360"/>
        <w:textAlignment w:val="auto"/>
        <w:rPr>
          <w:rFonts w:ascii="標楷體" w:eastAsia="標楷體" w:hAnsi="標楷體"/>
          <w:kern w:val="2"/>
          <w:szCs w:val="24"/>
        </w:rPr>
      </w:pPr>
      <w:r w:rsidRPr="00042994">
        <w:rPr>
          <w:rFonts w:ascii="標楷體" w:eastAsia="標楷體" w:hAnsi="標楷體"/>
          <w:kern w:val="2"/>
          <w:szCs w:val="24"/>
        </w:rPr>
        <w:t>Ⅱ.familial amyloidotic polyneuropathy [FAP] stage Ⅰ、Ⅱ。</w:t>
      </w:r>
    </w:p>
    <w:p w14:paraId="5400F4A1"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（2）含patisiran成分藥品用於神經病變的疾病嚴重度限於第二期的病人：</w:t>
      </w:r>
    </w:p>
    <w:p w14:paraId="43B5A811" w14:textId="77777777" w:rsidR="007C5F36" w:rsidRPr="00042994" w:rsidRDefault="007C5F36" w:rsidP="007C5F36">
      <w:pPr>
        <w:suppressAutoHyphens w:val="0"/>
        <w:autoSpaceDN/>
        <w:snapToGrid w:val="0"/>
        <w:spacing w:line="400" w:lineRule="exact"/>
        <w:ind w:leftChars="381" w:left="1274" w:hangingChars="150" w:hanging="360"/>
        <w:textAlignment w:val="auto"/>
        <w:rPr>
          <w:rFonts w:ascii="標楷體" w:eastAsia="標楷體" w:hAnsi="標楷體"/>
          <w:kern w:val="2"/>
          <w:szCs w:val="24"/>
        </w:rPr>
      </w:pPr>
      <w:r w:rsidRPr="00042994">
        <w:rPr>
          <w:rFonts w:ascii="標楷體" w:eastAsia="標楷體" w:hAnsi="標楷體"/>
          <w:kern w:val="2"/>
          <w:szCs w:val="24"/>
        </w:rPr>
        <w:t>Ⅰ.polyneuropathy disability [PND] stage Ⅲa~Ⅲb，或</w:t>
      </w:r>
    </w:p>
    <w:p w14:paraId="2AFD7D60" w14:textId="77777777" w:rsidR="007C5F36" w:rsidRPr="00042994" w:rsidRDefault="007C5F36" w:rsidP="007C5F36">
      <w:pPr>
        <w:suppressAutoHyphens w:val="0"/>
        <w:autoSpaceDN/>
        <w:snapToGrid w:val="0"/>
        <w:spacing w:line="400" w:lineRule="exact"/>
        <w:ind w:leftChars="381" w:left="1274" w:hangingChars="150" w:hanging="360"/>
        <w:textAlignment w:val="auto"/>
        <w:rPr>
          <w:rFonts w:ascii="標楷體" w:eastAsia="標楷體" w:hAnsi="標楷體"/>
          <w:kern w:val="2"/>
          <w:szCs w:val="24"/>
        </w:rPr>
      </w:pPr>
      <w:r w:rsidRPr="00042994">
        <w:rPr>
          <w:rFonts w:ascii="標楷體" w:eastAsia="標楷體" w:hAnsi="標楷體"/>
          <w:kern w:val="2"/>
          <w:szCs w:val="24"/>
        </w:rPr>
        <w:t>Ⅱ.familial amyloidotic polyneuropathy [FAP] stage Ⅱ。</w:t>
      </w:r>
    </w:p>
    <w:p w14:paraId="59BFA69D"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（3）神經傳導檢查符合多發性神經病變（</w:t>
      </w:r>
      <w:r w:rsidRPr="00042994">
        <w:rPr>
          <w:rFonts w:ascii="標楷體" w:eastAsia="標楷體" w:hAnsi="標楷體" w:hint="eastAsia"/>
          <w:kern w:val="2"/>
          <w:szCs w:val="24"/>
        </w:rPr>
        <w:t>114</w:t>
      </w:r>
      <w:r w:rsidRPr="00042994">
        <w:rPr>
          <w:rFonts w:ascii="標楷體" w:eastAsia="標楷體" w:hAnsi="標楷體"/>
          <w:kern w:val="2"/>
          <w:szCs w:val="24"/>
        </w:rPr>
        <w:t>/</w:t>
      </w:r>
      <w:r w:rsidRPr="00042994">
        <w:rPr>
          <w:rFonts w:ascii="標楷體" w:eastAsia="標楷體" w:hAnsi="標楷體" w:hint="eastAsia"/>
          <w:kern w:val="2"/>
          <w:szCs w:val="24"/>
        </w:rPr>
        <w:t>5</w:t>
      </w:r>
      <w:r w:rsidRPr="00042994">
        <w:rPr>
          <w:rFonts w:ascii="標楷體" w:eastAsia="標楷體" w:hAnsi="標楷體"/>
          <w:kern w:val="2"/>
          <w:szCs w:val="24"/>
        </w:rPr>
        <w:t>/1）。</w:t>
      </w:r>
    </w:p>
    <w:p w14:paraId="2867AD9A"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（4）臨床症狀符合肢體末端麻木、無力、感覺異常、姿勢性低血壓或其它自律神經異常的症狀（</w:t>
      </w:r>
      <w:r w:rsidRPr="00042994">
        <w:rPr>
          <w:rFonts w:ascii="標楷體" w:eastAsia="標楷體" w:hAnsi="標楷體" w:hint="eastAsia"/>
          <w:kern w:val="2"/>
          <w:szCs w:val="24"/>
        </w:rPr>
        <w:t>114</w:t>
      </w:r>
      <w:r w:rsidRPr="00042994">
        <w:rPr>
          <w:rFonts w:ascii="標楷體" w:eastAsia="標楷體" w:hAnsi="標楷體"/>
          <w:kern w:val="2"/>
          <w:szCs w:val="24"/>
        </w:rPr>
        <w:t>/</w:t>
      </w:r>
      <w:r w:rsidRPr="00042994">
        <w:rPr>
          <w:rFonts w:ascii="標楷體" w:eastAsia="標楷體" w:hAnsi="標楷體" w:hint="eastAsia"/>
          <w:kern w:val="2"/>
          <w:szCs w:val="24"/>
        </w:rPr>
        <w:t>5</w:t>
      </w:r>
      <w:r w:rsidRPr="00042994">
        <w:rPr>
          <w:rFonts w:ascii="標楷體" w:eastAsia="標楷體" w:hAnsi="標楷體"/>
          <w:kern w:val="2"/>
          <w:szCs w:val="24"/>
        </w:rPr>
        <w:t>/1）。</w:t>
      </w:r>
    </w:p>
    <w:p w14:paraId="2C7BBB3F"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（5）神經理學檢查符合週邊神經病變的徵候：四肢肢體末端運動及感覺異常、深部肌腱反射低下（</w:t>
      </w:r>
      <w:r w:rsidRPr="00042994">
        <w:rPr>
          <w:rFonts w:ascii="標楷體" w:eastAsia="標楷體" w:hAnsi="標楷體" w:hint="eastAsia"/>
          <w:kern w:val="2"/>
          <w:szCs w:val="24"/>
        </w:rPr>
        <w:t>114</w:t>
      </w:r>
      <w:r w:rsidRPr="00042994">
        <w:rPr>
          <w:rFonts w:ascii="標楷體" w:eastAsia="標楷體" w:hAnsi="標楷體"/>
          <w:kern w:val="2"/>
          <w:szCs w:val="24"/>
        </w:rPr>
        <w:t>/</w:t>
      </w:r>
      <w:r w:rsidRPr="00042994">
        <w:rPr>
          <w:rFonts w:ascii="標楷體" w:eastAsia="標楷體" w:hAnsi="標楷體" w:hint="eastAsia"/>
          <w:kern w:val="2"/>
          <w:szCs w:val="24"/>
        </w:rPr>
        <w:t>5</w:t>
      </w:r>
      <w:r w:rsidRPr="00042994">
        <w:rPr>
          <w:rFonts w:ascii="標楷體" w:eastAsia="標楷體" w:hAnsi="標楷體"/>
          <w:kern w:val="2"/>
          <w:szCs w:val="24"/>
        </w:rPr>
        <w:t>/1）。</w:t>
      </w:r>
    </w:p>
    <w:p w14:paraId="21CB329C"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（6）無嚴重心衰竭症狀（定義依紐約心臟協會衰竭功能分級為第3級或第4級）。</w:t>
      </w:r>
    </w:p>
    <w:p w14:paraId="0B615288"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（7）未曾接受過肝移植。</w:t>
      </w:r>
    </w:p>
    <w:p w14:paraId="2FA7E64D"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（8）不得與其他RNAi及TTR穩定劑合併使用於治療hATTR。</w:t>
      </w:r>
    </w:p>
    <w:p w14:paraId="573AE8F8"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（9）開始治療年齡未滿76歲者。</w:t>
      </w:r>
    </w:p>
    <w:p w14:paraId="0A085980" w14:textId="77777777" w:rsidR="007C5F36" w:rsidRPr="00042994" w:rsidRDefault="007C5F36" w:rsidP="007C5F36">
      <w:pPr>
        <w:suppressAutoHyphens w:val="0"/>
        <w:autoSpaceDN/>
        <w:snapToGrid w:val="0"/>
        <w:spacing w:line="400" w:lineRule="exact"/>
        <w:ind w:leftChars="254" w:left="850" w:hangingChars="100" w:hanging="240"/>
        <w:textAlignment w:val="auto"/>
        <w:rPr>
          <w:rFonts w:ascii="標楷體" w:eastAsia="標楷體" w:hAnsi="標楷體"/>
          <w:kern w:val="2"/>
          <w:szCs w:val="24"/>
        </w:rPr>
      </w:pPr>
      <w:r w:rsidRPr="00042994">
        <w:rPr>
          <w:rFonts w:ascii="標楷體" w:eastAsia="標楷體" w:hAnsi="標楷體"/>
          <w:kern w:val="2"/>
          <w:szCs w:val="24"/>
        </w:rPr>
        <w:t>2.排除條件：以腕隧道症候群為病徵表現之TTR基因突變攜帶者。</w:t>
      </w:r>
    </w:p>
    <w:p w14:paraId="7D5E2A16" w14:textId="77777777" w:rsidR="007C5F36" w:rsidRPr="00042994" w:rsidRDefault="007C5F36" w:rsidP="007C5F36">
      <w:pPr>
        <w:suppressAutoHyphens w:val="0"/>
        <w:autoSpaceDN/>
        <w:snapToGrid w:val="0"/>
        <w:spacing w:line="400" w:lineRule="exact"/>
        <w:ind w:leftChars="254" w:left="850" w:hangingChars="100" w:hanging="240"/>
        <w:textAlignment w:val="auto"/>
        <w:rPr>
          <w:rFonts w:ascii="標楷體" w:eastAsia="標楷體" w:hAnsi="標楷體"/>
          <w:kern w:val="2"/>
          <w:szCs w:val="24"/>
        </w:rPr>
      </w:pPr>
      <w:r w:rsidRPr="00042994">
        <w:rPr>
          <w:rFonts w:ascii="標楷體" w:eastAsia="標楷體" w:hAnsi="標楷體"/>
          <w:kern w:val="2"/>
          <w:szCs w:val="24"/>
        </w:rPr>
        <w:t>3.需檢附下列資料，經專家小組特殊專案審查核准後使用：</w:t>
      </w:r>
    </w:p>
    <w:p w14:paraId="20817CBD" w14:textId="77777777" w:rsidR="007C5F36" w:rsidRPr="00042994" w:rsidRDefault="007C5F36" w:rsidP="007C5F36">
      <w:pPr>
        <w:suppressAutoHyphens w:val="0"/>
        <w:autoSpaceDN/>
        <w:snapToGrid w:val="0"/>
        <w:spacing w:line="400" w:lineRule="exact"/>
        <w:ind w:leftChars="254" w:left="850" w:hangingChars="100" w:hanging="240"/>
        <w:textAlignment w:val="auto"/>
        <w:rPr>
          <w:rFonts w:ascii="標楷體" w:eastAsia="標楷體" w:hAnsi="標楷體"/>
          <w:kern w:val="2"/>
          <w:szCs w:val="24"/>
        </w:rPr>
      </w:pPr>
      <w:r w:rsidRPr="00042994">
        <w:rPr>
          <w:rFonts w:ascii="標楷體" w:eastAsia="標楷體" w:hAnsi="標楷體"/>
          <w:bCs/>
          <w:kern w:val="2"/>
          <w:szCs w:val="24"/>
        </w:rPr>
        <w:t>（1）</w:t>
      </w:r>
      <w:r w:rsidRPr="00042994">
        <w:rPr>
          <w:rFonts w:ascii="標楷體" w:eastAsia="標楷體" w:hAnsi="標楷體"/>
          <w:kern w:val="2"/>
          <w:szCs w:val="24"/>
        </w:rPr>
        <w:t>符合衛生福利部國民健康署</w:t>
      </w:r>
      <w:r w:rsidRPr="00042994">
        <w:rPr>
          <w:rFonts w:ascii="標楷體" w:eastAsia="標楷體" w:hAnsi="標楷體"/>
          <w:bCs/>
          <w:kern w:val="2"/>
          <w:szCs w:val="24"/>
        </w:rPr>
        <w:t>FAP</w:t>
      </w:r>
      <w:r w:rsidRPr="00042994">
        <w:rPr>
          <w:rFonts w:ascii="標楷體" w:eastAsia="標楷體" w:hAnsi="標楷體"/>
          <w:kern w:val="2"/>
          <w:szCs w:val="24"/>
        </w:rPr>
        <w:t>罕見疾病個案通報審查標準之神經傳導</w:t>
      </w:r>
      <w:r w:rsidRPr="00042994">
        <w:rPr>
          <w:rFonts w:ascii="標楷體" w:eastAsia="標楷體" w:hAnsi="標楷體"/>
          <w:bCs/>
          <w:kern w:val="2"/>
          <w:szCs w:val="24"/>
        </w:rPr>
        <w:t>/</w:t>
      </w:r>
      <w:r w:rsidRPr="00042994">
        <w:rPr>
          <w:rFonts w:ascii="標楷體" w:eastAsia="標楷體" w:hAnsi="標楷體"/>
          <w:kern w:val="2"/>
          <w:szCs w:val="24"/>
        </w:rPr>
        <w:t>肌</w:t>
      </w:r>
      <w:r w:rsidRPr="00042994">
        <w:rPr>
          <w:rFonts w:ascii="標楷體" w:eastAsia="標楷體" w:hAnsi="標楷體"/>
          <w:kern w:val="2"/>
          <w:szCs w:val="24"/>
        </w:rPr>
        <w:lastRenderedPageBreak/>
        <w:t>電圖</w:t>
      </w:r>
      <w:r w:rsidRPr="00042994">
        <w:rPr>
          <w:rFonts w:ascii="標楷體" w:eastAsia="標楷體" w:hAnsi="標楷體"/>
          <w:bCs/>
          <w:kern w:val="2"/>
          <w:szCs w:val="24"/>
        </w:rPr>
        <w:t>/</w:t>
      </w:r>
      <w:r w:rsidRPr="00042994">
        <w:rPr>
          <w:rFonts w:ascii="標楷體" w:eastAsia="標楷體" w:hAnsi="標楷體"/>
          <w:kern w:val="2"/>
          <w:szCs w:val="24"/>
        </w:rPr>
        <w:t>自律神經功能檢查報告。</w:t>
      </w:r>
    </w:p>
    <w:p w14:paraId="229B241F" w14:textId="77777777" w:rsidR="007C5F36" w:rsidRPr="00042994" w:rsidRDefault="007C5F36" w:rsidP="007C5F36">
      <w:pPr>
        <w:suppressAutoHyphens w:val="0"/>
        <w:autoSpaceDN/>
        <w:snapToGrid w:val="0"/>
        <w:spacing w:line="400" w:lineRule="exact"/>
        <w:ind w:leftChars="254" w:left="850" w:hangingChars="100" w:hanging="240"/>
        <w:textAlignment w:val="auto"/>
        <w:rPr>
          <w:rFonts w:ascii="標楷體" w:eastAsia="標楷體" w:hAnsi="標楷體"/>
          <w:kern w:val="2"/>
          <w:szCs w:val="24"/>
        </w:rPr>
      </w:pPr>
      <w:r w:rsidRPr="00042994">
        <w:rPr>
          <w:rFonts w:ascii="標楷體" w:eastAsia="標楷體" w:hAnsi="標楷體"/>
          <w:bCs/>
          <w:kern w:val="2"/>
          <w:szCs w:val="24"/>
        </w:rPr>
        <w:t>（2）</w:t>
      </w:r>
      <w:r w:rsidRPr="00042994">
        <w:rPr>
          <w:rFonts w:ascii="標楷體" w:eastAsia="標楷體" w:hAnsi="標楷體"/>
          <w:kern w:val="2"/>
          <w:szCs w:val="24"/>
        </w:rPr>
        <w:t>臨床症狀及徵兆的病歷紀錄。</w:t>
      </w:r>
    </w:p>
    <w:p w14:paraId="34C57B59" w14:textId="77777777" w:rsidR="007C5F36" w:rsidRPr="00042994" w:rsidRDefault="007C5F36" w:rsidP="007C5F36">
      <w:pPr>
        <w:suppressAutoHyphens w:val="0"/>
        <w:autoSpaceDN/>
        <w:snapToGrid w:val="0"/>
        <w:spacing w:line="400" w:lineRule="exact"/>
        <w:ind w:leftChars="254" w:left="850" w:hangingChars="100" w:hanging="240"/>
        <w:textAlignment w:val="auto"/>
        <w:rPr>
          <w:rFonts w:ascii="標楷體" w:eastAsia="標楷體" w:hAnsi="標楷體"/>
          <w:kern w:val="2"/>
          <w:szCs w:val="24"/>
        </w:rPr>
      </w:pPr>
      <w:r w:rsidRPr="00042994">
        <w:rPr>
          <w:rFonts w:ascii="標楷體" w:eastAsia="標楷體" w:hAnsi="標楷體"/>
          <w:kern w:val="2"/>
          <w:szCs w:val="24"/>
        </w:rPr>
        <w:t>（3）運動功能評估：10公尺行走測試 （10MWT） 錄影之影片。</w:t>
      </w:r>
    </w:p>
    <w:p w14:paraId="1719E71E" w14:textId="77777777" w:rsidR="007C5F36" w:rsidRPr="00042994" w:rsidRDefault="007C5F36" w:rsidP="007C5F36">
      <w:pPr>
        <w:suppressAutoHyphens w:val="0"/>
        <w:autoSpaceDN/>
        <w:snapToGrid w:val="0"/>
        <w:spacing w:line="400" w:lineRule="exact"/>
        <w:ind w:leftChars="236" w:left="849" w:hangingChars="118" w:hanging="283"/>
        <w:textAlignment w:val="auto"/>
        <w:rPr>
          <w:rFonts w:ascii="標楷體" w:eastAsia="標楷體" w:hAnsi="標楷體"/>
          <w:kern w:val="2"/>
          <w:szCs w:val="24"/>
        </w:rPr>
      </w:pPr>
      <w:r w:rsidRPr="00042994">
        <w:rPr>
          <w:rFonts w:ascii="標楷體" w:eastAsia="標楷體" w:hAnsi="標楷體"/>
          <w:kern w:val="2"/>
          <w:szCs w:val="24"/>
        </w:rPr>
        <w:t>4.首次申請得核准使用9個月，後續每6個月申請核准後得使用。療效評估方式及時機：</w:t>
      </w:r>
    </w:p>
    <w:p w14:paraId="57C41EF2"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（1）神經病變疾病嚴重度評估時機：</w:t>
      </w:r>
    </w:p>
    <w:p w14:paraId="19E41AD5" w14:textId="77777777" w:rsidR="007C5F36" w:rsidRPr="00042994" w:rsidRDefault="007C5F36" w:rsidP="007C5F36">
      <w:pPr>
        <w:suppressAutoHyphens w:val="0"/>
        <w:autoSpaceDN/>
        <w:snapToGrid w:val="0"/>
        <w:spacing w:line="400" w:lineRule="exact"/>
        <w:ind w:leftChars="440" w:left="1416" w:hangingChars="150" w:hanging="360"/>
        <w:textAlignment w:val="auto"/>
        <w:rPr>
          <w:rFonts w:ascii="標楷體" w:eastAsia="標楷體" w:hAnsi="標楷體"/>
          <w:kern w:val="2"/>
          <w:szCs w:val="24"/>
        </w:rPr>
      </w:pPr>
      <w:r w:rsidRPr="00042994">
        <w:rPr>
          <w:rFonts w:ascii="標楷體" w:eastAsia="標楷體" w:hAnsi="標楷體"/>
          <w:kern w:val="2"/>
          <w:szCs w:val="24"/>
        </w:rPr>
        <w:t>Ⅰ.Patisiran或vutrisiran治療前。</w:t>
      </w:r>
    </w:p>
    <w:p w14:paraId="5EE62CF4" w14:textId="77777777" w:rsidR="007C5F36" w:rsidRPr="00042994" w:rsidRDefault="007C5F36" w:rsidP="007C5F36">
      <w:pPr>
        <w:suppressAutoHyphens w:val="0"/>
        <w:autoSpaceDN/>
        <w:snapToGrid w:val="0"/>
        <w:spacing w:line="400" w:lineRule="exact"/>
        <w:ind w:leftChars="440" w:left="1416" w:hangingChars="150" w:hanging="360"/>
        <w:textAlignment w:val="auto"/>
        <w:rPr>
          <w:rFonts w:ascii="標楷體" w:eastAsia="標楷體" w:hAnsi="標楷體"/>
          <w:kern w:val="2"/>
          <w:szCs w:val="24"/>
        </w:rPr>
      </w:pPr>
      <w:r w:rsidRPr="00042994">
        <w:rPr>
          <w:rFonts w:ascii="標楷體" w:eastAsia="標楷體" w:hAnsi="標楷體"/>
          <w:kern w:val="2"/>
          <w:szCs w:val="24"/>
        </w:rPr>
        <w:t>Ⅱ.治療反應的初步評估應在治療開始後9個月進行。</w:t>
      </w:r>
    </w:p>
    <w:p w14:paraId="3F5762BC" w14:textId="77777777" w:rsidR="007C5F36" w:rsidRPr="00042994" w:rsidRDefault="007C5F36" w:rsidP="007C5F36">
      <w:pPr>
        <w:suppressAutoHyphens w:val="0"/>
        <w:autoSpaceDN/>
        <w:snapToGrid w:val="0"/>
        <w:spacing w:line="400" w:lineRule="exact"/>
        <w:ind w:leftChars="440" w:left="1416" w:hangingChars="150" w:hanging="360"/>
        <w:textAlignment w:val="auto"/>
        <w:rPr>
          <w:rFonts w:ascii="標楷體" w:eastAsia="標楷體" w:hAnsi="標楷體"/>
          <w:kern w:val="2"/>
          <w:szCs w:val="24"/>
        </w:rPr>
      </w:pPr>
      <w:r w:rsidRPr="00042994">
        <w:rPr>
          <w:rFonts w:ascii="標楷體" w:eastAsia="標楷體" w:hAnsi="標楷體"/>
          <w:kern w:val="2"/>
          <w:szCs w:val="24"/>
        </w:rPr>
        <w:t>Ⅲ.隨後每6個月下一劑治療前。</w:t>
      </w:r>
    </w:p>
    <w:p w14:paraId="167394D3" w14:textId="77777777" w:rsidR="007C5F36" w:rsidRPr="00042994" w:rsidRDefault="007C5F36" w:rsidP="007C5F36">
      <w:pPr>
        <w:suppressAutoHyphens w:val="0"/>
        <w:autoSpaceDN/>
        <w:snapToGrid w:val="0"/>
        <w:spacing w:line="400" w:lineRule="exact"/>
        <w:ind w:leftChars="263" w:left="1274" w:hangingChars="268" w:hanging="643"/>
        <w:textAlignment w:val="auto"/>
        <w:rPr>
          <w:rFonts w:ascii="標楷體" w:eastAsia="標楷體" w:hAnsi="標楷體"/>
          <w:kern w:val="2"/>
          <w:szCs w:val="24"/>
        </w:rPr>
      </w:pPr>
      <w:r w:rsidRPr="00042994">
        <w:rPr>
          <w:rFonts w:ascii="標楷體" w:eastAsia="標楷體" w:hAnsi="標楷體"/>
          <w:kern w:val="2"/>
          <w:szCs w:val="24"/>
        </w:rPr>
        <w:t>（2）神經病變疾病嚴重度評估（需由提供patisiran或vutrisiran治療之醫師判定評估結果）：</w:t>
      </w:r>
    </w:p>
    <w:p w14:paraId="6B2123EA" w14:textId="77777777" w:rsidR="007C5F36" w:rsidRPr="00042994" w:rsidRDefault="007C5F36" w:rsidP="007C5F36">
      <w:pPr>
        <w:suppressAutoHyphens w:val="0"/>
        <w:autoSpaceDN/>
        <w:snapToGrid w:val="0"/>
        <w:spacing w:line="400" w:lineRule="exact"/>
        <w:ind w:leftChars="472" w:left="1272" w:hangingChars="58" w:hanging="139"/>
        <w:textAlignment w:val="auto"/>
        <w:rPr>
          <w:rFonts w:ascii="標楷體" w:eastAsia="標楷體" w:hAnsi="標楷體"/>
          <w:kern w:val="2"/>
          <w:szCs w:val="24"/>
        </w:rPr>
      </w:pPr>
      <w:r w:rsidRPr="00042994">
        <w:rPr>
          <w:rFonts w:ascii="標楷體" w:eastAsia="標楷體" w:hAnsi="標楷體"/>
          <w:kern w:val="2"/>
          <w:szCs w:val="24"/>
        </w:rPr>
        <w:t>Ⅰ.polyneuropathy disability [PND] stage，或</w:t>
      </w:r>
    </w:p>
    <w:p w14:paraId="716BA9DD" w14:textId="77777777" w:rsidR="007C5F36" w:rsidRPr="00042994" w:rsidRDefault="007C5F36" w:rsidP="007C5F36">
      <w:pPr>
        <w:suppressAutoHyphens w:val="0"/>
        <w:autoSpaceDN/>
        <w:snapToGrid w:val="0"/>
        <w:spacing w:line="400" w:lineRule="exact"/>
        <w:ind w:leftChars="472" w:left="1272" w:hangingChars="58" w:hanging="139"/>
        <w:textAlignment w:val="auto"/>
        <w:rPr>
          <w:rFonts w:ascii="標楷體" w:eastAsia="標楷體" w:hAnsi="標楷體"/>
          <w:kern w:val="2"/>
          <w:szCs w:val="24"/>
        </w:rPr>
      </w:pPr>
      <w:r w:rsidRPr="00042994">
        <w:rPr>
          <w:rFonts w:ascii="標楷體" w:eastAsia="標楷體" w:hAnsi="標楷體"/>
          <w:kern w:val="2"/>
          <w:szCs w:val="24"/>
        </w:rPr>
        <w:t>Ⅱ.familial amyloidotic polyneuropathy [FAP] stage。</w:t>
      </w:r>
    </w:p>
    <w:p w14:paraId="4A6065D1" w14:textId="77777777" w:rsidR="007C5F36" w:rsidRPr="00042994" w:rsidRDefault="007C5F36" w:rsidP="007C5F36">
      <w:pPr>
        <w:suppressAutoHyphens w:val="0"/>
        <w:autoSpaceDN/>
        <w:snapToGrid w:val="0"/>
        <w:spacing w:line="400" w:lineRule="exact"/>
        <w:ind w:leftChars="263" w:left="991" w:hangingChars="150" w:hanging="360"/>
        <w:textAlignment w:val="auto"/>
        <w:rPr>
          <w:rFonts w:ascii="標楷體" w:eastAsia="標楷體" w:hAnsi="標楷體"/>
          <w:kern w:val="2"/>
          <w:szCs w:val="24"/>
        </w:rPr>
      </w:pPr>
      <w:r w:rsidRPr="00042994">
        <w:rPr>
          <w:rFonts w:ascii="標楷體" w:eastAsia="標楷體" w:hAnsi="標楷體"/>
          <w:kern w:val="2"/>
          <w:szCs w:val="24"/>
        </w:rPr>
        <w:t>（3）後續每6個月申請使用需檢附：</w:t>
      </w:r>
    </w:p>
    <w:p w14:paraId="6F2ED75E" w14:textId="77777777" w:rsidR="007C5F36" w:rsidRPr="00042994" w:rsidRDefault="007C5F36" w:rsidP="007C5F36">
      <w:pPr>
        <w:suppressAutoHyphens w:val="0"/>
        <w:autoSpaceDN/>
        <w:snapToGrid w:val="0"/>
        <w:spacing w:line="400" w:lineRule="exact"/>
        <w:ind w:leftChars="440" w:left="1416" w:hangingChars="150" w:hanging="360"/>
        <w:textAlignment w:val="auto"/>
        <w:rPr>
          <w:rFonts w:ascii="標楷體" w:eastAsia="標楷體" w:hAnsi="標楷體"/>
          <w:kern w:val="2"/>
          <w:szCs w:val="24"/>
        </w:rPr>
      </w:pPr>
      <w:r w:rsidRPr="00042994">
        <w:rPr>
          <w:rFonts w:ascii="標楷體" w:eastAsia="標楷體" w:hAnsi="標楷體"/>
          <w:kern w:val="2"/>
          <w:szCs w:val="24"/>
        </w:rPr>
        <w:t>Ⅰ.臨床症狀及徵兆的病歷紀錄。</w:t>
      </w:r>
    </w:p>
    <w:p w14:paraId="7309262F" w14:textId="77777777" w:rsidR="007C5F36" w:rsidRPr="00042994" w:rsidRDefault="007C5F36" w:rsidP="007C5F36">
      <w:pPr>
        <w:suppressAutoHyphens w:val="0"/>
        <w:autoSpaceDN/>
        <w:snapToGrid w:val="0"/>
        <w:spacing w:line="400" w:lineRule="exact"/>
        <w:ind w:leftChars="440" w:left="1416" w:hangingChars="150" w:hanging="360"/>
        <w:textAlignment w:val="auto"/>
        <w:rPr>
          <w:rFonts w:ascii="標楷體" w:eastAsia="標楷體" w:hAnsi="標楷體"/>
          <w:kern w:val="2"/>
          <w:szCs w:val="24"/>
        </w:rPr>
      </w:pPr>
      <w:r w:rsidRPr="00042994">
        <w:rPr>
          <w:rFonts w:ascii="標楷體" w:eastAsia="標楷體" w:hAnsi="標楷體"/>
          <w:kern w:val="2"/>
          <w:szCs w:val="24"/>
        </w:rPr>
        <w:t>Ⅱ.運動功能評估：10公尺行走測試 （10MWT） 錄影之影片。</w:t>
      </w:r>
    </w:p>
    <w:p w14:paraId="410ACEC9" w14:textId="77777777" w:rsidR="007C5F36" w:rsidRPr="00042994" w:rsidRDefault="007C5F36" w:rsidP="007C5F36">
      <w:pPr>
        <w:suppressAutoHyphens w:val="0"/>
        <w:autoSpaceDN/>
        <w:snapToGrid w:val="0"/>
        <w:spacing w:line="400" w:lineRule="exact"/>
        <w:ind w:leftChars="254" w:left="850" w:hangingChars="100" w:hanging="240"/>
        <w:textAlignment w:val="auto"/>
        <w:rPr>
          <w:rFonts w:ascii="標楷體" w:eastAsia="標楷體" w:hAnsi="標楷體"/>
          <w:kern w:val="2"/>
          <w:szCs w:val="24"/>
        </w:rPr>
      </w:pPr>
      <w:r w:rsidRPr="00042994">
        <w:rPr>
          <w:rFonts w:ascii="標楷體" w:eastAsia="標楷體" w:hAnsi="標楷體"/>
          <w:kern w:val="2"/>
          <w:szCs w:val="24"/>
        </w:rPr>
        <w:t>5.停藥時機：</w:t>
      </w:r>
    </w:p>
    <w:p w14:paraId="56ABDCA5" w14:textId="77777777" w:rsidR="007C5F36" w:rsidRPr="00042994" w:rsidRDefault="007C5F36" w:rsidP="007C5F36">
      <w:pPr>
        <w:suppressAutoHyphens w:val="0"/>
        <w:autoSpaceDN/>
        <w:snapToGrid w:val="0"/>
        <w:spacing w:line="400" w:lineRule="exact"/>
        <w:ind w:leftChars="295" w:left="708"/>
        <w:textAlignment w:val="auto"/>
        <w:rPr>
          <w:rFonts w:ascii="標楷體" w:eastAsia="標楷體" w:hAnsi="標楷體"/>
          <w:kern w:val="2"/>
          <w:szCs w:val="24"/>
        </w:rPr>
      </w:pPr>
      <w:r w:rsidRPr="00042994">
        <w:rPr>
          <w:rFonts w:ascii="標楷體" w:eastAsia="標楷體" w:hAnsi="標楷體"/>
          <w:kern w:val="2"/>
          <w:szCs w:val="24"/>
        </w:rPr>
        <w:t>若有下列任一情況，則不再給予patisiran或vutrisiran治療：</w:t>
      </w:r>
    </w:p>
    <w:p w14:paraId="1A3C87CD" w14:textId="77777777" w:rsidR="007C5F36" w:rsidRPr="00042994" w:rsidRDefault="007C5F36" w:rsidP="007C5F36">
      <w:pPr>
        <w:suppressAutoHyphens w:val="0"/>
        <w:autoSpaceDN/>
        <w:snapToGrid w:val="0"/>
        <w:spacing w:line="400" w:lineRule="exact"/>
        <w:ind w:leftChars="296" w:left="1274" w:hangingChars="235" w:hanging="564"/>
        <w:textAlignment w:val="auto"/>
        <w:rPr>
          <w:rFonts w:ascii="標楷體" w:eastAsia="標楷體" w:hAnsi="標楷體"/>
          <w:kern w:val="2"/>
          <w:szCs w:val="24"/>
        </w:rPr>
      </w:pPr>
      <w:r w:rsidRPr="00042994">
        <w:rPr>
          <w:rFonts w:ascii="標楷體" w:eastAsia="標楷體" w:hAnsi="標楷體"/>
          <w:kern w:val="2"/>
          <w:szCs w:val="24"/>
        </w:rPr>
        <w:t>（1）若病人在使用雙側輔具下，於5分鐘內不休息，無法獨力完成10公尺以上步行者。</w:t>
      </w:r>
    </w:p>
    <w:p w14:paraId="1F327F7E" w14:textId="77777777" w:rsidR="007C5F36" w:rsidRPr="00042994" w:rsidRDefault="007C5F36" w:rsidP="007C5F36">
      <w:pPr>
        <w:suppressAutoHyphens w:val="0"/>
        <w:autoSpaceDN/>
        <w:snapToGrid w:val="0"/>
        <w:spacing w:line="400" w:lineRule="exact"/>
        <w:ind w:leftChars="295" w:left="847" w:hangingChars="58" w:hanging="139"/>
        <w:textAlignment w:val="auto"/>
        <w:rPr>
          <w:rFonts w:ascii="標楷體" w:eastAsia="標楷體" w:hAnsi="標楷體"/>
          <w:kern w:val="2"/>
          <w:szCs w:val="24"/>
        </w:rPr>
      </w:pPr>
      <w:r w:rsidRPr="00042994">
        <w:rPr>
          <w:rFonts w:ascii="標楷體" w:eastAsia="標楷體" w:hAnsi="標楷體"/>
          <w:kern w:val="2"/>
          <w:szCs w:val="24"/>
        </w:rPr>
        <w:t>（2）需接受臨終照護（end-of-life care）者。</w:t>
      </w:r>
    </w:p>
    <w:p w14:paraId="5C34D50D" w14:textId="6F51CB34" w:rsidR="00BD776B" w:rsidRDefault="007C5F36" w:rsidP="007C5F36">
      <w:pPr>
        <w:ind w:leftChars="237" w:left="850" w:hangingChars="117" w:hanging="281"/>
        <w:rPr>
          <w:rFonts w:ascii="標楷體" w:eastAsia="標楷體" w:hAnsi="標楷體"/>
          <w:color w:val="000000"/>
        </w:rPr>
      </w:pPr>
      <w:r w:rsidRPr="00042994">
        <w:rPr>
          <w:rFonts w:ascii="標楷體" w:eastAsia="標楷體" w:hAnsi="標楷體"/>
          <w:kern w:val="2"/>
          <w:szCs w:val="24"/>
        </w:rPr>
        <w:t>6.Patisiran與vutrisiran兩者限擇一給付，且不得互換。惟於114/5/1前已使用patisiran治療之病人符合續用申請者，得轉換使用vutrisiran，以一次為限（</w:t>
      </w:r>
      <w:r w:rsidRPr="00042994">
        <w:rPr>
          <w:rFonts w:ascii="標楷體" w:eastAsia="標楷體" w:hAnsi="標楷體" w:hint="eastAsia"/>
          <w:kern w:val="2"/>
          <w:szCs w:val="24"/>
        </w:rPr>
        <w:t>114</w:t>
      </w:r>
      <w:r w:rsidRPr="00042994">
        <w:rPr>
          <w:rFonts w:ascii="標楷體" w:eastAsia="標楷體" w:hAnsi="標楷體"/>
          <w:kern w:val="2"/>
          <w:szCs w:val="24"/>
        </w:rPr>
        <w:t>/</w:t>
      </w:r>
      <w:r w:rsidRPr="00042994">
        <w:rPr>
          <w:rFonts w:ascii="標楷體" w:eastAsia="標楷體" w:hAnsi="標楷體" w:hint="eastAsia"/>
          <w:kern w:val="2"/>
          <w:szCs w:val="24"/>
        </w:rPr>
        <w:t>5</w:t>
      </w:r>
      <w:r w:rsidRPr="00042994">
        <w:rPr>
          <w:rFonts w:ascii="標楷體" w:eastAsia="標楷體" w:hAnsi="標楷體"/>
          <w:kern w:val="2"/>
          <w:szCs w:val="24"/>
        </w:rPr>
        <w:t>/1）。</w:t>
      </w:r>
      <w:bookmarkEnd w:id="0"/>
    </w:p>
    <w:p w14:paraId="71DE2CA9" w14:textId="77777777" w:rsidR="00BD776B" w:rsidRDefault="00DF0C24">
      <w:pPr>
        <w:ind w:left="579" w:hanging="454"/>
        <w:rPr>
          <w:rFonts w:ascii="標楷體" w:eastAsia="標楷體" w:hAnsi="標楷體"/>
          <w:color w:val="000000"/>
        </w:rPr>
      </w:pPr>
      <w:r>
        <w:rPr>
          <w:rFonts w:ascii="標楷體" w:eastAsia="標楷體" w:hAnsi="標楷體"/>
          <w:color w:val="000000"/>
        </w:rPr>
        <w:t>1.6.7.Onasemnogene abeparvovec (如Zolgensma suspension for Intravenous Infusion)：（112/8/1、112/10/1、113/4/1）</w:t>
      </w:r>
    </w:p>
    <w:p w14:paraId="73644089" w14:textId="77777777" w:rsidR="00BD776B" w:rsidRDefault="00DF0C24">
      <w:pPr>
        <w:ind w:left="851" w:hanging="245"/>
        <w:rPr>
          <w:rFonts w:ascii="標楷體" w:eastAsia="標楷體" w:hAnsi="標楷體"/>
          <w:color w:val="000000"/>
        </w:rPr>
      </w:pPr>
      <w:r>
        <w:rPr>
          <w:rFonts w:ascii="標楷體" w:eastAsia="標楷體" w:hAnsi="標楷體"/>
          <w:color w:val="000000"/>
        </w:rPr>
        <w:t>1.限用於治療年齡6個月以下，經標準檢測方法MLPA(Multiplex Ligation-Dependent Probe Amplification)或NGS(Next Generation Sequencing)檢測基因確診，及SMN2基因檢驗報告，且經衛生福利部國民健康署認定之脊髓性肌肉萎縮症(Spinal muscular atrophy,SMA)病人，但不適用於已使用呼吸器每天12小時以上，且連續30天以上者。</w:t>
      </w:r>
    </w:p>
    <w:p w14:paraId="680CAC65" w14:textId="77777777" w:rsidR="00BD776B" w:rsidRDefault="00DF0C24">
      <w:pPr>
        <w:ind w:left="851" w:hanging="245"/>
        <w:rPr>
          <w:rFonts w:ascii="標楷體" w:eastAsia="標楷體" w:hAnsi="標楷體"/>
          <w:color w:val="000000"/>
        </w:rPr>
      </w:pPr>
      <w:r>
        <w:rPr>
          <w:rFonts w:ascii="標楷體" w:eastAsia="標楷體" w:hAnsi="標楷體"/>
          <w:color w:val="000000"/>
        </w:rPr>
        <w:t>2.需檢附下列資料，經2位以上專家之專家小組特殊專案審查核准後使用：</w:t>
      </w:r>
    </w:p>
    <w:p w14:paraId="493E9CCC" w14:textId="77777777" w:rsidR="00BD776B" w:rsidRDefault="00DF0C24">
      <w:pPr>
        <w:ind w:left="1090" w:hanging="245"/>
        <w:rPr>
          <w:rFonts w:ascii="標楷體" w:eastAsia="標楷體" w:hAnsi="標楷體"/>
          <w:color w:val="000000"/>
        </w:rPr>
      </w:pPr>
      <w:r>
        <w:rPr>
          <w:rFonts w:ascii="標楷體" w:eastAsia="標楷體" w:hAnsi="標楷體"/>
          <w:color w:val="000000"/>
        </w:rPr>
        <w:t>(1)經衛生福利部國民健康署認定SMA罕見疾病個案之臨床症狀影片：</w:t>
      </w:r>
    </w:p>
    <w:p w14:paraId="02120C7D" w14:textId="77777777" w:rsidR="00BD776B" w:rsidRDefault="00DF0C24">
      <w:pPr>
        <w:ind w:left="1330" w:hanging="245"/>
        <w:rPr>
          <w:rFonts w:ascii="標楷體" w:eastAsia="標楷體" w:hAnsi="標楷體"/>
          <w:color w:val="000000"/>
        </w:rPr>
      </w:pPr>
      <w:r>
        <w:rPr>
          <w:rFonts w:ascii="標楷體" w:eastAsia="標楷體" w:hAnsi="標楷體"/>
          <w:color w:val="000000"/>
        </w:rPr>
        <w:t>Ⅰ.經新生兒篩檢(含產前診斷)，SMN2基因拷貝數≦2，內容需至少出現1項肌肉相關異常：</w:t>
      </w:r>
    </w:p>
    <w:p w14:paraId="0975CABD" w14:textId="77777777" w:rsidR="00BD776B" w:rsidRDefault="00DF0C24">
      <w:pPr>
        <w:ind w:left="1330" w:hanging="245"/>
      </w:pPr>
      <w:r>
        <w:rPr>
          <w:rFonts w:ascii="新細明體" w:hAnsi="新細明體" w:cs="新細明體"/>
          <w:color w:val="000000"/>
        </w:rPr>
        <w:t>ⅰ</w:t>
      </w:r>
      <w:r>
        <w:rPr>
          <w:rFonts w:ascii="標楷體" w:eastAsia="標楷體" w:hAnsi="標楷體"/>
          <w:color w:val="000000"/>
        </w:rPr>
        <w:t>.新生兒姿態異常。</w:t>
      </w:r>
    </w:p>
    <w:p w14:paraId="06EF7867" w14:textId="77777777" w:rsidR="00BD776B" w:rsidRDefault="00DF0C24">
      <w:pPr>
        <w:ind w:left="1330" w:hanging="245"/>
      </w:pPr>
      <w:r>
        <w:rPr>
          <w:rFonts w:ascii="新細明體" w:hAnsi="新細明體" w:cs="新細明體"/>
          <w:color w:val="000000"/>
        </w:rPr>
        <w:t>ⅱ</w:t>
      </w:r>
      <w:r>
        <w:rPr>
          <w:rFonts w:ascii="標楷體" w:eastAsia="標楷體" w:hAnsi="標楷體"/>
          <w:color w:val="000000"/>
        </w:rPr>
        <w:t>.新生兒哭聲弱。</w:t>
      </w:r>
    </w:p>
    <w:p w14:paraId="2BEAB351" w14:textId="77777777" w:rsidR="00BD776B" w:rsidRDefault="00DF0C24">
      <w:pPr>
        <w:ind w:left="1330" w:hanging="245"/>
      </w:pPr>
      <w:r>
        <w:rPr>
          <w:rFonts w:ascii="新細明體" w:hAnsi="新細明體" w:cs="新細明體"/>
          <w:color w:val="000000"/>
        </w:rPr>
        <w:t>ⅲ</w:t>
      </w:r>
      <w:r>
        <w:rPr>
          <w:rFonts w:ascii="標楷體" w:eastAsia="標楷體" w:hAnsi="標楷體"/>
          <w:color w:val="000000"/>
        </w:rPr>
        <w:t>.新生兒肌張力低下。</w:t>
      </w:r>
    </w:p>
    <w:p w14:paraId="65EE05F0" w14:textId="77777777" w:rsidR="00BD776B" w:rsidRDefault="00DF0C24">
      <w:pPr>
        <w:ind w:left="1330" w:hanging="245"/>
        <w:rPr>
          <w:rFonts w:ascii="標楷體" w:eastAsia="標楷體" w:hAnsi="標楷體"/>
          <w:color w:val="000000"/>
        </w:rPr>
      </w:pPr>
      <w:r>
        <w:rPr>
          <w:rFonts w:ascii="標楷體" w:eastAsia="標楷體" w:hAnsi="標楷體"/>
          <w:color w:val="000000"/>
        </w:rPr>
        <w:lastRenderedPageBreak/>
        <w:t>Ⅱ.非經新生兒篩檢(含產前診斷)，SMN2基因拷貝數≦3，內容需包含下列各項：</w:t>
      </w:r>
    </w:p>
    <w:p w14:paraId="7766C77D" w14:textId="77777777" w:rsidR="00BD776B" w:rsidRDefault="00DF0C24">
      <w:pPr>
        <w:ind w:left="1330" w:hanging="245"/>
        <w:rPr>
          <w:rFonts w:ascii="標楷體" w:eastAsia="標楷體" w:hAnsi="標楷體"/>
          <w:color w:val="000000"/>
        </w:rPr>
      </w:pPr>
      <w:r>
        <w:rPr>
          <w:rFonts w:ascii="標楷體" w:eastAsia="標楷體" w:hAnsi="標楷體"/>
          <w:color w:val="000000"/>
        </w:rPr>
        <w:t>i.全身性低張力及對稱性近側端為主的肌無力。</w:t>
      </w:r>
    </w:p>
    <w:p w14:paraId="3CFFF78D" w14:textId="77777777" w:rsidR="00BD776B" w:rsidRDefault="00DF0C24">
      <w:pPr>
        <w:ind w:left="1330" w:hanging="245"/>
      </w:pPr>
      <w:r>
        <w:rPr>
          <w:rFonts w:ascii="新細明體" w:hAnsi="新細明體" w:cs="新細明體"/>
          <w:color w:val="000000"/>
        </w:rPr>
        <w:t>ⅱ</w:t>
      </w:r>
      <w:r>
        <w:rPr>
          <w:rFonts w:ascii="標楷體" w:eastAsia="標楷體" w:hAnsi="標楷體"/>
          <w:color w:val="000000"/>
        </w:rPr>
        <w:t>.深部肌腱反射減低或消失，如:膝反射、踝反射、二頭肌反射。</w:t>
      </w:r>
    </w:p>
    <w:p w14:paraId="42C8C0DA" w14:textId="77777777" w:rsidR="00BD776B" w:rsidRDefault="00DF0C24">
      <w:pPr>
        <w:ind w:left="1090" w:hanging="245"/>
        <w:rPr>
          <w:rFonts w:ascii="標楷體" w:eastAsia="標楷體" w:hAnsi="標楷體"/>
          <w:color w:val="000000"/>
        </w:rPr>
      </w:pPr>
      <w:r>
        <w:rPr>
          <w:rFonts w:ascii="標楷體" w:eastAsia="標楷體" w:hAnsi="標楷體"/>
          <w:color w:val="000000"/>
        </w:rPr>
        <w:t>(2)病歷摘要。</w:t>
      </w:r>
    </w:p>
    <w:p w14:paraId="2A9B42DD" w14:textId="77777777" w:rsidR="00BD776B" w:rsidRDefault="00DF0C24">
      <w:pPr>
        <w:ind w:left="1129" w:hanging="284"/>
        <w:rPr>
          <w:rFonts w:ascii="標楷體" w:eastAsia="標楷體" w:hAnsi="標楷體"/>
          <w:color w:val="000000"/>
        </w:rPr>
      </w:pPr>
      <w:r>
        <w:rPr>
          <w:rFonts w:ascii="標楷體" w:eastAsia="標楷體" w:hAnsi="標楷體"/>
          <w:color w:val="000000"/>
        </w:rPr>
        <w:t>(3)標準運動功能評估(CHOP INTEND、HINE Section 2、WHO motor milestones)之影片，倘上述評估項目任一項已達滿分，應繼續評估下列任一項目</w:t>
      </w:r>
    </w:p>
    <w:p w14:paraId="2160DFB2" w14:textId="77777777" w:rsidR="00BD776B" w:rsidRDefault="00DF0C24">
      <w:pPr>
        <w:ind w:left="1330" w:hanging="245"/>
        <w:rPr>
          <w:rFonts w:ascii="標楷體" w:eastAsia="標楷體" w:hAnsi="標楷體"/>
          <w:color w:val="000000"/>
        </w:rPr>
      </w:pPr>
      <w:r>
        <w:rPr>
          <w:rFonts w:ascii="標楷體" w:eastAsia="標楷體" w:hAnsi="標楷體"/>
          <w:color w:val="000000"/>
        </w:rPr>
        <w:t>Ⅰ.BAYLEY-Ⅲ(gross motor skills)。</w:t>
      </w:r>
    </w:p>
    <w:p w14:paraId="1C72671D" w14:textId="77777777" w:rsidR="00BD776B" w:rsidRDefault="00DF0C24">
      <w:pPr>
        <w:ind w:left="1330" w:hanging="245"/>
        <w:rPr>
          <w:rFonts w:ascii="標楷體" w:eastAsia="標楷體" w:hAnsi="標楷體"/>
          <w:color w:val="000000"/>
        </w:rPr>
      </w:pPr>
      <w:r>
        <w:rPr>
          <w:rFonts w:ascii="標楷體" w:eastAsia="標楷體" w:hAnsi="標楷體"/>
          <w:color w:val="000000"/>
        </w:rPr>
        <w:t>Ⅱ.若以HFMSE評估須滿兩歲。</w:t>
      </w:r>
    </w:p>
    <w:p w14:paraId="6BEA86E5" w14:textId="77777777" w:rsidR="00BD776B" w:rsidRDefault="00DF0C24">
      <w:pPr>
        <w:ind w:left="1330" w:hanging="245"/>
        <w:rPr>
          <w:rFonts w:ascii="標楷體" w:eastAsia="標楷體" w:hAnsi="標楷體"/>
          <w:color w:val="000000"/>
        </w:rPr>
      </w:pPr>
      <w:r>
        <w:rPr>
          <w:rFonts w:ascii="標楷體" w:eastAsia="標楷體" w:hAnsi="標楷體"/>
          <w:color w:val="000000"/>
        </w:rPr>
        <w:t>Ⅲ.若以RULM評估須滿兩歲六個月。</w:t>
      </w:r>
    </w:p>
    <w:p w14:paraId="1F45E459" w14:textId="77777777" w:rsidR="00BD776B" w:rsidRDefault="00DF0C24">
      <w:pPr>
        <w:ind w:left="1129" w:hanging="284"/>
      </w:pPr>
      <w:r>
        <w:rPr>
          <w:rFonts w:ascii="標楷體" w:eastAsia="標楷體" w:hAnsi="標楷體"/>
          <w:color w:val="000000"/>
        </w:rPr>
        <w:t>(4)</w:t>
      </w:r>
      <w:r>
        <w:rPr>
          <w:rFonts w:ascii="標楷體" w:eastAsia="標楷體" w:hAnsi="標楷體"/>
          <w:szCs w:val="24"/>
        </w:rPr>
        <w:t>「全民健康保險保險對象使用onasemnogene abeparvovec基因療法製劑協議書」(附表三十七) (113/4/1)。</w:t>
      </w:r>
    </w:p>
    <w:p w14:paraId="5755E633" w14:textId="77777777" w:rsidR="00BD776B" w:rsidRDefault="00DF0C24">
      <w:pPr>
        <w:ind w:left="851" w:hanging="245"/>
        <w:rPr>
          <w:rFonts w:ascii="標楷體" w:eastAsia="標楷體" w:hAnsi="標楷體"/>
          <w:color w:val="000000"/>
        </w:rPr>
      </w:pPr>
      <w:r>
        <w:rPr>
          <w:rFonts w:ascii="標楷體" w:eastAsia="標楷體" w:hAnsi="標楷體"/>
          <w:color w:val="000000"/>
        </w:rPr>
        <w:t>3.排除條件：</w:t>
      </w:r>
    </w:p>
    <w:p w14:paraId="156D1164" w14:textId="77777777" w:rsidR="00BD776B" w:rsidRDefault="00DF0C24">
      <w:pPr>
        <w:ind w:left="1090" w:hanging="245"/>
        <w:rPr>
          <w:rFonts w:ascii="標楷體" w:eastAsia="標楷體" w:hAnsi="標楷體"/>
          <w:color w:val="000000"/>
        </w:rPr>
      </w:pPr>
      <w:r>
        <w:rPr>
          <w:rFonts w:ascii="標楷體" w:eastAsia="標楷體" w:hAnsi="標楷體"/>
          <w:color w:val="000000"/>
        </w:rPr>
        <w:t>(1)需使用侵入性呼吸器或血氧飽和度&lt;95%。</w:t>
      </w:r>
    </w:p>
    <w:p w14:paraId="1440DB29" w14:textId="77777777" w:rsidR="00BD776B" w:rsidRDefault="00DF0C24">
      <w:pPr>
        <w:ind w:left="1090" w:hanging="245"/>
        <w:rPr>
          <w:rFonts w:ascii="標楷體" w:eastAsia="標楷體" w:hAnsi="標楷體"/>
          <w:color w:val="000000"/>
        </w:rPr>
      </w:pPr>
      <w:r>
        <w:rPr>
          <w:rFonts w:ascii="標楷體" w:eastAsia="標楷體" w:hAnsi="標楷體"/>
          <w:color w:val="000000"/>
        </w:rPr>
        <w:t>(2)經酵素免疫分析法檢測，血液中Anti-AAV9抗體效價&gt;1:50。</w:t>
      </w:r>
    </w:p>
    <w:p w14:paraId="17245F5B" w14:textId="77777777" w:rsidR="00BD776B" w:rsidRDefault="00DF0C24">
      <w:pPr>
        <w:ind w:left="1090" w:hanging="245"/>
        <w:rPr>
          <w:rFonts w:ascii="標楷體" w:eastAsia="標楷體" w:hAnsi="標楷體"/>
          <w:color w:val="000000"/>
        </w:rPr>
      </w:pPr>
      <w:r>
        <w:rPr>
          <w:rFonts w:ascii="標楷體" w:eastAsia="標楷體" w:hAnsi="標楷體"/>
          <w:color w:val="000000"/>
        </w:rPr>
        <w:t>(3)已使用過Nusinersen或Risdiplam。</w:t>
      </w:r>
    </w:p>
    <w:p w14:paraId="696AE705" w14:textId="77777777" w:rsidR="00BD776B" w:rsidRDefault="00DF0C24">
      <w:pPr>
        <w:ind w:left="851" w:hanging="245"/>
        <w:rPr>
          <w:rFonts w:ascii="標楷體" w:eastAsia="標楷體" w:hAnsi="標楷體"/>
          <w:color w:val="000000"/>
        </w:rPr>
      </w:pPr>
      <w:r>
        <w:rPr>
          <w:rFonts w:ascii="標楷體" w:eastAsia="標楷體" w:hAnsi="標楷體"/>
          <w:color w:val="000000"/>
        </w:rPr>
        <w:t>4.療效評估時機、判定及執行者：</w:t>
      </w:r>
    </w:p>
    <w:p w14:paraId="452D972A" w14:textId="77777777" w:rsidR="00BD776B" w:rsidRDefault="00DF0C24">
      <w:pPr>
        <w:ind w:left="1090" w:hanging="245"/>
        <w:rPr>
          <w:rFonts w:ascii="標楷體" w:eastAsia="標楷體" w:hAnsi="標楷體"/>
          <w:color w:val="000000"/>
        </w:rPr>
      </w:pPr>
      <w:r>
        <w:rPr>
          <w:rFonts w:ascii="標楷體" w:eastAsia="標楷體" w:hAnsi="標楷體"/>
          <w:color w:val="000000"/>
        </w:rPr>
        <w:t>(1)標準運動功能評估時機：</w:t>
      </w:r>
    </w:p>
    <w:p w14:paraId="010CF2C4" w14:textId="77777777" w:rsidR="00BD776B" w:rsidRDefault="00DF0C24">
      <w:pPr>
        <w:ind w:left="1330" w:hanging="245"/>
        <w:rPr>
          <w:rFonts w:ascii="標楷體" w:eastAsia="標楷體" w:hAnsi="標楷體"/>
          <w:color w:val="000000"/>
        </w:rPr>
      </w:pPr>
      <w:r>
        <w:rPr>
          <w:rFonts w:ascii="標楷體" w:eastAsia="標楷體" w:hAnsi="標楷體"/>
          <w:color w:val="000000"/>
        </w:rPr>
        <w:t>Ⅰ.Onasemnogene abeparvovec治療前。</w:t>
      </w:r>
    </w:p>
    <w:p w14:paraId="68C9E7C6" w14:textId="77777777" w:rsidR="00BD776B" w:rsidRDefault="00DF0C24">
      <w:pPr>
        <w:ind w:left="1330" w:hanging="245"/>
        <w:rPr>
          <w:rFonts w:ascii="標楷體" w:eastAsia="標楷體" w:hAnsi="標楷體"/>
          <w:color w:val="000000"/>
        </w:rPr>
      </w:pPr>
      <w:r>
        <w:rPr>
          <w:rFonts w:ascii="標楷體" w:eastAsia="標楷體" w:hAnsi="標楷體"/>
          <w:color w:val="000000"/>
        </w:rPr>
        <w:t>Ⅱ.Onasemnogene abeparvovec治療後，每4個月評估1次，倘CHOP INTEND 或HINE Section 2或WHO motor milestones任一項評估已達滿分，應繼續評估下列任一項目：</w:t>
      </w:r>
    </w:p>
    <w:p w14:paraId="24CD74F8" w14:textId="77777777" w:rsidR="00BD776B" w:rsidRDefault="00DF0C24">
      <w:pPr>
        <w:ind w:left="1570" w:hanging="245"/>
      </w:pPr>
      <w:r>
        <w:rPr>
          <w:rFonts w:ascii="新細明體" w:hAnsi="新細明體" w:cs="新細明體"/>
          <w:color w:val="000000"/>
        </w:rPr>
        <w:t>ⅰ</w:t>
      </w:r>
      <w:r>
        <w:rPr>
          <w:rFonts w:ascii="標楷體" w:eastAsia="標楷體" w:hAnsi="標楷體"/>
          <w:color w:val="000000"/>
        </w:rPr>
        <w:t>.BAYLEY-Ⅲ(gross motor skills)。</w:t>
      </w:r>
    </w:p>
    <w:p w14:paraId="790D0B75" w14:textId="77777777" w:rsidR="00BD776B" w:rsidRDefault="00DF0C24">
      <w:pPr>
        <w:ind w:left="1570" w:hanging="245"/>
      </w:pPr>
      <w:r>
        <w:rPr>
          <w:rFonts w:ascii="新細明體" w:hAnsi="新細明體" w:cs="新細明體"/>
          <w:color w:val="000000"/>
        </w:rPr>
        <w:t>ⅱ</w:t>
      </w:r>
      <w:r>
        <w:rPr>
          <w:rFonts w:ascii="標楷體" w:eastAsia="標楷體" w:hAnsi="標楷體"/>
          <w:color w:val="000000"/>
        </w:rPr>
        <w:t>.若以HFMSE評估須滿兩歲。</w:t>
      </w:r>
    </w:p>
    <w:p w14:paraId="047D7EA5" w14:textId="77777777" w:rsidR="00BD776B" w:rsidRDefault="00DF0C24">
      <w:pPr>
        <w:ind w:left="1570" w:hanging="245"/>
      </w:pPr>
      <w:r>
        <w:rPr>
          <w:rFonts w:ascii="新細明體" w:hAnsi="新細明體" w:cs="新細明體"/>
          <w:color w:val="000000"/>
        </w:rPr>
        <w:t>ⅲ</w:t>
      </w:r>
      <w:r>
        <w:rPr>
          <w:rFonts w:ascii="標楷體" w:eastAsia="標楷體" w:hAnsi="標楷體"/>
          <w:color w:val="000000"/>
        </w:rPr>
        <w:t>.若以RULM評估須滿兩歲六個月。</w:t>
      </w:r>
    </w:p>
    <w:p w14:paraId="5D702C39" w14:textId="77777777" w:rsidR="00BD776B" w:rsidRDefault="00DF0C24">
      <w:pPr>
        <w:ind w:left="1090" w:hanging="245"/>
        <w:rPr>
          <w:rFonts w:ascii="標楷體" w:eastAsia="標楷體" w:hAnsi="標楷體"/>
          <w:color w:val="000000"/>
        </w:rPr>
      </w:pPr>
      <w:r>
        <w:rPr>
          <w:rFonts w:ascii="標楷體" w:eastAsia="標楷體" w:hAnsi="標楷體"/>
          <w:color w:val="000000"/>
        </w:rPr>
        <w:t>(2)標準運動功能評估判定者：</w:t>
      </w:r>
    </w:p>
    <w:p w14:paraId="335D6DF6" w14:textId="77777777" w:rsidR="00BD776B" w:rsidRDefault="00DF0C24">
      <w:pPr>
        <w:ind w:left="1330" w:hanging="245"/>
        <w:rPr>
          <w:rFonts w:ascii="標楷體" w:eastAsia="標楷體" w:hAnsi="標楷體"/>
          <w:color w:val="000000"/>
        </w:rPr>
      </w:pPr>
      <w:r>
        <w:rPr>
          <w:rFonts w:ascii="標楷體" w:eastAsia="標楷體" w:hAnsi="標楷體"/>
          <w:color w:val="000000"/>
        </w:rPr>
        <w:t>Ⅰ.需由提供Onasemnogene abeparvovec治療之兒科專科醫師選擇下列各項適合療效評估工具，並判定評估結果：</w:t>
      </w:r>
    </w:p>
    <w:p w14:paraId="22503562" w14:textId="77777777" w:rsidR="00BD776B" w:rsidRDefault="00DF0C24">
      <w:pPr>
        <w:ind w:left="1570" w:hanging="245"/>
      </w:pPr>
      <w:r>
        <w:rPr>
          <w:rFonts w:ascii="新細明體" w:hAnsi="新細明體" w:cs="新細明體"/>
          <w:color w:val="000000"/>
        </w:rPr>
        <w:t>ⅰ</w:t>
      </w:r>
      <w:r>
        <w:rPr>
          <w:rFonts w:ascii="標楷體" w:eastAsia="標楷體" w:hAnsi="標楷體"/>
          <w:color w:val="000000"/>
        </w:rPr>
        <w:t>.CHOP INTEND。</w:t>
      </w:r>
    </w:p>
    <w:p w14:paraId="7A1CC139" w14:textId="77777777" w:rsidR="00BD776B" w:rsidRDefault="00DF0C24">
      <w:pPr>
        <w:ind w:left="1570" w:hanging="245"/>
      </w:pPr>
      <w:r>
        <w:rPr>
          <w:rFonts w:ascii="新細明體" w:hAnsi="新細明體" w:cs="新細明體"/>
          <w:color w:val="000000"/>
        </w:rPr>
        <w:t>ⅱ</w:t>
      </w:r>
      <w:r>
        <w:rPr>
          <w:rFonts w:ascii="標楷體" w:eastAsia="標楷體" w:hAnsi="標楷體"/>
          <w:color w:val="000000"/>
        </w:rPr>
        <w:t>.HINE Section 2。</w:t>
      </w:r>
    </w:p>
    <w:p w14:paraId="3C2D92A1" w14:textId="77777777" w:rsidR="00BD776B" w:rsidRDefault="00DF0C24">
      <w:pPr>
        <w:ind w:left="1570" w:hanging="245"/>
      </w:pPr>
      <w:r>
        <w:rPr>
          <w:rFonts w:ascii="新細明體" w:hAnsi="新細明體" w:cs="新細明體"/>
          <w:color w:val="000000"/>
        </w:rPr>
        <w:t>ⅲ</w:t>
      </w:r>
      <w:r>
        <w:rPr>
          <w:rFonts w:ascii="標楷體" w:eastAsia="標楷體" w:hAnsi="標楷體"/>
          <w:color w:val="000000"/>
        </w:rPr>
        <w:t>.WHO motor milestones。</w:t>
      </w:r>
    </w:p>
    <w:p w14:paraId="3B5F0C1F" w14:textId="77777777" w:rsidR="00BD776B" w:rsidRDefault="00DF0C24">
      <w:pPr>
        <w:ind w:left="1330" w:hanging="245"/>
        <w:rPr>
          <w:rFonts w:ascii="標楷體" w:eastAsia="標楷體" w:hAnsi="標楷體"/>
          <w:color w:val="000000"/>
        </w:rPr>
      </w:pPr>
      <w:r>
        <w:rPr>
          <w:rFonts w:ascii="標楷體" w:eastAsia="標楷體" w:hAnsi="標楷體"/>
          <w:color w:val="000000"/>
        </w:rPr>
        <w:t>Ⅱ.倘上述任一項目評估已達滿分，則以下列任一項目繼續評估：</w:t>
      </w:r>
    </w:p>
    <w:p w14:paraId="4860CEBD" w14:textId="77777777" w:rsidR="00BD776B" w:rsidRDefault="00DF0C24">
      <w:pPr>
        <w:ind w:left="1570" w:hanging="245"/>
      </w:pPr>
      <w:r>
        <w:rPr>
          <w:rFonts w:ascii="新細明體" w:hAnsi="新細明體" w:cs="新細明體"/>
          <w:color w:val="000000"/>
        </w:rPr>
        <w:t>ⅰ</w:t>
      </w:r>
      <w:r>
        <w:rPr>
          <w:rFonts w:ascii="標楷體" w:eastAsia="標楷體" w:hAnsi="標楷體"/>
          <w:color w:val="000000"/>
        </w:rPr>
        <w:t>.BAYLEY-Ⅲ(gross motor skills)。</w:t>
      </w:r>
    </w:p>
    <w:p w14:paraId="44E7FB75" w14:textId="77777777" w:rsidR="00BD776B" w:rsidRDefault="00DF0C24">
      <w:pPr>
        <w:ind w:left="1570" w:hanging="245"/>
      </w:pPr>
      <w:r>
        <w:rPr>
          <w:rFonts w:ascii="新細明體" w:hAnsi="新細明體" w:cs="新細明體"/>
          <w:color w:val="000000"/>
        </w:rPr>
        <w:t>ⅱ</w:t>
      </w:r>
      <w:r>
        <w:rPr>
          <w:rFonts w:ascii="標楷體" w:eastAsia="標楷體" w:hAnsi="標楷體"/>
          <w:color w:val="000000"/>
        </w:rPr>
        <w:t>.若以HFMSE評估須滿兩歲。</w:t>
      </w:r>
    </w:p>
    <w:p w14:paraId="12A68655" w14:textId="77777777" w:rsidR="00BD776B" w:rsidRDefault="00DF0C24">
      <w:pPr>
        <w:ind w:left="1570" w:hanging="245"/>
      </w:pPr>
      <w:r>
        <w:rPr>
          <w:rFonts w:ascii="新細明體" w:hAnsi="新細明體" w:cs="新細明體"/>
          <w:color w:val="000000"/>
        </w:rPr>
        <w:t>ⅲ</w:t>
      </w:r>
      <w:r>
        <w:rPr>
          <w:rFonts w:ascii="標楷體" w:eastAsia="標楷體" w:hAnsi="標楷體"/>
          <w:color w:val="000000"/>
        </w:rPr>
        <w:t>.若以RULM評估須滿兩歲六個月。</w:t>
      </w:r>
    </w:p>
    <w:p w14:paraId="197C21A7" w14:textId="77777777" w:rsidR="00BD776B" w:rsidRDefault="00DF0C24">
      <w:pPr>
        <w:ind w:left="1090" w:hanging="245"/>
        <w:rPr>
          <w:rFonts w:ascii="標楷體" w:eastAsia="標楷體" w:hAnsi="標楷體"/>
          <w:color w:val="000000"/>
        </w:rPr>
      </w:pPr>
      <w:r>
        <w:rPr>
          <w:rFonts w:ascii="標楷體" w:eastAsia="標楷體" w:hAnsi="標楷體"/>
          <w:color w:val="000000"/>
        </w:rPr>
        <w:t>(3)標準運動功能評估執行者：需由受過訓練之兒科專科醫師或物理治療師執行。</w:t>
      </w:r>
    </w:p>
    <w:p w14:paraId="4A23D50A" w14:textId="77777777" w:rsidR="00BD776B" w:rsidRDefault="00DF0C24">
      <w:pPr>
        <w:ind w:left="851" w:hanging="245"/>
        <w:rPr>
          <w:rFonts w:ascii="標楷體" w:eastAsia="標楷體" w:hAnsi="標楷體"/>
          <w:color w:val="000000"/>
        </w:rPr>
      </w:pPr>
      <w:r>
        <w:rPr>
          <w:rFonts w:ascii="標楷體" w:eastAsia="標楷體" w:hAnsi="標楷體"/>
          <w:color w:val="000000"/>
        </w:rPr>
        <w:t>5.使用本類藥品治療每年應檢附年度追蹤報告書，包括每4個月評估1次之標準運動功能、發展里程碑之錄影影片及病歷資料，並評估追蹤療效(下列評估需在SMA病人非急性住院期間執行，且病人需遵從標準支持治療)，且每年均需符合下列各條件(112/10/1)：</w:t>
      </w:r>
    </w:p>
    <w:p w14:paraId="5BB0C483" w14:textId="77777777" w:rsidR="00BD776B" w:rsidRDefault="00DF0C24">
      <w:pPr>
        <w:ind w:left="1090" w:hanging="245"/>
        <w:rPr>
          <w:rFonts w:ascii="標楷體" w:eastAsia="標楷體" w:hAnsi="標楷體"/>
          <w:color w:val="000000"/>
        </w:rPr>
      </w:pPr>
      <w:r>
        <w:rPr>
          <w:rFonts w:ascii="標楷體" w:eastAsia="標楷體" w:hAnsi="標楷體"/>
          <w:color w:val="000000"/>
        </w:rPr>
        <w:lastRenderedPageBreak/>
        <w:t>(1)存活。</w:t>
      </w:r>
    </w:p>
    <w:p w14:paraId="276FB44D" w14:textId="77777777" w:rsidR="00BD776B" w:rsidRDefault="00DF0C24">
      <w:pPr>
        <w:ind w:left="1187" w:hanging="340"/>
      </w:pPr>
      <w:r>
        <w:rPr>
          <w:rFonts w:ascii="標楷體" w:eastAsia="標楷體" w:hAnsi="標楷體"/>
          <w:color w:val="000000"/>
        </w:rPr>
        <w:t>(2)</w:t>
      </w:r>
      <w:r>
        <w:rPr>
          <w:rFonts w:ascii="標楷體" w:eastAsia="標楷體" w:hAnsi="標楷體"/>
          <w:szCs w:val="24"/>
        </w:rPr>
        <w:t>在非急性住院期間，未使用呼吸器，或有使用呼吸器但未達每天12小時，且連續30天。(需於年度報告書中，提交使用呼吸器之相關臨床醫療紀錄，以佐證上述治療情形) (112/10/1)</w:t>
      </w:r>
      <w:r>
        <w:rPr>
          <w:rFonts w:ascii="標楷體" w:eastAsia="標楷體" w:hAnsi="標楷體"/>
          <w:color w:val="000000"/>
        </w:rPr>
        <w:t xml:space="preserve"> </w:t>
      </w:r>
    </w:p>
    <w:p w14:paraId="0364B83B" w14:textId="77777777" w:rsidR="00BD776B" w:rsidRDefault="00DF0C24">
      <w:pPr>
        <w:ind w:left="1187" w:hanging="340"/>
        <w:rPr>
          <w:rFonts w:ascii="標楷體" w:eastAsia="標楷體" w:hAnsi="標楷體"/>
          <w:color w:val="000000"/>
        </w:rPr>
      </w:pPr>
      <w:r>
        <w:rPr>
          <w:rFonts w:ascii="標楷體" w:eastAsia="標楷體" w:hAnsi="標楷體"/>
          <w:color w:val="000000"/>
        </w:rPr>
        <w:t>(3)用藥後追蹤CHOP INTEND、HINE Section 2、WHO motor milestones評估分數至少有一次不低於起始治療前該項標準運動功能第1次評估分數。(註:如上述評估項目之評估分數每次均低於起始治療前該項標準運動功能之第1次評估分數，則表示未達療效。) (112/10/1)</w:t>
      </w:r>
    </w:p>
    <w:p w14:paraId="49FC6322" w14:textId="77777777" w:rsidR="00BD776B" w:rsidRDefault="00DF0C24">
      <w:pPr>
        <w:ind w:left="1187" w:hanging="340"/>
        <w:rPr>
          <w:rFonts w:ascii="標楷體" w:eastAsia="標楷體" w:hAnsi="標楷體"/>
          <w:color w:val="000000"/>
        </w:rPr>
      </w:pPr>
      <w:r>
        <w:rPr>
          <w:rFonts w:ascii="標楷體" w:eastAsia="標楷體" w:hAnsi="標楷體"/>
          <w:color w:val="000000"/>
        </w:rPr>
        <w:t>(4)CHOP INTEND或HINE Section或WHO motor milestones 任一評估分數已達滿分，應繼續評估下列任一項目，且評估分數至少有一次不低於開始該項標準運動功能第1次評估分數。(註:若評估項目之評估分數每次均低於開始該項標準運動功能之第1次評估分數，則表示未達療效。) (112/10/1)</w:t>
      </w:r>
    </w:p>
    <w:p w14:paraId="7273F5ED" w14:textId="77777777" w:rsidR="00BD776B" w:rsidRDefault="00DF0C24">
      <w:pPr>
        <w:ind w:left="1330" w:hanging="245"/>
      </w:pPr>
      <w:r>
        <w:rPr>
          <w:rFonts w:ascii="新細明體" w:hAnsi="新細明體" w:cs="新細明體"/>
          <w:color w:val="000000"/>
        </w:rPr>
        <w:t>ⅰ</w:t>
      </w:r>
      <w:r>
        <w:rPr>
          <w:rFonts w:ascii="標楷體" w:eastAsia="標楷體" w:hAnsi="標楷體"/>
          <w:color w:val="000000"/>
        </w:rPr>
        <w:t>.BAYLEY-Ⅲ(gross motor skills)。</w:t>
      </w:r>
    </w:p>
    <w:p w14:paraId="65AE787C" w14:textId="77777777" w:rsidR="00BD776B" w:rsidRDefault="00DF0C24">
      <w:pPr>
        <w:ind w:left="1330" w:hanging="245"/>
      </w:pPr>
      <w:r>
        <w:rPr>
          <w:rFonts w:ascii="新細明體" w:hAnsi="新細明體" w:cs="新細明體"/>
          <w:color w:val="000000"/>
        </w:rPr>
        <w:t>ⅱ</w:t>
      </w:r>
      <w:r>
        <w:rPr>
          <w:rFonts w:ascii="標楷體" w:eastAsia="標楷體" w:hAnsi="標楷體"/>
          <w:color w:val="000000"/>
        </w:rPr>
        <w:t>.若以HFMSE評估須滿兩歲。</w:t>
      </w:r>
    </w:p>
    <w:p w14:paraId="715122C2" w14:textId="77777777" w:rsidR="00BD776B" w:rsidRDefault="00DF0C24">
      <w:pPr>
        <w:ind w:left="1330" w:hanging="245"/>
      </w:pPr>
      <w:r>
        <w:rPr>
          <w:rFonts w:ascii="新細明體" w:hAnsi="新細明體" w:cs="新細明體"/>
          <w:color w:val="000000"/>
        </w:rPr>
        <w:t>ⅲ</w:t>
      </w:r>
      <w:r>
        <w:rPr>
          <w:rFonts w:ascii="標楷體" w:eastAsia="標楷體" w:hAnsi="標楷體"/>
          <w:color w:val="000000"/>
        </w:rPr>
        <w:t>.若以RULM評估須滿兩歲六個月。</w:t>
      </w:r>
    </w:p>
    <w:p w14:paraId="50AF5407" w14:textId="77777777" w:rsidR="00BD776B" w:rsidRDefault="00DF0C24">
      <w:pPr>
        <w:ind w:left="1187" w:hanging="340"/>
      </w:pPr>
      <w:r>
        <w:rPr>
          <w:rFonts w:ascii="標楷體" w:eastAsia="標楷體" w:hAnsi="標楷體"/>
          <w:color w:val="000000"/>
        </w:rPr>
        <w:t>(5)用藥後追蹤發展里程碑(獨自坐立</w:t>
      </w:r>
      <w:r>
        <w:rPr>
          <w:rFonts w:ascii="Times New Roman" w:eastAsia="標楷體" w:hAnsi="Times New Roman"/>
          <w:color w:val="000000"/>
        </w:rPr>
        <w:t>≥</w:t>
      </w:r>
      <w:r>
        <w:rPr>
          <w:rFonts w:ascii="標楷體" w:eastAsia="標楷體" w:hAnsi="標楷體"/>
          <w:color w:val="000000"/>
        </w:rPr>
        <w:t>30秒或獨自站立</w:t>
      </w:r>
      <w:r>
        <w:rPr>
          <w:rFonts w:ascii="Times New Roman" w:eastAsia="標楷體" w:hAnsi="Times New Roman"/>
          <w:color w:val="000000"/>
        </w:rPr>
        <w:t>≥</w:t>
      </w:r>
      <w:r>
        <w:rPr>
          <w:rFonts w:ascii="標楷體" w:eastAsia="標楷體" w:hAnsi="標楷體"/>
          <w:color w:val="000000"/>
        </w:rPr>
        <w:t>10秒或獨自行走</w:t>
      </w:r>
      <w:r>
        <w:rPr>
          <w:rFonts w:ascii="Times New Roman" w:eastAsia="標楷體" w:hAnsi="Times New Roman"/>
          <w:color w:val="000000"/>
        </w:rPr>
        <w:t>≥</w:t>
      </w:r>
      <w:r>
        <w:rPr>
          <w:rFonts w:ascii="標楷體" w:eastAsia="標楷體" w:hAnsi="標楷體"/>
          <w:color w:val="000000"/>
        </w:rPr>
        <w:t>5步），不得有退化。</w:t>
      </w:r>
      <w:r>
        <w:rPr>
          <w:rFonts w:ascii="標楷體" w:eastAsia="標楷體" w:hAnsi="標楷體"/>
          <w:szCs w:val="24"/>
        </w:rPr>
        <w:t>(註：當年度2次以上評估均失去已達成之發展里程碑，則表示退化。) (112/10/1)</w:t>
      </w:r>
    </w:p>
    <w:p w14:paraId="71376B94" w14:textId="77777777" w:rsidR="00BD776B" w:rsidRDefault="00DF0C24">
      <w:pPr>
        <w:ind w:left="851" w:hanging="245"/>
        <w:rPr>
          <w:rFonts w:ascii="標楷體" w:eastAsia="標楷體" w:hAnsi="標楷體"/>
          <w:color w:val="000000"/>
        </w:rPr>
      </w:pPr>
      <w:r>
        <w:rPr>
          <w:rFonts w:ascii="標楷體" w:eastAsia="標楷體" w:hAnsi="標楷體"/>
          <w:color w:val="000000"/>
        </w:rPr>
        <w:t>6.使用本藥品需完成個案系統登錄，亦需登錄每次評估療效或停止評估後，於此系統登錄結案。</w:t>
      </w:r>
    </w:p>
    <w:p w14:paraId="76270134" w14:textId="77777777" w:rsidR="00BD776B" w:rsidRDefault="00DF0C24">
      <w:pPr>
        <w:ind w:left="851" w:hanging="245"/>
        <w:rPr>
          <w:rFonts w:ascii="標楷體" w:eastAsia="標楷體" w:hAnsi="標楷體"/>
          <w:color w:val="000000"/>
        </w:rPr>
      </w:pPr>
      <w:r>
        <w:rPr>
          <w:rFonts w:ascii="標楷體" w:eastAsia="標楷體" w:hAnsi="標楷體"/>
          <w:color w:val="000000"/>
        </w:rPr>
        <w:t>7.Onasemnogene abeparvovec 或nusinersen或risdiplam限擇一使用，且不得互換。</w:t>
      </w:r>
    </w:p>
    <w:p w14:paraId="51660C38" w14:textId="77777777" w:rsidR="00BD776B" w:rsidRDefault="00DF0C24">
      <w:pPr>
        <w:ind w:left="851" w:hanging="245"/>
      </w:pPr>
      <w:r>
        <w:rPr>
          <w:rFonts w:ascii="標楷體" w:eastAsia="標楷體" w:hAnsi="標楷體"/>
          <w:color w:val="000000"/>
        </w:rPr>
        <w:t>8.</w:t>
      </w:r>
      <w:r>
        <w:rPr>
          <w:rFonts w:ascii="標楷體" w:eastAsia="標楷體" w:hAnsi="標楷體"/>
          <w:szCs w:val="24"/>
        </w:rPr>
        <w:t>使用本藥品病人需簽署「全民健康保險保險對象使用onasemnogene abeparvovec基因療法製劑協議書」。(附表三十七) (112/10/1、113/4/1)。</w:t>
      </w:r>
    </w:p>
    <w:p w14:paraId="52EFA293" w14:textId="77777777" w:rsidR="00BD776B" w:rsidRDefault="00BD776B">
      <w:pPr>
        <w:ind w:left="851" w:hanging="245"/>
        <w:rPr>
          <w:rFonts w:ascii="標楷體" w:eastAsia="標楷體" w:hAnsi="標楷體"/>
          <w:color w:val="000000"/>
        </w:rPr>
      </w:pPr>
    </w:p>
    <w:p w14:paraId="4E3CC043" w14:textId="77777777" w:rsidR="00BD776B" w:rsidRDefault="00BD776B">
      <w:pPr>
        <w:pageBreakBefore/>
        <w:widowControl/>
        <w:suppressAutoHyphens w:val="0"/>
      </w:pPr>
    </w:p>
    <w:p w14:paraId="0BA8A289" w14:textId="77777777" w:rsidR="00BD776B" w:rsidRDefault="00DF0C24">
      <w:pPr>
        <w:pStyle w:val="2"/>
      </w:pPr>
      <w:r>
        <w:t>第2節 心臟血管及腎臟藥物 Cardiovascular-renal drugs</w:t>
      </w:r>
    </w:p>
    <w:p w14:paraId="5F700D3A" w14:textId="77777777" w:rsidR="00BD776B" w:rsidRDefault="00BD776B">
      <w:pPr>
        <w:snapToGrid w:val="0"/>
        <w:spacing w:line="400" w:lineRule="exact"/>
        <w:jc w:val="center"/>
        <w:rPr>
          <w:rFonts w:ascii="標楷體" w:eastAsia="標楷體" w:hAnsi="標楷體"/>
          <w:b/>
          <w:color w:val="000000"/>
          <w:sz w:val="32"/>
          <w:szCs w:val="32"/>
        </w:rPr>
      </w:pPr>
    </w:p>
    <w:p w14:paraId="68B85165" w14:textId="77777777" w:rsidR="00BD776B" w:rsidRDefault="00DF0C24">
      <w:pPr>
        <w:ind w:left="672" w:hanging="386"/>
        <w:rPr>
          <w:rFonts w:ascii="標楷體" w:eastAsia="標楷體" w:hAnsi="標楷體"/>
          <w:color w:val="000000"/>
        </w:rPr>
      </w:pPr>
      <w:r>
        <w:rPr>
          <w:rFonts w:ascii="標楷體" w:eastAsia="標楷體" w:hAnsi="標楷體"/>
          <w:color w:val="000000"/>
        </w:rPr>
        <w:t>2.1.抗血栓劑Antithrombotic agents</w:t>
      </w:r>
    </w:p>
    <w:p w14:paraId="02177C0B" w14:textId="77777777" w:rsidR="00BD776B" w:rsidRDefault="00DF0C24">
      <w:pPr>
        <w:ind w:left="672" w:hanging="386"/>
        <w:rPr>
          <w:rFonts w:ascii="標楷體" w:eastAsia="標楷體" w:hAnsi="標楷體"/>
          <w:color w:val="000000"/>
        </w:rPr>
      </w:pPr>
      <w:r>
        <w:rPr>
          <w:rFonts w:ascii="標楷體" w:eastAsia="標楷體" w:hAnsi="標楷體"/>
          <w:color w:val="000000"/>
        </w:rPr>
        <w:t>2.1.1.血小板凝集抑制劑  Platelet aggregation inhibitors（100/7/1）</w:t>
      </w:r>
    </w:p>
    <w:p w14:paraId="59FE5822" w14:textId="77777777" w:rsidR="00BD776B" w:rsidRDefault="00DF0C24">
      <w:pPr>
        <w:ind w:left="672" w:hanging="386"/>
        <w:rPr>
          <w:rFonts w:ascii="標楷體" w:eastAsia="標楷體" w:hAnsi="標楷體"/>
          <w:color w:val="000000"/>
        </w:rPr>
      </w:pPr>
      <w:r>
        <w:rPr>
          <w:rFonts w:ascii="標楷體" w:eastAsia="標楷體" w:hAnsi="標楷體"/>
          <w:color w:val="000000"/>
        </w:rPr>
        <w:t>2.1.1.1.Acetylsalicylic acid (Aspirin) 製劑（89/2/1）</w:t>
      </w:r>
    </w:p>
    <w:p w14:paraId="0D87FBA8" w14:textId="77777777" w:rsidR="00BD776B" w:rsidRDefault="00DF0C24">
      <w:pPr>
        <w:ind w:left="798" w:hanging="1"/>
        <w:rPr>
          <w:rFonts w:ascii="標楷體" w:eastAsia="標楷體" w:hAnsi="標楷體"/>
          <w:color w:val="000000"/>
        </w:rPr>
      </w:pPr>
      <w:r>
        <w:rPr>
          <w:rFonts w:ascii="標楷體" w:eastAsia="標楷體" w:hAnsi="標楷體"/>
          <w:color w:val="000000"/>
        </w:rPr>
        <w:t>如用於抗血小板凝集，以每日一粒為原則。</w:t>
      </w:r>
    </w:p>
    <w:p w14:paraId="34CE0458" w14:textId="77777777" w:rsidR="00BD776B" w:rsidRDefault="00DF0C24">
      <w:pPr>
        <w:ind w:left="672" w:hanging="386"/>
        <w:rPr>
          <w:rFonts w:ascii="標楷體" w:eastAsia="標楷體" w:hAnsi="標楷體"/>
          <w:color w:val="000000"/>
        </w:rPr>
      </w:pPr>
      <w:r>
        <w:rPr>
          <w:rFonts w:ascii="標楷體" w:eastAsia="標楷體" w:hAnsi="標楷體"/>
          <w:color w:val="000000"/>
        </w:rPr>
        <w:t>2.1.1.2.Ticlopidine (原ticlopidine與acetylsalicylic acid合併使用之情況條文修訂)：(87/4/1、88/9/1、90/1/1、100/7/1)</w:t>
      </w:r>
    </w:p>
    <w:p w14:paraId="5E89732B" w14:textId="77777777" w:rsidR="00BD776B" w:rsidRDefault="00DF0C24">
      <w:pPr>
        <w:ind w:left="811" w:hanging="245"/>
        <w:rPr>
          <w:rFonts w:ascii="標楷體" w:eastAsia="標楷體" w:hAnsi="標楷體"/>
          <w:color w:val="000000"/>
        </w:rPr>
      </w:pPr>
      <w:r>
        <w:rPr>
          <w:rFonts w:ascii="標楷體" w:eastAsia="標楷體" w:hAnsi="標楷體"/>
          <w:color w:val="000000"/>
        </w:rPr>
        <w:t>1.限無法忍受acetylsalicylic acid (Aspirin) 或對acetylsalicylic acid (Aspirin) 有禁忌而需使用抗血小板製劑之病患使用(88/9/1)。</w:t>
      </w:r>
    </w:p>
    <w:p w14:paraId="5A14123C" w14:textId="77777777" w:rsidR="00BD776B" w:rsidRDefault="00DF0C24">
      <w:pPr>
        <w:ind w:left="811" w:hanging="245"/>
        <w:rPr>
          <w:rFonts w:ascii="標楷體" w:eastAsia="標楷體" w:hAnsi="標楷體"/>
          <w:color w:val="000000"/>
        </w:rPr>
      </w:pPr>
      <w:r>
        <w:rPr>
          <w:rFonts w:ascii="標楷體" w:eastAsia="標楷體" w:hAnsi="標楷體"/>
          <w:color w:val="000000"/>
        </w:rPr>
        <w:t>2.原則上本類製劑與acetylsalicylic acid (Aspirin) 不宜合併使用，僅於冠狀動脈支架植入術後三個月內，得依病情需要合併使用。(87/4/1、90/1/1）</w:t>
      </w:r>
    </w:p>
    <w:p w14:paraId="4F0C6AED" w14:textId="77777777" w:rsidR="00BD776B" w:rsidRDefault="00DF0C24">
      <w:pPr>
        <w:ind w:left="811" w:hanging="245"/>
        <w:rPr>
          <w:rFonts w:ascii="標楷體" w:eastAsia="標楷體" w:hAnsi="標楷體"/>
          <w:color w:val="000000"/>
        </w:rPr>
      </w:pPr>
      <w:r>
        <w:rPr>
          <w:rFonts w:ascii="標楷體" w:eastAsia="標楷體" w:hAnsi="標楷體"/>
          <w:color w:val="000000"/>
        </w:rPr>
        <w:t>3.申報費用時需註明放置支架 (stent) 之日期。（87/4/1、90/1/1、100/7/1)</w:t>
      </w:r>
    </w:p>
    <w:p w14:paraId="2A6EEBDA" w14:textId="77777777" w:rsidR="00BD776B" w:rsidRDefault="00DF0C24">
      <w:pPr>
        <w:ind w:left="672" w:hanging="386"/>
        <w:rPr>
          <w:rFonts w:ascii="標楷體" w:eastAsia="標楷體" w:hAnsi="標楷體"/>
          <w:color w:val="000000"/>
        </w:rPr>
      </w:pPr>
      <w:r>
        <w:rPr>
          <w:rFonts w:ascii="標楷體" w:eastAsia="標楷體" w:hAnsi="標楷體"/>
          <w:color w:val="000000"/>
        </w:rPr>
        <w:t>2.1.1.3.Tirofiban (如Aggrastat)：（91/2/1、99/10/1、100/7/1)</w:t>
      </w:r>
    </w:p>
    <w:p w14:paraId="7C5AD74B" w14:textId="77777777" w:rsidR="00BD776B" w:rsidRDefault="00DF0C24">
      <w:pPr>
        <w:ind w:left="811" w:hanging="245"/>
        <w:rPr>
          <w:rFonts w:ascii="標楷體" w:eastAsia="標楷體" w:hAnsi="標楷體"/>
          <w:color w:val="000000"/>
        </w:rPr>
      </w:pPr>
      <w:r>
        <w:rPr>
          <w:rFonts w:ascii="標楷體" w:eastAsia="標楷體" w:hAnsi="標楷體"/>
          <w:color w:val="000000"/>
        </w:rPr>
        <w:t>1.限不穩定型心絞痛，對傳統療法無反應者，已預定施行經冠狀動脈成形術之不穩定狹心症時，作為heparin的輔助療法，或非Q波之心肌梗塞之病患使用。</w:t>
      </w:r>
    </w:p>
    <w:p w14:paraId="440254ED" w14:textId="77777777" w:rsidR="00BD776B" w:rsidRDefault="00DF0C24">
      <w:pPr>
        <w:ind w:left="811" w:hanging="245"/>
        <w:rPr>
          <w:rFonts w:ascii="標楷體" w:eastAsia="標楷體" w:hAnsi="標楷體"/>
          <w:color w:val="000000"/>
        </w:rPr>
      </w:pPr>
      <w:r>
        <w:rPr>
          <w:rFonts w:ascii="標楷體" w:eastAsia="標楷體" w:hAnsi="標楷體"/>
          <w:color w:val="000000"/>
        </w:rPr>
        <w:t>2.急性Q波心肌梗塞於症狀發生十二小時內，於執行PTCA時得併用tirofiban。</w:t>
      </w:r>
    </w:p>
    <w:p w14:paraId="2880EB87" w14:textId="77777777" w:rsidR="00BD776B" w:rsidRDefault="00DF0C24">
      <w:pPr>
        <w:ind w:left="672" w:hanging="386"/>
        <w:rPr>
          <w:rFonts w:ascii="標楷體" w:eastAsia="標楷體" w:hAnsi="標楷體"/>
          <w:color w:val="000000"/>
        </w:rPr>
      </w:pPr>
      <w:r>
        <w:rPr>
          <w:rFonts w:ascii="標楷體" w:eastAsia="標楷體" w:hAnsi="標楷體"/>
          <w:color w:val="000000"/>
        </w:rPr>
        <w:t>2.1.1.4.Abciximab（如ReoPro）：(90/7/1、100/7/1)</w:t>
      </w:r>
    </w:p>
    <w:p w14:paraId="74D8754D" w14:textId="77777777" w:rsidR="00BD776B" w:rsidRDefault="00DF0C24">
      <w:pPr>
        <w:ind w:left="811" w:hanging="245"/>
        <w:rPr>
          <w:rFonts w:ascii="標楷體" w:eastAsia="標楷體" w:hAnsi="標楷體"/>
          <w:color w:val="000000"/>
        </w:rPr>
      </w:pPr>
      <w:r>
        <w:rPr>
          <w:rFonts w:ascii="標楷體" w:eastAsia="標楷體" w:hAnsi="標楷體"/>
          <w:color w:val="000000"/>
        </w:rPr>
        <w:t>1.限不穩定型心絞痛，對傳統療法無反應者，已預定施行經冠狀動脈成形術之不穩定狹心症時、作為heparin的輔助療法，或非Q波之心肌梗塞之病患使用。</w:t>
      </w:r>
    </w:p>
    <w:p w14:paraId="2F191451" w14:textId="77777777" w:rsidR="00BD776B" w:rsidRDefault="00DF0C24">
      <w:pPr>
        <w:ind w:left="811" w:hanging="245"/>
        <w:rPr>
          <w:rFonts w:ascii="標楷體" w:eastAsia="標楷體" w:hAnsi="標楷體"/>
          <w:color w:val="000000"/>
        </w:rPr>
      </w:pPr>
      <w:r>
        <w:rPr>
          <w:rFonts w:ascii="標楷體" w:eastAsia="標楷體" w:hAnsi="標楷體"/>
          <w:color w:val="000000"/>
        </w:rPr>
        <w:t>2.急性Q波心肌梗塞於症狀發生十二小時內，於執行PTCA時得併用abciximab。</w:t>
      </w:r>
    </w:p>
    <w:p w14:paraId="702D3F50" w14:textId="77777777" w:rsidR="00BD776B" w:rsidRDefault="00DF0C24">
      <w:pPr>
        <w:ind w:left="672" w:hanging="386"/>
      </w:pPr>
      <w:r>
        <w:rPr>
          <w:rFonts w:ascii="標楷體" w:eastAsia="標楷體" w:hAnsi="標楷體"/>
          <w:color w:val="000000"/>
        </w:rPr>
        <w:t>2.1.1.5.Cilostazol（如Pletaal）：(90/6/1、100/7/1、104/4/1、105/5/1)</w:t>
      </w:r>
    </w:p>
    <w:p w14:paraId="12E2E2BE" w14:textId="77777777" w:rsidR="00BD776B" w:rsidRDefault="00DF0C24">
      <w:pPr>
        <w:ind w:left="850" w:hanging="281"/>
      </w:pPr>
      <w:r>
        <w:rPr>
          <w:rFonts w:ascii="標楷體" w:eastAsia="標楷體" w:hAnsi="標楷體"/>
          <w:color w:val="000000"/>
          <w:lang w:val="it-IT"/>
        </w:rPr>
        <w:t>1.</w:t>
      </w:r>
      <w:r>
        <w:rPr>
          <w:rFonts w:ascii="標楷體" w:eastAsia="標楷體" w:hAnsi="標楷體"/>
          <w:color w:val="000000"/>
        </w:rPr>
        <w:t>使用於無休息時疼痛及周邊組織壞死之間歇性跛行病人</w:t>
      </w:r>
      <w:r>
        <w:rPr>
          <w:rFonts w:ascii="標楷體" w:eastAsia="標楷體" w:hAnsi="標楷體"/>
          <w:color w:val="000000"/>
          <w:lang w:val="it-IT"/>
        </w:rPr>
        <w:t>（</w:t>
      </w:r>
      <w:r>
        <w:rPr>
          <w:rFonts w:ascii="標楷體" w:eastAsia="標楷體" w:hAnsi="標楷體"/>
          <w:color w:val="000000"/>
        </w:rPr>
        <w:t>周邊動脈疾病</w:t>
      </w:r>
      <w:r>
        <w:rPr>
          <w:rFonts w:ascii="標楷體" w:eastAsia="標楷體" w:hAnsi="標楷體"/>
          <w:color w:val="000000"/>
          <w:lang w:val="it-IT"/>
        </w:rPr>
        <w:t>Fontaine stage II），</w:t>
      </w:r>
      <w:r>
        <w:rPr>
          <w:rFonts w:ascii="標楷體" w:eastAsia="標楷體" w:hAnsi="標楷體"/>
          <w:color w:val="000000"/>
        </w:rPr>
        <w:t>用於增加最大及無痛行走距離。</w:t>
      </w:r>
    </w:p>
    <w:p w14:paraId="25213E1C" w14:textId="77777777" w:rsidR="00BD776B" w:rsidRDefault="00DF0C24">
      <w:pPr>
        <w:ind w:left="849" w:hanging="283"/>
        <w:rPr>
          <w:rFonts w:ascii="標楷體" w:eastAsia="標楷體" w:hAnsi="標楷體"/>
          <w:color w:val="000000"/>
        </w:rPr>
      </w:pPr>
      <w:r>
        <w:rPr>
          <w:rFonts w:ascii="標楷體" w:eastAsia="標楷體" w:hAnsi="標楷體"/>
          <w:color w:val="000000"/>
        </w:rPr>
        <w:t>2.經生活模式改變及其他治療後，仍無法充分改善間歇性跛行症狀病人之二線治療。</w:t>
      </w:r>
    </w:p>
    <w:p w14:paraId="07587CA9" w14:textId="77777777" w:rsidR="00BD776B" w:rsidRDefault="00DF0C24">
      <w:pPr>
        <w:ind w:left="849" w:hanging="283"/>
        <w:rPr>
          <w:rFonts w:ascii="標楷體" w:eastAsia="標楷體" w:hAnsi="標楷體"/>
          <w:color w:val="000000"/>
        </w:rPr>
      </w:pPr>
      <w:r>
        <w:rPr>
          <w:rFonts w:ascii="標楷體" w:eastAsia="標楷體" w:hAnsi="標楷體"/>
          <w:color w:val="000000"/>
        </w:rPr>
        <w:t>3.用於無法耐受acetylsalicylic acid且屬非心因性栓塞之腦梗塞患者，以預防腦梗塞之再復發，並符合下列條件之一(105/5/1)：</w:t>
      </w:r>
    </w:p>
    <w:p w14:paraId="68B3139E" w14:textId="77777777" w:rsidR="00BD776B" w:rsidRDefault="00DF0C24">
      <w:pPr>
        <w:ind w:left="1102" w:hanging="396"/>
        <w:rPr>
          <w:rFonts w:ascii="標楷體" w:eastAsia="標楷體" w:hAnsi="標楷體"/>
          <w:color w:val="000000"/>
        </w:rPr>
      </w:pPr>
      <w:r>
        <w:rPr>
          <w:rFonts w:ascii="標楷體" w:eastAsia="標楷體" w:hAnsi="標楷體"/>
          <w:color w:val="000000"/>
        </w:rPr>
        <w:t>(1)對acetylsalicylic acid過敏。</w:t>
      </w:r>
    </w:p>
    <w:p w14:paraId="39048564" w14:textId="77777777" w:rsidR="00BD776B" w:rsidRDefault="00DF0C24">
      <w:pPr>
        <w:ind w:left="1102" w:hanging="396"/>
        <w:rPr>
          <w:rFonts w:ascii="標楷體" w:eastAsia="標楷體" w:hAnsi="標楷體"/>
          <w:color w:val="000000"/>
        </w:rPr>
      </w:pPr>
      <w:r>
        <w:rPr>
          <w:rFonts w:ascii="標楷體" w:eastAsia="標楷體" w:hAnsi="標楷體"/>
          <w:color w:val="000000"/>
        </w:rPr>
        <w:t>(2)臨床診斷確定為acetylsalicylic acid所導致之消化性潰瘍或上消化道出血、穿孔病史者。需於病歷註明發生時間。</w:t>
      </w:r>
    </w:p>
    <w:p w14:paraId="7D7E23DE" w14:textId="77777777" w:rsidR="00BD776B" w:rsidRDefault="00DF0C24">
      <w:pPr>
        <w:ind w:left="1102" w:hanging="396"/>
        <w:rPr>
          <w:rFonts w:ascii="標楷體" w:eastAsia="標楷體" w:hAnsi="標楷體"/>
          <w:color w:val="000000"/>
        </w:rPr>
      </w:pPr>
      <w:r>
        <w:rPr>
          <w:rFonts w:ascii="標楷體" w:eastAsia="標楷體" w:hAnsi="標楷體"/>
          <w:color w:val="000000"/>
        </w:rPr>
        <w:t>(3)最近一年內臨床診斷確定為消化性潰瘍者。病歷上應有明確消化性潰瘍之典型症狀紀錄及發病時間。</w:t>
      </w:r>
    </w:p>
    <w:p w14:paraId="6B32F3FB" w14:textId="77777777" w:rsidR="00BD776B" w:rsidRDefault="00DF0C24">
      <w:pPr>
        <w:ind w:left="1102" w:hanging="396"/>
        <w:rPr>
          <w:rFonts w:ascii="標楷體" w:eastAsia="標楷體" w:hAnsi="標楷體"/>
          <w:color w:val="000000"/>
        </w:rPr>
      </w:pPr>
      <w:r>
        <w:rPr>
          <w:rFonts w:ascii="標楷體" w:eastAsia="標楷體" w:hAnsi="標楷體"/>
          <w:color w:val="000000"/>
        </w:rPr>
        <w:t>(4)最近一年內經上消化道內視鏡檢查或上消化道X光攝影檢查證實消化性潰瘍或發生上消化道出血、穿孔病史。需於病歷註明上消化道內視鏡或上消化道X光攝影檢查時間。但對acetylsalicylic acid無法耐受，且身體狀況無法忍受內視鏡或消化道X光攝影檢查者（如75歲(含)以上罹有中風或長期卧床者）不在此限。</w:t>
      </w:r>
    </w:p>
    <w:p w14:paraId="1CC6D999" w14:textId="77777777" w:rsidR="00BD776B" w:rsidRDefault="00DF0C24">
      <w:pPr>
        <w:ind w:left="672" w:hanging="386"/>
        <w:rPr>
          <w:rFonts w:ascii="標楷體" w:eastAsia="標楷體" w:hAnsi="標楷體"/>
          <w:color w:val="000000"/>
        </w:rPr>
      </w:pPr>
      <w:r>
        <w:rPr>
          <w:rFonts w:ascii="標楷體" w:eastAsia="標楷體" w:hAnsi="標楷體"/>
          <w:color w:val="000000"/>
        </w:rPr>
        <w:t>2.1.1.6 Clopidogrel（如Plavix）：(90/1/1、93/4/1、94/8/1、96/10/1、100/7/1、101/12/1)</w:t>
      </w:r>
    </w:p>
    <w:p w14:paraId="13968E56" w14:textId="77777777" w:rsidR="00BD776B" w:rsidRDefault="00DF0C24">
      <w:pPr>
        <w:ind w:left="811" w:hanging="245"/>
        <w:rPr>
          <w:rFonts w:ascii="標楷體" w:eastAsia="標楷體" w:hAnsi="標楷體"/>
          <w:color w:val="000000"/>
        </w:rPr>
      </w:pPr>
      <w:r>
        <w:rPr>
          <w:rFonts w:ascii="標楷體" w:eastAsia="標楷體" w:hAnsi="標楷體"/>
          <w:color w:val="000000"/>
        </w:rPr>
        <w:t>1.限近期發生中風、心肌梗塞或週邊動脈血管疾病的粥狀動脈硬化病人，並符合</w:t>
      </w:r>
      <w:r>
        <w:rPr>
          <w:rFonts w:ascii="標楷體" w:eastAsia="標楷體" w:hAnsi="標楷體"/>
          <w:color w:val="000000"/>
        </w:rPr>
        <w:lastRenderedPageBreak/>
        <w:t>下列條件之一者使用。(90/1/1、94/8/1、96/10/1)</w:t>
      </w:r>
    </w:p>
    <w:p w14:paraId="11DF4539" w14:textId="77777777" w:rsidR="00BD776B" w:rsidRDefault="00DF0C24">
      <w:pPr>
        <w:ind w:left="1049" w:hanging="341"/>
        <w:rPr>
          <w:rFonts w:ascii="標楷體" w:eastAsia="標楷體" w:hAnsi="標楷體"/>
          <w:color w:val="000000"/>
        </w:rPr>
      </w:pPr>
      <w:r>
        <w:rPr>
          <w:rFonts w:ascii="標楷體" w:eastAsia="標楷體" w:hAnsi="標楷體"/>
          <w:color w:val="000000"/>
        </w:rPr>
        <w:t>(1)對acetylsalicylic acid (如Aspirin)過敏。</w:t>
      </w:r>
    </w:p>
    <w:p w14:paraId="3D6F563A" w14:textId="77777777" w:rsidR="00BD776B" w:rsidRDefault="00DF0C24">
      <w:pPr>
        <w:ind w:left="1049" w:hanging="341"/>
        <w:rPr>
          <w:rFonts w:ascii="標楷體" w:eastAsia="標楷體" w:hAnsi="標楷體"/>
          <w:color w:val="000000"/>
        </w:rPr>
      </w:pPr>
      <w:r>
        <w:rPr>
          <w:rFonts w:ascii="標楷體" w:eastAsia="標楷體" w:hAnsi="標楷體"/>
          <w:color w:val="000000"/>
        </w:rPr>
        <w:t>(2)臨床診斷確定為acetylsalicylic acid (如Aspirin)所導致之消化性潰瘍或上消化道出血、穿孔病史者。需於病歷註明發生時間。</w:t>
      </w:r>
    </w:p>
    <w:p w14:paraId="734BC396" w14:textId="77777777" w:rsidR="00BD776B" w:rsidRDefault="00DF0C24">
      <w:pPr>
        <w:ind w:left="1049" w:hanging="341"/>
        <w:rPr>
          <w:rFonts w:ascii="標楷體" w:eastAsia="標楷體" w:hAnsi="標楷體"/>
          <w:color w:val="000000"/>
        </w:rPr>
      </w:pPr>
      <w:r>
        <w:rPr>
          <w:rFonts w:ascii="標楷體" w:eastAsia="標楷體" w:hAnsi="標楷體"/>
          <w:color w:val="000000"/>
        </w:rPr>
        <w:t>(3)最近一年內臨床診斷確定為消化性潰瘍者。病歷上應有明確消化性潰瘍之典型症狀紀錄及發病時間。</w:t>
      </w:r>
    </w:p>
    <w:p w14:paraId="3C9B4D80" w14:textId="77777777" w:rsidR="00BD776B" w:rsidRDefault="00DF0C24">
      <w:pPr>
        <w:ind w:left="1049" w:hanging="341"/>
        <w:rPr>
          <w:rFonts w:ascii="標楷體" w:eastAsia="標楷體" w:hAnsi="標楷體"/>
          <w:color w:val="000000"/>
        </w:rPr>
      </w:pPr>
      <w:r>
        <w:rPr>
          <w:rFonts w:ascii="標楷體" w:eastAsia="標楷體" w:hAnsi="標楷體"/>
          <w:color w:val="000000"/>
        </w:rPr>
        <w:t>(4)最近一年內經上消化道內視鏡檢查或上消化道X光攝影檢查證實消化性潰瘍或發生上消化道出血、穿孔病史。需於病歷註明上消化道內視鏡或上消化道X光攝影檢查時間。但對acetylsalicylic acid無法耐受，且身體狀況無法忍受內視鏡或消化道X光攝影檢查者（如75歲(含)以上罹有中風、心肌梗塞、週邊動脈血管疾病的粥狀動脈硬化或長期卧床者）不在此限。(101/12/1)</w:t>
      </w:r>
    </w:p>
    <w:p w14:paraId="2CF8F2A8" w14:textId="77777777" w:rsidR="00BD776B" w:rsidRDefault="00DF0C24">
      <w:pPr>
        <w:ind w:left="811" w:hanging="245"/>
        <w:rPr>
          <w:rFonts w:ascii="標楷體" w:eastAsia="標楷體" w:hAnsi="標楷體"/>
          <w:color w:val="000000"/>
        </w:rPr>
      </w:pPr>
      <w:r>
        <w:rPr>
          <w:rFonts w:ascii="標楷體" w:eastAsia="標楷體" w:hAnsi="標楷體"/>
          <w:color w:val="000000"/>
        </w:rPr>
        <w:t>2.置放金屬支架3個月內得與acetylsalicylic acid (如Aspirin)合併使用；置放塗藥支架6個月內得與acetylsalicylic acid (如Aspirin)合併使用。需於病歷註明支架置放手術之日期。(90/1/1、94/8/1、101/12/1)</w:t>
      </w:r>
    </w:p>
    <w:p w14:paraId="6581D1A0" w14:textId="77777777" w:rsidR="00BD776B" w:rsidRDefault="00DF0C24">
      <w:pPr>
        <w:ind w:left="811" w:hanging="245"/>
        <w:rPr>
          <w:rFonts w:ascii="標楷體" w:eastAsia="標楷體" w:hAnsi="標楷體"/>
          <w:color w:val="000000"/>
        </w:rPr>
      </w:pPr>
      <w:r>
        <w:rPr>
          <w:rFonts w:ascii="標楷體" w:eastAsia="標楷體" w:hAnsi="標楷體"/>
          <w:color w:val="000000"/>
        </w:rPr>
        <w:t>3.置放金屬支架後發生支架內再狹窄而施行藥物釋放型冠狀動脈氣球導管者，1個月內得與acetylsalicylic acid (如Aspirin)合併使用；置放塗藥支架後發生支架內再狹窄而施行藥物釋放型冠狀動脈氣球導管者， 與acetylsalicylic acid (如Aspirin)合併使用期間可再延長1個月。(101/12/1)</w:t>
      </w:r>
    </w:p>
    <w:p w14:paraId="4053C29D" w14:textId="77777777" w:rsidR="00BD776B" w:rsidRDefault="00DF0C24">
      <w:pPr>
        <w:ind w:left="811" w:hanging="245"/>
        <w:rPr>
          <w:rFonts w:ascii="標楷體" w:eastAsia="標楷體" w:hAnsi="標楷體"/>
          <w:color w:val="000000"/>
        </w:rPr>
      </w:pPr>
      <w:r>
        <w:rPr>
          <w:rFonts w:ascii="標楷體" w:eastAsia="標楷體" w:hAnsi="標楷體"/>
          <w:color w:val="000000"/>
        </w:rPr>
        <w:t>4.用於已發作之急性冠心症(不穩定性心絞痛和心肌梗塞)而住院的病人時，得與acetylsalicylic acid (如Aspirin) 合併治療，最長9個月。需於病歷註明住院時間。（93/4/1、94/8/1、96/10/1）</w:t>
      </w:r>
    </w:p>
    <w:p w14:paraId="685DD28E" w14:textId="77777777" w:rsidR="00BD776B" w:rsidRDefault="00DF0C24">
      <w:pPr>
        <w:ind w:left="672" w:hanging="386"/>
        <w:rPr>
          <w:rFonts w:ascii="標楷體" w:eastAsia="標楷體" w:hAnsi="標楷體"/>
          <w:color w:val="000000"/>
        </w:rPr>
      </w:pPr>
      <w:r>
        <w:rPr>
          <w:rFonts w:ascii="標楷體" w:eastAsia="標楷體" w:hAnsi="標楷體"/>
          <w:color w:val="000000"/>
        </w:rPr>
        <w:t>2.1.1.7.Eptifibatide（如Integrilin）：（95/8/1、100/7/1）</w:t>
      </w:r>
    </w:p>
    <w:p w14:paraId="72638366" w14:textId="77777777" w:rsidR="00BD776B" w:rsidRDefault="00DF0C24">
      <w:pPr>
        <w:ind w:left="811" w:hanging="245"/>
        <w:rPr>
          <w:rFonts w:ascii="標楷體" w:eastAsia="標楷體" w:hAnsi="標楷體"/>
          <w:color w:val="000000"/>
        </w:rPr>
      </w:pPr>
      <w:r>
        <w:rPr>
          <w:rFonts w:ascii="標楷體" w:eastAsia="標楷體" w:hAnsi="標楷體"/>
          <w:color w:val="000000"/>
        </w:rPr>
        <w:t>1.限不穩定型心絞痛，對傳統療法無反應者，已預定施行經冠狀動脈成形術之不穩定狹心症時、作為heparin的輔助療法，或非Q波之心肌梗塞之病患使用。</w:t>
      </w:r>
    </w:p>
    <w:p w14:paraId="6EB4DCE2" w14:textId="77777777" w:rsidR="00BD776B" w:rsidRDefault="00DF0C24">
      <w:pPr>
        <w:ind w:left="811" w:hanging="245"/>
        <w:rPr>
          <w:rFonts w:ascii="標楷體" w:eastAsia="標楷體" w:hAnsi="標楷體"/>
          <w:color w:val="000000"/>
        </w:rPr>
      </w:pPr>
      <w:r>
        <w:rPr>
          <w:rFonts w:ascii="標楷體" w:eastAsia="標楷體" w:hAnsi="標楷體"/>
          <w:color w:val="000000"/>
        </w:rPr>
        <w:t>2.急性Q波心肌梗塞於症狀發生十二小時內，於執行PTCA時得併用eptifibatide。</w:t>
      </w:r>
    </w:p>
    <w:p w14:paraId="2B8ABB9F" w14:textId="77777777" w:rsidR="00BD776B" w:rsidRDefault="00DF0C24">
      <w:pPr>
        <w:ind w:left="672" w:hanging="386"/>
        <w:rPr>
          <w:rFonts w:ascii="標楷體" w:eastAsia="標楷體" w:hAnsi="標楷體"/>
          <w:color w:val="000000"/>
        </w:rPr>
      </w:pPr>
      <w:r>
        <w:rPr>
          <w:rFonts w:ascii="標楷體" w:eastAsia="標楷體" w:hAnsi="標楷體"/>
          <w:color w:val="000000"/>
        </w:rPr>
        <w:t>2.1.1.8.Clopidogrel-acetylsalicylic acid（如CoPlavix）：(100/9/1、101/12/1)</w:t>
      </w:r>
    </w:p>
    <w:p w14:paraId="044C7D6F" w14:textId="77777777" w:rsidR="00BD776B" w:rsidRDefault="00DF0C24">
      <w:pPr>
        <w:ind w:left="811" w:hanging="245"/>
        <w:rPr>
          <w:rFonts w:ascii="標楷體" w:eastAsia="標楷體" w:hAnsi="標楷體"/>
          <w:color w:val="000000"/>
        </w:rPr>
      </w:pPr>
      <w:r>
        <w:rPr>
          <w:rFonts w:ascii="標楷體" w:eastAsia="標楷體" w:hAnsi="標楷體"/>
          <w:color w:val="000000"/>
        </w:rPr>
        <w:t>1.置放金屬支架3個月內得使用；置放塗藥支架6個月內得使用。需於病歷註明支架置放手術之日期。(100/9/1、101/12/1)</w:t>
      </w:r>
    </w:p>
    <w:p w14:paraId="0574C76C" w14:textId="77777777" w:rsidR="00BD776B" w:rsidRDefault="00DF0C24">
      <w:pPr>
        <w:ind w:left="811" w:hanging="245"/>
        <w:rPr>
          <w:rFonts w:ascii="標楷體" w:eastAsia="標楷體" w:hAnsi="標楷體"/>
          <w:color w:val="000000"/>
        </w:rPr>
      </w:pPr>
      <w:r>
        <w:rPr>
          <w:rFonts w:ascii="標楷體" w:eastAsia="標楷體" w:hAnsi="標楷體"/>
          <w:color w:val="000000"/>
        </w:rPr>
        <w:t>2.置放金屬支架後發生支架內再狹窄而施行藥物釋放型冠狀動脈氣球導管者，1個月內得使用；置放塗藥支架後發生支架內再狹窄而施行藥物釋放型冠狀動脈氣球導管者，使用期間可再延長1個月。(101/12/1)</w:t>
      </w:r>
    </w:p>
    <w:p w14:paraId="6C132145" w14:textId="77777777" w:rsidR="00BD776B" w:rsidRDefault="00DF0C24">
      <w:pPr>
        <w:ind w:left="811" w:hanging="245"/>
        <w:rPr>
          <w:rFonts w:ascii="標楷體" w:eastAsia="標楷體" w:hAnsi="標楷體"/>
          <w:color w:val="000000"/>
        </w:rPr>
      </w:pPr>
      <w:r>
        <w:rPr>
          <w:rFonts w:ascii="標楷體" w:eastAsia="標楷體" w:hAnsi="標楷體"/>
          <w:color w:val="000000"/>
        </w:rPr>
        <w:t>3.用於已發作之急性冠心症(不穩定性心絞痛和心肌梗塞)而住院的病人時，最長9個月。需於病歷註明住院時間。（100/9/1）</w:t>
      </w:r>
    </w:p>
    <w:p w14:paraId="34F04642" w14:textId="77777777" w:rsidR="00BD776B" w:rsidRDefault="00DF0C24">
      <w:pPr>
        <w:ind w:left="672" w:hanging="386"/>
        <w:rPr>
          <w:rFonts w:ascii="標楷體" w:eastAsia="標楷體" w:hAnsi="標楷體"/>
          <w:color w:val="000000"/>
        </w:rPr>
      </w:pPr>
      <w:r>
        <w:rPr>
          <w:rFonts w:ascii="標楷體" w:eastAsia="標楷體" w:hAnsi="標楷體"/>
          <w:color w:val="000000"/>
        </w:rPr>
        <w:t>2.1.1.9.Ticagrelor（如Brilinta）：(102/7/1)</w:t>
      </w:r>
    </w:p>
    <w:p w14:paraId="00C424ED" w14:textId="77777777" w:rsidR="00BD776B" w:rsidRDefault="00DF0C24">
      <w:pPr>
        <w:ind w:left="849" w:hanging="2"/>
        <w:rPr>
          <w:rFonts w:ascii="標楷體" w:eastAsia="標楷體" w:hAnsi="標楷體"/>
          <w:color w:val="000000"/>
        </w:rPr>
      </w:pPr>
      <w:r>
        <w:rPr>
          <w:rFonts w:ascii="標楷體" w:eastAsia="標楷體" w:hAnsi="標楷體"/>
          <w:color w:val="000000"/>
        </w:rPr>
        <w:t>限用於已發作之急性冠心症(包括不穩定型心絞痛、非ST段上升型心肌梗塞或ST段上升型心肌梗塞)而住院的病人時，得與acetylsalicylic acid (如Aspirin) 合併治療，最長9個月。需於病歷註明住院時間。</w:t>
      </w:r>
    </w:p>
    <w:p w14:paraId="7FC94E7E" w14:textId="77777777" w:rsidR="00BD776B" w:rsidRDefault="00DF0C24">
      <w:pPr>
        <w:ind w:left="672" w:hanging="386"/>
        <w:rPr>
          <w:rFonts w:ascii="標楷體" w:eastAsia="標楷體" w:hAnsi="標楷體"/>
          <w:color w:val="000000"/>
        </w:rPr>
      </w:pPr>
      <w:r>
        <w:rPr>
          <w:rFonts w:ascii="標楷體" w:eastAsia="標楷體" w:hAnsi="標楷體"/>
          <w:color w:val="000000"/>
        </w:rPr>
        <w:t>2.1.1.10. Prasugrel（如Efient）：(107/11/1)</w:t>
      </w:r>
    </w:p>
    <w:p w14:paraId="68D53308" w14:textId="77777777" w:rsidR="00BD776B" w:rsidRDefault="00DF0C24">
      <w:pPr>
        <w:ind w:left="849" w:hanging="2"/>
        <w:rPr>
          <w:rFonts w:ascii="標楷體" w:eastAsia="標楷體" w:hAnsi="標楷體"/>
          <w:color w:val="000000"/>
        </w:rPr>
      </w:pPr>
      <w:r>
        <w:rPr>
          <w:rFonts w:ascii="標楷體" w:eastAsia="標楷體" w:hAnsi="標楷體"/>
          <w:color w:val="000000"/>
        </w:rPr>
        <w:lastRenderedPageBreak/>
        <w:t>限用於需要冠狀動脈介入性治療(PCI)的已發作之急性冠心症(包括不穩定型心絞痛、非ST段上升型心肌梗塞或ST段上升型心肌梗塞)而住院的病人時，得與acetylsalicylic acid (如Aspirin) 合併治療，最長12個月。需於病歷註明住院時間。</w:t>
      </w:r>
    </w:p>
    <w:p w14:paraId="561397A4" w14:textId="77777777" w:rsidR="00BD776B" w:rsidRDefault="00DF0C24">
      <w:pPr>
        <w:ind w:left="672" w:hanging="386"/>
        <w:rPr>
          <w:rFonts w:ascii="標楷體" w:eastAsia="標楷體" w:hAnsi="標楷體"/>
          <w:color w:val="000000"/>
        </w:rPr>
      </w:pPr>
      <w:r>
        <w:rPr>
          <w:rFonts w:ascii="標楷體" w:eastAsia="標楷體" w:hAnsi="標楷體"/>
          <w:color w:val="000000"/>
        </w:rPr>
        <w:t>2.1.2.血栓溶解劑Thrombolytic drugs (100/7/1)</w:t>
      </w:r>
    </w:p>
    <w:p w14:paraId="48AD5155" w14:textId="77777777" w:rsidR="00BD776B" w:rsidRDefault="00DF0C24">
      <w:pPr>
        <w:ind w:left="672" w:hanging="386"/>
      </w:pPr>
      <w:r>
        <w:rPr>
          <w:rFonts w:ascii="標楷體" w:eastAsia="標楷體" w:hAnsi="標楷體"/>
          <w:color w:val="000000"/>
        </w:rPr>
        <w:t>2.1.2.1.</w:t>
      </w:r>
      <w:r>
        <w:t xml:space="preserve"> </w:t>
      </w:r>
      <w:r>
        <w:rPr>
          <w:rFonts w:ascii="標楷體" w:eastAsia="標楷體" w:hAnsi="標楷體"/>
          <w:color w:val="000000"/>
        </w:rPr>
        <w:t>rt-PA（如Actilyse Inj）、tenecteplase (如  Metalyse) ：</w:t>
      </w:r>
    </w:p>
    <w:p w14:paraId="3C161327" w14:textId="77777777" w:rsidR="00BD776B" w:rsidRDefault="00DF0C24">
      <w:pPr>
        <w:ind w:left="672" w:hanging="386"/>
        <w:rPr>
          <w:rFonts w:ascii="標楷體" w:eastAsia="標楷體" w:hAnsi="標楷體"/>
          <w:color w:val="000000"/>
        </w:rPr>
      </w:pPr>
      <w:r>
        <w:rPr>
          <w:rFonts w:ascii="標楷體" w:eastAsia="標楷體" w:hAnsi="標楷體"/>
          <w:color w:val="000000"/>
        </w:rPr>
        <w:t>用於血管（不含腦血管）血栓時：(91/12/1、100/7/1、107/11/1)</w:t>
      </w:r>
    </w:p>
    <w:p w14:paraId="35E9A0E0" w14:textId="77777777" w:rsidR="00BD776B" w:rsidRDefault="00DF0C24">
      <w:pPr>
        <w:ind w:left="811" w:hanging="245"/>
        <w:rPr>
          <w:rFonts w:ascii="標楷體" w:eastAsia="標楷體" w:hAnsi="標楷體"/>
          <w:color w:val="000000"/>
        </w:rPr>
      </w:pPr>
      <w:r>
        <w:rPr>
          <w:rFonts w:ascii="標楷體" w:eastAsia="標楷體" w:hAnsi="標楷體"/>
          <w:color w:val="000000"/>
        </w:rPr>
        <w:t>1.限具有心臟專科醫師之醫院使用。</w:t>
      </w:r>
    </w:p>
    <w:p w14:paraId="5ECD85D1" w14:textId="77777777" w:rsidR="00BD776B" w:rsidRDefault="00DF0C24">
      <w:pPr>
        <w:ind w:left="811" w:hanging="245"/>
        <w:rPr>
          <w:rFonts w:ascii="標楷體" w:eastAsia="標楷體" w:hAnsi="標楷體"/>
          <w:color w:val="000000"/>
        </w:rPr>
      </w:pPr>
      <w:r>
        <w:rPr>
          <w:rFonts w:ascii="標楷體" w:eastAsia="標楷體" w:hAnsi="標楷體"/>
          <w:color w:val="000000"/>
        </w:rPr>
        <w:t>2.應使用於胸痛急性發作十二小時內，心電圖至少有二導極呈現心肌缺氧變化，使用硝化甘油舌下片歷經三十分鐘尚未能解除胸痛，有急性心肌梗塞之臆斷者。</w:t>
      </w:r>
    </w:p>
    <w:p w14:paraId="0D9397F8" w14:textId="77777777" w:rsidR="00BD776B" w:rsidRDefault="00DF0C24">
      <w:pPr>
        <w:ind w:left="811" w:hanging="245"/>
        <w:rPr>
          <w:rFonts w:ascii="標楷體" w:eastAsia="標楷體" w:hAnsi="標楷體"/>
          <w:color w:val="000000"/>
        </w:rPr>
      </w:pPr>
      <w:r>
        <w:rPr>
          <w:rFonts w:ascii="標楷體" w:eastAsia="標楷體" w:hAnsi="標楷體"/>
          <w:color w:val="000000"/>
        </w:rPr>
        <w:t>3.懷疑有急性肺動脈栓塞病人。</w:t>
      </w:r>
    </w:p>
    <w:p w14:paraId="7239ADED" w14:textId="77777777" w:rsidR="00BD776B" w:rsidRDefault="00DF0C24">
      <w:pPr>
        <w:ind w:left="811" w:hanging="245"/>
        <w:rPr>
          <w:rFonts w:ascii="標楷體" w:eastAsia="標楷體" w:hAnsi="標楷體"/>
          <w:color w:val="000000"/>
        </w:rPr>
      </w:pPr>
      <w:r>
        <w:rPr>
          <w:rFonts w:ascii="標楷體" w:eastAsia="標楷體" w:hAnsi="標楷體"/>
          <w:color w:val="000000"/>
        </w:rPr>
        <w:t>4.有周邊血管血栓病人。(93/1/1)</w:t>
      </w:r>
    </w:p>
    <w:p w14:paraId="29D25D14" w14:textId="77777777" w:rsidR="00BD776B" w:rsidRDefault="00DF0C24">
      <w:pPr>
        <w:ind w:left="811" w:hanging="245"/>
        <w:rPr>
          <w:rFonts w:ascii="標楷體" w:eastAsia="標楷體" w:hAnsi="標楷體"/>
          <w:color w:val="000000"/>
        </w:rPr>
      </w:pPr>
      <w:r>
        <w:rPr>
          <w:rFonts w:ascii="標楷體" w:eastAsia="標楷體" w:hAnsi="標楷體"/>
          <w:color w:val="000000"/>
        </w:rPr>
        <w:t>5.應使用於無出血傾向之病人。有出血傾向之病人，或最近有手術或出血現象之病人應避免使用。</w:t>
      </w:r>
    </w:p>
    <w:p w14:paraId="06498509" w14:textId="77777777" w:rsidR="00BD776B" w:rsidRDefault="00DF0C24">
      <w:pPr>
        <w:ind w:left="811" w:hanging="245"/>
        <w:rPr>
          <w:rFonts w:ascii="標楷體" w:eastAsia="標楷體" w:hAnsi="標楷體"/>
          <w:color w:val="000000"/>
        </w:rPr>
      </w:pPr>
      <w:r>
        <w:rPr>
          <w:rFonts w:ascii="標楷體" w:eastAsia="標楷體" w:hAnsi="標楷體"/>
          <w:color w:val="000000"/>
        </w:rPr>
        <w:t>6.使用本藥劑前宜先檢查病患血小板、出血時間、凝血時間、凝血原時間及血漿纖維原含量。</w:t>
      </w:r>
    </w:p>
    <w:p w14:paraId="4D8169A9" w14:textId="77777777" w:rsidR="00BD776B" w:rsidRDefault="00DF0C24">
      <w:pPr>
        <w:ind w:left="811" w:hanging="245"/>
        <w:rPr>
          <w:rFonts w:ascii="標楷體" w:eastAsia="標楷體" w:hAnsi="標楷體"/>
          <w:color w:val="000000"/>
        </w:rPr>
      </w:pPr>
      <w:r>
        <w:rPr>
          <w:rFonts w:ascii="標楷體" w:eastAsia="標楷體" w:hAnsi="標楷體"/>
          <w:color w:val="000000"/>
        </w:rPr>
        <w:t>7.醫院於病例發生時，應填寫「全民健康保險使用rt-PA (Actilyse) 或tenecteplase (Metalyse Inj.) 申報表（血管（不含腦血管）血栓病患用）」(請詳附表二-A) 併附兩張有意義之不同時段心電圖於當月份醫療費用申報。(93/1/1)</w:t>
      </w:r>
    </w:p>
    <w:p w14:paraId="78BF457E" w14:textId="77777777" w:rsidR="00BD776B" w:rsidRDefault="00DF0C24">
      <w:pPr>
        <w:ind w:left="811" w:hanging="245"/>
        <w:rPr>
          <w:rFonts w:ascii="標楷體" w:eastAsia="標楷體" w:hAnsi="標楷體"/>
          <w:color w:val="000000"/>
        </w:rPr>
      </w:pPr>
      <w:r>
        <w:rPr>
          <w:rFonts w:ascii="標楷體" w:eastAsia="標楷體" w:hAnsi="標楷體"/>
          <w:color w:val="000000"/>
        </w:rPr>
        <w:t>8.醫院如擬將 rt-PA或tenecteplase列為常備藥品，請於申報時檢附心臟病診斷設備，加護病房 ( ICU或CCU ) 之相關資料，經本保險同意後再按使用規定辦理。</w:t>
      </w:r>
    </w:p>
    <w:p w14:paraId="5CD9EF74" w14:textId="77777777" w:rsidR="00BD776B" w:rsidRDefault="00DF0C24">
      <w:pPr>
        <w:ind w:left="672" w:hanging="386"/>
      </w:pPr>
      <w:r>
        <w:rPr>
          <w:rFonts w:ascii="標楷體" w:eastAsia="標楷體" w:hAnsi="標楷體"/>
          <w:color w:val="000000"/>
        </w:rPr>
        <w:t>2.1.2.2.</w:t>
      </w:r>
      <w:r>
        <w:t xml:space="preserve"> </w:t>
      </w:r>
      <w:r>
        <w:rPr>
          <w:rFonts w:ascii="標楷體" w:eastAsia="標楷體" w:hAnsi="標楷體"/>
          <w:color w:val="000000"/>
        </w:rPr>
        <w:t>rt-PA（如Actilyse Inj）用於急性缺血性腦中風時：(93/1/1、100/7/1、107/11/1、112/10/1)</w:t>
      </w:r>
    </w:p>
    <w:p w14:paraId="2FC41892" w14:textId="77777777" w:rsidR="00BD776B" w:rsidRDefault="00DF0C24">
      <w:pPr>
        <w:ind w:left="811" w:hanging="245"/>
        <w:rPr>
          <w:rFonts w:ascii="標楷體" w:eastAsia="標楷體" w:hAnsi="標楷體"/>
          <w:color w:val="000000"/>
        </w:rPr>
      </w:pPr>
      <w:r>
        <w:rPr>
          <w:rFonts w:ascii="標楷體" w:eastAsia="標楷體" w:hAnsi="標楷體"/>
          <w:color w:val="000000"/>
        </w:rPr>
        <w:t>1.限急性缺血性腦中風4.5小時內使用。(112/10/1)</w:t>
      </w:r>
    </w:p>
    <w:p w14:paraId="10EF744E" w14:textId="77777777" w:rsidR="00BD776B" w:rsidRDefault="00DF0C24">
      <w:pPr>
        <w:ind w:left="811" w:hanging="245"/>
        <w:rPr>
          <w:rFonts w:ascii="標楷體" w:eastAsia="標楷體" w:hAnsi="標楷體"/>
          <w:color w:val="000000"/>
        </w:rPr>
      </w:pPr>
      <w:r>
        <w:rPr>
          <w:rFonts w:ascii="標楷體" w:eastAsia="標楷體" w:hAnsi="標楷體"/>
          <w:color w:val="000000"/>
        </w:rPr>
        <w:t>2.使用醫院應具有神經內、外專科醫師及加護病房或同等級之設施。</w:t>
      </w:r>
    </w:p>
    <w:p w14:paraId="4D4D90F4" w14:textId="77777777" w:rsidR="00BD776B" w:rsidRDefault="00DF0C24">
      <w:pPr>
        <w:ind w:left="811" w:hanging="245"/>
        <w:rPr>
          <w:rFonts w:ascii="標楷體" w:eastAsia="標楷體" w:hAnsi="標楷體"/>
          <w:color w:val="000000"/>
        </w:rPr>
      </w:pPr>
      <w:r>
        <w:rPr>
          <w:rFonts w:ascii="標楷體" w:eastAsia="標楷體" w:hAnsi="標楷體"/>
          <w:color w:val="000000"/>
        </w:rPr>
        <w:t>3.使用本藥品前，應先作病人腦部電腦斷層或磁振造影檢查、神經學檢查 (含NIHSS)、心電圖、胸部X光、凝血時間、凝血酶原時間、肝腎功能及血糖，並且必須符合「急性缺血性腦中風之血栓溶解治療檢查表」(請詳附表二-C) 之條件。(107/11/1)</w:t>
      </w:r>
    </w:p>
    <w:p w14:paraId="33BEB875" w14:textId="77777777" w:rsidR="00BD776B" w:rsidRDefault="00DF0C24">
      <w:pPr>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醫院於病例發生後，於當月醫療費用申報時，應填寫「全民健康保險使用rt-PA  (Actilyse) 申請表（急性缺血性腦中風病患用）」(請詳附表二-B)，並附注射前及24小時、36小時後之腦部電腦斷層 (或磁振造影檢查) 與NIHSS。</w:t>
      </w:r>
    </w:p>
    <w:p w14:paraId="36B735D9" w14:textId="77777777" w:rsidR="00BD776B" w:rsidRDefault="00DF0C24">
      <w:pPr>
        <w:ind w:left="672" w:hanging="386"/>
        <w:rPr>
          <w:rFonts w:ascii="標楷體" w:eastAsia="標楷體" w:hAnsi="標楷體"/>
          <w:color w:val="000000"/>
        </w:rPr>
      </w:pPr>
      <w:r>
        <w:rPr>
          <w:rFonts w:ascii="標楷體" w:eastAsia="標楷體" w:hAnsi="標楷體"/>
          <w:color w:val="000000"/>
        </w:rPr>
        <w:t>2.1.2.3.刪除(101/4/1)</w:t>
      </w:r>
    </w:p>
    <w:p w14:paraId="2D999B67" w14:textId="77777777" w:rsidR="00BD776B" w:rsidRDefault="00DF0C24">
      <w:pPr>
        <w:ind w:left="672" w:hanging="386"/>
        <w:rPr>
          <w:rFonts w:ascii="標楷體" w:eastAsia="標楷體" w:hAnsi="標楷體"/>
          <w:color w:val="000000"/>
        </w:rPr>
      </w:pPr>
      <w:r>
        <w:rPr>
          <w:rFonts w:ascii="標楷體" w:eastAsia="標楷體" w:hAnsi="標楷體"/>
          <w:color w:val="000000"/>
        </w:rPr>
        <w:t>2.1.3.肝素類Heparin group</w:t>
      </w:r>
    </w:p>
    <w:p w14:paraId="78EB8286" w14:textId="77777777" w:rsidR="00BD776B" w:rsidRDefault="00DF0C24">
      <w:pPr>
        <w:ind w:left="672" w:hanging="386"/>
        <w:rPr>
          <w:rFonts w:ascii="標楷體" w:eastAsia="標楷體" w:hAnsi="標楷體"/>
          <w:color w:val="000000"/>
        </w:rPr>
      </w:pPr>
      <w:r>
        <w:rPr>
          <w:rFonts w:ascii="標楷體" w:eastAsia="標楷體" w:hAnsi="標楷體"/>
          <w:color w:val="000000"/>
        </w:rPr>
        <w:t>2.1.3.1.Tinzaparin注射劑（如Innohep）：90/7/1、91/9/1、100/7/1)</w:t>
      </w:r>
    </w:p>
    <w:p w14:paraId="7DFB5326" w14:textId="77777777" w:rsidR="00BD776B" w:rsidRDefault="00DF0C24">
      <w:pPr>
        <w:ind w:left="811" w:hanging="245"/>
        <w:rPr>
          <w:rFonts w:ascii="標楷體" w:eastAsia="標楷體" w:hAnsi="標楷體"/>
          <w:color w:val="000000"/>
        </w:rPr>
      </w:pPr>
      <w:r>
        <w:rPr>
          <w:rFonts w:ascii="標楷體" w:eastAsia="標楷體" w:hAnsi="標楷體"/>
          <w:color w:val="000000"/>
        </w:rPr>
        <w:t>1.用於治療深層靜脈栓塞，每療程以二瓶為限。</w:t>
      </w:r>
    </w:p>
    <w:p w14:paraId="2DB1DE67" w14:textId="77777777" w:rsidR="00BD776B" w:rsidRDefault="00DF0C24">
      <w:pPr>
        <w:ind w:left="811" w:hanging="245"/>
        <w:rPr>
          <w:rFonts w:ascii="標楷體" w:eastAsia="標楷體" w:hAnsi="標楷體"/>
          <w:color w:val="000000"/>
        </w:rPr>
      </w:pPr>
      <w:r>
        <w:rPr>
          <w:rFonts w:ascii="標楷體" w:eastAsia="標楷體" w:hAnsi="標楷體"/>
          <w:color w:val="000000"/>
        </w:rPr>
        <w:t>2.用於預防手術病人深層靜脈栓塞，每療程以一瓶為限。</w:t>
      </w:r>
    </w:p>
    <w:p w14:paraId="1BADEA2A" w14:textId="77777777" w:rsidR="00BD776B" w:rsidRDefault="00DF0C24">
      <w:pPr>
        <w:ind w:left="811" w:hanging="245"/>
        <w:rPr>
          <w:rFonts w:ascii="標楷體" w:eastAsia="標楷體" w:hAnsi="標楷體"/>
          <w:color w:val="000000"/>
        </w:rPr>
      </w:pPr>
      <w:r>
        <w:rPr>
          <w:rFonts w:ascii="標楷體" w:eastAsia="標楷體" w:hAnsi="標楷體"/>
          <w:color w:val="000000"/>
        </w:rPr>
        <w:t>3.用於治療肺栓塞。</w:t>
      </w:r>
    </w:p>
    <w:p w14:paraId="79FD1170" w14:textId="77777777" w:rsidR="00BD776B" w:rsidRDefault="00DF0C24">
      <w:pPr>
        <w:ind w:left="672" w:hanging="386"/>
        <w:rPr>
          <w:rFonts w:ascii="標楷體" w:eastAsia="標楷體" w:hAnsi="標楷體"/>
          <w:color w:val="000000"/>
        </w:rPr>
      </w:pPr>
      <w:r>
        <w:rPr>
          <w:rFonts w:ascii="標楷體" w:eastAsia="標楷體" w:hAnsi="標楷體"/>
          <w:color w:val="000000"/>
        </w:rPr>
        <w:t>2.1.3.2.Enoxaparin 注射劑（如Clexane）：(108/2/1)</w:t>
      </w:r>
    </w:p>
    <w:p w14:paraId="7C930120"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依下列情形使用：</w:t>
      </w:r>
    </w:p>
    <w:p w14:paraId="2E9F2A2D" w14:textId="77777777" w:rsidR="00BD776B" w:rsidRDefault="00DF0C24">
      <w:pPr>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治療深部靜脈栓塞(DVT)：每次療程使用小於10天。</w:t>
      </w:r>
    </w:p>
    <w:p w14:paraId="2B21DC70" w14:textId="77777777" w:rsidR="00BD776B" w:rsidRDefault="00DF0C24">
      <w:pPr>
        <w:ind w:left="81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治療急性冠心症(ACS)：每次療程使用60mg 1天2次，2~8天。</w:t>
      </w:r>
    </w:p>
    <w:p w14:paraId="4D12713B" w14:textId="77777777" w:rsidR="00BD776B" w:rsidRDefault="00DF0C24">
      <w:pPr>
        <w:ind w:left="811"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預防手術後靜脈栓塞：腹部手術，每次療程使用40mg 1天1次，7~10天；膝蓋或髖關節手術，每次療程使用30mg 1天1次，7~10天。</w:t>
      </w:r>
    </w:p>
    <w:p w14:paraId="578EB548" w14:textId="77777777" w:rsidR="00BD776B" w:rsidRDefault="00DF0C24">
      <w:pPr>
        <w:ind w:left="672" w:hanging="386"/>
        <w:rPr>
          <w:rFonts w:ascii="標楷體" w:eastAsia="標楷體" w:hAnsi="標楷體"/>
          <w:color w:val="000000"/>
        </w:rPr>
      </w:pPr>
      <w:r>
        <w:rPr>
          <w:rFonts w:ascii="標楷體" w:eastAsia="標楷體" w:hAnsi="標楷體"/>
          <w:color w:val="000000"/>
        </w:rPr>
        <w:t>2.1.4.其他抗血栓劑 Other antithrombotic agents：(100/7/1)</w:t>
      </w:r>
    </w:p>
    <w:p w14:paraId="18CD64A0" w14:textId="77777777" w:rsidR="00BD776B" w:rsidRDefault="00DF0C24">
      <w:pPr>
        <w:ind w:left="672" w:hanging="386"/>
      </w:pPr>
      <w:r>
        <w:rPr>
          <w:rFonts w:ascii="標楷體" w:eastAsia="標楷體" w:hAnsi="標楷體"/>
          <w:color w:val="000000"/>
        </w:rPr>
        <w:t>2.1.4.1.</w:t>
      </w:r>
      <w:r>
        <w:t xml:space="preserve"> </w:t>
      </w:r>
      <w:r>
        <w:rPr>
          <w:rFonts w:ascii="標楷體" w:eastAsia="標楷體" w:hAnsi="標楷體"/>
          <w:color w:val="000000"/>
        </w:rPr>
        <w:t>Fondaparinux（如Arixtra）： (100/4/1、100/7/1、103/2/1、111/2/1、111/3/1)</w:t>
      </w:r>
    </w:p>
    <w:p w14:paraId="1A99FCF5" w14:textId="77777777" w:rsidR="00BD776B" w:rsidRDefault="00DF0C24">
      <w:pPr>
        <w:ind w:left="851" w:hanging="1"/>
        <w:rPr>
          <w:rFonts w:ascii="標楷體" w:eastAsia="標楷體" w:hAnsi="標楷體"/>
          <w:color w:val="000000"/>
        </w:rPr>
      </w:pPr>
      <w:r>
        <w:rPr>
          <w:rFonts w:ascii="標楷體" w:eastAsia="標楷體" w:hAnsi="標楷體"/>
          <w:color w:val="000000"/>
        </w:rPr>
        <w:t>限用於</w:t>
      </w:r>
    </w:p>
    <w:p w14:paraId="208A0AA3" w14:textId="77777777" w:rsidR="00BD776B" w:rsidRDefault="00DF0C24">
      <w:pPr>
        <w:ind w:left="810" w:hanging="246"/>
        <w:rPr>
          <w:rFonts w:ascii="標楷體" w:eastAsia="標楷體" w:hAnsi="標楷體"/>
          <w:color w:val="000000"/>
        </w:rPr>
      </w:pPr>
      <w:r>
        <w:rPr>
          <w:rFonts w:ascii="標楷體" w:eastAsia="標楷體" w:hAnsi="標楷體"/>
          <w:color w:val="000000"/>
        </w:rPr>
        <w:t>1.治療ST段升高型心肌梗塞(STEMI)的急性冠狀症候群之病患，藉以預防使用血栓溶解劑治療或原先即不準備接受任何其它型式之再灌流治療的患者發生死亡和心肌再度梗塞。</w:t>
      </w:r>
    </w:p>
    <w:p w14:paraId="6AC6DB91" w14:textId="77777777" w:rsidR="00BD776B" w:rsidRDefault="00DF0C24">
      <w:pPr>
        <w:ind w:left="850" w:hanging="262"/>
        <w:rPr>
          <w:rFonts w:ascii="標楷體" w:eastAsia="標楷體" w:hAnsi="標楷體"/>
          <w:color w:val="000000"/>
        </w:rPr>
      </w:pPr>
      <w:r>
        <w:rPr>
          <w:rFonts w:ascii="標楷體" w:eastAsia="標楷體" w:hAnsi="標楷體"/>
          <w:color w:val="000000"/>
        </w:rPr>
        <w:t>2.治療60歲以上患有不穩定型心絞痛或非ST 段升高型心肌梗塞(UA/NSTEMI)且不適合接受緊急(120分鐘內)侵入性治療(PCI)者，其症狀開始時間需在24小時之內，且血清肌酸酐需小於3.0 mg/dL。(103/2/1、111/2/1)</w:t>
      </w:r>
    </w:p>
    <w:p w14:paraId="69E22709" w14:textId="77777777" w:rsidR="00BD776B" w:rsidRDefault="00DF0C24">
      <w:pPr>
        <w:ind w:left="851" w:hanging="287"/>
        <w:rPr>
          <w:rFonts w:ascii="標楷體" w:eastAsia="標楷體" w:hAnsi="標楷體"/>
          <w:color w:val="000000"/>
        </w:rPr>
      </w:pPr>
      <w:r>
        <w:rPr>
          <w:rFonts w:ascii="標楷體" w:eastAsia="標楷體" w:hAnsi="標楷體"/>
          <w:color w:val="000000"/>
        </w:rPr>
        <w:t>3.靜脈血栓高危險（符合下列條件之一）病患，接受人工髖或膝關節置換術或再置換術後，預防其術後之靜脈血栓(VTE)，限用2.5 mg針劑皮下注射，每日一劑，最多5週：(103/2/1、111/3/1)</w:t>
      </w:r>
    </w:p>
    <w:p w14:paraId="24006AB3" w14:textId="77777777" w:rsidR="00BD776B" w:rsidRDefault="00DF0C24">
      <w:pPr>
        <w:ind w:left="1132" w:hanging="287"/>
        <w:rPr>
          <w:rFonts w:ascii="標楷體" w:eastAsia="標楷體" w:hAnsi="標楷體"/>
          <w:color w:val="000000"/>
        </w:rPr>
      </w:pPr>
      <w:r>
        <w:rPr>
          <w:rFonts w:ascii="標楷體" w:eastAsia="標楷體" w:hAnsi="標楷體"/>
          <w:color w:val="000000"/>
        </w:rPr>
        <w:t>(1)曾發生有症狀之靜脈血栓症病史（須於病歷詳細說明發生之時間與診療過程）之病患。</w:t>
      </w:r>
    </w:p>
    <w:p w14:paraId="3F0A141E" w14:textId="77777777" w:rsidR="00BD776B" w:rsidRDefault="00DF0C24">
      <w:pPr>
        <w:ind w:left="851" w:hanging="1"/>
        <w:rPr>
          <w:rFonts w:ascii="標楷體" w:eastAsia="標楷體" w:hAnsi="標楷體"/>
          <w:color w:val="000000"/>
        </w:rPr>
      </w:pPr>
      <w:r>
        <w:rPr>
          <w:rFonts w:ascii="標楷體" w:eastAsia="標楷體" w:hAnsi="標楷體"/>
          <w:color w:val="000000"/>
        </w:rPr>
        <w:t>(2)經靜脈超音波檢查（Venous ultrasonography）或靜脈攝影（Venography），診斷為靜脈血栓症之病患。(111/3/1)</w:t>
      </w:r>
    </w:p>
    <w:p w14:paraId="00B29A7E" w14:textId="77777777" w:rsidR="00BD776B" w:rsidRDefault="00DF0C24">
      <w:pPr>
        <w:ind w:left="672" w:hanging="386"/>
      </w:pPr>
      <w:r>
        <w:rPr>
          <w:rFonts w:ascii="標楷體" w:eastAsia="標楷體" w:hAnsi="標楷體"/>
        </w:rPr>
        <w:t>2.1.4.2.Rivaroxaban(如Xare</w:t>
      </w:r>
      <w:r>
        <w:rPr>
          <w:rFonts w:ascii="標楷體" w:eastAsia="標楷體" w:hAnsi="標楷體"/>
          <w:szCs w:val="24"/>
        </w:rPr>
        <w:t>lto)（101/1/1、102/2/1、103/5/1、104/12/1、105/5/1、110/7/1、111/2/1、112/3/1）</w:t>
      </w:r>
    </w:p>
    <w:p w14:paraId="5EDD9436" w14:textId="77777777" w:rsidR="00BD776B" w:rsidRDefault="00DF0C24">
      <w:pPr>
        <w:ind w:left="798" w:hanging="1"/>
        <w:rPr>
          <w:rFonts w:ascii="標楷體" w:eastAsia="標楷體" w:hAnsi="標楷體"/>
        </w:rPr>
      </w:pPr>
      <w:r>
        <w:rPr>
          <w:rFonts w:ascii="標楷體" w:eastAsia="標楷體" w:hAnsi="標楷體"/>
        </w:rPr>
        <w:t>限用於</w:t>
      </w:r>
    </w:p>
    <w:p w14:paraId="758BBD8C" w14:textId="77777777" w:rsidR="00BD776B" w:rsidRDefault="00DF0C24">
      <w:pPr>
        <w:ind w:left="811" w:hanging="245"/>
      </w:pPr>
      <w:r>
        <w:rPr>
          <w:rFonts w:ascii="標楷體" w:eastAsia="標楷體" w:hAnsi="標楷體"/>
        </w:rPr>
        <w:t>1.</w:t>
      </w:r>
      <w:r>
        <w:rPr>
          <w:rFonts w:ascii="標楷體" w:eastAsia="標楷體" w:hAnsi="標楷體"/>
        </w:rPr>
        <w:tab/>
        <w:t>靜脈血栓高危險（符合下列條件之一）病患，接受人工髖或膝關節置換術或再置換術時，預防其術後之靜脈血栓栓塞症(VTE)，限用10mg錠劑</w:t>
      </w:r>
      <w:r>
        <w:rPr>
          <w:rFonts w:ascii="標楷體" w:eastAsia="標楷體" w:hAnsi="標楷體"/>
          <w:szCs w:val="24"/>
        </w:rPr>
        <w:t>，每日一粒，人工髖關節手術術後治療，最多5週；人工膝關節手術術後治療，最多2週：(112/3/1)</w:t>
      </w:r>
    </w:p>
    <w:p w14:paraId="0CF398AD" w14:textId="77777777" w:rsidR="00BD776B" w:rsidRDefault="00DF0C24">
      <w:pPr>
        <w:ind w:left="1133" w:hanging="425"/>
        <w:rPr>
          <w:rFonts w:ascii="標楷體" w:eastAsia="標楷體" w:hAnsi="標楷體"/>
          <w:szCs w:val="24"/>
        </w:rPr>
      </w:pPr>
      <w:r>
        <w:rPr>
          <w:rFonts w:ascii="標楷體" w:eastAsia="標楷體" w:hAnsi="標楷體"/>
          <w:szCs w:val="24"/>
        </w:rPr>
        <w:t>(1)曾發生有症狀之靜脈血栓症病史（須於病歷詳細說明發生之時間與診療過程）之病患；</w:t>
      </w:r>
    </w:p>
    <w:p w14:paraId="7834DF37" w14:textId="77777777" w:rsidR="00BD776B" w:rsidRDefault="00DF0C24">
      <w:pPr>
        <w:ind w:left="1133" w:hanging="425"/>
      </w:pPr>
      <w:r>
        <w:rPr>
          <w:rFonts w:ascii="標楷體" w:eastAsia="標楷體" w:hAnsi="標楷體"/>
          <w:szCs w:val="24"/>
        </w:rPr>
        <w:t>(2) 經靜脈超音波檢查（Venous ultrasonography）或靜脈攝影（Venography）檢測，診斷為靜脈血栓症之病患。(112/3/1)</w:t>
      </w:r>
    </w:p>
    <w:p w14:paraId="1F642DEE" w14:textId="77777777" w:rsidR="00BD776B" w:rsidRDefault="00DF0C24">
      <w:pPr>
        <w:ind w:left="811" w:hanging="245"/>
      </w:pPr>
      <w:r>
        <w:rPr>
          <w:rFonts w:ascii="標楷體" w:eastAsia="標楷體" w:hAnsi="標楷體"/>
          <w:szCs w:val="24"/>
        </w:rPr>
        <w:t>2.</w:t>
      </w:r>
      <w:bookmarkStart w:id="1" w:name="_Hlk99498246"/>
      <w:r>
        <w:rPr>
          <w:rFonts w:ascii="標楷體" w:eastAsia="標楷體" w:hAnsi="標楷體"/>
          <w:szCs w:val="24"/>
        </w:rPr>
        <w:t>18歲以上非瓣膜性心房纖維顫動病患</w:t>
      </w:r>
      <w:bookmarkEnd w:id="1"/>
      <w:r>
        <w:rPr>
          <w:rFonts w:ascii="標楷體" w:eastAsia="標楷體" w:hAnsi="標楷體"/>
          <w:szCs w:val="24"/>
        </w:rPr>
        <w:t>，須符合下列條件之一：(102/2/1、103/5/1、105/5/1、111/2/1、112/3/1)</w:t>
      </w:r>
    </w:p>
    <w:p w14:paraId="6142BB22" w14:textId="77777777" w:rsidR="00BD776B" w:rsidRDefault="00DF0C24">
      <w:pPr>
        <w:ind w:left="1049" w:hanging="341"/>
        <w:rPr>
          <w:rFonts w:ascii="標楷體" w:eastAsia="標楷體" w:hAnsi="標楷體"/>
        </w:rPr>
      </w:pPr>
      <w:r>
        <w:rPr>
          <w:rFonts w:ascii="標楷體" w:eastAsia="標楷體" w:hAnsi="標楷體"/>
        </w:rPr>
        <w:t>(1)曾發生中風或全身性栓塞。</w:t>
      </w:r>
    </w:p>
    <w:p w14:paraId="5811DF9E" w14:textId="77777777" w:rsidR="00BD776B" w:rsidRDefault="00DF0C24">
      <w:pPr>
        <w:ind w:left="1049" w:hanging="341"/>
        <w:rPr>
          <w:rFonts w:ascii="標楷體" w:eastAsia="標楷體" w:hAnsi="標楷體"/>
        </w:rPr>
      </w:pPr>
      <w:r>
        <w:rPr>
          <w:rFonts w:ascii="標楷體" w:eastAsia="標楷體" w:hAnsi="標楷體"/>
        </w:rPr>
        <w:t>(2)左心室射出分率小於40%。</w:t>
      </w:r>
    </w:p>
    <w:p w14:paraId="40BC8930" w14:textId="77777777" w:rsidR="00BD776B" w:rsidRDefault="00DF0C24">
      <w:pPr>
        <w:ind w:left="1049" w:hanging="341"/>
        <w:rPr>
          <w:rFonts w:ascii="標楷體" w:eastAsia="標楷體" w:hAnsi="標楷體"/>
        </w:rPr>
      </w:pPr>
      <w:r>
        <w:rPr>
          <w:rFonts w:ascii="標楷體" w:eastAsia="標楷體" w:hAnsi="標楷體"/>
        </w:rPr>
        <w:t>(3)有症狀之心臟衰竭：收案前依紐約心臟協會衰竭功能分級為第二級或以上。</w:t>
      </w:r>
    </w:p>
    <w:p w14:paraId="1BE7D9A5" w14:textId="77777777" w:rsidR="00BD776B" w:rsidRDefault="00DF0C24">
      <w:pPr>
        <w:ind w:left="1049" w:hanging="341"/>
        <w:rPr>
          <w:rFonts w:ascii="標楷體" w:eastAsia="標楷體" w:hAnsi="標楷體"/>
          <w:szCs w:val="24"/>
        </w:rPr>
      </w:pPr>
      <w:r>
        <w:rPr>
          <w:rFonts w:ascii="標楷體" w:eastAsia="標楷體" w:hAnsi="標楷體"/>
          <w:szCs w:val="24"/>
        </w:rPr>
        <w:t>(4)75歲以上。(111/2/1)</w:t>
      </w:r>
    </w:p>
    <w:p w14:paraId="2895554D" w14:textId="77777777" w:rsidR="00BD776B" w:rsidRDefault="00DF0C24">
      <w:pPr>
        <w:ind w:left="1049" w:hanging="341"/>
      </w:pPr>
      <w:r>
        <w:rPr>
          <w:rFonts w:ascii="標楷體" w:eastAsia="標楷體" w:hAnsi="標楷體"/>
          <w:szCs w:val="24"/>
        </w:rPr>
        <w:t>(5)50歲以上未滿75歲且合併有糖尿病、高血壓或冠狀動脈疾病。(111/2/1、112/3/1)</w:t>
      </w:r>
    </w:p>
    <w:p w14:paraId="03F633F5" w14:textId="77777777" w:rsidR="00BD776B" w:rsidRDefault="00DF0C24">
      <w:pPr>
        <w:ind w:left="1049" w:hanging="341"/>
      </w:pPr>
      <w:r>
        <w:rPr>
          <w:rFonts w:ascii="標楷體" w:eastAsia="標楷體" w:hAnsi="標楷體"/>
          <w:szCs w:val="24"/>
        </w:rPr>
        <w:t>(6)每日1次，每次限1</w:t>
      </w:r>
      <w:r>
        <w:rPr>
          <w:rFonts w:ascii="標楷體" w:eastAsia="標楷體" w:hAnsi="標楷體"/>
          <w:szCs w:val="24"/>
          <w:u w:val="single"/>
        </w:rPr>
        <w:t>粒</w:t>
      </w:r>
      <w:r>
        <w:rPr>
          <w:rFonts w:ascii="標楷體" w:eastAsia="標楷體" w:hAnsi="標楷體"/>
          <w:szCs w:val="24"/>
        </w:rPr>
        <w:t>。（103/5/1)</w:t>
      </w:r>
    </w:p>
    <w:p w14:paraId="1733EE56" w14:textId="77777777" w:rsidR="00BD776B" w:rsidRDefault="00DF0C24">
      <w:pPr>
        <w:ind w:left="1049" w:hanging="341"/>
        <w:rPr>
          <w:rFonts w:ascii="標楷體" w:eastAsia="標楷體" w:hAnsi="標楷體"/>
        </w:rPr>
      </w:pPr>
      <w:r>
        <w:rPr>
          <w:rFonts w:ascii="標楷體" w:eastAsia="標楷體" w:hAnsi="標楷體"/>
        </w:rPr>
        <w:lastRenderedPageBreak/>
        <w:t>(7)排除標準：</w:t>
      </w:r>
    </w:p>
    <w:p w14:paraId="3E4B12CA" w14:textId="77777777" w:rsidR="00BD776B" w:rsidRDefault="00DF0C24">
      <w:pPr>
        <w:ind w:left="1414" w:hanging="563"/>
        <w:rPr>
          <w:rFonts w:ascii="標楷體" w:eastAsia="標楷體" w:hAnsi="標楷體"/>
        </w:rPr>
      </w:pPr>
      <w:r>
        <w:rPr>
          <w:rFonts w:ascii="標楷體" w:eastAsia="標楷體" w:hAnsi="標楷體"/>
        </w:rPr>
        <w:t>Ⅰ.病人曾有嚴重心臟瓣膜疾病。</w:t>
      </w:r>
    </w:p>
    <w:p w14:paraId="611C960A" w14:textId="77777777" w:rsidR="00BD776B" w:rsidRDefault="00DF0C24">
      <w:pPr>
        <w:ind w:left="1414" w:hanging="563"/>
        <w:rPr>
          <w:rFonts w:ascii="標楷體" w:eastAsia="標楷體" w:hAnsi="標楷體"/>
        </w:rPr>
      </w:pPr>
      <w:r>
        <w:rPr>
          <w:rFonts w:ascii="標楷體" w:eastAsia="標楷體" w:hAnsi="標楷體"/>
        </w:rPr>
        <w:t>Ⅱ.14 天內發生中風。</w:t>
      </w:r>
    </w:p>
    <w:p w14:paraId="20B4E27D" w14:textId="77777777" w:rsidR="00BD776B" w:rsidRDefault="00DF0C24">
      <w:pPr>
        <w:ind w:left="1414" w:hanging="563"/>
        <w:rPr>
          <w:rFonts w:ascii="標楷體" w:eastAsia="標楷體" w:hAnsi="標楷體"/>
        </w:rPr>
      </w:pPr>
      <w:r>
        <w:rPr>
          <w:rFonts w:ascii="標楷體" w:eastAsia="標楷體" w:hAnsi="標楷體"/>
        </w:rPr>
        <w:t>Ⅲ.收案前的6個月內發生嚴重中風。</w:t>
      </w:r>
    </w:p>
    <w:p w14:paraId="56619B9E" w14:textId="77777777" w:rsidR="00BD776B" w:rsidRDefault="00DF0C24">
      <w:pPr>
        <w:ind w:left="1414" w:hanging="563"/>
        <w:rPr>
          <w:rFonts w:ascii="標楷體" w:eastAsia="標楷體" w:hAnsi="標楷體"/>
        </w:rPr>
      </w:pPr>
      <w:r>
        <w:rPr>
          <w:rFonts w:ascii="標楷體" w:eastAsia="標楷體" w:hAnsi="標楷體"/>
        </w:rPr>
        <w:t>Ⅳ.有增加出血風險的情況。</w:t>
      </w:r>
    </w:p>
    <w:p w14:paraId="799BDDCD" w14:textId="77777777" w:rsidR="00BD776B" w:rsidRDefault="00DF0C24">
      <w:pPr>
        <w:ind w:left="1414" w:hanging="563"/>
        <w:rPr>
          <w:rFonts w:ascii="標楷體" w:eastAsia="標楷體" w:hAnsi="標楷體"/>
        </w:rPr>
      </w:pPr>
      <w:r>
        <w:rPr>
          <w:rFonts w:ascii="標楷體" w:eastAsia="標楷體" w:hAnsi="標楷體"/>
        </w:rPr>
        <w:t>Ⅴ.肌酸酐清除率小於15mL/min。</w:t>
      </w:r>
    </w:p>
    <w:p w14:paraId="6B9906C5" w14:textId="77777777" w:rsidR="00BD776B" w:rsidRDefault="00DF0C24">
      <w:pPr>
        <w:ind w:left="1414" w:hanging="563"/>
        <w:rPr>
          <w:rFonts w:ascii="標楷體" w:eastAsia="標楷體" w:hAnsi="標楷體"/>
        </w:rPr>
      </w:pPr>
      <w:r>
        <w:rPr>
          <w:rFonts w:ascii="標楷體" w:eastAsia="標楷體" w:hAnsi="標楷體"/>
        </w:rPr>
        <w:t>Ⅵ.活動性肝病和懷孕。</w:t>
      </w:r>
    </w:p>
    <w:p w14:paraId="68A592CC" w14:textId="77777777" w:rsidR="00BD776B" w:rsidRDefault="00DF0C24">
      <w:pPr>
        <w:ind w:left="809" w:hanging="245"/>
        <w:rPr>
          <w:rFonts w:ascii="標楷體" w:eastAsia="標楷體" w:hAnsi="標楷體"/>
        </w:rPr>
      </w:pPr>
      <w:r>
        <w:rPr>
          <w:rFonts w:ascii="標楷體" w:eastAsia="標楷體" w:hAnsi="標楷體"/>
        </w:rPr>
        <w:t>3.治療深部靜脈血栓與肺栓塞及預防再發性深部靜脈血栓與肺栓塞(103/5/1、104/12/1)：</w:t>
      </w:r>
    </w:p>
    <w:p w14:paraId="32FD9738" w14:textId="77777777" w:rsidR="00BD776B" w:rsidRDefault="00DF0C24">
      <w:pPr>
        <w:ind w:left="708"/>
        <w:rPr>
          <w:rFonts w:ascii="標楷體" w:eastAsia="標楷體" w:hAnsi="標楷體"/>
        </w:rPr>
      </w:pPr>
      <w:r>
        <w:rPr>
          <w:rFonts w:ascii="標楷體" w:eastAsia="標楷體" w:hAnsi="標楷體"/>
        </w:rPr>
        <w:t>(1)須經影像學或血管超音波檢查診斷。</w:t>
      </w:r>
    </w:p>
    <w:p w14:paraId="459F0387" w14:textId="77777777" w:rsidR="00BD776B" w:rsidRDefault="00DF0C24">
      <w:pPr>
        <w:ind w:left="708"/>
        <w:rPr>
          <w:rFonts w:ascii="標楷體" w:eastAsia="標楷體" w:hAnsi="標楷體"/>
        </w:rPr>
      </w:pPr>
      <w:r>
        <w:rPr>
          <w:rFonts w:ascii="標楷體" w:eastAsia="標楷體" w:hAnsi="標楷體"/>
        </w:rPr>
        <w:t>(2)第1日至21日，每日早晚各一次，每次限用一粒。</w:t>
      </w:r>
    </w:p>
    <w:p w14:paraId="00573720" w14:textId="77777777" w:rsidR="00BD776B" w:rsidRDefault="00DF0C24">
      <w:pPr>
        <w:ind w:left="708"/>
        <w:rPr>
          <w:rFonts w:ascii="標楷體" w:eastAsia="標楷體" w:hAnsi="標楷體"/>
        </w:rPr>
      </w:pPr>
      <w:r>
        <w:rPr>
          <w:rFonts w:ascii="標楷體" w:eastAsia="標楷體" w:hAnsi="標楷體"/>
        </w:rPr>
        <w:t>(3)第22日起，每日一次，每次限用一粒，每6個月評估一次。</w:t>
      </w:r>
    </w:p>
    <w:p w14:paraId="2CEA7B60" w14:textId="77777777" w:rsidR="00BD776B" w:rsidRDefault="00DF0C24">
      <w:pPr>
        <w:ind w:left="809" w:hanging="245"/>
        <w:rPr>
          <w:rFonts w:ascii="標楷體" w:eastAsia="標楷體" w:hAnsi="標楷體"/>
        </w:rPr>
      </w:pPr>
      <w:r>
        <w:rPr>
          <w:rFonts w:ascii="標楷體" w:eastAsia="標楷體" w:hAnsi="標楷體"/>
        </w:rPr>
        <w:t>4.Rivaroxaban 2.5mg與aspirin併用，可用於發生缺血事件高危險族群之冠狀動脈(CAD)或症狀性周邊動脈疾病(PAD)病人，以預防動脈粥狀硬化血栓形成事件(Atherothrombotic events)：(110/7/1)</w:t>
      </w:r>
    </w:p>
    <w:p w14:paraId="3A8BE6EC" w14:textId="77777777" w:rsidR="00BD776B" w:rsidRDefault="00DF0C24">
      <w:pPr>
        <w:ind w:left="708"/>
        <w:rPr>
          <w:rFonts w:ascii="標楷體" w:eastAsia="標楷體" w:hAnsi="標楷體"/>
        </w:rPr>
      </w:pPr>
      <w:r>
        <w:rPr>
          <w:rFonts w:ascii="標楷體" w:eastAsia="標楷體" w:hAnsi="標楷體"/>
        </w:rPr>
        <w:t>(1)高風險的冠狀動脈硬化須符合：2年內發生2次(含)以上心血管事件(如心肌梗塞、接受冠狀動脈或其他動脈血管再通術 (revascularization)、動脈硬化相關之缺血性腦中風)。</w:t>
      </w:r>
    </w:p>
    <w:p w14:paraId="2426B3D1" w14:textId="77777777" w:rsidR="00BD776B" w:rsidRDefault="00DF0C24">
      <w:pPr>
        <w:ind w:left="708"/>
        <w:rPr>
          <w:rFonts w:ascii="標楷體" w:eastAsia="標楷體" w:hAnsi="標楷體"/>
        </w:rPr>
      </w:pPr>
      <w:r>
        <w:rPr>
          <w:rFonts w:ascii="標楷體" w:eastAsia="標楷體" w:hAnsi="標楷體"/>
        </w:rPr>
        <w:t>(2)高風險的症狀性周邊動脈硬化須符合下列條件之一：</w:t>
      </w:r>
    </w:p>
    <w:p w14:paraId="7BCD28B9" w14:textId="77777777" w:rsidR="00BD776B" w:rsidRDefault="00DF0C24">
      <w:pPr>
        <w:ind w:left="1134" w:hanging="283"/>
        <w:rPr>
          <w:rFonts w:ascii="標楷體" w:eastAsia="標楷體" w:hAnsi="標楷體"/>
        </w:rPr>
      </w:pPr>
      <w:r>
        <w:rPr>
          <w:rFonts w:ascii="標楷體" w:eastAsia="標楷體" w:hAnsi="標楷體"/>
        </w:rPr>
        <w:t>Ⅰ.曾經接受過主動脈股動脈(aorto-femoral)或下肢繞道手術；髂動脈、股動脈及膝下動脈(iliac or infrainguinal)接受經皮動脈血管造型整形術(PTA)。</w:t>
      </w:r>
    </w:p>
    <w:p w14:paraId="08A02C35" w14:textId="77777777" w:rsidR="00BD776B" w:rsidRDefault="00DF0C24">
      <w:pPr>
        <w:ind w:left="1134" w:hanging="283"/>
        <w:rPr>
          <w:rFonts w:ascii="標楷體" w:eastAsia="標楷體" w:hAnsi="標楷體"/>
        </w:rPr>
      </w:pPr>
      <w:r>
        <w:rPr>
          <w:rFonts w:ascii="標楷體" w:eastAsia="標楷體" w:hAnsi="標楷體"/>
        </w:rPr>
        <w:t>Ⅱ.下肢或足部因動脈血管疾病所造成的截肢或壞疽。</w:t>
      </w:r>
    </w:p>
    <w:p w14:paraId="03CCAF6B" w14:textId="77777777" w:rsidR="00BD776B" w:rsidRDefault="00DF0C24">
      <w:pPr>
        <w:ind w:left="1134" w:hanging="283"/>
      </w:pPr>
      <w:r>
        <w:rPr>
          <w:rFonts w:ascii="標楷體" w:eastAsia="標楷體" w:hAnsi="標楷體"/>
        </w:rPr>
        <w:t>Ⅲ.有間歇性跛行的病史並經血管攝影術有顯著的周邊動脈狹窄(&gt;50%)。如果病人不適合使用顯影劑(例如有顯影劑過敏史或腎功能不全(eGFR&lt; 45mL/min/1.73m2或serum creatinine</w:t>
      </w:r>
      <w:r>
        <w:rPr>
          <w:rFonts w:ascii="Times New Roman" w:eastAsia="標楷體" w:hAnsi="Times New Roman"/>
        </w:rPr>
        <w:t>≥</w:t>
      </w:r>
      <w:r>
        <w:rPr>
          <w:rFonts w:ascii="標楷體" w:eastAsia="標楷體" w:hAnsi="標楷體"/>
        </w:rPr>
        <w:t>1.5mg/dL)，則須有都普勒超音波等非侵入性測試有顯著的周邊動脈狹窄(&gt;50%)。</w:t>
      </w:r>
    </w:p>
    <w:p w14:paraId="5E725E42" w14:textId="77777777" w:rsidR="00BD776B" w:rsidRDefault="00DF0C24">
      <w:pPr>
        <w:ind w:left="708"/>
        <w:rPr>
          <w:rFonts w:ascii="標楷體" w:eastAsia="標楷體" w:hAnsi="標楷體"/>
        </w:rPr>
      </w:pPr>
      <w:r>
        <w:rPr>
          <w:rFonts w:ascii="標楷體" w:eastAsia="標楷體" w:hAnsi="標楷體"/>
        </w:rPr>
        <w:t>(3)限Rivaroxaban 2.5mg，每日2次，每次限用1粒。</w:t>
      </w:r>
    </w:p>
    <w:p w14:paraId="6496E144" w14:textId="77777777" w:rsidR="00BD776B" w:rsidRDefault="00DF0C24">
      <w:pPr>
        <w:ind w:left="1134" w:hanging="422"/>
        <w:rPr>
          <w:rFonts w:ascii="標楷體" w:eastAsia="標楷體" w:hAnsi="標楷體"/>
        </w:rPr>
      </w:pPr>
      <w:r>
        <w:rPr>
          <w:rFonts w:ascii="標楷體" w:eastAsia="標楷體" w:hAnsi="標楷體"/>
        </w:rPr>
        <w:t>(4)不得合併雙重抗血小板(DAPT)藥物、P2Y12抑制劑(如clopidogrel、ticagrelor或prasugrel)、cilostazol或其他抗凝血劑(anti-coagulant，如warfarin)。</w:t>
      </w:r>
    </w:p>
    <w:p w14:paraId="0B4CDF00" w14:textId="77777777" w:rsidR="00BD776B" w:rsidRDefault="00DF0C24">
      <w:pPr>
        <w:ind w:left="1275" w:hanging="989"/>
        <w:rPr>
          <w:rFonts w:ascii="標楷體" w:eastAsia="標楷體" w:hAnsi="標楷體"/>
          <w:color w:val="000000"/>
        </w:rPr>
      </w:pPr>
      <w:r>
        <w:rPr>
          <w:rFonts w:ascii="標楷體" w:eastAsia="標楷體" w:hAnsi="標楷體"/>
          <w:color w:val="000000"/>
        </w:rPr>
        <w:t>2.1.4.3.Apixaban（如Eliquis）(103/6/1、106/4/1、111/2/1)</w:t>
      </w:r>
    </w:p>
    <w:p w14:paraId="1F13A8B1" w14:textId="77777777" w:rsidR="00BD776B" w:rsidRDefault="00DF0C24">
      <w:pPr>
        <w:ind w:left="847" w:hanging="283"/>
        <w:rPr>
          <w:rFonts w:ascii="標楷體" w:eastAsia="標楷體" w:hAnsi="標楷體"/>
          <w:color w:val="000000"/>
        </w:rPr>
      </w:pPr>
      <w:r>
        <w:rPr>
          <w:rFonts w:ascii="標楷體" w:eastAsia="標楷體" w:hAnsi="標楷體"/>
          <w:color w:val="000000"/>
        </w:rPr>
        <w:t>限用於</w:t>
      </w:r>
    </w:p>
    <w:p w14:paraId="503B4FCA" w14:textId="77777777" w:rsidR="00BD776B" w:rsidRDefault="00DF0C24">
      <w:pPr>
        <w:ind w:left="847" w:hanging="283"/>
        <w:rPr>
          <w:rFonts w:ascii="標楷體" w:eastAsia="標楷體" w:hAnsi="標楷體"/>
          <w:color w:val="000000"/>
        </w:rPr>
      </w:pPr>
      <w:r>
        <w:rPr>
          <w:rFonts w:ascii="標楷體" w:eastAsia="標楷體" w:hAnsi="標楷體"/>
          <w:color w:val="000000"/>
        </w:rPr>
        <w:t>1.非瓣膜性心房纖維顫動病患：</w:t>
      </w:r>
    </w:p>
    <w:p w14:paraId="0E70C8C9" w14:textId="77777777" w:rsidR="00BD776B" w:rsidRDefault="00DF0C24">
      <w:pPr>
        <w:ind w:left="1102" w:hanging="396"/>
        <w:rPr>
          <w:rFonts w:ascii="標楷體" w:eastAsia="標楷體" w:hAnsi="標楷體"/>
          <w:color w:val="000000"/>
        </w:rPr>
      </w:pPr>
      <w:r>
        <w:rPr>
          <w:rFonts w:ascii="標楷體" w:eastAsia="標楷體" w:hAnsi="標楷體"/>
          <w:color w:val="000000"/>
        </w:rPr>
        <w:t>(1)須符合下列條件之一：</w:t>
      </w:r>
    </w:p>
    <w:p w14:paraId="17D376AD" w14:textId="77777777" w:rsidR="00BD776B" w:rsidRDefault="00DF0C24">
      <w:pPr>
        <w:ind w:left="1555" w:hanging="410"/>
        <w:rPr>
          <w:rFonts w:ascii="標楷體" w:eastAsia="標楷體" w:hAnsi="標楷體"/>
          <w:color w:val="000000"/>
        </w:rPr>
      </w:pPr>
      <w:r>
        <w:rPr>
          <w:rFonts w:ascii="標楷體" w:eastAsia="標楷體" w:hAnsi="標楷體"/>
          <w:color w:val="000000"/>
        </w:rPr>
        <w:t>Ⅰ.曾發生中風或全身性栓塞。</w:t>
      </w:r>
    </w:p>
    <w:p w14:paraId="267C9268" w14:textId="77777777" w:rsidR="00BD776B" w:rsidRDefault="00DF0C24">
      <w:pPr>
        <w:ind w:left="1555" w:hanging="410"/>
        <w:rPr>
          <w:rFonts w:ascii="標楷體" w:eastAsia="標楷體" w:hAnsi="標楷體"/>
          <w:color w:val="000000"/>
        </w:rPr>
      </w:pPr>
      <w:r>
        <w:rPr>
          <w:rFonts w:ascii="標楷體" w:eastAsia="標楷體" w:hAnsi="標楷體"/>
          <w:color w:val="000000"/>
        </w:rPr>
        <w:t>Ⅱ.左心室射出分率小於40%。</w:t>
      </w:r>
    </w:p>
    <w:p w14:paraId="1409652B" w14:textId="77777777" w:rsidR="00BD776B" w:rsidRDefault="00DF0C24">
      <w:pPr>
        <w:ind w:left="1555" w:hanging="410"/>
        <w:rPr>
          <w:rFonts w:ascii="標楷體" w:eastAsia="標楷體" w:hAnsi="標楷體"/>
          <w:color w:val="000000"/>
        </w:rPr>
      </w:pPr>
      <w:r>
        <w:rPr>
          <w:rFonts w:ascii="標楷體" w:eastAsia="標楷體" w:hAnsi="標楷體"/>
          <w:color w:val="000000"/>
        </w:rPr>
        <w:t>Ⅲ.有症狀之心臟衰竭：收案前依紐約心臟協會衰竭功能分級為第二級或以上。</w:t>
      </w:r>
    </w:p>
    <w:p w14:paraId="477ADDBD" w14:textId="77777777" w:rsidR="00BD776B" w:rsidRDefault="00DF0C24">
      <w:pPr>
        <w:ind w:left="1555" w:hanging="410"/>
        <w:rPr>
          <w:rFonts w:ascii="標楷體" w:eastAsia="標楷體" w:hAnsi="標楷體"/>
          <w:color w:val="000000"/>
        </w:rPr>
      </w:pPr>
      <w:r>
        <w:rPr>
          <w:rFonts w:ascii="標楷體" w:eastAsia="標楷體" w:hAnsi="標楷體"/>
          <w:color w:val="000000"/>
        </w:rPr>
        <w:t>Ⅳ.75歲以上。(111/2/1)</w:t>
      </w:r>
    </w:p>
    <w:p w14:paraId="4F998190" w14:textId="77777777" w:rsidR="00BD776B" w:rsidRDefault="00DF0C24">
      <w:pPr>
        <w:ind w:left="1555" w:hanging="410"/>
        <w:rPr>
          <w:rFonts w:ascii="標楷體" w:eastAsia="標楷體" w:hAnsi="標楷體"/>
          <w:color w:val="000000"/>
        </w:rPr>
      </w:pPr>
      <w:r>
        <w:rPr>
          <w:rFonts w:ascii="標楷體" w:eastAsia="標楷體" w:hAnsi="標楷體"/>
          <w:color w:val="000000"/>
        </w:rPr>
        <w:t>Ⅴ.65歲以上未滿75歲且合併有糖尿病、高血壓或冠狀動脈疾病。(111/2/1)</w:t>
      </w:r>
    </w:p>
    <w:p w14:paraId="4F0C4C5A" w14:textId="77777777" w:rsidR="00BD776B" w:rsidRDefault="00DF0C24">
      <w:pPr>
        <w:ind w:left="1092" w:hanging="384"/>
        <w:rPr>
          <w:rFonts w:ascii="標楷體" w:eastAsia="標楷體" w:hAnsi="標楷體"/>
          <w:color w:val="000000"/>
          <w:lang w:val="it-IT"/>
        </w:rPr>
      </w:pPr>
      <w:r>
        <w:rPr>
          <w:rFonts w:ascii="標楷體" w:eastAsia="標楷體" w:hAnsi="標楷體"/>
          <w:color w:val="000000"/>
          <w:lang w:val="it-IT"/>
        </w:rPr>
        <w:t>(2)每日2次，每次限用1顆。</w:t>
      </w:r>
    </w:p>
    <w:p w14:paraId="25D9E6C6" w14:textId="77777777" w:rsidR="00BD776B" w:rsidRDefault="00DF0C24">
      <w:pPr>
        <w:ind w:left="1092" w:hanging="384"/>
        <w:rPr>
          <w:rFonts w:ascii="標楷體" w:eastAsia="標楷體" w:hAnsi="標楷體"/>
          <w:color w:val="000000"/>
          <w:lang w:val="it-IT"/>
        </w:rPr>
      </w:pPr>
      <w:r>
        <w:rPr>
          <w:rFonts w:ascii="標楷體" w:eastAsia="標楷體" w:hAnsi="標楷體"/>
          <w:color w:val="000000"/>
          <w:lang w:val="it-IT"/>
        </w:rPr>
        <w:lastRenderedPageBreak/>
        <w:t>(3)排除標準：</w:t>
      </w:r>
    </w:p>
    <w:p w14:paraId="3376F7BF" w14:textId="77777777" w:rsidR="00BD776B" w:rsidRDefault="00DF0C24">
      <w:pPr>
        <w:ind w:left="1522" w:hanging="377"/>
        <w:rPr>
          <w:rFonts w:ascii="標楷體" w:eastAsia="標楷體" w:hAnsi="標楷體"/>
          <w:color w:val="000000"/>
          <w:lang w:val="it-IT"/>
        </w:rPr>
      </w:pPr>
      <w:r>
        <w:rPr>
          <w:rFonts w:ascii="標楷體" w:eastAsia="標楷體" w:hAnsi="標楷體"/>
          <w:color w:val="000000"/>
          <w:lang w:val="it-IT"/>
        </w:rPr>
        <w:t>Ⅰ.病人曾有嚴重心臟瓣膜疾病。</w:t>
      </w:r>
    </w:p>
    <w:p w14:paraId="760B2E9A" w14:textId="77777777" w:rsidR="00BD776B" w:rsidRDefault="00DF0C24">
      <w:pPr>
        <w:ind w:left="1522" w:hanging="377"/>
        <w:rPr>
          <w:rFonts w:ascii="標楷體" w:eastAsia="標楷體" w:hAnsi="標楷體"/>
          <w:color w:val="000000"/>
          <w:lang w:val="it-IT"/>
        </w:rPr>
      </w:pPr>
      <w:r>
        <w:rPr>
          <w:rFonts w:ascii="標楷體" w:eastAsia="標楷體" w:hAnsi="標楷體"/>
          <w:color w:val="000000"/>
          <w:lang w:val="it-IT"/>
        </w:rPr>
        <w:t>Ⅱ.14天內發生中風。</w:t>
      </w:r>
    </w:p>
    <w:p w14:paraId="2607D072" w14:textId="77777777" w:rsidR="00BD776B" w:rsidRDefault="00DF0C24">
      <w:pPr>
        <w:ind w:left="1522" w:hanging="377"/>
        <w:rPr>
          <w:rFonts w:ascii="標楷體" w:eastAsia="標楷體" w:hAnsi="標楷體"/>
          <w:color w:val="000000"/>
          <w:lang w:val="it-IT"/>
        </w:rPr>
      </w:pPr>
      <w:r>
        <w:rPr>
          <w:rFonts w:ascii="標楷體" w:eastAsia="標楷體" w:hAnsi="標楷體"/>
          <w:color w:val="000000"/>
          <w:lang w:val="it-IT"/>
        </w:rPr>
        <w:t>Ⅲ.收案前的6個月內發生嚴重中風。</w:t>
      </w:r>
    </w:p>
    <w:p w14:paraId="14D45AB1" w14:textId="77777777" w:rsidR="00BD776B" w:rsidRDefault="00DF0C24">
      <w:pPr>
        <w:ind w:left="1522" w:hanging="377"/>
        <w:rPr>
          <w:rFonts w:ascii="標楷體" w:eastAsia="標楷體" w:hAnsi="標楷體"/>
          <w:color w:val="000000"/>
          <w:lang w:val="it-IT"/>
        </w:rPr>
      </w:pPr>
      <w:r>
        <w:rPr>
          <w:rFonts w:ascii="標楷體" w:eastAsia="標楷體" w:hAnsi="標楷體"/>
          <w:color w:val="000000"/>
          <w:lang w:val="it-IT"/>
        </w:rPr>
        <w:t>Ⅳ.有增加出血風險的情況。</w:t>
      </w:r>
    </w:p>
    <w:p w14:paraId="31A7F166" w14:textId="77777777" w:rsidR="00BD776B" w:rsidRDefault="00DF0C24">
      <w:pPr>
        <w:ind w:left="1522" w:hanging="377"/>
        <w:rPr>
          <w:rFonts w:ascii="標楷體" w:eastAsia="標楷體" w:hAnsi="標楷體"/>
          <w:color w:val="000000"/>
          <w:lang w:val="it-IT"/>
        </w:rPr>
      </w:pPr>
      <w:r>
        <w:rPr>
          <w:rFonts w:ascii="標楷體" w:eastAsia="標楷體" w:hAnsi="標楷體"/>
          <w:color w:val="000000"/>
          <w:lang w:val="it-IT"/>
        </w:rPr>
        <w:t>Ⅴ.肌酸酐清除率小於15 mL/min。</w:t>
      </w:r>
    </w:p>
    <w:p w14:paraId="12E49945" w14:textId="77777777" w:rsidR="00BD776B" w:rsidRDefault="00DF0C24">
      <w:pPr>
        <w:ind w:left="1522" w:hanging="377"/>
        <w:rPr>
          <w:rFonts w:ascii="標楷體" w:eastAsia="標楷體" w:hAnsi="標楷體"/>
          <w:color w:val="000000"/>
          <w:lang w:val="it-IT"/>
        </w:rPr>
      </w:pPr>
      <w:r>
        <w:rPr>
          <w:rFonts w:ascii="標楷體" w:eastAsia="標楷體" w:hAnsi="標楷體"/>
          <w:color w:val="000000"/>
          <w:lang w:val="it-IT"/>
        </w:rPr>
        <w:t>Ⅵ.活動性肝病和懷孕。</w:t>
      </w:r>
    </w:p>
    <w:p w14:paraId="66D89CEB" w14:textId="77777777" w:rsidR="00BD776B" w:rsidRDefault="00DF0C24">
      <w:pPr>
        <w:ind w:left="847" w:hanging="283"/>
        <w:rPr>
          <w:rFonts w:ascii="標楷體" w:eastAsia="標楷體" w:hAnsi="標楷體"/>
          <w:color w:val="000000"/>
        </w:rPr>
      </w:pPr>
      <w:r>
        <w:rPr>
          <w:rFonts w:ascii="標楷體" w:eastAsia="標楷體" w:hAnsi="標楷體"/>
          <w:color w:val="000000"/>
        </w:rPr>
        <w:t>2.治療深部靜脈血栓與肺栓塞及預防再發性深部靜脈血栓與肺栓塞：(106/4/1)</w:t>
      </w:r>
    </w:p>
    <w:p w14:paraId="1F08CDB2" w14:textId="77777777" w:rsidR="00BD776B" w:rsidRDefault="00DF0C24">
      <w:pPr>
        <w:ind w:left="1077" w:hanging="367"/>
        <w:rPr>
          <w:rFonts w:ascii="標楷體" w:eastAsia="標楷體" w:hAnsi="標楷體"/>
          <w:color w:val="000000"/>
        </w:rPr>
      </w:pPr>
      <w:r>
        <w:rPr>
          <w:rFonts w:ascii="標楷體" w:eastAsia="標楷體" w:hAnsi="標楷體"/>
          <w:color w:val="000000"/>
        </w:rPr>
        <w:t>(1)須經影像學或血管超音波檢查診斷。</w:t>
      </w:r>
    </w:p>
    <w:p w14:paraId="2FC7F5D7" w14:textId="77777777" w:rsidR="00BD776B" w:rsidRDefault="00DF0C24">
      <w:pPr>
        <w:ind w:left="1077" w:hanging="367"/>
        <w:rPr>
          <w:rFonts w:ascii="標楷體" w:eastAsia="標楷體" w:hAnsi="標楷體"/>
          <w:color w:val="000000"/>
        </w:rPr>
      </w:pPr>
      <w:r>
        <w:rPr>
          <w:rFonts w:ascii="標楷體" w:eastAsia="標楷體" w:hAnsi="標楷體"/>
          <w:color w:val="000000"/>
        </w:rPr>
        <w:t>(2)第1日至7日，每日2次，每次限用2顆。</w:t>
      </w:r>
    </w:p>
    <w:p w14:paraId="252EFA38" w14:textId="77777777" w:rsidR="00BD776B" w:rsidRDefault="00DF0C24">
      <w:pPr>
        <w:ind w:left="1077" w:hanging="367"/>
        <w:rPr>
          <w:rFonts w:ascii="標楷體" w:eastAsia="標楷體" w:hAnsi="標楷體"/>
          <w:color w:val="000000"/>
        </w:rPr>
      </w:pPr>
      <w:r>
        <w:rPr>
          <w:rFonts w:ascii="標楷體" w:eastAsia="標楷體" w:hAnsi="標楷體"/>
          <w:color w:val="000000"/>
        </w:rPr>
        <w:t>(3)第8日起，每日2次，每次限用1顆，每6個月評估一次。</w:t>
      </w:r>
    </w:p>
    <w:p w14:paraId="16420A44" w14:textId="77777777" w:rsidR="00BD776B" w:rsidRDefault="00DF0C24">
      <w:pPr>
        <w:ind w:left="1274" w:hanging="991"/>
        <w:rPr>
          <w:rFonts w:ascii="標楷體" w:eastAsia="標楷體" w:hAnsi="標楷體"/>
          <w:color w:val="000000"/>
        </w:rPr>
      </w:pPr>
      <w:r>
        <w:rPr>
          <w:rFonts w:ascii="標楷體" w:eastAsia="標楷體" w:hAnsi="標楷體"/>
          <w:color w:val="000000"/>
        </w:rPr>
        <w:t>2.1.4.4.Edoxaban(如Lixiana)：(105/9/1、111/2/1)</w:t>
      </w:r>
    </w:p>
    <w:p w14:paraId="7E9096F6" w14:textId="77777777" w:rsidR="00BD776B" w:rsidRDefault="00DF0C24">
      <w:pPr>
        <w:ind w:left="811"/>
        <w:rPr>
          <w:rFonts w:ascii="標楷體" w:eastAsia="標楷體" w:hAnsi="標楷體"/>
          <w:color w:val="000000"/>
        </w:rPr>
      </w:pPr>
      <w:r>
        <w:rPr>
          <w:rFonts w:ascii="標楷體" w:eastAsia="標楷體" w:hAnsi="標楷體"/>
          <w:color w:val="000000"/>
        </w:rPr>
        <w:t>限用於</w:t>
      </w:r>
    </w:p>
    <w:p w14:paraId="0BFC476B" w14:textId="77777777" w:rsidR="00BD776B" w:rsidRDefault="00DF0C24">
      <w:pPr>
        <w:ind w:left="849" w:hanging="283"/>
        <w:rPr>
          <w:rFonts w:ascii="標楷體" w:eastAsia="標楷體" w:hAnsi="標楷體"/>
          <w:color w:val="000000"/>
        </w:rPr>
      </w:pPr>
      <w:r>
        <w:rPr>
          <w:rFonts w:ascii="標楷體" w:eastAsia="標楷體" w:hAnsi="標楷體"/>
          <w:color w:val="000000"/>
        </w:rPr>
        <w:t>1.非瓣膜性心房纖維顫動病患：</w:t>
      </w:r>
    </w:p>
    <w:p w14:paraId="684C84A6" w14:textId="77777777" w:rsidR="00BD776B" w:rsidRDefault="00DF0C24">
      <w:pPr>
        <w:ind w:left="1133" w:hanging="425"/>
        <w:rPr>
          <w:rFonts w:ascii="標楷體" w:eastAsia="標楷體" w:hAnsi="標楷體"/>
          <w:color w:val="000000"/>
        </w:rPr>
      </w:pPr>
      <w:r>
        <w:rPr>
          <w:rFonts w:ascii="標楷體" w:eastAsia="標楷體" w:hAnsi="標楷體"/>
          <w:color w:val="000000"/>
        </w:rPr>
        <w:t>(1)須符合下列條件之一：</w:t>
      </w:r>
    </w:p>
    <w:p w14:paraId="5A89B7A9" w14:textId="77777777" w:rsidR="00BD776B" w:rsidRDefault="00DF0C24">
      <w:pPr>
        <w:ind w:left="1078"/>
        <w:rPr>
          <w:rFonts w:ascii="標楷體" w:eastAsia="標楷體" w:hAnsi="標楷體"/>
          <w:color w:val="000000"/>
        </w:rPr>
      </w:pPr>
      <w:r>
        <w:rPr>
          <w:rFonts w:ascii="標楷體" w:eastAsia="標楷體" w:hAnsi="標楷體"/>
          <w:color w:val="000000"/>
        </w:rPr>
        <w:t>Ⅰ.曾發生中風或全身性栓塞。</w:t>
      </w:r>
    </w:p>
    <w:p w14:paraId="7057A2B0" w14:textId="77777777" w:rsidR="00BD776B" w:rsidRDefault="00DF0C24">
      <w:pPr>
        <w:ind w:left="1078"/>
        <w:rPr>
          <w:rFonts w:ascii="標楷體" w:eastAsia="標楷體" w:hAnsi="標楷體"/>
          <w:color w:val="000000"/>
        </w:rPr>
      </w:pPr>
      <w:r>
        <w:rPr>
          <w:rFonts w:ascii="標楷體" w:eastAsia="標楷體" w:hAnsi="標楷體"/>
          <w:color w:val="000000"/>
        </w:rPr>
        <w:t>Ⅱ.左心室射出分率小於40%。</w:t>
      </w:r>
    </w:p>
    <w:p w14:paraId="6D092109" w14:textId="77777777" w:rsidR="00BD776B" w:rsidRDefault="00DF0C24">
      <w:pPr>
        <w:ind w:left="1078"/>
        <w:rPr>
          <w:rFonts w:ascii="標楷體" w:eastAsia="標楷體" w:hAnsi="標楷體"/>
          <w:color w:val="000000"/>
        </w:rPr>
      </w:pPr>
      <w:r>
        <w:rPr>
          <w:rFonts w:ascii="標楷體" w:eastAsia="標楷體" w:hAnsi="標楷體"/>
          <w:color w:val="000000"/>
        </w:rPr>
        <w:t>Ⅲ.有症狀之心臟衰竭：收案前依紐約心臟協會衰竭功能分級為第二級或以上。</w:t>
      </w:r>
    </w:p>
    <w:p w14:paraId="12455414" w14:textId="77777777" w:rsidR="00BD776B" w:rsidRDefault="00DF0C24">
      <w:pPr>
        <w:ind w:left="1078"/>
        <w:rPr>
          <w:rFonts w:ascii="標楷體" w:eastAsia="標楷體" w:hAnsi="標楷體"/>
          <w:color w:val="000000"/>
        </w:rPr>
      </w:pPr>
      <w:r>
        <w:rPr>
          <w:rFonts w:ascii="標楷體" w:eastAsia="標楷體" w:hAnsi="標楷體"/>
          <w:color w:val="000000"/>
        </w:rPr>
        <w:t>Ⅳ.75歲以上。(111/2/1)</w:t>
      </w:r>
    </w:p>
    <w:p w14:paraId="08B735D9" w14:textId="77777777" w:rsidR="00BD776B" w:rsidRDefault="00DF0C24">
      <w:pPr>
        <w:ind w:left="1078"/>
        <w:rPr>
          <w:rFonts w:ascii="標楷體" w:eastAsia="標楷體" w:hAnsi="標楷體"/>
          <w:color w:val="000000"/>
        </w:rPr>
      </w:pPr>
      <w:r>
        <w:rPr>
          <w:rFonts w:ascii="標楷體" w:eastAsia="標楷體" w:hAnsi="標楷體"/>
          <w:color w:val="000000"/>
        </w:rPr>
        <w:t>Ⅴ.65歲以上未滿75歲且合併有糖尿病、高血壓或冠狀動脈疾病。(111/2/1)</w:t>
      </w:r>
    </w:p>
    <w:p w14:paraId="77996A3E" w14:textId="77777777" w:rsidR="00BD776B" w:rsidRDefault="00DF0C24">
      <w:pPr>
        <w:ind w:left="1133" w:hanging="425"/>
        <w:rPr>
          <w:rFonts w:ascii="標楷體" w:eastAsia="標楷體" w:hAnsi="標楷體"/>
          <w:color w:val="000000"/>
        </w:rPr>
      </w:pPr>
      <w:r>
        <w:rPr>
          <w:rFonts w:ascii="標楷體" w:eastAsia="標楷體" w:hAnsi="標楷體"/>
          <w:color w:val="000000"/>
        </w:rPr>
        <w:t>(2)每日1次，每次限1顆。</w:t>
      </w:r>
    </w:p>
    <w:p w14:paraId="538DD75D" w14:textId="77777777" w:rsidR="00BD776B" w:rsidRDefault="00DF0C24">
      <w:pPr>
        <w:ind w:left="1133" w:hanging="425"/>
        <w:rPr>
          <w:rFonts w:ascii="標楷體" w:eastAsia="標楷體" w:hAnsi="標楷體"/>
          <w:color w:val="000000"/>
        </w:rPr>
      </w:pPr>
      <w:r>
        <w:rPr>
          <w:rFonts w:ascii="標楷體" w:eastAsia="標楷體" w:hAnsi="標楷體"/>
          <w:color w:val="000000"/>
        </w:rPr>
        <w:t>(3)排除標準：</w:t>
      </w:r>
    </w:p>
    <w:p w14:paraId="038BFAF5" w14:textId="77777777" w:rsidR="00BD776B" w:rsidRDefault="00DF0C24">
      <w:pPr>
        <w:ind w:left="1078"/>
        <w:rPr>
          <w:rFonts w:ascii="標楷體" w:eastAsia="標楷體" w:hAnsi="標楷體"/>
          <w:color w:val="000000"/>
        </w:rPr>
      </w:pPr>
      <w:r>
        <w:rPr>
          <w:rFonts w:ascii="標楷體" w:eastAsia="標楷體" w:hAnsi="標楷體"/>
          <w:color w:val="000000"/>
        </w:rPr>
        <w:t>Ⅰ.病人曾有嚴重心臟瓣膜疾病。</w:t>
      </w:r>
    </w:p>
    <w:p w14:paraId="2C273942" w14:textId="77777777" w:rsidR="00BD776B" w:rsidRDefault="00DF0C24">
      <w:pPr>
        <w:ind w:left="1078"/>
        <w:rPr>
          <w:rFonts w:ascii="標楷體" w:eastAsia="標楷體" w:hAnsi="標楷體"/>
          <w:color w:val="000000"/>
        </w:rPr>
      </w:pPr>
      <w:r>
        <w:rPr>
          <w:rFonts w:ascii="標楷體" w:eastAsia="標楷體" w:hAnsi="標楷體"/>
          <w:color w:val="000000"/>
        </w:rPr>
        <w:t>Ⅱ.14天內發生中風。</w:t>
      </w:r>
    </w:p>
    <w:p w14:paraId="77CC71EA" w14:textId="77777777" w:rsidR="00BD776B" w:rsidRDefault="00DF0C24">
      <w:pPr>
        <w:ind w:left="1078"/>
        <w:rPr>
          <w:rFonts w:ascii="標楷體" w:eastAsia="標楷體" w:hAnsi="標楷體"/>
          <w:color w:val="000000"/>
        </w:rPr>
      </w:pPr>
      <w:r>
        <w:rPr>
          <w:rFonts w:ascii="標楷體" w:eastAsia="標楷體" w:hAnsi="標楷體"/>
          <w:color w:val="000000"/>
        </w:rPr>
        <w:t>Ⅲ.收案前的6個月內發生嚴重中風。</w:t>
      </w:r>
    </w:p>
    <w:p w14:paraId="793B0F25" w14:textId="77777777" w:rsidR="00BD776B" w:rsidRDefault="00DF0C24">
      <w:pPr>
        <w:ind w:left="1078"/>
        <w:rPr>
          <w:rFonts w:ascii="標楷體" w:eastAsia="標楷體" w:hAnsi="標楷體"/>
          <w:color w:val="000000"/>
        </w:rPr>
      </w:pPr>
      <w:r>
        <w:rPr>
          <w:rFonts w:ascii="標楷體" w:eastAsia="標楷體" w:hAnsi="標楷體"/>
          <w:color w:val="000000"/>
        </w:rPr>
        <w:t>Ⅳ.有增加出血風險的情況。</w:t>
      </w:r>
    </w:p>
    <w:p w14:paraId="69C1096E" w14:textId="77777777" w:rsidR="00BD776B" w:rsidRDefault="00DF0C24">
      <w:pPr>
        <w:ind w:left="1078"/>
        <w:rPr>
          <w:rFonts w:ascii="標楷體" w:eastAsia="標楷體" w:hAnsi="標楷體"/>
          <w:color w:val="000000"/>
        </w:rPr>
      </w:pPr>
      <w:r>
        <w:rPr>
          <w:rFonts w:ascii="標楷體" w:eastAsia="標楷體" w:hAnsi="標楷體"/>
          <w:color w:val="000000"/>
        </w:rPr>
        <w:t>Ⅴ.肌酸酐清除率小於15 mL/min，或大於95 mL/min。</w:t>
      </w:r>
    </w:p>
    <w:p w14:paraId="2D93BF11" w14:textId="77777777" w:rsidR="00BD776B" w:rsidRDefault="00DF0C24">
      <w:pPr>
        <w:ind w:left="1078"/>
        <w:rPr>
          <w:rFonts w:ascii="標楷體" w:eastAsia="標楷體" w:hAnsi="標楷體"/>
          <w:color w:val="000000"/>
        </w:rPr>
      </w:pPr>
      <w:r>
        <w:rPr>
          <w:rFonts w:ascii="標楷體" w:eastAsia="標楷體" w:hAnsi="標楷體"/>
          <w:color w:val="000000"/>
        </w:rPr>
        <w:t>Ⅵ.活動性肝病和懷孕。</w:t>
      </w:r>
    </w:p>
    <w:p w14:paraId="1815BD8E" w14:textId="77777777" w:rsidR="00BD776B" w:rsidRDefault="00DF0C24">
      <w:pPr>
        <w:ind w:left="849" w:hanging="283"/>
        <w:rPr>
          <w:rFonts w:ascii="標楷體" w:eastAsia="標楷體" w:hAnsi="標楷體"/>
          <w:color w:val="000000"/>
        </w:rPr>
      </w:pPr>
      <w:r>
        <w:rPr>
          <w:rFonts w:ascii="標楷體" w:eastAsia="標楷體" w:hAnsi="標楷體"/>
          <w:color w:val="000000"/>
        </w:rPr>
        <w:t>2.治療深部靜脈血栓與肺栓塞：</w:t>
      </w:r>
    </w:p>
    <w:p w14:paraId="1515A3EA" w14:textId="77777777" w:rsidR="00BD776B" w:rsidRDefault="00DF0C24">
      <w:pPr>
        <w:ind w:left="1088" w:hanging="382"/>
        <w:rPr>
          <w:rFonts w:ascii="標楷體" w:eastAsia="標楷體" w:hAnsi="標楷體"/>
          <w:color w:val="000000"/>
        </w:rPr>
      </w:pPr>
      <w:r>
        <w:rPr>
          <w:rFonts w:ascii="標楷體" w:eastAsia="標楷體" w:hAnsi="標楷體"/>
          <w:color w:val="000000"/>
        </w:rPr>
        <w:t>(1)須經影像學或血管超音波檢查診斷。</w:t>
      </w:r>
    </w:p>
    <w:p w14:paraId="7A3E0BBD" w14:textId="77777777" w:rsidR="00BD776B" w:rsidRDefault="00DF0C24">
      <w:pPr>
        <w:ind w:left="1088" w:hanging="382"/>
        <w:rPr>
          <w:rFonts w:ascii="標楷體" w:eastAsia="標楷體" w:hAnsi="標楷體"/>
          <w:color w:val="000000"/>
        </w:rPr>
      </w:pPr>
      <w:r>
        <w:rPr>
          <w:rFonts w:ascii="標楷體" w:eastAsia="標楷體" w:hAnsi="標楷體"/>
          <w:color w:val="000000"/>
        </w:rPr>
        <w:t>(2)接受至少5日非經腸道抗凝血劑注射治療後，開始每日1次，每次限1顆，每6個月評估一次。</w:t>
      </w:r>
    </w:p>
    <w:p w14:paraId="395559A8" w14:textId="77777777" w:rsidR="00BD776B" w:rsidRDefault="00DF0C24">
      <w:pPr>
        <w:ind w:left="672" w:hanging="386"/>
      </w:pPr>
      <w:r>
        <w:rPr>
          <w:rFonts w:ascii="標楷體" w:eastAsia="標楷體" w:hAnsi="標楷體"/>
          <w:color w:val="000000"/>
          <w:szCs w:val="24"/>
        </w:rPr>
        <w:t>2.1.5.直接凝血酶抑制劑(Direct thrombin inhibitors) ：Dabigatran(如Pradaxa)（101/6/1、104/12/1、107/9/1、111/2/1</w:t>
      </w:r>
      <w:r>
        <w:rPr>
          <w:rFonts w:ascii="標楷體" w:eastAsia="標楷體" w:hAnsi="標楷體"/>
          <w:szCs w:val="24"/>
          <w:u w:val="single"/>
        </w:rPr>
        <w:t>、112/3/1</w:t>
      </w:r>
      <w:r>
        <w:rPr>
          <w:rFonts w:ascii="標楷體" w:eastAsia="標楷體" w:hAnsi="標楷體"/>
          <w:color w:val="000000"/>
          <w:szCs w:val="24"/>
        </w:rPr>
        <w:t>）</w:t>
      </w:r>
    </w:p>
    <w:p w14:paraId="1A5D4F96"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1.用於非瓣膜性心房纖維顫動病患：</w:t>
      </w:r>
    </w:p>
    <w:p w14:paraId="08C2E0E6"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(1)</w:t>
      </w:r>
      <w:r>
        <w:rPr>
          <w:rFonts w:ascii="標楷體" w:eastAsia="標楷體" w:hAnsi="標楷體"/>
          <w:color w:val="000000"/>
          <w:szCs w:val="24"/>
        </w:rPr>
        <w:tab/>
        <w:t>須符合下列條件之一：</w:t>
      </w:r>
    </w:p>
    <w:p w14:paraId="373A7BE5" w14:textId="77777777" w:rsidR="00BD776B" w:rsidRDefault="00DF0C24">
      <w:pPr>
        <w:numPr>
          <w:ilvl w:val="0"/>
          <w:numId w:val="9"/>
        </w:numPr>
        <w:suppressAutoHyphens w:val="0"/>
        <w:ind w:left="1418" w:hanging="567"/>
        <w:textAlignment w:val="auto"/>
        <w:rPr>
          <w:rFonts w:ascii="標楷體" w:eastAsia="標楷體" w:hAnsi="標楷體"/>
          <w:color w:val="000000"/>
          <w:szCs w:val="24"/>
        </w:rPr>
      </w:pPr>
      <w:r>
        <w:rPr>
          <w:rFonts w:ascii="標楷體" w:eastAsia="標楷體" w:hAnsi="標楷體"/>
          <w:color w:val="000000"/>
          <w:szCs w:val="24"/>
        </w:rPr>
        <w:t>曾發生中風或全身性栓塞。</w:t>
      </w:r>
    </w:p>
    <w:p w14:paraId="59AFDDB3" w14:textId="77777777" w:rsidR="00BD776B" w:rsidRDefault="00DF0C24">
      <w:pPr>
        <w:numPr>
          <w:ilvl w:val="0"/>
          <w:numId w:val="9"/>
        </w:numPr>
        <w:suppressAutoHyphens w:val="0"/>
        <w:ind w:left="1418" w:hanging="567"/>
        <w:textAlignment w:val="auto"/>
        <w:rPr>
          <w:rFonts w:ascii="標楷體" w:eastAsia="標楷體" w:hAnsi="標楷體"/>
          <w:color w:val="000000"/>
          <w:szCs w:val="24"/>
        </w:rPr>
      </w:pPr>
      <w:r>
        <w:rPr>
          <w:rFonts w:ascii="標楷體" w:eastAsia="標楷體" w:hAnsi="標楷體"/>
          <w:color w:val="000000"/>
          <w:szCs w:val="24"/>
        </w:rPr>
        <w:t>左心室射出分率小於40%。</w:t>
      </w:r>
    </w:p>
    <w:p w14:paraId="4AD9103E" w14:textId="77777777" w:rsidR="00BD776B" w:rsidRDefault="00DF0C24">
      <w:pPr>
        <w:numPr>
          <w:ilvl w:val="0"/>
          <w:numId w:val="9"/>
        </w:numPr>
        <w:suppressAutoHyphens w:val="0"/>
        <w:ind w:left="1418" w:hanging="567"/>
        <w:textAlignment w:val="auto"/>
        <w:rPr>
          <w:rFonts w:ascii="標楷體" w:eastAsia="標楷體" w:hAnsi="標楷體"/>
          <w:color w:val="000000"/>
          <w:szCs w:val="24"/>
        </w:rPr>
      </w:pPr>
      <w:r>
        <w:rPr>
          <w:rFonts w:ascii="標楷體" w:eastAsia="標楷體" w:hAnsi="標楷體"/>
          <w:color w:val="000000"/>
          <w:szCs w:val="24"/>
        </w:rPr>
        <w:t>有症狀之心臟衰竭：收案前依紐約心臟協會衰竭功能分級為第二級或以上。</w:t>
      </w:r>
    </w:p>
    <w:p w14:paraId="0450E9CD" w14:textId="77777777" w:rsidR="00BD776B" w:rsidRDefault="00DF0C24">
      <w:pPr>
        <w:numPr>
          <w:ilvl w:val="0"/>
          <w:numId w:val="9"/>
        </w:numPr>
        <w:suppressAutoHyphens w:val="0"/>
        <w:ind w:left="1418" w:hanging="567"/>
        <w:textAlignment w:val="auto"/>
        <w:rPr>
          <w:rFonts w:ascii="標楷體" w:eastAsia="標楷體" w:hAnsi="標楷體"/>
          <w:color w:val="000000"/>
          <w:szCs w:val="24"/>
        </w:rPr>
      </w:pPr>
      <w:r>
        <w:rPr>
          <w:rFonts w:ascii="標楷體" w:eastAsia="標楷體" w:hAnsi="標楷體"/>
          <w:color w:val="000000"/>
          <w:szCs w:val="24"/>
        </w:rPr>
        <w:t>75歲以上(111/2/1)。</w:t>
      </w:r>
    </w:p>
    <w:p w14:paraId="2F2617B1" w14:textId="77777777" w:rsidR="00BD776B" w:rsidRDefault="00DF0C24">
      <w:pPr>
        <w:numPr>
          <w:ilvl w:val="0"/>
          <w:numId w:val="9"/>
        </w:numPr>
        <w:suppressAutoHyphens w:val="0"/>
        <w:ind w:left="1418" w:hanging="567"/>
        <w:textAlignment w:val="auto"/>
        <w:rPr>
          <w:rFonts w:ascii="標楷體" w:eastAsia="標楷體" w:hAnsi="標楷體"/>
          <w:color w:val="000000"/>
          <w:szCs w:val="24"/>
        </w:rPr>
      </w:pPr>
      <w:r>
        <w:rPr>
          <w:rFonts w:ascii="標楷體" w:eastAsia="標楷體" w:hAnsi="標楷體"/>
          <w:color w:val="000000"/>
          <w:szCs w:val="24"/>
        </w:rPr>
        <w:lastRenderedPageBreak/>
        <w:t>65歲以上未滿75歲且合併有糖尿病、高血壓或冠狀動脈疾病(111/2/1)。</w:t>
      </w:r>
    </w:p>
    <w:p w14:paraId="6367C04F" w14:textId="77777777" w:rsidR="00BD776B" w:rsidRDefault="00DF0C24">
      <w:pPr>
        <w:suppressAutoHyphens w:val="0"/>
        <w:ind w:left="567"/>
        <w:textAlignment w:val="auto"/>
        <w:rPr>
          <w:rFonts w:ascii="標楷體" w:eastAsia="標楷體" w:hAnsi="標楷體"/>
          <w:color w:val="000000"/>
          <w:szCs w:val="24"/>
        </w:rPr>
      </w:pPr>
      <w:r>
        <w:rPr>
          <w:rFonts w:ascii="標楷體" w:eastAsia="標楷體" w:hAnsi="標楷體"/>
          <w:color w:val="000000"/>
          <w:szCs w:val="24"/>
        </w:rPr>
        <w:t>(2)150mg或110mg膠囊，每日2次，每次限1粒；75mg膠囊每日2次，每次限2粒(107/9/1)</w:t>
      </w:r>
    </w:p>
    <w:p w14:paraId="1E497CD4"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(3)排除標準：</w:t>
      </w:r>
    </w:p>
    <w:p w14:paraId="04469A99" w14:textId="77777777" w:rsidR="00BD776B" w:rsidRDefault="00DF0C24">
      <w:pPr>
        <w:numPr>
          <w:ilvl w:val="0"/>
          <w:numId w:val="10"/>
        </w:numPr>
        <w:suppressAutoHyphens w:val="0"/>
        <w:ind w:left="1276" w:hanging="425"/>
        <w:textAlignment w:val="auto"/>
        <w:rPr>
          <w:rFonts w:ascii="標楷體" w:eastAsia="標楷體" w:hAnsi="標楷體"/>
          <w:color w:val="000000"/>
          <w:szCs w:val="24"/>
        </w:rPr>
      </w:pPr>
      <w:r>
        <w:rPr>
          <w:rFonts w:ascii="標楷體" w:eastAsia="標楷體" w:hAnsi="標楷體"/>
          <w:color w:val="000000"/>
          <w:szCs w:val="24"/>
        </w:rPr>
        <w:t>病人曾有嚴重心臟瓣膜疾病。</w:t>
      </w:r>
    </w:p>
    <w:p w14:paraId="23A5A14C" w14:textId="77777777" w:rsidR="00BD776B" w:rsidRDefault="00DF0C24">
      <w:pPr>
        <w:numPr>
          <w:ilvl w:val="0"/>
          <w:numId w:val="10"/>
        </w:numPr>
        <w:suppressAutoHyphens w:val="0"/>
        <w:ind w:left="1276" w:hanging="425"/>
        <w:textAlignment w:val="auto"/>
        <w:rPr>
          <w:rFonts w:ascii="標楷體" w:eastAsia="標楷體" w:hAnsi="標楷體"/>
          <w:color w:val="000000"/>
          <w:szCs w:val="24"/>
        </w:rPr>
      </w:pPr>
      <w:r>
        <w:rPr>
          <w:rFonts w:ascii="標楷體" w:eastAsia="標楷體" w:hAnsi="標楷體"/>
          <w:color w:val="000000"/>
          <w:szCs w:val="24"/>
        </w:rPr>
        <w:t>14 天內發生中風。</w:t>
      </w:r>
    </w:p>
    <w:p w14:paraId="24299F8D" w14:textId="77777777" w:rsidR="00BD776B" w:rsidRDefault="00DF0C24">
      <w:pPr>
        <w:numPr>
          <w:ilvl w:val="0"/>
          <w:numId w:val="10"/>
        </w:numPr>
        <w:suppressAutoHyphens w:val="0"/>
        <w:ind w:left="1276" w:hanging="425"/>
        <w:textAlignment w:val="auto"/>
        <w:rPr>
          <w:rFonts w:ascii="標楷體" w:eastAsia="標楷體" w:hAnsi="標楷體"/>
          <w:color w:val="000000"/>
          <w:szCs w:val="24"/>
        </w:rPr>
      </w:pPr>
      <w:r>
        <w:rPr>
          <w:rFonts w:ascii="標楷體" w:eastAsia="標楷體" w:hAnsi="標楷體"/>
          <w:color w:val="000000"/>
          <w:szCs w:val="24"/>
        </w:rPr>
        <w:t>收案前的6個月內發生嚴重中風。</w:t>
      </w:r>
    </w:p>
    <w:p w14:paraId="6BDAADE0" w14:textId="77777777" w:rsidR="00BD776B" w:rsidRDefault="00DF0C24">
      <w:pPr>
        <w:numPr>
          <w:ilvl w:val="0"/>
          <w:numId w:val="10"/>
        </w:numPr>
        <w:suppressAutoHyphens w:val="0"/>
        <w:ind w:left="1276" w:hanging="425"/>
        <w:textAlignment w:val="auto"/>
        <w:rPr>
          <w:rFonts w:ascii="標楷體" w:eastAsia="標楷體" w:hAnsi="標楷體"/>
          <w:color w:val="000000"/>
          <w:szCs w:val="24"/>
        </w:rPr>
      </w:pPr>
      <w:r>
        <w:rPr>
          <w:rFonts w:ascii="標楷體" w:eastAsia="標楷體" w:hAnsi="標楷體"/>
          <w:color w:val="000000"/>
          <w:szCs w:val="24"/>
        </w:rPr>
        <w:t>有增加出血風險的情況。</w:t>
      </w:r>
    </w:p>
    <w:p w14:paraId="3F4D596B" w14:textId="77777777" w:rsidR="00BD776B" w:rsidRDefault="00DF0C24">
      <w:pPr>
        <w:numPr>
          <w:ilvl w:val="0"/>
          <w:numId w:val="10"/>
        </w:numPr>
        <w:suppressAutoHyphens w:val="0"/>
        <w:ind w:left="1276" w:hanging="425"/>
        <w:textAlignment w:val="auto"/>
        <w:rPr>
          <w:rFonts w:ascii="標楷體" w:eastAsia="標楷體" w:hAnsi="標楷體"/>
          <w:color w:val="000000"/>
          <w:szCs w:val="24"/>
        </w:rPr>
      </w:pPr>
      <w:r>
        <w:rPr>
          <w:rFonts w:ascii="標楷體" w:eastAsia="標楷體" w:hAnsi="標楷體"/>
          <w:color w:val="000000"/>
          <w:szCs w:val="24"/>
        </w:rPr>
        <w:t>肌酸酐清除率小於 30 mL/min。</w:t>
      </w:r>
    </w:p>
    <w:p w14:paraId="156C3F35" w14:textId="77777777" w:rsidR="00BD776B" w:rsidRDefault="00DF0C24">
      <w:pPr>
        <w:numPr>
          <w:ilvl w:val="0"/>
          <w:numId w:val="10"/>
        </w:numPr>
        <w:suppressAutoHyphens w:val="0"/>
        <w:ind w:left="1276" w:hanging="425"/>
        <w:textAlignment w:val="auto"/>
        <w:rPr>
          <w:rFonts w:ascii="標楷體" w:eastAsia="標楷體" w:hAnsi="標楷體"/>
          <w:color w:val="000000"/>
          <w:szCs w:val="24"/>
        </w:rPr>
      </w:pPr>
      <w:r>
        <w:rPr>
          <w:rFonts w:ascii="標楷體" w:eastAsia="標楷體" w:hAnsi="標楷體"/>
          <w:color w:val="000000"/>
          <w:szCs w:val="24"/>
        </w:rPr>
        <w:t>活動性肝病和懷孕。</w:t>
      </w:r>
    </w:p>
    <w:p w14:paraId="74C185DB" w14:textId="77777777" w:rsidR="00BD776B" w:rsidRDefault="00DF0C24">
      <w:pPr>
        <w:ind w:left="811" w:hanging="245"/>
      </w:pPr>
      <w:r>
        <w:rPr>
          <w:rFonts w:ascii="標楷體" w:eastAsia="標楷體" w:hAnsi="標楷體"/>
          <w:color w:val="000000"/>
          <w:szCs w:val="24"/>
        </w:rPr>
        <w:t>2.用於靜脈血栓高危險病患，接受人工髖或膝關節置換術或再置換術時，預防其術後之靜脈血栓栓塞症(VTE)。</w:t>
      </w:r>
      <w:r>
        <w:rPr>
          <w:rFonts w:ascii="標楷體" w:eastAsia="標楷體" w:hAnsi="標楷體"/>
          <w:szCs w:val="24"/>
          <w:u w:val="single"/>
        </w:rPr>
        <w:t>(112/3/1)</w:t>
      </w:r>
    </w:p>
    <w:p w14:paraId="3F3905D7" w14:textId="77777777" w:rsidR="00BD776B" w:rsidRDefault="00DF0C24">
      <w:pPr>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 xml:space="preserve">須符合下列條件之一： </w:t>
      </w:r>
    </w:p>
    <w:p w14:paraId="09A1D683" w14:textId="77777777" w:rsidR="00BD776B" w:rsidRDefault="00DF0C24">
      <w:pPr>
        <w:ind w:left="1092" w:hanging="382"/>
      </w:pPr>
      <w:r>
        <w:rPr>
          <w:rFonts w:ascii="標楷體" w:eastAsia="標楷體" w:hAnsi="標楷體"/>
          <w:color w:val="000000"/>
        </w:rPr>
        <w:t xml:space="preserve">I. </w:t>
      </w:r>
      <w:r>
        <w:rPr>
          <w:rFonts w:ascii="標楷體" w:eastAsia="標楷體" w:hAnsi="標楷體"/>
          <w:color w:val="000000"/>
          <w:szCs w:val="24"/>
        </w:rPr>
        <w:t>曾發生有症狀之靜脈血栓症病史（須於病歷詳細說明發生之時間與診療過程）之病患。</w:t>
      </w:r>
    </w:p>
    <w:p w14:paraId="20AF050E" w14:textId="77777777" w:rsidR="00BD776B" w:rsidRDefault="00DF0C24">
      <w:pPr>
        <w:ind w:left="1092" w:hanging="382"/>
      </w:pPr>
      <w:r>
        <w:rPr>
          <w:rFonts w:ascii="標楷體" w:eastAsia="標楷體" w:hAnsi="標楷體"/>
          <w:color w:val="000000"/>
          <w:szCs w:val="24"/>
        </w:rPr>
        <w:t>II.</w:t>
      </w:r>
      <w:r>
        <w:rPr>
          <w:rFonts w:ascii="標楷體" w:eastAsia="標楷體" w:hAnsi="標楷體"/>
          <w:color w:val="000000"/>
          <w:szCs w:val="24"/>
        </w:rPr>
        <w:tab/>
      </w:r>
      <w:r>
        <w:rPr>
          <w:rFonts w:ascii="標楷體" w:eastAsia="標楷體" w:hAnsi="標楷體"/>
          <w:szCs w:val="24"/>
        </w:rPr>
        <w:t>經靜脈超音波檢查（Venous ultrasonography）</w:t>
      </w:r>
      <w:r>
        <w:rPr>
          <w:rFonts w:ascii="標楷體" w:eastAsia="標楷體" w:hAnsi="標楷體"/>
          <w:szCs w:val="24"/>
          <w:u w:val="single"/>
        </w:rPr>
        <w:t>或</w:t>
      </w:r>
      <w:r>
        <w:rPr>
          <w:rFonts w:ascii="標楷體" w:eastAsia="標楷體" w:hAnsi="標楷體"/>
          <w:szCs w:val="24"/>
        </w:rPr>
        <w:t>靜脈攝影（Venography）檢測，診斷為靜脈血栓症之病患。</w:t>
      </w:r>
      <w:r>
        <w:rPr>
          <w:rFonts w:ascii="標楷體" w:eastAsia="標楷體" w:hAnsi="標楷體"/>
          <w:szCs w:val="24"/>
          <w:u w:val="single"/>
        </w:rPr>
        <w:t>(112/3/1)</w:t>
      </w:r>
    </w:p>
    <w:p w14:paraId="7561BD07" w14:textId="77777777" w:rsidR="00BD776B" w:rsidRDefault="00DF0C24">
      <w:pPr>
        <w:ind w:left="1092" w:hanging="525"/>
      </w:pPr>
      <w:r>
        <w:rPr>
          <w:rFonts w:ascii="標楷體" w:eastAsia="標楷體" w:hAnsi="標楷體"/>
          <w:color w:val="000000"/>
          <w:szCs w:val="24"/>
        </w:rPr>
        <w:t>(2)</w:t>
      </w:r>
      <w:r>
        <w:rPr>
          <w:rFonts w:ascii="標楷體" w:eastAsia="標楷體" w:hAnsi="標楷體"/>
          <w:color w:val="000000"/>
        </w:rPr>
        <w:tab/>
        <w:t>限用75mg，每日至多二粒，人工髖關節手術術後治療，最多5週；人工膝關節手術術後治療，最多2週。</w:t>
      </w:r>
    </w:p>
    <w:p w14:paraId="419DB8AB" w14:textId="77777777" w:rsidR="00BD776B" w:rsidRDefault="00DF0C24">
      <w:pPr>
        <w:ind w:left="849" w:hanging="283"/>
        <w:rPr>
          <w:rFonts w:ascii="標楷體" w:eastAsia="標楷體" w:hAnsi="標楷體"/>
          <w:color w:val="000000"/>
        </w:rPr>
      </w:pPr>
      <w:r>
        <w:rPr>
          <w:rFonts w:ascii="標楷體" w:eastAsia="標楷體" w:hAnsi="標楷體"/>
          <w:color w:val="000000"/>
        </w:rPr>
        <w:t>(3)排除標準：</w:t>
      </w:r>
    </w:p>
    <w:p w14:paraId="5AC24D2A" w14:textId="77777777" w:rsidR="00BD776B" w:rsidRDefault="00DF0C24">
      <w:pPr>
        <w:numPr>
          <w:ilvl w:val="0"/>
          <w:numId w:val="11"/>
        </w:numPr>
        <w:suppressAutoHyphens w:val="0"/>
        <w:ind w:left="1276" w:hanging="425"/>
        <w:textAlignment w:val="auto"/>
        <w:rPr>
          <w:rFonts w:ascii="標楷體" w:eastAsia="標楷體" w:hAnsi="標楷體"/>
          <w:color w:val="000000"/>
        </w:rPr>
      </w:pPr>
      <w:r>
        <w:rPr>
          <w:rFonts w:ascii="標楷體" w:eastAsia="標楷體" w:hAnsi="標楷體"/>
          <w:color w:val="000000"/>
        </w:rPr>
        <w:t>病人曾有嚴重心臟瓣膜疾病。</w:t>
      </w:r>
    </w:p>
    <w:p w14:paraId="6B172450" w14:textId="77777777" w:rsidR="00BD776B" w:rsidRDefault="00DF0C24">
      <w:pPr>
        <w:numPr>
          <w:ilvl w:val="0"/>
          <w:numId w:val="11"/>
        </w:numPr>
        <w:suppressAutoHyphens w:val="0"/>
        <w:ind w:left="1276" w:hanging="425"/>
        <w:textAlignment w:val="auto"/>
        <w:rPr>
          <w:rFonts w:ascii="標楷體" w:eastAsia="標楷體" w:hAnsi="標楷體"/>
          <w:color w:val="000000"/>
        </w:rPr>
      </w:pPr>
      <w:r>
        <w:rPr>
          <w:rFonts w:ascii="標楷體" w:eastAsia="標楷體" w:hAnsi="標楷體"/>
          <w:color w:val="000000"/>
        </w:rPr>
        <w:t>14天內發生中風。</w:t>
      </w:r>
    </w:p>
    <w:p w14:paraId="71D90C04" w14:textId="77777777" w:rsidR="00BD776B" w:rsidRDefault="00DF0C24">
      <w:pPr>
        <w:numPr>
          <w:ilvl w:val="0"/>
          <w:numId w:val="11"/>
        </w:numPr>
        <w:suppressAutoHyphens w:val="0"/>
        <w:ind w:left="1276" w:hanging="425"/>
        <w:textAlignment w:val="auto"/>
        <w:rPr>
          <w:rFonts w:ascii="標楷體" w:eastAsia="標楷體" w:hAnsi="標楷體"/>
          <w:color w:val="000000"/>
        </w:rPr>
      </w:pPr>
      <w:r>
        <w:rPr>
          <w:rFonts w:ascii="標楷體" w:eastAsia="標楷體" w:hAnsi="標楷體"/>
          <w:color w:val="000000"/>
        </w:rPr>
        <w:t>收案前的6個月內發生嚴重中風。</w:t>
      </w:r>
    </w:p>
    <w:p w14:paraId="2EAEF881" w14:textId="77777777" w:rsidR="00BD776B" w:rsidRDefault="00DF0C24">
      <w:pPr>
        <w:numPr>
          <w:ilvl w:val="0"/>
          <w:numId w:val="11"/>
        </w:numPr>
        <w:suppressAutoHyphens w:val="0"/>
        <w:ind w:left="1276" w:hanging="425"/>
        <w:textAlignment w:val="auto"/>
        <w:rPr>
          <w:rFonts w:ascii="標楷體" w:eastAsia="標楷體" w:hAnsi="標楷體"/>
          <w:color w:val="000000"/>
        </w:rPr>
      </w:pPr>
      <w:r>
        <w:rPr>
          <w:rFonts w:ascii="標楷體" w:eastAsia="標楷體" w:hAnsi="標楷體"/>
          <w:color w:val="000000"/>
        </w:rPr>
        <w:t>有增加出血風險的情況。</w:t>
      </w:r>
    </w:p>
    <w:p w14:paraId="09803ADE" w14:textId="77777777" w:rsidR="00BD776B" w:rsidRDefault="00DF0C24">
      <w:pPr>
        <w:numPr>
          <w:ilvl w:val="0"/>
          <w:numId w:val="11"/>
        </w:numPr>
        <w:suppressAutoHyphens w:val="0"/>
        <w:ind w:left="1276" w:hanging="425"/>
        <w:textAlignment w:val="auto"/>
        <w:rPr>
          <w:rFonts w:ascii="標楷體" w:eastAsia="標楷體" w:hAnsi="標楷體"/>
          <w:color w:val="000000"/>
        </w:rPr>
      </w:pPr>
      <w:r>
        <w:rPr>
          <w:rFonts w:ascii="標楷體" w:eastAsia="標楷體" w:hAnsi="標楷體"/>
          <w:color w:val="000000"/>
        </w:rPr>
        <w:t>肌酸酐清除率小於 30 mL/min。</w:t>
      </w:r>
    </w:p>
    <w:p w14:paraId="175F0D80" w14:textId="77777777" w:rsidR="00BD776B" w:rsidRDefault="00DF0C24">
      <w:pPr>
        <w:numPr>
          <w:ilvl w:val="0"/>
          <w:numId w:val="11"/>
        </w:numPr>
        <w:suppressAutoHyphens w:val="0"/>
        <w:ind w:left="1276" w:hanging="425"/>
        <w:textAlignment w:val="auto"/>
        <w:rPr>
          <w:rFonts w:ascii="標楷體" w:eastAsia="標楷體" w:hAnsi="標楷體"/>
          <w:color w:val="000000"/>
        </w:rPr>
      </w:pPr>
      <w:r>
        <w:rPr>
          <w:rFonts w:ascii="標楷體" w:eastAsia="標楷體" w:hAnsi="標楷體"/>
          <w:color w:val="000000"/>
        </w:rPr>
        <w:t>活動性肝病和懷孕。</w:t>
      </w:r>
    </w:p>
    <w:p w14:paraId="3495997A" w14:textId="77777777" w:rsidR="00BD776B" w:rsidRDefault="00DF0C24">
      <w:pPr>
        <w:ind w:left="811" w:hanging="245"/>
        <w:rPr>
          <w:rFonts w:ascii="標楷體" w:eastAsia="標楷體" w:hAnsi="標楷體"/>
          <w:color w:val="000000"/>
        </w:rPr>
      </w:pPr>
      <w:r>
        <w:rPr>
          <w:rFonts w:ascii="標楷體" w:eastAsia="標楷體" w:hAnsi="標楷體"/>
          <w:color w:val="000000"/>
        </w:rPr>
        <w:t>3.治療深部靜脈血栓與肺栓塞：（107/9/1）</w:t>
      </w:r>
    </w:p>
    <w:p w14:paraId="6A2DBD14" w14:textId="77777777" w:rsidR="00BD776B" w:rsidRDefault="00DF0C24">
      <w:pPr>
        <w:ind w:left="849" w:hanging="283"/>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須經影像學或血管超音波檢查診斷。</w:t>
      </w:r>
    </w:p>
    <w:p w14:paraId="77BB8759" w14:textId="77777777" w:rsidR="00BD776B" w:rsidRDefault="00DF0C24">
      <w:pPr>
        <w:ind w:left="849" w:hanging="283"/>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接受至少5日注射型抗凝血劑治療後，開始每日兩次，每次限150mg以下，持續治療6個月。</w:t>
      </w:r>
    </w:p>
    <w:p w14:paraId="70444E6D" w14:textId="77777777" w:rsidR="00BD776B" w:rsidRDefault="00DF0C24">
      <w:pPr>
        <w:ind w:left="672" w:hanging="386"/>
        <w:rPr>
          <w:rFonts w:ascii="標楷體" w:eastAsia="標楷體" w:hAnsi="標楷體"/>
          <w:color w:val="000000"/>
        </w:rPr>
      </w:pPr>
      <w:r>
        <w:rPr>
          <w:rFonts w:ascii="標楷體" w:eastAsia="標楷體" w:hAnsi="標楷體"/>
          <w:color w:val="000000"/>
        </w:rPr>
        <w:t>2.2.血管擴張劑  Vasodilators</w:t>
      </w:r>
    </w:p>
    <w:p w14:paraId="0781976C" w14:textId="77777777" w:rsidR="00BD776B" w:rsidRDefault="00DF0C24">
      <w:pPr>
        <w:ind w:left="672" w:hanging="386"/>
        <w:rPr>
          <w:rFonts w:ascii="標楷體" w:eastAsia="標楷體" w:hAnsi="標楷體"/>
          <w:color w:val="000000"/>
        </w:rPr>
      </w:pPr>
      <w:r>
        <w:rPr>
          <w:rFonts w:ascii="標楷體" w:eastAsia="標楷體" w:hAnsi="標楷體"/>
          <w:color w:val="000000"/>
        </w:rPr>
        <w:t>2.2.1.(刪除)（101/9/1）</w:t>
      </w:r>
    </w:p>
    <w:p w14:paraId="119ACC66" w14:textId="77777777" w:rsidR="00BD776B" w:rsidRDefault="00DF0C24">
      <w:pPr>
        <w:ind w:left="672" w:hanging="386"/>
        <w:rPr>
          <w:rFonts w:ascii="標楷體" w:eastAsia="標楷體" w:hAnsi="標楷體"/>
          <w:color w:val="000000"/>
        </w:rPr>
      </w:pPr>
      <w:r>
        <w:rPr>
          <w:rFonts w:ascii="標楷體" w:eastAsia="標楷體" w:hAnsi="標楷體"/>
          <w:color w:val="000000"/>
        </w:rPr>
        <w:t>2.2.2.Nimodipine inj（如Nimotop）：(87/4/1、93/2/1)</w:t>
      </w:r>
    </w:p>
    <w:p w14:paraId="7AA02770" w14:textId="77777777" w:rsidR="00BD776B" w:rsidRDefault="00DF0C24">
      <w:pPr>
        <w:ind w:left="798" w:hanging="1"/>
        <w:rPr>
          <w:rFonts w:ascii="標楷體" w:eastAsia="標楷體" w:hAnsi="標楷體"/>
          <w:color w:val="000000"/>
        </w:rPr>
      </w:pPr>
      <w:r>
        <w:rPr>
          <w:rFonts w:ascii="標楷體" w:eastAsia="標楷體" w:hAnsi="標楷體"/>
          <w:color w:val="000000"/>
        </w:rPr>
        <w:t>預防、治療因動膜瘤引起之蜘蛛膜下出血後，腦血管痙攣所引起的缺血性神經缺損，可使用二星期，需附電腦斷層掃描（CT Scan）報告。</w:t>
      </w:r>
    </w:p>
    <w:p w14:paraId="6D15F157" w14:textId="77777777" w:rsidR="00BD776B" w:rsidRDefault="00DF0C24">
      <w:pPr>
        <w:ind w:left="672" w:hanging="386"/>
        <w:rPr>
          <w:rFonts w:ascii="標楷體" w:eastAsia="標楷體" w:hAnsi="標楷體"/>
          <w:color w:val="000000"/>
        </w:rPr>
      </w:pPr>
      <w:r>
        <w:rPr>
          <w:rFonts w:ascii="標楷體" w:eastAsia="標楷體" w:hAnsi="標楷體"/>
          <w:color w:val="000000"/>
        </w:rPr>
        <w:t>2.2.3.Papaverine inj：</w:t>
      </w:r>
    </w:p>
    <w:p w14:paraId="7DD887F8" w14:textId="77777777" w:rsidR="00BD776B" w:rsidRDefault="00DF0C24">
      <w:pPr>
        <w:ind w:left="798" w:hanging="1"/>
        <w:rPr>
          <w:rFonts w:ascii="標楷體" w:eastAsia="標楷體" w:hAnsi="標楷體"/>
          <w:color w:val="000000"/>
        </w:rPr>
      </w:pPr>
      <w:r>
        <w:rPr>
          <w:rFonts w:ascii="標楷體" w:eastAsia="標楷體" w:hAnsi="標楷體"/>
          <w:color w:val="000000"/>
        </w:rPr>
        <w:t>限血管攝影及血管手術病例使用。</w:t>
      </w:r>
    </w:p>
    <w:p w14:paraId="76E52E8D" w14:textId="77777777" w:rsidR="00BD776B" w:rsidRDefault="00DF0C24">
      <w:pPr>
        <w:ind w:left="672" w:hanging="386"/>
        <w:rPr>
          <w:rFonts w:ascii="標楷體" w:eastAsia="標楷體" w:hAnsi="標楷體"/>
          <w:color w:val="000000"/>
        </w:rPr>
      </w:pPr>
      <w:r>
        <w:rPr>
          <w:rFonts w:ascii="標楷體" w:eastAsia="標楷體" w:hAnsi="標楷體"/>
          <w:color w:val="000000"/>
        </w:rPr>
        <w:t>2.3.血管收縮劑  Vasoconstrictors</w:t>
      </w:r>
    </w:p>
    <w:p w14:paraId="5137C1FF" w14:textId="77777777" w:rsidR="00BD776B" w:rsidRDefault="00DF0C24">
      <w:pPr>
        <w:ind w:left="672" w:hanging="386"/>
        <w:rPr>
          <w:rFonts w:ascii="標楷體" w:eastAsia="標楷體" w:hAnsi="標楷體"/>
          <w:color w:val="000000"/>
        </w:rPr>
      </w:pPr>
      <w:r>
        <w:rPr>
          <w:rFonts w:ascii="標楷體" w:eastAsia="標楷體" w:hAnsi="標楷體"/>
          <w:color w:val="000000"/>
        </w:rPr>
        <w:t>2.3.1.Sumatriptan succinate（如Imigran）；rizatriptan：（88/9/1、93/8/1、94/11/1、97/1/1、97/6/1、97/9/1、108/5/1)</w:t>
      </w:r>
    </w:p>
    <w:p w14:paraId="631A2754" w14:textId="77777777" w:rsidR="00BD776B" w:rsidRDefault="00DF0C24">
      <w:pPr>
        <w:ind w:left="811" w:hanging="245"/>
        <w:rPr>
          <w:rFonts w:ascii="標楷體" w:eastAsia="標楷體" w:hAnsi="標楷體"/>
          <w:color w:val="000000"/>
        </w:rPr>
      </w:pPr>
      <w:r>
        <w:rPr>
          <w:rFonts w:ascii="標楷體" w:eastAsia="標楷體" w:hAnsi="標楷體"/>
          <w:color w:val="000000"/>
        </w:rPr>
        <w:t>1.限符合國際頭痛協會 (International Headache Society) 最新版「偏頭痛」診斷標準者：（97/9/1、108/5/1）</w:t>
      </w:r>
    </w:p>
    <w:p w14:paraId="7D63BD98"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(1)至少有五次能符合(2)至(4)項的發作。</w:t>
      </w:r>
    </w:p>
    <w:p w14:paraId="766D68A0" w14:textId="77777777" w:rsidR="00BD776B" w:rsidRDefault="00DF0C24">
      <w:pPr>
        <w:ind w:left="1049" w:hanging="341"/>
        <w:rPr>
          <w:rFonts w:ascii="標楷體" w:eastAsia="標楷體" w:hAnsi="標楷體"/>
          <w:color w:val="000000"/>
        </w:rPr>
      </w:pPr>
      <w:r>
        <w:rPr>
          <w:rFonts w:ascii="標楷體" w:eastAsia="標楷體" w:hAnsi="標楷體"/>
          <w:color w:val="000000"/>
        </w:rPr>
        <w:t>(2)頭痛發作持續4至72小時(若年齡小於18歲，頭痛發作可為持續2到72小時)。（108/5/1）</w:t>
      </w:r>
    </w:p>
    <w:p w14:paraId="5E53BE6E" w14:textId="77777777" w:rsidR="00BD776B" w:rsidRDefault="00DF0C24">
      <w:pPr>
        <w:ind w:left="1049" w:hanging="341"/>
        <w:rPr>
          <w:rFonts w:ascii="標楷體" w:eastAsia="標楷體" w:hAnsi="標楷體"/>
          <w:color w:val="000000"/>
        </w:rPr>
      </w:pPr>
      <w:r>
        <w:rPr>
          <w:rFonts w:ascii="標楷體" w:eastAsia="標楷體" w:hAnsi="標楷體"/>
          <w:color w:val="000000"/>
        </w:rPr>
        <w:t>(3)頭痛至少具下列二項特徵：</w:t>
      </w:r>
    </w:p>
    <w:p w14:paraId="4DBD68FD" w14:textId="77777777" w:rsidR="00BD776B" w:rsidRDefault="00DF0C24">
      <w:pPr>
        <w:ind w:left="1231" w:hanging="379"/>
        <w:rPr>
          <w:rFonts w:ascii="標楷體" w:eastAsia="標楷體" w:hAnsi="標楷體"/>
          <w:color w:val="000000"/>
        </w:rPr>
      </w:pPr>
      <w:r>
        <w:rPr>
          <w:rFonts w:ascii="標楷體" w:eastAsia="標楷體" w:hAnsi="標楷體"/>
          <w:color w:val="000000"/>
        </w:rPr>
        <w:t>Ⅰ</w:t>
      </w:r>
      <w:r>
        <w:rPr>
          <w:rFonts w:ascii="標楷體" w:eastAsia="標楷體" w:hAnsi="標楷體"/>
          <w:color w:val="000000"/>
        </w:rPr>
        <w:tab/>
        <w:t>單側</w:t>
      </w:r>
    </w:p>
    <w:p w14:paraId="76718261" w14:textId="77777777" w:rsidR="00BD776B" w:rsidRDefault="00DF0C24">
      <w:pPr>
        <w:ind w:left="1231" w:hanging="379"/>
        <w:rPr>
          <w:rFonts w:ascii="標楷體" w:eastAsia="標楷體" w:hAnsi="標楷體"/>
          <w:color w:val="000000"/>
        </w:rPr>
      </w:pPr>
      <w:r>
        <w:rPr>
          <w:rFonts w:ascii="標楷體" w:eastAsia="標楷體" w:hAnsi="標楷體"/>
          <w:color w:val="000000"/>
        </w:rPr>
        <w:t>Ⅱ</w:t>
      </w:r>
      <w:r>
        <w:rPr>
          <w:rFonts w:ascii="標楷體" w:eastAsia="標楷體" w:hAnsi="標楷體"/>
          <w:color w:val="000000"/>
        </w:rPr>
        <w:tab/>
        <w:t>搏動性</w:t>
      </w:r>
    </w:p>
    <w:p w14:paraId="7BA3C696" w14:textId="77777777" w:rsidR="00BD776B" w:rsidRDefault="00DF0C24">
      <w:pPr>
        <w:ind w:left="1231" w:hanging="379"/>
        <w:rPr>
          <w:rFonts w:ascii="標楷體" w:eastAsia="標楷體" w:hAnsi="標楷體"/>
          <w:color w:val="000000"/>
        </w:rPr>
      </w:pPr>
      <w:r>
        <w:rPr>
          <w:rFonts w:ascii="標楷體" w:eastAsia="標楷體" w:hAnsi="標楷體"/>
          <w:color w:val="000000"/>
        </w:rPr>
        <w:t>Ⅲ</w:t>
      </w:r>
      <w:r>
        <w:rPr>
          <w:rFonts w:ascii="標楷體" w:eastAsia="標楷體" w:hAnsi="標楷體"/>
          <w:color w:val="000000"/>
        </w:rPr>
        <w:tab/>
        <w:t>程度中等或重度(日常生活受限制甚或禁絕)</w:t>
      </w:r>
    </w:p>
    <w:p w14:paraId="5506525D" w14:textId="77777777" w:rsidR="00BD776B" w:rsidRDefault="00DF0C24">
      <w:pPr>
        <w:ind w:left="1231" w:hanging="379"/>
        <w:rPr>
          <w:rFonts w:ascii="標楷體" w:eastAsia="標楷體" w:hAnsi="標楷體"/>
          <w:color w:val="000000"/>
        </w:rPr>
      </w:pPr>
      <w:r>
        <w:rPr>
          <w:rFonts w:ascii="標楷體" w:eastAsia="標楷體" w:hAnsi="標楷體"/>
          <w:color w:val="000000"/>
        </w:rPr>
        <w:t>Ⅳ</w:t>
      </w:r>
      <w:r>
        <w:rPr>
          <w:rFonts w:ascii="標楷體" w:eastAsia="標楷體" w:hAnsi="標楷體"/>
          <w:color w:val="000000"/>
        </w:rPr>
        <w:tab/>
        <w:t>上下樓梯或類似之日常活動會使頭痛加劇</w:t>
      </w:r>
    </w:p>
    <w:p w14:paraId="6E92ACF3" w14:textId="77777777" w:rsidR="00BD776B" w:rsidRDefault="00DF0C24">
      <w:pPr>
        <w:ind w:left="1049" w:hanging="341"/>
        <w:rPr>
          <w:rFonts w:ascii="標楷體" w:eastAsia="標楷體" w:hAnsi="標楷體"/>
          <w:color w:val="000000"/>
        </w:rPr>
      </w:pPr>
      <w:r>
        <w:rPr>
          <w:rFonts w:ascii="標楷體" w:eastAsia="標楷體" w:hAnsi="標楷體"/>
          <w:color w:val="000000"/>
        </w:rPr>
        <w:t>(4)當頭痛發作時至少有下列一情形：</w:t>
      </w:r>
    </w:p>
    <w:p w14:paraId="0C01C717" w14:textId="77777777" w:rsidR="00BD776B" w:rsidRDefault="00DF0C24">
      <w:pPr>
        <w:ind w:left="1231" w:hanging="379"/>
        <w:rPr>
          <w:rFonts w:ascii="標楷體" w:eastAsia="標楷體" w:hAnsi="標楷體"/>
          <w:color w:val="000000"/>
        </w:rPr>
      </w:pPr>
      <w:r>
        <w:rPr>
          <w:rFonts w:ascii="標楷體" w:eastAsia="標楷體" w:hAnsi="標楷體"/>
          <w:color w:val="000000"/>
        </w:rPr>
        <w:t>Ⅰ</w:t>
      </w:r>
      <w:r>
        <w:rPr>
          <w:rFonts w:ascii="標楷體" w:eastAsia="標楷體" w:hAnsi="標楷體"/>
          <w:color w:val="000000"/>
        </w:rPr>
        <w:tab/>
        <w:t>噁心或嘔吐</w:t>
      </w:r>
    </w:p>
    <w:p w14:paraId="3B3F648B" w14:textId="77777777" w:rsidR="00BD776B" w:rsidRDefault="00DF0C24">
      <w:pPr>
        <w:ind w:left="1231" w:hanging="379"/>
        <w:rPr>
          <w:rFonts w:ascii="標楷體" w:eastAsia="標楷體" w:hAnsi="標楷體"/>
          <w:color w:val="000000"/>
        </w:rPr>
      </w:pPr>
      <w:r>
        <w:rPr>
          <w:rFonts w:ascii="標楷體" w:eastAsia="標楷體" w:hAnsi="標楷體"/>
          <w:color w:val="000000"/>
        </w:rPr>
        <w:t>Ⅱ</w:t>
      </w:r>
      <w:r>
        <w:rPr>
          <w:rFonts w:ascii="標楷體" w:eastAsia="標楷體" w:hAnsi="標楷體"/>
          <w:color w:val="000000"/>
        </w:rPr>
        <w:tab/>
        <w:t>畏光及怕吵</w:t>
      </w:r>
    </w:p>
    <w:p w14:paraId="0A010244" w14:textId="77777777" w:rsidR="00BD776B" w:rsidRDefault="00DF0C24">
      <w:pPr>
        <w:ind w:left="811" w:hanging="245"/>
        <w:rPr>
          <w:rFonts w:ascii="標楷體" w:eastAsia="標楷體" w:hAnsi="標楷體"/>
          <w:color w:val="000000"/>
        </w:rPr>
      </w:pPr>
      <w:r>
        <w:rPr>
          <w:rFonts w:ascii="標楷體" w:eastAsia="標楷體" w:hAnsi="標楷體"/>
          <w:color w:val="000000"/>
        </w:rPr>
        <w:t>2.偏頭痛之發作嚴重影響日常生活 (無法工作或作家事或上課) 者。（97/9/1）</w:t>
      </w:r>
    </w:p>
    <w:p w14:paraId="63C08F0B" w14:textId="77777777" w:rsidR="00BD776B" w:rsidRDefault="00DF0C24">
      <w:pPr>
        <w:ind w:left="811" w:hanging="245"/>
        <w:rPr>
          <w:rFonts w:ascii="標楷體" w:eastAsia="標楷體" w:hAnsi="標楷體"/>
          <w:color w:val="000000"/>
        </w:rPr>
      </w:pPr>
      <w:r>
        <w:rPr>
          <w:rFonts w:ascii="標楷體" w:eastAsia="標楷體" w:hAnsi="標楷體"/>
          <w:color w:val="000000"/>
        </w:rPr>
        <w:t>3.經使用其他藥物無效者。</w:t>
      </w:r>
    </w:p>
    <w:p w14:paraId="6D3C7681" w14:textId="77777777" w:rsidR="00BD776B" w:rsidRDefault="00DF0C24">
      <w:pPr>
        <w:ind w:left="811" w:hanging="245"/>
        <w:rPr>
          <w:rFonts w:ascii="標楷體" w:eastAsia="標楷體" w:hAnsi="標楷體"/>
          <w:color w:val="000000"/>
        </w:rPr>
      </w:pPr>
      <w:r>
        <w:rPr>
          <w:rFonts w:ascii="標楷體" w:eastAsia="標楷體" w:hAnsi="標楷體"/>
          <w:color w:val="000000"/>
        </w:rPr>
        <w:t>4.每月限用四次，且</w:t>
      </w:r>
    </w:p>
    <w:p w14:paraId="439B2714" w14:textId="77777777" w:rsidR="00BD776B" w:rsidRDefault="00DF0C24">
      <w:pPr>
        <w:ind w:left="1049" w:hanging="341"/>
        <w:rPr>
          <w:rFonts w:ascii="標楷體" w:eastAsia="標楷體" w:hAnsi="標楷體"/>
          <w:color w:val="000000"/>
        </w:rPr>
      </w:pPr>
      <w:r>
        <w:rPr>
          <w:rFonts w:ascii="標楷體" w:eastAsia="標楷體" w:hAnsi="標楷體"/>
          <w:color w:val="000000"/>
        </w:rPr>
        <w:t>(1)Sumatriptan succinate口服劑型藥品每次用量不超過100 mg，毎月不超過400 mg。</w:t>
      </w:r>
    </w:p>
    <w:p w14:paraId="3236F99E" w14:textId="77777777" w:rsidR="00BD776B" w:rsidRDefault="00DF0C24">
      <w:pPr>
        <w:ind w:left="1049" w:hanging="341"/>
        <w:rPr>
          <w:rFonts w:ascii="標楷體" w:eastAsia="標楷體" w:hAnsi="標楷體"/>
          <w:color w:val="000000"/>
        </w:rPr>
      </w:pPr>
      <w:r>
        <w:rPr>
          <w:rFonts w:ascii="標楷體" w:eastAsia="標楷體" w:hAnsi="標楷體"/>
          <w:color w:val="000000"/>
        </w:rPr>
        <w:t>(2)Sumatriptan succinate鼻噴劑型藥品每次用量不超過一劑 (10mg 或20mg)，毎月不超過四劑 (10mg或20mg)。（93/8/1、94/11/1、97/1/1、97/9/1）</w:t>
      </w:r>
    </w:p>
    <w:p w14:paraId="0212E397" w14:textId="77777777" w:rsidR="00BD776B" w:rsidRDefault="00DF0C24">
      <w:pPr>
        <w:ind w:left="1049" w:hanging="341"/>
        <w:rPr>
          <w:rFonts w:ascii="標楷體" w:eastAsia="標楷體" w:hAnsi="標楷體"/>
          <w:color w:val="000000"/>
        </w:rPr>
      </w:pPr>
      <w:r>
        <w:rPr>
          <w:rFonts w:ascii="標楷體" w:eastAsia="標楷體" w:hAnsi="標楷體"/>
          <w:color w:val="000000"/>
        </w:rPr>
        <w:t>(3)Rizatriptan口服劑型藥品每次用量不超過10 mg，毎月不超過40 mg。（97/6/1）</w:t>
      </w:r>
    </w:p>
    <w:p w14:paraId="29B1CC62" w14:textId="77777777" w:rsidR="00BD776B" w:rsidRDefault="00DF0C24">
      <w:pPr>
        <w:ind w:left="811" w:hanging="245"/>
        <w:rPr>
          <w:rFonts w:ascii="標楷體" w:eastAsia="標楷體" w:hAnsi="標楷體"/>
          <w:color w:val="000000"/>
        </w:rPr>
      </w:pPr>
      <w:r>
        <w:rPr>
          <w:rFonts w:ascii="標楷體" w:eastAsia="標楷體" w:hAnsi="標楷體"/>
          <w:color w:val="000000"/>
        </w:rPr>
        <w:t>5.不得同時處方含有ergotamine 製劑或其衍生物類藥物。</w:t>
      </w:r>
    </w:p>
    <w:p w14:paraId="24FA8BBF" w14:textId="77777777" w:rsidR="00BD776B" w:rsidRDefault="00DF0C24">
      <w:pPr>
        <w:ind w:left="811" w:hanging="245"/>
        <w:rPr>
          <w:rFonts w:ascii="標楷體" w:eastAsia="標楷體" w:hAnsi="標楷體"/>
          <w:color w:val="000000"/>
        </w:rPr>
      </w:pPr>
      <w:r>
        <w:rPr>
          <w:rFonts w:ascii="標楷體" w:eastAsia="標楷體" w:hAnsi="標楷體"/>
          <w:color w:val="000000"/>
        </w:rPr>
        <w:t>6.不得作為預防性使用。</w:t>
      </w:r>
    </w:p>
    <w:p w14:paraId="3ACFD516" w14:textId="77777777" w:rsidR="00BD776B" w:rsidRDefault="00DF0C24">
      <w:pPr>
        <w:ind w:left="811" w:hanging="245"/>
        <w:rPr>
          <w:rFonts w:ascii="標楷體" w:eastAsia="標楷體" w:hAnsi="標楷體"/>
          <w:color w:val="000000"/>
        </w:rPr>
      </w:pPr>
      <w:r>
        <w:rPr>
          <w:rFonts w:ascii="標楷體" w:eastAsia="標楷體" w:hAnsi="標楷體"/>
          <w:color w:val="000000"/>
        </w:rPr>
        <w:t>7.不得使用於曾患有心肌梗塞、缺血性心臟病、Prinzmetal氏狹心症、冠狀血管痙攣者及高血壓未受控制的患者。</w:t>
      </w:r>
    </w:p>
    <w:p w14:paraId="522E7765" w14:textId="77777777" w:rsidR="00BD776B" w:rsidRDefault="00DF0C24">
      <w:pPr>
        <w:ind w:left="811" w:hanging="245"/>
        <w:rPr>
          <w:rFonts w:ascii="標楷體" w:eastAsia="標楷體" w:hAnsi="標楷體"/>
          <w:color w:val="000000"/>
        </w:rPr>
      </w:pPr>
      <w:r>
        <w:rPr>
          <w:rFonts w:ascii="標楷體" w:eastAsia="標楷體" w:hAnsi="標楷體"/>
          <w:color w:val="000000"/>
        </w:rPr>
        <w:t>8.青少年（12-17歲)符合上述第1、2、3項者，限使用sumatriptan succinate鼻噴劑型或rizatriptan口服劑型藥品，且二藥品不得併用。6-11歲兒童符合上述第1、2、3項者，限使用rizatriptan口服劑型藥品。（97/9/1、108/5/1）</w:t>
      </w:r>
    </w:p>
    <w:p w14:paraId="5BA745B1" w14:textId="77777777" w:rsidR="00BD776B" w:rsidRDefault="00DF0C24">
      <w:pPr>
        <w:ind w:left="672" w:hanging="386"/>
        <w:rPr>
          <w:rFonts w:ascii="標楷體" w:eastAsia="標楷體" w:hAnsi="標楷體"/>
          <w:color w:val="000000"/>
        </w:rPr>
      </w:pPr>
      <w:r>
        <w:rPr>
          <w:rFonts w:ascii="標楷體" w:eastAsia="標楷體" w:hAnsi="標楷體"/>
          <w:color w:val="000000"/>
        </w:rPr>
        <w:t>2.4.泌尿道疾患治療藥物  Agents used to treat urological disorders</w:t>
      </w:r>
    </w:p>
    <w:p w14:paraId="3B2975A3" w14:textId="77777777" w:rsidR="00BD776B" w:rsidRDefault="00DF0C24">
      <w:pPr>
        <w:ind w:left="672" w:hanging="386"/>
        <w:rPr>
          <w:rFonts w:ascii="標楷體" w:eastAsia="標楷體" w:hAnsi="標楷體"/>
          <w:color w:val="000000"/>
        </w:rPr>
      </w:pPr>
      <w:r>
        <w:rPr>
          <w:rFonts w:ascii="標楷體" w:eastAsia="標楷體" w:hAnsi="標楷體"/>
          <w:color w:val="000000"/>
        </w:rPr>
        <w:t>2.4.1.Alprostadil：(86/9/1)</w:t>
      </w:r>
    </w:p>
    <w:p w14:paraId="4092BBFE" w14:textId="77777777" w:rsidR="00BD776B" w:rsidRDefault="00DF0C24">
      <w:pPr>
        <w:ind w:left="798" w:hanging="1"/>
        <w:rPr>
          <w:rFonts w:ascii="標楷體" w:eastAsia="標楷體" w:hAnsi="標楷體"/>
          <w:color w:val="000000"/>
        </w:rPr>
      </w:pPr>
      <w:r>
        <w:rPr>
          <w:rFonts w:ascii="標楷體" w:eastAsia="標楷體" w:hAnsi="標楷體"/>
          <w:color w:val="000000"/>
        </w:rPr>
        <w:t>如用於勃起機能障礙之治療，不予給付。</w:t>
      </w:r>
    </w:p>
    <w:p w14:paraId="5842C794" w14:textId="77777777" w:rsidR="00BD776B" w:rsidRDefault="00DF0C24">
      <w:pPr>
        <w:ind w:left="672" w:hanging="386"/>
        <w:rPr>
          <w:rFonts w:ascii="標楷體" w:eastAsia="標楷體" w:hAnsi="標楷體"/>
          <w:color w:val="000000"/>
        </w:rPr>
      </w:pPr>
      <w:r>
        <w:rPr>
          <w:rFonts w:ascii="標楷體" w:eastAsia="標楷體" w:hAnsi="標楷體"/>
          <w:color w:val="000000"/>
        </w:rPr>
        <w:t>2.4.2.Potassium citrate（如Urocit-K tab）：</w:t>
      </w:r>
    </w:p>
    <w:p w14:paraId="14EF5D79" w14:textId="77777777" w:rsidR="00BD776B" w:rsidRDefault="00DF0C24">
      <w:pPr>
        <w:ind w:left="798" w:hanging="1"/>
        <w:rPr>
          <w:rFonts w:ascii="標楷體" w:eastAsia="標楷體" w:hAnsi="標楷體"/>
          <w:color w:val="000000"/>
        </w:rPr>
      </w:pPr>
      <w:r>
        <w:rPr>
          <w:rFonts w:ascii="標楷體" w:eastAsia="標楷體" w:hAnsi="標楷體"/>
          <w:color w:val="000000"/>
        </w:rPr>
        <w:t>限泌尿道結石或腎小管性酸毒症病人使用。</w:t>
      </w:r>
    </w:p>
    <w:p w14:paraId="3DE1A33B" w14:textId="77777777" w:rsidR="00BD776B" w:rsidRDefault="00DF0C24">
      <w:pPr>
        <w:ind w:left="672" w:hanging="386"/>
        <w:rPr>
          <w:rFonts w:ascii="標楷體" w:eastAsia="標楷體" w:hAnsi="標楷體"/>
          <w:color w:val="000000"/>
        </w:rPr>
      </w:pPr>
      <w:r>
        <w:rPr>
          <w:rFonts w:ascii="標楷體" w:eastAsia="標楷體" w:hAnsi="標楷體"/>
          <w:color w:val="000000"/>
        </w:rPr>
        <w:t>2.4.3.Pentosan Polysulfate Sodium (如Elmiron Cap)(92/12/1)</w:t>
      </w:r>
    </w:p>
    <w:p w14:paraId="143FD1B9" w14:textId="77777777" w:rsidR="00BD776B" w:rsidRDefault="00DF0C24">
      <w:pPr>
        <w:ind w:left="811" w:hanging="245"/>
        <w:rPr>
          <w:rFonts w:ascii="標楷體" w:eastAsia="標楷體" w:hAnsi="標楷體"/>
          <w:color w:val="000000"/>
        </w:rPr>
      </w:pPr>
      <w:r>
        <w:rPr>
          <w:rFonts w:ascii="標楷體" w:eastAsia="標楷體" w:hAnsi="標楷體"/>
          <w:color w:val="000000"/>
        </w:rPr>
        <w:t>1.用於間質性膀胱炎。</w:t>
      </w:r>
    </w:p>
    <w:p w14:paraId="6F5D5E07" w14:textId="77777777" w:rsidR="00BD776B" w:rsidRDefault="00DF0C24">
      <w:pPr>
        <w:ind w:left="811" w:hanging="245"/>
        <w:rPr>
          <w:rFonts w:ascii="標楷體" w:eastAsia="標楷體" w:hAnsi="標楷體"/>
          <w:color w:val="000000"/>
        </w:rPr>
      </w:pPr>
      <w:r>
        <w:rPr>
          <w:rFonts w:ascii="標楷體" w:eastAsia="標楷體" w:hAnsi="標楷體"/>
          <w:color w:val="000000"/>
        </w:rPr>
        <w:t>2.病患應同時符合下列情形：</w:t>
      </w:r>
    </w:p>
    <w:p w14:paraId="6BED18BE" w14:textId="77777777" w:rsidR="00BD776B" w:rsidRDefault="00DF0C24">
      <w:pPr>
        <w:ind w:left="1049" w:hanging="341"/>
        <w:rPr>
          <w:rFonts w:ascii="標楷體" w:eastAsia="標楷體" w:hAnsi="標楷體"/>
          <w:color w:val="000000"/>
        </w:rPr>
      </w:pPr>
      <w:r>
        <w:rPr>
          <w:rFonts w:ascii="標楷體" w:eastAsia="標楷體" w:hAnsi="標楷體"/>
          <w:color w:val="000000"/>
        </w:rPr>
        <w:t>(1)出現尿急、頻尿、骨盆腔疼痛、夜尿症狀一年以上。</w:t>
      </w:r>
    </w:p>
    <w:p w14:paraId="01DB27F0" w14:textId="77777777" w:rsidR="00BD776B" w:rsidRDefault="00DF0C24">
      <w:pPr>
        <w:ind w:left="1049" w:hanging="341"/>
        <w:rPr>
          <w:rFonts w:ascii="標楷體" w:eastAsia="標楷體" w:hAnsi="標楷體"/>
          <w:color w:val="000000"/>
        </w:rPr>
      </w:pPr>
      <w:r>
        <w:rPr>
          <w:rFonts w:ascii="標楷體" w:eastAsia="標楷體" w:hAnsi="標楷體"/>
          <w:color w:val="000000"/>
        </w:rPr>
        <w:t>(2)尿液常規檢查或培養無感染，及尿液細胞學檢查無惡性細胞。</w:t>
      </w:r>
    </w:p>
    <w:p w14:paraId="4F97DFDA" w14:textId="77777777" w:rsidR="00BD776B" w:rsidRDefault="00DF0C24">
      <w:pPr>
        <w:ind w:left="1049" w:hanging="341"/>
        <w:rPr>
          <w:rFonts w:ascii="標楷體" w:eastAsia="標楷體" w:hAnsi="標楷體"/>
          <w:color w:val="000000"/>
        </w:rPr>
      </w:pPr>
      <w:r>
        <w:rPr>
          <w:rFonts w:ascii="標楷體" w:eastAsia="標楷體" w:hAnsi="標楷體"/>
          <w:color w:val="000000"/>
        </w:rPr>
        <w:t>(3)麻醉下膀胱鏡水擴張後出現腎絲球狀出血（glomerulation）或Hunner's潰瘍，或未出血但膀胱容量在麻醉下小於500毫升。</w:t>
      </w:r>
    </w:p>
    <w:p w14:paraId="10739AD9" w14:textId="77777777" w:rsidR="00BD776B" w:rsidRDefault="00DF0C24">
      <w:pPr>
        <w:ind w:left="1049" w:hanging="341"/>
        <w:rPr>
          <w:rFonts w:ascii="標楷體" w:eastAsia="標楷體" w:hAnsi="標楷體"/>
          <w:color w:val="000000"/>
        </w:rPr>
      </w:pPr>
      <w:r>
        <w:rPr>
          <w:rFonts w:ascii="標楷體" w:eastAsia="標楷體" w:hAnsi="標楷體"/>
          <w:color w:val="000000"/>
        </w:rPr>
        <w:t>(4)連續二天排尿日誌顯示每次排尿量少於300毫升，且每天排尿次數至少大於</w:t>
      </w:r>
      <w:r>
        <w:rPr>
          <w:rFonts w:ascii="標楷體" w:eastAsia="標楷體" w:hAnsi="標楷體"/>
          <w:color w:val="000000"/>
        </w:rPr>
        <w:lastRenderedPageBreak/>
        <w:t>十次以上。</w:t>
      </w:r>
    </w:p>
    <w:p w14:paraId="3E08297C" w14:textId="77777777" w:rsidR="00BD776B" w:rsidRDefault="00DF0C24">
      <w:pPr>
        <w:ind w:left="1049" w:hanging="341"/>
        <w:rPr>
          <w:rFonts w:ascii="標楷體" w:eastAsia="標楷體" w:hAnsi="標楷體"/>
          <w:color w:val="000000"/>
        </w:rPr>
      </w:pPr>
      <w:r>
        <w:rPr>
          <w:rFonts w:ascii="標楷體" w:eastAsia="標楷體" w:hAnsi="標楷體"/>
          <w:color w:val="000000"/>
        </w:rPr>
        <w:t>(5)曾以傳統治療（包括膀胱擴張、藥物、物理治療等）治療四週以上仍無效果者。</w:t>
      </w:r>
    </w:p>
    <w:p w14:paraId="5A2C4BCB" w14:textId="77777777" w:rsidR="00BD776B" w:rsidRDefault="00DF0C24">
      <w:pPr>
        <w:ind w:left="811" w:hanging="245"/>
        <w:rPr>
          <w:rFonts w:ascii="標楷體" w:eastAsia="標楷體" w:hAnsi="標楷體"/>
          <w:color w:val="000000"/>
        </w:rPr>
      </w:pPr>
      <w:r>
        <w:rPr>
          <w:rFonts w:ascii="標楷體" w:eastAsia="標楷體" w:hAnsi="標楷體"/>
          <w:color w:val="000000"/>
        </w:rPr>
        <w:t>3.原則上每一療程以六個月為限，療程結束前應評估其療效，如症狀未有改善且無不良反應出現者，可再繼續另一療程。</w:t>
      </w:r>
    </w:p>
    <w:p w14:paraId="70648B1A" w14:textId="77777777" w:rsidR="00BD776B" w:rsidRDefault="00DF0C24">
      <w:pPr>
        <w:ind w:left="811" w:hanging="245"/>
        <w:rPr>
          <w:rFonts w:ascii="標楷體" w:eastAsia="標楷體" w:hAnsi="標楷體"/>
          <w:color w:val="000000"/>
        </w:rPr>
      </w:pPr>
      <w:r>
        <w:rPr>
          <w:rFonts w:ascii="標楷體" w:eastAsia="標楷體" w:hAnsi="標楷體"/>
          <w:color w:val="000000"/>
        </w:rPr>
        <w:t>4.需經事前審查核准後使用。</w:t>
      </w:r>
    </w:p>
    <w:p w14:paraId="5C3954E9" w14:textId="77777777" w:rsidR="00BD776B" w:rsidRDefault="00DF0C24">
      <w:pPr>
        <w:ind w:left="672" w:hanging="386"/>
        <w:rPr>
          <w:rFonts w:ascii="標楷體" w:eastAsia="標楷體" w:hAnsi="標楷體"/>
          <w:color w:val="000000"/>
        </w:rPr>
      </w:pPr>
      <w:r>
        <w:rPr>
          <w:rFonts w:ascii="標楷體" w:eastAsia="標楷體" w:hAnsi="標楷體"/>
          <w:color w:val="000000"/>
        </w:rPr>
        <w:t>2.5.(刪除)(100/7/1)</w:t>
      </w:r>
    </w:p>
    <w:p w14:paraId="1E7B6136" w14:textId="77777777" w:rsidR="00BD776B" w:rsidRDefault="00DF0C24">
      <w:pPr>
        <w:ind w:left="672" w:hanging="386"/>
        <w:rPr>
          <w:rFonts w:ascii="標楷體" w:eastAsia="標楷體" w:hAnsi="標楷體"/>
          <w:color w:val="000000"/>
        </w:rPr>
      </w:pPr>
      <w:r>
        <w:rPr>
          <w:rFonts w:ascii="標楷體" w:eastAsia="標楷體" w:hAnsi="標楷體"/>
          <w:color w:val="000000"/>
        </w:rPr>
        <w:t>2.6.降血脂藥物  Drugs used for dyslipidemia</w:t>
      </w:r>
    </w:p>
    <w:p w14:paraId="7E4D240A" w14:textId="77777777" w:rsidR="00BD776B" w:rsidRDefault="00DF0C24">
      <w:pPr>
        <w:ind w:left="992" w:hanging="706"/>
        <w:rPr>
          <w:rFonts w:ascii="標楷體" w:eastAsia="標楷體" w:hAnsi="標楷體"/>
          <w:color w:val="000000"/>
        </w:rPr>
      </w:pPr>
      <w:r>
        <w:rPr>
          <w:rFonts w:ascii="標楷體" w:eastAsia="標楷體" w:hAnsi="標楷體"/>
          <w:color w:val="000000"/>
        </w:rPr>
        <w:t>2.6.1.全民健康保險降血脂藥物給付規定表（86/1/1、87/4/1、87/7/1、91/9/1、93/9/1、97/7/1、102/8/1、108/2/1）</w:t>
      </w:r>
    </w:p>
    <w:p w14:paraId="706C8226" w14:textId="77777777" w:rsidR="00BD776B" w:rsidRDefault="00DF0C24">
      <w:pPr>
        <w:spacing w:line="500" w:lineRule="exact"/>
        <w:ind w:left="665" w:hanging="624"/>
        <w:jc w:val="center"/>
      </w:pPr>
      <w:r>
        <w:rPr>
          <w:rFonts w:ascii="標楷體" w:eastAsia="標楷體" w:hAnsi="標楷體"/>
        </w:rPr>
        <w:t>全民健康保險降膽固醇藥物給付規定表</w:t>
      </w:r>
    </w:p>
    <w:tbl>
      <w:tblPr>
        <w:tblW w:w="8257" w:type="dxa"/>
        <w:tblInd w:w="697" w:type="dxa"/>
        <w:tblLayout w:type="fixed"/>
        <w:tblCellMar>
          <w:left w:w="10" w:type="dxa"/>
          <w:right w:w="10" w:type="dxa"/>
        </w:tblCellMar>
        <w:tblLook w:val="0000" w:firstRow="0" w:lastRow="0" w:firstColumn="0" w:lastColumn="0" w:noHBand="0" w:noVBand="0"/>
      </w:tblPr>
      <w:tblGrid>
        <w:gridCol w:w="1312"/>
        <w:gridCol w:w="1559"/>
        <w:gridCol w:w="1774"/>
        <w:gridCol w:w="1876"/>
        <w:gridCol w:w="1736"/>
      </w:tblGrid>
      <w:tr w:rsidR="00BD776B" w14:paraId="0C9F4DF9" w14:textId="77777777">
        <w:trPr>
          <w:trHeight w:val="187"/>
        </w:trPr>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9E903" w14:textId="77777777" w:rsidR="00BD776B" w:rsidRDefault="00BD776B">
            <w:pPr>
              <w:spacing w:line="280" w:lineRule="exact"/>
              <w:rPr>
                <w:rFonts w:eastAsia="標楷體"/>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CDFA6" w14:textId="77777777" w:rsidR="00BD776B" w:rsidRDefault="00DF0C24">
            <w:pPr>
              <w:spacing w:line="280" w:lineRule="exact"/>
            </w:pPr>
            <w:r>
              <w:rPr>
                <w:rFonts w:eastAsia="標楷體"/>
                <w:sz w:val="20"/>
                <w:szCs w:val="20"/>
              </w:rPr>
              <w:t>非藥物治療</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CA8B1" w14:textId="77777777" w:rsidR="00BD776B" w:rsidRDefault="00DF0C24">
            <w:pPr>
              <w:spacing w:line="280" w:lineRule="exact"/>
            </w:pPr>
            <w:r>
              <w:rPr>
                <w:rFonts w:eastAsia="標楷體"/>
                <w:sz w:val="20"/>
                <w:szCs w:val="20"/>
              </w:rPr>
              <w:t>起始藥物治療血脂值</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0496B" w14:textId="77777777" w:rsidR="00BD776B" w:rsidRDefault="00DF0C24">
            <w:pPr>
              <w:spacing w:line="280" w:lineRule="exact"/>
            </w:pPr>
            <w:r>
              <w:rPr>
                <w:rFonts w:eastAsia="標楷體"/>
                <w:sz w:val="20"/>
                <w:szCs w:val="20"/>
              </w:rPr>
              <w:t>血脂目標值</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D73C6" w14:textId="77777777" w:rsidR="00BD776B" w:rsidRDefault="00DF0C24">
            <w:r>
              <w:rPr>
                <w:rFonts w:eastAsia="標楷體"/>
                <w:sz w:val="20"/>
                <w:szCs w:val="20"/>
              </w:rPr>
              <w:t>處方規定</w:t>
            </w:r>
          </w:p>
        </w:tc>
      </w:tr>
      <w:tr w:rsidR="00BD776B" w14:paraId="2C2D1356" w14:textId="77777777">
        <w:trPr>
          <w:cantSplit/>
          <w:trHeight w:val="196"/>
        </w:trPr>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EF12B" w14:textId="77777777" w:rsidR="00BD776B" w:rsidRDefault="00DF0C24">
            <w:pPr>
              <w:numPr>
                <w:ilvl w:val="0"/>
                <w:numId w:val="12"/>
              </w:numPr>
              <w:suppressAutoHyphens w:val="0"/>
              <w:spacing w:line="280" w:lineRule="exact"/>
              <w:ind w:left="11" w:right="-70" w:firstLine="0"/>
              <w:textAlignment w:val="auto"/>
              <w:rPr>
                <w:rFonts w:eastAsia="標楷體"/>
                <w:sz w:val="20"/>
                <w:szCs w:val="20"/>
              </w:rPr>
            </w:pPr>
            <w:r>
              <w:rPr>
                <w:rFonts w:eastAsia="標楷體"/>
                <w:sz w:val="20"/>
                <w:szCs w:val="20"/>
              </w:rPr>
              <w:t>有急性冠狀動脈症候群病史</w:t>
            </w:r>
          </w:p>
          <w:p w14:paraId="5EF6E2CC" w14:textId="77777777" w:rsidR="00BD776B" w:rsidRDefault="00DF0C24">
            <w:pPr>
              <w:numPr>
                <w:ilvl w:val="0"/>
                <w:numId w:val="12"/>
              </w:numPr>
              <w:suppressAutoHyphens w:val="0"/>
              <w:spacing w:line="280" w:lineRule="exact"/>
              <w:ind w:left="11" w:right="-70" w:firstLine="0"/>
              <w:textAlignment w:val="auto"/>
              <w:rPr>
                <w:rFonts w:eastAsia="標楷體"/>
                <w:sz w:val="20"/>
                <w:szCs w:val="20"/>
              </w:rPr>
            </w:pPr>
            <w:r>
              <w:rPr>
                <w:rFonts w:eastAsia="標楷體"/>
                <w:sz w:val="20"/>
                <w:szCs w:val="20"/>
              </w:rPr>
              <w:t>曾接受心導管介入治療或外科冠動脈搭橋手術之冠狀動脈粥狀硬化患者</w:t>
            </w:r>
            <w:r>
              <w:rPr>
                <w:rFonts w:eastAsia="標楷體"/>
                <w:sz w:val="20"/>
                <w:szCs w:val="20"/>
              </w:rPr>
              <w:t>(108/2/1)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7A6B1" w14:textId="77777777" w:rsidR="00BD776B" w:rsidRDefault="00DF0C24">
            <w:pPr>
              <w:spacing w:line="280" w:lineRule="exact"/>
              <w:ind w:left="-70" w:right="-53"/>
            </w:pPr>
            <w:r>
              <w:rPr>
                <w:rFonts w:eastAsia="標楷體"/>
                <w:sz w:val="20"/>
                <w:szCs w:val="20"/>
              </w:rPr>
              <w:t>與藥物治療可並行</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2B46F" w14:textId="77777777" w:rsidR="00BD776B" w:rsidRDefault="00DF0C24">
            <w:r>
              <w:rPr>
                <w:rFonts w:eastAsia="標楷體"/>
                <w:sz w:val="20"/>
                <w:szCs w:val="20"/>
              </w:rPr>
              <w:t>LDL-C</w:t>
            </w:r>
            <w:r>
              <w:rPr>
                <w:rFonts w:ascii="新細明體" w:hAnsi="新細明體" w:cs="新細明體"/>
                <w:sz w:val="20"/>
                <w:szCs w:val="20"/>
                <w:lang w:val="fr-FR"/>
              </w:rPr>
              <w:t>≧</w:t>
            </w:r>
            <w:r>
              <w:rPr>
                <w:rFonts w:eastAsia="標楷體"/>
                <w:sz w:val="20"/>
                <w:szCs w:val="20"/>
              </w:rPr>
              <w:t>70mg/dL</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0E1E3" w14:textId="77777777" w:rsidR="00BD776B" w:rsidRDefault="00DF0C24">
            <w:r>
              <w:t>LDL-C&lt;70mg/dL</w:t>
            </w:r>
          </w:p>
        </w:tc>
        <w:tc>
          <w:tcPr>
            <w:tcW w:w="17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99F4" w14:textId="77777777" w:rsidR="00BD776B" w:rsidRDefault="00DF0C24">
            <w:pPr>
              <w:spacing w:line="280" w:lineRule="exact"/>
              <w:ind w:left="-46" w:right="-58" w:hanging="14"/>
            </w:pPr>
            <w:r>
              <w:rPr>
                <w:rFonts w:eastAsia="標楷體"/>
                <w:sz w:val="20"/>
                <w:szCs w:val="20"/>
              </w:rPr>
              <w:t>第一年應每</w:t>
            </w:r>
            <w:r>
              <w:rPr>
                <w:rFonts w:eastAsia="標楷體"/>
                <w:sz w:val="20"/>
                <w:szCs w:val="20"/>
              </w:rPr>
              <w:t>3-6</w:t>
            </w:r>
            <w:r>
              <w:rPr>
                <w:rFonts w:eastAsia="標楷體"/>
                <w:sz w:val="20"/>
                <w:szCs w:val="20"/>
              </w:rPr>
              <w:t>個月抽血檢查一次，第二年以後應至少每</w:t>
            </w:r>
            <w:r>
              <w:rPr>
                <w:rFonts w:eastAsia="標楷體"/>
                <w:sz w:val="20"/>
                <w:szCs w:val="20"/>
              </w:rPr>
              <w:t>6-12</w:t>
            </w:r>
            <w:r>
              <w:rPr>
                <w:rFonts w:eastAsia="標楷體"/>
                <w:sz w:val="20"/>
                <w:szCs w:val="20"/>
              </w:rPr>
              <w:t>個月抽血檢查一次，同時請注意副作用之產生如肝功能異常，橫紋肌溶解症。</w:t>
            </w:r>
          </w:p>
        </w:tc>
      </w:tr>
      <w:tr w:rsidR="00BD776B" w14:paraId="1CD41935" w14:textId="77777777">
        <w:trPr>
          <w:cantSplit/>
          <w:trHeight w:val="196"/>
        </w:trPr>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BA115" w14:textId="77777777" w:rsidR="00BD776B" w:rsidRDefault="00DF0C24">
            <w:pPr>
              <w:spacing w:line="280" w:lineRule="exact"/>
              <w:ind w:left="-50" w:right="-70" w:firstLine="28"/>
            </w:pPr>
            <w:r>
              <w:rPr>
                <w:rFonts w:eastAsia="標楷體"/>
                <w:sz w:val="20"/>
                <w:szCs w:val="20"/>
              </w:rPr>
              <w:t>心血管疾病或糖尿病患者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F9079" w14:textId="77777777" w:rsidR="00BD776B" w:rsidRDefault="00DF0C24">
            <w:pPr>
              <w:spacing w:line="280" w:lineRule="exact"/>
              <w:ind w:left="-70" w:right="-53"/>
            </w:pPr>
            <w:r>
              <w:rPr>
                <w:rFonts w:eastAsia="標楷體"/>
                <w:sz w:val="20"/>
                <w:szCs w:val="20"/>
              </w:rPr>
              <w:t>與藥物治療可並行</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656BD" w14:textId="77777777" w:rsidR="00BD776B" w:rsidRDefault="00DF0C24">
            <w:pPr>
              <w:spacing w:line="280" w:lineRule="exact"/>
              <w:ind w:left="-70" w:right="-65" w:firstLine="70"/>
            </w:pPr>
            <w:r>
              <w:rPr>
                <w:rFonts w:eastAsia="標楷體"/>
                <w:sz w:val="20"/>
                <w:szCs w:val="20"/>
              </w:rPr>
              <w:t>TC</w:t>
            </w:r>
            <w:r>
              <w:rPr>
                <w:rFonts w:eastAsia="標楷體"/>
                <w:sz w:val="20"/>
                <w:szCs w:val="20"/>
                <w:lang w:val="fr-FR"/>
              </w:rPr>
              <w:t>≧</w:t>
            </w:r>
            <w:r>
              <w:rPr>
                <w:rFonts w:eastAsia="標楷體"/>
                <w:sz w:val="20"/>
                <w:szCs w:val="20"/>
              </w:rPr>
              <w:t>160mg/dL</w:t>
            </w:r>
            <w:r>
              <w:rPr>
                <w:rFonts w:eastAsia="標楷體"/>
                <w:sz w:val="20"/>
                <w:szCs w:val="20"/>
              </w:rPr>
              <w:t>或</w:t>
            </w:r>
          </w:p>
          <w:p w14:paraId="5D3A4FE6" w14:textId="77777777" w:rsidR="00BD776B" w:rsidRDefault="00DF0C24">
            <w:pPr>
              <w:spacing w:line="280" w:lineRule="exact"/>
              <w:ind w:left="-70" w:right="-65" w:firstLine="70"/>
            </w:pPr>
            <w:r>
              <w:rPr>
                <w:rFonts w:eastAsia="標楷體"/>
                <w:sz w:val="20"/>
                <w:szCs w:val="20"/>
              </w:rPr>
              <w:t>LDL-C</w:t>
            </w:r>
            <w:r>
              <w:rPr>
                <w:rFonts w:eastAsia="標楷體"/>
                <w:sz w:val="20"/>
                <w:szCs w:val="20"/>
                <w:lang w:val="fr-FR"/>
              </w:rPr>
              <w:t>≧</w:t>
            </w:r>
            <w:r>
              <w:rPr>
                <w:rFonts w:eastAsia="標楷體"/>
                <w:sz w:val="20"/>
                <w:szCs w:val="20"/>
              </w:rPr>
              <w:t xml:space="preserve">100mg/dL </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81016" w14:textId="77777777" w:rsidR="00BD776B" w:rsidRDefault="00DF0C24">
            <w:pPr>
              <w:spacing w:line="280" w:lineRule="exact"/>
              <w:ind w:left="-70" w:right="-65" w:firstLine="70"/>
              <w:rPr>
                <w:rFonts w:eastAsia="標楷體"/>
                <w:sz w:val="20"/>
                <w:szCs w:val="20"/>
              </w:rPr>
            </w:pPr>
            <w:r>
              <w:rPr>
                <w:rFonts w:eastAsia="標楷體"/>
                <w:sz w:val="20"/>
                <w:szCs w:val="20"/>
              </w:rPr>
              <w:t>TC</w:t>
            </w:r>
            <w:r>
              <w:rPr>
                <w:rFonts w:eastAsia="標楷體"/>
                <w:sz w:val="20"/>
                <w:szCs w:val="20"/>
              </w:rPr>
              <w:t>＜</w:t>
            </w:r>
            <w:r>
              <w:rPr>
                <w:rFonts w:eastAsia="標楷體"/>
                <w:sz w:val="20"/>
                <w:szCs w:val="20"/>
              </w:rPr>
              <w:t>160mg/dL</w:t>
            </w:r>
            <w:r>
              <w:rPr>
                <w:rFonts w:eastAsia="標楷體"/>
                <w:sz w:val="20"/>
                <w:szCs w:val="20"/>
              </w:rPr>
              <w:t>或</w:t>
            </w:r>
          </w:p>
          <w:p w14:paraId="332DD431" w14:textId="77777777" w:rsidR="00BD776B" w:rsidRDefault="00DF0C24">
            <w:pPr>
              <w:spacing w:line="280" w:lineRule="exact"/>
              <w:ind w:left="-70" w:right="-65" w:firstLine="70"/>
              <w:rPr>
                <w:rFonts w:eastAsia="標楷體"/>
                <w:sz w:val="20"/>
                <w:szCs w:val="20"/>
              </w:rPr>
            </w:pPr>
            <w:r>
              <w:rPr>
                <w:rFonts w:eastAsia="標楷體"/>
                <w:sz w:val="20"/>
                <w:szCs w:val="20"/>
              </w:rPr>
              <w:t>LDL-C</w:t>
            </w:r>
            <w:r>
              <w:rPr>
                <w:rFonts w:eastAsia="標楷體"/>
                <w:sz w:val="20"/>
                <w:szCs w:val="20"/>
              </w:rPr>
              <w:t>＜</w:t>
            </w:r>
            <w:r>
              <w:rPr>
                <w:rFonts w:eastAsia="標楷體"/>
                <w:sz w:val="20"/>
                <w:szCs w:val="20"/>
              </w:rPr>
              <w:t>100mg/dL</w:t>
            </w:r>
          </w:p>
        </w:tc>
        <w:tc>
          <w:tcPr>
            <w:tcW w:w="17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2181F" w14:textId="77777777" w:rsidR="00BD776B" w:rsidRDefault="00BD776B">
            <w:pPr>
              <w:spacing w:line="280" w:lineRule="exact"/>
              <w:ind w:left="-46" w:right="-58" w:hanging="14"/>
              <w:rPr>
                <w:rFonts w:eastAsia="標楷體"/>
                <w:sz w:val="20"/>
                <w:szCs w:val="20"/>
              </w:rPr>
            </w:pPr>
          </w:p>
        </w:tc>
      </w:tr>
      <w:tr w:rsidR="00BD776B" w14:paraId="42CF5019" w14:textId="77777777">
        <w:trPr>
          <w:cantSplit/>
          <w:trHeight w:val="436"/>
        </w:trPr>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7C5B9" w14:textId="77777777" w:rsidR="00BD776B" w:rsidRDefault="00DF0C24">
            <w:pPr>
              <w:spacing w:line="280" w:lineRule="exact"/>
              <w:ind w:left="-50" w:right="-70" w:firstLine="28"/>
            </w:pPr>
            <w:r>
              <w:rPr>
                <w:rFonts w:eastAsia="標楷體"/>
                <w:sz w:val="20"/>
                <w:szCs w:val="20"/>
              </w:rPr>
              <w:t>2</w:t>
            </w:r>
            <w:r>
              <w:rPr>
                <w:rFonts w:eastAsia="標楷體"/>
                <w:sz w:val="20"/>
                <w:szCs w:val="20"/>
              </w:rPr>
              <w:t>個危險因子或以上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9064C" w14:textId="77777777" w:rsidR="00BD776B" w:rsidRDefault="00DF0C24">
            <w:pPr>
              <w:spacing w:line="280" w:lineRule="exact"/>
              <w:ind w:left="-70" w:right="-53"/>
            </w:pPr>
            <w:r>
              <w:rPr>
                <w:rFonts w:eastAsia="標楷體"/>
                <w:sz w:val="20"/>
                <w:szCs w:val="20"/>
              </w:rPr>
              <w:t>給藥前應有</w:t>
            </w:r>
            <w:r>
              <w:rPr>
                <w:rFonts w:eastAsia="標楷體"/>
                <w:sz w:val="20"/>
                <w:szCs w:val="20"/>
              </w:rPr>
              <w:t>3-6</w:t>
            </w:r>
            <w:r>
              <w:rPr>
                <w:rFonts w:eastAsia="標楷體"/>
                <w:sz w:val="20"/>
                <w:szCs w:val="20"/>
              </w:rPr>
              <w:t>個月非藥物治療</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8560" w14:textId="77777777" w:rsidR="00BD776B" w:rsidRDefault="00DF0C24">
            <w:pPr>
              <w:spacing w:line="280" w:lineRule="exact"/>
              <w:ind w:left="-70" w:right="-65" w:firstLine="70"/>
            </w:pPr>
            <w:r>
              <w:rPr>
                <w:rFonts w:eastAsia="標楷體"/>
                <w:sz w:val="20"/>
                <w:szCs w:val="20"/>
              </w:rPr>
              <w:t>TC</w:t>
            </w:r>
            <w:r>
              <w:rPr>
                <w:rFonts w:eastAsia="標楷體"/>
                <w:sz w:val="20"/>
                <w:szCs w:val="20"/>
                <w:lang w:val="fr-FR"/>
              </w:rPr>
              <w:t>≧</w:t>
            </w:r>
            <w:r>
              <w:rPr>
                <w:rFonts w:eastAsia="標楷體"/>
                <w:sz w:val="20"/>
                <w:szCs w:val="20"/>
              </w:rPr>
              <w:t>200mg/dL</w:t>
            </w:r>
            <w:r>
              <w:rPr>
                <w:rFonts w:eastAsia="標楷體"/>
                <w:sz w:val="20"/>
                <w:szCs w:val="20"/>
              </w:rPr>
              <w:t>或</w:t>
            </w:r>
          </w:p>
          <w:p w14:paraId="4C207FB4" w14:textId="77777777" w:rsidR="00BD776B" w:rsidRDefault="00DF0C24">
            <w:pPr>
              <w:spacing w:line="280" w:lineRule="exact"/>
              <w:ind w:left="-70" w:right="-65" w:firstLine="70"/>
            </w:pPr>
            <w:r>
              <w:rPr>
                <w:rFonts w:eastAsia="標楷體"/>
                <w:sz w:val="20"/>
                <w:szCs w:val="20"/>
              </w:rPr>
              <w:t>LDL-C</w:t>
            </w:r>
            <w:r>
              <w:rPr>
                <w:rFonts w:eastAsia="標楷體"/>
                <w:sz w:val="20"/>
                <w:szCs w:val="20"/>
                <w:lang w:val="fr-FR"/>
              </w:rPr>
              <w:t>≧</w:t>
            </w:r>
            <w:r>
              <w:rPr>
                <w:rFonts w:eastAsia="標楷體"/>
                <w:sz w:val="20"/>
                <w:szCs w:val="20"/>
              </w:rPr>
              <w:t xml:space="preserve">130mg/dL </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FEF57" w14:textId="77777777" w:rsidR="00BD776B" w:rsidRDefault="00DF0C24">
            <w:pPr>
              <w:spacing w:line="280" w:lineRule="exact"/>
              <w:ind w:left="-70" w:right="-65" w:firstLine="70"/>
              <w:rPr>
                <w:rFonts w:eastAsia="標楷體"/>
                <w:sz w:val="20"/>
                <w:szCs w:val="20"/>
              </w:rPr>
            </w:pPr>
            <w:r>
              <w:rPr>
                <w:rFonts w:eastAsia="標楷體"/>
                <w:sz w:val="20"/>
                <w:szCs w:val="20"/>
              </w:rPr>
              <w:t>TC</w:t>
            </w:r>
            <w:r>
              <w:rPr>
                <w:rFonts w:eastAsia="標楷體"/>
                <w:sz w:val="20"/>
                <w:szCs w:val="20"/>
              </w:rPr>
              <w:t>＜</w:t>
            </w:r>
            <w:r>
              <w:rPr>
                <w:rFonts w:eastAsia="標楷體"/>
                <w:sz w:val="20"/>
                <w:szCs w:val="20"/>
              </w:rPr>
              <w:t>200mg/dL</w:t>
            </w:r>
            <w:r>
              <w:rPr>
                <w:rFonts w:eastAsia="標楷體"/>
                <w:sz w:val="20"/>
                <w:szCs w:val="20"/>
              </w:rPr>
              <w:t>或</w:t>
            </w:r>
          </w:p>
          <w:p w14:paraId="651D9300" w14:textId="77777777" w:rsidR="00BD776B" w:rsidRDefault="00DF0C24">
            <w:pPr>
              <w:spacing w:line="280" w:lineRule="exact"/>
              <w:ind w:left="-70" w:right="-65" w:firstLine="70"/>
              <w:rPr>
                <w:rFonts w:eastAsia="標楷體"/>
                <w:sz w:val="20"/>
                <w:szCs w:val="20"/>
              </w:rPr>
            </w:pPr>
            <w:r>
              <w:rPr>
                <w:rFonts w:eastAsia="標楷體"/>
                <w:sz w:val="20"/>
                <w:szCs w:val="20"/>
              </w:rPr>
              <w:t>LDL-C</w:t>
            </w:r>
            <w:r>
              <w:rPr>
                <w:rFonts w:eastAsia="標楷體"/>
                <w:sz w:val="20"/>
                <w:szCs w:val="20"/>
              </w:rPr>
              <w:t>＜</w:t>
            </w:r>
            <w:r>
              <w:rPr>
                <w:rFonts w:eastAsia="標楷體"/>
                <w:sz w:val="20"/>
                <w:szCs w:val="20"/>
              </w:rPr>
              <w:t>130mg/dL</w:t>
            </w:r>
          </w:p>
        </w:tc>
        <w:tc>
          <w:tcPr>
            <w:tcW w:w="17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D6242" w14:textId="77777777" w:rsidR="00BD776B" w:rsidRDefault="00BD776B">
            <w:pPr>
              <w:rPr>
                <w:rFonts w:eastAsia="標楷體"/>
                <w:sz w:val="20"/>
                <w:szCs w:val="20"/>
              </w:rPr>
            </w:pPr>
          </w:p>
        </w:tc>
      </w:tr>
      <w:tr w:rsidR="00BD776B" w14:paraId="6DD1E1B0" w14:textId="77777777">
        <w:trPr>
          <w:cantSplit/>
          <w:trHeight w:val="198"/>
        </w:trPr>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0ABEC" w14:textId="77777777" w:rsidR="00BD776B" w:rsidRDefault="00DF0C24">
            <w:pPr>
              <w:spacing w:line="280" w:lineRule="exact"/>
              <w:ind w:left="-50" w:right="-70" w:firstLine="28"/>
            </w:pPr>
            <w:r>
              <w:rPr>
                <w:rFonts w:eastAsia="標楷體"/>
                <w:sz w:val="20"/>
                <w:szCs w:val="20"/>
              </w:rPr>
              <w:t>1</w:t>
            </w:r>
            <w:r>
              <w:rPr>
                <w:rFonts w:eastAsia="標楷體"/>
                <w:sz w:val="20"/>
                <w:szCs w:val="20"/>
              </w:rPr>
              <w:t>個危險因子</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0323C" w14:textId="77777777" w:rsidR="00BD776B" w:rsidRDefault="00DF0C24">
            <w:pPr>
              <w:spacing w:line="280" w:lineRule="exact"/>
              <w:ind w:left="-70" w:right="-53"/>
            </w:pPr>
            <w:r>
              <w:rPr>
                <w:rFonts w:eastAsia="標楷體"/>
                <w:sz w:val="20"/>
                <w:szCs w:val="20"/>
              </w:rPr>
              <w:t>給藥前應有</w:t>
            </w:r>
            <w:r>
              <w:rPr>
                <w:rFonts w:eastAsia="標楷體"/>
                <w:sz w:val="20"/>
                <w:szCs w:val="20"/>
              </w:rPr>
              <w:t>3-6</w:t>
            </w:r>
            <w:r>
              <w:rPr>
                <w:rFonts w:eastAsia="標楷體"/>
                <w:sz w:val="20"/>
                <w:szCs w:val="20"/>
              </w:rPr>
              <w:t>個月非藥物治療</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3F5CB" w14:textId="77777777" w:rsidR="00BD776B" w:rsidRDefault="00DF0C24">
            <w:pPr>
              <w:spacing w:line="280" w:lineRule="exact"/>
              <w:ind w:left="-70" w:right="-65" w:firstLine="70"/>
            </w:pPr>
            <w:r>
              <w:rPr>
                <w:rFonts w:eastAsia="標楷體"/>
                <w:sz w:val="20"/>
                <w:szCs w:val="20"/>
              </w:rPr>
              <w:t>TC</w:t>
            </w:r>
            <w:r>
              <w:rPr>
                <w:rFonts w:eastAsia="標楷體"/>
                <w:sz w:val="20"/>
                <w:szCs w:val="20"/>
                <w:lang w:val="fr-FR"/>
              </w:rPr>
              <w:t>≧</w:t>
            </w:r>
            <w:r>
              <w:rPr>
                <w:rFonts w:eastAsia="標楷體"/>
                <w:sz w:val="20"/>
                <w:szCs w:val="20"/>
              </w:rPr>
              <w:t>240mg/dL</w:t>
            </w:r>
            <w:r>
              <w:rPr>
                <w:rFonts w:eastAsia="標楷體"/>
                <w:sz w:val="20"/>
                <w:szCs w:val="20"/>
              </w:rPr>
              <w:t>或</w:t>
            </w:r>
          </w:p>
          <w:p w14:paraId="67D97051" w14:textId="77777777" w:rsidR="00BD776B" w:rsidRDefault="00DF0C24">
            <w:pPr>
              <w:spacing w:line="280" w:lineRule="exact"/>
              <w:ind w:left="-70" w:right="-65" w:firstLine="70"/>
            </w:pPr>
            <w:r>
              <w:rPr>
                <w:rFonts w:eastAsia="標楷體"/>
                <w:sz w:val="20"/>
                <w:szCs w:val="20"/>
              </w:rPr>
              <w:t>LDL-C</w:t>
            </w:r>
            <w:r>
              <w:rPr>
                <w:rFonts w:eastAsia="標楷體"/>
                <w:sz w:val="20"/>
                <w:szCs w:val="20"/>
                <w:lang w:val="fr-FR"/>
              </w:rPr>
              <w:t>≧</w:t>
            </w:r>
            <w:r>
              <w:rPr>
                <w:rFonts w:eastAsia="標楷體"/>
                <w:sz w:val="20"/>
                <w:szCs w:val="20"/>
              </w:rPr>
              <w:t>160mg/dL</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6D222" w14:textId="77777777" w:rsidR="00BD776B" w:rsidRDefault="00DF0C24">
            <w:pPr>
              <w:spacing w:line="280" w:lineRule="exact"/>
              <w:ind w:left="-70" w:right="-65" w:firstLine="70"/>
              <w:rPr>
                <w:rFonts w:eastAsia="標楷體"/>
                <w:sz w:val="20"/>
                <w:szCs w:val="20"/>
              </w:rPr>
            </w:pPr>
            <w:r>
              <w:rPr>
                <w:rFonts w:eastAsia="標楷體"/>
                <w:sz w:val="20"/>
                <w:szCs w:val="20"/>
              </w:rPr>
              <w:t>TC</w:t>
            </w:r>
            <w:r>
              <w:rPr>
                <w:rFonts w:eastAsia="標楷體"/>
                <w:sz w:val="20"/>
                <w:szCs w:val="20"/>
              </w:rPr>
              <w:t>＜</w:t>
            </w:r>
            <w:r>
              <w:rPr>
                <w:rFonts w:eastAsia="標楷體"/>
                <w:sz w:val="20"/>
                <w:szCs w:val="20"/>
              </w:rPr>
              <w:t>240mg/dL</w:t>
            </w:r>
            <w:r>
              <w:rPr>
                <w:rFonts w:eastAsia="標楷體"/>
                <w:sz w:val="20"/>
                <w:szCs w:val="20"/>
              </w:rPr>
              <w:t>或</w:t>
            </w:r>
          </w:p>
          <w:p w14:paraId="4FA81BBF" w14:textId="77777777" w:rsidR="00BD776B" w:rsidRDefault="00DF0C24">
            <w:pPr>
              <w:spacing w:line="280" w:lineRule="exact"/>
              <w:ind w:left="-70" w:right="-65" w:firstLine="70"/>
              <w:rPr>
                <w:rFonts w:eastAsia="標楷體"/>
                <w:sz w:val="20"/>
                <w:szCs w:val="20"/>
              </w:rPr>
            </w:pPr>
            <w:r>
              <w:rPr>
                <w:rFonts w:eastAsia="標楷體"/>
                <w:sz w:val="20"/>
                <w:szCs w:val="20"/>
              </w:rPr>
              <w:t>LDL-C</w:t>
            </w:r>
            <w:r>
              <w:rPr>
                <w:rFonts w:eastAsia="標楷體"/>
                <w:sz w:val="20"/>
                <w:szCs w:val="20"/>
              </w:rPr>
              <w:t>＜</w:t>
            </w:r>
            <w:r>
              <w:rPr>
                <w:rFonts w:eastAsia="標楷體"/>
                <w:sz w:val="20"/>
                <w:szCs w:val="20"/>
              </w:rPr>
              <w:t>160mg/dL</w:t>
            </w:r>
          </w:p>
        </w:tc>
        <w:tc>
          <w:tcPr>
            <w:tcW w:w="17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D4D78" w14:textId="77777777" w:rsidR="00BD776B" w:rsidRDefault="00BD776B">
            <w:pPr>
              <w:rPr>
                <w:rFonts w:eastAsia="標楷體"/>
                <w:sz w:val="20"/>
                <w:szCs w:val="20"/>
              </w:rPr>
            </w:pPr>
          </w:p>
        </w:tc>
      </w:tr>
      <w:tr w:rsidR="00BD776B" w14:paraId="272B2027" w14:textId="77777777">
        <w:trPr>
          <w:cantSplit/>
          <w:trHeight w:val="574"/>
        </w:trPr>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C08C3" w14:textId="77777777" w:rsidR="00BD776B" w:rsidRDefault="00DF0C24">
            <w:pPr>
              <w:spacing w:line="280" w:lineRule="exact"/>
              <w:ind w:left="-50" w:right="-70" w:firstLine="28"/>
            </w:pPr>
            <w:r>
              <w:rPr>
                <w:rFonts w:eastAsia="標楷體"/>
                <w:sz w:val="20"/>
                <w:szCs w:val="20"/>
              </w:rPr>
              <w:t>0</w:t>
            </w:r>
            <w:r>
              <w:rPr>
                <w:rFonts w:eastAsia="標楷體"/>
                <w:sz w:val="20"/>
                <w:szCs w:val="20"/>
              </w:rPr>
              <w:t>個危險因子</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8E300" w14:textId="77777777" w:rsidR="00BD776B" w:rsidRDefault="00DF0C24">
            <w:pPr>
              <w:spacing w:line="280" w:lineRule="exact"/>
              <w:ind w:left="-70" w:right="-53"/>
            </w:pPr>
            <w:r>
              <w:rPr>
                <w:rFonts w:eastAsia="標楷體"/>
                <w:sz w:val="20"/>
                <w:szCs w:val="20"/>
              </w:rPr>
              <w:t>給藥前應有</w:t>
            </w:r>
            <w:r>
              <w:rPr>
                <w:rFonts w:eastAsia="標楷體"/>
                <w:sz w:val="20"/>
                <w:szCs w:val="20"/>
              </w:rPr>
              <w:t>3-6</w:t>
            </w:r>
            <w:r>
              <w:rPr>
                <w:rFonts w:eastAsia="標楷體"/>
                <w:sz w:val="20"/>
                <w:szCs w:val="20"/>
              </w:rPr>
              <w:t>個月非藥物治療</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95FC1" w14:textId="77777777" w:rsidR="00BD776B" w:rsidRDefault="00DF0C24">
            <w:pPr>
              <w:spacing w:line="280" w:lineRule="exact"/>
              <w:ind w:left="-70" w:right="-65" w:firstLine="70"/>
            </w:pPr>
            <w:r>
              <w:rPr>
                <w:rFonts w:eastAsia="標楷體"/>
                <w:sz w:val="20"/>
                <w:szCs w:val="20"/>
              </w:rPr>
              <w:t>LDL-C</w:t>
            </w:r>
            <w:r>
              <w:rPr>
                <w:rFonts w:eastAsia="標楷體"/>
                <w:sz w:val="20"/>
                <w:szCs w:val="20"/>
                <w:lang w:val="fr-FR"/>
              </w:rPr>
              <w:t>≧</w:t>
            </w:r>
            <w:r>
              <w:rPr>
                <w:rFonts w:eastAsia="標楷體"/>
                <w:sz w:val="20"/>
                <w:szCs w:val="20"/>
              </w:rPr>
              <w:t>190mg/dL</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B200B" w14:textId="77777777" w:rsidR="00BD776B" w:rsidRDefault="00DF0C24">
            <w:pPr>
              <w:spacing w:line="280" w:lineRule="exact"/>
              <w:ind w:left="-70" w:right="-65" w:firstLine="70"/>
              <w:rPr>
                <w:rFonts w:eastAsia="標楷體"/>
                <w:sz w:val="20"/>
                <w:szCs w:val="20"/>
              </w:rPr>
            </w:pPr>
            <w:r>
              <w:rPr>
                <w:rFonts w:eastAsia="標楷體"/>
                <w:sz w:val="20"/>
                <w:szCs w:val="20"/>
              </w:rPr>
              <w:t>LDL-C</w:t>
            </w:r>
            <w:r>
              <w:rPr>
                <w:rFonts w:eastAsia="標楷體"/>
                <w:sz w:val="20"/>
                <w:szCs w:val="20"/>
              </w:rPr>
              <w:t>＜</w:t>
            </w:r>
            <w:r>
              <w:rPr>
                <w:rFonts w:eastAsia="標楷體"/>
                <w:sz w:val="20"/>
                <w:szCs w:val="20"/>
              </w:rPr>
              <w:t>190mg/dL</w:t>
            </w:r>
          </w:p>
        </w:tc>
        <w:tc>
          <w:tcPr>
            <w:tcW w:w="17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910ED" w14:textId="77777777" w:rsidR="00BD776B" w:rsidRDefault="00BD776B">
            <w:pPr>
              <w:rPr>
                <w:rFonts w:eastAsia="標楷體"/>
                <w:sz w:val="20"/>
                <w:szCs w:val="20"/>
              </w:rPr>
            </w:pPr>
          </w:p>
        </w:tc>
      </w:tr>
    </w:tbl>
    <w:p w14:paraId="3C7D39A8" w14:textId="77777777" w:rsidR="00BD776B" w:rsidRDefault="00DF0C24">
      <w:pPr>
        <w:pStyle w:val="13"/>
        <w:numPr>
          <w:ilvl w:val="0"/>
          <w:numId w:val="13"/>
        </w:numPr>
        <w:suppressAutoHyphens w:val="0"/>
        <w:spacing w:line="240" w:lineRule="exact"/>
        <w:ind w:left="482" w:firstLine="85"/>
        <w:textAlignment w:val="auto"/>
      </w:pPr>
      <w:r>
        <w:rPr>
          <w:rFonts w:ascii="Times New Roman" w:eastAsia="標楷體" w:hAnsi="Times New Roman"/>
          <w:sz w:val="20"/>
          <w:szCs w:val="20"/>
        </w:rPr>
        <w:t>心血管疾病定義：</w:t>
      </w:r>
    </w:p>
    <w:p w14:paraId="2B19B26E" w14:textId="77777777" w:rsidR="00BD776B" w:rsidRDefault="00DF0C24">
      <w:pPr>
        <w:spacing w:line="240" w:lineRule="exact"/>
        <w:ind w:left="1134" w:hanging="424"/>
      </w:pPr>
      <w:r>
        <w:rPr>
          <w:rFonts w:eastAsia="標楷體"/>
          <w:sz w:val="20"/>
          <w:szCs w:val="20"/>
        </w:rPr>
        <w:t>(</w:t>
      </w:r>
      <w:r>
        <w:rPr>
          <w:rFonts w:eastAsia="標楷體"/>
          <w:sz w:val="20"/>
          <w:szCs w:val="20"/>
        </w:rPr>
        <w:t>一</w:t>
      </w:r>
      <w:r>
        <w:rPr>
          <w:rFonts w:eastAsia="標楷體"/>
          <w:sz w:val="20"/>
          <w:szCs w:val="20"/>
        </w:rPr>
        <w:t xml:space="preserve">) </w:t>
      </w:r>
      <w:r>
        <w:rPr>
          <w:rFonts w:eastAsia="標楷體"/>
          <w:sz w:val="20"/>
          <w:szCs w:val="20"/>
        </w:rPr>
        <w:t>冠狀動脈粥狀硬化患者包含：心絞痛病人，有心導管證實或缺氧性心電圖變化或負荷性試驗陽性反應者</w:t>
      </w:r>
      <w:r>
        <w:rPr>
          <w:rFonts w:eastAsia="標楷體"/>
          <w:sz w:val="20"/>
          <w:szCs w:val="20"/>
        </w:rPr>
        <w:t>(</w:t>
      </w:r>
      <w:r>
        <w:rPr>
          <w:rFonts w:eastAsia="標楷體"/>
          <w:sz w:val="20"/>
          <w:szCs w:val="20"/>
        </w:rPr>
        <w:t>附檢查報告</w:t>
      </w:r>
      <w:r>
        <w:rPr>
          <w:rFonts w:eastAsia="標楷體"/>
          <w:sz w:val="20"/>
          <w:szCs w:val="20"/>
        </w:rPr>
        <w:t>)</w:t>
      </w:r>
    </w:p>
    <w:p w14:paraId="13DEFBFB" w14:textId="77777777" w:rsidR="00BD776B" w:rsidRDefault="00DF0C24">
      <w:pPr>
        <w:spacing w:line="240" w:lineRule="exact"/>
        <w:ind w:left="1134" w:hanging="424"/>
      </w:pPr>
      <w:r>
        <w:rPr>
          <w:rFonts w:eastAsia="標楷體"/>
          <w:sz w:val="20"/>
          <w:szCs w:val="20"/>
        </w:rPr>
        <w:t>(</w:t>
      </w:r>
      <w:r>
        <w:rPr>
          <w:rFonts w:eastAsia="標楷體"/>
          <w:sz w:val="20"/>
          <w:szCs w:val="20"/>
        </w:rPr>
        <w:t>二</w:t>
      </w:r>
      <w:r>
        <w:rPr>
          <w:rFonts w:eastAsia="標楷體"/>
          <w:sz w:val="20"/>
          <w:szCs w:val="20"/>
        </w:rPr>
        <w:t>)</w:t>
      </w:r>
      <w:r>
        <w:rPr>
          <w:sz w:val="20"/>
          <w:szCs w:val="20"/>
        </w:rPr>
        <w:t xml:space="preserve"> </w:t>
      </w:r>
      <w:r>
        <w:rPr>
          <w:rFonts w:eastAsia="標楷體"/>
          <w:sz w:val="20"/>
          <w:szCs w:val="20"/>
        </w:rPr>
        <w:t>缺血型腦血管疾病病人包含：</w:t>
      </w:r>
    </w:p>
    <w:p w14:paraId="6C7593BD" w14:textId="77777777" w:rsidR="00BD776B" w:rsidRDefault="00DF0C24">
      <w:pPr>
        <w:spacing w:line="240" w:lineRule="exact"/>
        <w:ind w:left="1133"/>
      </w:pPr>
      <w:r>
        <w:rPr>
          <w:rFonts w:eastAsia="標楷體"/>
          <w:sz w:val="20"/>
          <w:szCs w:val="20"/>
        </w:rPr>
        <w:t>1.</w:t>
      </w:r>
      <w:r>
        <w:rPr>
          <w:rFonts w:eastAsia="標楷體"/>
          <w:sz w:val="20"/>
          <w:szCs w:val="20"/>
        </w:rPr>
        <w:t>腦梗塞。</w:t>
      </w:r>
    </w:p>
    <w:p w14:paraId="75B1A567" w14:textId="77777777" w:rsidR="00BD776B" w:rsidRDefault="00DF0C24">
      <w:pPr>
        <w:spacing w:line="240" w:lineRule="exact"/>
        <w:ind w:left="1133"/>
      </w:pPr>
      <w:r>
        <w:rPr>
          <w:rFonts w:eastAsia="標楷體"/>
          <w:sz w:val="20"/>
          <w:szCs w:val="20"/>
        </w:rPr>
        <w:t>2.</w:t>
      </w:r>
      <w:r>
        <w:rPr>
          <w:rFonts w:eastAsia="標楷體"/>
          <w:sz w:val="20"/>
          <w:szCs w:val="20"/>
        </w:rPr>
        <w:t>暫時性腦缺血患者</w:t>
      </w:r>
      <w:r>
        <w:rPr>
          <w:rFonts w:eastAsia="標楷體"/>
          <w:sz w:val="20"/>
          <w:szCs w:val="20"/>
        </w:rPr>
        <w:t>(TIA)</w:t>
      </w:r>
      <w:r>
        <w:rPr>
          <w:rFonts w:eastAsia="標楷體"/>
          <w:sz w:val="20"/>
          <w:szCs w:val="20"/>
        </w:rPr>
        <w:t>。（診斷須由神經科醫師確立）</w:t>
      </w:r>
    </w:p>
    <w:p w14:paraId="3B23686A" w14:textId="77777777" w:rsidR="00BD776B" w:rsidRDefault="00DF0C24">
      <w:pPr>
        <w:spacing w:line="240" w:lineRule="exact"/>
        <w:ind w:left="1133"/>
      </w:pPr>
      <w:r>
        <w:rPr>
          <w:rFonts w:eastAsia="標楷體"/>
          <w:sz w:val="20"/>
          <w:szCs w:val="20"/>
        </w:rPr>
        <w:t>3.</w:t>
      </w:r>
      <w:r>
        <w:rPr>
          <w:rFonts w:eastAsia="標楷體"/>
          <w:sz w:val="20"/>
          <w:szCs w:val="20"/>
        </w:rPr>
        <w:t>有症狀之頸動脈狹窄。（診斷須由神經科醫師確立）</w:t>
      </w:r>
    </w:p>
    <w:p w14:paraId="5869780F" w14:textId="77777777" w:rsidR="00BD776B" w:rsidRDefault="00DF0C24">
      <w:pPr>
        <w:pStyle w:val="13"/>
        <w:numPr>
          <w:ilvl w:val="0"/>
          <w:numId w:val="13"/>
        </w:numPr>
        <w:suppressAutoHyphens w:val="0"/>
        <w:spacing w:line="240" w:lineRule="exact"/>
        <w:ind w:firstLine="87"/>
        <w:textAlignment w:val="auto"/>
      </w:pPr>
      <w:r>
        <w:rPr>
          <w:rFonts w:ascii="Times New Roman" w:eastAsia="標楷體" w:hAnsi="Times New Roman"/>
          <w:sz w:val="20"/>
          <w:szCs w:val="20"/>
        </w:rPr>
        <w:t>危險因子定義：</w:t>
      </w:r>
    </w:p>
    <w:p w14:paraId="612FB136" w14:textId="77777777" w:rsidR="00BD776B" w:rsidRDefault="00DF0C24">
      <w:pPr>
        <w:spacing w:line="240" w:lineRule="exact"/>
        <w:ind w:left="881" w:hanging="142"/>
      </w:pPr>
      <w:r>
        <w:rPr>
          <w:rFonts w:eastAsia="標楷體"/>
          <w:sz w:val="20"/>
          <w:szCs w:val="20"/>
        </w:rPr>
        <w:t>1.</w:t>
      </w:r>
      <w:r>
        <w:rPr>
          <w:rFonts w:eastAsia="標楷體"/>
          <w:sz w:val="20"/>
          <w:szCs w:val="20"/>
        </w:rPr>
        <w:t>高血壓</w:t>
      </w:r>
    </w:p>
    <w:p w14:paraId="7DAE55AE" w14:textId="77777777" w:rsidR="00BD776B" w:rsidRDefault="00DF0C24">
      <w:pPr>
        <w:spacing w:line="240" w:lineRule="exact"/>
        <w:ind w:left="881" w:hanging="142"/>
      </w:pPr>
      <w:r>
        <w:rPr>
          <w:rFonts w:eastAsia="標楷體"/>
          <w:sz w:val="20"/>
          <w:szCs w:val="20"/>
        </w:rPr>
        <w:t>2.</w:t>
      </w:r>
      <w:r>
        <w:rPr>
          <w:rFonts w:eastAsia="標楷體"/>
          <w:sz w:val="20"/>
          <w:szCs w:val="20"/>
        </w:rPr>
        <w:t>男性</w:t>
      </w:r>
      <w:r>
        <w:rPr>
          <w:rFonts w:eastAsia="標楷體"/>
          <w:sz w:val="20"/>
          <w:szCs w:val="20"/>
        </w:rPr>
        <w:t>≧45</w:t>
      </w:r>
      <w:r>
        <w:rPr>
          <w:rFonts w:eastAsia="標楷體"/>
          <w:sz w:val="20"/>
          <w:szCs w:val="20"/>
        </w:rPr>
        <w:t>歲，女性</w:t>
      </w:r>
      <w:r>
        <w:rPr>
          <w:rFonts w:eastAsia="標楷體"/>
          <w:sz w:val="20"/>
          <w:szCs w:val="20"/>
        </w:rPr>
        <w:t>≧55</w:t>
      </w:r>
      <w:r>
        <w:rPr>
          <w:rFonts w:eastAsia="標楷體"/>
          <w:sz w:val="20"/>
          <w:szCs w:val="20"/>
        </w:rPr>
        <w:t>歲或停經者</w:t>
      </w:r>
    </w:p>
    <w:p w14:paraId="2419F816" w14:textId="77777777" w:rsidR="00BD776B" w:rsidRDefault="00DF0C24">
      <w:pPr>
        <w:spacing w:line="240" w:lineRule="exact"/>
        <w:ind w:left="881" w:hanging="142"/>
      </w:pPr>
      <w:r>
        <w:rPr>
          <w:rFonts w:eastAsia="標楷體"/>
          <w:sz w:val="20"/>
          <w:szCs w:val="20"/>
        </w:rPr>
        <w:t>3.</w:t>
      </w:r>
      <w:r>
        <w:rPr>
          <w:rFonts w:eastAsia="標楷體"/>
          <w:sz w:val="20"/>
          <w:szCs w:val="20"/>
        </w:rPr>
        <w:t>有早發性冠心病家族史</w:t>
      </w:r>
      <w:r>
        <w:rPr>
          <w:rFonts w:eastAsia="標楷體"/>
          <w:sz w:val="20"/>
          <w:szCs w:val="20"/>
        </w:rPr>
        <w:t>(</w:t>
      </w:r>
      <w:r>
        <w:rPr>
          <w:rFonts w:eastAsia="標楷體"/>
          <w:sz w:val="20"/>
          <w:szCs w:val="20"/>
        </w:rPr>
        <w:t>男性</w:t>
      </w:r>
      <w:r>
        <w:rPr>
          <w:rFonts w:eastAsia="標楷體"/>
          <w:sz w:val="20"/>
          <w:szCs w:val="20"/>
        </w:rPr>
        <w:t>≦55</w:t>
      </w:r>
      <w:r>
        <w:rPr>
          <w:rFonts w:eastAsia="標楷體"/>
          <w:sz w:val="20"/>
          <w:szCs w:val="20"/>
        </w:rPr>
        <w:t>歲，女性</w:t>
      </w:r>
      <w:r>
        <w:rPr>
          <w:rFonts w:eastAsia="標楷體"/>
          <w:sz w:val="20"/>
          <w:szCs w:val="20"/>
        </w:rPr>
        <w:t>≦65</w:t>
      </w:r>
      <w:r>
        <w:rPr>
          <w:rFonts w:eastAsia="標楷體"/>
          <w:sz w:val="20"/>
          <w:szCs w:val="20"/>
        </w:rPr>
        <w:t>歲</w:t>
      </w:r>
      <w:r>
        <w:rPr>
          <w:rFonts w:eastAsia="標楷體"/>
          <w:sz w:val="20"/>
          <w:szCs w:val="20"/>
        </w:rPr>
        <w:t>)</w:t>
      </w:r>
    </w:p>
    <w:p w14:paraId="134F31D9" w14:textId="77777777" w:rsidR="00BD776B" w:rsidRDefault="00DF0C24">
      <w:pPr>
        <w:spacing w:line="240" w:lineRule="exact"/>
        <w:ind w:left="881" w:hanging="142"/>
        <w:rPr>
          <w:rFonts w:eastAsia="標楷體"/>
          <w:sz w:val="20"/>
          <w:szCs w:val="20"/>
        </w:rPr>
      </w:pPr>
      <w:r>
        <w:rPr>
          <w:rFonts w:eastAsia="標楷體"/>
          <w:sz w:val="20"/>
          <w:szCs w:val="20"/>
        </w:rPr>
        <w:t>4.HDL-C&lt;40mg/dL</w:t>
      </w:r>
    </w:p>
    <w:p w14:paraId="6037FABE" w14:textId="77777777" w:rsidR="00BD776B" w:rsidRDefault="00DF0C24">
      <w:pPr>
        <w:spacing w:line="240" w:lineRule="exact"/>
        <w:ind w:left="881" w:hanging="142"/>
      </w:pPr>
      <w:r>
        <w:rPr>
          <w:rFonts w:eastAsia="標楷體"/>
          <w:sz w:val="20"/>
          <w:szCs w:val="20"/>
        </w:rPr>
        <w:t>5.</w:t>
      </w:r>
      <w:r>
        <w:rPr>
          <w:rFonts w:eastAsia="標楷體"/>
          <w:sz w:val="20"/>
          <w:szCs w:val="20"/>
        </w:rPr>
        <w:t>吸菸</w:t>
      </w:r>
      <w:r>
        <w:rPr>
          <w:rFonts w:eastAsia="標楷體"/>
          <w:sz w:val="20"/>
          <w:szCs w:val="20"/>
        </w:rPr>
        <w:t>(</w:t>
      </w:r>
      <w:r>
        <w:rPr>
          <w:rFonts w:eastAsia="標楷體"/>
          <w:sz w:val="20"/>
          <w:szCs w:val="20"/>
        </w:rPr>
        <w:t>因吸菸而符合起步治療準則之個案，若未戒菸而要求藥物治療，應以自費治療</w:t>
      </w:r>
      <w:r>
        <w:rPr>
          <w:rFonts w:eastAsia="標楷體"/>
          <w:sz w:val="20"/>
          <w:szCs w:val="20"/>
        </w:rPr>
        <w:t>)</w:t>
      </w:r>
      <w:r>
        <w:rPr>
          <w:rFonts w:eastAsia="標楷體"/>
          <w:sz w:val="20"/>
          <w:szCs w:val="20"/>
        </w:rPr>
        <w:t>。</w:t>
      </w:r>
    </w:p>
    <w:p w14:paraId="5E9B2B9B" w14:textId="77777777" w:rsidR="00BD776B" w:rsidRDefault="00DF0C24">
      <w:pPr>
        <w:jc w:val="center"/>
      </w:pPr>
      <w:r>
        <w:rPr>
          <w:rFonts w:eastAsia="標楷體"/>
        </w:rPr>
        <w:t>全民健康保險降三酸甘油酯藥物給付規定表</w:t>
      </w:r>
    </w:p>
    <w:tbl>
      <w:tblPr>
        <w:tblW w:w="8243" w:type="dxa"/>
        <w:tblInd w:w="703" w:type="dxa"/>
        <w:tblLayout w:type="fixed"/>
        <w:tblCellMar>
          <w:left w:w="10" w:type="dxa"/>
          <w:right w:w="10" w:type="dxa"/>
        </w:tblCellMar>
        <w:tblLook w:val="0000" w:firstRow="0" w:lastRow="0" w:firstColumn="0" w:lastColumn="0" w:noHBand="0" w:noVBand="0"/>
      </w:tblPr>
      <w:tblGrid>
        <w:gridCol w:w="1316"/>
        <w:gridCol w:w="1304"/>
        <w:gridCol w:w="1917"/>
        <w:gridCol w:w="1559"/>
        <w:gridCol w:w="2147"/>
      </w:tblGrid>
      <w:tr w:rsidR="00BD776B" w14:paraId="3D7ABC2A" w14:textId="77777777">
        <w:trPr>
          <w:trHeight w:val="283"/>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4B852" w14:textId="77777777" w:rsidR="00BD776B" w:rsidRDefault="00BD776B">
            <w:pPr>
              <w:spacing w:line="280" w:lineRule="exact"/>
              <w:rPr>
                <w:rFonts w:eastAsia="標楷體"/>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E18E" w14:textId="77777777" w:rsidR="00BD776B" w:rsidRDefault="00DF0C24">
            <w:pPr>
              <w:spacing w:line="280" w:lineRule="exact"/>
            </w:pPr>
            <w:r>
              <w:rPr>
                <w:rFonts w:eastAsia="標楷體"/>
                <w:sz w:val="20"/>
                <w:szCs w:val="20"/>
              </w:rPr>
              <w:t>非藥物治療</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CCE2B" w14:textId="77777777" w:rsidR="00BD776B" w:rsidRDefault="00DF0C24">
            <w:pPr>
              <w:spacing w:line="280" w:lineRule="exact"/>
            </w:pPr>
            <w:r>
              <w:rPr>
                <w:rFonts w:eastAsia="標楷體"/>
                <w:sz w:val="20"/>
                <w:szCs w:val="20"/>
              </w:rPr>
              <w:t>起始藥物治療三酸甘油酯值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E2056" w14:textId="77777777" w:rsidR="00BD776B" w:rsidRDefault="00DF0C24">
            <w:pPr>
              <w:spacing w:line="280" w:lineRule="exact"/>
            </w:pPr>
            <w:r>
              <w:rPr>
                <w:rFonts w:eastAsia="標楷體"/>
                <w:sz w:val="20"/>
                <w:szCs w:val="20"/>
              </w:rPr>
              <w:t>三酸甘油酯目標值</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B5F7C" w14:textId="77777777" w:rsidR="00BD776B" w:rsidRDefault="00DF0C24">
            <w:pPr>
              <w:spacing w:line="280" w:lineRule="exact"/>
            </w:pPr>
            <w:r>
              <w:rPr>
                <w:rFonts w:eastAsia="標楷體"/>
                <w:sz w:val="20"/>
                <w:szCs w:val="20"/>
              </w:rPr>
              <w:t>處方規定</w:t>
            </w:r>
          </w:p>
        </w:tc>
      </w:tr>
      <w:tr w:rsidR="00BD776B" w14:paraId="5574528F" w14:textId="77777777">
        <w:trPr>
          <w:cantSplit/>
          <w:trHeight w:val="418"/>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15FDD" w14:textId="77777777" w:rsidR="00BD776B" w:rsidRDefault="00DF0C24">
            <w:pPr>
              <w:spacing w:line="280" w:lineRule="exact"/>
              <w:ind w:left="-53" w:right="-79"/>
            </w:pPr>
            <w:r>
              <w:rPr>
                <w:rFonts w:eastAsia="標楷體"/>
                <w:sz w:val="20"/>
                <w:szCs w:val="20"/>
              </w:rPr>
              <w:lastRenderedPageBreak/>
              <w:t>心血管疾病或糖尿病病人</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77B7F" w14:textId="77777777" w:rsidR="00BD776B" w:rsidRDefault="00DF0C24">
            <w:pPr>
              <w:spacing w:line="280" w:lineRule="exact"/>
              <w:ind w:left="-70" w:right="-53"/>
            </w:pPr>
            <w:r>
              <w:rPr>
                <w:rFonts w:eastAsia="標楷體"/>
                <w:sz w:val="20"/>
                <w:szCs w:val="20"/>
              </w:rPr>
              <w:t>與藥物治療可並行</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9ABA6" w14:textId="77777777" w:rsidR="00BD776B" w:rsidRDefault="00DF0C24">
            <w:pPr>
              <w:spacing w:line="280" w:lineRule="exact"/>
              <w:ind w:left="-70" w:right="-65" w:firstLine="16"/>
              <w:rPr>
                <w:rFonts w:eastAsia="標楷體"/>
                <w:sz w:val="20"/>
                <w:szCs w:val="20"/>
              </w:rPr>
            </w:pPr>
            <w:r>
              <w:rPr>
                <w:rFonts w:eastAsia="標楷體"/>
                <w:sz w:val="20"/>
                <w:szCs w:val="20"/>
              </w:rPr>
              <w:t>TG≧200mg/dL</w:t>
            </w:r>
            <w:r>
              <w:rPr>
                <w:rFonts w:eastAsia="標楷體"/>
                <w:sz w:val="20"/>
                <w:szCs w:val="20"/>
              </w:rPr>
              <w:t>且</w:t>
            </w:r>
            <w:r>
              <w:rPr>
                <w:rFonts w:eastAsia="標楷體"/>
                <w:sz w:val="20"/>
                <w:szCs w:val="20"/>
              </w:rPr>
              <w:t>(TC/HDL-C&gt;5</w:t>
            </w:r>
            <w:r>
              <w:rPr>
                <w:rFonts w:eastAsia="標楷體"/>
                <w:sz w:val="20"/>
                <w:szCs w:val="20"/>
              </w:rPr>
              <w:t>或</w:t>
            </w:r>
            <w:r>
              <w:rPr>
                <w:rFonts w:eastAsia="標楷體"/>
                <w:sz w:val="20"/>
                <w:szCs w:val="20"/>
              </w:rPr>
              <w:t>HDL-C&lt;40mg/dL)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AEA87" w14:textId="77777777" w:rsidR="00BD776B" w:rsidRDefault="00DF0C24">
            <w:pPr>
              <w:spacing w:line="280" w:lineRule="exact"/>
              <w:ind w:left="-24" w:right="-79" w:hanging="10"/>
              <w:rPr>
                <w:rFonts w:eastAsia="標楷體"/>
                <w:sz w:val="20"/>
                <w:szCs w:val="20"/>
              </w:rPr>
            </w:pPr>
            <w:r>
              <w:rPr>
                <w:rFonts w:eastAsia="標楷體"/>
                <w:sz w:val="20"/>
                <w:szCs w:val="20"/>
              </w:rPr>
              <w:t>TG</w:t>
            </w:r>
            <w:r>
              <w:rPr>
                <w:rFonts w:eastAsia="標楷體"/>
                <w:sz w:val="20"/>
                <w:szCs w:val="20"/>
              </w:rPr>
              <w:t>＜</w:t>
            </w:r>
            <w:r>
              <w:rPr>
                <w:rFonts w:eastAsia="標楷體"/>
                <w:sz w:val="20"/>
                <w:szCs w:val="20"/>
              </w:rPr>
              <w:t>200mg/dL</w:t>
            </w:r>
          </w:p>
        </w:tc>
        <w:tc>
          <w:tcPr>
            <w:tcW w:w="2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4141C" w14:textId="77777777" w:rsidR="00BD776B" w:rsidRDefault="00DF0C24">
            <w:pPr>
              <w:spacing w:line="280" w:lineRule="exact"/>
              <w:ind w:left="-53" w:right="-53" w:hanging="14"/>
            </w:pPr>
            <w:r>
              <w:rPr>
                <w:rFonts w:eastAsia="標楷體"/>
                <w:sz w:val="20"/>
                <w:szCs w:val="20"/>
              </w:rPr>
              <w:t>第一年應每</w:t>
            </w:r>
            <w:r>
              <w:rPr>
                <w:rFonts w:eastAsia="標楷體"/>
                <w:sz w:val="20"/>
                <w:szCs w:val="20"/>
              </w:rPr>
              <w:t>3-6</w:t>
            </w:r>
            <w:r>
              <w:rPr>
                <w:rFonts w:eastAsia="標楷體"/>
                <w:sz w:val="20"/>
                <w:szCs w:val="20"/>
              </w:rPr>
              <w:t>個月抽血檢查一次，第二年以後應至少每</w:t>
            </w:r>
            <w:r>
              <w:rPr>
                <w:rFonts w:eastAsia="標楷體"/>
                <w:sz w:val="20"/>
                <w:szCs w:val="20"/>
              </w:rPr>
              <w:t>6-12</w:t>
            </w:r>
            <w:r>
              <w:rPr>
                <w:rFonts w:eastAsia="標楷體"/>
                <w:sz w:val="20"/>
                <w:szCs w:val="20"/>
              </w:rPr>
              <w:t>個月抽血檢查一次，同時請注意副作用之產生如肝功能異常，橫紋肌溶解症。</w:t>
            </w:r>
          </w:p>
        </w:tc>
      </w:tr>
      <w:tr w:rsidR="00BD776B" w14:paraId="5381CDCA" w14:textId="77777777">
        <w:trPr>
          <w:cantSplit/>
          <w:trHeight w:val="842"/>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0105D" w14:textId="77777777" w:rsidR="00BD776B" w:rsidRDefault="00DF0C24">
            <w:pPr>
              <w:spacing w:line="280" w:lineRule="exact"/>
              <w:ind w:left="-53" w:right="-79"/>
            </w:pPr>
            <w:r>
              <w:rPr>
                <w:rFonts w:eastAsia="標楷體"/>
                <w:sz w:val="20"/>
                <w:szCs w:val="20"/>
              </w:rPr>
              <w:t>無心血管疾病病人</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0A683" w14:textId="77777777" w:rsidR="00BD776B" w:rsidRDefault="00DF0C24">
            <w:pPr>
              <w:spacing w:line="280" w:lineRule="exact"/>
              <w:ind w:left="-70" w:right="-53"/>
            </w:pPr>
            <w:r>
              <w:rPr>
                <w:rFonts w:eastAsia="標楷體"/>
                <w:sz w:val="20"/>
                <w:szCs w:val="20"/>
              </w:rPr>
              <w:t>給藥前應有</w:t>
            </w:r>
            <w:r>
              <w:rPr>
                <w:rFonts w:eastAsia="標楷體"/>
                <w:sz w:val="20"/>
                <w:szCs w:val="20"/>
              </w:rPr>
              <w:t>3-6</w:t>
            </w:r>
            <w:r>
              <w:rPr>
                <w:rFonts w:eastAsia="標楷體"/>
                <w:sz w:val="20"/>
                <w:szCs w:val="20"/>
              </w:rPr>
              <w:t>個月非藥物治療</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CA8D" w14:textId="77777777" w:rsidR="00BD776B" w:rsidRDefault="00DF0C24">
            <w:pPr>
              <w:spacing w:line="280" w:lineRule="exact"/>
              <w:ind w:left="-70" w:right="-65" w:firstLine="16"/>
              <w:rPr>
                <w:rFonts w:eastAsia="標楷體"/>
                <w:sz w:val="20"/>
                <w:szCs w:val="20"/>
              </w:rPr>
            </w:pPr>
            <w:r>
              <w:rPr>
                <w:rFonts w:eastAsia="標楷體"/>
                <w:sz w:val="20"/>
                <w:szCs w:val="20"/>
              </w:rPr>
              <w:t>TG≧200mg/dL</w:t>
            </w:r>
            <w:r>
              <w:rPr>
                <w:rFonts w:eastAsia="標楷體"/>
                <w:sz w:val="20"/>
                <w:szCs w:val="20"/>
              </w:rPr>
              <w:t>且</w:t>
            </w:r>
            <w:r>
              <w:rPr>
                <w:rFonts w:eastAsia="標楷體"/>
                <w:sz w:val="20"/>
                <w:szCs w:val="20"/>
              </w:rPr>
              <w:t>(TC/HDL-C&gt;5</w:t>
            </w:r>
            <w:r>
              <w:rPr>
                <w:rFonts w:eastAsia="標楷體"/>
                <w:sz w:val="20"/>
                <w:szCs w:val="20"/>
              </w:rPr>
              <w:t>或</w:t>
            </w:r>
            <w:r>
              <w:rPr>
                <w:rFonts w:eastAsia="標楷體"/>
                <w:sz w:val="20"/>
                <w:szCs w:val="20"/>
              </w:rPr>
              <w:t>HDL-C&lt;40mg/dL)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770B1" w14:textId="77777777" w:rsidR="00BD776B" w:rsidRDefault="00DF0C24">
            <w:pPr>
              <w:spacing w:line="280" w:lineRule="exact"/>
              <w:ind w:left="-24" w:right="-79" w:hanging="10"/>
              <w:rPr>
                <w:rFonts w:eastAsia="標楷體"/>
                <w:sz w:val="20"/>
                <w:szCs w:val="20"/>
              </w:rPr>
            </w:pPr>
            <w:r>
              <w:rPr>
                <w:rFonts w:eastAsia="標楷體"/>
                <w:sz w:val="20"/>
                <w:szCs w:val="20"/>
              </w:rPr>
              <w:t>TG</w:t>
            </w:r>
            <w:r>
              <w:rPr>
                <w:rFonts w:eastAsia="標楷體"/>
                <w:sz w:val="20"/>
                <w:szCs w:val="20"/>
              </w:rPr>
              <w:t>＜</w:t>
            </w:r>
            <w:r>
              <w:rPr>
                <w:rFonts w:eastAsia="標楷體"/>
                <w:sz w:val="20"/>
                <w:szCs w:val="20"/>
              </w:rPr>
              <w:t>200mg/dL</w:t>
            </w:r>
          </w:p>
        </w:tc>
        <w:tc>
          <w:tcPr>
            <w:tcW w:w="2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B1E9A" w14:textId="77777777" w:rsidR="00BD776B" w:rsidRDefault="00BD776B">
            <w:pPr>
              <w:spacing w:line="280" w:lineRule="exact"/>
              <w:rPr>
                <w:rFonts w:eastAsia="標楷體"/>
                <w:sz w:val="20"/>
                <w:szCs w:val="20"/>
              </w:rPr>
            </w:pPr>
          </w:p>
        </w:tc>
      </w:tr>
      <w:tr w:rsidR="00BD776B" w14:paraId="0C84FA85" w14:textId="77777777">
        <w:trPr>
          <w:cantSplit/>
          <w:trHeight w:val="552"/>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0A20A" w14:textId="77777777" w:rsidR="00BD776B" w:rsidRDefault="00DF0C24">
            <w:pPr>
              <w:spacing w:line="280" w:lineRule="exact"/>
              <w:ind w:left="-53" w:right="-79"/>
            </w:pPr>
            <w:r>
              <w:rPr>
                <w:rFonts w:eastAsia="標楷體"/>
                <w:sz w:val="20"/>
                <w:szCs w:val="20"/>
              </w:rPr>
              <w:t>無心血管疾病病人</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52370" w14:textId="77777777" w:rsidR="00BD776B" w:rsidRDefault="00DF0C24">
            <w:pPr>
              <w:spacing w:line="280" w:lineRule="exact"/>
              <w:ind w:left="-70" w:right="-53"/>
            </w:pPr>
            <w:r>
              <w:rPr>
                <w:rFonts w:eastAsia="標楷體"/>
                <w:sz w:val="20"/>
                <w:szCs w:val="20"/>
              </w:rPr>
              <w:t>與藥物治療可並行</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D564E" w14:textId="77777777" w:rsidR="00BD776B" w:rsidRDefault="00DF0C24">
            <w:pPr>
              <w:spacing w:line="280" w:lineRule="exact"/>
              <w:ind w:left="-70" w:right="-65" w:firstLine="16"/>
              <w:rPr>
                <w:rFonts w:eastAsia="標楷體"/>
                <w:sz w:val="20"/>
                <w:szCs w:val="20"/>
              </w:rPr>
            </w:pPr>
            <w:r>
              <w:rPr>
                <w:rFonts w:eastAsia="標楷體"/>
                <w:sz w:val="20"/>
                <w:szCs w:val="20"/>
              </w:rPr>
              <w:t>TG≧500mg/dL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4C747" w14:textId="77777777" w:rsidR="00BD776B" w:rsidRDefault="00DF0C24">
            <w:pPr>
              <w:spacing w:line="280" w:lineRule="exact"/>
              <w:ind w:left="-24" w:right="-79" w:hanging="10"/>
              <w:rPr>
                <w:rFonts w:eastAsia="標楷體"/>
                <w:sz w:val="20"/>
                <w:szCs w:val="20"/>
              </w:rPr>
            </w:pPr>
            <w:r>
              <w:rPr>
                <w:rFonts w:eastAsia="標楷體"/>
                <w:sz w:val="20"/>
                <w:szCs w:val="20"/>
              </w:rPr>
              <w:t>TG</w:t>
            </w:r>
            <w:r>
              <w:rPr>
                <w:rFonts w:eastAsia="標楷體"/>
                <w:sz w:val="20"/>
                <w:szCs w:val="20"/>
              </w:rPr>
              <w:t>＜</w:t>
            </w:r>
            <w:r>
              <w:rPr>
                <w:rFonts w:eastAsia="標楷體"/>
                <w:sz w:val="20"/>
                <w:szCs w:val="20"/>
              </w:rPr>
              <w:t>500mg/dL</w:t>
            </w:r>
          </w:p>
        </w:tc>
        <w:tc>
          <w:tcPr>
            <w:tcW w:w="2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DB992" w14:textId="77777777" w:rsidR="00BD776B" w:rsidRDefault="00BD776B">
            <w:pPr>
              <w:spacing w:line="280" w:lineRule="exact"/>
              <w:rPr>
                <w:rFonts w:eastAsia="標楷體"/>
                <w:sz w:val="20"/>
                <w:szCs w:val="20"/>
              </w:rPr>
            </w:pPr>
          </w:p>
        </w:tc>
      </w:tr>
    </w:tbl>
    <w:p w14:paraId="648B8A0B" w14:textId="77777777" w:rsidR="00BD776B" w:rsidRDefault="00DF0C24">
      <w:pPr>
        <w:ind w:left="672" w:hanging="386"/>
        <w:rPr>
          <w:rFonts w:ascii="標楷體" w:eastAsia="標楷體" w:hAnsi="標楷體"/>
          <w:color w:val="000000"/>
        </w:rPr>
      </w:pPr>
      <w:r>
        <w:rPr>
          <w:rFonts w:ascii="標楷體" w:eastAsia="標楷體" w:hAnsi="標楷體"/>
          <w:color w:val="000000"/>
        </w:rPr>
        <w:t>2.6.2.Ezetimibe (如Ezetrol Tablets)：(94/6/1)</w:t>
      </w:r>
    </w:p>
    <w:p w14:paraId="583BBE02" w14:textId="77777777" w:rsidR="00BD776B" w:rsidRDefault="00DF0C24">
      <w:pPr>
        <w:ind w:left="798" w:hanging="1"/>
        <w:rPr>
          <w:rFonts w:ascii="標楷體" w:eastAsia="標楷體" w:hAnsi="標楷體"/>
          <w:color w:val="000000"/>
        </w:rPr>
      </w:pPr>
      <w:r>
        <w:rPr>
          <w:rFonts w:ascii="標楷體" w:eastAsia="標楷體" w:hAnsi="標楷體"/>
          <w:color w:val="000000"/>
        </w:rPr>
        <w:t>原發性高膽固醇血症、同型接合子家族性高膽固醇血症、同型接合子性麥脂醇血症(植物脂醇血症)患者並符合下列條件之一者：</w:t>
      </w:r>
    </w:p>
    <w:p w14:paraId="06F52FCB" w14:textId="77777777" w:rsidR="00BD776B" w:rsidRDefault="00DF0C24">
      <w:pPr>
        <w:ind w:left="811" w:hanging="245"/>
        <w:rPr>
          <w:rFonts w:ascii="標楷體" w:eastAsia="標楷體" w:hAnsi="標楷體"/>
          <w:color w:val="000000"/>
        </w:rPr>
      </w:pPr>
      <w:r>
        <w:rPr>
          <w:rFonts w:ascii="標楷體" w:eastAsia="標楷體" w:hAnsi="標楷體"/>
          <w:color w:val="000000"/>
        </w:rPr>
        <w:t>1.符合全民健康保險降血脂藥物給付規定表且對Statins類藥品發生無法耐受藥物不良反應（如Severe myalgia、Myositis）者。</w:t>
      </w:r>
    </w:p>
    <w:p w14:paraId="073722CA" w14:textId="77777777" w:rsidR="00BD776B" w:rsidRDefault="00DF0C24">
      <w:pPr>
        <w:ind w:left="811" w:hanging="245"/>
        <w:rPr>
          <w:rFonts w:ascii="標楷體" w:eastAsia="標楷體" w:hAnsi="標楷體"/>
          <w:color w:val="000000"/>
        </w:rPr>
      </w:pPr>
      <w:r>
        <w:rPr>
          <w:rFonts w:ascii="標楷體" w:eastAsia="標楷體" w:hAnsi="標楷體"/>
          <w:color w:val="000000"/>
        </w:rPr>
        <w:t>2.符合全民健康保險降血脂藥物給付規定表經使用Statins類藥品單一治療3個月未達治療目標者，得合併使用本案藥品與Statins類藥品。</w:t>
      </w:r>
    </w:p>
    <w:p w14:paraId="693E6105" w14:textId="77777777" w:rsidR="00BD776B" w:rsidRDefault="00DF0C24">
      <w:pPr>
        <w:ind w:left="672" w:hanging="386"/>
      </w:pPr>
      <w:bookmarkStart w:id="2" w:name="_Hlk117773551"/>
      <w:r>
        <w:rPr>
          <w:rFonts w:ascii="標楷體" w:eastAsia="標楷體" w:hAnsi="標楷體"/>
          <w:color w:val="000000"/>
        </w:rPr>
        <w:t>2.6.3.含ezetimibe及statin類之複方製劑（如Vytorin、Atozet、C</w:t>
      </w:r>
      <w:r>
        <w:rPr>
          <w:rFonts w:ascii="標楷體" w:eastAsia="標楷體" w:hAnsi="標楷體"/>
          <w:color w:val="000000"/>
          <w:szCs w:val="24"/>
        </w:rPr>
        <w:t>retrol、Tonvasca）：</w:t>
      </w:r>
      <w:r>
        <w:rPr>
          <w:rFonts w:ascii="標楷體" w:eastAsia="標楷體" w:hAnsi="標楷體"/>
          <w:color w:val="000000"/>
        </w:rPr>
        <w:t>(95/12/1、106/8/1、111/11/1</w:t>
      </w:r>
      <w:r>
        <w:rPr>
          <w:rFonts w:ascii="標楷體" w:eastAsia="標楷體" w:hAnsi="標楷體"/>
          <w:color w:val="000000"/>
          <w:szCs w:val="24"/>
        </w:rPr>
        <w:t>、</w:t>
      </w:r>
      <w:r>
        <w:rPr>
          <w:rFonts w:ascii="標楷體" w:eastAsia="標楷體" w:hAnsi="標楷體"/>
          <w:szCs w:val="24"/>
        </w:rPr>
        <w:t>112/12/1</w:t>
      </w:r>
      <w:r>
        <w:rPr>
          <w:rFonts w:ascii="標楷體" w:eastAsia="標楷體" w:hAnsi="標楷體"/>
          <w:color w:val="000000"/>
        </w:rPr>
        <w:t>)：</w:t>
      </w:r>
    </w:p>
    <w:p w14:paraId="191CDB27" w14:textId="77777777" w:rsidR="00BD776B" w:rsidRDefault="00DF0C24">
      <w:pPr>
        <w:ind w:left="798" w:hanging="232"/>
        <w:rPr>
          <w:rFonts w:ascii="標楷體" w:eastAsia="標楷體" w:hAnsi="標楷體"/>
          <w:color w:val="000000"/>
        </w:rPr>
      </w:pPr>
      <w:r>
        <w:rPr>
          <w:rFonts w:ascii="標楷體" w:eastAsia="標楷體" w:hAnsi="標楷體"/>
          <w:color w:val="000000"/>
        </w:rPr>
        <w:t>1.限用於原發性高膽固醇血症、同型接合子家族性高膽固醇血症(HOFH) 病患並符合全民健康保險降血脂藥物給付規定表，經使用statin類藥品單一治療3個月未達治療目標者(106/8/1)。</w:t>
      </w:r>
    </w:p>
    <w:p w14:paraId="031034F3" w14:textId="77777777" w:rsidR="00BD776B" w:rsidRDefault="00DF0C24">
      <w:pPr>
        <w:ind w:left="798" w:hanging="232"/>
        <w:rPr>
          <w:rFonts w:ascii="標楷體" w:eastAsia="標楷體" w:hAnsi="標楷體"/>
          <w:color w:val="000000"/>
        </w:rPr>
      </w:pPr>
      <w:r>
        <w:rPr>
          <w:rFonts w:ascii="標楷體" w:eastAsia="標楷體" w:hAnsi="標楷體"/>
          <w:color w:val="000000"/>
        </w:rPr>
        <w:t>2.本品不得與gemfibrozil併用。(106/8/1)</w:t>
      </w:r>
      <w:bookmarkEnd w:id="2"/>
    </w:p>
    <w:p w14:paraId="1FCBF039" w14:textId="77777777" w:rsidR="00BD776B" w:rsidRDefault="00DF0C24">
      <w:pPr>
        <w:ind w:left="672" w:hanging="386"/>
        <w:rPr>
          <w:rFonts w:ascii="標楷體" w:eastAsia="標楷體" w:hAnsi="標楷體"/>
          <w:color w:val="000000"/>
        </w:rPr>
      </w:pPr>
      <w:r>
        <w:rPr>
          <w:rFonts w:ascii="標楷體" w:eastAsia="標楷體" w:hAnsi="標楷體"/>
          <w:color w:val="000000"/>
        </w:rPr>
        <w:t>2.6.4. PCSK9 血脂調節劑</w:t>
      </w:r>
    </w:p>
    <w:p w14:paraId="6DCB790C" w14:textId="77777777" w:rsidR="00BD776B" w:rsidRDefault="00DF0C24">
      <w:pPr>
        <w:ind w:left="672" w:hanging="386"/>
        <w:rPr>
          <w:rFonts w:ascii="標楷體" w:eastAsia="標楷體" w:hAnsi="標楷體"/>
          <w:color w:val="000000"/>
        </w:rPr>
      </w:pPr>
      <w:r>
        <w:rPr>
          <w:rFonts w:ascii="標楷體" w:eastAsia="標楷體" w:hAnsi="標楷體"/>
          <w:color w:val="000000"/>
        </w:rPr>
        <w:t>2.6.4.1.Evolocumab (如Repatha)：(107/3/1、108/5/1、109/4/1)</w:t>
      </w:r>
    </w:p>
    <w:p w14:paraId="31EFB6FF" w14:textId="77777777" w:rsidR="00BD776B" w:rsidRDefault="00DF0C24">
      <w:pPr>
        <w:ind w:left="798" w:hanging="232"/>
        <w:rPr>
          <w:rFonts w:ascii="標楷體" w:eastAsia="標楷體" w:hAnsi="標楷體"/>
          <w:color w:val="000000"/>
        </w:rPr>
      </w:pPr>
      <w:r>
        <w:rPr>
          <w:rFonts w:ascii="標楷體" w:eastAsia="標楷體" w:hAnsi="標楷體"/>
          <w:color w:val="000000"/>
        </w:rPr>
        <w:t>1.使用於發生重大心血管事件之病人</w:t>
      </w:r>
    </w:p>
    <w:p w14:paraId="544C355E" w14:textId="77777777" w:rsidR="00BD776B" w:rsidRDefault="00DF0C24">
      <w:pPr>
        <w:ind w:left="798" w:hanging="232"/>
        <w:rPr>
          <w:rFonts w:ascii="標楷體" w:eastAsia="標楷體" w:hAnsi="標楷體"/>
          <w:color w:val="000000"/>
        </w:rPr>
      </w:pPr>
      <w:r>
        <w:rPr>
          <w:rFonts w:ascii="標楷體" w:eastAsia="標楷體" w:hAnsi="標楷體"/>
          <w:color w:val="000000"/>
        </w:rPr>
        <w:t>(1)須經事前審查核准後使用（請詳附表二-D），每次申請得核准使用6個月，再次申請須檢附評估報告，若血中 LDL-C較本藥物開始使用前下降程度未達 30%，即屬療效不佳，則不再給付。</w:t>
      </w:r>
    </w:p>
    <w:p w14:paraId="0AA84419" w14:textId="77777777" w:rsidR="00BD776B" w:rsidRDefault="00DF0C24">
      <w:pPr>
        <w:ind w:left="798" w:hanging="232"/>
        <w:rPr>
          <w:rFonts w:ascii="標楷體" w:eastAsia="標楷體" w:hAnsi="標楷體"/>
          <w:color w:val="000000"/>
        </w:rPr>
      </w:pPr>
      <w:r>
        <w:rPr>
          <w:rFonts w:ascii="標楷體" w:eastAsia="標楷體" w:hAnsi="標楷體"/>
          <w:color w:val="000000"/>
        </w:rPr>
        <w:t>(2)限給付於發生重大心血管事件之後一年內且使用最大耐受劑量statin之病人，如心肌梗塞、接受冠狀動脈或其他動脈血管再通術 (revascularization)、動脈硬化相關之缺血性腦中風等之動脈粥狀硬化心血管疾病之成人病人，且符合下列條件之一者：</w:t>
      </w:r>
    </w:p>
    <w:p w14:paraId="74492A9A" w14:textId="77777777" w:rsidR="00BD776B" w:rsidRDefault="00DF0C24">
      <w:pPr>
        <w:ind w:left="1289" w:hanging="341"/>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經使用高強度statin (如rosuvastatin 20mg 或atorvastatin 40 mg(含)以上)或病人可耐受之最大劑量的statin三個月(含)以上且之後再合併使用ezetimibe 10 mg 三個月(含)以上，LDL-C 仍高於135 mg/dL者。</w:t>
      </w:r>
    </w:p>
    <w:p w14:paraId="35F446A3" w14:textId="77777777" w:rsidR="00BD776B" w:rsidRDefault="00DF0C24">
      <w:pPr>
        <w:ind w:left="1289" w:hanging="341"/>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對statin 有禁忌症或確診為對statin不耐受之病人，經其他降血脂藥物(至少需有ezetimibe 10 mg)持續治療3個月，LDL-C仍高於135 mg/dL者。</w:t>
      </w:r>
    </w:p>
    <w:p w14:paraId="7746BC3E" w14:textId="77777777" w:rsidR="00BD776B" w:rsidRDefault="00DF0C24">
      <w:pPr>
        <w:ind w:left="798" w:hanging="232"/>
        <w:rPr>
          <w:rFonts w:ascii="標楷體" w:eastAsia="標楷體" w:hAnsi="標楷體"/>
          <w:color w:val="000000"/>
        </w:rPr>
      </w:pPr>
      <w:r>
        <w:rPr>
          <w:rFonts w:ascii="標楷體" w:eastAsia="標楷體" w:hAnsi="標楷體"/>
          <w:color w:val="000000"/>
        </w:rPr>
        <w:t>(3)最高劑量為每兩週使用1支。</w:t>
      </w:r>
    </w:p>
    <w:p w14:paraId="6FB09F57" w14:textId="77777777" w:rsidR="00BD776B" w:rsidRDefault="00DF0C24">
      <w:pPr>
        <w:ind w:left="798" w:hanging="232"/>
        <w:rPr>
          <w:rFonts w:ascii="標楷體" w:eastAsia="標楷體" w:hAnsi="標楷體"/>
          <w:color w:val="000000"/>
        </w:rPr>
      </w:pPr>
      <w:r>
        <w:rPr>
          <w:rFonts w:ascii="標楷體" w:eastAsia="標楷體" w:hAnsi="標楷體"/>
          <w:color w:val="000000"/>
        </w:rPr>
        <w:t>(4)不可同時使用其他PCSK9血脂調節劑。</w:t>
      </w:r>
    </w:p>
    <w:p w14:paraId="65DDC084" w14:textId="77777777" w:rsidR="00BD776B" w:rsidRDefault="00DF0C24">
      <w:pPr>
        <w:ind w:left="798" w:hanging="232"/>
        <w:rPr>
          <w:rFonts w:ascii="標楷體" w:eastAsia="標楷體" w:hAnsi="標楷體"/>
          <w:color w:val="000000"/>
        </w:rPr>
      </w:pPr>
      <w:r>
        <w:rPr>
          <w:rFonts w:ascii="標楷體" w:eastAsia="標楷體" w:hAnsi="標楷體"/>
          <w:color w:val="000000"/>
        </w:rPr>
        <w:t>2.使用於同合子家族性高膽固醇血症之病人</w:t>
      </w:r>
    </w:p>
    <w:p w14:paraId="072F8829" w14:textId="77777777" w:rsidR="00BD776B" w:rsidRDefault="00DF0C24">
      <w:pPr>
        <w:ind w:left="1049" w:hanging="341"/>
        <w:rPr>
          <w:rFonts w:ascii="標楷體" w:eastAsia="標楷體" w:hAnsi="標楷體"/>
          <w:color w:val="000000"/>
        </w:rPr>
      </w:pPr>
      <w:r>
        <w:rPr>
          <w:rFonts w:ascii="標楷體" w:eastAsia="標楷體" w:hAnsi="標楷體"/>
          <w:color w:val="000000"/>
        </w:rPr>
        <w:t>(1)限經使用最高忍受劑量之statin+ezetimibe合併治療6個月，LDL-C仍高於130mg/dL者，且符合下列各項條件之一患者使用：</w:t>
      </w:r>
    </w:p>
    <w:p w14:paraId="45873834" w14:textId="77777777" w:rsidR="00BD776B" w:rsidRDefault="00DF0C24">
      <w:pPr>
        <w:ind w:left="1289" w:hanging="341"/>
        <w:rPr>
          <w:rFonts w:ascii="標楷體" w:eastAsia="標楷體" w:hAnsi="標楷體"/>
          <w:color w:val="000000"/>
        </w:rPr>
      </w:pPr>
      <w:r>
        <w:rPr>
          <w:rFonts w:ascii="標楷體" w:eastAsia="標楷體" w:hAnsi="標楷體"/>
          <w:color w:val="000000"/>
        </w:rPr>
        <w:lastRenderedPageBreak/>
        <w:t>I.經遺傳基因檢測為同合子基因變異或多重不同基因異常，其作用似同合子基因變異，且確診為同合子家族性高膽固醇血症之患者：依中華民國血脂及動脈硬化學會「臺灣血脂異常防治共識節錄─家族性高膽固醇血症之診斷與治療」之「台灣FH建議診斷標準」評分總和超過8分(108/5/1)。</w:t>
      </w:r>
    </w:p>
    <w:p w14:paraId="6F83FC47" w14:textId="77777777" w:rsidR="00BD776B" w:rsidRDefault="00DF0C24">
      <w:pPr>
        <w:ind w:left="1289" w:hanging="341"/>
        <w:rPr>
          <w:rFonts w:ascii="標楷體" w:eastAsia="標楷體" w:hAnsi="標楷體"/>
          <w:color w:val="000000"/>
        </w:rPr>
      </w:pPr>
      <w:r>
        <w:rPr>
          <w:rFonts w:ascii="標楷體" w:eastAsia="標楷體" w:hAnsi="標楷體"/>
          <w:color w:val="000000"/>
        </w:rPr>
        <w:t>II.經遺傳基因檢測未檢出同合子基因變異或多重不同基因異常之同合子家族性高膽固醇血症患者，至少須符合以下三種臨床徵狀：(108/5/1、109/4/1)</w:t>
      </w:r>
    </w:p>
    <w:p w14:paraId="35722462" w14:textId="77777777" w:rsidR="00BD776B" w:rsidRDefault="00DF0C24">
      <w:pPr>
        <w:tabs>
          <w:tab w:val="left" w:pos="1185"/>
        </w:tabs>
        <w:ind w:left="1771" w:hanging="245"/>
        <w:rPr>
          <w:rFonts w:ascii="標楷體" w:eastAsia="標楷體" w:hAnsi="標楷體"/>
          <w:color w:val="000000"/>
        </w:rPr>
      </w:pPr>
      <w:r>
        <w:rPr>
          <w:rFonts w:ascii="標楷體" w:eastAsia="標楷體" w:hAnsi="標楷體"/>
          <w:color w:val="000000"/>
        </w:rPr>
        <w:t>i.10歲前出現皮膚或肌腱黃色瘤。</w:t>
      </w:r>
    </w:p>
    <w:p w14:paraId="76EA8F5A" w14:textId="77777777" w:rsidR="00BD776B" w:rsidRDefault="00DF0C24">
      <w:pPr>
        <w:tabs>
          <w:tab w:val="left" w:pos="1185"/>
        </w:tabs>
        <w:ind w:left="1771" w:hanging="245"/>
        <w:rPr>
          <w:rFonts w:ascii="標楷體" w:eastAsia="標楷體" w:hAnsi="標楷體"/>
          <w:color w:val="000000"/>
        </w:rPr>
      </w:pPr>
      <w:r>
        <w:rPr>
          <w:rFonts w:ascii="標楷體" w:eastAsia="標楷體" w:hAnsi="標楷體"/>
          <w:color w:val="000000"/>
        </w:rPr>
        <w:t>ii.未經藥物治療之LDL-C&gt;500 mg/dL且經降高血脂藥物治療後&gt;330mg/dL。</w:t>
      </w:r>
    </w:p>
    <w:p w14:paraId="1F8A620A" w14:textId="77777777" w:rsidR="00BD776B" w:rsidRDefault="00DF0C24">
      <w:pPr>
        <w:tabs>
          <w:tab w:val="left" w:pos="1185"/>
        </w:tabs>
        <w:ind w:left="1771" w:hanging="245"/>
        <w:rPr>
          <w:rFonts w:ascii="標楷體" w:eastAsia="標楷體" w:hAnsi="標楷體"/>
          <w:color w:val="000000"/>
        </w:rPr>
      </w:pPr>
      <w:r>
        <w:rPr>
          <w:rFonts w:ascii="標楷體" w:eastAsia="標楷體" w:hAnsi="標楷體"/>
          <w:color w:val="000000"/>
        </w:rPr>
        <w:t>iii.父母有高膽固醇血症(未經藥物治療之TC&gt;250mg/dL)。</w:t>
      </w:r>
    </w:p>
    <w:p w14:paraId="1ADFD44E" w14:textId="77777777" w:rsidR="00BD776B" w:rsidRDefault="00DF0C24">
      <w:pPr>
        <w:tabs>
          <w:tab w:val="left" w:pos="1185"/>
        </w:tabs>
        <w:ind w:left="1771" w:hanging="245"/>
        <w:rPr>
          <w:rFonts w:ascii="標楷體" w:eastAsia="標楷體" w:hAnsi="標楷體"/>
          <w:color w:val="000000"/>
        </w:rPr>
      </w:pPr>
      <w:r>
        <w:rPr>
          <w:rFonts w:ascii="標楷體" w:eastAsia="標楷體" w:hAnsi="標楷體"/>
          <w:color w:val="000000"/>
        </w:rPr>
        <w:t>iv.20歲前發生冠心病。</w:t>
      </w:r>
    </w:p>
    <w:p w14:paraId="17E0706E" w14:textId="77777777" w:rsidR="00BD776B" w:rsidRDefault="00DF0C24">
      <w:pPr>
        <w:ind w:left="1049" w:hanging="341"/>
        <w:rPr>
          <w:rFonts w:ascii="標楷體" w:eastAsia="標楷體" w:hAnsi="標楷體"/>
          <w:color w:val="000000"/>
        </w:rPr>
      </w:pPr>
      <w:r>
        <w:rPr>
          <w:rFonts w:ascii="標楷體" w:eastAsia="標楷體" w:hAnsi="標楷體"/>
          <w:color w:val="000000"/>
        </w:rPr>
        <w:t>(2)需經事前審查核准使用，每次申請之療程以6個月為限。</w:t>
      </w:r>
    </w:p>
    <w:p w14:paraId="1845F95D" w14:textId="77777777" w:rsidR="00BD776B" w:rsidRDefault="00DF0C24">
      <w:pPr>
        <w:ind w:left="1049" w:hanging="341"/>
        <w:rPr>
          <w:rFonts w:ascii="標楷體" w:eastAsia="標楷體" w:hAnsi="標楷體"/>
          <w:color w:val="000000"/>
        </w:rPr>
      </w:pPr>
      <w:r>
        <w:rPr>
          <w:rFonts w:ascii="標楷體" w:eastAsia="標楷體" w:hAnsi="標楷體"/>
          <w:color w:val="000000"/>
        </w:rPr>
        <w:t>(3)使用後需每6個月評估一次LDL-C，若LDL-C連續二次未較治療前降低18%以上，則不予同意再使用。</w:t>
      </w:r>
    </w:p>
    <w:p w14:paraId="4F7C309D" w14:textId="77777777" w:rsidR="00BD776B" w:rsidRDefault="00DF0C24">
      <w:pPr>
        <w:ind w:left="1049" w:hanging="341"/>
        <w:rPr>
          <w:rFonts w:ascii="標楷體" w:eastAsia="標楷體" w:hAnsi="標楷體"/>
          <w:color w:val="000000"/>
        </w:rPr>
      </w:pPr>
      <w:r>
        <w:rPr>
          <w:rFonts w:ascii="標楷體" w:eastAsia="標楷體" w:hAnsi="標楷體"/>
          <w:color w:val="000000"/>
        </w:rPr>
        <w:t>(4)限每4週使用1次，每次最多使用3支，或每2週使用1支。(109/4/1)</w:t>
      </w:r>
    </w:p>
    <w:p w14:paraId="6A61C9FA"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2.6.4.2 Alirocumab(如Praluent) (109/1/1)：</w:t>
      </w:r>
    </w:p>
    <w:p w14:paraId="448E7EF2" w14:textId="77777777" w:rsidR="00BD776B" w:rsidRDefault="00DF0C24">
      <w:pPr>
        <w:snapToGrid w:val="0"/>
        <w:ind w:left="912" w:hanging="386"/>
        <w:rPr>
          <w:rFonts w:ascii="標楷體" w:eastAsia="標楷體" w:hAnsi="標楷體"/>
          <w:color w:val="000000"/>
        </w:rPr>
      </w:pPr>
      <w:r>
        <w:rPr>
          <w:rFonts w:ascii="標楷體" w:eastAsia="標楷體" w:hAnsi="標楷體"/>
          <w:color w:val="000000"/>
        </w:rPr>
        <w:t>限使用於發生重大心血管事件之病人：</w:t>
      </w:r>
    </w:p>
    <w:p w14:paraId="29A8DECF" w14:textId="77777777" w:rsidR="00BD776B" w:rsidRDefault="00DF0C24">
      <w:pPr>
        <w:snapToGrid w:val="0"/>
        <w:ind w:left="912" w:hanging="386"/>
        <w:rPr>
          <w:rFonts w:ascii="標楷體" w:eastAsia="標楷體" w:hAnsi="標楷體"/>
          <w:color w:val="000000"/>
        </w:rPr>
      </w:pPr>
      <w:r>
        <w:rPr>
          <w:rFonts w:ascii="標楷體" w:eastAsia="標楷體" w:hAnsi="標楷體"/>
          <w:color w:val="000000"/>
        </w:rPr>
        <w:t>1.須經事前審查核准後使用（請詳附表二-D），每次申請得核准使用6個月，再次申請須檢附評估報告，若血中LDL-C較本藥物開始使用前下降程度未達30%，即屬療效不佳，則不再給付。</w:t>
      </w:r>
    </w:p>
    <w:p w14:paraId="4E787D52" w14:textId="77777777" w:rsidR="00BD776B" w:rsidRDefault="00DF0C24">
      <w:pPr>
        <w:snapToGrid w:val="0"/>
        <w:ind w:left="912" w:hanging="386"/>
        <w:rPr>
          <w:rFonts w:ascii="標楷體" w:eastAsia="標楷體" w:hAnsi="標楷體"/>
          <w:color w:val="000000"/>
        </w:rPr>
      </w:pPr>
      <w:r>
        <w:rPr>
          <w:rFonts w:ascii="標楷體" w:eastAsia="標楷體" w:hAnsi="標楷體"/>
          <w:color w:val="000000"/>
        </w:rPr>
        <w:t>2.限給付於發生重大心血管事件之後一年內且使用最大耐受劑量statin之病人，如心肌梗塞、接受冠狀動脈或其他動脈血管再通術 (revascularization)、動脈硬化相關之缺血性腦中風等之動脈粥狀硬化心血管疾病之成人病人，且符合下列條件之一者：</w:t>
      </w:r>
    </w:p>
    <w:p w14:paraId="7F6C8F9F" w14:textId="77777777" w:rsidR="00BD776B" w:rsidRDefault="00DF0C24">
      <w:pPr>
        <w:snapToGrid w:val="0"/>
        <w:ind w:left="1152" w:hanging="386"/>
        <w:rPr>
          <w:rFonts w:ascii="標楷體" w:eastAsia="標楷體" w:hAnsi="標楷體"/>
          <w:color w:val="000000"/>
        </w:rPr>
      </w:pPr>
      <w:r>
        <w:rPr>
          <w:rFonts w:ascii="標楷體" w:eastAsia="標楷體" w:hAnsi="標楷體"/>
          <w:color w:val="000000"/>
        </w:rPr>
        <w:t>(1)經使用高強度statin (如 rosuvastatin 20mg 或atorvastatin 40 mg(含)以上)或病人可耐受之最大劑量的statin三個月(含)以上且之後再合併使用ezetimibe 10 mg 三個月(含)以上，LDL-C 仍高於135 mg/dL者。</w:t>
      </w:r>
    </w:p>
    <w:p w14:paraId="02CEC8FE" w14:textId="77777777" w:rsidR="00BD776B" w:rsidRDefault="00DF0C24">
      <w:pPr>
        <w:snapToGrid w:val="0"/>
        <w:ind w:left="1152" w:hanging="386"/>
        <w:rPr>
          <w:rFonts w:ascii="標楷體" w:eastAsia="標楷體" w:hAnsi="標楷體"/>
          <w:color w:val="000000"/>
        </w:rPr>
      </w:pPr>
      <w:r>
        <w:rPr>
          <w:rFonts w:ascii="標楷體" w:eastAsia="標楷體" w:hAnsi="標楷體"/>
          <w:color w:val="000000"/>
        </w:rPr>
        <w:t>(2)對statin有禁忌症或確診為對statin不耐受之病人，經其他降血脂藥物(至少需有ezetimibe 10 mg)持續治療3個月，LDL-C仍高於135 mg/dL者。</w:t>
      </w:r>
    </w:p>
    <w:p w14:paraId="5201600F" w14:textId="77777777" w:rsidR="00BD776B" w:rsidRDefault="00DF0C24">
      <w:pPr>
        <w:snapToGrid w:val="0"/>
        <w:ind w:left="912" w:hanging="386"/>
        <w:rPr>
          <w:rFonts w:ascii="標楷體" w:eastAsia="標楷體" w:hAnsi="標楷體"/>
          <w:color w:val="000000"/>
        </w:rPr>
      </w:pPr>
      <w:r>
        <w:rPr>
          <w:rFonts w:ascii="標楷體" w:eastAsia="標楷體" w:hAnsi="標楷體"/>
          <w:color w:val="000000"/>
        </w:rPr>
        <w:t>3.最高劑量為每兩週使用1支。</w:t>
      </w:r>
    </w:p>
    <w:p w14:paraId="19CF0A9A" w14:textId="77777777" w:rsidR="00BD776B" w:rsidRDefault="00DF0C24">
      <w:pPr>
        <w:snapToGrid w:val="0"/>
        <w:ind w:left="912" w:hanging="386"/>
        <w:rPr>
          <w:rFonts w:ascii="標楷體" w:eastAsia="標楷體" w:hAnsi="標楷體"/>
          <w:color w:val="000000"/>
        </w:rPr>
      </w:pPr>
      <w:r>
        <w:rPr>
          <w:rFonts w:ascii="標楷體" w:eastAsia="標楷體" w:hAnsi="標楷體"/>
          <w:color w:val="000000"/>
        </w:rPr>
        <w:t>4.不可同時使用其他PCSK9血脂調節劑。</w:t>
      </w:r>
    </w:p>
    <w:p w14:paraId="36D676AF" w14:textId="77777777" w:rsidR="00BD776B" w:rsidRDefault="00DF0C24">
      <w:pPr>
        <w:ind w:left="672" w:hanging="386"/>
        <w:rPr>
          <w:rFonts w:ascii="標楷體" w:eastAsia="標楷體" w:hAnsi="標楷體"/>
          <w:color w:val="000000"/>
        </w:rPr>
      </w:pPr>
      <w:r>
        <w:rPr>
          <w:rFonts w:ascii="標楷體" w:eastAsia="標楷體" w:hAnsi="標楷體"/>
          <w:color w:val="000000"/>
        </w:rPr>
        <w:t>2.7.乙型擬交感神經阻斷劑Beta blocking agents：metoprolol succinate 23.75mg（如Betaloc ZOK 25mg）(93/5/1)</w:t>
      </w:r>
    </w:p>
    <w:p w14:paraId="5C93EF04" w14:textId="77777777" w:rsidR="00BD776B" w:rsidRDefault="00DF0C24">
      <w:pPr>
        <w:ind w:left="798" w:hanging="1"/>
        <w:rPr>
          <w:rFonts w:ascii="標楷體" w:eastAsia="標楷體" w:hAnsi="標楷體"/>
          <w:color w:val="000000"/>
        </w:rPr>
      </w:pPr>
      <w:r>
        <w:rPr>
          <w:rFonts w:ascii="標楷體" w:eastAsia="標楷體" w:hAnsi="標楷體"/>
          <w:color w:val="000000"/>
        </w:rPr>
        <w:t>限用於慢性心衰竭病患。</w:t>
      </w:r>
    </w:p>
    <w:p w14:paraId="32454552" w14:textId="77777777" w:rsidR="00BD776B" w:rsidRDefault="00DF0C24">
      <w:pPr>
        <w:ind w:left="672" w:hanging="386"/>
        <w:rPr>
          <w:rFonts w:ascii="標楷體" w:eastAsia="標楷體" w:hAnsi="標楷體"/>
          <w:color w:val="000000"/>
        </w:rPr>
      </w:pPr>
      <w:r>
        <w:rPr>
          <w:rFonts w:ascii="標楷體" w:eastAsia="標楷體" w:hAnsi="標楷體"/>
          <w:color w:val="000000"/>
        </w:rPr>
        <w:t>2.8.其他  Miscellaneous</w:t>
      </w:r>
    </w:p>
    <w:p w14:paraId="26811E9A" w14:textId="77777777" w:rsidR="00BD776B" w:rsidRDefault="00DF0C24">
      <w:pPr>
        <w:ind w:left="672" w:hanging="386"/>
        <w:rPr>
          <w:rFonts w:ascii="標楷體" w:eastAsia="標楷體" w:hAnsi="標楷體"/>
          <w:color w:val="000000"/>
        </w:rPr>
      </w:pPr>
      <w:r>
        <w:rPr>
          <w:rFonts w:ascii="標楷體" w:eastAsia="標楷體" w:hAnsi="標楷體"/>
          <w:color w:val="000000"/>
        </w:rPr>
        <w:t>2.8.1.腦循環改善劑、腦代謝改善劑及血球流變改善劑：(87/4/1)</w:t>
      </w:r>
    </w:p>
    <w:p w14:paraId="427FBC2F" w14:textId="77777777" w:rsidR="00BD776B" w:rsidRDefault="00DF0C24">
      <w:pPr>
        <w:ind w:left="798" w:hanging="1"/>
        <w:rPr>
          <w:rFonts w:ascii="標楷體" w:eastAsia="標楷體" w:hAnsi="標楷體"/>
          <w:color w:val="000000"/>
        </w:rPr>
      </w:pPr>
      <w:r>
        <w:rPr>
          <w:rFonts w:ascii="標楷體" w:eastAsia="標楷體" w:hAnsi="標楷體"/>
          <w:color w:val="000000"/>
        </w:rPr>
        <w:t>因治療上需要使用腦循環改善劑或腦代謝改善劑或血球流變改善劑時，最多使用一類，且需檢附相關之紀錄或報告，並於病歷上詳細記載。</w:t>
      </w:r>
    </w:p>
    <w:p w14:paraId="3963206E" w14:textId="624FF767" w:rsidR="00BD776B" w:rsidRDefault="00DF0C24">
      <w:pPr>
        <w:ind w:left="672" w:hanging="386"/>
        <w:rPr>
          <w:rFonts w:ascii="標楷體" w:eastAsia="標楷體" w:hAnsi="標楷體"/>
          <w:color w:val="000000"/>
        </w:rPr>
      </w:pPr>
      <w:r>
        <w:rPr>
          <w:rFonts w:ascii="標楷體" w:eastAsia="標楷體" w:hAnsi="標楷體"/>
          <w:color w:val="000000"/>
        </w:rPr>
        <w:t>2.</w:t>
      </w:r>
      <w:r w:rsidR="00D17574">
        <w:rPr>
          <w:rFonts w:ascii="標楷體" w:eastAsia="標楷體" w:hAnsi="標楷體" w:hint="eastAsia"/>
          <w:color w:val="000000"/>
        </w:rPr>
        <w:t>3</w:t>
      </w:r>
      <w:r>
        <w:rPr>
          <w:rFonts w:ascii="標楷體" w:eastAsia="標楷體" w:hAnsi="標楷體"/>
          <w:color w:val="000000"/>
        </w:rPr>
        <w:t>肺動脈高血壓治療劑(95/1/1、97/6/1、98/12/1、99/11/1、100/4/1、103/7/1、104/6/1、104/8/1、108/5/1)：</w:t>
      </w:r>
    </w:p>
    <w:p w14:paraId="2ADFEF22" w14:textId="77777777" w:rsidR="00BD776B" w:rsidRDefault="00DF0C24">
      <w:pPr>
        <w:ind w:left="798" w:hanging="1"/>
        <w:rPr>
          <w:rFonts w:ascii="標楷體" w:eastAsia="標楷體" w:hAnsi="標楷體"/>
          <w:color w:val="000000"/>
        </w:rPr>
      </w:pPr>
      <w:r>
        <w:rPr>
          <w:rFonts w:ascii="標楷體" w:eastAsia="標楷體" w:hAnsi="標楷體"/>
          <w:color w:val="000000"/>
        </w:rPr>
        <w:t>此類藥物原則上不得併用，惟符合下列之一情況者，得經事前審查核准通過接受合併治療：</w:t>
      </w:r>
    </w:p>
    <w:p w14:paraId="6BE5B6A7" w14:textId="77777777" w:rsidR="00BD776B" w:rsidRDefault="00DF0C24">
      <w:pPr>
        <w:ind w:left="798" w:hanging="231"/>
        <w:rPr>
          <w:rFonts w:ascii="標楷體" w:eastAsia="標楷體" w:hAnsi="標楷體"/>
          <w:color w:val="000000"/>
        </w:rPr>
      </w:pPr>
      <w:r>
        <w:rPr>
          <w:rFonts w:ascii="標楷體" w:eastAsia="標楷體" w:hAnsi="標楷體"/>
          <w:color w:val="000000"/>
        </w:rPr>
        <w:lastRenderedPageBreak/>
        <w:t>1.WHO Functional Class III及IV嚴重且危及生命之原發性肺動脈高血壓患者，使用單一藥物治療成效不佳時。</w:t>
      </w:r>
    </w:p>
    <w:p w14:paraId="669D138F" w14:textId="77777777" w:rsidR="00BD776B" w:rsidRDefault="00DF0C24">
      <w:pPr>
        <w:ind w:left="780" w:hanging="216"/>
        <w:rPr>
          <w:rFonts w:ascii="標楷體" w:eastAsia="標楷體" w:hAnsi="標楷體"/>
          <w:color w:val="000000"/>
        </w:rPr>
      </w:pPr>
      <w:r>
        <w:rPr>
          <w:rFonts w:ascii="標楷體" w:eastAsia="標楷體" w:hAnsi="標楷體"/>
          <w:color w:val="000000"/>
        </w:rPr>
        <w:t>2.WHO Functional Class III之先天性心臟病續發肺動脈高血壓患者，使用單一藥物治療三個月後成效不佳時。（104/8/1）</w:t>
      </w:r>
    </w:p>
    <w:p w14:paraId="33044E8F" w14:textId="77777777" w:rsidR="00BD776B" w:rsidRDefault="00DF0C24">
      <w:pPr>
        <w:ind w:left="672" w:hanging="386"/>
        <w:rPr>
          <w:rFonts w:ascii="標楷體" w:eastAsia="標楷體" w:hAnsi="標楷體"/>
          <w:color w:val="000000"/>
        </w:rPr>
      </w:pPr>
      <w:r>
        <w:rPr>
          <w:rFonts w:ascii="標楷體" w:eastAsia="標楷體" w:hAnsi="標楷體"/>
          <w:color w:val="000000"/>
        </w:rPr>
        <w:t>2.8.2.1.Iloprost (如Ventavis、 Ilomedin-20)：(95/1/1、99/11/1、100/4/1)</w:t>
      </w:r>
    </w:p>
    <w:p w14:paraId="47469638" w14:textId="77777777" w:rsidR="00BD776B" w:rsidRDefault="00DF0C24">
      <w:pPr>
        <w:ind w:left="811" w:hanging="245"/>
        <w:rPr>
          <w:rFonts w:ascii="標楷體" w:eastAsia="標楷體" w:hAnsi="標楷體"/>
          <w:color w:val="000000"/>
        </w:rPr>
      </w:pPr>
      <w:r>
        <w:rPr>
          <w:rFonts w:ascii="標楷體" w:eastAsia="標楷體" w:hAnsi="標楷體"/>
          <w:color w:val="000000"/>
        </w:rPr>
        <w:t>1.吸入劑：限用於原發性肺動脈高血壓之治療。</w:t>
      </w:r>
    </w:p>
    <w:p w14:paraId="79FDCD1D" w14:textId="77777777" w:rsidR="00BD776B" w:rsidRDefault="00DF0C24">
      <w:pPr>
        <w:ind w:left="811" w:hanging="245"/>
        <w:rPr>
          <w:rFonts w:ascii="標楷體" w:eastAsia="標楷體" w:hAnsi="標楷體"/>
          <w:color w:val="000000"/>
        </w:rPr>
      </w:pPr>
      <w:r>
        <w:rPr>
          <w:rFonts w:ascii="標楷體" w:eastAsia="標楷體" w:hAnsi="標楷體"/>
          <w:color w:val="000000"/>
        </w:rPr>
        <w:t>2.輸注液：限用於原發性肺動脈高血壓且合併右心室衰竭嚴重度高於class III。</w:t>
      </w:r>
    </w:p>
    <w:p w14:paraId="18B2CB85" w14:textId="77777777" w:rsidR="00BD776B" w:rsidRDefault="00DF0C24">
      <w:pPr>
        <w:ind w:left="811" w:hanging="245"/>
        <w:rPr>
          <w:rFonts w:ascii="標楷體" w:eastAsia="標楷體" w:hAnsi="標楷體"/>
          <w:color w:val="000000"/>
        </w:rPr>
      </w:pPr>
      <w:r>
        <w:rPr>
          <w:rFonts w:ascii="標楷體" w:eastAsia="標楷體" w:hAnsi="標楷體"/>
          <w:color w:val="000000"/>
        </w:rPr>
        <w:t>3.需經事前審查核准後使用。</w:t>
      </w:r>
    </w:p>
    <w:p w14:paraId="1E367C12" w14:textId="77777777" w:rsidR="00BD776B" w:rsidRDefault="00DF0C24">
      <w:pPr>
        <w:ind w:left="672" w:hanging="386"/>
        <w:rPr>
          <w:rFonts w:ascii="標楷體" w:eastAsia="標楷體" w:hAnsi="標楷體"/>
          <w:color w:val="000000"/>
        </w:rPr>
      </w:pPr>
      <w:r>
        <w:rPr>
          <w:rFonts w:ascii="標楷體" w:eastAsia="標楷體" w:hAnsi="標楷體"/>
          <w:color w:val="000000"/>
        </w:rPr>
        <w:t>2.8.2.2.Sildenafil (如Revatio)：(97/6/1、100/4/1、102/8/1)</w:t>
      </w:r>
    </w:p>
    <w:p w14:paraId="2B426E58" w14:textId="77777777" w:rsidR="00BD776B" w:rsidRDefault="00DF0C24">
      <w:pPr>
        <w:ind w:left="811" w:hanging="245"/>
        <w:rPr>
          <w:rFonts w:ascii="標楷體" w:eastAsia="標楷體" w:hAnsi="標楷體"/>
          <w:color w:val="000000"/>
        </w:rPr>
      </w:pPr>
      <w:r>
        <w:rPr>
          <w:rFonts w:ascii="標楷體" w:eastAsia="標楷體" w:hAnsi="標楷體"/>
          <w:color w:val="000000"/>
        </w:rPr>
        <w:t>1.用於原發性肺動脈高血壓、結締組織病變導致之肺動脈高血壓或先天性心臟病併發之肺動脈高血壓(Eisenmenger 症候群)運動能力差 (WHO Functional Class III及IV) 患者。(102/8/1)。</w:t>
      </w:r>
    </w:p>
    <w:p w14:paraId="2E8FFB77" w14:textId="77777777" w:rsidR="00BD776B" w:rsidRDefault="00DF0C24">
      <w:pPr>
        <w:ind w:left="811" w:hanging="245"/>
        <w:rPr>
          <w:rFonts w:ascii="標楷體" w:eastAsia="標楷體" w:hAnsi="標楷體"/>
          <w:color w:val="000000"/>
        </w:rPr>
      </w:pPr>
      <w:r>
        <w:rPr>
          <w:rFonts w:ascii="標楷體" w:eastAsia="標楷體" w:hAnsi="標楷體"/>
          <w:color w:val="000000"/>
        </w:rPr>
        <w:t>2.不得與任何有機硝酸鹽藥物合併使用。</w:t>
      </w:r>
    </w:p>
    <w:p w14:paraId="64AEC15F" w14:textId="77777777" w:rsidR="00BD776B" w:rsidRDefault="00DF0C24">
      <w:pPr>
        <w:ind w:left="672" w:hanging="386"/>
        <w:rPr>
          <w:rFonts w:ascii="標楷體" w:eastAsia="標楷體" w:hAnsi="標楷體"/>
          <w:color w:val="000000"/>
        </w:rPr>
      </w:pPr>
      <w:r>
        <w:rPr>
          <w:rFonts w:ascii="標楷體" w:eastAsia="標楷體" w:hAnsi="標楷體"/>
          <w:color w:val="000000"/>
        </w:rPr>
        <w:t>2.8.2.3.Ambrisentan（如Volibris）（98/12/1、103/7/1、104/8/1、107/12/1)：</w:t>
      </w:r>
    </w:p>
    <w:p w14:paraId="1F3D3BBF"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1.限用於原發性肺動脈高血壓之治療。</w:t>
      </w:r>
    </w:p>
    <w:p w14:paraId="0B29C6E3" w14:textId="77777777" w:rsidR="00BD776B" w:rsidRDefault="00DF0C24">
      <w:pPr>
        <w:ind w:left="811" w:hanging="245"/>
        <w:rPr>
          <w:rFonts w:ascii="標楷體" w:eastAsia="標楷體" w:hAnsi="標楷體"/>
          <w:color w:val="000000"/>
        </w:rPr>
      </w:pPr>
      <w:r>
        <w:rPr>
          <w:rFonts w:ascii="標楷體" w:eastAsia="標楷體" w:hAnsi="標楷體"/>
          <w:color w:val="000000"/>
        </w:rPr>
        <w:t>2.需經事前審查核准後使用。</w:t>
      </w:r>
    </w:p>
    <w:p w14:paraId="5CBFA44A" w14:textId="77777777" w:rsidR="00BD776B" w:rsidRDefault="00DF0C24">
      <w:pPr>
        <w:ind w:left="811" w:hanging="245"/>
        <w:rPr>
          <w:rFonts w:ascii="標楷體" w:eastAsia="標楷體" w:hAnsi="標楷體"/>
          <w:color w:val="000000"/>
        </w:rPr>
      </w:pPr>
      <w:r>
        <w:rPr>
          <w:rFonts w:ascii="標楷體" w:eastAsia="標楷體" w:hAnsi="標楷體"/>
          <w:color w:val="000000"/>
        </w:rPr>
        <w:t>3.每次限用1粒。</w:t>
      </w:r>
    </w:p>
    <w:p w14:paraId="3F0EA311" w14:textId="77777777" w:rsidR="00BD776B" w:rsidRDefault="00DF0C24">
      <w:pPr>
        <w:ind w:left="283"/>
        <w:rPr>
          <w:rFonts w:ascii="標楷體" w:eastAsia="標楷體" w:hAnsi="標楷體"/>
          <w:color w:val="000000"/>
        </w:rPr>
      </w:pPr>
      <w:r>
        <w:rPr>
          <w:rFonts w:ascii="標楷體" w:eastAsia="標楷體" w:hAnsi="標楷體"/>
          <w:color w:val="000000"/>
        </w:rPr>
        <w:t>2.8.2.4.Riociguat（如Adempas）(104/6/1）：</w:t>
      </w:r>
    </w:p>
    <w:p w14:paraId="2F92AA81" w14:textId="77777777" w:rsidR="00BD776B" w:rsidRDefault="00DF0C24">
      <w:pPr>
        <w:ind w:left="566"/>
        <w:rPr>
          <w:rFonts w:ascii="標楷體" w:eastAsia="標楷體" w:hAnsi="標楷體"/>
          <w:color w:val="000000"/>
        </w:rPr>
      </w:pPr>
      <w:r>
        <w:rPr>
          <w:rFonts w:ascii="標楷體" w:eastAsia="標楷體" w:hAnsi="標楷體"/>
          <w:color w:val="000000"/>
        </w:rPr>
        <w:t>1.限用於</w:t>
      </w:r>
    </w:p>
    <w:p w14:paraId="28A3DCD9" w14:textId="77777777" w:rsidR="00BD776B" w:rsidRDefault="00DF0C24">
      <w:pPr>
        <w:ind w:left="1078" w:hanging="370"/>
        <w:rPr>
          <w:rFonts w:ascii="標楷體" w:eastAsia="標楷體" w:hAnsi="標楷體"/>
          <w:color w:val="000000"/>
        </w:rPr>
      </w:pPr>
      <w:r>
        <w:rPr>
          <w:rFonts w:ascii="標楷體" w:eastAsia="標楷體" w:hAnsi="標楷體"/>
          <w:color w:val="000000"/>
        </w:rPr>
        <w:t>(1)原發性肺動脈高血壓之治療。</w:t>
      </w:r>
    </w:p>
    <w:p w14:paraId="315C3D56" w14:textId="77777777" w:rsidR="00BD776B" w:rsidRDefault="00DF0C24">
      <w:pPr>
        <w:ind w:left="1078" w:hanging="370"/>
        <w:rPr>
          <w:rFonts w:ascii="標楷體" w:eastAsia="標楷體" w:hAnsi="標楷體"/>
          <w:color w:val="000000"/>
        </w:rPr>
      </w:pPr>
      <w:r>
        <w:rPr>
          <w:rFonts w:ascii="標楷體" w:eastAsia="標楷體" w:hAnsi="標楷體"/>
          <w:color w:val="000000"/>
        </w:rPr>
        <w:t>(2)無法手術或術後仍持續發生或復發、肺功能分級為WHO第II 級到第III 級的慢性血栓栓塞性肺高壓 (CTEPH，chronic thromboembolic pulmonary hypertension)之成年患者。</w:t>
      </w:r>
    </w:p>
    <w:p w14:paraId="3AA9D12D" w14:textId="77777777" w:rsidR="00BD776B" w:rsidRDefault="00DF0C24">
      <w:pPr>
        <w:ind w:left="566"/>
        <w:rPr>
          <w:rFonts w:ascii="標楷體" w:eastAsia="標楷體" w:hAnsi="標楷體"/>
          <w:color w:val="000000"/>
        </w:rPr>
      </w:pPr>
      <w:r>
        <w:rPr>
          <w:rFonts w:ascii="標楷體" w:eastAsia="標楷體" w:hAnsi="標楷體"/>
          <w:color w:val="000000"/>
        </w:rPr>
        <w:t>2.需經事前審查核准後使用。</w:t>
      </w:r>
    </w:p>
    <w:p w14:paraId="1FCA8963" w14:textId="77777777" w:rsidR="00BD776B" w:rsidRDefault="00DF0C24">
      <w:pPr>
        <w:ind w:left="566"/>
        <w:rPr>
          <w:rFonts w:ascii="標楷體" w:eastAsia="標楷體" w:hAnsi="標楷體"/>
          <w:color w:val="000000"/>
        </w:rPr>
      </w:pPr>
      <w:r>
        <w:rPr>
          <w:rFonts w:ascii="標楷體" w:eastAsia="標楷體" w:hAnsi="標楷體"/>
          <w:color w:val="000000"/>
        </w:rPr>
        <w:t>3.每次限用1粒。</w:t>
      </w:r>
    </w:p>
    <w:p w14:paraId="38054CDE" w14:textId="77777777" w:rsidR="00BD776B" w:rsidRDefault="00DF0C24">
      <w:pPr>
        <w:ind w:left="284"/>
        <w:rPr>
          <w:rFonts w:ascii="標楷體" w:eastAsia="標楷體" w:hAnsi="標楷體"/>
          <w:color w:val="000000"/>
        </w:rPr>
      </w:pPr>
      <w:r>
        <w:rPr>
          <w:rFonts w:ascii="標楷體" w:eastAsia="標楷體" w:hAnsi="標楷體"/>
          <w:color w:val="000000"/>
        </w:rPr>
        <w:t>2.8.2.5.Bosentan（如Tracleer）（98/12/1、103/7/1、104/8/1）：</w:t>
      </w:r>
    </w:p>
    <w:p w14:paraId="3E62B970" w14:textId="77777777" w:rsidR="00BD776B" w:rsidRDefault="00DF0C24">
      <w:pPr>
        <w:ind w:left="849" w:hanging="283"/>
        <w:rPr>
          <w:rFonts w:ascii="標楷體" w:eastAsia="標楷體" w:hAnsi="標楷體"/>
          <w:color w:val="000000"/>
        </w:rPr>
      </w:pPr>
      <w:r>
        <w:rPr>
          <w:rFonts w:ascii="標楷體" w:eastAsia="標楷體" w:hAnsi="標楷體"/>
          <w:color w:val="000000"/>
        </w:rPr>
        <w:t>1.用於原發性肺動脈高血壓。</w:t>
      </w:r>
    </w:p>
    <w:p w14:paraId="6C70E0E4" w14:textId="77777777" w:rsidR="00BD776B" w:rsidRDefault="00DF0C24">
      <w:pPr>
        <w:ind w:left="849" w:hanging="283"/>
        <w:rPr>
          <w:rFonts w:ascii="標楷體" w:eastAsia="標楷體" w:hAnsi="標楷體"/>
          <w:color w:val="000000"/>
        </w:rPr>
      </w:pPr>
      <w:r>
        <w:rPr>
          <w:rFonts w:ascii="標楷體" w:eastAsia="標楷體" w:hAnsi="標楷體"/>
          <w:color w:val="000000"/>
        </w:rPr>
        <w:t>2.用於因先天性心臟病續發WHO Functional Class III肺動脈高血壓(伴隨先天性Systemic-to-pulmonary shunts與Eisenmenger physiology)。</w:t>
      </w:r>
    </w:p>
    <w:p w14:paraId="4170778D" w14:textId="77777777" w:rsidR="00BD776B" w:rsidRDefault="00DF0C24">
      <w:pPr>
        <w:ind w:left="849" w:hanging="283"/>
        <w:rPr>
          <w:rFonts w:ascii="標楷體" w:eastAsia="標楷體" w:hAnsi="標楷體"/>
          <w:color w:val="000000"/>
        </w:rPr>
      </w:pPr>
      <w:r>
        <w:rPr>
          <w:rFonts w:ascii="標楷體" w:eastAsia="標楷體" w:hAnsi="標楷體"/>
          <w:color w:val="000000"/>
        </w:rPr>
        <w:t>3.需經事前審查核准後使用。</w:t>
      </w:r>
    </w:p>
    <w:p w14:paraId="12A72548" w14:textId="77777777" w:rsidR="00BD776B" w:rsidRDefault="00DF0C24">
      <w:pPr>
        <w:ind w:left="849" w:hanging="283"/>
        <w:rPr>
          <w:rFonts w:ascii="標楷體" w:eastAsia="標楷體" w:hAnsi="標楷體"/>
          <w:color w:val="000000"/>
        </w:rPr>
      </w:pPr>
      <w:r>
        <w:rPr>
          <w:rFonts w:ascii="標楷體" w:eastAsia="標楷體" w:hAnsi="標楷體"/>
          <w:color w:val="000000"/>
        </w:rPr>
        <w:t>4.每次限用1粒。</w:t>
      </w:r>
    </w:p>
    <w:p w14:paraId="314DF274" w14:textId="77777777" w:rsidR="00BD776B" w:rsidRDefault="00DF0C24">
      <w:pPr>
        <w:ind w:left="284"/>
        <w:rPr>
          <w:rFonts w:ascii="標楷體" w:eastAsia="標楷體" w:hAnsi="標楷體"/>
          <w:color w:val="000000"/>
        </w:rPr>
      </w:pPr>
      <w:r>
        <w:rPr>
          <w:rFonts w:ascii="標楷體" w:eastAsia="標楷體" w:hAnsi="標楷體"/>
          <w:color w:val="000000"/>
        </w:rPr>
        <w:t>2.8.2.6.Macitentan（如Opsumit）（107/12/1)：</w:t>
      </w:r>
    </w:p>
    <w:p w14:paraId="165B27EE" w14:textId="77777777" w:rsidR="00BD776B" w:rsidRDefault="00DF0C24">
      <w:pPr>
        <w:ind w:left="849" w:hanging="283"/>
        <w:rPr>
          <w:rFonts w:ascii="標楷體" w:eastAsia="標楷體" w:hAnsi="標楷體"/>
          <w:color w:val="000000"/>
        </w:rPr>
      </w:pPr>
      <w:r>
        <w:rPr>
          <w:rFonts w:ascii="標楷體" w:eastAsia="標楷體" w:hAnsi="標楷體"/>
          <w:color w:val="000000"/>
        </w:rPr>
        <w:t>1.用於原發性肺動脈高血壓：</w:t>
      </w:r>
    </w:p>
    <w:p w14:paraId="42179C7E" w14:textId="77777777" w:rsidR="00BD776B" w:rsidRDefault="00DF0C24">
      <w:pPr>
        <w:ind w:left="1078" w:hanging="370"/>
        <w:rPr>
          <w:rFonts w:ascii="標楷體" w:eastAsia="標楷體" w:hAnsi="標楷體"/>
          <w:color w:val="000000"/>
        </w:rPr>
      </w:pPr>
      <w:r>
        <w:rPr>
          <w:rFonts w:ascii="標楷體" w:eastAsia="標楷體" w:hAnsi="標楷體"/>
          <w:color w:val="000000"/>
        </w:rPr>
        <w:t>(1)需經事前審查核准使用。</w:t>
      </w:r>
    </w:p>
    <w:p w14:paraId="1EDB6F1C" w14:textId="77777777" w:rsidR="00BD776B" w:rsidRDefault="00DF0C24">
      <w:pPr>
        <w:ind w:left="1078" w:hanging="370"/>
        <w:rPr>
          <w:rFonts w:ascii="標楷體" w:eastAsia="標楷體" w:hAnsi="標楷體"/>
          <w:color w:val="000000"/>
        </w:rPr>
      </w:pPr>
      <w:r>
        <w:rPr>
          <w:rFonts w:ascii="標楷體" w:eastAsia="標楷體" w:hAnsi="標楷體"/>
          <w:color w:val="000000"/>
        </w:rPr>
        <w:t>(2)每日限用1粒。</w:t>
      </w:r>
    </w:p>
    <w:p w14:paraId="634236C6" w14:textId="77777777" w:rsidR="00BD776B" w:rsidRDefault="00DF0C24">
      <w:pPr>
        <w:ind w:left="849" w:hanging="283"/>
        <w:rPr>
          <w:rFonts w:ascii="標楷體" w:eastAsia="標楷體" w:hAnsi="標楷體"/>
          <w:color w:val="000000"/>
        </w:rPr>
      </w:pPr>
      <w:r>
        <w:rPr>
          <w:rFonts w:ascii="標楷體" w:eastAsia="標楷體" w:hAnsi="標楷體"/>
          <w:color w:val="000000"/>
        </w:rPr>
        <w:t>2.用於結締組織病變導致之肺動脈高血壓：</w:t>
      </w:r>
    </w:p>
    <w:p w14:paraId="7E3C2D35" w14:textId="77777777" w:rsidR="00BD776B" w:rsidRDefault="00DF0C24">
      <w:pPr>
        <w:ind w:left="1078" w:hanging="370"/>
        <w:rPr>
          <w:rFonts w:ascii="標楷體" w:eastAsia="標楷體" w:hAnsi="標楷體"/>
          <w:color w:val="000000"/>
        </w:rPr>
      </w:pPr>
      <w:r>
        <w:rPr>
          <w:rFonts w:ascii="標楷體" w:eastAsia="標楷體" w:hAnsi="標楷體"/>
          <w:color w:val="000000"/>
        </w:rPr>
        <w:t>(1)限符合下列各項條件之病患使用：</w:t>
      </w:r>
    </w:p>
    <w:p w14:paraId="659F3DF1" w14:textId="77777777" w:rsidR="00BD776B" w:rsidRDefault="00DF0C24">
      <w:pPr>
        <w:ind w:left="1318" w:hanging="370"/>
        <w:rPr>
          <w:rFonts w:ascii="標楷體" w:eastAsia="標楷體" w:hAnsi="標楷體"/>
          <w:color w:val="000000"/>
        </w:rPr>
      </w:pPr>
      <w:r>
        <w:rPr>
          <w:rFonts w:ascii="標楷體" w:eastAsia="標楷體" w:hAnsi="標楷體"/>
          <w:color w:val="000000"/>
        </w:rPr>
        <w:t>Ⅰ.經右心導管檢查，證實確實符合肺動脈高血壓之診斷。</w:t>
      </w:r>
    </w:p>
    <w:p w14:paraId="291831C6" w14:textId="77777777" w:rsidR="00BD776B" w:rsidRDefault="00DF0C24">
      <w:pPr>
        <w:ind w:left="1318" w:hanging="370"/>
        <w:rPr>
          <w:rFonts w:ascii="標楷體" w:eastAsia="標楷體" w:hAnsi="標楷體"/>
          <w:color w:val="000000"/>
        </w:rPr>
      </w:pPr>
      <w:r>
        <w:rPr>
          <w:rFonts w:ascii="標楷體" w:eastAsia="標楷體" w:hAnsi="標楷體"/>
          <w:color w:val="000000"/>
        </w:rPr>
        <w:t>Ⅱ.結締組織病變導致之肺動脈高血壓成年患者(須經肺動脈高血壓相關檢查，如肺功能、高解析胸部電腦斷層、肺部通氣及灌流核醫掃瞄、血液檢查、心臟超音波檢查、或六分鐘走路測試等排除其他病因)，且使用現有</w:t>
      </w:r>
      <w:r>
        <w:rPr>
          <w:rFonts w:ascii="標楷體" w:eastAsia="標楷體" w:hAnsi="標楷體"/>
          <w:color w:val="000000"/>
        </w:rPr>
        <w:lastRenderedPageBreak/>
        <w:t>藥物(如：sildenafil)治療3個月後成效仍不佳，且無其他藥物可供選擇者。</w:t>
      </w:r>
    </w:p>
    <w:p w14:paraId="203A5000" w14:textId="77777777" w:rsidR="00BD776B" w:rsidRDefault="00DF0C24">
      <w:pPr>
        <w:ind w:left="1318" w:hanging="370"/>
        <w:rPr>
          <w:rFonts w:ascii="標楷體" w:eastAsia="標楷體" w:hAnsi="標楷體"/>
          <w:color w:val="000000"/>
        </w:rPr>
      </w:pPr>
      <w:r>
        <w:rPr>
          <w:rFonts w:ascii="標楷體" w:eastAsia="標楷體" w:hAnsi="標楷體"/>
          <w:color w:val="000000"/>
        </w:rPr>
        <w:t>Ⅲ.經風濕免疫專科醫師會診，確認有需使用者。</w:t>
      </w:r>
    </w:p>
    <w:p w14:paraId="781BC605" w14:textId="77777777" w:rsidR="00BD776B" w:rsidRDefault="00DF0C24">
      <w:pPr>
        <w:ind w:left="1078" w:hanging="370"/>
        <w:rPr>
          <w:rFonts w:ascii="標楷體" w:eastAsia="標楷體" w:hAnsi="標楷體"/>
          <w:color w:val="000000"/>
        </w:rPr>
      </w:pPr>
      <w:r>
        <w:rPr>
          <w:rFonts w:ascii="標楷體" w:eastAsia="標楷體" w:hAnsi="標楷體"/>
          <w:color w:val="000000"/>
        </w:rPr>
        <w:t>(2)需經事前審查核准後使用，每次申請之療程以6個月為限。申請時須檢附NYHA Functional class、六分鐘步行測試、心臟超音波或心電圖、心房衰竭指數(Pro-BNP or NT Pro-BNP)等檢查結果，專科醫師會診意見等病歷紀錄。</w:t>
      </w:r>
    </w:p>
    <w:p w14:paraId="5C88AC98" w14:textId="77777777" w:rsidR="00BD776B" w:rsidRDefault="00DF0C24">
      <w:pPr>
        <w:ind w:left="1078" w:hanging="370"/>
        <w:rPr>
          <w:rFonts w:ascii="標楷體" w:eastAsia="標楷體" w:hAnsi="標楷體"/>
          <w:color w:val="000000"/>
        </w:rPr>
      </w:pPr>
      <w:r>
        <w:rPr>
          <w:rFonts w:ascii="標楷體" w:eastAsia="標楷體" w:hAnsi="標楷體"/>
          <w:color w:val="000000"/>
        </w:rPr>
        <w:t>(3)使用後每6個月需重新評估一次治療之療效，前述檢查結果皆無較使用前改善者，應暫停使用並加強結締組織病本身疾病之控制。必要時得於3個月後再行申請使用1次，惟若再行使用6個月後狀況仍無進步者，則不得再使用。</w:t>
      </w:r>
    </w:p>
    <w:p w14:paraId="025229F3" w14:textId="77777777" w:rsidR="00BD776B" w:rsidRDefault="00DF0C24">
      <w:pPr>
        <w:ind w:left="1078" w:hanging="370"/>
        <w:rPr>
          <w:rFonts w:ascii="標楷體" w:eastAsia="標楷體" w:hAnsi="標楷體"/>
          <w:color w:val="000000"/>
        </w:rPr>
      </w:pPr>
      <w:r>
        <w:rPr>
          <w:rFonts w:ascii="標楷體" w:eastAsia="標楷體" w:hAnsi="標楷體"/>
          <w:color w:val="000000"/>
        </w:rPr>
        <w:t>(4)每日限用1粒。</w:t>
      </w:r>
    </w:p>
    <w:p w14:paraId="252003E1" w14:textId="77777777" w:rsidR="00BD776B" w:rsidRDefault="00DF0C24">
      <w:pPr>
        <w:ind w:left="284"/>
        <w:rPr>
          <w:rFonts w:ascii="標楷體" w:eastAsia="標楷體" w:hAnsi="標楷體"/>
          <w:color w:val="000000"/>
        </w:rPr>
      </w:pPr>
      <w:r>
        <w:rPr>
          <w:rFonts w:ascii="標楷體" w:eastAsia="標楷體" w:hAnsi="標楷體"/>
          <w:color w:val="000000"/>
        </w:rPr>
        <w:t>2.8.2.7.Selexipag (如UPTRAVI)：(108/5/1)</w:t>
      </w:r>
    </w:p>
    <w:p w14:paraId="584195D9" w14:textId="77777777" w:rsidR="00BD776B" w:rsidRDefault="00DF0C24">
      <w:pPr>
        <w:ind w:left="849" w:hanging="283"/>
        <w:rPr>
          <w:rFonts w:ascii="標楷體" w:eastAsia="標楷體" w:hAnsi="標楷體"/>
          <w:color w:val="000000"/>
        </w:rPr>
      </w:pPr>
      <w:r>
        <w:rPr>
          <w:rFonts w:ascii="標楷體" w:eastAsia="標楷體" w:hAnsi="標楷體"/>
          <w:color w:val="000000"/>
        </w:rPr>
        <w:t>1.限用於WHO Functional Class III之原發性肺動脈高壓患者，經PDE-5i (phosphodiesterase type 5 inhibitor) 和/或ERA (endothelin-receptor antagonist)治療療效不佳者，合併PDE-5i或ERA使用。</w:t>
      </w:r>
    </w:p>
    <w:p w14:paraId="671E7EC5" w14:textId="77777777" w:rsidR="00BD776B" w:rsidRDefault="00DF0C24">
      <w:pPr>
        <w:ind w:left="849" w:hanging="283"/>
        <w:rPr>
          <w:rFonts w:ascii="標楷體" w:eastAsia="標楷體" w:hAnsi="標楷體"/>
          <w:color w:val="000000"/>
        </w:rPr>
      </w:pPr>
      <w:r>
        <w:rPr>
          <w:rFonts w:ascii="標楷體" w:eastAsia="標楷體" w:hAnsi="標楷體"/>
          <w:color w:val="000000"/>
        </w:rPr>
        <w:t>2.需經事前審查核准使用。</w:t>
      </w:r>
    </w:p>
    <w:p w14:paraId="17F23CB6" w14:textId="77777777" w:rsidR="00BD776B" w:rsidRDefault="00DF0C24">
      <w:pPr>
        <w:ind w:left="849" w:hanging="283"/>
        <w:rPr>
          <w:rFonts w:ascii="標楷體" w:eastAsia="標楷體" w:hAnsi="標楷體"/>
          <w:color w:val="000000"/>
        </w:rPr>
      </w:pPr>
      <w:r>
        <w:rPr>
          <w:rFonts w:ascii="標楷體" w:eastAsia="標楷體" w:hAnsi="標楷體"/>
          <w:color w:val="000000"/>
        </w:rPr>
        <w:t>3.每日限最多使用4粒。</w:t>
      </w:r>
    </w:p>
    <w:p w14:paraId="430FD03C" w14:textId="77777777" w:rsidR="00BD776B" w:rsidRDefault="00DF0C24">
      <w:pPr>
        <w:ind w:left="720" w:hanging="480"/>
        <w:rPr>
          <w:rFonts w:ascii="標楷體" w:eastAsia="標楷體" w:hAnsi="標楷體"/>
          <w:color w:val="000000"/>
        </w:rPr>
      </w:pPr>
      <w:r>
        <w:rPr>
          <w:rFonts w:ascii="標楷體" w:eastAsia="標楷體" w:hAnsi="標楷體"/>
          <w:color w:val="000000"/>
        </w:rPr>
        <w:t>2.8.2.8.Treprostinil (如Remodulin inj.、Tyvaso)：(109/1/1、112/3/1、113/1/1)</w:t>
      </w:r>
    </w:p>
    <w:p w14:paraId="50B45787" w14:textId="77777777" w:rsidR="00BD776B" w:rsidRDefault="00DF0C24">
      <w:pPr>
        <w:ind w:left="837" w:hanging="271"/>
        <w:rPr>
          <w:rFonts w:ascii="標楷體" w:eastAsia="標楷體" w:hAnsi="標楷體"/>
          <w:color w:val="000000"/>
        </w:rPr>
      </w:pPr>
      <w:r>
        <w:rPr>
          <w:rFonts w:ascii="標楷體" w:eastAsia="標楷體" w:hAnsi="標楷體"/>
          <w:color w:val="000000"/>
        </w:rPr>
        <w:t>1.吸入劑：限用於治療WHO Group I 原發性肺動脈高血壓合併NYH A class Ⅲ 症狀。</w:t>
      </w:r>
    </w:p>
    <w:p w14:paraId="318EA5B1" w14:textId="77777777" w:rsidR="00BD776B" w:rsidRDefault="00DF0C24">
      <w:pPr>
        <w:ind w:left="837" w:hanging="271"/>
      </w:pPr>
      <w:r>
        <w:rPr>
          <w:rFonts w:ascii="標楷體" w:eastAsia="標楷體" w:hAnsi="標楷體"/>
          <w:color w:val="000000"/>
        </w:rPr>
        <w:t>2.注射劑：限用於特發性或遺傳性肺動脈高壓(WHO functional class III 及IV)</w:t>
      </w:r>
      <w:r>
        <w:rPr>
          <w:rFonts w:ascii="標楷體" w:eastAsia="標楷體" w:hAnsi="標楷體"/>
          <w:color w:val="000000"/>
          <w:kern w:val="0"/>
          <w:szCs w:val="24"/>
        </w:rPr>
        <w:t>，並符合下列條件</w:t>
      </w:r>
      <w:r>
        <w:rPr>
          <w:rFonts w:ascii="新細明體" w:hAnsi="新細明體"/>
          <w:color w:val="000000"/>
          <w:kern w:val="0"/>
          <w:szCs w:val="24"/>
        </w:rPr>
        <w:t>：</w:t>
      </w:r>
      <w:r>
        <w:rPr>
          <w:rFonts w:ascii="標楷體" w:eastAsia="標楷體" w:hAnsi="標楷體"/>
          <w:color w:val="000000"/>
          <w:kern w:val="0"/>
          <w:szCs w:val="24"/>
        </w:rPr>
        <w:t>(112/3/1、113/1/1)</w:t>
      </w:r>
    </w:p>
    <w:p w14:paraId="4877545D" w14:textId="77777777" w:rsidR="00BD776B" w:rsidRDefault="00DF0C24">
      <w:pPr>
        <w:widowControl/>
        <w:ind w:left="837" w:hanging="271"/>
        <w:rPr>
          <w:rFonts w:ascii="標楷體" w:eastAsia="標楷體" w:hAnsi="標楷體"/>
          <w:color w:val="000000"/>
          <w:kern w:val="0"/>
          <w:szCs w:val="24"/>
        </w:rPr>
      </w:pPr>
      <w:r>
        <w:rPr>
          <w:rFonts w:ascii="標楷體" w:eastAsia="標楷體" w:hAnsi="標楷體"/>
          <w:color w:val="000000"/>
          <w:kern w:val="0"/>
          <w:szCs w:val="24"/>
        </w:rPr>
        <w:t xml:space="preserve">  WHO功能性分級第Ⅲ級且非屬於high risk病人，須先經iloprost吸入劑或口服ambrisentan、bosentan、macitentan、sildenafil、riociguat或</w:t>
      </w:r>
      <w:bookmarkStart w:id="3" w:name="_Hlk133311874"/>
      <w:r>
        <w:rPr>
          <w:rFonts w:ascii="標楷體" w:eastAsia="標楷體" w:hAnsi="標楷體"/>
          <w:color w:val="000000"/>
          <w:kern w:val="0"/>
          <w:szCs w:val="24"/>
        </w:rPr>
        <w:t xml:space="preserve">selexipag </w:t>
      </w:r>
      <w:bookmarkEnd w:id="3"/>
      <w:r>
        <w:rPr>
          <w:rFonts w:ascii="標楷體" w:eastAsia="標楷體" w:hAnsi="標楷體"/>
          <w:color w:val="000000"/>
          <w:kern w:val="0"/>
          <w:szCs w:val="24"/>
        </w:rPr>
        <w:t>治療反應不佳或有禁忌症或有實證顯示疾病快速惡化或預後不佳。</w:t>
      </w:r>
    </w:p>
    <w:p w14:paraId="24EC3E31" w14:textId="77777777" w:rsidR="00BD776B" w:rsidRDefault="00DF0C24">
      <w:pPr>
        <w:widowControl/>
        <w:ind w:left="837" w:hanging="271"/>
        <w:rPr>
          <w:rFonts w:ascii="標楷體" w:eastAsia="標楷體" w:hAnsi="標楷體"/>
          <w:color w:val="000000"/>
          <w:kern w:val="0"/>
          <w:szCs w:val="24"/>
        </w:rPr>
      </w:pPr>
      <w:r>
        <w:rPr>
          <w:rFonts w:ascii="標楷體" w:eastAsia="標楷體" w:hAnsi="標楷體"/>
          <w:color w:val="000000"/>
          <w:kern w:val="0"/>
          <w:szCs w:val="24"/>
        </w:rPr>
        <w:t>3.需經事前審查核准後使用，每次申請以24週為限，期滿須經再次申請核准後才得以續用。(109/1/1、113/1/1)</w:t>
      </w:r>
    </w:p>
    <w:p w14:paraId="161A9F71" w14:textId="77777777" w:rsidR="00BD776B" w:rsidRDefault="00DF0C24">
      <w:pPr>
        <w:ind w:left="672" w:hanging="386"/>
        <w:rPr>
          <w:rFonts w:ascii="標楷體" w:eastAsia="標楷體" w:hAnsi="標楷體"/>
          <w:color w:val="000000"/>
        </w:rPr>
      </w:pPr>
      <w:r>
        <w:rPr>
          <w:rFonts w:ascii="標楷體" w:eastAsia="標楷體" w:hAnsi="標楷體"/>
          <w:color w:val="000000"/>
        </w:rPr>
        <w:t>2.9.利尿劑 Diuretics（100/1/1）</w:t>
      </w:r>
    </w:p>
    <w:p w14:paraId="16636A06" w14:textId="77777777" w:rsidR="00BD776B" w:rsidRDefault="00DF0C24">
      <w:pPr>
        <w:ind w:left="672" w:hanging="386"/>
        <w:rPr>
          <w:rFonts w:ascii="標楷體" w:eastAsia="標楷體" w:hAnsi="標楷體"/>
          <w:color w:val="000000"/>
        </w:rPr>
      </w:pPr>
      <w:r>
        <w:rPr>
          <w:rFonts w:ascii="標楷體" w:eastAsia="標楷體" w:hAnsi="標楷體"/>
          <w:color w:val="000000"/>
        </w:rPr>
        <w:t>2.9.1. Eplerenone (如Inspra)：（100/1/1、104/12/1）</w:t>
      </w:r>
    </w:p>
    <w:p w14:paraId="7EE735F4" w14:textId="77777777" w:rsidR="00BD776B" w:rsidRDefault="00DF0C24">
      <w:pPr>
        <w:ind w:left="670" w:firstLine="110"/>
        <w:rPr>
          <w:rFonts w:ascii="標楷體" w:eastAsia="標楷體" w:hAnsi="標楷體"/>
          <w:color w:val="000000"/>
        </w:rPr>
      </w:pPr>
      <w:r>
        <w:rPr>
          <w:rFonts w:ascii="標楷體" w:eastAsia="標楷體" w:hAnsi="標楷體"/>
          <w:color w:val="000000"/>
        </w:rPr>
        <w:t>限使用於對spironolactone無法耐受之下述個案：</w:t>
      </w:r>
    </w:p>
    <w:p w14:paraId="070DC050" w14:textId="77777777" w:rsidR="00BD776B" w:rsidRDefault="00DF0C24">
      <w:pPr>
        <w:ind w:left="849" w:hanging="283"/>
        <w:rPr>
          <w:rFonts w:ascii="標楷體" w:eastAsia="標楷體" w:hAnsi="標楷體"/>
          <w:color w:val="000000"/>
        </w:rPr>
      </w:pPr>
      <w:r>
        <w:rPr>
          <w:rFonts w:ascii="標楷體" w:eastAsia="標楷體" w:hAnsi="標楷體"/>
          <w:color w:val="000000"/>
        </w:rPr>
        <w:t>1.心肌梗塞後之心衰竭病人。</w:t>
      </w:r>
    </w:p>
    <w:p w14:paraId="35977B7B" w14:textId="77777777" w:rsidR="00BD776B" w:rsidRDefault="00DF0C24">
      <w:pPr>
        <w:ind w:left="849" w:hanging="283"/>
        <w:rPr>
          <w:rFonts w:ascii="標楷體" w:eastAsia="標楷體" w:hAnsi="標楷體"/>
          <w:color w:val="000000"/>
        </w:rPr>
      </w:pPr>
      <w:r>
        <w:rPr>
          <w:rFonts w:ascii="標楷體" w:eastAsia="標楷體" w:hAnsi="標楷體"/>
          <w:color w:val="000000"/>
        </w:rPr>
        <w:t>2.紐約心臟學會(NYHA) 心臟功能分類第II級(含)以上之慢性心衰竭及左心室收縮功能不全(LVEF≦30%)的成人患者。(104/12/1）</w:t>
      </w:r>
    </w:p>
    <w:p w14:paraId="0F68DCED" w14:textId="77777777" w:rsidR="00BD776B" w:rsidRDefault="00DF0C24">
      <w:pPr>
        <w:ind w:left="672" w:hanging="386"/>
        <w:rPr>
          <w:rFonts w:ascii="標楷體" w:eastAsia="標楷體" w:hAnsi="標楷體"/>
          <w:color w:val="000000"/>
        </w:rPr>
      </w:pPr>
      <w:r>
        <w:rPr>
          <w:rFonts w:ascii="標楷體" w:eastAsia="標楷體" w:hAnsi="標楷體"/>
          <w:color w:val="000000"/>
        </w:rPr>
        <w:t>2.9.2. Amiloride單方口服製劑（109/9/1）</w:t>
      </w:r>
    </w:p>
    <w:p w14:paraId="44F02F43" w14:textId="77777777" w:rsidR="00BD776B" w:rsidRDefault="00DF0C24">
      <w:pPr>
        <w:ind w:left="849" w:hanging="283"/>
        <w:rPr>
          <w:rFonts w:ascii="標楷體" w:eastAsia="標楷體" w:hAnsi="標楷體"/>
          <w:color w:val="000000"/>
        </w:rPr>
      </w:pPr>
      <w:r>
        <w:rPr>
          <w:rFonts w:ascii="標楷體" w:eastAsia="標楷體" w:hAnsi="標楷體"/>
          <w:color w:val="000000"/>
        </w:rPr>
        <w:t>1.限Liddle's Syndrome病人經事前審查核准後使用。</w:t>
      </w:r>
    </w:p>
    <w:p w14:paraId="4D51FBE6" w14:textId="77777777" w:rsidR="00BD776B" w:rsidRDefault="00DF0C24">
      <w:pPr>
        <w:ind w:left="849" w:hanging="283"/>
        <w:rPr>
          <w:rFonts w:ascii="標楷體" w:eastAsia="標楷體" w:hAnsi="標楷體"/>
          <w:color w:val="000000"/>
        </w:rPr>
      </w:pPr>
      <w:r>
        <w:rPr>
          <w:rFonts w:ascii="標楷體" w:eastAsia="標楷體" w:hAnsi="標楷體"/>
          <w:color w:val="000000"/>
        </w:rPr>
        <w:t>2.送審時須檢附高血壓、血液電解質異常(高血鈉、低血鉀)，酸鹼度偏鹼（如高serum bicarbonate）、血液醛固酮（aldosterone）偏低或正常濃度及低血液renin activity之病歷資料。</w:t>
      </w:r>
    </w:p>
    <w:p w14:paraId="5D39893C" w14:textId="77777777" w:rsidR="00BD776B" w:rsidRDefault="00DF0C24">
      <w:pPr>
        <w:ind w:left="566" w:hanging="283"/>
        <w:rPr>
          <w:rFonts w:ascii="標楷體" w:eastAsia="標楷體" w:hAnsi="標楷體"/>
          <w:color w:val="000000"/>
        </w:rPr>
      </w:pPr>
      <w:r>
        <w:rPr>
          <w:rFonts w:ascii="標楷體" w:eastAsia="標楷體" w:hAnsi="標楷體"/>
          <w:color w:val="000000"/>
        </w:rPr>
        <w:t>2.9.3. Furosemide口服液劑(如Fumide oral solution)：（110/7/1）</w:t>
      </w:r>
    </w:p>
    <w:p w14:paraId="0352A51B" w14:textId="77777777" w:rsidR="00BD776B" w:rsidRDefault="00DF0C24">
      <w:pPr>
        <w:ind w:left="1133" w:hanging="283"/>
        <w:rPr>
          <w:rFonts w:ascii="標楷體" w:eastAsia="標楷體" w:hAnsi="標楷體"/>
          <w:color w:val="000000"/>
        </w:rPr>
      </w:pPr>
      <w:r>
        <w:rPr>
          <w:rFonts w:ascii="標楷體" w:eastAsia="標楷體" w:hAnsi="標楷體"/>
          <w:color w:val="000000"/>
        </w:rPr>
        <w:t>限使用於無法吞食錠劑者使用(病歷中應註明不能使用錠劑的原因)。（110/7/1）</w:t>
      </w:r>
    </w:p>
    <w:p w14:paraId="1494BC47" w14:textId="77777777" w:rsidR="00BD776B" w:rsidRDefault="00DF0C24">
      <w:pPr>
        <w:ind w:left="672" w:hanging="386"/>
        <w:rPr>
          <w:rFonts w:ascii="標楷體" w:eastAsia="標楷體" w:hAnsi="標楷體"/>
          <w:color w:val="000000"/>
        </w:rPr>
      </w:pPr>
      <w:r>
        <w:rPr>
          <w:rFonts w:ascii="標楷體" w:eastAsia="標楷體" w:hAnsi="標楷體"/>
          <w:color w:val="000000"/>
        </w:rPr>
        <w:lastRenderedPageBreak/>
        <w:t>2.10.抗心律不整劑Antiarrhythmics（100/8/1、111/2/1、112/12/1）</w:t>
      </w:r>
    </w:p>
    <w:p w14:paraId="29079D81" w14:textId="77777777" w:rsidR="00BD776B" w:rsidRDefault="00DF0C24">
      <w:pPr>
        <w:ind w:left="672" w:hanging="386"/>
        <w:rPr>
          <w:rFonts w:ascii="標楷體" w:eastAsia="標楷體" w:hAnsi="標楷體"/>
          <w:color w:val="000000"/>
        </w:rPr>
      </w:pPr>
      <w:r>
        <w:rPr>
          <w:rFonts w:ascii="標楷體" w:eastAsia="標楷體" w:hAnsi="標楷體"/>
          <w:color w:val="000000"/>
        </w:rPr>
        <w:t>2.10.1.Dronedarone (如Multaq) (100/8/1、111/2/1、112/12/1)</w:t>
      </w:r>
    </w:p>
    <w:p w14:paraId="243220B4" w14:textId="77777777" w:rsidR="00BD776B" w:rsidRDefault="00DF0C24">
      <w:pPr>
        <w:ind w:left="705" w:hanging="199"/>
        <w:rPr>
          <w:rFonts w:ascii="標楷體" w:eastAsia="標楷體" w:hAnsi="標楷體"/>
          <w:color w:val="000000"/>
        </w:rPr>
      </w:pPr>
      <w:r>
        <w:rPr>
          <w:rFonts w:ascii="標楷體" w:eastAsia="標楷體" w:hAnsi="標楷體"/>
          <w:color w:val="000000"/>
        </w:rPr>
        <w:t>1.Multaq適用於最近6個月內有陣發性或持續性心房纖維顫動(AF)或心房撲動(AFL)，且目前處於竇性節律（sinus rhythm）狀態或即將接受治療成為正常節律的患者，可降低病患發生心血管疾病而住院的風險：</w:t>
      </w:r>
    </w:p>
    <w:p w14:paraId="321D4DC4" w14:textId="77777777" w:rsidR="00BD776B" w:rsidRDefault="00DF0C24">
      <w:pPr>
        <w:ind w:left="1049" w:hanging="341"/>
        <w:rPr>
          <w:rFonts w:ascii="標楷體" w:eastAsia="標楷體" w:hAnsi="標楷體"/>
          <w:color w:val="000000"/>
        </w:rPr>
      </w:pPr>
      <w:r>
        <w:rPr>
          <w:rFonts w:ascii="標楷體" w:eastAsia="標楷體" w:hAnsi="標楷體"/>
          <w:color w:val="000000"/>
        </w:rPr>
        <w:t>(1)70歲以上，曾有過心房纖維顫動（AF）或心房撲動(AFL)之病患；(111/2/1)</w:t>
      </w:r>
    </w:p>
    <w:p w14:paraId="293D30C5" w14:textId="77777777" w:rsidR="00BD776B" w:rsidRDefault="00DF0C24">
      <w:pPr>
        <w:ind w:left="1049" w:hanging="341"/>
        <w:rPr>
          <w:rFonts w:ascii="標楷體" w:eastAsia="標楷體" w:hAnsi="標楷體"/>
          <w:color w:val="000000"/>
        </w:rPr>
      </w:pPr>
      <w:r>
        <w:rPr>
          <w:rFonts w:ascii="標楷體" w:eastAsia="標楷體" w:hAnsi="標楷體"/>
          <w:color w:val="000000"/>
        </w:rPr>
        <w:t>(2)65歲以上未滿70歲，且帶有下列心血管相關危險因子之ㄧ的患者（例如：高血壓、糖尿病、曾發生過腦血管意外、左心房直徑≧50mm）。(111/2/1、112/12/1)</w:t>
      </w:r>
    </w:p>
    <w:p w14:paraId="2B84C3DE" w14:textId="77777777" w:rsidR="00BD776B" w:rsidRDefault="00DF0C24">
      <w:pPr>
        <w:ind w:left="811" w:hanging="245"/>
        <w:rPr>
          <w:rFonts w:ascii="標楷體" w:eastAsia="標楷體" w:hAnsi="標楷體"/>
          <w:color w:val="000000"/>
        </w:rPr>
      </w:pPr>
      <w:r>
        <w:rPr>
          <w:rFonts w:ascii="標楷體" w:eastAsia="標楷體" w:hAnsi="標楷體"/>
          <w:color w:val="000000"/>
        </w:rPr>
        <w:t>2.不得使用於有心衰竭診斷史病人。(112/12/1)</w:t>
      </w:r>
    </w:p>
    <w:p w14:paraId="1F5AEE5F" w14:textId="77777777" w:rsidR="00BD776B" w:rsidRDefault="00DF0C24">
      <w:pPr>
        <w:ind w:left="672" w:hanging="386"/>
        <w:rPr>
          <w:rFonts w:ascii="標楷體" w:eastAsia="標楷體" w:hAnsi="標楷體"/>
          <w:color w:val="000000"/>
        </w:rPr>
      </w:pPr>
      <w:r>
        <w:rPr>
          <w:rFonts w:ascii="標楷體" w:eastAsia="標楷體" w:hAnsi="標楷體"/>
          <w:color w:val="000000"/>
        </w:rPr>
        <w:t>2.11.抗痛風劑 Antigout agents</w:t>
      </w:r>
    </w:p>
    <w:p w14:paraId="7E777A5D" w14:textId="77777777" w:rsidR="00BD776B" w:rsidRDefault="00DF0C24">
      <w:pPr>
        <w:ind w:left="672" w:hanging="386"/>
        <w:rPr>
          <w:rFonts w:ascii="標楷體" w:eastAsia="標楷體" w:hAnsi="標楷體"/>
          <w:color w:val="000000"/>
        </w:rPr>
      </w:pPr>
      <w:r>
        <w:rPr>
          <w:rFonts w:ascii="標楷體" w:eastAsia="標楷體" w:hAnsi="標楷體"/>
          <w:color w:val="000000"/>
        </w:rPr>
        <w:t>2.11.1.Febuxostat（如Feburic）：（101/4/1、103/3/1、105/8/1、108/12/1）</w:t>
      </w:r>
    </w:p>
    <w:p w14:paraId="489E4968" w14:textId="77777777" w:rsidR="00BD776B" w:rsidRDefault="00DF0C24">
      <w:pPr>
        <w:ind w:left="798" w:hanging="1"/>
        <w:rPr>
          <w:rFonts w:ascii="標楷體" w:eastAsia="標楷體" w:hAnsi="標楷體"/>
          <w:color w:val="000000"/>
        </w:rPr>
      </w:pPr>
      <w:r>
        <w:rPr>
          <w:rFonts w:ascii="標楷體" w:eastAsia="標楷體" w:hAnsi="標楷體"/>
          <w:color w:val="000000"/>
        </w:rPr>
        <w:t>限慢性痛風患者之高尿酸血症使用，且符合以下條件之一：</w:t>
      </w:r>
    </w:p>
    <w:p w14:paraId="7B72EBED" w14:textId="77777777" w:rsidR="00BD776B" w:rsidRDefault="00DF0C24">
      <w:pPr>
        <w:ind w:left="811" w:hanging="245"/>
        <w:rPr>
          <w:rFonts w:ascii="標楷體" w:eastAsia="標楷體" w:hAnsi="標楷體"/>
          <w:color w:val="000000"/>
        </w:rPr>
      </w:pPr>
      <w:r>
        <w:rPr>
          <w:rFonts w:ascii="標楷體" w:eastAsia="標楷體" w:hAnsi="標楷體"/>
          <w:color w:val="000000"/>
        </w:rPr>
        <w:t>1.曾使用過降尿酸藥物benzbromarone治療反應不佳，尿酸值仍高於6.0 mg/dL。（103/3/1）</w:t>
      </w:r>
    </w:p>
    <w:p w14:paraId="02D1D870" w14:textId="77777777" w:rsidR="00BD776B" w:rsidRDefault="00DF0C24">
      <w:pPr>
        <w:ind w:left="811" w:hanging="245"/>
      </w:pPr>
      <w:r>
        <w:rPr>
          <w:rFonts w:ascii="標楷體" w:eastAsia="標楷體" w:hAnsi="標楷體"/>
          <w:color w:val="000000"/>
        </w:rPr>
        <w:t>2.患有慢性腎臟病 (eGFR＜45 mL/min/1.73m</w:t>
      </w:r>
      <w:r>
        <w:rPr>
          <w:rFonts w:ascii="標楷體" w:eastAsia="標楷體" w:hAnsi="標楷體"/>
          <w:color w:val="000000"/>
          <w:vertAlign w:val="superscript"/>
        </w:rPr>
        <w:t>2</w:t>
      </w:r>
      <w:r>
        <w:rPr>
          <w:rFonts w:ascii="標楷體" w:eastAsia="標楷體" w:hAnsi="標楷體"/>
          <w:color w:val="000000"/>
        </w:rPr>
        <w:t>或serum creatinine≧1.5mg/dL)，或具尿酸性腎臟結石或尿酸性尿路結石或痛風石，或肝硬化之痛風病人。（103/3/1、105/8/1、108/12/1）</w:t>
      </w:r>
    </w:p>
    <w:p w14:paraId="4769058C" w14:textId="77777777" w:rsidR="00BD776B" w:rsidRDefault="00DF0C24">
      <w:pPr>
        <w:ind w:left="811" w:hanging="245"/>
        <w:rPr>
          <w:rFonts w:ascii="標楷體" w:eastAsia="標楷體" w:hAnsi="標楷體"/>
          <w:color w:val="000000"/>
        </w:rPr>
      </w:pPr>
      <w:r>
        <w:rPr>
          <w:rFonts w:ascii="標楷體" w:eastAsia="標楷體" w:hAnsi="標楷體"/>
          <w:color w:val="000000"/>
        </w:rPr>
        <w:t>3.痛風石病人使用時需於病歷上詳細記載部位(需有照片或X光攝影檢查)及醫療理由。(108/12/1）</w:t>
      </w:r>
    </w:p>
    <w:p w14:paraId="2306A2EE" w14:textId="77777777" w:rsidR="00BD776B" w:rsidRDefault="00DF0C24">
      <w:pPr>
        <w:ind w:left="1133" w:hanging="850"/>
        <w:rPr>
          <w:rFonts w:ascii="標楷體" w:eastAsia="標楷體" w:hAnsi="標楷體"/>
          <w:color w:val="000000"/>
        </w:rPr>
      </w:pPr>
      <w:r>
        <w:rPr>
          <w:rFonts w:ascii="標楷體" w:eastAsia="標楷體" w:hAnsi="標楷體"/>
          <w:color w:val="000000"/>
        </w:rPr>
        <w:t>2.11.2.含allopurinol成分製劑(105/2/1)</w:t>
      </w:r>
    </w:p>
    <w:p w14:paraId="50A5517D" w14:textId="77777777" w:rsidR="00BD776B" w:rsidRDefault="00DF0C24">
      <w:pPr>
        <w:ind w:left="849" w:hanging="283"/>
        <w:rPr>
          <w:rFonts w:ascii="標楷體" w:eastAsia="標楷體" w:hAnsi="標楷體"/>
          <w:color w:val="000000"/>
        </w:rPr>
      </w:pPr>
      <w:r>
        <w:rPr>
          <w:rFonts w:ascii="標楷體" w:eastAsia="標楷體" w:hAnsi="標楷體"/>
          <w:color w:val="000000"/>
        </w:rPr>
        <w:t>1.限使用於痛風症、痛風性關節炎、尿酸結石、癌症或經化學治療產生之高尿酸血症之治療。</w:t>
      </w:r>
    </w:p>
    <w:p w14:paraId="7133F7C2" w14:textId="77777777" w:rsidR="00BD776B" w:rsidRDefault="00DF0C24">
      <w:pPr>
        <w:ind w:left="849" w:hanging="283"/>
        <w:rPr>
          <w:rFonts w:ascii="標楷體" w:eastAsia="標楷體" w:hAnsi="標楷體"/>
          <w:color w:val="000000"/>
        </w:rPr>
      </w:pPr>
      <w:r>
        <w:rPr>
          <w:rFonts w:ascii="標楷體" w:eastAsia="標楷體" w:hAnsi="標楷體"/>
          <w:color w:val="000000"/>
        </w:rPr>
        <w:t>2.本藥品可能發生嚴重藥物不良反應，故不得使用於非核准之適應症。且須充分提醒病人相關不良反應症狀及後續作為。</w:t>
      </w:r>
    </w:p>
    <w:p w14:paraId="71B4B506" w14:textId="77777777" w:rsidR="00BD776B" w:rsidRDefault="00DF0C24">
      <w:pPr>
        <w:ind w:left="283"/>
        <w:rPr>
          <w:rFonts w:ascii="標楷體" w:eastAsia="標楷體" w:hAnsi="標楷體"/>
          <w:color w:val="000000"/>
        </w:rPr>
      </w:pPr>
      <w:r>
        <w:rPr>
          <w:rFonts w:ascii="標楷體" w:eastAsia="標楷體" w:hAnsi="標楷體"/>
          <w:color w:val="000000"/>
        </w:rPr>
        <w:t>2.12.Ivabradine(如Coralan) (103/5/1、106/10/1)</w:t>
      </w:r>
    </w:p>
    <w:p w14:paraId="3C91A895" w14:textId="77777777" w:rsidR="00BD776B" w:rsidRDefault="00DF0C24">
      <w:pPr>
        <w:ind w:left="566"/>
        <w:rPr>
          <w:rFonts w:ascii="標楷體" w:eastAsia="標楷體" w:hAnsi="標楷體"/>
          <w:color w:val="000000"/>
        </w:rPr>
      </w:pPr>
      <w:r>
        <w:rPr>
          <w:rFonts w:ascii="標楷體" w:eastAsia="標楷體" w:hAnsi="標楷體"/>
          <w:color w:val="000000"/>
        </w:rPr>
        <w:t>1.限符合下列所有條件之慢性心衰竭患者使用:</w:t>
      </w:r>
    </w:p>
    <w:p w14:paraId="3AFD2A48" w14:textId="77777777" w:rsidR="00BD776B" w:rsidRDefault="00DF0C24">
      <w:pPr>
        <w:ind w:left="698"/>
        <w:rPr>
          <w:rFonts w:ascii="標楷體" w:eastAsia="標楷體" w:hAnsi="標楷體"/>
          <w:color w:val="000000"/>
        </w:rPr>
      </w:pPr>
      <w:r>
        <w:rPr>
          <w:rFonts w:ascii="標楷體" w:eastAsia="標楷體" w:hAnsi="標楷體"/>
          <w:color w:val="000000"/>
        </w:rPr>
        <w:t>(1)依紐約心臟協會(NYHA)衰竭功能分級為第二級至第四級。(106/10/1)</w:t>
      </w:r>
    </w:p>
    <w:p w14:paraId="1D4BD0F1" w14:textId="77777777" w:rsidR="00BD776B" w:rsidRDefault="00DF0C24">
      <w:pPr>
        <w:ind w:left="698"/>
        <w:rPr>
          <w:rFonts w:ascii="標楷體" w:eastAsia="標楷體" w:hAnsi="標楷體"/>
          <w:color w:val="000000"/>
        </w:rPr>
      </w:pPr>
      <w:r>
        <w:rPr>
          <w:rFonts w:ascii="標楷體" w:eastAsia="標楷體" w:hAnsi="標楷體"/>
          <w:color w:val="000000"/>
        </w:rPr>
        <w:t>(2)心臟收縮性功能不全，且Ejection Fraction≦35%。</w:t>
      </w:r>
    </w:p>
    <w:p w14:paraId="009B7DA7" w14:textId="77777777" w:rsidR="00BD776B" w:rsidRDefault="00DF0C24">
      <w:pPr>
        <w:ind w:left="698"/>
        <w:rPr>
          <w:rFonts w:ascii="標楷體" w:eastAsia="標楷體" w:hAnsi="標楷體"/>
          <w:color w:val="000000"/>
        </w:rPr>
      </w:pPr>
      <w:r>
        <w:rPr>
          <w:rFonts w:ascii="標楷體" w:eastAsia="標楷體" w:hAnsi="標楷體"/>
          <w:color w:val="000000"/>
        </w:rPr>
        <w:t>(3)竇性心率且每分鐘心跳速率≧75。</w:t>
      </w:r>
    </w:p>
    <w:p w14:paraId="683029CF" w14:textId="77777777" w:rsidR="00BD776B" w:rsidRDefault="00DF0C24">
      <w:pPr>
        <w:ind w:left="698"/>
        <w:rPr>
          <w:rFonts w:ascii="標楷體" w:eastAsia="標楷體" w:hAnsi="標楷體"/>
          <w:color w:val="000000"/>
        </w:rPr>
      </w:pPr>
      <w:r>
        <w:rPr>
          <w:rFonts w:ascii="標楷體" w:eastAsia="標楷體" w:hAnsi="標楷體"/>
          <w:color w:val="000000"/>
        </w:rPr>
        <w:t>(4)對使用β-阻斷劑為禁忌症或使用最大可耐受劑量之β-阻斷劑已達四週(含)以上。(106/10/1)</w:t>
      </w:r>
    </w:p>
    <w:p w14:paraId="1AC0E89B" w14:textId="77777777" w:rsidR="00BD776B" w:rsidRDefault="00DF0C24">
      <w:pPr>
        <w:ind w:left="849" w:hanging="283"/>
        <w:rPr>
          <w:rFonts w:ascii="標楷體" w:eastAsia="標楷體" w:hAnsi="標楷體"/>
          <w:color w:val="000000"/>
        </w:rPr>
      </w:pPr>
      <w:r>
        <w:rPr>
          <w:rFonts w:ascii="標楷體" w:eastAsia="標楷體" w:hAnsi="標楷體"/>
          <w:color w:val="000000"/>
        </w:rPr>
        <w:t>2.每日使用二次，每次用量限不超過一粒。</w:t>
      </w:r>
    </w:p>
    <w:p w14:paraId="75A851A8" w14:textId="77777777" w:rsidR="00BD776B" w:rsidRDefault="00DF0C24">
      <w:pPr>
        <w:ind w:left="283"/>
        <w:rPr>
          <w:rFonts w:ascii="標楷體" w:eastAsia="標楷體" w:hAnsi="標楷體"/>
          <w:color w:val="000000"/>
        </w:rPr>
      </w:pPr>
      <w:r>
        <w:rPr>
          <w:rFonts w:ascii="標楷體" w:eastAsia="標楷體" w:hAnsi="標楷體"/>
          <w:color w:val="000000"/>
        </w:rPr>
        <w:t>2.13.Tolvaptan(105/9/1、108/7/1、109/3/1、109/10/1)：</w:t>
      </w:r>
    </w:p>
    <w:p w14:paraId="55518195" w14:textId="77777777" w:rsidR="00BD776B" w:rsidRDefault="00DF0C24">
      <w:pPr>
        <w:ind w:left="283"/>
        <w:rPr>
          <w:rFonts w:ascii="標楷體" w:eastAsia="標楷體" w:hAnsi="標楷體"/>
          <w:color w:val="000000"/>
        </w:rPr>
      </w:pPr>
      <w:r>
        <w:rPr>
          <w:rFonts w:ascii="標楷體" w:eastAsia="標楷體" w:hAnsi="標楷體"/>
          <w:color w:val="000000"/>
        </w:rPr>
        <w:t>2.13.1.Tolvaptan (如Samsca)：(105/9/1、108/7/1、109/3/1)</w:t>
      </w:r>
    </w:p>
    <w:p w14:paraId="32E50C2B" w14:textId="77777777" w:rsidR="00BD776B" w:rsidRDefault="00DF0C24">
      <w:pPr>
        <w:ind w:left="566"/>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限用於住院病人有下列情形之一者：</w:t>
      </w:r>
    </w:p>
    <w:p w14:paraId="18109BB3" w14:textId="77777777" w:rsidR="00BD776B" w:rsidRDefault="00DF0C24">
      <w:pPr>
        <w:ind w:left="1080" w:hanging="360"/>
        <w:rPr>
          <w:rFonts w:ascii="標楷體" w:eastAsia="標楷體" w:hAnsi="標楷體"/>
          <w:color w:val="000000"/>
        </w:rPr>
      </w:pPr>
      <w:r>
        <w:rPr>
          <w:rFonts w:ascii="標楷體" w:eastAsia="標楷體" w:hAnsi="標楷體"/>
          <w:color w:val="000000"/>
        </w:rPr>
        <w:t>(1)罹患心臟衰竭引起之低血鈉症(血清鈉濃度低於125mEq/L)，經傳統治療(包括限水，loop diuretics 及補充鹽分等) 48小時以上症狀仍無法改善之成年患者，鈉濃度達125mEq/L(含)以上應即停藥。(109/3/1)</w:t>
      </w:r>
    </w:p>
    <w:p w14:paraId="5031DFD8" w14:textId="77777777" w:rsidR="00BD776B" w:rsidRDefault="00DF0C24">
      <w:pPr>
        <w:ind w:left="1080" w:hanging="360"/>
        <w:rPr>
          <w:rFonts w:ascii="標楷體" w:eastAsia="標楷體" w:hAnsi="標楷體"/>
          <w:color w:val="000000"/>
        </w:rPr>
      </w:pPr>
      <w:r>
        <w:rPr>
          <w:rFonts w:ascii="標楷體" w:eastAsia="標楷體" w:hAnsi="標楷體"/>
          <w:color w:val="000000"/>
        </w:rPr>
        <w:t>(2)罹患抗利尿激素分泌不當症候群（SIADH）引起之低血鈉症(血清鈉濃度低於125mEq/L)，經傳統治療(包括限水，loop diuretics 及補充鹽分等) 48小時以上症狀仍無法改善之成年患者，鈉濃度達125mEq/L(含)以上應即停藥。</w:t>
      </w:r>
      <w:r>
        <w:rPr>
          <w:rFonts w:ascii="標楷體" w:eastAsia="標楷體" w:hAnsi="標楷體"/>
          <w:color w:val="000000"/>
        </w:rPr>
        <w:lastRenderedPageBreak/>
        <w:t>(109/3/1)</w:t>
      </w:r>
    </w:p>
    <w:p w14:paraId="246535B1" w14:textId="77777777" w:rsidR="00BD776B" w:rsidRDefault="00DF0C24">
      <w:pPr>
        <w:ind w:left="720" w:hanging="240"/>
        <w:rPr>
          <w:rFonts w:ascii="標楷體" w:eastAsia="標楷體" w:hAnsi="標楷體"/>
          <w:color w:val="000000"/>
        </w:rPr>
      </w:pPr>
      <w:r>
        <w:rPr>
          <w:rFonts w:ascii="標楷體" w:eastAsia="標楷體" w:hAnsi="標楷體"/>
          <w:color w:val="000000"/>
        </w:rPr>
        <w:t>2.每位病人每年限給付3次療程，同次住院限給付1次療程。每次療程最多給付4日，每日最多給付1粒。</w:t>
      </w:r>
    </w:p>
    <w:p w14:paraId="59C98112" w14:textId="77777777" w:rsidR="00BD776B" w:rsidRDefault="00DF0C24">
      <w:pPr>
        <w:ind w:left="720" w:hanging="240"/>
        <w:rPr>
          <w:rFonts w:ascii="標楷體" w:eastAsia="標楷體" w:hAnsi="標楷體"/>
          <w:color w:val="000000"/>
        </w:rPr>
      </w:pPr>
      <w:r>
        <w:rPr>
          <w:rFonts w:ascii="標楷體" w:eastAsia="標楷體" w:hAnsi="標楷體"/>
          <w:color w:val="000000"/>
        </w:rPr>
        <w:t>3.須於使用後監測肝功能，肝功能指數大於正常上限3倍者應停用。</w:t>
      </w:r>
    </w:p>
    <w:p w14:paraId="22696B1B" w14:textId="77777777" w:rsidR="00BD776B" w:rsidRDefault="00DF0C24">
      <w:pPr>
        <w:ind w:left="283"/>
        <w:rPr>
          <w:rFonts w:ascii="標楷體" w:eastAsia="標楷體" w:hAnsi="標楷體"/>
          <w:color w:val="000000"/>
        </w:rPr>
      </w:pPr>
      <w:r>
        <w:rPr>
          <w:rFonts w:ascii="標楷體" w:eastAsia="標楷體" w:hAnsi="標楷體"/>
          <w:color w:val="000000"/>
        </w:rPr>
        <w:t>2.13.2.Tolvaptan (如Jinarc)(108/7/1、109/10/1)：</w:t>
      </w:r>
    </w:p>
    <w:p w14:paraId="413E9CF0" w14:textId="77777777" w:rsidR="00BD776B" w:rsidRDefault="00DF0C24">
      <w:pPr>
        <w:ind w:left="709"/>
        <w:rPr>
          <w:rFonts w:ascii="標楷體" w:eastAsia="標楷體" w:hAnsi="標楷體"/>
          <w:color w:val="000000"/>
        </w:rPr>
      </w:pPr>
      <w:r>
        <w:rPr>
          <w:rFonts w:ascii="標楷體" w:eastAsia="標楷體" w:hAnsi="標楷體"/>
          <w:color w:val="000000"/>
        </w:rPr>
        <w:t>1.限腎臟專科醫師處方，須經事前審查核准後使用，每日至多使用2粒，每年檢附評估資料重新申請。</w:t>
      </w:r>
    </w:p>
    <w:p w14:paraId="1A176A86" w14:textId="77777777" w:rsidR="00BD776B" w:rsidRDefault="00DF0C24">
      <w:pPr>
        <w:ind w:left="709"/>
        <w:rPr>
          <w:rFonts w:ascii="標楷體" w:eastAsia="標楷體" w:hAnsi="標楷體"/>
          <w:color w:val="000000"/>
        </w:rPr>
      </w:pPr>
      <w:r>
        <w:rPr>
          <w:rFonts w:ascii="標楷體" w:eastAsia="標楷體" w:hAnsi="標楷體"/>
          <w:color w:val="000000"/>
        </w:rPr>
        <w:t>2.初次使用限用於已出現病情迅速惡化跡象之第 3 期慢性腎臟病的18歲以上，50歲以下自體顯性多囊性腎臟病(ADPKD) 患者，且腎臟影像呈雙側/瀰漫性水泡，病情須符合下列至少一項：(109/10/1)</w:t>
      </w:r>
    </w:p>
    <w:p w14:paraId="0F5E4729" w14:textId="77777777" w:rsidR="00BD776B" w:rsidRDefault="00DF0C24">
      <w:pPr>
        <w:ind w:left="993"/>
        <w:rPr>
          <w:rFonts w:ascii="標楷體" w:eastAsia="標楷體" w:hAnsi="標楷體"/>
          <w:color w:val="000000"/>
        </w:rPr>
      </w:pPr>
      <w:r>
        <w:rPr>
          <w:rFonts w:ascii="標楷體" w:eastAsia="標楷體" w:hAnsi="標楷體"/>
          <w:color w:val="000000"/>
        </w:rPr>
        <w:t>(1)一年之內eGFR下降≧5.0 mL/min/1.73 m2 或五年內eGFR每年下降≧2.5mL/min/1.73 m2，且排除其它如脫水、藥物、感染、阻塞等原因所致。</w:t>
      </w:r>
    </w:p>
    <w:p w14:paraId="2EDCB761" w14:textId="77777777" w:rsidR="00BD776B" w:rsidRDefault="00DF0C24">
      <w:pPr>
        <w:ind w:left="993" w:firstLine="1"/>
        <w:rPr>
          <w:rFonts w:ascii="標楷體" w:eastAsia="標楷體" w:hAnsi="標楷體"/>
          <w:color w:val="000000"/>
        </w:rPr>
      </w:pPr>
      <w:r>
        <w:rPr>
          <w:rFonts w:ascii="標楷體" w:eastAsia="標楷體" w:hAnsi="標楷體"/>
          <w:color w:val="000000"/>
        </w:rPr>
        <w:t>(2)htTKV符合Mayo分期1C-1E disease</w:t>
      </w:r>
    </w:p>
    <w:p w14:paraId="6473C2A7" w14:textId="77777777" w:rsidR="00BD776B" w:rsidRDefault="00DF0C24">
      <w:pPr>
        <w:ind w:left="709"/>
        <w:rPr>
          <w:rFonts w:ascii="標楷體" w:eastAsia="標楷體" w:hAnsi="標楷體"/>
          <w:color w:val="000000"/>
        </w:rPr>
      </w:pPr>
      <w:r>
        <w:rPr>
          <w:rFonts w:ascii="標楷體" w:eastAsia="標楷體" w:hAnsi="標楷體"/>
          <w:color w:val="000000"/>
        </w:rPr>
        <w:t>3.病患開始使用tolvaptan前，確認下列條件及病史：</w:t>
      </w:r>
    </w:p>
    <w:p w14:paraId="47FF6645" w14:textId="77777777" w:rsidR="00BD776B" w:rsidRDefault="00DF0C24">
      <w:pPr>
        <w:ind w:left="993"/>
        <w:rPr>
          <w:rFonts w:ascii="標楷體" w:eastAsia="標楷體" w:hAnsi="標楷體"/>
          <w:color w:val="000000"/>
        </w:rPr>
      </w:pPr>
      <w:r>
        <w:rPr>
          <w:rFonts w:ascii="標楷體" w:eastAsia="標楷體" w:hAnsi="標楷體"/>
          <w:color w:val="000000"/>
        </w:rPr>
        <w:t>(1)用藥前肝功能正常</w:t>
      </w:r>
    </w:p>
    <w:p w14:paraId="2C034A99" w14:textId="77777777" w:rsidR="00BD776B" w:rsidRDefault="00DF0C24">
      <w:pPr>
        <w:ind w:left="993"/>
        <w:rPr>
          <w:rFonts w:ascii="標楷體" w:eastAsia="標楷體" w:hAnsi="標楷體"/>
          <w:color w:val="000000"/>
        </w:rPr>
      </w:pPr>
      <w:r>
        <w:rPr>
          <w:rFonts w:ascii="標楷體" w:eastAsia="標楷體" w:hAnsi="標楷體"/>
          <w:color w:val="000000"/>
        </w:rPr>
        <w:t>(2)血清尿酸濃度控制在7mg/dL或以下</w:t>
      </w:r>
    </w:p>
    <w:p w14:paraId="155187C8" w14:textId="77777777" w:rsidR="00BD776B" w:rsidRDefault="00DF0C24">
      <w:pPr>
        <w:ind w:left="993"/>
        <w:rPr>
          <w:rFonts w:ascii="標楷體" w:eastAsia="標楷體" w:hAnsi="標楷體"/>
          <w:color w:val="000000"/>
        </w:rPr>
      </w:pPr>
      <w:r>
        <w:rPr>
          <w:rFonts w:ascii="標楷體" w:eastAsia="標楷體" w:hAnsi="標楷體"/>
          <w:color w:val="000000"/>
        </w:rPr>
        <w:t>(3)沒有青光眼或經眼科醫師證明眼壓控制良好</w:t>
      </w:r>
    </w:p>
    <w:p w14:paraId="73D2BFF8" w14:textId="77777777" w:rsidR="00BD776B" w:rsidRDefault="00DF0C24">
      <w:pPr>
        <w:ind w:left="993"/>
        <w:rPr>
          <w:rFonts w:ascii="標楷體" w:eastAsia="標楷體" w:hAnsi="標楷體"/>
          <w:color w:val="000000"/>
        </w:rPr>
      </w:pPr>
      <w:r>
        <w:rPr>
          <w:rFonts w:ascii="標楷體" w:eastAsia="標楷體" w:hAnsi="標楷體"/>
          <w:color w:val="000000"/>
        </w:rPr>
        <w:t>(4)沒有皮膚腫瘤的病史</w:t>
      </w:r>
    </w:p>
    <w:p w14:paraId="771B95C3" w14:textId="77777777" w:rsidR="00BD776B" w:rsidRDefault="00DF0C24">
      <w:pPr>
        <w:ind w:left="993"/>
        <w:rPr>
          <w:rFonts w:ascii="標楷體" w:eastAsia="標楷體" w:hAnsi="標楷體"/>
          <w:color w:val="000000"/>
        </w:rPr>
      </w:pPr>
      <w:r>
        <w:rPr>
          <w:rFonts w:ascii="標楷體" w:eastAsia="標楷體" w:hAnsi="標楷體"/>
          <w:color w:val="000000"/>
        </w:rPr>
        <w:t>(5)沒有電解質異常</w:t>
      </w:r>
    </w:p>
    <w:p w14:paraId="784D3FAA" w14:textId="77777777" w:rsidR="00BD776B" w:rsidRDefault="00DF0C24">
      <w:pPr>
        <w:ind w:left="993"/>
        <w:rPr>
          <w:rFonts w:ascii="標楷體" w:eastAsia="標楷體" w:hAnsi="標楷體"/>
          <w:color w:val="000000"/>
        </w:rPr>
      </w:pPr>
      <w:r>
        <w:rPr>
          <w:rFonts w:ascii="標楷體" w:eastAsia="標楷體" w:hAnsi="標楷體"/>
          <w:color w:val="000000"/>
        </w:rPr>
        <w:t>(6)排除懷孕、哺乳、脫水、尿路阻塞、及肝臟損傷病史</w:t>
      </w:r>
    </w:p>
    <w:p w14:paraId="46905744" w14:textId="77777777" w:rsidR="00BD776B" w:rsidRDefault="00DF0C24">
      <w:pPr>
        <w:ind w:left="709"/>
        <w:rPr>
          <w:rFonts w:ascii="標楷體" w:eastAsia="標楷體" w:hAnsi="標楷體"/>
          <w:color w:val="000000"/>
        </w:rPr>
      </w:pPr>
      <w:r>
        <w:rPr>
          <w:rFonts w:ascii="標楷體" w:eastAsia="標楷體" w:hAnsi="標楷體"/>
          <w:color w:val="000000"/>
        </w:rPr>
        <w:t>4.出現下列情況時停用tolvaptan：</w:t>
      </w:r>
    </w:p>
    <w:p w14:paraId="2A70A4F2" w14:textId="77777777" w:rsidR="00BD776B" w:rsidRDefault="00DF0C24">
      <w:pPr>
        <w:ind w:left="993"/>
        <w:rPr>
          <w:rFonts w:ascii="標楷體" w:eastAsia="標楷體" w:hAnsi="標楷體"/>
          <w:color w:val="000000"/>
        </w:rPr>
      </w:pPr>
      <w:r>
        <w:rPr>
          <w:rFonts w:ascii="標楷體" w:eastAsia="標楷體" w:hAnsi="標楷體"/>
          <w:color w:val="000000"/>
        </w:rPr>
        <w:t>(1)在藥物調整後，肝功能指數仍高於上限三倍</w:t>
      </w:r>
    </w:p>
    <w:p w14:paraId="3E749834" w14:textId="77777777" w:rsidR="00BD776B" w:rsidRDefault="00DF0C24">
      <w:pPr>
        <w:ind w:left="993"/>
        <w:rPr>
          <w:rFonts w:ascii="標楷體" w:eastAsia="標楷體" w:hAnsi="標楷體"/>
          <w:color w:val="000000"/>
        </w:rPr>
      </w:pPr>
      <w:r>
        <w:rPr>
          <w:rFonts w:ascii="標楷體" w:eastAsia="標楷體" w:hAnsi="標楷體"/>
          <w:color w:val="000000"/>
        </w:rPr>
        <w:t>(2)在使用tolvaptan一年後，eGFR下降仍≧5mL/min/1.73 m2</w:t>
      </w:r>
    </w:p>
    <w:p w14:paraId="19FFD6E3" w14:textId="77777777" w:rsidR="00BD776B" w:rsidRDefault="00DF0C24">
      <w:pPr>
        <w:ind w:left="993"/>
        <w:rPr>
          <w:rFonts w:ascii="標楷體" w:eastAsia="標楷體" w:hAnsi="標楷體"/>
          <w:color w:val="000000"/>
        </w:rPr>
      </w:pPr>
      <w:r>
        <w:rPr>
          <w:rFonts w:ascii="標楷體" w:eastAsia="標楷體" w:hAnsi="標楷體"/>
          <w:color w:val="000000"/>
        </w:rPr>
        <w:t>(3)有明顯副作用以致有危害健康的疑慮時</w:t>
      </w:r>
    </w:p>
    <w:p w14:paraId="06E38DB2" w14:textId="77777777" w:rsidR="00BD776B" w:rsidRDefault="00DF0C24">
      <w:pPr>
        <w:ind w:left="566" w:hanging="283"/>
        <w:rPr>
          <w:rFonts w:ascii="標楷體" w:eastAsia="標楷體" w:hAnsi="標楷體"/>
          <w:color w:val="000000"/>
        </w:rPr>
      </w:pPr>
      <w:r>
        <w:rPr>
          <w:rFonts w:ascii="標楷體" w:eastAsia="標楷體" w:hAnsi="標楷體"/>
          <w:color w:val="000000"/>
        </w:rPr>
        <w:t>2.14.Sacubitril+Valsartan (如Entresto)：(106/3/1、109/6/1、110/7/1、111/5/1)</w:t>
      </w:r>
    </w:p>
    <w:p w14:paraId="62BFA739" w14:textId="77777777" w:rsidR="00BD776B" w:rsidRDefault="00DF0C24">
      <w:pPr>
        <w:ind w:left="991" w:hanging="283"/>
        <w:rPr>
          <w:rFonts w:ascii="標楷體" w:eastAsia="標楷體" w:hAnsi="標楷體"/>
          <w:color w:val="000000"/>
        </w:rPr>
      </w:pPr>
      <w:r>
        <w:rPr>
          <w:rFonts w:ascii="標楷體" w:eastAsia="標楷體" w:hAnsi="標楷體"/>
          <w:color w:val="000000"/>
        </w:rPr>
        <w:t>1.限符合下列各項條件之慢性收縮性心衰竭患者使用：</w:t>
      </w:r>
    </w:p>
    <w:p w14:paraId="6D7F336F" w14:textId="77777777" w:rsidR="00BD776B" w:rsidRDefault="00DF0C24">
      <w:pPr>
        <w:ind w:left="1274" w:hanging="283"/>
        <w:rPr>
          <w:rFonts w:ascii="標楷體" w:eastAsia="標楷體" w:hAnsi="標楷體"/>
          <w:color w:val="000000"/>
        </w:rPr>
      </w:pPr>
      <w:r>
        <w:rPr>
          <w:rFonts w:ascii="標楷體" w:eastAsia="標楷體" w:hAnsi="標楷體"/>
          <w:color w:val="000000"/>
        </w:rPr>
        <w:t xml:space="preserve">(1)依紐約心臟協會(NYHA)心衰竭功能分級為第二級至第四級。左心室收縮功能不全，左心室射出分率(LVEF)≦35% (初次使用者須檢附半年內心臟超音波、心導管左心室造影、核醫、電腦斷層或磁振造影等標準心臟功能檢查的左心室射出分率數值結果為參考依據；如果是急性心肌梗塞、急性心肌炎或初次裝置左心室再同步心律調節器或左心室再同步去顫復律器者，須經治療至少3個月並附上往後半年內之心臟超音波、心導管左心室造影、核醫、電腦斷層或磁振造影等標準心臟功能檢查的左心室射出分率數值結果為參考依據)；或左心室射出分率(LVEF)介於36%至40%且對SGLT2抑制劑不耐受之病人(109/6/1、110/7/1、111/5/1)。 </w:t>
      </w:r>
    </w:p>
    <w:p w14:paraId="43E52196" w14:textId="77777777" w:rsidR="00BD776B" w:rsidRDefault="00DF0C24">
      <w:pPr>
        <w:ind w:left="1274" w:hanging="283"/>
        <w:rPr>
          <w:rFonts w:ascii="標楷體" w:eastAsia="標楷體" w:hAnsi="標楷體"/>
          <w:color w:val="000000"/>
        </w:rPr>
      </w:pPr>
      <w:r>
        <w:rPr>
          <w:rFonts w:ascii="標楷體" w:eastAsia="標楷體" w:hAnsi="標楷體"/>
          <w:color w:val="000000"/>
        </w:rPr>
        <w:t>(2)經ACEI或ARB穩定劑量治療，及合併使用β-阻斷劑最大可耐受劑量已達4週(含)以上或使用β-阻斷劑有禁忌症而無法使用，且再併用SGLT-2抑制劑治療12週之後，LVEF仍≦35%，或對SGLT-2抑制劑無法耐受，仍有心衰竭症狀者。(109/6/1、111/5/1)</w:t>
      </w:r>
    </w:p>
    <w:p w14:paraId="48463F80" w14:textId="77777777" w:rsidR="00BD776B" w:rsidRDefault="00DF0C24">
      <w:pPr>
        <w:ind w:left="991" w:hanging="283"/>
        <w:rPr>
          <w:rFonts w:ascii="標楷體" w:eastAsia="標楷體" w:hAnsi="標楷體"/>
          <w:color w:val="000000"/>
        </w:rPr>
      </w:pPr>
      <w:r>
        <w:rPr>
          <w:rFonts w:ascii="標楷體" w:eastAsia="標楷體" w:hAnsi="標楷體"/>
          <w:color w:val="000000"/>
        </w:rPr>
        <w:t>2.不應與ACEI或ARB合併使用，開始使用本藥，至少要和ACEI間隔36小時。(109/6/1)</w:t>
      </w:r>
    </w:p>
    <w:p w14:paraId="49FEDA54" w14:textId="77777777" w:rsidR="00BD776B" w:rsidRDefault="00DF0C24">
      <w:pPr>
        <w:ind w:left="991" w:hanging="283"/>
        <w:rPr>
          <w:rFonts w:ascii="標楷體" w:eastAsia="標楷體" w:hAnsi="標楷體"/>
          <w:color w:val="000000"/>
        </w:rPr>
      </w:pPr>
      <w:r>
        <w:rPr>
          <w:rFonts w:ascii="標楷體" w:eastAsia="標楷體" w:hAnsi="標楷體"/>
          <w:color w:val="000000"/>
        </w:rPr>
        <w:lastRenderedPageBreak/>
        <w:t>3.曾有血管性水腫(angioedema)病史者，禁止使用。</w:t>
      </w:r>
    </w:p>
    <w:p w14:paraId="510AB7A2" w14:textId="77777777" w:rsidR="00BD776B" w:rsidRDefault="00DF0C24">
      <w:pPr>
        <w:ind w:left="991" w:hanging="283"/>
        <w:rPr>
          <w:rFonts w:ascii="標楷體" w:eastAsia="標楷體" w:hAnsi="標楷體"/>
          <w:color w:val="000000"/>
        </w:rPr>
      </w:pPr>
      <w:r>
        <w:rPr>
          <w:rFonts w:ascii="標楷體" w:eastAsia="標楷體" w:hAnsi="標楷體"/>
          <w:color w:val="000000"/>
        </w:rPr>
        <w:t>4.每日限最多使用2粒。</w:t>
      </w:r>
    </w:p>
    <w:p w14:paraId="2333AA01" w14:textId="77777777" w:rsidR="00BD776B" w:rsidRDefault="00DF0C24">
      <w:pPr>
        <w:ind w:left="991" w:hanging="283"/>
        <w:rPr>
          <w:rFonts w:ascii="標楷體" w:eastAsia="標楷體" w:hAnsi="標楷體"/>
          <w:color w:val="000000"/>
        </w:rPr>
      </w:pPr>
      <w:r>
        <w:rPr>
          <w:rFonts w:ascii="標楷體" w:eastAsia="標楷體" w:hAnsi="標楷體"/>
          <w:color w:val="000000"/>
        </w:rPr>
        <w:t>5.111年5月1日前已依修訂前之給付規定使用本藥品之病人，得繼續使用本藥品至醫師更新其處方內容。(111/5/1)</w:t>
      </w:r>
    </w:p>
    <w:p w14:paraId="100DAE46" w14:textId="77777777" w:rsidR="00BD776B" w:rsidRDefault="00DF0C24">
      <w:pPr>
        <w:ind w:left="672" w:hanging="386"/>
        <w:rPr>
          <w:rFonts w:ascii="標楷體" w:eastAsia="標楷體" w:hAnsi="標楷體"/>
          <w:color w:val="000000"/>
        </w:rPr>
      </w:pPr>
      <w:r>
        <w:rPr>
          <w:rFonts w:ascii="標楷體" w:eastAsia="標楷體" w:hAnsi="標楷體"/>
          <w:color w:val="000000"/>
        </w:rPr>
        <w:t>2.15.Digoxin口服液劑(如Cardiacin elixir)：(110/1/1)</w:t>
      </w:r>
    </w:p>
    <w:p w14:paraId="77E378F6" w14:textId="77777777" w:rsidR="00BD776B" w:rsidRDefault="00DF0C24">
      <w:pPr>
        <w:ind w:left="849" w:hanging="283"/>
        <w:rPr>
          <w:rFonts w:ascii="標楷體" w:eastAsia="標楷體" w:hAnsi="標楷體"/>
          <w:color w:val="000000"/>
        </w:rPr>
      </w:pPr>
      <w:r>
        <w:rPr>
          <w:rFonts w:ascii="標楷體" w:eastAsia="標楷體" w:hAnsi="標楷體"/>
          <w:color w:val="000000"/>
        </w:rPr>
        <w:t>限用於年齡1個月以上至未滿7歲兒童。</w:t>
      </w:r>
    </w:p>
    <w:p w14:paraId="4FE61CAD" w14:textId="77777777" w:rsidR="00266275" w:rsidRPr="00266275" w:rsidRDefault="00266275" w:rsidP="00266275">
      <w:pPr>
        <w:ind w:leftChars="119" w:left="672" w:hangingChars="161" w:hanging="386"/>
        <w:rPr>
          <w:rFonts w:ascii="標楷體" w:eastAsia="標楷體" w:hAnsi="標楷體"/>
          <w:color w:val="000000"/>
          <w:kern w:val="2"/>
        </w:rPr>
      </w:pPr>
      <w:r w:rsidRPr="00266275">
        <w:rPr>
          <w:rFonts w:ascii="標楷體" w:eastAsia="標楷體" w:hAnsi="標楷體"/>
          <w:color w:val="000000"/>
          <w:kern w:val="2"/>
        </w:rPr>
        <w:t>2.16.Dapagliflozin(如Forxiga)、empagliflozin (如Jardiance 10mg)：（111/5/1、111/8/1、114/</w:t>
      </w:r>
      <w:r w:rsidRPr="00266275">
        <w:rPr>
          <w:rFonts w:ascii="標楷體" w:eastAsia="標楷體" w:hAnsi="標楷體" w:hint="eastAsia"/>
          <w:color w:val="000000"/>
          <w:kern w:val="2"/>
        </w:rPr>
        <w:t>3</w:t>
      </w:r>
      <w:r w:rsidRPr="00266275">
        <w:rPr>
          <w:rFonts w:ascii="標楷體" w:eastAsia="標楷體" w:hAnsi="標楷體"/>
          <w:color w:val="000000"/>
          <w:kern w:val="2"/>
        </w:rPr>
        <w:t>/1）</w:t>
      </w:r>
    </w:p>
    <w:p w14:paraId="49E6F935" w14:textId="77777777" w:rsidR="00266275" w:rsidRPr="00266275" w:rsidRDefault="00266275" w:rsidP="00266275">
      <w:pPr>
        <w:suppressAutoHyphens w:val="0"/>
        <w:autoSpaceDN/>
        <w:ind w:leftChars="295" w:left="991" w:hangingChars="118" w:hanging="283"/>
        <w:textAlignment w:val="auto"/>
        <w:rPr>
          <w:rFonts w:ascii="標楷體" w:eastAsia="標楷體" w:hAnsi="標楷體"/>
          <w:color w:val="000000"/>
          <w:kern w:val="2"/>
        </w:rPr>
      </w:pPr>
      <w:r w:rsidRPr="00266275">
        <w:rPr>
          <w:rFonts w:ascii="標楷體" w:eastAsia="標楷體" w:hAnsi="標楷體"/>
          <w:color w:val="000000"/>
          <w:kern w:val="2"/>
        </w:rPr>
        <w:t>1.慢性收縮性心衰竭：</w:t>
      </w:r>
    </w:p>
    <w:p w14:paraId="3CF3305C" w14:textId="77777777" w:rsidR="00266275" w:rsidRPr="00266275" w:rsidRDefault="00266275" w:rsidP="00266275">
      <w:pPr>
        <w:suppressAutoHyphens w:val="0"/>
        <w:autoSpaceDN/>
        <w:ind w:leftChars="413" w:left="1274" w:hangingChars="118" w:hanging="283"/>
        <w:textAlignment w:val="auto"/>
        <w:rPr>
          <w:rFonts w:ascii="標楷體" w:eastAsia="標楷體" w:hAnsi="標楷體"/>
          <w:color w:val="000000"/>
          <w:kern w:val="2"/>
        </w:rPr>
      </w:pPr>
      <w:r w:rsidRPr="00266275">
        <w:rPr>
          <w:rFonts w:ascii="標楷體" w:eastAsia="標楷體" w:hAnsi="標楷體"/>
          <w:color w:val="000000"/>
          <w:kern w:val="2"/>
        </w:rPr>
        <w:t>(1)用於慢性收縮性心衰竭病人(LVEF</w:t>
      </w:r>
      <w:r w:rsidRPr="00266275">
        <w:rPr>
          <w:rFonts w:ascii="標楷體" w:eastAsia="標楷體" w:hAnsi="標楷體" w:hint="eastAsia"/>
          <w:color w:val="000000"/>
          <w:kern w:val="2"/>
        </w:rPr>
        <w:t>≦</w:t>
      </w:r>
      <w:r w:rsidRPr="00266275">
        <w:rPr>
          <w:rFonts w:ascii="標楷體" w:eastAsia="標楷體" w:hAnsi="標楷體"/>
          <w:color w:val="000000"/>
          <w:kern w:val="2"/>
        </w:rPr>
        <w:t>40%)，應完全符合下列條件：</w:t>
      </w:r>
    </w:p>
    <w:p w14:paraId="5893058C"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Ⅰ.依紐約心臟協會(NYHA)心衰竭功能分級為第二級至第四級。左心室收縮功能不全，左心室射出分率(LVEF)</w:t>
      </w:r>
      <w:r w:rsidRPr="00266275">
        <w:rPr>
          <w:rFonts w:ascii="標楷體" w:eastAsia="標楷體" w:hAnsi="標楷體" w:hint="eastAsia"/>
          <w:color w:val="000000"/>
          <w:kern w:val="2"/>
        </w:rPr>
        <w:t>≦</w:t>
      </w:r>
      <w:r w:rsidRPr="00266275">
        <w:rPr>
          <w:rFonts w:ascii="標楷體" w:eastAsia="標楷體" w:hAnsi="標楷體"/>
          <w:color w:val="000000"/>
          <w:kern w:val="2"/>
        </w:rPr>
        <w:t xml:space="preserve">40%(初次使用者須檢附一年內心臟超音波、心導管左心室造影、核醫、電腦斷層或磁振造影等標準心臟功能檢查的左心室射出分率數值結果)。 </w:t>
      </w:r>
    </w:p>
    <w:p w14:paraId="1B48BAAE"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Ⅱ.經ACEI或ARB穩定劑量治療，及合併使用β-阻斷劑最大可耐受劑量已達4週(含)以上或使用β-阻斷劑有禁忌症而無法使用，仍有心衰竭症狀者。</w:t>
      </w:r>
    </w:p>
    <w:p w14:paraId="502E717D" w14:textId="77777777" w:rsidR="00266275" w:rsidRPr="00266275" w:rsidRDefault="00266275" w:rsidP="00266275">
      <w:pPr>
        <w:suppressAutoHyphens w:val="0"/>
        <w:autoSpaceDN/>
        <w:ind w:leftChars="413" w:left="1274" w:hangingChars="118" w:hanging="283"/>
        <w:textAlignment w:val="auto"/>
        <w:rPr>
          <w:rFonts w:ascii="標楷體" w:eastAsia="標楷體" w:hAnsi="標楷體"/>
          <w:color w:val="000000"/>
          <w:kern w:val="2"/>
        </w:rPr>
      </w:pPr>
      <w:r w:rsidRPr="00266275">
        <w:rPr>
          <w:rFonts w:ascii="標楷體" w:eastAsia="標楷體" w:hAnsi="標楷體"/>
          <w:color w:val="000000"/>
          <w:kern w:val="2"/>
        </w:rPr>
        <w:t>(2)用於慢性收縮性心衰竭病人(41%</w:t>
      </w:r>
      <w:r w:rsidRPr="00266275">
        <w:rPr>
          <w:rFonts w:ascii="標楷體" w:eastAsia="標楷體" w:hAnsi="標楷體" w:hint="eastAsia"/>
          <w:color w:val="000000"/>
          <w:kern w:val="2"/>
        </w:rPr>
        <w:t>≦</w:t>
      </w:r>
      <w:r w:rsidRPr="00266275">
        <w:rPr>
          <w:rFonts w:ascii="標楷體" w:eastAsia="標楷體" w:hAnsi="標楷體"/>
          <w:color w:val="000000"/>
          <w:kern w:val="2"/>
        </w:rPr>
        <w:t>LVEF</w:t>
      </w:r>
      <w:r w:rsidRPr="00266275">
        <w:rPr>
          <w:rFonts w:ascii="標楷體" w:eastAsia="標楷體" w:hAnsi="標楷體" w:hint="eastAsia"/>
          <w:color w:val="000000"/>
          <w:kern w:val="2"/>
        </w:rPr>
        <w:t>≦</w:t>
      </w:r>
      <w:r w:rsidRPr="00266275">
        <w:rPr>
          <w:rFonts w:ascii="標楷體" w:eastAsia="標楷體" w:hAnsi="標楷體"/>
          <w:color w:val="000000"/>
          <w:kern w:val="2"/>
        </w:rPr>
        <w:t>49%)，應完全符合下列條件：(114/</w:t>
      </w:r>
      <w:r w:rsidRPr="00266275">
        <w:rPr>
          <w:rFonts w:ascii="標楷體" w:eastAsia="標楷體" w:hAnsi="標楷體" w:hint="eastAsia"/>
          <w:color w:val="000000"/>
          <w:kern w:val="2"/>
        </w:rPr>
        <w:t>3</w:t>
      </w:r>
      <w:r w:rsidRPr="00266275">
        <w:rPr>
          <w:rFonts w:ascii="標楷體" w:eastAsia="標楷體" w:hAnsi="標楷體"/>
          <w:color w:val="000000"/>
          <w:kern w:val="2"/>
        </w:rPr>
        <w:t>/1）</w:t>
      </w:r>
    </w:p>
    <w:p w14:paraId="20C49ECE"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Ⅰ.依紐約心臟協會(NYHA)心衰竭功能分級為第二級至第四級。左心室收縮功能不全，左心室射出分率(LVEF)</w:t>
      </w:r>
      <w:r w:rsidRPr="00266275">
        <w:rPr>
          <w:rFonts w:ascii="標楷體" w:eastAsia="標楷體" w:hAnsi="標楷體" w:hint="eastAsia"/>
          <w:color w:val="000000"/>
          <w:kern w:val="2"/>
        </w:rPr>
        <w:t>≧</w:t>
      </w:r>
      <w:r w:rsidRPr="00266275">
        <w:rPr>
          <w:rFonts w:ascii="標楷體" w:eastAsia="標楷體" w:hAnsi="標楷體"/>
          <w:color w:val="000000"/>
          <w:kern w:val="2"/>
        </w:rPr>
        <w:t>41且</w:t>
      </w:r>
      <w:r w:rsidRPr="00266275">
        <w:rPr>
          <w:rFonts w:ascii="標楷體" w:eastAsia="標楷體" w:hAnsi="標楷體" w:hint="eastAsia"/>
          <w:color w:val="000000"/>
          <w:kern w:val="2"/>
        </w:rPr>
        <w:t>≦</w:t>
      </w:r>
      <w:r w:rsidRPr="00266275">
        <w:rPr>
          <w:rFonts w:ascii="標楷體" w:eastAsia="標楷體" w:hAnsi="標楷體"/>
          <w:color w:val="000000"/>
          <w:kern w:val="2"/>
        </w:rPr>
        <w:t>49%(初次使用者須檢附一年內心臟超音波、心導管左心室造影、核醫、電腦斷層或磁振造影等標準心臟功能檢查的左心室射出分率數值結果)。</w:t>
      </w:r>
    </w:p>
    <w:p w14:paraId="320D08DF"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Ⅱ.經ACEI或ARB穩定劑量治療，及合併使用β-阻斷劑最大可耐受劑量已達4週(含)以上或使用β-阻斷劑有禁忌症而無法使用，仍有心衰竭症狀者。</w:t>
      </w:r>
    </w:p>
    <w:p w14:paraId="391A2A27"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Ⅲ.過去曾有心臟衰竭住院病史或經心臟專科醫師診斷為心衰竭者。</w:t>
      </w:r>
    </w:p>
    <w:p w14:paraId="3BCFFD86" w14:textId="77777777" w:rsidR="00266275" w:rsidRPr="00266275" w:rsidRDefault="00266275" w:rsidP="00266275">
      <w:pPr>
        <w:suppressAutoHyphens w:val="0"/>
        <w:autoSpaceDN/>
        <w:ind w:leftChars="295" w:left="708"/>
        <w:textAlignment w:val="auto"/>
        <w:rPr>
          <w:rFonts w:ascii="標楷體" w:eastAsia="標楷體" w:hAnsi="標楷體"/>
          <w:color w:val="000000"/>
          <w:kern w:val="2"/>
        </w:rPr>
      </w:pPr>
      <w:r w:rsidRPr="00266275">
        <w:rPr>
          <w:rFonts w:ascii="標楷體" w:eastAsia="標楷體" w:hAnsi="標楷體"/>
          <w:color w:val="000000"/>
          <w:kern w:val="2"/>
        </w:rPr>
        <w:t>2.慢性腎臟病：(114/</w:t>
      </w:r>
      <w:r w:rsidRPr="00266275">
        <w:rPr>
          <w:rFonts w:ascii="標楷體" w:eastAsia="標楷體" w:hAnsi="標楷體" w:hint="eastAsia"/>
          <w:color w:val="000000"/>
          <w:kern w:val="2"/>
        </w:rPr>
        <w:t>3</w:t>
      </w:r>
      <w:r w:rsidRPr="00266275">
        <w:rPr>
          <w:rFonts w:ascii="標楷體" w:eastAsia="標楷體" w:hAnsi="標楷體"/>
          <w:color w:val="000000"/>
          <w:kern w:val="2"/>
        </w:rPr>
        <w:t>/1）</w:t>
      </w:r>
    </w:p>
    <w:p w14:paraId="353DD1FA" w14:textId="77777777" w:rsidR="00266275" w:rsidRPr="00266275" w:rsidRDefault="00266275" w:rsidP="00266275">
      <w:pPr>
        <w:suppressAutoHyphens w:val="0"/>
        <w:autoSpaceDN/>
        <w:ind w:leftChars="413" w:left="1274" w:hangingChars="118" w:hanging="283"/>
        <w:textAlignment w:val="auto"/>
        <w:rPr>
          <w:rFonts w:ascii="標楷體" w:eastAsia="標楷體" w:hAnsi="標楷體"/>
          <w:color w:val="000000"/>
          <w:kern w:val="2"/>
        </w:rPr>
      </w:pPr>
      <w:r w:rsidRPr="00266275">
        <w:rPr>
          <w:rFonts w:ascii="標楷體" w:eastAsia="標楷體" w:hAnsi="標楷體"/>
          <w:color w:val="000000"/>
          <w:kern w:val="2"/>
        </w:rPr>
        <w:t>(1)限用於參加「初期慢性腎臟病照護整合方案」或「全民健康保險末期腎臟病前期(Pre-ESRD)之病人照護與衛教計畫」之慢性腎臟病病人，應完全符合下列條件：</w:t>
      </w:r>
      <w:r w:rsidRPr="00266275" w:rsidDel="00973ADB">
        <w:rPr>
          <w:rFonts w:ascii="標楷體" w:eastAsia="標楷體" w:hAnsi="標楷體"/>
          <w:color w:val="000000"/>
          <w:kern w:val="2"/>
        </w:rPr>
        <w:t xml:space="preserve"> </w:t>
      </w:r>
    </w:p>
    <w:p w14:paraId="1FAD2490"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Ⅰ.接受dapagliflozin或empagliflozin治療前應穩定接受最大耐受劑量的ACEI或ARB至少4週。</w:t>
      </w:r>
    </w:p>
    <w:p w14:paraId="50605964"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Ⅱ.起始治療eGFR</w:t>
      </w:r>
      <w:r w:rsidRPr="00266275">
        <w:rPr>
          <w:rFonts w:ascii="標楷體" w:eastAsia="標楷體" w:hAnsi="標楷體" w:hint="eastAsia"/>
          <w:color w:val="000000"/>
          <w:kern w:val="2"/>
        </w:rPr>
        <w:t>≧</w:t>
      </w:r>
      <w:r w:rsidRPr="00266275">
        <w:rPr>
          <w:rFonts w:ascii="標楷體" w:eastAsia="標楷體" w:hAnsi="標楷體"/>
          <w:color w:val="000000"/>
          <w:kern w:val="2"/>
        </w:rPr>
        <w:t>25且</w:t>
      </w:r>
      <w:r w:rsidRPr="00266275">
        <w:rPr>
          <w:rFonts w:ascii="標楷體" w:eastAsia="標楷體" w:hAnsi="標楷體" w:hint="eastAsia"/>
          <w:color w:val="000000"/>
          <w:kern w:val="2"/>
        </w:rPr>
        <w:t>≦</w:t>
      </w:r>
      <w:r w:rsidRPr="00266275">
        <w:rPr>
          <w:rFonts w:ascii="標楷體" w:eastAsia="標楷體" w:hAnsi="標楷體"/>
          <w:color w:val="000000"/>
          <w:kern w:val="2"/>
        </w:rPr>
        <w:t>60mL/min/1.73m2。</w:t>
      </w:r>
    </w:p>
    <w:p w14:paraId="1B522A32"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Ⅲ.uACR</w:t>
      </w:r>
      <w:r w:rsidRPr="00266275">
        <w:rPr>
          <w:rFonts w:ascii="標楷體" w:eastAsia="標楷體" w:hAnsi="標楷體" w:hint="eastAsia"/>
          <w:color w:val="000000"/>
          <w:kern w:val="2"/>
        </w:rPr>
        <w:t>≧</w:t>
      </w:r>
      <w:r w:rsidRPr="00266275">
        <w:rPr>
          <w:rFonts w:ascii="標楷體" w:eastAsia="標楷體" w:hAnsi="標楷體"/>
          <w:color w:val="000000"/>
          <w:kern w:val="2"/>
        </w:rPr>
        <w:t>200且</w:t>
      </w:r>
      <w:r w:rsidRPr="00266275">
        <w:rPr>
          <w:rFonts w:ascii="標楷體" w:eastAsia="標楷體" w:hAnsi="標楷體" w:hint="eastAsia"/>
          <w:color w:val="000000"/>
          <w:kern w:val="2"/>
        </w:rPr>
        <w:t>≦</w:t>
      </w:r>
      <w:r w:rsidRPr="00266275">
        <w:rPr>
          <w:rFonts w:ascii="標楷體" w:eastAsia="標楷體" w:hAnsi="標楷體"/>
          <w:color w:val="000000"/>
          <w:kern w:val="2"/>
        </w:rPr>
        <w:t>5000/mg/g。</w:t>
      </w:r>
    </w:p>
    <w:p w14:paraId="3A2983FA" w14:textId="77777777" w:rsidR="00266275" w:rsidRPr="00266275" w:rsidRDefault="00266275" w:rsidP="00266275">
      <w:pPr>
        <w:suppressAutoHyphens w:val="0"/>
        <w:autoSpaceDN/>
        <w:ind w:leftChars="473" w:left="1418" w:hangingChars="118" w:hanging="283"/>
        <w:textAlignment w:val="auto"/>
        <w:rPr>
          <w:rFonts w:ascii="標楷體" w:eastAsia="標楷體" w:hAnsi="標楷體"/>
          <w:color w:val="000000"/>
          <w:kern w:val="2"/>
        </w:rPr>
      </w:pPr>
      <w:r w:rsidRPr="00266275">
        <w:rPr>
          <w:rFonts w:ascii="標楷體" w:eastAsia="標楷體" w:hAnsi="標楷體"/>
          <w:color w:val="000000"/>
          <w:kern w:val="2"/>
        </w:rPr>
        <w:t>Ⅳ.須排除有以下任一情形：</w:t>
      </w:r>
    </w:p>
    <w:p w14:paraId="65B8D00E" w14:textId="77777777" w:rsidR="00266275" w:rsidRPr="00266275" w:rsidRDefault="00266275" w:rsidP="00266275">
      <w:pPr>
        <w:suppressAutoHyphens w:val="0"/>
        <w:autoSpaceDN/>
        <w:ind w:leftChars="531" w:left="1699" w:hangingChars="177" w:hanging="425"/>
        <w:textAlignment w:val="auto"/>
        <w:rPr>
          <w:rFonts w:ascii="標楷體" w:eastAsia="標楷體" w:hAnsi="標楷體"/>
          <w:color w:val="000000"/>
          <w:kern w:val="2"/>
        </w:rPr>
      </w:pPr>
      <w:r w:rsidRPr="00266275">
        <w:rPr>
          <w:rFonts w:ascii="標楷體" w:eastAsia="標楷體" w:hAnsi="標楷體"/>
          <w:color w:val="000000"/>
          <w:kern w:val="2"/>
        </w:rPr>
        <w:t>i.第1型糖尿病。</w:t>
      </w:r>
    </w:p>
    <w:p w14:paraId="7E1298CD" w14:textId="77777777" w:rsidR="00266275" w:rsidRPr="00266275" w:rsidRDefault="00266275" w:rsidP="00266275">
      <w:pPr>
        <w:suppressAutoHyphens w:val="0"/>
        <w:autoSpaceDN/>
        <w:ind w:leftChars="531" w:left="1699" w:hangingChars="177" w:hanging="425"/>
        <w:textAlignment w:val="auto"/>
        <w:rPr>
          <w:rFonts w:ascii="標楷體" w:eastAsia="標楷體" w:hAnsi="標楷體"/>
          <w:color w:val="000000"/>
          <w:kern w:val="2"/>
        </w:rPr>
      </w:pPr>
      <w:r w:rsidRPr="00266275">
        <w:rPr>
          <w:rFonts w:ascii="標楷體" w:eastAsia="標楷體" w:hAnsi="標楷體"/>
          <w:color w:val="000000"/>
          <w:kern w:val="2"/>
        </w:rPr>
        <w:t>ii.已知為多囊腎、紅斑性狼瘡相關腎病，或抗中性粒細胞胞漿抗體(ANCA)相關血管炎。</w:t>
      </w:r>
    </w:p>
    <w:p w14:paraId="2A7CEA02" w14:textId="77777777" w:rsidR="00266275" w:rsidRPr="00266275" w:rsidRDefault="00266275" w:rsidP="00266275">
      <w:pPr>
        <w:suppressAutoHyphens w:val="0"/>
        <w:autoSpaceDN/>
        <w:ind w:leftChars="531" w:left="1699" w:hangingChars="177" w:hanging="425"/>
        <w:textAlignment w:val="auto"/>
        <w:rPr>
          <w:rFonts w:ascii="標楷體" w:eastAsia="標楷體" w:hAnsi="標楷體"/>
          <w:color w:val="000000"/>
          <w:kern w:val="2"/>
        </w:rPr>
      </w:pPr>
      <w:r w:rsidRPr="00266275">
        <w:rPr>
          <w:rFonts w:ascii="標楷體" w:eastAsia="標楷體" w:hAnsi="標楷體"/>
          <w:color w:val="000000"/>
          <w:kern w:val="2"/>
        </w:rPr>
        <w:t>iii.六個月內接受化療/免疫抑制治療或其他原發性或繼發性腎臟疾病的免疫治療。</w:t>
      </w:r>
    </w:p>
    <w:p w14:paraId="152A1A2F" w14:textId="77777777" w:rsidR="00266275" w:rsidRPr="00266275" w:rsidRDefault="00266275" w:rsidP="00266275">
      <w:pPr>
        <w:suppressAutoHyphens w:val="0"/>
        <w:autoSpaceDN/>
        <w:ind w:leftChars="531" w:left="1699" w:hangingChars="177" w:hanging="425"/>
        <w:textAlignment w:val="auto"/>
        <w:rPr>
          <w:rFonts w:ascii="標楷體" w:eastAsia="標楷體" w:hAnsi="標楷體"/>
          <w:color w:val="000000"/>
          <w:kern w:val="2"/>
        </w:rPr>
      </w:pPr>
      <w:r w:rsidRPr="00266275">
        <w:rPr>
          <w:rFonts w:ascii="標楷體" w:eastAsia="標楷體" w:hAnsi="標楷體"/>
          <w:color w:val="000000"/>
          <w:kern w:val="2"/>
        </w:rPr>
        <w:t>iv.器官移植病史。</w:t>
      </w:r>
    </w:p>
    <w:p w14:paraId="0B3B2D2F" w14:textId="77777777" w:rsidR="00266275" w:rsidRPr="00266275" w:rsidRDefault="00266275" w:rsidP="00266275">
      <w:pPr>
        <w:suppressAutoHyphens w:val="0"/>
        <w:autoSpaceDN/>
        <w:ind w:leftChars="531" w:left="1699" w:hangingChars="177" w:hanging="425"/>
        <w:textAlignment w:val="auto"/>
        <w:rPr>
          <w:rFonts w:ascii="標楷體" w:eastAsia="標楷體" w:hAnsi="標楷體"/>
          <w:color w:val="000000"/>
          <w:kern w:val="2"/>
        </w:rPr>
      </w:pPr>
      <w:r w:rsidRPr="00266275">
        <w:rPr>
          <w:rFonts w:ascii="標楷體" w:eastAsia="標楷體" w:hAnsi="標楷體"/>
          <w:color w:val="000000"/>
          <w:kern w:val="2"/>
        </w:rPr>
        <w:lastRenderedPageBreak/>
        <w:t>v.急性心肌梗塞、不穩定型心絞痛、中風或12週內短暫性腦缺血發作。</w:t>
      </w:r>
    </w:p>
    <w:p w14:paraId="784108B6" w14:textId="77777777" w:rsidR="00266275" w:rsidRPr="00266275" w:rsidRDefault="00266275" w:rsidP="00266275">
      <w:pPr>
        <w:suppressAutoHyphens w:val="0"/>
        <w:autoSpaceDN/>
        <w:ind w:leftChars="531" w:left="1699" w:hangingChars="177" w:hanging="425"/>
        <w:textAlignment w:val="auto"/>
        <w:rPr>
          <w:rFonts w:ascii="標楷體" w:eastAsia="標楷體" w:hAnsi="標楷體"/>
          <w:color w:val="000000"/>
          <w:kern w:val="2"/>
        </w:rPr>
      </w:pPr>
      <w:r w:rsidRPr="00266275">
        <w:rPr>
          <w:rFonts w:ascii="標楷體" w:eastAsia="標楷體" w:hAnsi="標楷體"/>
          <w:color w:val="000000"/>
          <w:kern w:val="2"/>
        </w:rPr>
        <w:t>vi.12週內冠狀動脈血運重建術。</w:t>
      </w:r>
    </w:p>
    <w:p w14:paraId="71F82780" w14:textId="77777777" w:rsidR="00266275" w:rsidRPr="00266275" w:rsidRDefault="00266275" w:rsidP="00266275">
      <w:pPr>
        <w:suppressAutoHyphens w:val="0"/>
        <w:autoSpaceDN/>
        <w:ind w:leftChars="413" w:left="1274" w:hangingChars="118" w:hanging="283"/>
        <w:textAlignment w:val="auto"/>
        <w:rPr>
          <w:rFonts w:ascii="標楷體" w:eastAsia="標楷體" w:hAnsi="標楷體"/>
          <w:color w:val="000000"/>
          <w:kern w:val="2"/>
        </w:rPr>
      </w:pPr>
      <w:r w:rsidRPr="00266275">
        <w:rPr>
          <w:rFonts w:ascii="標楷體" w:eastAsia="標楷體" w:hAnsi="標楷體"/>
          <w:color w:val="000000"/>
          <w:kern w:val="2"/>
        </w:rPr>
        <w:t>(2)使用後eGFR下降至&lt;15mL/min/1.73m</w:t>
      </w:r>
      <w:r w:rsidRPr="00266275">
        <w:rPr>
          <w:rFonts w:ascii="標楷體" w:eastAsia="標楷體" w:hAnsi="標楷體"/>
          <w:color w:val="000000"/>
          <w:kern w:val="2"/>
          <w:vertAlign w:val="superscript"/>
        </w:rPr>
        <w:t>2</w:t>
      </w:r>
      <w:r w:rsidRPr="00266275">
        <w:rPr>
          <w:rFonts w:ascii="標楷體" w:eastAsia="標楷體" w:hAnsi="標楷體"/>
          <w:color w:val="000000"/>
          <w:kern w:val="2"/>
        </w:rPr>
        <w:t>，應予停藥。</w:t>
      </w:r>
    </w:p>
    <w:p w14:paraId="4DFF3034" w14:textId="0209D149" w:rsidR="00BD776B" w:rsidRDefault="00266275" w:rsidP="00266275">
      <w:pPr>
        <w:widowControl/>
        <w:suppressAutoHyphens w:val="0"/>
        <w:ind w:left="708"/>
        <w:rPr>
          <w:rFonts w:ascii="標楷體" w:eastAsia="標楷體" w:hAnsi="標楷體"/>
          <w:color w:val="000000"/>
        </w:rPr>
      </w:pPr>
      <w:r w:rsidRPr="00266275">
        <w:rPr>
          <w:rFonts w:ascii="標楷體" w:eastAsia="標楷體" w:hAnsi="標楷體"/>
          <w:color w:val="000000"/>
          <w:kern w:val="2"/>
        </w:rPr>
        <w:t>3.每日最多處方1粒</w:t>
      </w:r>
      <w:r w:rsidR="00DF0C24">
        <w:rPr>
          <w:rFonts w:ascii="標楷體" w:eastAsia="標楷體" w:hAnsi="標楷體"/>
          <w:color w:val="000000"/>
        </w:rPr>
        <w:t>。</w:t>
      </w:r>
    </w:p>
    <w:p w14:paraId="51E90B96" w14:textId="77777777" w:rsidR="00BD776B" w:rsidRDefault="00DF0C24">
      <w:pPr>
        <w:widowControl/>
        <w:suppressAutoHyphens w:val="0"/>
        <w:ind w:left="567" w:hanging="281"/>
      </w:pPr>
      <w:r>
        <w:rPr>
          <w:rFonts w:ascii="標楷體" w:eastAsia="標楷體" w:hAnsi="標楷體"/>
          <w:szCs w:val="24"/>
        </w:rPr>
        <w:t>2.17.</w:t>
      </w:r>
      <w:bookmarkStart w:id="4" w:name="_Hlk156220079"/>
      <w:r>
        <w:rPr>
          <w:rFonts w:ascii="標楷體" w:eastAsia="標楷體" w:hAnsi="標楷體"/>
          <w:szCs w:val="24"/>
        </w:rPr>
        <w:t>Tafamidis（如Vyndamax）</w:t>
      </w:r>
      <w:bookmarkEnd w:id="4"/>
      <w:r>
        <w:rPr>
          <w:rFonts w:ascii="標楷體" w:eastAsia="標楷體" w:hAnsi="標楷體"/>
          <w:szCs w:val="24"/>
        </w:rPr>
        <w:t xml:space="preserve">：(113/2/1) </w:t>
      </w:r>
    </w:p>
    <w:p w14:paraId="746E6B61" w14:textId="77777777" w:rsidR="00BD776B" w:rsidRDefault="00DF0C24">
      <w:pPr>
        <w:pStyle w:val="af"/>
        <w:ind w:left="1000" w:hanging="280"/>
        <w:rPr>
          <w:rFonts w:ascii="標楷體" w:eastAsia="標楷體" w:hAnsi="標楷體"/>
          <w:szCs w:val="24"/>
        </w:rPr>
      </w:pPr>
      <w:r>
        <w:rPr>
          <w:rFonts w:ascii="標楷體" w:eastAsia="標楷體" w:hAnsi="標楷體"/>
          <w:szCs w:val="24"/>
        </w:rPr>
        <w:t>1.限用於成人轉甲狀腺素蛋白類澱粉沉著症造成之心肌病變(transthyretin-mediated amyloid cardiomyopathy，ATTR-CM)，且符合下列各項條件：</w:t>
      </w:r>
    </w:p>
    <w:p w14:paraId="4B1A6C09" w14:textId="77777777" w:rsidR="00BD776B" w:rsidRDefault="00DF0C24">
      <w:pPr>
        <w:pStyle w:val="af"/>
        <w:ind w:left="1240" w:hanging="280"/>
      </w:pPr>
      <w:r>
        <w:rPr>
          <w:rFonts w:ascii="標楷體" w:eastAsia="標楷體" w:hAnsi="標楷體"/>
          <w:szCs w:val="24"/>
        </w:rPr>
        <w:t>(1)須排除腎功能不全患者(eGFR＜25mL/min/1.73m</w:t>
      </w:r>
      <w:r>
        <w:rPr>
          <w:rFonts w:ascii="標楷體" w:eastAsia="標楷體" w:hAnsi="標楷體"/>
          <w:szCs w:val="24"/>
          <w:vertAlign w:val="superscript"/>
        </w:rPr>
        <w:t>2</w:t>
      </w:r>
      <w:r>
        <w:rPr>
          <w:rFonts w:ascii="標楷體" w:eastAsia="標楷體" w:hAnsi="標楷體"/>
          <w:szCs w:val="24"/>
        </w:rPr>
        <w:t>)。</w:t>
      </w:r>
    </w:p>
    <w:p w14:paraId="4FAF8297" w14:textId="77777777" w:rsidR="00BD776B" w:rsidRDefault="00DF0C24">
      <w:pPr>
        <w:pStyle w:val="af"/>
        <w:ind w:left="1240" w:hanging="280"/>
        <w:rPr>
          <w:rFonts w:ascii="標楷體" w:eastAsia="標楷體" w:hAnsi="標楷體"/>
          <w:szCs w:val="24"/>
        </w:rPr>
      </w:pPr>
      <w:r>
        <w:rPr>
          <w:rFonts w:ascii="標楷體" w:eastAsia="標楷體" w:hAnsi="標楷體"/>
          <w:szCs w:val="24"/>
        </w:rPr>
        <w:t>(2)須排除為Amyloid light chain (AL amyloidosis ; 輕鏈蛋白相關之類澱粉沉積症)。</w:t>
      </w:r>
    </w:p>
    <w:p w14:paraId="1B31B539" w14:textId="77777777" w:rsidR="00BD776B" w:rsidRDefault="00DF0C24">
      <w:pPr>
        <w:pStyle w:val="af"/>
        <w:ind w:left="1240" w:hanging="280"/>
        <w:rPr>
          <w:rFonts w:ascii="標楷體" w:eastAsia="標楷體" w:hAnsi="標楷體"/>
          <w:szCs w:val="24"/>
        </w:rPr>
      </w:pPr>
      <w:r>
        <w:rPr>
          <w:rFonts w:ascii="標楷體" w:eastAsia="標楷體" w:hAnsi="標楷體"/>
          <w:szCs w:val="24"/>
        </w:rPr>
        <w:t>(3)經心臟核醫掃描(例如:診療項目代碼26023B) 等於第三級以上(PYP scintigraphy scan visual score = Grade 3 )，並經心臟組織切片( cardiac biopsy) 檢查確認。</w:t>
      </w:r>
    </w:p>
    <w:p w14:paraId="5D02016E" w14:textId="77777777" w:rsidR="00BD776B" w:rsidRDefault="00DF0C24">
      <w:pPr>
        <w:pStyle w:val="af"/>
        <w:ind w:left="1240" w:hanging="280"/>
        <w:rPr>
          <w:rFonts w:ascii="標楷體" w:eastAsia="標楷體" w:hAnsi="標楷體"/>
          <w:szCs w:val="24"/>
        </w:rPr>
      </w:pPr>
      <w:r>
        <w:rPr>
          <w:rFonts w:ascii="標楷體" w:eastAsia="標楷體" w:hAnsi="標楷體"/>
          <w:szCs w:val="24"/>
        </w:rPr>
        <w:t>(4)依紐約心臟協會(NYHA)心衰竭功能分級第二至第三級（class 2 &amp; 3）。</w:t>
      </w:r>
    </w:p>
    <w:p w14:paraId="30FDBBDE" w14:textId="77777777" w:rsidR="00BD776B" w:rsidRDefault="00DF0C24">
      <w:pPr>
        <w:pStyle w:val="af"/>
        <w:ind w:left="1240" w:hanging="280"/>
      </w:pPr>
      <w:r>
        <w:rPr>
          <w:rFonts w:ascii="標楷體" w:eastAsia="標楷體" w:hAnsi="標楷體"/>
          <w:szCs w:val="24"/>
        </w:rPr>
        <w:t xml:space="preserve">(5)NT-proBNP </w:t>
      </w:r>
      <w:r>
        <w:rPr>
          <w:rFonts w:ascii="Times New Roman" w:eastAsia="標楷體" w:hAnsi="Times New Roman"/>
          <w:szCs w:val="24"/>
        </w:rPr>
        <w:t>≥</w:t>
      </w:r>
      <w:r>
        <w:rPr>
          <w:rFonts w:ascii="標楷體" w:eastAsia="標楷體" w:hAnsi="標楷體"/>
          <w:szCs w:val="24"/>
        </w:rPr>
        <w:t xml:space="preserve"> 600 pg/ml或 BNP </w:t>
      </w:r>
      <w:r>
        <w:rPr>
          <w:rFonts w:ascii="Times New Roman" w:eastAsia="標楷體" w:hAnsi="Times New Roman"/>
          <w:szCs w:val="24"/>
        </w:rPr>
        <w:t>≥</w:t>
      </w:r>
      <w:r>
        <w:rPr>
          <w:rFonts w:ascii="標楷體" w:eastAsia="標楷體" w:hAnsi="標楷體"/>
          <w:szCs w:val="24"/>
        </w:rPr>
        <w:t xml:space="preserve"> 100 pg/ml (符合其中一項即可)。</w:t>
      </w:r>
    </w:p>
    <w:p w14:paraId="111D0480" w14:textId="77777777" w:rsidR="00BD776B" w:rsidRDefault="00DF0C24">
      <w:pPr>
        <w:pStyle w:val="af"/>
        <w:ind w:left="1240" w:hanging="280"/>
      </w:pPr>
      <w:r>
        <w:rPr>
          <w:rFonts w:ascii="標楷體" w:eastAsia="標楷體" w:hAnsi="標楷體"/>
          <w:szCs w:val="24"/>
        </w:rPr>
        <w:t>(6)心室中膈厚度 (interventricular septal wall thickness) &gt;12mm且左心室後壁舒張末期厚度 (LVPWd : Left Ventricular Posterior Wall Dimensions)</w:t>
      </w:r>
      <w:r>
        <w:rPr>
          <w:rFonts w:ascii="標楷體" w:eastAsia="標楷體" w:hAnsi="標楷體"/>
        </w:rPr>
        <w:t xml:space="preserve"> </w:t>
      </w:r>
      <w:r>
        <w:rPr>
          <w:rFonts w:ascii="標楷體" w:eastAsia="標楷體" w:hAnsi="標楷體"/>
          <w:szCs w:val="24"/>
        </w:rPr>
        <w:t>&gt;12mm。</w:t>
      </w:r>
    </w:p>
    <w:p w14:paraId="2142559A" w14:textId="77777777" w:rsidR="00BD776B" w:rsidRDefault="00DF0C24">
      <w:pPr>
        <w:pStyle w:val="af"/>
        <w:ind w:left="1240" w:hanging="280"/>
      </w:pPr>
      <w:r>
        <w:rPr>
          <w:rFonts w:ascii="標楷體" w:eastAsia="標楷體" w:hAnsi="標楷體"/>
          <w:szCs w:val="24"/>
        </w:rPr>
        <w:t xml:space="preserve">(7)左心室射出率( LVEF，left ventricular ejection fraction) </w:t>
      </w:r>
      <w:r>
        <w:rPr>
          <w:rFonts w:ascii="Times New Roman" w:eastAsia="標楷體" w:hAnsi="Times New Roman"/>
          <w:szCs w:val="24"/>
        </w:rPr>
        <w:t>≥</w:t>
      </w:r>
      <w:r>
        <w:rPr>
          <w:rFonts w:ascii="標楷體" w:eastAsia="標楷體" w:hAnsi="標楷體"/>
          <w:szCs w:val="24"/>
        </w:rPr>
        <w:t xml:space="preserve"> 40%。</w:t>
      </w:r>
    </w:p>
    <w:p w14:paraId="08DACA24" w14:textId="77777777" w:rsidR="00BD776B" w:rsidRDefault="00DF0C24">
      <w:pPr>
        <w:pStyle w:val="af"/>
        <w:ind w:left="1000" w:hanging="280"/>
        <w:rPr>
          <w:rFonts w:ascii="標楷體" w:eastAsia="標楷體" w:hAnsi="標楷體"/>
          <w:szCs w:val="24"/>
        </w:rPr>
      </w:pPr>
      <w:r>
        <w:rPr>
          <w:rFonts w:ascii="標楷體" w:eastAsia="標楷體" w:hAnsi="標楷體"/>
          <w:szCs w:val="24"/>
        </w:rPr>
        <w:t>2.限具有心臟專科醫師處方。</w:t>
      </w:r>
    </w:p>
    <w:p w14:paraId="4C898EB6" w14:textId="77777777" w:rsidR="00BD776B" w:rsidRDefault="00DF0C24">
      <w:pPr>
        <w:pStyle w:val="af"/>
        <w:ind w:left="1000" w:hanging="280"/>
        <w:rPr>
          <w:rFonts w:ascii="標楷體" w:eastAsia="標楷體" w:hAnsi="標楷體"/>
          <w:szCs w:val="24"/>
        </w:rPr>
      </w:pPr>
      <w:r>
        <w:rPr>
          <w:rFonts w:ascii="標楷體" w:eastAsia="標楷體" w:hAnsi="標楷體"/>
          <w:szCs w:val="24"/>
        </w:rPr>
        <w:t>3.須經事前審查核准後使用。</w:t>
      </w:r>
    </w:p>
    <w:p w14:paraId="5434A878" w14:textId="77777777" w:rsidR="00BD776B" w:rsidRDefault="00DF0C24">
      <w:pPr>
        <w:pStyle w:val="af"/>
        <w:ind w:left="1000" w:hanging="280"/>
        <w:rPr>
          <w:rFonts w:ascii="標楷體" w:eastAsia="標楷體" w:hAnsi="標楷體"/>
          <w:szCs w:val="24"/>
        </w:rPr>
      </w:pPr>
      <w:r>
        <w:rPr>
          <w:rFonts w:ascii="標楷體" w:eastAsia="標楷體" w:hAnsi="標楷體"/>
          <w:szCs w:val="24"/>
        </w:rPr>
        <w:t>4.繼續使用條件：</w:t>
      </w:r>
      <w:r>
        <w:rPr>
          <w:rFonts w:ascii="標楷體" w:eastAsia="標楷體" w:hAnsi="標楷體"/>
          <w:szCs w:val="24"/>
        </w:rPr>
        <w:br/>
        <w:t>使用藥物治療達1年以上，且確定紐約心臟協會(NYHA)心衰竭功能分級未達第四級，方可繼續使用。</w:t>
      </w:r>
    </w:p>
    <w:p w14:paraId="032FE0F5" w14:textId="77777777" w:rsidR="00BD776B" w:rsidRDefault="00DF0C24">
      <w:pPr>
        <w:pStyle w:val="af"/>
        <w:ind w:left="1000" w:hanging="280"/>
        <w:rPr>
          <w:rFonts w:ascii="標楷體" w:eastAsia="標楷體" w:hAnsi="標楷體"/>
          <w:szCs w:val="24"/>
        </w:rPr>
      </w:pPr>
      <w:r>
        <w:rPr>
          <w:rFonts w:ascii="標楷體" w:eastAsia="標楷體" w:hAnsi="標楷體"/>
          <w:szCs w:val="24"/>
        </w:rPr>
        <w:t>5.出現下列任一情況時需停用：接受心室輔助系統、心臟移植或肝臟移植治療。</w:t>
      </w:r>
    </w:p>
    <w:p w14:paraId="5ED5D6EB" w14:textId="77777777" w:rsidR="00BD776B" w:rsidRDefault="00DF0C24">
      <w:pPr>
        <w:ind w:left="480"/>
      </w:pPr>
      <w:r>
        <w:rPr>
          <w:rFonts w:ascii="標楷體" w:eastAsia="標楷體" w:hAnsi="標楷體"/>
          <w:szCs w:val="24"/>
        </w:rPr>
        <w:t xml:space="preserve">  6.每日限使用1粒</w:t>
      </w:r>
      <w:r>
        <w:rPr>
          <w:rFonts w:ascii="標楷體" w:eastAsia="標楷體" w:hAnsi="標楷體"/>
          <w:b/>
          <w:szCs w:val="24"/>
        </w:rPr>
        <w:t>，</w:t>
      </w:r>
      <w:r>
        <w:rPr>
          <w:rFonts w:ascii="標楷體" w:eastAsia="標楷體" w:hAnsi="標楷體"/>
          <w:szCs w:val="24"/>
        </w:rPr>
        <w:t>限給付45個月。</w:t>
      </w:r>
    </w:p>
    <w:p w14:paraId="4CA2CCE4" w14:textId="77777777" w:rsidR="00BD776B" w:rsidRDefault="00BD776B">
      <w:pPr>
        <w:widowControl/>
        <w:suppressAutoHyphens w:val="0"/>
        <w:ind w:left="708"/>
        <w:rPr>
          <w:rFonts w:ascii="標楷體" w:eastAsia="標楷體" w:hAnsi="標楷體"/>
          <w:color w:val="000000"/>
        </w:rPr>
      </w:pPr>
    </w:p>
    <w:p w14:paraId="1C9B174E" w14:textId="77777777" w:rsidR="00BD776B" w:rsidRDefault="00BD776B">
      <w:pPr>
        <w:pageBreakBefore/>
        <w:widowControl/>
        <w:suppressAutoHyphens w:val="0"/>
        <w:rPr>
          <w:rFonts w:ascii="標楷體" w:eastAsia="標楷體" w:hAnsi="標楷體"/>
          <w:b/>
          <w:color w:val="000000"/>
          <w:sz w:val="32"/>
          <w:szCs w:val="32"/>
        </w:rPr>
      </w:pPr>
    </w:p>
    <w:p w14:paraId="04D9C1F6" w14:textId="77777777" w:rsidR="00BD776B" w:rsidRDefault="00DF0C24">
      <w:pPr>
        <w:pStyle w:val="2"/>
      </w:pPr>
      <w:r>
        <w:t>第3節 代謝及營養劑 Metabolic &amp; nutrient agents</w:t>
      </w:r>
    </w:p>
    <w:p w14:paraId="30F2BDCE" w14:textId="77777777" w:rsidR="00BD776B" w:rsidRDefault="00BD776B">
      <w:pPr>
        <w:snapToGrid w:val="0"/>
        <w:spacing w:line="400" w:lineRule="exact"/>
        <w:jc w:val="center"/>
        <w:rPr>
          <w:rFonts w:ascii="標楷體" w:eastAsia="標楷體" w:hAnsi="標楷體"/>
          <w:b/>
          <w:color w:val="000000"/>
          <w:sz w:val="32"/>
          <w:szCs w:val="32"/>
        </w:rPr>
      </w:pPr>
    </w:p>
    <w:p w14:paraId="6B684D98" w14:textId="77777777" w:rsidR="00BD776B" w:rsidRDefault="00DF0C24">
      <w:pPr>
        <w:ind w:left="672" w:hanging="386"/>
        <w:rPr>
          <w:rFonts w:ascii="標楷體" w:eastAsia="標楷體" w:hAnsi="標楷體"/>
          <w:color w:val="000000"/>
        </w:rPr>
      </w:pPr>
      <w:r>
        <w:rPr>
          <w:rFonts w:ascii="標楷體" w:eastAsia="標楷體" w:hAnsi="標楷體"/>
          <w:color w:val="000000"/>
        </w:rPr>
        <w:t>3.1.靜脈營養輸液  Parenteral nutritions</w:t>
      </w:r>
    </w:p>
    <w:p w14:paraId="1B759E2E" w14:textId="77777777" w:rsidR="00BD776B" w:rsidRDefault="00DF0C24">
      <w:pPr>
        <w:ind w:left="672" w:hanging="386"/>
        <w:rPr>
          <w:rFonts w:ascii="標楷體" w:eastAsia="標楷體" w:hAnsi="標楷體"/>
          <w:color w:val="000000"/>
        </w:rPr>
      </w:pPr>
      <w:r>
        <w:rPr>
          <w:rFonts w:ascii="標楷體" w:eastAsia="標楷體" w:hAnsi="標楷體"/>
          <w:color w:val="000000"/>
        </w:rPr>
        <w:t>3.1.1. Fat emulsion：或含Fat emulsion之靜脈營養輸液(如含glucose、lipid、amino acid及electrolytes三合一靜脈營養輸液)：(97/11/1、98/7/1、98/12/1)限</w:t>
      </w:r>
    </w:p>
    <w:p w14:paraId="0A421C29" w14:textId="77777777" w:rsidR="00BD776B" w:rsidRDefault="00DF0C24">
      <w:pPr>
        <w:ind w:left="811" w:hanging="245"/>
        <w:rPr>
          <w:rFonts w:ascii="標楷體" w:eastAsia="標楷體" w:hAnsi="標楷體"/>
          <w:color w:val="000000"/>
        </w:rPr>
      </w:pPr>
      <w:r>
        <w:rPr>
          <w:rFonts w:ascii="標楷體" w:eastAsia="標楷體" w:hAnsi="標楷體"/>
          <w:color w:val="000000"/>
        </w:rPr>
        <w:t>1.嚴重燒傷病人，為靜脈營養補充。</w:t>
      </w:r>
    </w:p>
    <w:p w14:paraId="253F1562" w14:textId="77777777" w:rsidR="00BD776B" w:rsidRDefault="00DF0C24">
      <w:pPr>
        <w:ind w:left="811" w:hanging="245"/>
        <w:rPr>
          <w:rFonts w:ascii="標楷體" w:eastAsia="標楷體" w:hAnsi="標楷體"/>
          <w:color w:val="000000"/>
        </w:rPr>
      </w:pPr>
      <w:r>
        <w:rPr>
          <w:rFonts w:ascii="標楷體" w:eastAsia="標楷體" w:hAnsi="標楷體"/>
          <w:color w:val="000000"/>
        </w:rPr>
        <w:t>2.使用全靜脈營養者。</w:t>
      </w:r>
    </w:p>
    <w:p w14:paraId="002404D5" w14:textId="77777777" w:rsidR="00BD776B" w:rsidRDefault="00DF0C24">
      <w:pPr>
        <w:ind w:left="811" w:hanging="245"/>
        <w:rPr>
          <w:rFonts w:ascii="標楷體" w:eastAsia="標楷體" w:hAnsi="標楷體"/>
          <w:color w:val="000000"/>
        </w:rPr>
      </w:pPr>
      <w:r>
        <w:rPr>
          <w:rFonts w:ascii="標楷體" w:eastAsia="標楷體" w:hAnsi="標楷體"/>
          <w:color w:val="000000"/>
        </w:rPr>
        <w:t>3.重大手術後五至七天仍不能經腸道進食者，每日不超過一瓶為原則。(98/12/1)</w:t>
      </w:r>
    </w:p>
    <w:p w14:paraId="00DA03A6" w14:textId="77777777" w:rsidR="00BD776B" w:rsidRDefault="00DF0C24">
      <w:pPr>
        <w:ind w:left="672" w:hanging="386"/>
        <w:rPr>
          <w:rFonts w:ascii="標楷體" w:eastAsia="標楷體" w:hAnsi="標楷體"/>
        </w:rPr>
      </w:pPr>
      <w:r>
        <w:rPr>
          <w:rFonts w:ascii="標楷體" w:eastAsia="標楷體" w:hAnsi="標楷體"/>
        </w:rPr>
        <w:t>3.1.2.Sodium glycerophosphate(如Glycophos)：（111/1/1）</w:t>
      </w:r>
    </w:p>
    <w:p w14:paraId="46CAA77C" w14:textId="77777777" w:rsidR="00BD776B" w:rsidRDefault="00DF0C24">
      <w:pPr>
        <w:ind w:left="811" w:hanging="245"/>
        <w:rPr>
          <w:rFonts w:ascii="標楷體" w:eastAsia="標楷體" w:hAnsi="標楷體"/>
        </w:rPr>
      </w:pPr>
      <w:r>
        <w:rPr>
          <w:rFonts w:ascii="標楷體" w:eastAsia="標楷體" w:hAnsi="標楷體"/>
        </w:rPr>
        <w:t>1.限用於接受靜脈營養補充，且臨床上有低血磷及相關症狀的病人使用。</w:t>
      </w:r>
    </w:p>
    <w:p w14:paraId="67882064" w14:textId="77777777" w:rsidR="00BD776B" w:rsidRDefault="00DF0C24">
      <w:pPr>
        <w:ind w:left="811" w:hanging="245"/>
        <w:rPr>
          <w:rFonts w:ascii="標楷體" w:eastAsia="標楷體" w:hAnsi="標楷體"/>
        </w:rPr>
      </w:pPr>
      <w:r>
        <w:rPr>
          <w:rFonts w:ascii="標楷體" w:eastAsia="標楷體" w:hAnsi="標楷體"/>
        </w:rPr>
        <w:t>2.早產兒有臨床需要者。</w:t>
      </w:r>
    </w:p>
    <w:p w14:paraId="6C4F8167" w14:textId="77777777" w:rsidR="00BD776B" w:rsidRDefault="00DF0C24">
      <w:pPr>
        <w:ind w:left="811" w:hanging="245"/>
      </w:pPr>
      <w:r>
        <w:rPr>
          <w:rFonts w:ascii="標楷體" w:eastAsia="標楷體" w:hAnsi="標楷體"/>
        </w:rPr>
        <w:t>3.用於成人以使用7日為限。</w:t>
      </w:r>
    </w:p>
    <w:p w14:paraId="41244DE5" w14:textId="77777777" w:rsidR="00BD776B" w:rsidRDefault="00DF0C24">
      <w:pPr>
        <w:ind w:left="672" w:hanging="386"/>
        <w:rPr>
          <w:rFonts w:ascii="標楷體" w:eastAsia="標楷體" w:hAnsi="標楷體"/>
          <w:color w:val="000000"/>
        </w:rPr>
      </w:pPr>
      <w:r>
        <w:rPr>
          <w:rFonts w:ascii="標楷體" w:eastAsia="標楷體" w:hAnsi="標楷體"/>
          <w:color w:val="000000"/>
        </w:rPr>
        <w:t>3.2.維生素 Vitamins</w:t>
      </w:r>
    </w:p>
    <w:p w14:paraId="28CD1F3D" w14:textId="77777777" w:rsidR="00BD776B" w:rsidRDefault="00DF0C24">
      <w:pPr>
        <w:ind w:left="798" w:hanging="1"/>
        <w:rPr>
          <w:rFonts w:ascii="標楷體" w:eastAsia="標楷體" w:hAnsi="標楷體"/>
          <w:color w:val="000000"/>
        </w:rPr>
      </w:pPr>
      <w:r>
        <w:rPr>
          <w:rFonts w:ascii="標楷體" w:eastAsia="標楷體" w:hAnsi="標楷體"/>
          <w:color w:val="000000"/>
        </w:rPr>
        <w:t>（使用維生素醫治之適應症詳附表三-Ａ）</w:t>
      </w:r>
    </w:p>
    <w:p w14:paraId="603420DA" w14:textId="77777777" w:rsidR="00BD776B" w:rsidRDefault="00DF0C24">
      <w:pPr>
        <w:ind w:left="672" w:hanging="386"/>
        <w:rPr>
          <w:rFonts w:ascii="標楷體" w:eastAsia="標楷體" w:hAnsi="標楷體"/>
          <w:color w:val="000000"/>
        </w:rPr>
      </w:pPr>
      <w:r>
        <w:rPr>
          <w:rFonts w:ascii="標楷體" w:eastAsia="標楷體" w:hAnsi="標楷體"/>
          <w:color w:val="000000"/>
        </w:rPr>
        <w:t>3.2.1.Mecobalamin製劑：(85/4/1、100/8/1)</w:t>
      </w:r>
    </w:p>
    <w:p w14:paraId="4ADD4627" w14:textId="77777777" w:rsidR="00BD776B" w:rsidRDefault="00DF0C24">
      <w:pPr>
        <w:ind w:left="798" w:hanging="1"/>
        <w:rPr>
          <w:rFonts w:ascii="標楷體" w:eastAsia="標楷體" w:hAnsi="標楷體"/>
          <w:color w:val="000000"/>
        </w:rPr>
      </w:pPr>
      <w:r>
        <w:rPr>
          <w:rFonts w:ascii="標楷體" w:eastAsia="標楷體" w:hAnsi="標楷體"/>
          <w:color w:val="000000"/>
        </w:rPr>
        <w:t>限符合以下條件之一使用：</w:t>
      </w:r>
    </w:p>
    <w:p w14:paraId="25D922C8" w14:textId="77777777" w:rsidR="00BD776B" w:rsidRDefault="00DF0C24">
      <w:pPr>
        <w:ind w:left="811" w:hanging="245"/>
        <w:rPr>
          <w:rFonts w:ascii="標楷體" w:eastAsia="標楷體" w:hAnsi="標楷體"/>
          <w:color w:val="000000"/>
        </w:rPr>
      </w:pPr>
      <w:r>
        <w:rPr>
          <w:rFonts w:ascii="標楷體" w:eastAsia="標楷體" w:hAnsi="標楷體"/>
          <w:color w:val="000000"/>
        </w:rPr>
        <w:t>1.糖尿病併發周邊神經病變並具有臨床神經學病徵 (須於處方上敘明)。</w:t>
      </w:r>
    </w:p>
    <w:p w14:paraId="1618199E" w14:textId="77777777" w:rsidR="00BD776B" w:rsidRDefault="00DF0C24">
      <w:pPr>
        <w:ind w:left="811" w:hanging="245"/>
        <w:rPr>
          <w:rFonts w:ascii="標楷體" w:eastAsia="標楷體" w:hAnsi="標楷體"/>
          <w:color w:val="000000"/>
        </w:rPr>
      </w:pPr>
      <w:r>
        <w:rPr>
          <w:rFonts w:ascii="標楷體" w:eastAsia="標楷體" w:hAnsi="標楷體"/>
          <w:color w:val="000000"/>
        </w:rPr>
        <w:t>2.經神經科專科醫師診斷或經神經傳導(NCV) 檢查證實之慢性多發性神經病變(chronic polyneuropathy)。（100/8/1）</w:t>
      </w:r>
    </w:p>
    <w:p w14:paraId="359B7666" w14:textId="77777777" w:rsidR="00BD776B" w:rsidRDefault="00DF0C24">
      <w:pPr>
        <w:ind w:left="425" w:hanging="245"/>
        <w:rPr>
          <w:rFonts w:ascii="標楷體" w:eastAsia="標楷體" w:hAnsi="標楷體"/>
          <w:color w:val="000000"/>
        </w:rPr>
      </w:pPr>
      <w:r>
        <w:rPr>
          <w:rFonts w:ascii="標楷體" w:eastAsia="標楷體" w:hAnsi="標楷體"/>
          <w:color w:val="000000"/>
        </w:rPr>
        <w:t>3.2.2.活性維生素D3製劑 (如alfacalcidol；calcitriol) 限下列病例使用：（86/1/1、91/7/1、100/1/1、109/10/1、110/12/1）</w:t>
      </w:r>
    </w:p>
    <w:p w14:paraId="281A0325" w14:textId="77777777" w:rsidR="00BD776B" w:rsidRDefault="00DF0C24">
      <w:pPr>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Vit.D依賴型佝僂症或低磷血佝僂症。(應附醫學中心之診斷證明)</w:t>
      </w:r>
    </w:p>
    <w:p w14:paraId="08F75EFD" w14:textId="77777777" w:rsidR="00BD776B" w:rsidRDefault="00DF0C24">
      <w:pPr>
        <w:ind w:left="81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副甲狀腺機能低下症。(應檢附病歷影本)</w:t>
      </w:r>
    </w:p>
    <w:p w14:paraId="1503BA66" w14:textId="77777777" w:rsidR="00BD776B" w:rsidRDefault="00DF0C24">
      <w:pPr>
        <w:ind w:left="811"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慢性腎臟病引起之低血鈣症，並限eGFR小於45mL/min/1.73 m2，或PTH-i大於正常值三倍以上，血中鈣濃度在10.5mg/dL以上病例不可使用，每6個月須檢測病人血中鈣磷乘積，若血鈣*血磷&gt;55mg2/dL2者不可使用。（109/10/1、110/12/1）。</w:t>
      </w:r>
    </w:p>
    <w:p w14:paraId="4B128E28" w14:textId="77777777" w:rsidR="00BD776B" w:rsidRDefault="00DF0C24">
      <w:pPr>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停經後婦女患有脊椎壓迫性骨折或髖骨骨折病患。</w:t>
      </w:r>
    </w:p>
    <w:p w14:paraId="21E469BA" w14:textId="77777777" w:rsidR="00BD776B" w:rsidRDefault="00DF0C24">
      <w:pPr>
        <w:ind w:left="672" w:hanging="386"/>
        <w:rPr>
          <w:rFonts w:ascii="標楷體" w:eastAsia="標楷體" w:hAnsi="標楷體"/>
          <w:color w:val="000000"/>
        </w:rPr>
      </w:pPr>
      <w:r>
        <w:rPr>
          <w:rFonts w:ascii="標楷體" w:eastAsia="標楷體" w:hAnsi="標楷體"/>
          <w:color w:val="000000"/>
        </w:rPr>
        <w:t>3.3.其他  Miscellaneous</w:t>
      </w:r>
    </w:p>
    <w:p w14:paraId="52B8CC33" w14:textId="77777777" w:rsidR="00BD776B" w:rsidRDefault="00DF0C24">
      <w:pPr>
        <w:ind w:left="672" w:hanging="386"/>
        <w:rPr>
          <w:rFonts w:ascii="標楷體" w:eastAsia="標楷體" w:hAnsi="標楷體"/>
          <w:color w:val="000000"/>
        </w:rPr>
      </w:pPr>
      <w:r>
        <w:rPr>
          <w:rFonts w:ascii="標楷體" w:eastAsia="標楷體" w:hAnsi="標楷體"/>
          <w:color w:val="000000"/>
        </w:rPr>
        <w:t>3.3.1.肝庇護劑：(85/1/1、88/3/1、94/7/1、108/11/1)</w:t>
      </w:r>
    </w:p>
    <w:p w14:paraId="167EB33F" w14:textId="77777777" w:rsidR="00BD776B" w:rsidRDefault="00DF0C24">
      <w:pPr>
        <w:ind w:left="811" w:hanging="245"/>
        <w:rPr>
          <w:rFonts w:ascii="標楷體" w:eastAsia="標楷體" w:hAnsi="標楷體"/>
          <w:color w:val="000000"/>
        </w:rPr>
      </w:pPr>
      <w:r>
        <w:rPr>
          <w:rFonts w:ascii="標楷體" w:eastAsia="標楷體" w:hAnsi="標楷體"/>
          <w:color w:val="000000"/>
        </w:rPr>
        <w:t>1.肝硬化、肝炎患者，限下列情形之一者，得由醫師依肝功能和影像檢查或病理切片檢查確實診斷後，視病情需要處方之。(94/7/1)</w:t>
      </w:r>
    </w:p>
    <w:p w14:paraId="15AF2EE3" w14:textId="77777777" w:rsidR="00BD776B" w:rsidRDefault="00DF0C24">
      <w:pPr>
        <w:ind w:left="1049" w:hanging="341"/>
        <w:rPr>
          <w:rFonts w:ascii="標楷體" w:eastAsia="標楷體" w:hAnsi="標楷體"/>
          <w:color w:val="000000"/>
        </w:rPr>
      </w:pPr>
      <w:r>
        <w:rPr>
          <w:rFonts w:ascii="標楷體" w:eastAsia="標楷體" w:hAnsi="標楷體"/>
          <w:color w:val="000000"/>
        </w:rPr>
        <w:t>(1)HBV (+) 及HCV (+) 之病患且GOT、GPT值大於(或等於)正常值上限1倍以上。</w:t>
      </w:r>
    </w:p>
    <w:p w14:paraId="7CA67A60" w14:textId="77777777" w:rsidR="00BD776B" w:rsidRDefault="00DF0C24">
      <w:pPr>
        <w:ind w:left="1049" w:hanging="341"/>
        <w:rPr>
          <w:rFonts w:ascii="標楷體" w:eastAsia="標楷體" w:hAnsi="標楷體"/>
          <w:color w:val="000000"/>
        </w:rPr>
      </w:pPr>
      <w:r>
        <w:rPr>
          <w:rFonts w:ascii="標楷體" w:eastAsia="標楷體" w:hAnsi="標楷體"/>
          <w:color w:val="000000"/>
        </w:rPr>
        <w:t>(2)任何原因所引起之肝硬化且GOT、GPT值大於(或等於)正常值上限1倍以上。</w:t>
      </w:r>
    </w:p>
    <w:p w14:paraId="19B1B2C2" w14:textId="77777777" w:rsidR="00BD776B" w:rsidRDefault="00DF0C24">
      <w:pPr>
        <w:ind w:left="1049" w:hanging="341"/>
        <w:rPr>
          <w:rFonts w:ascii="標楷體" w:eastAsia="標楷體" w:hAnsi="標楷體"/>
          <w:color w:val="000000"/>
        </w:rPr>
      </w:pPr>
      <w:r>
        <w:rPr>
          <w:rFonts w:ascii="標楷體" w:eastAsia="標楷體" w:hAnsi="標楷體"/>
          <w:color w:val="000000"/>
        </w:rPr>
        <w:t>(3)HBV (-) 及HCV (-) 之病患，GOT、GPT值大於(或等於)正常值上限2倍以上。</w:t>
      </w:r>
    </w:p>
    <w:p w14:paraId="512375F2" w14:textId="77777777" w:rsidR="00BD776B" w:rsidRDefault="00DF0C24">
      <w:pPr>
        <w:ind w:left="811" w:hanging="245"/>
        <w:rPr>
          <w:rFonts w:ascii="標楷體" w:eastAsia="標楷體" w:hAnsi="標楷體"/>
          <w:color w:val="000000"/>
        </w:rPr>
      </w:pPr>
      <w:r>
        <w:rPr>
          <w:rFonts w:ascii="標楷體" w:eastAsia="標楷體" w:hAnsi="標楷體"/>
          <w:color w:val="000000"/>
        </w:rPr>
        <w:t xml:space="preserve">2.肝庇護劑之使用，門診以口服一種為原則；使用於高血氨症(hyperammonemia) </w:t>
      </w:r>
      <w:r>
        <w:rPr>
          <w:rFonts w:ascii="標楷體" w:eastAsia="標楷體" w:hAnsi="標楷體"/>
          <w:color w:val="000000"/>
        </w:rPr>
        <w:lastRenderedPageBreak/>
        <w:t>之肝庇護劑應檢附氨之異常報告。</w:t>
      </w:r>
    </w:p>
    <w:p w14:paraId="5870AAF7" w14:textId="77777777" w:rsidR="00BD776B" w:rsidRDefault="00DF0C24">
      <w:pPr>
        <w:ind w:left="811" w:hanging="245"/>
        <w:rPr>
          <w:rFonts w:ascii="標楷體" w:eastAsia="標楷體" w:hAnsi="標楷體"/>
          <w:color w:val="000000"/>
        </w:rPr>
      </w:pPr>
      <w:r>
        <w:rPr>
          <w:rFonts w:ascii="標楷體" w:eastAsia="標楷體" w:hAnsi="標楷體"/>
          <w:color w:val="000000"/>
        </w:rPr>
        <w:t>3.使用肝庇護劑應檢附肝功能報告，該報告有效期為三至六個月，逾期應再複查。(108/11/1)</w:t>
      </w:r>
    </w:p>
    <w:p w14:paraId="755BAEB4" w14:textId="77777777" w:rsidR="00BD776B" w:rsidRDefault="00DF0C24">
      <w:pPr>
        <w:ind w:left="811" w:hanging="245"/>
        <w:rPr>
          <w:rFonts w:ascii="標楷體" w:eastAsia="標楷體" w:hAnsi="標楷體"/>
          <w:color w:val="000000"/>
        </w:rPr>
      </w:pPr>
      <w:r>
        <w:rPr>
          <w:rFonts w:ascii="標楷體" w:eastAsia="標楷體" w:hAnsi="標楷體"/>
          <w:color w:val="000000"/>
        </w:rPr>
        <w:t>4.肝功能檢查如檢查結果正常，應停止用藥，在檢查未得結果前，所用藥物以一週為宜。</w:t>
      </w:r>
    </w:p>
    <w:p w14:paraId="594A1B96" w14:textId="77777777" w:rsidR="00BD776B" w:rsidRDefault="00DF0C24">
      <w:pPr>
        <w:ind w:left="672" w:hanging="386"/>
        <w:rPr>
          <w:rFonts w:ascii="標楷體" w:eastAsia="標楷體" w:hAnsi="標楷體"/>
          <w:color w:val="000000"/>
        </w:rPr>
      </w:pPr>
      <w:r>
        <w:rPr>
          <w:rFonts w:ascii="標楷體" w:eastAsia="標楷體" w:hAnsi="標楷體"/>
          <w:color w:val="000000"/>
        </w:rPr>
        <w:t>3.3.2.α-Keto acid-amino acid製劑(如Ketosteril)：限</w:t>
      </w:r>
    </w:p>
    <w:p w14:paraId="0B112E6D" w14:textId="77777777" w:rsidR="00BD776B" w:rsidRDefault="00DF0C24">
      <w:pPr>
        <w:ind w:left="811" w:hanging="245"/>
        <w:rPr>
          <w:rFonts w:ascii="標楷體" w:eastAsia="標楷體" w:hAnsi="標楷體"/>
          <w:color w:val="000000"/>
        </w:rPr>
      </w:pPr>
      <w:r>
        <w:rPr>
          <w:rFonts w:ascii="標楷體" w:eastAsia="標楷體" w:hAnsi="標楷體"/>
          <w:color w:val="000000"/>
        </w:rPr>
        <w:t>1.限慢性腎衰竭病患行低蛋白飲食治療，連續三個月，每個月之腎絲球過濾率eGFR ≦15mL/min /1.73 m2且尚未接受透析治療，每日至多使用六顆。(98/11/1、104/12/1)</w:t>
      </w:r>
    </w:p>
    <w:p w14:paraId="2D2EB269" w14:textId="77777777" w:rsidR="00BD776B" w:rsidRDefault="00DF0C24">
      <w:pPr>
        <w:ind w:left="811" w:hanging="245"/>
        <w:rPr>
          <w:rFonts w:ascii="標楷體" w:eastAsia="標楷體" w:hAnsi="標楷體"/>
          <w:color w:val="000000"/>
        </w:rPr>
      </w:pPr>
      <w:r>
        <w:rPr>
          <w:rFonts w:ascii="標楷體" w:eastAsia="標楷體" w:hAnsi="標楷體"/>
          <w:color w:val="000000"/>
        </w:rPr>
        <w:t>2.使用時應每兩個月檢查一次，腎絲球過濾率eGFR≧25mL/min/1.73 m2時，或服用本品期間病人若發生體重減輕&gt;5%或血清白蛋白降低&gt;5%之情況或病人不遵守低蛋白飲食時，應即停藥。(104/12/1)</w:t>
      </w:r>
    </w:p>
    <w:p w14:paraId="737F436D" w14:textId="77777777" w:rsidR="00BD776B" w:rsidRDefault="00DF0C24">
      <w:pPr>
        <w:ind w:left="811" w:hanging="245"/>
        <w:rPr>
          <w:rFonts w:ascii="標楷體" w:eastAsia="標楷體" w:hAnsi="標楷體"/>
          <w:color w:val="000000"/>
        </w:rPr>
      </w:pPr>
      <w:r>
        <w:rPr>
          <w:rFonts w:ascii="標楷體" w:eastAsia="標楷體" w:hAnsi="標楷體"/>
          <w:color w:val="000000"/>
        </w:rPr>
        <w:t>3.本品不得用於透析及換腎病患，並不得做為一般營養補充劑。(103/4/1)</w:t>
      </w:r>
    </w:p>
    <w:p w14:paraId="744AB244" w14:textId="77777777" w:rsidR="00BD776B" w:rsidRDefault="00DF0C24">
      <w:pPr>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使用本品時不得與同類品製劑(例如 Amiyu‥）同時處方。(93/12/1)</w:t>
      </w:r>
    </w:p>
    <w:p w14:paraId="70A5DCB3" w14:textId="77777777" w:rsidR="00BD776B" w:rsidRDefault="00DF0C24">
      <w:pPr>
        <w:ind w:left="672" w:hanging="386"/>
        <w:rPr>
          <w:rFonts w:ascii="標楷體" w:eastAsia="標楷體" w:hAnsi="標楷體"/>
          <w:color w:val="000000"/>
        </w:rPr>
      </w:pPr>
      <w:r>
        <w:rPr>
          <w:rFonts w:ascii="標楷體" w:eastAsia="標楷體" w:hAnsi="標楷體"/>
          <w:color w:val="000000"/>
        </w:rPr>
        <w:t>3.3.3.(刪除)：（88/9/1、93/8/1、107/10/1）</w:t>
      </w:r>
    </w:p>
    <w:p w14:paraId="2610C4ED" w14:textId="77777777" w:rsidR="00BD776B" w:rsidRDefault="00DF0C24">
      <w:pPr>
        <w:ind w:left="672" w:hanging="386"/>
        <w:rPr>
          <w:rFonts w:ascii="標楷體" w:eastAsia="標楷體" w:hAnsi="標楷體"/>
          <w:color w:val="000000"/>
        </w:rPr>
      </w:pPr>
      <w:r>
        <w:rPr>
          <w:rFonts w:ascii="標楷體" w:eastAsia="標楷體" w:hAnsi="標楷體"/>
          <w:color w:val="000000"/>
        </w:rPr>
        <w:t>3.3.4.口服鈣質補充劑oral calcium salt：（89/2/1）</w:t>
      </w:r>
    </w:p>
    <w:p w14:paraId="6C5F8259" w14:textId="77777777" w:rsidR="00BD776B" w:rsidRDefault="00DF0C24">
      <w:pPr>
        <w:ind w:left="798" w:hanging="1"/>
        <w:rPr>
          <w:rFonts w:ascii="標楷體" w:eastAsia="標楷體" w:hAnsi="標楷體"/>
          <w:color w:val="000000"/>
        </w:rPr>
      </w:pPr>
      <w:r>
        <w:rPr>
          <w:rFonts w:ascii="標楷體" w:eastAsia="標楷體" w:hAnsi="標楷體"/>
          <w:color w:val="000000"/>
        </w:rPr>
        <w:t>限下列病患使用：</w:t>
      </w:r>
    </w:p>
    <w:p w14:paraId="271890C3" w14:textId="77777777" w:rsidR="00BD776B" w:rsidRDefault="00DF0C24">
      <w:pPr>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骨質疏鬆（osteoporosis）或軟骨病（osteomalacia）病患。</w:t>
      </w:r>
    </w:p>
    <w:p w14:paraId="74764933" w14:textId="77777777" w:rsidR="00BD776B" w:rsidRDefault="00DF0C24">
      <w:pPr>
        <w:ind w:left="81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高磷酸鹽血症（hyperphosphatemia）或低血鈣症（hypocalcemia）。</w:t>
      </w:r>
    </w:p>
    <w:p w14:paraId="78E32ADA" w14:textId="77777777" w:rsidR="00BD776B" w:rsidRDefault="00DF0C24">
      <w:pPr>
        <w:ind w:left="811"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長期使用糖皮質類固醇（glucocorticoid）病患。</w:t>
      </w:r>
    </w:p>
    <w:p w14:paraId="3DEFDAD1" w14:textId="77777777" w:rsidR="00BD776B" w:rsidRDefault="00DF0C24">
      <w:pPr>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腎衰竭病患。</w:t>
      </w:r>
    </w:p>
    <w:p w14:paraId="35AA53E0" w14:textId="77777777" w:rsidR="00BD776B" w:rsidRDefault="00DF0C24">
      <w:pPr>
        <w:ind w:left="672" w:hanging="386"/>
        <w:rPr>
          <w:rFonts w:ascii="標楷體" w:eastAsia="標楷體" w:hAnsi="標楷體"/>
          <w:color w:val="000000"/>
        </w:rPr>
      </w:pPr>
      <w:r>
        <w:rPr>
          <w:rFonts w:ascii="標楷體" w:eastAsia="標楷體" w:hAnsi="標楷體"/>
          <w:color w:val="000000"/>
        </w:rPr>
        <w:t>3.3.5.Nutrineal PD4 with 1.1% Amino Acid：(91/2/1、92/10/1、99/5/1)</w:t>
      </w:r>
    </w:p>
    <w:p w14:paraId="62608AF2" w14:textId="77777777" w:rsidR="00BD776B" w:rsidRDefault="00DF0C24">
      <w:pPr>
        <w:ind w:left="811" w:hanging="245"/>
        <w:rPr>
          <w:rFonts w:ascii="標楷體" w:eastAsia="標楷體" w:hAnsi="標楷體"/>
          <w:color w:val="000000"/>
        </w:rPr>
      </w:pPr>
      <w:r>
        <w:rPr>
          <w:rFonts w:ascii="標楷體" w:eastAsia="標楷體" w:hAnsi="標楷體"/>
          <w:color w:val="000000"/>
        </w:rPr>
        <w:t>1.限長期接受腹膜透析之病患使用；該病患至少接受腹膜透析（CAPD）三個月以上者。</w:t>
      </w:r>
    </w:p>
    <w:p w14:paraId="2CBF4633" w14:textId="77777777" w:rsidR="00BD776B" w:rsidRDefault="00DF0C24">
      <w:pPr>
        <w:ind w:left="811" w:hanging="245"/>
        <w:rPr>
          <w:rFonts w:ascii="標楷體" w:eastAsia="標楷體" w:hAnsi="標楷體"/>
          <w:color w:val="000000"/>
        </w:rPr>
      </w:pPr>
      <w:r>
        <w:rPr>
          <w:rFonts w:ascii="標楷體" w:eastAsia="標楷體" w:hAnsi="標楷體"/>
          <w:color w:val="000000"/>
        </w:rPr>
        <w:t>2.每天限使用一袋代替葡萄糖腹膜透析液。</w:t>
      </w:r>
    </w:p>
    <w:p w14:paraId="40F4D5AA" w14:textId="77777777" w:rsidR="00BD776B" w:rsidRDefault="00DF0C24">
      <w:pPr>
        <w:ind w:left="811" w:hanging="245"/>
      </w:pPr>
      <w:r>
        <w:rPr>
          <w:rFonts w:ascii="標楷體" w:eastAsia="標楷體" w:hAnsi="標楷體"/>
          <w:color w:val="000000"/>
        </w:rPr>
        <w:t xml:space="preserve">3.serum albumin </w:t>
      </w:r>
      <w:r>
        <w:rPr>
          <w:rFonts w:ascii="標楷體" w:eastAsia="標楷體" w:hAnsi="標楷體"/>
        </w:rPr>
        <w:t>≦</w:t>
      </w:r>
      <w:r>
        <w:rPr>
          <w:rFonts w:ascii="標楷體" w:eastAsia="標楷體" w:hAnsi="標楷體"/>
          <w:color w:val="000000"/>
        </w:rPr>
        <w:t>3.5gm/dL 或nPNA &lt;0.9患者使用，需附開始CAPD當月的檢驗報告影本。</w:t>
      </w:r>
    </w:p>
    <w:p w14:paraId="0BB5AB02" w14:textId="77777777" w:rsidR="00BD776B" w:rsidRDefault="00DF0C24">
      <w:pPr>
        <w:ind w:left="798" w:hanging="1"/>
        <w:rPr>
          <w:rFonts w:ascii="標楷體" w:eastAsia="標楷體" w:hAnsi="標楷體"/>
          <w:color w:val="000000"/>
        </w:rPr>
      </w:pPr>
      <w:r>
        <w:rPr>
          <w:rFonts w:ascii="標楷體" w:eastAsia="標楷體" w:hAnsi="標楷體"/>
          <w:color w:val="000000"/>
        </w:rPr>
        <w:t>【註: nPNA (normalized protein equivalent of total nitrogen appearance) (gm/kg/day) = [10.76×(0.69×UNA+1.46)] ÷body weight (kg)】</w:t>
      </w:r>
    </w:p>
    <w:p w14:paraId="536E33CF" w14:textId="77777777" w:rsidR="00BD776B" w:rsidRDefault="00DF0C24">
      <w:pPr>
        <w:ind w:left="811" w:hanging="245"/>
        <w:rPr>
          <w:rFonts w:ascii="標楷體" w:eastAsia="標楷體" w:hAnsi="標楷體"/>
          <w:color w:val="000000"/>
        </w:rPr>
      </w:pPr>
      <w:r>
        <w:rPr>
          <w:rFonts w:ascii="標楷體" w:eastAsia="標楷體" w:hAnsi="標楷體"/>
          <w:color w:val="000000"/>
        </w:rPr>
        <w:t>4.每週Kt/V需＞1.7。(92/10/1、99/5/1)</w:t>
      </w:r>
    </w:p>
    <w:p w14:paraId="45C65BFF" w14:textId="77777777" w:rsidR="00BD776B" w:rsidRDefault="00DF0C24">
      <w:pPr>
        <w:ind w:left="811" w:hanging="245"/>
        <w:rPr>
          <w:rFonts w:ascii="標楷體" w:eastAsia="標楷體" w:hAnsi="標楷體"/>
          <w:color w:val="000000"/>
        </w:rPr>
      </w:pPr>
      <w:r>
        <w:rPr>
          <w:rFonts w:ascii="標楷體" w:eastAsia="標楷體" w:hAnsi="標楷體"/>
          <w:color w:val="000000"/>
        </w:rPr>
        <w:t>5.不得同時合併其他胺基酸（amino acid）使用。</w:t>
      </w:r>
    </w:p>
    <w:p w14:paraId="65C430A2" w14:textId="77777777" w:rsidR="00BD776B" w:rsidRDefault="00DF0C24">
      <w:pPr>
        <w:ind w:left="283"/>
        <w:rPr>
          <w:rFonts w:ascii="標楷體" w:eastAsia="標楷體" w:hAnsi="標楷體"/>
          <w:color w:val="000000"/>
        </w:rPr>
      </w:pPr>
      <w:r>
        <w:rPr>
          <w:rFonts w:ascii="標楷體" w:eastAsia="標楷體" w:hAnsi="標楷體"/>
          <w:color w:val="000000"/>
        </w:rPr>
        <w:t>3.3.6."Baxter" Extraneal Peritoneal Dialysis Solution With 7.5% Icodextrin (93/12 /1、96/1/1、99/9/1、100/2/1、108/8/1）</w:t>
      </w:r>
    </w:p>
    <w:p w14:paraId="328A9F61" w14:textId="77777777" w:rsidR="00BD776B" w:rsidRDefault="00DF0C24">
      <w:pPr>
        <w:ind w:left="798" w:hanging="1"/>
        <w:rPr>
          <w:rFonts w:ascii="標楷體" w:eastAsia="標楷體" w:hAnsi="標楷體"/>
          <w:color w:val="000000"/>
        </w:rPr>
      </w:pPr>
      <w:r>
        <w:rPr>
          <w:rFonts w:ascii="標楷體" w:eastAsia="標楷體" w:hAnsi="標楷體"/>
          <w:color w:val="000000"/>
        </w:rPr>
        <w:t>1.限下列病患使用：</w:t>
      </w:r>
    </w:p>
    <w:p w14:paraId="0B110EA1" w14:textId="77777777" w:rsidR="00BD776B" w:rsidRDefault="00DF0C24">
      <w:pPr>
        <w:ind w:left="798" w:hanging="1"/>
        <w:rPr>
          <w:rFonts w:ascii="標楷體" w:eastAsia="標楷體" w:hAnsi="標楷體"/>
          <w:color w:val="000000"/>
        </w:rPr>
      </w:pPr>
      <w:r>
        <w:rPr>
          <w:rFonts w:ascii="標楷體" w:eastAsia="標楷體" w:hAnsi="標楷體"/>
          <w:color w:val="000000"/>
        </w:rPr>
        <w:t>(1)high transporters病患，用於每天長留置期。(100/2/1)</w:t>
      </w:r>
    </w:p>
    <w:p w14:paraId="286AE76B" w14:textId="77777777" w:rsidR="00BD776B" w:rsidRDefault="00DF0C24">
      <w:pPr>
        <w:ind w:left="1037" w:hanging="240"/>
        <w:rPr>
          <w:rFonts w:ascii="標楷體" w:eastAsia="標楷體" w:hAnsi="標楷體"/>
          <w:color w:val="000000"/>
        </w:rPr>
      </w:pPr>
      <w:r>
        <w:rPr>
          <w:rFonts w:ascii="標楷體" w:eastAsia="標楷體" w:hAnsi="標楷體"/>
          <w:color w:val="000000"/>
        </w:rPr>
        <w:t>(2) high average transporters 病患，每天使用1袋≧2.5%葡萄糖腹膜透析液。(108/8/1)</w:t>
      </w:r>
    </w:p>
    <w:p w14:paraId="283CBECD" w14:textId="77777777" w:rsidR="00BD776B" w:rsidRDefault="00DF0C24">
      <w:pPr>
        <w:ind w:left="798" w:hanging="1"/>
        <w:rPr>
          <w:rFonts w:ascii="標楷體" w:eastAsia="標楷體" w:hAnsi="標楷體"/>
          <w:color w:val="000000"/>
        </w:rPr>
      </w:pPr>
      <w:r>
        <w:rPr>
          <w:rFonts w:ascii="標楷體" w:eastAsia="標楷體" w:hAnsi="標楷體"/>
          <w:color w:val="000000"/>
        </w:rPr>
        <w:t>(3)脫水衰竭病患及臨界脫水衰竭邊緣之病患，即病患下列情形之一者：</w:t>
      </w:r>
    </w:p>
    <w:p w14:paraId="3D708A86" w14:textId="77777777" w:rsidR="00BD776B" w:rsidRDefault="00DF0C24">
      <w:pPr>
        <w:ind w:left="797" w:firstLine="240"/>
        <w:rPr>
          <w:rFonts w:ascii="標楷體" w:eastAsia="標楷體" w:hAnsi="標楷體"/>
          <w:color w:val="000000"/>
        </w:rPr>
      </w:pPr>
      <w:r>
        <w:rPr>
          <w:rFonts w:ascii="標楷體" w:eastAsia="標楷體" w:hAnsi="標楷體"/>
          <w:color w:val="000000"/>
        </w:rPr>
        <w:t>I.使用4.25% 傳統式葡萄糖腹膜透析液4小時內脫水量小於等於400cc.者。</w:t>
      </w:r>
    </w:p>
    <w:p w14:paraId="217F1E88" w14:textId="77777777" w:rsidR="00BD776B" w:rsidRDefault="00DF0C24">
      <w:pPr>
        <w:ind w:left="797" w:firstLine="240"/>
        <w:rPr>
          <w:rFonts w:ascii="標楷體" w:eastAsia="標楷體" w:hAnsi="標楷體"/>
          <w:color w:val="000000"/>
        </w:rPr>
      </w:pPr>
      <w:r>
        <w:rPr>
          <w:rFonts w:ascii="標楷體" w:eastAsia="標楷體" w:hAnsi="標楷體"/>
          <w:color w:val="000000"/>
        </w:rPr>
        <w:t>II.每天使用總袋數1/2以上（含）2.5﹪葡萄糖腹膜透析液。(108/8/1)</w:t>
      </w:r>
    </w:p>
    <w:p w14:paraId="24C317CE" w14:textId="77777777" w:rsidR="00BD776B" w:rsidRDefault="00DF0C24">
      <w:pPr>
        <w:ind w:left="798" w:hanging="1"/>
        <w:rPr>
          <w:rFonts w:ascii="標楷體" w:eastAsia="標楷體" w:hAnsi="標楷體"/>
          <w:color w:val="000000"/>
        </w:rPr>
      </w:pPr>
      <w:r>
        <w:rPr>
          <w:rFonts w:ascii="標楷體" w:eastAsia="標楷體" w:hAnsi="標楷體"/>
          <w:color w:val="000000"/>
        </w:rPr>
        <w:t>(4)HbA1c大於7.0 ﹪的糖尿病腹膜透析病患，用於每天長留置期。</w:t>
      </w:r>
    </w:p>
    <w:p w14:paraId="6B750FDA" w14:textId="77777777" w:rsidR="00BD776B" w:rsidRDefault="00DF0C24">
      <w:pPr>
        <w:ind w:left="798" w:hanging="1"/>
        <w:rPr>
          <w:rFonts w:ascii="標楷體" w:eastAsia="標楷體" w:hAnsi="標楷體"/>
          <w:color w:val="000000"/>
        </w:rPr>
      </w:pPr>
      <w:r>
        <w:rPr>
          <w:rFonts w:ascii="標楷體" w:eastAsia="標楷體" w:hAnsi="標楷體"/>
          <w:color w:val="000000"/>
        </w:rPr>
        <w:lastRenderedPageBreak/>
        <w:t>(5)腹膜炎病患。</w:t>
      </w:r>
    </w:p>
    <w:p w14:paraId="04EE0C1E" w14:textId="77777777" w:rsidR="00BD776B" w:rsidRDefault="00DF0C24">
      <w:pPr>
        <w:ind w:left="798" w:hanging="1"/>
        <w:rPr>
          <w:rFonts w:ascii="標楷體" w:eastAsia="標楷體" w:hAnsi="標楷體"/>
          <w:color w:val="000000"/>
        </w:rPr>
      </w:pPr>
      <w:r>
        <w:rPr>
          <w:rFonts w:ascii="標楷體" w:eastAsia="標楷體" w:hAnsi="標楷體"/>
          <w:color w:val="000000"/>
        </w:rPr>
        <w:t>2.每天限用一袋。</w:t>
      </w:r>
    </w:p>
    <w:p w14:paraId="3B53A05C" w14:textId="77777777" w:rsidR="00BD776B" w:rsidRDefault="00DF0C24">
      <w:pPr>
        <w:ind w:left="798" w:hanging="1"/>
        <w:rPr>
          <w:rFonts w:ascii="標楷體" w:eastAsia="標楷體" w:hAnsi="標楷體"/>
          <w:color w:val="000000"/>
        </w:rPr>
      </w:pPr>
      <w:r>
        <w:rPr>
          <w:rFonts w:ascii="標楷體" w:eastAsia="標楷體" w:hAnsi="標楷體"/>
          <w:color w:val="000000"/>
        </w:rPr>
        <w:t>3.申報時，應檢附最近1個月內，殘餘尿量與每日脫水量之相關文件，以及使用Extraneal solution前，每日脫水量等相關資料，供審查參考。(99/9/1、108/8/1)</w:t>
      </w:r>
    </w:p>
    <w:p w14:paraId="123BAB83" w14:textId="77777777" w:rsidR="00BD776B" w:rsidRDefault="00DF0C24">
      <w:pPr>
        <w:ind w:left="672" w:hanging="386"/>
        <w:rPr>
          <w:rFonts w:ascii="標楷體" w:eastAsia="標楷體" w:hAnsi="標楷體"/>
          <w:color w:val="000000"/>
        </w:rPr>
      </w:pPr>
      <w:r>
        <w:rPr>
          <w:rFonts w:ascii="標楷體" w:eastAsia="標楷體" w:hAnsi="標楷體"/>
          <w:color w:val="000000"/>
        </w:rPr>
        <w:t>3.3.7.Sodium bicarbonate成分之口服製劑給付規定：(95/8/1、96/12/1)</w:t>
      </w:r>
    </w:p>
    <w:p w14:paraId="162F7C03" w14:textId="77777777" w:rsidR="00BD776B" w:rsidRDefault="00DF0C24">
      <w:pPr>
        <w:ind w:left="798" w:hanging="1"/>
        <w:rPr>
          <w:rFonts w:ascii="標楷體" w:eastAsia="標楷體" w:hAnsi="標楷體"/>
          <w:color w:val="000000"/>
        </w:rPr>
      </w:pPr>
      <w:r>
        <w:rPr>
          <w:rFonts w:ascii="標楷體" w:eastAsia="標楷體" w:hAnsi="標楷體"/>
          <w:color w:val="000000"/>
        </w:rPr>
        <w:t>限用於代謝性酸中毒。</w:t>
      </w:r>
    </w:p>
    <w:p w14:paraId="36B53424" w14:textId="77777777" w:rsidR="00BD776B" w:rsidRDefault="00DF0C24">
      <w:pPr>
        <w:ind w:left="672" w:hanging="386"/>
        <w:rPr>
          <w:rFonts w:ascii="標楷體" w:eastAsia="標楷體" w:hAnsi="標楷體"/>
          <w:color w:val="000000"/>
        </w:rPr>
      </w:pPr>
      <w:r>
        <w:rPr>
          <w:rFonts w:ascii="標楷體" w:eastAsia="標楷體" w:hAnsi="標楷體"/>
          <w:color w:val="000000"/>
        </w:rPr>
        <w:t>3.3.8.Idursulfase(如Elaprase)：(96/7/1、99/8/1、106/10/1)</w:t>
      </w:r>
    </w:p>
    <w:p w14:paraId="609E13A1" w14:textId="77777777" w:rsidR="00BD776B" w:rsidRDefault="00DF0C24">
      <w:pPr>
        <w:ind w:left="811" w:hanging="245"/>
        <w:rPr>
          <w:rFonts w:ascii="標楷體" w:eastAsia="標楷體" w:hAnsi="標楷體"/>
          <w:color w:val="000000"/>
        </w:rPr>
      </w:pPr>
      <w:r>
        <w:rPr>
          <w:rFonts w:ascii="標楷體" w:eastAsia="標楷體" w:hAnsi="標楷體"/>
          <w:color w:val="000000"/>
        </w:rPr>
        <w:t>1.病患須符合以下診斷條件：除了臨床表徵及尿液葡萄醣胺聚醣定性、定量檢驗的佐證外，須證明患者週邊血液白血球或血漿，或經培養之皮膚纖維芽細胞的IDS 酵素活性缺乏，或者是患者位於X 染色體Xq27-28 位點上之IDS 基因經分子生物學檢驗確認有一處已知或必然會引起黏多醣第Ⅱ型（MPSⅡ）之突變。(106/10/1)</w:t>
      </w:r>
    </w:p>
    <w:p w14:paraId="2B63FD6D" w14:textId="77777777" w:rsidR="00BD776B" w:rsidRDefault="00DF0C24">
      <w:pPr>
        <w:ind w:left="811" w:hanging="245"/>
        <w:rPr>
          <w:rFonts w:ascii="標楷體" w:eastAsia="標楷體" w:hAnsi="標楷體"/>
          <w:color w:val="000000"/>
        </w:rPr>
      </w:pPr>
      <w:r>
        <w:rPr>
          <w:rFonts w:ascii="標楷體" w:eastAsia="標楷體" w:hAnsi="標楷體"/>
          <w:color w:val="000000"/>
        </w:rPr>
        <w:t>2.限兒科專科經醫學遺傳學次專科訓練取得證書之醫師使用。(106/10/1)</w:t>
      </w:r>
    </w:p>
    <w:p w14:paraId="35FE14B1" w14:textId="77777777" w:rsidR="00BD776B" w:rsidRDefault="00DF0C24">
      <w:pPr>
        <w:ind w:left="811" w:hanging="245"/>
        <w:rPr>
          <w:rFonts w:ascii="標楷體" w:eastAsia="標楷體" w:hAnsi="標楷體"/>
          <w:color w:val="000000"/>
        </w:rPr>
      </w:pPr>
      <w:r>
        <w:rPr>
          <w:rFonts w:ascii="標楷體" w:eastAsia="標楷體" w:hAnsi="標楷體"/>
          <w:color w:val="000000"/>
        </w:rPr>
        <w:t>3.排除使用於：(106/10/1)</w:t>
      </w:r>
    </w:p>
    <w:p w14:paraId="6F6C98D3" w14:textId="77777777" w:rsidR="00BD776B" w:rsidRDefault="00DF0C24">
      <w:pPr>
        <w:ind w:left="1049" w:hanging="341"/>
        <w:rPr>
          <w:rFonts w:ascii="標楷體" w:eastAsia="標楷體" w:hAnsi="標楷體"/>
          <w:color w:val="000000"/>
        </w:rPr>
      </w:pPr>
      <w:r>
        <w:rPr>
          <w:rFonts w:ascii="標楷體" w:eastAsia="標楷體" w:hAnsi="標楷體"/>
          <w:color w:val="000000"/>
        </w:rPr>
        <w:t>(1)因idursulfase無法通過血腦屏障(blood-brain barrier)，靜脈注射idursulfas無法有效治療MPSⅡA，若有明顯中樞神經症狀且持續惡化，應不予治療。</w:t>
      </w:r>
    </w:p>
    <w:p w14:paraId="342FBE47" w14:textId="77777777" w:rsidR="00BD776B" w:rsidRDefault="00DF0C24">
      <w:pPr>
        <w:ind w:left="1049" w:hanging="341"/>
        <w:rPr>
          <w:rFonts w:ascii="標楷體" w:eastAsia="標楷體" w:hAnsi="標楷體"/>
          <w:color w:val="000000"/>
        </w:rPr>
      </w:pPr>
      <w:r>
        <w:rPr>
          <w:rFonts w:ascii="標楷體" w:eastAsia="標楷體" w:hAnsi="標楷體"/>
          <w:color w:val="000000"/>
        </w:rPr>
        <w:t>(2)未經治療之患者沒有任何會影響健康之症狀時。</w:t>
      </w:r>
    </w:p>
    <w:p w14:paraId="26A38BBA" w14:textId="77777777" w:rsidR="00BD776B" w:rsidRDefault="00DF0C24">
      <w:pPr>
        <w:ind w:left="1049" w:hanging="341"/>
        <w:rPr>
          <w:rFonts w:ascii="標楷體" w:eastAsia="標楷體" w:hAnsi="標楷體"/>
          <w:color w:val="000000"/>
        </w:rPr>
      </w:pPr>
      <w:r>
        <w:rPr>
          <w:rFonts w:ascii="標楷體" w:eastAsia="標楷體" w:hAnsi="標楷體"/>
          <w:color w:val="000000"/>
        </w:rPr>
        <w:t>(3)重型病患：完全臥床且無行動能力，或是無法自行呼吸且完全仰賴呼吸器維生者。</w:t>
      </w:r>
    </w:p>
    <w:p w14:paraId="6B34218E" w14:textId="77777777" w:rsidR="00BD776B" w:rsidRDefault="00DF0C24">
      <w:pPr>
        <w:ind w:left="811" w:hanging="245"/>
        <w:rPr>
          <w:rFonts w:ascii="標楷體" w:eastAsia="標楷體" w:hAnsi="標楷體"/>
          <w:color w:val="000000"/>
        </w:rPr>
      </w:pPr>
      <w:r>
        <w:rPr>
          <w:rFonts w:ascii="標楷體" w:eastAsia="標楷體" w:hAnsi="標楷體"/>
          <w:color w:val="000000"/>
        </w:rPr>
        <w:t>4.黏多醣症第二型患者之器官傷害多屬不可逆性，治療前應與患者及家屬充分溝通告知下列事項，並請其簽名確認已被告知，留存病歷備查：(106/10/1)</w:t>
      </w:r>
    </w:p>
    <w:p w14:paraId="49F82D43" w14:textId="77777777" w:rsidR="00BD776B" w:rsidRDefault="00DF0C24">
      <w:pPr>
        <w:ind w:left="1049" w:hanging="341"/>
        <w:rPr>
          <w:rFonts w:ascii="標楷體" w:eastAsia="標楷體" w:hAnsi="標楷體"/>
          <w:color w:val="000000"/>
        </w:rPr>
      </w:pPr>
      <w:r>
        <w:rPr>
          <w:rFonts w:ascii="標楷體" w:eastAsia="標楷體" w:hAnsi="標楷體"/>
          <w:color w:val="000000"/>
        </w:rPr>
        <w:t>(1)確定其了解治療的預期效果。</w:t>
      </w:r>
    </w:p>
    <w:p w14:paraId="50ED33BD" w14:textId="77777777" w:rsidR="00BD776B" w:rsidRDefault="00DF0C24">
      <w:pPr>
        <w:ind w:left="1049" w:hanging="341"/>
        <w:rPr>
          <w:rFonts w:ascii="標楷體" w:eastAsia="標楷體" w:hAnsi="標楷體"/>
          <w:color w:val="000000"/>
        </w:rPr>
      </w:pPr>
      <w:r>
        <w:rPr>
          <w:rFonts w:ascii="標楷體" w:eastAsia="標楷體" w:hAnsi="標楷體"/>
          <w:color w:val="000000"/>
        </w:rPr>
        <w:t>(2)患者有義務接受定期追蹤評估，在中樞神經症狀明顯退化情況下，主治醫師在向患者及家屬清楚解釋後，適時停止 idursulfase 之治療。</w:t>
      </w:r>
    </w:p>
    <w:p w14:paraId="36E6AFAE" w14:textId="77777777" w:rsidR="00BD776B" w:rsidRDefault="00DF0C24">
      <w:pPr>
        <w:ind w:left="811" w:hanging="245"/>
        <w:rPr>
          <w:rFonts w:ascii="標楷體" w:eastAsia="標楷體" w:hAnsi="標楷體"/>
          <w:color w:val="000000"/>
        </w:rPr>
      </w:pPr>
      <w:r>
        <w:rPr>
          <w:rFonts w:ascii="標楷體" w:eastAsia="標楷體" w:hAnsi="標楷體"/>
          <w:color w:val="000000"/>
        </w:rPr>
        <w:t>5.應定期追蹤評估治療效果及下列事項：(106/10/1)</w:t>
      </w:r>
    </w:p>
    <w:p w14:paraId="4AEE6DC4" w14:textId="77777777" w:rsidR="00BD776B" w:rsidRDefault="00DF0C24">
      <w:pPr>
        <w:ind w:left="1049" w:hanging="341"/>
        <w:rPr>
          <w:rFonts w:ascii="標楷體" w:eastAsia="標楷體" w:hAnsi="標楷體"/>
          <w:color w:val="000000"/>
        </w:rPr>
      </w:pPr>
      <w:r>
        <w:rPr>
          <w:rFonts w:ascii="標楷體" w:eastAsia="標楷體" w:hAnsi="標楷體"/>
          <w:color w:val="000000"/>
        </w:rPr>
        <w:t>(1)至少每半年追蹤一次：</w:t>
      </w:r>
    </w:p>
    <w:p w14:paraId="37F5E3F3" w14:textId="77777777" w:rsidR="00BD776B" w:rsidRDefault="00DF0C24">
      <w:pPr>
        <w:ind w:left="1231" w:hanging="379"/>
        <w:rPr>
          <w:rFonts w:ascii="標楷體" w:eastAsia="標楷體" w:hAnsi="標楷體"/>
          <w:color w:val="000000"/>
        </w:rPr>
      </w:pPr>
      <w:r>
        <w:rPr>
          <w:rFonts w:ascii="標楷體" w:eastAsia="標楷體" w:hAnsi="標楷體"/>
          <w:color w:val="000000"/>
        </w:rPr>
        <w:t>I. 身高體重；</w:t>
      </w:r>
    </w:p>
    <w:p w14:paraId="6F36C2C2" w14:textId="77777777" w:rsidR="00BD776B" w:rsidRDefault="00DF0C24">
      <w:pPr>
        <w:ind w:left="1231" w:hanging="379"/>
        <w:rPr>
          <w:rFonts w:ascii="標楷體" w:eastAsia="標楷體" w:hAnsi="標楷體"/>
          <w:color w:val="000000"/>
        </w:rPr>
      </w:pPr>
      <w:r>
        <w:rPr>
          <w:rFonts w:ascii="標楷體" w:eastAsia="標楷體" w:hAnsi="標楷體"/>
          <w:color w:val="000000"/>
        </w:rPr>
        <w:t>II.尿液黏多醣量；</w:t>
      </w:r>
    </w:p>
    <w:p w14:paraId="22DA7262" w14:textId="77777777" w:rsidR="00BD776B" w:rsidRDefault="00DF0C24">
      <w:pPr>
        <w:ind w:left="1231" w:hanging="379"/>
        <w:rPr>
          <w:rFonts w:ascii="標楷體" w:eastAsia="標楷體" w:hAnsi="標楷體"/>
          <w:color w:val="000000"/>
        </w:rPr>
      </w:pPr>
      <w:r>
        <w:rPr>
          <w:rFonts w:ascii="標楷體" w:eastAsia="標楷體" w:hAnsi="標楷體"/>
          <w:color w:val="000000"/>
        </w:rPr>
        <w:t>III.依Hunter Outcome Survey (HOS) Registry所建議之評估事項評估。</w:t>
      </w:r>
    </w:p>
    <w:p w14:paraId="3162CE47" w14:textId="77777777" w:rsidR="00BD776B" w:rsidRDefault="00DF0C24">
      <w:pPr>
        <w:ind w:left="1049" w:hanging="341"/>
        <w:rPr>
          <w:rFonts w:ascii="標楷體" w:eastAsia="標楷體" w:hAnsi="標楷體"/>
          <w:color w:val="000000"/>
        </w:rPr>
      </w:pPr>
      <w:r>
        <w:rPr>
          <w:rFonts w:ascii="標楷體" w:eastAsia="標楷體" w:hAnsi="標楷體"/>
          <w:color w:val="000000"/>
        </w:rPr>
        <w:t>(2)至少每一年追蹤一次：</w:t>
      </w:r>
    </w:p>
    <w:p w14:paraId="369047DF" w14:textId="77777777" w:rsidR="00BD776B" w:rsidRDefault="00DF0C24">
      <w:pPr>
        <w:ind w:left="1231" w:hanging="379"/>
        <w:rPr>
          <w:rFonts w:ascii="標楷體" w:eastAsia="標楷體" w:hAnsi="標楷體"/>
          <w:color w:val="000000"/>
        </w:rPr>
      </w:pPr>
      <w:r>
        <w:rPr>
          <w:rFonts w:ascii="標楷體" w:eastAsia="標楷體" w:hAnsi="標楷體"/>
          <w:color w:val="000000"/>
        </w:rPr>
        <w:t>I.腹部超音波、肝臟大小、脾臟大小；</w:t>
      </w:r>
    </w:p>
    <w:p w14:paraId="5821F3D4" w14:textId="77777777" w:rsidR="00BD776B" w:rsidRDefault="00DF0C24">
      <w:pPr>
        <w:ind w:left="1231" w:hanging="379"/>
        <w:rPr>
          <w:rFonts w:ascii="標楷體" w:eastAsia="標楷體" w:hAnsi="標楷體"/>
          <w:color w:val="000000"/>
        </w:rPr>
      </w:pPr>
      <w:r>
        <w:rPr>
          <w:rFonts w:ascii="標楷體" w:eastAsia="標楷體" w:hAnsi="標楷體"/>
          <w:color w:val="000000"/>
        </w:rPr>
        <w:t>II.心電圖；</w:t>
      </w:r>
    </w:p>
    <w:p w14:paraId="2993E03D" w14:textId="77777777" w:rsidR="00BD776B" w:rsidRDefault="00DF0C24">
      <w:pPr>
        <w:ind w:left="1231" w:hanging="379"/>
        <w:rPr>
          <w:rFonts w:ascii="標楷體" w:eastAsia="標楷體" w:hAnsi="標楷體"/>
          <w:color w:val="000000"/>
        </w:rPr>
      </w:pPr>
      <w:r>
        <w:rPr>
          <w:rFonts w:ascii="標楷體" w:eastAsia="標楷體" w:hAnsi="標楷體"/>
          <w:color w:val="000000"/>
        </w:rPr>
        <w:t>III.心臟超音波</w:t>
      </w:r>
    </w:p>
    <w:p w14:paraId="290E3DEE" w14:textId="77777777" w:rsidR="00BD776B" w:rsidRDefault="00DF0C24">
      <w:pPr>
        <w:ind w:left="1231" w:hanging="379"/>
        <w:rPr>
          <w:rFonts w:ascii="標楷體" w:eastAsia="標楷體" w:hAnsi="標楷體"/>
          <w:color w:val="000000"/>
        </w:rPr>
      </w:pPr>
      <w:r>
        <w:rPr>
          <w:rFonts w:ascii="標楷體" w:eastAsia="標楷體" w:hAnsi="標楷體"/>
          <w:color w:val="000000"/>
        </w:rPr>
        <w:t>IV.六分鐘步行測驗（6-minute walk test）或於5 歲以下幼童以DDST（Denver Developmental Screening Test）粗動作及精細動作（Gross Motor and Fine Motor）檢測；</w:t>
      </w:r>
    </w:p>
    <w:p w14:paraId="226AAF07" w14:textId="77777777" w:rsidR="00BD776B" w:rsidRDefault="00DF0C24">
      <w:pPr>
        <w:ind w:left="1231" w:hanging="379"/>
        <w:rPr>
          <w:rFonts w:ascii="標楷體" w:eastAsia="標楷體" w:hAnsi="標楷體"/>
          <w:color w:val="000000"/>
        </w:rPr>
      </w:pPr>
      <w:r>
        <w:rPr>
          <w:rFonts w:ascii="標楷體" w:eastAsia="標楷體" w:hAnsi="標楷體"/>
          <w:color w:val="000000"/>
        </w:rPr>
        <w:t>V.肺功能；</w:t>
      </w:r>
    </w:p>
    <w:p w14:paraId="71C951AB" w14:textId="77777777" w:rsidR="00BD776B" w:rsidRDefault="00DF0C24">
      <w:pPr>
        <w:ind w:left="1231" w:hanging="379"/>
        <w:rPr>
          <w:rFonts w:ascii="標楷體" w:eastAsia="標楷體" w:hAnsi="標楷體"/>
          <w:color w:val="000000"/>
        </w:rPr>
      </w:pPr>
      <w:r>
        <w:rPr>
          <w:rFonts w:ascii="標楷體" w:eastAsia="標楷體" w:hAnsi="標楷體"/>
          <w:color w:val="000000"/>
        </w:rPr>
        <w:t>VI.藥物抗體</w:t>
      </w:r>
    </w:p>
    <w:p w14:paraId="534EFAD1" w14:textId="77777777" w:rsidR="00BD776B" w:rsidRDefault="00DF0C24">
      <w:pPr>
        <w:ind w:left="811" w:hanging="245"/>
        <w:rPr>
          <w:rFonts w:ascii="標楷體" w:eastAsia="標楷體" w:hAnsi="標楷體"/>
          <w:color w:val="000000"/>
        </w:rPr>
      </w:pPr>
      <w:r>
        <w:rPr>
          <w:rFonts w:ascii="標楷體" w:eastAsia="標楷體" w:hAnsi="標楷體"/>
          <w:color w:val="000000"/>
        </w:rPr>
        <w:t>6.需經事前審查核准後使用，每次申請之療程以1年為限。重新申請時，若有下列任一情況，則不再給予idursulfase治療：(106/10/1)</w:t>
      </w:r>
    </w:p>
    <w:p w14:paraId="17F8FAC5"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(1)尿中葡萄胺聚醣與肌酸酐比值：於接受治療的第一年之後評估，較前一年有50%以上的增加；第二年之後評估，較之前一年有100%以上的增加。。</w:t>
      </w:r>
    </w:p>
    <w:p w14:paraId="45B91F0C" w14:textId="77777777" w:rsidR="00BD776B" w:rsidRDefault="00DF0C24">
      <w:pPr>
        <w:ind w:left="1049" w:hanging="341"/>
        <w:rPr>
          <w:rFonts w:ascii="標楷體" w:eastAsia="標楷體" w:hAnsi="標楷體"/>
          <w:color w:val="000000"/>
        </w:rPr>
      </w:pPr>
      <w:r>
        <w:rPr>
          <w:rFonts w:ascii="標楷體" w:eastAsia="標楷體" w:hAnsi="標楷體"/>
          <w:color w:val="000000"/>
        </w:rPr>
        <w:t>(2)六分鐘步行測驗：較之前一年退步50%以上或連續2 年有退步現象；5 歲以下幼童以DDST 粗動作及精細動作檢測，發展進程年齡與實際年齡商數低於60%，或比初次檢測時之發展進程年齡退步。</w:t>
      </w:r>
    </w:p>
    <w:p w14:paraId="69E8F423" w14:textId="77777777" w:rsidR="00BD776B" w:rsidRDefault="00DF0C24">
      <w:pPr>
        <w:ind w:left="1049" w:hanging="341"/>
        <w:rPr>
          <w:rFonts w:ascii="標楷體" w:eastAsia="標楷體" w:hAnsi="標楷體"/>
          <w:color w:val="000000"/>
        </w:rPr>
      </w:pPr>
      <w:r>
        <w:rPr>
          <w:rFonts w:ascii="標楷體" w:eastAsia="標楷體" w:hAnsi="標楷體"/>
          <w:color w:val="000000"/>
        </w:rPr>
        <w:t>(3)呼吸功能檢查：血液中氧氣飽和度在2 小時內無法持續維持1 小時以上≧90%。</w:t>
      </w:r>
    </w:p>
    <w:p w14:paraId="28EAC852" w14:textId="77777777" w:rsidR="00BD776B" w:rsidRDefault="00DF0C24">
      <w:pPr>
        <w:ind w:left="1049" w:hanging="341"/>
        <w:rPr>
          <w:rFonts w:ascii="標楷體" w:eastAsia="標楷體" w:hAnsi="標楷體"/>
          <w:color w:val="000000"/>
        </w:rPr>
      </w:pPr>
      <w:r>
        <w:rPr>
          <w:rFonts w:ascii="標楷體" w:eastAsia="標楷體" w:hAnsi="標楷體"/>
          <w:color w:val="000000"/>
        </w:rPr>
        <w:t>(4)病人有認知功能退化，或有明顯中樞神經系統退化之臨床表徵。</w:t>
      </w:r>
    </w:p>
    <w:p w14:paraId="5213B0F4" w14:textId="77777777" w:rsidR="00BD776B" w:rsidRDefault="00DF0C24">
      <w:pPr>
        <w:ind w:left="811" w:hanging="245"/>
        <w:rPr>
          <w:rFonts w:ascii="標楷體" w:eastAsia="標楷體" w:hAnsi="標楷體"/>
          <w:color w:val="000000"/>
        </w:rPr>
      </w:pPr>
      <w:r>
        <w:rPr>
          <w:rFonts w:ascii="標楷體" w:eastAsia="標楷體" w:hAnsi="標楷體"/>
          <w:color w:val="000000"/>
        </w:rPr>
        <w:t>7.須立即停止idusulfase 治療的情形：(106/10/1)</w:t>
      </w:r>
    </w:p>
    <w:p w14:paraId="58785F33" w14:textId="77777777" w:rsidR="00BD776B" w:rsidRDefault="00DF0C24">
      <w:pPr>
        <w:ind w:left="1049" w:hanging="341"/>
        <w:rPr>
          <w:rFonts w:ascii="標楷體" w:eastAsia="標楷體" w:hAnsi="標楷體"/>
          <w:color w:val="000000"/>
        </w:rPr>
      </w:pPr>
      <w:r>
        <w:rPr>
          <w:rFonts w:ascii="標楷體" w:eastAsia="標楷體" w:hAnsi="標楷體"/>
          <w:color w:val="000000"/>
        </w:rPr>
        <w:t>(1)有證據顯示病人開始呈現明顯的中樞神經系統退化之臨床表徵。</w:t>
      </w:r>
    </w:p>
    <w:p w14:paraId="1CE90A36" w14:textId="77777777" w:rsidR="00BD776B" w:rsidRDefault="00DF0C24">
      <w:pPr>
        <w:ind w:left="1049" w:hanging="341"/>
        <w:rPr>
          <w:rFonts w:ascii="標楷體" w:eastAsia="標楷體" w:hAnsi="標楷體"/>
          <w:color w:val="000000"/>
        </w:rPr>
      </w:pPr>
      <w:r>
        <w:rPr>
          <w:rFonts w:ascii="標楷體" w:eastAsia="標楷體" w:hAnsi="標楷體"/>
          <w:color w:val="000000"/>
        </w:rPr>
        <w:t>(2)病人在接受治療時發生其它致命的疾病，這表示病人無法獲得idursulfase的療效。</w:t>
      </w:r>
    </w:p>
    <w:p w14:paraId="33397590" w14:textId="77777777" w:rsidR="00BD776B" w:rsidRDefault="00DF0C24">
      <w:pPr>
        <w:ind w:left="1049" w:hanging="341"/>
        <w:rPr>
          <w:rFonts w:ascii="標楷體" w:eastAsia="標楷體" w:hAnsi="標楷體"/>
          <w:color w:val="000000"/>
        </w:rPr>
      </w:pPr>
      <w:r>
        <w:rPr>
          <w:rFonts w:ascii="標楷體" w:eastAsia="標楷體" w:hAnsi="標楷體"/>
          <w:color w:val="000000"/>
        </w:rPr>
        <w:t>(3)病人發生嚴重不良反應。</w:t>
      </w:r>
    </w:p>
    <w:p w14:paraId="3E5FD4C7" w14:textId="77777777" w:rsidR="00BD776B" w:rsidRDefault="00DF0C24">
      <w:pPr>
        <w:ind w:left="1049" w:hanging="341"/>
        <w:rPr>
          <w:rFonts w:ascii="標楷體" w:eastAsia="標楷體" w:hAnsi="標楷體"/>
          <w:color w:val="000000"/>
        </w:rPr>
      </w:pPr>
      <w:r>
        <w:rPr>
          <w:rFonts w:ascii="標楷體" w:eastAsia="標楷體" w:hAnsi="標楷體"/>
          <w:color w:val="000000"/>
        </w:rPr>
        <w:t>(4)病人無法配合最適療程所需的注射規定或無法配合療效的評估。</w:t>
      </w:r>
    </w:p>
    <w:p w14:paraId="7D72AA5C" w14:textId="77777777" w:rsidR="00BD776B" w:rsidRDefault="00DF0C24">
      <w:pPr>
        <w:ind w:left="567" w:hanging="245"/>
        <w:rPr>
          <w:rFonts w:ascii="標楷體" w:eastAsia="標楷體" w:hAnsi="標楷體"/>
          <w:color w:val="000000"/>
        </w:rPr>
      </w:pPr>
      <w:r>
        <w:rPr>
          <w:rFonts w:ascii="標楷體" w:eastAsia="標楷體" w:hAnsi="標楷體"/>
          <w:color w:val="000000"/>
        </w:rPr>
        <w:t>3.3.9.Imiglucerase(如Cerezyme inj.)、taliglucerase alfa(如Elelyso注射劑)、velaglucerase alfa(如VPRIV凍晶注射劑)（97/7/1、107/3/1、107/9/1、108/5/1、111/5/1）</w:t>
      </w:r>
    </w:p>
    <w:p w14:paraId="32FE83FC"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1.限用於下列條件，且排除第二型高雪氏症：(111/5/1）</w:t>
      </w:r>
    </w:p>
    <w:p w14:paraId="691A1810" w14:textId="77777777" w:rsidR="00BD776B" w:rsidRDefault="00DF0C24">
      <w:pPr>
        <w:ind w:left="993" w:hanging="245"/>
        <w:rPr>
          <w:rFonts w:ascii="標楷體" w:eastAsia="標楷體" w:hAnsi="標楷體"/>
          <w:color w:val="000000"/>
        </w:rPr>
      </w:pPr>
      <w:r>
        <w:rPr>
          <w:rFonts w:ascii="標楷體" w:eastAsia="標楷體" w:hAnsi="標楷體"/>
          <w:color w:val="000000"/>
        </w:rPr>
        <w:t>(1)Imiglucerase(如Cerezyme inj.)、taliglucerase alfa(如Elelyso注射劑)：改善高雪氏症症狀，包括貧血、血小板減少症、肝臟或脾臟腫大、骨病變，但對於神經學症狀無效。（97/7/1、107/3/1、107/9/1、108/5/1、111/5/1）</w:t>
      </w:r>
    </w:p>
    <w:p w14:paraId="2919FC86" w14:textId="77777777" w:rsidR="00BD776B" w:rsidRDefault="00DF0C24">
      <w:pPr>
        <w:ind w:left="993" w:hanging="245"/>
        <w:rPr>
          <w:rFonts w:ascii="標楷體" w:eastAsia="標楷體" w:hAnsi="標楷體"/>
          <w:color w:val="000000"/>
        </w:rPr>
      </w:pPr>
      <w:r>
        <w:rPr>
          <w:rFonts w:ascii="標楷體" w:eastAsia="標楷體" w:hAnsi="標楷體"/>
          <w:color w:val="000000"/>
        </w:rPr>
        <w:t>(2)Velaglucerase alfa(如VPRIV凍晶注射劑)：限用於改善第一型高雪氏症症狀，包括貧血、血小板減少症、肝臟或脾臟腫大、骨病變，但對於神經學症狀無效。(107/3/1、107/9/1、108/5/1、111/5/1)</w:t>
      </w:r>
    </w:p>
    <w:p w14:paraId="64F96AEF" w14:textId="77777777" w:rsidR="00BD776B" w:rsidRDefault="00DF0C24">
      <w:pPr>
        <w:ind w:left="811" w:hanging="245"/>
        <w:rPr>
          <w:rFonts w:ascii="標楷體" w:eastAsia="標楷體" w:hAnsi="標楷體"/>
          <w:color w:val="000000"/>
        </w:rPr>
      </w:pPr>
      <w:r>
        <w:rPr>
          <w:rFonts w:ascii="標楷體" w:eastAsia="標楷體" w:hAnsi="標楷體"/>
          <w:color w:val="000000"/>
        </w:rPr>
        <w:t>2.限擇一使用高雪氏症酵素療法之藥品。(111/5/1）</w:t>
      </w:r>
    </w:p>
    <w:p w14:paraId="4F882CE3" w14:textId="77777777" w:rsidR="00BD776B" w:rsidRDefault="00DF0C24">
      <w:pPr>
        <w:ind w:left="811" w:hanging="245"/>
        <w:rPr>
          <w:rFonts w:ascii="標楷體" w:eastAsia="標楷體" w:hAnsi="標楷體"/>
          <w:color w:val="000000"/>
        </w:rPr>
      </w:pPr>
      <w:r>
        <w:rPr>
          <w:rFonts w:ascii="標楷體" w:eastAsia="標楷體" w:hAnsi="標楷體"/>
          <w:color w:val="000000"/>
        </w:rPr>
        <w:t>3.需經事前審查核准後使用，每次申請療程以1年為限，期滿需經再次申請核准後，始得續用，申請續用時，需檢附療效評估資料，追蹤檢查項目如下：(111/5/1）</w:t>
      </w:r>
    </w:p>
    <w:p w14:paraId="362EE70B" w14:textId="77777777" w:rsidR="00BD776B" w:rsidRDefault="00DF0C24">
      <w:pPr>
        <w:ind w:left="993" w:hanging="245"/>
        <w:rPr>
          <w:rFonts w:ascii="標楷體" w:eastAsia="標楷體" w:hAnsi="標楷體"/>
          <w:color w:val="000000"/>
        </w:rPr>
      </w:pPr>
      <w:r>
        <w:rPr>
          <w:rFonts w:ascii="標楷體" w:eastAsia="標楷體" w:hAnsi="標楷體"/>
          <w:color w:val="000000"/>
        </w:rPr>
        <w:t>(1)每6個月應評估1次：</w:t>
      </w:r>
    </w:p>
    <w:p w14:paraId="40625E06" w14:textId="77777777" w:rsidR="00BD776B" w:rsidRDefault="00DF0C24">
      <w:pPr>
        <w:tabs>
          <w:tab w:val="left" w:pos="851"/>
        </w:tabs>
        <w:ind w:left="1134" w:hanging="245"/>
        <w:rPr>
          <w:rFonts w:ascii="標楷體" w:eastAsia="標楷體" w:hAnsi="標楷體"/>
          <w:color w:val="000000"/>
        </w:rPr>
      </w:pPr>
      <w:r>
        <w:rPr>
          <w:rFonts w:ascii="標楷體" w:eastAsia="標楷體" w:hAnsi="標楷體"/>
          <w:color w:val="000000"/>
        </w:rPr>
        <w:t>Ⅰ.身高體重。</w:t>
      </w:r>
    </w:p>
    <w:p w14:paraId="18BDDB88" w14:textId="77777777" w:rsidR="00BD776B" w:rsidRDefault="00DF0C24">
      <w:pPr>
        <w:tabs>
          <w:tab w:val="left" w:pos="851"/>
        </w:tabs>
        <w:ind w:left="1134" w:hanging="245"/>
        <w:rPr>
          <w:rFonts w:ascii="標楷體" w:eastAsia="標楷體" w:hAnsi="標楷體"/>
          <w:color w:val="000000"/>
        </w:rPr>
      </w:pPr>
      <w:r>
        <w:rPr>
          <w:rFonts w:ascii="標楷體" w:eastAsia="標楷體" w:hAnsi="標楷體"/>
          <w:color w:val="000000"/>
        </w:rPr>
        <w:t>Ⅱ.血紅素及血小板數。</w:t>
      </w:r>
    </w:p>
    <w:p w14:paraId="469BB198" w14:textId="77777777" w:rsidR="00BD776B" w:rsidRDefault="00DF0C24">
      <w:pPr>
        <w:tabs>
          <w:tab w:val="left" w:pos="851"/>
        </w:tabs>
        <w:ind w:left="1134" w:hanging="245"/>
        <w:rPr>
          <w:rFonts w:ascii="標楷體" w:eastAsia="標楷體" w:hAnsi="標楷體"/>
          <w:color w:val="000000"/>
        </w:rPr>
      </w:pPr>
      <w:r>
        <w:rPr>
          <w:rFonts w:ascii="標楷體" w:eastAsia="標楷體" w:hAnsi="標楷體"/>
          <w:color w:val="000000"/>
        </w:rPr>
        <w:t>Ⅲ.血液磷酸酶(Alkaline phosphatase)。</w:t>
      </w:r>
    </w:p>
    <w:p w14:paraId="5DF8EF1B" w14:textId="77777777" w:rsidR="00BD776B" w:rsidRDefault="00DF0C24">
      <w:pPr>
        <w:tabs>
          <w:tab w:val="left" w:pos="851"/>
        </w:tabs>
        <w:ind w:left="1134" w:hanging="245"/>
        <w:rPr>
          <w:rFonts w:ascii="標楷體" w:eastAsia="標楷體" w:hAnsi="標楷體"/>
          <w:color w:val="000000"/>
        </w:rPr>
      </w:pPr>
      <w:r>
        <w:rPr>
          <w:rFonts w:ascii="標楷體" w:eastAsia="標楷體" w:hAnsi="標楷體"/>
          <w:color w:val="000000"/>
        </w:rPr>
        <w:t>Ⅳ.高雪氏症相關特異性生化指標biomarkers(如chitotriosidase或lysoGL1)。</w:t>
      </w:r>
    </w:p>
    <w:p w14:paraId="31F9C550" w14:textId="77777777" w:rsidR="00BD776B" w:rsidRDefault="00DF0C24">
      <w:pPr>
        <w:tabs>
          <w:tab w:val="left" w:pos="851"/>
        </w:tabs>
        <w:ind w:left="1134" w:hanging="245"/>
        <w:rPr>
          <w:rFonts w:ascii="標楷體" w:eastAsia="標楷體" w:hAnsi="標楷體"/>
          <w:color w:val="000000"/>
        </w:rPr>
      </w:pPr>
      <w:r>
        <w:rPr>
          <w:rFonts w:ascii="標楷體" w:eastAsia="標楷體" w:hAnsi="標楷體"/>
          <w:color w:val="000000"/>
        </w:rPr>
        <w:t>Ⅴ.整體狀況。</w:t>
      </w:r>
    </w:p>
    <w:p w14:paraId="5613541F" w14:textId="77777777" w:rsidR="00BD776B" w:rsidRDefault="00DF0C24">
      <w:pPr>
        <w:ind w:left="993" w:hanging="245"/>
        <w:rPr>
          <w:rFonts w:ascii="標楷體" w:eastAsia="標楷體" w:hAnsi="標楷體"/>
          <w:color w:val="000000"/>
        </w:rPr>
      </w:pPr>
      <w:r>
        <w:rPr>
          <w:rFonts w:ascii="標楷體" w:eastAsia="標楷體" w:hAnsi="標楷體"/>
          <w:color w:val="000000"/>
        </w:rPr>
        <w:t>(2)每年應評估1次：肝臟及脾臟大小。</w:t>
      </w:r>
    </w:p>
    <w:p w14:paraId="3E8EFCBB" w14:textId="77777777" w:rsidR="00BD776B" w:rsidRDefault="00DF0C24">
      <w:pPr>
        <w:ind w:left="811" w:hanging="245"/>
        <w:rPr>
          <w:rFonts w:ascii="標楷體" w:eastAsia="標楷體" w:hAnsi="標楷體"/>
          <w:color w:val="000000"/>
        </w:rPr>
      </w:pPr>
      <w:r>
        <w:rPr>
          <w:rFonts w:ascii="標楷體" w:eastAsia="標楷體" w:hAnsi="標楷體"/>
          <w:color w:val="000000"/>
        </w:rPr>
        <w:t>4.治療目標：(111/5/1）</w:t>
      </w:r>
    </w:p>
    <w:p w14:paraId="0E82791D" w14:textId="77777777" w:rsidR="00BD776B" w:rsidRDefault="00DF0C24">
      <w:pPr>
        <w:ind w:left="993" w:hanging="245"/>
        <w:rPr>
          <w:rFonts w:ascii="標楷體" w:eastAsia="標楷體" w:hAnsi="標楷體"/>
          <w:color w:val="000000"/>
        </w:rPr>
      </w:pPr>
      <w:r>
        <w:rPr>
          <w:rFonts w:ascii="標楷體" w:eastAsia="標楷體" w:hAnsi="標楷體"/>
          <w:color w:val="000000"/>
        </w:rPr>
        <w:t>(1)血紅素及血小板數上升或穩定(不低於未治療的數值)。</w:t>
      </w:r>
    </w:p>
    <w:p w14:paraId="3E6D0595" w14:textId="77777777" w:rsidR="00BD776B" w:rsidRDefault="00DF0C24">
      <w:pPr>
        <w:ind w:left="993" w:hanging="245"/>
        <w:rPr>
          <w:rFonts w:ascii="標楷體" w:eastAsia="標楷體" w:hAnsi="標楷體"/>
          <w:color w:val="000000"/>
        </w:rPr>
      </w:pPr>
      <w:r>
        <w:rPr>
          <w:rFonts w:ascii="標楷體" w:eastAsia="標楷體" w:hAnsi="標楷體"/>
          <w:color w:val="000000"/>
        </w:rPr>
        <w:t>(2)高雪氏症相關特異性生化指標biomarkers(如chitotriosidase或lysoGL1)數值持續降低或穩定(不高於未治療的數值)。</w:t>
      </w:r>
    </w:p>
    <w:p w14:paraId="777BF9DF" w14:textId="77777777" w:rsidR="00BD776B" w:rsidRDefault="00DF0C24">
      <w:pPr>
        <w:ind w:left="993" w:hanging="245"/>
        <w:rPr>
          <w:rFonts w:ascii="標楷體" w:eastAsia="標楷體" w:hAnsi="標楷體"/>
          <w:color w:val="000000"/>
        </w:rPr>
      </w:pPr>
      <w:r>
        <w:rPr>
          <w:rFonts w:ascii="標楷體" w:eastAsia="標楷體" w:hAnsi="標楷體"/>
          <w:color w:val="000000"/>
        </w:rPr>
        <w:t>(3)肝、脾腫大之現象改善或穩定(不大於未治療的數值)。</w:t>
      </w:r>
    </w:p>
    <w:p w14:paraId="6A2DCA8F"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5.停用條件：有下列任一項者：(111/5/1）</w:t>
      </w:r>
    </w:p>
    <w:p w14:paraId="79C0B52D" w14:textId="77777777" w:rsidR="00BD776B" w:rsidRDefault="00DF0C24">
      <w:pPr>
        <w:ind w:left="993" w:hanging="245"/>
        <w:rPr>
          <w:rFonts w:ascii="標楷體" w:eastAsia="標楷體" w:hAnsi="標楷體"/>
          <w:color w:val="000000"/>
        </w:rPr>
      </w:pPr>
      <w:r>
        <w:rPr>
          <w:rFonts w:ascii="標楷體" w:eastAsia="標楷體" w:hAnsi="標楷體"/>
          <w:color w:val="000000"/>
        </w:rPr>
        <w:t>(1)病人在接受治療時發生其它致命的疾病。</w:t>
      </w:r>
    </w:p>
    <w:p w14:paraId="70F36865" w14:textId="77777777" w:rsidR="00BD776B" w:rsidRDefault="00DF0C24">
      <w:pPr>
        <w:ind w:left="993" w:hanging="245"/>
        <w:rPr>
          <w:rFonts w:ascii="標楷體" w:eastAsia="標楷體" w:hAnsi="標楷體"/>
          <w:color w:val="000000"/>
        </w:rPr>
      </w:pPr>
      <w:r>
        <w:rPr>
          <w:rFonts w:ascii="標楷體" w:eastAsia="標楷體" w:hAnsi="標楷體"/>
          <w:color w:val="000000"/>
        </w:rPr>
        <w:t>(2)病人整體狀況持續惡化。</w:t>
      </w:r>
    </w:p>
    <w:p w14:paraId="44F8DE02" w14:textId="77777777" w:rsidR="00BD776B" w:rsidRDefault="00DF0C24">
      <w:pPr>
        <w:ind w:left="993" w:hanging="245"/>
        <w:rPr>
          <w:rFonts w:ascii="標楷體" w:eastAsia="標楷體" w:hAnsi="標楷體"/>
          <w:color w:val="000000"/>
        </w:rPr>
      </w:pPr>
      <w:r>
        <w:rPr>
          <w:rFonts w:ascii="標楷體" w:eastAsia="標楷體" w:hAnsi="標楷體"/>
          <w:color w:val="000000"/>
        </w:rPr>
        <w:t>(3)病人因藥物注射發生嚴重不良反應，且經由適當或預防性的用藥和/或調整輸注速度仍無法預防/控制此不良反應。</w:t>
      </w:r>
    </w:p>
    <w:p w14:paraId="1A69BB2F" w14:textId="77777777" w:rsidR="00BD776B" w:rsidRDefault="00DF0C24">
      <w:pPr>
        <w:ind w:left="811" w:hanging="245"/>
        <w:rPr>
          <w:rFonts w:ascii="標楷體" w:eastAsia="標楷體" w:hAnsi="標楷體"/>
          <w:color w:val="000000"/>
        </w:rPr>
      </w:pPr>
      <w:r>
        <w:rPr>
          <w:rFonts w:ascii="標楷體" w:eastAsia="標楷體" w:hAnsi="標楷體"/>
          <w:color w:val="000000"/>
        </w:rPr>
        <w:t>(4)病人無法配合療程規範規則用藥、或無法配合每年至少1次之療效評估。。</w:t>
      </w:r>
    </w:p>
    <w:p w14:paraId="653EC659" w14:textId="77777777" w:rsidR="00BD776B" w:rsidRDefault="00DF0C24">
      <w:pPr>
        <w:ind w:left="672" w:hanging="386"/>
        <w:rPr>
          <w:rFonts w:ascii="標楷體" w:eastAsia="標楷體" w:hAnsi="標楷體"/>
          <w:color w:val="000000"/>
        </w:rPr>
      </w:pPr>
      <w:r>
        <w:rPr>
          <w:rFonts w:ascii="標楷體" w:eastAsia="標楷體" w:hAnsi="標楷體"/>
          <w:color w:val="000000"/>
        </w:rPr>
        <w:t>3.3.10.Laronidase (如Aldurazyme)：(97/7/1、106/10/1)</w:t>
      </w:r>
    </w:p>
    <w:p w14:paraId="344C4117" w14:textId="77777777" w:rsidR="00BD776B" w:rsidRDefault="00DF0C24">
      <w:pPr>
        <w:ind w:left="811" w:hanging="245"/>
        <w:rPr>
          <w:rFonts w:ascii="標楷體" w:eastAsia="標楷體" w:hAnsi="標楷體"/>
          <w:color w:val="000000"/>
        </w:rPr>
      </w:pPr>
      <w:r>
        <w:rPr>
          <w:rFonts w:ascii="標楷體" w:eastAsia="標楷體" w:hAnsi="標楷體"/>
          <w:color w:val="000000"/>
        </w:rPr>
        <w:t>1.限下列病例使用：</w:t>
      </w:r>
    </w:p>
    <w:p w14:paraId="6C69D363" w14:textId="77777777" w:rsidR="00BD776B" w:rsidRDefault="00DF0C24">
      <w:pPr>
        <w:ind w:left="1049" w:hanging="341"/>
        <w:rPr>
          <w:rFonts w:ascii="標楷體" w:eastAsia="標楷體" w:hAnsi="標楷體"/>
          <w:color w:val="000000"/>
        </w:rPr>
      </w:pPr>
      <w:r>
        <w:rPr>
          <w:rFonts w:ascii="標楷體" w:eastAsia="標楷體" w:hAnsi="標楷體"/>
          <w:color w:val="000000"/>
        </w:rPr>
        <w:t>(1)黏多醣症第一型賀勒-施艾氏症患者。</w:t>
      </w:r>
    </w:p>
    <w:p w14:paraId="32DF7A79" w14:textId="77777777" w:rsidR="00BD776B" w:rsidRDefault="00DF0C24">
      <w:pPr>
        <w:ind w:left="1049" w:hanging="341"/>
        <w:rPr>
          <w:rFonts w:ascii="標楷體" w:eastAsia="標楷體" w:hAnsi="標楷體"/>
          <w:color w:val="000000"/>
        </w:rPr>
      </w:pPr>
      <w:r>
        <w:rPr>
          <w:rFonts w:ascii="標楷體" w:eastAsia="標楷體" w:hAnsi="標楷體"/>
          <w:color w:val="000000"/>
        </w:rPr>
        <w:t>(2)黏多醣症第一型中度至重度之施艾氏症患者。</w:t>
      </w:r>
    </w:p>
    <w:p w14:paraId="426A3106" w14:textId="77777777" w:rsidR="00BD776B" w:rsidRDefault="00DF0C24">
      <w:pPr>
        <w:ind w:left="1049" w:hanging="341"/>
        <w:rPr>
          <w:rFonts w:ascii="標楷體" w:eastAsia="標楷體" w:hAnsi="標楷體"/>
          <w:color w:val="000000"/>
        </w:rPr>
      </w:pPr>
      <w:r>
        <w:rPr>
          <w:rFonts w:ascii="標楷體" w:eastAsia="標楷體" w:hAnsi="標楷體"/>
          <w:color w:val="000000"/>
        </w:rPr>
        <w:t>(3)黏多醣症第一型賀勒氏症進行造血幹細胞移植或手術前後。</w:t>
      </w:r>
    </w:p>
    <w:p w14:paraId="7EE78E70" w14:textId="77777777" w:rsidR="00BD776B" w:rsidRDefault="00DF0C24">
      <w:pPr>
        <w:ind w:left="991" w:hanging="341"/>
        <w:rPr>
          <w:rFonts w:ascii="標楷體" w:eastAsia="標楷體" w:hAnsi="標楷體"/>
          <w:color w:val="000000"/>
        </w:rPr>
      </w:pPr>
      <w:r>
        <w:rPr>
          <w:rFonts w:ascii="標楷體" w:eastAsia="標楷體" w:hAnsi="標楷體"/>
          <w:color w:val="000000"/>
        </w:rPr>
        <w:t>備註：針對早期診斷帶有文獻報告已知的嚴重型突變點的病人，應持續追蹤其臨床症狀，若在兩歲以前出現明顯症狀 (疝氣或呼吸道阻塞等，建議儘速進行造血幹細胞移植，如為未知但預測為嚴重型突變的病人，比照處理。</w:t>
      </w:r>
    </w:p>
    <w:p w14:paraId="14506809" w14:textId="77777777" w:rsidR="00BD776B" w:rsidRDefault="00DF0C24">
      <w:pPr>
        <w:ind w:left="811" w:hanging="245"/>
        <w:rPr>
          <w:rFonts w:ascii="標楷體" w:eastAsia="標楷體" w:hAnsi="標楷體"/>
          <w:color w:val="000000"/>
        </w:rPr>
      </w:pPr>
      <w:r>
        <w:rPr>
          <w:rFonts w:ascii="標楷體" w:eastAsia="標楷體" w:hAnsi="標楷體"/>
          <w:color w:val="000000"/>
        </w:rPr>
        <w:t>2.限兒科專科經醫學遺傳學次專科訓練取得證書之醫師使用。</w:t>
      </w:r>
    </w:p>
    <w:p w14:paraId="6BB3D2CB" w14:textId="77777777" w:rsidR="00BD776B" w:rsidRDefault="00DF0C24">
      <w:pPr>
        <w:ind w:left="811" w:hanging="245"/>
        <w:rPr>
          <w:rFonts w:ascii="標楷體" w:eastAsia="標楷體" w:hAnsi="標楷體"/>
          <w:color w:val="000000"/>
        </w:rPr>
      </w:pPr>
      <w:r>
        <w:rPr>
          <w:rFonts w:ascii="標楷體" w:eastAsia="標楷體" w:hAnsi="標楷體"/>
          <w:color w:val="000000"/>
        </w:rPr>
        <w:t>3.排除使用於：</w:t>
      </w:r>
    </w:p>
    <w:p w14:paraId="6CAAB86B" w14:textId="77777777" w:rsidR="00BD776B" w:rsidRDefault="00DF0C24">
      <w:pPr>
        <w:ind w:left="1049" w:hanging="341"/>
        <w:rPr>
          <w:rFonts w:ascii="標楷體" w:eastAsia="標楷體" w:hAnsi="標楷體"/>
          <w:color w:val="000000"/>
        </w:rPr>
      </w:pPr>
      <w:r>
        <w:rPr>
          <w:rFonts w:ascii="標楷體" w:eastAsia="標楷體" w:hAnsi="標楷體"/>
          <w:color w:val="000000"/>
        </w:rPr>
        <w:t>(1)未經治療之患者沒有任何會影響健康之症狀時。</w:t>
      </w:r>
    </w:p>
    <w:p w14:paraId="6C71D8AE" w14:textId="77777777" w:rsidR="00BD776B" w:rsidRDefault="00DF0C24">
      <w:pPr>
        <w:ind w:left="1049" w:hanging="341"/>
        <w:rPr>
          <w:rFonts w:ascii="標楷體" w:eastAsia="標楷體" w:hAnsi="標楷體"/>
          <w:color w:val="000000"/>
        </w:rPr>
      </w:pPr>
      <w:r>
        <w:rPr>
          <w:rFonts w:ascii="標楷體" w:eastAsia="標楷體" w:hAnsi="標楷體"/>
          <w:color w:val="000000"/>
        </w:rPr>
        <w:t>(2)患者有明顯之中樞神經症狀時。</w:t>
      </w:r>
    </w:p>
    <w:p w14:paraId="66927622" w14:textId="77777777" w:rsidR="00BD776B" w:rsidRDefault="00DF0C24">
      <w:pPr>
        <w:ind w:left="1049" w:hanging="341"/>
        <w:rPr>
          <w:rFonts w:ascii="標楷體" w:eastAsia="標楷體" w:hAnsi="標楷體"/>
          <w:color w:val="000000"/>
        </w:rPr>
      </w:pPr>
      <w:r>
        <w:rPr>
          <w:rFonts w:ascii="標楷體" w:eastAsia="標楷體" w:hAnsi="標楷體"/>
          <w:color w:val="000000"/>
        </w:rPr>
        <w:t>(3)重型病患：完全臥床且無行動能力，或是無法自行呼吸且完全仰賴呼吸器維生者。</w:t>
      </w:r>
    </w:p>
    <w:p w14:paraId="1BCAD7FC" w14:textId="77777777" w:rsidR="00BD776B" w:rsidRDefault="00DF0C24">
      <w:pPr>
        <w:ind w:left="811" w:hanging="245"/>
        <w:rPr>
          <w:rFonts w:ascii="標楷體" w:eastAsia="標楷體" w:hAnsi="標楷體"/>
          <w:color w:val="000000"/>
        </w:rPr>
      </w:pPr>
      <w:r>
        <w:rPr>
          <w:rFonts w:ascii="標楷體" w:eastAsia="標楷體" w:hAnsi="標楷體"/>
          <w:color w:val="000000"/>
        </w:rPr>
        <w:t>4.應定期追蹤評估治療效果及下列事項目：</w:t>
      </w:r>
    </w:p>
    <w:p w14:paraId="4FCCAC06" w14:textId="77777777" w:rsidR="00BD776B" w:rsidRDefault="00DF0C24">
      <w:pPr>
        <w:ind w:left="1049" w:hanging="341"/>
        <w:rPr>
          <w:rFonts w:ascii="標楷體" w:eastAsia="標楷體" w:hAnsi="標楷體"/>
          <w:color w:val="000000"/>
        </w:rPr>
      </w:pPr>
      <w:r>
        <w:rPr>
          <w:rFonts w:ascii="標楷體" w:eastAsia="標楷體" w:hAnsi="標楷體"/>
          <w:color w:val="000000"/>
        </w:rPr>
        <w:t>(1)至少每半年追蹤一次：</w:t>
      </w:r>
    </w:p>
    <w:p w14:paraId="79F034F9" w14:textId="77777777" w:rsidR="00BD776B" w:rsidRDefault="00DF0C24">
      <w:pPr>
        <w:ind w:left="1231" w:hanging="379"/>
        <w:rPr>
          <w:rFonts w:ascii="標楷體" w:eastAsia="標楷體" w:hAnsi="標楷體"/>
          <w:color w:val="000000"/>
        </w:rPr>
      </w:pPr>
      <w:r>
        <w:rPr>
          <w:rFonts w:ascii="標楷體" w:eastAsia="標楷體" w:hAnsi="標楷體"/>
          <w:color w:val="000000"/>
        </w:rPr>
        <w:t>I.身高體重；</w:t>
      </w:r>
    </w:p>
    <w:p w14:paraId="0F2D29A6" w14:textId="77777777" w:rsidR="00BD776B" w:rsidRDefault="00DF0C24">
      <w:pPr>
        <w:ind w:left="1231" w:hanging="379"/>
        <w:rPr>
          <w:rFonts w:ascii="標楷體" w:eastAsia="標楷體" w:hAnsi="標楷體"/>
          <w:color w:val="000000"/>
        </w:rPr>
      </w:pPr>
      <w:r>
        <w:rPr>
          <w:rFonts w:ascii="標楷體" w:eastAsia="標楷體" w:hAnsi="標楷體"/>
          <w:color w:val="000000"/>
        </w:rPr>
        <w:t>II.尿液黏多醣量；</w:t>
      </w:r>
    </w:p>
    <w:p w14:paraId="52A37C14" w14:textId="77777777" w:rsidR="00BD776B" w:rsidRDefault="00DF0C24">
      <w:pPr>
        <w:ind w:left="1049" w:hanging="341"/>
        <w:rPr>
          <w:rFonts w:ascii="標楷體" w:eastAsia="標楷體" w:hAnsi="標楷體"/>
          <w:color w:val="000000"/>
        </w:rPr>
      </w:pPr>
      <w:r>
        <w:rPr>
          <w:rFonts w:ascii="標楷體" w:eastAsia="標楷體" w:hAnsi="標楷體"/>
          <w:color w:val="000000"/>
        </w:rPr>
        <w:t>(2)至少每一年追蹤一次：</w:t>
      </w:r>
    </w:p>
    <w:p w14:paraId="64DBDCA3" w14:textId="77777777" w:rsidR="00BD776B" w:rsidRDefault="00DF0C24">
      <w:pPr>
        <w:ind w:left="1231" w:hanging="379"/>
        <w:rPr>
          <w:rFonts w:ascii="標楷體" w:eastAsia="標楷體" w:hAnsi="標楷體"/>
          <w:color w:val="000000"/>
        </w:rPr>
      </w:pPr>
      <w:r>
        <w:rPr>
          <w:rFonts w:ascii="標楷體" w:eastAsia="標楷體" w:hAnsi="標楷體"/>
          <w:color w:val="000000"/>
        </w:rPr>
        <w:t>I.整體智能發展、中樞神經症狀；</w:t>
      </w:r>
    </w:p>
    <w:p w14:paraId="61AC3D18" w14:textId="77777777" w:rsidR="00BD776B" w:rsidRDefault="00DF0C24">
      <w:pPr>
        <w:ind w:left="1231" w:hanging="379"/>
        <w:rPr>
          <w:rFonts w:ascii="標楷體" w:eastAsia="標楷體" w:hAnsi="標楷體"/>
          <w:color w:val="000000"/>
        </w:rPr>
      </w:pPr>
      <w:r>
        <w:rPr>
          <w:rFonts w:ascii="標楷體" w:eastAsia="標楷體" w:hAnsi="標楷體"/>
          <w:color w:val="000000"/>
        </w:rPr>
        <w:t>II.腹部超音波、肝臟大小、脾臟大小；</w:t>
      </w:r>
    </w:p>
    <w:p w14:paraId="27B0A06E" w14:textId="77777777" w:rsidR="00BD776B" w:rsidRDefault="00DF0C24">
      <w:pPr>
        <w:ind w:left="1231" w:hanging="379"/>
        <w:rPr>
          <w:rFonts w:ascii="標楷體" w:eastAsia="標楷體" w:hAnsi="標楷體"/>
          <w:color w:val="000000"/>
        </w:rPr>
      </w:pPr>
      <w:r>
        <w:rPr>
          <w:rFonts w:ascii="標楷體" w:eastAsia="標楷體" w:hAnsi="標楷體"/>
          <w:color w:val="000000"/>
        </w:rPr>
        <w:t>III.心電圖；</w:t>
      </w:r>
    </w:p>
    <w:p w14:paraId="3E076637" w14:textId="77777777" w:rsidR="00BD776B" w:rsidRDefault="00DF0C24">
      <w:pPr>
        <w:ind w:left="1231" w:hanging="379"/>
        <w:rPr>
          <w:rFonts w:ascii="標楷體" w:eastAsia="標楷體" w:hAnsi="標楷體"/>
          <w:color w:val="000000"/>
        </w:rPr>
      </w:pPr>
      <w:r>
        <w:rPr>
          <w:rFonts w:ascii="標楷體" w:eastAsia="標楷體" w:hAnsi="標楷體"/>
          <w:color w:val="000000"/>
        </w:rPr>
        <w:t>IV.心臟超音波；</w:t>
      </w:r>
    </w:p>
    <w:p w14:paraId="3CE9260B" w14:textId="77777777" w:rsidR="00BD776B" w:rsidRDefault="00DF0C24">
      <w:pPr>
        <w:ind w:left="1231" w:hanging="379"/>
        <w:rPr>
          <w:rFonts w:ascii="標楷體" w:eastAsia="標楷體" w:hAnsi="標楷體"/>
          <w:color w:val="000000"/>
        </w:rPr>
      </w:pPr>
      <w:r>
        <w:rPr>
          <w:rFonts w:ascii="標楷體" w:eastAsia="標楷體" w:hAnsi="標楷體"/>
          <w:color w:val="000000"/>
        </w:rPr>
        <w:t>V.六分鐘步行測驗；</w:t>
      </w:r>
    </w:p>
    <w:p w14:paraId="57655A92" w14:textId="77777777" w:rsidR="00BD776B" w:rsidRDefault="00DF0C24">
      <w:pPr>
        <w:ind w:left="1231" w:hanging="379"/>
        <w:rPr>
          <w:rFonts w:ascii="標楷體" w:eastAsia="標楷體" w:hAnsi="標楷體"/>
          <w:color w:val="000000"/>
        </w:rPr>
      </w:pPr>
      <w:r>
        <w:rPr>
          <w:rFonts w:ascii="標楷體" w:eastAsia="標楷體" w:hAnsi="標楷體"/>
          <w:color w:val="000000"/>
        </w:rPr>
        <w:t>VI.肺功能；</w:t>
      </w:r>
    </w:p>
    <w:p w14:paraId="6650866D" w14:textId="77777777" w:rsidR="00BD776B" w:rsidRDefault="00DF0C24">
      <w:pPr>
        <w:ind w:left="1231" w:hanging="379"/>
        <w:rPr>
          <w:rFonts w:ascii="標楷體" w:eastAsia="標楷體" w:hAnsi="標楷體"/>
          <w:color w:val="000000"/>
        </w:rPr>
      </w:pPr>
      <w:r>
        <w:rPr>
          <w:rFonts w:ascii="標楷體" w:eastAsia="標楷體" w:hAnsi="標楷體"/>
          <w:color w:val="000000"/>
        </w:rPr>
        <w:t>VII.藥物抗體</w:t>
      </w:r>
    </w:p>
    <w:p w14:paraId="3A41F950" w14:textId="77777777" w:rsidR="00BD776B" w:rsidRDefault="00DF0C24">
      <w:pPr>
        <w:ind w:left="811" w:hanging="245"/>
        <w:rPr>
          <w:rFonts w:ascii="標楷體" w:eastAsia="標楷體" w:hAnsi="標楷體"/>
          <w:color w:val="000000"/>
        </w:rPr>
      </w:pPr>
      <w:r>
        <w:rPr>
          <w:rFonts w:ascii="標楷體" w:eastAsia="標楷體" w:hAnsi="標楷體"/>
          <w:color w:val="000000"/>
        </w:rPr>
        <w:t>5.需經事前審查核准後使用，每次申請之療程以1年為限。重新申請時，若有下列任一情況，則不再給予laronidase治療：</w:t>
      </w:r>
    </w:p>
    <w:p w14:paraId="10063341" w14:textId="77777777" w:rsidR="00BD776B" w:rsidRDefault="00DF0C24">
      <w:pPr>
        <w:ind w:left="1049" w:hanging="341"/>
        <w:rPr>
          <w:rFonts w:ascii="標楷體" w:eastAsia="標楷體" w:hAnsi="標楷體"/>
          <w:color w:val="000000"/>
        </w:rPr>
      </w:pPr>
      <w:r>
        <w:rPr>
          <w:rFonts w:ascii="標楷體" w:eastAsia="標楷體" w:hAnsi="標楷體"/>
          <w:color w:val="000000"/>
        </w:rPr>
        <w:t>(1)尿中葡萄胺聚醣與肌酸酐比值：於接受治療的第一年之後評估，較前一年有50%以上的增加；第二年之後評估，較之前一年有100%以上的增加。。</w:t>
      </w:r>
    </w:p>
    <w:p w14:paraId="58E8F923" w14:textId="77777777" w:rsidR="00BD776B" w:rsidRDefault="00DF0C24">
      <w:pPr>
        <w:ind w:left="1049" w:hanging="341"/>
        <w:rPr>
          <w:rFonts w:ascii="標楷體" w:eastAsia="標楷體" w:hAnsi="標楷體"/>
          <w:color w:val="000000"/>
        </w:rPr>
      </w:pPr>
      <w:r>
        <w:rPr>
          <w:rFonts w:ascii="標楷體" w:eastAsia="標楷體" w:hAnsi="標楷體"/>
          <w:color w:val="000000"/>
        </w:rPr>
        <w:t>(2)六分鐘步行測驗：較之前一年退步50%以上或連續2 年有退步現象；5 歲以下幼童以DDST 粗動作及精細動作檢測，發展進程年齡與實際年齡商數低於60%，或比初次檢測時之發展進程年齡退步。</w:t>
      </w:r>
    </w:p>
    <w:p w14:paraId="7CAA9A37" w14:textId="77777777" w:rsidR="00BD776B" w:rsidRDefault="00DF0C24">
      <w:pPr>
        <w:ind w:left="1049" w:hanging="341"/>
        <w:rPr>
          <w:rFonts w:ascii="標楷體" w:eastAsia="標楷體" w:hAnsi="標楷體"/>
          <w:color w:val="000000"/>
        </w:rPr>
      </w:pPr>
      <w:r>
        <w:rPr>
          <w:rFonts w:ascii="標楷體" w:eastAsia="標楷體" w:hAnsi="標楷體"/>
          <w:color w:val="000000"/>
        </w:rPr>
        <w:t>(3)呼吸功能檢查：血液中氧氣飽和度在2 小時內無法持續維持1 小時以上≧90%。</w:t>
      </w:r>
    </w:p>
    <w:p w14:paraId="37EB1C67" w14:textId="77777777" w:rsidR="00BD776B" w:rsidRDefault="00DF0C24">
      <w:pPr>
        <w:ind w:left="1049" w:hanging="341"/>
        <w:rPr>
          <w:rFonts w:ascii="標楷體" w:eastAsia="標楷體" w:hAnsi="標楷體"/>
          <w:color w:val="000000"/>
        </w:rPr>
      </w:pPr>
      <w:r>
        <w:rPr>
          <w:rFonts w:ascii="標楷體" w:eastAsia="標楷體" w:hAnsi="標楷體"/>
          <w:color w:val="000000"/>
        </w:rPr>
        <w:t>(4)病人有認知功能退化，或有明顯中樞神經系統退化之臨床表徵。</w:t>
      </w:r>
    </w:p>
    <w:p w14:paraId="51AD6EF6"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 xml:space="preserve">6.須立即停止laronidase治療的情形： </w:t>
      </w:r>
    </w:p>
    <w:p w14:paraId="0586C184" w14:textId="77777777" w:rsidR="00BD776B" w:rsidRDefault="00DF0C24">
      <w:pPr>
        <w:ind w:left="1049" w:hanging="341"/>
        <w:rPr>
          <w:rFonts w:ascii="標楷體" w:eastAsia="標楷體" w:hAnsi="標楷體"/>
          <w:color w:val="000000"/>
        </w:rPr>
      </w:pPr>
      <w:r>
        <w:rPr>
          <w:rFonts w:ascii="標楷體" w:eastAsia="標楷體" w:hAnsi="標楷體"/>
          <w:color w:val="000000"/>
        </w:rPr>
        <w:t>(1)有證據顯示病人開始呈現明顯的中樞神經系統退化之臨床表徵。</w:t>
      </w:r>
    </w:p>
    <w:p w14:paraId="1DBA98E1" w14:textId="77777777" w:rsidR="00BD776B" w:rsidRDefault="00DF0C24">
      <w:pPr>
        <w:ind w:left="1049" w:hanging="341"/>
        <w:rPr>
          <w:rFonts w:ascii="標楷體" w:eastAsia="標楷體" w:hAnsi="標楷體"/>
          <w:color w:val="000000"/>
        </w:rPr>
      </w:pPr>
      <w:r>
        <w:rPr>
          <w:rFonts w:ascii="標楷體" w:eastAsia="標楷體" w:hAnsi="標楷體"/>
          <w:color w:val="000000"/>
        </w:rPr>
        <w:t>(2)病人在接受治療時發生其它致命的疾病，這表示病人無法獲得laronidase的療效。</w:t>
      </w:r>
    </w:p>
    <w:p w14:paraId="1A87C4DC" w14:textId="77777777" w:rsidR="00BD776B" w:rsidRDefault="00DF0C24">
      <w:pPr>
        <w:ind w:left="1049" w:hanging="341"/>
        <w:rPr>
          <w:rFonts w:ascii="標楷體" w:eastAsia="標楷體" w:hAnsi="標楷體"/>
          <w:color w:val="000000"/>
        </w:rPr>
      </w:pPr>
      <w:r>
        <w:rPr>
          <w:rFonts w:ascii="標楷體" w:eastAsia="標楷體" w:hAnsi="標楷體"/>
          <w:color w:val="000000"/>
        </w:rPr>
        <w:t>(3)病人發生嚴重不良反應。</w:t>
      </w:r>
    </w:p>
    <w:p w14:paraId="6597EC95" w14:textId="77777777" w:rsidR="00BD776B" w:rsidRDefault="00DF0C24">
      <w:pPr>
        <w:ind w:left="1049" w:hanging="341"/>
        <w:rPr>
          <w:rFonts w:ascii="標楷體" w:eastAsia="標楷體" w:hAnsi="標楷體"/>
          <w:color w:val="000000"/>
        </w:rPr>
      </w:pPr>
      <w:r>
        <w:rPr>
          <w:rFonts w:ascii="標楷體" w:eastAsia="標楷體" w:hAnsi="標楷體"/>
          <w:color w:val="000000"/>
        </w:rPr>
        <w:t>(4)病人無法配合最適療程所需的注射規定或無法配合療效的評估。</w:t>
      </w:r>
    </w:p>
    <w:p w14:paraId="105C06F8" w14:textId="77777777" w:rsidR="00BD776B" w:rsidRDefault="00DF0C24">
      <w:pPr>
        <w:ind w:left="672" w:hanging="386"/>
        <w:rPr>
          <w:rFonts w:ascii="標楷體" w:eastAsia="標楷體" w:hAnsi="標楷體"/>
          <w:color w:val="000000"/>
        </w:rPr>
      </w:pPr>
      <w:r>
        <w:rPr>
          <w:rFonts w:ascii="標楷體" w:eastAsia="標楷體" w:hAnsi="標楷體"/>
          <w:color w:val="000000"/>
        </w:rPr>
        <w:t>3.3.11.Miglustat（如Zavesca）(98/8/1、108/5/1)</w:t>
      </w:r>
    </w:p>
    <w:p w14:paraId="35840EB8"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1.限用於第一型高雪氏症、Niemann-Pick Disease Type C之治療。</w:t>
      </w:r>
    </w:p>
    <w:p w14:paraId="26356C48" w14:textId="77777777" w:rsidR="00BD776B" w:rsidRDefault="00DF0C24">
      <w:pPr>
        <w:ind w:left="811" w:hanging="245"/>
        <w:rPr>
          <w:rFonts w:ascii="標楷體" w:eastAsia="標楷體" w:hAnsi="標楷體"/>
          <w:color w:val="000000"/>
        </w:rPr>
      </w:pPr>
      <w:r>
        <w:rPr>
          <w:rFonts w:ascii="標楷體" w:eastAsia="標楷體" w:hAnsi="標楷體"/>
          <w:color w:val="000000"/>
        </w:rPr>
        <w:t>2.本品使用於Niemann-Pick Disease Type C之規定：</w:t>
      </w:r>
    </w:p>
    <w:p w14:paraId="6A87CBEA" w14:textId="77777777" w:rsidR="00BD776B" w:rsidRDefault="00DF0C24">
      <w:pPr>
        <w:ind w:left="1049" w:hanging="341"/>
        <w:rPr>
          <w:rFonts w:ascii="標楷體" w:eastAsia="標楷體" w:hAnsi="標楷體"/>
          <w:color w:val="000000"/>
        </w:rPr>
      </w:pPr>
      <w:r>
        <w:rPr>
          <w:rFonts w:ascii="標楷體" w:eastAsia="標楷體" w:hAnsi="標楷體"/>
          <w:color w:val="000000"/>
        </w:rPr>
        <w:t>(1)需事前審查，核准後才得以使用。</w:t>
      </w:r>
    </w:p>
    <w:p w14:paraId="76A6ADF7" w14:textId="77777777" w:rsidR="00BD776B" w:rsidRDefault="00DF0C24">
      <w:pPr>
        <w:ind w:left="1049" w:hanging="341"/>
        <w:rPr>
          <w:rFonts w:ascii="標楷體" w:eastAsia="標楷體" w:hAnsi="標楷體"/>
          <w:color w:val="000000"/>
        </w:rPr>
      </w:pPr>
      <w:r>
        <w:rPr>
          <w:rFonts w:ascii="標楷體" w:eastAsia="標楷體" w:hAnsi="標楷體"/>
          <w:color w:val="000000"/>
        </w:rPr>
        <w:t>(2)不得併用其他高雪氏症酵素療法之藥品。</w:t>
      </w:r>
    </w:p>
    <w:p w14:paraId="736CD463" w14:textId="77777777" w:rsidR="00BD776B" w:rsidRDefault="00DF0C24">
      <w:pPr>
        <w:ind w:left="1049" w:hanging="341"/>
        <w:rPr>
          <w:rFonts w:ascii="標楷體" w:eastAsia="標楷體" w:hAnsi="標楷體"/>
          <w:color w:val="000000"/>
        </w:rPr>
      </w:pPr>
      <w:r>
        <w:rPr>
          <w:rFonts w:ascii="標楷體" w:eastAsia="標楷體" w:hAnsi="標楷體"/>
          <w:color w:val="000000"/>
        </w:rPr>
        <w:t>(3)申請使用藥物時需附上之資料包括:</w:t>
      </w:r>
    </w:p>
    <w:p w14:paraId="311CDD51" w14:textId="77777777" w:rsidR="00BD776B" w:rsidRDefault="00DF0C24">
      <w:pPr>
        <w:ind w:left="1231" w:hanging="379"/>
        <w:rPr>
          <w:rFonts w:ascii="標楷體" w:eastAsia="標楷體" w:hAnsi="標楷體"/>
          <w:color w:val="000000"/>
        </w:rPr>
      </w:pPr>
      <w:r>
        <w:rPr>
          <w:rFonts w:ascii="標楷體" w:eastAsia="標楷體" w:hAnsi="標楷體"/>
          <w:color w:val="000000"/>
        </w:rPr>
        <w:t>Ⅰ生化或基因分析等足以確定診斷之依據。</w:t>
      </w:r>
    </w:p>
    <w:p w14:paraId="3B632FF0" w14:textId="77777777" w:rsidR="00BD776B" w:rsidRDefault="00DF0C24">
      <w:pPr>
        <w:ind w:left="1231" w:hanging="379"/>
        <w:rPr>
          <w:rFonts w:ascii="標楷體" w:eastAsia="標楷體" w:hAnsi="標楷體"/>
          <w:color w:val="000000"/>
        </w:rPr>
      </w:pPr>
      <w:r>
        <w:rPr>
          <w:rFonts w:ascii="標楷體" w:eastAsia="標楷體" w:hAnsi="標楷體"/>
          <w:color w:val="000000"/>
        </w:rPr>
        <w:t>Ⅱ臨床、神經學或影像上顯示有神經系統之侵犯。</w:t>
      </w:r>
    </w:p>
    <w:p w14:paraId="6732D6E9" w14:textId="77777777" w:rsidR="00BD776B" w:rsidRDefault="00DF0C24">
      <w:pPr>
        <w:ind w:left="1049" w:hanging="341"/>
        <w:rPr>
          <w:rFonts w:ascii="標楷體" w:eastAsia="標楷體" w:hAnsi="標楷體"/>
          <w:color w:val="000000"/>
        </w:rPr>
      </w:pPr>
      <w:r>
        <w:rPr>
          <w:rFonts w:ascii="標楷體" w:eastAsia="標楷體" w:hAnsi="標楷體"/>
          <w:color w:val="000000"/>
        </w:rPr>
        <w:t>(4)限遺傳或神經專科醫師使用，每六個月須再申請事前審查一次。</w:t>
      </w:r>
    </w:p>
    <w:p w14:paraId="246BA8D9" w14:textId="77777777" w:rsidR="00BD776B" w:rsidRDefault="00DF0C24">
      <w:pPr>
        <w:ind w:left="1049" w:hanging="341"/>
        <w:rPr>
          <w:rFonts w:ascii="標楷體" w:eastAsia="標楷體" w:hAnsi="標楷體"/>
          <w:color w:val="000000"/>
        </w:rPr>
      </w:pPr>
      <w:r>
        <w:rPr>
          <w:rFonts w:ascii="標楷體" w:eastAsia="標楷體" w:hAnsi="標楷體"/>
          <w:color w:val="000000"/>
        </w:rPr>
        <w:t>(5)治療前應告知患者及家長其有義務接受定期追蹤評估。</w:t>
      </w:r>
    </w:p>
    <w:p w14:paraId="51395E81" w14:textId="77777777" w:rsidR="00BD776B" w:rsidRDefault="00DF0C24">
      <w:pPr>
        <w:ind w:left="1049" w:hanging="341"/>
        <w:rPr>
          <w:rFonts w:ascii="標楷體" w:eastAsia="標楷體" w:hAnsi="標楷體"/>
          <w:color w:val="000000"/>
        </w:rPr>
      </w:pPr>
      <w:r>
        <w:rPr>
          <w:rFonts w:ascii="標楷體" w:eastAsia="標楷體" w:hAnsi="標楷體"/>
          <w:color w:val="000000"/>
        </w:rPr>
        <w:t>(6)醫師應定期追蹤評估治療效果及副作用。</w:t>
      </w:r>
    </w:p>
    <w:p w14:paraId="20EB5441" w14:textId="77777777" w:rsidR="00BD776B" w:rsidRDefault="00DF0C24">
      <w:pPr>
        <w:ind w:left="1049" w:hanging="341"/>
        <w:rPr>
          <w:rFonts w:ascii="標楷體" w:eastAsia="標楷體" w:hAnsi="標楷體"/>
          <w:color w:val="000000"/>
        </w:rPr>
      </w:pPr>
      <w:r>
        <w:rPr>
          <w:rFonts w:ascii="標楷體" w:eastAsia="標楷體" w:hAnsi="標楷體"/>
          <w:color w:val="000000"/>
        </w:rPr>
        <w:t>(7)申報費用時須檢附病歷資料。</w:t>
      </w:r>
    </w:p>
    <w:p w14:paraId="7F0C0FD6" w14:textId="77777777" w:rsidR="00BD776B" w:rsidRDefault="00DF0C24">
      <w:pPr>
        <w:ind w:left="1049" w:hanging="341"/>
        <w:rPr>
          <w:rFonts w:ascii="標楷體" w:eastAsia="標楷體" w:hAnsi="標楷體"/>
          <w:color w:val="000000"/>
        </w:rPr>
      </w:pPr>
      <w:r>
        <w:rPr>
          <w:rFonts w:ascii="標楷體" w:eastAsia="標楷體" w:hAnsi="標楷體"/>
          <w:color w:val="000000"/>
        </w:rPr>
        <w:t>(8)排除條件</w:t>
      </w:r>
    </w:p>
    <w:p w14:paraId="0CC876DD" w14:textId="77777777" w:rsidR="00BD776B" w:rsidRDefault="00DF0C24">
      <w:pPr>
        <w:ind w:left="1231" w:hanging="379"/>
      </w:pPr>
      <w:r>
        <w:rPr>
          <w:rFonts w:ascii="標楷體" w:eastAsia="標楷體" w:hAnsi="標楷體"/>
          <w:color w:val="000000"/>
        </w:rPr>
        <w:t>Ⅰ對於嚴重腎損傷患者（肌酸酐廓清率小於30mL/min/1.73m</w:t>
      </w:r>
      <w:r>
        <w:rPr>
          <w:rFonts w:ascii="標楷體" w:eastAsia="標楷體" w:hAnsi="標楷體"/>
          <w:color w:val="000000"/>
          <w:vertAlign w:val="superscript"/>
        </w:rPr>
        <w:t>2</w:t>
      </w:r>
      <w:r>
        <w:rPr>
          <w:rFonts w:ascii="標楷體" w:eastAsia="標楷體" w:hAnsi="標楷體"/>
          <w:color w:val="000000"/>
        </w:rPr>
        <w:t>）不建議使用Zavesca。</w:t>
      </w:r>
    </w:p>
    <w:p w14:paraId="0184A1FA" w14:textId="77777777" w:rsidR="00BD776B" w:rsidRDefault="00DF0C24">
      <w:pPr>
        <w:ind w:left="1231" w:hanging="379"/>
        <w:rPr>
          <w:rFonts w:ascii="標楷體" w:eastAsia="標楷體" w:hAnsi="標楷體"/>
          <w:color w:val="000000"/>
        </w:rPr>
      </w:pPr>
      <w:r>
        <w:rPr>
          <w:rFonts w:ascii="標楷體" w:eastAsia="標楷體" w:hAnsi="標楷體"/>
          <w:color w:val="000000"/>
        </w:rPr>
        <w:t>Ⅱ無神經症狀之患者不建議使用。</w:t>
      </w:r>
    </w:p>
    <w:p w14:paraId="5846B54E" w14:textId="77777777" w:rsidR="00BD776B" w:rsidRDefault="00DF0C24">
      <w:pPr>
        <w:ind w:left="672" w:hanging="386"/>
        <w:rPr>
          <w:rFonts w:ascii="標楷體" w:eastAsia="標楷體" w:hAnsi="標楷體"/>
          <w:color w:val="000000"/>
        </w:rPr>
      </w:pPr>
      <w:r>
        <w:rPr>
          <w:rFonts w:ascii="標楷體" w:eastAsia="標楷體" w:hAnsi="標楷體"/>
          <w:color w:val="000000"/>
        </w:rPr>
        <w:t>3.3.12.Sodium phenylacetate＋Sodium benzoate（如Ammonul inj）： (99/2 /1)</w:t>
      </w:r>
    </w:p>
    <w:p w14:paraId="2BA6681A" w14:textId="77777777" w:rsidR="00BD776B" w:rsidRDefault="00DF0C24">
      <w:pPr>
        <w:ind w:left="798" w:hanging="1"/>
        <w:rPr>
          <w:rFonts w:ascii="標楷體" w:eastAsia="標楷體" w:hAnsi="標楷體"/>
          <w:color w:val="000000"/>
        </w:rPr>
      </w:pPr>
      <w:r>
        <w:rPr>
          <w:rFonts w:ascii="標楷體" w:eastAsia="標楷體" w:hAnsi="標楷體"/>
          <w:color w:val="000000"/>
        </w:rPr>
        <w:t>限用於先天性尿素循環代謝障礙之急性血氨症及伴隨腦部病變。</w:t>
      </w:r>
    </w:p>
    <w:p w14:paraId="29C1CA8D" w14:textId="77777777" w:rsidR="0017315D" w:rsidRPr="0017315D" w:rsidRDefault="0017315D" w:rsidP="0017315D">
      <w:pPr>
        <w:tabs>
          <w:tab w:val="left" w:pos="284"/>
        </w:tabs>
        <w:suppressAutoHyphens w:val="0"/>
        <w:autoSpaceDN/>
        <w:ind w:left="672" w:hanging="386"/>
        <w:textAlignment w:val="auto"/>
        <w:rPr>
          <w:rFonts w:ascii="標楷體" w:eastAsia="標楷體" w:hAnsi="標楷體"/>
          <w:kern w:val="2"/>
          <w:szCs w:val="24"/>
        </w:rPr>
      </w:pPr>
      <w:r w:rsidRPr="0017315D">
        <w:rPr>
          <w:rFonts w:ascii="標楷體" w:eastAsia="標楷體" w:hAnsi="標楷體" w:hint="eastAsia"/>
          <w:kern w:val="2"/>
          <w:szCs w:val="24"/>
        </w:rPr>
        <w:t>3.3.13.Agalsidase alfa(如Replagal)、agalsidase beta(如Fabrazyme)及pegunigalsidase alfa (如Elfabrio)：(102/1/1、103/9/1、108/5/1、112/8/1、114/2/1)</w:t>
      </w:r>
    </w:p>
    <w:p w14:paraId="0A843EF2"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1.病患須符合以下診斷條件：(112/8/1、114/2/1)</w:t>
      </w:r>
    </w:p>
    <w:p w14:paraId="0E6F747A" w14:textId="29127224" w:rsidR="0017315D" w:rsidRPr="0017315D" w:rsidRDefault="0017315D" w:rsidP="0017315D">
      <w:pPr>
        <w:tabs>
          <w:tab w:val="left" w:pos="284"/>
        </w:tabs>
        <w:suppressAutoHyphens w:val="0"/>
        <w:autoSpaceDN/>
        <w:ind w:left="1134" w:hanging="386"/>
        <w:textAlignment w:val="auto"/>
        <w:rPr>
          <w:rFonts w:ascii="標楷體" w:eastAsia="標楷體" w:hAnsi="標楷體"/>
          <w:kern w:val="2"/>
          <w:szCs w:val="24"/>
        </w:rPr>
      </w:pPr>
      <w:r w:rsidRPr="0017315D">
        <w:rPr>
          <w:rFonts w:ascii="標楷體" w:eastAsia="標楷體" w:hAnsi="標楷體" w:hint="eastAsia"/>
          <w:kern w:val="2"/>
          <w:szCs w:val="24"/>
        </w:rPr>
        <w:t>(1)確定診斷為典型法布瑞氏症之患者，且符合下列條件之一：（108/5/1、112/8/1</w:t>
      </w:r>
      <w:r>
        <w:rPr>
          <w:rFonts w:ascii="標楷體" w:eastAsia="標楷體" w:hAnsi="標楷體"/>
          <w:kern w:val="2"/>
          <w:szCs w:val="24"/>
        </w:rPr>
        <w:t>）</w:t>
      </w:r>
    </w:p>
    <w:p w14:paraId="64D42663" w14:textId="77777777" w:rsidR="0017315D" w:rsidRPr="0017315D" w:rsidRDefault="0017315D" w:rsidP="0017315D">
      <w:pPr>
        <w:tabs>
          <w:tab w:val="left" w:pos="284"/>
        </w:tabs>
        <w:suppressAutoHyphens w:val="0"/>
        <w:autoSpaceDN/>
        <w:ind w:left="1392" w:hanging="386"/>
        <w:textAlignment w:val="auto"/>
        <w:rPr>
          <w:rFonts w:ascii="標楷體" w:eastAsia="標楷體" w:hAnsi="標楷體"/>
          <w:kern w:val="2"/>
          <w:szCs w:val="24"/>
        </w:rPr>
      </w:pPr>
      <w:r w:rsidRPr="0017315D">
        <w:rPr>
          <w:rFonts w:ascii="標楷體" w:eastAsia="標楷體" w:hAnsi="標楷體" w:hint="eastAsia"/>
          <w:kern w:val="2"/>
          <w:szCs w:val="24"/>
        </w:rPr>
        <w:t>I. 出現肢端疼痛排汗障礙，或中風</w:t>
      </w:r>
    </w:p>
    <w:p w14:paraId="39D19B67" w14:textId="77777777" w:rsidR="0017315D" w:rsidRPr="0017315D" w:rsidRDefault="0017315D" w:rsidP="0017315D">
      <w:pPr>
        <w:tabs>
          <w:tab w:val="left" w:pos="284"/>
        </w:tabs>
        <w:suppressAutoHyphens w:val="0"/>
        <w:autoSpaceDN/>
        <w:ind w:left="1392" w:hanging="386"/>
        <w:textAlignment w:val="auto"/>
        <w:rPr>
          <w:rFonts w:ascii="標楷體" w:eastAsia="標楷體" w:hAnsi="標楷體"/>
          <w:kern w:val="2"/>
          <w:szCs w:val="24"/>
        </w:rPr>
      </w:pPr>
      <w:r w:rsidRPr="0017315D">
        <w:rPr>
          <w:rFonts w:ascii="標楷體" w:eastAsia="標楷體" w:hAnsi="標楷體" w:hint="eastAsia"/>
          <w:kern w:val="2"/>
          <w:szCs w:val="24"/>
        </w:rPr>
        <w:t>II.蛋白尿、微量白蛋白尿(Microalbuminuria)</w:t>
      </w:r>
    </w:p>
    <w:p w14:paraId="3943866D" w14:textId="77777777" w:rsidR="0017315D" w:rsidRPr="0017315D" w:rsidRDefault="0017315D" w:rsidP="0017315D">
      <w:pPr>
        <w:tabs>
          <w:tab w:val="left" w:pos="284"/>
        </w:tabs>
        <w:suppressAutoHyphens w:val="0"/>
        <w:autoSpaceDN/>
        <w:ind w:left="1392" w:hanging="386"/>
        <w:textAlignment w:val="auto"/>
        <w:rPr>
          <w:rFonts w:ascii="標楷體" w:eastAsia="標楷體" w:hAnsi="標楷體"/>
          <w:kern w:val="2"/>
          <w:szCs w:val="24"/>
        </w:rPr>
      </w:pPr>
      <w:r w:rsidRPr="0017315D">
        <w:rPr>
          <w:rFonts w:ascii="標楷體" w:eastAsia="標楷體" w:hAnsi="標楷體" w:hint="eastAsia"/>
          <w:kern w:val="2"/>
          <w:szCs w:val="24"/>
        </w:rPr>
        <w:t>III.不整脈(附表心電圖〔ECG〕第2項)或心室肥大</w:t>
      </w:r>
    </w:p>
    <w:p w14:paraId="6E88CC6D" w14:textId="77777777" w:rsidR="0017315D" w:rsidRPr="0017315D" w:rsidRDefault="0017315D" w:rsidP="0017315D">
      <w:pPr>
        <w:tabs>
          <w:tab w:val="left" w:pos="284"/>
        </w:tabs>
        <w:suppressAutoHyphens w:val="0"/>
        <w:autoSpaceDN/>
        <w:ind w:left="1134" w:hanging="386"/>
        <w:textAlignment w:val="auto"/>
        <w:rPr>
          <w:rFonts w:ascii="標楷體" w:eastAsia="標楷體" w:hAnsi="標楷體"/>
          <w:kern w:val="2"/>
          <w:szCs w:val="24"/>
        </w:rPr>
      </w:pPr>
      <w:r w:rsidRPr="0017315D">
        <w:rPr>
          <w:rFonts w:ascii="標楷體" w:eastAsia="標楷體" w:hAnsi="標楷體" w:hint="eastAsia"/>
          <w:kern w:val="2"/>
          <w:szCs w:val="24"/>
        </w:rPr>
        <w:t>(2)確定診斷為法布瑞氏症非典型患者，且符合下列所有條件：（108/5/1、112/8/1、114/2/1)</w:t>
      </w:r>
    </w:p>
    <w:p w14:paraId="111760B8" w14:textId="77777777" w:rsidR="0017315D" w:rsidRPr="0017315D" w:rsidRDefault="0017315D" w:rsidP="0017315D">
      <w:pPr>
        <w:tabs>
          <w:tab w:val="left" w:pos="284"/>
        </w:tabs>
        <w:suppressAutoHyphens w:val="0"/>
        <w:autoSpaceDN/>
        <w:ind w:left="1392" w:hanging="386"/>
        <w:textAlignment w:val="auto"/>
        <w:rPr>
          <w:rFonts w:ascii="標楷體" w:eastAsia="標楷體" w:hAnsi="標楷體"/>
          <w:kern w:val="2"/>
          <w:szCs w:val="24"/>
        </w:rPr>
      </w:pPr>
      <w:r w:rsidRPr="0017315D">
        <w:rPr>
          <w:rFonts w:ascii="標楷體" w:eastAsia="標楷體" w:hAnsi="標楷體" w:hint="eastAsia"/>
          <w:kern w:val="2"/>
          <w:szCs w:val="24"/>
        </w:rPr>
        <w:t>Ⅰ.經腎臟或心臟切片證實與法布瑞氏症相關。（108/5/1）</w:t>
      </w:r>
    </w:p>
    <w:p w14:paraId="48E634B5" w14:textId="77777777" w:rsidR="0017315D" w:rsidRPr="0017315D" w:rsidRDefault="0017315D" w:rsidP="0017315D">
      <w:pPr>
        <w:tabs>
          <w:tab w:val="left" w:pos="284"/>
        </w:tabs>
        <w:suppressAutoHyphens w:val="0"/>
        <w:autoSpaceDN/>
        <w:ind w:left="1392" w:hanging="386"/>
        <w:textAlignment w:val="auto"/>
        <w:rPr>
          <w:rFonts w:ascii="標楷體" w:eastAsia="標楷體" w:hAnsi="標楷體"/>
          <w:kern w:val="2"/>
          <w:szCs w:val="24"/>
        </w:rPr>
      </w:pPr>
      <w:r w:rsidRPr="0017315D">
        <w:rPr>
          <w:rFonts w:ascii="標楷體" w:eastAsia="標楷體" w:hAnsi="標楷體" w:hint="eastAsia"/>
          <w:kern w:val="2"/>
          <w:szCs w:val="24"/>
        </w:rPr>
        <w:t>Ⅱ.法布瑞氏症IVS4+919G&gt;A基因型患者，於「法布瑞氏症心臟變異型心臟功能評估指標表」(詳罕見疾病通報審查基準表)之「心電圖」、「心臟超音波」、「心臟核磁共振檢查報告」及「實驗室檢查報告」4個部分中，每個部份需符合至少1項指標並提具該指標檢測報告，且心臟組織切片檢查(cardiac biopsy) 證實有GL3或lyso-Gb3脂質堆積者;且需檢附相關檢查及檢驗資料，以及至少半年之高血壓或糖尿病心肌病變危險因子之治</w:t>
      </w:r>
      <w:r w:rsidRPr="0017315D">
        <w:rPr>
          <w:rFonts w:ascii="標楷體" w:eastAsia="標楷體" w:hAnsi="標楷體" w:hint="eastAsia"/>
          <w:kern w:val="2"/>
          <w:szCs w:val="24"/>
        </w:rPr>
        <w:lastRenderedPageBreak/>
        <w:t>療紀錄。糖尿病經過治療且HbA1c(醣化血色素)＜7者，始可接受酵素補充治療。（103/9/1、108/5/1、114/2/1）。</w:t>
      </w:r>
    </w:p>
    <w:p w14:paraId="4280D0A1"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2.排除使用於無法接受換腎之末期腎臟疾病合併有嚴重心臟衰竭(NYHA class IV)。（112/8/1）</w:t>
      </w:r>
    </w:p>
    <w:p w14:paraId="62D09843"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3.標準劑量Fabrazyme 1 mg/Kg/every 2 weeks；Replagal 0.2mg/Kg/every 2 weeks；Elfabrio 1 mg/Kg/every 2 weeks。針對副作用嚴重或症狀輕微病人，可以考慮減量治療，是否減量治療由主治醫師決定之。（108/5/1、112/8/1、114/2/1）。</w:t>
      </w:r>
    </w:p>
    <w:p w14:paraId="776E3221"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4.需經事前審查核准後使用，每次申請之療程以1年為限，申請續用時需檢送酵素補充治療療效評估資料，若符合下列條件之一，則不予同意使用：（108/5/1、112/8/1、114/2/1）</w:t>
      </w:r>
    </w:p>
    <w:p w14:paraId="59861C7D" w14:textId="77777777" w:rsidR="0017315D" w:rsidRPr="0017315D" w:rsidRDefault="0017315D" w:rsidP="0017315D">
      <w:pPr>
        <w:tabs>
          <w:tab w:val="left" w:pos="284"/>
        </w:tabs>
        <w:suppressAutoHyphens w:val="0"/>
        <w:autoSpaceDN/>
        <w:ind w:left="1134" w:hanging="386"/>
        <w:textAlignment w:val="auto"/>
        <w:rPr>
          <w:rFonts w:ascii="標楷體" w:eastAsia="標楷體" w:hAnsi="標楷體"/>
          <w:kern w:val="2"/>
          <w:szCs w:val="24"/>
        </w:rPr>
      </w:pPr>
      <w:r w:rsidRPr="0017315D">
        <w:rPr>
          <w:rFonts w:ascii="標楷體" w:eastAsia="標楷體" w:hAnsi="標楷體" w:hint="eastAsia"/>
          <w:kern w:val="2"/>
          <w:szCs w:val="24"/>
        </w:rPr>
        <w:t>(1)嚴重心臟疾病(NYHA class IV)或嚴重心肌纖維化（112/8/1、114/2/1）</w:t>
      </w:r>
    </w:p>
    <w:p w14:paraId="08FFD509"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註：嚴重心肌纖維化定義：每2年磁振造影中，有超過15%心肌質量為釓延遲顯影(late gadolinium enhancement &gt;15% of myocardial mass)，或4個segments以上有＞75%纖維化</w:t>
      </w:r>
    </w:p>
    <w:p w14:paraId="599C63C7"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(2)腎臟變異型法布瑞氏症病人合併末期腎臟疾病（108/5/1）</w:t>
      </w:r>
    </w:p>
    <w:p w14:paraId="5FACBB42"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(3)嚴重認知退化經診斷為中、重度失智症（108/5/1）</w:t>
      </w:r>
    </w:p>
    <w:p w14:paraId="0098B762"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(4)由於末期法布瑞氏症或其他疾病，以致預期生存壽命少於一年（108/5/1）</w:t>
      </w:r>
    </w:p>
    <w:p w14:paraId="7DBFED5C"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(5)在已事先預防情況之下，仍持續發生危及生命或嚴重輸注相關不良反應者，例如:全身性過敏反應（112/8/1）</w:t>
      </w:r>
    </w:p>
    <w:p w14:paraId="4701DC8E"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(6)病人的服藥順從性不佳，超過50%未正常施打藥物（112/8/1）</w:t>
      </w:r>
    </w:p>
    <w:p w14:paraId="2D771BD0"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(7)病人整年長期疼痛控制無法改善者或嚴重腸胃道症狀無法改善者，然典型男性患者不受此限（112/8/1）</w:t>
      </w:r>
    </w:p>
    <w:p w14:paraId="4D72C770"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(8)以下檢測心臟功能之評估項目，若有一項目相較於前一年惡化，則不予續用（114/2/1）。</w:t>
      </w:r>
    </w:p>
    <w:p w14:paraId="4759FB77" w14:textId="77777777" w:rsidR="0017315D" w:rsidRPr="0017315D" w:rsidRDefault="0017315D" w:rsidP="0017315D">
      <w:pPr>
        <w:tabs>
          <w:tab w:val="left" w:pos="284"/>
        </w:tabs>
        <w:suppressAutoHyphens w:val="0"/>
        <w:autoSpaceDN/>
        <w:ind w:left="1560" w:hanging="386"/>
        <w:textAlignment w:val="auto"/>
        <w:rPr>
          <w:rFonts w:ascii="標楷體" w:eastAsia="標楷體" w:hAnsi="標楷體"/>
          <w:kern w:val="2"/>
          <w:szCs w:val="24"/>
        </w:rPr>
      </w:pPr>
      <w:r w:rsidRPr="0017315D">
        <w:rPr>
          <w:rFonts w:ascii="標楷體" w:eastAsia="標楷體" w:hAnsi="標楷體" w:hint="eastAsia"/>
          <w:kern w:val="2"/>
          <w:szCs w:val="24"/>
        </w:rPr>
        <w:t>I.</w:t>
      </w:r>
      <w:r w:rsidRPr="0017315D">
        <w:rPr>
          <w:rFonts w:ascii="標楷體" w:eastAsia="標楷體" w:hAnsi="標楷體" w:hint="eastAsia"/>
          <w:kern w:val="2"/>
          <w:szCs w:val="24"/>
        </w:rPr>
        <w:tab/>
        <w:t>六分鐘步行惡化：絕對行走距離減少50公尺和相對行走距離減少大於20%</w:t>
      </w:r>
    </w:p>
    <w:p w14:paraId="6210CDA9" w14:textId="77777777" w:rsidR="0017315D" w:rsidRPr="0017315D" w:rsidRDefault="0017315D" w:rsidP="0017315D">
      <w:pPr>
        <w:tabs>
          <w:tab w:val="left" w:pos="284"/>
        </w:tabs>
        <w:suppressAutoHyphens w:val="0"/>
        <w:autoSpaceDN/>
        <w:ind w:left="1560" w:hanging="386"/>
        <w:textAlignment w:val="auto"/>
        <w:rPr>
          <w:rFonts w:ascii="標楷體" w:eastAsia="標楷體" w:hAnsi="標楷體"/>
          <w:kern w:val="2"/>
          <w:szCs w:val="24"/>
        </w:rPr>
      </w:pPr>
      <w:r w:rsidRPr="0017315D">
        <w:rPr>
          <w:rFonts w:ascii="標楷體" w:eastAsia="標楷體" w:hAnsi="標楷體" w:hint="eastAsia"/>
          <w:kern w:val="2"/>
          <w:szCs w:val="24"/>
        </w:rPr>
        <w:t>II.</w:t>
      </w:r>
      <w:r w:rsidRPr="0017315D">
        <w:rPr>
          <w:rFonts w:ascii="標楷體" w:eastAsia="標楷體" w:hAnsi="標楷體" w:hint="eastAsia"/>
          <w:kern w:val="2"/>
          <w:szCs w:val="24"/>
        </w:rPr>
        <w:tab/>
        <w:t>心臟衰竭指數惡化：相較於基期，NT-Pro BNP增加&gt; 700 mg/L且&gt;30%</w:t>
      </w:r>
    </w:p>
    <w:p w14:paraId="39AEA689"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5.治療前應與患者及家屬充分溝通告知下列事項，並請其簽名確認已被告知，留存病歷備查：</w:t>
      </w:r>
    </w:p>
    <w:p w14:paraId="7C379CF3"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(1)確定其了解治療的預期效果。</w:t>
      </w:r>
    </w:p>
    <w:p w14:paraId="7C8D058B"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(2)患者有義務接受定期追蹤評估，如無明顯療效（如上述3所列），主治醫師在向患者及家屬清楚解釋後，應停止agalsidase alfa、agalsidase beta或pegunigalsidase alfa之治療。（108/5/1、114/2/1）</w:t>
      </w:r>
    </w:p>
    <w:p w14:paraId="491A9BA8"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(3)女性患者之角膜病變Cornea Verticillata為良性症狀。</w:t>
      </w:r>
    </w:p>
    <w:p w14:paraId="1CD2671B"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6.每一年須重新評估一次，追蹤檢查項目如下：（102/1/1、114/2/1）</w:t>
      </w:r>
    </w:p>
    <w:p w14:paraId="4ECA3FF0"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(1)腎功能(eGFR)；</w:t>
      </w:r>
    </w:p>
    <w:p w14:paraId="6ABC2F97" w14:textId="49B2A51F"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(2)尿蛋白(尿蛋白或微尿蛋白)；</w:t>
      </w:r>
    </w:p>
    <w:p w14:paraId="507AA1A0"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(3)血漿或尿液lyso-Gb3；</w:t>
      </w:r>
    </w:p>
    <w:p w14:paraId="0B9754F0"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(4)疼痛狀態；</w:t>
      </w:r>
    </w:p>
    <w:p w14:paraId="47A23E8C"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(5)中風次數；</w:t>
      </w:r>
    </w:p>
    <w:p w14:paraId="36466603"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(6)病患是否有出現新的心臟病或原心臟病是否有惡化情形(出現新的心肌梗</w:t>
      </w:r>
      <w:r w:rsidRPr="0017315D">
        <w:rPr>
          <w:rFonts w:ascii="標楷體" w:eastAsia="標楷體" w:hAnsi="標楷體" w:hint="eastAsia"/>
          <w:kern w:val="2"/>
          <w:szCs w:val="24"/>
        </w:rPr>
        <w:lastRenderedPageBreak/>
        <w:t>塞、心律不整需心臟電擊整流或藥物治療、心跳過緩、房室傳導阻斷或其他心律疾病需心律調節器的植入治療，心臟衰竭需住院治療)。</w:t>
      </w:r>
    </w:p>
    <w:p w14:paraId="45C4632C"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(7)心肺功能狀態 (紐約心臟學會心功能分級 NYHA functional class及6分鐘走路測驗或運動心電圖測驗)。</w:t>
      </w:r>
    </w:p>
    <w:p w14:paraId="1A1D5FE9"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(8)靜態心電圖、24小時Holter心電圖與心臟超音波。心臟超音波檢查時之基本項目:</w:t>
      </w:r>
    </w:p>
    <w:p w14:paraId="73F527B6" w14:textId="77777777" w:rsidR="0017315D" w:rsidRPr="0017315D" w:rsidRDefault="0017315D" w:rsidP="0017315D">
      <w:pPr>
        <w:tabs>
          <w:tab w:val="left" w:pos="284"/>
        </w:tabs>
        <w:suppressAutoHyphens w:val="0"/>
        <w:autoSpaceDN/>
        <w:ind w:left="1152" w:hanging="18"/>
        <w:textAlignment w:val="auto"/>
        <w:rPr>
          <w:rFonts w:ascii="標楷體" w:eastAsia="標楷體" w:hAnsi="標楷體"/>
          <w:kern w:val="2"/>
          <w:szCs w:val="24"/>
        </w:rPr>
      </w:pPr>
      <w:r w:rsidRPr="0017315D">
        <w:rPr>
          <w:rFonts w:ascii="標楷體" w:eastAsia="標楷體" w:hAnsi="標楷體" w:hint="eastAsia"/>
          <w:kern w:val="2"/>
          <w:szCs w:val="24"/>
        </w:rPr>
        <w:t>左心室舒張期直徑、左心室後壁厚度、左心室前壁厚度、左心室質量與質量身高比、心房大小測量、左心室舒張功能測量(包含組織超音波)、心室後壁輻射向應變率、心中膈縱向應變率與心側壁縱向應變率、心臟瓣膜功能。超音波左心室質量與質量身高比、心室後壁輻射向應變率、心側壁縱向應變率。</w:t>
      </w:r>
    </w:p>
    <w:p w14:paraId="1F01688E" w14:textId="77777777" w:rsidR="0017315D" w:rsidRPr="0017315D" w:rsidRDefault="0017315D" w:rsidP="0017315D">
      <w:pPr>
        <w:tabs>
          <w:tab w:val="left" w:pos="284"/>
        </w:tabs>
        <w:suppressAutoHyphens w:val="0"/>
        <w:autoSpaceDN/>
        <w:ind w:left="1152" w:hanging="386"/>
        <w:textAlignment w:val="auto"/>
        <w:rPr>
          <w:rFonts w:ascii="標楷體" w:eastAsia="標楷體" w:hAnsi="標楷體"/>
          <w:kern w:val="2"/>
          <w:szCs w:val="24"/>
        </w:rPr>
      </w:pPr>
      <w:r w:rsidRPr="0017315D">
        <w:rPr>
          <w:rFonts w:ascii="標楷體" w:eastAsia="標楷體" w:hAnsi="標楷體" w:hint="eastAsia"/>
          <w:kern w:val="2"/>
          <w:szCs w:val="24"/>
        </w:rPr>
        <w:t>(9)若初次心臟磁振造影(MRI)檢查時有心肌纖維化的病患，追蹤時應做心臟磁振造影；其他患者建議每兩年做心臟磁振造影追蹤檢查。</w:t>
      </w:r>
    </w:p>
    <w:p w14:paraId="1414D7BF" w14:textId="77777777" w:rsidR="0017315D" w:rsidRPr="0017315D" w:rsidRDefault="0017315D" w:rsidP="0017315D">
      <w:pPr>
        <w:tabs>
          <w:tab w:val="left" w:pos="284"/>
        </w:tabs>
        <w:suppressAutoHyphens w:val="0"/>
        <w:autoSpaceDN/>
        <w:ind w:left="896" w:hanging="386"/>
        <w:textAlignment w:val="auto"/>
        <w:rPr>
          <w:rFonts w:ascii="標楷體" w:eastAsia="標楷體" w:hAnsi="標楷體"/>
          <w:kern w:val="2"/>
          <w:szCs w:val="24"/>
        </w:rPr>
      </w:pPr>
      <w:r w:rsidRPr="0017315D">
        <w:rPr>
          <w:rFonts w:ascii="標楷體" w:eastAsia="標楷體" w:hAnsi="標楷體" w:hint="eastAsia"/>
          <w:kern w:val="2"/>
          <w:szCs w:val="24"/>
        </w:rPr>
        <w:t>7.使用本類藥品需完成個案系統登錄，亦需於療程結束或停止使用該藥品後，於此系統登錄結案。逾期未登錄結案者，系統自動結案，且不予支付該個案自前次事前審查核定日後申報之藥費。(114/2/1）</w:t>
      </w:r>
    </w:p>
    <w:p w14:paraId="26EA109D" w14:textId="5C5D2803" w:rsidR="00BD776B" w:rsidRDefault="0017315D">
      <w:pPr>
        <w:tabs>
          <w:tab w:val="left" w:pos="284"/>
        </w:tabs>
        <w:ind w:left="672" w:hanging="386"/>
        <w:jc w:val="center"/>
        <w:rPr>
          <w:rFonts w:ascii="標楷體" w:eastAsia="標楷體" w:hAnsi="標楷體"/>
        </w:rPr>
      </w:pPr>
      <w:r w:rsidRPr="0017315D">
        <w:rPr>
          <w:rFonts w:ascii="標楷體" w:eastAsia="標楷體" w:hAnsi="標楷體" w:hint="eastAsia"/>
        </w:rPr>
        <w:t>法布瑞氏症心臟變異型心臟功能評估指標表（114/2/1）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7966"/>
      </w:tblGrid>
      <w:tr w:rsidR="0017315D" w:rsidRPr="0017315D" w14:paraId="4B550A95" w14:textId="77777777" w:rsidTr="006B6D3F">
        <w:tc>
          <w:tcPr>
            <w:tcW w:w="5000" w:type="pct"/>
            <w:gridSpan w:val="2"/>
          </w:tcPr>
          <w:p w14:paraId="576EA8F8"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心電圖[ECG]</w:t>
            </w:r>
          </w:p>
        </w:tc>
      </w:tr>
      <w:tr w:rsidR="0017315D" w:rsidRPr="0017315D" w14:paraId="0EC88B9F" w14:textId="77777777" w:rsidTr="006B6D3F">
        <w:tc>
          <w:tcPr>
            <w:tcW w:w="604" w:type="pct"/>
          </w:tcPr>
          <w:p w14:paraId="1883E3D4"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1</w:t>
            </w:r>
          </w:p>
        </w:tc>
        <w:tc>
          <w:tcPr>
            <w:tcW w:w="4396" w:type="pct"/>
          </w:tcPr>
          <w:p w14:paraId="16C7EC7F"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心電圖左心室肥厚 (ECG LVH Romhilt-Estes score&gt;5或符合Cornell's criteria)</w:t>
            </w:r>
          </w:p>
        </w:tc>
      </w:tr>
      <w:tr w:rsidR="0017315D" w:rsidRPr="0017315D" w14:paraId="2088DFCF" w14:textId="77777777" w:rsidTr="006B6D3F">
        <w:tc>
          <w:tcPr>
            <w:tcW w:w="604" w:type="pct"/>
          </w:tcPr>
          <w:p w14:paraId="3EA1112D"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2</w:t>
            </w:r>
          </w:p>
        </w:tc>
        <w:tc>
          <w:tcPr>
            <w:tcW w:w="4396" w:type="pct"/>
          </w:tcPr>
          <w:p w14:paraId="441CD0F3"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心肌與節律出現異常：AV block, short PR interval, LBBB,ventricular or atrial tachyarrhythmias, sinus bradycardia(在沒有使用抑制心律的藥物下)</w:t>
            </w:r>
          </w:p>
        </w:tc>
      </w:tr>
      <w:tr w:rsidR="0017315D" w:rsidRPr="0017315D" w14:paraId="7127C55F" w14:textId="77777777" w:rsidTr="006B6D3F">
        <w:tc>
          <w:tcPr>
            <w:tcW w:w="5000" w:type="pct"/>
            <w:gridSpan w:val="2"/>
          </w:tcPr>
          <w:p w14:paraId="3DFEC065"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心臟超音波[Echocardiogram]</w:t>
            </w:r>
          </w:p>
        </w:tc>
      </w:tr>
      <w:tr w:rsidR="0017315D" w:rsidRPr="0017315D" w14:paraId="6083222E" w14:textId="77777777" w:rsidTr="006B6D3F">
        <w:tc>
          <w:tcPr>
            <w:tcW w:w="604" w:type="pct"/>
          </w:tcPr>
          <w:p w14:paraId="1DCBAFD2"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1</w:t>
            </w:r>
          </w:p>
        </w:tc>
        <w:tc>
          <w:tcPr>
            <w:tcW w:w="4396" w:type="pct"/>
          </w:tcPr>
          <w:p w14:paraId="2A24CAC1"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左心室厚度&gt;12mm。</w:t>
            </w:r>
          </w:p>
        </w:tc>
      </w:tr>
      <w:tr w:rsidR="0017315D" w:rsidRPr="0017315D" w14:paraId="101B83C2" w14:textId="77777777" w:rsidTr="006B6D3F">
        <w:tc>
          <w:tcPr>
            <w:tcW w:w="604" w:type="pct"/>
          </w:tcPr>
          <w:p w14:paraId="21C33746"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2</w:t>
            </w:r>
          </w:p>
        </w:tc>
        <w:tc>
          <w:tcPr>
            <w:tcW w:w="4396" w:type="pct"/>
          </w:tcPr>
          <w:p w14:paraId="592C35DF"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心臟超音波左心室質量指數 (LVMI)男性大於51 gm/m2.7, 女性大於48 gm/m2.7, LVMI。（108/5/1）</w:t>
            </w:r>
          </w:p>
        </w:tc>
      </w:tr>
      <w:tr w:rsidR="0017315D" w:rsidRPr="0017315D" w14:paraId="384FBD58" w14:textId="77777777" w:rsidTr="006B6D3F">
        <w:tc>
          <w:tcPr>
            <w:tcW w:w="604" w:type="pct"/>
          </w:tcPr>
          <w:p w14:paraId="0A9A517E"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3</w:t>
            </w:r>
          </w:p>
        </w:tc>
        <w:tc>
          <w:tcPr>
            <w:tcW w:w="4396" w:type="pct"/>
          </w:tcPr>
          <w:p w14:paraId="5D350219"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心臟超音波左心室舒張功能異常 E/A ratio&gt;2.0及</w:t>
            </w:r>
          </w:p>
          <w:p w14:paraId="559E632E"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deceleration time&lt;150 msec或組織超音波顯示舒張功能異常(二尖瓣環部中膈E/E' &gt;15 或側壁E/E'&gt;12).</w:t>
            </w:r>
          </w:p>
        </w:tc>
      </w:tr>
      <w:tr w:rsidR="0017315D" w:rsidRPr="0017315D" w14:paraId="4BC98471" w14:textId="77777777" w:rsidTr="006B6D3F">
        <w:tc>
          <w:tcPr>
            <w:tcW w:w="604" w:type="pct"/>
          </w:tcPr>
          <w:p w14:paraId="661FA671"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4</w:t>
            </w:r>
          </w:p>
        </w:tc>
        <w:tc>
          <w:tcPr>
            <w:tcW w:w="4396" w:type="pct"/>
          </w:tcPr>
          <w:p w14:paraId="67413635"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間隔至少超過12個月測量左心室質量 (LVM) 增加&gt;5g/m</w:t>
            </w:r>
            <w:r w:rsidRPr="0017315D">
              <w:rPr>
                <w:rFonts w:ascii="標楷體" w:eastAsia="標楷體" w:hAnsi="標楷體" w:cstheme="minorHAnsi"/>
                <w:kern w:val="2"/>
                <w:szCs w:val="24"/>
                <w:vertAlign w:val="superscript"/>
              </w:rPr>
              <w:t>2</w:t>
            </w:r>
          </w:p>
        </w:tc>
      </w:tr>
      <w:tr w:rsidR="0017315D" w:rsidRPr="0017315D" w14:paraId="6B5ED4F9" w14:textId="77777777" w:rsidTr="006B6D3F">
        <w:tc>
          <w:tcPr>
            <w:tcW w:w="604" w:type="pct"/>
          </w:tcPr>
          <w:p w14:paraId="0CEAC031"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5</w:t>
            </w:r>
          </w:p>
        </w:tc>
        <w:tc>
          <w:tcPr>
            <w:tcW w:w="4396" w:type="pct"/>
          </w:tcPr>
          <w:p w14:paraId="24DBC2D0"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心臟超音波左心房體積增加&gt;34 mL/m2 body surface area (BSA)</w:t>
            </w:r>
          </w:p>
          <w:p w14:paraId="1DCD6315"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（108/5/1）</w:t>
            </w:r>
          </w:p>
        </w:tc>
      </w:tr>
      <w:tr w:rsidR="0017315D" w:rsidRPr="0017315D" w14:paraId="2240A12E" w14:textId="77777777" w:rsidTr="006B6D3F">
        <w:tc>
          <w:tcPr>
            <w:tcW w:w="604" w:type="pct"/>
          </w:tcPr>
          <w:p w14:paraId="301D4513"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6</w:t>
            </w:r>
          </w:p>
        </w:tc>
        <w:tc>
          <w:tcPr>
            <w:tcW w:w="4396" w:type="pct"/>
          </w:tcPr>
          <w:p w14:paraId="6DEFC40A"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中度到重度的二尖瓣與主動瓣膜閉鎖不全</w:t>
            </w:r>
          </w:p>
        </w:tc>
      </w:tr>
      <w:tr w:rsidR="0017315D" w:rsidRPr="0017315D" w14:paraId="17997EDE" w14:textId="77777777" w:rsidTr="006B6D3F">
        <w:tc>
          <w:tcPr>
            <w:tcW w:w="5000" w:type="pct"/>
            <w:gridSpan w:val="2"/>
          </w:tcPr>
          <w:p w14:paraId="24742AC5"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lastRenderedPageBreak/>
              <w:t>心臟核磁共振檢查報告</w:t>
            </w:r>
          </w:p>
        </w:tc>
      </w:tr>
      <w:tr w:rsidR="0017315D" w:rsidRPr="0017315D" w14:paraId="4A923528" w14:textId="77777777" w:rsidTr="006B6D3F">
        <w:tc>
          <w:tcPr>
            <w:tcW w:w="604" w:type="pct"/>
          </w:tcPr>
          <w:p w14:paraId="76A4C012"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1</w:t>
            </w:r>
          </w:p>
        </w:tc>
        <w:tc>
          <w:tcPr>
            <w:tcW w:w="4396" w:type="pct"/>
          </w:tcPr>
          <w:p w14:paraId="29695FF0"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心臟磁振造影心肌延遲顯影(delayed enhancement)出現左心室的輕度到中度纖維化。</w:t>
            </w:r>
          </w:p>
        </w:tc>
      </w:tr>
      <w:tr w:rsidR="0017315D" w:rsidRPr="0017315D" w14:paraId="63A24432" w14:textId="77777777" w:rsidTr="006B6D3F">
        <w:tc>
          <w:tcPr>
            <w:tcW w:w="604" w:type="pct"/>
          </w:tcPr>
          <w:p w14:paraId="660E177F"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2</w:t>
            </w:r>
          </w:p>
        </w:tc>
        <w:tc>
          <w:tcPr>
            <w:tcW w:w="4396" w:type="pct"/>
          </w:tcPr>
          <w:p w14:paraId="45A8466B"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Low native T1</w:t>
            </w:r>
          </w:p>
        </w:tc>
      </w:tr>
      <w:tr w:rsidR="0017315D" w:rsidRPr="0017315D" w14:paraId="7EA0AD4A" w14:textId="77777777" w:rsidTr="006B6D3F">
        <w:tc>
          <w:tcPr>
            <w:tcW w:w="604" w:type="pct"/>
          </w:tcPr>
          <w:p w14:paraId="631F1D62"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3</w:t>
            </w:r>
          </w:p>
        </w:tc>
        <w:tc>
          <w:tcPr>
            <w:tcW w:w="4396" w:type="pct"/>
          </w:tcPr>
          <w:p w14:paraId="3BB73608"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High T2</w:t>
            </w:r>
          </w:p>
        </w:tc>
      </w:tr>
      <w:tr w:rsidR="0017315D" w:rsidRPr="0017315D" w14:paraId="7445704C" w14:textId="77777777" w:rsidTr="006B6D3F">
        <w:tc>
          <w:tcPr>
            <w:tcW w:w="604" w:type="pct"/>
          </w:tcPr>
          <w:p w14:paraId="7524EEA9"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4</w:t>
            </w:r>
          </w:p>
        </w:tc>
        <w:tc>
          <w:tcPr>
            <w:tcW w:w="4396" w:type="pct"/>
          </w:tcPr>
          <w:p w14:paraId="24E4B020"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因裝置MRI incompatible pacemaker 而無法執行</w:t>
            </w:r>
          </w:p>
        </w:tc>
      </w:tr>
      <w:tr w:rsidR="0017315D" w:rsidRPr="0017315D" w14:paraId="2E2B98B1" w14:textId="77777777" w:rsidTr="006B6D3F">
        <w:tc>
          <w:tcPr>
            <w:tcW w:w="5000" w:type="pct"/>
            <w:gridSpan w:val="2"/>
          </w:tcPr>
          <w:p w14:paraId="26F2080D"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實驗室檢查報告</w:t>
            </w:r>
          </w:p>
        </w:tc>
      </w:tr>
      <w:tr w:rsidR="0017315D" w:rsidRPr="0017315D" w14:paraId="29E3B6FC" w14:textId="77777777" w:rsidTr="006B6D3F">
        <w:trPr>
          <w:trHeight w:val="429"/>
        </w:trPr>
        <w:tc>
          <w:tcPr>
            <w:tcW w:w="604" w:type="pct"/>
          </w:tcPr>
          <w:p w14:paraId="598D7A18" w14:textId="77777777" w:rsidR="0017315D" w:rsidRPr="0017315D" w:rsidRDefault="0017315D" w:rsidP="0017315D">
            <w:pPr>
              <w:suppressAutoHyphens w:val="0"/>
              <w:autoSpaceDN/>
              <w:spacing w:line="480" w:lineRule="exact"/>
              <w:jc w:val="center"/>
              <w:textAlignment w:val="auto"/>
              <w:rPr>
                <w:rFonts w:ascii="標楷體" w:eastAsia="標楷體" w:hAnsi="標楷體" w:cstheme="minorHAnsi"/>
                <w:kern w:val="2"/>
                <w:szCs w:val="24"/>
              </w:rPr>
            </w:pPr>
            <w:r w:rsidRPr="0017315D">
              <w:rPr>
                <w:rFonts w:ascii="標楷體" w:eastAsia="標楷體" w:hAnsi="標楷體" w:cstheme="minorHAnsi"/>
                <w:kern w:val="2"/>
                <w:szCs w:val="24"/>
              </w:rPr>
              <w:t>1</w:t>
            </w:r>
          </w:p>
        </w:tc>
        <w:tc>
          <w:tcPr>
            <w:tcW w:w="4396" w:type="pct"/>
            <w:vAlign w:val="center"/>
          </w:tcPr>
          <w:p w14:paraId="2391C29D" w14:textId="77777777" w:rsidR="0017315D" w:rsidRPr="0017315D" w:rsidRDefault="0017315D" w:rsidP="0017315D">
            <w:pPr>
              <w:suppressAutoHyphens w:val="0"/>
              <w:autoSpaceDN/>
              <w:spacing w:line="480" w:lineRule="exact"/>
              <w:textAlignment w:val="auto"/>
              <w:rPr>
                <w:rFonts w:ascii="標楷體" w:eastAsia="標楷體" w:hAnsi="標楷體" w:cstheme="minorHAnsi"/>
                <w:kern w:val="2"/>
                <w:szCs w:val="24"/>
              </w:rPr>
            </w:pPr>
            <w:r w:rsidRPr="0017315D">
              <w:rPr>
                <w:rFonts w:ascii="標楷體" w:eastAsia="標楷體" w:hAnsi="標楷體" w:cstheme="minorHAnsi"/>
                <w:kern w:val="2"/>
                <w:szCs w:val="24"/>
              </w:rPr>
              <w:t>NT-proBNP/BNP 或 high sensitivity troponin升高（112/8/1）</w:t>
            </w:r>
          </w:p>
        </w:tc>
      </w:tr>
    </w:tbl>
    <w:p w14:paraId="2BD16689" w14:textId="77777777" w:rsidR="00BD776B" w:rsidRDefault="00DF0C24" w:rsidP="000E2C01">
      <w:pPr>
        <w:tabs>
          <w:tab w:val="left" w:pos="284"/>
        </w:tabs>
        <w:suppressAutoHyphens w:val="0"/>
        <w:autoSpaceDN/>
        <w:ind w:left="672" w:hanging="386"/>
        <w:textAlignment w:val="auto"/>
        <w:rPr>
          <w:rFonts w:ascii="標楷體" w:eastAsia="標楷體" w:hAnsi="標楷體"/>
        </w:rPr>
      </w:pPr>
      <w:r>
        <w:rPr>
          <w:rFonts w:ascii="標楷體" w:eastAsia="標楷體" w:hAnsi="標楷體"/>
        </w:rPr>
        <w:t>3.3.14.Carglumic acid (如Carbaglu Tablets)：（102/9/1、106/7/1）</w:t>
      </w:r>
    </w:p>
    <w:p w14:paraId="1B576652" w14:textId="77777777" w:rsidR="00BD776B" w:rsidRDefault="00DF0C24">
      <w:pPr>
        <w:ind w:left="566"/>
        <w:rPr>
          <w:rFonts w:ascii="標楷體" w:eastAsia="標楷體" w:hAnsi="標楷體"/>
        </w:rPr>
      </w:pPr>
      <w:r>
        <w:rPr>
          <w:rFonts w:ascii="標楷體" w:eastAsia="標楷體" w:hAnsi="標楷體"/>
        </w:rPr>
        <w:t>1.限下列病例使用：</w:t>
      </w:r>
    </w:p>
    <w:p w14:paraId="02FD1562" w14:textId="77777777" w:rsidR="00BD776B" w:rsidRDefault="00DF0C24">
      <w:pPr>
        <w:ind w:left="1078" w:hanging="372"/>
        <w:rPr>
          <w:rFonts w:ascii="標楷體" w:eastAsia="標楷體" w:hAnsi="標楷體"/>
        </w:rPr>
      </w:pPr>
      <w:r>
        <w:rPr>
          <w:rFonts w:ascii="標楷體" w:eastAsia="標楷體" w:hAnsi="標楷體"/>
        </w:rPr>
        <w:t>(1)N-乙醯麩胺酸合成酶缺乏症(以下稱NAGS 缺乏症)。</w:t>
      </w:r>
    </w:p>
    <w:p w14:paraId="422A0FEB" w14:textId="77777777" w:rsidR="00BD776B" w:rsidRDefault="00DF0C24">
      <w:pPr>
        <w:ind w:left="1078" w:hanging="372"/>
        <w:rPr>
          <w:rFonts w:ascii="標楷體" w:eastAsia="標楷體" w:hAnsi="標楷體"/>
        </w:rPr>
      </w:pPr>
      <w:r>
        <w:rPr>
          <w:rFonts w:ascii="標楷體" w:eastAsia="標楷體" w:hAnsi="標楷體"/>
        </w:rPr>
        <w:t>(2)異戊酸血症及甲基丙二酸血症及丙酸血症。</w:t>
      </w:r>
    </w:p>
    <w:p w14:paraId="62B17081" w14:textId="77777777" w:rsidR="00BD776B" w:rsidRDefault="00DF0C24">
      <w:pPr>
        <w:ind w:left="1078" w:hanging="372"/>
        <w:rPr>
          <w:rFonts w:ascii="標楷體" w:eastAsia="標楷體" w:hAnsi="標楷體"/>
        </w:rPr>
      </w:pPr>
      <w:r>
        <w:rPr>
          <w:rFonts w:ascii="標楷體" w:eastAsia="標楷體" w:hAnsi="標楷體"/>
        </w:rPr>
        <w:t>(3)初次發作之不明原因高血氨，懷疑是先天代謝異常者 (血氨值在新生兒高於150μmol/L，在其他患者高於100μmol/L)。（106/7/1）</w:t>
      </w:r>
    </w:p>
    <w:p w14:paraId="4C35F64E" w14:textId="77777777" w:rsidR="00BD776B" w:rsidRDefault="00DF0C24">
      <w:pPr>
        <w:ind w:left="782" w:hanging="216"/>
        <w:rPr>
          <w:rFonts w:ascii="標楷體" w:eastAsia="標楷體" w:hAnsi="標楷體"/>
        </w:rPr>
      </w:pPr>
      <w:r>
        <w:rPr>
          <w:rFonts w:ascii="標楷體" w:eastAsia="標楷體" w:hAnsi="標楷體"/>
        </w:rPr>
        <w:t>2.應由具小兒專科醫師證書且接受過小兒遺傳或小兒新陳代謝等次專科訓練之醫師處方使用。</w:t>
      </w:r>
    </w:p>
    <w:p w14:paraId="4D36E853" w14:textId="77777777" w:rsidR="00BD776B" w:rsidRDefault="00DF0C24">
      <w:pPr>
        <w:ind w:left="811" w:hanging="245"/>
        <w:rPr>
          <w:rFonts w:ascii="標楷體" w:eastAsia="標楷體" w:hAnsi="標楷體"/>
        </w:rPr>
      </w:pPr>
      <w:r>
        <w:rPr>
          <w:rFonts w:ascii="標楷體" w:eastAsia="標楷體" w:hAnsi="標楷體"/>
        </w:rPr>
        <w:t>3.使用時須符合下列規定：（106/7/1）</w:t>
      </w:r>
    </w:p>
    <w:p w14:paraId="4E7B97C3" w14:textId="77777777" w:rsidR="00BD776B" w:rsidRDefault="00DF0C24">
      <w:pPr>
        <w:ind w:left="1090" w:hanging="382"/>
        <w:rPr>
          <w:rFonts w:ascii="標楷體" w:eastAsia="標楷體" w:hAnsi="標楷體"/>
        </w:rPr>
      </w:pPr>
      <w:r>
        <w:rPr>
          <w:rFonts w:ascii="標楷體" w:eastAsia="標楷體" w:hAnsi="標楷體"/>
        </w:rPr>
        <w:t>(1)病歷應詳實記載病程、確診之檢驗資料及治療反應。</w:t>
      </w:r>
    </w:p>
    <w:p w14:paraId="7679E4FC" w14:textId="77777777" w:rsidR="00BD776B" w:rsidRDefault="00DF0C24">
      <w:pPr>
        <w:ind w:left="1090" w:hanging="382"/>
        <w:rPr>
          <w:rFonts w:ascii="標楷體" w:eastAsia="標楷體" w:hAnsi="標楷體"/>
        </w:rPr>
      </w:pPr>
      <w:r>
        <w:rPr>
          <w:rFonts w:ascii="標楷體" w:eastAsia="標楷體" w:hAnsi="標楷體"/>
        </w:rPr>
        <w:t>(2)異戊酸血症及甲基丙二酸血症及丙酸血症患者，每次以使用7天為限，一年不超過21天為限。</w:t>
      </w:r>
    </w:p>
    <w:p w14:paraId="3D528CE3" w14:textId="77777777" w:rsidR="00BD776B" w:rsidRDefault="00DF0C24">
      <w:pPr>
        <w:ind w:left="1090" w:hanging="382"/>
        <w:rPr>
          <w:rFonts w:ascii="標楷體" w:eastAsia="標楷體" w:hAnsi="標楷體"/>
        </w:rPr>
      </w:pPr>
      <w:r>
        <w:rPr>
          <w:rFonts w:ascii="標楷體" w:eastAsia="標楷體" w:hAnsi="標楷體"/>
        </w:rPr>
        <w:t>(3)初次發作之不明原因高血氨，懷疑是先天代謝異常者 (血氨值在新生兒高於150μmol/L，在其他患者高於100μmol/L)，以使用7天為限，一生使用以一次為限。</w:t>
      </w:r>
    </w:p>
    <w:p w14:paraId="22F3A553" w14:textId="77777777" w:rsidR="00BD776B" w:rsidRDefault="00DF0C24">
      <w:pPr>
        <w:ind w:left="1090" w:hanging="382"/>
        <w:rPr>
          <w:rFonts w:ascii="標楷體" w:eastAsia="標楷體" w:hAnsi="標楷體"/>
        </w:rPr>
      </w:pPr>
      <w:r>
        <w:rPr>
          <w:rFonts w:ascii="標楷體" w:eastAsia="標楷體" w:hAnsi="標楷體"/>
        </w:rPr>
        <w:t>(4)用藥後，若病情無法持續改善或疾病已惡化，應停止使用。</w:t>
      </w:r>
    </w:p>
    <w:p w14:paraId="781A3837" w14:textId="77777777" w:rsidR="00BD776B" w:rsidRDefault="00DF0C24">
      <w:pPr>
        <w:ind w:left="566"/>
        <w:rPr>
          <w:rFonts w:ascii="標楷體" w:eastAsia="標楷體" w:hAnsi="標楷體"/>
        </w:rPr>
      </w:pPr>
      <w:r>
        <w:rPr>
          <w:rFonts w:ascii="標楷體" w:eastAsia="標楷體" w:hAnsi="標楷體"/>
        </w:rPr>
        <w:t>※病情無法持續改善或疾病已惡化之定義：</w:t>
      </w:r>
    </w:p>
    <w:p w14:paraId="20EB98BC" w14:textId="77777777" w:rsidR="00BD776B" w:rsidRDefault="00DF0C24">
      <w:pPr>
        <w:ind w:left="783" w:hanging="1"/>
        <w:rPr>
          <w:rFonts w:ascii="標楷體" w:eastAsia="標楷體" w:hAnsi="標楷體"/>
        </w:rPr>
      </w:pPr>
      <w:r>
        <w:rPr>
          <w:rFonts w:ascii="標楷體" w:eastAsia="標楷體" w:hAnsi="標楷體"/>
        </w:rPr>
        <w:t>昏迷指數(GCS)持續低於8分(重度昏迷)，或新生兒患者之血氨值持續高於150μmol/L；嬰兒及兒童患者之血氨值持續高於100μmol/L 。</w:t>
      </w:r>
    </w:p>
    <w:p w14:paraId="094F166D" w14:textId="77777777" w:rsidR="00BD776B" w:rsidRDefault="00DF0C24">
      <w:pPr>
        <w:ind w:left="708" w:hanging="425"/>
        <w:rPr>
          <w:rFonts w:ascii="標楷體" w:eastAsia="標楷體" w:hAnsi="標楷體"/>
        </w:rPr>
      </w:pPr>
      <w:r>
        <w:rPr>
          <w:rFonts w:ascii="標楷體" w:eastAsia="標楷體" w:hAnsi="標楷體"/>
        </w:rPr>
        <w:t>3.3.15.Galsulfase (如Naglazyme)：(106/10/1、107/12/1)</w:t>
      </w:r>
    </w:p>
    <w:p w14:paraId="3A1C1AEE" w14:textId="77777777" w:rsidR="00BD776B" w:rsidRDefault="00DF0C24">
      <w:pPr>
        <w:ind w:left="811" w:hanging="245"/>
        <w:rPr>
          <w:rFonts w:ascii="標楷體" w:eastAsia="標楷體" w:hAnsi="標楷體"/>
        </w:rPr>
      </w:pPr>
      <w:r>
        <w:rPr>
          <w:rFonts w:ascii="標楷體" w:eastAsia="標楷體" w:hAnsi="標楷體"/>
        </w:rPr>
        <w:t>1.病患須符合以下診斷條件：須證明患者之週邊血液白血球或經培養之皮膚纖維芽細胞ARSB活性缺乏，或是患者ARSB基因經分子生物學檢驗確認有兩個分別來自父母雙方，已知或必然會引起黏多醣症第六型之突變。</w:t>
      </w:r>
    </w:p>
    <w:p w14:paraId="6341F34D" w14:textId="77777777" w:rsidR="00BD776B" w:rsidRDefault="00DF0C24">
      <w:pPr>
        <w:ind w:left="811" w:hanging="245"/>
        <w:rPr>
          <w:rFonts w:ascii="標楷體" w:eastAsia="標楷體" w:hAnsi="標楷體"/>
        </w:rPr>
      </w:pPr>
      <w:r>
        <w:rPr>
          <w:rFonts w:ascii="標楷體" w:eastAsia="標楷體" w:hAnsi="標楷體"/>
        </w:rPr>
        <w:t>2.限兒科專科經醫學遺傳學次專科訓練取得證書之醫師使用。</w:t>
      </w:r>
    </w:p>
    <w:p w14:paraId="741FBED1" w14:textId="77777777" w:rsidR="00BD776B" w:rsidRDefault="00DF0C24">
      <w:pPr>
        <w:ind w:left="811" w:hanging="245"/>
        <w:rPr>
          <w:rFonts w:ascii="標楷體" w:eastAsia="標楷體" w:hAnsi="標楷體"/>
        </w:rPr>
      </w:pPr>
      <w:r>
        <w:rPr>
          <w:rFonts w:ascii="標楷體" w:eastAsia="標楷體" w:hAnsi="標楷體"/>
        </w:rPr>
        <w:t>3.排除使用於：</w:t>
      </w:r>
    </w:p>
    <w:p w14:paraId="00E83CB5" w14:textId="77777777" w:rsidR="00BD776B" w:rsidRDefault="00DF0C24">
      <w:pPr>
        <w:ind w:left="1078" w:hanging="372"/>
        <w:rPr>
          <w:rFonts w:ascii="標楷體" w:eastAsia="標楷體" w:hAnsi="標楷體"/>
        </w:rPr>
      </w:pPr>
      <w:r>
        <w:rPr>
          <w:rFonts w:ascii="標楷體" w:eastAsia="標楷體" w:hAnsi="標楷體"/>
        </w:rPr>
        <w:t>(1)患者若未給予治療，並不會導致健康情況之惡化時。</w:t>
      </w:r>
    </w:p>
    <w:p w14:paraId="686DAB11" w14:textId="77777777" w:rsidR="00BD776B" w:rsidRDefault="00DF0C24">
      <w:pPr>
        <w:ind w:left="1078" w:hanging="372"/>
        <w:rPr>
          <w:rFonts w:ascii="標楷體" w:eastAsia="標楷體" w:hAnsi="標楷體"/>
        </w:rPr>
      </w:pPr>
      <w:r>
        <w:rPr>
          <w:rFonts w:ascii="標楷體" w:eastAsia="標楷體" w:hAnsi="標楷體"/>
        </w:rPr>
        <w:t>(2)重型病患：完全臥床且無行動能力，或是無法自行呼吸且完全仰賴呼吸器維生者。</w:t>
      </w:r>
    </w:p>
    <w:p w14:paraId="524897AC" w14:textId="77777777" w:rsidR="00BD776B" w:rsidRDefault="00DF0C24">
      <w:pPr>
        <w:ind w:left="1078" w:hanging="372"/>
        <w:rPr>
          <w:rFonts w:ascii="標楷體" w:eastAsia="標楷體" w:hAnsi="標楷體"/>
        </w:rPr>
      </w:pPr>
      <w:r>
        <w:rPr>
          <w:rFonts w:ascii="標楷體" w:eastAsia="標楷體" w:hAnsi="標楷體"/>
        </w:rPr>
        <w:t>(3)早期診斷帶有已知嚴重突變點的病患, 但無明顯臨床症狀者。</w:t>
      </w:r>
    </w:p>
    <w:p w14:paraId="45EF8763" w14:textId="77777777" w:rsidR="00BD776B" w:rsidRDefault="00DF0C24">
      <w:pPr>
        <w:ind w:left="811" w:hanging="245"/>
        <w:rPr>
          <w:rFonts w:ascii="標楷體" w:eastAsia="標楷體" w:hAnsi="標楷體"/>
        </w:rPr>
      </w:pPr>
      <w:r>
        <w:rPr>
          <w:rFonts w:ascii="標楷體" w:eastAsia="標楷體" w:hAnsi="標楷體"/>
        </w:rPr>
        <w:t>4.標準劑量為每週經靜脈注射給予galsulfase 1 mg/Kg。</w:t>
      </w:r>
    </w:p>
    <w:p w14:paraId="1129BC02" w14:textId="77777777" w:rsidR="00BD776B" w:rsidRDefault="00DF0C24">
      <w:pPr>
        <w:ind w:left="811" w:hanging="245"/>
        <w:rPr>
          <w:rFonts w:ascii="標楷體" w:eastAsia="標楷體" w:hAnsi="標楷體"/>
        </w:rPr>
      </w:pPr>
      <w:r>
        <w:rPr>
          <w:rFonts w:ascii="標楷體" w:eastAsia="標楷體" w:hAnsi="標楷體"/>
        </w:rPr>
        <w:lastRenderedPageBreak/>
        <w:t>5.黏多醣症第六型對於器官之傷害多屬不可逆性，治療前應與患者及家屬充分溝通告知下列事項，並請其簽名確認已被告知，留存病歷備查：</w:t>
      </w:r>
    </w:p>
    <w:p w14:paraId="091E4071" w14:textId="77777777" w:rsidR="00BD776B" w:rsidRDefault="00DF0C24">
      <w:pPr>
        <w:ind w:left="1078" w:hanging="372"/>
        <w:rPr>
          <w:rFonts w:ascii="標楷體" w:eastAsia="標楷體" w:hAnsi="標楷體"/>
        </w:rPr>
      </w:pPr>
      <w:r>
        <w:rPr>
          <w:rFonts w:ascii="標楷體" w:eastAsia="標楷體" w:hAnsi="標楷體"/>
        </w:rPr>
        <w:t>(1)確定其了解治療的預期效果。</w:t>
      </w:r>
    </w:p>
    <w:p w14:paraId="689AECDD" w14:textId="77777777" w:rsidR="00BD776B" w:rsidRDefault="00DF0C24">
      <w:pPr>
        <w:ind w:left="1078" w:hanging="372"/>
        <w:rPr>
          <w:rFonts w:ascii="標楷體" w:eastAsia="標楷體" w:hAnsi="標楷體"/>
        </w:rPr>
      </w:pPr>
      <w:r>
        <w:rPr>
          <w:rFonts w:ascii="標楷體" w:eastAsia="標楷體" w:hAnsi="標楷體"/>
        </w:rPr>
        <w:t>(2)患者有義務接受定期追蹤評估。</w:t>
      </w:r>
    </w:p>
    <w:p w14:paraId="1A7DD4DF" w14:textId="77777777" w:rsidR="00BD776B" w:rsidRDefault="00DF0C24">
      <w:pPr>
        <w:ind w:left="811" w:hanging="245"/>
        <w:rPr>
          <w:rFonts w:ascii="標楷體" w:eastAsia="標楷體" w:hAnsi="標楷體"/>
        </w:rPr>
      </w:pPr>
      <w:r>
        <w:rPr>
          <w:rFonts w:ascii="標楷體" w:eastAsia="標楷體" w:hAnsi="標楷體"/>
        </w:rPr>
        <w:t>6.應定期追蹤評估治療效果及下列事項：</w:t>
      </w:r>
    </w:p>
    <w:p w14:paraId="685C28C8" w14:textId="77777777" w:rsidR="00BD776B" w:rsidRDefault="00DF0C24">
      <w:pPr>
        <w:ind w:left="1078" w:hanging="372"/>
        <w:rPr>
          <w:rFonts w:ascii="標楷體" w:eastAsia="標楷體" w:hAnsi="標楷體"/>
        </w:rPr>
      </w:pPr>
      <w:r>
        <w:rPr>
          <w:rFonts w:ascii="標楷體" w:eastAsia="標楷體" w:hAnsi="標楷體"/>
        </w:rPr>
        <w:t>(1)至少每半年追蹤一次：</w:t>
      </w:r>
    </w:p>
    <w:p w14:paraId="32955C38" w14:textId="77777777" w:rsidR="00BD776B" w:rsidRDefault="00DF0C24">
      <w:pPr>
        <w:ind w:left="1414" w:hanging="336"/>
        <w:rPr>
          <w:rFonts w:ascii="標楷體" w:eastAsia="標楷體" w:hAnsi="標楷體"/>
        </w:rPr>
      </w:pPr>
      <w:r>
        <w:rPr>
          <w:rFonts w:ascii="標楷體" w:eastAsia="標楷體" w:hAnsi="標楷體"/>
        </w:rPr>
        <w:t>I.身高體重；</w:t>
      </w:r>
    </w:p>
    <w:p w14:paraId="26FFA8D6" w14:textId="77777777" w:rsidR="00BD776B" w:rsidRDefault="00DF0C24">
      <w:pPr>
        <w:ind w:left="1414" w:hanging="336"/>
        <w:rPr>
          <w:rFonts w:ascii="標楷體" w:eastAsia="標楷體" w:hAnsi="標楷體"/>
        </w:rPr>
      </w:pPr>
      <w:r>
        <w:rPr>
          <w:rFonts w:ascii="標楷體" w:eastAsia="標楷體" w:hAnsi="標楷體"/>
        </w:rPr>
        <w:t>II.尿液黏多醣量；</w:t>
      </w:r>
    </w:p>
    <w:p w14:paraId="38FCE113" w14:textId="77777777" w:rsidR="00BD776B" w:rsidRDefault="00DF0C24">
      <w:pPr>
        <w:ind w:left="1078" w:hanging="372"/>
        <w:rPr>
          <w:rFonts w:ascii="標楷體" w:eastAsia="標楷體" w:hAnsi="標楷體"/>
        </w:rPr>
      </w:pPr>
      <w:r>
        <w:rPr>
          <w:rFonts w:ascii="標楷體" w:eastAsia="標楷體" w:hAnsi="標楷體"/>
        </w:rPr>
        <w:t>(2)至少每一年追蹤一次：</w:t>
      </w:r>
    </w:p>
    <w:p w14:paraId="58536CBE" w14:textId="77777777" w:rsidR="00BD776B" w:rsidRDefault="00DF0C24">
      <w:pPr>
        <w:ind w:left="1414" w:hanging="336"/>
        <w:rPr>
          <w:rFonts w:ascii="標楷體" w:eastAsia="標楷體" w:hAnsi="標楷體"/>
        </w:rPr>
      </w:pPr>
      <w:r>
        <w:rPr>
          <w:rFonts w:ascii="標楷體" w:eastAsia="標楷體" w:hAnsi="標楷體"/>
        </w:rPr>
        <w:t>I.腹部超音波、肝臟大小、脾臟大小；</w:t>
      </w:r>
    </w:p>
    <w:p w14:paraId="137FA2DF" w14:textId="77777777" w:rsidR="00BD776B" w:rsidRDefault="00DF0C24">
      <w:pPr>
        <w:ind w:left="1414" w:hanging="336"/>
        <w:rPr>
          <w:rFonts w:ascii="標楷體" w:eastAsia="標楷體" w:hAnsi="標楷體"/>
        </w:rPr>
      </w:pPr>
      <w:r>
        <w:rPr>
          <w:rFonts w:ascii="標楷體" w:eastAsia="標楷體" w:hAnsi="標楷體"/>
        </w:rPr>
        <w:t>II. 心電圖；</w:t>
      </w:r>
    </w:p>
    <w:p w14:paraId="2298036E" w14:textId="77777777" w:rsidR="00BD776B" w:rsidRDefault="00DF0C24">
      <w:pPr>
        <w:ind w:left="1414" w:hanging="336"/>
        <w:rPr>
          <w:rFonts w:ascii="標楷體" w:eastAsia="標楷體" w:hAnsi="標楷體"/>
        </w:rPr>
      </w:pPr>
      <w:r>
        <w:rPr>
          <w:rFonts w:ascii="標楷體" w:eastAsia="標楷體" w:hAnsi="標楷體"/>
        </w:rPr>
        <w:t>III.心臟超音波；</w:t>
      </w:r>
    </w:p>
    <w:p w14:paraId="3CC85233" w14:textId="77777777" w:rsidR="00BD776B" w:rsidRDefault="00DF0C24">
      <w:pPr>
        <w:ind w:left="1414" w:hanging="336"/>
        <w:rPr>
          <w:rFonts w:ascii="標楷體" w:eastAsia="標楷體" w:hAnsi="標楷體"/>
        </w:rPr>
      </w:pPr>
      <w:r>
        <w:rPr>
          <w:rFonts w:ascii="標楷體" w:eastAsia="標楷體" w:hAnsi="標楷體"/>
        </w:rPr>
        <w:t>IV.六分鐘步行測驗（6-minute walk test）或於5歲以下幼童以DDST （Denver Developmental Screening Test）粗動作及精細動作（Gross Motor and Fine Motor）檢測；(107/12/1)；</w:t>
      </w:r>
    </w:p>
    <w:p w14:paraId="6C06540E" w14:textId="77777777" w:rsidR="00BD776B" w:rsidRDefault="00DF0C24">
      <w:pPr>
        <w:ind w:left="1414" w:hanging="336"/>
        <w:rPr>
          <w:rFonts w:ascii="標楷體" w:eastAsia="標楷體" w:hAnsi="標楷體"/>
        </w:rPr>
      </w:pPr>
      <w:r>
        <w:rPr>
          <w:rFonts w:ascii="標楷體" w:eastAsia="標楷體" w:hAnsi="標楷體"/>
        </w:rPr>
        <w:t>V.肺功能；</w:t>
      </w:r>
    </w:p>
    <w:p w14:paraId="49D37BA5" w14:textId="77777777" w:rsidR="00BD776B" w:rsidRDefault="00DF0C24">
      <w:pPr>
        <w:ind w:left="811" w:hanging="245"/>
        <w:rPr>
          <w:rFonts w:ascii="標楷體" w:eastAsia="標楷體" w:hAnsi="標楷體"/>
        </w:rPr>
      </w:pPr>
      <w:r>
        <w:rPr>
          <w:rFonts w:ascii="標楷體" w:eastAsia="標楷體" w:hAnsi="標楷體"/>
        </w:rPr>
        <w:t>7.需經事前審查核准後使用，每次申請之療程以1年為限。重新申請時，若有下列任一情況，則不再給予galsulfase治療：(107/12/1)</w:t>
      </w:r>
    </w:p>
    <w:p w14:paraId="513B4BC5" w14:textId="77777777" w:rsidR="00BD776B" w:rsidRDefault="00DF0C24">
      <w:pPr>
        <w:ind w:left="1078" w:hanging="372"/>
        <w:rPr>
          <w:rFonts w:ascii="標楷體" w:eastAsia="標楷體" w:hAnsi="標楷體"/>
        </w:rPr>
      </w:pPr>
      <w:r>
        <w:rPr>
          <w:rFonts w:ascii="標楷體" w:eastAsia="標楷體" w:hAnsi="標楷體"/>
        </w:rPr>
        <w:t>(1)尿中葡萄胺聚醣與肌酸酐比值：於接受治療的第一年之後評估，較前一年有50%以上的增加；第二年之後評估，較之前一年有100%以上的增加。(107/12/1)</w:t>
      </w:r>
    </w:p>
    <w:p w14:paraId="6AD6B4CF" w14:textId="77777777" w:rsidR="00BD776B" w:rsidRDefault="00DF0C24">
      <w:pPr>
        <w:ind w:left="1078" w:hanging="372"/>
        <w:rPr>
          <w:rFonts w:ascii="標楷體" w:eastAsia="標楷體" w:hAnsi="標楷體"/>
        </w:rPr>
      </w:pPr>
      <w:r>
        <w:rPr>
          <w:rFonts w:ascii="標楷體" w:eastAsia="標楷體" w:hAnsi="標楷體"/>
        </w:rPr>
        <w:t>(2)六分鐘步行測驗：較之前一年退步50%以上或連續2年有退步現象；5 歲以下幼童以DDST粗動作及精細動作檢測，發展進程年齡與實際年齡商數低於60%，或比初次檢測時之發展進程年齡退步。(107/12/1)</w:t>
      </w:r>
    </w:p>
    <w:p w14:paraId="49E346C9" w14:textId="77777777" w:rsidR="00BD776B" w:rsidRDefault="00DF0C24">
      <w:pPr>
        <w:ind w:left="1078" w:hanging="372"/>
        <w:rPr>
          <w:rFonts w:ascii="標楷體" w:eastAsia="標楷體" w:hAnsi="標楷體"/>
        </w:rPr>
      </w:pPr>
      <w:r>
        <w:rPr>
          <w:rFonts w:ascii="標楷體" w:eastAsia="標楷體" w:hAnsi="標楷體"/>
        </w:rPr>
        <w:t>(3)呼吸功能檢查：在未供給任何氧氣治療下，血液中氧氣飽和度在2小時內無法持續維持1小時以上≧90%。(107/12/1)</w:t>
      </w:r>
    </w:p>
    <w:p w14:paraId="2F1F61EA" w14:textId="77777777" w:rsidR="00BD776B" w:rsidRDefault="00DF0C24">
      <w:pPr>
        <w:ind w:left="811" w:hanging="245"/>
        <w:rPr>
          <w:rFonts w:ascii="標楷體" w:eastAsia="標楷體" w:hAnsi="標楷體"/>
        </w:rPr>
      </w:pPr>
      <w:r>
        <w:rPr>
          <w:rFonts w:ascii="標楷體" w:eastAsia="標楷體" w:hAnsi="標楷體"/>
        </w:rPr>
        <w:t xml:space="preserve">8.須立即停止galsulfase治療的情形： </w:t>
      </w:r>
    </w:p>
    <w:p w14:paraId="61FC2021" w14:textId="77777777" w:rsidR="00BD776B" w:rsidRDefault="00DF0C24">
      <w:pPr>
        <w:ind w:left="1078" w:hanging="372"/>
        <w:rPr>
          <w:rFonts w:ascii="標楷體" w:eastAsia="標楷體" w:hAnsi="標楷體"/>
        </w:rPr>
      </w:pPr>
      <w:r>
        <w:rPr>
          <w:rFonts w:ascii="標楷體" w:eastAsia="標楷體" w:hAnsi="標楷體"/>
        </w:rPr>
        <w:t>(1)有證據顯示病人開始呈現明顯的中樞神經系統退化之臨床表徵。</w:t>
      </w:r>
    </w:p>
    <w:p w14:paraId="20696ED4" w14:textId="77777777" w:rsidR="00BD776B" w:rsidRDefault="00DF0C24">
      <w:pPr>
        <w:ind w:left="1078" w:hanging="372"/>
        <w:rPr>
          <w:rFonts w:ascii="標楷體" w:eastAsia="標楷體" w:hAnsi="標楷體"/>
        </w:rPr>
      </w:pPr>
      <w:r>
        <w:rPr>
          <w:rFonts w:ascii="標楷體" w:eastAsia="標楷體" w:hAnsi="標楷體"/>
        </w:rPr>
        <w:t>(2)病人在接受治療時發生其它致命的疾病，這表示病人無法獲得galsulfase的療效。</w:t>
      </w:r>
    </w:p>
    <w:p w14:paraId="07CD7085" w14:textId="77777777" w:rsidR="00BD776B" w:rsidRDefault="00DF0C24">
      <w:pPr>
        <w:ind w:left="1078" w:hanging="372"/>
        <w:rPr>
          <w:rFonts w:ascii="標楷體" w:eastAsia="標楷體" w:hAnsi="標楷體"/>
        </w:rPr>
      </w:pPr>
      <w:r>
        <w:rPr>
          <w:rFonts w:ascii="標楷體" w:eastAsia="標楷體" w:hAnsi="標楷體"/>
        </w:rPr>
        <w:t>(3)病人發生嚴重不良反應。</w:t>
      </w:r>
    </w:p>
    <w:p w14:paraId="6F6245F3" w14:textId="77777777" w:rsidR="00BD776B" w:rsidRDefault="00DF0C24">
      <w:pPr>
        <w:ind w:left="1078" w:hanging="372"/>
        <w:rPr>
          <w:rFonts w:ascii="標楷體" w:eastAsia="標楷體" w:hAnsi="標楷體"/>
        </w:rPr>
      </w:pPr>
      <w:r>
        <w:rPr>
          <w:rFonts w:ascii="標楷體" w:eastAsia="標楷體" w:hAnsi="標楷體"/>
        </w:rPr>
        <w:t>(4)病人無法配合最適療程所需的注射規定或無法配合療效的評估。</w:t>
      </w:r>
    </w:p>
    <w:p w14:paraId="28227EDA" w14:textId="77777777" w:rsidR="00BD776B" w:rsidRDefault="00DF0C24">
      <w:pPr>
        <w:ind w:left="531" w:hanging="245"/>
        <w:rPr>
          <w:rFonts w:ascii="標楷體" w:eastAsia="標楷體" w:hAnsi="標楷體"/>
        </w:rPr>
      </w:pPr>
      <w:bookmarkStart w:id="5" w:name="_Hlk101773059"/>
      <w:r>
        <w:rPr>
          <w:rFonts w:ascii="標楷體" w:eastAsia="標楷體" w:hAnsi="標楷體"/>
        </w:rPr>
        <w:t>3.3.16.(刪除)(107/3/1、107/9/1、108/5/1、111/5/1)。</w:t>
      </w:r>
      <w:bookmarkEnd w:id="5"/>
    </w:p>
    <w:p w14:paraId="4E694989" w14:textId="77777777" w:rsidR="00BD776B" w:rsidRDefault="00DF0C24">
      <w:pPr>
        <w:ind w:left="708" w:hanging="425"/>
        <w:rPr>
          <w:rFonts w:ascii="標楷體" w:eastAsia="標楷體" w:hAnsi="標楷體"/>
        </w:rPr>
      </w:pPr>
      <w:r>
        <w:rPr>
          <w:rFonts w:ascii="標楷體" w:eastAsia="標楷體" w:hAnsi="標楷體"/>
        </w:rPr>
        <w:t>3.3.17. Elosulfase alfa (如Vimizim) Elosulfase alfa (如Vimizim) (107/4/1、112/7/1)</w:t>
      </w:r>
    </w:p>
    <w:p w14:paraId="3836EC87" w14:textId="77777777" w:rsidR="00BD776B" w:rsidRDefault="00DF0C24">
      <w:pPr>
        <w:ind w:left="948" w:hanging="425"/>
        <w:rPr>
          <w:rFonts w:ascii="標楷體" w:eastAsia="標楷體" w:hAnsi="標楷體"/>
        </w:rPr>
      </w:pPr>
      <w:r>
        <w:rPr>
          <w:rFonts w:ascii="標楷體" w:eastAsia="標楷體" w:hAnsi="標楷體"/>
        </w:rPr>
        <w:t>1.診斷：除了臨床表徵及尿液葡萄醣胺聚醣定性、定量檢驗的佐證外，須證明患者之週邊血液白血球或經培養之皮膚纖維芽細胞GALNS 活性缺乏，或是患者GALNS 基因經分子生物學檢驗確認有兩個分別來自父母雙方，已知或必然會引起黏多醣症第IVA 型之突變。</w:t>
      </w:r>
    </w:p>
    <w:p w14:paraId="2E1CD621" w14:textId="77777777" w:rsidR="00BD776B" w:rsidRDefault="00DF0C24">
      <w:pPr>
        <w:ind w:left="948" w:hanging="425"/>
        <w:rPr>
          <w:rFonts w:ascii="標楷體" w:eastAsia="標楷體" w:hAnsi="標楷體"/>
        </w:rPr>
      </w:pPr>
      <w:r>
        <w:rPr>
          <w:rFonts w:ascii="標楷體" w:eastAsia="標楷體" w:hAnsi="標楷體"/>
        </w:rPr>
        <w:t>2.限小兒遺傳專科醫師使用。</w:t>
      </w:r>
    </w:p>
    <w:p w14:paraId="234F76B9" w14:textId="77777777" w:rsidR="00BD776B" w:rsidRDefault="00DF0C24">
      <w:pPr>
        <w:ind w:left="948" w:hanging="425"/>
        <w:rPr>
          <w:rFonts w:ascii="標楷體" w:eastAsia="標楷體" w:hAnsi="標楷體"/>
        </w:rPr>
      </w:pPr>
      <w:r>
        <w:rPr>
          <w:rFonts w:ascii="標楷體" w:eastAsia="標楷體" w:hAnsi="標楷體"/>
        </w:rPr>
        <w:t>3.排除使用於：</w:t>
      </w:r>
    </w:p>
    <w:p w14:paraId="3A8A5CAB" w14:textId="77777777" w:rsidR="00BD776B" w:rsidRDefault="00DF0C24">
      <w:pPr>
        <w:ind w:left="1188" w:hanging="425"/>
        <w:rPr>
          <w:rFonts w:ascii="標楷體" w:eastAsia="標楷體" w:hAnsi="標楷體"/>
        </w:rPr>
      </w:pPr>
      <w:r>
        <w:rPr>
          <w:rFonts w:ascii="標楷體" w:eastAsia="標楷體" w:hAnsi="標楷體"/>
        </w:rPr>
        <w:t>(1)患者合併有其他嚴重疾病，無法從酵素治療得到長期效益。</w:t>
      </w:r>
    </w:p>
    <w:p w14:paraId="6911CE35" w14:textId="77777777" w:rsidR="00BD776B" w:rsidRDefault="00DF0C24">
      <w:pPr>
        <w:ind w:left="1188" w:hanging="425"/>
        <w:rPr>
          <w:rFonts w:ascii="標楷體" w:eastAsia="標楷體" w:hAnsi="標楷體"/>
        </w:rPr>
      </w:pPr>
      <w:r>
        <w:rPr>
          <w:rFonts w:ascii="標楷體" w:eastAsia="標楷體" w:hAnsi="標楷體"/>
        </w:rPr>
        <w:lastRenderedPageBreak/>
        <w:t>(2)重型病患：完全臥床且無行動能力，或是無法自行呼吸且完全仰賴呼吸器維生者。</w:t>
      </w:r>
    </w:p>
    <w:p w14:paraId="6B20A908" w14:textId="77777777" w:rsidR="00BD776B" w:rsidRDefault="00DF0C24">
      <w:pPr>
        <w:ind w:left="1188" w:hanging="425"/>
        <w:rPr>
          <w:rFonts w:ascii="標楷體" w:eastAsia="標楷體" w:hAnsi="標楷體"/>
        </w:rPr>
      </w:pPr>
      <w:r>
        <w:rPr>
          <w:rFonts w:ascii="標楷體" w:eastAsia="標楷體" w:hAnsi="標楷體"/>
        </w:rPr>
        <w:t>(3)病患不願意配合追蹤評估。</w:t>
      </w:r>
    </w:p>
    <w:p w14:paraId="5F0199AE" w14:textId="77777777" w:rsidR="00BD776B" w:rsidRDefault="00DF0C24">
      <w:pPr>
        <w:ind w:left="948" w:hanging="425"/>
        <w:rPr>
          <w:rFonts w:ascii="標楷體" w:eastAsia="標楷體" w:hAnsi="標楷體"/>
        </w:rPr>
      </w:pPr>
      <w:r>
        <w:rPr>
          <w:rFonts w:ascii="標楷體" w:eastAsia="標楷體" w:hAnsi="標楷體"/>
        </w:rPr>
        <w:t>4.黏多醣症第四型患者之傷害多屬不可逆性，治療前應與患者及家屬充分溝通告知下列事項，並請其簽名確認已被告知，留存病歷備查：</w:t>
      </w:r>
    </w:p>
    <w:p w14:paraId="5B719920" w14:textId="77777777" w:rsidR="00BD776B" w:rsidRDefault="00DF0C24">
      <w:pPr>
        <w:ind w:left="1188" w:hanging="425"/>
        <w:rPr>
          <w:rFonts w:ascii="標楷體" w:eastAsia="標楷體" w:hAnsi="標楷體"/>
        </w:rPr>
      </w:pPr>
      <w:r>
        <w:rPr>
          <w:rFonts w:ascii="標楷體" w:eastAsia="標楷體" w:hAnsi="標楷體"/>
        </w:rPr>
        <w:t>(1)確定其了解治療的預期效果。</w:t>
      </w:r>
    </w:p>
    <w:p w14:paraId="300C5690" w14:textId="77777777" w:rsidR="00BD776B" w:rsidRDefault="00DF0C24">
      <w:pPr>
        <w:ind w:left="1188" w:hanging="425"/>
        <w:rPr>
          <w:rFonts w:ascii="標楷體" w:eastAsia="標楷體" w:hAnsi="標楷體"/>
        </w:rPr>
      </w:pPr>
      <w:r>
        <w:rPr>
          <w:rFonts w:ascii="標楷體" w:eastAsia="標楷體" w:hAnsi="標楷體"/>
        </w:rPr>
        <w:t>(2)患者有義務接受定期追蹤評估。</w:t>
      </w:r>
    </w:p>
    <w:p w14:paraId="6461A867" w14:textId="77777777" w:rsidR="00BD776B" w:rsidRDefault="00DF0C24">
      <w:pPr>
        <w:ind w:left="948" w:hanging="425"/>
        <w:rPr>
          <w:rFonts w:ascii="標楷體" w:eastAsia="標楷體" w:hAnsi="標楷體"/>
        </w:rPr>
      </w:pPr>
      <w:r>
        <w:rPr>
          <w:rFonts w:ascii="標楷體" w:eastAsia="標楷體" w:hAnsi="標楷體"/>
        </w:rPr>
        <w:t>5.需經事前審查核准後使用，每次申請之療程以1年為限。重新申請時，依下列病患疾病進程分類，若有評估項目中任兩項未達標準，則不予同意使用：</w:t>
      </w:r>
    </w:p>
    <w:p w14:paraId="11866C4F" w14:textId="77777777" w:rsidR="00BD776B" w:rsidRDefault="00DF0C24">
      <w:pPr>
        <w:ind w:left="1188" w:hanging="425"/>
        <w:rPr>
          <w:rFonts w:ascii="標楷體" w:eastAsia="標楷體" w:hAnsi="標楷體"/>
        </w:rPr>
      </w:pPr>
      <w:r>
        <w:rPr>
          <w:rFonts w:ascii="標楷體" w:eastAsia="標楷體" w:hAnsi="標楷體"/>
        </w:rPr>
        <w:t>(1)5歲以上至少能以助行器行走的患者，針對下列Ⅰ.~ V.項。(112/7/1)</w:t>
      </w:r>
    </w:p>
    <w:p w14:paraId="6CF5D3F6" w14:textId="77777777" w:rsidR="00BD776B" w:rsidRDefault="00DF0C24">
      <w:pPr>
        <w:ind w:left="1188" w:hanging="425"/>
        <w:rPr>
          <w:rFonts w:ascii="標楷體" w:eastAsia="標楷體" w:hAnsi="標楷體"/>
        </w:rPr>
      </w:pPr>
      <w:r>
        <w:rPr>
          <w:rFonts w:ascii="標楷體" w:eastAsia="標楷體" w:hAnsi="標楷體"/>
        </w:rPr>
        <w:t>(2)5歲以上無法行走的患者，針對下列II.~V.項。(112/7/1)</w:t>
      </w:r>
    </w:p>
    <w:p w14:paraId="2DD1663A" w14:textId="77777777" w:rsidR="00BD776B" w:rsidRDefault="00DF0C24">
      <w:pPr>
        <w:ind w:left="1188" w:hanging="425"/>
        <w:rPr>
          <w:rFonts w:ascii="標楷體" w:eastAsia="標楷體" w:hAnsi="標楷體"/>
        </w:rPr>
      </w:pPr>
      <w:r>
        <w:rPr>
          <w:rFonts w:ascii="標楷體" w:eastAsia="標楷體" w:hAnsi="標楷體"/>
        </w:rPr>
        <w:t>(3)未滿5歲的患者，針對下列III. ~V.項。(112/7/1)</w:t>
      </w:r>
    </w:p>
    <w:p w14:paraId="554B7B3D" w14:textId="77777777" w:rsidR="00BD776B" w:rsidRDefault="00DF0C24">
      <w:pPr>
        <w:ind w:left="1428" w:hanging="425"/>
        <w:rPr>
          <w:rFonts w:ascii="標楷體" w:eastAsia="標楷體" w:hAnsi="標楷體"/>
        </w:rPr>
      </w:pPr>
      <w:r>
        <w:rPr>
          <w:rFonts w:ascii="標楷體" w:eastAsia="標楷體" w:hAnsi="標楷體"/>
        </w:rPr>
        <w:t>Ⅰ.6分鐘步行測驗：相較於治療前，至少有10%的改善，或在達療效高原期後維持10%的改善。</w:t>
      </w:r>
    </w:p>
    <w:p w14:paraId="4BC3A787" w14:textId="77777777" w:rsidR="00BD776B" w:rsidRDefault="00DF0C24">
      <w:pPr>
        <w:ind w:left="1428" w:hanging="425"/>
        <w:rPr>
          <w:rFonts w:ascii="標楷體" w:eastAsia="標楷體" w:hAnsi="標楷體"/>
        </w:rPr>
      </w:pPr>
      <w:r>
        <w:rPr>
          <w:rFonts w:ascii="標楷體" w:eastAsia="標楷體" w:hAnsi="標楷體"/>
        </w:rPr>
        <w:t>II.呼吸功能檢查：FVC或FEV-1相較於治療前至少有5%的改善，或在達療效高原期後維持5%的改善。</w:t>
      </w:r>
    </w:p>
    <w:p w14:paraId="2BFED41D" w14:textId="77777777" w:rsidR="00BD776B" w:rsidRDefault="00DF0C24">
      <w:pPr>
        <w:ind w:left="1428" w:hanging="425"/>
        <w:rPr>
          <w:rFonts w:ascii="標楷體" w:eastAsia="標楷體" w:hAnsi="標楷體"/>
        </w:rPr>
      </w:pPr>
      <w:r>
        <w:rPr>
          <w:rFonts w:ascii="標楷體" w:eastAsia="標楷體" w:hAnsi="標楷體"/>
        </w:rPr>
        <w:t>III.尿液中keratan sulfate (Uks)相較於治療前降低大於20%。</w:t>
      </w:r>
    </w:p>
    <w:p w14:paraId="6A1C2FDA" w14:textId="77777777" w:rsidR="00BD776B" w:rsidRDefault="00DF0C24">
      <w:pPr>
        <w:ind w:left="1428" w:hanging="425"/>
        <w:rPr>
          <w:rFonts w:ascii="標楷體" w:eastAsia="標楷體" w:hAnsi="標楷體"/>
        </w:rPr>
      </w:pPr>
      <w:r>
        <w:rPr>
          <w:rFonts w:ascii="標楷體" w:eastAsia="標楷體" w:hAnsi="標楷體"/>
        </w:rPr>
        <w:t>IV.呼吸功能檢查：血液中氧氣飽和度(SpO2)在2小時內需持續維持1小時以上≧90%。</w:t>
      </w:r>
    </w:p>
    <w:p w14:paraId="5664BDCC" w14:textId="77777777" w:rsidR="00BD776B" w:rsidRDefault="00DF0C24">
      <w:pPr>
        <w:ind w:left="1428" w:hanging="425"/>
        <w:rPr>
          <w:rFonts w:ascii="標楷體" w:eastAsia="標楷體" w:hAnsi="標楷體"/>
        </w:rPr>
      </w:pPr>
      <w:r>
        <w:rPr>
          <w:rFonts w:ascii="標楷體" w:eastAsia="標楷體" w:hAnsi="標楷體"/>
        </w:rPr>
        <w:t>V. 以心臟超音波檢測，Ejection Fraction維持在正常範圍內(Ejection Fraction≧50%)。(112/7/1)</w:t>
      </w:r>
    </w:p>
    <w:p w14:paraId="71D221C2" w14:textId="77777777" w:rsidR="00BD776B" w:rsidRDefault="00DF0C24">
      <w:pPr>
        <w:ind w:left="948" w:hanging="425"/>
        <w:rPr>
          <w:rFonts w:ascii="標楷體" w:eastAsia="標楷體" w:hAnsi="標楷體"/>
        </w:rPr>
      </w:pPr>
      <w:r>
        <w:rPr>
          <w:rFonts w:ascii="標楷體" w:eastAsia="標楷體" w:hAnsi="標楷體"/>
        </w:rPr>
        <w:t>6.須立即停止elosulfase alfa治療的情形：</w:t>
      </w:r>
    </w:p>
    <w:p w14:paraId="256609D6" w14:textId="77777777" w:rsidR="00BD776B" w:rsidRDefault="00DF0C24">
      <w:pPr>
        <w:ind w:left="1188" w:hanging="425"/>
        <w:rPr>
          <w:rFonts w:ascii="標楷體" w:eastAsia="標楷體" w:hAnsi="標楷體"/>
        </w:rPr>
      </w:pPr>
      <w:r>
        <w:rPr>
          <w:rFonts w:ascii="標楷體" w:eastAsia="標楷體" w:hAnsi="標楷體"/>
        </w:rPr>
        <w:t>(1)病人在接受治療時發生其它致命的疾病，這表示病人無法獲得elosulfase alfa的療效。</w:t>
      </w:r>
    </w:p>
    <w:p w14:paraId="5694220B" w14:textId="77777777" w:rsidR="00BD776B" w:rsidRDefault="00DF0C24">
      <w:pPr>
        <w:ind w:left="1188" w:hanging="425"/>
        <w:rPr>
          <w:rFonts w:ascii="標楷體" w:eastAsia="標楷體" w:hAnsi="標楷體"/>
        </w:rPr>
      </w:pPr>
      <w:r>
        <w:rPr>
          <w:rFonts w:ascii="標楷體" w:eastAsia="標楷體" w:hAnsi="標楷體"/>
        </w:rPr>
        <w:t>(2)病患發生嚴重不良反應。</w:t>
      </w:r>
    </w:p>
    <w:p w14:paraId="0BEAEEE5" w14:textId="77777777" w:rsidR="00BD776B" w:rsidRDefault="00DF0C24">
      <w:pPr>
        <w:ind w:left="1188" w:hanging="425"/>
        <w:rPr>
          <w:rFonts w:ascii="標楷體" w:eastAsia="標楷體" w:hAnsi="標楷體"/>
        </w:rPr>
      </w:pPr>
      <w:r>
        <w:rPr>
          <w:rFonts w:ascii="標楷體" w:eastAsia="標楷體" w:hAnsi="標楷體"/>
        </w:rPr>
        <w:t>(3)病患無法配合最適療程所需的注射規定或無法配合療效的評估。</w:t>
      </w:r>
    </w:p>
    <w:p w14:paraId="4EDB7413" w14:textId="77777777" w:rsidR="00BD776B" w:rsidRDefault="00DF0C24">
      <w:pPr>
        <w:ind w:left="708" w:hanging="425"/>
        <w:rPr>
          <w:rFonts w:ascii="標楷體" w:eastAsia="標楷體" w:hAnsi="標楷體"/>
        </w:rPr>
      </w:pPr>
      <w:r>
        <w:rPr>
          <w:rFonts w:ascii="標楷體" w:eastAsia="標楷體" w:hAnsi="標楷體"/>
        </w:rPr>
        <w:t>3.3.18. Eliglustat Capsules (如Cerdelga ) (108/5/1)</w:t>
      </w:r>
    </w:p>
    <w:p w14:paraId="5400CF2C" w14:textId="77777777" w:rsidR="00BD776B" w:rsidRDefault="00DF0C24">
      <w:pPr>
        <w:ind w:left="811" w:hanging="245"/>
        <w:rPr>
          <w:rFonts w:ascii="標楷體" w:eastAsia="標楷體" w:hAnsi="標楷體"/>
        </w:rPr>
      </w:pPr>
      <w:r>
        <w:rPr>
          <w:rFonts w:ascii="標楷體" w:eastAsia="標楷體" w:hAnsi="標楷體"/>
        </w:rPr>
        <w:t>1.</w:t>
      </w:r>
      <w:r>
        <w:rPr>
          <w:rFonts w:ascii="標楷體" w:eastAsia="標楷體" w:hAnsi="標楷體"/>
        </w:rPr>
        <w:tab/>
        <w:t>限用於改善成人第一型高雪氏症症狀。</w:t>
      </w:r>
    </w:p>
    <w:p w14:paraId="3E18B5C2" w14:textId="77777777" w:rsidR="00BD776B" w:rsidRDefault="00DF0C24">
      <w:pPr>
        <w:ind w:left="811" w:hanging="245"/>
        <w:rPr>
          <w:rFonts w:ascii="標楷體" w:eastAsia="標楷體" w:hAnsi="標楷體"/>
        </w:rPr>
      </w:pPr>
      <w:r>
        <w:rPr>
          <w:rFonts w:ascii="標楷體" w:eastAsia="標楷體" w:hAnsi="標楷體"/>
        </w:rPr>
        <w:t>2.</w:t>
      </w:r>
      <w:r>
        <w:rPr>
          <w:rFonts w:ascii="標楷體" w:eastAsia="標楷體" w:hAnsi="標楷體"/>
        </w:rPr>
        <w:tab/>
        <w:t>使用劑量須依CYP2D6代謝狀況調整。</w:t>
      </w:r>
    </w:p>
    <w:p w14:paraId="5501A718" w14:textId="77777777" w:rsidR="00BD776B" w:rsidRDefault="00DF0C24">
      <w:pPr>
        <w:ind w:left="811" w:hanging="245"/>
        <w:rPr>
          <w:rFonts w:ascii="標楷體" w:eastAsia="標楷體" w:hAnsi="標楷體"/>
        </w:rPr>
      </w:pPr>
      <w:r>
        <w:rPr>
          <w:rFonts w:ascii="標楷體" w:eastAsia="標楷體" w:hAnsi="標楷體"/>
        </w:rPr>
        <w:t>3.</w:t>
      </w:r>
      <w:r>
        <w:rPr>
          <w:rFonts w:ascii="標楷體" w:eastAsia="標楷體" w:hAnsi="標楷體"/>
        </w:rPr>
        <w:tab/>
        <w:t>不得併用其他高雪氏症酵素療法之藥品。</w:t>
      </w:r>
    </w:p>
    <w:p w14:paraId="3B7438D5" w14:textId="77777777" w:rsidR="00BD776B" w:rsidRDefault="00DF0C24">
      <w:pPr>
        <w:ind w:left="811" w:hanging="245"/>
        <w:rPr>
          <w:rFonts w:ascii="標楷體" w:eastAsia="標楷體" w:hAnsi="標楷體"/>
        </w:rPr>
      </w:pPr>
      <w:r>
        <w:rPr>
          <w:rFonts w:ascii="標楷體" w:eastAsia="標楷體" w:hAnsi="標楷體"/>
        </w:rPr>
        <w:t>4.</w:t>
      </w:r>
      <w:r>
        <w:rPr>
          <w:rFonts w:ascii="標楷體" w:eastAsia="標楷體" w:hAnsi="標楷體"/>
        </w:rPr>
        <w:tab/>
        <w:t>需經事前審查核准後使用。</w:t>
      </w:r>
    </w:p>
    <w:p w14:paraId="74B5198B" w14:textId="222C92E9" w:rsidR="00BD776B" w:rsidRDefault="00DF0C24">
      <w:pPr>
        <w:ind w:left="283"/>
        <w:rPr>
          <w:rFonts w:ascii="標楷體" w:eastAsia="標楷體" w:hAnsi="標楷體"/>
          <w:color w:val="000000"/>
        </w:rPr>
      </w:pPr>
      <w:r>
        <w:rPr>
          <w:rFonts w:ascii="標楷體" w:eastAsia="標楷體" w:hAnsi="標楷體"/>
          <w:color w:val="000000"/>
        </w:rPr>
        <w:t>3.3.19.先天性代謝異常之罕見疾病藥品(108/9/1、108/12/1、111/9/1</w:t>
      </w:r>
      <w:r w:rsidR="00821092">
        <w:rPr>
          <w:rFonts w:ascii="標楷體" w:eastAsia="標楷體" w:hAnsi="標楷體" w:hint="eastAsia"/>
          <w:color w:val="000000"/>
        </w:rPr>
        <w:t>、113/11/1</w:t>
      </w:r>
      <w:r>
        <w:rPr>
          <w:rFonts w:ascii="標楷體" w:eastAsia="標楷體" w:hAnsi="標楷體"/>
          <w:color w:val="000000"/>
        </w:rPr>
        <w:t>)</w:t>
      </w:r>
    </w:p>
    <w:p w14:paraId="62A1E55A" w14:textId="77777777" w:rsidR="00BD776B" w:rsidRDefault="00DF0C24">
      <w:pPr>
        <w:ind w:left="566"/>
        <w:rPr>
          <w:rFonts w:ascii="標楷體" w:eastAsia="標楷體" w:hAnsi="標楷體"/>
          <w:color w:val="000000"/>
        </w:rPr>
      </w:pPr>
      <w:r>
        <w:rPr>
          <w:rFonts w:ascii="標楷體" w:eastAsia="標楷體" w:hAnsi="標楷體"/>
          <w:color w:val="000000"/>
        </w:rPr>
        <w:t>1.藥品成分：</w:t>
      </w:r>
    </w:p>
    <w:p w14:paraId="77E89146" w14:textId="77777777" w:rsidR="00BD776B" w:rsidRDefault="00DF0C24">
      <w:pPr>
        <w:ind w:left="850"/>
        <w:rPr>
          <w:rFonts w:ascii="標楷體" w:eastAsia="標楷體" w:hAnsi="標楷體"/>
          <w:color w:val="000000"/>
        </w:rPr>
      </w:pPr>
      <w:r>
        <w:rPr>
          <w:rFonts w:ascii="標楷體" w:eastAsia="標楷體" w:hAnsi="標楷體"/>
          <w:color w:val="000000"/>
        </w:rPr>
        <w:t>(1) Levocarnitine/L-Carnitine inner salt</w:t>
      </w:r>
    </w:p>
    <w:p w14:paraId="301A13A1" w14:textId="6D1F57EA" w:rsidR="00BD776B" w:rsidRDefault="00DF0C24">
      <w:pPr>
        <w:ind w:left="850"/>
        <w:rPr>
          <w:rFonts w:ascii="標楷體" w:eastAsia="標楷體" w:hAnsi="標楷體"/>
          <w:color w:val="000000"/>
        </w:rPr>
      </w:pPr>
      <w:r>
        <w:rPr>
          <w:rFonts w:ascii="標楷體" w:eastAsia="標楷體" w:hAnsi="標楷體"/>
          <w:color w:val="000000"/>
        </w:rPr>
        <w:t>(2) Sodium phenylbutyrate</w:t>
      </w:r>
      <w:r w:rsidR="00454749" w:rsidRPr="00454749">
        <w:rPr>
          <w:rFonts w:ascii="標楷體" w:eastAsia="標楷體" w:hAnsi="標楷體" w:hint="eastAsia"/>
          <w:color w:val="000000"/>
        </w:rPr>
        <w:t>、glycerol phenylbutyrate(108/9/1、113/11/1)</w:t>
      </w:r>
    </w:p>
    <w:p w14:paraId="736FE239" w14:textId="77777777" w:rsidR="00BD776B" w:rsidRDefault="00DF0C24">
      <w:pPr>
        <w:ind w:left="850"/>
        <w:rPr>
          <w:rFonts w:ascii="標楷體" w:eastAsia="標楷體" w:hAnsi="標楷體"/>
          <w:color w:val="000000"/>
        </w:rPr>
      </w:pPr>
      <w:r>
        <w:rPr>
          <w:rFonts w:ascii="標楷體" w:eastAsia="標楷體" w:hAnsi="標楷體"/>
          <w:color w:val="000000"/>
        </w:rPr>
        <w:t xml:space="preserve">(3) Citrulline malate </w:t>
      </w:r>
    </w:p>
    <w:p w14:paraId="2646A3A3" w14:textId="77777777" w:rsidR="00BD776B" w:rsidRDefault="00DF0C24">
      <w:pPr>
        <w:ind w:left="850"/>
        <w:rPr>
          <w:rFonts w:ascii="標楷體" w:eastAsia="標楷體" w:hAnsi="標楷體"/>
          <w:color w:val="000000"/>
        </w:rPr>
      </w:pPr>
      <w:r>
        <w:rPr>
          <w:rFonts w:ascii="標楷體" w:eastAsia="標楷體" w:hAnsi="標楷體"/>
          <w:color w:val="000000"/>
        </w:rPr>
        <w:t>(4) L-Arginine</w:t>
      </w:r>
    </w:p>
    <w:p w14:paraId="7F0072A9" w14:textId="77777777" w:rsidR="00BD776B" w:rsidRDefault="00DF0C24">
      <w:pPr>
        <w:ind w:left="850"/>
        <w:rPr>
          <w:rFonts w:ascii="標楷體" w:eastAsia="標楷體" w:hAnsi="標楷體"/>
          <w:color w:val="000000"/>
        </w:rPr>
      </w:pPr>
      <w:r>
        <w:rPr>
          <w:rFonts w:ascii="標楷體" w:eastAsia="標楷體" w:hAnsi="標楷體"/>
          <w:color w:val="000000"/>
        </w:rPr>
        <w:t>(5) Sapropterin dihydrochloride（Tetrahydro- Biopterin,BH4）</w:t>
      </w:r>
    </w:p>
    <w:p w14:paraId="4F3BC46A" w14:textId="5DBE6267" w:rsidR="00BD776B" w:rsidRDefault="00DF0C24">
      <w:pPr>
        <w:ind w:left="850"/>
        <w:rPr>
          <w:rFonts w:ascii="標楷體" w:eastAsia="標楷體" w:hAnsi="標楷體"/>
          <w:color w:val="000000"/>
        </w:rPr>
      </w:pPr>
      <w:r>
        <w:rPr>
          <w:rFonts w:ascii="標楷體" w:eastAsia="標楷體" w:hAnsi="標楷體"/>
          <w:color w:val="000000"/>
        </w:rPr>
        <w:t>(6) betaine</w:t>
      </w:r>
      <w:r w:rsidR="00CA01B8" w:rsidRPr="00CA01B8">
        <w:rPr>
          <w:rFonts w:ascii="標楷體" w:eastAsia="標楷體" w:hAnsi="標楷體"/>
          <w:color w:val="000000"/>
        </w:rPr>
        <w:t>(108/12/1)</w:t>
      </w:r>
    </w:p>
    <w:p w14:paraId="42EAFCA3" w14:textId="75CBB6D9" w:rsidR="00BD776B" w:rsidRDefault="00DF0C24">
      <w:pPr>
        <w:ind w:left="850"/>
        <w:rPr>
          <w:rFonts w:ascii="標楷體" w:eastAsia="標楷體" w:hAnsi="標楷體"/>
          <w:color w:val="000000"/>
        </w:rPr>
      </w:pPr>
      <w:r>
        <w:rPr>
          <w:rFonts w:ascii="標楷體" w:eastAsia="標楷體" w:hAnsi="標楷體"/>
          <w:color w:val="000000"/>
        </w:rPr>
        <w:t>(7) oxitriptan（L-5-hydroxytryptophan ,5-HTP）</w:t>
      </w:r>
      <w:r w:rsidR="00CA01B8" w:rsidRPr="00CA01B8">
        <w:rPr>
          <w:rFonts w:ascii="標楷體" w:eastAsia="標楷體" w:hAnsi="標楷體"/>
          <w:color w:val="000000"/>
        </w:rPr>
        <w:t>(108/12/1)</w:t>
      </w:r>
    </w:p>
    <w:p w14:paraId="4BEAC2CB" w14:textId="70C571B4" w:rsidR="00BD776B" w:rsidRDefault="00DF0C24">
      <w:pPr>
        <w:ind w:left="850"/>
        <w:rPr>
          <w:rFonts w:ascii="標楷體" w:eastAsia="標楷體" w:hAnsi="標楷體"/>
          <w:color w:val="000000"/>
        </w:rPr>
      </w:pPr>
      <w:r>
        <w:rPr>
          <w:rFonts w:ascii="標楷體" w:eastAsia="標楷體" w:hAnsi="標楷體"/>
          <w:color w:val="000000"/>
        </w:rPr>
        <w:t>(8) alpha-glucosidase</w:t>
      </w:r>
      <w:r w:rsidR="00CA01B8" w:rsidRPr="00CA01B8">
        <w:rPr>
          <w:rFonts w:ascii="標楷體" w:eastAsia="標楷體" w:hAnsi="標楷體"/>
          <w:color w:val="000000"/>
        </w:rPr>
        <w:t>(108/12/1)</w:t>
      </w:r>
    </w:p>
    <w:p w14:paraId="083FCDD3" w14:textId="1CF088A6" w:rsidR="00BD776B" w:rsidRDefault="00DF0C24">
      <w:pPr>
        <w:ind w:left="850"/>
        <w:rPr>
          <w:rFonts w:ascii="標楷體" w:eastAsia="標楷體" w:hAnsi="標楷體"/>
          <w:color w:val="000000"/>
        </w:rPr>
      </w:pPr>
      <w:r>
        <w:rPr>
          <w:rFonts w:ascii="標楷體" w:eastAsia="標楷體" w:hAnsi="標楷體"/>
          <w:color w:val="000000"/>
        </w:rPr>
        <w:lastRenderedPageBreak/>
        <w:t>(9) sodium benzoate</w:t>
      </w:r>
      <w:r w:rsidR="00CA01B8" w:rsidRPr="00CA01B8">
        <w:rPr>
          <w:rFonts w:ascii="標楷體" w:eastAsia="標楷體" w:hAnsi="標楷體"/>
          <w:color w:val="000000"/>
        </w:rPr>
        <w:t>(108/12/1)</w:t>
      </w:r>
    </w:p>
    <w:p w14:paraId="12C7D698" w14:textId="4E864C33" w:rsidR="00BD776B" w:rsidRDefault="00DF0C24">
      <w:pPr>
        <w:ind w:left="850"/>
        <w:rPr>
          <w:rFonts w:ascii="標楷體" w:eastAsia="標楷體" w:hAnsi="標楷體"/>
          <w:color w:val="000000"/>
        </w:rPr>
      </w:pPr>
      <w:r>
        <w:rPr>
          <w:rFonts w:ascii="標楷體" w:eastAsia="標楷體" w:hAnsi="標楷體"/>
          <w:color w:val="000000"/>
        </w:rPr>
        <w:t>(10)diazoxide</w:t>
      </w:r>
      <w:r w:rsidR="00CA01B8" w:rsidRPr="00CA01B8">
        <w:rPr>
          <w:rFonts w:ascii="標楷體" w:eastAsia="標楷體" w:hAnsi="標楷體"/>
          <w:color w:val="000000"/>
        </w:rPr>
        <w:t>(108/12/1)</w:t>
      </w:r>
    </w:p>
    <w:p w14:paraId="17804EE0" w14:textId="77777777" w:rsidR="00BD776B" w:rsidRDefault="00DF0C24">
      <w:pPr>
        <w:ind w:left="850"/>
        <w:rPr>
          <w:rFonts w:ascii="標楷體" w:eastAsia="標楷體" w:hAnsi="標楷體"/>
          <w:color w:val="000000"/>
        </w:rPr>
      </w:pPr>
      <w:r>
        <w:rPr>
          <w:rFonts w:ascii="標楷體" w:eastAsia="標楷體" w:hAnsi="標楷體"/>
          <w:color w:val="000000"/>
        </w:rPr>
        <w:t>(11)Cholic acid(111/9/1)</w:t>
      </w:r>
    </w:p>
    <w:p w14:paraId="305EB00F" w14:textId="77777777" w:rsidR="00BD776B" w:rsidRDefault="00DF0C24">
      <w:pPr>
        <w:ind w:left="849" w:hanging="283"/>
        <w:rPr>
          <w:rFonts w:ascii="標楷體" w:eastAsia="標楷體" w:hAnsi="標楷體"/>
          <w:color w:val="000000"/>
        </w:rPr>
      </w:pPr>
      <w:r>
        <w:rPr>
          <w:rFonts w:ascii="標楷體" w:eastAsia="標楷體" w:hAnsi="標楷體"/>
          <w:color w:val="000000"/>
        </w:rPr>
        <w:t>2.用於尚未確診經主管機關認定為罕見疾病者，需緊急使用時，除下列各款另有規定外，應由具小兒專科醫師證書且接受過小兒遺傳或小兒新陳代謝或小兒內分泌科次專科訓練之醫師處方使用，並於病歷詳實記載病程、確診之檢驗資料及治療反應，且第一項各款藥品須符合下列各對應條件：</w:t>
      </w:r>
    </w:p>
    <w:p w14:paraId="3B94EA45" w14:textId="77777777" w:rsidR="00BD776B" w:rsidRDefault="00DF0C24">
      <w:pPr>
        <w:ind w:left="1330" w:hanging="480"/>
        <w:rPr>
          <w:rFonts w:ascii="標楷體" w:eastAsia="標楷體" w:hAnsi="標楷體"/>
          <w:color w:val="000000"/>
        </w:rPr>
      </w:pPr>
      <w:r>
        <w:rPr>
          <w:rFonts w:ascii="標楷體" w:eastAsia="標楷體" w:hAnsi="標楷體"/>
          <w:color w:val="000000"/>
        </w:rPr>
        <w:t>(1) 新生兒篩檢為carnitine deficiency陽性個案 (free carnitine 低於6 μmol/L)。</w:t>
      </w:r>
    </w:p>
    <w:p w14:paraId="5AEC2318" w14:textId="77777777" w:rsidR="00BD776B" w:rsidRDefault="00DF0C24">
      <w:pPr>
        <w:ind w:left="1330" w:hanging="480"/>
        <w:rPr>
          <w:rFonts w:ascii="標楷體" w:eastAsia="標楷體" w:hAnsi="標楷體"/>
          <w:color w:val="000000"/>
        </w:rPr>
      </w:pPr>
      <w:r>
        <w:rPr>
          <w:rFonts w:ascii="標楷體" w:eastAsia="標楷體" w:hAnsi="標楷體"/>
          <w:color w:val="000000"/>
        </w:rPr>
        <w:t>(2) 新生兒篩檢為瓜氨酸血症之陽性個案，初次發作之不明原因高血氨(血氨值高於 150 μ mol/L)。</w:t>
      </w:r>
    </w:p>
    <w:p w14:paraId="300B3B3E" w14:textId="77777777" w:rsidR="00BD776B" w:rsidRDefault="00DF0C24">
      <w:pPr>
        <w:ind w:left="1330" w:hanging="480"/>
        <w:rPr>
          <w:rFonts w:ascii="標楷體" w:eastAsia="標楷體" w:hAnsi="標楷體"/>
          <w:color w:val="000000"/>
        </w:rPr>
      </w:pPr>
      <w:r>
        <w:rPr>
          <w:rFonts w:ascii="標楷體" w:eastAsia="標楷體" w:hAnsi="標楷體"/>
          <w:color w:val="000000"/>
        </w:rPr>
        <w:t>(3) 新生兒篩檢為有機酸血症 (甲基丙二酸血症，丙酸血症，異戊酸血症，戊二酸血症，HMG CoA lyase等) 之陽性個案。</w:t>
      </w:r>
    </w:p>
    <w:p w14:paraId="39EC861A" w14:textId="77777777" w:rsidR="00BD776B" w:rsidRDefault="00DF0C24">
      <w:pPr>
        <w:ind w:left="1330" w:hanging="480"/>
        <w:rPr>
          <w:rFonts w:ascii="標楷體" w:eastAsia="標楷體" w:hAnsi="標楷體"/>
          <w:color w:val="000000"/>
        </w:rPr>
      </w:pPr>
      <w:r>
        <w:rPr>
          <w:rFonts w:ascii="標楷體" w:eastAsia="標楷體" w:hAnsi="標楷體"/>
          <w:color w:val="000000"/>
        </w:rPr>
        <w:t>(4) 新生兒初次發作之不明原因高血氨，懷疑是先天代謝異常者(血氨值高於150μmol/L)。(111/9/1)</w:t>
      </w:r>
    </w:p>
    <w:p w14:paraId="41E15F59" w14:textId="77777777" w:rsidR="00BD776B" w:rsidRDefault="00DF0C24">
      <w:pPr>
        <w:ind w:left="1330" w:hanging="480"/>
        <w:rPr>
          <w:rFonts w:ascii="標楷體" w:eastAsia="標楷體" w:hAnsi="標楷體"/>
          <w:color w:val="000000"/>
        </w:rPr>
      </w:pPr>
      <w:r>
        <w:rPr>
          <w:rFonts w:ascii="標楷體" w:eastAsia="標楷體" w:hAnsi="標楷體"/>
          <w:color w:val="000000"/>
        </w:rPr>
        <w:t>(5) 新生兒篩檢為苯酮尿症陽性個案 (blood phenylalanine 高於 200μmol/L)。(111/9/1)</w:t>
      </w:r>
    </w:p>
    <w:p w14:paraId="7E13B33E" w14:textId="14DCC5A8" w:rsidR="00BD776B" w:rsidRDefault="00DF0C24">
      <w:pPr>
        <w:ind w:left="1330" w:hanging="480"/>
        <w:rPr>
          <w:rFonts w:ascii="標楷體" w:eastAsia="標楷體" w:hAnsi="標楷體"/>
          <w:color w:val="000000"/>
        </w:rPr>
      </w:pPr>
      <w:r>
        <w:rPr>
          <w:rFonts w:ascii="標楷體" w:eastAsia="標楷體" w:hAnsi="標楷體"/>
          <w:color w:val="000000"/>
        </w:rPr>
        <w:t>(6) 新生兒篩檢為高胱胺酸血症之陽性個案(tHcy高於50 uM)。</w:t>
      </w:r>
      <w:r w:rsidR="004F052E" w:rsidRPr="004F052E">
        <w:rPr>
          <w:rFonts w:ascii="標楷體" w:eastAsia="標楷體" w:hAnsi="標楷體"/>
          <w:color w:val="000000"/>
        </w:rPr>
        <w:t>(108/12/1)</w:t>
      </w:r>
    </w:p>
    <w:p w14:paraId="54D05087" w14:textId="6FCE7246" w:rsidR="00BD776B" w:rsidRDefault="00DF0C24">
      <w:pPr>
        <w:ind w:left="1330" w:hanging="480"/>
        <w:rPr>
          <w:rFonts w:ascii="標楷體" w:eastAsia="標楷體" w:hAnsi="標楷體"/>
          <w:color w:val="000000"/>
        </w:rPr>
      </w:pPr>
      <w:r>
        <w:rPr>
          <w:rFonts w:ascii="標楷體" w:eastAsia="標楷體" w:hAnsi="標楷體"/>
          <w:color w:val="000000"/>
        </w:rPr>
        <w:t>(7) 新生兒篩檢為BH4缺乏之苯酮尿症陽性個案 (blood phenylalanine 高於 200μmol/L)。</w:t>
      </w:r>
      <w:r w:rsidR="004F052E" w:rsidRPr="004F052E">
        <w:rPr>
          <w:rFonts w:ascii="標楷體" w:eastAsia="標楷體" w:hAnsi="標楷體"/>
          <w:color w:val="000000"/>
        </w:rPr>
        <w:t>(108/12/1)</w:t>
      </w:r>
    </w:p>
    <w:p w14:paraId="56AE2063" w14:textId="18C6A7B5" w:rsidR="00BD776B" w:rsidRDefault="00DF0C24">
      <w:pPr>
        <w:ind w:left="1330" w:hanging="480"/>
        <w:rPr>
          <w:rFonts w:ascii="標楷體" w:eastAsia="標楷體" w:hAnsi="標楷體"/>
          <w:color w:val="000000"/>
        </w:rPr>
      </w:pPr>
      <w:r>
        <w:rPr>
          <w:rFonts w:ascii="標楷體" w:eastAsia="標楷體" w:hAnsi="標楷體"/>
          <w:color w:val="000000"/>
        </w:rPr>
        <w:t>(8) 經心電圖，胸部X光，或是心臟超音波等，證實已出現心臟影響徵象之嬰兒型龐貝氏症患者(本款限由具兒科專科醫師證書，且經小兒遺傳及內分泌新陳代謝科或小兒神經科訓練之醫師，或具神經科專科醫師證書之醫師處方使用)。</w:t>
      </w:r>
      <w:r w:rsidR="004F052E" w:rsidRPr="004F052E">
        <w:rPr>
          <w:rFonts w:ascii="標楷體" w:eastAsia="標楷體" w:hAnsi="標楷體"/>
          <w:color w:val="000000"/>
        </w:rPr>
        <w:t>(108/12/1</w:t>
      </w:r>
      <w:r w:rsidR="004F052E">
        <w:rPr>
          <w:rFonts w:ascii="標楷體" w:eastAsia="標楷體" w:hAnsi="標楷體" w:hint="eastAsia"/>
          <w:color w:val="000000"/>
        </w:rPr>
        <w:t>、</w:t>
      </w:r>
      <w:r>
        <w:rPr>
          <w:rFonts w:ascii="標楷體" w:eastAsia="標楷體" w:hAnsi="標楷體"/>
          <w:color w:val="000000"/>
        </w:rPr>
        <w:t>111/9/1)</w:t>
      </w:r>
    </w:p>
    <w:p w14:paraId="711D4B88" w14:textId="03AABA5D" w:rsidR="00BD776B" w:rsidRDefault="00DF0C24">
      <w:pPr>
        <w:ind w:left="1330" w:hanging="480"/>
        <w:rPr>
          <w:rFonts w:ascii="標楷體" w:eastAsia="標楷體" w:hAnsi="標楷體"/>
          <w:color w:val="000000"/>
        </w:rPr>
      </w:pPr>
      <w:r>
        <w:rPr>
          <w:rFonts w:ascii="標楷體" w:eastAsia="標楷體" w:hAnsi="標楷體"/>
          <w:color w:val="000000"/>
        </w:rPr>
        <w:t>(9) 腦脊髓液/血液甘胺酸比值超過0.08之非酮性高甘胺酸血症患者。</w:t>
      </w:r>
      <w:r w:rsidR="004F052E" w:rsidRPr="004F052E">
        <w:rPr>
          <w:rFonts w:ascii="標楷體" w:eastAsia="標楷體" w:hAnsi="標楷體"/>
          <w:color w:val="000000"/>
        </w:rPr>
        <w:t>(108/12/1)</w:t>
      </w:r>
    </w:p>
    <w:p w14:paraId="0BE78AE2" w14:textId="3DD84E72" w:rsidR="00BD776B" w:rsidRDefault="00DF0C24">
      <w:pPr>
        <w:ind w:left="1330" w:hanging="480"/>
        <w:rPr>
          <w:rFonts w:ascii="標楷體" w:eastAsia="標楷體" w:hAnsi="標楷體"/>
          <w:color w:val="000000"/>
        </w:rPr>
      </w:pPr>
      <w:r>
        <w:rPr>
          <w:rFonts w:ascii="標楷體" w:eastAsia="標楷體" w:hAnsi="標楷體"/>
          <w:color w:val="000000"/>
        </w:rPr>
        <w:t>(10)持續性幼兒型胰島素過度分泌低血糖症(PHHI)患者，且符合下列條件之一：</w:t>
      </w:r>
      <w:r w:rsidR="004F052E" w:rsidRPr="004F052E">
        <w:rPr>
          <w:rFonts w:ascii="標楷體" w:eastAsia="標楷體" w:hAnsi="標楷體"/>
          <w:color w:val="000000"/>
        </w:rPr>
        <w:t>(108/12/1)</w:t>
      </w:r>
    </w:p>
    <w:p w14:paraId="4CC7B7EC" w14:textId="77777777" w:rsidR="00BD776B" w:rsidRDefault="00DF0C24">
      <w:pPr>
        <w:ind w:left="1810" w:hanging="480"/>
        <w:rPr>
          <w:rFonts w:ascii="標楷體" w:eastAsia="標楷體" w:hAnsi="標楷體"/>
          <w:color w:val="000000"/>
        </w:rPr>
      </w:pPr>
      <w:r>
        <w:rPr>
          <w:rFonts w:ascii="標楷體" w:eastAsia="標楷體" w:hAnsi="標楷體"/>
          <w:color w:val="000000"/>
        </w:rPr>
        <w:t>I.當血糖&lt;50 mg/mL時，Insulin&gt;2 μU/mL，blood ketone&lt;0.6 mmol/L。</w:t>
      </w:r>
    </w:p>
    <w:p w14:paraId="24E7BEF0" w14:textId="77777777" w:rsidR="00BD776B" w:rsidRDefault="00DF0C24">
      <w:pPr>
        <w:ind w:left="1810" w:hanging="480"/>
        <w:rPr>
          <w:rFonts w:ascii="標楷體" w:eastAsia="標楷體" w:hAnsi="標楷體"/>
          <w:color w:val="000000"/>
        </w:rPr>
      </w:pPr>
      <w:r>
        <w:rPr>
          <w:rFonts w:ascii="標楷體" w:eastAsia="標楷體" w:hAnsi="標楷體"/>
          <w:color w:val="000000"/>
        </w:rPr>
        <w:t>II.需注射糖水(輸注速率&gt;6 mg/kg/min)，血糖才能達到50 mg/mL。</w:t>
      </w:r>
    </w:p>
    <w:p w14:paraId="6994CDBC" w14:textId="77777777" w:rsidR="00BD776B" w:rsidRDefault="00DF0C24">
      <w:pPr>
        <w:ind w:left="1330" w:hanging="480"/>
        <w:rPr>
          <w:rFonts w:ascii="標楷體" w:eastAsia="標楷體" w:hAnsi="標楷體"/>
          <w:color w:val="000000"/>
        </w:rPr>
      </w:pPr>
      <w:r>
        <w:rPr>
          <w:rFonts w:ascii="標楷體" w:eastAsia="標楷體" w:hAnsi="標楷體"/>
          <w:color w:val="000000"/>
        </w:rPr>
        <w:t>(11)臨床上高度懷疑需緊急使用，並符合下列條件之膽汁滯留症患者(本款限兒科消化次專科醫師，或小兒神經科醫師，或兒科專科經醫學遺傳學次專訓練取得證書之醫師使用)：(111/9/1)</w:t>
      </w:r>
    </w:p>
    <w:p w14:paraId="0CA58941" w14:textId="77777777" w:rsidR="00BD776B" w:rsidRDefault="00DF0C24">
      <w:pPr>
        <w:ind w:left="1810" w:hanging="480"/>
        <w:rPr>
          <w:rFonts w:ascii="標楷體" w:eastAsia="標楷體" w:hAnsi="標楷體"/>
          <w:color w:val="000000"/>
        </w:rPr>
      </w:pPr>
      <w:r>
        <w:rPr>
          <w:rFonts w:ascii="標楷體" w:eastAsia="標楷體" w:hAnsi="標楷體"/>
          <w:color w:val="000000"/>
        </w:rPr>
        <w:t>I.嬰兒肝內膽汁滯留症超過兩週。</w:t>
      </w:r>
    </w:p>
    <w:p w14:paraId="458F41ED" w14:textId="77777777" w:rsidR="00BD776B" w:rsidRDefault="00DF0C24">
      <w:pPr>
        <w:ind w:left="1810" w:hanging="480"/>
        <w:rPr>
          <w:rFonts w:ascii="標楷體" w:eastAsia="標楷體" w:hAnsi="標楷體"/>
          <w:color w:val="000000"/>
        </w:rPr>
      </w:pPr>
      <w:r>
        <w:rPr>
          <w:rFonts w:ascii="標楷體" w:eastAsia="標楷體" w:hAnsi="標楷體"/>
          <w:color w:val="000000"/>
        </w:rPr>
        <w:t>II.γ-Glutamyltransferase≦150 U/L</w:t>
      </w:r>
    </w:p>
    <w:p w14:paraId="23E10D99" w14:textId="77777777" w:rsidR="00BD776B" w:rsidRDefault="00DF0C24">
      <w:pPr>
        <w:ind w:left="1810" w:hanging="480"/>
        <w:rPr>
          <w:rFonts w:ascii="標楷體" w:eastAsia="標楷體" w:hAnsi="標楷體"/>
          <w:color w:val="000000"/>
        </w:rPr>
      </w:pPr>
      <w:r>
        <w:rPr>
          <w:rFonts w:ascii="標楷體" w:eastAsia="標楷體" w:hAnsi="標楷體"/>
          <w:color w:val="000000"/>
        </w:rPr>
        <w:t>III.alaine aminotransferase &gt; 2x upper limit of normal (ULN)</w:t>
      </w:r>
    </w:p>
    <w:p w14:paraId="0BD35AA9" w14:textId="77777777" w:rsidR="00BD776B" w:rsidRDefault="00DF0C24">
      <w:pPr>
        <w:ind w:left="1810" w:hanging="480"/>
        <w:rPr>
          <w:rFonts w:ascii="標楷體" w:eastAsia="標楷體" w:hAnsi="標楷體"/>
          <w:color w:val="000000"/>
        </w:rPr>
      </w:pPr>
      <w:r>
        <w:rPr>
          <w:rFonts w:ascii="標楷體" w:eastAsia="標楷體" w:hAnsi="標楷體"/>
          <w:color w:val="000000"/>
        </w:rPr>
        <w:t>IV.血清膽汁酸濃度≦150μmol/L。</w:t>
      </w:r>
    </w:p>
    <w:p w14:paraId="4649C216" w14:textId="77777777" w:rsidR="00BD776B" w:rsidRDefault="00DF0C24">
      <w:pPr>
        <w:ind w:left="798" w:hanging="709"/>
      </w:pPr>
      <w:r>
        <w:rPr>
          <w:rFonts w:ascii="標楷體" w:eastAsia="標楷體" w:hAnsi="標楷體"/>
          <w:color w:val="000000"/>
        </w:rPr>
        <w:t xml:space="preserve">    3.</w:t>
      </w:r>
      <w:r>
        <w:t xml:space="preserve"> </w:t>
      </w:r>
      <w:r>
        <w:rPr>
          <w:rFonts w:ascii="標楷體" w:eastAsia="標楷體" w:hAnsi="標楷體"/>
          <w:color w:val="000000"/>
        </w:rPr>
        <w:t>經通報主管機關，符合下列情形之一時，應停止使用：(111/9/1)</w:t>
      </w:r>
    </w:p>
    <w:p w14:paraId="16A7A4C8" w14:textId="77777777" w:rsidR="00BD776B" w:rsidRDefault="00DF0C24">
      <w:pPr>
        <w:ind w:left="1429" w:hanging="709"/>
        <w:rPr>
          <w:rFonts w:ascii="標楷體" w:eastAsia="標楷體" w:hAnsi="標楷體"/>
          <w:color w:val="000000"/>
        </w:rPr>
      </w:pPr>
      <w:r>
        <w:rPr>
          <w:rFonts w:ascii="標楷體" w:eastAsia="標楷體" w:hAnsi="標楷體"/>
          <w:color w:val="000000"/>
        </w:rPr>
        <w:t xml:space="preserve">  (1)用藥後，若病情無法持續改善或疾病已惡化者。</w:t>
      </w:r>
    </w:p>
    <w:p w14:paraId="38693784" w14:textId="77777777" w:rsidR="00BD776B" w:rsidRDefault="00DF0C24">
      <w:pPr>
        <w:ind w:left="1669" w:hanging="709"/>
        <w:rPr>
          <w:rFonts w:ascii="標楷體" w:eastAsia="標楷體" w:hAnsi="標楷體"/>
          <w:color w:val="000000"/>
        </w:rPr>
      </w:pPr>
      <w:r>
        <w:rPr>
          <w:rFonts w:ascii="標楷體" w:eastAsia="標楷體" w:hAnsi="標楷體"/>
          <w:color w:val="000000"/>
        </w:rPr>
        <w:t>(2)經主管機關認定非為罕見疾病時。</w:t>
      </w:r>
    </w:p>
    <w:p w14:paraId="378398E6" w14:textId="77777777" w:rsidR="00BD776B" w:rsidRDefault="00DF0C24">
      <w:pPr>
        <w:ind w:left="1669" w:hanging="709"/>
        <w:rPr>
          <w:rFonts w:ascii="標楷體" w:eastAsia="標楷體" w:hAnsi="標楷體"/>
          <w:color w:val="000000"/>
        </w:rPr>
      </w:pPr>
      <w:r>
        <w:rPr>
          <w:rFonts w:ascii="標楷體" w:eastAsia="標楷體" w:hAnsi="標楷體"/>
          <w:color w:val="000000"/>
        </w:rPr>
        <w:t>(3)本類藥品依個別給付規定需經事前審查，審查結果未核准使用者。</w:t>
      </w:r>
    </w:p>
    <w:p w14:paraId="4E8D7024" w14:textId="77777777" w:rsidR="00BD776B" w:rsidRDefault="00DF0C24">
      <w:pPr>
        <w:ind w:left="70"/>
        <w:rPr>
          <w:rFonts w:ascii="標楷體" w:eastAsia="標楷體" w:hAnsi="標楷體"/>
          <w:color w:val="000000"/>
        </w:rPr>
      </w:pPr>
      <w:r>
        <w:rPr>
          <w:rFonts w:ascii="標楷體" w:eastAsia="標楷體" w:hAnsi="標楷體"/>
          <w:color w:val="000000"/>
        </w:rPr>
        <w:t xml:space="preserve">    4.未通報主管機關認定者，用藥日數以14日為限。</w:t>
      </w:r>
    </w:p>
    <w:p w14:paraId="231404F3" w14:textId="77777777" w:rsidR="00BD776B" w:rsidRDefault="00DF0C24">
      <w:pPr>
        <w:ind w:left="566"/>
        <w:rPr>
          <w:rFonts w:ascii="標楷體" w:eastAsia="標楷體" w:hAnsi="標楷體"/>
          <w:color w:val="000000"/>
        </w:rPr>
      </w:pPr>
      <w:r>
        <w:rPr>
          <w:rFonts w:ascii="標楷體" w:eastAsia="標楷體" w:hAnsi="標楷體"/>
          <w:color w:val="000000"/>
        </w:rPr>
        <w:lastRenderedPageBreak/>
        <w:t>5.本類藥品依個別給付規定需經事前審查者，依本規定初次緊急用藥時應併送事前審查。(111/9/1)</w:t>
      </w:r>
    </w:p>
    <w:p w14:paraId="520E9905" w14:textId="77777777" w:rsidR="00BD776B" w:rsidRDefault="00DF0C24">
      <w:pPr>
        <w:ind w:left="142"/>
        <w:rPr>
          <w:rFonts w:ascii="標楷體" w:eastAsia="標楷體" w:hAnsi="標楷體"/>
        </w:rPr>
      </w:pPr>
      <w:r>
        <w:rPr>
          <w:rFonts w:ascii="標楷體" w:eastAsia="標楷體" w:hAnsi="標楷體"/>
        </w:rPr>
        <w:t>3.3.20.Polysaccharides of Astragalus membranaceus(如PG2 Lyo. Injection)：(110/3/1)</w:t>
      </w:r>
    </w:p>
    <w:p w14:paraId="15113E3E" w14:textId="77777777" w:rsidR="00BD776B" w:rsidRDefault="00DF0C24">
      <w:pPr>
        <w:ind w:left="142"/>
        <w:rPr>
          <w:rFonts w:ascii="標楷體" w:eastAsia="標楷體" w:hAnsi="標楷體"/>
        </w:rPr>
      </w:pPr>
      <w:r>
        <w:rPr>
          <w:rFonts w:ascii="標楷體" w:eastAsia="標楷體" w:hAnsi="標楷體"/>
        </w:rPr>
        <w:t>使用本藥品應符合下列各條件：</w:t>
      </w:r>
    </w:p>
    <w:p w14:paraId="518D99CD" w14:textId="77777777" w:rsidR="00BD776B" w:rsidRDefault="00DF0C24">
      <w:pPr>
        <w:ind w:left="708" w:hanging="252"/>
        <w:rPr>
          <w:rFonts w:ascii="標楷體" w:eastAsia="標楷體" w:hAnsi="標楷體"/>
        </w:rPr>
      </w:pPr>
      <w:r>
        <w:rPr>
          <w:rFonts w:ascii="標楷體" w:eastAsia="標楷體" w:hAnsi="標楷體"/>
        </w:rPr>
        <w:t>1.限用於第四期因疾病進展導致中重度疲憊之乳癌成人患者(不含住院安寧療護病患)。</w:t>
      </w:r>
    </w:p>
    <w:p w14:paraId="4052400A" w14:textId="77777777" w:rsidR="00BD776B" w:rsidRDefault="00DF0C24">
      <w:pPr>
        <w:ind w:left="679" w:hanging="223"/>
        <w:rPr>
          <w:rFonts w:ascii="標楷體" w:eastAsia="標楷體" w:hAnsi="標楷體"/>
        </w:rPr>
      </w:pPr>
      <w:r>
        <w:rPr>
          <w:rFonts w:ascii="標楷體" w:eastAsia="標楷體" w:hAnsi="標楷體"/>
        </w:rPr>
        <w:t>2.臨床上需符合ICD-10診斷標準，病歷上應詳細記載疲憊分數≧4(BFI-T或VAS)，經其他處置無效之中重度癌因性疲憊症患者。</w:t>
      </w:r>
    </w:p>
    <w:p w14:paraId="2E6F8F0F" w14:textId="77777777" w:rsidR="00BD776B" w:rsidRDefault="00DF0C24">
      <w:pPr>
        <w:ind w:left="456"/>
        <w:rPr>
          <w:rFonts w:ascii="標楷體" w:eastAsia="標楷體" w:hAnsi="標楷體"/>
        </w:rPr>
      </w:pPr>
      <w:r>
        <w:rPr>
          <w:rFonts w:ascii="標楷體" w:eastAsia="標楷體" w:hAnsi="標楷體"/>
        </w:rPr>
        <w:t>3.ECOG需為0-2之患者。</w:t>
      </w:r>
    </w:p>
    <w:p w14:paraId="08CFFA9C" w14:textId="77777777" w:rsidR="00BD776B" w:rsidRDefault="00DF0C24">
      <w:pPr>
        <w:ind w:left="456"/>
        <w:rPr>
          <w:rFonts w:ascii="標楷體" w:eastAsia="標楷體" w:hAnsi="標楷體"/>
        </w:rPr>
      </w:pPr>
      <w:r>
        <w:rPr>
          <w:rFonts w:ascii="標楷體" w:eastAsia="標楷體" w:hAnsi="標楷體"/>
        </w:rPr>
        <w:t>4.每位病人終生給付6支為上限。</w:t>
      </w:r>
    </w:p>
    <w:p w14:paraId="2DCDE314" w14:textId="77777777" w:rsidR="00BD776B" w:rsidRDefault="00DF0C24">
      <w:pPr>
        <w:ind w:left="456"/>
        <w:rPr>
          <w:rFonts w:ascii="標楷體" w:eastAsia="標楷體" w:hAnsi="標楷體"/>
        </w:rPr>
      </w:pPr>
      <w:r>
        <w:rPr>
          <w:rFonts w:ascii="標楷體" w:eastAsia="標楷體" w:hAnsi="標楷體"/>
        </w:rPr>
        <w:t>5.需經事前審查核准後使用。</w:t>
      </w:r>
    </w:p>
    <w:p w14:paraId="4E8D36C7" w14:textId="77777777" w:rsidR="00BD776B" w:rsidRDefault="00DF0C24">
      <w:pPr>
        <w:ind w:left="142"/>
        <w:rPr>
          <w:rFonts w:ascii="標楷體" w:eastAsia="標楷體" w:hAnsi="標楷體"/>
        </w:rPr>
      </w:pPr>
      <w:r>
        <w:rPr>
          <w:rFonts w:ascii="標楷體" w:eastAsia="標楷體" w:hAnsi="標楷體"/>
        </w:rPr>
        <w:t xml:space="preserve">3.3.21.alpha-glucosidase(如Myozyme)(110/12/1) </w:t>
      </w:r>
    </w:p>
    <w:p w14:paraId="1A7B5932" w14:textId="77777777" w:rsidR="00BD776B" w:rsidRDefault="00DF0C24">
      <w:pPr>
        <w:ind w:left="708" w:hanging="252"/>
        <w:rPr>
          <w:rFonts w:ascii="標楷體" w:eastAsia="標楷體" w:hAnsi="標楷體"/>
        </w:rPr>
      </w:pPr>
      <w:r>
        <w:rPr>
          <w:rFonts w:ascii="標楷體" w:eastAsia="標楷體" w:hAnsi="標楷體"/>
        </w:rPr>
        <w:t>1.用於確診為主管機關認定之罕見疾病龐貝氏症患者，限由具兒科專科醫師證書，且經小兒遺傳及內分泌新陳代謝科或小兒神經科訓練之醫師，或具神經科專科醫師證書之醫師處方使用，並應於病歷詳實記載病程、確診之檢驗資料及治療反應，亦應符合下列任一條件：</w:t>
      </w:r>
    </w:p>
    <w:p w14:paraId="09199208" w14:textId="77777777" w:rsidR="00BD776B" w:rsidRDefault="00DF0C24">
      <w:pPr>
        <w:ind w:left="1275" w:hanging="394"/>
        <w:rPr>
          <w:rFonts w:ascii="標楷體" w:eastAsia="標楷體" w:hAnsi="標楷體"/>
        </w:rPr>
      </w:pPr>
      <w:r>
        <w:rPr>
          <w:rFonts w:ascii="標楷體" w:eastAsia="標楷體" w:hAnsi="標楷體"/>
        </w:rPr>
        <w:t>(1)嬰兒型龐貝氏症為未滿1歲前發病，出現肌肉無力，或心室肥大，或肌酸激酶CK升高，或於肌肉切片顯示有肝醣堆積者。</w:t>
      </w:r>
    </w:p>
    <w:p w14:paraId="3503FF98" w14:textId="77777777" w:rsidR="00BD776B" w:rsidRDefault="00DF0C24">
      <w:pPr>
        <w:ind w:left="1275" w:hanging="394"/>
        <w:rPr>
          <w:rFonts w:ascii="標楷體" w:eastAsia="標楷體" w:hAnsi="標楷體"/>
        </w:rPr>
      </w:pPr>
      <w:r>
        <w:rPr>
          <w:rFonts w:ascii="標楷體" w:eastAsia="標楷體" w:hAnsi="標楷體"/>
        </w:rPr>
        <w:t>(2)晚發型龐貝氏症為滿1歲後發病，出現肌肉無力，或肌酸激酶(CK)持續升高，或於肌肉切片顯示有肝醣堆積者。</w:t>
      </w:r>
    </w:p>
    <w:p w14:paraId="75713704" w14:textId="77777777" w:rsidR="00BD776B" w:rsidRDefault="00DF0C24">
      <w:pPr>
        <w:ind w:left="708" w:hanging="252"/>
        <w:rPr>
          <w:rFonts w:ascii="標楷體" w:eastAsia="標楷體" w:hAnsi="標楷體"/>
        </w:rPr>
      </w:pPr>
      <w:r>
        <w:rPr>
          <w:rFonts w:ascii="標楷體" w:eastAsia="標楷體" w:hAnsi="標楷體"/>
        </w:rPr>
        <w:t>2.限使用標準劑量，為Myozyme 20 mg/kg/every 2 weeks，如需使用至高劑量(40 mg/Kg/every 2 weeks)，僅限下列條件：</w:t>
      </w:r>
    </w:p>
    <w:p w14:paraId="13589BA0" w14:textId="77777777" w:rsidR="00BD776B" w:rsidRDefault="00DF0C24">
      <w:pPr>
        <w:ind w:left="1133" w:hanging="252"/>
        <w:rPr>
          <w:rFonts w:ascii="標楷體" w:eastAsia="標楷體" w:hAnsi="標楷體"/>
        </w:rPr>
      </w:pPr>
      <w:r>
        <w:rPr>
          <w:rFonts w:ascii="標楷體" w:eastAsia="標楷體" w:hAnsi="標楷體"/>
        </w:rPr>
        <w:t>(1)嬰兒型龐貝氏症：未滿1歲前發病。</w:t>
      </w:r>
    </w:p>
    <w:p w14:paraId="495716AD" w14:textId="77777777" w:rsidR="00BD776B" w:rsidRDefault="00DF0C24">
      <w:pPr>
        <w:ind w:left="1275" w:hanging="394"/>
        <w:rPr>
          <w:rFonts w:ascii="標楷體" w:eastAsia="標楷體" w:hAnsi="標楷體"/>
        </w:rPr>
      </w:pPr>
      <w:r>
        <w:rPr>
          <w:rFonts w:ascii="標楷體" w:eastAsia="標楷體" w:hAnsi="標楷體"/>
        </w:rPr>
        <w:t>(2)晚發型龐貝氏症：Myozyme 20 mg/kg/every 2 weeks用藥後，病情無法持續改善，或疾病已惡化。</w:t>
      </w:r>
    </w:p>
    <w:p w14:paraId="2D0DC49D" w14:textId="77777777" w:rsidR="00BD776B" w:rsidRDefault="00DF0C24">
      <w:pPr>
        <w:ind w:left="708" w:hanging="252"/>
        <w:rPr>
          <w:rFonts w:ascii="標楷體" w:eastAsia="標楷體" w:hAnsi="標楷體"/>
        </w:rPr>
      </w:pPr>
      <w:r>
        <w:rPr>
          <w:rFonts w:ascii="標楷體" w:eastAsia="標楷體" w:hAnsi="標楷體"/>
        </w:rPr>
        <w:t>3.需經事前審查核准後使用，並應定期追蹤評估患者下列事項之治療效果，每次申請以1年為限，期滿需經再次申請核准後，始得續用：</w:t>
      </w:r>
    </w:p>
    <w:p w14:paraId="043C85BE" w14:textId="77777777" w:rsidR="00BD776B" w:rsidRDefault="00DF0C24">
      <w:pPr>
        <w:ind w:left="1275" w:hanging="394"/>
        <w:rPr>
          <w:rFonts w:ascii="標楷體" w:eastAsia="標楷體" w:hAnsi="標楷體"/>
        </w:rPr>
      </w:pPr>
      <w:r>
        <w:rPr>
          <w:rFonts w:ascii="標楷體" w:eastAsia="標楷體" w:hAnsi="標楷體"/>
        </w:rPr>
        <w:t>(1)嬰兒型龐貝氏症追蹤事項：肝功能、腎功能、肌酸激酶(CK)、尿液Glc4、心電圖、心臟超音波、肌力以及整體發展，至少1年2次。抗體測定至少每年1次。治療目標為心臟肥大現象改善或穩定，肌肉無力現象改善或穩定，肌酸激酶(CK)數值改善或穩定，尿液Glc4數值改善或穩定，整體發展持續進步、穩定或減緩退化的速度。</w:t>
      </w:r>
    </w:p>
    <w:p w14:paraId="20E3812C" w14:textId="77777777" w:rsidR="00BD776B" w:rsidRDefault="00DF0C24">
      <w:pPr>
        <w:ind w:left="1275" w:hanging="394"/>
        <w:rPr>
          <w:rFonts w:ascii="標楷體" w:eastAsia="標楷體" w:hAnsi="標楷體"/>
        </w:rPr>
      </w:pPr>
      <w:r>
        <w:rPr>
          <w:rFonts w:ascii="標楷體" w:eastAsia="標楷體" w:hAnsi="標楷體"/>
        </w:rPr>
        <w:t>(2)晚發型龐貝氏症追蹤事項：肝功能、腎功能、肌酸激酶(CK)、尿液Glc4、肺功能、肌力以及整體發展，至少1年2次。抗體測定至少每年1次。治療目標為肌肉無力現象改善或穩定，肌酸激酶CK數值改善或穩定，尿液Glc4數值改善或穩定，整體發展持續進步、穩定或減緩退化的速度。</w:t>
      </w:r>
    </w:p>
    <w:p w14:paraId="52DF42D6" w14:textId="77777777" w:rsidR="00BD776B" w:rsidRDefault="00DF0C24" w:rsidP="00760271">
      <w:pPr>
        <w:ind w:left="142"/>
        <w:rPr>
          <w:rFonts w:ascii="標楷體" w:eastAsia="標楷體" w:hAnsi="標楷體"/>
        </w:rPr>
      </w:pPr>
      <w:r>
        <w:rPr>
          <w:rFonts w:ascii="標楷體" w:eastAsia="標楷體" w:hAnsi="標楷體"/>
        </w:rPr>
        <w:t>3.3.22. CRRT non Ca dialysate：（111/4/1）</w:t>
      </w:r>
    </w:p>
    <w:p w14:paraId="5A13DB04" w14:textId="77777777" w:rsidR="00BD776B" w:rsidRDefault="00DF0C24">
      <w:pPr>
        <w:ind w:left="1275" w:hanging="394"/>
        <w:rPr>
          <w:rFonts w:ascii="標楷體" w:eastAsia="標楷體" w:hAnsi="標楷體"/>
        </w:rPr>
      </w:pPr>
      <w:r>
        <w:rPr>
          <w:rFonts w:ascii="標楷體" w:eastAsia="標楷體" w:hAnsi="標楷體"/>
        </w:rPr>
        <w:t>須符合下列各項條件：</w:t>
      </w:r>
    </w:p>
    <w:p w14:paraId="46C60909" w14:textId="77777777" w:rsidR="00BD776B" w:rsidRDefault="00DF0C24">
      <w:pPr>
        <w:ind w:left="850" w:hanging="394"/>
        <w:rPr>
          <w:rFonts w:ascii="標楷體" w:eastAsia="標楷體" w:hAnsi="標楷體"/>
        </w:rPr>
      </w:pPr>
      <w:r>
        <w:rPr>
          <w:rFonts w:ascii="標楷體" w:eastAsia="標楷體" w:hAnsi="標楷體"/>
        </w:rPr>
        <w:t>1.</w:t>
      </w:r>
      <w:r>
        <w:rPr>
          <w:rFonts w:ascii="標楷體" w:eastAsia="標楷體" w:hAnsi="標楷體"/>
        </w:rPr>
        <w:tab/>
        <w:t>接受連續性靜脈血液透析(CVVHD)且不適用heparin抗凝之病人，以局部檸檬酸鹽抗凝法 (regional citrate anticoagulation)使用本品作為透析液。</w:t>
      </w:r>
    </w:p>
    <w:p w14:paraId="36557D48" w14:textId="77777777" w:rsidR="00BD776B" w:rsidRDefault="00DF0C24">
      <w:pPr>
        <w:ind w:left="850" w:hanging="394"/>
        <w:rPr>
          <w:rFonts w:ascii="標楷體" w:eastAsia="標楷體" w:hAnsi="標楷體"/>
        </w:rPr>
      </w:pPr>
      <w:r>
        <w:rPr>
          <w:rFonts w:ascii="標楷體" w:eastAsia="標楷體" w:hAnsi="標楷體"/>
        </w:rPr>
        <w:t>2.</w:t>
      </w:r>
      <w:r>
        <w:rPr>
          <w:rFonts w:ascii="標楷體" w:eastAsia="標楷體" w:hAnsi="標楷體"/>
        </w:rPr>
        <w:tab/>
        <w:t xml:space="preserve">與4%檸檬酸鈉溶液(如A.C.D.-4 Solution "S.T.")及鈣補充液(如Support </w:t>
      </w:r>
      <w:r>
        <w:rPr>
          <w:rFonts w:ascii="標楷體" w:eastAsia="標楷體" w:hAnsi="標楷體"/>
        </w:rPr>
        <w:lastRenderedPageBreak/>
        <w:t>Cal 1.47% CaCl2)合併使用。</w:t>
      </w:r>
    </w:p>
    <w:p w14:paraId="08B3F2ED" w14:textId="77777777" w:rsidR="00BD776B" w:rsidRDefault="00DF0C24" w:rsidP="00760271">
      <w:pPr>
        <w:ind w:left="142"/>
        <w:rPr>
          <w:rFonts w:ascii="標楷體" w:eastAsia="標楷體" w:hAnsi="標楷體"/>
        </w:rPr>
      </w:pPr>
      <w:r>
        <w:rPr>
          <w:rFonts w:ascii="標楷體" w:eastAsia="標楷體" w:hAnsi="標楷體"/>
        </w:rPr>
        <w:t>3.3.23. 4%檸檬酸鈉溶液(如A.C.D.-4 Solution "S.T.")：（111/4/1）</w:t>
      </w:r>
    </w:p>
    <w:p w14:paraId="7A7B1150" w14:textId="77777777" w:rsidR="00BD776B" w:rsidRDefault="00DF0C24">
      <w:pPr>
        <w:ind w:left="1217" w:hanging="394"/>
        <w:rPr>
          <w:rFonts w:ascii="標楷體" w:eastAsia="標楷體" w:hAnsi="標楷體"/>
        </w:rPr>
      </w:pPr>
      <w:r>
        <w:rPr>
          <w:rFonts w:ascii="標楷體" w:eastAsia="標楷體" w:hAnsi="標楷體"/>
        </w:rPr>
        <w:t>須符合下列各項條件：</w:t>
      </w:r>
    </w:p>
    <w:p w14:paraId="5E541223" w14:textId="77777777" w:rsidR="00BD776B" w:rsidRDefault="00DF0C24">
      <w:pPr>
        <w:ind w:left="850" w:hanging="394"/>
        <w:rPr>
          <w:rFonts w:ascii="標楷體" w:eastAsia="標楷體" w:hAnsi="標楷體"/>
        </w:rPr>
      </w:pPr>
      <w:r>
        <w:rPr>
          <w:rFonts w:ascii="標楷體" w:eastAsia="標楷體" w:hAnsi="標楷體"/>
        </w:rPr>
        <w:t>1.</w:t>
      </w:r>
      <w:r>
        <w:rPr>
          <w:rFonts w:ascii="標楷體" w:eastAsia="標楷體" w:hAnsi="標楷體"/>
        </w:rPr>
        <w:tab/>
        <w:t>接受連續性靜脈血液透析(CVVHD)且不適用heparin抗凝之病人，以局部檸檬酸鹽抗凝法 (regional citrate anticoagulation)使用本品作為抗凝劑。</w:t>
      </w:r>
    </w:p>
    <w:p w14:paraId="5A48AE17" w14:textId="77777777" w:rsidR="00BD776B" w:rsidRDefault="00DF0C24">
      <w:pPr>
        <w:ind w:left="850" w:hanging="394"/>
        <w:rPr>
          <w:rFonts w:ascii="標楷體" w:eastAsia="標楷體" w:hAnsi="標楷體"/>
        </w:rPr>
      </w:pPr>
      <w:r>
        <w:rPr>
          <w:rFonts w:ascii="標楷體" w:eastAsia="標楷體" w:hAnsi="標楷體"/>
        </w:rPr>
        <w:t>2.</w:t>
      </w:r>
      <w:r>
        <w:rPr>
          <w:rFonts w:ascii="標楷體" w:eastAsia="標楷體" w:hAnsi="標楷體"/>
        </w:rPr>
        <w:tab/>
        <w:t>與CRRT non Ca dialysate及鈣補充液(如Support Cal 1.47% CaCl2)合併使用。</w:t>
      </w:r>
    </w:p>
    <w:p w14:paraId="314B9F58" w14:textId="77777777" w:rsidR="00BD776B" w:rsidRDefault="00DF0C24" w:rsidP="00760271">
      <w:pPr>
        <w:ind w:left="142"/>
        <w:rPr>
          <w:rFonts w:ascii="標楷體" w:eastAsia="標楷體" w:hAnsi="標楷體"/>
        </w:rPr>
      </w:pPr>
      <w:r>
        <w:rPr>
          <w:rFonts w:ascii="標楷體" w:eastAsia="標楷體" w:hAnsi="標楷體"/>
        </w:rPr>
        <w:t>3.3.24. Support Cal 1.47% CaCl2：（111/4/1）</w:t>
      </w:r>
    </w:p>
    <w:p w14:paraId="3D2CB787" w14:textId="77777777" w:rsidR="00BD776B" w:rsidRDefault="00DF0C24">
      <w:pPr>
        <w:ind w:left="1275" w:hanging="394"/>
        <w:rPr>
          <w:rFonts w:ascii="標楷體" w:eastAsia="標楷體" w:hAnsi="標楷體"/>
        </w:rPr>
      </w:pPr>
      <w:r>
        <w:rPr>
          <w:rFonts w:ascii="標楷體" w:eastAsia="標楷體" w:hAnsi="標楷體"/>
        </w:rPr>
        <w:t>須符合下列各項條件：</w:t>
      </w:r>
    </w:p>
    <w:p w14:paraId="77899799" w14:textId="77777777" w:rsidR="00BD776B" w:rsidRDefault="00DF0C24">
      <w:pPr>
        <w:ind w:left="850" w:hanging="394"/>
        <w:rPr>
          <w:rFonts w:ascii="標楷體" w:eastAsia="標楷體" w:hAnsi="標楷體"/>
        </w:rPr>
      </w:pPr>
      <w:r>
        <w:rPr>
          <w:rFonts w:ascii="標楷體" w:eastAsia="標楷體" w:hAnsi="標楷體"/>
        </w:rPr>
        <w:t>1.</w:t>
      </w:r>
      <w:r>
        <w:rPr>
          <w:rFonts w:ascii="標楷體" w:eastAsia="標楷體" w:hAnsi="標楷體"/>
        </w:rPr>
        <w:tab/>
        <w:t>接受連續性靜脈血液透析(CVVHD)且不適用heparin抗凝之病人，以局部檸檬酸鹽抗凝法 (regional citrate anticoagulation)使用本品作為鈣補充液。</w:t>
      </w:r>
    </w:p>
    <w:p w14:paraId="7489B573" w14:textId="77777777" w:rsidR="00BD776B" w:rsidRDefault="00DF0C24">
      <w:pPr>
        <w:ind w:left="850" w:hanging="394"/>
        <w:rPr>
          <w:rFonts w:ascii="標楷體" w:eastAsia="標楷體" w:hAnsi="標楷體"/>
        </w:rPr>
      </w:pPr>
      <w:r>
        <w:rPr>
          <w:rFonts w:ascii="標楷體" w:eastAsia="標楷體" w:hAnsi="標楷體"/>
        </w:rPr>
        <w:t>2. 與CRRT non Ca dialysate及4%檸檬酸鈉溶液(如A.C.D.-4 Solution "S.T.")合併使用。</w:t>
      </w:r>
    </w:p>
    <w:p w14:paraId="6202FA21" w14:textId="77777777" w:rsidR="00BD776B" w:rsidRDefault="00DF0C24" w:rsidP="00760271">
      <w:pPr>
        <w:ind w:left="567" w:hanging="394"/>
        <w:rPr>
          <w:rFonts w:ascii="標楷體" w:eastAsia="標楷體" w:hAnsi="標楷體"/>
          <w:szCs w:val="28"/>
        </w:rPr>
      </w:pPr>
      <w:r>
        <w:rPr>
          <w:rFonts w:ascii="標楷體" w:eastAsia="標楷體" w:hAnsi="標楷體"/>
          <w:szCs w:val="28"/>
        </w:rPr>
        <w:t xml:space="preserve"> 3.3.25.Chenodeoxycholic acid (111/6/1)</w:t>
      </w:r>
    </w:p>
    <w:p w14:paraId="2742BFD9" w14:textId="77777777" w:rsidR="00BD776B" w:rsidRDefault="00DF0C24">
      <w:pPr>
        <w:suppressAutoHyphens w:val="0"/>
        <w:spacing w:line="480" w:lineRule="exact"/>
        <w:ind w:left="708" w:hanging="283"/>
        <w:textAlignment w:val="auto"/>
        <w:rPr>
          <w:rFonts w:ascii="標楷體" w:eastAsia="標楷體" w:hAnsi="標楷體"/>
          <w:szCs w:val="28"/>
        </w:rPr>
      </w:pPr>
      <w:r>
        <w:rPr>
          <w:rFonts w:ascii="標楷體" w:eastAsia="標楷體" w:hAnsi="標楷體"/>
          <w:szCs w:val="28"/>
        </w:rPr>
        <w:t>1.限用於因缺乏固醇27-羥化酶(sterol 27-hydroxylase)而導致的先天性膽酸合成障礙(呈現症狀為腦腱性黃瘤症)之1個月齡以上的病人。</w:t>
      </w:r>
    </w:p>
    <w:p w14:paraId="46C6A4F9" w14:textId="77777777" w:rsidR="00BD776B" w:rsidRDefault="00DF0C24">
      <w:pPr>
        <w:suppressAutoHyphens w:val="0"/>
        <w:spacing w:line="480" w:lineRule="exact"/>
        <w:ind w:left="708" w:hanging="283"/>
        <w:textAlignment w:val="auto"/>
        <w:rPr>
          <w:rFonts w:ascii="標楷體" w:eastAsia="標楷體" w:hAnsi="標楷體"/>
          <w:szCs w:val="28"/>
        </w:rPr>
      </w:pPr>
      <w:r>
        <w:rPr>
          <w:rFonts w:ascii="標楷體" w:eastAsia="標楷體" w:hAnsi="標楷體"/>
          <w:szCs w:val="28"/>
        </w:rPr>
        <w:t>2.需經事前審查後核准後使用，每次申請以1年為限，期滿需經再次申請核准後，始得續用。</w:t>
      </w:r>
    </w:p>
    <w:p w14:paraId="4DB3C6B0" w14:textId="77777777" w:rsidR="00BD776B" w:rsidRDefault="00DF0C24">
      <w:pPr>
        <w:suppressAutoHyphens w:val="0"/>
        <w:spacing w:line="480" w:lineRule="exact"/>
        <w:ind w:left="425"/>
        <w:textAlignment w:val="auto"/>
        <w:rPr>
          <w:rFonts w:ascii="標楷體" w:eastAsia="標楷體" w:hAnsi="標楷體"/>
          <w:szCs w:val="28"/>
        </w:rPr>
      </w:pPr>
      <w:r>
        <w:rPr>
          <w:rFonts w:ascii="標楷體" w:eastAsia="標楷體" w:hAnsi="標楷體"/>
          <w:szCs w:val="28"/>
        </w:rPr>
        <w:t>3.符合下列任一條件，應停止治療：</w:t>
      </w:r>
    </w:p>
    <w:p w14:paraId="04DA2CCD" w14:textId="77777777" w:rsidR="00BD776B" w:rsidRDefault="00DF0C24">
      <w:pPr>
        <w:suppressAutoHyphens w:val="0"/>
        <w:spacing w:line="480" w:lineRule="exact"/>
        <w:ind w:left="850"/>
        <w:textAlignment w:val="auto"/>
        <w:rPr>
          <w:rFonts w:ascii="標楷體" w:eastAsia="標楷體" w:hAnsi="標楷體"/>
          <w:szCs w:val="28"/>
        </w:rPr>
      </w:pPr>
      <w:r>
        <w:rPr>
          <w:rFonts w:ascii="標楷體" w:eastAsia="標楷體" w:hAnsi="標楷體"/>
          <w:szCs w:val="28"/>
        </w:rPr>
        <w:t>(1)肝功能指數(SGPT，SGOT)上升高於基礎值。</w:t>
      </w:r>
    </w:p>
    <w:p w14:paraId="40F5664D" w14:textId="77777777" w:rsidR="00BD776B" w:rsidRDefault="00DF0C24">
      <w:pPr>
        <w:suppressAutoHyphens w:val="0"/>
        <w:spacing w:line="480" w:lineRule="exact"/>
        <w:ind w:left="850"/>
        <w:textAlignment w:val="auto"/>
        <w:rPr>
          <w:rFonts w:ascii="標楷體" w:eastAsia="標楷體" w:hAnsi="標楷體"/>
          <w:szCs w:val="28"/>
        </w:rPr>
      </w:pPr>
      <w:r>
        <w:rPr>
          <w:rFonts w:ascii="標楷體" w:eastAsia="標楷體" w:hAnsi="標楷體"/>
          <w:szCs w:val="28"/>
        </w:rPr>
        <w:t>(2)膽甾烷醇(Cholestanol)上升高於基礎值。</w:t>
      </w:r>
    </w:p>
    <w:p w14:paraId="216269CC" w14:textId="77777777" w:rsidR="00BD776B" w:rsidRDefault="00DF0C24">
      <w:pPr>
        <w:suppressAutoHyphens w:val="0"/>
        <w:spacing w:line="480" w:lineRule="exact"/>
        <w:ind w:left="850"/>
        <w:textAlignment w:val="auto"/>
        <w:rPr>
          <w:rFonts w:ascii="標楷體" w:eastAsia="標楷體" w:hAnsi="標楷體"/>
          <w:szCs w:val="28"/>
        </w:rPr>
      </w:pPr>
      <w:r>
        <w:rPr>
          <w:rFonts w:ascii="標楷體" w:eastAsia="標楷體" w:hAnsi="標楷體"/>
          <w:szCs w:val="28"/>
        </w:rPr>
        <w:t>(3)凝血酶原時間延長，高於基礎值。</w:t>
      </w:r>
    </w:p>
    <w:p w14:paraId="57817812" w14:textId="77777777" w:rsidR="00BD776B" w:rsidRDefault="00DF0C24">
      <w:pPr>
        <w:suppressAutoHyphens w:val="0"/>
        <w:spacing w:line="480" w:lineRule="exact"/>
        <w:ind w:left="850"/>
        <w:textAlignment w:val="auto"/>
        <w:rPr>
          <w:rFonts w:ascii="標楷體" w:eastAsia="標楷體" w:hAnsi="標楷體"/>
          <w:szCs w:val="28"/>
        </w:rPr>
      </w:pPr>
      <w:r>
        <w:rPr>
          <w:rFonts w:ascii="標楷體" w:eastAsia="標楷體" w:hAnsi="標楷體"/>
          <w:szCs w:val="28"/>
        </w:rPr>
        <w:t>(4)連續2年追蹤，神經系統功能無法進步或穩定，逐漸退化。</w:t>
      </w:r>
    </w:p>
    <w:p w14:paraId="1CE836E3" w14:textId="77777777" w:rsidR="00BD776B" w:rsidRDefault="00DF0C24" w:rsidP="00760271">
      <w:pPr>
        <w:ind w:left="142"/>
        <w:rPr>
          <w:rFonts w:ascii="標楷體" w:eastAsia="標楷體" w:hAnsi="標楷體"/>
          <w:szCs w:val="28"/>
        </w:rPr>
      </w:pPr>
      <w:r>
        <w:rPr>
          <w:rFonts w:ascii="標楷體" w:eastAsia="標楷體" w:hAnsi="標楷體"/>
          <w:szCs w:val="28"/>
        </w:rPr>
        <w:t>3.3.26.Alfa-avalglucosidase（如 Nexviazyme）（112/4/1）</w:t>
      </w:r>
    </w:p>
    <w:p w14:paraId="138E6EF8" w14:textId="77777777" w:rsidR="00BD776B" w:rsidRDefault="00DF0C24">
      <w:pPr>
        <w:suppressAutoHyphens w:val="0"/>
        <w:spacing w:line="480" w:lineRule="exact"/>
        <w:ind w:left="806" w:hanging="240"/>
        <w:textAlignment w:val="auto"/>
        <w:rPr>
          <w:rFonts w:ascii="標楷體" w:eastAsia="標楷體" w:hAnsi="標楷體"/>
          <w:szCs w:val="28"/>
        </w:rPr>
      </w:pPr>
      <w:r>
        <w:rPr>
          <w:rFonts w:ascii="標楷體" w:eastAsia="標楷體" w:hAnsi="標楷體"/>
          <w:szCs w:val="28"/>
        </w:rPr>
        <w:t>1.用於確診為主管機關認定之6個月以上龐貝氏症患者，限由具兒科專科醫師證書，且經小兒遺傳及內分泌新陳代謝科或小兒神經科訓練之醫師，或具神經科專科醫師證書之醫師處方使用，並應於病歷詳實記載病程、確診之檢驗資料及治療反應，亦應符合下列任一條件：</w:t>
      </w:r>
    </w:p>
    <w:p w14:paraId="5A43E507" w14:textId="77777777" w:rsidR="00BD776B" w:rsidRDefault="00DF0C24">
      <w:pPr>
        <w:suppressAutoHyphens w:val="0"/>
        <w:spacing w:line="480" w:lineRule="exact"/>
        <w:ind w:left="1046" w:hanging="240"/>
        <w:textAlignment w:val="auto"/>
        <w:rPr>
          <w:rFonts w:ascii="標楷體" w:eastAsia="標楷體" w:hAnsi="標楷體"/>
          <w:szCs w:val="28"/>
        </w:rPr>
      </w:pPr>
      <w:r>
        <w:rPr>
          <w:rFonts w:ascii="標楷體" w:eastAsia="標楷體" w:hAnsi="標楷體"/>
          <w:szCs w:val="28"/>
        </w:rPr>
        <w:t>(1)嬰兒型龐貝氏症為未滿1歲前發病，包括出現肌肉無力、心室肥大、肌酸激酶（CK）升高、或肌肉切片顯示有肝醣堆積者。</w:t>
      </w:r>
    </w:p>
    <w:p w14:paraId="79B61B93" w14:textId="77777777" w:rsidR="00BD776B" w:rsidRDefault="00DF0C24">
      <w:pPr>
        <w:suppressAutoHyphens w:val="0"/>
        <w:spacing w:line="480" w:lineRule="exact"/>
        <w:ind w:left="1046" w:hanging="240"/>
        <w:textAlignment w:val="auto"/>
        <w:rPr>
          <w:rFonts w:ascii="標楷體" w:eastAsia="標楷體" w:hAnsi="標楷體"/>
          <w:szCs w:val="28"/>
        </w:rPr>
      </w:pPr>
      <w:r>
        <w:rPr>
          <w:rFonts w:ascii="標楷體" w:eastAsia="標楷體" w:hAnsi="標楷體"/>
          <w:szCs w:val="28"/>
        </w:rPr>
        <w:t>(2)晚發型龐貝氏症為滿1歲後發病，包括出現肌肉無力、肌酸激酶（CK）持續升高、或肌肉切片顯示有肝醣堆積者。</w:t>
      </w:r>
    </w:p>
    <w:p w14:paraId="5A4CD508" w14:textId="77777777" w:rsidR="00BD776B" w:rsidRDefault="00DF0C24">
      <w:pPr>
        <w:suppressAutoHyphens w:val="0"/>
        <w:spacing w:line="480" w:lineRule="exact"/>
        <w:ind w:left="566"/>
        <w:textAlignment w:val="auto"/>
        <w:rPr>
          <w:rFonts w:ascii="標楷體" w:eastAsia="標楷體" w:hAnsi="標楷體"/>
          <w:szCs w:val="28"/>
        </w:rPr>
      </w:pPr>
      <w:r>
        <w:rPr>
          <w:rFonts w:ascii="標楷體" w:eastAsia="標楷體" w:hAnsi="標楷體"/>
          <w:szCs w:val="28"/>
        </w:rPr>
        <w:t>2.使用劑量如下：</w:t>
      </w:r>
    </w:p>
    <w:p w14:paraId="50956CD8" w14:textId="77777777" w:rsidR="00BD776B" w:rsidRDefault="00DF0C24">
      <w:pPr>
        <w:suppressAutoHyphens w:val="0"/>
        <w:spacing w:line="480" w:lineRule="exact"/>
        <w:ind w:left="806"/>
        <w:textAlignment w:val="auto"/>
        <w:rPr>
          <w:rFonts w:ascii="標楷體" w:eastAsia="標楷體" w:hAnsi="標楷體"/>
          <w:szCs w:val="28"/>
        </w:rPr>
      </w:pPr>
      <w:r>
        <w:rPr>
          <w:rFonts w:ascii="標楷體" w:eastAsia="標楷體" w:hAnsi="標楷體"/>
          <w:szCs w:val="28"/>
        </w:rPr>
        <w:lastRenderedPageBreak/>
        <w:t>(1)嬰兒型龐貝氏症劑量為40 mg/kg/every 2 weeks</w:t>
      </w:r>
    </w:p>
    <w:p w14:paraId="0F7D8B9D" w14:textId="77777777" w:rsidR="00BD776B" w:rsidRDefault="00DF0C24">
      <w:pPr>
        <w:suppressAutoHyphens w:val="0"/>
        <w:spacing w:line="480" w:lineRule="exact"/>
        <w:ind w:left="806"/>
        <w:textAlignment w:val="auto"/>
        <w:rPr>
          <w:rFonts w:ascii="標楷體" w:eastAsia="標楷體" w:hAnsi="標楷體"/>
          <w:szCs w:val="28"/>
        </w:rPr>
      </w:pPr>
      <w:r>
        <w:rPr>
          <w:rFonts w:ascii="標楷體" w:eastAsia="標楷體" w:hAnsi="標楷體"/>
          <w:szCs w:val="28"/>
        </w:rPr>
        <w:t xml:space="preserve">(2)晚發型龐貝氏症: </w:t>
      </w:r>
    </w:p>
    <w:p w14:paraId="5E61C426" w14:textId="77777777" w:rsidR="00BD776B" w:rsidRDefault="00DF0C24">
      <w:pPr>
        <w:suppressAutoHyphens w:val="0"/>
        <w:spacing w:line="480" w:lineRule="exact"/>
        <w:ind w:left="1046"/>
        <w:textAlignment w:val="auto"/>
        <w:rPr>
          <w:rFonts w:ascii="標楷體" w:eastAsia="標楷體" w:hAnsi="標楷體"/>
          <w:szCs w:val="28"/>
        </w:rPr>
      </w:pPr>
      <w:r>
        <w:rPr>
          <w:rFonts w:ascii="標楷體" w:eastAsia="標楷體" w:hAnsi="標楷體"/>
          <w:szCs w:val="28"/>
        </w:rPr>
        <w:t>Ⅰ.大於或等於30 kg，劑量為20 mg/kg/every 2 weeks</w:t>
      </w:r>
    </w:p>
    <w:p w14:paraId="67AED5E5" w14:textId="77777777" w:rsidR="00BD776B" w:rsidRDefault="00DF0C24">
      <w:pPr>
        <w:suppressAutoHyphens w:val="0"/>
        <w:spacing w:line="480" w:lineRule="exact"/>
        <w:ind w:left="1046"/>
        <w:textAlignment w:val="auto"/>
        <w:rPr>
          <w:rFonts w:ascii="標楷體" w:eastAsia="標楷體" w:hAnsi="標楷體"/>
          <w:szCs w:val="28"/>
        </w:rPr>
      </w:pPr>
      <w:r>
        <w:rPr>
          <w:rFonts w:ascii="標楷體" w:eastAsia="標楷體" w:hAnsi="標楷體"/>
          <w:szCs w:val="28"/>
        </w:rPr>
        <w:t>Ⅱ.小於30 kg，劑量為40 mg/kg/ every 2 weeks</w:t>
      </w:r>
    </w:p>
    <w:p w14:paraId="3950A834" w14:textId="77777777" w:rsidR="00BD776B" w:rsidRDefault="00DF0C24">
      <w:pPr>
        <w:suppressAutoHyphens w:val="0"/>
        <w:spacing w:line="480" w:lineRule="exact"/>
        <w:ind w:left="806" w:hanging="240"/>
        <w:textAlignment w:val="auto"/>
        <w:rPr>
          <w:rFonts w:ascii="標楷體" w:eastAsia="標楷體" w:hAnsi="標楷體"/>
          <w:szCs w:val="28"/>
        </w:rPr>
      </w:pPr>
      <w:r>
        <w:rPr>
          <w:rFonts w:ascii="標楷體" w:eastAsia="標楷體" w:hAnsi="標楷體"/>
          <w:szCs w:val="28"/>
        </w:rPr>
        <w:t>3.需經事前審查核准後使用，並應定期追蹤評估患者下列事項之治療效果，每次申請以1年為限，期滿需經再次申請核准後，始得續用：</w:t>
      </w:r>
    </w:p>
    <w:p w14:paraId="6651AFF3" w14:textId="77777777" w:rsidR="00BD776B" w:rsidRDefault="00DF0C24">
      <w:pPr>
        <w:suppressAutoHyphens w:val="0"/>
        <w:spacing w:line="480" w:lineRule="exact"/>
        <w:ind w:left="1046" w:hanging="240"/>
        <w:textAlignment w:val="auto"/>
        <w:rPr>
          <w:rFonts w:ascii="標楷體" w:eastAsia="標楷體" w:hAnsi="標楷體"/>
          <w:szCs w:val="28"/>
        </w:rPr>
      </w:pPr>
      <w:r>
        <w:rPr>
          <w:rFonts w:ascii="標楷體" w:eastAsia="標楷體" w:hAnsi="標楷體"/>
          <w:szCs w:val="28"/>
        </w:rPr>
        <w:t>(1)嬰兒型龐貝氏症追蹤事項：肝功能、腎功能、肌酸激酶(CK)、尿液Glc4、心電圖、心臟超音波、肌力以及整體發展，至少1年2次。抗體測定至少每年1次。治療目標為心臟肥大現象改善或穩定，肌肉無力現象改善或穩定，肌酸激酶(CK)數值改善或穩定，尿液Glc4數值改善或穩定，整體發展持續進步、穩定或減緩退化的速度。</w:t>
      </w:r>
    </w:p>
    <w:p w14:paraId="66D7EE0B" w14:textId="77777777" w:rsidR="00BD776B" w:rsidRDefault="00DF0C24">
      <w:pPr>
        <w:suppressAutoHyphens w:val="0"/>
        <w:spacing w:line="480" w:lineRule="exact"/>
        <w:ind w:left="1046" w:hanging="240"/>
        <w:textAlignment w:val="auto"/>
        <w:rPr>
          <w:rFonts w:ascii="標楷體" w:eastAsia="標楷體" w:hAnsi="標楷體"/>
          <w:szCs w:val="28"/>
        </w:rPr>
      </w:pPr>
      <w:r>
        <w:rPr>
          <w:rFonts w:ascii="標楷體" w:eastAsia="標楷體" w:hAnsi="標楷體"/>
          <w:szCs w:val="28"/>
        </w:rPr>
        <w:t>(2)晚發型龐貝氏症追蹤事項：肝功能、腎功能、肌酸激酶(CK)、尿液Glc4、肺功能、肌力以及整體發展，至少1年2次。抗體測定至少每年1次。治療目標為肌肉無力現象改善或穩定，肌酸激酶CK數值改善或穩定，尿液Glc4數值改善或穩定，整體發展持續進步、穩定或減緩退化的速度。</w:t>
      </w:r>
    </w:p>
    <w:p w14:paraId="04D40400" w14:textId="77777777" w:rsidR="00BD776B" w:rsidRDefault="00DF0C24">
      <w:pPr>
        <w:suppressAutoHyphens w:val="0"/>
        <w:spacing w:line="480" w:lineRule="exact"/>
        <w:ind w:left="566"/>
        <w:textAlignment w:val="auto"/>
        <w:rPr>
          <w:rFonts w:ascii="標楷體" w:eastAsia="標楷體" w:hAnsi="標楷體"/>
          <w:szCs w:val="28"/>
        </w:rPr>
      </w:pPr>
      <w:r>
        <w:rPr>
          <w:rFonts w:ascii="標楷體" w:eastAsia="標楷體" w:hAnsi="標楷體"/>
          <w:szCs w:val="28"/>
        </w:rPr>
        <w:t>4.有以下任一情形，則立即停藥：</w:t>
      </w:r>
    </w:p>
    <w:p w14:paraId="54AA2BF8" w14:textId="77777777" w:rsidR="00BD776B" w:rsidRDefault="00DF0C24">
      <w:pPr>
        <w:suppressAutoHyphens w:val="0"/>
        <w:spacing w:line="480" w:lineRule="exact"/>
        <w:ind w:left="1046" w:hanging="240"/>
        <w:textAlignment w:val="auto"/>
        <w:rPr>
          <w:rFonts w:ascii="標楷體" w:eastAsia="標楷體" w:hAnsi="標楷體"/>
          <w:szCs w:val="28"/>
        </w:rPr>
      </w:pPr>
      <w:r>
        <w:rPr>
          <w:rFonts w:ascii="標楷體" w:eastAsia="標楷體" w:hAnsi="標楷體"/>
          <w:szCs w:val="28"/>
        </w:rPr>
        <w:t>(1)出現嚴重的輸注過敏反應。</w:t>
      </w:r>
    </w:p>
    <w:p w14:paraId="1F65BD3C" w14:textId="77777777" w:rsidR="00BD776B" w:rsidRDefault="00DF0C24">
      <w:pPr>
        <w:suppressAutoHyphens w:val="0"/>
        <w:spacing w:line="480" w:lineRule="exact"/>
        <w:ind w:left="1046" w:hanging="240"/>
        <w:textAlignment w:val="auto"/>
        <w:rPr>
          <w:rFonts w:ascii="標楷體" w:eastAsia="標楷體" w:hAnsi="標楷體"/>
          <w:szCs w:val="28"/>
        </w:rPr>
      </w:pPr>
      <w:r>
        <w:rPr>
          <w:rFonts w:ascii="標楷體" w:eastAsia="標楷體" w:hAnsi="標楷體"/>
          <w:szCs w:val="28"/>
        </w:rPr>
        <w:t>(2)運動或呼吸功能的衰退速率與治療前相似，治療至病人達運動功能末期(上肢及下肢肌力皆小於或等於2)與24小時呼吸器依賴時。</w:t>
      </w:r>
    </w:p>
    <w:p w14:paraId="1D196F1B" w14:textId="77777777" w:rsidR="00BD776B" w:rsidRDefault="00DF0C24">
      <w:pPr>
        <w:suppressAutoHyphens w:val="0"/>
        <w:spacing w:line="480" w:lineRule="exact"/>
        <w:ind w:left="610"/>
        <w:textAlignment w:val="auto"/>
        <w:rPr>
          <w:rFonts w:ascii="標楷體" w:eastAsia="標楷體" w:hAnsi="標楷體"/>
          <w:szCs w:val="28"/>
        </w:rPr>
      </w:pPr>
      <w:r>
        <w:rPr>
          <w:rFonts w:ascii="標楷體" w:eastAsia="標楷體" w:hAnsi="標楷體"/>
          <w:szCs w:val="28"/>
        </w:rPr>
        <w:t>5.本藥品不能與alpha-glucosidase合併使用。</w:t>
      </w:r>
    </w:p>
    <w:p w14:paraId="73C81D25" w14:textId="77777777" w:rsidR="00BD776B" w:rsidRDefault="00DF0C24" w:rsidP="00760271">
      <w:pPr>
        <w:ind w:left="142"/>
        <w:rPr>
          <w:rFonts w:ascii="標楷體" w:eastAsia="標楷體" w:hAnsi="標楷體"/>
          <w:szCs w:val="28"/>
        </w:rPr>
      </w:pPr>
      <w:r>
        <w:rPr>
          <w:rFonts w:ascii="標楷體" w:eastAsia="標楷體" w:hAnsi="標楷體"/>
          <w:szCs w:val="28"/>
        </w:rPr>
        <w:t>3.3.27.KH2PO4+Na2HPO4+NaH2PO4．H2O（如PhosAdd Tab.）：（112/5/1）</w:t>
      </w:r>
    </w:p>
    <w:p w14:paraId="5F131970" w14:textId="77777777" w:rsidR="00BD776B" w:rsidRDefault="00DF0C24">
      <w:pPr>
        <w:suppressAutoHyphens w:val="0"/>
        <w:spacing w:line="480" w:lineRule="exact"/>
        <w:ind w:left="850"/>
        <w:textAlignment w:val="auto"/>
        <w:rPr>
          <w:rFonts w:ascii="標楷體" w:eastAsia="標楷體" w:hAnsi="標楷體"/>
          <w:szCs w:val="28"/>
        </w:rPr>
      </w:pPr>
      <w:r>
        <w:rPr>
          <w:rFonts w:ascii="標楷體" w:eastAsia="標楷體" w:hAnsi="標楷體"/>
          <w:szCs w:val="28"/>
        </w:rPr>
        <w:t>限用於確診為主管機關認定之性聯遺傳型低磷酸鹽佝僂症患者。</w:t>
      </w:r>
    </w:p>
    <w:p w14:paraId="4BFA5EEE" w14:textId="77777777" w:rsidR="006B6D3F" w:rsidRPr="006B6D3F" w:rsidRDefault="006B6D3F" w:rsidP="00760271">
      <w:pPr>
        <w:ind w:left="142"/>
        <w:rPr>
          <w:rFonts w:ascii="標楷體" w:eastAsia="標楷體" w:hAnsi="標楷體"/>
          <w:kern w:val="2"/>
          <w:szCs w:val="24"/>
        </w:rPr>
      </w:pPr>
      <w:r w:rsidRPr="006B6D3F">
        <w:rPr>
          <w:rFonts w:ascii="標楷體" w:eastAsia="標楷體" w:hAnsi="標楷體" w:hint="eastAsia"/>
          <w:kern w:val="2"/>
          <w:szCs w:val="24"/>
        </w:rPr>
        <w:t>3.3.28.Migalastat hydrochloride (如Galafold)：(112/8/1、114/2/1)</w:t>
      </w:r>
    </w:p>
    <w:p w14:paraId="5F18B084"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1.本品不適用於治療法布瑞氏症IVS4+919G&gt;A(c.639+919G&gt;A)基因型患者。</w:t>
      </w:r>
    </w:p>
    <w:p w14:paraId="5138B2E9"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2.病患須符合16歲以上，確定診斷為法布瑞氏症之患者且體外試驗確定為可符合性基因突變 (amenable mutation)【請參照https://www.galafoldamenabilitytable.com.tw/】</w:t>
      </w:r>
    </w:p>
    <w:p w14:paraId="07347142"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3.病患須符合以下診斷條件：</w:t>
      </w:r>
    </w:p>
    <w:p w14:paraId="01E9B7F0"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(1)確定診斷為法布瑞氏症典型患者，須符合下列條件之一：</w:t>
      </w:r>
    </w:p>
    <w:p w14:paraId="7E42262F"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t>Ⅰ.出現肢端疼痛排汗障礙，或中風</w:t>
      </w:r>
    </w:p>
    <w:p w14:paraId="4ABFDB87"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t>Ⅱ.蛋白尿、微量白蛋白尿 (Microalbuminuria)</w:t>
      </w:r>
    </w:p>
    <w:p w14:paraId="3D559D97"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t>Ⅲ.不整脈(附表心電圖〔ECG〕第2項)或心室肥大</w:t>
      </w:r>
    </w:p>
    <w:p w14:paraId="188B71A4"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(2)確定診斷為法布瑞氏症非典型患者，須符合下列條件之一：</w:t>
      </w:r>
    </w:p>
    <w:p w14:paraId="38935481"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lastRenderedPageBreak/>
        <w:t>Ⅰ.經腎臟切片證實與法布瑞氏症相關之法布瑞氏症腎臟型患者，需檢附蛋白尿、微量白蛋白尿 (Microalbuminuria)相關資料。</w:t>
      </w:r>
    </w:p>
    <w:p w14:paraId="071DADFC"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t>Ⅱ.法布瑞氏症IVS4+919G&gt;A基因型以外之心臟型患者，於「法布瑞氏症心臟變異型心臟功能評估指標表」(詳罕見疾病通報審查基準表)之「心電圖」、「心臟超音波」、「心臟核磁共振檢查報告」及「實驗室檢查報告」4個部分中，每個部份需符合至少1項指標並提具該指標檢測報告，且心臟組織切片檢查(cardiac biopsy) 證實有GL3或lyso-Gb3脂質堆積者;且需檢附相關檢查及檢驗資料，以及至少半年之高血壓或糖尿病心肌病變危險因子之治療紀錄。糖尿病經過治療且HbA1c(醣化血色素)＜7者，始可接受酵素補充治療。（103/9/1、108/5/1、114/2/1）。</w:t>
      </w:r>
    </w:p>
    <w:p w14:paraId="18A85D36"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 xml:space="preserve">4.排除使用於無法接受換腎之末期腎臟疾病合併有嚴重心臟衰竭(NYHA class IV) </w:t>
      </w:r>
    </w:p>
    <w:p w14:paraId="0E0CB118"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5.使用劑量：每間隔1日1次，每次服用1粒。</w:t>
      </w:r>
    </w:p>
    <w:p w14:paraId="17F29C58"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6.本藥品不能與pegunigalsidase alfa、agalsidase alfa或 agalsidase beta合併使用。</w:t>
      </w:r>
    </w:p>
    <w:p w14:paraId="51649F67"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 xml:space="preserve">7.需經事前審查核准後使用，每次申請之療程以1年為限，申請續用時需檢送療效評估資料，若符合下列條件之一，則不予同意使用： </w:t>
      </w:r>
    </w:p>
    <w:p w14:paraId="1C441E8B"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(1)嚴重心臟疾病(NYHA class IV)或嚴重心肌纖維化（112/8/1、114/2/1）</w:t>
      </w:r>
    </w:p>
    <w:p w14:paraId="7C547217"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註：嚴重心肌纖維化定義：每2年磁振造影中，有超過15%心肌質量為釓延遲顯影(late gadolinium enhancement &gt;15% of myocardial mass)，或4個segments以上有＞75%纖維化</w:t>
      </w:r>
    </w:p>
    <w:p w14:paraId="4EA9D404"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(2)腎臟變異型法布瑞氏症病人合併末期腎臟疾病</w:t>
      </w:r>
    </w:p>
    <w:p w14:paraId="64377A70"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(3)腎功能惡化 (eGFR&lt;30mL/min/1.73m2)</w:t>
      </w:r>
    </w:p>
    <w:p w14:paraId="3F61047D"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(4)嚴重認知退化經診斷為中、重度失智症</w:t>
      </w:r>
    </w:p>
    <w:p w14:paraId="07F5F52C"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(5)由於末期法布瑞氏症或其他疾病，以致預期生存壽命少於一年</w:t>
      </w:r>
    </w:p>
    <w:p w14:paraId="01CB5096"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(6)在已事先預防情況之下，仍持續發生危及生命或嚴重不良反應者，例如:全身性過敏反應</w:t>
      </w:r>
    </w:p>
    <w:p w14:paraId="6FDF356C"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(7)病人的服藥順從性不佳，超過50%未正常服用藥物。</w:t>
      </w:r>
    </w:p>
    <w:p w14:paraId="61117382"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(8)病患整年長期疼痛控制無法改善者或嚴重腸胃道症狀無法改善者，然典型男性患者不受此限。</w:t>
      </w:r>
    </w:p>
    <w:p w14:paraId="75893C22"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(9)以下檢測心臟功能之評估項目，若有一項目相較於前一年惡化，則不予續用（114/2/1）。</w:t>
      </w:r>
    </w:p>
    <w:p w14:paraId="2CD4D27F"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t>I.</w:t>
      </w:r>
      <w:r w:rsidRPr="006B6D3F">
        <w:rPr>
          <w:rFonts w:ascii="標楷體" w:eastAsia="標楷體" w:hAnsi="標楷體" w:hint="eastAsia"/>
          <w:kern w:val="2"/>
          <w:szCs w:val="24"/>
        </w:rPr>
        <w:tab/>
        <w:t>六分鐘步行惡化：絕對行走距離減少50公尺和相對行走距離減少大於20%</w:t>
      </w:r>
    </w:p>
    <w:p w14:paraId="7B9C2C92" w14:textId="77777777" w:rsidR="006B6D3F" w:rsidRPr="006B6D3F" w:rsidRDefault="006B6D3F" w:rsidP="006B6D3F">
      <w:pPr>
        <w:tabs>
          <w:tab w:val="left" w:pos="284"/>
        </w:tabs>
        <w:suppressAutoHyphens w:val="0"/>
        <w:autoSpaceDN/>
        <w:ind w:left="896" w:hanging="386"/>
        <w:textAlignment w:val="auto"/>
        <w:rPr>
          <w:rFonts w:ascii="標楷體" w:eastAsia="標楷體" w:hAnsi="標楷體"/>
          <w:kern w:val="2"/>
          <w:szCs w:val="24"/>
        </w:rPr>
      </w:pPr>
      <w:r w:rsidRPr="006B6D3F">
        <w:rPr>
          <w:rFonts w:ascii="標楷體" w:eastAsia="標楷體" w:hAnsi="標楷體" w:hint="eastAsia"/>
          <w:kern w:val="2"/>
          <w:szCs w:val="24"/>
        </w:rPr>
        <w:t>II.</w:t>
      </w:r>
      <w:r w:rsidRPr="006B6D3F">
        <w:rPr>
          <w:rFonts w:ascii="標楷體" w:eastAsia="標楷體" w:hAnsi="標楷體" w:hint="eastAsia"/>
          <w:kern w:val="2"/>
          <w:szCs w:val="24"/>
        </w:rPr>
        <w:tab/>
        <w:t>心臟衰竭指數惡化：相較於基期，NT-Pro BNP增加&gt; 700 mg/L且&gt;30%</w:t>
      </w:r>
    </w:p>
    <w:p w14:paraId="3166E675"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8.治療前應與患者及家屬充分溝通告知下列事項，並請其簽名確認已被告知，留存病歷備查：</w:t>
      </w:r>
    </w:p>
    <w:p w14:paraId="53A3F570"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(1)確定其了解治療的預期效果。</w:t>
      </w:r>
    </w:p>
    <w:p w14:paraId="540BA8D8"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(2)患者有義務接受定期追蹤評估，如無明顯療效（如上述7所列），主治醫師在向患者及家屬清楚解釋後，應停止治療。</w:t>
      </w:r>
    </w:p>
    <w:p w14:paraId="5E595A88"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(3)女性患者之角膜病變Cornea Verticillata為良性症狀。</w:t>
      </w:r>
    </w:p>
    <w:p w14:paraId="24F2FB1C" w14:textId="77777777" w:rsidR="006B6D3F" w:rsidRPr="006B6D3F" w:rsidRDefault="006B6D3F" w:rsidP="006B6D3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9.每一年須重新評估一次，追蹤檢查項目如下：（114/2/1）</w:t>
      </w:r>
    </w:p>
    <w:p w14:paraId="189823A3"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(1)腎功能(eGFR)；</w:t>
      </w:r>
    </w:p>
    <w:p w14:paraId="1F9BDC1D"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(2)尿蛋白(尿蛋白或微尿蛋白)；</w:t>
      </w:r>
    </w:p>
    <w:p w14:paraId="39580B58"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lastRenderedPageBreak/>
        <w:t>(3)血漿或尿液lyso-Gb3；</w:t>
      </w:r>
    </w:p>
    <w:p w14:paraId="01B7FB66"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(4)疼痛狀態；</w:t>
      </w:r>
    </w:p>
    <w:p w14:paraId="0A343606"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(5)中風次數；</w:t>
      </w:r>
    </w:p>
    <w:p w14:paraId="10093FFA"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(6)病患是否有出現新的心臟病或原心臟病是否有惡化情形(出現新的心肌梗塞、心律不整需心臟電擊整流或藥物治療、心跳過緩、房室傳導阻斷或其他心律疾病需心律調節器的植入治療，心臟衰竭需住院治療)。</w:t>
      </w:r>
    </w:p>
    <w:p w14:paraId="4DE82257"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(7)心肺功能狀態 (紐約心臟學會心功能分級 NYHA functional class及6分鐘走路測驗或運動心電圖測驗)。</w:t>
      </w:r>
    </w:p>
    <w:p w14:paraId="5D7A4DF7"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(8)靜態心電圖、24小時Holter心電圖與心臟超音波。心臟超音波檢查時之基本項目:</w:t>
      </w:r>
    </w:p>
    <w:p w14:paraId="380DE388" w14:textId="77777777" w:rsidR="006B6D3F" w:rsidRPr="006B6D3F" w:rsidRDefault="006B6D3F" w:rsidP="006B6D3F">
      <w:pPr>
        <w:tabs>
          <w:tab w:val="left" w:pos="284"/>
        </w:tabs>
        <w:suppressAutoHyphens w:val="0"/>
        <w:autoSpaceDN/>
        <w:ind w:left="709"/>
        <w:textAlignment w:val="auto"/>
        <w:rPr>
          <w:rFonts w:ascii="標楷體" w:eastAsia="標楷體" w:hAnsi="標楷體"/>
          <w:kern w:val="2"/>
          <w:szCs w:val="24"/>
        </w:rPr>
      </w:pPr>
      <w:r w:rsidRPr="006B6D3F">
        <w:rPr>
          <w:rFonts w:ascii="標楷體" w:eastAsia="標楷體" w:hAnsi="標楷體" w:hint="eastAsia"/>
          <w:kern w:val="2"/>
          <w:szCs w:val="24"/>
        </w:rPr>
        <w:t>左心室舒張期直徑、左心室後壁厚度、左心室前壁厚度、左心室質量與質量身高比、心房大小測量、左心室舒張功能測量(包含組織超音波)、心室後壁輻射向應變率、心中膈縱向應變率與心側壁縱向應變率、心臟瓣膜功能。超音波左心室質量與質量身高比、心室後壁輻射向應變率、心側壁縱向應變率。</w:t>
      </w:r>
    </w:p>
    <w:p w14:paraId="07DEBA57" w14:textId="77777777" w:rsidR="006B6D3F" w:rsidRPr="006B6D3F" w:rsidRDefault="006B6D3F" w:rsidP="006B6D3F">
      <w:pPr>
        <w:tabs>
          <w:tab w:val="left" w:pos="284"/>
        </w:tabs>
        <w:suppressAutoHyphens w:val="0"/>
        <w:autoSpaceDN/>
        <w:ind w:left="709" w:hanging="386"/>
        <w:textAlignment w:val="auto"/>
        <w:rPr>
          <w:rFonts w:ascii="標楷體" w:eastAsia="標楷體" w:hAnsi="標楷體"/>
          <w:kern w:val="2"/>
          <w:szCs w:val="24"/>
        </w:rPr>
      </w:pPr>
      <w:r w:rsidRPr="006B6D3F">
        <w:rPr>
          <w:rFonts w:ascii="標楷體" w:eastAsia="標楷體" w:hAnsi="標楷體" w:hint="eastAsia"/>
          <w:kern w:val="2"/>
          <w:szCs w:val="24"/>
        </w:rPr>
        <w:t>(9)若初次心臟磁振造影(MRI)檢查時有心肌纖維化的病患，追蹤時應做心臟磁振造影；其他患者建議每兩年做心臟磁振造影追蹤檢查。</w:t>
      </w:r>
    </w:p>
    <w:p w14:paraId="1D7BF43B" w14:textId="77777777" w:rsidR="00FE5DBF" w:rsidRDefault="006B6D3F" w:rsidP="00FE5DBF">
      <w:pPr>
        <w:tabs>
          <w:tab w:val="left" w:pos="284"/>
        </w:tabs>
        <w:suppressAutoHyphens w:val="0"/>
        <w:autoSpaceDN/>
        <w:ind w:left="567" w:hanging="386"/>
        <w:textAlignment w:val="auto"/>
        <w:rPr>
          <w:rFonts w:ascii="標楷體" w:eastAsia="標楷體" w:hAnsi="標楷體"/>
          <w:kern w:val="2"/>
          <w:szCs w:val="24"/>
        </w:rPr>
      </w:pPr>
      <w:r w:rsidRPr="006B6D3F">
        <w:rPr>
          <w:rFonts w:ascii="標楷體" w:eastAsia="標楷體" w:hAnsi="標楷體" w:hint="eastAsia"/>
          <w:kern w:val="2"/>
          <w:szCs w:val="24"/>
        </w:rPr>
        <w:t>10.使用本類藥品需完成個案系統登錄，亦需於療程結束或停止使用該藥品後，於此系統登錄結案。逾期未登錄結案者，系統自動結案，且不予支付該個案自前次事前審查核定日後申報之藥費。(114/2/1）</w:t>
      </w:r>
    </w:p>
    <w:p w14:paraId="1934A648" w14:textId="2F59A782" w:rsidR="00156262" w:rsidRPr="00156262" w:rsidRDefault="00156262" w:rsidP="00FE5DBF">
      <w:pPr>
        <w:tabs>
          <w:tab w:val="left" w:pos="284"/>
        </w:tabs>
        <w:suppressAutoHyphens w:val="0"/>
        <w:autoSpaceDN/>
        <w:ind w:left="567" w:hanging="386"/>
        <w:jc w:val="center"/>
        <w:textAlignment w:val="auto"/>
        <w:rPr>
          <w:rFonts w:ascii="標楷體" w:eastAsia="標楷體" w:hAnsi="標楷體"/>
          <w:kern w:val="2"/>
          <w:szCs w:val="24"/>
        </w:rPr>
      </w:pPr>
      <w:r w:rsidRPr="00156262">
        <w:rPr>
          <w:rFonts w:ascii="標楷體" w:eastAsia="標楷體" w:hAnsi="標楷體" w:cstheme="minorHAnsi"/>
          <w:kern w:val="2"/>
          <w:szCs w:val="24"/>
        </w:rPr>
        <w:t>法布瑞氏症心臟變異型心臟功能評估指標表（</w:t>
      </w:r>
      <w:r w:rsidRPr="00156262">
        <w:rPr>
          <w:rFonts w:ascii="標楷體" w:eastAsia="標楷體" w:hAnsi="標楷體" w:cstheme="minorHAnsi" w:hint="eastAsia"/>
          <w:kern w:val="2"/>
          <w:szCs w:val="24"/>
        </w:rPr>
        <w:t>114</w:t>
      </w:r>
      <w:r w:rsidRPr="00156262">
        <w:rPr>
          <w:rFonts w:ascii="標楷體" w:eastAsia="標楷體" w:hAnsi="標楷體" w:cstheme="minorHAnsi"/>
          <w:kern w:val="2"/>
          <w:szCs w:val="24"/>
        </w:rPr>
        <w:t>/</w:t>
      </w:r>
      <w:r w:rsidRPr="00156262">
        <w:rPr>
          <w:rFonts w:ascii="標楷體" w:eastAsia="標楷體" w:hAnsi="標楷體" w:cstheme="minorHAnsi" w:hint="eastAsia"/>
          <w:kern w:val="2"/>
          <w:szCs w:val="24"/>
        </w:rPr>
        <w:t>2</w:t>
      </w:r>
      <w:r w:rsidRPr="00156262">
        <w:rPr>
          <w:rFonts w:ascii="標楷體" w:eastAsia="標楷體" w:hAnsi="標楷體" w:cstheme="minorHAnsi"/>
          <w:kern w:val="2"/>
          <w:szCs w:val="24"/>
        </w:rPr>
        <w:t>/</w:t>
      </w:r>
      <w:r w:rsidRPr="00156262">
        <w:rPr>
          <w:rFonts w:ascii="標楷體" w:eastAsia="標楷體" w:hAnsi="標楷體" w:cstheme="minorHAnsi" w:hint="eastAsia"/>
          <w:kern w:val="2"/>
          <w:szCs w:val="24"/>
        </w:rPr>
        <w:t>1</w:t>
      </w:r>
      <w:r w:rsidRPr="00156262">
        <w:rPr>
          <w:rFonts w:ascii="標楷體" w:eastAsia="標楷體" w:hAnsi="標楷體" w:cstheme="minorHAnsi"/>
          <w:kern w:val="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7966"/>
      </w:tblGrid>
      <w:tr w:rsidR="00156262" w:rsidRPr="00156262" w14:paraId="756731C2" w14:textId="77777777" w:rsidTr="00D00D43">
        <w:tc>
          <w:tcPr>
            <w:tcW w:w="5000" w:type="pct"/>
            <w:gridSpan w:val="2"/>
          </w:tcPr>
          <w:p w14:paraId="13DBE184"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心電圖[ECG]</w:t>
            </w:r>
          </w:p>
        </w:tc>
      </w:tr>
      <w:tr w:rsidR="00156262" w:rsidRPr="00156262" w14:paraId="4A6C4393" w14:textId="77777777" w:rsidTr="00D00D43">
        <w:tc>
          <w:tcPr>
            <w:tcW w:w="604" w:type="pct"/>
          </w:tcPr>
          <w:p w14:paraId="12ECD125"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1</w:t>
            </w:r>
          </w:p>
        </w:tc>
        <w:tc>
          <w:tcPr>
            <w:tcW w:w="4396" w:type="pct"/>
          </w:tcPr>
          <w:p w14:paraId="2220410D"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心電圖左心室肥厚 (ECG LVH Romhilt-Estes score&gt;5或符合Cornell's criteria)</w:t>
            </w:r>
          </w:p>
        </w:tc>
      </w:tr>
      <w:tr w:rsidR="00156262" w:rsidRPr="00156262" w14:paraId="3650F49C" w14:textId="77777777" w:rsidTr="00D00D43">
        <w:tc>
          <w:tcPr>
            <w:tcW w:w="604" w:type="pct"/>
          </w:tcPr>
          <w:p w14:paraId="36692C8E"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2</w:t>
            </w:r>
          </w:p>
        </w:tc>
        <w:tc>
          <w:tcPr>
            <w:tcW w:w="4396" w:type="pct"/>
          </w:tcPr>
          <w:p w14:paraId="7BDF085E"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心肌與節律出現異常：AV block, short PR interval, LBBB,ventricular or atrial tachyarrhythmias, sinus bradycardia(在沒有使用抑制心律的藥物下)</w:t>
            </w:r>
          </w:p>
        </w:tc>
      </w:tr>
      <w:tr w:rsidR="00156262" w:rsidRPr="00156262" w14:paraId="4E9BCD9F" w14:textId="77777777" w:rsidTr="00D00D43">
        <w:tc>
          <w:tcPr>
            <w:tcW w:w="5000" w:type="pct"/>
            <w:gridSpan w:val="2"/>
          </w:tcPr>
          <w:p w14:paraId="5AC4E541"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心臟超音波[Echocardiogram]</w:t>
            </w:r>
          </w:p>
        </w:tc>
      </w:tr>
      <w:tr w:rsidR="00156262" w:rsidRPr="00156262" w14:paraId="1F0063DC" w14:textId="77777777" w:rsidTr="00D00D43">
        <w:tc>
          <w:tcPr>
            <w:tcW w:w="604" w:type="pct"/>
          </w:tcPr>
          <w:p w14:paraId="4A2C32E4"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1</w:t>
            </w:r>
          </w:p>
        </w:tc>
        <w:tc>
          <w:tcPr>
            <w:tcW w:w="4396" w:type="pct"/>
          </w:tcPr>
          <w:p w14:paraId="1CA91E69"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左心室厚度&gt;12mm。</w:t>
            </w:r>
          </w:p>
        </w:tc>
      </w:tr>
      <w:tr w:rsidR="00156262" w:rsidRPr="00156262" w14:paraId="2CC3A64F" w14:textId="77777777" w:rsidTr="00D00D43">
        <w:tc>
          <w:tcPr>
            <w:tcW w:w="604" w:type="pct"/>
          </w:tcPr>
          <w:p w14:paraId="6D03ADDC"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2</w:t>
            </w:r>
          </w:p>
        </w:tc>
        <w:tc>
          <w:tcPr>
            <w:tcW w:w="4396" w:type="pct"/>
          </w:tcPr>
          <w:p w14:paraId="4131C0F1"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心臟超音波左心室質量指數 (LVMI)男性大於51 gm/m2.7, 女性大於48 gm/m2.7, LVMI。（108/5/1）</w:t>
            </w:r>
          </w:p>
        </w:tc>
      </w:tr>
      <w:tr w:rsidR="00156262" w:rsidRPr="00156262" w14:paraId="02267336" w14:textId="77777777" w:rsidTr="00D00D43">
        <w:tc>
          <w:tcPr>
            <w:tcW w:w="604" w:type="pct"/>
          </w:tcPr>
          <w:p w14:paraId="68CFE67C"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3</w:t>
            </w:r>
          </w:p>
        </w:tc>
        <w:tc>
          <w:tcPr>
            <w:tcW w:w="4396" w:type="pct"/>
          </w:tcPr>
          <w:p w14:paraId="0ACA0F52"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心臟超音波左心室舒張功能異常 E/A ratio&gt;2.0及</w:t>
            </w:r>
          </w:p>
          <w:p w14:paraId="04BA8254"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deceleration time&lt;150 msec或組織超音波顯示舒張功能異常(二尖瓣環部中膈E/E' &gt;15 或側壁E/E'&gt;12).</w:t>
            </w:r>
          </w:p>
        </w:tc>
      </w:tr>
      <w:tr w:rsidR="00156262" w:rsidRPr="00156262" w14:paraId="47A02925" w14:textId="77777777" w:rsidTr="00D00D43">
        <w:tc>
          <w:tcPr>
            <w:tcW w:w="604" w:type="pct"/>
          </w:tcPr>
          <w:p w14:paraId="181E95EB"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4</w:t>
            </w:r>
          </w:p>
        </w:tc>
        <w:tc>
          <w:tcPr>
            <w:tcW w:w="4396" w:type="pct"/>
          </w:tcPr>
          <w:p w14:paraId="686A0DCC"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間隔至少超過12個月測量左心室質量 (LVM) 增加&gt;5g/m</w:t>
            </w:r>
            <w:r w:rsidRPr="00156262">
              <w:rPr>
                <w:rFonts w:ascii="標楷體" w:eastAsia="標楷體" w:hAnsi="標楷體" w:cstheme="minorHAnsi"/>
                <w:kern w:val="2"/>
                <w:szCs w:val="24"/>
                <w:vertAlign w:val="superscript"/>
              </w:rPr>
              <w:t>2</w:t>
            </w:r>
          </w:p>
        </w:tc>
      </w:tr>
      <w:tr w:rsidR="00156262" w:rsidRPr="00156262" w14:paraId="5BFF5ABF" w14:textId="77777777" w:rsidTr="00D00D43">
        <w:tc>
          <w:tcPr>
            <w:tcW w:w="604" w:type="pct"/>
          </w:tcPr>
          <w:p w14:paraId="665748B4"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5</w:t>
            </w:r>
          </w:p>
        </w:tc>
        <w:tc>
          <w:tcPr>
            <w:tcW w:w="4396" w:type="pct"/>
          </w:tcPr>
          <w:p w14:paraId="3D8D208B"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心臟超音波左心房體積增加&gt;34 mL/m2 body surface area (BSA)</w:t>
            </w:r>
          </w:p>
          <w:p w14:paraId="6A2657B3"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lastRenderedPageBreak/>
              <w:t>（108/5/1）</w:t>
            </w:r>
          </w:p>
        </w:tc>
      </w:tr>
      <w:tr w:rsidR="00156262" w:rsidRPr="00156262" w14:paraId="7568061B" w14:textId="77777777" w:rsidTr="00D00D43">
        <w:tc>
          <w:tcPr>
            <w:tcW w:w="604" w:type="pct"/>
          </w:tcPr>
          <w:p w14:paraId="6E4940BA"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lastRenderedPageBreak/>
              <w:t>6</w:t>
            </w:r>
          </w:p>
        </w:tc>
        <w:tc>
          <w:tcPr>
            <w:tcW w:w="4396" w:type="pct"/>
          </w:tcPr>
          <w:p w14:paraId="0B451CA1"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中度到重度的二尖瓣與主動瓣膜閉鎖不全</w:t>
            </w:r>
          </w:p>
        </w:tc>
      </w:tr>
      <w:tr w:rsidR="00156262" w:rsidRPr="00156262" w14:paraId="6B4CCBD7" w14:textId="77777777" w:rsidTr="00D00D43">
        <w:tc>
          <w:tcPr>
            <w:tcW w:w="5000" w:type="pct"/>
            <w:gridSpan w:val="2"/>
          </w:tcPr>
          <w:p w14:paraId="32BF2DCC"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心臟核磁共振檢查報告</w:t>
            </w:r>
          </w:p>
        </w:tc>
      </w:tr>
      <w:tr w:rsidR="00156262" w:rsidRPr="00156262" w14:paraId="50467ED1" w14:textId="77777777" w:rsidTr="00D00D43">
        <w:tc>
          <w:tcPr>
            <w:tcW w:w="604" w:type="pct"/>
          </w:tcPr>
          <w:p w14:paraId="7C34E40C"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1</w:t>
            </w:r>
          </w:p>
        </w:tc>
        <w:tc>
          <w:tcPr>
            <w:tcW w:w="4396" w:type="pct"/>
          </w:tcPr>
          <w:p w14:paraId="141DA4C3"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心臟磁振造影心肌延遲顯影(delayed enhancement)出現左心室的輕度到中度纖維化。</w:t>
            </w:r>
          </w:p>
        </w:tc>
      </w:tr>
      <w:tr w:rsidR="00156262" w:rsidRPr="00156262" w14:paraId="4899C120" w14:textId="77777777" w:rsidTr="00D00D43">
        <w:tc>
          <w:tcPr>
            <w:tcW w:w="604" w:type="pct"/>
          </w:tcPr>
          <w:p w14:paraId="3B7BF7AF"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2</w:t>
            </w:r>
          </w:p>
        </w:tc>
        <w:tc>
          <w:tcPr>
            <w:tcW w:w="4396" w:type="pct"/>
          </w:tcPr>
          <w:p w14:paraId="1DD9D3A9"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Low native T1</w:t>
            </w:r>
          </w:p>
        </w:tc>
      </w:tr>
      <w:tr w:rsidR="00156262" w:rsidRPr="00156262" w14:paraId="636D5D11" w14:textId="77777777" w:rsidTr="00D00D43">
        <w:tc>
          <w:tcPr>
            <w:tcW w:w="604" w:type="pct"/>
          </w:tcPr>
          <w:p w14:paraId="4D92D472"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3</w:t>
            </w:r>
          </w:p>
        </w:tc>
        <w:tc>
          <w:tcPr>
            <w:tcW w:w="4396" w:type="pct"/>
          </w:tcPr>
          <w:p w14:paraId="14ED01DE"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High T2</w:t>
            </w:r>
          </w:p>
        </w:tc>
      </w:tr>
      <w:tr w:rsidR="00156262" w:rsidRPr="00156262" w14:paraId="38CA1ACB" w14:textId="77777777" w:rsidTr="00D00D43">
        <w:tc>
          <w:tcPr>
            <w:tcW w:w="604" w:type="pct"/>
          </w:tcPr>
          <w:p w14:paraId="75983096"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4</w:t>
            </w:r>
          </w:p>
        </w:tc>
        <w:tc>
          <w:tcPr>
            <w:tcW w:w="4396" w:type="pct"/>
          </w:tcPr>
          <w:p w14:paraId="6A8CDB68"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因裝置MRI incompatible pacemaker 而無法執行</w:t>
            </w:r>
          </w:p>
        </w:tc>
      </w:tr>
      <w:tr w:rsidR="00156262" w:rsidRPr="00156262" w14:paraId="1875619B" w14:textId="77777777" w:rsidTr="00D00D43">
        <w:tc>
          <w:tcPr>
            <w:tcW w:w="5000" w:type="pct"/>
            <w:gridSpan w:val="2"/>
          </w:tcPr>
          <w:p w14:paraId="3C72BACF"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實驗室檢查報告</w:t>
            </w:r>
          </w:p>
        </w:tc>
      </w:tr>
      <w:tr w:rsidR="00156262" w:rsidRPr="00156262" w14:paraId="0C9DB707" w14:textId="77777777" w:rsidTr="00D00D43">
        <w:trPr>
          <w:trHeight w:val="429"/>
        </w:trPr>
        <w:tc>
          <w:tcPr>
            <w:tcW w:w="604" w:type="pct"/>
          </w:tcPr>
          <w:p w14:paraId="6A2E38F2" w14:textId="77777777" w:rsidR="00156262" w:rsidRPr="00156262" w:rsidRDefault="00156262" w:rsidP="00156262">
            <w:pPr>
              <w:suppressAutoHyphens w:val="0"/>
              <w:autoSpaceDN/>
              <w:spacing w:line="480" w:lineRule="exact"/>
              <w:jc w:val="center"/>
              <w:textAlignment w:val="auto"/>
              <w:rPr>
                <w:rFonts w:ascii="標楷體" w:eastAsia="標楷體" w:hAnsi="標楷體" w:cstheme="minorHAnsi"/>
                <w:kern w:val="2"/>
                <w:szCs w:val="24"/>
              </w:rPr>
            </w:pPr>
            <w:r w:rsidRPr="00156262">
              <w:rPr>
                <w:rFonts w:ascii="標楷體" w:eastAsia="標楷體" w:hAnsi="標楷體" w:cstheme="minorHAnsi"/>
                <w:kern w:val="2"/>
                <w:szCs w:val="24"/>
              </w:rPr>
              <w:t>1</w:t>
            </w:r>
          </w:p>
        </w:tc>
        <w:tc>
          <w:tcPr>
            <w:tcW w:w="4396" w:type="pct"/>
            <w:vAlign w:val="center"/>
          </w:tcPr>
          <w:p w14:paraId="0A4B7A41" w14:textId="77777777" w:rsidR="00156262" w:rsidRPr="00156262" w:rsidRDefault="00156262" w:rsidP="00156262">
            <w:pPr>
              <w:suppressAutoHyphens w:val="0"/>
              <w:autoSpaceDN/>
              <w:spacing w:line="480" w:lineRule="exact"/>
              <w:textAlignment w:val="auto"/>
              <w:rPr>
                <w:rFonts w:ascii="標楷體" w:eastAsia="標楷體" w:hAnsi="標楷體" w:cstheme="minorHAnsi"/>
                <w:kern w:val="2"/>
                <w:szCs w:val="24"/>
              </w:rPr>
            </w:pPr>
            <w:r w:rsidRPr="00156262">
              <w:rPr>
                <w:rFonts w:ascii="標楷體" w:eastAsia="標楷體" w:hAnsi="標楷體" w:cstheme="minorHAnsi"/>
                <w:kern w:val="2"/>
                <w:szCs w:val="24"/>
              </w:rPr>
              <w:t>NT-proBNP/BNP 或 high sensitivity troponin升高（112/8/1）</w:t>
            </w:r>
          </w:p>
        </w:tc>
      </w:tr>
    </w:tbl>
    <w:p w14:paraId="74ADACD6" w14:textId="77777777" w:rsidR="00BD776B" w:rsidRDefault="00DF0C24" w:rsidP="00760271">
      <w:pPr>
        <w:ind w:left="142"/>
        <w:rPr>
          <w:rFonts w:ascii="標楷體" w:eastAsia="標楷體" w:hAnsi="標楷體"/>
          <w:szCs w:val="28"/>
        </w:rPr>
      </w:pPr>
      <w:r>
        <w:rPr>
          <w:rFonts w:ascii="標楷體" w:eastAsia="標楷體" w:hAnsi="標楷體"/>
          <w:szCs w:val="28"/>
        </w:rPr>
        <w:t>3.3.29. Burosumab(如Crysvita)：(113/5/1)</w:t>
      </w:r>
    </w:p>
    <w:p w14:paraId="45CC95E3" w14:textId="77777777" w:rsidR="00BD776B" w:rsidRDefault="00DF0C24">
      <w:pPr>
        <w:autoSpaceDE w:val="0"/>
        <w:spacing w:line="480" w:lineRule="exact"/>
        <w:ind w:left="873" w:hanging="283"/>
        <w:rPr>
          <w:rFonts w:ascii="標楷體" w:eastAsia="標楷體" w:hAnsi="標楷體"/>
          <w:szCs w:val="28"/>
        </w:rPr>
      </w:pPr>
      <w:r>
        <w:rPr>
          <w:rFonts w:ascii="標楷體" w:eastAsia="標楷體" w:hAnsi="標楷體"/>
          <w:szCs w:val="28"/>
        </w:rPr>
        <w:t>1.用於經衛生福利部國民健康署認定之1歲以上性聯遺傳型低磷酸鹽症患者，生長板尚未關閉，且男性骨齡未達18歲、女性骨齡未達16歲，並符合以下所有條件：</w:t>
      </w:r>
    </w:p>
    <w:p w14:paraId="549F00F4" w14:textId="77777777" w:rsidR="00BD776B" w:rsidRDefault="00DF0C24">
      <w:pPr>
        <w:autoSpaceDE w:val="0"/>
        <w:spacing w:line="480" w:lineRule="exact"/>
        <w:ind w:left="720"/>
        <w:rPr>
          <w:rFonts w:ascii="標楷體" w:eastAsia="標楷體" w:hAnsi="標楷體"/>
          <w:szCs w:val="28"/>
        </w:rPr>
      </w:pPr>
      <w:r>
        <w:rPr>
          <w:rFonts w:ascii="標楷體" w:eastAsia="標楷體" w:hAnsi="標楷體"/>
          <w:szCs w:val="28"/>
        </w:rPr>
        <w:t>(1)空腹低血磷症。</w:t>
      </w:r>
    </w:p>
    <w:p w14:paraId="72F46229" w14:textId="77777777" w:rsidR="00BD776B" w:rsidRDefault="00DF0C24">
      <w:pPr>
        <w:autoSpaceDE w:val="0"/>
        <w:spacing w:line="480" w:lineRule="exact"/>
        <w:ind w:left="1140" w:hanging="420"/>
        <w:rPr>
          <w:rFonts w:ascii="標楷體" w:eastAsia="標楷體" w:hAnsi="標楷體"/>
          <w:szCs w:val="28"/>
        </w:rPr>
      </w:pPr>
      <w:r>
        <w:rPr>
          <w:rFonts w:ascii="標楷體" w:eastAsia="標楷體" w:hAnsi="標楷體"/>
          <w:szCs w:val="28"/>
        </w:rPr>
        <w:t>(2)正常腎功能（定義為空腹血清肌酸酐低於經年齡調整的正常上限）。</w:t>
      </w:r>
    </w:p>
    <w:p w14:paraId="2466B0B6" w14:textId="77777777" w:rsidR="00BD776B" w:rsidRDefault="00DF0C24">
      <w:pPr>
        <w:autoSpaceDE w:val="0"/>
        <w:spacing w:line="480" w:lineRule="exact"/>
        <w:ind w:left="1140" w:hanging="420"/>
        <w:rPr>
          <w:rFonts w:ascii="標楷體" w:eastAsia="標楷體" w:hAnsi="標楷體"/>
          <w:szCs w:val="28"/>
        </w:rPr>
      </w:pPr>
      <w:r>
        <w:rPr>
          <w:rFonts w:ascii="標楷體" w:eastAsia="標楷體" w:hAnsi="標楷體"/>
          <w:szCs w:val="28"/>
        </w:rPr>
        <w:t>(3)放射學證據顯示具有佝僂症，且佝僂症嚴重程度分數（rickets severity score,RSS）總分為大於等於2分。</w:t>
      </w:r>
    </w:p>
    <w:p w14:paraId="12960CAA"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(4)具有已確認的PHEX（phosphate-regulating endopeptidase homolog, X-linked）基因變異。</w:t>
      </w:r>
    </w:p>
    <w:p w14:paraId="2170815E" w14:textId="77777777" w:rsidR="00BD776B" w:rsidRDefault="00DF0C24">
      <w:pPr>
        <w:autoSpaceDE w:val="0"/>
        <w:spacing w:line="480" w:lineRule="exact"/>
        <w:ind w:left="876" w:hanging="283"/>
        <w:rPr>
          <w:rFonts w:ascii="標楷體" w:eastAsia="標楷體" w:hAnsi="標楷體"/>
          <w:szCs w:val="28"/>
        </w:rPr>
      </w:pPr>
      <w:r>
        <w:rPr>
          <w:rFonts w:ascii="標楷體" w:eastAsia="標楷體" w:hAnsi="標楷體"/>
          <w:szCs w:val="28"/>
        </w:rPr>
        <w:t>2.限由具兒科專科醫師證書，且經小兒醫學遺傳學/新陳代謝學次專科或內分泌次專科或小兒腎臟科次專科甄審合格之醫師，或具腎臟科次專科醫師證書之醫師處方使用。</w:t>
      </w:r>
    </w:p>
    <w:p w14:paraId="741FC20C" w14:textId="77777777" w:rsidR="00BD776B" w:rsidRDefault="00DF0C24">
      <w:pPr>
        <w:autoSpaceDE w:val="0"/>
        <w:spacing w:line="480" w:lineRule="exact"/>
        <w:ind w:left="876" w:hanging="283"/>
        <w:rPr>
          <w:rFonts w:ascii="標楷體" w:eastAsia="標楷體" w:hAnsi="標楷體"/>
          <w:szCs w:val="28"/>
        </w:rPr>
      </w:pPr>
      <w:r>
        <w:rPr>
          <w:rFonts w:ascii="標楷體" w:eastAsia="標楷體" w:hAnsi="標楷體"/>
          <w:szCs w:val="28"/>
        </w:rPr>
        <w:t>3.應每半年定期追蹤評估至少1次治療效果及下列事項:</w:t>
      </w:r>
    </w:p>
    <w:p w14:paraId="01642A78"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(1)血清磷。</w:t>
      </w:r>
    </w:p>
    <w:p w14:paraId="7ABDE47A"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(2)腎小管對磷酸鹽的吸收率(TmP/GFR)。</w:t>
      </w:r>
    </w:p>
    <w:p w14:paraId="61F326F0"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(3)副甲狀腺功能。</w:t>
      </w:r>
    </w:p>
    <w:p w14:paraId="4829ABEA"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(4)RSS總分 (每年一次)。</w:t>
      </w:r>
    </w:p>
    <w:p w14:paraId="01B50AFA" w14:textId="77777777" w:rsidR="00BD776B" w:rsidRDefault="00DF0C24">
      <w:pPr>
        <w:autoSpaceDE w:val="0"/>
        <w:spacing w:line="480" w:lineRule="exact"/>
        <w:ind w:left="876" w:hanging="283"/>
        <w:rPr>
          <w:rFonts w:ascii="標楷體" w:eastAsia="標楷體" w:hAnsi="標楷體"/>
          <w:szCs w:val="28"/>
        </w:rPr>
      </w:pPr>
      <w:r>
        <w:rPr>
          <w:rFonts w:ascii="標楷體" w:eastAsia="標楷體" w:hAnsi="標楷體"/>
          <w:szCs w:val="28"/>
        </w:rPr>
        <w:t>4.需經事前審查核准後使用，每次申請療程以12個月為限。</w:t>
      </w:r>
    </w:p>
    <w:p w14:paraId="1972B991" w14:textId="77777777" w:rsidR="00BD776B" w:rsidRDefault="00DF0C24">
      <w:pPr>
        <w:autoSpaceDE w:val="0"/>
        <w:spacing w:line="480" w:lineRule="exact"/>
        <w:ind w:left="876" w:hanging="283"/>
        <w:rPr>
          <w:rFonts w:ascii="標楷體" w:eastAsia="標楷體" w:hAnsi="標楷體"/>
          <w:szCs w:val="28"/>
        </w:rPr>
      </w:pPr>
      <w:r>
        <w:rPr>
          <w:rFonts w:ascii="標楷體" w:eastAsia="標楷體" w:hAnsi="標楷體"/>
          <w:szCs w:val="28"/>
        </w:rPr>
        <w:lastRenderedPageBreak/>
        <w:t>5.停藥條件：若出現以下任一情況，應停止burosumab治療。</w:t>
      </w:r>
    </w:p>
    <w:p w14:paraId="6145B19D"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(1)使用本藥品後第12個月的RSS總分未比開始治療時基礎值有改善。</w:t>
      </w:r>
    </w:p>
    <w:p w14:paraId="49BBBEE2"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(2)治療後每12個月評估一次RSS總分，相較於前一次RSS總分沒有改善。</w:t>
      </w:r>
    </w:p>
    <w:p w14:paraId="4296BEB1"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(3)副甲狀腺功能亢進、腎鈣化或放射學評估的骨折與假性骨折。</w:t>
      </w:r>
    </w:p>
    <w:p w14:paraId="2C1E56EE" w14:textId="77777777" w:rsidR="00BD776B" w:rsidRDefault="00DF0C24">
      <w:pPr>
        <w:autoSpaceDE w:val="0"/>
        <w:spacing w:line="480" w:lineRule="exact"/>
        <w:ind w:left="1000" w:hanging="280"/>
        <w:rPr>
          <w:rFonts w:ascii="標楷體" w:eastAsia="標楷體" w:hAnsi="標楷體"/>
          <w:szCs w:val="28"/>
        </w:rPr>
      </w:pPr>
      <w:r>
        <w:rPr>
          <w:rFonts w:ascii="標楷體" w:eastAsia="標楷體" w:hAnsi="標楷體"/>
          <w:szCs w:val="28"/>
        </w:rPr>
        <w:t>(4)生長板關閉，或至多到男性骨齡達18歲、女性骨齡達16歲。</w:t>
      </w:r>
    </w:p>
    <w:p w14:paraId="1EFC0A9C" w14:textId="77777777" w:rsidR="002F2ACD" w:rsidRPr="002F2ACD" w:rsidRDefault="002F2ACD" w:rsidP="00760271">
      <w:pPr>
        <w:ind w:left="142"/>
        <w:rPr>
          <w:rFonts w:ascii="標楷體" w:eastAsia="標楷體" w:hAnsi="標楷體"/>
          <w:szCs w:val="28"/>
        </w:rPr>
      </w:pPr>
      <w:r w:rsidRPr="002F2ACD">
        <w:rPr>
          <w:rFonts w:ascii="標楷體" w:eastAsia="標楷體" w:hAnsi="標楷體" w:hint="eastAsia"/>
          <w:szCs w:val="28"/>
        </w:rPr>
        <w:t>3.3.30. Glycerol phenylbutyrate (如Ravicti)：(113/11/1)</w:t>
      </w:r>
    </w:p>
    <w:p w14:paraId="462FB792" w14:textId="09FD6018" w:rsidR="002F2ACD" w:rsidRPr="002F2ACD" w:rsidRDefault="002F2ACD" w:rsidP="002F2ACD">
      <w:pPr>
        <w:autoSpaceDE w:val="0"/>
        <w:spacing w:line="480" w:lineRule="exact"/>
        <w:ind w:left="876" w:hanging="283"/>
        <w:rPr>
          <w:rFonts w:ascii="標楷體" w:eastAsia="標楷體" w:hAnsi="標楷體"/>
          <w:szCs w:val="28"/>
        </w:rPr>
      </w:pPr>
      <w:r w:rsidRPr="002F2ACD">
        <w:rPr>
          <w:rFonts w:ascii="標楷體" w:eastAsia="標楷體" w:hAnsi="標楷體"/>
          <w:szCs w:val="28"/>
        </w:rPr>
        <w:t>1.</w:t>
      </w:r>
      <w:r w:rsidRPr="002F2ACD">
        <w:rPr>
          <w:rFonts w:ascii="標楷體" w:eastAsia="標楷體" w:hAnsi="標楷體" w:hint="eastAsia"/>
          <w:szCs w:val="28"/>
        </w:rPr>
        <w:t>用於經衛生福利部國民健康署認定之不能藉由限制蛋白質的攝入和</w:t>
      </w:r>
      <w:r w:rsidRPr="002F2ACD">
        <w:rPr>
          <w:rFonts w:ascii="標楷體" w:eastAsia="標楷體" w:hAnsi="標楷體"/>
          <w:szCs w:val="28"/>
        </w:rPr>
        <w:t>/</w:t>
      </w:r>
      <w:r w:rsidRPr="002F2ACD">
        <w:rPr>
          <w:rFonts w:ascii="標楷體" w:eastAsia="標楷體" w:hAnsi="標楷體" w:hint="eastAsia"/>
          <w:szCs w:val="28"/>
        </w:rPr>
        <w:t>或單純補充氨基酸控制的尿素循環代謝異常</w:t>
      </w:r>
      <w:r w:rsidRPr="002F2ACD">
        <w:rPr>
          <w:rFonts w:ascii="標楷體" w:eastAsia="標楷體" w:hAnsi="標楷體"/>
          <w:szCs w:val="28"/>
        </w:rPr>
        <w:t>(Urea Cycle Disorders</w:t>
      </w:r>
      <w:r w:rsidRPr="002F2ACD">
        <w:rPr>
          <w:rFonts w:ascii="標楷體" w:eastAsia="標楷體" w:hAnsi="標楷體" w:hint="eastAsia"/>
          <w:szCs w:val="28"/>
        </w:rPr>
        <w:t>；</w:t>
      </w:r>
      <w:r w:rsidRPr="002F2ACD">
        <w:rPr>
          <w:rFonts w:ascii="標楷體" w:eastAsia="標楷體" w:hAnsi="標楷體"/>
          <w:szCs w:val="28"/>
        </w:rPr>
        <w:t>UCDs)</w:t>
      </w:r>
      <w:r w:rsidRPr="002F2ACD">
        <w:rPr>
          <w:rFonts w:ascii="標楷體" w:eastAsia="標楷體" w:hAnsi="標楷體" w:hint="eastAsia"/>
          <w:szCs w:val="28"/>
        </w:rPr>
        <w:t>病人的長期輔助治療，包括</w:t>
      </w:r>
      <w:r w:rsidRPr="002F2ACD">
        <w:rPr>
          <w:rFonts w:ascii="標楷體" w:eastAsia="標楷體" w:hAnsi="標楷體"/>
          <w:szCs w:val="28"/>
        </w:rPr>
        <w:t xml:space="preserve"> carbamoyl phosphate synthetase (CPS) I</w:t>
      </w:r>
      <w:r w:rsidRPr="002F2ACD">
        <w:rPr>
          <w:rFonts w:ascii="標楷體" w:eastAsia="標楷體" w:hAnsi="標楷體" w:hint="eastAsia"/>
          <w:szCs w:val="28"/>
        </w:rPr>
        <w:t>缺乏症、鳥胺酸氨甲醯基轉移酶</w:t>
      </w:r>
      <w:r w:rsidRPr="002F2ACD">
        <w:rPr>
          <w:rFonts w:ascii="標楷體" w:eastAsia="標楷體" w:hAnsi="標楷體"/>
          <w:szCs w:val="28"/>
        </w:rPr>
        <w:t>(ornithine carbamoyltransferase,OTC)</w:t>
      </w:r>
      <w:r w:rsidRPr="002F2ACD">
        <w:rPr>
          <w:rFonts w:ascii="標楷體" w:eastAsia="標楷體" w:hAnsi="標楷體" w:hint="eastAsia"/>
          <w:szCs w:val="28"/>
        </w:rPr>
        <w:t>缺乏症、</w:t>
      </w:r>
      <w:r w:rsidRPr="002F2ACD">
        <w:rPr>
          <w:rFonts w:ascii="標楷體" w:eastAsia="標楷體" w:hAnsi="標楷體"/>
          <w:szCs w:val="28"/>
        </w:rPr>
        <w:t>argininosuccinate synthetase(ASS)</w:t>
      </w:r>
      <w:r w:rsidRPr="002F2ACD">
        <w:rPr>
          <w:rFonts w:ascii="標楷體" w:eastAsia="標楷體" w:hAnsi="標楷體" w:hint="eastAsia"/>
          <w:szCs w:val="28"/>
        </w:rPr>
        <w:t>缺乏症、</w:t>
      </w:r>
      <w:r w:rsidRPr="002F2ACD">
        <w:rPr>
          <w:rFonts w:ascii="標楷體" w:eastAsia="標楷體" w:hAnsi="標楷體"/>
          <w:szCs w:val="28"/>
        </w:rPr>
        <w:t>argininosuccinate lyase(ASL)</w:t>
      </w:r>
      <w:r w:rsidRPr="002F2ACD">
        <w:rPr>
          <w:rFonts w:ascii="標楷體" w:eastAsia="標楷體" w:hAnsi="標楷體" w:hint="eastAsia"/>
          <w:szCs w:val="28"/>
        </w:rPr>
        <w:t>缺乏症、</w:t>
      </w:r>
      <w:r w:rsidRPr="002F2ACD">
        <w:rPr>
          <w:rFonts w:ascii="標楷體" w:eastAsia="標楷體" w:hAnsi="標楷體"/>
          <w:szCs w:val="28"/>
        </w:rPr>
        <w:t>arg</w:t>
      </w:r>
      <w:r w:rsidRPr="002F2ACD">
        <w:rPr>
          <w:rFonts w:ascii="標楷體" w:eastAsia="標楷體" w:hAnsi="標楷體" w:hint="eastAsia"/>
          <w:szCs w:val="28"/>
        </w:rPr>
        <w:t>inase (ARG) I 缺乏症和ornithine translocase缺失引起之高鳥胺酸血症-高氨血症-高瓜胺酸血症症候群(hyperornithinaemia-hyperammonaemia homocitrullinuria syndrome,HHH)。</w:t>
      </w:r>
    </w:p>
    <w:p w14:paraId="2FA23F05" w14:textId="6F18BE6C" w:rsidR="002F2ACD" w:rsidRPr="002F2ACD" w:rsidRDefault="002F2ACD" w:rsidP="002F2ACD">
      <w:pPr>
        <w:autoSpaceDE w:val="0"/>
        <w:spacing w:line="480" w:lineRule="exact"/>
        <w:ind w:left="876" w:hanging="283"/>
        <w:rPr>
          <w:rFonts w:ascii="標楷體" w:eastAsia="標楷體" w:hAnsi="標楷體"/>
          <w:szCs w:val="28"/>
        </w:rPr>
      </w:pPr>
      <w:r w:rsidRPr="002F2ACD">
        <w:rPr>
          <w:rFonts w:ascii="標楷體" w:eastAsia="標楷體" w:hAnsi="標楷體" w:hint="eastAsia"/>
          <w:szCs w:val="28"/>
        </w:rPr>
        <w:t>2.使用限制：</w:t>
      </w:r>
    </w:p>
    <w:p w14:paraId="7E587AA1" w14:textId="5EE5934B" w:rsidR="002F2ACD" w:rsidRPr="002F2ACD" w:rsidRDefault="002F2ACD" w:rsidP="002F2ACD">
      <w:pPr>
        <w:autoSpaceDE w:val="0"/>
        <w:spacing w:line="480" w:lineRule="exact"/>
        <w:ind w:left="1000" w:hanging="280"/>
        <w:rPr>
          <w:rFonts w:ascii="標楷體" w:eastAsia="標楷體" w:hAnsi="標楷體"/>
          <w:szCs w:val="28"/>
        </w:rPr>
      </w:pPr>
      <w:r w:rsidRPr="002F2ACD">
        <w:rPr>
          <w:rFonts w:ascii="標楷體" w:eastAsia="標楷體" w:hAnsi="標楷體" w:hint="eastAsia"/>
          <w:szCs w:val="28"/>
        </w:rPr>
        <w:t xml:space="preserve">(1)服用本藥品時，必須限制飲食中的蛋白質，某些情況下還應添加膳食補充劑(例如必需氨基酸、精氨酸[arginine]、瓜氨酸[citrulline]、無蛋白熱量補充劑)。 </w:t>
      </w:r>
    </w:p>
    <w:p w14:paraId="23656E32" w14:textId="28508967" w:rsidR="002F2ACD" w:rsidRPr="002F2ACD" w:rsidRDefault="002F2ACD" w:rsidP="002F2ACD">
      <w:pPr>
        <w:autoSpaceDE w:val="0"/>
        <w:spacing w:line="480" w:lineRule="exact"/>
        <w:ind w:left="1000" w:hanging="280"/>
        <w:rPr>
          <w:rFonts w:ascii="標楷體" w:eastAsia="標楷體" w:hAnsi="標楷體"/>
          <w:szCs w:val="28"/>
        </w:rPr>
      </w:pPr>
      <w:r w:rsidRPr="002F2ACD">
        <w:rPr>
          <w:rFonts w:ascii="標楷體" w:eastAsia="標楷體" w:hAnsi="標楷體" w:hint="eastAsia"/>
          <w:szCs w:val="28"/>
        </w:rPr>
        <w:t>(2)本藥品不得使用於急性高氨血症(acute hyperammonemia)之控制。</w:t>
      </w:r>
    </w:p>
    <w:p w14:paraId="054149D0" w14:textId="34B3F023" w:rsidR="002F2ACD" w:rsidRPr="002F2ACD" w:rsidRDefault="002F2ACD" w:rsidP="002F2ACD">
      <w:pPr>
        <w:autoSpaceDE w:val="0"/>
        <w:spacing w:line="480" w:lineRule="exact"/>
        <w:ind w:left="1000" w:hanging="280"/>
        <w:rPr>
          <w:rFonts w:ascii="標楷體" w:eastAsia="標楷體" w:hAnsi="標楷體"/>
          <w:szCs w:val="28"/>
        </w:rPr>
      </w:pPr>
      <w:r w:rsidRPr="002F2ACD">
        <w:rPr>
          <w:rFonts w:ascii="標楷體" w:eastAsia="標楷體" w:hAnsi="標楷體" w:hint="eastAsia"/>
          <w:szCs w:val="28"/>
        </w:rPr>
        <w:t>(3)需經事前審查核准使用。</w:t>
      </w:r>
    </w:p>
    <w:p w14:paraId="22F9BF01" w14:textId="234E32BE" w:rsidR="00BD776B" w:rsidRDefault="002F2ACD" w:rsidP="002F2ACD">
      <w:pPr>
        <w:autoSpaceDE w:val="0"/>
        <w:spacing w:line="480" w:lineRule="exact"/>
        <w:ind w:left="876" w:hanging="283"/>
        <w:rPr>
          <w:rFonts w:ascii="標楷體" w:eastAsia="標楷體" w:hAnsi="標楷體"/>
          <w:szCs w:val="28"/>
        </w:rPr>
      </w:pPr>
      <w:r w:rsidRPr="002F2ACD">
        <w:rPr>
          <w:rFonts w:ascii="標楷體" w:eastAsia="標楷體" w:hAnsi="標楷體" w:hint="eastAsia"/>
          <w:szCs w:val="28"/>
        </w:rPr>
        <w:t>3.用藥後，若病情惡化即須停止使用。</w:t>
      </w:r>
    </w:p>
    <w:p w14:paraId="7D1535A2" w14:textId="77777777" w:rsidR="00BE3D2D" w:rsidRPr="002B5410" w:rsidRDefault="00BE3D2D" w:rsidP="00760271">
      <w:pPr>
        <w:ind w:left="142"/>
        <w:rPr>
          <w:rFonts w:ascii="標楷體" w:eastAsia="標楷體" w:hAnsi="標楷體"/>
          <w:szCs w:val="28"/>
        </w:rPr>
      </w:pPr>
      <w:r w:rsidRPr="002B5410">
        <w:rPr>
          <w:rFonts w:ascii="標楷體" w:eastAsia="標楷體" w:hAnsi="標楷體" w:hint="eastAsia"/>
          <w:szCs w:val="28"/>
        </w:rPr>
        <w:t>3.3.31.Givosiran(如Givlaari)：(114/1/1)</w:t>
      </w:r>
    </w:p>
    <w:p w14:paraId="31B788A8"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t>1.限用於確診為衛生福利部國民健康署認定之罕見疾病紫質症(porphyria)中屬急性肝紫質症(acute hepatic porphyria, AHP)[如：急性間歇性紫質症(AIP)、遺傳性紫質症(HCP)、異位型紫質症(VP)、ALAD缺乏紫質症(ADP)]，且符合下列全部條件者：</w:t>
      </w:r>
    </w:p>
    <w:p w14:paraId="690251CC"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(1)年滿18歲以上。</w:t>
      </w:r>
    </w:p>
    <w:p w14:paraId="1908E4DD"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(2)具HMBS(PBGD)、ALAD、CPOX、PPOX致病基因變異者(需檢附基因診斷報告)。</w:t>
      </w:r>
    </w:p>
    <w:p w14:paraId="0540BF64"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(3)經過適當醫療處置2年後，仍於申請本藥品前1年內，發生4次(含)以上急性</w:t>
      </w:r>
      <w:r w:rsidRPr="002B5410">
        <w:rPr>
          <w:rFonts w:ascii="標楷體" w:eastAsia="標楷體" w:hAnsi="標楷體" w:hint="eastAsia"/>
          <w:szCs w:val="28"/>
        </w:rPr>
        <w:lastRenderedPageBreak/>
        <w:t xml:space="preserve">發作，急性發作時需急診或住院治療，且使用靜脈輸注血基質藥品(hemin)治療反應不佳或耐受性不良(intolerance)或無效者。 </w:t>
      </w:r>
    </w:p>
    <w:p w14:paraId="1FFB0F49"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(4)過去1年內尿液檢查曾經偵測出高量(大於等於正常值之4倍以上)的胺基酮戊酸(aminolevulinic acid, ALA)與膽色素原(porphobilinogen, PBG)(需檢附實驗室檢查報告)。</w:t>
      </w:r>
    </w:p>
    <w:p w14:paraId="7D862095" w14:textId="77777777" w:rsidR="00BE3D2D" w:rsidRPr="002B5410" w:rsidRDefault="00BE3D2D" w:rsidP="00BE3D2D">
      <w:pPr>
        <w:suppressAutoHyphens w:val="0"/>
        <w:autoSpaceDN/>
        <w:spacing w:line="480" w:lineRule="exact"/>
        <w:ind w:leftChars="436" w:left="1286" w:hangingChars="100" w:hanging="240"/>
        <w:textAlignment w:val="auto"/>
        <w:rPr>
          <w:rFonts w:ascii="標楷體" w:eastAsia="標楷體" w:hAnsi="標楷體"/>
          <w:szCs w:val="28"/>
        </w:rPr>
      </w:pPr>
      <w:r w:rsidRPr="002B5410">
        <w:rPr>
          <w:rFonts w:ascii="標楷體" w:eastAsia="標楷體" w:hAnsi="標楷體" w:hint="eastAsia"/>
          <w:szCs w:val="28"/>
        </w:rPr>
        <w:t>備註：</w:t>
      </w:r>
    </w:p>
    <w:p w14:paraId="1D9CF5C2"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I.反應不佳定義：使用hemin治療後，每年平均發作次數仍大於4次，且每次發作都需連續使用hemin。</w:t>
      </w:r>
    </w:p>
    <w:p w14:paraId="298CD03F"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I.耐受性不良定義：使用hemin後，造成與hemin相關之嚴重且具有臨床顯著意義，會限制生活、對健康有立即或長期影響，或必須住院或延長住院處理的不良反應，例如：反覆人工血管感染或菌血症、敗血症、其他感染、鐵質沉積、靜脈炎等。</w:t>
      </w:r>
    </w:p>
    <w:p w14:paraId="1A1DC047"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(5)無任一下列情形：</w:t>
      </w:r>
    </w:p>
    <w:p w14:paraId="026630E6"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I.曾接受過肝移植患者。</w:t>
      </w:r>
    </w:p>
    <w:p w14:paraId="256E9783"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II.病人合併有其他嚴重疾病，無法從本藥品治療得到長期效益。</w:t>
      </w:r>
    </w:p>
    <w:p w14:paraId="1EB739A9"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III.病人無生活自理能力。</w:t>
      </w:r>
    </w:p>
    <w:p w14:paraId="762BD44B"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t>2.限由神經內科、血液科、肝膽腸胃科、遺傳科醫師處方。</w:t>
      </w:r>
    </w:p>
    <w:p w14:paraId="0A7C4187"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szCs w:val="28"/>
        </w:rPr>
        <w:t>3.</w:t>
      </w:r>
      <w:r w:rsidRPr="002B5410">
        <w:rPr>
          <w:rFonts w:ascii="標楷體" w:eastAsia="標楷體" w:hAnsi="標楷體" w:hint="eastAsia"/>
          <w:szCs w:val="28"/>
        </w:rPr>
        <w:t>治療中有輕微不良反應</w:t>
      </w:r>
      <w:r w:rsidRPr="002B5410">
        <w:rPr>
          <w:rFonts w:ascii="標楷體" w:eastAsia="標楷體" w:hAnsi="標楷體"/>
          <w:szCs w:val="28"/>
        </w:rPr>
        <w:t>(</w:t>
      </w:r>
      <w:r w:rsidRPr="002B5410">
        <w:rPr>
          <w:rFonts w:ascii="標楷體" w:eastAsia="標楷體" w:hAnsi="標楷體" w:hint="eastAsia"/>
          <w:szCs w:val="28"/>
        </w:rPr>
        <w:t>如轉胺酶或血清肌酸酐升高</w:t>
      </w:r>
      <w:r w:rsidRPr="002B5410">
        <w:rPr>
          <w:rFonts w:ascii="標楷體" w:eastAsia="標楷體" w:hAnsi="標楷體"/>
          <w:szCs w:val="28"/>
        </w:rPr>
        <w:t>)</w:t>
      </w:r>
      <w:r w:rsidRPr="002B5410">
        <w:rPr>
          <w:rFonts w:ascii="標楷體" w:eastAsia="標楷體" w:hAnsi="標楷體" w:hint="eastAsia"/>
          <w:szCs w:val="28"/>
        </w:rPr>
        <w:t>而暫停使用者，得於狀況排除後使用。</w:t>
      </w:r>
    </w:p>
    <w:p w14:paraId="5BEA8A52"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t>4.需經事前審查核准後使用，每次申請以1年為限，期滿需再次申請並經核准後始得續用：</w:t>
      </w:r>
    </w:p>
    <w:p w14:paraId="4FC9410F"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(1)送審時應檢附病歷紀錄及原始治療醫囑單、治療紀錄單且載明hemin使用劑量、發作症狀、次數及嚴重程度及對hemin耐受性不良或無效之證明。</w:t>
      </w:r>
    </w:p>
    <w:p w14:paraId="76D1AB0C"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(2)治療目標：相較於治療前，治療後胺基酮戊酸(ALA)、膽色素原(PBG)及年發作率(急性發作次數)下降需達50%。</w:t>
      </w:r>
    </w:p>
    <w:p w14:paraId="649BD9F4"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(3)申請續用者：</w:t>
      </w:r>
    </w:p>
    <w:p w14:paraId="4A054360"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I.需達治療目標及檢附至少3次療效評估項目資料，方可續用。</w:t>
      </w:r>
    </w:p>
    <w:p w14:paraId="46F69CA1" w14:textId="77777777" w:rsidR="00BE3D2D" w:rsidRPr="002B5410" w:rsidRDefault="00BE3D2D" w:rsidP="00BE3D2D">
      <w:pPr>
        <w:suppressAutoHyphens w:val="0"/>
        <w:spacing w:line="480" w:lineRule="exact"/>
        <w:ind w:left="1286" w:hanging="240"/>
        <w:textAlignment w:val="auto"/>
        <w:rPr>
          <w:rFonts w:ascii="標楷體" w:eastAsia="標楷體" w:hAnsi="標楷體"/>
          <w:szCs w:val="28"/>
        </w:rPr>
      </w:pPr>
      <w:r w:rsidRPr="002B5410">
        <w:rPr>
          <w:rFonts w:ascii="標楷體" w:eastAsia="標楷體" w:hAnsi="標楷體" w:hint="eastAsia"/>
          <w:szCs w:val="28"/>
        </w:rPr>
        <w:t>II.經第1年治療後未達治療目標者，可續申請1次(共6個月)之藥物，不受治療目標之限制。</w:t>
      </w:r>
    </w:p>
    <w:p w14:paraId="7DE3B5C2"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lastRenderedPageBreak/>
        <w:t>5.療效評估項目(每3個月評估一次)：</w:t>
      </w:r>
    </w:p>
    <w:p w14:paraId="23C0DB8C"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(1)臨床症狀及徵兆的病歷紀錄(含發作次數)。</w:t>
      </w:r>
    </w:p>
    <w:p w14:paraId="38B35E4E"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(2)胺基酮戊酸(ALA)與膽色素原(PBG)實驗室檢查報告。</w:t>
      </w:r>
    </w:p>
    <w:p w14:paraId="5435A502"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szCs w:val="28"/>
        </w:rPr>
        <w:t>(3)</w:t>
      </w:r>
      <w:r w:rsidRPr="002B5410">
        <w:rPr>
          <w:rFonts w:ascii="標楷體" w:eastAsia="標楷體" w:hAnsi="標楷體" w:hint="eastAsia"/>
          <w:szCs w:val="28"/>
        </w:rPr>
        <w:t>轉氨酶、血清肌酸酐、血中半同胱胺酸</w:t>
      </w:r>
      <w:r w:rsidRPr="002B5410">
        <w:rPr>
          <w:rFonts w:ascii="標楷體" w:eastAsia="標楷體" w:hAnsi="標楷體"/>
          <w:szCs w:val="28"/>
        </w:rPr>
        <w:t>(</w:t>
      </w:r>
      <w:r w:rsidRPr="002B5410">
        <w:rPr>
          <w:rFonts w:ascii="標楷體" w:eastAsia="標楷體" w:hAnsi="標楷體" w:hint="eastAsia"/>
          <w:szCs w:val="28"/>
        </w:rPr>
        <w:t>此</w:t>
      </w:r>
      <w:r w:rsidRPr="002B5410">
        <w:rPr>
          <w:rFonts w:ascii="標楷體" w:eastAsia="標楷體" w:hAnsi="標楷體"/>
          <w:szCs w:val="28"/>
        </w:rPr>
        <w:t>3</w:t>
      </w:r>
      <w:r w:rsidRPr="002B5410">
        <w:rPr>
          <w:rFonts w:ascii="標楷體" w:eastAsia="標楷體" w:hAnsi="標楷體" w:hint="eastAsia"/>
          <w:szCs w:val="28"/>
        </w:rPr>
        <w:t>項初始使用需每個月追蹤檢查，至少</w:t>
      </w:r>
      <w:r w:rsidRPr="002B5410">
        <w:rPr>
          <w:rFonts w:ascii="標楷體" w:eastAsia="標楷體" w:hAnsi="標楷體"/>
          <w:szCs w:val="28"/>
        </w:rPr>
        <w:t>3</w:t>
      </w:r>
      <w:r w:rsidRPr="002B5410">
        <w:rPr>
          <w:rFonts w:ascii="標楷體" w:eastAsia="標楷體" w:hAnsi="標楷體" w:hint="eastAsia"/>
          <w:szCs w:val="28"/>
        </w:rPr>
        <w:t>個月</w:t>
      </w:r>
      <w:r w:rsidRPr="002B5410">
        <w:rPr>
          <w:rFonts w:ascii="標楷體" w:eastAsia="標楷體" w:hAnsi="標楷體"/>
          <w:szCs w:val="28"/>
        </w:rPr>
        <w:t>)</w:t>
      </w:r>
      <w:r w:rsidRPr="002B5410">
        <w:rPr>
          <w:rFonts w:ascii="標楷體" w:eastAsia="標楷體" w:hAnsi="標楷體" w:hint="eastAsia"/>
          <w:szCs w:val="28"/>
        </w:rPr>
        <w:t>。</w:t>
      </w:r>
    </w:p>
    <w:p w14:paraId="2908334A"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t>6.停藥條件：</w:t>
      </w:r>
    </w:p>
    <w:p w14:paraId="3AA4777F"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(1)發生藥物不良反應，懷孕或出現仿單禁忌症之病人，應立即停止以本藥品治療。</w:t>
      </w:r>
    </w:p>
    <w:p w14:paraId="52892644"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(2)治療18個月後，以用藥前1年為基準未達治療目標者。</w:t>
      </w:r>
    </w:p>
    <w:p w14:paraId="728DE474" w14:textId="77777777" w:rsidR="00BE3D2D" w:rsidRPr="002B5410" w:rsidRDefault="00BE3D2D" w:rsidP="00BE3D2D">
      <w:pPr>
        <w:autoSpaceDE w:val="0"/>
        <w:spacing w:line="480" w:lineRule="exact"/>
        <w:ind w:left="1000" w:hanging="280"/>
        <w:rPr>
          <w:rFonts w:ascii="標楷體" w:eastAsia="標楷體" w:hAnsi="標楷體"/>
          <w:szCs w:val="28"/>
        </w:rPr>
      </w:pPr>
      <w:r w:rsidRPr="002B5410">
        <w:rPr>
          <w:rFonts w:ascii="標楷體" w:eastAsia="標楷體" w:hAnsi="標楷體" w:hint="eastAsia"/>
          <w:szCs w:val="28"/>
        </w:rPr>
        <w:t>(3)停經後持續治療18個月且無急性發作者。</w:t>
      </w:r>
    </w:p>
    <w:p w14:paraId="4882299B" w14:textId="77777777" w:rsidR="00BE3D2D" w:rsidRPr="002B5410"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t>7.本藥品不可合併使用human hemin預防性治療(prophylactic hemin)。</w:t>
      </w:r>
    </w:p>
    <w:p w14:paraId="6DB61374" w14:textId="4482F5B3" w:rsidR="00BE3D2D" w:rsidRPr="002F2ACD" w:rsidRDefault="00BE3D2D" w:rsidP="00BE3D2D">
      <w:pPr>
        <w:autoSpaceDE w:val="0"/>
        <w:spacing w:line="480" w:lineRule="exact"/>
        <w:ind w:left="876" w:hanging="283"/>
        <w:rPr>
          <w:rFonts w:ascii="標楷體" w:eastAsia="標楷體" w:hAnsi="標楷體"/>
          <w:szCs w:val="28"/>
        </w:rPr>
      </w:pPr>
      <w:r w:rsidRPr="002B5410">
        <w:rPr>
          <w:rFonts w:ascii="標楷體" w:eastAsia="標楷體" w:hAnsi="標楷體" w:hint="eastAsia"/>
          <w:szCs w:val="28"/>
        </w:rPr>
        <w:t>8.使用3年後未再發作或大幅改善可先暫停用藥，得視病情需要重新申請使用。</w:t>
      </w:r>
    </w:p>
    <w:p w14:paraId="62215B55" w14:textId="77777777" w:rsidR="00BD776B" w:rsidRDefault="00BD776B">
      <w:pPr>
        <w:pageBreakBefore/>
        <w:widowControl/>
        <w:suppressAutoHyphens w:val="0"/>
      </w:pPr>
    </w:p>
    <w:p w14:paraId="34B9C125" w14:textId="77777777" w:rsidR="00BD776B" w:rsidRDefault="00DF0C24">
      <w:pPr>
        <w:pStyle w:val="2"/>
      </w:pPr>
      <w:r>
        <w:t>第4節 血液治療藥物 Hematological drugs</w:t>
      </w:r>
    </w:p>
    <w:p w14:paraId="5533662E" w14:textId="77777777" w:rsidR="00BD776B" w:rsidRDefault="00BD776B">
      <w:pPr>
        <w:spacing w:line="400" w:lineRule="exact"/>
        <w:ind w:firstLine="160"/>
        <w:jc w:val="center"/>
        <w:rPr>
          <w:rFonts w:ascii="標楷體" w:eastAsia="標楷體" w:hAnsi="標楷體"/>
          <w:b/>
          <w:color w:val="000000"/>
          <w:sz w:val="32"/>
          <w:szCs w:val="32"/>
        </w:rPr>
      </w:pPr>
    </w:p>
    <w:p w14:paraId="2FE3E654" w14:textId="77777777" w:rsidR="00BD776B" w:rsidRDefault="00DF0C24">
      <w:pPr>
        <w:ind w:left="672" w:hanging="386"/>
        <w:rPr>
          <w:rFonts w:ascii="標楷體" w:eastAsia="標楷體" w:hAnsi="標楷體"/>
          <w:color w:val="000000"/>
        </w:rPr>
      </w:pPr>
      <w:r>
        <w:rPr>
          <w:rFonts w:ascii="標楷體" w:eastAsia="標楷體" w:hAnsi="標楷體"/>
          <w:color w:val="000000"/>
        </w:rPr>
        <w:t xml:space="preserve">4.1.造血功能治療藥物  Hematopoietic agents </w:t>
      </w:r>
    </w:p>
    <w:p w14:paraId="5507E268" w14:textId="77777777" w:rsidR="00BD776B" w:rsidRDefault="00DF0C24">
      <w:pPr>
        <w:ind w:left="672" w:hanging="386"/>
        <w:rPr>
          <w:rFonts w:ascii="標楷體" w:eastAsia="標楷體" w:hAnsi="標楷體"/>
          <w:color w:val="000000"/>
        </w:rPr>
      </w:pPr>
      <w:r>
        <w:rPr>
          <w:rFonts w:ascii="標楷體" w:eastAsia="標楷體" w:hAnsi="標楷體"/>
          <w:color w:val="000000"/>
        </w:rPr>
        <w:t>4.1.1.紅血球生成素(簡稱EPO) hu-erythropoietin (如Eprex、Recormon)、darbepoetin alfa（如Aranesp ）、methoxy polyethylene glycol-epoetin beta（如 Mircera solution for injection in pre-filled syringe）：(93/5/1、95/11/1、96/10/1、98/1/1、98/9/1、104/12/1、105/9/1）</w:t>
      </w:r>
    </w:p>
    <w:p w14:paraId="2A858AF8" w14:textId="77777777" w:rsidR="00BD776B" w:rsidRDefault="00DF0C24">
      <w:pPr>
        <w:ind w:left="811" w:hanging="245"/>
        <w:rPr>
          <w:rFonts w:ascii="標楷體" w:eastAsia="標楷體" w:hAnsi="標楷體"/>
          <w:color w:val="000000"/>
        </w:rPr>
      </w:pPr>
      <w:r>
        <w:rPr>
          <w:rFonts w:ascii="標楷體" w:eastAsia="標楷體" w:hAnsi="標楷體"/>
          <w:color w:val="000000"/>
        </w:rPr>
        <w:t>1.使用前和治療後每三至六個月應作體內鐵質貯存評估，如Hb在8 gm/dL以下，且ferritin小於100 mg/dL(非透析病人)、或200 mg/dL(透析病人)，有可能是鐵質缺乏。(104/12/1)。</w:t>
      </w:r>
    </w:p>
    <w:p w14:paraId="6031281B" w14:textId="77777777" w:rsidR="00BD776B" w:rsidRDefault="00DF0C24">
      <w:pPr>
        <w:ind w:left="811" w:hanging="245"/>
        <w:rPr>
          <w:rFonts w:ascii="標楷體" w:eastAsia="標楷體" w:hAnsi="標楷體"/>
          <w:color w:val="000000"/>
        </w:rPr>
      </w:pPr>
      <w:r>
        <w:rPr>
          <w:rFonts w:ascii="標楷體" w:eastAsia="標楷體" w:hAnsi="標楷體"/>
          <w:color w:val="000000"/>
        </w:rPr>
        <w:t>2.使用期間應排除維他命B12或葉酸缺乏，腸胃道出血，全身性感染或發炎疾病等情況，始得繼續。(104/12/1)。</w:t>
      </w:r>
    </w:p>
    <w:p w14:paraId="58DC6FBF" w14:textId="77777777" w:rsidR="00BD776B" w:rsidRDefault="00DF0C24">
      <w:pPr>
        <w:ind w:left="811" w:hanging="245"/>
        <w:rPr>
          <w:rFonts w:ascii="標楷體" w:eastAsia="標楷體" w:hAnsi="標楷體"/>
          <w:color w:val="000000"/>
        </w:rPr>
      </w:pPr>
      <w:r>
        <w:rPr>
          <w:rFonts w:ascii="標楷體" w:eastAsia="標楷體" w:hAnsi="標楷體"/>
          <w:color w:val="000000"/>
        </w:rPr>
        <w:t>3.限腎臟病並符合下列條件使用：(104/12/1)</w:t>
      </w:r>
    </w:p>
    <w:p w14:paraId="1BB7C75C" w14:textId="77777777" w:rsidR="00BD776B" w:rsidRDefault="00DF0C24">
      <w:pPr>
        <w:ind w:left="1049" w:hanging="341"/>
      </w:pPr>
      <w:r>
        <w:rPr>
          <w:rFonts w:ascii="標楷體" w:eastAsia="標楷體" w:hAnsi="標楷體"/>
          <w:color w:val="000000"/>
        </w:rPr>
        <w:t>(1)末期腎臟病接受透析病人，其Hb &lt;9gm/dL，或第五期慢性腎臟病病人 (eGFR &lt; 15 mL/min/1.73 m</w:t>
      </w:r>
      <w:r>
        <w:rPr>
          <w:rFonts w:ascii="標楷體" w:eastAsia="標楷體" w:hAnsi="標楷體"/>
          <w:color w:val="000000"/>
          <w:vertAlign w:val="superscript"/>
        </w:rPr>
        <w:t>2</w:t>
      </w:r>
      <w:r>
        <w:rPr>
          <w:rFonts w:ascii="標楷體" w:eastAsia="標楷體" w:hAnsi="標楷體"/>
          <w:color w:val="000000"/>
        </w:rPr>
        <w:t>)，其Hb &lt; 9gm/dL。</w:t>
      </w:r>
    </w:p>
    <w:p w14:paraId="7467C725" w14:textId="77777777" w:rsidR="00BD776B" w:rsidRDefault="00DF0C24">
      <w:pPr>
        <w:ind w:left="1231" w:hanging="379"/>
        <w:rPr>
          <w:rFonts w:ascii="標楷體" w:eastAsia="標楷體" w:hAnsi="標楷體"/>
          <w:color w:val="000000"/>
        </w:rPr>
      </w:pPr>
      <w:r>
        <w:rPr>
          <w:rFonts w:ascii="標楷體" w:eastAsia="標楷體" w:hAnsi="標楷體"/>
          <w:color w:val="000000"/>
        </w:rPr>
        <w:t>Ⅰ.使用時，應從小劑量開始，Hb目標為10 gm/dL，符合下列情形之病人，應即暫停使用本類藥品：</w:t>
      </w:r>
    </w:p>
    <w:p w14:paraId="4C4FD585" w14:textId="77777777" w:rsidR="00BD776B" w:rsidRDefault="00DF0C24">
      <w:pPr>
        <w:ind w:left="1229" w:hanging="238"/>
        <w:rPr>
          <w:rFonts w:ascii="標楷體" w:eastAsia="標楷體" w:hAnsi="標楷體"/>
          <w:color w:val="000000"/>
        </w:rPr>
      </w:pPr>
      <w:r>
        <w:rPr>
          <w:rFonts w:ascii="標楷體" w:eastAsia="標楷體" w:hAnsi="標楷體"/>
          <w:color w:val="000000"/>
        </w:rPr>
        <w:t>i. Hb超過11gm/dL。</w:t>
      </w:r>
    </w:p>
    <w:p w14:paraId="2DBF2B8E" w14:textId="77777777" w:rsidR="00BD776B" w:rsidRDefault="00DF0C24">
      <w:pPr>
        <w:ind w:left="1229" w:hanging="238"/>
        <w:rPr>
          <w:rFonts w:ascii="標楷體" w:eastAsia="標楷體" w:hAnsi="標楷體"/>
          <w:color w:val="000000"/>
        </w:rPr>
      </w:pPr>
      <w:r>
        <w:rPr>
          <w:rFonts w:ascii="標楷體" w:eastAsia="標楷體" w:hAnsi="標楷體"/>
          <w:color w:val="000000"/>
        </w:rPr>
        <w:t>ii.接受治療第6週到第8週內Hb之上升值未達1 gm/dL。</w:t>
      </w:r>
    </w:p>
    <w:p w14:paraId="19F6B111" w14:textId="77777777" w:rsidR="00BD776B" w:rsidRDefault="00DF0C24">
      <w:pPr>
        <w:ind w:left="1231" w:hanging="379"/>
        <w:rPr>
          <w:rFonts w:ascii="標楷體" w:eastAsia="標楷體" w:hAnsi="標楷體"/>
          <w:color w:val="000000"/>
        </w:rPr>
      </w:pPr>
      <w:r>
        <w:rPr>
          <w:rFonts w:ascii="標楷體" w:eastAsia="標楷體" w:hAnsi="標楷體"/>
          <w:color w:val="000000"/>
        </w:rPr>
        <w:t>Ⅱ.如Hb值維持在目標值一段時間 (一至二個月)，宜逐次減量，以求得最低維持劑量。</w:t>
      </w:r>
    </w:p>
    <w:p w14:paraId="27F3A1C8" w14:textId="77777777" w:rsidR="00BD776B" w:rsidRDefault="00DF0C24">
      <w:pPr>
        <w:ind w:left="1049" w:hanging="341"/>
        <w:rPr>
          <w:rFonts w:ascii="標楷體" w:eastAsia="標楷體" w:hAnsi="標楷體"/>
          <w:color w:val="000000"/>
        </w:rPr>
      </w:pPr>
      <w:r>
        <w:rPr>
          <w:rFonts w:ascii="標楷體" w:eastAsia="標楷體" w:hAnsi="標楷體"/>
          <w:color w:val="000000"/>
        </w:rPr>
        <w:t>(2)每名病人所用劑量，一個月不超過20,000U (如Eprex、Recormon)或100mcg (如Aranesp 、Mircera solution for injection in pre-filled syringe)為原則，如需超量使用，應附病人臨床資料(如年齡、前月Hb值、前月所用劑量、所定目標值…等等)及使用理由。(93/5/1、98/9/1)。</w:t>
      </w:r>
    </w:p>
    <w:p w14:paraId="48924FDF" w14:textId="77777777" w:rsidR="00BD776B" w:rsidRDefault="00DF0C24">
      <w:pPr>
        <w:ind w:left="1049" w:hanging="341"/>
        <w:rPr>
          <w:rFonts w:ascii="標楷體" w:eastAsia="標楷體" w:hAnsi="標楷體"/>
          <w:color w:val="000000"/>
        </w:rPr>
      </w:pPr>
      <w:r>
        <w:rPr>
          <w:rFonts w:ascii="標楷體" w:eastAsia="標楷體" w:hAnsi="標楷體"/>
          <w:color w:val="000000"/>
        </w:rPr>
        <w:t>(3)使用本類藥品之血液透析、腹膜透析(CAPD)及未透析患者因病情需要使用本類藥品時，應依下列頻率定期檢查Hb值，其檢查費用包含於透析費用內，不另給付(未接受透析病人除外)：(105/9/1)</w:t>
      </w:r>
    </w:p>
    <w:p w14:paraId="300EEC2A" w14:textId="77777777" w:rsidR="00BD776B" w:rsidRDefault="00DF0C24">
      <w:pPr>
        <w:ind w:left="1275" w:hanging="425"/>
        <w:rPr>
          <w:rFonts w:ascii="標楷體" w:eastAsia="標楷體" w:hAnsi="標楷體"/>
          <w:color w:val="000000"/>
        </w:rPr>
      </w:pPr>
      <w:r>
        <w:rPr>
          <w:rFonts w:ascii="標楷體" w:eastAsia="標楷體" w:hAnsi="標楷體"/>
          <w:color w:val="000000"/>
        </w:rPr>
        <w:t>Ⅰ.血液透析及腹膜透析患者：每月應檢查乙次。(105/9/1)</w:t>
      </w:r>
    </w:p>
    <w:p w14:paraId="4786CC0B" w14:textId="77777777" w:rsidR="00BD776B" w:rsidRDefault="00DF0C24">
      <w:pPr>
        <w:ind w:left="1275" w:hanging="425"/>
        <w:rPr>
          <w:rFonts w:ascii="標楷體" w:eastAsia="標楷體" w:hAnsi="標楷體"/>
          <w:color w:val="000000"/>
        </w:rPr>
      </w:pPr>
      <w:r>
        <w:rPr>
          <w:rFonts w:ascii="標楷體" w:eastAsia="標楷體" w:hAnsi="標楷體"/>
          <w:color w:val="000000"/>
        </w:rPr>
        <w:t>Ⅱ.未透析患者：至少每3個月應檢查乙次。初次使用者，治療後6至8週應檢查乙次。(105/9/1)</w:t>
      </w:r>
    </w:p>
    <w:p w14:paraId="194E9219" w14:textId="77777777" w:rsidR="00BD776B" w:rsidRDefault="00DF0C24">
      <w:pPr>
        <w:ind w:left="1049" w:hanging="341"/>
        <w:rPr>
          <w:rFonts w:ascii="標楷體" w:eastAsia="標楷體" w:hAnsi="標楷體"/>
          <w:color w:val="000000"/>
        </w:rPr>
      </w:pPr>
      <w:r>
        <w:rPr>
          <w:rFonts w:ascii="標楷體" w:eastAsia="標楷體" w:hAnsi="標楷體"/>
          <w:color w:val="000000"/>
        </w:rPr>
        <w:t>(4)使用本類藥品期間如需輸血，請附輸血時Hb值及原因。</w:t>
      </w:r>
    </w:p>
    <w:p w14:paraId="76478339" w14:textId="77777777" w:rsidR="00BD776B" w:rsidRDefault="00DF0C24">
      <w:pPr>
        <w:ind w:left="811" w:hanging="245"/>
        <w:rPr>
          <w:rFonts w:ascii="標楷體" w:eastAsia="標楷體" w:hAnsi="標楷體"/>
          <w:color w:val="000000"/>
        </w:rPr>
      </w:pPr>
      <w:r>
        <w:rPr>
          <w:rFonts w:ascii="標楷體" w:eastAsia="標楷體" w:hAnsi="標楷體"/>
          <w:color w:val="000000"/>
        </w:rPr>
        <w:t>4.限癌症病人合併化學治療有關的貧血。不含使用Mircera solution for injection in pre-filled syringe：（95/11/1、96/10/1、98/1/1、98/9/1、104/12/1）</w:t>
      </w:r>
    </w:p>
    <w:p w14:paraId="3082201D" w14:textId="77777777" w:rsidR="00BD776B" w:rsidRDefault="00DF0C24">
      <w:pPr>
        <w:ind w:left="1049" w:hanging="341"/>
        <w:rPr>
          <w:rFonts w:ascii="標楷體" w:eastAsia="標楷體" w:hAnsi="標楷體"/>
          <w:color w:val="000000"/>
        </w:rPr>
      </w:pPr>
      <w:r>
        <w:rPr>
          <w:rFonts w:ascii="標楷體" w:eastAsia="標楷體" w:hAnsi="標楷體"/>
          <w:color w:val="000000"/>
        </w:rPr>
        <w:t>(1)限患有固態腫瘤接受化學藥物治療而引起之症狀性貧血，且Hb＜8 gm/dL之病人使用。對於癌症患者預期有合理且足夠的存活時間者（含治癒性治療及預期輔助性化學治療等），不應使用EPO治療貧血。（98/1/1、104/12/1）</w:t>
      </w:r>
    </w:p>
    <w:p w14:paraId="0B16BC80" w14:textId="77777777" w:rsidR="00BD776B" w:rsidRDefault="00DF0C24">
      <w:pPr>
        <w:ind w:left="1092" w:hanging="384"/>
        <w:rPr>
          <w:rFonts w:ascii="標楷體" w:eastAsia="標楷體" w:hAnsi="標楷體"/>
          <w:color w:val="000000"/>
        </w:rPr>
      </w:pPr>
      <w:r>
        <w:rPr>
          <w:rFonts w:ascii="標楷體" w:eastAsia="標楷體" w:hAnsi="標楷體"/>
          <w:color w:val="000000"/>
        </w:rPr>
        <w:t>(2)Epoetin beta（如Recormon）與epoetin alfa（如Eprex）初劑量為150U/Kg 每週3次，最高劑量300U/Kg每週3次，或epoetin beta（如Recormon）初劑量30,000單位，epoetin alfa（如Eprex）初劑量40,000單</w:t>
      </w:r>
      <w:r>
        <w:rPr>
          <w:rFonts w:ascii="標楷體" w:eastAsia="標楷體" w:hAnsi="標楷體"/>
          <w:color w:val="000000"/>
        </w:rPr>
        <w:lastRenderedPageBreak/>
        <w:t>位，每週1次，最高劑量60,000單位，每週1次；Darbepoetin alfa（如Aranesp）初劑量2.25mcg/kg，每週1次，最高劑量4.5mcg/kg，每週1次。（96/10/1）。</w:t>
      </w:r>
    </w:p>
    <w:p w14:paraId="024A2450" w14:textId="77777777" w:rsidR="00BD776B" w:rsidRDefault="00DF0C24">
      <w:pPr>
        <w:ind w:left="1049" w:hanging="341"/>
        <w:rPr>
          <w:rFonts w:ascii="標楷體" w:eastAsia="標楷體" w:hAnsi="標楷體"/>
          <w:color w:val="000000"/>
        </w:rPr>
      </w:pPr>
      <w:r>
        <w:rPr>
          <w:rFonts w:ascii="標楷體" w:eastAsia="標楷體" w:hAnsi="標楷體"/>
          <w:color w:val="000000"/>
        </w:rPr>
        <w:t>(3)每次療程最長24週，如化學治療療程完全結束後4週也應停止EPO使用。(104/12/1）</w:t>
      </w:r>
    </w:p>
    <w:p w14:paraId="715FD22C" w14:textId="77777777" w:rsidR="00BD776B" w:rsidRDefault="00DF0C24">
      <w:pPr>
        <w:ind w:left="1092" w:hanging="382"/>
        <w:rPr>
          <w:rFonts w:ascii="標楷體" w:eastAsia="標楷體" w:hAnsi="標楷體"/>
          <w:color w:val="000000"/>
        </w:rPr>
      </w:pPr>
      <w:r>
        <w:rPr>
          <w:rFonts w:ascii="標楷體" w:eastAsia="標楷體" w:hAnsi="標楷體"/>
          <w:color w:val="000000"/>
        </w:rPr>
        <w:t>(4)符合下列情形之病人，應即停止使用本類藥品：</w:t>
      </w:r>
    </w:p>
    <w:p w14:paraId="040EDC46" w14:textId="77777777" w:rsidR="00BD776B" w:rsidRDefault="00DF0C24">
      <w:pPr>
        <w:ind w:left="1198" w:hanging="346"/>
        <w:rPr>
          <w:rFonts w:ascii="標楷體" w:eastAsia="標楷體" w:hAnsi="標楷體"/>
          <w:color w:val="000000"/>
        </w:rPr>
      </w:pPr>
      <w:r>
        <w:rPr>
          <w:rFonts w:ascii="標楷體" w:eastAsia="標楷體" w:hAnsi="標楷體"/>
          <w:color w:val="000000"/>
        </w:rPr>
        <w:t>Ⅰ.Hb超過10 gm/dL (Hb＞10gm/dL)。</w:t>
      </w:r>
    </w:p>
    <w:p w14:paraId="49251E67" w14:textId="77777777" w:rsidR="00BD776B" w:rsidRDefault="00DF0C24">
      <w:pPr>
        <w:ind w:left="1198" w:hanging="346"/>
        <w:rPr>
          <w:rFonts w:ascii="標楷體" w:eastAsia="標楷體" w:hAnsi="標楷體"/>
          <w:color w:val="000000"/>
        </w:rPr>
      </w:pPr>
      <w:r>
        <w:rPr>
          <w:rFonts w:ascii="標楷體" w:eastAsia="標楷體" w:hAnsi="標楷體"/>
          <w:color w:val="000000"/>
        </w:rPr>
        <w:t>Ⅱ.於接受治療第6週到第8週內Hb之上升值未達1 gm/dL。</w:t>
      </w:r>
    </w:p>
    <w:p w14:paraId="300C3F5E" w14:textId="77777777" w:rsidR="00BD776B" w:rsidRDefault="00DF0C24">
      <w:pPr>
        <w:ind w:left="1198" w:hanging="346"/>
        <w:rPr>
          <w:rFonts w:ascii="標楷體" w:eastAsia="標楷體" w:hAnsi="標楷體"/>
          <w:color w:val="000000"/>
        </w:rPr>
      </w:pPr>
      <w:r>
        <w:rPr>
          <w:rFonts w:ascii="標楷體" w:eastAsia="標楷體" w:hAnsi="標楷體"/>
          <w:color w:val="000000"/>
        </w:rPr>
        <w:t>Ⅲ.化學治療結束後4週(104/12/1）。</w:t>
      </w:r>
    </w:p>
    <w:p w14:paraId="60E7CCD7" w14:textId="77777777" w:rsidR="00BD776B" w:rsidRDefault="00DF0C24">
      <w:pPr>
        <w:ind w:left="672" w:hanging="386"/>
        <w:rPr>
          <w:rFonts w:ascii="標楷體" w:eastAsia="標楷體" w:hAnsi="標楷體"/>
          <w:color w:val="000000"/>
        </w:rPr>
      </w:pPr>
      <w:r>
        <w:rPr>
          <w:rFonts w:ascii="標楷體" w:eastAsia="標楷體" w:hAnsi="標楷體"/>
          <w:color w:val="000000"/>
        </w:rPr>
        <w:t xml:space="preserve">4.1.2.白血球生長激素(G-CSF)(101/6/1)： </w:t>
      </w:r>
    </w:p>
    <w:p w14:paraId="37AA5030" w14:textId="77777777" w:rsidR="00BD776B" w:rsidRDefault="00DF0C24">
      <w:pPr>
        <w:ind w:left="672" w:hanging="386"/>
        <w:rPr>
          <w:rFonts w:ascii="標楷體" w:eastAsia="標楷體" w:hAnsi="標楷體"/>
          <w:color w:val="000000"/>
        </w:rPr>
      </w:pPr>
      <w:r>
        <w:rPr>
          <w:rFonts w:ascii="標楷體" w:eastAsia="標楷體" w:hAnsi="標楷體"/>
          <w:color w:val="000000"/>
        </w:rPr>
        <w:t>4.1.2.1.短效型注射劑（如filgrastim、lenograstim）：(85/10/1、93/4/1、96/1/1、101/6/1)</w:t>
      </w:r>
    </w:p>
    <w:p w14:paraId="1BD3137D" w14:textId="77777777" w:rsidR="00BD776B" w:rsidRDefault="00DF0C24">
      <w:pPr>
        <w:ind w:left="811" w:hanging="245"/>
        <w:rPr>
          <w:rFonts w:ascii="標楷體" w:eastAsia="標楷體" w:hAnsi="標楷體"/>
          <w:color w:val="000000"/>
        </w:rPr>
      </w:pPr>
      <w:r>
        <w:rPr>
          <w:rFonts w:ascii="標楷體" w:eastAsia="標楷體" w:hAnsi="標楷體"/>
          <w:color w:val="000000"/>
        </w:rPr>
        <w:t>1.限</w:t>
      </w:r>
    </w:p>
    <w:p w14:paraId="0B9F51EB" w14:textId="77777777" w:rsidR="00BD776B" w:rsidRDefault="00DF0C24">
      <w:pPr>
        <w:ind w:left="1049" w:hanging="341"/>
        <w:rPr>
          <w:rFonts w:ascii="標楷體" w:eastAsia="標楷體" w:hAnsi="標楷體"/>
          <w:color w:val="000000"/>
        </w:rPr>
      </w:pPr>
      <w:r>
        <w:rPr>
          <w:rFonts w:ascii="標楷體" w:eastAsia="標楷體" w:hAnsi="標楷體"/>
          <w:color w:val="000000"/>
        </w:rPr>
        <w:t>(1)用於造血幹細胞移植患者。</w:t>
      </w:r>
    </w:p>
    <w:p w14:paraId="7A165DFD" w14:textId="77777777" w:rsidR="00BD776B" w:rsidRDefault="00DF0C24">
      <w:pPr>
        <w:ind w:left="1049" w:hanging="341"/>
        <w:rPr>
          <w:rFonts w:ascii="標楷體" w:eastAsia="標楷體" w:hAnsi="標楷體"/>
          <w:color w:val="000000"/>
        </w:rPr>
      </w:pPr>
      <w:r>
        <w:rPr>
          <w:rFonts w:ascii="標楷體" w:eastAsia="標楷體" w:hAnsi="標楷體"/>
          <w:color w:val="000000"/>
        </w:rPr>
        <w:t>(2)血液惡性疾病接受靜注化學治療後。</w:t>
      </w:r>
    </w:p>
    <w:p w14:paraId="4720A6E6" w14:textId="77777777" w:rsidR="00BD776B" w:rsidRDefault="00DF0C24">
      <w:pPr>
        <w:ind w:left="1049" w:hanging="341"/>
        <w:rPr>
          <w:rFonts w:ascii="標楷體" w:eastAsia="標楷體" w:hAnsi="標楷體"/>
          <w:color w:val="000000"/>
        </w:rPr>
      </w:pPr>
      <w:r>
        <w:rPr>
          <w:rFonts w:ascii="標楷體" w:eastAsia="標楷體" w:hAnsi="標楷體"/>
          <w:color w:val="000000"/>
        </w:rPr>
        <w:t>(3)先天性或循環性中性白血球低下症者(當白血球數量少於1000/cumm，或中性白血球 (ANC) 少於500/cumm)。</w:t>
      </w:r>
    </w:p>
    <w:p w14:paraId="4AAFA649" w14:textId="77777777" w:rsidR="00BD776B" w:rsidRDefault="00DF0C24">
      <w:pPr>
        <w:ind w:left="1049" w:hanging="341"/>
        <w:rPr>
          <w:rFonts w:ascii="標楷體" w:eastAsia="標楷體" w:hAnsi="標楷體"/>
          <w:color w:val="000000"/>
        </w:rPr>
      </w:pPr>
      <w:r>
        <w:rPr>
          <w:rFonts w:ascii="標楷體" w:eastAsia="標楷體" w:hAnsi="標楷體"/>
          <w:color w:val="000000"/>
        </w:rPr>
        <w:t>(4)其他惡性疾病患者在接受化學治療後，曾經發生白血球少於1000/cumm，或中性白血球 (ANC) 少於500/cumm者，即可使用。(96/1/1)</w:t>
      </w:r>
    </w:p>
    <w:p w14:paraId="4F8B2B77" w14:textId="573A51C5" w:rsidR="00BD776B" w:rsidRDefault="00DF0C24">
      <w:pPr>
        <w:ind w:left="1049" w:hanging="341"/>
        <w:rPr>
          <w:rFonts w:ascii="標楷體" w:eastAsia="標楷體" w:hAnsi="標楷體"/>
          <w:color w:val="000000"/>
        </w:rPr>
      </w:pPr>
      <w:r>
        <w:rPr>
          <w:rFonts w:ascii="標楷體" w:eastAsia="標楷體" w:hAnsi="標楷體"/>
          <w:color w:val="000000"/>
        </w:rPr>
        <w:t xml:space="preserve">(5)重度再生不良性貧血病人嚴重感染時使用，惟不得作為此類病人之預防性使用 </w:t>
      </w:r>
      <w:r w:rsidR="00B236AA">
        <w:rPr>
          <w:rFonts w:ascii="標楷體" w:eastAsia="標楷體" w:hAnsi="標楷體"/>
          <w:color w:val="000000"/>
        </w:rPr>
        <w:t>。</w:t>
      </w:r>
      <w:r>
        <w:rPr>
          <w:rFonts w:ascii="標楷體" w:eastAsia="標楷體" w:hAnsi="標楷體"/>
          <w:color w:val="000000"/>
        </w:rPr>
        <w:t>(86/9/1)</w:t>
      </w:r>
      <w:r w:rsidR="00B236AA">
        <w:rPr>
          <w:rFonts w:ascii="標楷體" w:eastAsia="標楷體" w:hAnsi="標楷體"/>
          <w:color w:val="000000"/>
        </w:rPr>
        <w:t xml:space="preserve"> </w:t>
      </w:r>
    </w:p>
    <w:p w14:paraId="290F521E" w14:textId="77777777" w:rsidR="00BD776B" w:rsidRDefault="00DF0C24">
      <w:pPr>
        <w:ind w:left="1049" w:hanging="341"/>
        <w:rPr>
          <w:rFonts w:ascii="標楷體" w:eastAsia="標楷體" w:hAnsi="標楷體"/>
          <w:color w:val="000000"/>
        </w:rPr>
      </w:pPr>
      <w:r>
        <w:rPr>
          <w:rFonts w:ascii="標楷體" w:eastAsia="標楷體" w:hAnsi="標楷體"/>
          <w:color w:val="000000"/>
        </w:rPr>
        <w:t>(6)化學治療，併中性白血球缺乏之發燒，若中性白血球小於100/cumm、癌症不受控制、肺炎、低血壓、多器官衰竭或侵犯性黴菌感染等危機程度高之感染。</w:t>
      </w:r>
    </w:p>
    <w:p w14:paraId="4BCE133A" w14:textId="77777777" w:rsidR="00BD776B" w:rsidRDefault="00DF0C24">
      <w:pPr>
        <w:ind w:left="1049" w:hanging="341"/>
        <w:rPr>
          <w:rFonts w:ascii="標楷體" w:eastAsia="標楷體" w:hAnsi="標楷體"/>
          <w:color w:val="000000"/>
        </w:rPr>
      </w:pPr>
      <w:r>
        <w:rPr>
          <w:rFonts w:ascii="標楷體" w:eastAsia="標楷體" w:hAnsi="標楷體"/>
          <w:color w:val="000000"/>
        </w:rPr>
        <w:t>(7)對於骨髓造血功能不良症候群（MDS）的病人，若因嚴重性的中性白血球過低（ANC&lt;500/cumm）而併發感染時，可間歇性使用G-CSF，但不得作為長期且常規性使用。</w:t>
      </w:r>
    </w:p>
    <w:p w14:paraId="3BC4791A" w14:textId="77777777" w:rsidR="00BD776B" w:rsidRDefault="00DF0C24">
      <w:pPr>
        <w:ind w:left="1049" w:hanging="341"/>
        <w:rPr>
          <w:rFonts w:ascii="標楷體" w:eastAsia="標楷體" w:hAnsi="標楷體"/>
          <w:color w:val="000000"/>
        </w:rPr>
      </w:pPr>
      <w:r>
        <w:rPr>
          <w:rFonts w:ascii="標楷體" w:eastAsia="標楷體" w:hAnsi="標楷體"/>
          <w:color w:val="000000"/>
        </w:rPr>
        <w:t>(8)週邊血液幹細胞的趨動─不論在自體或異體幹細胞的收集，應於收集前之4~5日開始皮下注射G-CSF，其劑量為10μg /KG/day。</w:t>
      </w:r>
    </w:p>
    <w:p w14:paraId="7B66BCE6" w14:textId="77777777" w:rsidR="00BD776B" w:rsidRDefault="00DF0C24">
      <w:pPr>
        <w:ind w:left="811" w:hanging="245"/>
        <w:rPr>
          <w:rFonts w:ascii="標楷體" w:eastAsia="標楷體" w:hAnsi="標楷體"/>
          <w:color w:val="000000"/>
        </w:rPr>
      </w:pPr>
      <w:r>
        <w:rPr>
          <w:rFonts w:ascii="標楷體" w:eastAsia="標楷體" w:hAnsi="標楷體"/>
          <w:color w:val="000000"/>
        </w:rPr>
        <w:t>2.患者如白血球超過4000/cumm，或中性白血球超過2000/cumm時，應即停藥。惟當預估其骨髓功能不易恢復時，雖其血球已達上述標準，仍可給予半量之治療，若仍可維持血球數，則可給予四分之一劑量，若仍可維持血球數，則停用。任何時候，若白血球或中性白血球數過度增高，即應停藥。</w:t>
      </w:r>
    </w:p>
    <w:p w14:paraId="2F69B752" w14:textId="3122AF5A" w:rsidR="00BD776B" w:rsidRDefault="00DF0C24">
      <w:pPr>
        <w:ind w:left="672" w:hanging="386"/>
        <w:rPr>
          <w:rFonts w:ascii="標楷體" w:eastAsia="標楷體" w:hAnsi="標楷體"/>
          <w:color w:val="000000"/>
        </w:rPr>
      </w:pPr>
      <w:r>
        <w:rPr>
          <w:rFonts w:ascii="標楷體" w:eastAsia="標楷體" w:hAnsi="標楷體"/>
          <w:color w:val="000000"/>
        </w:rPr>
        <w:t>4.1.2.2.長效型注射劑(如pegfilgrastim)：(101/6/1、112/10/1</w:t>
      </w:r>
      <w:r w:rsidR="00EB7011">
        <w:rPr>
          <w:rFonts w:ascii="標楷體" w:eastAsia="標楷體" w:hAnsi="標楷體" w:hint="eastAsia"/>
          <w:color w:val="000000"/>
        </w:rPr>
        <w:t>、113/11/1</w:t>
      </w:r>
      <w:r>
        <w:rPr>
          <w:rFonts w:ascii="標楷體" w:eastAsia="標楷體" w:hAnsi="標楷體"/>
          <w:color w:val="000000"/>
        </w:rPr>
        <w:t>)</w:t>
      </w:r>
    </w:p>
    <w:p w14:paraId="05AA90B2" w14:textId="2F054B75" w:rsidR="00BD776B" w:rsidRDefault="00DF0C24">
      <w:pPr>
        <w:ind w:left="886" w:hanging="600"/>
      </w:pPr>
      <w:r>
        <w:rPr>
          <w:rFonts w:ascii="標楷體" w:eastAsia="標楷體" w:hAnsi="標楷體"/>
          <w:color w:val="000000"/>
        </w:rPr>
        <w:t xml:space="preserve">   1.</w:t>
      </w:r>
      <w:r>
        <w:rPr>
          <w:rFonts w:ascii="標楷體" w:eastAsia="標楷體" w:hAnsi="標楷體"/>
          <w:color w:val="000000"/>
          <w:szCs w:val="24"/>
        </w:rPr>
        <w:t>限非骨髓性癌症合併有骨髓侵犯之患者(Fulphila</w:t>
      </w:r>
      <w:r w:rsidR="00EB7011" w:rsidRPr="00EB7011">
        <w:rPr>
          <w:rFonts w:ascii="標楷體" w:eastAsia="標楷體" w:hAnsi="標楷體" w:hint="eastAsia"/>
          <w:color w:val="000000"/>
          <w:szCs w:val="24"/>
        </w:rPr>
        <w:t>及Ziextenzo</w:t>
      </w:r>
      <w:r>
        <w:rPr>
          <w:rFonts w:ascii="標楷體" w:eastAsia="標楷體" w:hAnsi="標楷體"/>
          <w:color w:val="000000"/>
          <w:szCs w:val="24"/>
        </w:rPr>
        <w:t>不限合併有骨髓侵犯)，在骨髓抑制性抗癌藥物治療後，且曾經發生白血球少於1000/cumm，或嗜中性白血球(ANC)少於500/cumm者使用。(112/10/1</w:t>
      </w:r>
      <w:r w:rsidR="00EB7011">
        <w:rPr>
          <w:rFonts w:ascii="標楷體" w:eastAsia="標楷體" w:hAnsi="標楷體" w:hint="eastAsia"/>
          <w:color w:val="000000"/>
          <w:szCs w:val="24"/>
        </w:rPr>
        <w:t>、113/11/1</w:t>
      </w:r>
      <w:r>
        <w:rPr>
          <w:rFonts w:ascii="標楷體" w:eastAsia="標楷體" w:hAnsi="標楷體"/>
          <w:color w:val="000000"/>
          <w:szCs w:val="24"/>
        </w:rPr>
        <w:t xml:space="preserve">) </w:t>
      </w:r>
    </w:p>
    <w:p w14:paraId="7B7DB036" w14:textId="77777777" w:rsidR="00BD776B" w:rsidRDefault="00DF0C24">
      <w:pPr>
        <w:ind w:left="886" w:hanging="600"/>
        <w:rPr>
          <w:rFonts w:ascii="標楷體" w:eastAsia="標楷體" w:hAnsi="標楷體"/>
          <w:color w:val="000000"/>
          <w:szCs w:val="24"/>
        </w:rPr>
      </w:pPr>
      <w:r>
        <w:rPr>
          <w:rFonts w:ascii="標楷體" w:eastAsia="標楷體" w:hAnsi="標楷體"/>
          <w:color w:val="000000"/>
          <w:szCs w:val="24"/>
        </w:rPr>
        <w:t xml:space="preserve">   2.同一化學治療療程內限用1支，亦不可併用短效型注射劑。(112/10/1)</w:t>
      </w:r>
    </w:p>
    <w:p w14:paraId="1FDE069F" w14:textId="77777777" w:rsidR="00BD776B" w:rsidRDefault="00DF0C24">
      <w:pPr>
        <w:ind w:left="672" w:hanging="386"/>
        <w:rPr>
          <w:rFonts w:ascii="標楷體" w:eastAsia="標楷體" w:hAnsi="標楷體"/>
          <w:color w:val="000000"/>
        </w:rPr>
      </w:pPr>
      <w:r>
        <w:rPr>
          <w:rFonts w:ascii="標楷體" w:eastAsia="標楷體" w:hAnsi="標楷體"/>
          <w:color w:val="000000"/>
        </w:rPr>
        <w:t>4.2.血液代用製劑及血液成分製劑 blood substituents and blood components</w:t>
      </w:r>
    </w:p>
    <w:p w14:paraId="23B0D71B" w14:textId="77777777" w:rsidR="00BD776B" w:rsidRDefault="00DF0C24">
      <w:pPr>
        <w:ind w:left="672" w:hanging="386"/>
        <w:rPr>
          <w:rFonts w:ascii="標楷體" w:eastAsia="標楷體" w:hAnsi="標楷體"/>
          <w:color w:val="000000"/>
        </w:rPr>
      </w:pPr>
      <w:r>
        <w:rPr>
          <w:rFonts w:ascii="標楷體" w:eastAsia="標楷體" w:hAnsi="標楷體"/>
          <w:color w:val="000000"/>
        </w:rPr>
        <w:t>4.2.1.Human Albumin：（100/8/1、111/2/1）</w:t>
      </w:r>
    </w:p>
    <w:p w14:paraId="5238FC60" w14:textId="2B6318C3" w:rsidR="00BD776B" w:rsidRDefault="00DF0C24">
      <w:pPr>
        <w:ind w:left="811" w:hanging="245"/>
        <w:rPr>
          <w:rFonts w:ascii="標楷體" w:eastAsia="標楷體" w:hAnsi="標楷體"/>
          <w:color w:val="000000"/>
        </w:rPr>
      </w:pPr>
      <w:r>
        <w:rPr>
          <w:rFonts w:ascii="標楷體" w:eastAsia="標楷體" w:hAnsi="標楷體"/>
          <w:color w:val="000000"/>
        </w:rPr>
        <w:t>1.本保險對象因病使用Human Albumin以符合下列適應症為限</w:t>
      </w:r>
      <w:r w:rsidR="00B236AA">
        <w:rPr>
          <w:rFonts w:ascii="標楷體" w:eastAsia="標楷體" w:hAnsi="標楷體"/>
          <w:color w:val="000000"/>
        </w:rPr>
        <w:t>：</w:t>
      </w:r>
      <w:r>
        <w:rPr>
          <w:rFonts w:ascii="標楷體" w:eastAsia="標楷體" w:hAnsi="標楷體"/>
          <w:color w:val="000000"/>
        </w:rPr>
        <w:t>（96/6/1、104/11/1、111/2/1）</w:t>
      </w:r>
    </w:p>
    <w:p w14:paraId="6F36D958"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(1)休克病人擴充有效循環血液量</w:t>
      </w:r>
    </w:p>
    <w:p w14:paraId="263D0972" w14:textId="03B8C2F9" w:rsidR="00BD776B" w:rsidRDefault="00DF0C24">
      <w:pPr>
        <w:ind w:left="1231" w:hanging="379"/>
        <w:rPr>
          <w:rFonts w:ascii="標楷體" w:eastAsia="標楷體" w:hAnsi="標楷體"/>
          <w:color w:val="000000"/>
        </w:rPr>
      </w:pPr>
      <w:r>
        <w:rPr>
          <w:rFonts w:ascii="標楷體" w:eastAsia="標楷體" w:hAnsi="標楷體"/>
          <w:color w:val="000000"/>
        </w:rPr>
        <w:t>Ⅰ</w:t>
      </w:r>
      <w:r w:rsidR="004F5861" w:rsidRPr="004F5861">
        <w:rPr>
          <w:rFonts w:ascii="標楷體" w:eastAsia="標楷體" w:hAnsi="標楷體" w:hint="eastAsia"/>
          <w:color w:val="000000"/>
        </w:rPr>
        <w:t>休克病人至少已給生理鹽水或林格爾液等類溶液1000 mL後尚不能維持穩定血流動態，血比容 (hematocrit) ＞30%，或血色素 (hemoglobin) ＞10 gm/dL需要繼續靜脈輸液時，宜優先使用合成膠類溶液，如dextran、hydroxyethylstarch、polyvinylpyrolidone等。若無上述合適製劑，可給白蛋白溶液，每一病人用量限50 gm</w:t>
      </w:r>
      <w:r w:rsidR="00B236AA">
        <w:rPr>
          <w:rFonts w:ascii="標楷體" w:eastAsia="標楷體" w:hAnsi="標楷體" w:hint="eastAsia"/>
          <w:color w:val="000000"/>
        </w:rPr>
        <w:t>。</w:t>
      </w:r>
      <w:r w:rsidR="004F5861" w:rsidRPr="004F5861">
        <w:rPr>
          <w:rFonts w:ascii="標楷體" w:eastAsia="標楷體" w:hAnsi="標楷體" w:hint="eastAsia"/>
          <w:color w:val="000000"/>
        </w:rPr>
        <w:t>（86/1/1）</w:t>
      </w:r>
    </w:p>
    <w:p w14:paraId="0EA0134A" w14:textId="77777777" w:rsidR="00BD776B" w:rsidRDefault="00DF0C24">
      <w:pPr>
        <w:ind w:left="1231" w:hanging="379"/>
        <w:rPr>
          <w:rFonts w:ascii="標楷體" w:eastAsia="標楷體" w:hAnsi="標楷體"/>
          <w:color w:val="000000"/>
        </w:rPr>
      </w:pPr>
      <w:r>
        <w:rPr>
          <w:rFonts w:ascii="標楷體" w:eastAsia="標楷體" w:hAnsi="標楷體"/>
          <w:color w:val="000000"/>
        </w:rPr>
        <w:t>Ⅱ70歲以上及2歲以下或併有心衰竭的休克病人，無法忍受太多靜脈輸液時，可一開始即使用白蛋白溶液，每一病人用量限50 gm。(111/2/1）</w:t>
      </w:r>
    </w:p>
    <w:p w14:paraId="2E10AC31" w14:textId="77777777" w:rsidR="00BD776B" w:rsidRDefault="00DF0C24">
      <w:pPr>
        <w:ind w:left="1049" w:hanging="341"/>
        <w:rPr>
          <w:rFonts w:ascii="標楷體" w:eastAsia="標楷體" w:hAnsi="標楷體"/>
          <w:color w:val="000000"/>
        </w:rPr>
      </w:pPr>
      <w:r>
        <w:rPr>
          <w:rFonts w:ascii="標楷體" w:eastAsia="標楷體" w:hAnsi="標楷體"/>
          <w:color w:val="000000"/>
        </w:rPr>
        <w:t>(2)病危、有腹水或水腫併有血清白蛋白濃度偏低病人</w:t>
      </w:r>
    </w:p>
    <w:p w14:paraId="50AA9104" w14:textId="77777777" w:rsidR="00BD776B" w:rsidRDefault="00DF0C24">
      <w:pPr>
        <w:ind w:left="1231" w:hanging="379"/>
        <w:rPr>
          <w:rFonts w:ascii="標楷體" w:eastAsia="標楷體" w:hAnsi="標楷體"/>
          <w:color w:val="000000"/>
        </w:rPr>
      </w:pPr>
      <w:r>
        <w:rPr>
          <w:rFonts w:ascii="標楷體" w:eastAsia="標楷體" w:hAnsi="標楷體"/>
          <w:color w:val="000000"/>
        </w:rPr>
        <w:t>Ⅰ血清白蛋白濃度低於 2.5 gm/dL</w:t>
      </w:r>
    </w:p>
    <w:p w14:paraId="3A8A2FA7" w14:textId="77777777" w:rsidR="00BD776B" w:rsidRDefault="00DF0C24">
      <w:pPr>
        <w:ind w:left="1413" w:hanging="446"/>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肝硬化症 (有相當之腹水或併發水腫) 每日最多用量限25 gm。</w:t>
      </w:r>
    </w:p>
    <w:p w14:paraId="6252F468" w14:textId="77777777" w:rsidR="00BD776B" w:rsidRDefault="00DF0C24">
      <w:pPr>
        <w:ind w:left="1413" w:hanging="446"/>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腎病症候群 (嚴重蛋白尿致血清白蛋白下降)，每日最多用量限25 gm。</w:t>
      </w:r>
    </w:p>
    <w:p w14:paraId="23771259" w14:textId="77777777" w:rsidR="00BD776B" w:rsidRDefault="00DF0C24">
      <w:pPr>
        <w:ind w:left="1413" w:hanging="446"/>
        <w:rPr>
          <w:rFonts w:ascii="標楷體" w:eastAsia="標楷體" w:hAnsi="標楷體"/>
          <w:color w:val="000000"/>
        </w:rPr>
      </w:pPr>
      <w:r>
        <w:rPr>
          <w:rFonts w:ascii="標楷體" w:eastAsia="標楷體" w:hAnsi="標楷體"/>
          <w:color w:val="000000"/>
        </w:rPr>
        <w:t>iii</w:t>
      </w:r>
      <w:r>
        <w:rPr>
          <w:rFonts w:ascii="標楷體" w:eastAsia="標楷體" w:hAnsi="標楷體"/>
          <w:color w:val="000000"/>
        </w:rPr>
        <w:tab/>
        <w:t>嚴重燒燙傷。</w:t>
      </w:r>
    </w:p>
    <w:p w14:paraId="2A07AEA2" w14:textId="77777777" w:rsidR="00BD776B" w:rsidRDefault="00DF0C24">
      <w:pPr>
        <w:ind w:left="1413" w:hanging="446"/>
        <w:rPr>
          <w:rFonts w:ascii="標楷體" w:eastAsia="標楷體" w:hAnsi="標楷體"/>
          <w:color w:val="000000"/>
        </w:rPr>
      </w:pPr>
      <w:r>
        <w:rPr>
          <w:rFonts w:ascii="標楷體" w:eastAsia="標楷體" w:hAnsi="標楷體"/>
          <w:color w:val="000000"/>
        </w:rPr>
        <w:t>iv</w:t>
      </w:r>
      <w:r>
        <w:rPr>
          <w:rFonts w:ascii="標楷體" w:eastAsia="標楷體" w:hAnsi="標楷體"/>
          <w:color w:val="000000"/>
        </w:rPr>
        <w:tab/>
        <w:t>肝移植。</w:t>
      </w:r>
    </w:p>
    <w:p w14:paraId="03C34F94" w14:textId="77777777" w:rsidR="00BD776B" w:rsidRDefault="00DF0C24">
      <w:pPr>
        <w:ind w:left="1413" w:hanging="446"/>
        <w:rPr>
          <w:rFonts w:ascii="標楷體" w:eastAsia="標楷體" w:hAnsi="標楷體"/>
          <w:color w:val="000000"/>
        </w:rPr>
      </w:pPr>
      <w:r>
        <w:rPr>
          <w:rFonts w:ascii="標楷體" w:eastAsia="標楷體" w:hAnsi="標楷體"/>
          <w:color w:val="000000"/>
        </w:rPr>
        <w:t xml:space="preserve">v. </w:t>
      </w:r>
      <w:r>
        <w:rPr>
          <w:rFonts w:ascii="標楷體" w:eastAsia="標楷體" w:hAnsi="標楷體"/>
          <w:color w:val="000000"/>
        </w:rPr>
        <w:tab/>
        <w:t>蛋白質流失性腸症(protein-losing enteropathy) (104/11/1）</w:t>
      </w:r>
    </w:p>
    <w:p w14:paraId="76D08241" w14:textId="77777777" w:rsidR="00BD776B" w:rsidRDefault="00DF0C24">
      <w:pPr>
        <w:ind w:left="1411" w:firstLine="5"/>
        <w:rPr>
          <w:rFonts w:ascii="標楷體" w:eastAsia="標楷體" w:hAnsi="標楷體"/>
          <w:color w:val="000000"/>
        </w:rPr>
      </w:pPr>
      <w:r>
        <w:rPr>
          <w:rFonts w:ascii="標楷體" w:eastAsia="標楷體" w:hAnsi="標楷體"/>
          <w:color w:val="000000"/>
        </w:rPr>
        <w:t>依下列規範使用：</w:t>
      </w:r>
    </w:p>
    <w:p w14:paraId="3821FF3C" w14:textId="77777777" w:rsidR="00BD776B" w:rsidRDefault="00DF0C24">
      <w:pPr>
        <w:ind w:left="1841" w:hanging="425"/>
        <w:rPr>
          <w:rFonts w:ascii="標楷體" w:eastAsia="標楷體" w:hAnsi="標楷體"/>
          <w:color w:val="000000"/>
        </w:rPr>
      </w:pPr>
      <w:r>
        <w:rPr>
          <w:rFonts w:ascii="標楷體" w:eastAsia="標楷體" w:hAnsi="標楷體"/>
          <w:color w:val="000000"/>
        </w:rPr>
        <w:t>(i)經內視鏡或手術或病理報告證實為蛋白質流失性腸症；或糞便alpha-1-antitrypsin 升高。</w:t>
      </w:r>
    </w:p>
    <w:p w14:paraId="0B4971F3" w14:textId="58DE7F5B" w:rsidR="00BD776B" w:rsidRDefault="00DF0C24">
      <w:pPr>
        <w:ind w:left="1841" w:hanging="425"/>
        <w:rPr>
          <w:rFonts w:ascii="標楷體" w:eastAsia="標楷體" w:hAnsi="標楷體"/>
          <w:color w:val="000000"/>
        </w:rPr>
      </w:pPr>
      <w:r>
        <w:rPr>
          <w:rFonts w:ascii="標楷體" w:eastAsia="標楷體" w:hAnsi="標楷體"/>
          <w:color w:val="000000"/>
        </w:rPr>
        <w:t>(ii)</w:t>
      </w:r>
      <w:r w:rsidR="00B236AA" w:rsidRPr="00B236AA">
        <w:rPr>
          <w:rFonts w:hint="eastAsia"/>
        </w:rPr>
        <w:t xml:space="preserve"> </w:t>
      </w:r>
      <w:r w:rsidR="00B236AA" w:rsidRPr="00B236AA">
        <w:rPr>
          <w:rFonts w:ascii="標楷體" w:eastAsia="標楷體" w:hAnsi="標楷體" w:hint="eastAsia"/>
          <w:color w:val="000000"/>
        </w:rPr>
        <w:t>18歲以下</w:t>
      </w:r>
      <w:r w:rsidR="00B236AA">
        <w:rPr>
          <w:rFonts w:ascii="標楷體" w:eastAsia="標楷體" w:hAnsi="標楷體" w:hint="eastAsia"/>
          <w:color w:val="000000"/>
        </w:rPr>
        <w:t>。</w:t>
      </w:r>
      <w:r w:rsidR="00B236AA" w:rsidRPr="00B236AA">
        <w:rPr>
          <w:rFonts w:ascii="標楷體" w:eastAsia="標楷體" w:hAnsi="標楷體" w:hint="eastAsia"/>
          <w:color w:val="000000"/>
        </w:rPr>
        <w:t>(111/2/1）</w:t>
      </w:r>
    </w:p>
    <w:p w14:paraId="1BA51FE4" w14:textId="77777777" w:rsidR="00BD776B" w:rsidRDefault="00DF0C24">
      <w:pPr>
        <w:ind w:left="1231" w:hanging="379"/>
        <w:rPr>
          <w:rFonts w:ascii="標楷體" w:eastAsia="標楷體" w:hAnsi="標楷體"/>
          <w:color w:val="000000"/>
        </w:rPr>
      </w:pPr>
      <w:r>
        <w:rPr>
          <w:rFonts w:ascii="標楷體" w:eastAsia="標楷體" w:hAnsi="標楷體"/>
          <w:color w:val="000000"/>
        </w:rPr>
        <w:t>Ⅱ血清白蛋白濃度低於 3.0 gm/dL（96/6/1）</w:t>
      </w:r>
    </w:p>
    <w:p w14:paraId="28C5328A" w14:textId="77777777" w:rsidR="00BD776B" w:rsidRDefault="00DF0C24">
      <w:pPr>
        <w:ind w:left="1413" w:hanging="446"/>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嚴重肺水腫。</w:t>
      </w:r>
    </w:p>
    <w:p w14:paraId="3030A144" w14:textId="77777777" w:rsidR="00BD776B" w:rsidRDefault="00DF0C24">
      <w:pPr>
        <w:ind w:left="1413" w:hanging="446"/>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大量肝切除（＞40 %）</w:t>
      </w:r>
    </w:p>
    <w:p w14:paraId="54A76BF8" w14:textId="77777777" w:rsidR="00BD776B" w:rsidRDefault="00DF0C24">
      <w:pPr>
        <w:ind w:left="1231" w:hanging="379"/>
        <w:rPr>
          <w:rFonts w:ascii="標楷體" w:eastAsia="標楷體" w:hAnsi="標楷體"/>
          <w:color w:val="000000"/>
        </w:rPr>
      </w:pPr>
      <w:r>
        <w:rPr>
          <w:rFonts w:ascii="標楷體" w:eastAsia="標楷體" w:hAnsi="標楷體"/>
          <w:color w:val="000000"/>
        </w:rPr>
        <w:t>Ⅲ開心手術用於維持體外循環液，用量限 37.5 gm。</w:t>
      </w:r>
    </w:p>
    <w:p w14:paraId="35E5E0C3" w14:textId="77777777" w:rsidR="00BD776B" w:rsidRDefault="00DF0C24">
      <w:pPr>
        <w:ind w:left="811" w:hanging="245"/>
        <w:rPr>
          <w:rFonts w:ascii="標楷體" w:eastAsia="標楷體" w:hAnsi="標楷體"/>
          <w:color w:val="000000"/>
        </w:rPr>
      </w:pPr>
      <w:r>
        <w:rPr>
          <w:rFonts w:ascii="標楷體" w:eastAsia="標楷體" w:hAnsi="標楷體"/>
          <w:color w:val="000000"/>
        </w:rPr>
        <w:t>2.注意事項</w:t>
      </w:r>
    </w:p>
    <w:p w14:paraId="4EEC603F" w14:textId="77777777" w:rsidR="00BD776B" w:rsidRDefault="00DF0C24">
      <w:pPr>
        <w:ind w:left="1049" w:hanging="341"/>
        <w:rPr>
          <w:rFonts w:ascii="標楷體" w:eastAsia="標楷體" w:hAnsi="標楷體"/>
          <w:color w:val="000000"/>
        </w:rPr>
      </w:pPr>
      <w:r>
        <w:rPr>
          <w:rFonts w:ascii="標楷體" w:eastAsia="標楷體" w:hAnsi="標楷體"/>
          <w:color w:val="000000"/>
        </w:rPr>
        <w:t>(1)血清白蛋白濃度檢驗日期限最近3天以內，如係多次注射，限上次注射後，最近3天內之結果。</w:t>
      </w:r>
    </w:p>
    <w:p w14:paraId="5D352EB2" w14:textId="77777777" w:rsidR="00BD776B" w:rsidRDefault="00DF0C24">
      <w:pPr>
        <w:ind w:left="1049" w:hanging="341"/>
        <w:rPr>
          <w:rFonts w:ascii="標楷體" w:eastAsia="標楷體" w:hAnsi="標楷體"/>
          <w:color w:val="000000"/>
        </w:rPr>
      </w:pPr>
      <w:r>
        <w:rPr>
          <w:rFonts w:ascii="標楷體" w:eastAsia="標楷體" w:hAnsi="標楷體"/>
          <w:color w:val="000000"/>
        </w:rPr>
        <w:t>(2)醫院於病例發生時，應填寫「全民健康保險病人使用Human Albumin申報表」(請詳附表四)，並附原始治療醫囑單於當月份申報醫療費用時送局辦理。</w:t>
      </w:r>
    </w:p>
    <w:p w14:paraId="5C4D4C63" w14:textId="77777777" w:rsidR="00BD776B" w:rsidRDefault="00DF0C24">
      <w:pPr>
        <w:ind w:left="1049" w:hanging="341"/>
        <w:rPr>
          <w:rFonts w:ascii="標楷體" w:eastAsia="標楷體" w:hAnsi="標楷體"/>
          <w:color w:val="000000"/>
        </w:rPr>
      </w:pPr>
      <w:r>
        <w:rPr>
          <w:rFonts w:ascii="標楷體" w:eastAsia="標楷體" w:hAnsi="標楷體"/>
          <w:color w:val="000000"/>
        </w:rPr>
        <w:t>(3)醫療機構、醫師開立使用血液製劑時，應依血液製劑條例之規定辦理。（100/8/1）</w:t>
      </w:r>
    </w:p>
    <w:p w14:paraId="1C78571F" w14:textId="77777777" w:rsidR="00BD776B" w:rsidRDefault="00DF0C24">
      <w:pPr>
        <w:ind w:left="432" w:hanging="386"/>
        <w:rPr>
          <w:rFonts w:ascii="標楷體" w:eastAsia="標楷體" w:hAnsi="標楷體"/>
          <w:color w:val="000000"/>
        </w:rPr>
      </w:pPr>
      <w:r>
        <w:rPr>
          <w:rFonts w:ascii="標楷體" w:eastAsia="標楷體" w:hAnsi="標楷體"/>
          <w:color w:val="000000"/>
        </w:rPr>
        <w:t>4.2.2.繞徑治療藥物(活化的第七因子 rVIIa, 如NovoSeven和活化的凝血酶原複合物濃縮劑 APCC, 如Feiba)：(88/6/1、93/7/1、94/2/1、98/8/1、103/4/1、105/2/1、105/8/1、108/10/1、109/12/1)</w:t>
      </w:r>
    </w:p>
    <w:p w14:paraId="4FB2FBFB" w14:textId="77777777" w:rsidR="00BD776B" w:rsidRDefault="00DF0C24">
      <w:pPr>
        <w:ind w:left="850" w:hanging="245"/>
        <w:rPr>
          <w:rFonts w:ascii="標楷體" w:eastAsia="標楷體" w:hAnsi="標楷體"/>
          <w:color w:val="000000"/>
        </w:rPr>
      </w:pPr>
      <w:r>
        <w:rPr>
          <w:rFonts w:ascii="標楷體" w:eastAsia="標楷體" w:hAnsi="標楷體"/>
          <w:color w:val="000000"/>
        </w:rPr>
        <w:t>1.門診之血友病人得攜回二~三劑量繞徑治療藥物備用(施打rVIIa 270μg/kg IV單次注射劑量除外)，繼續治療時，比照化療以「療程」方式處理，並查驗上次治療紀錄（如附表十八之二─全民健康保險血友病患者使用「繞徑治療藥物」在家治療紀錄）及登錄醫療評估追蹤紀錄表(附表十八之五)。醫療機構、醫師開立使用血液製劑時，應依血液製劑條例之規定辦理。（103/4/1、108/10/1、109/12/1)</w:t>
      </w:r>
    </w:p>
    <w:p w14:paraId="20799D1C" w14:textId="77777777" w:rsidR="00BD776B" w:rsidRDefault="00DF0C24">
      <w:pPr>
        <w:ind w:left="850" w:hanging="245"/>
        <w:rPr>
          <w:rFonts w:ascii="標楷體" w:eastAsia="標楷體" w:hAnsi="標楷體"/>
          <w:color w:val="000000"/>
        </w:rPr>
      </w:pPr>
      <w:r>
        <w:rPr>
          <w:rFonts w:ascii="標楷體" w:eastAsia="標楷體" w:hAnsi="標楷體"/>
          <w:color w:val="000000"/>
        </w:rPr>
        <w:t>2.缺乏第七凝血因子之病患：</w:t>
      </w:r>
    </w:p>
    <w:p w14:paraId="748CF53D" w14:textId="77777777" w:rsidR="00BD776B" w:rsidRDefault="00DF0C24">
      <w:pPr>
        <w:ind w:left="851" w:hanging="1"/>
        <w:rPr>
          <w:rFonts w:ascii="標楷體" w:eastAsia="標楷體" w:hAnsi="標楷體"/>
          <w:color w:val="000000"/>
        </w:rPr>
      </w:pPr>
      <w:r>
        <w:rPr>
          <w:rFonts w:ascii="標楷體" w:eastAsia="標楷體" w:hAnsi="標楷體"/>
          <w:color w:val="000000"/>
        </w:rPr>
        <w:t>可以使用rVIIa 10~20μg/kg IV，q 2~3 hr，1~3劑至止血為止。</w:t>
      </w:r>
    </w:p>
    <w:p w14:paraId="5EA91C98" w14:textId="77777777" w:rsidR="00BD776B" w:rsidRDefault="00DF0C24">
      <w:pPr>
        <w:ind w:left="850" w:hanging="245"/>
        <w:rPr>
          <w:rFonts w:ascii="標楷體" w:eastAsia="標楷體" w:hAnsi="標楷體"/>
          <w:color w:val="000000"/>
        </w:rPr>
      </w:pPr>
      <w:r>
        <w:rPr>
          <w:rFonts w:ascii="標楷體" w:eastAsia="標楷體" w:hAnsi="標楷體"/>
          <w:color w:val="000000"/>
        </w:rPr>
        <w:lastRenderedPageBreak/>
        <w:t>3.發生第八因子抗體之A型血友病患者：</w:t>
      </w:r>
    </w:p>
    <w:p w14:paraId="18BAE1BE" w14:textId="77777777" w:rsidR="00BD776B" w:rsidRDefault="00DF0C24">
      <w:pPr>
        <w:ind w:left="1133" w:hanging="341"/>
        <w:rPr>
          <w:rFonts w:ascii="標楷體" w:eastAsia="標楷體" w:hAnsi="標楷體"/>
          <w:color w:val="000000"/>
        </w:rPr>
      </w:pPr>
      <w:r>
        <w:rPr>
          <w:rFonts w:ascii="標楷體" w:eastAsia="標楷體" w:hAnsi="標楷體"/>
          <w:color w:val="000000"/>
        </w:rPr>
        <w:t>(1)低反應者 (low responder) –指第八因子抗體力價平常≦5 BU/mL以下，再注射第八因子後不會有記憶性反應。使用平常治療沒有抗體病人出血時兩倍劑量的第八因子，可以加上適當的抗纖維蛋白溶解劑。如無效可以改用下述(2)之方法。</w:t>
      </w:r>
    </w:p>
    <w:p w14:paraId="5472E66D" w14:textId="77777777" w:rsidR="00BD776B" w:rsidRDefault="00DF0C24">
      <w:pPr>
        <w:ind w:left="1133" w:hanging="341"/>
        <w:rPr>
          <w:rFonts w:ascii="標楷體" w:eastAsia="標楷體" w:hAnsi="標楷體"/>
          <w:color w:val="000000"/>
        </w:rPr>
      </w:pPr>
      <w:r>
        <w:rPr>
          <w:rFonts w:ascii="標楷體" w:eastAsia="標楷體" w:hAnsi="標楷體"/>
          <w:color w:val="000000"/>
        </w:rPr>
        <w:t>(2)高反應者 (high responder) –指第八因子抗體力價平常&gt;5 BU/mL以上，即使降到&lt;5 BU/mL以下，如再注射第八因子都會有記憶性反應。</w:t>
      </w:r>
    </w:p>
    <w:p w14:paraId="56FECA79" w14:textId="77777777" w:rsidR="00BD776B" w:rsidRDefault="00DF0C24">
      <w:pPr>
        <w:ind w:left="1171" w:hanging="379"/>
        <w:rPr>
          <w:rFonts w:ascii="標楷體" w:eastAsia="標楷體" w:hAnsi="標楷體"/>
          <w:color w:val="000000"/>
        </w:rPr>
      </w:pPr>
      <w:r>
        <w:rPr>
          <w:rFonts w:ascii="標楷體" w:eastAsia="標楷體" w:hAnsi="標楷體"/>
          <w:color w:val="000000"/>
        </w:rPr>
        <w:t>I.出血時抗體≦5 BU/mL：</w:t>
      </w:r>
    </w:p>
    <w:p w14:paraId="07AA6CDC" w14:textId="77777777" w:rsidR="00BD776B" w:rsidRDefault="00DF0C24">
      <w:pPr>
        <w:ind w:left="1157" w:hanging="365"/>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輕度出血時：使用rVIIa 70~90μg/kg IV，q 2 hr，1~3劑或rVIIa 270μg/kg IV單次注射劑量(注射間隔至少6小時以上)或APCC 50~100 U/kg IV，q6-12h，1 ~ 4劑量。(98/8/1、108/10/1)。</w:t>
      </w:r>
    </w:p>
    <w:p w14:paraId="301EF2CA" w14:textId="77777777" w:rsidR="00BD776B" w:rsidRDefault="00DF0C24">
      <w:pPr>
        <w:ind w:left="792"/>
        <w:rPr>
          <w:rFonts w:ascii="標楷體" w:eastAsia="標楷體" w:hAnsi="標楷體"/>
          <w:color w:val="000000"/>
        </w:rPr>
      </w:pPr>
      <w:r>
        <w:rPr>
          <w:rFonts w:ascii="標楷體" w:eastAsia="標楷體" w:hAnsi="標楷體"/>
          <w:color w:val="000000"/>
        </w:rPr>
        <w:t>無效時改用下述ii之方法。</w:t>
      </w:r>
    </w:p>
    <w:p w14:paraId="2E54F212" w14:textId="77777777" w:rsidR="00BD776B" w:rsidRDefault="00DF0C24">
      <w:pPr>
        <w:ind w:left="1157" w:hanging="365"/>
        <w:rPr>
          <w:rFonts w:ascii="標楷體" w:eastAsia="標楷體" w:hAnsi="標楷體"/>
          <w:color w:val="000000"/>
        </w:rPr>
      </w:pPr>
      <w:r>
        <w:rPr>
          <w:rFonts w:ascii="標楷體" w:eastAsia="標楷體" w:hAnsi="標楷體"/>
          <w:color w:val="000000"/>
        </w:rPr>
        <w:t>ii.嚴重出血時：使用第八因子100 U/kg IV bolus，然後第八因子5~10 U/kg/hr IV inf.或第八因子100 U/kg IV q8-12 hr至5天，可以加上適當的抗纖維蛋白溶解劑。</w:t>
      </w:r>
    </w:p>
    <w:p w14:paraId="0BD76958" w14:textId="77777777" w:rsidR="00BD776B" w:rsidRDefault="00DF0C24">
      <w:pPr>
        <w:ind w:left="792"/>
        <w:rPr>
          <w:rFonts w:ascii="標楷體" w:eastAsia="標楷體" w:hAnsi="標楷體"/>
          <w:color w:val="000000"/>
        </w:rPr>
      </w:pPr>
      <w:r>
        <w:rPr>
          <w:rFonts w:ascii="標楷體" w:eastAsia="標楷體" w:hAnsi="標楷體"/>
          <w:color w:val="000000"/>
        </w:rPr>
        <w:t>無效時可使用下述II之方法。</w:t>
      </w:r>
    </w:p>
    <w:p w14:paraId="61F10F69" w14:textId="77777777" w:rsidR="00BD776B" w:rsidRDefault="00DF0C24">
      <w:pPr>
        <w:ind w:left="1171" w:hanging="379"/>
        <w:rPr>
          <w:rFonts w:ascii="標楷體" w:eastAsia="標楷體" w:hAnsi="標楷體"/>
          <w:color w:val="000000"/>
        </w:rPr>
      </w:pPr>
      <w:r>
        <w:rPr>
          <w:rFonts w:ascii="標楷體" w:eastAsia="標楷體" w:hAnsi="標楷體"/>
          <w:color w:val="000000"/>
        </w:rPr>
        <w:t>II.出血時抗體&gt;5 BU/mL：</w:t>
      </w:r>
    </w:p>
    <w:p w14:paraId="77E9230E" w14:textId="77777777" w:rsidR="00BD776B" w:rsidRDefault="00DF0C24">
      <w:pPr>
        <w:spacing w:line="440" w:lineRule="exact"/>
        <w:ind w:left="1075" w:hanging="283"/>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rVIIa70~90μg/kg IV，q 2 hr，3劑量或至止血為止或rVIIa 270μg/kg IV單次注射劑量(注射間隔至少6小時以上)，可以加上適當的抗纖維蛋白溶解劑或APCC 50~100 U/kg IV，q6-12h，3～4劑量或至止血為止，以3~5天為原則，如要續用，須詳細記載病歷(含影像檢查、肌肉骨骼超音波或出血照片等)資料。(98/8/1、108/10/1)</w:t>
      </w:r>
    </w:p>
    <w:p w14:paraId="45F2D037" w14:textId="77777777" w:rsidR="00BD776B" w:rsidRDefault="00DF0C24">
      <w:pPr>
        <w:ind w:left="792"/>
        <w:rPr>
          <w:rFonts w:ascii="標楷體" w:eastAsia="標楷體" w:hAnsi="標楷體"/>
          <w:color w:val="000000"/>
        </w:rPr>
      </w:pPr>
      <w:r>
        <w:rPr>
          <w:rFonts w:ascii="標楷體" w:eastAsia="標楷體" w:hAnsi="標楷體"/>
          <w:color w:val="000000"/>
        </w:rPr>
        <w:t>如都無效則改用下述ii。</w:t>
      </w:r>
    </w:p>
    <w:p w14:paraId="0F2A98D6" w14:textId="77777777" w:rsidR="00BD776B" w:rsidRDefault="00DF0C24">
      <w:pPr>
        <w:ind w:left="1157" w:hanging="365"/>
        <w:rPr>
          <w:rFonts w:ascii="標楷體" w:eastAsia="標楷體" w:hAnsi="標楷體"/>
          <w:color w:val="000000"/>
        </w:rPr>
      </w:pPr>
      <w:r>
        <w:rPr>
          <w:rFonts w:ascii="標楷體" w:eastAsia="標楷體" w:hAnsi="標楷體"/>
          <w:color w:val="000000"/>
        </w:rPr>
        <w:t>ii.可改用體外吸收抗體的方式 (如protein A) 或Plasmaphoresis，去除大部分抗體後，再大量使用第八因子。</w:t>
      </w:r>
    </w:p>
    <w:p w14:paraId="70360ED3" w14:textId="77777777" w:rsidR="00BD776B" w:rsidRDefault="00DF0C24">
      <w:pPr>
        <w:ind w:left="1133" w:hanging="341"/>
        <w:rPr>
          <w:rFonts w:ascii="標楷體" w:eastAsia="標楷體" w:hAnsi="標楷體"/>
          <w:color w:val="000000"/>
        </w:rPr>
      </w:pPr>
      <w:r>
        <w:rPr>
          <w:rFonts w:ascii="標楷體" w:eastAsia="標楷體" w:hAnsi="標楷體"/>
          <w:color w:val="000000"/>
        </w:rPr>
        <w:t>(3)手術時：</w:t>
      </w:r>
    </w:p>
    <w:p w14:paraId="64E3A09F" w14:textId="77777777" w:rsidR="00BD776B" w:rsidRDefault="00DF0C24">
      <w:pPr>
        <w:ind w:left="1255" w:hanging="463"/>
        <w:rPr>
          <w:rFonts w:ascii="標楷體" w:eastAsia="標楷體" w:hAnsi="標楷體"/>
          <w:color w:val="000000"/>
        </w:rPr>
      </w:pPr>
      <w:r>
        <w:rPr>
          <w:rFonts w:ascii="標楷體" w:eastAsia="標楷體" w:hAnsi="標楷體"/>
          <w:color w:val="000000"/>
        </w:rPr>
        <w:t>Ⅰ</w:t>
      </w:r>
      <w:r>
        <w:rPr>
          <w:rFonts w:ascii="標楷體" w:eastAsia="標楷體" w:hAnsi="標楷體"/>
          <w:color w:val="000000"/>
        </w:rPr>
        <w:tab/>
        <w:t>術前開始，術中及術後兩天rVIIa 70~90μg/kg IV，q2 ~3 hr。</w:t>
      </w:r>
    </w:p>
    <w:p w14:paraId="0B95EA3A" w14:textId="77777777" w:rsidR="00BD776B" w:rsidRDefault="00DF0C24">
      <w:pPr>
        <w:ind w:left="1171" w:hanging="379"/>
        <w:rPr>
          <w:rFonts w:ascii="標楷體" w:eastAsia="標楷體" w:hAnsi="標楷體"/>
          <w:color w:val="000000"/>
        </w:rPr>
      </w:pPr>
      <w:r>
        <w:rPr>
          <w:rFonts w:ascii="標楷體" w:eastAsia="標楷體" w:hAnsi="標楷體"/>
          <w:color w:val="000000"/>
        </w:rPr>
        <w:t>Ⅱ</w:t>
      </w:r>
      <w:r>
        <w:rPr>
          <w:rFonts w:ascii="標楷體" w:eastAsia="標楷體" w:hAnsi="標楷體"/>
          <w:color w:val="000000"/>
        </w:rPr>
        <w:tab/>
        <w:t xml:space="preserve"> 術後第三天至傷口癒合，並以7~10天為原則，如要續用，須詳細記載病歷(含影像檢查、肌肉骨骼超音波或出血照片等)資料。rVIIa 70~90μg/kg IV，q 3 ~ 6 hr。(108/10/1)</w:t>
      </w:r>
    </w:p>
    <w:p w14:paraId="11476D38" w14:textId="77777777" w:rsidR="00BD776B" w:rsidRDefault="00DF0C24">
      <w:pPr>
        <w:ind w:left="1226" w:hanging="434"/>
        <w:rPr>
          <w:rFonts w:ascii="標楷體" w:eastAsia="標楷體" w:hAnsi="標楷體"/>
          <w:color w:val="000000"/>
        </w:rPr>
      </w:pPr>
      <w:r>
        <w:rPr>
          <w:rFonts w:ascii="標楷體" w:eastAsia="標楷體" w:hAnsi="標楷體"/>
          <w:color w:val="000000"/>
        </w:rPr>
        <w:t>III</w:t>
      </w:r>
      <w:r>
        <w:rPr>
          <w:rFonts w:ascii="標楷體" w:eastAsia="標楷體" w:hAnsi="標楷體"/>
          <w:color w:val="000000"/>
        </w:rPr>
        <w:tab/>
        <w:t>或術前，術中及術後至傷口癒合APCC 50~100 U/kg IV，q6-12hr，需留心病人有無過高凝血現象發生。</w:t>
      </w:r>
    </w:p>
    <w:p w14:paraId="7C35AF05" w14:textId="77777777" w:rsidR="00BD776B" w:rsidRDefault="00DF0C24">
      <w:pPr>
        <w:ind w:left="850"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發生第九因子抗體之B型血友病患者。</w:t>
      </w:r>
    </w:p>
    <w:p w14:paraId="32883D11" w14:textId="77777777" w:rsidR="00BD776B" w:rsidRDefault="00DF0C24">
      <w:pPr>
        <w:ind w:left="1133" w:hanging="341"/>
        <w:rPr>
          <w:rFonts w:ascii="標楷體" w:eastAsia="標楷體" w:hAnsi="標楷體"/>
          <w:color w:val="000000"/>
        </w:rPr>
      </w:pPr>
      <w:r>
        <w:rPr>
          <w:rFonts w:ascii="標楷體" w:eastAsia="標楷體" w:hAnsi="標楷體"/>
          <w:color w:val="000000"/>
        </w:rPr>
        <w:t>(1)對第九因子沒有過敏反應者：</w:t>
      </w:r>
    </w:p>
    <w:p w14:paraId="2F9B7E88" w14:textId="77777777" w:rsidR="00BD776B" w:rsidRDefault="00DF0C24">
      <w:pPr>
        <w:ind w:left="1226" w:hanging="434"/>
        <w:rPr>
          <w:rFonts w:ascii="標楷體" w:eastAsia="標楷體" w:hAnsi="標楷體"/>
          <w:color w:val="000000"/>
        </w:rPr>
      </w:pPr>
      <w:r>
        <w:rPr>
          <w:rFonts w:ascii="標楷體" w:eastAsia="標楷體" w:hAnsi="標楷體"/>
          <w:color w:val="000000"/>
        </w:rPr>
        <w:t>I低反應者 (≦5BU/mL)：使用平常劑量兩倍的第九因子。</w:t>
      </w:r>
    </w:p>
    <w:p w14:paraId="7B51FA93" w14:textId="77777777" w:rsidR="00BD776B" w:rsidRDefault="00DF0C24">
      <w:pPr>
        <w:spacing w:line="440" w:lineRule="exact"/>
        <w:ind w:left="792" w:firstLine="30"/>
      </w:pPr>
      <w:r>
        <w:rPr>
          <w:rFonts w:ascii="標楷體" w:eastAsia="標楷體" w:hAnsi="標楷體"/>
          <w:color w:val="000000"/>
        </w:rPr>
        <w:t>II高反應者，出血時抗體在≦ 5BU/mL：使用第九因子200U/kg IV q12-24hr,2-3天或至止血為止，如要續用，須詳細記載病歷(含影像檢查、肌肉骨骼超音波或出血照片等)資料。(108/10/1)</w:t>
      </w:r>
    </w:p>
    <w:p w14:paraId="1306CB12" w14:textId="77777777" w:rsidR="00BD776B" w:rsidRDefault="00DF0C24">
      <w:pPr>
        <w:ind w:left="1226" w:hanging="434"/>
        <w:rPr>
          <w:rFonts w:ascii="標楷體" w:eastAsia="標楷體" w:hAnsi="標楷體"/>
          <w:color w:val="000000"/>
        </w:rPr>
      </w:pPr>
      <w:r>
        <w:rPr>
          <w:rFonts w:ascii="標楷體" w:eastAsia="標楷體" w:hAnsi="標楷體"/>
          <w:color w:val="000000"/>
        </w:rPr>
        <w:t>I.、II.無效時可使用下述III.。</w:t>
      </w:r>
    </w:p>
    <w:p w14:paraId="06A93A26" w14:textId="77777777" w:rsidR="00BD776B" w:rsidRDefault="00DF0C24">
      <w:pPr>
        <w:spacing w:line="440" w:lineRule="exact"/>
        <w:ind w:left="1217" w:hanging="425"/>
        <w:rPr>
          <w:rFonts w:ascii="標楷體" w:eastAsia="標楷體" w:hAnsi="標楷體"/>
          <w:color w:val="000000"/>
        </w:rPr>
      </w:pPr>
      <w:r>
        <w:rPr>
          <w:rFonts w:ascii="標楷體" w:eastAsia="標楷體" w:hAnsi="標楷體"/>
          <w:color w:val="000000"/>
        </w:rPr>
        <w:lastRenderedPageBreak/>
        <w:t>III</w:t>
      </w:r>
      <w:r>
        <w:rPr>
          <w:rFonts w:ascii="標楷體" w:eastAsia="標楷體" w:hAnsi="標楷體"/>
          <w:color w:val="000000"/>
        </w:rPr>
        <w:tab/>
        <w:t>高反應者出血時抗體&gt; 5BU/mL：使用rVIIa  70-90μg/kg IVq2h，3劑量或至止血為止或rVIIa 270μg/kg IV單次注射劑量(注射間隔至少6小時以上)。或APCC 50-100U/kg IV q6-12hr，4劑量或至止血為止，並以3~5天為原則，如要續用，須詳細記載病歷(含影像檢查、肌肉骨骼超音波或出血照片等)資料。需留心記憶性反應。(98/8/1、108/10/1)</w:t>
      </w:r>
    </w:p>
    <w:p w14:paraId="252877A8" w14:textId="77777777" w:rsidR="00BD776B" w:rsidRDefault="00DF0C24">
      <w:pPr>
        <w:ind w:left="792" w:firstLine="58"/>
        <w:rPr>
          <w:rFonts w:ascii="標楷體" w:eastAsia="標楷體" w:hAnsi="標楷體"/>
          <w:color w:val="000000"/>
        </w:rPr>
      </w:pPr>
      <w:r>
        <w:rPr>
          <w:rFonts w:ascii="標楷體" w:eastAsia="標楷體" w:hAnsi="標楷體"/>
          <w:color w:val="000000"/>
        </w:rPr>
        <w:t>(2)對第九因子有過敏反應者：</w:t>
      </w:r>
    </w:p>
    <w:p w14:paraId="1C83362F" w14:textId="77777777" w:rsidR="00BD776B" w:rsidRDefault="00DF0C24">
      <w:pPr>
        <w:ind w:left="1226" w:hanging="434"/>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不能使用第九因子或APCC。</w:t>
      </w:r>
    </w:p>
    <w:p w14:paraId="70C26DDB" w14:textId="77777777" w:rsidR="00BD776B" w:rsidRDefault="00DF0C24">
      <w:pPr>
        <w:ind w:left="1226" w:hanging="434"/>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只能使用rVIIa 70-90μg/kg IV q2h，3劑量或至止血為止或rVIIa 270μg/kg IV單次注射劑量(注射間隔至少6小時以上)。(98/8/1、108/10/1)</w:t>
      </w:r>
    </w:p>
    <w:p w14:paraId="6DFD6105" w14:textId="77777777" w:rsidR="00BD776B" w:rsidRDefault="00DF0C24">
      <w:pPr>
        <w:spacing w:line="440" w:lineRule="exact"/>
        <w:ind w:left="889" w:hanging="284"/>
      </w:pPr>
      <w:r>
        <w:rPr>
          <w:rFonts w:ascii="標楷體" w:eastAsia="標楷體" w:hAnsi="標楷體"/>
          <w:color w:val="000000"/>
        </w:rPr>
        <w:t>5.凡使用rVIIa、APCC之申請給付案件，均需由醫療機構詳細填具事後申報表 (附表五) 及記載病歷(含影像檢查、肌肉骨骼超音波或出血照片等)資料。(108/10/1)</w:t>
      </w:r>
    </w:p>
    <w:p w14:paraId="2C7FDD67" w14:textId="77777777" w:rsidR="00BD776B" w:rsidRDefault="00DF0C24">
      <w:pPr>
        <w:ind w:left="1323" w:hanging="718"/>
        <w:rPr>
          <w:rFonts w:ascii="標楷體" w:eastAsia="標楷體" w:hAnsi="標楷體"/>
          <w:color w:val="000000"/>
        </w:rPr>
      </w:pPr>
      <w:r>
        <w:rPr>
          <w:rFonts w:ascii="標楷體" w:eastAsia="標楷體" w:hAnsi="標楷體"/>
          <w:color w:val="000000"/>
        </w:rPr>
        <w:t>6.A型或B型且有高反應抗體存在之血友病病人：(103/4/1、108/10/1)</w:t>
      </w:r>
    </w:p>
    <w:p w14:paraId="405D7124" w14:textId="77777777" w:rsidR="00BD776B" w:rsidRDefault="00DF0C24">
      <w:pPr>
        <w:ind w:left="1274" w:hanging="391"/>
        <w:rPr>
          <w:rFonts w:ascii="標楷體" w:eastAsia="標楷體" w:hAnsi="標楷體"/>
          <w:color w:val="000000"/>
        </w:rPr>
      </w:pPr>
      <w:r>
        <w:rPr>
          <w:rFonts w:ascii="標楷體" w:eastAsia="標楷體" w:hAnsi="標楷體"/>
          <w:color w:val="000000"/>
        </w:rPr>
        <w:t>(1)在六個月內同一關節發生四次以上出血且關節傷害輕微而認定為標的關節時，可給予1-3個月繞徑治療藥物。</w:t>
      </w:r>
    </w:p>
    <w:p w14:paraId="5BCA38CF" w14:textId="77777777" w:rsidR="00BD776B" w:rsidRDefault="00DF0C24">
      <w:pPr>
        <w:spacing w:line="440" w:lineRule="exact"/>
        <w:ind w:left="1308" w:hanging="425"/>
        <w:rPr>
          <w:rFonts w:ascii="標楷體" w:eastAsia="標楷體" w:hAnsi="標楷體"/>
          <w:color w:val="000000"/>
        </w:rPr>
      </w:pPr>
      <w:r>
        <w:rPr>
          <w:rFonts w:ascii="標楷體" w:eastAsia="標楷體" w:hAnsi="標楷體"/>
          <w:color w:val="000000"/>
        </w:rPr>
        <w:t>(2)接受重大手術後，可視術後傷口出血及復原狀況給予1-2週繞徑治療藥物，接受骨關節手術後，每次復健之前得視狀況使用，並以3個月為原則，如要續用，須詳細記載病歷(含影像檢查、肌肉骨骼超音波或出血照片等)資料。(103/4/1、108/10/1)</w:t>
      </w:r>
    </w:p>
    <w:p w14:paraId="77F24905" w14:textId="77777777" w:rsidR="00BD776B" w:rsidRDefault="00DF0C24">
      <w:pPr>
        <w:ind w:left="1274" w:hanging="391"/>
        <w:rPr>
          <w:rFonts w:ascii="標楷體" w:eastAsia="標楷體" w:hAnsi="標楷體"/>
          <w:color w:val="000000"/>
        </w:rPr>
      </w:pPr>
      <w:r>
        <w:rPr>
          <w:rFonts w:ascii="標楷體" w:eastAsia="標楷體" w:hAnsi="標楷體"/>
          <w:color w:val="000000"/>
        </w:rPr>
        <w:t>(3)發生顱內出血或後腹腔出血接受治療穩定後，可視臨床狀況給1-2個月的繞徑治療藥物治療。(103/4/1、108/10/1)</w:t>
      </w:r>
    </w:p>
    <w:p w14:paraId="24E82D45" w14:textId="77777777" w:rsidR="00BD776B" w:rsidRDefault="00DF0C24">
      <w:pPr>
        <w:ind w:left="1274" w:hanging="391"/>
        <w:rPr>
          <w:rFonts w:ascii="標楷體" w:eastAsia="標楷體" w:hAnsi="標楷體"/>
          <w:color w:val="000000"/>
        </w:rPr>
      </w:pPr>
      <w:r>
        <w:rPr>
          <w:rFonts w:ascii="標楷體" w:eastAsia="標楷體" w:hAnsi="標楷體"/>
          <w:color w:val="000000"/>
        </w:rPr>
        <w:t>(4)血友病合併抗體患者，如不符合上述(1)至(3)項短期預防之規定，不可使用繞徑治療藥物進行預防性治療。</w:t>
      </w:r>
    </w:p>
    <w:p w14:paraId="7A1D6BA2" w14:textId="77777777" w:rsidR="00BD776B" w:rsidRDefault="00DF0C24">
      <w:pPr>
        <w:ind w:left="996" w:hanging="391"/>
        <w:rPr>
          <w:rFonts w:ascii="標楷體" w:eastAsia="標楷體" w:hAnsi="標楷體"/>
          <w:color w:val="000000"/>
        </w:rPr>
      </w:pPr>
      <w:r>
        <w:rPr>
          <w:rFonts w:ascii="標楷體" w:eastAsia="標楷體" w:hAnsi="標楷體"/>
          <w:color w:val="000000"/>
        </w:rPr>
        <w:t>7.後天型血友病患者急性出血治療（申報費用時須附詳實評估記錄）：(105/2/1、105/8/1、108/10/1)</w:t>
      </w:r>
    </w:p>
    <w:p w14:paraId="55B70F33" w14:textId="77777777" w:rsidR="00BD776B" w:rsidRDefault="00DF0C24">
      <w:pPr>
        <w:ind w:left="1274" w:hanging="391"/>
        <w:rPr>
          <w:rFonts w:ascii="標楷體" w:eastAsia="標楷體" w:hAnsi="標楷體"/>
          <w:color w:val="000000"/>
        </w:rPr>
      </w:pPr>
      <w:r>
        <w:rPr>
          <w:rFonts w:ascii="標楷體" w:eastAsia="標楷體" w:hAnsi="標楷體"/>
          <w:color w:val="000000"/>
        </w:rPr>
        <w:t>(1) 重要器官嚴重出血且危及生命時：</w:t>
      </w:r>
    </w:p>
    <w:p w14:paraId="6ACF005A" w14:textId="77777777" w:rsidR="00BD776B" w:rsidRDefault="00DF0C24">
      <w:pPr>
        <w:ind w:left="1274" w:hanging="391"/>
        <w:rPr>
          <w:rFonts w:ascii="標楷體" w:eastAsia="標楷體" w:hAnsi="標楷體"/>
          <w:color w:val="000000"/>
        </w:rPr>
      </w:pPr>
      <w:r>
        <w:rPr>
          <w:rFonts w:ascii="標楷體" w:eastAsia="標楷體" w:hAnsi="標楷體"/>
          <w:color w:val="000000"/>
        </w:rPr>
        <w:t>Ⅰ.可使用rVIIa 70~90μg/kg IV，q2-3 hr，或APCC 50~100 U/kg IV，q6-12 hr(最多一天200U/kg)，至止血為止，並以3~5天為原則。無效時可改用高劑量第八因子100 U/kg q8-12 hr或desmopressin(0.3μg/kg)治療。(105/8/1、108/10/1)</w:t>
      </w:r>
    </w:p>
    <w:p w14:paraId="224D5AF5" w14:textId="77777777" w:rsidR="00BD776B" w:rsidRDefault="00DF0C24">
      <w:pPr>
        <w:ind w:left="1274" w:hanging="391"/>
        <w:rPr>
          <w:rFonts w:ascii="標楷體" w:eastAsia="標楷體" w:hAnsi="標楷體"/>
          <w:color w:val="000000"/>
        </w:rPr>
      </w:pPr>
      <w:r>
        <w:rPr>
          <w:rFonts w:ascii="標楷體" w:eastAsia="標楷體" w:hAnsi="標楷體"/>
          <w:color w:val="000000"/>
        </w:rPr>
        <w:t>Ⅱ.當出血症狀使用繞徑藥物療效不佳時，可改用另一種繞徑藥物治療，如果仍無法止血時，可併用體外吸收抗體的方式(如protein A)或Plasmapheresis，去除大部分抗體後，再使用第八因子。(105/8/1)</w:t>
      </w:r>
    </w:p>
    <w:p w14:paraId="0CA72FF7" w14:textId="77777777" w:rsidR="00BD776B" w:rsidRDefault="00DF0C24">
      <w:pPr>
        <w:ind w:left="1274" w:hanging="391"/>
        <w:rPr>
          <w:rFonts w:ascii="標楷體" w:eastAsia="標楷體" w:hAnsi="標楷體"/>
          <w:color w:val="000000"/>
        </w:rPr>
      </w:pPr>
      <w:r>
        <w:rPr>
          <w:rFonts w:ascii="標楷體" w:eastAsia="標楷體" w:hAnsi="標楷體"/>
          <w:color w:val="000000"/>
        </w:rPr>
        <w:t>(2)需侵襲性處理或緊急手術時：</w:t>
      </w:r>
    </w:p>
    <w:p w14:paraId="04E7CABC" w14:textId="77777777" w:rsidR="00BD776B" w:rsidRDefault="00DF0C24">
      <w:pPr>
        <w:ind w:left="1274" w:hanging="391"/>
        <w:rPr>
          <w:rFonts w:ascii="標楷體" w:eastAsia="標楷體" w:hAnsi="標楷體"/>
          <w:color w:val="000000"/>
        </w:rPr>
      </w:pPr>
      <w:r>
        <w:rPr>
          <w:rFonts w:ascii="標楷體" w:eastAsia="標楷體" w:hAnsi="標楷體"/>
          <w:color w:val="000000"/>
        </w:rPr>
        <w:t>Ⅰ.於術前、術中至傷口癒合期間，依患者實際出血及傷口癒合情況，使用rVIIa 70~90μg/kg IV，q2-8 hr。</w:t>
      </w:r>
    </w:p>
    <w:p w14:paraId="4B594405" w14:textId="77777777" w:rsidR="00BD776B" w:rsidRDefault="00DF0C24">
      <w:pPr>
        <w:ind w:left="1274" w:hanging="391"/>
        <w:rPr>
          <w:rFonts w:ascii="標楷體" w:eastAsia="標楷體" w:hAnsi="標楷體"/>
          <w:color w:val="000000"/>
        </w:rPr>
      </w:pPr>
      <w:r>
        <w:rPr>
          <w:rFonts w:ascii="標楷體" w:eastAsia="標楷體" w:hAnsi="標楷體"/>
          <w:color w:val="000000"/>
        </w:rPr>
        <w:t>Ⅱ.於術前、術中至傷口癒合期間，依患者實際出血及傷口癒合情況，使用</w:t>
      </w:r>
      <w:r>
        <w:rPr>
          <w:rFonts w:ascii="標楷體" w:eastAsia="標楷體" w:hAnsi="標楷體"/>
          <w:color w:val="000000"/>
        </w:rPr>
        <w:lastRenderedPageBreak/>
        <w:t>APCC 50~100 U/kg IV，q6-12 hr。</w:t>
      </w:r>
    </w:p>
    <w:p w14:paraId="3A9356B9" w14:textId="77777777" w:rsidR="00BD776B" w:rsidRDefault="00DF0C24">
      <w:pPr>
        <w:ind w:left="1274" w:hanging="391"/>
        <w:rPr>
          <w:rFonts w:ascii="標楷體" w:eastAsia="標楷體" w:hAnsi="標楷體"/>
          <w:color w:val="000000"/>
        </w:rPr>
      </w:pPr>
      <w:r>
        <w:rPr>
          <w:rFonts w:ascii="標楷體" w:eastAsia="標楷體" w:hAnsi="標楷體"/>
          <w:color w:val="000000"/>
        </w:rPr>
        <w:t>Ⅲ.使用期間以傷口癒合即終止治療，並以7~10天為原則。(108/10/1)</w:t>
      </w:r>
    </w:p>
    <w:p w14:paraId="4172C80E" w14:textId="77777777" w:rsidR="00BD776B" w:rsidRDefault="00DF0C24">
      <w:pPr>
        <w:ind w:left="1054" w:hanging="449"/>
        <w:rPr>
          <w:rFonts w:ascii="標楷體" w:eastAsia="標楷體" w:hAnsi="標楷體"/>
          <w:color w:val="000000"/>
        </w:rPr>
      </w:pPr>
      <w:r>
        <w:rPr>
          <w:rFonts w:ascii="標楷體" w:eastAsia="標楷體" w:hAnsi="標楷體"/>
          <w:color w:val="000000"/>
        </w:rPr>
        <w:t>8.APCC，如Feiba，應依藥品仿單記載，每次使用劑量勿超過100U/kg，每日劑量勿超過200U/kg。(94/2/1)</w:t>
      </w:r>
    </w:p>
    <w:p w14:paraId="6B719A8C" w14:textId="77777777" w:rsidR="00BD776B" w:rsidRDefault="00DF0C24">
      <w:pPr>
        <w:ind w:left="1296" w:hanging="691"/>
        <w:rPr>
          <w:rFonts w:ascii="標楷體" w:eastAsia="標楷體" w:hAnsi="標楷體"/>
          <w:color w:val="000000"/>
        </w:rPr>
      </w:pPr>
      <w:r>
        <w:rPr>
          <w:rFonts w:ascii="標楷體" w:eastAsia="標楷體" w:hAnsi="標楷體"/>
          <w:color w:val="000000"/>
        </w:rPr>
        <w:t>9.二種繞徑治療藥物不得倂用，若有特殊情形需要併用(如接續性併用,sequential therapy)，須詳細記載病歷(含影像檢查、肌肉骨骼超音波或出血照片等)資料。(108/10/1)</w:t>
      </w:r>
    </w:p>
    <w:p w14:paraId="0042E86C" w14:textId="6928F18E" w:rsidR="00BD776B" w:rsidRDefault="00DF0C24" w:rsidP="00496C07">
      <w:pPr>
        <w:pStyle w:val="af"/>
        <w:ind w:left="684" w:hanging="684"/>
      </w:pPr>
      <w:r>
        <w:rPr>
          <w:rFonts w:ascii="標楷體" w:eastAsia="標楷體" w:hAnsi="標楷體"/>
          <w:szCs w:val="24"/>
        </w:rPr>
        <w:t>4.2.3.</w:t>
      </w:r>
      <w:r>
        <w:rPr>
          <w:rFonts w:ascii="標楷體" w:eastAsia="標楷體" w:hAnsi="標楷體"/>
          <w:color w:val="000000"/>
        </w:rPr>
        <w:t>第八、第九凝血因子製劑（103/4/1、106/9/1、106/12/1、107/11/1、108/10/1、109/3/1、109/9/1、109/12/1、110/3/1、111/1/1、111/3/1、112/3/1、112/5/1</w:t>
      </w:r>
      <w:r w:rsidR="00890312">
        <w:rPr>
          <w:rFonts w:ascii="標楷體" w:eastAsia="標楷體" w:hAnsi="標楷體" w:hint="eastAsia"/>
          <w:color w:val="000000"/>
        </w:rPr>
        <w:t>、113/7/1</w:t>
      </w:r>
      <w:r>
        <w:rPr>
          <w:rFonts w:ascii="標楷體" w:eastAsia="標楷體" w:hAnsi="標楷體"/>
          <w:color w:val="000000"/>
        </w:rPr>
        <w:t>）：</w:t>
      </w:r>
    </w:p>
    <w:p w14:paraId="21DB1894" w14:textId="77777777" w:rsidR="00BD776B" w:rsidRDefault="00DF0C24">
      <w:pPr>
        <w:ind w:left="708" w:hanging="242"/>
        <w:rPr>
          <w:rFonts w:ascii="標楷體" w:eastAsia="標楷體" w:hAnsi="標楷體"/>
          <w:color w:val="000000"/>
        </w:rPr>
      </w:pPr>
      <w:r>
        <w:rPr>
          <w:rFonts w:ascii="標楷體" w:eastAsia="標楷體" w:hAnsi="標楷體"/>
          <w:color w:val="000000"/>
        </w:rPr>
        <w:t>1.門診之血友病人得攜回二~三劑量(至多攜回一個月)第八、第九凝血因子備用，繼續治療時，比照化療以「療程」方式處理，並查驗上次治療紀錄（如附表十八之一─全民健康保險血友病患者使用第八、第九凝血因子在家治療紀錄）及登錄醫療評估追蹤紀錄表(附表十八之五)。醫療機構、醫師開立使用血液製劑時，應依血液製劑條例之規定辦理。（103/4/1、108/10/1、109/12/1)</w:t>
      </w:r>
    </w:p>
    <w:p w14:paraId="6D4AB916" w14:textId="77777777" w:rsidR="00BD776B" w:rsidRDefault="00DF0C24">
      <w:pPr>
        <w:ind w:left="708" w:hanging="242"/>
        <w:rPr>
          <w:rFonts w:ascii="標楷體" w:eastAsia="標楷體" w:hAnsi="標楷體"/>
          <w:color w:val="000000"/>
        </w:rPr>
      </w:pPr>
      <w:r>
        <w:rPr>
          <w:rFonts w:ascii="標楷體" w:eastAsia="標楷體" w:hAnsi="標楷體"/>
          <w:color w:val="000000"/>
        </w:rPr>
        <w:t>2.用於A型或B型無抗體存在之血友病人：(111/1/1）</w:t>
      </w:r>
    </w:p>
    <w:p w14:paraId="66AB689E" w14:textId="77777777" w:rsidR="00BD776B" w:rsidRDefault="00DF0C24">
      <w:pPr>
        <w:ind w:left="993" w:right="41" w:hanging="426"/>
        <w:jc w:val="both"/>
      </w:pPr>
      <w:r>
        <w:rPr>
          <w:rFonts w:ascii="標楷體" w:eastAsia="標楷體" w:hAnsi="標楷體"/>
          <w:color w:val="000000"/>
        </w:rPr>
        <w:t>(1)</w:t>
      </w:r>
      <w:r>
        <w:t xml:space="preserve"> </w:t>
      </w:r>
      <w:r>
        <w:rPr>
          <w:rFonts w:ascii="標楷體" w:eastAsia="標楷體" w:hAnsi="標楷體"/>
          <w:color w:val="000000"/>
        </w:rPr>
        <w:t>突發性出血治療(episodic therapy)：適用一般型血友病病人，建議劑量均如附表十八之三－全民健康保險一般型血友病患突發性出血治療(episodic therapy)之凝血因子建議劑量。 (106/9/1、106/12/1、107/11/1、108/10/1、111/1/1、112/5/1)</w:t>
      </w:r>
    </w:p>
    <w:p w14:paraId="58D95754" w14:textId="5B7330D6" w:rsidR="00BD776B" w:rsidRDefault="00DF0C24">
      <w:pPr>
        <w:ind w:left="993" w:right="41" w:hanging="426"/>
      </w:pPr>
      <w:r>
        <w:rPr>
          <w:rFonts w:ascii="標楷體" w:eastAsia="標楷體" w:hAnsi="標楷體"/>
          <w:color w:val="000000"/>
        </w:rPr>
        <w:t>(2)</w:t>
      </w:r>
      <w:r>
        <w:t xml:space="preserve"> </w:t>
      </w:r>
      <w:r>
        <w:rPr>
          <w:rFonts w:ascii="標楷體" w:eastAsia="標楷體" w:hAnsi="標楷體"/>
          <w:color w:val="000000"/>
        </w:rPr>
        <w:t>預防性治療：限嚴重型(Ⅷ:C小於1%)血友病病人</w:t>
      </w:r>
      <w:r w:rsidR="00373529" w:rsidRPr="00373529">
        <w:rPr>
          <w:rFonts w:ascii="標楷體" w:eastAsia="標楷體" w:hAnsi="標楷體" w:hint="eastAsia"/>
          <w:color w:val="000000"/>
        </w:rPr>
        <w:t>，且與雙特異性單株抗體藥物(如emicizumab)不得併用。(113/7/1）</w:t>
      </w:r>
    </w:p>
    <w:p w14:paraId="24F81ADE" w14:textId="77777777" w:rsidR="00BD776B" w:rsidRDefault="00DF0C24">
      <w:pPr>
        <w:ind w:left="1416" w:hanging="707"/>
        <w:rPr>
          <w:rFonts w:ascii="標楷體" w:eastAsia="標楷體" w:hAnsi="標楷體"/>
          <w:color w:val="000000"/>
        </w:rPr>
      </w:pPr>
      <w:r>
        <w:rPr>
          <w:rFonts w:ascii="標楷體" w:eastAsia="標楷體" w:hAnsi="標楷體"/>
          <w:color w:val="000000"/>
        </w:rPr>
        <w:t>Ⅰ.嚴重A型血友病病人：</w:t>
      </w:r>
    </w:p>
    <w:p w14:paraId="5D2B78F5" w14:textId="77777777" w:rsidR="00BD776B" w:rsidRDefault="00DF0C24">
      <w:pPr>
        <w:pStyle w:val="af"/>
        <w:ind w:left="1045" w:hanging="565"/>
      </w:pPr>
      <w:r>
        <w:rPr>
          <w:rFonts w:ascii="新細明體" w:hAnsi="新細明體" w:cs="新細明體"/>
          <w:color w:val="000000"/>
        </w:rPr>
        <w:t>ⅰ</w:t>
      </w:r>
      <w:r>
        <w:rPr>
          <w:rFonts w:ascii="標楷體" w:eastAsia="標楷體" w:hAnsi="標楷體"/>
          <w:color w:val="000000"/>
        </w:rPr>
        <w:t>.Eloctate：(106/9/1、106/12/1、109/3/1、111/1/1)</w:t>
      </w:r>
    </w:p>
    <w:p w14:paraId="67CC45B0" w14:textId="77777777" w:rsidR="00BD776B" w:rsidRDefault="00DF0C24">
      <w:pPr>
        <w:pStyle w:val="af"/>
        <w:ind w:left="621" w:hanging="141"/>
        <w:rPr>
          <w:rFonts w:ascii="標楷體" w:eastAsia="標楷體" w:hAnsi="標楷體"/>
          <w:color w:val="000000"/>
        </w:rPr>
      </w:pPr>
      <w:r>
        <w:rPr>
          <w:rFonts w:ascii="標楷體" w:eastAsia="標楷體" w:hAnsi="標楷體"/>
          <w:color w:val="000000"/>
        </w:rPr>
        <w:t>A.每3天注射一次，每次25-35 IU/kg或每4天注射一次，每次36-50 IU/kg或每5天注射一次，每次51-65 IU/kg。</w:t>
      </w:r>
    </w:p>
    <w:p w14:paraId="229A665A" w14:textId="77777777" w:rsidR="00BD776B" w:rsidRDefault="00DF0C24">
      <w:pPr>
        <w:pStyle w:val="af"/>
        <w:ind w:left="621" w:hanging="141"/>
        <w:rPr>
          <w:rFonts w:ascii="標楷體" w:eastAsia="標楷體" w:hAnsi="標楷體"/>
          <w:color w:val="000000"/>
        </w:rPr>
      </w:pPr>
      <w:r>
        <w:rPr>
          <w:rFonts w:ascii="標楷體" w:eastAsia="標楷體" w:hAnsi="標楷體"/>
          <w:color w:val="000000"/>
        </w:rPr>
        <w:t>B.每天最大平均劑量不可超過15 IU/kg，單次劑量不可超過65 IU/kg。若臨床上需要使用超過上述劑量，則需要事前審查。</w:t>
      </w:r>
    </w:p>
    <w:p w14:paraId="18555660" w14:textId="77777777" w:rsidR="00BD776B" w:rsidRDefault="00DF0C24">
      <w:pPr>
        <w:pStyle w:val="af"/>
        <w:ind w:left="1045" w:hanging="565"/>
      </w:pPr>
      <w:r>
        <w:rPr>
          <w:rFonts w:ascii="新細明體" w:hAnsi="新細明體" w:cs="新細明體"/>
          <w:color w:val="000000"/>
        </w:rPr>
        <w:t>ⅱ</w:t>
      </w:r>
      <w:r>
        <w:rPr>
          <w:rFonts w:ascii="標楷體" w:eastAsia="標楷體" w:hAnsi="標楷體"/>
          <w:color w:val="000000"/>
        </w:rPr>
        <w:t>.Adynovate：(107/11/1、109/3/1、111/1/1)</w:t>
      </w:r>
    </w:p>
    <w:p w14:paraId="1CDF65E3"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A.每週注射2次，每次40-50 IU/kg。</w:t>
      </w:r>
    </w:p>
    <w:p w14:paraId="4154741B"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B.每天最大平均劑量不可超過15 IU/kg，單次劑量不可超過65 IU/kg。若臨床上需要使用超過上述劑量，則需要事前審查。</w:t>
      </w:r>
    </w:p>
    <w:p w14:paraId="5FF703F4" w14:textId="77777777" w:rsidR="00BD776B" w:rsidRDefault="00DF0C24">
      <w:pPr>
        <w:autoSpaceDE w:val="0"/>
        <w:ind w:left="1275" w:hanging="424"/>
        <w:rPr>
          <w:rFonts w:ascii="標楷體" w:eastAsia="標楷體" w:hAnsi="標楷體"/>
          <w:color w:val="000000"/>
        </w:rPr>
      </w:pPr>
      <w:r>
        <w:rPr>
          <w:rFonts w:ascii="標楷體" w:eastAsia="標楷體" w:hAnsi="標楷體"/>
          <w:color w:val="000000"/>
        </w:rPr>
        <w:t>iii. Kovaltry、Afstyla、Nuwiq：(109/3/1、109/9/1、111/1/1、</w:t>
      </w:r>
    </w:p>
    <w:p w14:paraId="225F80CF"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111/3/1)</w:t>
      </w:r>
    </w:p>
    <w:p w14:paraId="44DD3E85"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A.每週注射2至3次，每次20-40 IU/kg。</w:t>
      </w:r>
    </w:p>
    <w:p w14:paraId="76B44C6E"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B.每天最大平均劑量不可超過15 IU/kg，單次劑量不可超過65 IU/kg。若臨床上需要使用超過上述劑量，則需要事前審查。</w:t>
      </w:r>
    </w:p>
    <w:p w14:paraId="7DE5092D" w14:textId="77777777" w:rsidR="00BD776B" w:rsidRDefault="00DF0C24">
      <w:pPr>
        <w:pStyle w:val="af"/>
        <w:ind w:left="1045" w:hanging="565"/>
        <w:rPr>
          <w:rFonts w:ascii="標楷體" w:eastAsia="標楷體" w:hAnsi="標楷體"/>
          <w:color w:val="000000"/>
        </w:rPr>
      </w:pPr>
      <w:r>
        <w:rPr>
          <w:rFonts w:ascii="標楷體" w:eastAsia="標楷體" w:hAnsi="標楷體"/>
          <w:color w:val="000000"/>
        </w:rPr>
        <w:t>iv. Jivi：(109/12/1、111/1/1、112/3/1）</w:t>
      </w:r>
    </w:p>
    <w:p w14:paraId="569DEEDE"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A.每週注射2次，每次30-40 IU/kg；每5天注射1次，每次45-60 IU/kg；每週注射1次，每次60 IU/kg。</w:t>
      </w:r>
    </w:p>
    <w:p w14:paraId="03E1ADAB" w14:textId="77777777" w:rsidR="00BD776B" w:rsidRDefault="00DF0C24">
      <w:pPr>
        <w:pStyle w:val="af"/>
        <w:ind w:left="864" w:hanging="384"/>
        <w:rPr>
          <w:rFonts w:ascii="標楷體" w:eastAsia="標楷體" w:hAnsi="標楷體"/>
          <w:color w:val="000000"/>
        </w:rPr>
      </w:pPr>
      <w:r>
        <w:rPr>
          <w:rFonts w:ascii="標楷體" w:eastAsia="標楷體" w:hAnsi="標楷體"/>
          <w:color w:val="000000"/>
        </w:rPr>
        <w:t>B.限用於12歲以上且曾接受治療之A型血友病病人。(112/3/1)</w:t>
      </w:r>
    </w:p>
    <w:p w14:paraId="03D025A2" w14:textId="77777777" w:rsidR="00BD776B" w:rsidRDefault="00DF0C24">
      <w:pPr>
        <w:pStyle w:val="af"/>
        <w:ind w:left="701" w:firstLine="149"/>
        <w:rPr>
          <w:rFonts w:ascii="標楷體" w:eastAsia="標楷體" w:hAnsi="標楷體"/>
          <w:color w:val="000000"/>
        </w:rPr>
      </w:pPr>
      <w:r>
        <w:rPr>
          <w:rFonts w:ascii="標楷體" w:eastAsia="標楷體" w:hAnsi="標楷體"/>
          <w:color w:val="000000"/>
        </w:rPr>
        <w:t>v.Esperoct：(112/3/1)</w:t>
      </w:r>
    </w:p>
    <w:p w14:paraId="63406748" w14:textId="77777777" w:rsidR="00BD776B" w:rsidRDefault="00DF0C24">
      <w:pPr>
        <w:pStyle w:val="af"/>
        <w:ind w:left="1233" w:hanging="242"/>
        <w:rPr>
          <w:rFonts w:ascii="標楷體" w:eastAsia="標楷體" w:hAnsi="標楷體"/>
          <w:color w:val="000000"/>
        </w:rPr>
      </w:pPr>
      <w:r>
        <w:rPr>
          <w:rFonts w:ascii="標楷體" w:eastAsia="標楷體" w:hAnsi="標楷體"/>
          <w:color w:val="000000"/>
        </w:rPr>
        <w:lastRenderedPageBreak/>
        <w:t>A.未滿12歲：每週注射1~2次， 每次65 IU/kg。每天最大平均劑量不可超過15 IU/kg，單次劑量不可超過65 IU/kg。若臨床上需要使用超過前述劑量，則需要事前審查。</w:t>
      </w:r>
    </w:p>
    <w:p w14:paraId="38C70E2C" w14:textId="3EC67C23" w:rsidR="00BD776B" w:rsidRDefault="00DF0C24">
      <w:pPr>
        <w:pStyle w:val="af"/>
        <w:ind w:left="1233" w:hanging="242"/>
        <w:rPr>
          <w:rFonts w:ascii="標楷體" w:eastAsia="標楷體" w:hAnsi="標楷體"/>
          <w:color w:val="000000"/>
        </w:rPr>
      </w:pPr>
      <w:r>
        <w:rPr>
          <w:rFonts w:ascii="標楷體" w:eastAsia="標楷體" w:hAnsi="標楷體"/>
          <w:color w:val="000000"/>
        </w:rPr>
        <w:t>B.12歲以上：每4天注射1次，每次50 IU/kg，或每週注射1次，每次75 IU/kg，但每月總量不得超過350 IU/kg。</w:t>
      </w:r>
    </w:p>
    <w:p w14:paraId="5F952B98" w14:textId="3A3F1C00" w:rsidR="008D1CD1" w:rsidRDefault="008D1CD1" w:rsidP="00125BD5">
      <w:pPr>
        <w:pStyle w:val="af"/>
        <w:ind w:left="1045" w:hanging="565"/>
        <w:rPr>
          <w:rFonts w:ascii="標楷體" w:eastAsia="標楷體" w:hAnsi="標楷體"/>
          <w:color w:val="000000"/>
        </w:rPr>
      </w:pPr>
      <w:r w:rsidRPr="008D1CD1">
        <w:rPr>
          <w:rFonts w:ascii="標楷體" w:eastAsia="標楷體" w:hAnsi="標楷體" w:hint="eastAsia"/>
          <w:color w:val="000000"/>
        </w:rPr>
        <w:t>vi.Altuviiio：每週注射1次，每次50 IU/kg。(113/7/1）</w:t>
      </w:r>
    </w:p>
    <w:p w14:paraId="47777FBB" w14:textId="2221EF5D" w:rsidR="00BD776B" w:rsidRDefault="00DF0C24">
      <w:pPr>
        <w:pStyle w:val="af"/>
        <w:ind w:left="1045" w:hanging="565"/>
        <w:rPr>
          <w:rFonts w:ascii="標楷體" w:eastAsia="標楷體" w:hAnsi="標楷體"/>
          <w:color w:val="000000"/>
        </w:rPr>
      </w:pPr>
      <w:r>
        <w:rPr>
          <w:rFonts w:ascii="標楷體" w:eastAsia="標楷體" w:hAnsi="標楷體"/>
          <w:color w:val="000000"/>
        </w:rPr>
        <w:t>vi</w:t>
      </w:r>
      <w:r w:rsidR="00125BD5">
        <w:rPr>
          <w:rFonts w:ascii="標楷體" w:eastAsia="標楷體" w:hAnsi="標楷體"/>
          <w:color w:val="000000"/>
        </w:rPr>
        <w:t>i</w:t>
      </w:r>
      <w:r>
        <w:rPr>
          <w:rFonts w:ascii="標楷體" w:eastAsia="標楷體" w:hAnsi="標楷體"/>
          <w:color w:val="000000"/>
        </w:rPr>
        <w:t>.其他製劑：每週注射1-3次，每一次劑量為15-25 IU/kg。(106/12/1、109/3/1、111/1/1)</w:t>
      </w:r>
    </w:p>
    <w:p w14:paraId="4E6C094A" w14:textId="77777777" w:rsidR="00BD776B" w:rsidRDefault="00DF0C24">
      <w:pPr>
        <w:ind w:left="1416" w:hanging="707"/>
        <w:rPr>
          <w:rFonts w:ascii="標楷體" w:eastAsia="標楷體" w:hAnsi="標楷體"/>
          <w:color w:val="000000"/>
        </w:rPr>
      </w:pPr>
      <w:r>
        <w:rPr>
          <w:rFonts w:ascii="標楷體" w:eastAsia="標楷體" w:hAnsi="標楷體"/>
          <w:color w:val="000000"/>
        </w:rPr>
        <w:t>Ⅱ.嚴重B型血友病病人：</w:t>
      </w:r>
    </w:p>
    <w:p w14:paraId="21AD4C5A" w14:textId="77777777" w:rsidR="00BD776B" w:rsidRDefault="00DF0C24">
      <w:pPr>
        <w:pStyle w:val="af"/>
        <w:ind w:left="763" w:hanging="283"/>
        <w:rPr>
          <w:rFonts w:ascii="標楷體" w:eastAsia="標楷體" w:hAnsi="標楷體"/>
          <w:color w:val="000000"/>
        </w:rPr>
      </w:pPr>
      <w:r>
        <w:rPr>
          <w:rFonts w:ascii="標楷體" w:eastAsia="標楷體" w:hAnsi="標楷體"/>
          <w:color w:val="000000"/>
        </w:rPr>
        <w:t xml:space="preserve">i.Idelvion：用於12歲以上病人每週注射一次，每次25-35 IU/kg，或每2週注射一次，每次40-50 IU/kg；用於未滿12歲病人每週注射一次，每次35 IU/kg。(109/9/1、111/1/1) </w:t>
      </w:r>
    </w:p>
    <w:p w14:paraId="1056E4D3" w14:textId="77777777" w:rsidR="00BD776B" w:rsidRDefault="00DF0C24">
      <w:pPr>
        <w:pStyle w:val="af"/>
        <w:ind w:left="763" w:hanging="283"/>
        <w:rPr>
          <w:rFonts w:ascii="標楷體" w:eastAsia="標楷體" w:hAnsi="標楷體"/>
          <w:color w:val="000000"/>
        </w:rPr>
      </w:pPr>
      <w:r>
        <w:rPr>
          <w:rFonts w:ascii="標楷體" w:eastAsia="標楷體" w:hAnsi="標楷體"/>
          <w:color w:val="000000"/>
        </w:rPr>
        <w:t>ii.Alprolix：每週注射一次，每次50 IU/kg。(109/9/1、111/1/1)</w:t>
      </w:r>
    </w:p>
    <w:p w14:paraId="70953B1B" w14:textId="77777777" w:rsidR="00BD776B" w:rsidRDefault="00DF0C24">
      <w:pPr>
        <w:pStyle w:val="af"/>
        <w:ind w:left="763" w:hanging="283"/>
        <w:rPr>
          <w:rFonts w:ascii="標楷體" w:eastAsia="標楷體" w:hAnsi="標楷體"/>
          <w:color w:val="000000"/>
        </w:rPr>
      </w:pPr>
      <w:r>
        <w:rPr>
          <w:rFonts w:ascii="標楷體" w:eastAsia="標楷體" w:hAnsi="標楷體"/>
          <w:color w:val="000000"/>
        </w:rPr>
        <w:t>iii.Refixia：用於12歲以上之病患，每週注射一次，每次40 IU/kg。(110/3/1、111/1/1）</w:t>
      </w:r>
    </w:p>
    <w:p w14:paraId="28096D73" w14:textId="77777777" w:rsidR="00BD776B" w:rsidRDefault="00DF0C24">
      <w:pPr>
        <w:pStyle w:val="af"/>
        <w:ind w:left="763" w:hanging="283"/>
        <w:rPr>
          <w:rFonts w:ascii="標楷體" w:eastAsia="標楷體" w:hAnsi="標楷體"/>
          <w:color w:val="000000"/>
        </w:rPr>
      </w:pPr>
      <w:r>
        <w:rPr>
          <w:rFonts w:ascii="標楷體" w:eastAsia="標楷體" w:hAnsi="標楷體"/>
          <w:color w:val="000000"/>
        </w:rPr>
        <w:t>iv.其他製劑：每週注射1-2次，每一次劑量為30-50 IU/kg。(103/4/1、109/9/1、111/1/1)</w:t>
      </w:r>
    </w:p>
    <w:p w14:paraId="0CB8AB53" w14:textId="77777777" w:rsidR="00BD776B" w:rsidRDefault="00DF0C24">
      <w:pPr>
        <w:ind w:left="993" w:hanging="425"/>
        <w:rPr>
          <w:rFonts w:ascii="標楷體" w:eastAsia="標楷體" w:hAnsi="標楷體"/>
          <w:color w:val="000000"/>
        </w:rPr>
      </w:pPr>
      <w:r>
        <w:rPr>
          <w:rFonts w:ascii="標楷體" w:eastAsia="標楷體" w:hAnsi="標楷體"/>
          <w:color w:val="000000"/>
        </w:rPr>
        <w:t>Ⅲ.施行預防性治療期間，其預防效果可以臨床觀察為之，如病人仍然出現突破性出血時，得檢測給藥前最低濃度(trough level)，其濃度低於1IU/dL，得再調整劑量。(106/12/1、109/3/1、111/1/1)</w:t>
      </w:r>
    </w:p>
    <w:p w14:paraId="23913AC3" w14:textId="77777777" w:rsidR="00BD776B" w:rsidRDefault="00DF0C24">
      <w:pPr>
        <w:ind w:left="993" w:hanging="384"/>
        <w:rPr>
          <w:rFonts w:ascii="標楷體" w:eastAsia="標楷體" w:hAnsi="標楷體"/>
          <w:color w:val="000000"/>
        </w:rPr>
      </w:pPr>
      <w:r>
        <w:rPr>
          <w:rFonts w:ascii="標楷體" w:eastAsia="標楷體" w:hAnsi="標楷體"/>
          <w:color w:val="000000"/>
        </w:rPr>
        <w:t>Ⅳ.如病患治療時產生凝血因子低反應性抗體，則建議暫時終止預防性治療，直到確定抗體消失始得重新治療；病人如產生凝血因子高反應性抗體時，則需停止預防性治療，在接受免疫耐受性療法確定成功且抗體消失後，可重新使用「預防性」治療。</w:t>
      </w:r>
    </w:p>
    <w:p w14:paraId="158819BE" w14:textId="77777777" w:rsidR="00BD776B" w:rsidRDefault="00DF0C24">
      <w:pPr>
        <w:ind w:left="993" w:right="41" w:hanging="426"/>
        <w:jc w:val="both"/>
      </w:pPr>
      <w:r>
        <w:rPr>
          <w:rFonts w:ascii="標楷體" w:eastAsia="標楷體" w:hAnsi="標楷體"/>
          <w:color w:val="000000"/>
        </w:rPr>
        <w:t>(3)</w:t>
      </w:r>
      <w:r>
        <w:t xml:space="preserve"> </w:t>
      </w:r>
      <w:r>
        <w:rPr>
          <w:rFonts w:ascii="標楷體" w:eastAsia="標楷體" w:hAnsi="標楷體"/>
          <w:color w:val="000000"/>
        </w:rPr>
        <w:t>Idelvion限用於預防性治療。(109/9/1、110/3/1、111/1/1、112/5/1)</w:t>
      </w:r>
    </w:p>
    <w:p w14:paraId="21504BC4" w14:textId="77777777" w:rsidR="00BD776B" w:rsidRDefault="00DF0C24">
      <w:pPr>
        <w:ind w:left="708" w:right="41" w:hanging="242"/>
        <w:jc w:val="both"/>
        <w:rPr>
          <w:rFonts w:ascii="標楷體" w:eastAsia="標楷體" w:hAnsi="標楷體"/>
          <w:color w:val="000000"/>
        </w:rPr>
      </w:pPr>
      <w:r>
        <w:rPr>
          <w:rFonts w:ascii="標楷體" w:eastAsia="標楷體" w:hAnsi="標楷體"/>
          <w:color w:val="000000"/>
        </w:rPr>
        <w:t>3.免疫耐受治療(immune toleration induction；ITI)：(111/1/1）</w:t>
      </w:r>
    </w:p>
    <w:p w14:paraId="20776B75" w14:textId="77777777" w:rsidR="00BD776B" w:rsidRDefault="00DF0C24">
      <w:pPr>
        <w:ind w:left="993" w:right="41" w:hanging="426"/>
        <w:jc w:val="both"/>
        <w:rPr>
          <w:rFonts w:ascii="標楷體" w:eastAsia="標楷體" w:hAnsi="標楷體"/>
          <w:color w:val="000000"/>
        </w:rPr>
      </w:pPr>
      <w:r>
        <w:rPr>
          <w:rFonts w:ascii="標楷體" w:eastAsia="標楷體" w:hAnsi="標楷體"/>
          <w:color w:val="000000"/>
        </w:rPr>
        <w:t>(1)需經事前審查核准後使用。送審時需檢附最近5年內就醫紀錄（包含抗體檢驗數值、整合醫療評估表）和1年內出血凝血因子使用記錄。</w:t>
      </w:r>
    </w:p>
    <w:p w14:paraId="20622566" w14:textId="77777777" w:rsidR="00BD776B" w:rsidRDefault="00DF0C24">
      <w:pPr>
        <w:ind w:left="993" w:right="41" w:hanging="426"/>
        <w:jc w:val="both"/>
        <w:rPr>
          <w:rFonts w:ascii="標楷體" w:eastAsia="標楷體" w:hAnsi="標楷體"/>
          <w:color w:val="000000"/>
        </w:rPr>
      </w:pPr>
      <w:r>
        <w:rPr>
          <w:rFonts w:ascii="標楷體" w:eastAsia="標楷體" w:hAnsi="標楷體"/>
          <w:color w:val="000000"/>
        </w:rPr>
        <w:t>(2)起始劑量以每週3次，每次50 IU/kg開始。最高劑量不得超過100 IU/kg/day。</w:t>
      </w:r>
    </w:p>
    <w:p w14:paraId="70416EE0" w14:textId="77777777" w:rsidR="00BD776B" w:rsidRDefault="00DF0C24">
      <w:pPr>
        <w:ind w:left="993" w:right="41" w:hanging="426"/>
        <w:jc w:val="both"/>
        <w:rPr>
          <w:rFonts w:ascii="標楷體" w:eastAsia="標楷體" w:hAnsi="標楷體"/>
          <w:color w:val="000000"/>
        </w:rPr>
      </w:pPr>
      <w:r>
        <w:rPr>
          <w:rFonts w:ascii="標楷體" w:eastAsia="標楷體" w:hAnsi="標楷體"/>
          <w:color w:val="000000"/>
        </w:rPr>
        <w:t>(3)開始治療後，每個月檢測抗體，治療開始3個月後，每6個月評估療效，於第9個月內進行第一次療效評估，若抗體下降未達前9個月內最高點之20%，可考慮增加劑量、頻率，但最高劑量不得超過100 IU/kg/day或改用vWF之第八因子產品，方可繼續執行。第15個月後仍未下降達最高點（9個月～15個月之間）之20%，可以考慮給予免疫抑制劑，若第21個月仍未下降達最高點（15～21個月之間）之20 %，則應該停止。若持續下降達前次最高點之20 %，則可以繼續治療，至多不超過33個月。</w:t>
      </w:r>
    </w:p>
    <w:p w14:paraId="194789C1" w14:textId="77777777" w:rsidR="00BD776B" w:rsidRDefault="00DF0C24">
      <w:pPr>
        <w:ind w:left="993" w:right="41" w:hanging="426"/>
        <w:jc w:val="both"/>
      </w:pPr>
      <w:r>
        <w:rPr>
          <w:rFonts w:ascii="標楷體" w:eastAsia="標楷體" w:hAnsi="標楷體"/>
          <w:color w:val="000000"/>
        </w:rPr>
        <w:t xml:space="preserve">(4)若評估時，達到partial response（定義為抗體效價下降至無法檢出），則之後每個月需加驗第八因子recovery rate。若recovery rate &lt;66%，則照原採行中之方式繼續ITI；若 recovery rate </w:t>
      </w:r>
      <w:r>
        <w:rPr>
          <w:rFonts w:ascii="Times New Roman" w:eastAsia="標楷體" w:hAnsi="Times New Roman"/>
          <w:color w:val="000000"/>
        </w:rPr>
        <w:t>≥</w:t>
      </w:r>
      <w:r>
        <w:rPr>
          <w:rFonts w:ascii="標楷體" w:eastAsia="標楷體" w:hAnsi="標楷體"/>
          <w:color w:val="000000"/>
        </w:rPr>
        <w:t>66%，往後需每3個月加驗第八因子之half-life：</w:t>
      </w:r>
    </w:p>
    <w:p w14:paraId="687C66AF" w14:textId="77777777" w:rsidR="00BD776B" w:rsidRDefault="00DF0C24">
      <w:pPr>
        <w:ind w:left="1134" w:right="41" w:hanging="283"/>
        <w:jc w:val="both"/>
        <w:rPr>
          <w:rFonts w:ascii="標楷體" w:eastAsia="標楷體" w:hAnsi="標楷體"/>
          <w:color w:val="000000"/>
        </w:rPr>
      </w:pPr>
      <w:r>
        <w:rPr>
          <w:rFonts w:ascii="標楷體" w:eastAsia="標楷體" w:hAnsi="標楷體"/>
          <w:color w:val="000000"/>
        </w:rPr>
        <w:t>Ι.若第八因子之half-life &lt;6小時，則照原採行中之方式繼續ITI。</w:t>
      </w:r>
    </w:p>
    <w:p w14:paraId="077C42E9" w14:textId="77777777" w:rsidR="00BD776B" w:rsidRDefault="00DF0C24">
      <w:pPr>
        <w:ind w:left="1134" w:right="41" w:hanging="283"/>
        <w:jc w:val="both"/>
      </w:pPr>
      <w:r>
        <w:rPr>
          <w:rFonts w:ascii="標楷體" w:eastAsia="標楷體" w:hAnsi="標楷體"/>
          <w:color w:val="000000"/>
        </w:rPr>
        <w:t xml:space="preserve">Ⅱ.若half-life </w:t>
      </w:r>
      <w:r>
        <w:rPr>
          <w:rFonts w:ascii="Times New Roman" w:eastAsia="標楷體" w:hAnsi="Times New Roman"/>
          <w:color w:val="000000"/>
        </w:rPr>
        <w:t>≥</w:t>
      </w:r>
      <w:r>
        <w:rPr>
          <w:rFonts w:ascii="標楷體" w:eastAsia="標楷體" w:hAnsi="標楷體"/>
          <w:color w:val="000000"/>
        </w:rPr>
        <w:t>6小時，可考慮逐步降低劑量至停止ITI，至多不超過33個</w:t>
      </w:r>
      <w:r>
        <w:rPr>
          <w:rFonts w:ascii="標楷體" w:eastAsia="標楷體" w:hAnsi="標楷體"/>
          <w:color w:val="000000"/>
        </w:rPr>
        <w:lastRenderedPageBreak/>
        <w:t xml:space="preserve">月。若達到tolerization（定義為抗體效價抗體效價下降至無法檢出，第八因子 recovery rate </w:t>
      </w:r>
      <w:r>
        <w:rPr>
          <w:rFonts w:ascii="Times New Roman" w:eastAsia="標楷體" w:hAnsi="Times New Roman"/>
          <w:color w:val="000000"/>
        </w:rPr>
        <w:t>≥</w:t>
      </w:r>
      <w:r>
        <w:rPr>
          <w:rFonts w:ascii="標楷體" w:eastAsia="標楷體" w:hAnsi="標楷體"/>
          <w:color w:val="000000"/>
        </w:rPr>
        <w:t xml:space="preserve">66%，第八因子之half-life </w:t>
      </w:r>
      <w:r>
        <w:rPr>
          <w:rFonts w:ascii="Times New Roman" w:eastAsia="標楷體" w:hAnsi="Times New Roman"/>
          <w:color w:val="000000"/>
        </w:rPr>
        <w:t>≥</w:t>
      </w:r>
      <w:r>
        <w:rPr>
          <w:rFonts w:ascii="標楷體" w:eastAsia="標楷體" w:hAnsi="標楷體"/>
          <w:color w:val="000000"/>
        </w:rPr>
        <w:t>6小時且未出現anamnestic response)，則可停止ITI。</w:t>
      </w:r>
    </w:p>
    <w:p w14:paraId="451F975F" w14:textId="77777777" w:rsidR="00BD776B" w:rsidRDefault="00DF0C24">
      <w:pPr>
        <w:ind w:left="1077" w:hanging="362"/>
        <w:rPr>
          <w:rFonts w:ascii="標楷體" w:eastAsia="標楷體" w:hAnsi="標楷體"/>
          <w:color w:val="000000"/>
        </w:rPr>
      </w:pPr>
      <w:r>
        <w:rPr>
          <w:rFonts w:ascii="標楷體" w:eastAsia="標楷體" w:hAnsi="標楷體"/>
          <w:color w:val="000000"/>
        </w:rPr>
        <w:t>(5)每位病人以做一次ITI為限。如需再次做治療須敘明理由經特殊專案審查核准後使用。</w:t>
      </w:r>
    </w:p>
    <w:p w14:paraId="67FEF03A" w14:textId="77777777" w:rsidR="00BD776B" w:rsidRDefault="00DF0C24">
      <w:pPr>
        <w:ind w:left="1077" w:hanging="362"/>
        <w:rPr>
          <w:rFonts w:ascii="標楷體" w:eastAsia="標楷體" w:hAnsi="標楷體"/>
          <w:color w:val="000000"/>
        </w:rPr>
      </w:pPr>
      <w:r>
        <w:rPr>
          <w:rFonts w:ascii="標楷體" w:eastAsia="標楷體" w:hAnsi="標楷體"/>
          <w:color w:val="000000"/>
        </w:rPr>
        <w:t>(6)不得與emicizumab合併使用。</w:t>
      </w:r>
    </w:p>
    <w:p w14:paraId="3A52BD4F" w14:textId="77777777" w:rsidR="00BD776B" w:rsidRDefault="00DF0C24">
      <w:pPr>
        <w:ind w:left="998" w:hanging="283"/>
        <w:rPr>
          <w:rFonts w:ascii="標楷體" w:eastAsia="標楷體" w:hAnsi="標楷體"/>
          <w:color w:val="000000"/>
        </w:rPr>
      </w:pPr>
      <w:r>
        <w:rPr>
          <w:rFonts w:ascii="標楷體" w:eastAsia="標楷體" w:hAnsi="標楷體"/>
          <w:color w:val="000000"/>
        </w:rPr>
        <w:t>(7)限未滿9歲之兒童使用。</w:t>
      </w:r>
    </w:p>
    <w:p w14:paraId="13354A2E" w14:textId="77777777" w:rsidR="00BD776B" w:rsidRDefault="00DF0C24" w:rsidP="00496C07">
      <w:pPr>
        <w:pStyle w:val="af"/>
        <w:ind w:left="684" w:hanging="684"/>
        <w:rPr>
          <w:rFonts w:ascii="標楷體" w:eastAsia="標楷體" w:hAnsi="標楷體"/>
          <w:color w:val="000000"/>
        </w:rPr>
      </w:pPr>
      <w:r>
        <w:rPr>
          <w:rFonts w:ascii="標楷體" w:eastAsia="標楷體" w:hAnsi="標楷體"/>
          <w:color w:val="000000"/>
        </w:rPr>
        <w:t>4.2.4.類血友病治療藥品，VWF/FVIII濃縮製劑(如 Haemate P, Alphanate等)、 Desmopressin(DDAVP) 等：(103/4/1)</w:t>
      </w:r>
    </w:p>
    <w:p w14:paraId="7E6B8F50" w14:textId="77777777" w:rsidR="00BD776B" w:rsidRDefault="00DF0C24">
      <w:pPr>
        <w:ind w:left="847" w:hanging="283"/>
        <w:rPr>
          <w:rFonts w:ascii="標楷體" w:eastAsia="標楷體" w:hAnsi="標楷體"/>
          <w:color w:val="000000"/>
        </w:rPr>
      </w:pPr>
      <w:r>
        <w:rPr>
          <w:rFonts w:ascii="標楷體" w:eastAsia="標楷體" w:hAnsi="標楷體"/>
          <w:color w:val="000000"/>
        </w:rPr>
        <w:t>1.各分型類血友病治療規定：</w:t>
      </w:r>
    </w:p>
    <w:p w14:paraId="7F65F0A3" w14:textId="77777777" w:rsidR="00BD776B" w:rsidRDefault="00DF0C24">
      <w:pPr>
        <w:ind w:left="1133" w:hanging="425"/>
        <w:rPr>
          <w:rFonts w:ascii="標楷體" w:eastAsia="標楷體" w:hAnsi="標楷體"/>
          <w:color w:val="000000"/>
        </w:rPr>
      </w:pPr>
      <w:r>
        <w:rPr>
          <w:rFonts w:ascii="標楷體" w:eastAsia="標楷體" w:hAnsi="標楷體"/>
          <w:color w:val="000000"/>
        </w:rPr>
        <w:t>(1)第一型類血友病(Type 1 von-Willebrand Disease)：</w:t>
      </w:r>
    </w:p>
    <w:p w14:paraId="04CD91BB" w14:textId="77777777" w:rsidR="00BD776B" w:rsidRDefault="00DF0C24">
      <w:pPr>
        <w:ind w:left="1416" w:hanging="338"/>
        <w:rPr>
          <w:rFonts w:ascii="標楷體" w:eastAsia="標楷體" w:hAnsi="標楷體"/>
          <w:color w:val="000000"/>
        </w:rPr>
      </w:pPr>
      <w:r>
        <w:rPr>
          <w:rFonts w:ascii="標楷體" w:eastAsia="標楷體" w:hAnsi="標楷體"/>
          <w:color w:val="000000"/>
        </w:rPr>
        <w:t>Ⅰ.以DDAVP治療為原則，如患者VWF:RCo ＜10 IU/dL，則不建議使用DDAVP。</w:t>
      </w:r>
    </w:p>
    <w:p w14:paraId="5D5C77CB" w14:textId="77777777" w:rsidR="00BD776B" w:rsidRDefault="00DF0C24">
      <w:pPr>
        <w:ind w:left="1416" w:hanging="338"/>
        <w:rPr>
          <w:rFonts w:ascii="標楷體" w:eastAsia="標楷體" w:hAnsi="標楷體"/>
          <w:color w:val="000000"/>
        </w:rPr>
      </w:pPr>
      <w:r>
        <w:rPr>
          <w:rFonts w:ascii="標楷體" w:eastAsia="標楷體" w:hAnsi="標楷體"/>
          <w:color w:val="000000"/>
        </w:rPr>
        <w:t>Ⅱ.輕度出血或小手術處置：使用DDAVP，治療目標為VWF:RCo及VIII:C 都上升到30-50 IU/dL以上，維持1-5天，若DDAVP治療無效或有禁忌症時可使用VWF/FVIII濃縮製劑。</w:t>
      </w:r>
    </w:p>
    <w:p w14:paraId="3F6C7DD0" w14:textId="77777777" w:rsidR="00BD776B" w:rsidRDefault="00DF0C24">
      <w:pPr>
        <w:ind w:left="1416" w:hanging="338"/>
        <w:rPr>
          <w:rFonts w:ascii="標楷體" w:eastAsia="標楷體" w:hAnsi="標楷體"/>
          <w:color w:val="000000"/>
        </w:rPr>
      </w:pPr>
      <w:r>
        <w:rPr>
          <w:rFonts w:ascii="標楷體" w:eastAsia="標楷體" w:hAnsi="標楷體"/>
          <w:color w:val="000000"/>
        </w:rPr>
        <w:t>Ⅲ.嚴重出血治療或重大手術處置：使用VWF/FVIII濃縮製劑，治療目標為VWF:RCo及VIII:C起初濃度都上升到至少100 IU/dL以上，接下來劑量於7-10日內維持VWF:RCo及VIII:C最低濃度(trough level)都在50IU/dL以上。</w:t>
      </w:r>
    </w:p>
    <w:p w14:paraId="402370F3" w14:textId="77777777" w:rsidR="00BD776B" w:rsidRDefault="00DF0C24">
      <w:pPr>
        <w:ind w:left="1416" w:hanging="338"/>
        <w:rPr>
          <w:rFonts w:ascii="標楷體" w:eastAsia="標楷體" w:hAnsi="標楷體"/>
          <w:color w:val="000000"/>
        </w:rPr>
      </w:pPr>
      <w:r>
        <w:rPr>
          <w:rFonts w:ascii="標楷體" w:eastAsia="標楷體" w:hAnsi="標楷體"/>
          <w:color w:val="000000"/>
        </w:rPr>
        <w:t>IV.如重複給予DDAVP使得藥物效果降低，或已知對DDAVP治療無效，應使用VWF/FVIII濃縮製劑。</w:t>
      </w:r>
    </w:p>
    <w:p w14:paraId="2AB0F2B2" w14:textId="77777777" w:rsidR="00BD776B" w:rsidRDefault="00DF0C24">
      <w:pPr>
        <w:ind w:left="1133" w:hanging="425"/>
        <w:rPr>
          <w:rFonts w:ascii="標楷體" w:eastAsia="標楷體" w:hAnsi="標楷體"/>
          <w:color w:val="000000"/>
        </w:rPr>
      </w:pPr>
      <w:r>
        <w:rPr>
          <w:rFonts w:ascii="標楷體" w:eastAsia="標楷體" w:hAnsi="標楷體"/>
          <w:color w:val="000000"/>
        </w:rPr>
        <w:t>(2)第二型類血友病(Type 2 von-Willebrand Disease)：</w:t>
      </w:r>
    </w:p>
    <w:p w14:paraId="615B5707" w14:textId="77777777" w:rsidR="00BD776B" w:rsidRDefault="00DF0C24">
      <w:pPr>
        <w:ind w:left="1416" w:hanging="312"/>
        <w:rPr>
          <w:rFonts w:ascii="標楷體" w:eastAsia="標楷體" w:hAnsi="標楷體"/>
          <w:color w:val="000000"/>
        </w:rPr>
      </w:pPr>
      <w:r>
        <w:rPr>
          <w:rFonts w:ascii="標楷體" w:eastAsia="標楷體" w:hAnsi="標楷體"/>
          <w:color w:val="000000"/>
        </w:rPr>
        <w:t>Ⅰ.Type 2A 及 2M VWD</w:t>
      </w:r>
    </w:p>
    <w:p w14:paraId="08268282" w14:textId="77777777" w:rsidR="00BD776B" w:rsidRDefault="00DF0C24">
      <w:pPr>
        <w:ind w:left="1695" w:hanging="245"/>
        <w:rPr>
          <w:rFonts w:ascii="標楷體" w:eastAsia="標楷體" w:hAnsi="標楷體"/>
          <w:color w:val="000000"/>
        </w:rPr>
      </w:pPr>
      <w:r>
        <w:rPr>
          <w:rFonts w:ascii="標楷體" w:eastAsia="標楷體" w:hAnsi="標楷體"/>
          <w:color w:val="000000"/>
        </w:rPr>
        <w:t>i.輕度出血治療或小手術處置：如病人對於DDAVP治療有效，應以DDAVP治療為原則。如使用VWF/FVIII濃縮製劑，治療目標為VWF:RCo及VIII:C都上升到30-50 IU/dL以上，維持1-5天。</w:t>
      </w:r>
    </w:p>
    <w:p w14:paraId="48697C55" w14:textId="77777777" w:rsidR="00BD776B" w:rsidRDefault="00DF0C24">
      <w:pPr>
        <w:ind w:left="1695" w:hanging="245"/>
        <w:rPr>
          <w:rFonts w:ascii="標楷體" w:eastAsia="標楷體" w:hAnsi="標楷體"/>
          <w:color w:val="000000"/>
        </w:rPr>
      </w:pPr>
      <w:r>
        <w:rPr>
          <w:rFonts w:ascii="標楷體" w:eastAsia="標楷體" w:hAnsi="標楷體"/>
          <w:color w:val="000000"/>
        </w:rPr>
        <w:t>ii.嚴重出血治療或重大手術處置：依Type 1 VWD之III規定處置。</w:t>
      </w:r>
    </w:p>
    <w:p w14:paraId="11D3B12F" w14:textId="77777777" w:rsidR="00BD776B" w:rsidRDefault="00DF0C24">
      <w:pPr>
        <w:ind w:left="1416" w:hanging="312"/>
        <w:rPr>
          <w:rFonts w:ascii="標楷體" w:eastAsia="標楷體" w:hAnsi="標楷體"/>
          <w:color w:val="000000"/>
        </w:rPr>
      </w:pPr>
      <w:r>
        <w:rPr>
          <w:rFonts w:ascii="標楷體" w:eastAsia="標楷體" w:hAnsi="標楷體"/>
          <w:color w:val="000000"/>
        </w:rPr>
        <w:t>Ⅱ.Type 2B VWD</w:t>
      </w:r>
    </w:p>
    <w:p w14:paraId="0141058F" w14:textId="77777777" w:rsidR="00BD776B" w:rsidRDefault="00DF0C24">
      <w:pPr>
        <w:ind w:left="1841" w:hanging="425"/>
        <w:rPr>
          <w:rFonts w:ascii="標楷體" w:eastAsia="標楷體" w:hAnsi="標楷體"/>
          <w:color w:val="000000"/>
        </w:rPr>
      </w:pPr>
      <w:r>
        <w:rPr>
          <w:rFonts w:ascii="標楷體" w:eastAsia="標楷體" w:hAnsi="標楷體"/>
          <w:color w:val="000000"/>
        </w:rPr>
        <w:t>i.DDAVP不適合使用於Type 2B VWD。</w:t>
      </w:r>
    </w:p>
    <w:p w14:paraId="367EFC3E" w14:textId="77777777" w:rsidR="00BD776B" w:rsidRDefault="00DF0C24">
      <w:pPr>
        <w:ind w:left="1841" w:hanging="425"/>
        <w:rPr>
          <w:rFonts w:ascii="標楷體" w:eastAsia="標楷體" w:hAnsi="標楷體"/>
          <w:color w:val="000000"/>
        </w:rPr>
      </w:pPr>
      <w:r>
        <w:rPr>
          <w:rFonts w:ascii="標楷體" w:eastAsia="標楷體" w:hAnsi="標楷體"/>
          <w:color w:val="000000"/>
        </w:rPr>
        <w:t>ii.輕度出血或小手術處置：使用VWF/FVIII濃縮製劑，治療目標為VWF:RCo及VIII:C都上升到30-50 IU/dL以上，維持1-5天。</w:t>
      </w:r>
    </w:p>
    <w:p w14:paraId="409FA054" w14:textId="77777777" w:rsidR="00BD776B" w:rsidRDefault="00DF0C24">
      <w:pPr>
        <w:ind w:left="1841" w:hanging="425"/>
        <w:rPr>
          <w:rFonts w:ascii="標楷體" w:eastAsia="標楷體" w:hAnsi="標楷體"/>
          <w:color w:val="000000"/>
        </w:rPr>
      </w:pPr>
      <w:r>
        <w:rPr>
          <w:rFonts w:ascii="標楷體" w:eastAsia="標楷體" w:hAnsi="標楷體"/>
          <w:color w:val="000000"/>
        </w:rPr>
        <w:t>iii.嚴重出血治療或重大手術處置：依Type 1 VWD之III規定處置，並且應注意血小板濃度，必要時應給予血小板輸注。</w:t>
      </w:r>
    </w:p>
    <w:p w14:paraId="46D69899" w14:textId="77777777" w:rsidR="00BD776B" w:rsidRDefault="00DF0C24">
      <w:pPr>
        <w:ind w:left="1416" w:hanging="312"/>
        <w:rPr>
          <w:rFonts w:ascii="標楷體" w:eastAsia="標楷體" w:hAnsi="標楷體"/>
          <w:color w:val="000000"/>
        </w:rPr>
      </w:pPr>
      <w:r>
        <w:rPr>
          <w:rFonts w:ascii="標楷體" w:eastAsia="標楷體" w:hAnsi="標楷體"/>
          <w:color w:val="000000"/>
        </w:rPr>
        <w:t>Ⅲ.Type 2N VWD</w:t>
      </w:r>
    </w:p>
    <w:p w14:paraId="31A8F681" w14:textId="77777777" w:rsidR="00BD776B" w:rsidRDefault="00DF0C24">
      <w:pPr>
        <w:ind w:left="1759" w:hanging="374"/>
        <w:rPr>
          <w:rFonts w:ascii="標楷體" w:eastAsia="標楷體" w:hAnsi="標楷體"/>
          <w:color w:val="000000"/>
        </w:rPr>
      </w:pPr>
      <w:r>
        <w:rPr>
          <w:rFonts w:ascii="標楷體" w:eastAsia="標楷體" w:hAnsi="標楷體"/>
          <w:color w:val="000000"/>
        </w:rPr>
        <w:t>i.使用DDAVP治療可能提升VIII:C，但VIII:C半衰期會減短。</w:t>
      </w:r>
    </w:p>
    <w:p w14:paraId="3A05934C" w14:textId="77777777" w:rsidR="00BD776B" w:rsidRDefault="00DF0C24">
      <w:pPr>
        <w:ind w:left="1759" w:hanging="374"/>
        <w:rPr>
          <w:rFonts w:ascii="標楷體" w:eastAsia="標楷體" w:hAnsi="標楷體"/>
          <w:color w:val="000000"/>
        </w:rPr>
      </w:pPr>
      <w:r>
        <w:rPr>
          <w:rFonts w:ascii="標楷體" w:eastAsia="標楷體" w:hAnsi="標楷體"/>
          <w:color w:val="000000"/>
        </w:rPr>
        <w:t>ii.輕度出血或小手術處置：使用DDAVP或VWF/FVIII濃縮製劑，治療目標為VIII:C上升到30-50 IU/dL以上，維持1-5天。</w:t>
      </w:r>
    </w:p>
    <w:p w14:paraId="02F09BB0" w14:textId="77777777" w:rsidR="00BD776B" w:rsidRDefault="00DF0C24">
      <w:pPr>
        <w:ind w:left="1846" w:hanging="461"/>
        <w:rPr>
          <w:rFonts w:ascii="標楷體" w:eastAsia="標楷體" w:hAnsi="標楷體"/>
          <w:color w:val="000000"/>
        </w:rPr>
      </w:pPr>
      <w:r>
        <w:rPr>
          <w:rFonts w:ascii="標楷體" w:eastAsia="標楷體" w:hAnsi="標楷體"/>
          <w:color w:val="000000"/>
        </w:rPr>
        <w:t>iii.嚴重出血治療或重大手術處置：使用VWF/FVIII濃縮製劑，治療目標為VIII:C起初濃度上升到至少100 IU/dL以上，接下來劑量於7-10日內維持VIII:C最低濃度在50 IU/dL以上。</w:t>
      </w:r>
    </w:p>
    <w:p w14:paraId="63915094" w14:textId="77777777" w:rsidR="00BD776B" w:rsidRDefault="00DF0C24">
      <w:pPr>
        <w:ind w:left="1133" w:hanging="425"/>
        <w:rPr>
          <w:rFonts w:ascii="標楷體" w:eastAsia="標楷體" w:hAnsi="標楷體"/>
          <w:color w:val="000000"/>
        </w:rPr>
      </w:pPr>
      <w:r>
        <w:rPr>
          <w:rFonts w:ascii="標楷體" w:eastAsia="標楷體" w:hAnsi="標楷體"/>
          <w:color w:val="000000"/>
        </w:rPr>
        <w:t>(3)第三型類血友病(Type 3 von-Willebrand Disease)：</w:t>
      </w:r>
    </w:p>
    <w:p w14:paraId="58CD2CF6" w14:textId="77777777" w:rsidR="00BD776B" w:rsidRDefault="00DF0C24">
      <w:pPr>
        <w:ind w:left="1495" w:hanging="362"/>
        <w:rPr>
          <w:rFonts w:ascii="標楷體" w:eastAsia="標楷體" w:hAnsi="標楷體"/>
          <w:color w:val="000000"/>
        </w:rPr>
      </w:pPr>
      <w:r>
        <w:rPr>
          <w:rFonts w:ascii="標楷體" w:eastAsia="標楷體" w:hAnsi="標楷體"/>
          <w:color w:val="000000"/>
        </w:rPr>
        <w:lastRenderedPageBreak/>
        <w:t>Ⅰ.原則應使用VWF/FVIII濃縮製劑，DDAVP則不應使用。</w:t>
      </w:r>
    </w:p>
    <w:p w14:paraId="5242B920" w14:textId="77777777" w:rsidR="00BD776B" w:rsidRDefault="00DF0C24">
      <w:pPr>
        <w:ind w:left="1495" w:hanging="362"/>
        <w:rPr>
          <w:rFonts w:ascii="標楷體" w:eastAsia="標楷體" w:hAnsi="標楷體"/>
          <w:color w:val="000000"/>
        </w:rPr>
      </w:pPr>
      <w:r>
        <w:rPr>
          <w:rFonts w:ascii="標楷體" w:eastAsia="標楷體" w:hAnsi="標楷體"/>
          <w:color w:val="000000"/>
        </w:rPr>
        <w:t>Ⅱ.輕度出血或小手術處置：使用VWF/FVIII濃縮製劑，治療目標為VWF:RCo及VIII:C都上升到30-50 IU/dL以上，維持1-5天。</w:t>
      </w:r>
    </w:p>
    <w:p w14:paraId="64C4DFB5" w14:textId="77777777" w:rsidR="00BD776B" w:rsidRDefault="00DF0C24">
      <w:pPr>
        <w:ind w:left="1495" w:hanging="362"/>
        <w:rPr>
          <w:rFonts w:ascii="標楷體" w:eastAsia="標楷體" w:hAnsi="標楷體"/>
          <w:color w:val="000000"/>
        </w:rPr>
      </w:pPr>
      <w:r>
        <w:rPr>
          <w:rFonts w:ascii="標楷體" w:eastAsia="標楷體" w:hAnsi="標楷體"/>
          <w:color w:val="000000"/>
        </w:rPr>
        <w:t>Ⅲ.嚴重出血治療或重大手術處置：依Type 1 VWD之III規定處置，惟Alphanate不適用於Type 3 VWD病人進行重度手術。</w:t>
      </w:r>
    </w:p>
    <w:p w14:paraId="6FC70FD9" w14:textId="77777777" w:rsidR="00BD776B" w:rsidRDefault="00DF0C24">
      <w:pPr>
        <w:ind w:left="1133" w:hanging="564"/>
        <w:rPr>
          <w:rFonts w:ascii="標楷體" w:eastAsia="標楷體" w:hAnsi="標楷體"/>
          <w:color w:val="000000"/>
        </w:rPr>
      </w:pPr>
      <w:r>
        <w:rPr>
          <w:rFonts w:ascii="標楷體" w:eastAsia="標楷體" w:hAnsi="標楷體"/>
          <w:color w:val="000000"/>
        </w:rPr>
        <w:t>2.VWD患者輔助治療及懷孕患者處置：</w:t>
      </w:r>
    </w:p>
    <w:p w14:paraId="42B7E3A7" w14:textId="77777777" w:rsidR="00BD776B" w:rsidRDefault="00DF0C24">
      <w:pPr>
        <w:ind w:left="1133" w:hanging="42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血小板輸注可以考慮使用於已使用足量VWF/FVIII濃縮製劑達成治療目標濃度但仍有出血之患者，尤其是腸胃道出血時。</w:t>
      </w:r>
    </w:p>
    <w:p w14:paraId="23A56632" w14:textId="77777777" w:rsidR="00BD776B" w:rsidRDefault="00DF0C24">
      <w:pPr>
        <w:ind w:left="1133" w:hanging="42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冷凍沉澱品(Cryoprecipitate)可以考慮使用於已充分使用其他各種藥物治療但仍無法控制的頑固性出血。</w:t>
      </w:r>
    </w:p>
    <w:p w14:paraId="1B4E4E8E" w14:textId="77777777" w:rsidR="00BD776B" w:rsidRDefault="00DF0C24">
      <w:pPr>
        <w:ind w:left="1133" w:hanging="42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抗纖維蛋白溶解製劑(如tranexamic acid)可以單獨使用於黏膜輕微出血(如月經量過多、口腔出血、流鼻血)，如果治療無效，應合併使用DDAVP或VWF/FVIII濃縮製劑治療。</w:t>
      </w:r>
    </w:p>
    <w:p w14:paraId="26284E84" w14:textId="77777777" w:rsidR="00BD776B" w:rsidRDefault="00DF0C24">
      <w:pPr>
        <w:ind w:left="1133" w:hanging="42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拔牙時大多數病患可使用單次DDAVP加上tranexamic acid治療，不適合使用DDAVP患者則用單次VWF/FVIII濃縮製劑加上tranexamic acid治療。</w:t>
      </w:r>
    </w:p>
    <w:p w14:paraId="7358E8E1" w14:textId="77777777" w:rsidR="00BD776B" w:rsidRDefault="00DF0C24">
      <w:pPr>
        <w:ind w:left="1133" w:hanging="425"/>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ab/>
        <w:t>月經量過多患者可單獨使用雌性激素/黃體素製劑或tranexamic acid治療，如果無效時則需合併使用DDAVP或VWF/FVIII濃縮製劑治療。</w:t>
      </w:r>
    </w:p>
    <w:p w14:paraId="34EAF228" w14:textId="77777777" w:rsidR="00BD776B" w:rsidRDefault="00DF0C24">
      <w:pPr>
        <w:ind w:left="1133" w:hanging="425"/>
        <w:rPr>
          <w:rFonts w:ascii="標楷體" w:eastAsia="標楷體" w:hAnsi="標楷體"/>
          <w:color w:val="000000"/>
        </w:rPr>
      </w:pPr>
      <w:r>
        <w:rPr>
          <w:rFonts w:ascii="標楷體" w:eastAsia="標楷體" w:hAnsi="標楷體"/>
          <w:color w:val="000000"/>
        </w:rPr>
        <w:t>(6)</w:t>
      </w:r>
      <w:r>
        <w:rPr>
          <w:rFonts w:ascii="標楷體" w:eastAsia="標楷體" w:hAnsi="標楷體"/>
          <w:color w:val="000000"/>
        </w:rPr>
        <w:tab/>
        <w:t>VWD患者懷孕生產治療建議：</w:t>
      </w:r>
    </w:p>
    <w:p w14:paraId="3458AA18" w14:textId="77777777" w:rsidR="00BD776B" w:rsidRDefault="00DF0C24">
      <w:pPr>
        <w:ind w:left="1469" w:hanging="425"/>
        <w:rPr>
          <w:rFonts w:ascii="標楷體" w:eastAsia="標楷體" w:hAnsi="標楷體"/>
          <w:color w:val="000000"/>
        </w:rPr>
      </w:pPr>
      <w:r>
        <w:rPr>
          <w:rFonts w:ascii="標楷體" w:eastAsia="標楷體" w:hAnsi="標楷體"/>
          <w:color w:val="000000"/>
        </w:rPr>
        <w:t>Ⅰ.DDAVP避免使用於子癲前症或體液增加(fluid retention)患者。</w:t>
      </w:r>
    </w:p>
    <w:p w14:paraId="48823216" w14:textId="77777777" w:rsidR="00BD776B" w:rsidRDefault="00DF0C24">
      <w:pPr>
        <w:ind w:left="1469" w:hanging="425"/>
        <w:rPr>
          <w:rFonts w:ascii="標楷體" w:eastAsia="標楷體" w:hAnsi="標楷體"/>
          <w:color w:val="000000"/>
        </w:rPr>
      </w:pPr>
      <w:r>
        <w:rPr>
          <w:rFonts w:ascii="標楷體" w:eastAsia="標楷體" w:hAnsi="標楷體"/>
          <w:color w:val="000000"/>
        </w:rPr>
        <w:t>Ⅱ.Type 1 VWD：分娩時大多數不需要預防性治療。</w:t>
      </w:r>
    </w:p>
    <w:p w14:paraId="45C847E4" w14:textId="77777777" w:rsidR="00BD776B" w:rsidRDefault="00DF0C24">
      <w:pPr>
        <w:ind w:left="1342" w:hanging="300"/>
        <w:rPr>
          <w:rFonts w:ascii="標楷體" w:eastAsia="標楷體" w:hAnsi="標楷體"/>
          <w:color w:val="000000"/>
        </w:rPr>
      </w:pPr>
      <w:r>
        <w:rPr>
          <w:rFonts w:ascii="標楷體" w:eastAsia="標楷體" w:hAnsi="標楷體"/>
          <w:color w:val="000000"/>
        </w:rPr>
        <w:t>Ⅲ.Type 2 VWD：剖腹生產或自然生產預期要進行episiotomy時，要給予藥物預防性治療。</w:t>
      </w:r>
    </w:p>
    <w:p w14:paraId="2F7ABDC3" w14:textId="77777777" w:rsidR="00BD776B" w:rsidRDefault="00DF0C24">
      <w:pPr>
        <w:ind w:left="1469" w:hanging="425"/>
        <w:rPr>
          <w:rFonts w:ascii="標楷體" w:eastAsia="標楷體" w:hAnsi="標楷體"/>
          <w:color w:val="000000"/>
        </w:rPr>
      </w:pPr>
      <w:r>
        <w:rPr>
          <w:rFonts w:ascii="標楷體" w:eastAsia="標楷體" w:hAnsi="標楷體"/>
          <w:color w:val="000000"/>
        </w:rPr>
        <w:t>Ⅳ.Type 3 VWD：各種生產方式都需要給予藥物預防性治療。</w:t>
      </w:r>
    </w:p>
    <w:p w14:paraId="12CEA3B4" w14:textId="77777777" w:rsidR="00BD776B" w:rsidRDefault="00DF0C24">
      <w:pPr>
        <w:ind w:left="1397" w:hanging="355"/>
        <w:rPr>
          <w:rFonts w:ascii="標楷體" w:eastAsia="標楷體" w:hAnsi="標楷體"/>
          <w:color w:val="000000"/>
        </w:rPr>
      </w:pPr>
      <w:r>
        <w:rPr>
          <w:rFonts w:ascii="標楷體" w:eastAsia="標楷體" w:hAnsi="標楷體"/>
          <w:color w:val="000000"/>
        </w:rPr>
        <w:t>Ⅴ.對於Type 1及Type 2 VWD的懷孕婦女，應該要在懷孕第三期與生產前檢查VWF:RCo與VIII:C。如果VWF:RCo &lt;50IU/dL，產程期間則應該給予藥物預防治療。Type 2B懷孕婦女應特別注意血小板有無減少。</w:t>
      </w:r>
    </w:p>
    <w:p w14:paraId="1C6AFD45" w14:textId="77777777" w:rsidR="00BD776B" w:rsidRDefault="00DF0C24" w:rsidP="00496C07">
      <w:pPr>
        <w:ind w:left="1397" w:hanging="355"/>
        <w:rPr>
          <w:rFonts w:ascii="標楷體" w:eastAsia="標楷體" w:hAnsi="標楷體"/>
          <w:color w:val="000000"/>
        </w:rPr>
      </w:pPr>
      <w:r>
        <w:rPr>
          <w:rFonts w:ascii="標楷體" w:eastAsia="標楷體" w:hAnsi="標楷體"/>
          <w:color w:val="000000"/>
        </w:rPr>
        <w:t>Ⅵ.生產後至少應該維持VWF:RCo &gt; 50IU/dL 3-5天。</w:t>
      </w:r>
    </w:p>
    <w:p w14:paraId="4F83017A" w14:textId="77777777" w:rsidR="00BD776B" w:rsidRDefault="00DF0C24" w:rsidP="00496C07">
      <w:pPr>
        <w:pStyle w:val="af"/>
        <w:ind w:left="684" w:hanging="684"/>
        <w:rPr>
          <w:rFonts w:ascii="標楷體" w:eastAsia="標楷體" w:hAnsi="標楷體"/>
          <w:color w:val="000000"/>
        </w:rPr>
      </w:pPr>
      <w:r>
        <w:rPr>
          <w:rFonts w:ascii="標楷體" w:eastAsia="標楷體" w:hAnsi="標楷體"/>
          <w:color w:val="000000"/>
        </w:rPr>
        <w:t>4.2.5.第二、七、九、十凝血因子複合製劑(如Beriplex)：(105/7/1)</w:t>
      </w:r>
    </w:p>
    <w:p w14:paraId="6FDC951C" w14:textId="77777777" w:rsidR="00BD776B" w:rsidRDefault="00DF0C24">
      <w:pPr>
        <w:ind w:left="826"/>
        <w:rPr>
          <w:rFonts w:ascii="標楷體" w:eastAsia="標楷體" w:hAnsi="標楷體"/>
          <w:color w:val="000000"/>
        </w:rPr>
      </w:pPr>
      <w:r>
        <w:rPr>
          <w:rFonts w:ascii="標楷體" w:eastAsia="標楷體" w:hAnsi="標楷體"/>
          <w:color w:val="000000"/>
        </w:rPr>
        <w:t>限用於下列情況以矯正凝血因子缺乏，且須同時針對出血原因進行處置：</w:t>
      </w:r>
    </w:p>
    <w:p w14:paraId="7C5153AC" w14:textId="77777777" w:rsidR="00BD776B" w:rsidRDefault="00DF0C24">
      <w:pPr>
        <w:ind w:left="849" w:hanging="283"/>
        <w:rPr>
          <w:rFonts w:ascii="標楷體" w:eastAsia="標楷體" w:hAnsi="標楷體"/>
          <w:color w:val="000000"/>
        </w:rPr>
      </w:pPr>
      <w:r>
        <w:rPr>
          <w:rFonts w:ascii="標楷體" w:eastAsia="標楷體" w:hAnsi="標楷體"/>
          <w:color w:val="000000"/>
        </w:rPr>
        <w:t>1.在缺乏單一的凝血因子製劑可使用的情況，因先天性單一或多重缺乏第二、第七、第九或第十凝血因子，有出血或接受侵犯性處理及手術時的預防出血性治療。</w:t>
      </w:r>
    </w:p>
    <w:p w14:paraId="5703DB1A" w14:textId="77777777" w:rsidR="00BD776B" w:rsidRDefault="00DF0C24">
      <w:pPr>
        <w:ind w:left="849" w:hanging="283"/>
        <w:rPr>
          <w:rFonts w:ascii="標楷體" w:eastAsia="標楷體" w:hAnsi="標楷體"/>
          <w:color w:val="000000"/>
        </w:rPr>
      </w:pPr>
      <w:r>
        <w:rPr>
          <w:rFonts w:ascii="標楷體" w:eastAsia="標楷體" w:hAnsi="標楷體"/>
          <w:color w:val="000000"/>
        </w:rPr>
        <w:t>2.在缺乏單一的凝血因子製劑可使用的情況，因單一或多重缺乏第二、第七、第九或第十凝血因子造成的新生兒嚴重出血。</w:t>
      </w:r>
    </w:p>
    <w:p w14:paraId="49F96AC2" w14:textId="77777777" w:rsidR="00BD776B" w:rsidRDefault="00DF0C24">
      <w:pPr>
        <w:ind w:left="849" w:hanging="283"/>
        <w:rPr>
          <w:rFonts w:ascii="標楷體" w:eastAsia="標楷體" w:hAnsi="標楷體"/>
          <w:color w:val="000000"/>
        </w:rPr>
      </w:pPr>
      <w:r>
        <w:rPr>
          <w:rFonts w:ascii="標楷體" w:eastAsia="標楷體" w:hAnsi="標楷體"/>
          <w:color w:val="000000"/>
        </w:rPr>
        <w:t>3.因嚴重的肝臟實質傷害(如猛爆性肝炎、肝硬化末期、肝中毒、肝創傷等)或極度肝萎縮引起的食道胃靜脈瘤出血。</w:t>
      </w:r>
    </w:p>
    <w:p w14:paraId="0081670D" w14:textId="77777777" w:rsidR="00BD776B" w:rsidRDefault="00DF0C24">
      <w:pPr>
        <w:ind w:left="849" w:hanging="283"/>
        <w:rPr>
          <w:rFonts w:ascii="標楷體" w:eastAsia="標楷體" w:hAnsi="標楷體"/>
          <w:color w:val="000000"/>
        </w:rPr>
      </w:pPr>
      <w:r>
        <w:rPr>
          <w:rFonts w:ascii="標楷體" w:eastAsia="標楷體" w:hAnsi="標楷體"/>
          <w:color w:val="000000"/>
        </w:rPr>
        <w:t>4.因服用coumarin類抗凝血劑造成併發症引起的嚴重出血。</w:t>
      </w:r>
    </w:p>
    <w:p w14:paraId="7F5B17A4" w14:textId="77777777" w:rsidR="00BD776B" w:rsidRDefault="00DF0C24">
      <w:pPr>
        <w:ind w:left="849" w:hanging="283"/>
        <w:rPr>
          <w:rFonts w:ascii="標楷體" w:eastAsia="標楷體" w:hAnsi="標楷體"/>
          <w:color w:val="000000"/>
        </w:rPr>
      </w:pPr>
      <w:r>
        <w:rPr>
          <w:rFonts w:ascii="標楷體" w:eastAsia="標楷體" w:hAnsi="標楷體"/>
          <w:color w:val="000000"/>
        </w:rPr>
        <w:t>5.缺乏維生素K併發的嚴重出血或需緊急手術時。</w:t>
      </w:r>
    </w:p>
    <w:p w14:paraId="64A6D814" w14:textId="77777777" w:rsidR="00BD776B" w:rsidRDefault="00DF0C24" w:rsidP="00496C07">
      <w:pPr>
        <w:pStyle w:val="af"/>
        <w:ind w:left="684" w:hanging="684"/>
        <w:rPr>
          <w:rFonts w:ascii="標楷體" w:eastAsia="標楷體" w:hAnsi="標楷體"/>
          <w:color w:val="000000"/>
        </w:rPr>
      </w:pPr>
      <w:r>
        <w:rPr>
          <w:rFonts w:ascii="標楷體" w:eastAsia="標楷體" w:hAnsi="標楷體"/>
          <w:color w:val="000000"/>
        </w:rPr>
        <w:t>4.2.6.Human plasma coagulation factor XIII (如Fibrogammin) (107/8/1、108/10/1、109/12/1)</w:t>
      </w:r>
    </w:p>
    <w:p w14:paraId="6FBC530D" w14:textId="77777777" w:rsidR="00BD776B" w:rsidRDefault="00DF0C24">
      <w:pPr>
        <w:ind w:left="849" w:hanging="283"/>
        <w:rPr>
          <w:rFonts w:ascii="標楷體" w:eastAsia="標楷體" w:hAnsi="標楷體"/>
          <w:color w:val="000000"/>
        </w:rPr>
      </w:pPr>
      <w:r>
        <w:rPr>
          <w:rFonts w:ascii="標楷體" w:eastAsia="標楷體" w:hAnsi="標楷體"/>
          <w:color w:val="000000"/>
        </w:rPr>
        <w:t>1.用於第十三凝血因子缺乏之病人。</w:t>
      </w:r>
    </w:p>
    <w:p w14:paraId="26CB071F" w14:textId="77777777" w:rsidR="00BD776B" w:rsidRDefault="00DF0C24">
      <w:pPr>
        <w:ind w:left="1133" w:hanging="42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有急性出血時</w:t>
      </w:r>
    </w:p>
    <w:p w14:paraId="55DCEB3B" w14:textId="77777777" w:rsidR="00BD776B" w:rsidRDefault="00DF0C24">
      <w:pPr>
        <w:ind w:left="1495" w:hanging="362"/>
        <w:rPr>
          <w:rFonts w:ascii="標楷體" w:eastAsia="標楷體" w:hAnsi="標楷體"/>
          <w:color w:val="000000"/>
        </w:rPr>
      </w:pPr>
      <w:r>
        <w:rPr>
          <w:rFonts w:ascii="標楷體" w:eastAsia="標楷體" w:hAnsi="標楷體"/>
          <w:color w:val="000000"/>
        </w:rPr>
        <w:lastRenderedPageBreak/>
        <w:t>A.</w:t>
      </w:r>
      <w:r>
        <w:rPr>
          <w:rFonts w:ascii="標楷體" w:eastAsia="標楷體" w:hAnsi="標楷體"/>
          <w:color w:val="000000"/>
        </w:rPr>
        <w:tab/>
        <w:t>輕度至中度出血：</w:t>
      </w:r>
    </w:p>
    <w:p w14:paraId="17390E67" w14:textId="77777777" w:rsidR="00BD776B" w:rsidRDefault="00DF0C24">
      <w:pPr>
        <w:ind w:left="1613" w:hanging="425"/>
        <w:rPr>
          <w:rFonts w:ascii="標楷體" w:eastAsia="標楷體" w:hAnsi="標楷體"/>
          <w:color w:val="000000"/>
        </w:rPr>
      </w:pPr>
      <w:r>
        <w:rPr>
          <w:rFonts w:ascii="標楷體" w:eastAsia="標楷體" w:hAnsi="標楷體"/>
          <w:color w:val="000000"/>
        </w:rPr>
        <w:t>10-20 IU/Kg注射1-3次至止血。</w:t>
      </w:r>
    </w:p>
    <w:p w14:paraId="02EA4257" w14:textId="77777777" w:rsidR="00BD776B" w:rsidRDefault="00DF0C24">
      <w:pPr>
        <w:ind w:left="1495" w:hanging="362"/>
        <w:rPr>
          <w:rFonts w:ascii="標楷體" w:eastAsia="標楷體" w:hAnsi="標楷體"/>
          <w:color w:val="000000"/>
        </w:rPr>
      </w:pPr>
      <w:r>
        <w:rPr>
          <w:rFonts w:ascii="標楷體" w:eastAsia="標楷體" w:hAnsi="標楷體"/>
          <w:color w:val="000000"/>
        </w:rPr>
        <w:t>B.</w:t>
      </w:r>
      <w:r>
        <w:rPr>
          <w:rFonts w:ascii="標楷體" w:eastAsia="標楷體" w:hAnsi="標楷體"/>
          <w:color w:val="000000"/>
        </w:rPr>
        <w:tab/>
        <w:t>嚴重出血：</w:t>
      </w:r>
    </w:p>
    <w:p w14:paraId="6FFFAA91" w14:textId="77777777" w:rsidR="00BD776B" w:rsidRDefault="00DF0C24">
      <w:pPr>
        <w:ind w:left="1188"/>
        <w:rPr>
          <w:rFonts w:ascii="標楷體" w:eastAsia="標楷體" w:hAnsi="標楷體"/>
          <w:color w:val="000000"/>
        </w:rPr>
      </w:pPr>
      <w:r>
        <w:rPr>
          <w:rFonts w:ascii="標楷體" w:eastAsia="標楷體" w:hAnsi="標楷體"/>
          <w:color w:val="000000"/>
        </w:rPr>
        <w:t>20-30 IU/Kg注射數次，可間隔數日至一周，直至止血。如有顱內出血，建議30-40 IU/Kg注射，間隔每天至一週給藥，直至止血。</w:t>
      </w:r>
    </w:p>
    <w:p w14:paraId="3E3F67E7" w14:textId="77777777" w:rsidR="00BD776B" w:rsidRDefault="00DF0C24">
      <w:pPr>
        <w:ind w:left="1495" w:hanging="362"/>
        <w:rPr>
          <w:rFonts w:ascii="標楷體" w:eastAsia="標楷體" w:hAnsi="標楷體"/>
          <w:color w:val="000000"/>
        </w:rPr>
      </w:pPr>
      <w:r>
        <w:rPr>
          <w:rFonts w:ascii="標楷體" w:eastAsia="標楷體" w:hAnsi="標楷體"/>
          <w:color w:val="000000"/>
        </w:rPr>
        <w:t>C.</w:t>
      </w:r>
      <w:r>
        <w:rPr>
          <w:rFonts w:ascii="標楷體" w:eastAsia="標楷體" w:hAnsi="標楷體"/>
          <w:color w:val="000000"/>
        </w:rPr>
        <w:tab/>
        <w:t>手術：</w:t>
      </w:r>
    </w:p>
    <w:p w14:paraId="2181D0A0" w14:textId="77777777" w:rsidR="00BD776B" w:rsidRDefault="00DF0C24">
      <w:pPr>
        <w:ind w:left="1613" w:hanging="425"/>
        <w:rPr>
          <w:rFonts w:ascii="標楷體" w:eastAsia="標楷體" w:hAnsi="標楷體"/>
          <w:color w:val="000000"/>
        </w:rPr>
      </w:pPr>
      <w:r>
        <w:rPr>
          <w:rFonts w:ascii="標楷體" w:eastAsia="標楷體" w:hAnsi="標楷體"/>
          <w:color w:val="000000"/>
        </w:rPr>
        <w:t>20-30 IU/Kg，每天注射1-3天，嗣後10-20 IU/Kg注射2-3天。</w:t>
      </w:r>
    </w:p>
    <w:p w14:paraId="0C2D5D73" w14:textId="77777777" w:rsidR="00BD776B" w:rsidRDefault="00DF0C24">
      <w:pPr>
        <w:ind w:left="1133" w:hanging="42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預防性給予：</w:t>
      </w:r>
    </w:p>
    <w:p w14:paraId="4366B7A7" w14:textId="77777777" w:rsidR="00BD776B" w:rsidRDefault="00DF0C24">
      <w:pPr>
        <w:ind w:left="948"/>
        <w:rPr>
          <w:rFonts w:ascii="標楷體" w:eastAsia="標楷體" w:hAnsi="標楷體"/>
          <w:color w:val="000000"/>
        </w:rPr>
      </w:pPr>
      <w:r>
        <w:rPr>
          <w:rFonts w:ascii="標楷體" w:eastAsia="標楷體" w:hAnsi="標楷體"/>
          <w:color w:val="000000"/>
        </w:rPr>
        <w:t>建議10-40 IU/Kg，每4至6週注射一次；視突破性出血情況可增至40 IU/Kg每4至6週注射一次。</w:t>
      </w:r>
    </w:p>
    <w:p w14:paraId="56A06852" w14:textId="77777777" w:rsidR="00BD776B" w:rsidRDefault="00DF0C24">
      <w:pPr>
        <w:ind w:left="1133" w:hanging="42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懷孕時：</w:t>
      </w:r>
    </w:p>
    <w:p w14:paraId="62CEE5C8" w14:textId="77777777" w:rsidR="00BD776B" w:rsidRDefault="00DF0C24">
      <w:pPr>
        <w:ind w:left="1373" w:hanging="425"/>
        <w:rPr>
          <w:rFonts w:ascii="標楷體" w:eastAsia="標楷體" w:hAnsi="標楷體"/>
          <w:color w:val="000000"/>
        </w:rPr>
      </w:pPr>
      <w:r>
        <w:rPr>
          <w:rFonts w:ascii="標楷體" w:eastAsia="標楷體" w:hAnsi="標楷體"/>
          <w:color w:val="000000"/>
        </w:rPr>
        <w:t>在5~6週懷孕時即建議開始給予，至懷孕後期劑量可視患者情況增加。</w:t>
      </w:r>
    </w:p>
    <w:p w14:paraId="36521B40" w14:textId="77777777" w:rsidR="00BD776B" w:rsidRDefault="00DF0C24">
      <w:pPr>
        <w:ind w:left="1133" w:hanging="42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出現抗體時：</w:t>
      </w:r>
    </w:p>
    <w:p w14:paraId="06EC27D1" w14:textId="77777777" w:rsidR="00BD776B" w:rsidRDefault="00DF0C24">
      <w:pPr>
        <w:ind w:left="948"/>
        <w:rPr>
          <w:rFonts w:ascii="標楷體" w:eastAsia="標楷體" w:hAnsi="標楷體"/>
          <w:color w:val="000000"/>
        </w:rPr>
      </w:pPr>
      <w:r>
        <w:rPr>
          <w:rFonts w:ascii="標楷體" w:eastAsia="標楷體" w:hAnsi="標楷體"/>
          <w:color w:val="000000"/>
        </w:rPr>
        <w:t>得由臨床醫師依病人狀況調整劑量，惟需於病歷上詳細記載治療劑量調整之原因及反應。</w:t>
      </w:r>
    </w:p>
    <w:p w14:paraId="2CC02DEE" w14:textId="77777777" w:rsidR="00BD776B" w:rsidRDefault="00DF0C24">
      <w:pPr>
        <w:ind w:left="849" w:hanging="283"/>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門診之XIII因子缺乏病人，得攜回二~四劑量(至多攜回二個月)第十三凝血因子備用，繼續治療時，比照化療以「療程」方式處理，並檢附上次治療紀錄（如附表十八-四 全民健康保險血友病患使用第十三凝血因子在家治療紀錄）及登錄醫療評估追蹤紀錄表(附表十八之五)。醫療機構、醫師開立使用血液製劑時，應依血液製劑條例之規定辦理。(107/8/1、108/10/1、109/12/1)</w:t>
      </w:r>
    </w:p>
    <w:p w14:paraId="63AED55B" w14:textId="77777777" w:rsidR="00BD776B" w:rsidRDefault="00DF0C24">
      <w:pPr>
        <w:ind w:left="849" w:hanging="283"/>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預防性治療(primary  prophylaxis)：限嚴重型或中度(Factor XIIIa小於5IU/dL) 之XIII因子缺乏病人。預防性使用之病患建議每隔1-2年監測血清中之第十三凝血因子濃度。</w:t>
      </w:r>
    </w:p>
    <w:p w14:paraId="453BF25A" w14:textId="77777777" w:rsidR="00BD776B" w:rsidRDefault="00DF0C24">
      <w:pPr>
        <w:ind w:left="849" w:hanging="283"/>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初次使用需經事前審查核准後使用。</w:t>
      </w:r>
    </w:p>
    <w:p w14:paraId="27CD4EEC" w14:textId="60BCFD5D" w:rsidR="00BD776B" w:rsidRDefault="00DF0C24" w:rsidP="00496C07">
      <w:pPr>
        <w:pStyle w:val="af"/>
        <w:ind w:left="684" w:hanging="684"/>
      </w:pPr>
      <w:r>
        <w:rPr>
          <w:rFonts w:ascii="標楷體" w:eastAsia="標楷體" w:hAnsi="標楷體"/>
          <w:color w:val="000000"/>
        </w:rPr>
        <w:t>4.2.7.</w:t>
      </w:r>
      <w:r>
        <w:t xml:space="preserve"> </w:t>
      </w:r>
      <w:r>
        <w:rPr>
          <w:rFonts w:ascii="標楷體" w:eastAsia="標楷體" w:hAnsi="標楷體"/>
          <w:color w:val="000000"/>
        </w:rPr>
        <w:t>雙特異性單株抗體藥物(如Hemlibra)：(108/11/1、109/8/1、109/12/1、112/7/1</w:t>
      </w:r>
      <w:r w:rsidR="00421398">
        <w:rPr>
          <w:rFonts w:ascii="標楷體" w:eastAsia="標楷體" w:hAnsi="標楷體" w:hint="eastAsia"/>
          <w:color w:val="000000"/>
        </w:rPr>
        <w:t>、113/7/1</w:t>
      </w:r>
      <w:r>
        <w:rPr>
          <w:rFonts w:ascii="標楷體" w:eastAsia="標楷體" w:hAnsi="標楷體"/>
          <w:color w:val="000000"/>
        </w:rPr>
        <w:t xml:space="preserve">) </w:t>
      </w:r>
    </w:p>
    <w:p w14:paraId="0A59809D" w14:textId="77777777" w:rsidR="00BD776B" w:rsidRDefault="00DF0C24">
      <w:pPr>
        <w:ind w:left="672" w:hanging="386"/>
        <w:rPr>
          <w:rFonts w:ascii="標楷體" w:eastAsia="標楷體" w:hAnsi="標楷體"/>
          <w:color w:val="000000"/>
        </w:rPr>
      </w:pPr>
      <w:r>
        <w:rPr>
          <w:rFonts w:ascii="標楷體" w:eastAsia="標楷體" w:hAnsi="標楷體"/>
          <w:color w:val="000000"/>
        </w:rPr>
        <w:t>限用於A型血友病且有抗體病人及嚴重(FVIII小於1%)未帶有抗體A型血友病病人之預防性治療：</w:t>
      </w:r>
    </w:p>
    <w:p w14:paraId="26A7C873" w14:textId="77777777" w:rsidR="00BD776B" w:rsidRDefault="00DF0C24">
      <w:pPr>
        <w:ind w:left="672" w:hanging="386"/>
        <w:rPr>
          <w:rFonts w:ascii="標楷體" w:eastAsia="標楷體" w:hAnsi="標楷體"/>
          <w:color w:val="000000"/>
        </w:rPr>
      </w:pPr>
      <w:r>
        <w:rPr>
          <w:rFonts w:ascii="標楷體" w:eastAsia="標楷體" w:hAnsi="標楷體"/>
          <w:color w:val="000000"/>
        </w:rPr>
        <w:t>1.用於A型血友病且有抗體病人預防性治療，並符合以下情形：</w:t>
      </w:r>
    </w:p>
    <w:p w14:paraId="0DC1AD36" w14:textId="77777777" w:rsidR="00BD776B" w:rsidRDefault="00DF0C24">
      <w:pPr>
        <w:ind w:left="672" w:hanging="386"/>
      </w:pPr>
      <w:r>
        <w:rPr>
          <w:rFonts w:ascii="標楷體" w:eastAsia="標楷體" w:hAnsi="標楷體"/>
          <w:color w:val="000000"/>
        </w:rPr>
        <w:t>(1)</w:t>
      </w:r>
      <w:r>
        <w:rPr>
          <w:rFonts w:ascii="標楷體" w:eastAsia="標楷體" w:hAnsi="標楷體"/>
          <w:color w:val="000000"/>
        </w:rPr>
        <w:tab/>
        <w:t>經Bethesda分析法不只一次證實帶有第八凝血因子抑制性抗體</w:t>
      </w:r>
      <w:r>
        <w:rPr>
          <w:rFonts w:ascii="Times New Roman" w:eastAsia="標楷體" w:hAnsi="Times New Roman"/>
          <w:color w:val="000000"/>
        </w:rPr>
        <w:t>≥</w:t>
      </w:r>
      <w:r>
        <w:rPr>
          <w:rFonts w:ascii="標楷體" w:eastAsia="標楷體" w:hAnsi="標楷體"/>
          <w:color w:val="000000"/>
        </w:rPr>
        <w:t>5.0BU。(108/11/1、109/8/1)</w:t>
      </w:r>
    </w:p>
    <w:p w14:paraId="5A1EA464" w14:textId="77777777" w:rsidR="00BD776B" w:rsidRDefault="00DF0C24">
      <w:pPr>
        <w:ind w:left="672" w:hanging="386"/>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使用Hemlibra 24 小時以前繞徑藥物須停止使用。病人領取的Feiba必須先使用完後，才能考慮開始使用Hemlibra。(108/11/1、109/8/1)</w:t>
      </w:r>
    </w:p>
    <w:p w14:paraId="64957DDF" w14:textId="77777777" w:rsidR="00BD776B" w:rsidRDefault="00DF0C24">
      <w:pPr>
        <w:ind w:left="672" w:hanging="386"/>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若發生突破性出血時，第一線藥物為rVIIa或第八凝血因子；除非沒有其他選擇，儘量避免使用Feiba。</w:t>
      </w:r>
    </w:p>
    <w:p w14:paraId="560AC347" w14:textId="77777777" w:rsidR="00BD776B" w:rsidRDefault="00DF0C24">
      <w:pPr>
        <w:ind w:left="672" w:hanging="386"/>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用rVIIa，需要從低劑量(45-90 μg/kg)開始使用，不可以使用高劑量。</w:t>
      </w:r>
    </w:p>
    <w:p w14:paraId="75F270E1" w14:textId="77777777" w:rsidR="00BD776B" w:rsidRDefault="00DF0C24">
      <w:pPr>
        <w:ind w:left="672" w:hanging="386"/>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用Feiba，第一次使用不可超過50IU/Kg；需第二劑使用時，一天內不得超過100IU/Kg。</w:t>
      </w:r>
    </w:p>
    <w:p w14:paraId="70E14BC4" w14:textId="77777777" w:rsidR="00BD776B" w:rsidRDefault="00DF0C24">
      <w:pPr>
        <w:ind w:left="672" w:hanging="386"/>
        <w:rPr>
          <w:rFonts w:ascii="標楷體" w:eastAsia="標楷體" w:hAnsi="標楷體"/>
          <w:color w:val="000000"/>
        </w:rPr>
      </w:pPr>
      <w:r>
        <w:rPr>
          <w:rFonts w:ascii="標楷體" w:eastAsia="標楷體" w:hAnsi="標楷體"/>
          <w:color w:val="000000"/>
        </w:rPr>
        <w:t>2.用於嚴重(FVIII小於1%)未帶有抗體A型血友病病人之預防性治療，應符合以下其中任一條件，且排除使用本藥品後年自發性出血次數(ABR)大於6次者：(112/7/1)</w:t>
      </w:r>
    </w:p>
    <w:p w14:paraId="0E248AED" w14:textId="77777777" w:rsidR="00BD776B" w:rsidRDefault="00DF0C24">
      <w:pPr>
        <w:ind w:left="672" w:hanging="386"/>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12歲以下兒童使用。</w:t>
      </w:r>
    </w:p>
    <w:p w14:paraId="2AF26F28" w14:textId="77777777" w:rsidR="00BD776B" w:rsidRDefault="00DF0C24">
      <w:pPr>
        <w:ind w:left="672" w:hanging="386"/>
        <w:rPr>
          <w:rFonts w:ascii="標楷體" w:eastAsia="標楷體" w:hAnsi="標楷體"/>
          <w:color w:val="000000"/>
        </w:rPr>
      </w:pPr>
      <w:r>
        <w:rPr>
          <w:rFonts w:ascii="標楷體" w:eastAsia="標楷體" w:hAnsi="標楷體"/>
          <w:color w:val="000000"/>
        </w:rPr>
        <w:lastRenderedPageBreak/>
        <w:t>(2)</w:t>
      </w:r>
      <w:r>
        <w:rPr>
          <w:rFonts w:ascii="標楷體" w:eastAsia="標楷體" w:hAnsi="標楷體"/>
          <w:color w:val="000000"/>
        </w:rPr>
        <w:tab/>
        <w:t>已有接受第八凝血因子預防性治療達建議劑量上限，且年自發性出血次數(ABR)大於6次者。</w:t>
      </w:r>
    </w:p>
    <w:p w14:paraId="319F08D4" w14:textId="77777777" w:rsidR="00BD776B" w:rsidRDefault="00DF0C24">
      <w:pPr>
        <w:ind w:left="672" w:hanging="386"/>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曾發生腦出血者。</w:t>
      </w:r>
    </w:p>
    <w:p w14:paraId="3D2288CE" w14:textId="77777777" w:rsidR="00BD776B" w:rsidRDefault="00DF0C24">
      <w:pPr>
        <w:ind w:left="672" w:hanging="386"/>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目標關節(target joint)出血半年超過3次以上者。</w:t>
      </w:r>
    </w:p>
    <w:p w14:paraId="70E70DDE" w14:textId="77777777" w:rsidR="00BD776B" w:rsidRDefault="00DF0C24">
      <w:pPr>
        <w:ind w:left="672" w:hanging="386"/>
        <w:rPr>
          <w:rFonts w:ascii="標楷體" w:eastAsia="標楷體" w:hAnsi="標楷體"/>
          <w:color w:val="000000"/>
        </w:rPr>
      </w:pPr>
      <w:r>
        <w:rPr>
          <w:rFonts w:ascii="標楷體" w:eastAsia="標楷體" w:hAnsi="標楷體"/>
          <w:color w:val="000000"/>
        </w:rPr>
        <w:t>3.皮下注射預防性治療(prophylaxis)：最初4週，每週一次投予3 mg/kg(負荷劑量)，之後改為每週一次投予1.5 mg/kg、每2週一次3 mg/kg或每4週一次6 mg/kg (維持劑量)。(108/11/1、109/8/1)</w:t>
      </w:r>
    </w:p>
    <w:p w14:paraId="6B0BDEFA" w14:textId="77777777" w:rsidR="00BD776B" w:rsidRDefault="00DF0C24">
      <w:pPr>
        <w:ind w:left="672" w:hanging="386"/>
        <w:rPr>
          <w:rFonts w:ascii="標楷體" w:eastAsia="標楷體" w:hAnsi="標楷體"/>
          <w:color w:val="000000"/>
        </w:rPr>
      </w:pPr>
      <w:r>
        <w:rPr>
          <w:rFonts w:ascii="標楷體" w:eastAsia="標楷體" w:hAnsi="標楷體"/>
          <w:color w:val="000000"/>
        </w:rPr>
        <w:t>4.需經事前審查後核准後使用，每次申請一年為限，期滿需經再次申請核准後，才得以續用。申請續用時，需檢附關節出血次數、是否有血栓副作用發生及臨床檢驗數值(aPTT、PT)等資料。(108/11/1、109/8/1、112/7/1)</w:t>
      </w:r>
    </w:p>
    <w:p w14:paraId="41761B39" w14:textId="77777777" w:rsidR="00BD776B" w:rsidRDefault="00DF0C24">
      <w:pPr>
        <w:ind w:left="672" w:hanging="386"/>
        <w:rPr>
          <w:rFonts w:ascii="標楷體" w:eastAsia="標楷體" w:hAnsi="標楷體"/>
          <w:color w:val="000000"/>
        </w:rPr>
      </w:pPr>
      <w:r>
        <w:rPr>
          <w:rFonts w:ascii="標楷體" w:eastAsia="標楷體" w:hAnsi="標楷體"/>
          <w:color w:val="000000"/>
        </w:rPr>
        <w:t>5.門診之血友病病人得攜回一至二劑量(至多攜回一個月)備用，繼續治療時，比照化療以「療程」方式處理，並查驗上次治療紀錄(如附表十八之六─全民健康保險血友病患者使用雙特異性單株抗體藥物在家治療紀錄表)及登錄醫療評估追蹤紀錄表(附表十八之五)：(109/8/1、109/12/1)</w:t>
      </w:r>
    </w:p>
    <w:p w14:paraId="6AFF4407" w14:textId="77777777" w:rsidR="00BD776B" w:rsidRDefault="00DF0C24">
      <w:pPr>
        <w:ind w:left="672" w:hanging="386"/>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每1週皮下注射一次者，可攜回二次劑量。</w:t>
      </w:r>
    </w:p>
    <w:p w14:paraId="5DE1B714" w14:textId="77777777" w:rsidR="00BD776B" w:rsidRDefault="00DF0C24">
      <w:pPr>
        <w:ind w:left="672" w:hanging="386"/>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每2週皮下注射一次者，可攜回一次劑量。</w:t>
      </w:r>
    </w:p>
    <w:p w14:paraId="373961E4" w14:textId="6C2B1047" w:rsidR="00BD776B" w:rsidRDefault="00DF0C24">
      <w:pPr>
        <w:ind w:left="672" w:hanging="386"/>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每4週皮下注射一次者，則每4週均回醫院領藥注射並觀察追蹤。</w:t>
      </w:r>
    </w:p>
    <w:p w14:paraId="4B1C690E" w14:textId="5224085C" w:rsidR="00B37AFF" w:rsidRDefault="00496C07">
      <w:pPr>
        <w:ind w:left="672" w:hanging="386"/>
        <w:rPr>
          <w:rFonts w:ascii="標楷體" w:eastAsia="標楷體" w:hAnsi="標楷體"/>
          <w:color w:val="000000"/>
        </w:rPr>
      </w:pPr>
      <w:r w:rsidRPr="00496C07">
        <w:rPr>
          <w:rFonts w:ascii="標楷體" w:eastAsia="標楷體" w:hAnsi="標楷體" w:hint="eastAsia"/>
          <w:color w:val="000000"/>
        </w:rPr>
        <w:t>6.與第八凝血因子製劑不得併用。(113/7/1)</w:t>
      </w:r>
    </w:p>
    <w:p w14:paraId="2F6D49B0" w14:textId="77777777" w:rsidR="00BD776B" w:rsidRDefault="00DF0C24" w:rsidP="00496C07">
      <w:pPr>
        <w:pStyle w:val="af"/>
        <w:ind w:left="684" w:hanging="684"/>
        <w:rPr>
          <w:rFonts w:ascii="標楷體" w:eastAsia="標楷體" w:hAnsi="標楷體"/>
          <w:color w:val="000000"/>
        </w:rPr>
      </w:pPr>
      <w:r>
        <w:rPr>
          <w:rFonts w:ascii="標楷體" w:eastAsia="標楷體" w:hAnsi="標楷體"/>
          <w:color w:val="000000"/>
        </w:rPr>
        <w:t>4.3.其他</w:t>
      </w:r>
    </w:p>
    <w:p w14:paraId="0EB0A0F5" w14:textId="77777777" w:rsidR="00BD776B" w:rsidRDefault="00DF0C24" w:rsidP="00496C07">
      <w:pPr>
        <w:pStyle w:val="af"/>
        <w:ind w:left="684" w:hanging="684"/>
        <w:rPr>
          <w:rFonts w:ascii="標楷體" w:eastAsia="標楷體" w:hAnsi="標楷體"/>
          <w:color w:val="000000"/>
        </w:rPr>
      </w:pPr>
      <w:r>
        <w:rPr>
          <w:rFonts w:ascii="標楷體" w:eastAsia="標楷體" w:hAnsi="標楷體"/>
          <w:color w:val="000000"/>
        </w:rPr>
        <w:t>4.3.1.Deferasirox（如Exjade、Jadenu）(96/7/1、104/12/1、108/7/1)：</w:t>
      </w:r>
    </w:p>
    <w:p w14:paraId="291B9D70" w14:textId="77777777" w:rsidR="00BD776B" w:rsidRDefault="00DF0C24" w:rsidP="00496C07">
      <w:pPr>
        <w:ind w:left="797"/>
        <w:rPr>
          <w:rFonts w:ascii="標楷體" w:eastAsia="標楷體" w:hAnsi="標楷體"/>
          <w:color w:val="000000"/>
        </w:rPr>
      </w:pPr>
      <w:r>
        <w:rPr>
          <w:rFonts w:ascii="標楷體" w:eastAsia="標楷體" w:hAnsi="標楷體"/>
          <w:color w:val="000000"/>
        </w:rPr>
        <w:t>限用於治療因輸血而導致慢性鐵質沉著症（輸血性血鐵質沉積）的成年人及2歲以上兒童患者且符合下列條件之一者：</w:t>
      </w:r>
    </w:p>
    <w:p w14:paraId="2373A1A3" w14:textId="77777777" w:rsidR="00BD776B" w:rsidRDefault="00DF0C24">
      <w:pPr>
        <w:ind w:left="811" w:hanging="245"/>
        <w:rPr>
          <w:rFonts w:ascii="標楷體" w:eastAsia="標楷體" w:hAnsi="標楷體"/>
          <w:color w:val="000000"/>
        </w:rPr>
      </w:pPr>
      <w:r>
        <w:rPr>
          <w:rFonts w:ascii="標楷體" w:eastAsia="標楷體" w:hAnsi="標楷體"/>
          <w:color w:val="000000"/>
        </w:rPr>
        <w:t>1.重型海洋性貧血或骨髓造血功能不良症候群、再生不良性貧血患者。</w:t>
      </w:r>
    </w:p>
    <w:p w14:paraId="260CBCCA" w14:textId="77777777" w:rsidR="00BD776B" w:rsidRDefault="00DF0C24">
      <w:pPr>
        <w:ind w:left="811" w:hanging="245"/>
        <w:rPr>
          <w:rFonts w:ascii="標楷體" w:eastAsia="標楷體" w:hAnsi="標楷體"/>
          <w:color w:val="000000"/>
        </w:rPr>
      </w:pPr>
      <w:r>
        <w:rPr>
          <w:rFonts w:ascii="標楷體" w:eastAsia="標楷體" w:hAnsi="標楷體"/>
          <w:color w:val="000000"/>
        </w:rPr>
        <w:t>2.需長期輸血治療且已併有鐵質沉積之患者，則在患者血清內鐵蛋白（Ferritin）＞ 2000ug/L時使用。</w:t>
      </w:r>
    </w:p>
    <w:p w14:paraId="51B34B4D" w14:textId="77777777" w:rsidR="00BD776B" w:rsidRDefault="00DF0C24">
      <w:pPr>
        <w:ind w:left="811" w:hanging="245"/>
        <w:rPr>
          <w:rFonts w:ascii="標楷體" w:eastAsia="標楷體" w:hAnsi="標楷體"/>
          <w:color w:val="000000"/>
        </w:rPr>
      </w:pPr>
      <w:r>
        <w:rPr>
          <w:rFonts w:ascii="標楷體" w:eastAsia="標楷體" w:hAnsi="標楷體"/>
          <w:color w:val="000000"/>
        </w:rPr>
        <w:t>3.中型(非輸血依賴)海洋性貧血患者：(104/12/1)</w:t>
      </w:r>
    </w:p>
    <w:p w14:paraId="665CB278" w14:textId="77777777" w:rsidR="00BD776B" w:rsidRDefault="00DF0C24">
      <w:pPr>
        <w:ind w:left="1147" w:hanging="377"/>
        <w:rPr>
          <w:rFonts w:ascii="標楷體" w:eastAsia="標楷體" w:hAnsi="標楷體"/>
          <w:color w:val="000000"/>
        </w:rPr>
      </w:pPr>
      <w:r>
        <w:rPr>
          <w:rFonts w:ascii="標楷體" w:eastAsia="標楷體" w:hAnsi="標楷體"/>
          <w:color w:val="000000"/>
        </w:rPr>
        <w:t>(1)使用條件：病患已開始長期接受輸血治療(即一年輸血兩次以上或四個單位以上者)，且血清內鐵蛋白（Ferritin）＞ 800μg/L(至少二次檢查確認，檢查之間隔需經過至少3個月，並排除感染及發炎等狀況)或肝臟鐵質（Liver iron content）&gt; 7mg/g dry weight者。</w:t>
      </w:r>
    </w:p>
    <w:p w14:paraId="0D379C35" w14:textId="77777777" w:rsidR="00BD776B" w:rsidRDefault="00DF0C24">
      <w:pPr>
        <w:ind w:left="1147" w:hanging="377"/>
        <w:rPr>
          <w:rFonts w:ascii="標楷體" w:eastAsia="標楷體" w:hAnsi="標楷體"/>
          <w:color w:val="000000"/>
        </w:rPr>
      </w:pPr>
      <w:r>
        <w:rPr>
          <w:rFonts w:ascii="標楷體" w:eastAsia="標楷體" w:hAnsi="標楷體"/>
          <w:color w:val="000000"/>
        </w:rPr>
        <w:t>(2)當肝臟鐵質&lt; 3mg/g dry weight，或血清內鐵蛋白（Ferritin）&lt; 300μg/L時即停藥。</w:t>
      </w:r>
    </w:p>
    <w:p w14:paraId="29706556" w14:textId="77777777" w:rsidR="00BD776B" w:rsidRDefault="00DF0C24">
      <w:pPr>
        <w:pStyle w:val="af"/>
        <w:ind w:left="684" w:hanging="684"/>
      </w:pPr>
      <w:r>
        <w:rPr>
          <w:rFonts w:ascii="標楷體" w:eastAsia="標楷體" w:hAnsi="標楷體"/>
          <w:color w:val="000000"/>
        </w:rPr>
        <w:t>4.3.2.Eltrombopag(如Revolade)、romiplostim(如Romiplate) （100/8/1、10</w:t>
      </w:r>
      <w:r>
        <w:rPr>
          <w:rFonts w:ascii="標楷體" w:eastAsia="標楷體" w:hAnsi="標楷體"/>
          <w:color w:val="000000"/>
          <w:szCs w:val="24"/>
        </w:rPr>
        <w:t>1/9/1、102/8/1、102/9/1、105/8/1、106/4/1、108/6/1、109/2/1）</w:t>
      </w:r>
    </w:p>
    <w:p w14:paraId="57EC640A" w14:textId="77777777" w:rsidR="00BD776B" w:rsidRDefault="00DF0C24">
      <w:pPr>
        <w:pStyle w:val="af"/>
        <w:ind w:left="684" w:hanging="684"/>
        <w:rPr>
          <w:rFonts w:ascii="標楷體" w:eastAsia="標楷體" w:hAnsi="標楷體"/>
          <w:color w:val="000000"/>
          <w:szCs w:val="24"/>
        </w:rPr>
      </w:pPr>
      <w:r>
        <w:rPr>
          <w:rFonts w:ascii="標楷體" w:eastAsia="標楷體" w:hAnsi="標楷體"/>
          <w:color w:val="000000"/>
          <w:szCs w:val="24"/>
        </w:rPr>
        <w:t>4.3.2.1.Eltrombopag (如Revolade)(108/6/1、109/2/1、112/1/1)</w:t>
      </w:r>
    </w:p>
    <w:p w14:paraId="22C6BEA2" w14:textId="77777777" w:rsidR="00BD776B" w:rsidRDefault="00DF0C24">
      <w:pPr>
        <w:pStyle w:val="af"/>
        <w:spacing w:line="320" w:lineRule="exact"/>
        <w:ind w:left="878" w:hanging="240"/>
        <w:rPr>
          <w:rFonts w:ascii="標楷體" w:eastAsia="標楷體" w:hAnsi="標楷體"/>
          <w:color w:val="000000"/>
          <w:szCs w:val="24"/>
        </w:rPr>
      </w:pPr>
      <w:r>
        <w:rPr>
          <w:rFonts w:ascii="標楷體" w:eastAsia="標楷體" w:hAnsi="標楷體"/>
          <w:color w:val="000000"/>
          <w:szCs w:val="24"/>
        </w:rPr>
        <w:t>1.限用於6歲以上之慢性自發性(免疫性)血小板缺乏紫斑症(ITP)且對於其他治療(例如：類固醇、免疫球蛋白等)失敗患者，且符合下列情況之一者使用：(105/8/1、106/4/1、108/6/1、109/2/1、111/2/1)</w:t>
      </w:r>
    </w:p>
    <w:p w14:paraId="3D8C0F04" w14:textId="77777777" w:rsidR="00BD776B" w:rsidRDefault="00DF0C24">
      <w:pPr>
        <w:pStyle w:val="af"/>
        <w:spacing w:line="320" w:lineRule="exact"/>
        <w:ind w:left="758"/>
      </w:pPr>
      <w:r>
        <w:rPr>
          <w:rFonts w:ascii="標楷體" w:eastAsia="標楷體" w:hAnsi="標楷體"/>
          <w:color w:val="000000"/>
          <w:szCs w:val="24"/>
        </w:rPr>
        <w:t>(1)未曾接受脾臟切除患者，且符合下列所有條件：(109/2/1</w:t>
      </w:r>
      <w:r>
        <w:rPr>
          <w:rFonts w:ascii="標楷體" w:eastAsia="標楷體" w:hAnsi="標楷體"/>
          <w:szCs w:val="24"/>
        </w:rPr>
        <w:t>、112/1/1</w:t>
      </w:r>
      <w:r>
        <w:rPr>
          <w:rFonts w:ascii="標楷體" w:eastAsia="標楷體" w:hAnsi="標楷體"/>
          <w:color w:val="000000"/>
          <w:szCs w:val="24"/>
        </w:rPr>
        <w:t>)</w:t>
      </w:r>
    </w:p>
    <w:p w14:paraId="4128CED7"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Ⅰ.需接受計畫性手術或侵入性檢查並具出血危險者，且血小板＜80,000/uL。</w:t>
      </w:r>
    </w:p>
    <w:p w14:paraId="5593E565"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Ⅱ.具有下列不適合進行脾臟切除之其一條件：</w:t>
      </w:r>
    </w:p>
    <w:p w14:paraId="25D444FC" w14:textId="77777777" w:rsidR="00BD776B" w:rsidRDefault="00DF0C24">
      <w:pPr>
        <w:pStyle w:val="af"/>
        <w:spacing w:line="320" w:lineRule="exact"/>
        <w:ind w:left="1238"/>
        <w:rPr>
          <w:rFonts w:ascii="標楷體" w:eastAsia="標楷體" w:hAnsi="標楷體"/>
          <w:color w:val="000000"/>
          <w:szCs w:val="24"/>
        </w:rPr>
      </w:pPr>
      <w:r>
        <w:rPr>
          <w:rFonts w:ascii="標楷體" w:eastAsia="標楷體" w:hAnsi="標楷體"/>
          <w:color w:val="000000"/>
          <w:szCs w:val="24"/>
        </w:rPr>
        <w:t>i.經麻醉科醫師評估無法耐受全身性麻醉。</w:t>
      </w:r>
    </w:p>
    <w:p w14:paraId="5B674399" w14:textId="77777777" w:rsidR="00BD776B" w:rsidRDefault="00DF0C24">
      <w:pPr>
        <w:pStyle w:val="af"/>
        <w:spacing w:line="320" w:lineRule="exact"/>
        <w:ind w:left="1238"/>
        <w:rPr>
          <w:rFonts w:ascii="標楷體" w:eastAsia="標楷體" w:hAnsi="標楷體"/>
          <w:color w:val="000000"/>
          <w:szCs w:val="24"/>
        </w:rPr>
      </w:pPr>
      <w:r>
        <w:rPr>
          <w:rFonts w:ascii="標楷體" w:eastAsia="標楷體" w:hAnsi="標楷體"/>
          <w:color w:val="000000"/>
          <w:szCs w:val="24"/>
        </w:rPr>
        <w:lastRenderedPageBreak/>
        <w:t>ii.難以控制之凝血機能障礙。</w:t>
      </w:r>
    </w:p>
    <w:p w14:paraId="23992C6F" w14:textId="77777777" w:rsidR="00BD776B" w:rsidRDefault="00DF0C24">
      <w:pPr>
        <w:pStyle w:val="af"/>
        <w:spacing w:line="320" w:lineRule="exact"/>
        <w:ind w:left="1238"/>
        <w:rPr>
          <w:rFonts w:ascii="標楷體" w:eastAsia="標楷體" w:hAnsi="標楷體"/>
          <w:color w:val="000000"/>
          <w:szCs w:val="24"/>
        </w:rPr>
      </w:pPr>
      <w:r>
        <w:rPr>
          <w:rFonts w:ascii="標楷體" w:eastAsia="標楷體" w:hAnsi="標楷體"/>
          <w:color w:val="000000"/>
          <w:szCs w:val="24"/>
        </w:rPr>
        <w:t>iii.心、肺等主要臟器功能不全。</w:t>
      </w:r>
    </w:p>
    <w:p w14:paraId="464A6EB9" w14:textId="77777777" w:rsidR="00BD776B" w:rsidRDefault="00DF0C24">
      <w:pPr>
        <w:pStyle w:val="af"/>
        <w:spacing w:line="320" w:lineRule="exact"/>
        <w:ind w:left="1238"/>
        <w:rPr>
          <w:rFonts w:ascii="標楷體" w:eastAsia="標楷體" w:hAnsi="標楷體"/>
          <w:color w:val="000000"/>
          <w:szCs w:val="24"/>
        </w:rPr>
      </w:pPr>
      <w:r>
        <w:rPr>
          <w:rFonts w:ascii="標楷體" w:eastAsia="標楷體" w:hAnsi="標楷體"/>
          <w:color w:val="000000"/>
          <w:szCs w:val="24"/>
        </w:rPr>
        <w:t>iv.有其他重大共病，經臨床醫師判斷不適合進行脾臟切除。</w:t>
      </w:r>
    </w:p>
    <w:p w14:paraId="3086853A" w14:textId="77777777" w:rsidR="00BD776B" w:rsidRDefault="00DF0C24">
      <w:pPr>
        <w:pStyle w:val="af"/>
        <w:spacing w:line="320" w:lineRule="exact"/>
        <w:ind w:left="1238"/>
      </w:pPr>
      <w:r>
        <w:rPr>
          <w:rFonts w:ascii="標楷體" w:eastAsia="標楷體" w:hAnsi="標楷體"/>
          <w:color w:val="000000"/>
          <w:szCs w:val="24"/>
        </w:rPr>
        <w:t>v.</w:t>
      </w:r>
      <w:r>
        <w:rPr>
          <w:szCs w:val="24"/>
        </w:rPr>
        <w:t xml:space="preserve"> </w:t>
      </w:r>
      <w:r>
        <w:rPr>
          <w:rFonts w:ascii="標楷體" w:eastAsia="標楷體" w:hAnsi="標楷體"/>
          <w:color w:val="000000"/>
          <w:szCs w:val="24"/>
        </w:rPr>
        <w:t>兒童</w:t>
      </w:r>
    </w:p>
    <w:p w14:paraId="33B1C9A1"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 xml:space="preserve">Ⅲ.未曾接受脾臟切除患者須經事前審查同意使用，限用12週。 </w:t>
      </w:r>
    </w:p>
    <w:p w14:paraId="4690EADF" w14:textId="77777777" w:rsidR="00BD776B" w:rsidRDefault="00DF0C24">
      <w:pPr>
        <w:pStyle w:val="af"/>
        <w:spacing w:line="320" w:lineRule="exact"/>
        <w:ind w:left="998"/>
      </w:pPr>
      <w:r>
        <w:rPr>
          <w:rFonts w:ascii="標楷體" w:eastAsia="標楷體" w:hAnsi="標楷體"/>
          <w:szCs w:val="24"/>
        </w:rPr>
        <w:t>IV.</w:t>
      </w:r>
      <w:r>
        <w:rPr>
          <w:rFonts w:ascii="標楷體" w:eastAsia="標楷體" w:hAnsi="標楷體"/>
          <w:szCs w:val="24"/>
        </w:rPr>
        <w:tab/>
        <w:t>本藥品與romiplostim僅得擇一使用，惟有在耐受不良時方可轉換使用。(112/1/1)</w:t>
      </w:r>
    </w:p>
    <w:p w14:paraId="408F4E7E" w14:textId="77777777" w:rsidR="00BD776B" w:rsidRDefault="00DF0C24">
      <w:pPr>
        <w:pStyle w:val="af"/>
        <w:spacing w:line="320" w:lineRule="exact"/>
        <w:ind w:left="758"/>
        <w:rPr>
          <w:rFonts w:ascii="標楷體" w:eastAsia="標楷體" w:hAnsi="標楷體"/>
          <w:color w:val="000000"/>
          <w:szCs w:val="24"/>
        </w:rPr>
      </w:pPr>
      <w:r>
        <w:rPr>
          <w:rFonts w:ascii="標楷體" w:eastAsia="標楷體" w:hAnsi="標楷體"/>
          <w:color w:val="000000"/>
          <w:szCs w:val="24"/>
        </w:rPr>
        <w:t>(2)未曾接受脾臟切除患者，且符合下列所有條件：(109/2/1)</w:t>
      </w:r>
    </w:p>
    <w:p w14:paraId="54C31DAD"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Ⅰ.長期血小板＜20,000/μL(三個月內至少兩次)，且有紫斑及出血紀錄者。</w:t>
      </w:r>
    </w:p>
    <w:p w14:paraId="5C5650E2"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Ⅱ.須排除下列共病：C型肝炎、肝硬化、脾腫大 (Hypersplenism)、骨髓化生不良症候群(MDS)、再生不良性貧血、HIV或化學治療相關之血小板低下。</w:t>
      </w:r>
    </w:p>
    <w:p w14:paraId="7669E28A"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Ⅲ.須經事前審查同意使用，首次申請限用三個月，如申請續用，之後每六個月須再次申請，血小板&gt;50,000/uL者方得續用。</w:t>
      </w:r>
    </w:p>
    <w:p w14:paraId="5724AC50" w14:textId="77777777" w:rsidR="00BD776B" w:rsidRDefault="00DF0C24">
      <w:pPr>
        <w:pStyle w:val="af"/>
        <w:spacing w:line="320" w:lineRule="exact"/>
        <w:ind w:left="758"/>
        <w:rPr>
          <w:rFonts w:ascii="標楷體" w:eastAsia="標楷體" w:hAnsi="標楷體"/>
          <w:color w:val="000000"/>
          <w:szCs w:val="24"/>
        </w:rPr>
      </w:pPr>
      <w:r>
        <w:rPr>
          <w:rFonts w:ascii="標楷體" w:eastAsia="標楷體" w:hAnsi="標楷體"/>
          <w:color w:val="000000"/>
          <w:szCs w:val="24"/>
        </w:rPr>
        <w:t>(3)若曾接受脾臟切除患者，且符合下列所有條件：(109/2/1)</w:t>
      </w:r>
    </w:p>
    <w:p w14:paraId="34F34D5C"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Ⅰ.治療前血小板＜ 20,000/μL，或有明顯出血症狀者。</w:t>
      </w:r>
    </w:p>
    <w:p w14:paraId="74EB8328" w14:textId="77777777" w:rsidR="00BD776B" w:rsidRDefault="00DF0C24">
      <w:pPr>
        <w:pStyle w:val="af"/>
        <w:spacing w:line="320" w:lineRule="exact"/>
        <w:ind w:left="998"/>
        <w:rPr>
          <w:rFonts w:ascii="標楷體" w:eastAsia="標楷體" w:hAnsi="標楷體"/>
          <w:color w:val="000000"/>
          <w:szCs w:val="24"/>
        </w:rPr>
      </w:pPr>
      <w:r>
        <w:rPr>
          <w:rFonts w:ascii="標楷體" w:eastAsia="標楷體" w:hAnsi="標楷體"/>
          <w:color w:val="000000"/>
          <w:szCs w:val="24"/>
        </w:rPr>
        <w:t>Ⅱ.治療12週後，若血小板無明顯上升或出血未改善，則不得再繼續使用。</w:t>
      </w:r>
    </w:p>
    <w:p w14:paraId="0A139357" w14:textId="77777777" w:rsidR="00BD776B" w:rsidRDefault="00DF0C24">
      <w:pPr>
        <w:pStyle w:val="af"/>
        <w:spacing w:line="320" w:lineRule="exact"/>
        <w:ind w:left="758"/>
        <w:rPr>
          <w:rFonts w:ascii="標楷體" w:eastAsia="標楷體" w:hAnsi="標楷體"/>
          <w:color w:val="000000"/>
          <w:szCs w:val="24"/>
        </w:rPr>
      </w:pPr>
      <w:r>
        <w:rPr>
          <w:rFonts w:ascii="標楷體" w:eastAsia="標楷體" w:hAnsi="標楷體"/>
          <w:color w:val="000000"/>
          <w:szCs w:val="24"/>
        </w:rPr>
        <w:t>(4)每天劑量以50mg為上限。(109/2/1)</w:t>
      </w:r>
    </w:p>
    <w:p w14:paraId="2C08232F" w14:textId="77777777" w:rsidR="00BD776B" w:rsidRDefault="00DF0C24">
      <w:pPr>
        <w:pStyle w:val="af"/>
        <w:spacing w:line="320" w:lineRule="exact"/>
        <w:ind w:left="758"/>
        <w:rPr>
          <w:rFonts w:ascii="標楷體" w:eastAsia="標楷體" w:hAnsi="標楷體"/>
          <w:color w:val="000000"/>
          <w:szCs w:val="24"/>
        </w:rPr>
      </w:pPr>
      <w:r>
        <w:rPr>
          <w:rFonts w:ascii="標楷體" w:eastAsia="標楷體" w:hAnsi="標楷體"/>
          <w:color w:val="000000"/>
          <w:szCs w:val="24"/>
        </w:rPr>
        <w:t>(5)治療期間，不得同時併用免疫球蛋白，且eltrombopag與romiplostim不得併用。</w:t>
      </w:r>
    </w:p>
    <w:p w14:paraId="4F3A8CDA" w14:textId="77777777" w:rsidR="00BD776B" w:rsidRDefault="00DF0C24">
      <w:pPr>
        <w:pStyle w:val="af"/>
        <w:spacing w:line="320" w:lineRule="exact"/>
        <w:ind w:left="878" w:hanging="240"/>
      </w:pPr>
      <w:r>
        <w:rPr>
          <w:rFonts w:ascii="標楷體" w:eastAsia="標楷體" w:hAnsi="標楷體"/>
          <w:color w:val="000000"/>
          <w:szCs w:val="24"/>
        </w:rPr>
        <w:t>2.</w:t>
      </w:r>
      <w:r>
        <w:rPr>
          <w:rFonts w:ascii="標楷體" w:eastAsia="標楷體" w:hAnsi="標楷體"/>
          <w:szCs w:val="24"/>
        </w:rPr>
        <w:t xml:space="preserve"> 用於免疫抑制療法(IST)反應不佳的嚴重再生不良性貧血，需同時符合下列條件：(108/6/1、112/1/1)</w:t>
      </w:r>
    </w:p>
    <w:p w14:paraId="143A6BAD" w14:textId="77777777" w:rsidR="00BD776B" w:rsidRDefault="00DF0C24">
      <w:pPr>
        <w:pStyle w:val="af"/>
        <w:spacing w:line="320" w:lineRule="exact"/>
        <w:ind w:left="758"/>
      </w:pPr>
      <w:r>
        <w:rPr>
          <w:rFonts w:ascii="標楷體" w:eastAsia="標楷體" w:hAnsi="標楷體"/>
          <w:color w:val="000000"/>
          <w:szCs w:val="24"/>
        </w:rPr>
        <w:t>(1)不適合接受幹細胞移植的病患。</w:t>
      </w:r>
      <w:r>
        <w:rPr>
          <w:rFonts w:ascii="標楷體" w:eastAsia="標楷體" w:hAnsi="標楷體"/>
          <w:szCs w:val="24"/>
        </w:rPr>
        <w:t>(112/1/1)</w:t>
      </w:r>
    </w:p>
    <w:p w14:paraId="20419594" w14:textId="77777777" w:rsidR="00BD776B" w:rsidRDefault="00DF0C24">
      <w:pPr>
        <w:pStyle w:val="af"/>
        <w:spacing w:line="320" w:lineRule="exact"/>
        <w:ind w:left="758"/>
        <w:rPr>
          <w:rFonts w:ascii="標楷體" w:eastAsia="標楷體" w:hAnsi="標楷體"/>
          <w:color w:val="000000"/>
          <w:szCs w:val="24"/>
        </w:rPr>
      </w:pPr>
      <w:r>
        <w:rPr>
          <w:rFonts w:ascii="標楷體" w:eastAsia="標楷體" w:hAnsi="標楷體"/>
          <w:color w:val="000000"/>
          <w:szCs w:val="24"/>
        </w:rPr>
        <w:t>(2)已接受或不適合接受抗胸腺細胞免疫球蛋白(ATG)治療之病患。</w:t>
      </w:r>
    </w:p>
    <w:p w14:paraId="0F141E6B" w14:textId="77777777" w:rsidR="00BD776B" w:rsidRDefault="00DF0C24">
      <w:pPr>
        <w:pStyle w:val="af"/>
        <w:spacing w:line="320" w:lineRule="exact"/>
        <w:ind w:left="758"/>
        <w:rPr>
          <w:rFonts w:ascii="標楷體" w:eastAsia="標楷體" w:hAnsi="標楷體"/>
          <w:color w:val="000000"/>
          <w:szCs w:val="24"/>
        </w:rPr>
      </w:pPr>
      <w:r>
        <w:rPr>
          <w:rFonts w:ascii="標楷體" w:eastAsia="標楷體" w:hAnsi="標楷體"/>
          <w:color w:val="000000"/>
          <w:szCs w:val="24"/>
        </w:rPr>
        <w:t>(3)需經事前審查核准後使用。首次申請之療程以4個月為限，之後每6個月評估及申請，送審時需檢附血液檢查報告。</w:t>
      </w:r>
    </w:p>
    <w:p w14:paraId="11DFA592" w14:textId="77777777" w:rsidR="00BD776B" w:rsidRDefault="00DF0C24">
      <w:pPr>
        <w:pStyle w:val="af"/>
        <w:ind w:left="684" w:hanging="684"/>
      </w:pPr>
      <w:r>
        <w:rPr>
          <w:rFonts w:ascii="標楷體" w:eastAsia="標楷體" w:hAnsi="標楷體"/>
          <w:szCs w:val="24"/>
        </w:rPr>
        <w:t xml:space="preserve">      (4)本藥品與romiplostim僅得擇一使用，惟有在耐受不良時方可轉換使用。(112/1/1)</w:t>
      </w:r>
    </w:p>
    <w:p w14:paraId="4BDF9C71" w14:textId="77777777" w:rsidR="00BD776B" w:rsidRDefault="00DF0C24">
      <w:pPr>
        <w:pStyle w:val="af"/>
        <w:ind w:left="684" w:hanging="684"/>
      </w:pPr>
      <w:r>
        <w:rPr>
          <w:rFonts w:ascii="標楷體" w:eastAsia="標楷體" w:hAnsi="標楷體"/>
          <w:color w:val="000000"/>
          <w:lang w:val="it-IT"/>
        </w:rPr>
        <w:t>4.3.2.2.Romiplostim (</w:t>
      </w:r>
      <w:r>
        <w:rPr>
          <w:rFonts w:ascii="標楷體" w:eastAsia="標楷體" w:hAnsi="標楷體"/>
          <w:color w:val="000000"/>
        </w:rPr>
        <w:t>如</w:t>
      </w:r>
      <w:r>
        <w:rPr>
          <w:rFonts w:ascii="標楷體" w:eastAsia="標楷體" w:hAnsi="標楷體"/>
          <w:color w:val="000000"/>
          <w:lang w:val="it-IT"/>
        </w:rPr>
        <w:t>Romiplate) (108/6/1</w:t>
      </w:r>
      <w:r>
        <w:rPr>
          <w:rFonts w:ascii="標楷體" w:eastAsia="標楷體" w:hAnsi="標楷體"/>
          <w:color w:val="000000"/>
          <w:szCs w:val="24"/>
        </w:rPr>
        <w:t>、</w:t>
      </w:r>
      <w:r>
        <w:rPr>
          <w:rFonts w:ascii="標楷體" w:eastAsia="標楷體" w:hAnsi="標楷體"/>
          <w:color w:val="000000"/>
          <w:szCs w:val="24"/>
          <w:lang w:val="it-IT"/>
        </w:rPr>
        <w:t>112/1/1</w:t>
      </w:r>
      <w:r>
        <w:rPr>
          <w:rFonts w:ascii="標楷體" w:eastAsia="標楷體" w:hAnsi="標楷體"/>
          <w:color w:val="000000"/>
          <w:lang w:val="it-IT"/>
        </w:rPr>
        <w:t>)</w:t>
      </w:r>
    </w:p>
    <w:p w14:paraId="5C81830D" w14:textId="77777777" w:rsidR="00BD776B" w:rsidRDefault="00DF0C24">
      <w:pPr>
        <w:pStyle w:val="af"/>
        <w:spacing w:line="320" w:lineRule="exact"/>
        <w:ind w:left="878" w:hanging="240"/>
      </w:pPr>
      <w:r>
        <w:rPr>
          <w:rFonts w:ascii="標楷體" w:eastAsia="標楷體" w:hAnsi="標楷體"/>
          <w:color w:val="000000"/>
          <w:szCs w:val="24"/>
          <w:lang w:val="it-IT"/>
        </w:rPr>
        <w:t>1.</w:t>
      </w:r>
      <w:r>
        <w:rPr>
          <w:rFonts w:ascii="標楷體" w:eastAsia="標楷體" w:hAnsi="標楷體"/>
          <w:color w:val="000000"/>
          <w:szCs w:val="24"/>
        </w:rPr>
        <w:t>限用於成年慢性自發性</w:t>
      </w:r>
      <w:r>
        <w:rPr>
          <w:rFonts w:ascii="標楷體" w:eastAsia="標楷體" w:hAnsi="標楷體"/>
          <w:color w:val="000000"/>
          <w:szCs w:val="24"/>
          <w:lang w:val="it-IT"/>
        </w:rPr>
        <w:t>(</w:t>
      </w:r>
      <w:r>
        <w:rPr>
          <w:rFonts w:ascii="標楷體" w:eastAsia="標楷體" w:hAnsi="標楷體"/>
          <w:color w:val="000000"/>
          <w:szCs w:val="24"/>
        </w:rPr>
        <w:t>免疫性</w:t>
      </w:r>
      <w:r>
        <w:rPr>
          <w:rFonts w:ascii="標楷體" w:eastAsia="標楷體" w:hAnsi="標楷體"/>
          <w:color w:val="000000"/>
          <w:szCs w:val="24"/>
          <w:lang w:val="it-IT"/>
        </w:rPr>
        <w:t>)</w:t>
      </w:r>
      <w:r>
        <w:rPr>
          <w:rFonts w:ascii="標楷體" w:eastAsia="標楷體" w:hAnsi="標楷體"/>
          <w:color w:val="000000"/>
          <w:szCs w:val="24"/>
        </w:rPr>
        <w:t>血小板缺乏紫斑症</w:t>
      </w:r>
      <w:r>
        <w:rPr>
          <w:rFonts w:ascii="標楷體" w:eastAsia="標楷體" w:hAnsi="標楷體"/>
          <w:color w:val="000000"/>
          <w:szCs w:val="24"/>
          <w:lang w:val="it-IT"/>
        </w:rPr>
        <w:t>(ITP)</w:t>
      </w:r>
      <w:r>
        <w:rPr>
          <w:rFonts w:ascii="標楷體" w:eastAsia="標楷體" w:hAnsi="標楷體"/>
          <w:color w:val="000000"/>
          <w:szCs w:val="24"/>
        </w:rPr>
        <w:t>且對於其他治療</w:t>
      </w:r>
      <w:r>
        <w:rPr>
          <w:rFonts w:ascii="標楷體" w:eastAsia="標楷體" w:hAnsi="標楷體"/>
          <w:color w:val="000000"/>
          <w:szCs w:val="24"/>
          <w:lang w:val="it-IT"/>
        </w:rPr>
        <w:t>(</w:t>
      </w:r>
      <w:r>
        <w:rPr>
          <w:rFonts w:ascii="標楷體" w:eastAsia="標楷體" w:hAnsi="標楷體"/>
          <w:color w:val="000000"/>
          <w:szCs w:val="24"/>
        </w:rPr>
        <w:t>例如</w:t>
      </w:r>
      <w:r>
        <w:rPr>
          <w:rFonts w:ascii="標楷體" w:eastAsia="標楷體" w:hAnsi="標楷體"/>
          <w:color w:val="000000"/>
          <w:szCs w:val="24"/>
          <w:lang w:val="it-IT"/>
        </w:rPr>
        <w:t>：</w:t>
      </w:r>
      <w:r>
        <w:rPr>
          <w:rFonts w:ascii="標楷體" w:eastAsia="標楷體" w:hAnsi="標楷體"/>
          <w:color w:val="000000"/>
          <w:szCs w:val="24"/>
        </w:rPr>
        <w:t>類固醇、免疫球蛋白等</w:t>
      </w:r>
      <w:r>
        <w:rPr>
          <w:rFonts w:ascii="標楷體" w:eastAsia="標楷體" w:hAnsi="標楷體"/>
          <w:color w:val="000000"/>
          <w:szCs w:val="24"/>
          <w:lang w:val="it-IT"/>
        </w:rPr>
        <w:t>)</w:t>
      </w:r>
      <w:r>
        <w:rPr>
          <w:rFonts w:ascii="標楷體" w:eastAsia="標楷體" w:hAnsi="標楷體"/>
          <w:color w:val="000000"/>
          <w:szCs w:val="24"/>
        </w:rPr>
        <w:t>失敗患者</w:t>
      </w:r>
      <w:r>
        <w:rPr>
          <w:rFonts w:ascii="標楷體" w:eastAsia="標楷體" w:hAnsi="標楷體"/>
          <w:color w:val="000000"/>
          <w:szCs w:val="24"/>
          <w:lang w:val="it-IT"/>
        </w:rPr>
        <w:t>，</w:t>
      </w:r>
      <w:r>
        <w:rPr>
          <w:rFonts w:ascii="標楷體" w:eastAsia="標楷體" w:hAnsi="標楷體"/>
          <w:color w:val="000000"/>
          <w:szCs w:val="24"/>
        </w:rPr>
        <w:t>且符合下列情況之一者使用</w:t>
      </w:r>
      <w:r>
        <w:rPr>
          <w:rFonts w:ascii="標楷體" w:eastAsia="標楷體" w:hAnsi="標楷體"/>
          <w:color w:val="000000"/>
          <w:szCs w:val="24"/>
          <w:lang w:val="it-IT"/>
        </w:rPr>
        <w:t>：(105/8/1</w:t>
      </w:r>
      <w:r>
        <w:rPr>
          <w:rFonts w:ascii="標楷體" w:eastAsia="標楷體" w:hAnsi="標楷體"/>
          <w:color w:val="000000"/>
          <w:szCs w:val="24"/>
        </w:rPr>
        <w:t>、</w:t>
      </w:r>
      <w:r>
        <w:rPr>
          <w:rFonts w:ascii="標楷體" w:eastAsia="標楷體" w:hAnsi="標楷體"/>
          <w:color w:val="000000"/>
          <w:szCs w:val="24"/>
          <w:lang w:val="it-IT"/>
        </w:rPr>
        <w:t>106/4/1</w:t>
      </w:r>
      <w:r>
        <w:rPr>
          <w:rFonts w:ascii="標楷體" w:eastAsia="標楷體" w:hAnsi="標楷體"/>
          <w:color w:val="000000"/>
          <w:szCs w:val="24"/>
        </w:rPr>
        <w:t>、</w:t>
      </w:r>
      <w:r>
        <w:rPr>
          <w:rFonts w:ascii="標楷體" w:eastAsia="標楷體" w:hAnsi="標楷體"/>
          <w:color w:val="000000"/>
          <w:szCs w:val="24"/>
          <w:lang w:val="it-IT"/>
        </w:rPr>
        <w:t>112/1/1)</w:t>
      </w:r>
    </w:p>
    <w:p w14:paraId="6F8D680E" w14:textId="77777777" w:rsidR="00BD776B" w:rsidRDefault="00DF0C24">
      <w:pPr>
        <w:pStyle w:val="af"/>
        <w:spacing w:line="320" w:lineRule="exact"/>
        <w:ind w:left="758"/>
      </w:pPr>
      <w:r>
        <w:rPr>
          <w:rFonts w:ascii="標楷體" w:eastAsia="標楷體" w:hAnsi="標楷體"/>
          <w:color w:val="000000"/>
          <w:szCs w:val="24"/>
          <w:lang w:val="it-IT"/>
        </w:rPr>
        <w:t>(1)未曾</w:t>
      </w:r>
      <w:r>
        <w:rPr>
          <w:rFonts w:ascii="標楷體" w:eastAsia="標楷體" w:hAnsi="標楷體"/>
          <w:color w:val="000000"/>
          <w:szCs w:val="24"/>
        </w:rPr>
        <w:t>接受</w:t>
      </w:r>
      <w:r>
        <w:rPr>
          <w:rFonts w:ascii="標楷體" w:eastAsia="標楷體" w:hAnsi="標楷體"/>
          <w:color w:val="000000"/>
          <w:szCs w:val="24"/>
          <w:lang w:val="it-IT"/>
        </w:rPr>
        <w:t>脾臟切除患者，且符合：</w:t>
      </w:r>
      <w:r>
        <w:rPr>
          <w:rFonts w:ascii="標楷體" w:eastAsia="標楷體" w:hAnsi="標楷體"/>
          <w:color w:val="000000"/>
          <w:szCs w:val="24"/>
        </w:rPr>
        <w:t>(112/1/1)</w:t>
      </w:r>
    </w:p>
    <w:p w14:paraId="1EDDD53A" w14:textId="77777777" w:rsidR="00BD776B" w:rsidRDefault="00DF0C24">
      <w:pPr>
        <w:pStyle w:val="af"/>
        <w:spacing w:line="320" w:lineRule="exact"/>
        <w:ind w:left="998"/>
      </w:pPr>
      <w:r>
        <w:rPr>
          <w:rFonts w:ascii="標楷體" w:eastAsia="標楷體" w:hAnsi="標楷體"/>
          <w:color w:val="000000"/>
          <w:szCs w:val="24"/>
          <w:lang w:val="it-IT"/>
        </w:rPr>
        <w:t>Ⅰ.</w:t>
      </w:r>
      <w:r>
        <w:rPr>
          <w:rFonts w:ascii="標楷體" w:eastAsia="標楷體" w:hAnsi="標楷體"/>
          <w:color w:val="000000"/>
          <w:szCs w:val="24"/>
        </w:rPr>
        <w:t>需接受計畫性手術或侵入性檢查並具出血危險者，且血小板＜80,000/uL。</w:t>
      </w:r>
    </w:p>
    <w:p w14:paraId="3F49DA87" w14:textId="77777777" w:rsidR="00BD776B" w:rsidRDefault="00DF0C24">
      <w:pPr>
        <w:pStyle w:val="af"/>
        <w:spacing w:line="320" w:lineRule="exact"/>
        <w:ind w:left="998"/>
      </w:pPr>
      <w:r>
        <w:rPr>
          <w:rFonts w:ascii="標楷體" w:eastAsia="標楷體" w:hAnsi="標楷體"/>
          <w:color w:val="000000"/>
          <w:szCs w:val="24"/>
        </w:rPr>
        <w:t>Ⅱ.具</w:t>
      </w:r>
      <w:r>
        <w:rPr>
          <w:rFonts w:ascii="標楷體" w:eastAsia="標楷體" w:hAnsi="標楷體"/>
          <w:color w:val="000000"/>
          <w:szCs w:val="24"/>
          <w:lang w:val="it-IT"/>
        </w:rPr>
        <w:t>有下列不適合進行脾臟切除之其一條件：</w:t>
      </w:r>
    </w:p>
    <w:p w14:paraId="0F513953" w14:textId="77777777" w:rsidR="00BD776B" w:rsidRDefault="00DF0C24">
      <w:pPr>
        <w:pStyle w:val="af"/>
        <w:spacing w:line="320" w:lineRule="exact"/>
        <w:ind w:left="1238"/>
      </w:pPr>
      <w:r>
        <w:rPr>
          <w:rFonts w:ascii="標楷體" w:eastAsia="標楷體" w:hAnsi="標楷體"/>
          <w:color w:val="000000"/>
          <w:szCs w:val="24"/>
          <w:lang w:val="it-IT"/>
        </w:rPr>
        <w:t>i.經麻醉</w:t>
      </w:r>
      <w:r>
        <w:rPr>
          <w:rFonts w:ascii="標楷體" w:eastAsia="標楷體" w:hAnsi="標楷體"/>
          <w:color w:val="000000"/>
          <w:szCs w:val="24"/>
        </w:rPr>
        <w:t>科醫師評估無法耐受全身性麻醉。</w:t>
      </w:r>
    </w:p>
    <w:p w14:paraId="3A10D52F" w14:textId="77777777" w:rsidR="00BD776B" w:rsidRDefault="00DF0C24">
      <w:pPr>
        <w:pStyle w:val="af"/>
        <w:spacing w:line="320" w:lineRule="exact"/>
        <w:ind w:left="1238"/>
        <w:rPr>
          <w:rFonts w:ascii="標楷體" w:eastAsia="標楷體" w:hAnsi="標楷體"/>
          <w:color w:val="000000"/>
          <w:szCs w:val="24"/>
        </w:rPr>
      </w:pPr>
      <w:r>
        <w:rPr>
          <w:rFonts w:ascii="標楷體" w:eastAsia="標楷體" w:hAnsi="標楷體"/>
          <w:color w:val="000000"/>
          <w:szCs w:val="24"/>
        </w:rPr>
        <w:t>ii.難以控制之凝血機能障礙。</w:t>
      </w:r>
    </w:p>
    <w:p w14:paraId="32CF301C" w14:textId="77777777" w:rsidR="00BD776B" w:rsidRDefault="00DF0C24">
      <w:pPr>
        <w:pStyle w:val="af"/>
        <w:spacing w:line="320" w:lineRule="exact"/>
        <w:ind w:left="1238"/>
        <w:rPr>
          <w:rFonts w:ascii="標楷體" w:eastAsia="標楷體" w:hAnsi="標楷體"/>
          <w:color w:val="000000"/>
          <w:szCs w:val="24"/>
        </w:rPr>
      </w:pPr>
      <w:r>
        <w:rPr>
          <w:rFonts w:ascii="標楷體" w:eastAsia="標楷體" w:hAnsi="標楷體"/>
          <w:color w:val="000000"/>
          <w:szCs w:val="24"/>
        </w:rPr>
        <w:t>iii.心、肺等主要臟器功能不全。</w:t>
      </w:r>
    </w:p>
    <w:p w14:paraId="51757950" w14:textId="77777777" w:rsidR="00BD776B" w:rsidRDefault="00DF0C24">
      <w:pPr>
        <w:pStyle w:val="af"/>
        <w:spacing w:line="320" w:lineRule="exact"/>
        <w:ind w:left="1238"/>
      </w:pPr>
      <w:r>
        <w:rPr>
          <w:rFonts w:ascii="標楷體" w:eastAsia="標楷體" w:hAnsi="標楷體"/>
          <w:color w:val="000000"/>
          <w:szCs w:val="24"/>
        </w:rPr>
        <w:t>iv.有其他</w:t>
      </w:r>
      <w:r>
        <w:rPr>
          <w:rFonts w:ascii="標楷體" w:eastAsia="標楷體" w:hAnsi="標楷體"/>
          <w:color w:val="000000"/>
          <w:szCs w:val="24"/>
          <w:lang w:val="it-IT"/>
        </w:rPr>
        <w:t>重大共病，經臨床醫師判斷不適合進行脾臟切除。</w:t>
      </w:r>
    </w:p>
    <w:p w14:paraId="22BBD56B" w14:textId="77777777" w:rsidR="00BD776B" w:rsidRDefault="00DF0C24">
      <w:pPr>
        <w:pStyle w:val="af"/>
        <w:spacing w:line="320" w:lineRule="exact"/>
        <w:ind w:left="998"/>
      </w:pPr>
      <w:r>
        <w:rPr>
          <w:rFonts w:ascii="標楷體" w:eastAsia="標楷體" w:hAnsi="標楷體"/>
          <w:color w:val="000000"/>
          <w:szCs w:val="24"/>
          <w:lang w:val="it-IT"/>
        </w:rPr>
        <w:t>Ⅲ.</w:t>
      </w:r>
      <w:r>
        <w:rPr>
          <w:rFonts w:ascii="標楷體" w:eastAsia="標楷體" w:hAnsi="標楷體"/>
          <w:color w:val="000000"/>
          <w:szCs w:val="24"/>
        </w:rPr>
        <w:t xml:space="preserve"> 未曾接受脾臟切除患者須經事前審查同意使用，限用12週</w:t>
      </w:r>
      <w:r>
        <w:rPr>
          <w:rFonts w:ascii="標楷體" w:eastAsia="標楷體" w:hAnsi="標楷體"/>
          <w:color w:val="000000"/>
          <w:szCs w:val="24"/>
          <w:lang w:val="it-IT"/>
        </w:rPr>
        <w:t>。</w:t>
      </w:r>
    </w:p>
    <w:p w14:paraId="1AF73E2B" w14:textId="77777777" w:rsidR="00BD776B" w:rsidRDefault="00DF0C24">
      <w:pPr>
        <w:pStyle w:val="af"/>
        <w:spacing w:line="320" w:lineRule="exact"/>
        <w:ind w:left="1068" w:hanging="389"/>
        <w:rPr>
          <w:rFonts w:ascii="標楷體" w:eastAsia="標楷體" w:hAnsi="標楷體"/>
          <w:color w:val="000000"/>
          <w:szCs w:val="24"/>
        </w:rPr>
      </w:pPr>
      <w:r>
        <w:rPr>
          <w:rFonts w:ascii="標楷體" w:eastAsia="標楷體" w:hAnsi="標楷體"/>
          <w:color w:val="000000"/>
          <w:szCs w:val="24"/>
        </w:rPr>
        <w:t>(2)未曾接受脾臟切除且不適合進行脾臟切除之患者，並符合下列所有條件：(112/1/1)</w:t>
      </w:r>
    </w:p>
    <w:p w14:paraId="1A18B85D" w14:textId="77777777" w:rsidR="00BD776B" w:rsidRDefault="00DF0C24">
      <w:pPr>
        <w:pStyle w:val="af"/>
        <w:spacing w:line="320" w:lineRule="exact"/>
        <w:ind w:left="1356" w:hanging="365"/>
      </w:pPr>
      <w:r>
        <w:rPr>
          <w:rFonts w:ascii="標楷體" w:eastAsia="標楷體" w:hAnsi="標楷體"/>
          <w:color w:val="000000"/>
          <w:szCs w:val="24"/>
        </w:rPr>
        <w:t>Ⅰ.長期血小板＜20,000/μL(三個月內至少兩次)，且有紫斑及出血紀錄者。</w:t>
      </w:r>
      <w:r>
        <w:rPr>
          <w:rFonts w:ascii="標楷體" w:eastAsia="標楷體" w:hAnsi="標楷體"/>
          <w:szCs w:val="24"/>
        </w:rPr>
        <w:lastRenderedPageBreak/>
        <w:t>(112/1/1)</w:t>
      </w:r>
    </w:p>
    <w:p w14:paraId="416578DD" w14:textId="77777777" w:rsidR="00BD776B" w:rsidRDefault="00DF0C24">
      <w:pPr>
        <w:pStyle w:val="af"/>
        <w:spacing w:line="320" w:lineRule="exact"/>
        <w:ind w:left="1356" w:hanging="365"/>
      </w:pPr>
      <w:r>
        <w:rPr>
          <w:rFonts w:ascii="標楷體" w:eastAsia="標楷體" w:hAnsi="標楷體"/>
          <w:color w:val="000000"/>
          <w:szCs w:val="24"/>
        </w:rPr>
        <w:t>Ⅱ.須排除下列共病：脾腫大 (Hypersplenism)、骨髓化生不良症候群(MDS)、再生不良性貧血、 HIV或化學治療相關之血小板低下。</w:t>
      </w:r>
      <w:r>
        <w:rPr>
          <w:rFonts w:ascii="標楷體" w:eastAsia="標楷體" w:hAnsi="標楷體"/>
          <w:szCs w:val="24"/>
        </w:rPr>
        <w:t>(112/1/1)</w:t>
      </w:r>
    </w:p>
    <w:p w14:paraId="6CDA8F26" w14:textId="77777777" w:rsidR="00BD776B" w:rsidRDefault="00DF0C24">
      <w:pPr>
        <w:pStyle w:val="af"/>
        <w:spacing w:line="320" w:lineRule="exact"/>
        <w:ind w:left="1356" w:hanging="365"/>
      </w:pPr>
      <w:r>
        <w:rPr>
          <w:rFonts w:ascii="標楷體" w:eastAsia="標楷體" w:hAnsi="標楷體"/>
          <w:color w:val="000000"/>
          <w:szCs w:val="24"/>
        </w:rPr>
        <w:t>Ⅲ.須經事前審查同意使用，首次申請限用三個月，如申請續用，之後每六個月須再次申請，血小板&gt;50,000/μL者方得續用。</w:t>
      </w:r>
      <w:r>
        <w:rPr>
          <w:rFonts w:ascii="標楷體" w:eastAsia="標楷體" w:hAnsi="標楷體"/>
          <w:szCs w:val="24"/>
        </w:rPr>
        <w:t>(112/1/1)</w:t>
      </w:r>
    </w:p>
    <w:p w14:paraId="17B28EFB" w14:textId="77777777" w:rsidR="00BD776B" w:rsidRDefault="00DF0C24">
      <w:pPr>
        <w:pStyle w:val="af"/>
        <w:numPr>
          <w:ilvl w:val="0"/>
          <w:numId w:val="14"/>
        </w:numPr>
        <w:suppressAutoHyphens w:val="0"/>
        <w:spacing w:line="320" w:lineRule="exact"/>
        <w:ind w:left="1356" w:hanging="365"/>
        <w:textAlignment w:val="auto"/>
      </w:pPr>
      <w:r>
        <w:rPr>
          <w:rFonts w:ascii="標楷體" w:eastAsia="標楷體" w:hAnsi="標楷體"/>
          <w:color w:val="000000"/>
          <w:szCs w:val="24"/>
        </w:rPr>
        <w:t>本藥品與eltrombopag僅得擇一使用，惟有在耐受不良時方可轉換使用。</w:t>
      </w:r>
      <w:r>
        <w:rPr>
          <w:rFonts w:ascii="標楷體" w:eastAsia="標楷體" w:hAnsi="標楷體"/>
          <w:szCs w:val="24"/>
        </w:rPr>
        <w:t>(112/1/1)</w:t>
      </w:r>
    </w:p>
    <w:p w14:paraId="3823F57F" w14:textId="77777777" w:rsidR="00BD776B" w:rsidRDefault="00DF0C24">
      <w:pPr>
        <w:pStyle w:val="af"/>
        <w:spacing w:line="320" w:lineRule="exact"/>
        <w:rPr>
          <w:rFonts w:ascii="標楷體" w:eastAsia="標楷體" w:hAnsi="標楷體"/>
          <w:color w:val="000000"/>
          <w:szCs w:val="24"/>
        </w:rPr>
      </w:pPr>
      <w:r>
        <w:rPr>
          <w:rFonts w:ascii="標楷體" w:eastAsia="標楷體" w:hAnsi="標楷體"/>
          <w:color w:val="000000"/>
          <w:szCs w:val="24"/>
        </w:rPr>
        <w:t>(3)若曾接受脾臟切除患者，且符合下列所有條件：(112/1/1)</w:t>
      </w:r>
    </w:p>
    <w:p w14:paraId="568DD975" w14:textId="77777777" w:rsidR="00BD776B" w:rsidRDefault="00DF0C24">
      <w:pPr>
        <w:pStyle w:val="af"/>
        <w:spacing w:line="320" w:lineRule="exact"/>
        <w:ind w:left="1356" w:hanging="362"/>
        <w:rPr>
          <w:rFonts w:ascii="標楷體" w:eastAsia="標楷體" w:hAnsi="標楷體"/>
          <w:color w:val="000000"/>
          <w:szCs w:val="24"/>
        </w:rPr>
      </w:pPr>
      <w:r>
        <w:rPr>
          <w:rFonts w:ascii="標楷體" w:eastAsia="標楷體" w:hAnsi="標楷體"/>
          <w:color w:val="000000"/>
          <w:szCs w:val="24"/>
        </w:rPr>
        <w:t>Ⅰ.治療前血小板＜20,000/μL，或有明顯出血症狀者。</w:t>
      </w:r>
    </w:p>
    <w:p w14:paraId="1ADC52EB" w14:textId="77777777" w:rsidR="00BD776B" w:rsidRDefault="00DF0C24">
      <w:pPr>
        <w:pStyle w:val="af"/>
        <w:spacing w:line="320" w:lineRule="exact"/>
        <w:ind w:left="1356" w:hanging="362"/>
        <w:rPr>
          <w:rFonts w:ascii="標楷體" w:eastAsia="標楷體" w:hAnsi="標楷體"/>
          <w:color w:val="000000"/>
          <w:szCs w:val="24"/>
        </w:rPr>
      </w:pPr>
      <w:r>
        <w:rPr>
          <w:rFonts w:ascii="標楷體" w:eastAsia="標楷體" w:hAnsi="標楷體"/>
          <w:color w:val="000000"/>
          <w:szCs w:val="24"/>
        </w:rPr>
        <w:t>Ⅱ.治療12週後，若血小板無明顯上升或出血未改善，則不得再繼續使用。</w:t>
      </w:r>
    </w:p>
    <w:p w14:paraId="1165CD0D" w14:textId="77777777" w:rsidR="00BD776B" w:rsidRDefault="00DF0C24">
      <w:pPr>
        <w:pStyle w:val="af"/>
        <w:spacing w:line="320" w:lineRule="exact"/>
        <w:ind w:left="1207" w:hanging="398"/>
        <w:rPr>
          <w:rFonts w:ascii="標楷體" w:eastAsia="標楷體" w:hAnsi="標楷體"/>
          <w:color w:val="000000"/>
          <w:szCs w:val="24"/>
        </w:rPr>
      </w:pPr>
      <w:r>
        <w:rPr>
          <w:rFonts w:ascii="標楷體" w:eastAsia="標楷體" w:hAnsi="標楷體"/>
          <w:color w:val="000000"/>
          <w:szCs w:val="24"/>
        </w:rPr>
        <w:t>(4)每週劑量以10μg/kg為上限。(112/1/1)</w:t>
      </w:r>
    </w:p>
    <w:p w14:paraId="097830BC" w14:textId="77777777" w:rsidR="00BD776B" w:rsidRDefault="00DF0C24">
      <w:pPr>
        <w:pStyle w:val="af"/>
        <w:spacing w:line="320" w:lineRule="exact"/>
        <w:ind w:left="1207" w:hanging="398"/>
        <w:rPr>
          <w:rFonts w:ascii="標楷體" w:eastAsia="標楷體" w:hAnsi="標楷體"/>
          <w:color w:val="000000"/>
          <w:szCs w:val="24"/>
        </w:rPr>
      </w:pPr>
      <w:r>
        <w:rPr>
          <w:rFonts w:ascii="標楷體" w:eastAsia="標楷體" w:hAnsi="標楷體"/>
          <w:color w:val="000000"/>
          <w:szCs w:val="24"/>
        </w:rPr>
        <w:t>(5)治療期間，不得同時併用免疫球蛋白，且eltrombopag與romiplostim不得併用。</w:t>
      </w:r>
    </w:p>
    <w:p w14:paraId="62F25AEF" w14:textId="77777777" w:rsidR="00BD776B" w:rsidRDefault="00DF0C24">
      <w:pPr>
        <w:pStyle w:val="af"/>
        <w:spacing w:line="320" w:lineRule="exact"/>
        <w:ind w:left="926" w:hanging="360"/>
        <w:rPr>
          <w:rFonts w:ascii="標楷體" w:eastAsia="標楷體" w:hAnsi="標楷體"/>
          <w:color w:val="000000"/>
          <w:szCs w:val="24"/>
        </w:rPr>
      </w:pPr>
      <w:r>
        <w:rPr>
          <w:rFonts w:ascii="標楷體" w:eastAsia="標楷體" w:hAnsi="標楷體"/>
          <w:color w:val="000000"/>
          <w:szCs w:val="24"/>
        </w:rPr>
        <w:t>2.用於免疫抑制療法(IST)反應不佳的嚴重再生不良性貧血，需同時符合下列條件：(112/1/1)</w:t>
      </w:r>
    </w:p>
    <w:p w14:paraId="06977D56" w14:textId="77777777" w:rsidR="00BD776B" w:rsidRDefault="00DF0C24">
      <w:pPr>
        <w:pStyle w:val="af"/>
        <w:tabs>
          <w:tab w:val="left" w:pos="1276"/>
        </w:tabs>
        <w:spacing w:line="320" w:lineRule="exact"/>
        <w:ind w:left="1274" w:hanging="422"/>
        <w:rPr>
          <w:rFonts w:ascii="標楷體" w:eastAsia="標楷體" w:hAnsi="標楷體"/>
          <w:color w:val="000000"/>
          <w:szCs w:val="24"/>
        </w:rPr>
      </w:pPr>
      <w:r>
        <w:rPr>
          <w:rFonts w:ascii="標楷體" w:eastAsia="標楷體" w:hAnsi="標楷體"/>
          <w:color w:val="000000"/>
          <w:szCs w:val="24"/>
        </w:rPr>
        <w:t>(1)不適合接受幹細胞移植的病患。</w:t>
      </w:r>
    </w:p>
    <w:p w14:paraId="7CAFFF0A" w14:textId="77777777" w:rsidR="00BD776B" w:rsidRDefault="00DF0C24">
      <w:pPr>
        <w:pStyle w:val="af"/>
        <w:tabs>
          <w:tab w:val="left" w:pos="1276"/>
        </w:tabs>
        <w:spacing w:line="320" w:lineRule="exact"/>
        <w:ind w:left="1274" w:hanging="422"/>
        <w:rPr>
          <w:rFonts w:ascii="標楷體" w:eastAsia="標楷體" w:hAnsi="標楷體"/>
          <w:color w:val="000000"/>
          <w:szCs w:val="24"/>
        </w:rPr>
      </w:pPr>
      <w:r>
        <w:rPr>
          <w:rFonts w:ascii="標楷體" w:eastAsia="標楷體" w:hAnsi="標楷體"/>
          <w:color w:val="000000"/>
          <w:szCs w:val="24"/>
        </w:rPr>
        <w:t>(2)已接受或不適合接受抗胸腺細胞免疫球蛋白(ATG)治療之病患。</w:t>
      </w:r>
    </w:p>
    <w:p w14:paraId="06D828AF" w14:textId="77777777" w:rsidR="00BD776B" w:rsidRDefault="00DF0C24">
      <w:pPr>
        <w:pStyle w:val="af"/>
        <w:tabs>
          <w:tab w:val="left" w:pos="1276"/>
        </w:tabs>
        <w:spacing w:line="320" w:lineRule="exact"/>
        <w:ind w:left="1274" w:hanging="422"/>
        <w:rPr>
          <w:rFonts w:ascii="標楷體" w:eastAsia="標楷體" w:hAnsi="標楷體"/>
          <w:color w:val="000000"/>
          <w:szCs w:val="24"/>
        </w:rPr>
      </w:pPr>
      <w:r>
        <w:rPr>
          <w:rFonts w:ascii="標楷體" w:eastAsia="標楷體" w:hAnsi="標楷體"/>
          <w:color w:val="000000"/>
          <w:szCs w:val="24"/>
        </w:rPr>
        <w:t>(3)需經事前審查核准後使用。首次申請之療程以4個月為限，之後每6個月評估及申請，送審時需檢附血液檢查報告。</w:t>
      </w:r>
    </w:p>
    <w:p w14:paraId="2D9D7367" w14:textId="77777777" w:rsidR="00BD776B" w:rsidRDefault="00DF0C24">
      <w:pPr>
        <w:pStyle w:val="af"/>
        <w:ind w:left="878" w:hanging="240"/>
      </w:pPr>
      <w:r>
        <w:rPr>
          <w:rFonts w:ascii="標楷體" w:eastAsia="標楷體" w:hAnsi="標楷體"/>
          <w:color w:val="000000"/>
          <w:szCs w:val="24"/>
        </w:rPr>
        <w:t>(4)本藥品與eltrombopag僅得擇一使用，惟有在耐受不良時方可轉換使用。</w:t>
      </w:r>
    </w:p>
    <w:p w14:paraId="0C61083E" w14:textId="77777777" w:rsidR="00BD776B" w:rsidRDefault="00DF0C24">
      <w:r>
        <w:rPr>
          <w:rFonts w:ascii="標楷體" w:eastAsia="標楷體" w:hAnsi="標楷體"/>
          <w:color w:val="000000"/>
          <w:lang w:val="it-IT"/>
        </w:rPr>
        <w:t>4.3.3.Anagrelide (</w:t>
      </w:r>
      <w:r>
        <w:rPr>
          <w:rFonts w:ascii="標楷體" w:eastAsia="標楷體" w:hAnsi="標楷體"/>
          <w:color w:val="000000"/>
        </w:rPr>
        <w:t>如</w:t>
      </w:r>
      <w:r>
        <w:rPr>
          <w:rFonts w:ascii="標楷體" w:eastAsia="標楷體" w:hAnsi="標楷體"/>
          <w:color w:val="000000"/>
          <w:lang w:val="it-IT"/>
        </w:rPr>
        <w:t>Agrylin)：(107/6/1）</w:t>
      </w:r>
    </w:p>
    <w:p w14:paraId="0185F37E" w14:textId="77777777" w:rsidR="00BD776B" w:rsidRDefault="00DF0C24">
      <w:pPr>
        <w:pStyle w:val="af"/>
        <w:ind w:left="878" w:hanging="240"/>
      </w:pPr>
      <w:r>
        <w:rPr>
          <w:rFonts w:ascii="標楷體" w:eastAsia="標楷體" w:hAnsi="標楷體"/>
          <w:color w:val="000000"/>
          <w:lang w:val="it-IT"/>
        </w:rPr>
        <w:t>1.</w:t>
      </w:r>
      <w:r>
        <w:rPr>
          <w:rFonts w:ascii="標楷體" w:eastAsia="標楷體" w:hAnsi="標楷體"/>
          <w:color w:val="000000"/>
        </w:rPr>
        <w:t>用於經骨髓穿刺檢查並診斷為原發性血小板過多症者</w:t>
      </w:r>
      <w:r>
        <w:rPr>
          <w:rFonts w:ascii="標楷體" w:eastAsia="標楷體" w:hAnsi="標楷體"/>
          <w:color w:val="000000"/>
          <w:lang w:val="it-IT"/>
        </w:rPr>
        <w:t>，</w:t>
      </w:r>
      <w:r>
        <w:rPr>
          <w:rFonts w:ascii="標楷體" w:eastAsia="標楷體" w:hAnsi="標楷體"/>
          <w:color w:val="000000"/>
        </w:rPr>
        <w:t>惟具有</w:t>
      </w:r>
      <w:r>
        <w:rPr>
          <w:rFonts w:ascii="標楷體" w:eastAsia="標楷體" w:hAnsi="標楷體"/>
          <w:color w:val="000000"/>
          <w:lang w:val="it-IT"/>
        </w:rPr>
        <w:t>JAK2</w:t>
      </w:r>
      <w:r>
        <w:rPr>
          <w:rFonts w:ascii="標楷體" w:eastAsia="標楷體" w:hAnsi="標楷體"/>
          <w:color w:val="000000"/>
        </w:rPr>
        <w:t>、</w:t>
      </w:r>
      <w:r>
        <w:rPr>
          <w:rFonts w:ascii="標楷體" w:eastAsia="標楷體" w:hAnsi="標楷體"/>
          <w:color w:val="000000"/>
          <w:lang w:val="it-IT"/>
        </w:rPr>
        <w:t>CALR</w:t>
      </w:r>
      <w:r>
        <w:rPr>
          <w:rFonts w:ascii="標楷體" w:eastAsia="標楷體" w:hAnsi="標楷體"/>
          <w:color w:val="000000"/>
        </w:rPr>
        <w:t>或</w:t>
      </w:r>
      <w:r>
        <w:rPr>
          <w:rFonts w:ascii="標楷體" w:eastAsia="標楷體" w:hAnsi="標楷體"/>
          <w:color w:val="000000"/>
          <w:lang w:val="it-IT"/>
        </w:rPr>
        <w:t>MPL</w:t>
      </w:r>
      <w:r>
        <w:rPr>
          <w:rFonts w:ascii="標楷體" w:eastAsia="標楷體" w:hAnsi="標楷體"/>
          <w:color w:val="000000"/>
        </w:rPr>
        <w:t>之基因突變者</w:t>
      </w:r>
      <w:r>
        <w:rPr>
          <w:rFonts w:ascii="標楷體" w:eastAsia="標楷體" w:hAnsi="標楷體"/>
          <w:color w:val="000000"/>
          <w:lang w:val="it-IT"/>
        </w:rPr>
        <w:t>，</w:t>
      </w:r>
      <w:r>
        <w:rPr>
          <w:rFonts w:ascii="標楷體" w:eastAsia="標楷體" w:hAnsi="標楷體"/>
          <w:color w:val="000000"/>
        </w:rPr>
        <w:t>可不進行骨髓穿刺。</w:t>
      </w:r>
    </w:p>
    <w:p w14:paraId="0ADAC866" w14:textId="77777777" w:rsidR="00BD776B" w:rsidRDefault="00DF0C24">
      <w:pPr>
        <w:pStyle w:val="af"/>
        <w:ind w:left="878" w:hanging="240"/>
        <w:rPr>
          <w:rFonts w:ascii="標楷體" w:eastAsia="標楷體" w:hAnsi="標楷體"/>
          <w:color w:val="000000"/>
        </w:rPr>
      </w:pPr>
      <w:r>
        <w:rPr>
          <w:rFonts w:ascii="標楷體" w:eastAsia="標楷體" w:hAnsi="標楷體"/>
          <w:color w:val="000000"/>
        </w:rPr>
        <w:t>2.初次使用時，需經事前審查。</w:t>
      </w:r>
    </w:p>
    <w:p w14:paraId="06469733" w14:textId="77777777" w:rsidR="00BD776B" w:rsidRDefault="00DF0C24">
      <w:pPr>
        <w:ind w:left="708" w:hanging="708"/>
        <w:rPr>
          <w:rFonts w:ascii="標楷體" w:eastAsia="標楷體" w:hAnsi="標楷體"/>
          <w:color w:val="000000"/>
          <w:lang w:val="it-IT"/>
        </w:rPr>
      </w:pPr>
      <w:r>
        <w:rPr>
          <w:rFonts w:ascii="標楷體" w:eastAsia="標楷體" w:hAnsi="標楷體"/>
          <w:color w:val="000000"/>
          <w:lang w:val="it-IT"/>
        </w:rPr>
        <w:t>4.3.4.Icatibant（如Firazyr）、C1 esterase inhibitor（如Berinert）：（109/6/1、111/2/1、111/6/1）</w:t>
      </w:r>
    </w:p>
    <w:p w14:paraId="5D232999" w14:textId="77777777" w:rsidR="00BD776B" w:rsidRDefault="00DF0C24">
      <w:pPr>
        <w:pStyle w:val="af"/>
        <w:ind w:left="878" w:hanging="240"/>
        <w:rPr>
          <w:rFonts w:ascii="標楷體" w:eastAsia="標楷體" w:hAnsi="標楷體"/>
          <w:color w:val="000000"/>
        </w:rPr>
      </w:pPr>
      <w:r>
        <w:rPr>
          <w:rFonts w:ascii="標楷體" w:eastAsia="標楷體" w:hAnsi="標楷體"/>
          <w:color w:val="000000"/>
        </w:rPr>
        <w:t>1.須經主管機關認定具遺傳性血管性水腫(heeditary angioedema，HAE)罕見疾病者。</w:t>
      </w:r>
    </w:p>
    <w:p w14:paraId="28FFBF44" w14:textId="77777777" w:rsidR="00BD776B" w:rsidRDefault="00DF0C24">
      <w:pPr>
        <w:pStyle w:val="af"/>
        <w:ind w:left="878" w:hanging="240"/>
        <w:rPr>
          <w:rFonts w:ascii="標楷體" w:eastAsia="標楷體" w:hAnsi="標楷體"/>
          <w:color w:val="000000"/>
        </w:rPr>
      </w:pPr>
      <w:r>
        <w:rPr>
          <w:rFonts w:ascii="標楷體" w:eastAsia="標楷體" w:hAnsi="標楷體"/>
          <w:color w:val="000000"/>
        </w:rPr>
        <w:t>2.Icatibant（如Firazyr）：限用於2歲以上之體內C1酯酶抑制劑不足之HAE患者於急性發作時進行症狀治療，並符合下列臨床標準：(111/2/1)</w:t>
      </w:r>
    </w:p>
    <w:p w14:paraId="76596C6A" w14:textId="77777777" w:rsidR="00BD776B" w:rsidRDefault="00DF0C24">
      <w:pPr>
        <w:pStyle w:val="af"/>
        <w:ind w:left="758"/>
        <w:rPr>
          <w:rFonts w:ascii="標楷體" w:eastAsia="標楷體" w:hAnsi="標楷體"/>
          <w:color w:val="000000"/>
          <w:lang w:val="it-IT"/>
        </w:rPr>
      </w:pPr>
      <w:r>
        <w:rPr>
          <w:rFonts w:ascii="標楷體" w:eastAsia="標楷體" w:hAnsi="標楷體"/>
          <w:color w:val="000000"/>
          <w:lang w:val="it-IT"/>
        </w:rPr>
        <w:t>(1)患者必須經確診為C1-酯酶抑製劑缺乏症(C1-esterase inhibitor deficiency)。</w:t>
      </w:r>
    </w:p>
    <w:p w14:paraId="5FA1211B" w14:textId="77777777" w:rsidR="00BD776B" w:rsidRDefault="00DF0C24">
      <w:pPr>
        <w:pStyle w:val="af"/>
        <w:ind w:left="758"/>
        <w:rPr>
          <w:rFonts w:ascii="標楷體" w:eastAsia="標楷體" w:hAnsi="標楷體"/>
          <w:color w:val="000000"/>
          <w:lang w:val="it-IT"/>
        </w:rPr>
      </w:pPr>
      <w:r>
        <w:rPr>
          <w:rFonts w:ascii="標楷體" w:eastAsia="標楷體" w:hAnsi="標楷體"/>
          <w:color w:val="000000"/>
          <w:lang w:val="it-IT"/>
        </w:rPr>
        <w:t>(2)患者存在遺傳性血管性水腫急性發作的重大風險，如曾有中重度的非喉部發作(visual analog scale 30mm以上[含],最嚴重100mm)或急性喉部之發作病史。</w:t>
      </w:r>
    </w:p>
    <w:p w14:paraId="437FF9BA" w14:textId="77777777" w:rsidR="00BD776B" w:rsidRDefault="00DF0C24">
      <w:pPr>
        <w:pStyle w:val="af"/>
        <w:ind w:left="878" w:hanging="240"/>
      </w:pPr>
      <w:r>
        <w:rPr>
          <w:rFonts w:ascii="標楷體" w:eastAsia="標楷體" w:hAnsi="標楷體"/>
          <w:color w:val="000000"/>
          <w:lang w:val="it-IT"/>
        </w:rPr>
        <w:t>3.C1 esterase inhibitor（</w:t>
      </w:r>
      <w:r>
        <w:rPr>
          <w:rFonts w:ascii="標楷體" w:eastAsia="標楷體" w:hAnsi="標楷體"/>
          <w:color w:val="000000"/>
        </w:rPr>
        <w:t>如</w:t>
      </w:r>
      <w:r>
        <w:rPr>
          <w:rFonts w:ascii="標楷體" w:eastAsia="標楷體" w:hAnsi="標楷體"/>
          <w:color w:val="000000"/>
          <w:lang w:val="it-IT"/>
        </w:rPr>
        <w:t>Berinert）：</w:t>
      </w:r>
      <w:r>
        <w:rPr>
          <w:rFonts w:ascii="標楷體" w:eastAsia="標楷體" w:hAnsi="標楷體"/>
          <w:color w:val="000000"/>
        </w:rPr>
        <w:t>限用於</w:t>
      </w:r>
      <w:r>
        <w:rPr>
          <w:rFonts w:ascii="標楷體" w:eastAsia="標楷體" w:hAnsi="標楷體"/>
          <w:color w:val="000000"/>
          <w:lang w:val="it-IT"/>
        </w:rPr>
        <w:t>6</w:t>
      </w:r>
      <w:r>
        <w:rPr>
          <w:rFonts w:ascii="標楷體" w:eastAsia="標楷體" w:hAnsi="標楷體"/>
          <w:color w:val="000000"/>
        </w:rPr>
        <w:t>歲以上第一型及第二型遺傳性血管性水腫</w:t>
      </w:r>
      <w:r>
        <w:rPr>
          <w:rFonts w:ascii="標楷體" w:eastAsia="標楷體" w:hAnsi="標楷體"/>
          <w:color w:val="000000"/>
          <w:lang w:val="it-IT"/>
        </w:rPr>
        <w:t>(HAE)</w:t>
      </w:r>
      <w:r>
        <w:rPr>
          <w:rFonts w:ascii="標楷體" w:eastAsia="標楷體" w:hAnsi="標楷體"/>
          <w:color w:val="000000"/>
        </w:rPr>
        <w:t>急性發作的治療</w:t>
      </w:r>
      <w:r>
        <w:rPr>
          <w:rFonts w:ascii="標楷體" w:eastAsia="標楷體" w:hAnsi="標楷體"/>
          <w:color w:val="000000"/>
          <w:lang w:val="it-IT"/>
        </w:rPr>
        <w:t>，</w:t>
      </w:r>
      <w:r>
        <w:rPr>
          <w:rFonts w:ascii="標楷體" w:eastAsia="標楷體" w:hAnsi="標楷體"/>
          <w:color w:val="000000"/>
        </w:rPr>
        <w:t>且具重大風險</w:t>
      </w:r>
      <w:r>
        <w:rPr>
          <w:rFonts w:ascii="標楷體" w:eastAsia="標楷體" w:hAnsi="標楷體"/>
          <w:color w:val="000000"/>
          <w:lang w:val="it-IT"/>
        </w:rPr>
        <w:t>，</w:t>
      </w:r>
      <w:r>
        <w:rPr>
          <w:rFonts w:ascii="標楷體" w:eastAsia="標楷體" w:hAnsi="標楷體"/>
          <w:color w:val="000000"/>
        </w:rPr>
        <w:t>如曾有中重度的非喉部發作</w:t>
      </w:r>
      <w:r>
        <w:rPr>
          <w:rFonts w:ascii="標楷體" w:eastAsia="標楷體" w:hAnsi="標楷體"/>
          <w:color w:val="000000"/>
          <w:lang w:val="it-IT"/>
        </w:rPr>
        <w:t>(visual analog scale 30mm</w:t>
      </w:r>
      <w:r>
        <w:rPr>
          <w:rFonts w:ascii="標楷體" w:eastAsia="標楷體" w:hAnsi="標楷體"/>
          <w:color w:val="000000"/>
        </w:rPr>
        <w:t>以上</w:t>
      </w:r>
      <w:r>
        <w:rPr>
          <w:rFonts w:ascii="標楷體" w:eastAsia="標楷體" w:hAnsi="標楷體"/>
          <w:color w:val="000000"/>
          <w:lang w:val="it-IT"/>
        </w:rPr>
        <w:t>，</w:t>
      </w:r>
      <w:r>
        <w:rPr>
          <w:rFonts w:ascii="標楷體" w:eastAsia="標楷體" w:hAnsi="標楷體"/>
          <w:color w:val="000000"/>
        </w:rPr>
        <w:t>最嚴重</w:t>
      </w:r>
      <w:r>
        <w:rPr>
          <w:rFonts w:ascii="標楷體" w:eastAsia="標楷體" w:hAnsi="標楷體"/>
          <w:color w:val="000000"/>
          <w:lang w:val="it-IT"/>
        </w:rPr>
        <w:t>100mm)</w:t>
      </w:r>
      <w:r>
        <w:rPr>
          <w:rFonts w:ascii="標楷體" w:eastAsia="標楷體" w:hAnsi="標楷體"/>
          <w:color w:val="000000"/>
        </w:rPr>
        <w:t>或急性喉部之發作病史。(111/6/1）</w:t>
      </w:r>
    </w:p>
    <w:p w14:paraId="1F9C2425" w14:textId="77777777" w:rsidR="00BD776B" w:rsidRDefault="00DF0C24">
      <w:pPr>
        <w:pStyle w:val="af"/>
        <w:ind w:left="878" w:hanging="240"/>
        <w:rPr>
          <w:rFonts w:ascii="標楷體" w:eastAsia="標楷體" w:hAnsi="標楷體"/>
          <w:color w:val="000000"/>
        </w:rPr>
      </w:pPr>
      <w:r>
        <w:rPr>
          <w:rFonts w:ascii="標楷體" w:eastAsia="標楷體" w:hAnsi="標楷體"/>
          <w:color w:val="000000"/>
        </w:rPr>
        <w:t>4.限內科或兒科專科醫師且具有免疫過敏或兒童過敏免疫風濕專科醫師處方攜回下列備用注射之數量；但因急性發作至急診求診者不在此限：</w:t>
      </w:r>
    </w:p>
    <w:p w14:paraId="44237589" w14:textId="77777777" w:rsidR="00BD776B" w:rsidRDefault="00DF0C24">
      <w:pPr>
        <w:pStyle w:val="af"/>
        <w:ind w:left="991" w:hanging="240"/>
        <w:rPr>
          <w:rFonts w:ascii="標楷體" w:eastAsia="標楷體" w:hAnsi="標楷體"/>
          <w:color w:val="000000"/>
        </w:rPr>
      </w:pPr>
      <w:r>
        <w:rPr>
          <w:rFonts w:ascii="標楷體" w:eastAsia="標楷體" w:hAnsi="標楷體"/>
          <w:color w:val="000000"/>
        </w:rPr>
        <w:t>(1)Icatibant（如Firazyr）：1支。</w:t>
      </w:r>
    </w:p>
    <w:p w14:paraId="1F60D74C" w14:textId="77777777" w:rsidR="00BD776B" w:rsidRDefault="00DF0C24">
      <w:pPr>
        <w:pStyle w:val="af"/>
        <w:ind w:left="991" w:hanging="240"/>
        <w:rPr>
          <w:rFonts w:ascii="標楷體" w:eastAsia="標楷體" w:hAnsi="標楷體"/>
          <w:color w:val="000000"/>
        </w:rPr>
      </w:pPr>
      <w:r>
        <w:rPr>
          <w:rFonts w:ascii="標楷體" w:eastAsia="標楷體" w:hAnsi="標楷體"/>
          <w:color w:val="000000"/>
        </w:rPr>
        <w:lastRenderedPageBreak/>
        <w:t>(2)C1 esterase inhibitor：1次劑量。(111/6/1)</w:t>
      </w:r>
    </w:p>
    <w:p w14:paraId="61303FDF" w14:textId="77777777" w:rsidR="00BD776B" w:rsidRDefault="00DF0C24">
      <w:pPr>
        <w:pStyle w:val="af"/>
        <w:ind w:left="878" w:hanging="240"/>
        <w:rPr>
          <w:rFonts w:ascii="標楷體" w:eastAsia="標楷體" w:hAnsi="標楷體"/>
          <w:color w:val="000000"/>
        </w:rPr>
      </w:pPr>
      <w:r>
        <w:rPr>
          <w:rFonts w:ascii="標楷體" w:eastAsia="標楷體" w:hAnsi="標楷體"/>
          <w:color w:val="000000"/>
        </w:rPr>
        <w:t>5.於處方本藥品時，應附原始治療醫囑單及治療紀錄(載明發作部位、症狀及嚴重程度)；於處方備用icatibant/C1 esterase inhibitor時，應衛教病人用藥規範及附上用藥資料表(如附表三十三-全民健康保險遺傳性血管性水腫患者使用Icatibant/C1 esterase inhibitor治療紀錄表)，並於病歷載明前次發作之部位、症狀及嚴重程度以供審查。(111/6/1)</w:t>
      </w:r>
    </w:p>
    <w:p w14:paraId="130F2FDF" w14:textId="77777777" w:rsidR="00BD776B" w:rsidRDefault="00DF0C24">
      <w:pPr>
        <w:pStyle w:val="af"/>
        <w:ind w:left="878" w:hanging="240"/>
        <w:rPr>
          <w:rFonts w:ascii="標楷體" w:eastAsia="標楷體" w:hAnsi="標楷體"/>
          <w:color w:val="000000"/>
        </w:rPr>
      </w:pPr>
      <w:r>
        <w:rPr>
          <w:rFonts w:ascii="標楷體" w:eastAsia="標楷體" w:hAnsi="標楷體"/>
          <w:color w:val="000000"/>
        </w:rPr>
        <w:t>6.24小時內限用：</w:t>
      </w:r>
    </w:p>
    <w:p w14:paraId="48AC3A07" w14:textId="77777777" w:rsidR="00BD776B" w:rsidRDefault="00DF0C24">
      <w:pPr>
        <w:pStyle w:val="af"/>
        <w:ind w:left="991" w:hanging="240"/>
        <w:rPr>
          <w:rFonts w:ascii="標楷體" w:eastAsia="標楷體" w:hAnsi="標楷體"/>
          <w:color w:val="000000"/>
        </w:rPr>
      </w:pPr>
      <w:r>
        <w:rPr>
          <w:rFonts w:ascii="標楷體" w:eastAsia="標楷體" w:hAnsi="標楷體"/>
          <w:color w:val="000000"/>
        </w:rPr>
        <w:t>(1)Icatibant（如Firazyr）：3支。</w:t>
      </w:r>
    </w:p>
    <w:p w14:paraId="123B0B58" w14:textId="77777777" w:rsidR="00BD776B" w:rsidRDefault="00DF0C24">
      <w:pPr>
        <w:pStyle w:val="af"/>
        <w:ind w:left="991" w:hanging="240"/>
        <w:rPr>
          <w:rFonts w:ascii="標楷體" w:eastAsia="標楷體" w:hAnsi="標楷體"/>
          <w:color w:val="000000"/>
        </w:rPr>
      </w:pPr>
      <w:r>
        <w:rPr>
          <w:rFonts w:ascii="標楷體" w:eastAsia="標楷體" w:hAnsi="標楷體"/>
          <w:color w:val="000000"/>
        </w:rPr>
        <w:t>(2)C1 esterase inhibitor 1次。(111/6/1)</w:t>
      </w:r>
    </w:p>
    <w:p w14:paraId="7E2ED88D" w14:textId="1AD54A9C" w:rsidR="00BD776B" w:rsidRDefault="00DF0C24">
      <w:pPr>
        <w:pStyle w:val="Default"/>
        <w:ind w:left="280" w:hanging="280"/>
        <w:rPr>
          <w:rFonts w:ascii="標楷體" w:eastAsia="標楷體" w:hAnsi="標楷體"/>
          <w:color w:val="auto"/>
          <w:kern w:val="3"/>
        </w:rPr>
      </w:pPr>
      <w:r>
        <w:rPr>
          <w:rFonts w:ascii="標楷體" w:eastAsia="標楷體" w:hAnsi="標楷體"/>
          <w:color w:val="auto"/>
          <w:kern w:val="3"/>
        </w:rPr>
        <w:t>4.3.5.Ropeginterferon alfa-2b（如Besremi）：(111/9/1</w:t>
      </w:r>
      <w:r w:rsidR="00002075">
        <w:rPr>
          <w:rFonts w:ascii="標楷體" w:eastAsia="標楷體" w:hAnsi="標楷體" w:hint="eastAsia"/>
          <w:color w:val="auto"/>
          <w:kern w:val="3"/>
        </w:rPr>
        <w:t>、114/2/1</w:t>
      </w:r>
      <w:r>
        <w:rPr>
          <w:rFonts w:ascii="標楷體" w:eastAsia="標楷體" w:hAnsi="標楷體"/>
          <w:color w:val="auto"/>
          <w:kern w:val="3"/>
        </w:rPr>
        <w:t xml:space="preserve">) </w:t>
      </w:r>
    </w:p>
    <w:p w14:paraId="66369228" w14:textId="77777777" w:rsidR="00BD776B" w:rsidRDefault="00DF0C24">
      <w:pPr>
        <w:ind w:left="851" w:hanging="280"/>
      </w:pPr>
      <w:r>
        <w:rPr>
          <w:rFonts w:ascii="標楷體" w:eastAsia="標楷體" w:hAnsi="標楷體"/>
          <w:szCs w:val="24"/>
        </w:rPr>
        <w:t>1.限用於高風險族群(60歲以上、或60歲以下合併有血栓病史)之不具症狀性脾腫大之成人真性紅血球增多症病人，經骨髓檢查或JAK2基因檢測確診，且符合</w:t>
      </w:r>
      <w:r>
        <w:rPr>
          <w:rFonts w:ascii="標楷體" w:eastAsia="標楷體" w:hAnsi="標楷體"/>
          <w:color w:val="000000"/>
          <w:szCs w:val="24"/>
        </w:rPr>
        <w:t>下列所有條件者方可</w:t>
      </w:r>
      <w:r>
        <w:rPr>
          <w:rFonts w:ascii="標楷體" w:eastAsia="標楷體" w:hAnsi="標楷體"/>
          <w:szCs w:val="24"/>
        </w:rPr>
        <w:t>使用</w:t>
      </w:r>
      <w:r>
        <w:rPr>
          <w:rFonts w:ascii="新細明體" w:hAnsi="新細明體"/>
          <w:szCs w:val="24"/>
        </w:rPr>
        <w:t>：</w:t>
      </w:r>
    </w:p>
    <w:p w14:paraId="5691E8F7" w14:textId="77777777" w:rsidR="00BD776B" w:rsidRDefault="00DF0C24">
      <w:pPr>
        <w:ind w:left="993" w:hanging="280"/>
      </w:pPr>
      <w:r>
        <w:rPr>
          <w:rFonts w:ascii="標楷體" w:eastAsia="標楷體" w:hAnsi="標楷體"/>
          <w:szCs w:val="24"/>
        </w:rPr>
        <w:t>(1)使用放血療法達至少每3個月一次（每年至少4次）以上，且曾經接受細胞減量治療至最大容許劑量仍無法達到Hct</w:t>
      </w:r>
      <w:r>
        <w:rPr>
          <w:rFonts w:ascii="新細明體" w:hAnsi="新細明體"/>
          <w:szCs w:val="24"/>
        </w:rPr>
        <w:t>＜</w:t>
      </w:r>
      <w:r>
        <w:rPr>
          <w:rFonts w:ascii="標楷體" w:eastAsia="標楷體" w:hAnsi="標楷體"/>
          <w:szCs w:val="24"/>
        </w:rPr>
        <w:t>45%</w:t>
      </w:r>
      <w:r>
        <w:rPr>
          <w:rFonts w:ascii="新細明體" w:hAnsi="新細明體"/>
          <w:szCs w:val="24"/>
        </w:rPr>
        <w:t>，</w:t>
      </w:r>
      <w:r>
        <w:rPr>
          <w:rFonts w:ascii="標楷體" w:eastAsia="標楷體" w:hAnsi="標楷體"/>
          <w:szCs w:val="24"/>
        </w:rPr>
        <w:t>或CTCAE2.0 Grade 3以上的嚴重副作用者</w:t>
      </w:r>
      <w:r>
        <w:rPr>
          <w:rFonts w:ascii="細明體" w:eastAsia="細明體" w:hAnsi="細明體"/>
          <w:szCs w:val="24"/>
        </w:rPr>
        <w:t>。</w:t>
      </w:r>
    </w:p>
    <w:p w14:paraId="36A31CCE" w14:textId="77777777" w:rsidR="00BD776B" w:rsidRDefault="00DF0C24">
      <w:pPr>
        <w:ind w:left="993" w:hanging="280"/>
        <w:rPr>
          <w:rFonts w:ascii="標楷體" w:eastAsia="標楷體" w:hAnsi="標楷體"/>
          <w:szCs w:val="24"/>
        </w:rPr>
      </w:pPr>
      <w:r>
        <w:rPr>
          <w:rFonts w:ascii="標楷體" w:eastAsia="標楷體" w:hAnsi="標楷體"/>
          <w:szCs w:val="24"/>
        </w:rPr>
        <w:t>(2)</w:t>
      </w:r>
      <w:bookmarkStart w:id="6" w:name="_Hlk103863093"/>
      <w:r>
        <w:rPr>
          <w:rFonts w:ascii="標楷體" w:eastAsia="標楷體" w:hAnsi="標楷體"/>
          <w:szCs w:val="24"/>
        </w:rPr>
        <w:t>且具下列所有條件：</w:t>
      </w:r>
      <w:bookmarkEnd w:id="6"/>
    </w:p>
    <w:p w14:paraId="2A94D2D8" w14:textId="77777777" w:rsidR="00BD776B" w:rsidRDefault="00DF0C24">
      <w:pPr>
        <w:ind w:left="993"/>
      </w:pPr>
      <w:r>
        <w:rPr>
          <w:rFonts w:ascii="標楷體" w:eastAsia="標楷體" w:hAnsi="標楷體"/>
          <w:szCs w:val="24"/>
        </w:rPr>
        <w:t>Ⅰ.血容比&gt;45%</w:t>
      </w:r>
    </w:p>
    <w:p w14:paraId="2A69714D" w14:textId="5E5CE897" w:rsidR="00BD776B" w:rsidRDefault="00DF0C24">
      <w:pPr>
        <w:ind w:left="993" w:hanging="280"/>
      </w:pPr>
      <w:r>
        <w:rPr>
          <w:rFonts w:ascii="標楷體" w:eastAsia="標楷體" w:hAnsi="標楷體"/>
          <w:szCs w:val="24"/>
        </w:rPr>
        <w:t xml:space="preserve">  Ⅱ.血小板數&gt;</w:t>
      </w:r>
      <w:r w:rsidR="00002075">
        <w:rPr>
          <w:rFonts w:ascii="標楷體" w:eastAsia="標楷體" w:hAnsi="標楷體" w:hint="eastAsia"/>
          <w:szCs w:val="24"/>
        </w:rPr>
        <w:t>6</w:t>
      </w:r>
      <w:r>
        <w:rPr>
          <w:rFonts w:ascii="標楷體" w:eastAsia="標楷體" w:hAnsi="標楷體"/>
          <w:szCs w:val="24"/>
        </w:rPr>
        <w:t>00 X 10</w:t>
      </w:r>
      <w:r>
        <w:rPr>
          <w:rFonts w:ascii="標楷體" w:eastAsia="標楷體" w:hAnsi="標楷體"/>
          <w:szCs w:val="24"/>
          <w:vertAlign w:val="superscript"/>
        </w:rPr>
        <w:t>9</w:t>
      </w:r>
      <w:r>
        <w:rPr>
          <w:rFonts w:ascii="標楷體" w:eastAsia="標楷體" w:hAnsi="標楷體"/>
          <w:szCs w:val="24"/>
        </w:rPr>
        <w:t>/L</w:t>
      </w:r>
    </w:p>
    <w:p w14:paraId="2A2C5FBB" w14:textId="77777777" w:rsidR="00BD776B" w:rsidRDefault="00DF0C24">
      <w:pPr>
        <w:ind w:left="993" w:hanging="280"/>
      </w:pPr>
      <w:r>
        <w:rPr>
          <w:rFonts w:ascii="標楷體" w:eastAsia="標楷體" w:hAnsi="標楷體"/>
          <w:szCs w:val="24"/>
        </w:rPr>
        <w:t xml:space="preserve">  </w:t>
      </w:r>
      <w:bookmarkStart w:id="7" w:name="_Hlk103863172"/>
      <w:r>
        <w:rPr>
          <w:rFonts w:ascii="標楷體" w:eastAsia="標楷體" w:hAnsi="標楷體"/>
          <w:szCs w:val="24"/>
        </w:rPr>
        <w:t>Ⅲ.</w:t>
      </w:r>
      <w:bookmarkStart w:id="8" w:name="_Hlk103863157"/>
      <w:r>
        <w:rPr>
          <w:rFonts w:ascii="標楷體" w:eastAsia="標楷體" w:hAnsi="標楷體"/>
          <w:szCs w:val="24"/>
        </w:rPr>
        <w:t>白血球數&gt;10 X 10</w:t>
      </w:r>
      <w:r>
        <w:rPr>
          <w:rFonts w:ascii="標楷體" w:eastAsia="標楷體" w:hAnsi="標楷體"/>
          <w:szCs w:val="24"/>
          <w:vertAlign w:val="superscript"/>
        </w:rPr>
        <w:t>9</w:t>
      </w:r>
      <w:r>
        <w:rPr>
          <w:rFonts w:ascii="標楷體" w:eastAsia="標楷體" w:hAnsi="標楷體"/>
          <w:szCs w:val="24"/>
        </w:rPr>
        <w:t>/L</w:t>
      </w:r>
      <w:bookmarkEnd w:id="7"/>
      <w:bookmarkEnd w:id="8"/>
    </w:p>
    <w:p w14:paraId="03614ABA" w14:textId="77777777" w:rsidR="00BD776B" w:rsidRDefault="00DF0C24">
      <w:pPr>
        <w:pStyle w:val="Default"/>
        <w:ind w:left="851" w:hanging="280"/>
      </w:pPr>
      <w:r>
        <w:rPr>
          <w:rFonts w:ascii="標楷體" w:eastAsia="標楷體" w:hAnsi="標楷體"/>
        </w:rPr>
        <w:t>2.需經事前審查核准後使用。</w:t>
      </w:r>
    </w:p>
    <w:p w14:paraId="467C611D" w14:textId="77777777" w:rsidR="00BD776B" w:rsidRDefault="00DF0C24">
      <w:pPr>
        <w:pStyle w:val="Default"/>
        <w:ind w:left="851" w:hanging="280"/>
      </w:pPr>
      <w:r>
        <w:rPr>
          <w:rFonts w:ascii="標楷體" w:eastAsia="標楷體" w:hAnsi="標楷體"/>
          <w:color w:val="auto"/>
          <w:kern w:val="3"/>
        </w:rPr>
        <w:t>3.治療滿1</w:t>
      </w:r>
      <w:r>
        <w:rPr>
          <w:rFonts w:ascii="標楷體" w:eastAsia="標楷體" w:hAnsi="標楷體"/>
          <w:kern w:val="3"/>
        </w:rPr>
        <w:t>2個月後，未達完全血液學反應者不可續用</w:t>
      </w:r>
      <w:r>
        <w:rPr>
          <w:rFonts w:ascii="細明體" w:eastAsia="細明體" w:hAnsi="細明體"/>
          <w:color w:val="auto"/>
          <w:kern w:val="3"/>
        </w:rPr>
        <w:t>。</w:t>
      </w:r>
    </w:p>
    <w:p w14:paraId="2CA6816F" w14:textId="77777777" w:rsidR="00BD776B" w:rsidRDefault="00DF0C24">
      <w:pPr>
        <w:pStyle w:val="Default"/>
        <w:ind w:left="851" w:hanging="280"/>
        <w:rPr>
          <w:rFonts w:ascii="標楷體" w:eastAsia="標楷體" w:hAnsi="標楷體"/>
          <w:color w:val="auto"/>
          <w:kern w:val="3"/>
        </w:rPr>
      </w:pPr>
      <w:r>
        <w:rPr>
          <w:rFonts w:ascii="標楷體" w:eastAsia="標楷體" w:hAnsi="標楷體"/>
          <w:color w:val="auto"/>
          <w:kern w:val="3"/>
        </w:rPr>
        <w:t>4.第一次續用之後改為每6個月評估一次。持續治療1年後，原則上改為維持治療(1個月施打一次)。</w:t>
      </w:r>
    </w:p>
    <w:p w14:paraId="0AC04862" w14:textId="77777777" w:rsidR="00BD776B" w:rsidRDefault="00DF0C24">
      <w:pPr>
        <w:pStyle w:val="af"/>
        <w:ind w:left="850" w:hanging="240"/>
      </w:pPr>
      <w:r>
        <w:rPr>
          <w:rFonts w:ascii="標楷體" w:eastAsia="標楷體" w:hAnsi="標楷體"/>
          <w:szCs w:val="24"/>
        </w:rPr>
        <w:t>5.本品不得併用ruxolitinib成分藥品</w:t>
      </w:r>
      <w:r>
        <w:rPr>
          <w:rFonts w:ascii="細明體" w:eastAsia="細明體" w:hAnsi="細明體"/>
          <w:szCs w:val="24"/>
        </w:rPr>
        <w:t>。</w:t>
      </w:r>
    </w:p>
    <w:p w14:paraId="0DA58EE7" w14:textId="77777777" w:rsidR="00BD776B" w:rsidRDefault="00DF0C24">
      <w:pPr>
        <w:ind w:left="360" w:hanging="240"/>
        <w:rPr>
          <w:rFonts w:ascii="標楷體" w:eastAsia="標楷體" w:hAnsi="標楷體"/>
          <w:szCs w:val="24"/>
        </w:rPr>
      </w:pPr>
      <w:r>
        <w:rPr>
          <w:rFonts w:ascii="標楷體" w:eastAsia="標楷體" w:hAnsi="標楷體"/>
          <w:szCs w:val="24"/>
        </w:rPr>
        <w:t>4.3.6.Luspatercept（如Reblozyl)：(113/1/1)</w:t>
      </w:r>
    </w:p>
    <w:p w14:paraId="2367E958" w14:textId="77777777" w:rsidR="00BD776B" w:rsidRDefault="00DF0C24">
      <w:pPr>
        <w:ind w:left="840" w:hanging="240"/>
        <w:rPr>
          <w:rFonts w:ascii="標楷體" w:eastAsia="標楷體" w:hAnsi="標楷體"/>
          <w:szCs w:val="24"/>
        </w:rPr>
      </w:pPr>
      <w:r>
        <w:rPr>
          <w:rFonts w:ascii="標楷體" w:eastAsia="標楷體" w:hAnsi="標楷體"/>
          <w:szCs w:val="24"/>
        </w:rPr>
        <w:t>1.限經衛生福利部國民健康署認定之重型海洋性貧血，且用於治療與β型「重型」海洋性貧血相關的輸血依賴性貧血的成年病人。</w:t>
      </w:r>
    </w:p>
    <w:p w14:paraId="646F9C00" w14:textId="77777777" w:rsidR="00BD776B" w:rsidRDefault="00DF0C24">
      <w:pPr>
        <w:ind w:left="840" w:hanging="240"/>
        <w:rPr>
          <w:rFonts w:ascii="標楷體" w:eastAsia="標楷體" w:hAnsi="標楷體"/>
          <w:szCs w:val="24"/>
        </w:rPr>
      </w:pPr>
      <w:r>
        <w:rPr>
          <w:rFonts w:ascii="標楷體" w:eastAsia="標楷體" w:hAnsi="標楷體"/>
          <w:szCs w:val="24"/>
        </w:rPr>
        <w:t>2.病人需要常規輸血，且須符合下列2個條件：</w:t>
      </w:r>
    </w:p>
    <w:p w14:paraId="28C08D55" w14:textId="77777777" w:rsidR="00BD776B" w:rsidRDefault="00DF0C24">
      <w:pPr>
        <w:ind w:left="1200" w:hanging="360"/>
        <w:rPr>
          <w:rFonts w:ascii="標楷體" w:eastAsia="標楷體" w:hAnsi="標楷體"/>
          <w:szCs w:val="24"/>
        </w:rPr>
      </w:pPr>
      <w:r>
        <w:rPr>
          <w:rFonts w:ascii="標楷體" w:eastAsia="標楷體" w:hAnsi="標楷體"/>
          <w:szCs w:val="24"/>
        </w:rPr>
        <w:t>(1)在接受本藥品治療前24週內需要輸注24個紅血球(RBC)單位。</w:t>
      </w:r>
    </w:p>
    <w:p w14:paraId="7DFACDD7" w14:textId="77777777" w:rsidR="00BD776B" w:rsidRDefault="00DF0C24">
      <w:pPr>
        <w:ind w:left="1200" w:hanging="360"/>
        <w:rPr>
          <w:rFonts w:ascii="標楷體" w:eastAsia="標楷體" w:hAnsi="標楷體"/>
          <w:szCs w:val="24"/>
        </w:rPr>
      </w:pPr>
      <w:r>
        <w:rPr>
          <w:rFonts w:ascii="標楷體" w:eastAsia="標楷體" w:hAnsi="標楷體"/>
          <w:szCs w:val="24"/>
        </w:rPr>
        <w:t>(2)在接受本藥品治療前24週內沒有超過35天的無輸血期。</w:t>
      </w:r>
    </w:p>
    <w:p w14:paraId="19B7BAC0" w14:textId="77777777" w:rsidR="00BD776B" w:rsidRDefault="00DF0C24">
      <w:pPr>
        <w:ind w:left="840" w:hanging="240"/>
        <w:rPr>
          <w:rFonts w:ascii="標楷體" w:eastAsia="標楷體" w:hAnsi="標楷體"/>
          <w:szCs w:val="24"/>
        </w:rPr>
      </w:pPr>
      <w:r>
        <w:rPr>
          <w:rFonts w:ascii="標楷體" w:eastAsia="標楷體" w:hAnsi="標楷體"/>
          <w:szCs w:val="24"/>
        </w:rPr>
        <w:t>3.限由血液病專科醫師處方。</w:t>
      </w:r>
    </w:p>
    <w:p w14:paraId="38842527" w14:textId="77777777" w:rsidR="00BD776B" w:rsidRDefault="00DF0C24">
      <w:pPr>
        <w:ind w:left="840" w:hanging="240"/>
        <w:rPr>
          <w:rFonts w:ascii="標楷體" w:eastAsia="標楷體" w:hAnsi="標楷體"/>
          <w:szCs w:val="24"/>
        </w:rPr>
      </w:pPr>
      <w:r>
        <w:rPr>
          <w:rFonts w:ascii="標楷體" w:eastAsia="標楷體" w:hAnsi="標楷體"/>
          <w:szCs w:val="24"/>
        </w:rPr>
        <w:t>4.需經事前審查核准後使用，每24週評估一次，具治療反應定義如下：</w:t>
      </w:r>
    </w:p>
    <w:p w14:paraId="409214FF" w14:textId="77777777" w:rsidR="00BD776B" w:rsidRDefault="00DF0C24">
      <w:pPr>
        <w:ind w:left="1200" w:hanging="360"/>
      </w:pPr>
      <w:r>
        <w:rPr>
          <w:rFonts w:ascii="標楷體" w:eastAsia="標楷體" w:hAnsi="標楷體"/>
          <w:szCs w:val="24"/>
        </w:rPr>
        <w:t>(1)治療24週後，與治療前的24週相比，RBC輸血量較基礎值降低</w:t>
      </w:r>
      <w:r>
        <w:rPr>
          <w:rFonts w:ascii="Times New Roman" w:eastAsia="標楷體" w:hAnsi="Times New Roman"/>
          <w:szCs w:val="24"/>
        </w:rPr>
        <w:t>≥</w:t>
      </w:r>
      <w:r>
        <w:rPr>
          <w:rFonts w:ascii="標楷體" w:eastAsia="標楷體" w:hAnsi="標楷體"/>
          <w:szCs w:val="24"/>
        </w:rPr>
        <w:t>50%。</w:t>
      </w:r>
    </w:p>
    <w:p w14:paraId="3F3C4D95" w14:textId="77777777" w:rsidR="00BD776B" w:rsidRDefault="00DF0C24">
      <w:pPr>
        <w:ind w:left="1200" w:hanging="360"/>
      </w:pPr>
      <w:r>
        <w:rPr>
          <w:rFonts w:ascii="標楷體" w:eastAsia="標楷體" w:hAnsi="標楷體"/>
          <w:color w:val="000000"/>
          <w:szCs w:val="24"/>
        </w:rPr>
        <w:t>(2)在每24週治療中，能維持「RBC輸血量較基礎值降低</w:t>
      </w:r>
      <w:r>
        <w:rPr>
          <w:rFonts w:ascii="Times New Roman" w:eastAsia="標楷體" w:hAnsi="Times New Roman"/>
          <w:color w:val="000000"/>
          <w:szCs w:val="24"/>
        </w:rPr>
        <w:t>≥</w:t>
      </w:r>
      <w:r>
        <w:rPr>
          <w:rFonts w:ascii="標楷體" w:eastAsia="標楷體" w:hAnsi="標楷體"/>
          <w:color w:val="000000"/>
          <w:szCs w:val="24"/>
        </w:rPr>
        <w:t>50%」的反應。</w:t>
      </w:r>
    </w:p>
    <w:p w14:paraId="077929E5" w14:textId="77777777" w:rsidR="00BD776B" w:rsidRDefault="00DF0C24">
      <w:pPr>
        <w:ind w:left="840" w:hanging="240"/>
        <w:rPr>
          <w:rFonts w:ascii="標楷體" w:eastAsia="標楷體" w:hAnsi="標楷體"/>
          <w:szCs w:val="24"/>
        </w:rPr>
      </w:pPr>
      <w:r>
        <w:rPr>
          <w:rFonts w:ascii="標楷體" w:eastAsia="標楷體" w:hAnsi="標楷體"/>
          <w:szCs w:val="24"/>
        </w:rPr>
        <w:t>5.最大劑量不得超過1.25 mg/kg (或總劑量120毫克)。</w:t>
      </w:r>
    </w:p>
    <w:p w14:paraId="4E48E4B9" w14:textId="77777777" w:rsidR="00BD776B" w:rsidRDefault="00DF0C24">
      <w:pPr>
        <w:ind w:left="860" w:hanging="238"/>
      </w:pPr>
      <w:r>
        <w:rPr>
          <w:rFonts w:ascii="標楷體" w:eastAsia="標楷體" w:hAnsi="標楷體"/>
          <w:szCs w:val="24"/>
        </w:rPr>
        <w:t>6.停藥條件：</w:t>
      </w:r>
      <w:r>
        <w:rPr>
          <w:rFonts w:ascii="標楷體" w:eastAsia="標楷體" w:hAnsi="標楷體"/>
          <w:color w:val="000000"/>
          <w:szCs w:val="24"/>
        </w:rPr>
        <w:t>若接受本藥品最大劑量治療24週後仍未達到治療反應，則應停藥。</w:t>
      </w:r>
    </w:p>
    <w:p w14:paraId="5D7B5F54" w14:textId="77777777" w:rsidR="00BD776B" w:rsidRDefault="00DF0C24">
      <w:pPr>
        <w:ind w:left="360" w:hanging="360"/>
        <w:rPr>
          <w:rFonts w:ascii="標楷體" w:eastAsia="標楷體" w:hAnsi="標楷體"/>
          <w:szCs w:val="24"/>
        </w:rPr>
      </w:pPr>
      <w:r>
        <w:rPr>
          <w:rFonts w:ascii="標楷體" w:eastAsia="標楷體" w:hAnsi="標楷體"/>
          <w:szCs w:val="24"/>
        </w:rPr>
        <w:t>4.3.7.Lanadelumab(如Takhzyro)：(113/3/1)</w:t>
      </w:r>
    </w:p>
    <w:p w14:paraId="6104F65A" w14:textId="77777777" w:rsidR="00BD776B" w:rsidRDefault="00DF0C24">
      <w:pPr>
        <w:ind w:left="840" w:hanging="240"/>
        <w:rPr>
          <w:rFonts w:ascii="標楷體" w:eastAsia="標楷體" w:hAnsi="標楷體"/>
          <w:szCs w:val="24"/>
        </w:rPr>
      </w:pPr>
      <w:r>
        <w:rPr>
          <w:rFonts w:ascii="標楷體" w:eastAsia="標楷體" w:hAnsi="標楷體"/>
          <w:szCs w:val="24"/>
        </w:rPr>
        <w:t>1.限用於經衛生福利部國民健康署認定12歲以上，體內C1酯酶抑制劑不足之遺傳性血管性水腫(HAE)患者，作為遺傳性血管性水腫反覆發作之預防，患者必須經確診為C1-酯酶抑製劑缺乏症(C1-esterase inhibitor deficiency)，並符合下列任一臨床條件：</w:t>
      </w:r>
    </w:p>
    <w:p w14:paraId="166BB68F" w14:textId="77777777" w:rsidR="00BD776B" w:rsidRDefault="00DF0C24">
      <w:pPr>
        <w:ind w:left="1200" w:hanging="360"/>
        <w:rPr>
          <w:rFonts w:ascii="標楷體" w:eastAsia="標楷體" w:hAnsi="標楷體"/>
          <w:szCs w:val="24"/>
        </w:rPr>
      </w:pPr>
      <w:r>
        <w:rPr>
          <w:rFonts w:ascii="標楷體" w:eastAsia="標楷體" w:hAnsi="標楷體"/>
          <w:szCs w:val="24"/>
        </w:rPr>
        <w:lastRenderedPageBreak/>
        <w:t>(1)使用口服預防性藥物，但於過去連續8週每週有2次以上急性發作(定義：需要以急性藥物【如：新鮮冷凍血漿或icatibant或C1-esterase inhibitor】緊急注射治療之發作)。</w:t>
      </w:r>
    </w:p>
    <w:p w14:paraId="3D4759F3" w14:textId="77777777" w:rsidR="00BD776B" w:rsidRDefault="00DF0C24">
      <w:pPr>
        <w:ind w:left="1200" w:hanging="360"/>
        <w:rPr>
          <w:rFonts w:ascii="標楷體" w:eastAsia="標楷體" w:hAnsi="標楷體"/>
          <w:szCs w:val="24"/>
        </w:rPr>
      </w:pPr>
      <w:r>
        <w:rPr>
          <w:rFonts w:ascii="標楷體" w:eastAsia="標楷體" w:hAnsi="標楷體"/>
          <w:szCs w:val="24"/>
        </w:rPr>
        <w:t>(2)因禁忌症、耐受性而無法接受口服預防性治療者，在開始使用lanadelumab治療前，患者必須在過去4週內至少具3次以上之急性發作，或曾經有過危及生命之發作(定義：需接受侵入性治療【如：氣管切開造口術、氣管內管插管】之發作)。</w:t>
      </w:r>
    </w:p>
    <w:p w14:paraId="75529C7C" w14:textId="77777777" w:rsidR="00BD776B" w:rsidRDefault="00DF0C24">
      <w:pPr>
        <w:ind w:left="840" w:hanging="240"/>
      </w:pPr>
      <w:r>
        <w:rPr>
          <w:rFonts w:ascii="標楷體" w:eastAsia="標楷體" w:hAnsi="標楷體"/>
          <w:szCs w:val="24"/>
        </w:rPr>
        <w:t>2.使用劑量</w:t>
      </w:r>
      <w:r>
        <w:rPr>
          <w:rFonts w:ascii="新細明體" w:hAnsi="新細明體"/>
          <w:szCs w:val="24"/>
        </w:rPr>
        <w:t>：</w:t>
      </w:r>
      <w:r>
        <w:rPr>
          <w:rFonts w:ascii="標楷體" w:eastAsia="標楷體" w:hAnsi="標楷體"/>
          <w:szCs w:val="24"/>
        </w:rPr>
        <w:t>維持劑量至多300mg/4週</w:t>
      </w:r>
      <w:r>
        <w:rPr>
          <w:rFonts w:ascii="新細明體" w:hAnsi="新細明體"/>
          <w:szCs w:val="24"/>
        </w:rPr>
        <w:t>。</w:t>
      </w:r>
    </w:p>
    <w:p w14:paraId="7D4A3FBF" w14:textId="77777777" w:rsidR="00BD776B" w:rsidRDefault="00DF0C24">
      <w:pPr>
        <w:ind w:left="840" w:hanging="240"/>
      </w:pPr>
      <w:r>
        <w:rPr>
          <w:rFonts w:ascii="標楷體" w:eastAsia="標楷體" w:hAnsi="標楷體"/>
          <w:szCs w:val="24"/>
        </w:rPr>
        <w:t>3.減少使用劑量</w:t>
      </w:r>
      <w:r>
        <w:rPr>
          <w:rFonts w:ascii="新細明體" w:hAnsi="新細明體"/>
          <w:szCs w:val="24"/>
        </w:rPr>
        <w:t>：</w:t>
      </w:r>
    </w:p>
    <w:p w14:paraId="247C8896" w14:textId="77777777" w:rsidR="00BD776B" w:rsidRDefault="00DF0C24">
      <w:pPr>
        <w:ind w:left="1200" w:hanging="360"/>
        <w:rPr>
          <w:rFonts w:ascii="標楷體" w:eastAsia="標楷體" w:hAnsi="標楷體"/>
          <w:szCs w:val="24"/>
        </w:rPr>
      </w:pPr>
      <w:r>
        <w:rPr>
          <w:rFonts w:ascii="標楷體" w:eastAsia="標楷體" w:hAnsi="標楷體"/>
          <w:szCs w:val="24"/>
        </w:rPr>
        <w:t>(1)減量時機：超過6個月沒有發作紀錄。</w:t>
      </w:r>
    </w:p>
    <w:p w14:paraId="5890A241" w14:textId="77777777" w:rsidR="00BD776B" w:rsidRDefault="00DF0C24">
      <w:pPr>
        <w:ind w:left="1200" w:hanging="360"/>
      </w:pPr>
      <w:r>
        <w:rPr>
          <w:rFonts w:ascii="標楷體" w:eastAsia="標楷體" w:hAnsi="標楷體"/>
          <w:szCs w:val="24"/>
        </w:rPr>
        <w:t>(2)減量方式</w:t>
      </w:r>
      <w:r>
        <w:rPr>
          <w:rFonts w:ascii="新細明體" w:hAnsi="新細明體"/>
          <w:szCs w:val="24"/>
        </w:rPr>
        <w:t>：</w:t>
      </w:r>
      <w:r>
        <w:rPr>
          <w:rFonts w:ascii="標楷體" w:eastAsia="標楷體" w:hAnsi="標楷體"/>
          <w:szCs w:val="24"/>
        </w:rPr>
        <w:t>申請續用之事前審查時，應依據患者個別狀況提出延長給藥間隔之治療計畫。</w:t>
      </w:r>
    </w:p>
    <w:p w14:paraId="3FAD878E" w14:textId="77777777" w:rsidR="00BD776B" w:rsidRDefault="00DF0C24">
      <w:pPr>
        <w:ind w:left="1200" w:hanging="360"/>
        <w:rPr>
          <w:rFonts w:ascii="標楷體" w:eastAsia="標楷體" w:hAnsi="標楷體"/>
          <w:szCs w:val="24"/>
        </w:rPr>
      </w:pPr>
      <w:r>
        <w:rPr>
          <w:rFonts w:ascii="標楷體" w:eastAsia="標楷體" w:hAnsi="標楷體"/>
          <w:szCs w:val="24"/>
        </w:rPr>
        <w:t>(3)減量期間若有疾病復發得申請回復減量前之使用量。</w:t>
      </w:r>
    </w:p>
    <w:p w14:paraId="7F363AA8" w14:textId="77777777" w:rsidR="00BD776B" w:rsidRDefault="00DF0C24">
      <w:pPr>
        <w:ind w:left="840" w:hanging="240"/>
        <w:rPr>
          <w:rFonts w:ascii="標楷體" w:eastAsia="標楷體" w:hAnsi="標楷體"/>
          <w:szCs w:val="24"/>
        </w:rPr>
      </w:pPr>
      <w:r>
        <w:rPr>
          <w:rFonts w:ascii="標楷體" w:eastAsia="標楷體" w:hAnsi="標楷體"/>
          <w:szCs w:val="24"/>
        </w:rPr>
        <w:t>4.需經事前審查核准後使用，每次申請以6個月為限。</w:t>
      </w:r>
    </w:p>
    <w:p w14:paraId="5E754AB2" w14:textId="77777777" w:rsidR="00BD776B" w:rsidRDefault="00DF0C24">
      <w:pPr>
        <w:ind w:left="840" w:hanging="240"/>
        <w:rPr>
          <w:rFonts w:ascii="標楷體" w:eastAsia="標楷體" w:hAnsi="標楷體"/>
          <w:szCs w:val="24"/>
        </w:rPr>
      </w:pPr>
      <w:r>
        <w:rPr>
          <w:rFonts w:ascii="標楷體" w:eastAsia="標楷體" w:hAnsi="標楷體"/>
          <w:szCs w:val="24"/>
        </w:rPr>
        <w:t>5.續用條件：在開始使用lanadelumab治療3個月後，即應對患者進行療效評估，且迄後仍應每3個月持續評估，均需達療效指標(定義：使用lanadelumab治療3個月內，無危及生命發作，且需HAE發作接受急性注射治療之次數&lt;開始使用lanadelumab治療前8週內所觀察到之發作次數)。</w:t>
      </w:r>
    </w:p>
    <w:p w14:paraId="54BF7EAE" w14:textId="77777777" w:rsidR="00BD776B" w:rsidRDefault="00DF0C24">
      <w:pPr>
        <w:ind w:left="840" w:hanging="240"/>
        <w:rPr>
          <w:rFonts w:ascii="標楷體" w:eastAsia="標楷體" w:hAnsi="標楷體"/>
          <w:szCs w:val="24"/>
        </w:rPr>
      </w:pPr>
      <w:r>
        <w:rPr>
          <w:rFonts w:ascii="標楷體" w:eastAsia="標楷體" w:hAnsi="標楷體"/>
          <w:szCs w:val="24"/>
        </w:rPr>
        <w:t>6.停用條件：HAE發作之次數≧開始使用lanadelumab治療前8週內所觀察到之發作次數。</w:t>
      </w:r>
    </w:p>
    <w:p w14:paraId="516BC841" w14:textId="77777777" w:rsidR="00BD776B" w:rsidRDefault="00BD776B">
      <w:pPr>
        <w:pStyle w:val="af"/>
        <w:ind w:left="850" w:hanging="240"/>
        <w:rPr>
          <w:rFonts w:ascii="標楷體" w:eastAsia="標楷體" w:hAnsi="標楷體"/>
          <w:color w:val="000000"/>
        </w:rPr>
      </w:pPr>
    </w:p>
    <w:p w14:paraId="2EEE46CC" w14:textId="77777777" w:rsidR="00BD776B" w:rsidRDefault="00BD776B">
      <w:pPr>
        <w:pageBreakBefore/>
        <w:widowControl/>
        <w:suppressAutoHyphens w:val="0"/>
        <w:rPr>
          <w:rFonts w:ascii="標楷體" w:eastAsia="標楷體" w:hAnsi="標楷體"/>
          <w:color w:val="000000"/>
        </w:rPr>
      </w:pPr>
    </w:p>
    <w:p w14:paraId="061ECA24" w14:textId="77777777" w:rsidR="00BD776B" w:rsidRDefault="00DF0C24">
      <w:pPr>
        <w:pStyle w:val="2"/>
      </w:pPr>
      <w:r>
        <w:t>第5節 激素及影響內分泌機轉藥物</w:t>
      </w:r>
      <w:r>
        <w:br/>
        <w:t>Hormones &amp; drugs affecting hormonal mechanism</w:t>
      </w:r>
    </w:p>
    <w:p w14:paraId="663D8C3C" w14:textId="77777777" w:rsidR="00BD776B" w:rsidRDefault="00BD776B">
      <w:pPr>
        <w:snapToGrid w:val="0"/>
        <w:spacing w:line="400" w:lineRule="exact"/>
        <w:jc w:val="center"/>
        <w:rPr>
          <w:rFonts w:ascii="標楷體" w:eastAsia="標楷體" w:hAnsi="標楷體"/>
          <w:b/>
          <w:color w:val="000000"/>
          <w:sz w:val="32"/>
          <w:szCs w:val="32"/>
        </w:rPr>
      </w:pPr>
    </w:p>
    <w:p w14:paraId="6239CCBC" w14:textId="77777777" w:rsidR="00BD776B" w:rsidRDefault="00DF0C24">
      <w:pPr>
        <w:ind w:left="672" w:hanging="386"/>
        <w:rPr>
          <w:rFonts w:ascii="標楷體" w:eastAsia="標楷體" w:hAnsi="標楷體"/>
          <w:color w:val="000000"/>
        </w:rPr>
      </w:pPr>
      <w:r>
        <w:rPr>
          <w:rFonts w:ascii="標楷體" w:eastAsia="標楷體" w:hAnsi="標楷體"/>
          <w:color w:val="000000"/>
        </w:rPr>
        <w:t>5.1.糖尿病用藥 Drugs used in diabetes</w:t>
      </w:r>
    </w:p>
    <w:p w14:paraId="5E703A90" w14:textId="77777777" w:rsidR="00BD776B" w:rsidRDefault="00DF0C24">
      <w:pPr>
        <w:ind w:left="811" w:hanging="245"/>
        <w:rPr>
          <w:rFonts w:ascii="標楷體" w:eastAsia="標楷體" w:hAnsi="標楷體"/>
          <w:color w:val="000000"/>
        </w:rPr>
      </w:pPr>
      <w:r>
        <w:rPr>
          <w:rFonts w:ascii="標楷體" w:eastAsia="標楷體" w:hAnsi="標楷體"/>
          <w:color w:val="000000"/>
        </w:rPr>
        <w:t>1.藥品種類(105/5/1)</w:t>
      </w:r>
    </w:p>
    <w:p w14:paraId="1283803B" w14:textId="77777777" w:rsidR="00BD776B" w:rsidRDefault="00DF0C24">
      <w:pPr>
        <w:ind w:left="1147" w:hanging="437"/>
        <w:rPr>
          <w:rFonts w:ascii="標楷體" w:eastAsia="標楷體" w:hAnsi="標楷體"/>
          <w:color w:val="000000"/>
        </w:rPr>
      </w:pPr>
      <w:r>
        <w:rPr>
          <w:rFonts w:ascii="標楷體" w:eastAsia="標楷體" w:hAnsi="標楷體"/>
          <w:color w:val="000000"/>
        </w:rPr>
        <w:t>(1)胰島素：各廠牌短、中、長效、速效或預混型胰島素。</w:t>
      </w:r>
    </w:p>
    <w:p w14:paraId="59DB09B6" w14:textId="77777777" w:rsidR="00BD776B" w:rsidRDefault="00DF0C24">
      <w:pPr>
        <w:ind w:left="1147" w:hanging="437"/>
        <w:rPr>
          <w:rFonts w:ascii="標楷體" w:eastAsia="標楷體" w:hAnsi="標楷體"/>
          <w:color w:val="000000"/>
        </w:rPr>
      </w:pPr>
      <w:r>
        <w:rPr>
          <w:rFonts w:ascii="標楷體" w:eastAsia="標楷體" w:hAnsi="標楷體"/>
          <w:color w:val="000000"/>
        </w:rPr>
        <w:t>(2)Biguanides：如metformin。</w:t>
      </w:r>
    </w:p>
    <w:p w14:paraId="43106063" w14:textId="77777777" w:rsidR="00BD776B" w:rsidRDefault="00DF0C24">
      <w:pPr>
        <w:ind w:left="1147" w:hanging="437"/>
        <w:rPr>
          <w:rFonts w:ascii="標楷體" w:eastAsia="標楷體" w:hAnsi="標楷體"/>
          <w:color w:val="000000"/>
        </w:rPr>
      </w:pPr>
      <w:r>
        <w:rPr>
          <w:rFonts w:ascii="標楷體" w:eastAsia="標楷體" w:hAnsi="標楷體"/>
          <w:color w:val="000000"/>
        </w:rPr>
        <w:t>(3)Sulfonylureas(SU)：如chlorpropamide、glipizide、glimepiride等。</w:t>
      </w:r>
    </w:p>
    <w:p w14:paraId="664E8490" w14:textId="77777777" w:rsidR="00BD776B" w:rsidRDefault="00DF0C24">
      <w:pPr>
        <w:ind w:left="1147" w:hanging="437"/>
        <w:rPr>
          <w:rFonts w:ascii="標楷體" w:eastAsia="標楷體" w:hAnsi="標楷體"/>
          <w:color w:val="000000"/>
        </w:rPr>
      </w:pPr>
      <w:r>
        <w:rPr>
          <w:rFonts w:ascii="標楷體" w:eastAsia="標楷體" w:hAnsi="標楷體"/>
          <w:color w:val="000000"/>
        </w:rPr>
        <w:t>(4)Meglitinide：如repaglinide、nateglinide等。</w:t>
      </w:r>
    </w:p>
    <w:p w14:paraId="6D4076E7" w14:textId="77777777" w:rsidR="00BD776B" w:rsidRDefault="00DF0C24">
      <w:pPr>
        <w:ind w:left="1147" w:hanging="437"/>
        <w:rPr>
          <w:rFonts w:ascii="標楷體" w:eastAsia="標楷體" w:hAnsi="標楷體"/>
          <w:color w:val="000000"/>
        </w:rPr>
      </w:pPr>
      <w:r>
        <w:rPr>
          <w:rFonts w:ascii="標楷體" w:eastAsia="標楷體" w:hAnsi="標楷體"/>
          <w:color w:val="000000"/>
        </w:rPr>
        <w:t>(5)α-glucosidase inhibitor：如acarbose、miglitol等。</w:t>
      </w:r>
    </w:p>
    <w:p w14:paraId="5D1E8004" w14:textId="77777777" w:rsidR="00BD776B" w:rsidRDefault="00DF0C24">
      <w:pPr>
        <w:ind w:left="1147" w:hanging="437"/>
        <w:rPr>
          <w:rFonts w:ascii="標楷體" w:eastAsia="標楷體" w:hAnsi="標楷體"/>
          <w:color w:val="000000"/>
        </w:rPr>
      </w:pPr>
      <w:r>
        <w:rPr>
          <w:rFonts w:ascii="標楷體" w:eastAsia="標楷體" w:hAnsi="標楷體"/>
          <w:color w:val="000000"/>
        </w:rPr>
        <w:t>(6)Thiazolidinediones(TZD)：如 rosiglitazone、pioglitazone等。</w:t>
      </w:r>
    </w:p>
    <w:p w14:paraId="7621FC48" w14:textId="77777777" w:rsidR="00BD776B" w:rsidRDefault="00DF0C24">
      <w:pPr>
        <w:ind w:left="1147" w:hanging="437"/>
        <w:rPr>
          <w:rFonts w:ascii="標楷體" w:eastAsia="標楷體" w:hAnsi="標楷體"/>
          <w:color w:val="000000"/>
        </w:rPr>
      </w:pPr>
      <w:r>
        <w:rPr>
          <w:rFonts w:ascii="標楷體" w:eastAsia="標楷體" w:hAnsi="標楷體"/>
          <w:color w:val="000000"/>
        </w:rPr>
        <w:t>(7)DPP-4抑制劑：如sitagliptin、vildagliptin、saxagliptin、linagliptin等。</w:t>
      </w:r>
    </w:p>
    <w:p w14:paraId="10D84667" w14:textId="77777777" w:rsidR="00BD776B" w:rsidRDefault="00DF0C24">
      <w:pPr>
        <w:ind w:left="1147" w:hanging="437"/>
        <w:rPr>
          <w:rFonts w:ascii="標楷體" w:eastAsia="標楷體" w:hAnsi="標楷體"/>
          <w:color w:val="000000"/>
        </w:rPr>
      </w:pPr>
      <w:r>
        <w:rPr>
          <w:rFonts w:ascii="標楷體" w:eastAsia="標楷體" w:hAnsi="標楷體"/>
          <w:color w:val="000000"/>
        </w:rPr>
        <w:t>(8)GLP-1受體促效劑：如exenatide、liraglutide等。</w:t>
      </w:r>
    </w:p>
    <w:p w14:paraId="541194CA" w14:textId="77777777" w:rsidR="00BD776B" w:rsidRDefault="00DF0C24">
      <w:pPr>
        <w:ind w:left="1147" w:hanging="437"/>
        <w:rPr>
          <w:rFonts w:ascii="標楷體" w:eastAsia="標楷體" w:hAnsi="標楷體"/>
          <w:color w:val="000000"/>
        </w:rPr>
      </w:pPr>
      <w:r>
        <w:rPr>
          <w:rFonts w:ascii="標楷體" w:eastAsia="標楷體" w:hAnsi="標楷體"/>
          <w:color w:val="000000"/>
        </w:rPr>
        <w:t>(9)SGLT-2抑制劑：如empagliflozin、dapagliflozin等。</w:t>
      </w:r>
    </w:p>
    <w:p w14:paraId="4185EC23" w14:textId="77777777" w:rsidR="00BD776B" w:rsidRDefault="00DF0C24">
      <w:pPr>
        <w:ind w:left="1258" w:hanging="550"/>
        <w:rPr>
          <w:rFonts w:ascii="標楷體" w:eastAsia="標楷體" w:hAnsi="標楷體"/>
          <w:color w:val="000000"/>
        </w:rPr>
      </w:pPr>
      <w:r>
        <w:rPr>
          <w:rFonts w:ascii="標楷體" w:eastAsia="標楷體" w:hAnsi="標楷體"/>
          <w:color w:val="000000"/>
        </w:rPr>
        <w:t>(10)各降血糖成分之口服複方製劑。</w:t>
      </w:r>
    </w:p>
    <w:p w14:paraId="49C0E3FD" w14:textId="77777777" w:rsidR="00BD776B" w:rsidRDefault="00DF0C24">
      <w:pPr>
        <w:ind w:left="811" w:hanging="245"/>
        <w:rPr>
          <w:rFonts w:ascii="標楷體" w:eastAsia="標楷體" w:hAnsi="標楷體"/>
          <w:color w:val="000000"/>
        </w:rPr>
      </w:pPr>
      <w:r>
        <w:rPr>
          <w:rFonts w:ascii="標楷體" w:eastAsia="標楷體" w:hAnsi="標楷體"/>
          <w:color w:val="000000"/>
        </w:rPr>
        <w:t>2.使用條件：(105/5/1)</w:t>
      </w:r>
    </w:p>
    <w:p w14:paraId="07F7429F" w14:textId="77777777" w:rsidR="00BD776B" w:rsidRDefault="00DF0C24">
      <w:pPr>
        <w:ind w:left="1077" w:hanging="367"/>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原則上第二型糖尿病治療應優先使用metformin，或考慮早期開始使用胰島素。除有過敏、禁忌症、不能耐受或仍無法理想控制血糖的情形下，可使用其他類口服降血糖藥物。</w:t>
      </w:r>
    </w:p>
    <w:p w14:paraId="33C37BD8" w14:textId="77777777" w:rsidR="00BD776B" w:rsidRDefault="00DF0C24">
      <w:pPr>
        <w:ind w:left="1077" w:hanging="367"/>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TZD製劑、DPP-4抑制劑、SGLT-2抑制劑、以及含該3類成分之複方製劑，限用於已接受過最大耐受劑量的metformin仍無法理想控制血糖之第二型糖尿病病人，且SGLT-2抑制劑與DPP-4抑制劑及其複方製劑宜二種擇一種使用。</w:t>
      </w:r>
    </w:p>
    <w:p w14:paraId="6D72DC24" w14:textId="77777777" w:rsidR="00BD776B" w:rsidRDefault="00DF0C24">
      <w:pPr>
        <w:ind w:left="1077" w:hanging="367"/>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第二型糖尿病病人倘於使用三種口服降血糖藥物治療仍無法理想控制血糖者，宜考慮給予胰島素治療。</w:t>
      </w:r>
    </w:p>
    <w:p w14:paraId="6A7446A3" w14:textId="77777777" w:rsidR="00BD776B" w:rsidRDefault="00DF0C24">
      <w:pPr>
        <w:ind w:left="1077" w:hanging="367"/>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特約醫療院所應加強衛教第二型糖尿病病人，鼓勵健康生活型態的飲食和運動，如控制肥胖、限制熱量攝取等措施。</w:t>
      </w:r>
    </w:p>
    <w:p w14:paraId="09C6DB45" w14:textId="77777777" w:rsidR="00BD776B" w:rsidRDefault="00DF0C24">
      <w:pPr>
        <w:ind w:left="1077" w:hanging="367"/>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ab/>
        <w:t>第二型糖尿病病人使用之口服降血糖藥物成分，以最多四種(含四種)為限。</w:t>
      </w:r>
    </w:p>
    <w:p w14:paraId="2CD6A9CE" w14:textId="77777777" w:rsidR="00BD776B" w:rsidRDefault="00DF0C24">
      <w:pPr>
        <w:ind w:left="708" w:hanging="2"/>
        <w:rPr>
          <w:rFonts w:ascii="標楷體" w:eastAsia="標楷體" w:hAnsi="標楷體"/>
          <w:color w:val="000000"/>
        </w:rPr>
      </w:pPr>
      <w:r>
        <w:rPr>
          <w:rFonts w:ascii="標楷體" w:eastAsia="標楷體" w:hAnsi="標楷體"/>
          <w:color w:val="000000"/>
        </w:rPr>
        <w:t>備註：本規定生效前已使用超過四種口服降血糖藥物成分之病人，得繼續使用原藥物至醫師更新其處方內容。</w:t>
      </w:r>
    </w:p>
    <w:p w14:paraId="423CFF1B" w14:textId="77777777" w:rsidR="00BD776B" w:rsidRDefault="00DF0C24">
      <w:pPr>
        <w:ind w:left="672" w:hanging="386"/>
        <w:rPr>
          <w:rFonts w:ascii="標楷體" w:eastAsia="標楷體" w:hAnsi="標楷體"/>
          <w:color w:val="000000"/>
        </w:rPr>
      </w:pPr>
      <w:r>
        <w:rPr>
          <w:rFonts w:ascii="標楷體" w:eastAsia="標楷體" w:hAnsi="標楷體"/>
          <w:color w:val="000000"/>
        </w:rPr>
        <w:t>5.1.1.Acarbose (如Glucobay)；miglitol (如Diaban)（86/1/1、87/4/1、89/6/1、91/7/1、98/12/1）</w:t>
      </w:r>
    </w:p>
    <w:p w14:paraId="39137C49" w14:textId="77777777" w:rsidR="00BD776B" w:rsidRDefault="00DF0C24">
      <w:pPr>
        <w:ind w:left="798" w:hanging="1"/>
        <w:rPr>
          <w:rFonts w:ascii="標楷體" w:eastAsia="標楷體" w:hAnsi="標楷體"/>
          <w:color w:val="000000"/>
        </w:rPr>
      </w:pPr>
      <w:r>
        <w:rPr>
          <w:rFonts w:ascii="標楷體" w:eastAsia="標楷體" w:hAnsi="標楷體"/>
          <w:color w:val="000000"/>
        </w:rPr>
        <w:t>限用於非胰島素依賴型糖尿病之治療。</w:t>
      </w:r>
    </w:p>
    <w:p w14:paraId="3B93CF51" w14:textId="77777777" w:rsidR="00BD776B" w:rsidRDefault="00DF0C24">
      <w:pPr>
        <w:ind w:left="672" w:hanging="386"/>
        <w:rPr>
          <w:rFonts w:ascii="標楷體" w:eastAsia="標楷體" w:hAnsi="標楷體"/>
          <w:color w:val="000000"/>
        </w:rPr>
      </w:pPr>
      <w:r>
        <w:rPr>
          <w:rFonts w:ascii="標楷體" w:eastAsia="標楷體" w:hAnsi="標楷體"/>
          <w:color w:val="000000"/>
        </w:rPr>
        <w:t>5.1.2.Guar gum (如Guarina；Guarem )限糖尿病治療使用。</w:t>
      </w:r>
    </w:p>
    <w:p w14:paraId="30852540" w14:textId="77777777" w:rsidR="00BD776B" w:rsidRDefault="00DF0C24">
      <w:pPr>
        <w:ind w:left="672" w:hanging="386"/>
        <w:rPr>
          <w:rFonts w:ascii="標楷體" w:eastAsia="標楷體" w:hAnsi="標楷體"/>
          <w:color w:val="000000"/>
        </w:rPr>
      </w:pPr>
      <w:r>
        <w:rPr>
          <w:rFonts w:ascii="標楷體" w:eastAsia="標楷體" w:hAnsi="標楷體"/>
          <w:color w:val="000000"/>
        </w:rPr>
        <w:t>5.1.3.GLP-1受體促效劑(105/8/1、107/4/1、108/7/1)</w:t>
      </w:r>
    </w:p>
    <w:p w14:paraId="7EF2E562" w14:textId="77777777" w:rsidR="00BD776B" w:rsidRDefault="00DF0C24">
      <w:pPr>
        <w:ind w:left="672" w:hanging="386"/>
        <w:rPr>
          <w:rFonts w:ascii="標楷體" w:eastAsia="標楷體" w:hAnsi="標楷體"/>
          <w:color w:val="000000"/>
        </w:rPr>
      </w:pPr>
      <w:r>
        <w:rPr>
          <w:rFonts w:ascii="標楷體" w:eastAsia="標楷體" w:hAnsi="標楷體"/>
          <w:color w:val="000000"/>
        </w:rPr>
        <w:t>5.1.3.1.Exenatide(如Byetta)(100/5/1、105/5/1、107/4/1)</w:t>
      </w:r>
    </w:p>
    <w:p w14:paraId="4756D856"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1.限用於已接受過最大耐受劑量的metformin及/或sulfonylurea類藥物仍無法理想控制血糖之第二型糖尿病患者。</w:t>
      </w:r>
    </w:p>
    <w:p w14:paraId="69B63F45" w14:textId="77777777" w:rsidR="00BD776B" w:rsidRDefault="00DF0C24">
      <w:pPr>
        <w:ind w:left="811" w:hanging="245"/>
        <w:rPr>
          <w:rFonts w:ascii="標楷體" w:eastAsia="標楷體" w:hAnsi="標楷體"/>
          <w:color w:val="000000"/>
        </w:rPr>
      </w:pPr>
      <w:r>
        <w:rPr>
          <w:rFonts w:ascii="標楷體" w:eastAsia="標楷體" w:hAnsi="標楷體"/>
          <w:color w:val="000000"/>
        </w:rPr>
        <w:t>2.本藥品不得與insulin、DPP-4抑制劑、SGLT-2抑制劑等藥物併用。</w:t>
      </w:r>
    </w:p>
    <w:p w14:paraId="0FA626B7" w14:textId="77777777" w:rsidR="00BD776B" w:rsidRDefault="00DF0C24">
      <w:pPr>
        <w:ind w:left="567" w:hanging="245"/>
        <w:rPr>
          <w:rFonts w:ascii="標楷體" w:eastAsia="標楷體" w:hAnsi="標楷體"/>
          <w:color w:val="000000"/>
        </w:rPr>
      </w:pPr>
      <w:r>
        <w:rPr>
          <w:rFonts w:ascii="標楷體" w:eastAsia="標楷體" w:hAnsi="標楷體"/>
          <w:color w:val="000000"/>
        </w:rPr>
        <w:t>5.1.3.2. Liraglutide (如Victoza)、dulaglutide (如Trulicity)、lixisenatide(如Lyxumia) 、semaglutide（如Ozempic）(101/10/1、</w:t>
      </w:r>
      <w:r>
        <w:rPr>
          <w:rFonts w:ascii="標楷體" w:eastAsia="標楷體" w:hAnsi="標楷體"/>
          <w:color w:val="000000"/>
        </w:rPr>
        <w:lastRenderedPageBreak/>
        <w:t>105/5/1、105/8/1、107/4/1、107/7/1、109/5/1、109/8/1、109/9/1、109/12/1)</w:t>
      </w:r>
    </w:p>
    <w:p w14:paraId="7427FC7D"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1.限用於已接受過最大耐受劑量的metformin及/或sulfonylurea類藥物，且併用下列藥品之一持續6個月之後，HbA1c仍高於8.5%以上之第二型糖尿病患者：(109/5/1)</w:t>
      </w:r>
    </w:p>
    <w:p w14:paraId="3D0E4896" w14:textId="77777777" w:rsidR="00BD776B" w:rsidRDefault="00DF0C24">
      <w:pPr>
        <w:ind w:left="1134" w:hanging="245"/>
        <w:rPr>
          <w:rFonts w:ascii="標楷體" w:eastAsia="標楷體" w:hAnsi="標楷體"/>
          <w:color w:val="000000"/>
        </w:rPr>
      </w:pPr>
      <w:r>
        <w:rPr>
          <w:rFonts w:ascii="標楷體" w:eastAsia="標楷體" w:hAnsi="標楷體"/>
          <w:color w:val="000000"/>
        </w:rPr>
        <w:t>(1)SGLT-2抑制劑</w:t>
      </w:r>
    </w:p>
    <w:p w14:paraId="68038206" w14:textId="77777777" w:rsidR="00BD776B" w:rsidRDefault="00DF0C24">
      <w:pPr>
        <w:ind w:left="1134" w:hanging="245"/>
        <w:rPr>
          <w:rFonts w:ascii="標楷體" w:eastAsia="標楷體" w:hAnsi="標楷體"/>
          <w:color w:val="000000"/>
        </w:rPr>
      </w:pPr>
      <w:r>
        <w:rPr>
          <w:rFonts w:ascii="標楷體" w:eastAsia="標楷體" w:hAnsi="標楷體"/>
          <w:color w:val="000000"/>
        </w:rPr>
        <w:t>(2)DPP-4抑制劑</w:t>
      </w:r>
    </w:p>
    <w:p w14:paraId="69A010B8" w14:textId="77777777" w:rsidR="00BD776B" w:rsidRDefault="00DF0C24">
      <w:pPr>
        <w:ind w:left="1134" w:hanging="245"/>
        <w:rPr>
          <w:rFonts w:ascii="標楷體" w:eastAsia="標楷體" w:hAnsi="標楷體"/>
          <w:color w:val="000000"/>
        </w:rPr>
      </w:pPr>
      <w:r>
        <w:rPr>
          <w:rFonts w:ascii="標楷體" w:eastAsia="標楷體" w:hAnsi="標楷體"/>
          <w:color w:val="000000"/>
        </w:rPr>
        <w:t>(3)SGLT-2抑制劑合併DPP-4抑制劑複方藥品</w:t>
      </w:r>
    </w:p>
    <w:p w14:paraId="3CAE5C4E" w14:textId="77777777" w:rsidR="00BD776B" w:rsidRDefault="00DF0C24">
      <w:pPr>
        <w:ind w:left="1134" w:hanging="245"/>
        <w:rPr>
          <w:rFonts w:ascii="標楷體" w:eastAsia="標楷體" w:hAnsi="標楷體"/>
          <w:color w:val="000000"/>
        </w:rPr>
      </w:pPr>
      <w:r>
        <w:rPr>
          <w:rFonts w:ascii="標楷體" w:eastAsia="標楷體" w:hAnsi="標楷體"/>
          <w:color w:val="000000"/>
        </w:rPr>
        <w:t>(4)Insulin</w:t>
      </w:r>
    </w:p>
    <w:p w14:paraId="0817E0AD" w14:textId="77777777" w:rsidR="00BD776B" w:rsidRDefault="00DF0C24">
      <w:pPr>
        <w:ind w:left="811" w:hanging="245"/>
        <w:rPr>
          <w:rFonts w:ascii="標楷體" w:eastAsia="標楷體" w:hAnsi="標楷體"/>
          <w:color w:val="000000"/>
        </w:rPr>
      </w:pPr>
      <w:r>
        <w:rPr>
          <w:rFonts w:ascii="標楷體" w:eastAsia="標楷體" w:hAnsi="標楷體"/>
          <w:color w:val="000000"/>
        </w:rPr>
        <w:t>2.當患者已接受前述口服降血糖藥物，及/或基礎胰島素治療仍未達理想血糖控制時，與口服降血糖藥物及/或基礎胰島素併用。</w:t>
      </w:r>
    </w:p>
    <w:p w14:paraId="1712F324" w14:textId="77777777" w:rsidR="00BD776B" w:rsidRDefault="00DF0C24">
      <w:pPr>
        <w:ind w:left="811" w:hanging="245"/>
        <w:rPr>
          <w:rFonts w:ascii="標楷體" w:eastAsia="標楷體" w:hAnsi="標楷體"/>
          <w:color w:val="000000"/>
        </w:rPr>
      </w:pPr>
      <w:r>
        <w:rPr>
          <w:rFonts w:ascii="標楷體" w:eastAsia="標楷體" w:hAnsi="標楷體"/>
          <w:color w:val="000000"/>
        </w:rPr>
        <w:t>3.發生重大心血管事件，如心肌梗塞、接受冠狀動脈或其他動脈血管再通術(revascularization)、動脈硬化相關之缺血性腦中風等之病人，於接受過最大耐受劑量的metformin後，仍無法理想控制血糖之第二型糖尿病患者，可考慮不須使用其他口服降血糖藥品而考慮使用liraglutide或dulaglutide或semaglutide。(109/12/1)</w:t>
      </w:r>
    </w:p>
    <w:p w14:paraId="4D065896" w14:textId="77777777" w:rsidR="00BD776B" w:rsidRDefault="00DF0C24">
      <w:pPr>
        <w:ind w:left="811" w:hanging="245"/>
        <w:rPr>
          <w:rFonts w:ascii="標楷體" w:eastAsia="標楷體" w:hAnsi="標楷體"/>
          <w:color w:val="000000"/>
        </w:rPr>
      </w:pPr>
      <w:r>
        <w:rPr>
          <w:rFonts w:ascii="標楷體" w:eastAsia="標楷體" w:hAnsi="標楷體"/>
          <w:color w:val="000000"/>
        </w:rPr>
        <w:t>4.本藥品不得與DPP-4抑制劑、SGLT-2抑制劑併用。</w:t>
      </w:r>
    </w:p>
    <w:p w14:paraId="0781484A" w14:textId="77777777" w:rsidR="00BD776B" w:rsidRDefault="00DF0C24">
      <w:pPr>
        <w:ind w:left="811" w:hanging="245"/>
        <w:rPr>
          <w:rFonts w:ascii="標楷體" w:eastAsia="標楷體" w:hAnsi="標楷體"/>
          <w:color w:val="000000"/>
        </w:rPr>
      </w:pPr>
      <w:r>
        <w:rPr>
          <w:rFonts w:ascii="標楷體" w:eastAsia="標楷體" w:hAnsi="標楷體"/>
          <w:color w:val="000000"/>
        </w:rPr>
        <w:t>5.109年5月1日前已依生效前之給付規定使用本類藥物之病人，得繼續使用原藥物至醫師更新其處方內容（109/8/1）。</w:t>
      </w:r>
    </w:p>
    <w:p w14:paraId="05BEF18A" w14:textId="77777777" w:rsidR="00BD776B" w:rsidRDefault="00DF0C24">
      <w:pPr>
        <w:ind w:left="989" w:hanging="706"/>
        <w:rPr>
          <w:rFonts w:ascii="標楷體" w:eastAsia="標楷體" w:hAnsi="標楷體"/>
          <w:color w:val="000000"/>
        </w:rPr>
      </w:pPr>
      <w:r>
        <w:rPr>
          <w:rFonts w:ascii="標楷體" w:eastAsia="標楷體" w:hAnsi="標楷體"/>
          <w:color w:val="000000"/>
        </w:rPr>
        <w:t>5.1.3.3.含lixisenatide及insulin glargine之複方製劑(如Soliqua)(108/7/1、110/7/1)</w:t>
      </w:r>
    </w:p>
    <w:p w14:paraId="0944E685" w14:textId="77777777" w:rsidR="00BD776B" w:rsidRDefault="00DF0C24">
      <w:pPr>
        <w:ind w:left="567"/>
        <w:rPr>
          <w:rFonts w:ascii="標楷體" w:eastAsia="標楷體" w:hAnsi="標楷體"/>
          <w:color w:val="000000"/>
        </w:rPr>
      </w:pPr>
      <w:r>
        <w:rPr>
          <w:rFonts w:ascii="標楷體" w:eastAsia="標楷體" w:hAnsi="標楷體"/>
          <w:color w:val="000000"/>
        </w:rPr>
        <w:t>1.限用於已接受過最大耐受劑量的metformin及/或sulfonylurea類藥物，且併用下列藥品之一持續6個月之後，HbA1c仍高於8.0%以上之第二型糖尿病成人病人：(110/7/1)</w:t>
      </w:r>
    </w:p>
    <w:p w14:paraId="334C3650" w14:textId="77777777" w:rsidR="00BD776B" w:rsidRDefault="00DF0C24">
      <w:pPr>
        <w:ind w:left="851"/>
        <w:rPr>
          <w:rFonts w:ascii="標楷體" w:eastAsia="標楷體" w:hAnsi="標楷體"/>
          <w:color w:val="000000"/>
        </w:rPr>
      </w:pPr>
      <w:r>
        <w:rPr>
          <w:rFonts w:ascii="標楷體" w:eastAsia="標楷體" w:hAnsi="標楷體"/>
          <w:color w:val="000000"/>
        </w:rPr>
        <w:t>(1)SGLT-2抑制劑</w:t>
      </w:r>
    </w:p>
    <w:p w14:paraId="0DCC652C" w14:textId="77777777" w:rsidR="00BD776B" w:rsidRDefault="00DF0C24">
      <w:pPr>
        <w:ind w:left="851"/>
        <w:rPr>
          <w:rFonts w:ascii="標楷體" w:eastAsia="標楷體" w:hAnsi="標楷體"/>
          <w:color w:val="000000"/>
        </w:rPr>
      </w:pPr>
      <w:r>
        <w:rPr>
          <w:rFonts w:ascii="標楷體" w:eastAsia="標楷體" w:hAnsi="標楷體"/>
          <w:color w:val="000000"/>
        </w:rPr>
        <w:t>(2)DPP-4抑制劑</w:t>
      </w:r>
    </w:p>
    <w:p w14:paraId="7551EEBF" w14:textId="77777777" w:rsidR="00BD776B" w:rsidRDefault="00DF0C24">
      <w:pPr>
        <w:ind w:left="851"/>
        <w:rPr>
          <w:rFonts w:ascii="標楷體" w:eastAsia="標楷體" w:hAnsi="標楷體"/>
          <w:color w:val="000000"/>
        </w:rPr>
      </w:pPr>
      <w:r>
        <w:rPr>
          <w:rFonts w:ascii="標楷體" w:eastAsia="標楷體" w:hAnsi="標楷體"/>
          <w:color w:val="000000"/>
        </w:rPr>
        <w:t>(3)SGLT-2抑制劑合併DPP-4抑制劑複方藥品</w:t>
      </w:r>
    </w:p>
    <w:p w14:paraId="63410434" w14:textId="77777777" w:rsidR="00BD776B" w:rsidRDefault="00DF0C24">
      <w:pPr>
        <w:ind w:left="851"/>
        <w:rPr>
          <w:rFonts w:ascii="標楷體" w:eastAsia="標楷體" w:hAnsi="標楷體"/>
          <w:color w:val="000000"/>
        </w:rPr>
      </w:pPr>
      <w:r>
        <w:rPr>
          <w:rFonts w:ascii="標楷體" w:eastAsia="標楷體" w:hAnsi="標楷體"/>
          <w:color w:val="000000"/>
        </w:rPr>
        <w:t>(4)Insulin(每日劑量少於60單位)</w:t>
      </w:r>
    </w:p>
    <w:p w14:paraId="504B319B" w14:textId="77777777" w:rsidR="00BD776B" w:rsidRDefault="00DF0C24">
      <w:pPr>
        <w:ind w:left="567"/>
        <w:rPr>
          <w:rFonts w:ascii="標楷體" w:eastAsia="標楷體" w:hAnsi="標楷體"/>
          <w:color w:val="000000"/>
        </w:rPr>
      </w:pPr>
      <w:r>
        <w:rPr>
          <w:rFonts w:ascii="標楷體" w:eastAsia="標楷體" w:hAnsi="標楷體"/>
          <w:color w:val="000000"/>
        </w:rPr>
        <w:t>2.本品不得與DPP-4抑制劑、SGLT-2抑制劑併用。</w:t>
      </w:r>
    </w:p>
    <w:p w14:paraId="6FBAE4AB" w14:textId="77777777" w:rsidR="00BD776B" w:rsidRDefault="00DF0C24">
      <w:pPr>
        <w:ind w:left="672" w:hanging="386"/>
        <w:rPr>
          <w:rFonts w:ascii="標楷體" w:eastAsia="標楷體" w:hAnsi="標楷體"/>
          <w:color w:val="000000"/>
        </w:rPr>
      </w:pPr>
      <w:r>
        <w:rPr>
          <w:rFonts w:ascii="標楷體" w:eastAsia="標楷體" w:hAnsi="標楷體"/>
          <w:color w:val="000000"/>
        </w:rPr>
        <w:t>5.1.4.(刪除)(100/8/1、107/10/1)</w:t>
      </w:r>
    </w:p>
    <w:p w14:paraId="6FE35A65" w14:textId="77777777" w:rsidR="00BD776B" w:rsidRDefault="00DF0C24">
      <w:pPr>
        <w:ind w:left="1063" w:hanging="780"/>
        <w:rPr>
          <w:rFonts w:ascii="標楷體" w:eastAsia="標楷體" w:hAnsi="標楷體"/>
          <w:color w:val="000000"/>
        </w:rPr>
      </w:pPr>
      <w:r>
        <w:rPr>
          <w:rFonts w:ascii="標楷體" w:eastAsia="標楷體" w:hAnsi="標楷體"/>
          <w:color w:val="000000"/>
        </w:rPr>
        <w:t>5.1.5.SGLT-2抑制劑及其複方：</w:t>
      </w:r>
    </w:p>
    <w:p w14:paraId="000FD2A6" w14:textId="77777777" w:rsidR="00BD776B" w:rsidRDefault="00DF0C24">
      <w:pPr>
        <w:ind w:left="811" w:hanging="245"/>
        <w:rPr>
          <w:rFonts w:ascii="標楷體" w:eastAsia="標楷體" w:hAnsi="標楷體"/>
          <w:color w:val="000000"/>
        </w:rPr>
      </w:pPr>
      <w:r>
        <w:rPr>
          <w:rFonts w:ascii="標楷體" w:eastAsia="標楷體" w:hAnsi="標楷體"/>
          <w:color w:val="000000"/>
        </w:rPr>
        <w:t>1.Dapagliflozin (如Forxiga)、empagliflozin (如Jardiance)、canagliflozin (如Canaglu)、ertugliflozin (如Steglatro) (105/5/1、107/3/1、108/7/1)</w:t>
      </w:r>
    </w:p>
    <w:p w14:paraId="7A10EAD1" w14:textId="77777777" w:rsidR="00BD776B" w:rsidRDefault="00DF0C24">
      <w:pPr>
        <w:ind w:left="850"/>
        <w:rPr>
          <w:rFonts w:ascii="標楷體" w:eastAsia="標楷體" w:hAnsi="標楷體"/>
          <w:color w:val="000000"/>
        </w:rPr>
      </w:pPr>
      <w:r>
        <w:rPr>
          <w:rFonts w:ascii="標楷體" w:eastAsia="標楷體" w:hAnsi="標楷體"/>
          <w:color w:val="000000"/>
        </w:rPr>
        <w:t>每日最多處方1粒。</w:t>
      </w:r>
    </w:p>
    <w:p w14:paraId="760D3CD3" w14:textId="77777777" w:rsidR="00BD776B" w:rsidRDefault="00DF0C24">
      <w:pPr>
        <w:ind w:left="811" w:hanging="245"/>
        <w:rPr>
          <w:rFonts w:ascii="標楷體" w:eastAsia="標楷體" w:hAnsi="標楷體"/>
          <w:color w:val="000000"/>
        </w:rPr>
      </w:pPr>
      <w:r>
        <w:rPr>
          <w:rFonts w:ascii="標楷體" w:eastAsia="標楷體" w:hAnsi="標楷體"/>
          <w:color w:val="000000"/>
        </w:rPr>
        <w:t>2.Empagliflozin/metformin 複方(如 Jardiance Duo) (107/3/1)</w:t>
      </w:r>
    </w:p>
    <w:p w14:paraId="74E35DAA" w14:textId="77777777" w:rsidR="00BD776B" w:rsidRDefault="00DF0C24">
      <w:pPr>
        <w:ind w:left="850"/>
        <w:rPr>
          <w:rFonts w:ascii="標楷體" w:eastAsia="標楷體" w:hAnsi="標楷體"/>
          <w:color w:val="000000"/>
        </w:rPr>
      </w:pPr>
      <w:r>
        <w:rPr>
          <w:rFonts w:ascii="標楷體" w:eastAsia="標楷體" w:hAnsi="標楷體"/>
          <w:color w:val="000000"/>
        </w:rPr>
        <w:t>每日最多處方2粒。</w:t>
      </w:r>
    </w:p>
    <w:p w14:paraId="518D3C11" w14:textId="77777777" w:rsidR="00BD776B" w:rsidRDefault="00DF0C24">
      <w:pPr>
        <w:ind w:left="811" w:hanging="245"/>
        <w:rPr>
          <w:rFonts w:ascii="標楷體" w:eastAsia="標楷體" w:hAnsi="標楷體"/>
          <w:color w:val="000000"/>
        </w:rPr>
      </w:pPr>
      <w:r>
        <w:rPr>
          <w:rFonts w:ascii="標楷體" w:eastAsia="標楷體" w:hAnsi="標楷體"/>
          <w:color w:val="000000"/>
        </w:rPr>
        <w:t>3.Dapagliflozin及metformin 複方(如Xigduo XR)(107/3/1)</w:t>
      </w:r>
    </w:p>
    <w:p w14:paraId="32463503" w14:textId="77777777" w:rsidR="00BD776B" w:rsidRDefault="00DF0C24">
      <w:pPr>
        <w:ind w:left="850"/>
        <w:rPr>
          <w:rFonts w:ascii="標楷體" w:eastAsia="標楷體" w:hAnsi="標楷體"/>
          <w:color w:val="000000"/>
        </w:rPr>
      </w:pPr>
      <w:r>
        <w:rPr>
          <w:rFonts w:ascii="標楷體" w:eastAsia="標楷體" w:hAnsi="標楷體"/>
          <w:color w:val="000000"/>
        </w:rPr>
        <w:t>每日最多處方1粒。</w:t>
      </w:r>
    </w:p>
    <w:p w14:paraId="4A6C8FF4" w14:textId="77777777" w:rsidR="00BD776B" w:rsidRDefault="00DF0C24">
      <w:pPr>
        <w:ind w:left="672" w:hanging="386"/>
        <w:rPr>
          <w:rFonts w:ascii="標楷體" w:eastAsia="標楷體" w:hAnsi="標楷體"/>
          <w:color w:val="000000"/>
        </w:rPr>
      </w:pPr>
      <w:r>
        <w:rPr>
          <w:rFonts w:ascii="標楷體" w:eastAsia="標楷體" w:hAnsi="標楷體"/>
          <w:color w:val="000000"/>
        </w:rPr>
        <w:t>5.1.6.含empagliflozin及linagliptin之複方製劑(如Glyxambi)(108/1/1、109/5/1)</w:t>
      </w:r>
    </w:p>
    <w:p w14:paraId="41DB51A4" w14:textId="77777777" w:rsidR="00BD776B" w:rsidRDefault="00DF0C24">
      <w:pPr>
        <w:ind w:left="811" w:hanging="245"/>
        <w:rPr>
          <w:rFonts w:ascii="標楷體" w:eastAsia="標楷體" w:hAnsi="標楷體"/>
          <w:color w:val="000000"/>
        </w:rPr>
      </w:pPr>
      <w:r>
        <w:rPr>
          <w:rFonts w:ascii="標楷體" w:eastAsia="標楷體" w:hAnsi="標楷體"/>
          <w:color w:val="000000"/>
        </w:rPr>
        <w:t>1.每日限處方1粒。</w:t>
      </w:r>
    </w:p>
    <w:p w14:paraId="15D7DDCB"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2.限用於已接受過最大耐受劑量的metformin，且併用empagliflozin或linagliptin治療至少6個月，糖化血色素值(HbA1c)仍高於7.5%者。</w:t>
      </w:r>
    </w:p>
    <w:p w14:paraId="156466BA" w14:textId="77777777" w:rsidR="00BD776B" w:rsidRDefault="00DF0C24">
      <w:pPr>
        <w:ind w:left="672" w:hanging="386"/>
        <w:rPr>
          <w:rFonts w:ascii="標楷體" w:eastAsia="標楷體" w:hAnsi="標楷體"/>
          <w:color w:val="000000"/>
        </w:rPr>
      </w:pPr>
      <w:r>
        <w:rPr>
          <w:rFonts w:ascii="標楷體" w:eastAsia="標楷體" w:hAnsi="標楷體"/>
          <w:color w:val="000000"/>
        </w:rPr>
        <w:t>5.1.7.含dapagliflozin及saxagliptin之複方製劑(如Qtern)(108/11/1、109/5/1)</w:t>
      </w:r>
    </w:p>
    <w:p w14:paraId="47C5A6F7" w14:textId="77777777" w:rsidR="00BD776B" w:rsidRDefault="00DF0C24">
      <w:pPr>
        <w:ind w:left="672" w:hanging="105"/>
        <w:rPr>
          <w:rFonts w:ascii="標楷體" w:eastAsia="標楷體" w:hAnsi="標楷體"/>
          <w:color w:val="000000"/>
        </w:rPr>
      </w:pPr>
      <w:r>
        <w:rPr>
          <w:rFonts w:ascii="標楷體" w:eastAsia="標楷體" w:hAnsi="標楷體"/>
          <w:color w:val="000000"/>
        </w:rPr>
        <w:t>1.每日限處方1粒。</w:t>
      </w:r>
    </w:p>
    <w:p w14:paraId="04A330D2" w14:textId="77777777" w:rsidR="00BD776B" w:rsidRDefault="00DF0C24">
      <w:pPr>
        <w:ind w:left="672" w:hanging="105"/>
        <w:rPr>
          <w:rFonts w:ascii="標楷體" w:eastAsia="標楷體" w:hAnsi="標楷體"/>
          <w:color w:val="000000"/>
        </w:rPr>
      </w:pPr>
      <w:r>
        <w:rPr>
          <w:rFonts w:ascii="標楷體" w:eastAsia="標楷體" w:hAnsi="標楷體"/>
          <w:color w:val="000000"/>
        </w:rPr>
        <w:t>2.限用於已接受過最大耐受劑量的metformin，且併用dapagliflozin或saxagliptin治療至少6個月，糖化血色素值(HbA1c)仍高於7.5%者。</w:t>
      </w:r>
    </w:p>
    <w:p w14:paraId="039488A9" w14:textId="77777777" w:rsidR="00BD776B" w:rsidRDefault="00DF0C24">
      <w:pPr>
        <w:ind w:left="672" w:hanging="386"/>
        <w:rPr>
          <w:rFonts w:ascii="標楷體" w:eastAsia="標楷體" w:hAnsi="標楷體"/>
          <w:color w:val="000000"/>
        </w:rPr>
      </w:pPr>
      <w:r>
        <w:rPr>
          <w:rFonts w:ascii="標楷體" w:eastAsia="標楷體" w:hAnsi="標楷體"/>
          <w:color w:val="000000"/>
        </w:rPr>
        <w:t>5.1.8.含ertugliflozin及sitagliptin之複方製劑(如Steglujan)(109/5/1)</w:t>
      </w:r>
    </w:p>
    <w:p w14:paraId="744B80DA" w14:textId="77777777" w:rsidR="00BD776B" w:rsidRDefault="00DF0C24">
      <w:pPr>
        <w:ind w:left="672" w:hanging="105"/>
        <w:rPr>
          <w:rFonts w:ascii="標楷體" w:eastAsia="標楷體" w:hAnsi="標楷體"/>
          <w:color w:val="000000"/>
        </w:rPr>
      </w:pPr>
      <w:r>
        <w:rPr>
          <w:rFonts w:ascii="標楷體" w:eastAsia="標楷體" w:hAnsi="標楷體"/>
          <w:color w:val="000000"/>
        </w:rPr>
        <w:t>1.每日限處方1粒。</w:t>
      </w:r>
    </w:p>
    <w:p w14:paraId="0F9B13A6" w14:textId="77777777" w:rsidR="00BD776B" w:rsidRDefault="00DF0C24">
      <w:pPr>
        <w:ind w:left="672" w:hanging="105"/>
        <w:rPr>
          <w:rFonts w:ascii="標楷體" w:eastAsia="標楷體" w:hAnsi="標楷體"/>
          <w:color w:val="000000"/>
        </w:rPr>
      </w:pPr>
      <w:r>
        <w:rPr>
          <w:rFonts w:ascii="標楷體" w:eastAsia="標楷體" w:hAnsi="標楷體"/>
          <w:color w:val="000000"/>
        </w:rPr>
        <w:t>2.限用於已接受過最大耐受劑量的metformin，且併用ertugliflozin或sitagliptin治療至少6個月，糖化血色素值(HbA1c)仍高於7.5%者。</w:t>
      </w:r>
    </w:p>
    <w:p w14:paraId="4B4D82DF" w14:textId="77777777" w:rsidR="00BD776B" w:rsidRDefault="00DF0C24">
      <w:pPr>
        <w:ind w:left="672" w:hanging="386"/>
        <w:rPr>
          <w:rFonts w:ascii="標楷體" w:eastAsia="標楷體" w:hAnsi="標楷體"/>
          <w:color w:val="000000"/>
        </w:rPr>
      </w:pPr>
      <w:r>
        <w:rPr>
          <w:rFonts w:ascii="標楷體" w:eastAsia="標楷體" w:hAnsi="標楷體"/>
          <w:color w:val="000000"/>
        </w:rPr>
        <w:t>5.2.雄性激素類製劑與同化作用類固醇及其拮抗劑  Androgens and anabolic steroids and antagonists</w:t>
      </w:r>
    </w:p>
    <w:p w14:paraId="77A28E5C" w14:textId="77777777" w:rsidR="00BD776B" w:rsidRDefault="00DF0C24">
      <w:pPr>
        <w:ind w:left="672" w:hanging="386"/>
        <w:rPr>
          <w:rFonts w:ascii="標楷體" w:eastAsia="標楷體" w:hAnsi="標楷體"/>
          <w:color w:val="000000"/>
        </w:rPr>
      </w:pPr>
      <w:r>
        <w:rPr>
          <w:rFonts w:ascii="標楷體" w:eastAsia="標楷體" w:hAnsi="標楷體"/>
          <w:color w:val="000000"/>
        </w:rPr>
        <w:t>5.2.1.Danazol限下列病例使用（86/1/1）</w:t>
      </w:r>
    </w:p>
    <w:p w14:paraId="323C4819" w14:textId="77777777" w:rsidR="00BD776B" w:rsidRDefault="00DF0C24">
      <w:pPr>
        <w:ind w:left="811" w:hanging="245"/>
        <w:rPr>
          <w:rFonts w:ascii="標楷體" w:eastAsia="標楷體" w:hAnsi="標楷體"/>
          <w:color w:val="000000"/>
        </w:rPr>
      </w:pPr>
      <w:r>
        <w:rPr>
          <w:rFonts w:ascii="標楷體" w:eastAsia="標楷體" w:hAnsi="標楷體"/>
          <w:color w:val="000000"/>
        </w:rPr>
        <w:t>1.子宮內膜異位。</w:t>
      </w:r>
    </w:p>
    <w:p w14:paraId="4DA6B77B" w14:textId="77777777" w:rsidR="00BD776B" w:rsidRDefault="00DF0C24">
      <w:pPr>
        <w:ind w:left="811" w:hanging="245"/>
        <w:rPr>
          <w:rFonts w:ascii="標楷體" w:eastAsia="標楷體" w:hAnsi="標楷體"/>
          <w:color w:val="000000"/>
        </w:rPr>
      </w:pPr>
      <w:r>
        <w:rPr>
          <w:rFonts w:ascii="標楷體" w:eastAsia="標楷體" w:hAnsi="標楷體"/>
          <w:color w:val="000000"/>
        </w:rPr>
        <w:t>2.纖維性囊腫乳房性疾患。</w:t>
      </w:r>
    </w:p>
    <w:p w14:paraId="0FD9BFB4" w14:textId="77777777" w:rsidR="00BD776B" w:rsidRDefault="00DF0C24">
      <w:pPr>
        <w:ind w:left="672" w:hanging="386"/>
        <w:rPr>
          <w:rFonts w:ascii="標楷體" w:eastAsia="標楷體" w:hAnsi="標楷體"/>
          <w:color w:val="000000"/>
        </w:rPr>
      </w:pPr>
      <w:r>
        <w:rPr>
          <w:rFonts w:ascii="標楷體" w:eastAsia="標楷體" w:hAnsi="標楷體"/>
          <w:color w:val="000000"/>
        </w:rPr>
        <w:t>5.2.2.含testosterone 5-alpha reductase inhibitor製劑（101/3/1）</w:t>
      </w:r>
    </w:p>
    <w:p w14:paraId="2F9C23F3" w14:textId="77777777" w:rsidR="00BD776B" w:rsidRDefault="00DF0C24">
      <w:pPr>
        <w:spacing w:line="440" w:lineRule="exact"/>
        <w:ind w:left="672" w:right="70" w:hanging="386"/>
        <w:rPr>
          <w:rFonts w:ascii="標楷體" w:eastAsia="標楷體" w:hAnsi="標楷體"/>
          <w:color w:val="000000"/>
        </w:rPr>
      </w:pPr>
      <w:r>
        <w:rPr>
          <w:rFonts w:ascii="標楷體" w:eastAsia="標楷體" w:hAnsi="標楷體"/>
          <w:color w:val="000000"/>
        </w:rPr>
        <w:t>5.2.2.1 Finasteride（如Proscar）; dutasteride (如Avodart) (86/1/1、87/4/1、93/10/1、101/3/1、102/12/1、106/10/1、108/12/1)：</w:t>
      </w:r>
    </w:p>
    <w:p w14:paraId="141BE6AA" w14:textId="77777777" w:rsidR="00BD776B" w:rsidRDefault="00DF0C24">
      <w:pPr>
        <w:ind w:left="567" w:hanging="1"/>
        <w:rPr>
          <w:rFonts w:ascii="標楷體" w:eastAsia="標楷體" w:hAnsi="標楷體"/>
          <w:color w:val="000000"/>
        </w:rPr>
      </w:pPr>
      <w:r>
        <w:rPr>
          <w:rFonts w:ascii="標楷體" w:eastAsia="標楷體" w:hAnsi="標楷體"/>
          <w:color w:val="000000"/>
        </w:rPr>
        <w:t>限前列腺增生且有阻塞症狀，使用經直腸超音波前列腺掃描 (TRUS of prostate) 或使用腹部超音波測量(僅限無法實施直腸超音波前列腺掃描者)為原則，前列腺大於30mL或最大尿流速 (Qmax) 小於15 mL/sec之病人方可使用。(102/12/1、108/12/1)</w:t>
      </w:r>
    </w:p>
    <w:p w14:paraId="0D6CC2E1" w14:textId="77777777" w:rsidR="00BD776B" w:rsidRDefault="00DF0C24">
      <w:pPr>
        <w:spacing w:line="440" w:lineRule="exact"/>
        <w:ind w:left="672" w:right="70" w:hanging="386"/>
        <w:rPr>
          <w:rFonts w:ascii="標楷體" w:eastAsia="標楷體" w:hAnsi="標楷體"/>
          <w:color w:val="000000"/>
        </w:rPr>
      </w:pPr>
      <w:r>
        <w:rPr>
          <w:rFonts w:ascii="標楷體" w:eastAsia="標楷體" w:hAnsi="標楷體"/>
          <w:color w:val="000000"/>
        </w:rPr>
        <w:t>5.2.2.2. Dutasteride + tamsulosin (如Duodart) (101/3/1、102/12/1、106/10/1、108/12/1)：</w:t>
      </w:r>
    </w:p>
    <w:p w14:paraId="207CF148" w14:textId="77777777" w:rsidR="00BD776B" w:rsidRDefault="00DF0C24">
      <w:pPr>
        <w:ind w:left="567" w:hanging="1"/>
        <w:rPr>
          <w:rFonts w:ascii="標楷體" w:eastAsia="標楷體" w:hAnsi="標楷體"/>
          <w:color w:val="000000"/>
        </w:rPr>
      </w:pPr>
      <w:r>
        <w:rPr>
          <w:rFonts w:ascii="標楷體" w:eastAsia="標楷體" w:hAnsi="標楷體"/>
          <w:color w:val="000000"/>
        </w:rPr>
        <w:t>限前列腺增生且有阻塞症狀，經直腸超音波前列腺掃描 (TRUS of prostate) 或使用腹部超音波測量(僅限無法實施直腸超音波前列腺掃描者)為原則，前列腺大於30mL或最大尿流速 (Qmax) 小於15 mL/sec之病人。 (102/12/1、108/12/1)</w:t>
      </w:r>
    </w:p>
    <w:p w14:paraId="74410BD4" w14:textId="77777777" w:rsidR="00BD776B" w:rsidRDefault="00DF0C24">
      <w:pPr>
        <w:ind w:left="672" w:hanging="386"/>
        <w:rPr>
          <w:rFonts w:ascii="標楷體" w:eastAsia="標楷體" w:hAnsi="標楷體"/>
          <w:color w:val="000000"/>
        </w:rPr>
      </w:pPr>
      <w:r>
        <w:rPr>
          <w:rFonts w:ascii="標楷體" w:eastAsia="標楷體" w:hAnsi="標楷體"/>
          <w:color w:val="000000"/>
        </w:rPr>
        <w:t>5.3.動情激素、黃體激素及治療不孕症藥物  Estrogens, progestins &amp; drugs used for infertility</w:t>
      </w:r>
    </w:p>
    <w:p w14:paraId="7E6FB873" w14:textId="77777777" w:rsidR="00BD776B" w:rsidRDefault="00DF0C24">
      <w:pPr>
        <w:ind w:left="672" w:hanging="386"/>
        <w:rPr>
          <w:rFonts w:ascii="標楷體" w:eastAsia="標楷體" w:hAnsi="標楷體"/>
          <w:color w:val="000000"/>
        </w:rPr>
      </w:pPr>
      <w:r>
        <w:rPr>
          <w:rFonts w:ascii="標楷體" w:eastAsia="標楷體" w:hAnsi="標楷體"/>
          <w:color w:val="000000"/>
        </w:rPr>
        <w:t>5.3.1.Estradiol之經皮吸收製劑：</w:t>
      </w:r>
    </w:p>
    <w:p w14:paraId="1F041E79" w14:textId="77777777" w:rsidR="00BD776B" w:rsidRDefault="00DF0C24">
      <w:pPr>
        <w:ind w:left="672" w:hanging="386"/>
        <w:rPr>
          <w:rFonts w:ascii="標楷體" w:eastAsia="標楷體" w:hAnsi="標楷體"/>
          <w:color w:val="000000"/>
        </w:rPr>
      </w:pPr>
      <w:r>
        <w:rPr>
          <w:rFonts w:ascii="標楷體" w:eastAsia="標楷體" w:hAnsi="標楷體"/>
          <w:color w:val="000000"/>
        </w:rPr>
        <w:t>5.3.1.1.Estraderm TTS；Oestro V.T (93/5/1)</w:t>
      </w:r>
    </w:p>
    <w:p w14:paraId="7C11C3D2" w14:textId="77777777" w:rsidR="00BD776B" w:rsidRDefault="00DF0C24">
      <w:pPr>
        <w:ind w:left="798" w:hanging="1"/>
        <w:rPr>
          <w:rFonts w:ascii="標楷體" w:eastAsia="標楷體" w:hAnsi="標楷體"/>
          <w:color w:val="000000"/>
        </w:rPr>
      </w:pPr>
      <w:r>
        <w:rPr>
          <w:rFonts w:ascii="標楷體" w:eastAsia="標楷體" w:hAnsi="標楷體"/>
          <w:color w:val="000000"/>
        </w:rPr>
        <w:t>限不能口服本品患者使用，申報費用時應具體說明不能口服之理由。</w:t>
      </w:r>
    </w:p>
    <w:p w14:paraId="50925483" w14:textId="77777777" w:rsidR="00BD776B" w:rsidRDefault="00DF0C24">
      <w:pPr>
        <w:ind w:left="672" w:hanging="386"/>
      </w:pPr>
      <w:r>
        <w:rPr>
          <w:rFonts w:ascii="標楷體" w:eastAsia="標楷體" w:hAnsi="標楷體"/>
          <w:color w:val="000000"/>
        </w:rPr>
        <w:t>5.3.1.2.Estradiol 3.8mg/12.5cm</w:t>
      </w:r>
      <w:r>
        <w:rPr>
          <w:rFonts w:ascii="標楷體" w:eastAsia="標楷體" w:hAnsi="標楷體"/>
          <w:color w:val="000000"/>
          <w:vertAlign w:val="superscript"/>
        </w:rPr>
        <w:t>2</w:t>
      </w:r>
      <w:r>
        <w:rPr>
          <w:rFonts w:ascii="標楷體" w:eastAsia="標楷體" w:hAnsi="標楷體"/>
          <w:color w:val="000000"/>
        </w:rPr>
        <w:t>/patch （如Climara 50 Transdermal Patch）之給付規定：（90/4/1）限每週一片。</w:t>
      </w:r>
    </w:p>
    <w:p w14:paraId="18C0FDEF" w14:textId="77777777" w:rsidR="00BD776B" w:rsidRDefault="00DF0C24">
      <w:pPr>
        <w:ind w:left="672" w:hanging="386"/>
        <w:rPr>
          <w:rFonts w:ascii="標楷體" w:eastAsia="標楷體" w:hAnsi="標楷體"/>
          <w:color w:val="000000"/>
        </w:rPr>
      </w:pPr>
      <w:r>
        <w:rPr>
          <w:rFonts w:ascii="標楷體" w:eastAsia="標楷體" w:hAnsi="標楷體"/>
          <w:color w:val="000000"/>
        </w:rPr>
        <w:t>5.3.2.FSH (pure FSH)用於誘發排卵時，限hypothalamus failure (下視丘功能衰竭)患者，事前專案報准後使用(85/1/1)。</w:t>
      </w:r>
    </w:p>
    <w:p w14:paraId="3EDA7338" w14:textId="77777777" w:rsidR="00BD776B" w:rsidRDefault="00DF0C24">
      <w:pPr>
        <w:ind w:left="672" w:hanging="386"/>
        <w:rPr>
          <w:rFonts w:ascii="標楷體" w:eastAsia="標楷體" w:hAnsi="標楷體"/>
          <w:color w:val="000000"/>
        </w:rPr>
      </w:pPr>
      <w:r>
        <w:rPr>
          <w:rFonts w:ascii="標楷體" w:eastAsia="標楷體" w:hAnsi="標楷體"/>
          <w:color w:val="000000"/>
        </w:rPr>
        <w:t>5.3.3.HMG用於誘發排卵時，限hypothalamus failure (下視丘功能衰竭)患者，事前專案報准後使用(85/1/1)。</w:t>
      </w:r>
    </w:p>
    <w:p w14:paraId="5D830A6D" w14:textId="77777777" w:rsidR="00BD776B" w:rsidRDefault="00DF0C24">
      <w:pPr>
        <w:ind w:left="672" w:hanging="386"/>
        <w:rPr>
          <w:rFonts w:ascii="標楷體" w:eastAsia="標楷體" w:hAnsi="標楷體"/>
          <w:color w:val="000000"/>
        </w:rPr>
      </w:pPr>
      <w:r>
        <w:rPr>
          <w:rFonts w:ascii="標楷體" w:eastAsia="標楷體" w:hAnsi="標楷體"/>
          <w:color w:val="000000"/>
        </w:rPr>
        <w:t>5.3.4. (刪除)(110/12/1)</w:t>
      </w:r>
    </w:p>
    <w:p w14:paraId="0733E4B2" w14:textId="77777777" w:rsidR="00BD776B" w:rsidRDefault="00DF0C24">
      <w:pPr>
        <w:ind w:left="283"/>
        <w:rPr>
          <w:rFonts w:ascii="標楷體" w:eastAsia="標楷體" w:hAnsi="標楷體"/>
          <w:color w:val="000000"/>
        </w:rPr>
      </w:pPr>
      <w:r>
        <w:rPr>
          <w:rFonts w:ascii="標楷體" w:eastAsia="標楷體" w:hAnsi="標楷體"/>
          <w:color w:val="000000"/>
        </w:rPr>
        <w:t>5.3.5.Levonorgestrel intrauterine system  (如Mirena)：(104/2/1、107/4/1)</w:t>
      </w:r>
    </w:p>
    <w:p w14:paraId="6CD9461F" w14:textId="77777777" w:rsidR="00BD776B" w:rsidRDefault="00DF0C24">
      <w:pPr>
        <w:ind w:left="782"/>
        <w:rPr>
          <w:rFonts w:ascii="標楷體" w:eastAsia="標楷體" w:hAnsi="標楷體"/>
          <w:color w:val="000000"/>
        </w:rPr>
      </w:pPr>
      <w:r>
        <w:rPr>
          <w:rFonts w:ascii="標楷體" w:eastAsia="標楷體" w:hAnsi="標楷體"/>
          <w:color w:val="000000"/>
        </w:rPr>
        <w:lastRenderedPageBreak/>
        <w:t>限使用於連續3個月(含)以上月經經血過多導致嚴重貧血(Hemoglobin≦10g/dL)之婦女，且每次使用後之五年內，不得再次使用。</w:t>
      </w:r>
    </w:p>
    <w:p w14:paraId="6663FBB6" w14:textId="77777777" w:rsidR="00BD776B" w:rsidRDefault="00DF0C24">
      <w:pPr>
        <w:snapToGrid w:val="0"/>
        <w:ind w:left="283"/>
      </w:pPr>
      <w:r>
        <w:rPr>
          <w:rFonts w:ascii="標楷體" w:eastAsia="標楷體" w:hAnsi="標楷體"/>
          <w:color w:val="000000"/>
        </w:rPr>
        <w:t>5.3.6. Megestrol口服液劑：(108/6/1、109/3/1)</w:t>
      </w:r>
    </w:p>
    <w:p w14:paraId="24BC570D"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限用於已排除其他可治療之體重減輕（如全身性感染、影響吸收的腸胃道疾病、內分泌疾病、腎臟或精神病）之具惡病質的後天免疫缺乏症候群患者及癌症患者。</w:t>
      </w:r>
    </w:p>
    <w:p w14:paraId="686450B5"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惡病質之條件包括最近6個月以內體重流失&gt;5%，或BMI&lt;20且體重流失&gt;2%。</w:t>
      </w:r>
    </w:p>
    <w:p w14:paraId="6B79186D" w14:textId="77777777" w:rsidR="00BD776B" w:rsidRDefault="00DF0C24">
      <w:pPr>
        <w:ind w:left="672" w:hanging="386"/>
        <w:rPr>
          <w:rFonts w:ascii="標楷體" w:eastAsia="標楷體" w:hAnsi="標楷體"/>
          <w:color w:val="000000"/>
        </w:rPr>
      </w:pPr>
      <w:r>
        <w:rPr>
          <w:rFonts w:ascii="標楷體" w:eastAsia="標楷體" w:hAnsi="標楷體"/>
          <w:color w:val="000000"/>
        </w:rPr>
        <w:t>5.4.作用於腦下腺前葉與下視丘的藥物  Drugs related to anterior pituitary &amp; hypothalamic function</w:t>
      </w:r>
    </w:p>
    <w:p w14:paraId="1FAB0449" w14:textId="77777777" w:rsidR="00BD776B" w:rsidRDefault="00DF0C24">
      <w:pPr>
        <w:ind w:left="630" w:hanging="341"/>
      </w:pPr>
      <w:r>
        <w:rPr>
          <w:rFonts w:ascii="標楷體" w:eastAsia="標楷體" w:hAnsi="標楷體"/>
          <w:color w:val="000000"/>
          <w:szCs w:val="24"/>
        </w:rPr>
        <w:t>5.4.1.1.生長激素 (Somatropin)</w:t>
      </w:r>
      <w:r>
        <w:rPr>
          <w:rFonts w:ascii="標楷體" w:eastAsia="標楷體" w:hAnsi="標楷體"/>
          <w:szCs w:val="24"/>
        </w:rPr>
        <w:t xml:space="preserve"> </w:t>
      </w:r>
      <w:r>
        <w:rPr>
          <w:rFonts w:ascii="標楷體" w:eastAsia="標楷體" w:hAnsi="標楷體"/>
          <w:color w:val="000000"/>
          <w:szCs w:val="24"/>
        </w:rPr>
        <w:t>(111/2/1)：</w:t>
      </w:r>
    </w:p>
    <w:p w14:paraId="7ED03391" w14:textId="77777777" w:rsidR="00BD776B" w:rsidRDefault="00DF0C24">
      <w:pPr>
        <w:ind w:left="924" w:hanging="272"/>
        <w:rPr>
          <w:rFonts w:ascii="標楷體" w:eastAsia="標楷體" w:hAnsi="標楷體"/>
          <w:color w:val="000000"/>
          <w:szCs w:val="24"/>
        </w:rPr>
      </w:pPr>
      <w:r>
        <w:rPr>
          <w:rFonts w:ascii="標楷體" w:eastAsia="標楷體" w:hAnsi="標楷體"/>
          <w:color w:val="000000"/>
          <w:szCs w:val="24"/>
        </w:rPr>
        <w:t>1.限生長激素缺乏症、透納氏症候群、SHOX缺乏症(限使用Humatrope)及努南氏症候群（限使用Norditropin）患者使用。(104/6/1、111/11/1)</w:t>
      </w:r>
    </w:p>
    <w:p w14:paraId="145733B8" w14:textId="77777777" w:rsidR="00BD776B" w:rsidRDefault="00DF0C24">
      <w:pPr>
        <w:ind w:left="924" w:hanging="272"/>
        <w:rPr>
          <w:rFonts w:ascii="標楷體" w:eastAsia="標楷體" w:hAnsi="標楷體"/>
          <w:color w:val="000000"/>
          <w:szCs w:val="24"/>
        </w:rPr>
      </w:pPr>
      <w:r>
        <w:rPr>
          <w:rFonts w:ascii="標楷體" w:eastAsia="標楷體" w:hAnsi="標楷體"/>
          <w:color w:val="000000"/>
          <w:szCs w:val="24"/>
        </w:rPr>
        <w:t>2.限地區醫院以上層級具兒科內分泌學次專科、兒科醫學遺傳學及新陳代謝學次專科或新陳代謝專科醫師診斷。(104/6/1、110/12/1)</w:t>
      </w:r>
    </w:p>
    <w:p w14:paraId="7067DF00" w14:textId="77777777" w:rsidR="00BD776B" w:rsidRDefault="00DF0C24">
      <w:pPr>
        <w:ind w:left="924" w:hanging="272"/>
        <w:rPr>
          <w:rFonts w:ascii="標楷體" w:eastAsia="標楷體" w:hAnsi="標楷體"/>
          <w:color w:val="000000"/>
          <w:szCs w:val="24"/>
        </w:rPr>
      </w:pPr>
      <w:r>
        <w:rPr>
          <w:rFonts w:ascii="標楷體" w:eastAsia="標楷體" w:hAnsi="標楷體"/>
          <w:color w:val="000000"/>
          <w:szCs w:val="24"/>
        </w:rPr>
        <w:t>3.生長激素缺乏症使用生長激素治療，依下列規範使用：（100/12/1）</w:t>
      </w:r>
    </w:p>
    <w:p w14:paraId="5BE2F5F0"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(1)診斷：施行insulin, clonidine, L-Dopa, glucagon, arginine等檢查有兩項以上之檢查生長激素值均低於7ng/mL(insulin test須附檢查時之血糖值)。包括病理性(pathological)及特發性(idiopathic)及新生兒生長激素缺乏症。</w:t>
      </w:r>
    </w:p>
    <w:p w14:paraId="2D01EA9B"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(2)開始治療條件：</w:t>
      </w:r>
    </w:p>
    <w:p w14:paraId="3D91FDCC"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Ⅰ.病理性生長激素缺乏症者須兼具下列二項條件：</w:t>
      </w:r>
    </w:p>
    <w:p w14:paraId="24C24B82" w14:textId="77777777" w:rsidR="00BD776B" w:rsidRDefault="00DF0C24">
      <w:pPr>
        <w:ind w:left="1526" w:hanging="307"/>
        <w:rPr>
          <w:rFonts w:ascii="標楷體" w:eastAsia="標楷體" w:hAnsi="標楷體"/>
          <w:color w:val="000000"/>
          <w:szCs w:val="24"/>
        </w:rPr>
      </w:pPr>
      <w:r>
        <w:rPr>
          <w:rFonts w:ascii="標楷體" w:eastAsia="標楷體" w:hAnsi="標楷體"/>
          <w:color w:val="000000"/>
          <w:szCs w:val="24"/>
        </w:rPr>
        <w:t>i.包括下視丘-腦垂體病變(如：腫瘤或腦垂體柄因被浸潤而膨大)及下視丘-腦垂體發育異常(如：無腦垂體柄、腦垂體後葉異位)者。</w:t>
      </w:r>
    </w:p>
    <w:p w14:paraId="4CD7903E" w14:textId="77777777" w:rsidR="00BD776B" w:rsidRDefault="00DF0C24">
      <w:pPr>
        <w:tabs>
          <w:tab w:val="left" w:pos="1701"/>
        </w:tabs>
        <w:ind w:left="1560" w:hanging="426"/>
        <w:rPr>
          <w:rFonts w:ascii="標楷體" w:eastAsia="標楷體" w:hAnsi="標楷體"/>
          <w:color w:val="000000"/>
          <w:szCs w:val="24"/>
        </w:rPr>
      </w:pPr>
      <w:r>
        <w:rPr>
          <w:rFonts w:ascii="標楷體" w:eastAsia="標楷體" w:hAnsi="標楷體"/>
          <w:color w:val="000000"/>
          <w:szCs w:val="24"/>
        </w:rPr>
        <w:t>ii.生長速率一年小於四公分。須具有資格申請生長激素治療的醫療機構身高檢查，每隔三個月一次至少六個月以上之紀錄。)</w:t>
      </w:r>
    </w:p>
    <w:p w14:paraId="04C58872"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Ⅱ.特發性生長激素缺乏症須兼具下列二項條件：</w:t>
      </w:r>
    </w:p>
    <w:p w14:paraId="291042CD" w14:textId="77777777" w:rsidR="00BD776B" w:rsidRDefault="00DF0C24">
      <w:pPr>
        <w:ind w:left="1498" w:hanging="279"/>
        <w:rPr>
          <w:rFonts w:ascii="標楷體" w:eastAsia="標楷體" w:hAnsi="標楷體"/>
          <w:color w:val="000000"/>
          <w:szCs w:val="24"/>
        </w:rPr>
      </w:pPr>
      <w:r>
        <w:rPr>
          <w:rFonts w:ascii="標楷體" w:eastAsia="標楷體" w:hAnsi="標楷體"/>
          <w:color w:val="000000"/>
          <w:szCs w:val="24"/>
        </w:rPr>
        <w:t>i.身高低於第三百分位且生長速率一年小於四公分。須具有資格申請生長激素治療的醫療機構身高檢查，每隔三個月一次至少六個月以上之紀錄。</w:t>
      </w:r>
    </w:p>
    <w:p w14:paraId="6FDF6D97" w14:textId="77777777" w:rsidR="00BD776B" w:rsidRDefault="00DF0C24">
      <w:pPr>
        <w:ind w:left="1498" w:hanging="279"/>
        <w:rPr>
          <w:rFonts w:ascii="標楷體" w:eastAsia="標楷體" w:hAnsi="標楷體"/>
          <w:color w:val="000000"/>
          <w:szCs w:val="24"/>
        </w:rPr>
      </w:pPr>
      <w:r>
        <w:rPr>
          <w:rFonts w:ascii="標楷體" w:eastAsia="標楷體" w:hAnsi="標楷體"/>
          <w:color w:val="000000"/>
          <w:szCs w:val="24"/>
        </w:rPr>
        <w:t>ii.骨齡比實際年齡遲緩至少二個標準差(應檢附骨齡X光檢查影像)。</w:t>
      </w:r>
    </w:p>
    <w:p w14:paraId="697C1FC1"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Ⅲ.新生兒生長激素缺乏症，一再發生低血糖，有影響腦部發育之顧慮者。</w:t>
      </w:r>
    </w:p>
    <w:p w14:paraId="59DB3083"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(3)治療劑量：起始劑量0.18 mg/kg/week，爾後視需要可調整至0.18~0.23mg/kg/week。</w:t>
      </w:r>
    </w:p>
    <w:p w14:paraId="48E10607"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(4)治療監測：身高和體重至少每三個月測量一次，骨齡每六至十二個月測定一次。</w:t>
      </w:r>
    </w:p>
    <w:p w14:paraId="7BB11EB8"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(5)繼續治療條件(每年評估一次)：</w:t>
      </w:r>
    </w:p>
    <w:p w14:paraId="54F4736D"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Ⅰ.治療後第一年，生長速率比治療前增加至少3公分/年。</w:t>
      </w:r>
    </w:p>
    <w:p w14:paraId="40FCFCBB"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Ⅱ.骨齡：男生骨齡16歲，女生骨齡14歲為治療之最後期限。</w:t>
      </w:r>
    </w:p>
    <w:p w14:paraId="44786D7F" w14:textId="77777777" w:rsidR="00BD776B" w:rsidRDefault="00DF0C24">
      <w:pPr>
        <w:ind w:left="1134" w:hanging="341"/>
        <w:rPr>
          <w:rFonts w:ascii="標楷體" w:eastAsia="標楷體" w:hAnsi="標楷體"/>
          <w:color w:val="000000"/>
          <w:szCs w:val="24"/>
        </w:rPr>
      </w:pPr>
      <w:r>
        <w:rPr>
          <w:rFonts w:ascii="標楷體" w:eastAsia="標楷體" w:hAnsi="標楷體"/>
          <w:color w:val="000000"/>
          <w:szCs w:val="24"/>
        </w:rPr>
        <w:t>(6)個案申請時需檢附相關資料包括實驗室檢查報告影本、療程中門診追蹤身高體重記錄影本、骨齡X光片影像及藥品劑量等資料之治療計畫)，經事前審查核准後使用。</w:t>
      </w:r>
    </w:p>
    <w:p w14:paraId="5B0D79A0" w14:textId="77777777" w:rsidR="00BD776B" w:rsidRDefault="00DF0C24">
      <w:pPr>
        <w:ind w:left="924" w:hanging="272"/>
        <w:rPr>
          <w:rFonts w:ascii="標楷體" w:eastAsia="標楷體" w:hAnsi="標楷體"/>
          <w:color w:val="000000"/>
          <w:szCs w:val="24"/>
        </w:rPr>
      </w:pPr>
      <w:r>
        <w:rPr>
          <w:rFonts w:ascii="標楷體" w:eastAsia="標楷體" w:hAnsi="標楷體"/>
          <w:color w:val="000000"/>
          <w:szCs w:val="24"/>
        </w:rPr>
        <w:t>4.透納氏症候群病人使用生長激素治療的原則：</w:t>
      </w:r>
    </w:p>
    <w:p w14:paraId="2EFFDCD2"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(1)診斷：Ｘ染色體部分或全部缺乏的女童。（請檢附檢查報告）(96/11/1)</w:t>
      </w:r>
    </w:p>
    <w:p w14:paraId="28C73B22"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lastRenderedPageBreak/>
        <w:t>(2)病人無嚴重心臟血管、腎臟衰竭等危及生命或重度脊椎彎曲等影響治療效果的狀況。</w:t>
      </w:r>
    </w:p>
    <w:p w14:paraId="7E344ED4"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(3)開始治療條件：</w:t>
      </w:r>
    </w:p>
    <w:p w14:paraId="37C12629" w14:textId="77777777" w:rsidR="00BD776B" w:rsidRDefault="00DF0C24">
      <w:pPr>
        <w:ind w:left="1260" w:hanging="398"/>
      </w:pPr>
      <w:r>
        <w:rPr>
          <w:rFonts w:ascii="標楷體" w:eastAsia="標楷體" w:hAnsi="標楷體"/>
          <w:color w:val="000000"/>
          <w:szCs w:val="24"/>
        </w:rPr>
        <w:t>Ⅰ.</w:t>
      </w:r>
      <w:r>
        <w:rPr>
          <w:rFonts w:ascii="標楷體" w:eastAsia="標楷體" w:hAnsi="標楷體"/>
          <w:szCs w:val="24"/>
        </w:rPr>
        <w:t xml:space="preserve"> </w:t>
      </w:r>
      <w:r>
        <w:rPr>
          <w:rFonts w:ascii="標楷體" w:eastAsia="標楷體" w:hAnsi="標楷體"/>
          <w:color w:val="000000"/>
          <w:szCs w:val="24"/>
        </w:rPr>
        <w:t>6歲以上(111/2/1)。</w:t>
      </w:r>
    </w:p>
    <w:p w14:paraId="07E1B236"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Ⅱ.身高低於第三百分位以下且生長速率一年小於四公分，需具有資格申請生長激素治療的醫療機構身高檢查，每隔三個月一次，至少六個月以上之紀錄。(96/11/1)</w:t>
      </w:r>
    </w:p>
    <w:p w14:paraId="787E87BF"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Ⅲ.骨齡14歲以下（請檢附骨齡Ｘ光片）(111/2/1)</w:t>
      </w:r>
    </w:p>
    <w:p w14:paraId="292AAB31"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(4)治療劑量：不超過 1 IU/kg/wk或0.35 mg/kg/wk。(96/11/1)</w:t>
      </w:r>
    </w:p>
    <w:p w14:paraId="64F63391"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(5)繼續治療條件（每年評估一次）：</w:t>
      </w:r>
    </w:p>
    <w:p w14:paraId="5425276D"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Ⅰ.骨齡14歲以下(111/2/1)。</w:t>
      </w:r>
    </w:p>
    <w:p w14:paraId="30667410"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Ⅱ.第一年生長速率比治療前增加至少2公分/年。</w:t>
      </w:r>
    </w:p>
    <w:p w14:paraId="657F6021" w14:textId="77777777" w:rsidR="00BD776B" w:rsidRDefault="00DF0C24">
      <w:pPr>
        <w:ind w:left="1260" w:hanging="398"/>
        <w:rPr>
          <w:rFonts w:ascii="標楷體" w:eastAsia="標楷體" w:hAnsi="標楷體"/>
          <w:color w:val="000000"/>
          <w:szCs w:val="24"/>
        </w:rPr>
      </w:pPr>
      <w:r>
        <w:rPr>
          <w:rFonts w:ascii="標楷體" w:eastAsia="標楷體" w:hAnsi="標楷體"/>
          <w:color w:val="000000"/>
          <w:szCs w:val="24"/>
        </w:rPr>
        <w:t>Ⅲ.第二年開始，生長速率至少4公分/年。</w:t>
      </w:r>
    </w:p>
    <w:p w14:paraId="6297B56B" w14:textId="77777777" w:rsidR="00BD776B" w:rsidRDefault="00DF0C24">
      <w:pPr>
        <w:ind w:left="924" w:hanging="272"/>
        <w:rPr>
          <w:rFonts w:ascii="標楷體" w:eastAsia="標楷體" w:hAnsi="標楷體"/>
          <w:color w:val="000000"/>
          <w:szCs w:val="24"/>
        </w:rPr>
      </w:pPr>
      <w:r>
        <w:rPr>
          <w:rFonts w:ascii="標楷體" w:eastAsia="標楷體" w:hAnsi="標楷體"/>
          <w:color w:val="000000"/>
          <w:szCs w:val="24"/>
        </w:rPr>
        <w:t>5.用於治療SHOX缺乏症患者使用生長激素治療的原則：(104/6/1)</w:t>
      </w:r>
    </w:p>
    <w:p w14:paraId="7117A522"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(1)診斷：SHOX基因突變或缺乏(請檢附檢查報告，若為點突變者，需加附文獻資料證實此突變確為致病突變)。</w:t>
      </w:r>
    </w:p>
    <w:p w14:paraId="3326EC55"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(2)開始治療條件：</w:t>
      </w:r>
    </w:p>
    <w:p w14:paraId="774550C4"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Ⅰ.年齡6歲以上(111/2/1)。</w:t>
      </w:r>
    </w:p>
    <w:p w14:paraId="393871E1"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Ⅱ.身高低於第三百分位以下且生長速率一年小於四公分，需具有資格申請生長激素治療的醫療機構身高檢查，每隔三個月一次，至少六個月以上之紀錄。</w:t>
      </w:r>
    </w:p>
    <w:p w14:paraId="4575962F"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Ⅲ.男性16歲以下、女性14歲以下(請檢附骨齡X光片) (111/2/1)</w:t>
      </w:r>
    </w:p>
    <w:p w14:paraId="4B0F73EC"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(3)治療劑量：不超過 0.35 mg/kg/wk。</w:t>
      </w:r>
    </w:p>
    <w:p w14:paraId="2ADEFF53"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(4)繼續治療條件(每年評估一次)：</w:t>
      </w:r>
    </w:p>
    <w:p w14:paraId="47F5DDC8" w14:textId="77777777" w:rsidR="00BD776B" w:rsidRDefault="00DF0C24">
      <w:pPr>
        <w:ind w:left="1134" w:hanging="272"/>
      </w:pPr>
      <w:r>
        <w:rPr>
          <w:rFonts w:ascii="標楷體" w:eastAsia="標楷體" w:hAnsi="標楷體"/>
          <w:color w:val="000000"/>
          <w:szCs w:val="24"/>
        </w:rPr>
        <w:t>Ⅰ.</w:t>
      </w:r>
      <w:r>
        <w:rPr>
          <w:rFonts w:ascii="標楷體" w:eastAsia="標楷體" w:hAnsi="標楷體"/>
          <w:szCs w:val="24"/>
        </w:rPr>
        <w:t xml:space="preserve"> </w:t>
      </w:r>
      <w:r>
        <w:rPr>
          <w:rFonts w:ascii="標楷體" w:eastAsia="標楷體" w:hAnsi="標楷體"/>
          <w:color w:val="000000"/>
          <w:szCs w:val="24"/>
        </w:rPr>
        <w:t>骨齡：男性16歲以下、女性14歲以下(請檢附骨齡X光片) (111/2/1)</w:t>
      </w:r>
    </w:p>
    <w:p w14:paraId="3E4A1833"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Ⅱ.第一年生長速率比治療前增加至少2公分/年。</w:t>
      </w:r>
    </w:p>
    <w:p w14:paraId="3B8F2E80" w14:textId="77777777" w:rsidR="00BD776B" w:rsidRDefault="00DF0C24">
      <w:pPr>
        <w:ind w:left="1134" w:hanging="272"/>
        <w:rPr>
          <w:rFonts w:ascii="標楷體" w:eastAsia="標楷體" w:hAnsi="標楷體"/>
          <w:color w:val="000000"/>
          <w:szCs w:val="24"/>
        </w:rPr>
      </w:pPr>
      <w:r>
        <w:rPr>
          <w:rFonts w:ascii="標楷體" w:eastAsia="標楷體" w:hAnsi="標楷體"/>
          <w:color w:val="000000"/>
          <w:szCs w:val="24"/>
        </w:rPr>
        <w:t>Ⅲ.第二年開始，生長速率至少4公分/年。</w:t>
      </w:r>
    </w:p>
    <w:p w14:paraId="7EF7B365" w14:textId="77777777" w:rsidR="00BD776B" w:rsidRDefault="00DF0C24">
      <w:pPr>
        <w:ind w:left="851" w:hanging="2"/>
      </w:pPr>
      <w:r>
        <w:rPr>
          <w:rFonts w:ascii="標楷體" w:eastAsia="標楷體" w:hAnsi="標楷體"/>
          <w:color w:val="000000"/>
          <w:szCs w:val="24"/>
        </w:rPr>
        <w:t>(5)需事前審查核准後使用。</w:t>
      </w:r>
    </w:p>
    <w:p w14:paraId="7FAA3428" w14:textId="77777777" w:rsidR="00BD776B" w:rsidRDefault="00DF0C24">
      <w:pPr>
        <w:ind w:left="993" w:hanging="284"/>
      </w:pPr>
      <w:r>
        <w:rPr>
          <w:rFonts w:ascii="標楷體" w:eastAsia="標楷體" w:hAnsi="標楷體"/>
          <w:color w:val="000000"/>
          <w:szCs w:val="24"/>
        </w:rPr>
        <w:t>6.努南氏症候群（Noonan Syndrome）病人使用生長激素治療的原則：(111</w:t>
      </w:r>
      <w:r>
        <w:rPr>
          <w:rFonts w:ascii="標楷體" w:eastAsia="標楷體" w:hAnsi="標楷體"/>
          <w:szCs w:val="24"/>
        </w:rPr>
        <w:t>/11/1</w:t>
      </w:r>
      <w:r>
        <w:rPr>
          <w:rFonts w:ascii="標楷體" w:eastAsia="標楷體" w:hAnsi="標楷體"/>
          <w:color w:val="000000"/>
          <w:szCs w:val="24"/>
        </w:rPr>
        <w:t>)</w:t>
      </w:r>
    </w:p>
    <w:p w14:paraId="3F9FD625" w14:textId="77777777" w:rsidR="00BD776B" w:rsidRDefault="00DF0C24">
      <w:pPr>
        <w:ind w:left="672" w:firstLine="321"/>
        <w:rPr>
          <w:rFonts w:ascii="標楷體" w:eastAsia="標楷體" w:hAnsi="標楷體"/>
          <w:color w:val="000000"/>
          <w:szCs w:val="24"/>
        </w:rPr>
      </w:pPr>
      <w:r>
        <w:rPr>
          <w:rFonts w:ascii="標楷體" w:eastAsia="標楷體" w:hAnsi="標楷體"/>
          <w:color w:val="000000"/>
          <w:szCs w:val="24"/>
        </w:rPr>
        <w:t>(1)診斷：(需同時符合下列兩點)</w:t>
      </w:r>
    </w:p>
    <w:p w14:paraId="71E72DC5" w14:textId="77777777" w:rsidR="00BD776B" w:rsidRDefault="00DF0C24">
      <w:pPr>
        <w:ind w:left="672" w:firstLine="179"/>
        <w:rPr>
          <w:rFonts w:ascii="標楷體" w:eastAsia="標楷體" w:hAnsi="標楷體"/>
          <w:color w:val="000000"/>
          <w:szCs w:val="24"/>
        </w:rPr>
      </w:pPr>
      <w:r>
        <w:rPr>
          <w:rFonts w:ascii="標楷體" w:eastAsia="標楷體" w:hAnsi="標楷體"/>
          <w:color w:val="000000"/>
          <w:szCs w:val="24"/>
        </w:rPr>
        <w:t>Ⅰ.努南氏症候群臨床表現型者，診斷標準表如下:</w:t>
      </w:r>
    </w:p>
    <w:tbl>
      <w:tblPr>
        <w:tblW w:w="9608" w:type="dxa"/>
        <w:tblInd w:w="168" w:type="dxa"/>
        <w:tblCellMar>
          <w:left w:w="10" w:type="dxa"/>
          <w:right w:w="10" w:type="dxa"/>
        </w:tblCellMar>
        <w:tblLook w:val="0000" w:firstRow="0" w:lastRow="0" w:firstColumn="0" w:lastColumn="0" w:noHBand="0" w:noVBand="0"/>
      </w:tblPr>
      <w:tblGrid>
        <w:gridCol w:w="1387"/>
        <w:gridCol w:w="4110"/>
        <w:gridCol w:w="4111"/>
      </w:tblGrid>
      <w:tr w:rsidR="00BD776B" w14:paraId="66BCB011"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3C0B9" w14:textId="77777777" w:rsidR="00BD776B" w:rsidRDefault="00DF0C24">
            <w:pPr>
              <w:rPr>
                <w:rFonts w:ascii="標楷體" w:eastAsia="標楷體" w:hAnsi="標楷體"/>
                <w:color w:val="000000"/>
                <w:szCs w:val="24"/>
              </w:rPr>
            </w:pPr>
            <w:r>
              <w:rPr>
                <w:rFonts w:ascii="標楷體" w:eastAsia="標楷體" w:hAnsi="標楷體"/>
                <w:color w:val="000000"/>
                <w:szCs w:val="24"/>
              </w:rPr>
              <w:t>臨床特徵</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5513F" w14:textId="77777777" w:rsidR="00BD776B" w:rsidRDefault="00DF0C24">
            <w:pPr>
              <w:jc w:val="center"/>
              <w:rPr>
                <w:rFonts w:ascii="標楷體" w:eastAsia="標楷體" w:hAnsi="標楷體"/>
                <w:color w:val="000000"/>
                <w:szCs w:val="24"/>
              </w:rPr>
            </w:pPr>
            <w:r>
              <w:rPr>
                <w:rFonts w:ascii="標楷體" w:eastAsia="標楷體" w:hAnsi="標楷體"/>
                <w:color w:val="000000"/>
                <w:szCs w:val="24"/>
              </w:rPr>
              <w:t>主要表徵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AC822" w14:textId="77777777" w:rsidR="00BD776B" w:rsidRDefault="00DF0C24">
            <w:pPr>
              <w:jc w:val="center"/>
              <w:rPr>
                <w:rFonts w:ascii="標楷體" w:eastAsia="標楷體" w:hAnsi="標楷體"/>
                <w:color w:val="000000"/>
                <w:szCs w:val="24"/>
              </w:rPr>
            </w:pPr>
            <w:r>
              <w:rPr>
                <w:rFonts w:ascii="標楷體" w:eastAsia="標楷體" w:hAnsi="標楷體"/>
                <w:color w:val="000000"/>
                <w:szCs w:val="24"/>
              </w:rPr>
              <w:t>次要表徵</w:t>
            </w:r>
          </w:p>
        </w:tc>
      </w:tr>
      <w:tr w:rsidR="00BD776B" w14:paraId="68706F51"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75B5" w14:textId="77777777" w:rsidR="00BD776B" w:rsidRDefault="00DF0C24">
            <w:pPr>
              <w:rPr>
                <w:rFonts w:ascii="標楷體" w:eastAsia="標楷體" w:hAnsi="標楷體"/>
                <w:color w:val="000000"/>
                <w:szCs w:val="24"/>
              </w:rPr>
            </w:pPr>
            <w:r>
              <w:rPr>
                <w:rFonts w:ascii="標楷體" w:eastAsia="標楷體" w:hAnsi="標楷體"/>
                <w:color w:val="000000"/>
                <w:szCs w:val="24"/>
              </w:rPr>
              <w:t>1.臉部</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F926D" w14:textId="77777777" w:rsidR="00BD776B" w:rsidRDefault="00DF0C24">
            <w:pPr>
              <w:rPr>
                <w:rFonts w:ascii="標楷體" w:eastAsia="標楷體" w:hAnsi="標楷體"/>
                <w:color w:val="000000"/>
                <w:szCs w:val="24"/>
              </w:rPr>
            </w:pPr>
            <w:r>
              <w:rPr>
                <w:rFonts w:ascii="標楷體" w:eastAsia="標楷體" w:hAnsi="標楷體"/>
                <w:color w:val="000000"/>
                <w:szCs w:val="24"/>
              </w:rPr>
              <w:t>典型臉部表徵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101D7" w14:textId="77777777" w:rsidR="00BD776B" w:rsidRDefault="00DF0C24">
            <w:pPr>
              <w:rPr>
                <w:rFonts w:ascii="標楷體" w:eastAsia="標楷體" w:hAnsi="標楷體"/>
                <w:color w:val="000000"/>
                <w:szCs w:val="24"/>
              </w:rPr>
            </w:pPr>
            <w:r>
              <w:rPr>
                <w:rFonts w:ascii="標楷體" w:eastAsia="標楷體" w:hAnsi="標楷體"/>
                <w:color w:val="000000"/>
                <w:szCs w:val="24"/>
              </w:rPr>
              <w:t>疑似臉部表徵</w:t>
            </w:r>
          </w:p>
        </w:tc>
      </w:tr>
      <w:tr w:rsidR="00BD776B" w14:paraId="49267530"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B6AF1" w14:textId="77777777" w:rsidR="00BD776B" w:rsidRDefault="00DF0C24">
            <w:pPr>
              <w:rPr>
                <w:rFonts w:ascii="標楷體" w:eastAsia="標楷體" w:hAnsi="標楷體"/>
                <w:color w:val="000000"/>
                <w:szCs w:val="24"/>
              </w:rPr>
            </w:pPr>
            <w:r>
              <w:rPr>
                <w:rFonts w:ascii="標楷體" w:eastAsia="標楷體" w:hAnsi="標楷體"/>
                <w:color w:val="000000"/>
                <w:szCs w:val="24"/>
              </w:rPr>
              <w:t>2.心臟</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26455" w14:textId="77777777" w:rsidR="00BD776B" w:rsidRDefault="00DF0C24">
            <w:pPr>
              <w:rPr>
                <w:rFonts w:ascii="標楷體" w:eastAsia="標楷體" w:hAnsi="標楷體"/>
                <w:color w:val="000000"/>
                <w:szCs w:val="24"/>
              </w:rPr>
            </w:pPr>
            <w:r>
              <w:rPr>
                <w:rFonts w:ascii="標楷體" w:eastAsia="標楷體" w:hAnsi="標楷體"/>
                <w:color w:val="000000"/>
                <w:szCs w:val="24"/>
              </w:rPr>
              <w:t>肺動脈狹窄，肥厚阻塞型心肌病變and/or 典型努南氏症心電圖(wide QRS with negative pattern in left precordial lead)</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0758" w14:textId="77777777" w:rsidR="00BD776B" w:rsidRDefault="00DF0C24">
            <w:pPr>
              <w:rPr>
                <w:rFonts w:ascii="標楷體" w:eastAsia="標楷體" w:hAnsi="標楷體"/>
                <w:color w:val="000000"/>
                <w:szCs w:val="24"/>
              </w:rPr>
            </w:pPr>
            <w:r>
              <w:rPr>
                <w:rFonts w:ascii="標楷體" w:eastAsia="標楷體" w:hAnsi="標楷體"/>
                <w:color w:val="000000"/>
                <w:szCs w:val="24"/>
              </w:rPr>
              <w:t>其他心臟缺陷</w:t>
            </w:r>
          </w:p>
        </w:tc>
      </w:tr>
      <w:tr w:rsidR="00BD776B" w14:paraId="5AF00EFA"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A9172" w14:textId="77777777" w:rsidR="00BD776B" w:rsidRDefault="00DF0C24">
            <w:pPr>
              <w:rPr>
                <w:rFonts w:ascii="標楷體" w:eastAsia="標楷體" w:hAnsi="標楷體"/>
                <w:color w:val="000000"/>
                <w:szCs w:val="24"/>
              </w:rPr>
            </w:pPr>
            <w:r>
              <w:rPr>
                <w:rFonts w:ascii="標楷體" w:eastAsia="標楷體" w:hAnsi="標楷體"/>
                <w:color w:val="000000"/>
                <w:szCs w:val="24"/>
              </w:rPr>
              <w:t>3.身高</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AA88C" w14:textId="77777777" w:rsidR="00BD776B" w:rsidRDefault="00DF0C24">
            <w:pPr>
              <w:rPr>
                <w:rFonts w:ascii="標楷體" w:eastAsia="標楷體" w:hAnsi="標楷體"/>
                <w:color w:val="000000"/>
                <w:szCs w:val="24"/>
              </w:rPr>
            </w:pPr>
            <w:r>
              <w:rPr>
                <w:rFonts w:ascii="標楷體" w:eastAsia="標楷體" w:hAnsi="標楷體"/>
                <w:color w:val="000000"/>
                <w:szCs w:val="24"/>
              </w:rPr>
              <w:t>小於 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0A613" w14:textId="77777777" w:rsidR="00BD776B" w:rsidRDefault="00DF0C24">
            <w:pPr>
              <w:rPr>
                <w:rFonts w:ascii="標楷體" w:eastAsia="標楷體" w:hAnsi="標楷體"/>
                <w:color w:val="000000"/>
                <w:szCs w:val="24"/>
              </w:rPr>
            </w:pPr>
            <w:r>
              <w:rPr>
                <w:rFonts w:ascii="標楷體" w:eastAsia="標楷體" w:hAnsi="標楷體"/>
                <w:color w:val="000000"/>
                <w:szCs w:val="24"/>
              </w:rPr>
              <w:t>小於 10%</w:t>
            </w:r>
          </w:p>
        </w:tc>
      </w:tr>
      <w:tr w:rsidR="00BD776B" w14:paraId="20B133ED"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B7220" w14:textId="77777777" w:rsidR="00BD776B" w:rsidRDefault="00DF0C24">
            <w:pPr>
              <w:rPr>
                <w:rFonts w:ascii="標楷體" w:eastAsia="標楷體" w:hAnsi="標楷體"/>
                <w:color w:val="000000"/>
                <w:szCs w:val="24"/>
              </w:rPr>
            </w:pPr>
            <w:r>
              <w:rPr>
                <w:rFonts w:ascii="標楷體" w:eastAsia="標楷體" w:hAnsi="標楷體"/>
                <w:color w:val="000000"/>
                <w:szCs w:val="24"/>
              </w:rPr>
              <w:t>4.胸壁</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5FF49" w14:textId="77777777" w:rsidR="00BD776B" w:rsidRDefault="00DF0C24">
            <w:pPr>
              <w:rPr>
                <w:rFonts w:ascii="標楷體" w:eastAsia="標楷體" w:hAnsi="標楷體"/>
                <w:color w:val="000000"/>
                <w:szCs w:val="24"/>
              </w:rPr>
            </w:pPr>
            <w:r>
              <w:rPr>
                <w:rFonts w:ascii="標楷體" w:eastAsia="標楷體" w:hAnsi="標楷體"/>
                <w:color w:val="000000"/>
                <w:szCs w:val="24"/>
              </w:rPr>
              <w:t>雞胸或漏斗胸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F35D7" w14:textId="77777777" w:rsidR="00BD776B" w:rsidRDefault="00DF0C24">
            <w:pPr>
              <w:rPr>
                <w:rFonts w:ascii="標楷體" w:eastAsia="標楷體" w:hAnsi="標楷體"/>
                <w:color w:val="000000"/>
                <w:szCs w:val="24"/>
              </w:rPr>
            </w:pPr>
            <w:r>
              <w:rPr>
                <w:rFonts w:ascii="標楷體" w:eastAsia="標楷體" w:hAnsi="標楷體"/>
                <w:color w:val="000000"/>
                <w:szCs w:val="24"/>
              </w:rPr>
              <w:t>寬的胸廓</w:t>
            </w:r>
          </w:p>
        </w:tc>
      </w:tr>
      <w:tr w:rsidR="00BD776B" w14:paraId="789C1980"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1D520" w14:textId="77777777" w:rsidR="00BD776B" w:rsidRDefault="00DF0C24">
            <w:pPr>
              <w:rPr>
                <w:rFonts w:ascii="標楷體" w:eastAsia="標楷體" w:hAnsi="標楷體"/>
                <w:color w:val="000000"/>
                <w:szCs w:val="24"/>
              </w:rPr>
            </w:pPr>
            <w:r>
              <w:rPr>
                <w:rFonts w:ascii="標楷體" w:eastAsia="標楷體" w:hAnsi="標楷體"/>
                <w:color w:val="000000"/>
                <w:szCs w:val="24"/>
              </w:rPr>
              <w:t>5.家族史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A1826" w14:textId="77777777" w:rsidR="00BD776B" w:rsidRDefault="00DF0C24">
            <w:pPr>
              <w:rPr>
                <w:rFonts w:ascii="標楷體" w:eastAsia="標楷體" w:hAnsi="標楷體"/>
                <w:color w:val="000000"/>
                <w:szCs w:val="24"/>
              </w:rPr>
            </w:pPr>
            <w:r>
              <w:rPr>
                <w:rFonts w:ascii="標楷體" w:eastAsia="標楷體" w:hAnsi="標楷體"/>
                <w:color w:val="000000"/>
                <w:szCs w:val="24"/>
              </w:rPr>
              <w:t>第一直系血親有努南氏症診斷</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D3661" w14:textId="77777777" w:rsidR="00BD776B" w:rsidRDefault="00DF0C24">
            <w:pPr>
              <w:rPr>
                <w:rFonts w:ascii="標楷體" w:eastAsia="標楷體" w:hAnsi="標楷體"/>
                <w:color w:val="000000"/>
                <w:szCs w:val="24"/>
              </w:rPr>
            </w:pPr>
            <w:r>
              <w:rPr>
                <w:rFonts w:ascii="標楷體" w:eastAsia="標楷體" w:hAnsi="標楷體"/>
                <w:color w:val="000000"/>
                <w:szCs w:val="24"/>
              </w:rPr>
              <w:t>第一直系血親疑似有努南氏症</w:t>
            </w:r>
          </w:p>
        </w:tc>
      </w:tr>
      <w:tr w:rsidR="00BD776B" w14:paraId="59727E51" w14:textId="77777777">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B43C8" w14:textId="77777777" w:rsidR="00BD776B" w:rsidRDefault="00DF0C24">
            <w:pPr>
              <w:rPr>
                <w:rFonts w:ascii="標楷體" w:eastAsia="標楷體" w:hAnsi="標楷體"/>
                <w:color w:val="000000"/>
                <w:szCs w:val="24"/>
              </w:rPr>
            </w:pPr>
            <w:r>
              <w:rPr>
                <w:rFonts w:ascii="標楷體" w:eastAsia="標楷體" w:hAnsi="標楷體"/>
                <w:color w:val="000000"/>
                <w:szCs w:val="24"/>
              </w:rPr>
              <w:t>6.其他</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401EF" w14:textId="77777777" w:rsidR="00BD776B" w:rsidRDefault="00DF0C24">
            <w:pPr>
              <w:rPr>
                <w:rFonts w:ascii="標楷體" w:eastAsia="標楷體" w:hAnsi="標楷體"/>
                <w:color w:val="000000"/>
                <w:szCs w:val="24"/>
              </w:rPr>
            </w:pPr>
            <w:r>
              <w:rPr>
                <w:rFonts w:ascii="標楷體" w:eastAsia="標楷體" w:hAnsi="標楷體"/>
                <w:color w:val="000000"/>
                <w:szCs w:val="24"/>
              </w:rPr>
              <w:t>同時合併智力障礙，隱睪及淋巴循環不良</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B0318" w14:textId="77777777" w:rsidR="00BD776B" w:rsidRDefault="00DF0C24">
            <w:pPr>
              <w:rPr>
                <w:rFonts w:ascii="標楷體" w:eastAsia="標楷體" w:hAnsi="標楷體"/>
                <w:color w:val="000000"/>
                <w:szCs w:val="24"/>
              </w:rPr>
            </w:pPr>
            <w:r>
              <w:rPr>
                <w:rFonts w:ascii="標楷體" w:eastAsia="標楷體" w:hAnsi="標楷體"/>
                <w:color w:val="000000"/>
                <w:szCs w:val="24"/>
              </w:rPr>
              <w:t>智力障礙，隱睪及淋巴循環不良符合其中一項</w:t>
            </w:r>
          </w:p>
        </w:tc>
      </w:tr>
    </w:tbl>
    <w:p w14:paraId="1864D806" w14:textId="77777777" w:rsidR="00BD776B" w:rsidRDefault="00DF0C24">
      <w:pPr>
        <w:ind w:firstLine="140"/>
        <w:rPr>
          <w:rFonts w:ascii="標楷體" w:eastAsia="標楷體" w:hAnsi="標楷體"/>
          <w:color w:val="000000"/>
          <w:szCs w:val="24"/>
        </w:rPr>
      </w:pPr>
      <w:r>
        <w:rPr>
          <w:rFonts w:ascii="標楷體" w:eastAsia="標楷體" w:hAnsi="標楷體"/>
          <w:color w:val="000000"/>
          <w:szCs w:val="24"/>
        </w:rPr>
        <w:lastRenderedPageBreak/>
        <w:t>備註：</w:t>
      </w:r>
    </w:p>
    <w:p w14:paraId="6FC0158D" w14:textId="77777777" w:rsidR="00BD776B" w:rsidRDefault="00DF0C24">
      <w:pPr>
        <w:ind w:left="1701" w:hanging="850"/>
      </w:pPr>
      <w:r>
        <w:rPr>
          <w:rFonts w:ascii="標楷體" w:eastAsia="標楷體" w:hAnsi="標楷體"/>
          <w:color w:val="000000"/>
          <w:szCs w:val="24"/>
        </w:rPr>
        <w:t>備註1:典型臉部表徵包括：額頭高且寬、眼距過寬、內眥贅皮、眼尾下垂、低位後轉耳、耳外緣厚、高顎弓、小下巴、脖子短、後頸厚及後枕髮線低。</w:t>
      </w:r>
    </w:p>
    <w:p w14:paraId="3707A4FB" w14:textId="77777777" w:rsidR="00BD776B" w:rsidRDefault="00DF0C24">
      <w:pPr>
        <w:ind w:left="869" w:hanging="18"/>
        <w:rPr>
          <w:rFonts w:ascii="標楷體" w:eastAsia="標楷體" w:hAnsi="標楷體"/>
          <w:color w:val="000000"/>
          <w:szCs w:val="24"/>
        </w:rPr>
      </w:pPr>
      <w:r>
        <w:rPr>
          <w:rFonts w:ascii="標楷體" w:eastAsia="標楷體" w:hAnsi="標楷體"/>
          <w:color w:val="000000"/>
          <w:szCs w:val="24"/>
        </w:rPr>
        <w:t>備註2:努南氏症臨床診斷須符合以下三者之一:</w:t>
      </w:r>
    </w:p>
    <w:p w14:paraId="3B50F43F" w14:textId="77777777" w:rsidR="00BD776B" w:rsidRDefault="00DF0C24">
      <w:pPr>
        <w:pStyle w:val="af"/>
        <w:numPr>
          <w:ilvl w:val="0"/>
          <w:numId w:val="15"/>
        </w:numPr>
        <w:ind w:left="768" w:firstLine="933"/>
        <w:rPr>
          <w:rFonts w:ascii="標楷體" w:eastAsia="標楷體" w:hAnsi="標楷體"/>
          <w:color w:val="000000"/>
          <w:szCs w:val="24"/>
        </w:rPr>
      </w:pPr>
      <w:r>
        <w:rPr>
          <w:rFonts w:ascii="標楷體" w:eastAsia="標楷體" w:hAnsi="標楷體"/>
          <w:color w:val="000000"/>
          <w:szCs w:val="24"/>
        </w:rPr>
        <w:t>兩個主要表徵。</w:t>
      </w:r>
    </w:p>
    <w:p w14:paraId="2BB6DE2B" w14:textId="77777777" w:rsidR="00BD776B" w:rsidRDefault="00DF0C24">
      <w:pPr>
        <w:pStyle w:val="af"/>
        <w:numPr>
          <w:ilvl w:val="0"/>
          <w:numId w:val="15"/>
        </w:numPr>
        <w:ind w:left="909" w:firstLine="792"/>
        <w:rPr>
          <w:rFonts w:ascii="標楷體" w:eastAsia="標楷體" w:hAnsi="標楷體"/>
          <w:color w:val="000000"/>
          <w:szCs w:val="24"/>
        </w:rPr>
      </w:pPr>
      <w:r>
        <w:rPr>
          <w:rFonts w:ascii="標楷體" w:eastAsia="標楷體" w:hAnsi="標楷體"/>
          <w:color w:val="000000"/>
          <w:szCs w:val="24"/>
        </w:rPr>
        <w:t>一個主要表徵加上兩個次要表徵。</w:t>
      </w:r>
    </w:p>
    <w:p w14:paraId="2175E3D3" w14:textId="77777777" w:rsidR="00BD776B" w:rsidRDefault="00DF0C24">
      <w:pPr>
        <w:pStyle w:val="af"/>
        <w:numPr>
          <w:ilvl w:val="0"/>
          <w:numId w:val="15"/>
        </w:numPr>
        <w:ind w:left="909" w:firstLine="792"/>
        <w:rPr>
          <w:rFonts w:ascii="標楷體" w:eastAsia="標楷體" w:hAnsi="標楷體"/>
          <w:color w:val="000000"/>
          <w:szCs w:val="24"/>
        </w:rPr>
      </w:pPr>
      <w:r>
        <w:rPr>
          <w:rFonts w:ascii="標楷體" w:eastAsia="標楷體" w:hAnsi="標楷體"/>
          <w:color w:val="000000"/>
          <w:szCs w:val="24"/>
        </w:rPr>
        <w:t>四個次要表徵。</w:t>
      </w:r>
    </w:p>
    <w:p w14:paraId="42B1E514" w14:textId="77777777" w:rsidR="00BD776B" w:rsidRDefault="00DF0C24">
      <w:pPr>
        <w:ind w:left="1560" w:hanging="425"/>
      </w:pPr>
      <w:r>
        <w:rPr>
          <w:rFonts w:ascii="標楷體" w:eastAsia="標楷體" w:hAnsi="標楷體"/>
          <w:color w:val="000000"/>
          <w:szCs w:val="24"/>
        </w:rPr>
        <w:t>Ⅱ.具有PTPN11、SOS1、RIT1、RAF1、</w:t>
      </w:r>
      <w:bookmarkStart w:id="9" w:name="_Hlk90824629"/>
      <w:r>
        <w:rPr>
          <w:rFonts w:ascii="標楷體" w:eastAsia="標楷體" w:hAnsi="標楷體"/>
          <w:color w:val="000000"/>
          <w:szCs w:val="24"/>
        </w:rPr>
        <w:t>RRAS2、LZTR1、SOS2、</w:t>
      </w:r>
      <w:bookmarkEnd w:id="9"/>
      <w:r>
        <w:rPr>
          <w:rFonts w:ascii="標楷體" w:eastAsia="標楷體" w:hAnsi="標楷體"/>
          <w:color w:val="000000"/>
          <w:szCs w:val="24"/>
        </w:rPr>
        <w:t>KRAS、NRAS、BRAF、</w:t>
      </w:r>
      <w:bookmarkStart w:id="10" w:name="_Hlk90824644"/>
      <w:r>
        <w:rPr>
          <w:rFonts w:ascii="標楷體" w:eastAsia="標楷體" w:hAnsi="標楷體"/>
          <w:color w:val="000000"/>
          <w:szCs w:val="24"/>
        </w:rPr>
        <w:t>MAP2K1 (MEK1)、PPP1CB</w:t>
      </w:r>
      <w:bookmarkEnd w:id="10"/>
      <w:r>
        <w:rPr>
          <w:rFonts w:ascii="標楷體" w:eastAsia="標楷體" w:hAnsi="標楷體"/>
          <w:color w:val="000000"/>
          <w:szCs w:val="24"/>
        </w:rPr>
        <w:t>等努南氏症候群相關基因之任一致病性變異或拷貝數變異(請檢附檢查報告)。</w:t>
      </w:r>
    </w:p>
    <w:p w14:paraId="3DADF86C" w14:textId="77777777" w:rsidR="00BD776B" w:rsidRDefault="00DF0C24">
      <w:pPr>
        <w:ind w:left="1701" w:hanging="672"/>
        <w:rPr>
          <w:rFonts w:ascii="標楷體" w:eastAsia="標楷體" w:hAnsi="標楷體"/>
          <w:color w:val="000000"/>
          <w:szCs w:val="24"/>
        </w:rPr>
      </w:pPr>
      <w:r>
        <w:rPr>
          <w:rFonts w:ascii="標楷體" w:eastAsia="標楷體" w:hAnsi="標楷體"/>
          <w:color w:val="000000"/>
          <w:szCs w:val="24"/>
        </w:rPr>
        <w:t>(2)開始治療條件：</w:t>
      </w:r>
    </w:p>
    <w:p w14:paraId="56201E00" w14:textId="77777777" w:rsidR="00BD776B" w:rsidRDefault="00DF0C24">
      <w:pPr>
        <w:ind w:left="1134" w:hanging="246"/>
      </w:pPr>
      <w:r>
        <w:rPr>
          <w:rFonts w:ascii="標楷體" w:eastAsia="標楷體" w:hAnsi="標楷體"/>
          <w:color w:val="000000"/>
          <w:szCs w:val="24"/>
        </w:rPr>
        <w:t>Ⅰ.6歲以上。</w:t>
      </w:r>
    </w:p>
    <w:p w14:paraId="292BCCE1" w14:textId="77777777" w:rsidR="00BD776B" w:rsidRDefault="00DF0C24">
      <w:pPr>
        <w:ind w:left="1232" w:hanging="381"/>
        <w:rPr>
          <w:rFonts w:ascii="標楷體" w:eastAsia="標楷體" w:hAnsi="標楷體"/>
          <w:color w:val="000000"/>
          <w:szCs w:val="24"/>
        </w:rPr>
      </w:pPr>
      <w:r>
        <w:rPr>
          <w:rFonts w:ascii="標楷體" w:eastAsia="標楷體" w:hAnsi="標楷體"/>
          <w:color w:val="000000"/>
          <w:szCs w:val="24"/>
        </w:rPr>
        <w:t>Ⅱ.身高低於第三百分位以下且生長速率一年小於4公分，需具有資格申請生長激素治療的醫療機構身高檢查，每隔3個月一次，至少6個月以上之紀錄。</w:t>
      </w:r>
    </w:p>
    <w:p w14:paraId="105F9647" w14:textId="77777777" w:rsidR="00BD776B" w:rsidRDefault="00DF0C24">
      <w:pPr>
        <w:ind w:left="1134" w:hanging="244"/>
        <w:rPr>
          <w:rFonts w:ascii="標楷體" w:eastAsia="標楷體" w:hAnsi="標楷體"/>
          <w:color w:val="000000"/>
          <w:szCs w:val="24"/>
        </w:rPr>
      </w:pPr>
      <w:r>
        <w:rPr>
          <w:rFonts w:ascii="標楷體" w:eastAsia="標楷體" w:hAnsi="標楷體"/>
          <w:color w:val="000000"/>
          <w:szCs w:val="24"/>
        </w:rPr>
        <w:t>Ⅲ.骨齡：男性 16 歲以下、女性 14 歲以下(請檢附骨齡X光片)</w:t>
      </w:r>
    </w:p>
    <w:p w14:paraId="3E14E0A9" w14:textId="77777777" w:rsidR="00BD776B" w:rsidRDefault="00DF0C24">
      <w:pPr>
        <w:ind w:left="1276" w:hanging="386"/>
        <w:rPr>
          <w:rFonts w:ascii="標楷體" w:eastAsia="標楷體" w:hAnsi="標楷體"/>
          <w:color w:val="000000"/>
          <w:szCs w:val="24"/>
        </w:rPr>
      </w:pPr>
      <w:r>
        <w:rPr>
          <w:rFonts w:ascii="標楷體" w:eastAsia="標楷體" w:hAnsi="標楷體"/>
          <w:color w:val="000000"/>
          <w:szCs w:val="24"/>
        </w:rPr>
        <w:t>(3)治療劑量：不超過 0.35mg/kg/wk。</w:t>
      </w:r>
    </w:p>
    <w:p w14:paraId="41FB7615" w14:textId="77777777" w:rsidR="00BD776B" w:rsidRDefault="00DF0C24">
      <w:pPr>
        <w:ind w:left="1560" w:hanging="672"/>
        <w:rPr>
          <w:rFonts w:ascii="標楷體" w:eastAsia="標楷體" w:hAnsi="標楷體"/>
          <w:color w:val="000000"/>
          <w:szCs w:val="24"/>
        </w:rPr>
      </w:pPr>
      <w:r>
        <w:rPr>
          <w:rFonts w:ascii="標楷體" w:eastAsia="標楷體" w:hAnsi="標楷體"/>
          <w:color w:val="000000"/>
          <w:szCs w:val="24"/>
        </w:rPr>
        <w:t>(4)</w:t>
      </w:r>
      <w:bookmarkStart w:id="11" w:name="_Hlk90825075"/>
      <w:r>
        <w:rPr>
          <w:rFonts w:ascii="標楷體" w:eastAsia="標楷體" w:hAnsi="標楷體"/>
          <w:color w:val="000000"/>
          <w:szCs w:val="24"/>
        </w:rPr>
        <w:t>繼續治療條件(每年評估1次)：</w:t>
      </w:r>
    </w:p>
    <w:p w14:paraId="66EDD06E" w14:textId="77777777" w:rsidR="00BD776B" w:rsidRDefault="00DF0C24">
      <w:pPr>
        <w:ind w:left="1276" w:hanging="428"/>
        <w:rPr>
          <w:rFonts w:ascii="標楷體" w:eastAsia="標楷體" w:hAnsi="標楷體"/>
          <w:color w:val="000000"/>
          <w:szCs w:val="24"/>
        </w:rPr>
      </w:pPr>
      <w:r>
        <w:rPr>
          <w:rFonts w:ascii="標楷體" w:eastAsia="標楷體" w:hAnsi="標楷體"/>
          <w:color w:val="000000"/>
          <w:szCs w:val="24"/>
        </w:rPr>
        <w:t>Ⅰ.骨齡：男性16歲以下、女性 14 歲以下(請檢附骨齡X光片)</w:t>
      </w:r>
    </w:p>
    <w:p w14:paraId="4C61ECC5" w14:textId="77777777" w:rsidR="00BD776B" w:rsidRDefault="00DF0C24">
      <w:pPr>
        <w:ind w:left="1276" w:hanging="428"/>
        <w:rPr>
          <w:rFonts w:ascii="標楷體" w:eastAsia="標楷體" w:hAnsi="標楷體"/>
          <w:color w:val="000000"/>
          <w:szCs w:val="24"/>
        </w:rPr>
      </w:pPr>
      <w:r>
        <w:rPr>
          <w:rFonts w:ascii="標楷體" w:eastAsia="標楷體" w:hAnsi="標楷體"/>
          <w:color w:val="000000"/>
          <w:szCs w:val="24"/>
        </w:rPr>
        <w:t>Ⅱ.第一年生長速率比治療前增加至少2公分/年。</w:t>
      </w:r>
    </w:p>
    <w:p w14:paraId="63C50F1E" w14:textId="77777777" w:rsidR="00BD776B" w:rsidRDefault="00DF0C24">
      <w:pPr>
        <w:ind w:left="1276" w:hanging="428"/>
        <w:rPr>
          <w:rFonts w:ascii="標楷體" w:eastAsia="標楷體" w:hAnsi="標楷體"/>
          <w:color w:val="000000"/>
          <w:szCs w:val="24"/>
        </w:rPr>
      </w:pPr>
      <w:r>
        <w:rPr>
          <w:rFonts w:ascii="標楷體" w:eastAsia="標楷體" w:hAnsi="標楷體"/>
          <w:color w:val="000000"/>
          <w:szCs w:val="24"/>
        </w:rPr>
        <w:t>Ⅲ.第二年開始，生長速率至少4公分/年。</w:t>
      </w:r>
    </w:p>
    <w:p w14:paraId="19E1CBAA"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(5)需事前審查核准後使用</w:t>
      </w:r>
      <w:bookmarkEnd w:id="11"/>
      <w:r>
        <w:rPr>
          <w:rFonts w:ascii="標楷體" w:eastAsia="標楷體" w:hAnsi="標楷體"/>
          <w:color w:val="000000"/>
          <w:szCs w:val="24"/>
        </w:rPr>
        <w:t>，治療後每年需再提出申請，審查同意後使用。</w:t>
      </w:r>
    </w:p>
    <w:p w14:paraId="064F0377" w14:textId="77777777" w:rsidR="00BD776B" w:rsidRDefault="00DF0C24">
      <w:pPr>
        <w:ind w:left="672" w:hanging="386"/>
        <w:rPr>
          <w:rFonts w:ascii="標楷體" w:eastAsia="標楷體" w:hAnsi="標楷體"/>
          <w:color w:val="000000"/>
        </w:rPr>
      </w:pPr>
      <w:r>
        <w:rPr>
          <w:rFonts w:ascii="標楷體" w:eastAsia="標楷體" w:hAnsi="標楷體"/>
          <w:color w:val="000000"/>
        </w:rPr>
        <w:t>5.4.1.2.生長激素（如Genotropin）用於治療普瑞德威利氏症候群 （Prader-Willi Syndrome）患者時：（93/5/1、106/8/1）</w:t>
      </w:r>
    </w:p>
    <w:p w14:paraId="2044A361"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1.限用於經由醫學中心或區域醫院小兒或內分泌專科醫師具小兒遺傳或小兒內分泌專長醫師診斷確認，且患者之骨齡男性≦16歲、女性≦14歲之病患。</w:t>
      </w:r>
    </w:p>
    <w:p w14:paraId="043C8E18" w14:textId="77777777" w:rsidR="00BD776B" w:rsidRDefault="00DF0C24">
      <w:pPr>
        <w:ind w:left="811" w:hanging="245"/>
        <w:rPr>
          <w:rFonts w:ascii="標楷體" w:eastAsia="標楷體" w:hAnsi="標楷體"/>
          <w:color w:val="000000"/>
        </w:rPr>
      </w:pPr>
      <w:r>
        <w:rPr>
          <w:rFonts w:ascii="標楷體" w:eastAsia="標楷體" w:hAnsi="標楷體"/>
          <w:color w:val="000000"/>
        </w:rPr>
        <w:t>2.治療期間發生下列情形應停止治療：發生糖尿病、或其他嚴重副作用時。</w:t>
      </w:r>
    </w:p>
    <w:p w14:paraId="2223D7A2" w14:textId="77777777" w:rsidR="00BD776B" w:rsidRDefault="00DF0C24">
      <w:pPr>
        <w:ind w:left="811" w:hanging="245"/>
        <w:rPr>
          <w:rFonts w:ascii="標楷體" w:eastAsia="標楷體" w:hAnsi="標楷體"/>
          <w:color w:val="000000"/>
        </w:rPr>
      </w:pPr>
      <w:r>
        <w:rPr>
          <w:rFonts w:ascii="標楷體" w:eastAsia="標楷體" w:hAnsi="標楷體"/>
          <w:color w:val="000000"/>
        </w:rPr>
        <w:t>3.建議治療劑量：給予每天0.1 IU/kg（約等於0.035mg/kg）之生長激素治療。</w:t>
      </w:r>
    </w:p>
    <w:p w14:paraId="54141C12" w14:textId="77777777" w:rsidR="00BD776B" w:rsidRDefault="00DF0C24">
      <w:pPr>
        <w:ind w:left="811" w:hanging="245"/>
        <w:rPr>
          <w:rFonts w:ascii="標楷體" w:eastAsia="標楷體" w:hAnsi="標楷體"/>
          <w:color w:val="000000"/>
        </w:rPr>
      </w:pPr>
      <w:r>
        <w:rPr>
          <w:rFonts w:ascii="標楷體" w:eastAsia="標楷體" w:hAnsi="標楷體"/>
          <w:color w:val="000000"/>
        </w:rPr>
        <w:t>4.治療時注意事項：</w:t>
      </w:r>
    </w:p>
    <w:p w14:paraId="2285BD8D" w14:textId="77777777" w:rsidR="00BD776B" w:rsidRDefault="00DF0C24">
      <w:pPr>
        <w:ind w:left="1106" w:hanging="398"/>
        <w:rPr>
          <w:rFonts w:ascii="標楷體" w:eastAsia="標楷體" w:hAnsi="標楷體"/>
          <w:color w:val="000000"/>
        </w:rPr>
      </w:pPr>
      <w:r>
        <w:rPr>
          <w:rFonts w:ascii="標楷體" w:eastAsia="標楷體" w:hAnsi="標楷體"/>
          <w:color w:val="000000"/>
        </w:rPr>
        <w:t>(1)應於開始治療之前及每三至六個月定期監測血糖及血脂檢查 (Lipid profile) 等臨床生化指標、重高指數變化、活動力與肌肉張力、Sleeping Study。治療一年後測量身體組成Body Composition (DXA)、骨齡X光片。</w:t>
      </w:r>
    </w:p>
    <w:p w14:paraId="7FC589FC" w14:textId="77777777" w:rsidR="00BD776B" w:rsidRDefault="00DF0C24">
      <w:pPr>
        <w:ind w:left="1078" w:hanging="370"/>
        <w:rPr>
          <w:rFonts w:ascii="標楷體" w:eastAsia="標楷體" w:hAnsi="標楷體"/>
          <w:color w:val="000000"/>
        </w:rPr>
      </w:pPr>
      <w:r>
        <w:rPr>
          <w:rFonts w:ascii="標楷體" w:eastAsia="標楷體" w:hAnsi="標楷體"/>
          <w:color w:val="000000"/>
        </w:rPr>
        <w:t>(2)普瑞德威利氏症候群患者容易發生睡眠窒息，這種現象或許治療後可減輕。最近發現年幼之患者可能因為一般之上呼吸道感染而引發猝死，也曾經發生在生長激素治療中的病人身上。目前並不清楚生長激素治療是否會改變猝死的發生，故不論是否接受治療，都需要提醒普瑞德威利氏症候群年幼患者之家長，在患者有呼吸道問題時需要特別的注意。</w:t>
      </w:r>
    </w:p>
    <w:p w14:paraId="584B787D" w14:textId="77777777" w:rsidR="00BD776B" w:rsidRDefault="00DF0C24">
      <w:pPr>
        <w:ind w:left="672" w:hanging="386"/>
        <w:rPr>
          <w:rFonts w:ascii="標楷體" w:eastAsia="標楷體" w:hAnsi="標楷體"/>
          <w:color w:val="000000"/>
        </w:rPr>
      </w:pPr>
      <w:r>
        <w:rPr>
          <w:rFonts w:ascii="標楷體" w:eastAsia="標楷體" w:hAnsi="標楷體"/>
          <w:color w:val="000000"/>
        </w:rPr>
        <w:t>5.4.2.Bromocriptine：</w:t>
      </w:r>
    </w:p>
    <w:p w14:paraId="625A3BA2" w14:textId="77777777" w:rsidR="00BD776B" w:rsidRDefault="00DF0C24">
      <w:pPr>
        <w:ind w:left="798" w:hanging="1"/>
        <w:rPr>
          <w:rFonts w:ascii="標楷體" w:eastAsia="標楷體" w:hAnsi="標楷體"/>
          <w:color w:val="000000"/>
        </w:rPr>
      </w:pPr>
      <w:r>
        <w:rPr>
          <w:rFonts w:ascii="標楷體" w:eastAsia="標楷體" w:hAnsi="標楷體"/>
          <w:color w:val="000000"/>
        </w:rPr>
        <w:t>如用於產後正常性泌乳之抑制，不予給付。</w:t>
      </w:r>
    </w:p>
    <w:p w14:paraId="3AAEA918" w14:textId="77777777" w:rsidR="00BD776B" w:rsidRDefault="00DF0C24">
      <w:pPr>
        <w:ind w:left="672" w:hanging="386"/>
      </w:pPr>
      <w:r>
        <w:rPr>
          <w:rFonts w:ascii="標楷體" w:eastAsia="標楷體" w:hAnsi="標楷體"/>
        </w:rPr>
        <w:t>5.4.3.Octreotide inj (如Sandostatin inj) 限：（87/11/1、102/1/1）</w:t>
      </w:r>
    </w:p>
    <w:p w14:paraId="5999BF21" w14:textId="77777777" w:rsidR="00BD776B" w:rsidRDefault="00DF0C24">
      <w:pPr>
        <w:ind w:left="811" w:hanging="245"/>
        <w:rPr>
          <w:rFonts w:ascii="標楷體" w:eastAsia="標楷體" w:hAnsi="標楷體"/>
          <w:color w:val="000000"/>
        </w:rPr>
      </w:pPr>
      <w:r>
        <w:rPr>
          <w:rFonts w:ascii="標楷體" w:eastAsia="標楷體" w:hAnsi="標楷體"/>
          <w:color w:val="000000"/>
        </w:rPr>
        <w:t>1.對手術、放射線療法或dopamine作用劑療法控制無效的肢端肥大症患者。</w:t>
      </w:r>
    </w:p>
    <w:p w14:paraId="7A4644C7" w14:textId="77777777" w:rsidR="00BD776B" w:rsidRDefault="00DF0C24">
      <w:pPr>
        <w:ind w:left="811" w:hanging="245"/>
        <w:rPr>
          <w:rFonts w:ascii="標楷體" w:eastAsia="標楷體" w:hAnsi="標楷體"/>
          <w:color w:val="000000"/>
        </w:rPr>
      </w:pPr>
      <w:r>
        <w:rPr>
          <w:rFonts w:ascii="標楷體" w:eastAsia="標楷體" w:hAnsi="標楷體"/>
          <w:color w:val="000000"/>
        </w:rPr>
        <w:t>2.預防胰臟手術後的併發症，最長使用七天。</w:t>
      </w:r>
    </w:p>
    <w:p w14:paraId="74C986CB"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3.使用於胃、食道靜脈曲張出血，最長以三天為原則。</w:t>
      </w:r>
    </w:p>
    <w:p w14:paraId="7245075D" w14:textId="77777777" w:rsidR="00BD776B" w:rsidRDefault="00DF0C24">
      <w:pPr>
        <w:ind w:left="811" w:hanging="245"/>
      </w:pPr>
      <w:r>
        <w:rPr>
          <w:rFonts w:ascii="標楷體" w:eastAsia="標楷體" w:hAnsi="標楷體"/>
        </w:rPr>
        <w:t>4.治療患有功能性症狀之胃、腸、胰內分泌腫瘤的患者。（102/1/1）</w:t>
      </w:r>
    </w:p>
    <w:p w14:paraId="5D387118" w14:textId="77777777" w:rsidR="00BD776B" w:rsidRDefault="00DF0C24">
      <w:pPr>
        <w:ind w:left="672" w:hanging="386"/>
      </w:pPr>
      <w:r>
        <w:rPr>
          <w:rFonts w:ascii="標楷體" w:eastAsia="標楷體" w:hAnsi="標楷體"/>
        </w:rPr>
        <w:t>5.4.4.</w:t>
      </w:r>
      <w:r>
        <w:t xml:space="preserve"> </w:t>
      </w:r>
      <w:r>
        <w:rPr>
          <w:rFonts w:ascii="標楷體" w:eastAsia="標楷體" w:hAnsi="標楷體"/>
        </w:rPr>
        <w:t>Octreotide長效型注射劑 (如Sandostatin LAR Microspheres for Injection)：（89/7/1、102/1/1、104/4/1）</w:t>
      </w:r>
    </w:p>
    <w:p w14:paraId="59579EBA" w14:textId="77777777" w:rsidR="00BD776B" w:rsidRDefault="00DF0C24">
      <w:pPr>
        <w:ind w:left="811" w:hanging="245"/>
        <w:rPr>
          <w:rFonts w:ascii="標楷體" w:eastAsia="標楷體" w:hAnsi="標楷體"/>
          <w:color w:val="000000"/>
        </w:rPr>
      </w:pPr>
      <w:r>
        <w:rPr>
          <w:rFonts w:ascii="標楷體" w:eastAsia="標楷體" w:hAnsi="標楷體"/>
          <w:color w:val="000000"/>
        </w:rPr>
        <w:t>1.對手術、放射線療法或dopamine作用劑療法控制無效的肢端肥大症患者。</w:t>
      </w:r>
    </w:p>
    <w:p w14:paraId="11712CD3" w14:textId="77777777" w:rsidR="00BD776B" w:rsidRDefault="00DF0C24">
      <w:pPr>
        <w:ind w:left="811" w:hanging="245"/>
      </w:pPr>
      <w:r>
        <w:rPr>
          <w:rFonts w:ascii="標楷體" w:eastAsia="標楷體" w:hAnsi="標楷體"/>
        </w:rPr>
        <w:t>2.治療患有功能性症狀之胃、腸、胰內分泌腫瘤的患者。（102/1/1）</w:t>
      </w:r>
    </w:p>
    <w:p w14:paraId="3DD159AB" w14:textId="77777777" w:rsidR="00BD776B" w:rsidRDefault="00DF0C24">
      <w:pPr>
        <w:ind w:left="811" w:hanging="245"/>
        <w:rPr>
          <w:rFonts w:ascii="標楷體" w:eastAsia="標楷體" w:hAnsi="標楷體"/>
          <w:color w:val="000000"/>
        </w:rPr>
      </w:pPr>
      <w:r>
        <w:rPr>
          <w:rFonts w:ascii="標楷體" w:eastAsia="標楷體" w:hAnsi="標楷體"/>
          <w:color w:val="000000"/>
        </w:rPr>
        <w:t>3.治療患有晚期間腸(midgut)或已排除原位非間腸處而原位不明之分化良好(well-differentiated)的神經內分泌瘤患者。（104/4/1）</w:t>
      </w:r>
    </w:p>
    <w:p w14:paraId="2369C5BF" w14:textId="77777777" w:rsidR="00BD776B" w:rsidRDefault="00DF0C24">
      <w:pPr>
        <w:ind w:left="811" w:hanging="245"/>
        <w:rPr>
          <w:rFonts w:ascii="標楷體" w:eastAsia="標楷體" w:hAnsi="標楷體"/>
          <w:color w:val="000000"/>
        </w:rPr>
      </w:pPr>
      <w:r>
        <w:rPr>
          <w:rFonts w:ascii="標楷體" w:eastAsia="標楷體" w:hAnsi="標楷體"/>
          <w:color w:val="000000"/>
        </w:rPr>
        <w:t>4.需經事前審查核准後使用，每次申請以一年為限，期滿須經再次申請核准後才得以續用。（104/4/1）</w:t>
      </w:r>
    </w:p>
    <w:p w14:paraId="2BD3F4F3" w14:textId="77777777" w:rsidR="00BD776B" w:rsidRDefault="00DF0C24">
      <w:pPr>
        <w:ind w:left="811" w:hanging="245"/>
        <w:rPr>
          <w:rFonts w:ascii="標楷體" w:eastAsia="標楷體" w:hAnsi="標楷體"/>
          <w:color w:val="000000"/>
        </w:rPr>
      </w:pPr>
      <w:r>
        <w:rPr>
          <w:rFonts w:ascii="標楷體" w:eastAsia="標楷體" w:hAnsi="標楷體"/>
          <w:color w:val="000000"/>
        </w:rPr>
        <w:t>5.用於治療上述第1、2項患者時，每次注射以20 mg為原則，每次注射需間隔四週；用於治療上述第3項患者時，每次注射以30 mg為原則，每次注射需間隔四週。若因病情需要超過使用量，應於病歷詳細紀錄以備查核。（104/4/1）</w:t>
      </w:r>
    </w:p>
    <w:p w14:paraId="7D68C978" w14:textId="77777777" w:rsidR="00BD776B" w:rsidRDefault="00DF0C24">
      <w:pPr>
        <w:ind w:left="672" w:hanging="386"/>
        <w:rPr>
          <w:rFonts w:ascii="標楷體" w:eastAsia="標楷體" w:hAnsi="標楷體"/>
          <w:color w:val="000000"/>
        </w:rPr>
      </w:pPr>
      <w:r>
        <w:rPr>
          <w:rFonts w:ascii="標楷體" w:eastAsia="標楷體" w:hAnsi="標楷體"/>
          <w:color w:val="000000"/>
        </w:rPr>
        <w:t>5.4.5.Somatostatin：（87/11/1、89/5/1）</w:t>
      </w:r>
    </w:p>
    <w:p w14:paraId="3805ED77" w14:textId="77777777" w:rsidR="00BD776B" w:rsidRDefault="00DF0C24">
      <w:pPr>
        <w:ind w:left="811" w:hanging="245"/>
        <w:rPr>
          <w:rFonts w:ascii="標楷體" w:eastAsia="標楷體" w:hAnsi="標楷體"/>
          <w:color w:val="000000"/>
        </w:rPr>
      </w:pPr>
      <w:r>
        <w:rPr>
          <w:rFonts w:ascii="標楷體" w:eastAsia="標楷體" w:hAnsi="標楷體"/>
          <w:color w:val="000000"/>
        </w:rPr>
        <w:t>1.預防胰臟手術後的併發症，最長使用五天。</w:t>
      </w:r>
    </w:p>
    <w:p w14:paraId="5673C539" w14:textId="77777777" w:rsidR="00BD776B" w:rsidRDefault="00DF0C24">
      <w:pPr>
        <w:ind w:left="811" w:hanging="245"/>
        <w:rPr>
          <w:rFonts w:ascii="標楷體" w:eastAsia="標楷體" w:hAnsi="標楷體"/>
          <w:color w:val="000000"/>
        </w:rPr>
      </w:pPr>
      <w:r>
        <w:rPr>
          <w:rFonts w:ascii="標楷體" w:eastAsia="標楷體" w:hAnsi="標楷體"/>
          <w:color w:val="000000"/>
        </w:rPr>
        <w:t>2.使用於胃、食道靜脈曲張出血最長以三天為原則。</w:t>
      </w:r>
    </w:p>
    <w:p w14:paraId="3261F120" w14:textId="77777777" w:rsidR="00BD776B" w:rsidRDefault="00DF0C24">
      <w:pPr>
        <w:ind w:left="811" w:hanging="245"/>
        <w:rPr>
          <w:rFonts w:ascii="標楷體" w:eastAsia="標楷體" w:hAnsi="標楷體"/>
          <w:color w:val="000000"/>
        </w:rPr>
      </w:pPr>
      <w:r>
        <w:rPr>
          <w:rFonts w:ascii="標楷體" w:eastAsia="標楷體" w:hAnsi="標楷體"/>
          <w:color w:val="000000"/>
        </w:rPr>
        <w:t>3.嚴重性急性消化性潰瘍出血，急性之糜爛或出血性胃炎之急性嚴重出血，經內視鏡處理同時經氫離子幫浦阻斷劑或乙型組織胺受體阻斷劑注射治療仍不能止血，且不適合外科手術者，得使用本品作為輔助治療三天。</w:t>
      </w:r>
    </w:p>
    <w:p w14:paraId="726C3529" w14:textId="77777777" w:rsidR="00BD776B" w:rsidRDefault="00DF0C24">
      <w:pPr>
        <w:ind w:left="672" w:hanging="386"/>
      </w:pPr>
      <w:r>
        <w:rPr>
          <w:rFonts w:ascii="標楷體" w:eastAsia="標楷體" w:hAnsi="標楷體"/>
          <w:color w:val="000000"/>
        </w:rPr>
        <w:t>5.4.6.Lanreotide （如Somatuline）：（88/6/1、89/5/1、93/12/1、98/1/1、106/8/1）</w:t>
      </w:r>
    </w:p>
    <w:p w14:paraId="3C404C3F" w14:textId="77777777" w:rsidR="00BD776B" w:rsidRDefault="00DF0C24">
      <w:pPr>
        <w:ind w:left="811" w:hanging="245"/>
        <w:rPr>
          <w:rFonts w:ascii="標楷體" w:eastAsia="標楷體" w:hAnsi="標楷體"/>
          <w:color w:val="000000"/>
        </w:rPr>
      </w:pPr>
      <w:r>
        <w:rPr>
          <w:rFonts w:ascii="標楷體" w:eastAsia="標楷體" w:hAnsi="標楷體"/>
          <w:color w:val="000000"/>
        </w:rPr>
        <w:t>1.限使用於對手術、放射線療法或dopamine作用劑療法控制無效的肢端肥大症病患。</w:t>
      </w:r>
    </w:p>
    <w:p w14:paraId="09B9EB86" w14:textId="77777777" w:rsidR="00BD776B" w:rsidRDefault="00DF0C24">
      <w:pPr>
        <w:ind w:left="811" w:hanging="245"/>
        <w:rPr>
          <w:rFonts w:ascii="標楷體" w:eastAsia="標楷體" w:hAnsi="標楷體"/>
          <w:color w:val="000000"/>
        </w:rPr>
      </w:pPr>
      <w:r>
        <w:rPr>
          <w:rFonts w:ascii="標楷體" w:eastAsia="標楷體" w:hAnsi="標楷體"/>
          <w:color w:val="000000"/>
        </w:rPr>
        <w:t>2.類癌瘤患者：(93/12/1、106/8/1)</w:t>
      </w:r>
    </w:p>
    <w:p w14:paraId="3C8D36F7" w14:textId="77777777" w:rsidR="00BD776B" w:rsidRDefault="00DF0C24">
      <w:pPr>
        <w:ind w:left="1032" w:hanging="326"/>
        <w:rPr>
          <w:rFonts w:ascii="標楷體" w:eastAsia="標楷體" w:hAnsi="標楷體"/>
          <w:color w:val="000000"/>
        </w:rPr>
      </w:pPr>
      <w:r>
        <w:rPr>
          <w:rFonts w:ascii="標楷體" w:eastAsia="標楷體" w:hAnsi="標楷體"/>
          <w:color w:val="000000"/>
        </w:rPr>
        <w:t>(1)具有功能性症狀且無法外科手術者者，孕婦、小兒不得使用。</w:t>
      </w:r>
    </w:p>
    <w:p w14:paraId="10827FEB" w14:textId="77777777" w:rsidR="00BD776B" w:rsidRDefault="00DF0C24">
      <w:pPr>
        <w:ind w:left="1032" w:hanging="326"/>
        <w:rPr>
          <w:rFonts w:ascii="標楷體" w:eastAsia="標楷體" w:hAnsi="標楷體"/>
          <w:color w:val="000000"/>
        </w:rPr>
      </w:pPr>
      <w:r>
        <w:rPr>
          <w:rFonts w:ascii="標楷體" w:eastAsia="標楷體" w:hAnsi="標楷體"/>
          <w:color w:val="000000"/>
        </w:rPr>
        <w:t>(2)須經事前審查核准後使用，每次申請以一年為限，期滿須經再次申請核准後，才得以續用。</w:t>
      </w:r>
    </w:p>
    <w:p w14:paraId="79721A35" w14:textId="77777777" w:rsidR="00BD776B" w:rsidRDefault="00DF0C24">
      <w:pPr>
        <w:ind w:left="811" w:hanging="245"/>
        <w:rPr>
          <w:rFonts w:ascii="標楷體" w:eastAsia="標楷體" w:hAnsi="標楷體"/>
          <w:color w:val="000000"/>
        </w:rPr>
      </w:pPr>
      <w:r>
        <w:rPr>
          <w:rFonts w:ascii="標楷體" w:eastAsia="標楷體" w:hAnsi="標楷體"/>
          <w:color w:val="000000"/>
        </w:rPr>
        <w:t>3.治療無法切除、分化程度為良好或中度、局部進展或轉移性之胃、腸、胰臟神經內分泌腫瘤(GEP-NETs) (106/8/1)</w:t>
      </w:r>
    </w:p>
    <w:p w14:paraId="29645A2B" w14:textId="77777777" w:rsidR="00BD776B" w:rsidRDefault="00DF0C24">
      <w:pPr>
        <w:ind w:left="1077" w:hanging="367"/>
        <w:rPr>
          <w:rFonts w:ascii="標楷體" w:eastAsia="標楷體" w:hAnsi="標楷體"/>
          <w:color w:val="000000"/>
        </w:rPr>
      </w:pPr>
      <w:r>
        <w:rPr>
          <w:rFonts w:ascii="標楷體" w:eastAsia="標楷體" w:hAnsi="標楷體"/>
          <w:color w:val="000000"/>
        </w:rPr>
        <w:t>(1)用於治療功能性患者，孕婦、小兒不得使用。</w:t>
      </w:r>
    </w:p>
    <w:p w14:paraId="09E3E14A" w14:textId="77777777" w:rsidR="00BD776B" w:rsidRDefault="00DF0C24">
      <w:pPr>
        <w:ind w:left="1077" w:hanging="367"/>
        <w:rPr>
          <w:rFonts w:ascii="標楷體" w:eastAsia="標楷體" w:hAnsi="標楷體"/>
          <w:color w:val="000000"/>
        </w:rPr>
      </w:pPr>
      <w:r>
        <w:rPr>
          <w:rFonts w:ascii="標楷體" w:eastAsia="標楷體" w:hAnsi="標楷體"/>
          <w:color w:val="000000"/>
        </w:rPr>
        <w:t>(2)用於治療非功能性患者，須附6個月內somatostatin-receptor 陽性報告。</w:t>
      </w:r>
    </w:p>
    <w:p w14:paraId="06469A2B" w14:textId="77777777" w:rsidR="00BD776B" w:rsidRDefault="00DF0C24">
      <w:pPr>
        <w:ind w:left="1077" w:hanging="367"/>
        <w:rPr>
          <w:rFonts w:ascii="標楷體" w:eastAsia="標楷體" w:hAnsi="標楷體"/>
          <w:color w:val="000000"/>
        </w:rPr>
      </w:pPr>
      <w:r>
        <w:rPr>
          <w:rFonts w:ascii="標楷體" w:eastAsia="標楷體" w:hAnsi="標楷體"/>
          <w:color w:val="000000"/>
        </w:rPr>
        <w:t>(3)每月限用lanreotide 120mg長效注射劑一針，每次注射間隔4週。須經事前審查核准後使用，每次申請以一年為限，期滿須經再次申請核准後，才得以續用。</w:t>
      </w:r>
    </w:p>
    <w:p w14:paraId="5D9525A2" w14:textId="77777777" w:rsidR="00BD776B" w:rsidRDefault="00DF0C24">
      <w:pPr>
        <w:ind w:left="672" w:hanging="386"/>
        <w:rPr>
          <w:rFonts w:ascii="標楷體" w:eastAsia="標楷體" w:hAnsi="標楷體"/>
          <w:color w:val="000000"/>
        </w:rPr>
      </w:pPr>
      <w:r>
        <w:rPr>
          <w:rFonts w:ascii="標楷體" w:eastAsia="標楷體" w:hAnsi="標楷體"/>
          <w:color w:val="000000"/>
        </w:rPr>
        <w:t>5.4.7.Cabergoline (如 Dostinex Tab.)：(91/6/1)</w:t>
      </w:r>
    </w:p>
    <w:p w14:paraId="3DD192AA"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1.限用於高乳促素血症引起之狀況。</w:t>
      </w:r>
    </w:p>
    <w:p w14:paraId="2BF4634B" w14:textId="77777777" w:rsidR="00BD776B" w:rsidRDefault="00DF0C24">
      <w:pPr>
        <w:ind w:left="811" w:hanging="245"/>
        <w:rPr>
          <w:rFonts w:ascii="標楷體" w:eastAsia="標楷體" w:hAnsi="標楷體"/>
          <w:color w:val="000000"/>
        </w:rPr>
      </w:pPr>
      <w:r>
        <w:rPr>
          <w:rFonts w:ascii="標楷體" w:eastAsia="標楷體" w:hAnsi="標楷體"/>
          <w:color w:val="000000"/>
        </w:rPr>
        <w:t>2.如用於產後正常性泌乳之抑制，不予給付。</w:t>
      </w:r>
    </w:p>
    <w:p w14:paraId="5991FE6D" w14:textId="77777777" w:rsidR="00BD776B" w:rsidRDefault="00DF0C24">
      <w:pPr>
        <w:ind w:left="567" w:hanging="245"/>
        <w:rPr>
          <w:rFonts w:ascii="標楷體" w:eastAsia="標楷體" w:hAnsi="標楷體"/>
          <w:color w:val="000000"/>
        </w:rPr>
      </w:pPr>
      <w:r>
        <w:rPr>
          <w:rFonts w:ascii="標楷體" w:eastAsia="標楷體" w:hAnsi="標楷體"/>
          <w:color w:val="000000"/>
        </w:rPr>
        <w:t>5.4.8. Pasireotide：(如Signifor) (103/7/1、106/10/1）</w:t>
      </w:r>
    </w:p>
    <w:p w14:paraId="50DA6EB1"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1.限用於治療無法接受腦下垂體手術或已接受此手術未能治療的庫欣氏病 (Cushing's disease)患者。</w:t>
      </w:r>
    </w:p>
    <w:p w14:paraId="66D566FF" w14:textId="77777777" w:rsidR="00BD776B" w:rsidRDefault="00DF0C24">
      <w:pPr>
        <w:ind w:left="811" w:hanging="245"/>
        <w:rPr>
          <w:rFonts w:ascii="標楷體" w:eastAsia="標楷體" w:hAnsi="標楷體"/>
          <w:color w:val="000000"/>
        </w:rPr>
      </w:pPr>
      <w:r>
        <w:rPr>
          <w:rFonts w:ascii="標楷體" w:eastAsia="標楷體" w:hAnsi="標楷體"/>
          <w:color w:val="000000"/>
        </w:rPr>
        <w:t>2.限內分泌及神經外科專科醫師使用。</w:t>
      </w:r>
    </w:p>
    <w:p w14:paraId="23DD37A7" w14:textId="77777777" w:rsidR="00BD776B" w:rsidRDefault="00DF0C24">
      <w:pPr>
        <w:ind w:left="567" w:hanging="245"/>
        <w:rPr>
          <w:rFonts w:ascii="標楷體" w:eastAsia="標楷體" w:hAnsi="標楷體"/>
          <w:color w:val="000000"/>
        </w:rPr>
      </w:pPr>
      <w:r>
        <w:rPr>
          <w:rFonts w:ascii="標楷體" w:eastAsia="標楷體" w:hAnsi="標楷體"/>
          <w:color w:val="000000"/>
        </w:rPr>
        <w:t>5.4.9.Pasireotide長效緩釋注射劑 (如Signifor LAR)：(108/12/1）</w:t>
      </w:r>
    </w:p>
    <w:p w14:paraId="78ACD489" w14:textId="77777777" w:rsidR="00BD776B" w:rsidRDefault="00DF0C24">
      <w:pPr>
        <w:ind w:left="850" w:hanging="281"/>
        <w:rPr>
          <w:rFonts w:ascii="標楷體" w:eastAsia="標楷體" w:hAnsi="標楷體"/>
          <w:color w:val="000000"/>
        </w:rPr>
      </w:pPr>
      <w:r>
        <w:rPr>
          <w:rFonts w:ascii="標楷體" w:eastAsia="標楷體" w:hAnsi="標楷體"/>
          <w:color w:val="000000"/>
        </w:rPr>
        <w:lastRenderedPageBreak/>
        <w:t>1.對手術反應不佳和/或無法接受手術治療，且以另一種體抑素類似物(somatostatin analogue)治療控制不良之肢端肥大症成人患者。</w:t>
      </w:r>
    </w:p>
    <w:p w14:paraId="196287EE" w14:textId="77777777" w:rsidR="00BD776B" w:rsidRDefault="00DF0C24">
      <w:pPr>
        <w:ind w:left="850" w:hanging="281"/>
        <w:rPr>
          <w:rFonts w:ascii="標楷體" w:eastAsia="標楷體" w:hAnsi="標楷體"/>
          <w:color w:val="000000"/>
        </w:rPr>
      </w:pPr>
      <w:r>
        <w:rPr>
          <w:rFonts w:ascii="標楷體" w:eastAsia="標楷體" w:hAnsi="標楷體"/>
          <w:color w:val="000000"/>
        </w:rPr>
        <w:t>2.每年至多使用13支。</w:t>
      </w:r>
    </w:p>
    <w:p w14:paraId="7405682F" w14:textId="77777777" w:rsidR="00BD776B" w:rsidRDefault="00DF0C24">
      <w:pPr>
        <w:ind w:left="850" w:hanging="281"/>
        <w:rPr>
          <w:rFonts w:ascii="標楷體" w:eastAsia="標楷體" w:hAnsi="標楷體"/>
          <w:color w:val="000000"/>
        </w:rPr>
      </w:pPr>
      <w:r>
        <w:rPr>
          <w:rFonts w:ascii="標楷體" w:eastAsia="標楷體" w:hAnsi="標楷體"/>
          <w:color w:val="000000"/>
        </w:rPr>
        <w:t>3.限內分泌及神經外科專科醫師使用。</w:t>
      </w:r>
    </w:p>
    <w:p w14:paraId="0E7AD228" w14:textId="77777777" w:rsidR="00BD776B" w:rsidRDefault="00DF0C24">
      <w:pPr>
        <w:ind w:left="850" w:hanging="281"/>
        <w:rPr>
          <w:rFonts w:ascii="標楷體" w:eastAsia="標楷體" w:hAnsi="標楷體"/>
          <w:color w:val="000000"/>
        </w:rPr>
      </w:pPr>
      <w:r>
        <w:rPr>
          <w:rFonts w:ascii="標楷體" w:eastAsia="標楷體" w:hAnsi="標楷體"/>
          <w:color w:val="000000"/>
        </w:rPr>
        <w:t>4.須經事前審查核准後使用，每一年須重新申請。</w:t>
      </w:r>
    </w:p>
    <w:p w14:paraId="18DCFE68" w14:textId="77777777" w:rsidR="00BD776B" w:rsidRDefault="00DF0C24">
      <w:pPr>
        <w:ind w:left="672" w:hanging="386"/>
        <w:rPr>
          <w:rFonts w:ascii="標楷體" w:eastAsia="標楷體" w:hAnsi="標楷體"/>
          <w:color w:val="000000"/>
        </w:rPr>
      </w:pPr>
      <w:r>
        <w:rPr>
          <w:rFonts w:ascii="標楷體" w:eastAsia="標楷體" w:hAnsi="標楷體"/>
          <w:color w:val="000000"/>
        </w:rPr>
        <w:t>5.5.其他  Miscellaneous</w:t>
      </w:r>
    </w:p>
    <w:p w14:paraId="7118A642" w14:textId="31D693FB" w:rsidR="00BD776B" w:rsidRDefault="00DF0C24">
      <w:pPr>
        <w:ind w:left="567" w:hanging="281"/>
        <w:rPr>
          <w:rFonts w:ascii="標楷體" w:eastAsia="標楷體" w:hAnsi="標楷體"/>
          <w:color w:val="000000"/>
        </w:rPr>
      </w:pPr>
      <w:r>
        <w:rPr>
          <w:rFonts w:ascii="標楷體" w:eastAsia="標楷體" w:hAnsi="標楷體"/>
          <w:color w:val="000000"/>
        </w:rPr>
        <w:t>5.5.1.Gn-RH analogue （如Buserelin；Goserelin；Leuprorelin；Triptorelin；Nafarelin(acetate)等製劑）(92/1/1、93/4/1、95/4/1、98/5/1、99/2/1、99/10/1、100/2/1、106/2/1、109/2/1、110/12/1、111/2/1</w:t>
      </w:r>
      <w:r w:rsidR="00A711B9">
        <w:rPr>
          <w:rFonts w:ascii="標楷體" w:eastAsia="標楷體" w:hAnsi="標楷體" w:hint="eastAsia"/>
          <w:color w:val="000000"/>
        </w:rPr>
        <w:t>、113/6/1</w:t>
      </w:r>
      <w:r>
        <w:rPr>
          <w:rFonts w:ascii="標楷體" w:eastAsia="標楷體" w:hAnsi="標楷體"/>
          <w:color w:val="000000"/>
        </w:rPr>
        <w:t>)</w:t>
      </w:r>
    </w:p>
    <w:p w14:paraId="59AF20F2" w14:textId="02BCF29D" w:rsidR="00BD776B" w:rsidRDefault="00DF0C24">
      <w:pPr>
        <w:ind w:left="850" w:hanging="281"/>
        <w:rPr>
          <w:rFonts w:ascii="標楷體" w:eastAsia="標楷體" w:hAnsi="標楷體"/>
          <w:color w:val="000000"/>
        </w:rPr>
      </w:pPr>
      <w:r>
        <w:rPr>
          <w:rFonts w:ascii="標楷體" w:eastAsia="標楷體" w:hAnsi="標楷體"/>
          <w:color w:val="000000"/>
        </w:rPr>
        <w:t>1.本類藥品限</w:t>
      </w:r>
      <w:r w:rsidR="00A711B9" w:rsidRPr="00A711B9">
        <w:rPr>
          <w:rFonts w:ascii="標楷體" w:eastAsia="標楷體" w:hAnsi="標楷體" w:hint="eastAsia"/>
          <w:color w:val="000000"/>
        </w:rPr>
        <w:t>依藥品許可證登載之適應症範圍內</w:t>
      </w:r>
      <w:r>
        <w:rPr>
          <w:rFonts w:ascii="標楷體" w:eastAsia="標楷體" w:hAnsi="標楷體"/>
          <w:color w:val="000000"/>
        </w:rPr>
        <w:t>用於前列腺癌、中樞性早熟、子宮內膜異位症及停經前(或更年期前)之乳癌病例。（85/1/1、98/5/1、106/2/1</w:t>
      </w:r>
      <w:r w:rsidR="00A711B9">
        <w:rPr>
          <w:rFonts w:ascii="標楷體" w:eastAsia="標楷體" w:hAnsi="標楷體" w:hint="eastAsia"/>
          <w:color w:val="000000"/>
        </w:rPr>
        <w:t>、113/6/1</w:t>
      </w:r>
      <w:r>
        <w:rPr>
          <w:rFonts w:ascii="標楷體" w:eastAsia="標楷體" w:hAnsi="標楷體"/>
          <w:color w:val="000000"/>
        </w:rPr>
        <w:t>)</w:t>
      </w:r>
    </w:p>
    <w:p w14:paraId="2E8FBE34" w14:textId="77777777" w:rsidR="00BD776B" w:rsidRDefault="00DF0C24">
      <w:pPr>
        <w:ind w:left="850" w:hanging="281"/>
        <w:rPr>
          <w:rFonts w:ascii="標楷體" w:eastAsia="標楷體" w:hAnsi="標楷體"/>
          <w:color w:val="000000"/>
        </w:rPr>
      </w:pPr>
      <w:r>
        <w:rPr>
          <w:rFonts w:ascii="標楷體" w:eastAsia="標楷體" w:hAnsi="標楷體"/>
          <w:color w:val="000000"/>
        </w:rPr>
        <w:t>2.本類製劑用於中樞性早熟、乳癌及子宮內膜異位症病例需經事前審查核准後依下列規範使用(98/5/1、99/10/1)：</w:t>
      </w:r>
    </w:p>
    <w:p w14:paraId="5B80A602" w14:textId="77777777" w:rsidR="00BD776B" w:rsidRDefault="00DF0C24">
      <w:pPr>
        <w:ind w:left="850" w:hanging="281"/>
        <w:rPr>
          <w:rFonts w:ascii="標楷體" w:eastAsia="標楷體" w:hAnsi="標楷體"/>
          <w:color w:val="000000"/>
        </w:rPr>
      </w:pPr>
      <w:r>
        <w:rPr>
          <w:rFonts w:ascii="標楷體" w:eastAsia="標楷體" w:hAnsi="標楷體"/>
          <w:color w:val="000000"/>
        </w:rPr>
        <w:t>(1)中樞性早熟</w:t>
      </w:r>
    </w:p>
    <w:p w14:paraId="716D81C0" w14:textId="77777777" w:rsidR="00BD776B" w:rsidRDefault="00DF0C24">
      <w:pPr>
        <w:ind w:left="1133" w:hanging="281"/>
        <w:rPr>
          <w:rFonts w:ascii="標楷體" w:eastAsia="標楷體" w:hAnsi="標楷體"/>
          <w:color w:val="000000"/>
        </w:rPr>
      </w:pPr>
      <w:r>
        <w:rPr>
          <w:rFonts w:ascii="標楷體" w:eastAsia="標楷體" w:hAnsi="標楷體"/>
          <w:color w:val="000000"/>
        </w:rPr>
        <w:t>Ⅰ.診斷：中樞性早熟（central precocious puberty, CPP）LHRH測驗呈LH反應最高值≧10 mIU/mL且合併第二性徵。包括特發性   (Idiopathic CPP, ICPP) 和病理性(Pathologic CPP, PCPP)</w:t>
      </w:r>
    </w:p>
    <w:p w14:paraId="11179997" w14:textId="77777777" w:rsidR="00BD776B" w:rsidRDefault="00DF0C24">
      <w:pPr>
        <w:ind w:left="1133" w:hanging="281"/>
        <w:rPr>
          <w:rFonts w:ascii="標楷體" w:eastAsia="標楷體" w:hAnsi="標楷體"/>
          <w:color w:val="000000"/>
        </w:rPr>
      </w:pPr>
      <w:r>
        <w:rPr>
          <w:rFonts w:ascii="標楷體" w:eastAsia="標楷體" w:hAnsi="標楷體"/>
          <w:color w:val="000000"/>
        </w:rPr>
        <w:t>Ⅱ.治療條件：</w:t>
      </w:r>
    </w:p>
    <w:p w14:paraId="516BECA1" w14:textId="77777777" w:rsidR="00BD776B" w:rsidRDefault="00DF0C24">
      <w:pPr>
        <w:ind w:left="1416" w:hanging="281"/>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年齡：開始發育的年齡，女孩7歲以下，男孩8歲以下(111/2/1)。</w:t>
      </w:r>
    </w:p>
    <w:p w14:paraId="3461ADDD" w14:textId="77777777" w:rsidR="00BD776B" w:rsidRDefault="00DF0C24">
      <w:pPr>
        <w:ind w:left="1416" w:hanging="281"/>
        <w:rPr>
          <w:rFonts w:ascii="標楷體" w:eastAsia="標楷體" w:hAnsi="標楷體"/>
          <w:color w:val="000000"/>
        </w:rPr>
      </w:pPr>
      <w:r>
        <w:rPr>
          <w:rFonts w:ascii="標楷體" w:eastAsia="標楷體" w:hAnsi="標楷體"/>
          <w:color w:val="000000"/>
        </w:rPr>
        <w:t>ii.骨齡加速：較年齡至少超前二年。</w:t>
      </w:r>
    </w:p>
    <w:p w14:paraId="2257B4CE" w14:textId="77777777" w:rsidR="00BD776B" w:rsidRDefault="00DF0C24">
      <w:pPr>
        <w:ind w:left="1416" w:hanging="281"/>
        <w:rPr>
          <w:rFonts w:ascii="標楷體" w:eastAsia="標楷體" w:hAnsi="標楷體"/>
          <w:color w:val="000000"/>
        </w:rPr>
      </w:pPr>
      <w:r>
        <w:rPr>
          <w:rFonts w:ascii="標楷體" w:eastAsia="標楷體" w:hAnsi="標楷體"/>
          <w:color w:val="000000"/>
        </w:rPr>
        <w:t>iii.預估成人身高需兼具下列3條件：(95/4/1)</w:t>
      </w:r>
    </w:p>
    <w:p w14:paraId="19BFFB2F" w14:textId="77777777" w:rsidR="00BD776B" w:rsidRDefault="00DF0C24">
      <w:pPr>
        <w:ind w:left="1699" w:hanging="281"/>
        <w:rPr>
          <w:rFonts w:ascii="標楷體" w:eastAsia="標楷體" w:hAnsi="標楷體"/>
          <w:color w:val="000000"/>
        </w:rPr>
      </w:pPr>
      <w:r>
        <w:rPr>
          <w:rFonts w:ascii="標楷體" w:eastAsia="標楷體" w:hAnsi="標楷體"/>
          <w:color w:val="000000"/>
        </w:rPr>
        <w:t>a.女≦一五三公分，男≦一六五公分</w:t>
      </w:r>
    </w:p>
    <w:p w14:paraId="75140453" w14:textId="77777777" w:rsidR="00BD776B" w:rsidRDefault="00DF0C24">
      <w:pPr>
        <w:ind w:left="1699" w:hanging="281"/>
        <w:rPr>
          <w:rFonts w:ascii="標楷體" w:eastAsia="標楷體" w:hAnsi="標楷體"/>
          <w:color w:val="000000"/>
        </w:rPr>
      </w:pPr>
      <w:r>
        <w:rPr>
          <w:rFonts w:ascii="標楷體" w:eastAsia="標楷體" w:hAnsi="標楷體"/>
          <w:color w:val="000000"/>
        </w:rPr>
        <w:t>b.比標的身高（target height，TH）至少相同或較矮；TH=【父親身高＋母親身高＋11（男）－11（女）】÷ 2。</w:t>
      </w:r>
    </w:p>
    <w:p w14:paraId="1BF6E495" w14:textId="77777777" w:rsidR="00BD776B" w:rsidRDefault="00DF0C24">
      <w:pPr>
        <w:ind w:left="1699" w:hanging="281"/>
        <w:rPr>
          <w:rFonts w:ascii="標楷體" w:eastAsia="標楷體" w:hAnsi="標楷體"/>
          <w:color w:val="000000"/>
        </w:rPr>
      </w:pPr>
      <w:r>
        <w:rPr>
          <w:rFonts w:ascii="標楷體" w:eastAsia="標楷體" w:hAnsi="標楷體"/>
          <w:color w:val="000000"/>
        </w:rPr>
        <w:t>c.在追蹤六至十二個月期間，骨齡增加與年齡增加比率≧2.0，且預估身高 (PAH) 減少至少五公分。</w:t>
      </w:r>
    </w:p>
    <w:p w14:paraId="69ABE87D" w14:textId="77777777" w:rsidR="00BD776B" w:rsidRDefault="00DF0C24">
      <w:pPr>
        <w:ind w:left="1416" w:hanging="281"/>
        <w:rPr>
          <w:rFonts w:ascii="標楷體" w:eastAsia="標楷體" w:hAnsi="標楷體"/>
          <w:color w:val="000000"/>
        </w:rPr>
      </w:pPr>
      <w:r>
        <w:rPr>
          <w:rFonts w:ascii="標楷體" w:eastAsia="標楷體" w:hAnsi="標楷體"/>
          <w:color w:val="000000"/>
        </w:rPr>
        <w:t>iv.PCPP中合併中樞神經疾病者，不受ii、iii之限制。</w:t>
      </w:r>
    </w:p>
    <w:p w14:paraId="030304BE" w14:textId="77777777" w:rsidR="00BD776B" w:rsidRDefault="00DF0C24">
      <w:pPr>
        <w:ind w:left="1176" w:hanging="324"/>
        <w:rPr>
          <w:rFonts w:ascii="標楷體" w:eastAsia="標楷體" w:hAnsi="標楷體"/>
          <w:color w:val="000000"/>
        </w:rPr>
      </w:pPr>
      <w:r>
        <w:rPr>
          <w:rFonts w:ascii="標楷體" w:eastAsia="標楷體" w:hAnsi="標楷體"/>
          <w:color w:val="000000"/>
        </w:rPr>
        <w:t>Ⅲ.治療劑量及使用法：GnRH analogue 最高3.75 mg，每三至四週注射一次 (途徑依藥廠規定)</w:t>
      </w:r>
    </w:p>
    <w:p w14:paraId="25D98DC5" w14:textId="77777777" w:rsidR="00BD776B" w:rsidRDefault="00DF0C24">
      <w:pPr>
        <w:ind w:left="1176" w:hanging="324"/>
        <w:rPr>
          <w:rFonts w:ascii="標楷體" w:eastAsia="標楷體" w:hAnsi="標楷體"/>
          <w:color w:val="000000"/>
        </w:rPr>
      </w:pPr>
      <w:r>
        <w:rPr>
          <w:rFonts w:ascii="標楷體" w:eastAsia="標楷體" w:hAnsi="標楷體"/>
          <w:color w:val="000000"/>
        </w:rPr>
        <w:t>Ⅳ.治療監測：身高和體重至少每三個月測量一次，骨齡至少每六至十二個月測定一次。</w:t>
      </w:r>
    </w:p>
    <w:p w14:paraId="26208082" w14:textId="77777777" w:rsidR="00BD776B" w:rsidRDefault="00DF0C24">
      <w:pPr>
        <w:ind w:left="1176" w:hanging="324"/>
        <w:rPr>
          <w:rFonts w:ascii="標楷體" w:eastAsia="標楷體" w:hAnsi="標楷體"/>
          <w:color w:val="000000"/>
        </w:rPr>
      </w:pPr>
      <w:r>
        <w:rPr>
          <w:rFonts w:ascii="標楷體" w:eastAsia="標楷體" w:hAnsi="標楷體"/>
          <w:color w:val="000000"/>
        </w:rPr>
        <w:t>Ⅴ.繼續治療條件：</w:t>
      </w:r>
    </w:p>
    <w:p w14:paraId="47EEBFB6" w14:textId="77777777" w:rsidR="00BD776B" w:rsidRDefault="00DF0C24">
      <w:pPr>
        <w:ind w:left="1416" w:hanging="281"/>
        <w:rPr>
          <w:rFonts w:ascii="標楷體" w:eastAsia="標楷體" w:hAnsi="標楷體"/>
          <w:color w:val="000000"/>
        </w:rPr>
      </w:pPr>
      <w:r>
        <w:rPr>
          <w:rFonts w:ascii="標楷體" w:eastAsia="標楷體" w:hAnsi="標楷體"/>
          <w:color w:val="000000"/>
        </w:rPr>
        <w:t>i.生長速率≧2公分／年，</w:t>
      </w:r>
    </w:p>
    <w:p w14:paraId="2D3D83B5" w14:textId="77777777" w:rsidR="00BD776B" w:rsidRDefault="00DF0C24">
      <w:pPr>
        <w:ind w:left="1416" w:hanging="281"/>
        <w:rPr>
          <w:rFonts w:ascii="標楷體" w:eastAsia="標楷體" w:hAnsi="標楷體"/>
          <w:color w:val="000000"/>
        </w:rPr>
      </w:pPr>
      <w:r>
        <w:rPr>
          <w:rFonts w:ascii="標楷體" w:eastAsia="標楷體" w:hAnsi="標楷體"/>
          <w:color w:val="000000"/>
        </w:rPr>
        <w:t>ii.骨齡：女14歲以下，男15歲以下(111/2/1)。</w:t>
      </w:r>
    </w:p>
    <w:p w14:paraId="2BF28162" w14:textId="77777777" w:rsidR="00BD776B" w:rsidRDefault="00DF0C24">
      <w:pPr>
        <w:ind w:left="1133" w:hanging="281"/>
        <w:rPr>
          <w:rFonts w:ascii="標楷體" w:eastAsia="標楷體" w:hAnsi="標楷體"/>
          <w:color w:val="000000"/>
        </w:rPr>
      </w:pPr>
      <w:r>
        <w:rPr>
          <w:rFonts w:ascii="標楷體" w:eastAsia="標楷體" w:hAnsi="標楷體"/>
          <w:color w:val="000000"/>
        </w:rPr>
        <w:t>Ⅵ.使用醫師：限兒科內分泌學次專科、兒科醫學遺傳學及新陳代謝學次專科醫師或新陳代謝專科醫師。(110/12/1)</w:t>
      </w:r>
    </w:p>
    <w:p w14:paraId="115A6326" w14:textId="77777777" w:rsidR="00BD776B" w:rsidRDefault="00DF0C24">
      <w:pPr>
        <w:ind w:left="1133" w:hanging="281"/>
        <w:rPr>
          <w:rFonts w:ascii="標楷體" w:eastAsia="標楷體" w:hAnsi="標楷體"/>
          <w:color w:val="000000"/>
        </w:rPr>
      </w:pPr>
      <w:r>
        <w:rPr>
          <w:rFonts w:ascii="標楷體" w:eastAsia="標楷體" w:hAnsi="標楷體"/>
          <w:color w:val="000000"/>
        </w:rPr>
        <w:t>Ⅶ.限地區醫院以上層級之醫院使用。(110/12/1)</w:t>
      </w:r>
    </w:p>
    <w:p w14:paraId="539A5469" w14:textId="37D4E662" w:rsidR="00BD776B" w:rsidRDefault="00DF0C24">
      <w:pPr>
        <w:ind w:left="850" w:hanging="281"/>
        <w:rPr>
          <w:rFonts w:ascii="標楷體" w:eastAsia="標楷體" w:hAnsi="標楷體"/>
          <w:color w:val="000000"/>
        </w:rPr>
      </w:pPr>
      <w:r>
        <w:rPr>
          <w:rFonts w:ascii="標楷體" w:eastAsia="標楷體" w:hAnsi="標楷體"/>
          <w:color w:val="000000"/>
        </w:rPr>
        <w:t>(2)停經前（或更年期前）之嚴重乳癌，須完全符合以下二點：(86/9/1、99/2/1</w:t>
      </w:r>
      <w:r w:rsidR="00BB1C41">
        <w:rPr>
          <w:rFonts w:ascii="標楷體" w:eastAsia="標楷體" w:hAnsi="標楷體" w:hint="eastAsia"/>
          <w:color w:val="000000"/>
        </w:rPr>
        <w:t>、113/6/1</w:t>
      </w:r>
      <w:r>
        <w:rPr>
          <w:rFonts w:ascii="標楷體" w:eastAsia="標楷體" w:hAnsi="標楷體"/>
          <w:color w:val="000000"/>
        </w:rPr>
        <w:t>)</w:t>
      </w:r>
    </w:p>
    <w:p w14:paraId="62A53568" w14:textId="77777777" w:rsidR="00BD776B" w:rsidRDefault="00DF0C24">
      <w:pPr>
        <w:ind w:left="1217" w:hanging="365"/>
        <w:rPr>
          <w:rFonts w:ascii="標楷體" w:eastAsia="標楷體" w:hAnsi="標楷體"/>
          <w:color w:val="000000"/>
        </w:rPr>
      </w:pPr>
      <w:r>
        <w:rPr>
          <w:rFonts w:ascii="標楷體" w:eastAsia="標楷體" w:hAnsi="標楷體"/>
          <w:color w:val="000000"/>
        </w:rPr>
        <w:t>Ⅰ.荷爾蒙接受體陽性。</w:t>
      </w:r>
    </w:p>
    <w:p w14:paraId="76FEBAE2" w14:textId="4E51ABB7" w:rsidR="00BD776B" w:rsidRDefault="00DF0C24">
      <w:pPr>
        <w:ind w:left="1217" w:hanging="365"/>
        <w:rPr>
          <w:rFonts w:ascii="標楷體" w:eastAsia="標楷體" w:hAnsi="標楷體"/>
          <w:color w:val="000000"/>
        </w:rPr>
      </w:pPr>
      <w:r>
        <w:rPr>
          <w:rFonts w:ascii="標楷體" w:eastAsia="標楷體" w:hAnsi="標楷體"/>
          <w:color w:val="000000"/>
        </w:rPr>
        <w:lastRenderedPageBreak/>
        <w:t>Ⅱ.停經前婦女有轉移性乳癌者。</w:t>
      </w:r>
      <w:r w:rsidR="00C342B1" w:rsidRPr="00C342B1">
        <w:rPr>
          <w:rFonts w:ascii="標楷體" w:eastAsia="標楷體" w:hAnsi="標楷體" w:hint="eastAsia"/>
          <w:color w:val="000000"/>
        </w:rPr>
        <w:t>(86/9/1、99/2/1、113/6/1)</w:t>
      </w:r>
    </w:p>
    <w:p w14:paraId="255463B8" w14:textId="77777777" w:rsidR="00BD776B" w:rsidRDefault="00DF0C24">
      <w:pPr>
        <w:ind w:left="850" w:hanging="281"/>
        <w:rPr>
          <w:rFonts w:ascii="標楷體" w:eastAsia="標楷體" w:hAnsi="標楷體"/>
          <w:color w:val="000000"/>
        </w:rPr>
      </w:pPr>
      <w:r>
        <w:rPr>
          <w:rFonts w:ascii="標楷體" w:eastAsia="標楷體" w:hAnsi="標楷體"/>
          <w:color w:val="000000"/>
        </w:rPr>
        <w:t>(3)停經前(或更年期前)之早期乳癌，且須完全符合以下六點：(100/2/1、106/2/1、109/2/1)</w:t>
      </w:r>
    </w:p>
    <w:p w14:paraId="318247D0" w14:textId="77777777" w:rsidR="00BD776B" w:rsidRDefault="00DF0C24">
      <w:pPr>
        <w:ind w:left="1133" w:hanging="281"/>
        <w:rPr>
          <w:rFonts w:ascii="標楷體" w:eastAsia="標楷體" w:hAnsi="標楷體"/>
          <w:color w:val="000000"/>
        </w:rPr>
      </w:pPr>
      <w:r>
        <w:rPr>
          <w:rFonts w:ascii="標楷體" w:eastAsia="標楷體" w:hAnsi="標楷體"/>
          <w:color w:val="000000"/>
        </w:rPr>
        <w:t>Ⅰ.與tamoxifen合併使用，作為手術後取代化學治療之輔助療法。</w:t>
      </w:r>
    </w:p>
    <w:p w14:paraId="6E09B25A" w14:textId="77777777" w:rsidR="00BD776B" w:rsidRDefault="00DF0C24">
      <w:pPr>
        <w:ind w:left="1133" w:hanging="281"/>
        <w:rPr>
          <w:rFonts w:ascii="標楷體" w:eastAsia="標楷體" w:hAnsi="標楷體"/>
          <w:color w:val="000000"/>
        </w:rPr>
      </w:pPr>
      <w:r>
        <w:rPr>
          <w:rFonts w:ascii="標楷體" w:eastAsia="標楷體" w:hAnsi="標楷體"/>
          <w:color w:val="000000"/>
        </w:rPr>
        <w:t>Ⅱ.荷爾蒙接受體為強陽性：ER/PR為2+或3+。</w:t>
      </w:r>
    </w:p>
    <w:p w14:paraId="050C24F4" w14:textId="77777777" w:rsidR="00BD776B" w:rsidRDefault="00DF0C24">
      <w:pPr>
        <w:ind w:left="1133" w:hanging="281"/>
        <w:rPr>
          <w:rFonts w:ascii="標楷體" w:eastAsia="標楷體" w:hAnsi="標楷體"/>
          <w:color w:val="000000"/>
        </w:rPr>
      </w:pPr>
      <w:r>
        <w:rPr>
          <w:rFonts w:ascii="標楷體" w:eastAsia="標楷體" w:hAnsi="標楷體"/>
          <w:color w:val="000000"/>
        </w:rPr>
        <w:t>Ⅲ.Her-2 Fish檢測為陰性或IHC為1+。</w:t>
      </w:r>
    </w:p>
    <w:p w14:paraId="3DF25AAA" w14:textId="77777777" w:rsidR="00BD776B" w:rsidRDefault="00DF0C24">
      <w:pPr>
        <w:ind w:left="1133" w:hanging="281"/>
        <w:rPr>
          <w:rFonts w:ascii="標楷體" w:eastAsia="標楷體" w:hAnsi="標楷體"/>
          <w:color w:val="000000"/>
        </w:rPr>
      </w:pPr>
      <w:r>
        <w:rPr>
          <w:rFonts w:ascii="標楷體" w:eastAsia="標楷體" w:hAnsi="標楷體"/>
          <w:color w:val="000000"/>
        </w:rPr>
        <w:t>Ⅳ.淋巴結轉移數目須≦3個。</w:t>
      </w:r>
    </w:p>
    <w:p w14:paraId="158D042D" w14:textId="77777777" w:rsidR="00BD776B" w:rsidRDefault="00DF0C24">
      <w:pPr>
        <w:ind w:left="1133" w:hanging="281"/>
        <w:rPr>
          <w:rFonts w:ascii="標楷體" w:eastAsia="標楷體" w:hAnsi="標楷體"/>
          <w:color w:val="000000"/>
        </w:rPr>
      </w:pPr>
      <w:r>
        <w:rPr>
          <w:rFonts w:ascii="標楷體" w:eastAsia="標楷體" w:hAnsi="標楷體"/>
          <w:color w:val="000000"/>
        </w:rPr>
        <w:t>Ⅴ.使用期限：leuprorelin、goserelin或triptorelin使用3年，tamoxifen使用5年。(106/2/1、109/2/1)</w:t>
      </w:r>
    </w:p>
    <w:p w14:paraId="5DE5F2B6" w14:textId="77777777" w:rsidR="00BD776B" w:rsidRDefault="00DF0C24">
      <w:pPr>
        <w:ind w:left="1133" w:hanging="281"/>
        <w:rPr>
          <w:rFonts w:ascii="標楷體" w:eastAsia="標楷體" w:hAnsi="標楷體"/>
          <w:color w:val="000000"/>
        </w:rPr>
      </w:pPr>
      <w:r>
        <w:rPr>
          <w:rFonts w:ascii="標楷體" w:eastAsia="標楷體" w:hAnsi="標楷體"/>
          <w:color w:val="000000"/>
        </w:rPr>
        <w:t>Ⅵ.須事前審查，並於申請時說明無法接受化學治療之原因。</w:t>
      </w:r>
    </w:p>
    <w:p w14:paraId="599D0B14" w14:textId="77777777" w:rsidR="00BD776B" w:rsidRDefault="00DF0C24">
      <w:pPr>
        <w:ind w:left="850" w:hanging="281"/>
        <w:rPr>
          <w:rFonts w:ascii="標楷體" w:eastAsia="標楷體" w:hAnsi="標楷體"/>
          <w:color w:val="000000"/>
        </w:rPr>
      </w:pPr>
      <w:r>
        <w:rPr>
          <w:rFonts w:ascii="標楷體" w:eastAsia="標楷體" w:hAnsi="標楷體"/>
          <w:color w:val="000000"/>
        </w:rPr>
        <w:t>(4)本品使用於子宮內膜異位症之規定：（87/10/1、98/5/1）</w:t>
      </w:r>
    </w:p>
    <w:p w14:paraId="78BEEBBC" w14:textId="77777777" w:rsidR="00BD776B" w:rsidRDefault="00DF0C24">
      <w:pPr>
        <w:ind w:left="1133" w:hanging="281"/>
        <w:rPr>
          <w:rFonts w:ascii="標楷體" w:eastAsia="標楷體" w:hAnsi="標楷體"/>
          <w:color w:val="000000"/>
        </w:rPr>
      </w:pPr>
      <w:r>
        <w:rPr>
          <w:rFonts w:ascii="標楷體" w:eastAsia="標楷體" w:hAnsi="標楷體"/>
          <w:color w:val="000000"/>
        </w:rPr>
        <w:t>Ⅰ.經客觀診斷之第二期(含)以上子宮內膜異位症 (AFS修訂之評分標準（以下簡稱rAFS），需附手術紀錄及病理報告證明)；且符合下列各項條件之一者，需經事前審查核准後使用GnRH analogue。</w:t>
      </w:r>
    </w:p>
    <w:p w14:paraId="4F667399" w14:textId="77777777" w:rsidR="00BD776B" w:rsidRDefault="00DF0C24">
      <w:pPr>
        <w:ind w:left="1275" w:hanging="281"/>
        <w:rPr>
          <w:rFonts w:ascii="標楷體" w:eastAsia="標楷體" w:hAnsi="標楷體"/>
          <w:color w:val="000000"/>
        </w:rPr>
      </w:pPr>
      <w:r>
        <w:rPr>
          <w:rFonts w:ascii="標楷體" w:eastAsia="標楷體" w:hAnsi="標楷體"/>
          <w:color w:val="000000"/>
        </w:rPr>
        <w:t>i.肝機能不全（ALT或AST大於正常值三倍）、腎功能不全（creatinine &gt; 2 mg %）、鬱血性心臟病，不適用各種荷爾蒙藥物治療者。</w:t>
      </w:r>
    </w:p>
    <w:p w14:paraId="286D886E" w14:textId="77777777" w:rsidR="00BD776B" w:rsidRDefault="00DF0C24">
      <w:pPr>
        <w:ind w:left="1275" w:hanging="281"/>
        <w:rPr>
          <w:rFonts w:ascii="標楷體" w:eastAsia="標楷體" w:hAnsi="標楷體"/>
          <w:color w:val="000000"/>
        </w:rPr>
      </w:pPr>
      <w:r>
        <w:rPr>
          <w:rFonts w:ascii="標楷體" w:eastAsia="標楷體" w:hAnsi="標楷體"/>
          <w:color w:val="000000"/>
        </w:rPr>
        <w:t>ii.曾使用各種荷爾蒙藥物治療，引起藥物過敏或不可逆之藥物不良反應者。</w:t>
      </w:r>
    </w:p>
    <w:p w14:paraId="0D17A141" w14:textId="77777777" w:rsidR="00BD776B" w:rsidRDefault="00DF0C24">
      <w:pPr>
        <w:ind w:left="1133" w:hanging="281"/>
        <w:rPr>
          <w:rFonts w:ascii="標楷體" w:eastAsia="標楷體" w:hAnsi="標楷體"/>
          <w:color w:val="000000"/>
        </w:rPr>
      </w:pPr>
      <w:r>
        <w:rPr>
          <w:rFonts w:ascii="標楷體" w:eastAsia="標楷體" w:hAnsi="標楷體"/>
          <w:color w:val="000000"/>
        </w:rPr>
        <w:t>Ⅱ.前項藥物治療以連續六個月為上限。</w:t>
      </w:r>
    </w:p>
    <w:p w14:paraId="5E92046B" w14:textId="77777777" w:rsidR="00BD776B" w:rsidRDefault="00DF0C24">
      <w:pPr>
        <w:ind w:left="283"/>
        <w:rPr>
          <w:rFonts w:ascii="標楷體" w:eastAsia="標楷體" w:hAnsi="標楷體"/>
          <w:color w:val="000000"/>
        </w:rPr>
      </w:pPr>
      <w:r>
        <w:rPr>
          <w:rFonts w:ascii="標楷體" w:eastAsia="標楷體" w:hAnsi="標楷體"/>
          <w:color w:val="000000"/>
        </w:rPr>
        <w:t xml:space="preserve">5.5.1.1.Degarelix（如Firmagon）：（103/9/1） </w:t>
      </w:r>
    </w:p>
    <w:p w14:paraId="22C0537E" w14:textId="77777777" w:rsidR="00BD776B" w:rsidRDefault="00DF0C24">
      <w:pPr>
        <w:ind w:left="989" w:hanging="139"/>
        <w:rPr>
          <w:rFonts w:ascii="標楷體" w:eastAsia="標楷體" w:hAnsi="標楷體"/>
          <w:color w:val="000000"/>
        </w:rPr>
      </w:pPr>
      <w:r>
        <w:rPr>
          <w:rFonts w:ascii="標楷體" w:eastAsia="標楷體" w:hAnsi="標楷體"/>
          <w:color w:val="000000"/>
        </w:rPr>
        <w:t>限用於成年男性晚期荷爾蒙依賴型前列腺癌患者。</w:t>
      </w:r>
    </w:p>
    <w:p w14:paraId="474FBB5A" w14:textId="77777777" w:rsidR="00BD776B" w:rsidRDefault="00DF0C24">
      <w:pPr>
        <w:ind w:left="672" w:hanging="386"/>
        <w:rPr>
          <w:rFonts w:ascii="標楷體" w:eastAsia="標楷體" w:hAnsi="標楷體"/>
          <w:color w:val="000000"/>
        </w:rPr>
      </w:pPr>
      <w:r>
        <w:rPr>
          <w:rFonts w:ascii="標楷體" w:eastAsia="標楷體" w:hAnsi="標楷體"/>
          <w:color w:val="000000"/>
        </w:rPr>
        <w:t>5.5.2.抑鈣激素製劑 (Salmon calcitonin injection)</w:t>
      </w:r>
    </w:p>
    <w:p w14:paraId="58D33679" w14:textId="77777777" w:rsidR="00BD776B" w:rsidRDefault="00DF0C24">
      <w:pPr>
        <w:ind w:left="798" w:hanging="1"/>
        <w:rPr>
          <w:rFonts w:ascii="標楷體" w:eastAsia="標楷體" w:hAnsi="標楷體"/>
          <w:color w:val="000000"/>
        </w:rPr>
      </w:pPr>
      <w:r>
        <w:rPr>
          <w:rFonts w:ascii="標楷體" w:eastAsia="標楷體" w:hAnsi="標楷體"/>
          <w:color w:val="000000"/>
        </w:rPr>
        <w:t>用於惡性疾病之高血鈣症或變形性骨炎 ( Paget's disease)（85/10/1、93/8/1、100/1/1、103/2/1）。</w:t>
      </w:r>
    </w:p>
    <w:p w14:paraId="39DDA470" w14:textId="77777777" w:rsidR="00BD776B" w:rsidRDefault="00DF0C24">
      <w:pPr>
        <w:ind w:left="672" w:hanging="386"/>
        <w:rPr>
          <w:rFonts w:ascii="標楷體" w:eastAsia="標楷體" w:hAnsi="標楷體"/>
          <w:color w:val="000000"/>
        </w:rPr>
      </w:pPr>
      <w:r>
        <w:rPr>
          <w:rFonts w:ascii="標楷體" w:eastAsia="標楷體" w:hAnsi="標楷體"/>
          <w:color w:val="000000"/>
        </w:rPr>
        <w:t>5.5.3.Bisphosphonate</w:t>
      </w:r>
    </w:p>
    <w:p w14:paraId="06FA266C" w14:textId="77777777" w:rsidR="00BD776B" w:rsidRDefault="00DF0C24">
      <w:pPr>
        <w:ind w:left="672" w:hanging="386"/>
        <w:rPr>
          <w:rFonts w:ascii="標楷體" w:eastAsia="標楷體" w:hAnsi="標楷體"/>
          <w:color w:val="000000"/>
        </w:rPr>
      </w:pPr>
      <w:r>
        <w:rPr>
          <w:rFonts w:ascii="標楷體" w:eastAsia="標楷體" w:hAnsi="標楷體"/>
          <w:color w:val="000000"/>
        </w:rPr>
        <w:t>5.5.3.1.Clodronate；pamidronate：（85/1/1、87/4/1、93/2/1、96/1/1、100/1/1）</w:t>
      </w:r>
    </w:p>
    <w:p w14:paraId="45A0A685" w14:textId="77777777" w:rsidR="00BD776B" w:rsidRDefault="00DF0C24">
      <w:pPr>
        <w:ind w:left="798" w:hanging="1"/>
        <w:rPr>
          <w:rFonts w:ascii="標楷體" w:eastAsia="標楷體" w:hAnsi="標楷體"/>
          <w:color w:val="000000"/>
        </w:rPr>
      </w:pPr>
      <w:r>
        <w:rPr>
          <w:rFonts w:ascii="標楷體" w:eastAsia="標楷體" w:hAnsi="標楷體"/>
          <w:color w:val="000000"/>
        </w:rPr>
        <w:t xml:space="preserve">限符合下列條件之一患者使用： </w:t>
      </w:r>
    </w:p>
    <w:p w14:paraId="3F211961" w14:textId="77777777" w:rsidR="00BD776B" w:rsidRDefault="00DF0C24">
      <w:pPr>
        <w:ind w:left="811" w:hanging="245"/>
        <w:rPr>
          <w:rFonts w:ascii="標楷體" w:eastAsia="標楷體" w:hAnsi="標楷體"/>
          <w:color w:val="000000"/>
        </w:rPr>
      </w:pPr>
      <w:r>
        <w:rPr>
          <w:rFonts w:ascii="標楷體" w:eastAsia="標楷體" w:hAnsi="標楷體"/>
          <w:color w:val="000000"/>
        </w:rPr>
        <w:t>1.血清鈣濃度超過2.75 mmol/L (11.0mg %) 或游離鈣大於5.6 mg /dL者。</w:t>
      </w:r>
    </w:p>
    <w:p w14:paraId="73D768A4" w14:textId="77777777" w:rsidR="00BD776B" w:rsidRDefault="00DF0C24">
      <w:pPr>
        <w:ind w:left="811" w:hanging="245"/>
        <w:rPr>
          <w:rFonts w:ascii="標楷體" w:eastAsia="標楷體" w:hAnsi="標楷體"/>
          <w:color w:val="000000"/>
        </w:rPr>
      </w:pPr>
      <w:r>
        <w:rPr>
          <w:rFonts w:ascii="標楷體" w:eastAsia="標楷體" w:hAnsi="標楷體"/>
          <w:color w:val="000000"/>
        </w:rPr>
        <w:t>2.惡性腫瘤之蝕骨性骨頭轉移之病患，在使用嗎啡、可待因等止痛劑後仍不易控制者。</w:t>
      </w:r>
    </w:p>
    <w:p w14:paraId="29D64395" w14:textId="77777777" w:rsidR="00BD776B" w:rsidRDefault="00DF0C24">
      <w:pPr>
        <w:ind w:left="811" w:hanging="245"/>
        <w:rPr>
          <w:rFonts w:ascii="標楷體" w:eastAsia="標楷體" w:hAnsi="標楷體"/>
          <w:color w:val="000000"/>
        </w:rPr>
      </w:pPr>
      <w:r>
        <w:rPr>
          <w:rFonts w:ascii="標楷體" w:eastAsia="標楷體" w:hAnsi="標楷體"/>
          <w:color w:val="000000"/>
        </w:rPr>
        <w:t>3. Multiple Myeloma, Breast Cancer, Prostate Cancer併有蝕骨性骨轉移之病患(96/1/1)。</w:t>
      </w:r>
    </w:p>
    <w:p w14:paraId="1BEB631A" w14:textId="77777777" w:rsidR="00BD776B" w:rsidRDefault="00DF0C24">
      <w:pPr>
        <w:ind w:left="672" w:hanging="386"/>
        <w:rPr>
          <w:rFonts w:ascii="標楷體" w:eastAsia="標楷體" w:hAnsi="標楷體"/>
          <w:color w:val="000000"/>
        </w:rPr>
      </w:pPr>
      <w:r>
        <w:rPr>
          <w:rFonts w:ascii="標楷體" w:eastAsia="標楷體" w:hAnsi="標楷體"/>
          <w:color w:val="000000"/>
        </w:rPr>
        <w:t>5.5.3.2.Zoledronic acid：(93/6/1、93/12/1、96/1/1、98/6/1)</w:t>
      </w:r>
    </w:p>
    <w:p w14:paraId="3045AA39" w14:textId="77777777" w:rsidR="00BD776B" w:rsidRDefault="00DF0C24">
      <w:pPr>
        <w:ind w:left="672" w:hanging="386"/>
        <w:rPr>
          <w:rFonts w:ascii="標楷體" w:eastAsia="標楷體" w:hAnsi="標楷體"/>
          <w:color w:val="000000"/>
        </w:rPr>
      </w:pPr>
      <w:r>
        <w:rPr>
          <w:rFonts w:ascii="標楷體" w:eastAsia="標楷體" w:hAnsi="標楷體"/>
          <w:color w:val="000000"/>
        </w:rPr>
        <w:t>5.5.3.2.1.Zoledronic acid 4mg/vial (如Zometa Powder For Solution For Infusion 4mg)( 98/6/1、100/1/1)</w:t>
      </w:r>
    </w:p>
    <w:p w14:paraId="7BA01502" w14:textId="77777777" w:rsidR="00BD776B" w:rsidRDefault="00DF0C24">
      <w:pPr>
        <w:ind w:left="798" w:hanging="1"/>
        <w:rPr>
          <w:rFonts w:ascii="標楷體" w:eastAsia="標楷體" w:hAnsi="標楷體"/>
          <w:color w:val="000000"/>
        </w:rPr>
      </w:pPr>
      <w:r>
        <w:rPr>
          <w:rFonts w:ascii="標楷體" w:eastAsia="標楷體" w:hAnsi="標楷體"/>
          <w:color w:val="000000"/>
        </w:rPr>
        <w:t xml:space="preserve">限符合下列條件之一患者使用： </w:t>
      </w:r>
    </w:p>
    <w:p w14:paraId="4752F8CB" w14:textId="77777777" w:rsidR="00BD776B" w:rsidRDefault="00DF0C24">
      <w:pPr>
        <w:ind w:left="811" w:hanging="245"/>
        <w:rPr>
          <w:rFonts w:ascii="標楷體" w:eastAsia="標楷體" w:hAnsi="標楷體"/>
          <w:color w:val="000000"/>
        </w:rPr>
      </w:pPr>
      <w:r>
        <w:rPr>
          <w:rFonts w:ascii="標楷體" w:eastAsia="標楷體" w:hAnsi="標楷體"/>
          <w:color w:val="000000"/>
        </w:rPr>
        <w:t>1.用於治療惡性腫瘤之高血鈣併發症 (HCM)，且限用於血清鈣濃度超過2.75 mmol/L  (11.0mg/dL) 或游離鈣大於5.6 mg/dL (93/6/1)。</w:t>
      </w:r>
    </w:p>
    <w:p w14:paraId="551F6261" w14:textId="77777777" w:rsidR="00BD776B" w:rsidRDefault="00DF0C24">
      <w:pPr>
        <w:ind w:left="811" w:hanging="245"/>
        <w:rPr>
          <w:rFonts w:ascii="標楷體" w:eastAsia="標楷體" w:hAnsi="標楷體"/>
          <w:color w:val="000000"/>
        </w:rPr>
      </w:pPr>
      <w:r>
        <w:rPr>
          <w:rFonts w:ascii="標楷體" w:eastAsia="標楷體" w:hAnsi="標楷體"/>
          <w:color w:val="000000"/>
        </w:rPr>
        <w:t>2.Multiple Myeloma，Breast Cancer，Prostate Cancer併有蝕骨性骨轉移之病患 (96/1/1)。</w:t>
      </w:r>
    </w:p>
    <w:p w14:paraId="300E0CE3" w14:textId="77777777" w:rsidR="00BD776B" w:rsidRDefault="00DF0C24">
      <w:pPr>
        <w:ind w:left="672" w:hanging="386"/>
        <w:rPr>
          <w:rFonts w:ascii="標楷體" w:eastAsia="標楷體" w:hAnsi="標楷體"/>
          <w:color w:val="000000"/>
        </w:rPr>
      </w:pPr>
      <w:r>
        <w:rPr>
          <w:rFonts w:ascii="標楷體" w:eastAsia="標楷體" w:hAnsi="標楷體"/>
          <w:color w:val="000000"/>
        </w:rPr>
        <w:t>5.5.3.2.2.Zoledronic acid 5mg (如Aclasta 5mg/100mL Solution for infusion)( 98/6/1、100/1/1)</w:t>
      </w:r>
    </w:p>
    <w:p w14:paraId="26113EA7" w14:textId="77777777" w:rsidR="00BD776B" w:rsidRDefault="00DF0C24">
      <w:pPr>
        <w:ind w:left="798" w:hanging="1"/>
        <w:rPr>
          <w:rFonts w:ascii="標楷體" w:eastAsia="標楷體" w:hAnsi="標楷體"/>
          <w:color w:val="000000"/>
        </w:rPr>
      </w:pPr>
      <w:r>
        <w:rPr>
          <w:rFonts w:ascii="標楷體" w:eastAsia="標楷體" w:hAnsi="標楷體"/>
          <w:color w:val="000000"/>
        </w:rPr>
        <w:lastRenderedPageBreak/>
        <w:t>用於變形性骨炎(Paget's disease)</w:t>
      </w:r>
    </w:p>
    <w:p w14:paraId="7E9D4C81" w14:textId="77777777" w:rsidR="00BD776B" w:rsidRDefault="00DF0C24">
      <w:pPr>
        <w:ind w:left="672" w:hanging="386"/>
        <w:rPr>
          <w:rFonts w:ascii="標楷體" w:eastAsia="標楷體" w:hAnsi="標楷體"/>
          <w:color w:val="000000"/>
        </w:rPr>
      </w:pPr>
      <w:r>
        <w:rPr>
          <w:rFonts w:ascii="標楷體" w:eastAsia="標楷體" w:hAnsi="標楷體"/>
          <w:color w:val="000000"/>
        </w:rPr>
        <w:t>5.5.3.3.Etidronate（如Etibon）：(87/10/1、100/1/1)</w:t>
      </w:r>
    </w:p>
    <w:p w14:paraId="738CE7C6" w14:textId="77777777" w:rsidR="00BD776B" w:rsidRDefault="00DF0C24">
      <w:pPr>
        <w:ind w:left="798" w:hanging="1"/>
        <w:rPr>
          <w:rFonts w:ascii="標楷體" w:eastAsia="標楷體" w:hAnsi="標楷體"/>
          <w:color w:val="000000"/>
        </w:rPr>
      </w:pPr>
      <w:r>
        <w:rPr>
          <w:rFonts w:ascii="標楷體" w:eastAsia="標楷體" w:hAnsi="標楷體"/>
          <w:color w:val="000000"/>
        </w:rPr>
        <w:t>限用於Paget’s disease之症狀治療及異位性骨化症之治療。</w:t>
      </w:r>
    </w:p>
    <w:p w14:paraId="7FA47AF5" w14:textId="77777777" w:rsidR="00BD776B" w:rsidRDefault="00DF0C24">
      <w:pPr>
        <w:ind w:left="672" w:hanging="386"/>
        <w:rPr>
          <w:rFonts w:ascii="標楷體" w:eastAsia="標楷體" w:hAnsi="標楷體"/>
          <w:color w:val="000000"/>
        </w:rPr>
      </w:pPr>
      <w:r>
        <w:rPr>
          <w:rFonts w:ascii="標楷體" w:eastAsia="標楷體" w:hAnsi="標楷體"/>
          <w:color w:val="000000"/>
        </w:rPr>
        <w:t>5.5.3.4.Ibandronic acid: (96/8/1、97/8/1、100/1/1)</w:t>
      </w:r>
    </w:p>
    <w:p w14:paraId="640DF5B9" w14:textId="77777777" w:rsidR="00BD776B" w:rsidRDefault="00DF0C24">
      <w:pPr>
        <w:ind w:left="672" w:hanging="386"/>
        <w:rPr>
          <w:rFonts w:ascii="標楷體" w:eastAsia="標楷體" w:hAnsi="標楷體"/>
          <w:color w:val="000000"/>
        </w:rPr>
      </w:pPr>
      <w:r>
        <w:rPr>
          <w:rFonts w:ascii="標楷體" w:eastAsia="標楷體" w:hAnsi="標楷體"/>
          <w:color w:val="000000"/>
        </w:rPr>
        <w:t>5.5.3.4.1.Ibandronic acid 2mg/2mL；6mg/6mL（如Bondronat concentrate for solution for infusion）(96/8/1、100/1/1)</w:t>
      </w:r>
    </w:p>
    <w:p w14:paraId="0698A9A1" w14:textId="77777777" w:rsidR="00BD776B" w:rsidRDefault="00DF0C24">
      <w:pPr>
        <w:ind w:left="798" w:hanging="1"/>
        <w:rPr>
          <w:rFonts w:ascii="標楷體" w:eastAsia="標楷體" w:hAnsi="標楷體"/>
          <w:color w:val="000000"/>
        </w:rPr>
      </w:pPr>
      <w:r>
        <w:rPr>
          <w:rFonts w:ascii="標楷體" w:eastAsia="標楷體" w:hAnsi="標楷體"/>
          <w:color w:val="000000"/>
        </w:rPr>
        <w:t>限符合下列條件之一患者使用：</w:t>
      </w:r>
    </w:p>
    <w:p w14:paraId="29B03CC9" w14:textId="77777777" w:rsidR="00BD776B" w:rsidRDefault="00DF0C24">
      <w:pPr>
        <w:ind w:left="1049" w:hanging="341"/>
        <w:rPr>
          <w:rFonts w:ascii="標楷體" w:eastAsia="標楷體" w:hAnsi="標楷體"/>
          <w:color w:val="000000"/>
        </w:rPr>
      </w:pPr>
      <w:r>
        <w:rPr>
          <w:rFonts w:ascii="標楷體" w:eastAsia="標楷體" w:hAnsi="標楷體"/>
          <w:color w:val="000000"/>
        </w:rPr>
        <w:t>(1)限用於治療惡性腫瘤之高血鈣併發症，且限用於血清鈣濃度超過2.75 mmol/L (11.0mg/dL)或游離鈣大於5.6 mg/dL之病例。</w:t>
      </w:r>
    </w:p>
    <w:p w14:paraId="6918C6CE" w14:textId="77777777" w:rsidR="00BD776B" w:rsidRDefault="00DF0C24">
      <w:pPr>
        <w:ind w:left="1049" w:hanging="341"/>
        <w:rPr>
          <w:rFonts w:ascii="標楷體" w:eastAsia="標楷體" w:hAnsi="標楷體"/>
          <w:color w:val="000000"/>
        </w:rPr>
      </w:pPr>
      <w:r>
        <w:rPr>
          <w:rFonts w:ascii="標楷體" w:eastAsia="標楷體" w:hAnsi="標楷體"/>
          <w:color w:val="000000"/>
        </w:rPr>
        <w:t>(2)限Breast Cancer併有蝕骨性骨轉移之病患。</w:t>
      </w:r>
    </w:p>
    <w:p w14:paraId="768FBA3A" w14:textId="4F47695F" w:rsidR="00BD776B" w:rsidRDefault="00DF0C24">
      <w:pPr>
        <w:ind w:firstLine="240"/>
        <w:rPr>
          <w:rFonts w:ascii="標楷體" w:eastAsia="標楷體" w:hAnsi="標楷體"/>
        </w:rPr>
      </w:pPr>
      <w:r>
        <w:rPr>
          <w:rFonts w:ascii="標楷體" w:eastAsia="標楷體" w:hAnsi="標楷體"/>
        </w:rPr>
        <w:t>5.5.4. Denosumab（如Xgeva）(102/1/1、104/12/1、109/2/1</w:t>
      </w:r>
      <w:r w:rsidR="006D7409">
        <w:rPr>
          <w:rFonts w:ascii="標楷體" w:eastAsia="標楷體" w:hAnsi="標楷體" w:hint="eastAsia"/>
        </w:rPr>
        <w:t>、113/10/1</w:t>
      </w:r>
      <w:r>
        <w:rPr>
          <w:rFonts w:ascii="標楷體" w:eastAsia="標楷體" w:hAnsi="標楷體"/>
        </w:rPr>
        <w:t>)</w:t>
      </w:r>
    </w:p>
    <w:p w14:paraId="02E84AC5" w14:textId="77777777" w:rsidR="00BD776B" w:rsidRDefault="00DF0C24">
      <w:pPr>
        <w:ind w:left="798" w:hanging="1"/>
        <w:rPr>
          <w:rFonts w:ascii="標楷體" w:eastAsia="標楷體" w:hAnsi="標楷體"/>
        </w:rPr>
      </w:pPr>
      <w:r>
        <w:rPr>
          <w:rFonts w:ascii="標楷體" w:eastAsia="標楷體" w:hAnsi="標楷體"/>
        </w:rPr>
        <w:t>限用於：</w:t>
      </w:r>
    </w:p>
    <w:p w14:paraId="2489193F" w14:textId="704B2152" w:rsidR="00BD776B" w:rsidRDefault="006D7409">
      <w:pPr>
        <w:ind w:left="798" w:hanging="1"/>
      </w:pPr>
      <w:r w:rsidRPr="006D7409">
        <w:rPr>
          <w:rFonts w:ascii="標楷體" w:eastAsia="標楷體" w:hAnsi="標楷體" w:hint="eastAsia"/>
        </w:rPr>
        <w:t>多發性骨髓瘤病人與乳癌、前列腺癌、肺癌、結腸直腸癌、膀胱癌、腎癌、子宮頸癌、卵巢癌、食道癌、胃癌及胰癌併有蝕骨性骨轉移之病人</w:t>
      </w:r>
      <w:r w:rsidR="00DF0C24">
        <w:rPr>
          <w:rFonts w:ascii="標楷體" w:eastAsia="標楷體" w:hAnsi="標楷體"/>
        </w:rPr>
        <w:t>。</w:t>
      </w:r>
    </w:p>
    <w:p w14:paraId="3A9A49C6" w14:textId="77777777" w:rsidR="00BD776B" w:rsidRDefault="00DF0C24">
      <w:pPr>
        <w:ind w:left="672" w:hanging="386"/>
        <w:rPr>
          <w:rFonts w:ascii="標楷體" w:eastAsia="標楷體" w:hAnsi="標楷體"/>
          <w:color w:val="000000"/>
        </w:rPr>
      </w:pPr>
      <w:r>
        <w:rPr>
          <w:rFonts w:ascii="標楷體" w:eastAsia="標楷體" w:hAnsi="標楷體"/>
          <w:color w:val="000000"/>
        </w:rPr>
        <w:t>5.5.6.Rasburicase（如Fasturtec注射劑）(93/5/1)</w:t>
      </w:r>
    </w:p>
    <w:p w14:paraId="4C0D1123"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1.限用於血液腫瘤（急性白血病和high grade淋巴瘤）患者之下列情形：</w:t>
      </w:r>
    </w:p>
    <w:p w14:paraId="2C574E3F" w14:textId="77777777" w:rsidR="00BD776B" w:rsidRDefault="00DF0C24">
      <w:pPr>
        <w:ind w:left="1049" w:hanging="341"/>
        <w:rPr>
          <w:rFonts w:ascii="標楷體" w:eastAsia="標楷體" w:hAnsi="標楷體"/>
          <w:color w:val="000000"/>
        </w:rPr>
      </w:pPr>
      <w:r>
        <w:rPr>
          <w:rFonts w:ascii="標楷體" w:eastAsia="標楷體" w:hAnsi="標楷體"/>
          <w:color w:val="000000"/>
        </w:rPr>
        <w:t>(1)治療前或療程開始後，血清尿酸值高於10mg/dL；兒童高於8mg/dL者。</w:t>
      </w:r>
    </w:p>
    <w:p w14:paraId="2C619B42" w14:textId="77777777" w:rsidR="00BD776B" w:rsidRDefault="00DF0C24">
      <w:pPr>
        <w:ind w:left="1049" w:hanging="341"/>
        <w:rPr>
          <w:rFonts w:ascii="標楷體" w:eastAsia="標楷體" w:hAnsi="標楷體"/>
          <w:color w:val="000000"/>
        </w:rPr>
      </w:pPr>
      <w:r>
        <w:rPr>
          <w:rFonts w:ascii="標楷體" w:eastAsia="標楷體" w:hAnsi="標楷體"/>
          <w:color w:val="000000"/>
        </w:rPr>
        <w:t>(2)有心臟或腎臟衰竭，無法忍受大量靜脈輸液者。</w:t>
      </w:r>
    </w:p>
    <w:p w14:paraId="378DFAAF" w14:textId="77777777" w:rsidR="00BD776B" w:rsidRDefault="00DF0C24">
      <w:pPr>
        <w:ind w:left="1049" w:hanging="341"/>
        <w:rPr>
          <w:rFonts w:ascii="標楷體" w:eastAsia="標楷體" w:hAnsi="標楷體"/>
          <w:color w:val="000000"/>
        </w:rPr>
      </w:pPr>
      <w:r>
        <w:rPr>
          <w:rFonts w:ascii="標楷體" w:eastAsia="標楷體" w:hAnsi="標楷體"/>
          <w:color w:val="000000"/>
        </w:rPr>
        <w:t>(3)對allopurinol過敏者。</w:t>
      </w:r>
    </w:p>
    <w:p w14:paraId="5CD6DEE5" w14:textId="77777777" w:rsidR="00BD776B" w:rsidRDefault="00DF0C24">
      <w:pPr>
        <w:ind w:left="811" w:hanging="245"/>
        <w:rPr>
          <w:rFonts w:ascii="標楷體" w:eastAsia="標楷體" w:hAnsi="標楷體"/>
          <w:color w:val="000000"/>
        </w:rPr>
      </w:pPr>
      <w:r>
        <w:rPr>
          <w:rFonts w:ascii="標楷體" w:eastAsia="標楷體" w:hAnsi="標楷體"/>
          <w:color w:val="000000"/>
        </w:rPr>
        <w:t>2.使用以每日一至二劑並以三日為限。</w:t>
      </w:r>
    </w:p>
    <w:p w14:paraId="3A31D06F" w14:textId="77777777" w:rsidR="00BD776B" w:rsidRDefault="00DF0C24">
      <w:pPr>
        <w:ind w:left="672" w:hanging="386"/>
        <w:rPr>
          <w:rFonts w:ascii="標楷體" w:eastAsia="標楷體" w:hAnsi="標楷體"/>
          <w:color w:val="000000"/>
        </w:rPr>
      </w:pPr>
      <w:r>
        <w:rPr>
          <w:rFonts w:ascii="標楷體" w:eastAsia="標楷體" w:hAnsi="標楷體"/>
          <w:color w:val="000000"/>
        </w:rPr>
        <w:t>5.5.7.Mecasermin（如Increlex注射劑）(98/5/1、111/2/1)</w:t>
      </w:r>
    </w:p>
    <w:p w14:paraId="2415F29D" w14:textId="77777777" w:rsidR="00BD776B" w:rsidRDefault="00DF0C24">
      <w:pPr>
        <w:ind w:left="811" w:hanging="245"/>
        <w:rPr>
          <w:rFonts w:ascii="標楷體" w:eastAsia="標楷體" w:hAnsi="標楷體"/>
          <w:color w:val="000000"/>
        </w:rPr>
      </w:pPr>
      <w:r>
        <w:rPr>
          <w:rFonts w:ascii="標楷體" w:eastAsia="標楷體" w:hAnsi="標楷體"/>
          <w:color w:val="000000"/>
        </w:rPr>
        <w:t>1.限由醫學中心或區域醫院小兒內分泌或新陳代謝專科醫師實施。</w:t>
      </w:r>
    </w:p>
    <w:p w14:paraId="79094507" w14:textId="77777777" w:rsidR="00BD776B" w:rsidRDefault="00DF0C24">
      <w:pPr>
        <w:ind w:left="811" w:hanging="245"/>
        <w:rPr>
          <w:rFonts w:ascii="標楷體" w:eastAsia="標楷體" w:hAnsi="標楷體"/>
          <w:color w:val="000000"/>
        </w:rPr>
      </w:pPr>
      <w:r>
        <w:rPr>
          <w:rFonts w:ascii="標楷體" w:eastAsia="標楷體" w:hAnsi="標楷體"/>
          <w:color w:val="000000"/>
        </w:rPr>
        <w:t>2.Primary IGF-I deficiency</w:t>
      </w:r>
    </w:p>
    <w:p w14:paraId="73AA0F22" w14:textId="77777777" w:rsidR="00BD776B" w:rsidRDefault="00DF0C24">
      <w:pPr>
        <w:ind w:left="1049" w:hanging="341"/>
        <w:rPr>
          <w:rFonts w:ascii="標楷體" w:eastAsia="標楷體" w:hAnsi="標楷體"/>
          <w:color w:val="000000"/>
        </w:rPr>
      </w:pPr>
      <w:r>
        <w:rPr>
          <w:rFonts w:ascii="標楷體" w:eastAsia="標楷體" w:hAnsi="標楷體"/>
          <w:color w:val="000000"/>
        </w:rPr>
        <w:t>(1)診斷：GH-IGF axis有明確的基因突變（即homozygotes或compound heterozygotes）（請檢附檢驗報告）。</w:t>
      </w:r>
    </w:p>
    <w:p w14:paraId="5E137347" w14:textId="77777777" w:rsidR="00BD776B" w:rsidRDefault="00DF0C24">
      <w:pPr>
        <w:ind w:left="1049" w:hanging="341"/>
        <w:rPr>
          <w:rFonts w:ascii="標楷體" w:eastAsia="標楷體" w:hAnsi="標楷體"/>
          <w:color w:val="000000"/>
        </w:rPr>
      </w:pPr>
      <w:r>
        <w:rPr>
          <w:rFonts w:ascii="標楷體" w:eastAsia="標楷體" w:hAnsi="標楷體"/>
          <w:color w:val="000000"/>
        </w:rPr>
        <w:t>(2)開始治療條件：</w:t>
      </w:r>
    </w:p>
    <w:p w14:paraId="2B3A423C" w14:textId="77777777" w:rsidR="00BD776B" w:rsidRDefault="00DF0C24">
      <w:pPr>
        <w:ind w:left="1231" w:hanging="379"/>
      </w:pPr>
      <w:r>
        <w:rPr>
          <w:rFonts w:ascii="標楷體" w:eastAsia="標楷體" w:hAnsi="標楷體"/>
          <w:color w:val="000000"/>
        </w:rPr>
        <w:t>I.</w:t>
      </w:r>
      <w:r>
        <w:t xml:space="preserve"> </w:t>
      </w:r>
      <w:r>
        <w:rPr>
          <w:rFonts w:ascii="標楷體" w:eastAsia="標楷體" w:hAnsi="標楷體"/>
          <w:color w:val="000000"/>
        </w:rPr>
        <w:t>2歲以上(111/2/1)。</w:t>
      </w:r>
    </w:p>
    <w:p w14:paraId="750BD0A9" w14:textId="77777777" w:rsidR="00BD776B" w:rsidRDefault="00DF0C24">
      <w:pPr>
        <w:ind w:left="1231" w:hanging="379"/>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身高低於同性別同年齡正常孩童之-3SD。</w:t>
      </w:r>
    </w:p>
    <w:p w14:paraId="6150CD91" w14:textId="77777777" w:rsidR="00BD776B" w:rsidRDefault="00DF0C24">
      <w:pPr>
        <w:ind w:left="1231" w:hanging="379"/>
        <w:rPr>
          <w:rFonts w:ascii="標楷體" w:eastAsia="標楷體" w:hAnsi="標楷體"/>
          <w:color w:val="000000"/>
        </w:rPr>
      </w:pPr>
      <w:r>
        <w:rPr>
          <w:rFonts w:ascii="標楷體" w:eastAsia="標楷體" w:hAnsi="標楷體"/>
          <w:color w:val="000000"/>
        </w:rPr>
        <w:t>III.生長速率一年小於4公分，需具醫療機構之身高檢查每隔三個月一次，至少六個月以上之紀錄。</w:t>
      </w:r>
    </w:p>
    <w:p w14:paraId="73EB1C59" w14:textId="77777777" w:rsidR="00BD776B" w:rsidRDefault="00DF0C24">
      <w:pPr>
        <w:ind w:left="1231" w:hanging="379"/>
        <w:rPr>
          <w:rFonts w:ascii="標楷體" w:eastAsia="標楷體" w:hAnsi="標楷體"/>
          <w:color w:val="000000"/>
        </w:rPr>
      </w:pPr>
      <w:r>
        <w:rPr>
          <w:rFonts w:ascii="標楷體" w:eastAsia="標楷體" w:hAnsi="標楷體"/>
          <w:color w:val="000000"/>
        </w:rPr>
        <w:t>IV.骨齡比實際年齡遲緩至少二個標準差。</w:t>
      </w:r>
    </w:p>
    <w:p w14:paraId="1DAB7905" w14:textId="77777777" w:rsidR="00BD776B" w:rsidRDefault="00DF0C24">
      <w:pPr>
        <w:ind w:left="1231" w:hanging="379"/>
        <w:rPr>
          <w:rFonts w:ascii="標楷體" w:eastAsia="標楷體" w:hAnsi="標楷體"/>
          <w:color w:val="000000"/>
        </w:rPr>
      </w:pPr>
      <w:r>
        <w:rPr>
          <w:rFonts w:ascii="標楷體" w:eastAsia="標楷體" w:hAnsi="標楷體"/>
          <w:color w:val="000000"/>
        </w:rPr>
        <w:t>V.血清生長激素濃度之基礎值或施行生長激素刺激試驗的最高值超過10 ng/mL。</w:t>
      </w:r>
    </w:p>
    <w:p w14:paraId="564E83DD" w14:textId="77777777" w:rsidR="00BD776B" w:rsidRDefault="00DF0C24">
      <w:pPr>
        <w:ind w:left="1231" w:hanging="379"/>
        <w:rPr>
          <w:rFonts w:ascii="標楷體" w:eastAsia="標楷體" w:hAnsi="標楷體"/>
          <w:color w:val="000000"/>
        </w:rPr>
      </w:pPr>
      <w:r>
        <w:rPr>
          <w:rFonts w:ascii="標楷體" w:eastAsia="標楷體" w:hAnsi="標楷體"/>
          <w:color w:val="000000"/>
        </w:rPr>
        <w:t>VI.血清IGF-I基礎值低於50μg/L。</w:t>
      </w:r>
    </w:p>
    <w:p w14:paraId="1D25A754" w14:textId="77777777" w:rsidR="00BD776B" w:rsidRDefault="00DF0C24">
      <w:pPr>
        <w:ind w:left="1231" w:hanging="379"/>
        <w:rPr>
          <w:rFonts w:ascii="標楷體" w:eastAsia="標楷體" w:hAnsi="標楷體"/>
          <w:color w:val="000000"/>
        </w:rPr>
      </w:pPr>
      <w:r>
        <w:rPr>
          <w:rFonts w:ascii="標楷體" w:eastAsia="標楷體" w:hAnsi="標楷體"/>
          <w:color w:val="000000"/>
        </w:rPr>
        <w:t>VII.血清IGFBP-3基礎值低於1.0mg/L。</w:t>
      </w:r>
    </w:p>
    <w:p w14:paraId="48910686" w14:textId="77777777" w:rsidR="00BD776B" w:rsidRDefault="00DF0C24">
      <w:pPr>
        <w:ind w:left="1231" w:hanging="379"/>
        <w:rPr>
          <w:rFonts w:ascii="標楷體" w:eastAsia="標楷體" w:hAnsi="標楷體"/>
          <w:color w:val="000000"/>
        </w:rPr>
      </w:pPr>
      <w:r>
        <w:rPr>
          <w:rFonts w:ascii="標楷體" w:eastAsia="標楷體" w:hAnsi="標楷體"/>
          <w:color w:val="000000"/>
        </w:rPr>
        <w:t>VIII.IGF generation test（給予生長激素33μg/kg/day皮下注射四天）後血清IGF-I值增加不超過20μg/L。血清IGF-BP3值增加不超過0.4 mg/L。</w:t>
      </w:r>
    </w:p>
    <w:p w14:paraId="7EB427AE" w14:textId="77777777" w:rsidR="00BD776B" w:rsidRDefault="00DF0C24">
      <w:pPr>
        <w:ind w:left="811" w:hanging="245"/>
        <w:rPr>
          <w:rFonts w:ascii="標楷體" w:eastAsia="標楷體" w:hAnsi="標楷體"/>
          <w:color w:val="000000"/>
        </w:rPr>
      </w:pPr>
      <w:r>
        <w:rPr>
          <w:rFonts w:ascii="標楷體" w:eastAsia="標楷體" w:hAnsi="標楷體"/>
          <w:color w:val="000000"/>
        </w:rPr>
        <w:t>3.Isolated growth hormone deficiency type IA（GHD-IA）</w:t>
      </w:r>
    </w:p>
    <w:p w14:paraId="606338B8" w14:textId="77777777" w:rsidR="00BD776B" w:rsidRDefault="00DF0C24">
      <w:pPr>
        <w:ind w:left="1049" w:hanging="341"/>
        <w:rPr>
          <w:rFonts w:ascii="標楷體" w:eastAsia="標楷體" w:hAnsi="標楷體"/>
          <w:color w:val="000000"/>
        </w:rPr>
      </w:pPr>
      <w:r>
        <w:rPr>
          <w:rFonts w:ascii="標楷體" w:eastAsia="標楷體" w:hAnsi="標楷體"/>
          <w:color w:val="000000"/>
        </w:rPr>
        <w:t>(1)診斷：GH1 gene有明確的脫失突變（deletion）（請檢附檢驗報告）</w:t>
      </w:r>
    </w:p>
    <w:p w14:paraId="5983C415" w14:textId="77777777" w:rsidR="00BD776B" w:rsidRDefault="00DF0C24">
      <w:pPr>
        <w:ind w:left="1049" w:hanging="341"/>
        <w:rPr>
          <w:rFonts w:ascii="標楷體" w:eastAsia="標楷體" w:hAnsi="標楷體"/>
          <w:color w:val="000000"/>
        </w:rPr>
      </w:pPr>
      <w:r>
        <w:rPr>
          <w:rFonts w:ascii="標楷體" w:eastAsia="標楷體" w:hAnsi="標楷體"/>
          <w:color w:val="000000"/>
        </w:rPr>
        <w:t>(2)開始治療條件：</w:t>
      </w:r>
    </w:p>
    <w:p w14:paraId="2F064048" w14:textId="77777777" w:rsidR="00BD776B" w:rsidRDefault="00DF0C24">
      <w:pPr>
        <w:ind w:left="1231" w:hanging="379"/>
      </w:pPr>
      <w:r>
        <w:rPr>
          <w:rFonts w:ascii="標楷體" w:eastAsia="標楷體" w:hAnsi="標楷體"/>
          <w:color w:val="000000"/>
        </w:rPr>
        <w:t>I.</w:t>
      </w:r>
      <w:r>
        <w:t xml:space="preserve"> </w:t>
      </w:r>
      <w:r>
        <w:rPr>
          <w:rFonts w:ascii="標楷體" w:eastAsia="標楷體" w:hAnsi="標楷體"/>
          <w:color w:val="000000"/>
        </w:rPr>
        <w:t>2歲以上(111/2/1)。</w:t>
      </w:r>
    </w:p>
    <w:p w14:paraId="1DDCDE27" w14:textId="77777777" w:rsidR="00BD776B" w:rsidRDefault="00DF0C24">
      <w:pPr>
        <w:ind w:left="1231" w:hanging="379"/>
        <w:rPr>
          <w:rFonts w:ascii="標楷體" w:eastAsia="標楷體" w:hAnsi="標楷體"/>
          <w:color w:val="000000"/>
        </w:rPr>
      </w:pPr>
      <w:r>
        <w:rPr>
          <w:rFonts w:ascii="標楷體" w:eastAsia="標楷體" w:hAnsi="標楷體"/>
          <w:color w:val="000000"/>
        </w:rPr>
        <w:t>II.身高低於同性別同年齡正常孩童之-2SD。</w:t>
      </w:r>
    </w:p>
    <w:p w14:paraId="3D434965" w14:textId="77777777" w:rsidR="00BD776B" w:rsidRDefault="00DF0C24">
      <w:pPr>
        <w:ind w:left="1231" w:hanging="379"/>
        <w:rPr>
          <w:rFonts w:ascii="標楷體" w:eastAsia="標楷體" w:hAnsi="標楷體"/>
          <w:color w:val="000000"/>
        </w:rPr>
      </w:pPr>
      <w:r>
        <w:rPr>
          <w:rFonts w:ascii="標楷體" w:eastAsia="標楷體" w:hAnsi="標楷體"/>
          <w:color w:val="000000"/>
        </w:rPr>
        <w:lastRenderedPageBreak/>
        <w:t>III.生長速率一年小於4公分，需具醫療機構之身高檢查每隔三個月一次，至少六個月以上之記錄。</w:t>
      </w:r>
    </w:p>
    <w:p w14:paraId="59638F9E" w14:textId="77777777" w:rsidR="00BD776B" w:rsidRDefault="00DF0C24">
      <w:pPr>
        <w:ind w:left="1231" w:hanging="379"/>
        <w:rPr>
          <w:rFonts w:ascii="標楷體" w:eastAsia="標楷體" w:hAnsi="標楷體"/>
          <w:color w:val="000000"/>
        </w:rPr>
      </w:pPr>
      <w:r>
        <w:rPr>
          <w:rFonts w:ascii="標楷體" w:eastAsia="標楷體" w:hAnsi="標楷體"/>
          <w:color w:val="000000"/>
        </w:rPr>
        <w:t>IV.骨齡比實際年齡遲緩至少2個標準差。（請檢附骨齡X光片）</w:t>
      </w:r>
    </w:p>
    <w:p w14:paraId="5B8977C3" w14:textId="77777777" w:rsidR="00BD776B" w:rsidRDefault="00DF0C24">
      <w:pPr>
        <w:ind w:left="1231" w:hanging="379"/>
        <w:rPr>
          <w:rFonts w:ascii="標楷體" w:eastAsia="標楷體" w:hAnsi="標楷體"/>
          <w:color w:val="000000"/>
        </w:rPr>
      </w:pPr>
      <w:r>
        <w:rPr>
          <w:rFonts w:ascii="標楷體" w:eastAsia="標楷體" w:hAnsi="標楷體"/>
          <w:color w:val="000000"/>
        </w:rPr>
        <w:t>V.施行insulin、clonidine、L-Dopa、glucagon、arginine等檢查，有兩項以上之檢查皆偵測不到生長激素值。</w:t>
      </w:r>
    </w:p>
    <w:p w14:paraId="43C46C1A" w14:textId="77777777" w:rsidR="00BD776B" w:rsidRDefault="00DF0C24">
      <w:pPr>
        <w:ind w:left="1231" w:hanging="379"/>
        <w:rPr>
          <w:rFonts w:ascii="標楷體" w:eastAsia="標楷體" w:hAnsi="標楷體"/>
          <w:color w:val="000000"/>
        </w:rPr>
      </w:pPr>
      <w:r>
        <w:rPr>
          <w:rFonts w:ascii="標楷體" w:eastAsia="標楷體" w:hAnsi="標楷體"/>
          <w:color w:val="000000"/>
        </w:rPr>
        <w:t>VI.施予生長激素治療第一年比生長激素治療前多3公分以上，但後來以適當生長激素劑量治療，年生長速率仍小於3公分。</w:t>
      </w:r>
    </w:p>
    <w:p w14:paraId="6173E960" w14:textId="77777777" w:rsidR="00BD776B" w:rsidRDefault="00DF0C24">
      <w:pPr>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治療劑量：不超過120μg/kg皮下注射每天兩次。</w:t>
      </w:r>
    </w:p>
    <w:p w14:paraId="36CCF01A" w14:textId="77777777" w:rsidR="00BD776B" w:rsidRDefault="00DF0C24">
      <w:pPr>
        <w:ind w:left="811" w:hanging="245"/>
        <w:rPr>
          <w:rFonts w:ascii="標楷體" w:eastAsia="標楷體" w:hAnsi="標楷體"/>
          <w:color w:val="000000"/>
        </w:rPr>
      </w:pPr>
      <w:r>
        <w:rPr>
          <w:rFonts w:ascii="標楷體" w:eastAsia="標楷體" w:hAnsi="標楷體"/>
          <w:color w:val="000000"/>
        </w:rPr>
        <w:t>5.治療監測：病人至少每3個月測量身高體重一次，每6至12個月評估骨齡一次。</w:t>
      </w:r>
    </w:p>
    <w:p w14:paraId="6F23E252" w14:textId="77777777" w:rsidR="00BD776B" w:rsidRDefault="00DF0C24">
      <w:pPr>
        <w:ind w:left="811" w:hanging="245"/>
        <w:rPr>
          <w:rFonts w:ascii="標楷體" w:eastAsia="標楷體" w:hAnsi="標楷體"/>
          <w:color w:val="000000"/>
        </w:rPr>
      </w:pPr>
      <w:r>
        <w:rPr>
          <w:rFonts w:ascii="標楷體" w:eastAsia="標楷體" w:hAnsi="標楷體"/>
          <w:color w:val="000000"/>
        </w:rPr>
        <w:t>6.繼續治療條件：</w:t>
      </w:r>
    </w:p>
    <w:p w14:paraId="4EAE4B90" w14:textId="77777777" w:rsidR="00BD776B" w:rsidRDefault="00DF0C24">
      <w:pPr>
        <w:ind w:left="1049" w:hanging="341"/>
        <w:rPr>
          <w:rFonts w:ascii="標楷體" w:eastAsia="標楷體" w:hAnsi="標楷體"/>
          <w:color w:val="000000"/>
        </w:rPr>
      </w:pPr>
      <w:r>
        <w:rPr>
          <w:rFonts w:ascii="標楷體" w:eastAsia="標楷體" w:hAnsi="標楷體"/>
          <w:color w:val="000000"/>
        </w:rPr>
        <w:t>(1)男童骨齡未滿16歲，女童骨齡未滿14歲，且骨端尚未癒合患者(111/2/1)。</w:t>
      </w:r>
    </w:p>
    <w:p w14:paraId="0F95C32F" w14:textId="77777777" w:rsidR="00BD776B" w:rsidRDefault="00DF0C24">
      <w:pPr>
        <w:ind w:left="1049" w:hanging="341"/>
        <w:rPr>
          <w:rFonts w:ascii="標楷體" w:eastAsia="標楷體" w:hAnsi="標楷體"/>
          <w:color w:val="000000"/>
        </w:rPr>
      </w:pPr>
      <w:r>
        <w:rPr>
          <w:rFonts w:ascii="標楷體" w:eastAsia="標楷體" w:hAnsi="標楷體"/>
          <w:color w:val="000000"/>
        </w:rPr>
        <w:t>(2)第一年生長速率比治療前增加至少3公分。</w:t>
      </w:r>
    </w:p>
    <w:p w14:paraId="7F6D9CD1" w14:textId="449378B7" w:rsidR="00BD776B" w:rsidRDefault="00DF0C24">
      <w:pPr>
        <w:ind w:left="1049" w:hanging="341"/>
        <w:rPr>
          <w:rFonts w:ascii="標楷體" w:eastAsia="標楷體" w:hAnsi="標楷體"/>
          <w:color w:val="000000"/>
        </w:rPr>
      </w:pPr>
      <w:r>
        <w:rPr>
          <w:rFonts w:ascii="標楷體" w:eastAsia="標楷體" w:hAnsi="標楷體"/>
          <w:color w:val="000000"/>
        </w:rPr>
        <w:t>(3)第二年開始，生長速率至少4公分/年。</w:t>
      </w:r>
    </w:p>
    <w:p w14:paraId="5B25209B" w14:textId="77777777" w:rsidR="003A26F0" w:rsidRPr="003A26F0" w:rsidRDefault="003A26F0" w:rsidP="003A26F0">
      <w:pPr>
        <w:spacing w:line="400" w:lineRule="exact"/>
        <w:ind w:left="636" w:hangingChars="265" w:hanging="636"/>
        <w:contextualSpacing/>
        <w:rPr>
          <w:rFonts w:ascii="標楷體" w:eastAsia="標楷體" w:hAnsi="標楷體"/>
          <w:kern w:val="0"/>
        </w:rPr>
      </w:pPr>
      <w:r w:rsidRPr="003A26F0">
        <w:rPr>
          <w:rFonts w:ascii="標楷體" w:eastAsia="標楷體" w:hAnsi="標楷體"/>
          <w:kern w:val="0"/>
        </w:rPr>
        <w:t>5.5.8.Vosoritide（如Voxzogo）：（</w:t>
      </w:r>
      <w:r w:rsidRPr="003A26F0">
        <w:rPr>
          <w:rFonts w:ascii="標楷體" w:eastAsia="標楷體" w:hAnsi="標楷體" w:hint="eastAsia"/>
          <w:kern w:val="0"/>
        </w:rPr>
        <w:t>1</w:t>
      </w:r>
      <w:r w:rsidRPr="003A26F0">
        <w:rPr>
          <w:rFonts w:ascii="標楷體" w:eastAsia="標楷體" w:hAnsi="標楷體"/>
          <w:kern w:val="0"/>
        </w:rPr>
        <w:t>14/5/1）</w:t>
      </w:r>
    </w:p>
    <w:p w14:paraId="3A60B7BF" w14:textId="77777777" w:rsidR="003A26F0" w:rsidRPr="003A26F0" w:rsidRDefault="003A26F0" w:rsidP="008A7063">
      <w:pPr>
        <w:numPr>
          <w:ilvl w:val="0"/>
          <w:numId w:val="149"/>
        </w:numPr>
        <w:suppressAutoHyphens w:val="0"/>
        <w:autoSpaceDE w:val="0"/>
        <w:adjustRightInd w:val="0"/>
        <w:spacing w:line="400" w:lineRule="exact"/>
        <w:ind w:left="851" w:hanging="340"/>
        <w:contextualSpacing/>
        <w:textAlignment w:val="auto"/>
        <w:rPr>
          <w:rFonts w:ascii="標楷體" w:eastAsia="標楷體" w:hAnsi="標楷體"/>
        </w:rPr>
      </w:pPr>
      <w:r w:rsidRPr="003A26F0">
        <w:rPr>
          <w:rFonts w:ascii="標楷體" w:eastAsia="標楷體" w:hAnsi="標楷體"/>
        </w:rPr>
        <w:t>限用於經衛生福利部國民健康署認定之2歲以上罕見疾病軟骨發育不全症（achondroplasia, ACH）且骨骺未閉合之病人，並符合下列所有條件：</w:t>
      </w:r>
    </w:p>
    <w:p w14:paraId="2B75E145" w14:textId="77777777" w:rsidR="003A26F0" w:rsidRPr="003A26F0" w:rsidRDefault="003A26F0" w:rsidP="008A7063">
      <w:pPr>
        <w:numPr>
          <w:ilvl w:val="0"/>
          <w:numId w:val="147"/>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經基因檢測具FGFR3基因變異者，需檢附基因診斷報告及</w:t>
      </w:r>
      <w:r w:rsidRPr="003A26F0">
        <w:rPr>
          <w:rFonts w:ascii="標楷體" w:eastAsia="標楷體" w:hAnsi="標楷體" w:hint="eastAsia"/>
        </w:rPr>
        <w:t>衛生福利部</w:t>
      </w:r>
      <w:r w:rsidRPr="003A26F0">
        <w:rPr>
          <w:rFonts w:ascii="標楷體" w:eastAsia="標楷體" w:hAnsi="標楷體"/>
        </w:rPr>
        <w:t>國民健康署通報通過證明。</w:t>
      </w:r>
    </w:p>
    <w:p w14:paraId="644FE776" w14:textId="77777777" w:rsidR="003A26F0" w:rsidRPr="003A26F0" w:rsidRDefault="003A26F0" w:rsidP="008A7063">
      <w:pPr>
        <w:numPr>
          <w:ilvl w:val="0"/>
          <w:numId w:val="147"/>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身高低於第三百分位，需檢附經地區醫院以上每3個月追蹤1次且至少追蹤半年之身高體重紀錄。</w:t>
      </w:r>
    </w:p>
    <w:p w14:paraId="686F7A13" w14:textId="77777777" w:rsidR="003A26F0" w:rsidRPr="003A26F0" w:rsidRDefault="003A26F0" w:rsidP="008A7063">
      <w:pPr>
        <w:numPr>
          <w:ilvl w:val="0"/>
          <w:numId w:val="147"/>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骨齡符合下列任一規範：</w:t>
      </w:r>
    </w:p>
    <w:p w14:paraId="17AB0D70" w14:textId="77777777" w:rsidR="003A26F0" w:rsidRPr="003A26F0" w:rsidRDefault="003A26F0" w:rsidP="008A7063">
      <w:pPr>
        <w:numPr>
          <w:ilvl w:val="0"/>
          <w:numId w:val="148"/>
        </w:numPr>
        <w:suppressAutoHyphens w:val="0"/>
        <w:autoSpaceDE w:val="0"/>
        <w:adjustRightInd w:val="0"/>
        <w:spacing w:before="100" w:beforeAutospacing="1" w:after="100" w:afterAutospacing="1" w:line="400" w:lineRule="exact"/>
        <w:ind w:left="1560"/>
        <w:contextualSpacing/>
        <w:textAlignment w:val="auto"/>
        <w:rPr>
          <w:rFonts w:ascii="標楷體" w:eastAsia="標楷體" w:hAnsi="標楷體"/>
        </w:rPr>
      </w:pPr>
      <w:r w:rsidRPr="003A26F0">
        <w:rPr>
          <w:rFonts w:ascii="標楷體" w:eastAsia="標楷體" w:hAnsi="標楷體"/>
        </w:rPr>
        <w:t>女性骨齡14歲以前，男性骨齡16歲以前。</w:t>
      </w:r>
    </w:p>
    <w:p w14:paraId="182F2FB2" w14:textId="77777777" w:rsidR="003A26F0" w:rsidRPr="003A26F0" w:rsidRDefault="003A26F0" w:rsidP="008A7063">
      <w:pPr>
        <w:numPr>
          <w:ilvl w:val="0"/>
          <w:numId w:val="148"/>
        </w:numPr>
        <w:suppressAutoHyphens w:val="0"/>
        <w:autoSpaceDE w:val="0"/>
        <w:adjustRightInd w:val="0"/>
        <w:spacing w:before="100" w:beforeAutospacing="1" w:after="100" w:afterAutospacing="1" w:line="400" w:lineRule="exact"/>
        <w:ind w:left="1560"/>
        <w:contextualSpacing/>
        <w:textAlignment w:val="auto"/>
        <w:rPr>
          <w:rFonts w:ascii="標楷體" w:eastAsia="標楷體" w:hAnsi="標楷體"/>
        </w:rPr>
      </w:pPr>
      <w:r w:rsidRPr="003A26F0">
        <w:rPr>
          <w:rFonts w:ascii="標楷體" w:eastAsia="標楷體" w:hAnsi="標楷體"/>
        </w:rPr>
        <w:t>女性骨齡14歲以後，男性骨齡16歲以後者，需每3個月追蹤生長速率，且至少追蹤半年，生長速率（AGV）每年需至少大於1.5公分。</w:t>
      </w:r>
    </w:p>
    <w:p w14:paraId="6545875E" w14:textId="77777777" w:rsidR="003A26F0" w:rsidRPr="003A26F0" w:rsidRDefault="003A26F0" w:rsidP="008A7063">
      <w:pPr>
        <w:numPr>
          <w:ilvl w:val="0"/>
          <w:numId w:val="149"/>
        </w:numPr>
        <w:suppressAutoHyphens w:val="0"/>
        <w:autoSpaceDE w:val="0"/>
        <w:adjustRightInd w:val="0"/>
        <w:spacing w:line="400" w:lineRule="exact"/>
        <w:ind w:left="709" w:hanging="340"/>
        <w:contextualSpacing/>
        <w:textAlignment w:val="auto"/>
        <w:rPr>
          <w:rFonts w:ascii="標楷體" w:eastAsia="標楷體" w:hAnsi="標楷體"/>
        </w:rPr>
      </w:pPr>
      <w:r w:rsidRPr="003A26F0">
        <w:rPr>
          <w:rFonts w:ascii="標楷體" w:eastAsia="標楷體" w:hAnsi="標楷體"/>
        </w:rPr>
        <w:t>限地區醫院以上層級具兒科遺傳學及新陳代謝學次專科醫師使用。</w:t>
      </w:r>
    </w:p>
    <w:p w14:paraId="37671AD5" w14:textId="77777777" w:rsidR="003A26F0" w:rsidRPr="003A26F0" w:rsidRDefault="003A26F0" w:rsidP="008A7063">
      <w:pPr>
        <w:numPr>
          <w:ilvl w:val="0"/>
          <w:numId w:val="149"/>
        </w:numPr>
        <w:suppressAutoHyphens w:val="0"/>
        <w:autoSpaceDE w:val="0"/>
        <w:adjustRightInd w:val="0"/>
        <w:spacing w:line="400" w:lineRule="exact"/>
        <w:ind w:left="709" w:hanging="340"/>
        <w:contextualSpacing/>
        <w:textAlignment w:val="auto"/>
        <w:rPr>
          <w:rFonts w:ascii="標楷體" w:eastAsia="標楷體" w:hAnsi="標楷體"/>
        </w:rPr>
      </w:pPr>
      <w:r w:rsidRPr="003A26F0">
        <w:rPr>
          <w:rFonts w:ascii="標楷體" w:eastAsia="標楷體" w:hAnsi="標楷體"/>
        </w:rPr>
        <w:t>需經事前審查核准後使用，每次申請以1年為限。</w:t>
      </w:r>
    </w:p>
    <w:p w14:paraId="097D369F" w14:textId="77777777" w:rsidR="003A26F0" w:rsidRPr="003A26F0" w:rsidRDefault="003A26F0" w:rsidP="008A7063">
      <w:pPr>
        <w:numPr>
          <w:ilvl w:val="0"/>
          <w:numId w:val="149"/>
        </w:numPr>
        <w:suppressAutoHyphens w:val="0"/>
        <w:autoSpaceDE w:val="0"/>
        <w:adjustRightInd w:val="0"/>
        <w:spacing w:line="400" w:lineRule="exact"/>
        <w:ind w:left="709" w:hanging="340"/>
        <w:contextualSpacing/>
        <w:textAlignment w:val="auto"/>
        <w:rPr>
          <w:rFonts w:ascii="標楷體" w:eastAsia="標楷體" w:hAnsi="標楷體"/>
        </w:rPr>
      </w:pPr>
      <w:r w:rsidRPr="003A26F0">
        <w:rPr>
          <w:rFonts w:ascii="標楷體" w:eastAsia="標楷體" w:hAnsi="標楷體"/>
        </w:rPr>
        <w:t>治療後未達停藥條件者，續用時需檢附療效評估資料經事前審查核准後使用。</w:t>
      </w:r>
    </w:p>
    <w:p w14:paraId="23A5320D" w14:textId="77777777" w:rsidR="003A26F0" w:rsidRPr="003A26F0" w:rsidRDefault="003A26F0" w:rsidP="008A7063">
      <w:pPr>
        <w:numPr>
          <w:ilvl w:val="0"/>
          <w:numId w:val="149"/>
        </w:numPr>
        <w:suppressAutoHyphens w:val="0"/>
        <w:autoSpaceDE w:val="0"/>
        <w:adjustRightInd w:val="0"/>
        <w:spacing w:line="400" w:lineRule="exact"/>
        <w:ind w:left="709" w:hanging="340"/>
        <w:contextualSpacing/>
        <w:textAlignment w:val="auto"/>
        <w:rPr>
          <w:rFonts w:ascii="標楷體" w:eastAsia="標楷體" w:hAnsi="標楷體"/>
        </w:rPr>
      </w:pPr>
      <w:r w:rsidRPr="003A26F0">
        <w:rPr>
          <w:rFonts w:ascii="標楷體" w:eastAsia="標楷體" w:hAnsi="標楷體"/>
        </w:rPr>
        <w:t>療效評估之追蹤檢查項目：</w:t>
      </w:r>
    </w:p>
    <w:p w14:paraId="137DF0B8" w14:textId="77777777" w:rsidR="003A26F0" w:rsidRPr="003A26F0" w:rsidRDefault="003A26F0" w:rsidP="008A7063">
      <w:pPr>
        <w:numPr>
          <w:ilvl w:val="0"/>
          <w:numId w:val="150"/>
        </w:numPr>
        <w:suppressAutoHyphens w:val="0"/>
        <w:autoSpaceDE w:val="0"/>
        <w:adjustRightInd w:val="0"/>
        <w:spacing w:before="100" w:beforeAutospacing="1" w:after="100" w:afterAutospacing="1" w:line="400" w:lineRule="exact"/>
        <w:ind w:left="1134" w:hanging="425"/>
        <w:contextualSpacing/>
        <w:textAlignment w:val="auto"/>
        <w:rPr>
          <w:rFonts w:ascii="標楷體" w:eastAsia="標楷體" w:hAnsi="標楷體"/>
        </w:rPr>
      </w:pPr>
      <w:r w:rsidRPr="003A26F0">
        <w:rPr>
          <w:rFonts w:ascii="標楷體" w:eastAsia="標楷體" w:hAnsi="標楷體"/>
        </w:rPr>
        <w:t>身高體重：每3個月1次。</w:t>
      </w:r>
    </w:p>
    <w:p w14:paraId="61888E12" w14:textId="77777777" w:rsidR="003A26F0" w:rsidRPr="003A26F0" w:rsidRDefault="003A26F0" w:rsidP="008A7063">
      <w:pPr>
        <w:numPr>
          <w:ilvl w:val="0"/>
          <w:numId w:val="150"/>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骨齡：X光每6個月1次。</w:t>
      </w:r>
    </w:p>
    <w:p w14:paraId="4EBF3077" w14:textId="77777777" w:rsidR="003A26F0" w:rsidRPr="003A26F0" w:rsidRDefault="003A26F0" w:rsidP="008A7063">
      <w:pPr>
        <w:numPr>
          <w:ilvl w:val="0"/>
          <w:numId w:val="149"/>
        </w:numPr>
        <w:suppressAutoHyphens w:val="0"/>
        <w:autoSpaceDE w:val="0"/>
        <w:adjustRightInd w:val="0"/>
        <w:spacing w:line="400" w:lineRule="exact"/>
        <w:ind w:left="709" w:hanging="340"/>
        <w:contextualSpacing/>
        <w:textAlignment w:val="auto"/>
        <w:rPr>
          <w:rFonts w:ascii="標楷體" w:eastAsia="標楷體" w:hAnsi="標楷體"/>
        </w:rPr>
      </w:pPr>
      <w:r w:rsidRPr="003A26F0">
        <w:rPr>
          <w:rFonts w:ascii="標楷體" w:eastAsia="標楷體" w:hAnsi="標楷體"/>
        </w:rPr>
        <w:t>停藥條件：</w:t>
      </w:r>
    </w:p>
    <w:p w14:paraId="17B31C9A" w14:textId="77777777" w:rsidR="003A26F0" w:rsidRPr="003A26F0" w:rsidRDefault="003A26F0" w:rsidP="008A7063">
      <w:pPr>
        <w:numPr>
          <w:ilvl w:val="0"/>
          <w:numId w:val="151"/>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出現嚴重過敏反應。</w:t>
      </w:r>
    </w:p>
    <w:p w14:paraId="4D5CEB7A" w14:textId="77777777" w:rsidR="003A26F0" w:rsidRPr="003A26F0" w:rsidRDefault="003A26F0" w:rsidP="008A7063">
      <w:pPr>
        <w:numPr>
          <w:ilvl w:val="0"/>
          <w:numId w:val="151"/>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病人合併有其他嚴重疾病，預期無法從本藥品治療獲得長期效益，如病人長期臥床或24小時呼吸器依賴。</w:t>
      </w:r>
    </w:p>
    <w:p w14:paraId="00C2959E" w14:textId="77777777" w:rsidR="003A26F0" w:rsidRPr="003A26F0" w:rsidRDefault="003A26F0" w:rsidP="008A7063">
      <w:pPr>
        <w:numPr>
          <w:ilvl w:val="0"/>
          <w:numId w:val="151"/>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經治療後生長速率（AGV）小於1.5公分/年。</w:t>
      </w:r>
    </w:p>
    <w:p w14:paraId="43F29043" w14:textId="77777777" w:rsidR="003A26F0" w:rsidRPr="003A26F0" w:rsidRDefault="003A26F0" w:rsidP="008A7063">
      <w:pPr>
        <w:numPr>
          <w:ilvl w:val="0"/>
          <w:numId w:val="151"/>
        </w:numPr>
        <w:suppressAutoHyphens w:val="0"/>
        <w:autoSpaceDE w:val="0"/>
        <w:adjustRightInd w:val="0"/>
        <w:spacing w:before="100" w:beforeAutospacing="1" w:after="100" w:afterAutospacing="1" w:line="400" w:lineRule="exact"/>
        <w:ind w:left="1134" w:hanging="418"/>
        <w:contextualSpacing/>
        <w:textAlignment w:val="auto"/>
        <w:rPr>
          <w:rFonts w:ascii="標楷體" w:eastAsia="標楷體" w:hAnsi="標楷體"/>
        </w:rPr>
      </w:pPr>
      <w:r w:rsidRPr="003A26F0">
        <w:rPr>
          <w:rFonts w:ascii="標楷體" w:eastAsia="標楷體" w:hAnsi="標楷體"/>
        </w:rPr>
        <w:t>X光檢查證據顯示雙股下肢（脛骨近端、股骨遠端）生長板已閉合之病人。</w:t>
      </w:r>
    </w:p>
    <w:p w14:paraId="688AECB4" w14:textId="2EAF3141" w:rsidR="003A26F0" w:rsidRPr="008A7063" w:rsidRDefault="003A26F0" w:rsidP="008A7063">
      <w:pPr>
        <w:pStyle w:val="af"/>
        <w:numPr>
          <w:ilvl w:val="0"/>
          <w:numId w:val="149"/>
        </w:numPr>
        <w:tabs>
          <w:tab w:val="left" w:pos="993"/>
        </w:tabs>
        <w:ind w:left="709" w:hanging="283"/>
        <w:rPr>
          <w:rFonts w:ascii="標楷體" w:eastAsia="標楷體" w:hAnsi="標楷體"/>
          <w:color w:val="000000"/>
        </w:rPr>
      </w:pPr>
      <w:r w:rsidRPr="008A7063">
        <w:rPr>
          <w:rFonts w:ascii="標楷體" w:eastAsia="標楷體" w:hAnsi="標楷體"/>
        </w:rPr>
        <w:lastRenderedPageBreak/>
        <w:t>如因先前使用後無效停藥者，不得重新申請使用；如因使用中有輕微不良反應（如血壓偏低）而暫停使用者，得於狀況排除後重新申請使用。</w:t>
      </w:r>
    </w:p>
    <w:p w14:paraId="2B25E75A" w14:textId="77777777" w:rsidR="00BD776B" w:rsidRDefault="00DF0C24">
      <w:pPr>
        <w:ind w:left="672" w:hanging="386"/>
        <w:rPr>
          <w:rFonts w:ascii="標楷體" w:eastAsia="標楷體" w:hAnsi="標楷體"/>
          <w:color w:val="000000"/>
        </w:rPr>
      </w:pPr>
      <w:r>
        <w:rPr>
          <w:rFonts w:ascii="標楷體" w:eastAsia="標楷體" w:hAnsi="標楷體"/>
          <w:color w:val="000000"/>
        </w:rPr>
        <w:t>5.6.骨質疏鬆症治療藥物(100/1/1)</w:t>
      </w:r>
    </w:p>
    <w:p w14:paraId="3A12BA99" w14:textId="77777777" w:rsidR="008E57B7" w:rsidRPr="008E57B7" w:rsidRDefault="008E57B7" w:rsidP="008E57B7">
      <w:pPr>
        <w:ind w:left="672" w:hanging="386"/>
        <w:rPr>
          <w:rFonts w:ascii="標楷體" w:eastAsia="標楷體" w:hAnsi="標楷體"/>
          <w:color w:val="000000"/>
        </w:rPr>
      </w:pPr>
      <w:r w:rsidRPr="008E57B7">
        <w:rPr>
          <w:rFonts w:ascii="標楷體" w:eastAsia="標楷體" w:hAnsi="標楷體"/>
          <w:color w:val="000000"/>
        </w:rPr>
        <w:t>5.6.1</w:t>
      </w:r>
      <w:r w:rsidRPr="008E57B7">
        <w:rPr>
          <w:rFonts w:ascii="標楷體" w:eastAsia="標楷體" w:hAnsi="標楷體" w:hint="eastAsia"/>
          <w:color w:val="000000"/>
        </w:rPr>
        <w:t>.</w:t>
      </w:r>
      <w:r w:rsidRPr="008E57B7">
        <w:rPr>
          <w:rFonts w:ascii="標楷體" w:eastAsia="標楷體" w:hAnsi="標楷體"/>
          <w:color w:val="000000"/>
        </w:rPr>
        <w:t>抗骨質再吸收劑（anti- resorptive）(101/3/1、101/5/1、102/2/1、102/8/1、103/2/1、103/10/1、104/8/1、106/12/1、</w:t>
      </w:r>
      <w:r w:rsidRPr="008E57B7">
        <w:rPr>
          <w:rFonts w:ascii="標楷體" w:eastAsia="標楷體" w:hAnsi="標楷體" w:hint="eastAsia"/>
          <w:color w:val="000000"/>
        </w:rPr>
        <w:t>114</w:t>
      </w:r>
      <w:r w:rsidRPr="008E57B7">
        <w:rPr>
          <w:rFonts w:ascii="標楷體" w:eastAsia="標楷體" w:hAnsi="標楷體"/>
          <w:color w:val="000000"/>
        </w:rPr>
        <w:t>/</w:t>
      </w:r>
      <w:r w:rsidRPr="008E57B7">
        <w:rPr>
          <w:rFonts w:ascii="標楷體" w:eastAsia="標楷體" w:hAnsi="標楷體" w:hint="eastAsia"/>
          <w:color w:val="000000"/>
        </w:rPr>
        <w:t>3</w:t>
      </w:r>
      <w:r w:rsidRPr="008E57B7">
        <w:rPr>
          <w:rFonts w:ascii="標楷體" w:eastAsia="標楷體" w:hAnsi="標楷體"/>
          <w:color w:val="000000"/>
        </w:rPr>
        <w:t>/1)</w:t>
      </w:r>
    </w:p>
    <w:p w14:paraId="7B8D5FF0" w14:textId="77777777" w:rsidR="008E57B7" w:rsidRPr="008E57B7" w:rsidRDefault="008E57B7" w:rsidP="008E57B7">
      <w:pPr>
        <w:ind w:left="811" w:hanging="245"/>
        <w:rPr>
          <w:rFonts w:ascii="標楷體" w:eastAsia="標楷體" w:hAnsi="標楷體"/>
          <w:color w:val="000000"/>
        </w:rPr>
      </w:pPr>
      <w:r w:rsidRPr="008E57B7">
        <w:rPr>
          <w:rFonts w:ascii="標楷體" w:eastAsia="標楷體" w:hAnsi="標楷體" w:hint="eastAsia"/>
          <w:color w:val="000000"/>
        </w:rPr>
        <w:t>1.</w:t>
      </w:r>
      <w:r w:rsidRPr="008E57B7">
        <w:rPr>
          <w:rFonts w:ascii="標楷體" w:eastAsia="標楷體" w:hAnsi="標楷體"/>
          <w:color w:val="000000"/>
        </w:rPr>
        <w:t>藥品種類</w:t>
      </w:r>
    </w:p>
    <w:p w14:paraId="79A66AA7" w14:textId="77777777" w:rsidR="008E57B7" w:rsidRPr="008E57B7" w:rsidRDefault="008E57B7" w:rsidP="008E57B7">
      <w:pPr>
        <w:ind w:left="1049" w:hanging="341"/>
        <w:rPr>
          <w:rFonts w:ascii="標楷體" w:eastAsia="標楷體" w:hAnsi="標楷體"/>
          <w:color w:val="000000"/>
        </w:rPr>
      </w:pPr>
      <w:r w:rsidRPr="008E57B7">
        <w:rPr>
          <w:rFonts w:ascii="標楷體" w:eastAsia="標楷體" w:hAnsi="標楷體"/>
          <w:color w:val="000000"/>
        </w:rPr>
        <w:t>(1)Bisphosphonates（雙磷酸鹽類）：alendronate（如Fosamax）、 zoledronate 5mg (如Aclasta 5mg/100mL solution for infusion)、risedronate（如Reosteo）、ibandronate 3mg/3mL (如Bonviva  3mg/3mL solution for injection)</w:t>
      </w:r>
    </w:p>
    <w:p w14:paraId="00567B3D" w14:textId="77777777" w:rsidR="008E57B7" w:rsidRPr="008E57B7" w:rsidRDefault="008E57B7" w:rsidP="008E57B7">
      <w:pPr>
        <w:ind w:left="1049" w:hanging="341"/>
        <w:rPr>
          <w:rFonts w:ascii="標楷體" w:eastAsia="標楷體" w:hAnsi="標楷體"/>
          <w:color w:val="000000"/>
        </w:rPr>
      </w:pPr>
      <w:r w:rsidRPr="008E57B7">
        <w:rPr>
          <w:rFonts w:ascii="標楷體" w:eastAsia="標楷體" w:hAnsi="標楷體"/>
          <w:color w:val="000000"/>
        </w:rPr>
        <w:t>(</w:t>
      </w:r>
      <w:r w:rsidRPr="008E57B7">
        <w:rPr>
          <w:rFonts w:ascii="標楷體" w:eastAsia="標楷體" w:hAnsi="標楷體" w:hint="eastAsia"/>
          <w:color w:val="000000"/>
        </w:rPr>
        <w:t>2</w:t>
      </w:r>
      <w:r w:rsidRPr="008E57B7">
        <w:rPr>
          <w:rFonts w:ascii="標楷體" w:eastAsia="標楷體" w:hAnsi="標楷體"/>
          <w:color w:val="000000"/>
        </w:rPr>
        <w:t>)Selective estrogen receptor modulators (SERM，選擇性雌激素接受體調節劑）：raloxifene（如Evista ）、bazedoxifene（如Viviant）(102/2/1)</w:t>
      </w:r>
    </w:p>
    <w:p w14:paraId="10C27C4D" w14:textId="77777777" w:rsidR="008E57B7" w:rsidRPr="008E57B7" w:rsidRDefault="008E57B7" w:rsidP="008E57B7">
      <w:pPr>
        <w:ind w:left="1049" w:hanging="341"/>
        <w:rPr>
          <w:rFonts w:ascii="標楷體" w:eastAsia="標楷體" w:hAnsi="標楷體"/>
          <w:color w:val="000000"/>
        </w:rPr>
      </w:pPr>
      <w:r w:rsidRPr="008E57B7">
        <w:rPr>
          <w:rFonts w:ascii="標楷體" w:eastAsia="標楷體" w:hAnsi="標楷體"/>
          <w:color w:val="000000"/>
        </w:rPr>
        <w:t>(</w:t>
      </w:r>
      <w:r w:rsidRPr="008E57B7">
        <w:rPr>
          <w:rFonts w:ascii="標楷體" w:eastAsia="標楷體" w:hAnsi="標楷體" w:hint="eastAsia"/>
          <w:color w:val="000000"/>
        </w:rPr>
        <w:t>3</w:t>
      </w:r>
      <w:r w:rsidRPr="008E57B7">
        <w:rPr>
          <w:rFonts w:ascii="標楷體" w:eastAsia="標楷體" w:hAnsi="標楷體"/>
          <w:color w:val="000000"/>
        </w:rPr>
        <w:t>)Human monoclonal antibody for RANKL（RANKL單株抗體）：denosumab（如Prolia）(101/3/1)</w:t>
      </w:r>
    </w:p>
    <w:p w14:paraId="10273EBD" w14:textId="77777777" w:rsidR="008E57B7" w:rsidRPr="008E57B7" w:rsidRDefault="008E57B7" w:rsidP="008E57B7">
      <w:pPr>
        <w:ind w:left="811" w:hanging="245"/>
        <w:rPr>
          <w:rFonts w:ascii="標楷體" w:eastAsia="標楷體" w:hAnsi="標楷體"/>
          <w:color w:val="000000"/>
        </w:rPr>
      </w:pPr>
      <w:r w:rsidRPr="008E57B7">
        <w:rPr>
          <w:rFonts w:ascii="標楷體" w:eastAsia="標楷體" w:hAnsi="標楷體" w:hint="eastAsia"/>
          <w:color w:val="000000"/>
        </w:rPr>
        <w:t>2.</w:t>
      </w:r>
      <w:r w:rsidRPr="008E57B7">
        <w:rPr>
          <w:rFonts w:ascii="標楷體" w:eastAsia="標楷體" w:hAnsi="標楷體"/>
          <w:color w:val="000000"/>
        </w:rPr>
        <w:t>使用規定</w:t>
      </w:r>
    </w:p>
    <w:p w14:paraId="4C9E934F" w14:textId="77777777" w:rsidR="008E57B7" w:rsidRPr="008E57B7" w:rsidRDefault="008E57B7" w:rsidP="008E57B7">
      <w:pPr>
        <w:ind w:left="1049" w:hanging="341"/>
        <w:rPr>
          <w:rFonts w:ascii="標楷體" w:eastAsia="標楷體" w:hAnsi="標楷體"/>
          <w:color w:val="000000"/>
        </w:rPr>
      </w:pPr>
      <w:r w:rsidRPr="008E57B7">
        <w:rPr>
          <w:rFonts w:ascii="標楷體" w:eastAsia="標楷體" w:hAnsi="標楷體"/>
          <w:color w:val="000000"/>
        </w:rPr>
        <w:t>(1)</w:t>
      </w:r>
      <w:r w:rsidRPr="008E57B7">
        <w:rPr>
          <w:rFonts w:ascii="標楷體" w:eastAsia="標楷體" w:hAnsi="標楷體" w:hint="eastAsia"/>
          <w:color w:val="000000"/>
        </w:rPr>
        <w:t>使用條件</w:t>
      </w:r>
    </w:p>
    <w:p w14:paraId="7A862800" w14:textId="77777777" w:rsidR="008E57B7" w:rsidRPr="008E57B7" w:rsidRDefault="008E57B7" w:rsidP="008E57B7">
      <w:pPr>
        <w:ind w:left="1276" w:hanging="341"/>
        <w:rPr>
          <w:rFonts w:ascii="標楷體" w:eastAsia="標楷體" w:hAnsi="標楷體"/>
          <w:color w:val="000000"/>
        </w:rPr>
      </w:pPr>
      <w:r w:rsidRPr="008E57B7">
        <w:rPr>
          <w:rFonts w:ascii="標楷體" w:eastAsia="標楷體" w:hAnsi="標楷體"/>
          <w:color w:val="000000"/>
        </w:rPr>
        <w:t>Ⅰ.限用於停經後婦女（alendronate、zoledronate、denosumab及risedronate 35mg亦可使用於男性，risedronate 150mg不可使用於男性）因骨質疏鬆症（須經DXA 檢測BMD之T score≦ -2.5SD）引起脊椎或髖部骨折，或因骨質疏少症(osteopenia)(經DXA檢測BMD之-2.5SD &lt;T score &lt;-1.0SD)引起脊椎或髖部2處或2次(含)以上之骨折。</w:t>
      </w:r>
      <w:r w:rsidRPr="008E57B7">
        <w:rPr>
          <w:rFonts w:ascii="標楷體" w:eastAsia="標楷體" w:hAnsi="標楷體" w:hint="eastAsia"/>
          <w:color w:val="000000"/>
        </w:rPr>
        <w:t>使用</w:t>
      </w:r>
      <w:r w:rsidRPr="008E57B7">
        <w:rPr>
          <w:rFonts w:ascii="標楷體" w:eastAsia="標楷體" w:hAnsi="標楷體"/>
          <w:color w:val="000000"/>
        </w:rPr>
        <w:t>Prolia</w:t>
      </w:r>
      <w:r w:rsidRPr="008E57B7">
        <w:rPr>
          <w:rFonts w:ascii="標楷體" w:eastAsia="標楷體" w:hAnsi="標楷體" w:hint="eastAsia"/>
          <w:color w:val="000000"/>
        </w:rPr>
        <w:t>及</w:t>
      </w:r>
      <w:r w:rsidRPr="008E57B7">
        <w:rPr>
          <w:rFonts w:ascii="標楷體" w:eastAsia="標楷體" w:hAnsi="標楷體"/>
          <w:color w:val="000000"/>
        </w:rPr>
        <w:t>Alendronate Sandoz 70mg Tablets</w:t>
      </w:r>
      <w:r w:rsidRPr="008E57B7">
        <w:rPr>
          <w:rFonts w:ascii="標楷體" w:eastAsia="標楷體" w:hAnsi="標楷體" w:hint="eastAsia"/>
          <w:color w:val="000000"/>
        </w:rPr>
        <w:t>除上述條件外，亦可用於前述因</w:t>
      </w:r>
      <w:r w:rsidRPr="008E57B7">
        <w:rPr>
          <w:rFonts w:ascii="標楷體" w:eastAsia="標楷體" w:hAnsi="標楷體"/>
          <w:color w:val="000000"/>
        </w:rPr>
        <w:t>骨質疏鬆症</w:t>
      </w:r>
      <w:r w:rsidRPr="008E57B7">
        <w:rPr>
          <w:rFonts w:ascii="標楷體" w:eastAsia="標楷體" w:hAnsi="標楷體" w:hint="eastAsia"/>
          <w:color w:val="000000"/>
        </w:rPr>
        <w:t>引起之</w:t>
      </w:r>
      <w:r w:rsidRPr="008E57B7">
        <w:rPr>
          <w:rFonts w:ascii="標楷體" w:eastAsia="標楷體" w:hAnsi="標楷體"/>
          <w:color w:val="000000"/>
        </w:rPr>
        <w:t>遠端橈骨</w:t>
      </w:r>
      <w:r w:rsidRPr="008E57B7">
        <w:rPr>
          <w:rFonts w:ascii="標楷體" w:eastAsia="標楷體" w:hAnsi="標楷體" w:hint="eastAsia"/>
          <w:color w:val="000000"/>
        </w:rPr>
        <w:t>或</w:t>
      </w:r>
      <w:r w:rsidRPr="008E57B7">
        <w:rPr>
          <w:rFonts w:ascii="標楷體" w:eastAsia="標楷體" w:hAnsi="標楷體"/>
          <w:color w:val="000000"/>
        </w:rPr>
        <w:t>近端肱骨</w:t>
      </w:r>
      <w:r w:rsidRPr="008E57B7">
        <w:rPr>
          <w:rFonts w:ascii="標楷體" w:eastAsia="標楷體" w:hAnsi="標楷體" w:hint="eastAsia"/>
          <w:color w:val="000000"/>
        </w:rPr>
        <w:t>骨折，或</w:t>
      </w:r>
      <w:r w:rsidRPr="008E57B7">
        <w:rPr>
          <w:rFonts w:ascii="標楷體" w:eastAsia="標楷體" w:hAnsi="標楷體"/>
          <w:color w:val="000000"/>
        </w:rPr>
        <w:t>骨質疏少症</w:t>
      </w:r>
      <w:r w:rsidRPr="008E57B7">
        <w:rPr>
          <w:rFonts w:ascii="標楷體" w:eastAsia="標楷體" w:hAnsi="標楷體" w:hint="eastAsia"/>
          <w:color w:val="000000"/>
        </w:rPr>
        <w:t>引起之</w:t>
      </w:r>
      <w:r w:rsidRPr="008E57B7">
        <w:rPr>
          <w:rFonts w:ascii="標楷體" w:eastAsia="標楷體" w:hAnsi="標楷體"/>
          <w:color w:val="000000"/>
        </w:rPr>
        <w:t>遠端橈骨、近端肱骨2處或2次(含)以上之骨折</w:t>
      </w:r>
      <w:r w:rsidRPr="008E57B7">
        <w:rPr>
          <w:rFonts w:ascii="標楷體" w:eastAsia="標楷體" w:hAnsi="標楷體" w:hint="eastAsia"/>
          <w:color w:val="000000"/>
        </w:rPr>
        <w:t>。</w:t>
      </w:r>
      <w:r w:rsidRPr="008E57B7">
        <w:rPr>
          <w:rFonts w:ascii="標楷體" w:eastAsia="標楷體" w:hAnsi="標楷體"/>
          <w:color w:val="000000"/>
        </w:rPr>
        <w:t xml:space="preserve"> (101/5/1、102/8/1、103/10/1、104/8/1、106/12/1、</w:t>
      </w:r>
      <w:r w:rsidRPr="008E57B7">
        <w:rPr>
          <w:rFonts w:ascii="標楷體" w:eastAsia="標楷體" w:hAnsi="標楷體" w:hint="eastAsia"/>
          <w:color w:val="000000"/>
        </w:rPr>
        <w:t>114</w:t>
      </w:r>
      <w:r w:rsidRPr="008E57B7">
        <w:rPr>
          <w:rFonts w:ascii="標楷體" w:eastAsia="標楷體" w:hAnsi="標楷體"/>
          <w:color w:val="000000"/>
        </w:rPr>
        <w:t>/</w:t>
      </w:r>
      <w:r w:rsidRPr="008E57B7">
        <w:rPr>
          <w:rFonts w:ascii="標楷體" w:eastAsia="標楷體" w:hAnsi="標楷體" w:hint="eastAsia"/>
          <w:color w:val="000000"/>
        </w:rPr>
        <w:t>3</w:t>
      </w:r>
      <w:r w:rsidRPr="008E57B7">
        <w:rPr>
          <w:rFonts w:ascii="標楷體" w:eastAsia="標楷體" w:hAnsi="標楷體"/>
          <w:color w:val="000000"/>
        </w:rPr>
        <w:t>/1)</w:t>
      </w:r>
    </w:p>
    <w:p w14:paraId="07B98668" w14:textId="77777777" w:rsidR="008E57B7" w:rsidRPr="008E57B7" w:rsidRDefault="008E57B7" w:rsidP="008E57B7">
      <w:pPr>
        <w:ind w:left="1276" w:hanging="341"/>
        <w:rPr>
          <w:rFonts w:ascii="標楷體" w:eastAsia="標楷體" w:hAnsi="標楷體"/>
          <w:color w:val="000000"/>
        </w:rPr>
      </w:pPr>
      <w:r w:rsidRPr="008E57B7">
        <w:rPr>
          <w:rFonts w:ascii="標楷體" w:eastAsia="標楷體" w:hAnsi="標楷體"/>
          <w:color w:val="000000"/>
        </w:rPr>
        <w:t>Ⅱ.用於骨質疏鬆症患者 (須經DXA檢測BMD之T-score</w:t>
      </w:r>
      <w:r w:rsidRPr="008E57B7">
        <w:rPr>
          <w:rFonts w:ascii="標楷體" w:eastAsia="標楷體" w:hAnsi="標楷體" w:hint="eastAsia"/>
          <w:color w:val="000000"/>
        </w:rPr>
        <w:t>≦</w:t>
      </w:r>
      <w:r w:rsidRPr="008E57B7">
        <w:rPr>
          <w:rFonts w:ascii="標楷體" w:eastAsia="標楷體" w:hAnsi="標楷體"/>
          <w:color w:val="000000"/>
        </w:rPr>
        <w:t>-2.5)，且合併下列至少一項骨質疏鬆性骨折高風險因子</w:t>
      </w:r>
      <w:r w:rsidRPr="008E57B7">
        <w:rPr>
          <w:rFonts w:ascii="標楷體" w:eastAsia="標楷體" w:hAnsi="標楷體" w:hint="eastAsia"/>
          <w:color w:val="000000"/>
        </w:rPr>
        <w:t>者，限使用Prolia及Alendronate Sandoz 70mg Tablets</w:t>
      </w:r>
      <w:r w:rsidRPr="008E57B7">
        <w:rPr>
          <w:rFonts w:ascii="標楷體" w:eastAsia="標楷體" w:hAnsi="標楷體"/>
          <w:color w:val="000000"/>
        </w:rPr>
        <w:t>，且須於病歷上載明:</w:t>
      </w:r>
      <w:r w:rsidRPr="008E57B7">
        <w:rPr>
          <w:rFonts w:ascii="標楷體" w:eastAsia="標楷體" w:hAnsi="標楷體" w:hint="eastAsia"/>
          <w:color w:val="000000"/>
        </w:rPr>
        <w:t xml:space="preserve"> (114</w:t>
      </w:r>
      <w:r w:rsidRPr="008E57B7">
        <w:rPr>
          <w:rFonts w:ascii="標楷體" w:eastAsia="標楷體" w:hAnsi="標楷體"/>
          <w:color w:val="000000"/>
        </w:rPr>
        <w:t>/</w:t>
      </w:r>
      <w:r w:rsidRPr="008E57B7">
        <w:rPr>
          <w:rFonts w:ascii="標楷體" w:eastAsia="標楷體" w:hAnsi="標楷體" w:hint="eastAsia"/>
          <w:color w:val="000000"/>
        </w:rPr>
        <w:t>3</w:t>
      </w:r>
      <w:r w:rsidRPr="008E57B7">
        <w:rPr>
          <w:rFonts w:ascii="標楷體" w:eastAsia="標楷體" w:hAnsi="標楷體"/>
          <w:color w:val="000000"/>
        </w:rPr>
        <w:t>/1)</w:t>
      </w:r>
    </w:p>
    <w:p w14:paraId="736607BD" w14:textId="77777777" w:rsidR="008E57B7" w:rsidRPr="008E57B7" w:rsidRDefault="008E57B7" w:rsidP="008E57B7">
      <w:pPr>
        <w:ind w:left="1560" w:hanging="341"/>
        <w:rPr>
          <w:rFonts w:ascii="標楷體" w:eastAsia="標楷體" w:hAnsi="標楷體"/>
          <w:color w:val="000000"/>
        </w:rPr>
      </w:pPr>
      <w:r w:rsidRPr="008E57B7">
        <w:rPr>
          <w:rFonts w:ascii="新細明體" w:hAnsi="新細明體" w:cs="新細明體" w:hint="eastAsia"/>
          <w:color w:val="000000"/>
        </w:rPr>
        <w:t>ⅰ</w:t>
      </w:r>
      <w:r w:rsidRPr="008E57B7">
        <w:rPr>
          <w:rFonts w:ascii="標楷體" w:eastAsia="標楷體" w:hAnsi="標楷體"/>
          <w:color w:val="000000"/>
        </w:rPr>
        <w:t>類風溼性關節炎</w:t>
      </w:r>
      <w:r w:rsidRPr="008E57B7">
        <w:rPr>
          <w:rFonts w:ascii="標楷體" w:eastAsia="標楷體" w:hAnsi="標楷體" w:hint="eastAsia"/>
          <w:color w:val="000000"/>
        </w:rPr>
        <w:t>。</w:t>
      </w:r>
    </w:p>
    <w:p w14:paraId="2C43D433" w14:textId="77777777" w:rsidR="008E57B7" w:rsidRPr="008E57B7" w:rsidRDefault="008E57B7" w:rsidP="008E57B7">
      <w:pPr>
        <w:ind w:left="1560" w:hanging="341"/>
        <w:rPr>
          <w:rFonts w:ascii="標楷體" w:eastAsia="標楷體" w:hAnsi="標楷體"/>
          <w:color w:val="000000"/>
        </w:rPr>
      </w:pPr>
      <w:r w:rsidRPr="008E57B7">
        <w:rPr>
          <w:rFonts w:ascii="新細明體" w:hAnsi="新細明體" w:cs="新細明體" w:hint="eastAsia"/>
          <w:color w:val="000000"/>
        </w:rPr>
        <w:t>ⅱ</w:t>
      </w:r>
      <w:r w:rsidRPr="008E57B7">
        <w:rPr>
          <w:rFonts w:ascii="標楷體" w:eastAsia="標楷體" w:hAnsi="標楷體"/>
          <w:color w:val="000000"/>
        </w:rPr>
        <w:t>糖尿病且使用胰島素</w:t>
      </w:r>
      <w:r w:rsidRPr="008E57B7">
        <w:rPr>
          <w:rFonts w:ascii="標楷體" w:eastAsia="標楷體" w:hAnsi="標楷體" w:hint="eastAsia"/>
          <w:color w:val="000000"/>
        </w:rPr>
        <w:t>。</w:t>
      </w:r>
    </w:p>
    <w:p w14:paraId="413069CA" w14:textId="77777777" w:rsidR="008E57B7" w:rsidRPr="008E57B7" w:rsidRDefault="008E57B7" w:rsidP="008E57B7">
      <w:pPr>
        <w:ind w:left="1560" w:hanging="341"/>
        <w:rPr>
          <w:rFonts w:ascii="標楷體" w:eastAsia="標楷體" w:hAnsi="標楷體"/>
          <w:color w:val="000000"/>
        </w:rPr>
      </w:pPr>
      <w:r w:rsidRPr="008E57B7">
        <w:rPr>
          <w:rFonts w:ascii="新細明體" w:hAnsi="新細明體" w:cs="新細明體" w:hint="eastAsia"/>
          <w:color w:val="000000"/>
        </w:rPr>
        <w:t>ⅲ</w:t>
      </w:r>
      <w:r w:rsidRPr="008E57B7">
        <w:rPr>
          <w:rFonts w:ascii="標楷體" w:eastAsia="標楷體" w:hAnsi="標楷體"/>
          <w:color w:val="000000"/>
        </w:rPr>
        <w:t>使用糖皮質類固醇(&gt;5毫克/天)超過3個月</w:t>
      </w:r>
      <w:r w:rsidRPr="008E57B7">
        <w:rPr>
          <w:rFonts w:ascii="標楷體" w:eastAsia="標楷體" w:hAnsi="標楷體" w:hint="eastAsia"/>
          <w:color w:val="000000"/>
        </w:rPr>
        <w:t>。</w:t>
      </w:r>
    </w:p>
    <w:p w14:paraId="79574C3C" w14:textId="77777777" w:rsidR="008E57B7" w:rsidRPr="008E57B7" w:rsidRDefault="008E57B7" w:rsidP="008E57B7">
      <w:pPr>
        <w:ind w:left="1049" w:hanging="341"/>
        <w:rPr>
          <w:rFonts w:ascii="標楷體" w:eastAsia="標楷體" w:hAnsi="標楷體"/>
          <w:color w:val="000000"/>
        </w:rPr>
      </w:pPr>
      <w:r w:rsidRPr="008E57B7">
        <w:rPr>
          <w:rFonts w:ascii="標楷體" w:eastAsia="標楷體" w:hAnsi="標楷體"/>
          <w:color w:val="000000"/>
        </w:rPr>
        <w:t>(</w:t>
      </w:r>
      <w:r w:rsidRPr="008E57B7">
        <w:rPr>
          <w:rFonts w:ascii="標楷體" w:eastAsia="標楷體" w:hAnsi="標楷體" w:hint="eastAsia"/>
          <w:color w:val="000000"/>
        </w:rPr>
        <w:t>2</w:t>
      </w:r>
      <w:r w:rsidRPr="008E57B7">
        <w:rPr>
          <w:rFonts w:ascii="標楷體" w:eastAsia="標楷體" w:hAnsi="標楷體"/>
          <w:color w:val="000000"/>
        </w:rPr>
        <w:t>)治療時，一次限用一項藥物，不得併用其他骨質疏鬆症治療藥物。</w:t>
      </w:r>
    </w:p>
    <w:p w14:paraId="2F141810" w14:textId="23AC7501" w:rsidR="00BD776B" w:rsidRDefault="008E57B7" w:rsidP="008E57B7">
      <w:pPr>
        <w:ind w:left="1049" w:hanging="341"/>
        <w:rPr>
          <w:rFonts w:ascii="標楷體" w:eastAsia="標楷體" w:hAnsi="標楷體"/>
          <w:color w:val="000000"/>
        </w:rPr>
      </w:pPr>
      <w:r w:rsidRPr="008E57B7">
        <w:rPr>
          <w:rFonts w:ascii="標楷體" w:eastAsia="標楷體" w:hAnsi="標楷體"/>
          <w:color w:val="000000"/>
        </w:rPr>
        <w:t>(</w:t>
      </w:r>
      <w:r w:rsidRPr="008E57B7">
        <w:rPr>
          <w:rFonts w:ascii="標楷體" w:eastAsia="標楷體" w:hAnsi="標楷體" w:hint="eastAsia"/>
          <w:color w:val="000000"/>
        </w:rPr>
        <w:t>3</w:t>
      </w:r>
      <w:r w:rsidRPr="008E57B7">
        <w:rPr>
          <w:rFonts w:ascii="標楷體" w:eastAsia="標楷體" w:hAnsi="標楷體"/>
          <w:color w:val="000000"/>
        </w:rPr>
        <w:t>)使用雙磷酸鹽類藥物，須先檢測病患之血清creatinine濃度，符合該項藥物仿單之建議規定。</w:t>
      </w:r>
    </w:p>
    <w:p w14:paraId="30EBF3FB" w14:textId="2A117E48" w:rsidR="00BD776B" w:rsidRDefault="00DF0C24">
      <w:pPr>
        <w:ind w:left="672" w:hanging="386"/>
        <w:rPr>
          <w:rFonts w:ascii="標楷體" w:eastAsia="標楷體" w:hAnsi="標楷體"/>
          <w:color w:val="000000"/>
        </w:rPr>
      </w:pPr>
      <w:r>
        <w:rPr>
          <w:rFonts w:ascii="標楷體" w:eastAsia="標楷體" w:hAnsi="標楷體"/>
          <w:color w:val="000000"/>
        </w:rPr>
        <w:t xml:space="preserve"> 5.6.2.Parathyroid hormones and analogues （副甲狀腺素及類似劑）：teriparatide注射劑(101/7/1、110/5/1)</w:t>
      </w:r>
    </w:p>
    <w:p w14:paraId="66FBB9AD" w14:textId="77777777" w:rsidR="00BD776B" w:rsidRDefault="00DF0C24">
      <w:pPr>
        <w:ind w:left="798" w:hanging="1"/>
        <w:rPr>
          <w:rFonts w:ascii="標楷體" w:eastAsia="標楷體" w:hAnsi="標楷體"/>
          <w:color w:val="000000"/>
        </w:rPr>
      </w:pPr>
      <w:r>
        <w:rPr>
          <w:rFonts w:ascii="標楷體" w:eastAsia="標楷體" w:hAnsi="標楷體"/>
          <w:color w:val="000000"/>
        </w:rPr>
        <w:t>限用於</w:t>
      </w:r>
    </w:p>
    <w:p w14:paraId="620F055A" w14:textId="77777777" w:rsidR="00BD776B" w:rsidRDefault="00DF0C24">
      <w:pPr>
        <w:ind w:left="811" w:hanging="245"/>
        <w:rPr>
          <w:rFonts w:ascii="標楷體" w:eastAsia="標楷體" w:hAnsi="標楷體"/>
          <w:color w:val="000000"/>
        </w:rPr>
      </w:pPr>
      <w:r>
        <w:rPr>
          <w:rFonts w:ascii="標楷體" w:eastAsia="標楷體" w:hAnsi="標楷體"/>
          <w:color w:val="000000"/>
        </w:rPr>
        <w:t>1.停經後骨質疏鬆婦女。</w:t>
      </w:r>
    </w:p>
    <w:p w14:paraId="754D2FEC" w14:textId="77777777" w:rsidR="00BD776B" w:rsidRDefault="00DF0C24">
      <w:pPr>
        <w:ind w:left="811" w:hanging="245"/>
        <w:rPr>
          <w:rFonts w:ascii="標楷體" w:eastAsia="標楷體" w:hAnsi="標楷體"/>
          <w:color w:val="000000"/>
        </w:rPr>
      </w:pPr>
      <w:r>
        <w:rPr>
          <w:rFonts w:ascii="標楷體" w:eastAsia="標楷體" w:hAnsi="標楷體"/>
          <w:color w:val="000000"/>
        </w:rPr>
        <w:t>2.原發性或次發於性腺功能低下症造成骨質疏鬆之男性。</w:t>
      </w:r>
    </w:p>
    <w:p w14:paraId="2D3475F5" w14:textId="77777777" w:rsidR="00BD776B" w:rsidRDefault="00DF0C24">
      <w:pPr>
        <w:ind w:left="811" w:hanging="245"/>
        <w:rPr>
          <w:rFonts w:ascii="標楷體" w:eastAsia="標楷體" w:hAnsi="標楷體"/>
          <w:color w:val="000000"/>
        </w:rPr>
      </w:pPr>
      <w:r>
        <w:rPr>
          <w:rFonts w:ascii="標楷體" w:eastAsia="標楷體" w:hAnsi="標楷體"/>
          <w:color w:val="000000"/>
        </w:rPr>
        <w:t>3.需符合下列條件：</w:t>
      </w:r>
    </w:p>
    <w:p w14:paraId="509E1058" w14:textId="77777777" w:rsidR="00BD776B" w:rsidRDefault="00DF0C24">
      <w:pPr>
        <w:ind w:left="1049" w:hanging="341"/>
        <w:rPr>
          <w:rFonts w:ascii="標楷體" w:eastAsia="標楷體" w:hAnsi="標楷體"/>
          <w:color w:val="000000"/>
        </w:rPr>
      </w:pPr>
      <w:r>
        <w:rPr>
          <w:rFonts w:ascii="標楷體" w:eastAsia="標楷體" w:hAnsi="標楷體"/>
          <w:color w:val="000000"/>
        </w:rPr>
        <w:t>(1)引起脊椎或髖部多於2 (含)處骨折，經評估（須於病歷載明）無法耐受副作用或在持續配合使用抗骨質吸收劑至少連續12個月的情況下仍發生至少1處</w:t>
      </w:r>
      <w:r>
        <w:rPr>
          <w:rFonts w:ascii="標楷體" w:eastAsia="標楷體" w:hAnsi="標楷體"/>
          <w:color w:val="000000"/>
        </w:rPr>
        <w:lastRenderedPageBreak/>
        <w:t>新的骨折之病患。</w:t>
      </w:r>
    </w:p>
    <w:p w14:paraId="5AE5DFBA" w14:textId="77777777" w:rsidR="00BD776B" w:rsidRDefault="00DF0C24">
      <w:pPr>
        <w:ind w:left="1049" w:hanging="341"/>
        <w:rPr>
          <w:rFonts w:ascii="標楷體" w:eastAsia="標楷體" w:hAnsi="標楷體"/>
          <w:color w:val="000000"/>
        </w:rPr>
      </w:pPr>
      <w:r>
        <w:rPr>
          <w:rFonts w:ascii="標楷體" w:eastAsia="標楷體" w:hAnsi="標楷體"/>
          <w:color w:val="000000"/>
        </w:rPr>
        <w:t>(2)骨質疏鬆之程度，須經DXA 檢測 BMD 之T-score 小於或等於-3.0。</w:t>
      </w:r>
    </w:p>
    <w:p w14:paraId="3FC4C1A8" w14:textId="77777777" w:rsidR="00BD776B" w:rsidRDefault="00DF0C24">
      <w:pPr>
        <w:ind w:left="811" w:hanging="245"/>
        <w:rPr>
          <w:rFonts w:ascii="標楷體" w:eastAsia="標楷體" w:hAnsi="標楷體"/>
          <w:color w:val="000000"/>
        </w:rPr>
      </w:pPr>
      <w:r>
        <w:rPr>
          <w:rFonts w:ascii="標楷體" w:eastAsia="標楷體" w:hAnsi="標楷體"/>
          <w:color w:val="000000"/>
        </w:rPr>
        <w:t>4.使用不得超過18支並於二年內使用完畢，使用期間內不得併用其他骨質疏鬆症治療藥物。</w:t>
      </w:r>
    </w:p>
    <w:p w14:paraId="7A4610C3" w14:textId="77777777" w:rsidR="00BD776B" w:rsidRDefault="00DF0C24">
      <w:pPr>
        <w:ind w:left="811" w:hanging="245"/>
        <w:rPr>
          <w:rFonts w:ascii="標楷體" w:eastAsia="標楷體" w:hAnsi="標楷體"/>
          <w:color w:val="000000"/>
        </w:rPr>
      </w:pPr>
      <w:r>
        <w:rPr>
          <w:rFonts w:ascii="標楷體" w:eastAsia="標楷體" w:hAnsi="標楷體"/>
          <w:color w:val="000000"/>
        </w:rPr>
        <w:t>5.與romosozumab僅得擇一使用，除因耐受性不良，不得互換。(110/5/1)</w:t>
      </w:r>
    </w:p>
    <w:p w14:paraId="6CFDF4A9"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備註DXA: Dual energy X-ray absorptiometry</w:t>
      </w:r>
    </w:p>
    <w:p w14:paraId="659FDFEB" w14:textId="77777777" w:rsidR="00BD776B" w:rsidRDefault="00DF0C24">
      <w:pPr>
        <w:rPr>
          <w:rFonts w:ascii="標楷體" w:eastAsia="標楷體" w:hAnsi="標楷體"/>
          <w:color w:val="000000"/>
        </w:rPr>
      </w:pPr>
      <w:r>
        <w:rPr>
          <w:rFonts w:ascii="標楷體" w:eastAsia="標楷體" w:hAnsi="標楷體"/>
          <w:color w:val="000000"/>
        </w:rPr>
        <w:t xml:space="preserve">       BMD: Bone mineral density</w:t>
      </w:r>
    </w:p>
    <w:p w14:paraId="0C176C38" w14:textId="77777777" w:rsidR="00D84474" w:rsidRPr="00D84474" w:rsidRDefault="00D84474" w:rsidP="00D84474">
      <w:pPr>
        <w:ind w:left="672" w:hanging="386"/>
        <w:rPr>
          <w:rFonts w:ascii="標楷體" w:eastAsia="標楷體" w:hAnsi="標楷體"/>
        </w:rPr>
      </w:pPr>
      <w:r w:rsidRPr="00D84474">
        <w:rPr>
          <w:rFonts w:ascii="標楷體" w:eastAsia="標楷體" w:hAnsi="標楷體" w:hint="eastAsia"/>
        </w:rPr>
        <w:t>5.6.3.Romosozumab(如Evenity)：(110/5/1、114</w:t>
      </w:r>
      <w:r w:rsidRPr="00D84474">
        <w:rPr>
          <w:rFonts w:ascii="標楷體" w:eastAsia="標楷體" w:hAnsi="標楷體"/>
        </w:rPr>
        <w:t>/</w:t>
      </w:r>
      <w:r w:rsidRPr="00D84474">
        <w:rPr>
          <w:rFonts w:ascii="標楷體" w:eastAsia="標楷體" w:hAnsi="標楷體" w:hint="eastAsia"/>
        </w:rPr>
        <w:t>3</w:t>
      </w:r>
      <w:r w:rsidRPr="00D84474">
        <w:rPr>
          <w:rFonts w:ascii="標楷體" w:eastAsia="標楷體" w:hAnsi="標楷體"/>
        </w:rPr>
        <w:t>/1</w:t>
      </w:r>
      <w:r w:rsidRPr="00D84474">
        <w:rPr>
          <w:rFonts w:ascii="標楷體" w:eastAsia="標楷體" w:hAnsi="標楷體" w:hint="eastAsia"/>
        </w:rPr>
        <w:t>)</w:t>
      </w:r>
    </w:p>
    <w:p w14:paraId="799F497A" w14:textId="77777777" w:rsidR="00D84474" w:rsidRPr="00D84474" w:rsidRDefault="00D84474" w:rsidP="00D84474">
      <w:pPr>
        <w:ind w:left="811" w:hanging="245"/>
        <w:rPr>
          <w:rFonts w:ascii="標楷體" w:eastAsia="標楷體" w:hAnsi="標楷體"/>
        </w:rPr>
      </w:pPr>
      <w:r w:rsidRPr="00D84474">
        <w:rPr>
          <w:rFonts w:ascii="標楷體" w:eastAsia="標楷體" w:hAnsi="標楷體"/>
        </w:rPr>
        <w:t>1.限用於停經後骨質疏鬆婦女。</w:t>
      </w:r>
    </w:p>
    <w:p w14:paraId="6ED2C2CE" w14:textId="77777777" w:rsidR="00D84474" w:rsidRPr="00D84474" w:rsidRDefault="00D84474" w:rsidP="00D84474">
      <w:pPr>
        <w:ind w:left="811" w:hanging="245"/>
        <w:rPr>
          <w:rFonts w:ascii="標楷體" w:eastAsia="標楷體" w:hAnsi="標楷體"/>
        </w:rPr>
      </w:pPr>
      <w:r w:rsidRPr="00D84474">
        <w:rPr>
          <w:rFonts w:ascii="標楷體" w:eastAsia="標楷體" w:hAnsi="標楷體"/>
        </w:rPr>
        <w:t>2.需符合下列條件：</w:t>
      </w:r>
    </w:p>
    <w:p w14:paraId="268851D9" w14:textId="77777777" w:rsidR="00D84474" w:rsidRPr="00D84474" w:rsidRDefault="00D84474" w:rsidP="00D84474">
      <w:pPr>
        <w:ind w:left="1049" w:hanging="341"/>
        <w:rPr>
          <w:rFonts w:ascii="標楷體" w:eastAsia="標楷體" w:hAnsi="標楷體"/>
        </w:rPr>
      </w:pPr>
      <w:r w:rsidRPr="00D84474">
        <w:rPr>
          <w:rFonts w:ascii="標楷體" w:eastAsia="標楷體" w:hAnsi="標楷體"/>
        </w:rPr>
        <w:t>(1)引起遠端橈骨、近端肱骨、脊椎或髖部多於2（含）處骨折，經評估（須於病歷載明）無法耐受副作用或在持續配合使用抗骨質吸收劑至少連續12個月的情況下仍發生至少1處新的骨折之病患。(</w:t>
      </w:r>
      <w:r w:rsidRPr="00D84474">
        <w:rPr>
          <w:rFonts w:ascii="標楷體" w:eastAsia="標楷體" w:hAnsi="標楷體" w:hint="eastAsia"/>
        </w:rPr>
        <w:t>110/5/1、114</w:t>
      </w:r>
      <w:r w:rsidRPr="00D84474">
        <w:rPr>
          <w:rFonts w:ascii="標楷體" w:eastAsia="標楷體" w:hAnsi="標楷體"/>
        </w:rPr>
        <w:t>/</w:t>
      </w:r>
      <w:r w:rsidRPr="00D84474">
        <w:rPr>
          <w:rFonts w:ascii="標楷體" w:eastAsia="標楷體" w:hAnsi="標楷體" w:hint="eastAsia"/>
        </w:rPr>
        <w:t>3</w:t>
      </w:r>
      <w:r w:rsidRPr="00D84474">
        <w:rPr>
          <w:rFonts w:ascii="標楷體" w:eastAsia="標楷體" w:hAnsi="標楷體"/>
        </w:rPr>
        <w:t>/1)</w:t>
      </w:r>
    </w:p>
    <w:p w14:paraId="56B8B2CB" w14:textId="77777777" w:rsidR="00D84474" w:rsidRPr="00D84474" w:rsidRDefault="00D84474" w:rsidP="00D84474">
      <w:pPr>
        <w:ind w:left="1049" w:hanging="341"/>
        <w:rPr>
          <w:rFonts w:ascii="標楷體" w:eastAsia="標楷體" w:hAnsi="標楷體"/>
        </w:rPr>
      </w:pPr>
      <w:r w:rsidRPr="00D84474">
        <w:rPr>
          <w:rFonts w:ascii="標楷體" w:eastAsia="標楷體" w:hAnsi="標楷體"/>
        </w:rPr>
        <w:t>(2)骨質疏鬆之程度，須經DXA檢測BMD之T-score小於或等於-3.0。</w:t>
      </w:r>
    </w:p>
    <w:p w14:paraId="06B00219" w14:textId="77777777" w:rsidR="00D84474" w:rsidRPr="00D84474" w:rsidRDefault="00D84474" w:rsidP="00D84474">
      <w:pPr>
        <w:ind w:left="811" w:hanging="245"/>
        <w:rPr>
          <w:rFonts w:ascii="標楷體" w:eastAsia="標楷體" w:hAnsi="標楷體"/>
        </w:rPr>
      </w:pPr>
      <w:r w:rsidRPr="00D84474">
        <w:rPr>
          <w:rFonts w:ascii="標楷體" w:eastAsia="標楷體" w:hAnsi="標楷體" w:hint="eastAsia"/>
        </w:rPr>
        <w:t>3.使用不得超過24支並於一年內使用完畢。</w:t>
      </w:r>
    </w:p>
    <w:p w14:paraId="294D1F39" w14:textId="77777777" w:rsidR="00D84474" w:rsidRPr="00D84474" w:rsidRDefault="00D84474" w:rsidP="00D84474">
      <w:pPr>
        <w:ind w:left="811" w:hanging="245"/>
        <w:rPr>
          <w:rFonts w:ascii="標楷體" w:eastAsia="標楷體" w:hAnsi="標楷體"/>
        </w:rPr>
      </w:pPr>
      <w:r w:rsidRPr="00D84474">
        <w:rPr>
          <w:rFonts w:ascii="標楷體" w:eastAsia="標楷體" w:hAnsi="標楷體" w:hint="eastAsia"/>
        </w:rPr>
        <w:t>4.使用期間內不得併用其他骨質疏鬆症治療藥物。</w:t>
      </w:r>
    </w:p>
    <w:p w14:paraId="24239888" w14:textId="124C0E4E" w:rsidR="00BD776B" w:rsidRPr="00D84474" w:rsidRDefault="00D84474" w:rsidP="00D84474">
      <w:pPr>
        <w:ind w:left="811" w:hanging="245"/>
        <w:rPr>
          <w:rFonts w:ascii="標楷體" w:eastAsia="標楷體" w:hAnsi="標楷體"/>
        </w:rPr>
      </w:pPr>
      <w:r w:rsidRPr="00D84474">
        <w:rPr>
          <w:rFonts w:ascii="標楷體" w:eastAsia="標楷體" w:hAnsi="標楷體" w:hint="eastAsia"/>
        </w:rPr>
        <w:t>5.與teriparatide僅得擇一使用，除因耐受性不良，不得互換。</w:t>
      </w:r>
    </w:p>
    <w:p w14:paraId="049F71D3" w14:textId="77777777" w:rsidR="00BD776B" w:rsidRDefault="00BD776B">
      <w:pPr>
        <w:pageBreakBefore/>
        <w:widowControl/>
        <w:suppressAutoHyphens w:val="0"/>
      </w:pPr>
    </w:p>
    <w:p w14:paraId="73DE6C03" w14:textId="77777777" w:rsidR="00BD776B" w:rsidRDefault="00DF0C24">
      <w:pPr>
        <w:pStyle w:val="2"/>
      </w:pPr>
      <w:r>
        <w:t>第6節 呼吸道藥物 Respiratory tract drugs</w:t>
      </w:r>
    </w:p>
    <w:p w14:paraId="36E2B06B" w14:textId="77777777" w:rsidR="00BD776B" w:rsidRDefault="00BD776B">
      <w:pPr>
        <w:snapToGrid w:val="0"/>
        <w:spacing w:line="400" w:lineRule="exact"/>
        <w:jc w:val="center"/>
        <w:rPr>
          <w:rFonts w:ascii="標楷體" w:eastAsia="標楷體" w:hAnsi="標楷體"/>
          <w:b/>
          <w:color w:val="000000"/>
          <w:sz w:val="32"/>
          <w:szCs w:val="32"/>
        </w:rPr>
      </w:pPr>
    </w:p>
    <w:p w14:paraId="3196C021" w14:textId="77777777" w:rsidR="00BD776B" w:rsidRDefault="00BD776B">
      <w:pPr>
        <w:spacing w:line="400" w:lineRule="exact"/>
        <w:ind w:left="-142"/>
        <w:jc w:val="center"/>
        <w:rPr>
          <w:rFonts w:ascii="標楷體" w:eastAsia="標楷體" w:hAnsi="標楷體"/>
          <w:b/>
          <w:color w:val="000000"/>
          <w:sz w:val="32"/>
          <w:szCs w:val="32"/>
        </w:rPr>
      </w:pPr>
    </w:p>
    <w:p w14:paraId="7F5581DC" w14:textId="6F7B0B41" w:rsidR="00BD776B" w:rsidRDefault="00DF0C24">
      <w:pPr>
        <w:snapToGrid w:val="0"/>
        <w:spacing w:after="120"/>
        <w:ind w:left="283"/>
        <w:rPr>
          <w:rFonts w:ascii="標楷體" w:eastAsia="標楷體" w:hAnsi="標楷體"/>
          <w:szCs w:val="24"/>
        </w:rPr>
      </w:pPr>
      <w:r>
        <w:rPr>
          <w:rFonts w:ascii="標楷體" w:eastAsia="標楷體" w:hAnsi="標楷體"/>
          <w:szCs w:val="24"/>
        </w:rPr>
        <w:t>6.1. 吸入劑 Inhalants(91/8/1、108/7/1、109/3/1、109/11/1、111/3/1、111/4/1、112/2/1</w:t>
      </w:r>
      <w:r w:rsidR="00F71A54">
        <w:rPr>
          <w:rFonts w:ascii="標楷體" w:eastAsia="標楷體" w:hAnsi="標楷體" w:hint="eastAsia"/>
          <w:szCs w:val="24"/>
        </w:rPr>
        <w:t>、113/8/1</w:t>
      </w:r>
      <w:r>
        <w:rPr>
          <w:rFonts w:ascii="標楷體" w:eastAsia="標楷體" w:hAnsi="標楷體"/>
          <w:szCs w:val="24"/>
        </w:rPr>
        <w:t>)</w:t>
      </w:r>
    </w:p>
    <w:p w14:paraId="0E63C6E4" w14:textId="435199B3" w:rsidR="00BD776B" w:rsidRDefault="00DF0C24">
      <w:pPr>
        <w:widowControl/>
        <w:snapToGrid w:val="0"/>
        <w:spacing w:after="120"/>
        <w:ind w:left="850" w:hanging="240"/>
        <w:rPr>
          <w:rFonts w:ascii="標楷體" w:eastAsia="標楷體" w:hAnsi="標楷體"/>
          <w:szCs w:val="24"/>
        </w:rPr>
      </w:pPr>
      <w:r>
        <w:rPr>
          <w:rFonts w:ascii="標楷體" w:eastAsia="標楷體" w:hAnsi="標楷體"/>
          <w:szCs w:val="24"/>
        </w:rPr>
        <w:t>1.支氣管擴張劑(含乙二型擬交感神經劑β2-agonists、抗膽鹼劑anticholinergics)、吸入型類固醇(inhaled corticosteroid)等，依「成人呼吸道疾患吸入製劑給付規定表」(91/8/1、111/3/1</w:t>
      </w:r>
      <w:r w:rsidR="003C1200">
        <w:rPr>
          <w:rFonts w:ascii="標楷體" w:eastAsia="標楷體" w:hAnsi="標楷體" w:hint="eastAsia"/>
          <w:szCs w:val="24"/>
        </w:rPr>
        <w:t>、113/8/1</w:t>
      </w:r>
      <w:r>
        <w:rPr>
          <w:rFonts w:ascii="標楷體" w:eastAsia="標楷體" w:hAnsi="標楷體"/>
          <w:szCs w:val="24"/>
        </w:rPr>
        <w:t>)及「兒童呼吸道疾患吸入製劑給付規定表」(111/3/1</w:t>
      </w:r>
      <w:r w:rsidR="003C1200">
        <w:rPr>
          <w:rFonts w:ascii="標楷體" w:eastAsia="標楷體" w:hAnsi="標楷體" w:hint="eastAsia"/>
          <w:szCs w:val="24"/>
        </w:rPr>
        <w:t>、113/8/1</w:t>
      </w:r>
      <w:r>
        <w:rPr>
          <w:rFonts w:ascii="標楷體" w:eastAsia="標楷體" w:hAnsi="標楷體"/>
          <w:szCs w:val="24"/>
        </w:rPr>
        <w:t>)規定辦理；呼吸道藥物複方製劑比照辦理。</w:t>
      </w:r>
    </w:p>
    <w:p w14:paraId="24D1D6F2" w14:textId="7B0A2215" w:rsidR="00BD776B" w:rsidRDefault="00DF0C24">
      <w:pPr>
        <w:widowControl/>
        <w:snapToGrid w:val="0"/>
        <w:spacing w:after="120"/>
        <w:ind w:left="850" w:hanging="240"/>
        <w:rPr>
          <w:rFonts w:ascii="標楷體" w:eastAsia="標楷體" w:hAnsi="標楷體"/>
        </w:rPr>
      </w:pPr>
      <w:r>
        <w:rPr>
          <w:rFonts w:ascii="標楷體" w:eastAsia="標楷體" w:hAnsi="標楷體"/>
        </w:rPr>
        <w:t>2.Fluticasone furoate/ umeclidinium bromide/vilanterol trifenatate (如Trelegy Ellipta 92/55/22 mcg Inhalation Powder、Trelegy Ellipta 184/55/22 mcg Inhalation Powder) (108/7/1、109/11/1、112/2/1</w:t>
      </w:r>
      <w:r w:rsidR="002D7A21">
        <w:rPr>
          <w:rFonts w:ascii="標楷體" w:eastAsia="標楷體" w:hAnsi="標楷體" w:hint="eastAsia"/>
        </w:rPr>
        <w:t>、113/8/1</w:t>
      </w:r>
      <w:r>
        <w:rPr>
          <w:rFonts w:ascii="標楷體" w:eastAsia="標楷體" w:hAnsi="標楷體"/>
        </w:rPr>
        <w:t>)：</w:t>
      </w:r>
    </w:p>
    <w:p w14:paraId="212FCBA5" w14:textId="77777777" w:rsidR="00BD776B" w:rsidRDefault="00DF0C24">
      <w:pPr>
        <w:ind w:left="1186" w:hanging="336"/>
        <w:rPr>
          <w:rFonts w:ascii="標楷體" w:eastAsia="標楷體" w:hAnsi="標楷體"/>
        </w:rPr>
      </w:pPr>
      <w:r>
        <w:rPr>
          <w:rFonts w:ascii="標楷體" w:eastAsia="標楷體" w:hAnsi="標楷體"/>
        </w:rPr>
        <w:t>(1)慢性阻塞性肺病患者的維持治療(限用Trelegy Ellipta 92/55/22 mcg Inhalation Powder)，且須同時符合以下條件：(112/2/1)</w:t>
      </w:r>
    </w:p>
    <w:p w14:paraId="41A44897" w14:textId="77777777" w:rsidR="00BD776B" w:rsidRDefault="00DF0C24">
      <w:pPr>
        <w:ind w:left="850"/>
        <w:rPr>
          <w:rFonts w:ascii="標楷體" w:eastAsia="標楷體" w:hAnsi="標楷體"/>
        </w:rPr>
      </w:pPr>
      <w:r>
        <w:rPr>
          <w:rFonts w:ascii="標楷體" w:eastAsia="標楷體" w:hAnsi="標楷體"/>
        </w:rPr>
        <w:t xml:space="preserve"> I.Gold Guideline Group D 病人。（109/11/1） </w:t>
      </w:r>
    </w:p>
    <w:p w14:paraId="5681A5EA" w14:textId="77777777" w:rsidR="00BD776B" w:rsidRDefault="00DF0C24">
      <w:pPr>
        <w:ind w:left="1330" w:hanging="480"/>
        <w:rPr>
          <w:rFonts w:ascii="標楷體" w:eastAsia="標楷體" w:hAnsi="標楷體"/>
        </w:rPr>
      </w:pPr>
      <w:r>
        <w:rPr>
          <w:rFonts w:ascii="標楷體" w:eastAsia="標楷體" w:hAnsi="標楷體"/>
        </w:rPr>
        <w:t xml:space="preserve"> Ⅱ.已接受吸入性皮質類固醇與長效β2 作用劑或長效β2 作用劑與長效抗膽鹼劑合併治療，仍然有顯著症狀或惡化控制不佳者。(109/11/1)  </w:t>
      </w:r>
    </w:p>
    <w:p w14:paraId="46C6F2C6" w14:textId="77777777" w:rsidR="00BD776B" w:rsidRDefault="00DF0C24">
      <w:pPr>
        <w:ind w:left="1186" w:hanging="336"/>
        <w:rPr>
          <w:rFonts w:ascii="標楷體" w:eastAsia="標楷體" w:hAnsi="標楷體"/>
        </w:rPr>
      </w:pPr>
      <w:r>
        <w:rPr>
          <w:rFonts w:ascii="標楷體" w:eastAsia="標楷體" w:hAnsi="標楷體"/>
        </w:rPr>
        <w:t>(2)用於併用吸入性長效型β2-腎上腺受體作用劑和吸入性皮質類固醇治療氣喘仍控制不佳的成年病人，做為氣喘維持治療。(112/2/1)</w:t>
      </w:r>
    </w:p>
    <w:p w14:paraId="595C7DEE" w14:textId="220908AE" w:rsidR="00BD776B" w:rsidRDefault="00DF0C24">
      <w:pPr>
        <w:ind w:left="1186" w:hanging="336"/>
        <w:rPr>
          <w:rFonts w:ascii="標楷體" w:eastAsia="標楷體" w:hAnsi="標楷體"/>
        </w:rPr>
      </w:pPr>
      <w:r>
        <w:rPr>
          <w:rFonts w:ascii="標楷體" w:eastAsia="標楷體" w:hAnsi="標楷體"/>
        </w:rPr>
        <w:t>(3)每</w:t>
      </w:r>
      <w:r w:rsidR="0090299E">
        <w:rPr>
          <w:rFonts w:ascii="標楷體" w:eastAsia="標楷體" w:hAnsi="標楷體" w:hint="eastAsia"/>
        </w:rPr>
        <w:t>28天</w:t>
      </w:r>
      <w:r>
        <w:rPr>
          <w:rFonts w:ascii="標楷體" w:eastAsia="標楷體" w:hAnsi="標楷體"/>
        </w:rPr>
        <w:t>限用1盒(30 劑)。</w:t>
      </w:r>
      <w:r w:rsidR="0090299E" w:rsidRPr="0090299E">
        <w:rPr>
          <w:rFonts w:ascii="標楷體" w:eastAsia="標楷體" w:hAnsi="標楷體" w:hint="eastAsia"/>
        </w:rPr>
        <w:t>(113/8/1)</w:t>
      </w:r>
    </w:p>
    <w:p w14:paraId="4C57F1CC" w14:textId="77777777" w:rsidR="00BD776B" w:rsidRDefault="00DF0C24">
      <w:pPr>
        <w:ind w:left="1186" w:hanging="336"/>
      </w:pPr>
      <w:r>
        <w:rPr>
          <w:rFonts w:ascii="標楷體" w:eastAsia="標楷體" w:hAnsi="標楷體"/>
        </w:rPr>
        <w:t>(4)不得與中/高劑量吸入性皮質類固醇(ICS)/長效型乙二型擬交感神經劑(LABA)之固定劑量組合 (fixed dose combination,FDC) 藥品併用。</w:t>
      </w:r>
    </w:p>
    <w:p w14:paraId="64E3ECE2" w14:textId="2D3E4E67" w:rsidR="00BD776B" w:rsidRDefault="00DF0C24">
      <w:pPr>
        <w:widowControl/>
        <w:snapToGrid w:val="0"/>
        <w:spacing w:after="120"/>
        <w:ind w:left="850" w:hanging="240"/>
        <w:rPr>
          <w:rFonts w:ascii="標楷體" w:eastAsia="標楷體" w:hAnsi="標楷體"/>
        </w:rPr>
      </w:pPr>
      <w:r>
        <w:rPr>
          <w:rFonts w:ascii="標楷體" w:eastAsia="標楷體" w:hAnsi="標楷體"/>
        </w:rPr>
        <w:t>3.Beclometasone dipropionate/ formoterol fumarate dihydrate/glycopyrronium bromide(如Trimbow 100/6/12.5 mcg/dose) (109/3/1</w:t>
      </w:r>
      <w:r w:rsidR="0014095A">
        <w:rPr>
          <w:rFonts w:ascii="標楷體" w:eastAsia="標楷體" w:hAnsi="標楷體" w:hint="eastAsia"/>
        </w:rPr>
        <w:t>、113/8/1</w:t>
      </w:r>
      <w:r>
        <w:rPr>
          <w:rFonts w:ascii="標楷體" w:eastAsia="標楷體" w:hAnsi="標楷體"/>
        </w:rPr>
        <w:t>)：</w:t>
      </w:r>
    </w:p>
    <w:p w14:paraId="170388C6" w14:textId="77777777" w:rsidR="00BD776B" w:rsidRDefault="00DF0C24">
      <w:pPr>
        <w:ind w:left="1351" w:hanging="360"/>
        <w:rPr>
          <w:rFonts w:ascii="標楷體" w:eastAsia="標楷體" w:hAnsi="標楷體"/>
          <w:color w:val="000000"/>
        </w:rPr>
      </w:pPr>
      <w:r>
        <w:rPr>
          <w:rFonts w:ascii="標楷體" w:eastAsia="標楷體" w:hAnsi="標楷體"/>
          <w:color w:val="000000"/>
        </w:rPr>
        <w:t>(1)限用於慢性阻塞性肺病患者的維持治療，且須同時符合以下條件：</w:t>
      </w:r>
    </w:p>
    <w:p w14:paraId="7DA2D244" w14:textId="77777777" w:rsidR="00BD776B" w:rsidRDefault="00DF0C24">
      <w:pPr>
        <w:ind w:left="991"/>
        <w:rPr>
          <w:rFonts w:ascii="標楷體" w:eastAsia="標楷體" w:hAnsi="標楷體"/>
          <w:color w:val="000000"/>
        </w:rPr>
      </w:pPr>
      <w:r>
        <w:rPr>
          <w:rFonts w:ascii="標楷體" w:eastAsia="標楷體" w:hAnsi="標楷體"/>
          <w:color w:val="000000"/>
        </w:rPr>
        <w:t>I.重度以上(FEV1 少於預測值之50%)及有反覆惡化病史之成年病人。</w:t>
      </w:r>
    </w:p>
    <w:p w14:paraId="6A697FB3" w14:textId="77777777" w:rsidR="00BD776B" w:rsidRDefault="00DF0C24">
      <w:pPr>
        <w:ind w:left="1385" w:hanging="394"/>
        <w:rPr>
          <w:rFonts w:ascii="標楷體" w:eastAsia="標楷體" w:hAnsi="標楷體"/>
          <w:color w:val="000000"/>
        </w:rPr>
      </w:pPr>
      <w:r>
        <w:rPr>
          <w:rFonts w:ascii="標楷體" w:eastAsia="標楷體" w:hAnsi="標楷體"/>
          <w:color w:val="000000"/>
        </w:rPr>
        <w:t>Ⅱ.已接受吸入型皮質類固醇與長效β2作用劑合併治療，仍然有顯著症狀或惡化控制不佳者。</w:t>
      </w:r>
    </w:p>
    <w:p w14:paraId="6C54DFC0" w14:textId="1A9E11E8" w:rsidR="00BD776B" w:rsidRDefault="00DF0C24">
      <w:pPr>
        <w:ind w:left="1236" w:hanging="245"/>
        <w:rPr>
          <w:rFonts w:ascii="標楷體" w:eastAsia="標楷體" w:hAnsi="標楷體"/>
          <w:color w:val="000000"/>
        </w:rPr>
      </w:pPr>
      <w:r>
        <w:rPr>
          <w:rFonts w:ascii="標楷體" w:eastAsia="標楷體" w:hAnsi="標楷體"/>
          <w:color w:val="000000"/>
        </w:rPr>
        <w:t>(2)每</w:t>
      </w:r>
      <w:r w:rsidR="00120B60">
        <w:rPr>
          <w:rFonts w:ascii="標楷體" w:eastAsia="標楷體" w:hAnsi="標楷體" w:hint="eastAsia"/>
          <w:color w:val="000000"/>
        </w:rPr>
        <w:t>2</w:t>
      </w:r>
      <w:r w:rsidR="00120B60">
        <w:rPr>
          <w:rFonts w:ascii="標楷體" w:eastAsia="標楷體" w:hAnsi="標楷體"/>
          <w:color w:val="000000"/>
        </w:rPr>
        <w:t>8</w:t>
      </w:r>
      <w:r w:rsidR="00120B60">
        <w:rPr>
          <w:rFonts w:ascii="標楷體" w:eastAsia="標楷體" w:hAnsi="標楷體" w:hint="eastAsia"/>
          <w:color w:val="000000"/>
        </w:rPr>
        <w:t>天</w:t>
      </w:r>
      <w:r>
        <w:rPr>
          <w:rFonts w:ascii="標楷體" w:eastAsia="標楷體" w:hAnsi="標楷體"/>
          <w:color w:val="000000"/>
        </w:rPr>
        <w:t>限用1盒(</w:t>
      </w:r>
      <w:bookmarkStart w:id="12" w:name="_Hlk109900791"/>
      <w:r>
        <w:rPr>
          <w:rFonts w:ascii="標楷體" w:eastAsia="標楷體" w:hAnsi="標楷體"/>
          <w:color w:val="000000"/>
        </w:rPr>
        <w:t>120</w:t>
      </w:r>
      <w:bookmarkEnd w:id="12"/>
      <w:r>
        <w:rPr>
          <w:rFonts w:ascii="標楷體" w:eastAsia="標楷體" w:hAnsi="標楷體"/>
          <w:color w:val="000000"/>
        </w:rPr>
        <w:t>劑)。</w:t>
      </w:r>
      <w:r w:rsidR="00893537" w:rsidRPr="0090299E">
        <w:rPr>
          <w:rFonts w:ascii="標楷體" w:eastAsia="標楷體" w:hAnsi="標楷體" w:hint="eastAsia"/>
        </w:rPr>
        <w:t>(113/8/1)</w:t>
      </w:r>
    </w:p>
    <w:p w14:paraId="0F18ADE8" w14:textId="7F24FA98" w:rsidR="00BD776B" w:rsidRDefault="00DF0C24">
      <w:pPr>
        <w:widowControl/>
        <w:snapToGrid w:val="0"/>
        <w:spacing w:after="120"/>
        <w:ind w:left="850" w:hanging="240"/>
        <w:rPr>
          <w:rFonts w:ascii="標楷體" w:eastAsia="標楷體" w:hAnsi="標楷體"/>
        </w:rPr>
      </w:pPr>
      <w:r>
        <w:rPr>
          <w:rFonts w:ascii="標楷體" w:eastAsia="標楷體" w:hAnsi="標楷體"/>
        </w:rPr>
        <w:t>4. Indacaterol acetate/glycopyrronium bromide/mometasone furoate (如Enerzair breezhaler)（111/4/1</w:t>
      </w:r>
      <w:r w:rsidR="00935A1E">
        <w:rPr>
          <w:rFonts w:ascii="標楷體" w:eastAsia="標楷體" w:hAnsi="標楷體" w:hint="eastAsia"/>
        </w:rPr>
        <w:t>、113/8/1</w:t>
      </w:r>
      <w:r>
        <w:rPr>
          <w:rFonts w:ascii="標楷體" w:eastAsia="標楷體" w:hAnsi="標楷體"/>
        </w:rPr>
        <w:t>）</w:t>
      </w:r>
    </w:p>
    <w:p w14:paraId="40D45926" w14:textId="77777777" w:rsidR="00BD776B" w:rsidRDefault="00DF0C24">
      <w:pPr>
        <w:ind w:left="1351" w:hanging="360"/>
        <w:rPr>
          <w:rFonts w:ascii="標楷體" w:eastAsia="標楷體" w:hAnsi="標楷體"/>
          <w:color w:val="000000"/>
        </w:rPr>
      </w:pPr>
      <w:r>
        <w:rPr>
          <w:rFonts w:ascii="標楷體" w:eastAsia="標楷體" w:hAnsi="標楷體"/>
          <w:color w:val="000000"/>
        </w:rPr>
        <w:t>(1)適用於併用吸入性長效型β2-腎上腺受體作用劑和吸入性皮質類固醇治療氣喘仍控制不佳，且在過去一年至少發生一次急性惡化的成人，做為氣喘維持治療。</w:t>
      </w:r>
    </w:p>
    <w:p w14:paraId="2D6CE5AA" w14:textId="77B5E2A8" w:rsidR="00BD776B" w:rsidRDefault="00DF0C24">
      <w:pPr>
        <w:ind w:left="1217" w:hanging="245"/>
        <w:rPr>
          <w:rFonts w:ascii="標楷體" w:eastAsia="標楷體" w:hAnsi="標楷體"/>
          <w:color w:val="000000"/>
        </w:rPr>
      </w:pPr>
      <w:r>
        <w:rPr>
          <w:rFonts w:ascii="標楷體" w:eastAsia="標楷體" w:hAnsi="標楷體"/>
          <w:color w:val="000000"/>
        </w:rPr>
        <w:t>(2)每</w:t>
      </w:r>
      <w:r w:rsidR="00390D15">
        <w:rPr>
          <w:rFonts w:ascii="標楷體" w:eastAsia="標楷體" w:hAnsi="標楷體" w:hint="eastAsia"/>
          <w:color w:val="000000"/>
        </w:rPr>
        <w:t>28天</w:t>
      </w:r>
      <w:r>
        <w:rPr>
          <w:rFonts w:ascii="標楷體" w:eastAsia="標楷體" w:hAnsi="標楷體"/>
          <w:color w:val="000000"/>
        </w:rPr>
        <w:t>限用1盒。</w:t>
      </w:r>
      <w:r w:rsidR="00390D15" w:rsidRPr="0090299E">
        <w:rPr>
          <w:rFonts w:ascii="標楷體" w:eastAsia="標楷體" w:hAnsi="標楷體" w:hint="eastAsia"/>
        </w:rPr>
        <w:t>(113/8/1)</w:t>
      </w:r>
    </w:p>
    <w:p w14:paraId="45B382F3" w14:textId="77777777" w:rsidR="00BD776B" w:rsidRDefault="00DF0C24">
      <w:pPr>
        <w:rPr>
          <w:rFonts w:ascii="標楷體" w:eastAsia="標楷體" w:hAnsi="標楷體"/>
          <w:color w:val="000000"/>
        </w:rPr>
      </w:pPr>
      <w:r>
        <w:rPr>
          <w:rFonts w:ascii="標楷體" w:eastAsia="標楷體" w:hAnsi="標楷體"/>
          <w:color w:val="000000"/>
        </w:rPr>
        <w:t xml:space="preserve">     5. Budesonide/glycopyrronium bromide/formoterol fumarate dihydrate (如</w:t>
      </w:r>
    </w:p>
    <w:p w14:paraId="12B3761A" w14:textId="002F2382" w:rsidR="00BD776B" w:rsidRDefault="00DF0C24">
      <w:pPr>
        <w:ind w:left="775"/>
        <w:rPr>
          <w:rFonts w:ascii="標楷體" w:eastAsia="標楷體" w:hAnsi="標楷體"/>
          <w:color w:val="000000"/>
        </w:rPr>
      </w:pPr>
      <w:r>
        <w:rPr>
          <w:rFonts w:ascii="標楷體" w:eastAsia="標楷體" w:hAnsi="標楷體"/>
          <w:color w:val="000000"/>
        </w:rPr>
        <w:t xml:space="preserve">  Breztri aerosphere)（112/4/1</w:t>
      </w:r>
      <w:r w:rsidR="00AB2E46">
        <w:rPr>
          <w:rFonts w:ascii="標楷體" w:eastAsia="標楷體" w:hAnsi="標楷體" w:hint="eastAsia"/>
          <w:color w:val="000000"/>
        </w:rPr>
        <w:t>、113/8/1</w:t>
      </w:r>
      <w:r>
        <w:rPr>
          <w:rFonts w:ascii="標楷體" w:eastAsia="標楷體" w:hAnsi="標楷體"/>
          <w:color w:val="000000"/>
        </w:rPr>
        <w:t>）</w:t>
      </w:r>
    </w:p>
    <w:p w14:paraId="09C68469" w14:textId="77777777" w:rsidR="00BD776B" w:rsidRDefault="00DF0C24">
      <w:pPr>
        <w:ind w:left="1217" w:hanging="245"/>
        <w:rPr>
          <w:rFonts w:ascii="標楷體" w:eastAsia="標楷體" w:hAnsi="標楷體"/>
          <w:color w:val="000000"/>
        </w:rPr>
      </w:pPr>
      <w:r>
        <w:rPr>
          <w:rFonts w:ascii="標楷體" w:eastAsia="標楷體" w:hAnsi="標楷體"/>
          <w:color w:val="000000"/>
        </w:rPr>
        <w:lastRenderedPageBreak/>
        <w:t>(1)限用於慢性阻塞性肺病患者的維持治療，且須符合以下任一條件：</w:t>
      </w:r>
    </w:p>
    <w:p w14:paraId="1FD27621" w14:textId="77777777" w:rsidR="00BD776B" w:rsidRDefault="00DF0C24">
      <w:pPr>
        <w:ind w:left="1217" w:hanging="245"/>
        <w:rPr>
          <w:rFonts w:ascii="標楷體" w:eastAsia="標楷體" w:hAnsi="標楷體"/>
          <w:color w:val="000000"/>
        </w:rPr>
      </w:pPr>
      <w:r>
        <w:rPr>
          <w:rFonts w:ascii="標楷體" w:eastAsia="標楷體" w:hAnsi="標楷體"/>
          <w:color w:val="000000"/>
        </w:rPr>
        <w:t xml:space="preserve"> I.Gold Guideline Group D病人，已接受吸入性皮質類固醇與長效β2作用劑或長效β2作用劑與長效抗膽鹼劑合併治療，仍然有顯著症狀或惡化控制不佳者。</w:t>
      </w:r>
    </w:p>
    <w:p w14:paraId="680A9C7D" w14:textId="77777777" w:rsidR="00BD776B" w:rsidRDefault="00DF0C24">
      <w:pPr>
        <w:ind w:left="1217" w:hanging="245"/>
        <w:rPr>
          <w:rFonts w:ascii="標楷體" w:eastAsia="標楷體" w:hAnsi="標楷體"/>
          <w:color w:val="000000"/>
        </w:rPr>
      </w:pPr>
      <w:r>
        <w:rPr>
          <w:rFonts w:ascii="標楷體" w:eastAsia="標楷體" w:hAnsi="標楷體"/>
          <w:color w:val="000000"/>
        </w:rPr>
        <w:t xml:space="preserve"> Ⅱ.Gold Guideline Group B病人，並須符合以下任一條件：</w:t>
      </w:r>
    </w:p>
    <w:p w14:paraId="7A2252B4" w14:textId="77777777" w:rsidR="00BD776B" w:rsidRDefault="00DF0C24">
      <w:pPr>
        <w:ind w:left="1217" w:hanging="245"/>
        <w:rPr>
          <w:rFonts w:ascii="標楷體" w:eastAsia="標楷體" w:hAnsi="標楷體"/>
          <w:color w:val="000000"/>
        </w:rPr>
      </w:pPr>
      <w:r>
        <w:rPr>
          <w:rFonts w:ascii="標楷體" w:eastAsia="標楷體" w:hAnsi="標楷體"/>
          <w:color w:val="000000"/>
        </w:rPr>
        <w:t xml:space="preserve"> i.已接受兩個裝置以上(multiple inhaler triple therapy,MITT)給藥之吸入性皮質類固醇與長效β2作用劑與長效抗膽鹼劑合併治療者。</w:t>
      </w:r>
    </w:p>
    <w:p w14:paraId="11CBC7CB" w14:textId="77777777" w:rsidR="00BD776B" w:rsidRDefault="00DF0C24">
      <w:pPr>
        <w:ind w:left="1217" w:hanging="245"/>
        <w:rPr>
          <w:rFonts w:ascii="標楷體" w:eastAsia="標楷體" w:hAnsi="標楷體"/>
          <w:color w:val="000000"/>
        </w:rPr>
      </w:pPr>
      <w:r>
        <w:rPr>
          <w:rFonts w:ascii="標楷體" w:eastAsia="標楷體" w:hAnsi="標楷體"/>
          <w:color w:val="000000"/>
        </w:rPr>
        <w:t>ii.已接受吸入性皮質類固醇與長效β2作用劑或長效β2作用劑與長效抗膽鹼劑合併治療，仍然有顯著症狀或惡化控制不佳。</w:t>
      </w:r>
    </w:p>
    <w:p w14:paraId="51BC68B9" w14:textId="353BF29B" w:rsidR="00BD776B" w:rsidRDefault="00DF0C24">
      <w:pPr>
        <w:ind w:left="1217" w:hanging="245"/>
        <w:rPr>
          <w:rFonts w:ascii="標楷體" w:eastAsia="標楷體" w:hAnsi="標楷體"/>
          <w:color w:val="000000"/>
        </w:rPr>
      </w:pPr>
      <w:r>
        <w:rPr>
          <w:rFonts w:ascii="標楷體" w:eastAsia="標楷體" w:hAnsi="標楷體"/>
          <w:color w:val="000000"/>
        </w:rPr>
        <w:t>(2)每</w:t>
      </w:r>
      <w:r w:rsidR="00A0502E">
        <w:rPr>
          <w:rFonts w:ascii="標楷體" w:eastAsia="標楷體" w:hAnsi="標楷體" w:hint="eastAsia"/>
          <w:color w:val="000000"/>
        </w:rPr>
        <w:t>28天</w:t>
      </w:r>
      <w:r>
        <w:rPr>
          <w:rFonts w:ascii="標楷體" w:eastAsia="標楷體" w:hAnsi="標楷體"/>
          <w:color w:val="000000"/>
        </w:rPr>
        <w:t>限用1盒(120劑)。</w:t>
      </w:r>
      <w:r w:rsidR="00A0502E" w:rsidRPr="0090299E">
        <w:rPr>
          <w:rFonts w:ascii="標楷體" w:eastAsia="標楷體" w:hAnsi="標楷體" w:hint="eastAsia"/>
        </w:rPr>
        <w:t>(113/8/1)</w:t>
      </w:r>
    </w:p>
    <w:p w14:paraId="440A60F7" w14:textId="77777777" w:rsidR="00BD776B" w:rsidRDefault="00DF0C24">
      <w:pPr>
        <w:snapToGrid w:val="0"/>
        <w:spacing w:after="120"/>
        <w:ind w:left="283"/>
        <w:rPr>
          <w:rFonts w:ascii="標楷體" w:eastAsia="標楷體" w:hAnsi="標楷體"/>
          <w:color w:val="000000"/>
        </w:rPr>
      </w:pPr>
      <w:r>
        <w:rPr>
          <w:rFonts w:ascii="標楷體" w:eastAsia="標楷體" w:hAnsi="標楷體"/>
          <w:color w:val="000000"/>
        </w:rPr>
        <w:t xml:space="preserve">      (3)不得與其他含吸入性皮質類固醇或長效β2作用劑或長效抗膽鹼劑合併使    </w:t>
      </w:r>
    </w:p>
    <w:p w14:paraId="5D36C2D0" w14:textId="77777777" w:rsidR="00BD776B" w:rsidRDefault="00DF0C24">
      <w:pPr>
        <w:snapToGrid w:val="0"/>
        <w:spacing w:after="120"/>
        <w:ind w:left="283"/>
        <w:rPr>
          <w:rFonts w:ascii="標楷體" w:eastAsia="標楷體" w:hAnsi="標楷體"/>
          <w:color w:val="000000"/>
        </w:rPr>
      </w:pPr>
      <w:r>
        <w:rPr>
          <w:rFonts w:ascii="標楷體" w:eastAsia="標楷體" w:hAnsi="標楷體"/>
          <w:color w:val="000000"/>
        </w:rPr>
        <w:t xml:space="preserve">         用。</w:t>
      </w:r>
    </w:p>
    <w:p w14:paraId="18DC92A9" w14:textId="77777777" w:rsidR="00BD776B" w:rsidRDefault="00DF0C24">
      <w:pPr>
        <w:ind w:left="672" w:hanging="386"/>
        <w:rPr>
          <w:rFonts w:ascii="標楷體" w:eastAsia="標楷體" w:hAnsi="標楷體"/>
          <w:color w:val="000000"/>
        </w:rPr>
      </w:pPr>
      <w:r>
        <w:rPr>
          <w:rFonts w:ascii="標楷體" w:eastAsia="標楷體" w:hAnsi="標楷體"/>
          <w:color w:val="000000"/>
        </w:rPr>
        <w:t xml:space="preserve">6.2.其他  Miscellaneous </w:t>
      </w:r>
    </w:p>
    <w:p w14:paraId="60F322DA" w14:textId="23E2B5F2" w:rsidR="00BD776B" w:rsidRDefault="00DF0C24">
      <w:pPr>
        <w:ind w:left="672" w:hanging="386"/>
        <w:rPr>
          <w:rFonts w:ascii="標楷體" w:eastAsia="標楷體" w:hAnsi="標楷體"/>
          <w:color w:val="000000"/>
        </w:rPr>
      </w:pPr>
      <w:r>
        <w:rPr>
          <w:rFonts w:ascii="標楷體" w:eastAsia="標楷體" w:hAnsi="標楷體"/>
          <w:color w:val="000000"/>
        </w:rPr>
        <w:t>6.2.1.</w:t>
      </w:r>
      <w:r w:rsidR="00562F62" w:rsidRPr="00562F62">
        <w:rPr>
          <w:rFonts w:ascii="標楷體" w:eastAsia="標楷體" w:hAnsi="標楷體" w:hint="eastAsia"/>
          <w:color w:val="000000"/>
        </w:rPr>
        <w:t>Surfactant (如Survanta、Curosurf)：(85/1/1、113/9/1)</w:t>
      </w:r>
    </w:p>
    <w:p w14:paraId="6A8CEDA5" w14:textId="344C25D6" w:rsidR="00BD776B" w:rsidRDefault="00DF0C24">
      <w:pPr>
        <w:ind w:left="811" w:hanging="245"/>
        <w:rPr>
          <w:rFonts w:ascii="標楷體" w:eastAsia="標楷體" w:hAnsi="標楷體"/>
          <w:color w:val="000000"/>
        </w:rPr>
      </w:pPr>
      <w:r>
        <w:rPr>
          <w:rFonts w:ascii="標楷體" w:eastAsia="標楷體" w:hAnsi="標楷體"/>
          <w:color w:val="000000"/>
        </w:rPr>
        <w:t>1.</w:t>
      </w:r>
      <w:r w:rsidR="00562F62" w:rsidRPr="00562F62">
        <w:rPr>
          <w:rFonts w:ascii="標楷體" w:eastAsia="標楷體" w:hAnsi="標楷體" w:hint="eastAsia"/>
          <w:color w:val="000000"/>
        </w:rPr>
        <w:t>用於新生兒(包含早產兒)因表面張力素不足引起的呼吸窘迫症候群 (respiratory distress syndrome, RDS)。(113/9/1)</w:t>
      </w:r>
    </w:p>
    <w:p w14:paraId="074A3EE7" w14:textId="5F6BCA6F" w:rsidR="00562F62" w:rsidRPr="00562F62" w:rsidRDefault="00DF0C24" w:rsidP="00562F62">
      <w:pPr>
        <w:ind w:left="811" w:hanging="245"/>
        <w:rPr>
          <w:rFonts w:ascii="標楷體" w:eastAsia="標楷體" w:hAnsi="標楷體"/>
          <w:color w:val="000000"/>
        </w:rPr>
      </w:pPr>
      <w:r>
        <w:rPr>
          <w:rFonts w:ascii="標楷體" w:eastAsia="標楷體" w:hAnsi="標楷體"/>
          <w:color w:val="000000"/>
        </w:rPr>
        <w:t>2.</w:t>
      </w:r>
      <w:r w:rsidR="00562F62" w:rsidRPr="00562F62">
        <w:rPr>
          <w:rFonts w:ascii="標楷體" w:eastAsia="標楷體" w:hAnsi="標楷體" w:hint="eastAsia"/>
          <w:color w:val="000000"/>
        </w:rPr>
        <w:t>符合下列治療條件之一：(113/9/1)</w:t>
      </w:r>
    </w:p>
    <w:p w14:paraId="465BE2A2" w14:textId="77777777" w:rsidR="00562F62" w:rsidRPr="00562F62" w:rsidRDefault="00562F62" w:rsidP="00562F62">
      <w:pPr>
        <w:ind w:left="1049" w:hanging="341"/>
        <w:rPr>
          <w:rFonts w:ascii="標楷體" w:eastAsia="標楷體" w:hAnsi="標楷體"/>
          <w:color w:val="000000"/>
        </w:rPr>
      </w:pPr>
      <w:r w:rsidRPr="00562F62">
        <w:rPr>
          <w:rFonts w:ascii="標楷體" w:eastAsia="標楷體" w:hAnsi="標楷體" w:hint="eastAsia"/>
          <w:color w:val="000000"/>
        </w:rPr>
        <w:t>(1)需使用非侵襲性陽壓呼吸治療且氧氣(FiO</w:t>
      </w:r>
      <w:r w:rsidRPr="00356566">
        <w:rPr>
          <w:rFonts w:ascii="標楷體" w:eastAsia="標楷體" w:hAnsi="標楷體" w:hint="eastAsia"/>
          <w:color w:val="000000"/>
          <w:vertAlign w:val="subscript"/>
        </w:rPr>
        <w:t>2</w:t>
      </w:r>
      <w:r w:rsidRPr="00562F62">
        <w:rPr>
          <w:rFonts w:ascii="標楷體" w:eastAsia="標楷體" w:hAnsi="標楷體" w:hint="eastAsia"/>
          <w:color w:val="000000"/>
        </w:rPr>
        <w:t>)設定於30%以上者。</w:t>
      </w:r>
    </w:p>
    <w:p w14:paraId="3B85B4B9" w14:textId="4E123BF7" w:rsidR="00BD776B" w:rsidRDefault="00562F62" w:rsidP="00562F62">
      <w:pPr>
        <w:ind w:left="1049" w:hanging="341"/>
      </w:pPr>
      <w:r w:rsidRPr="00562F62">
        <w:rPr>
          <w:rFonts w:ascii="標楷體" w:eastAsia="標楷體" w:hAnsi="標楷體" w:hint="eastAsia"/>
          <w:color w:val="000000"/>
        </w:rPr>
        <w:t>(2)使用侵襲性呼吸輔助器者。</w:t>
      </w:r>
    </w:p>
    <w:p w14:paraId="50C64208" w14:textId="1539A496" w:rsidR="00562F62" w:rsidRPr="00562F62" w:rsidRDefault="00DF0C24" w:rsidP="00562F62">
      <w:pPr>
        <w:ind w:left="811" w:hanging="245"/>
        <w:rPr>
          <w:rFonts w:ascii="標楷體" w:eastAsia="標楷體" w:hAnsi="標楷體"/>
          <w:color w:val="000000"/>
        </w:rPr>
      </w:pPr>
      <w:r>
        <w:rPr>
          <w:rFonts w:ascii="標楷體" w:eastAsia="標楷體" w:hAnsi="標楷體"/>
          <w:color w:val="000000"/>
        </w:rPr>
        <w:t>3.</w:t>
      </w:r>
      <w:r w:rsidR="00562F62" w:rsidRPr="00562F62">
        <w:rPr>
          <w:rFonts w:ascii="標楷體" w:eastAsia="標楷體" w:hAnsi="標楷體" w:hint="eastAsia"/>
          <w:color w:val="000000"/>
        </w:rPr>
        <w:t>使用時機：(113/9/1)</w:t>
      </w:r>
    </w:p>
    <w:p w14:paraId="60E01342" w14:textId="77777777" w:rsidR="00562F62" w:rsidRPr="00562F62" w:rsidRDefault="00562F62" w:rsidP="001435A9">
      <w:pPr>
        <w:ind w:left="1049" w:hanging="341"/>
        <w:rPr>
          <w:rFonts w:ascii="標楷體" w:eastAsia="標楷體" w:hAnsi="標楷體"/>
          <w:color w:val="000000"/>
        </w:rPr>
      </w:pPr>
      <w:r w:rsidRPr="00562F62">
        <w:rPr>
          <w:rFonts w:ascii="標楷體" w:eastAsia="標楷體" w:hAnsi="標楷體" w:hint="eastAsia"/>
          <w:color w:val="000000"/>
        </w:rPr>
        <w:t>(1)Survanta：出生後48小時內最多使用4劑量，第一劑量建議在出生後8小時內使用。</w:t>
      </w:r>
    </w:p>
    <w:p w14:paraId="0F4FA977" w14:textId="77777777" w:rsidR="00562F62" w:rsidRPr="00562F62" w:rsidRDefault="00562F62" w:rsidP="001435A9">
      <w:pPr>
        <w:ind w:left="1049" w:hanging="341"/>
        <w:rPr>
          <w:rFonts w:ascii="標楷體" w:eastAsia="標楷體" w:hAnsi="標楷體"/>
          <w:color w:val="000000"/>
        </w:rPr>
      </w:pPr>
      <w:r w:rsidRPr="00562F62">
        <w:rPr>
          <w:rFonts w:ascii="標楷體" w:eastAsia="標楷體" w:hAnsi="標楷體" w:hint="eastAsia"/>
          <w:color w:val="000000"/>
        </w:rPr>
        <w:t>(2)Curosurf：(113/9/1)</w:t>
      </w:r>
    </w:p>
    <w:p w14:paraId="7E24EF93" w14:textId="77777777" w:rsidR="00562F62" w:rsidRPr="00562F62" w:rsidRDefault="00562F62" w:rsidP="001435A9">
      <w:pPr>
        <w:ind w:left="1231" w:hanging="379"/>
        <w:rPr>
          <w:rFonts w:ascii="標楷體" w:eastAsia="標楷體" w:hAnsi="標楷體"/>
          <w:color w:val="000000"/>
        </w:rPr>
      </w:pPr>
      <w:r w:rsidRPr="00562F62">
        <w:rPr>
          <w:rFonts w:ascii="標楷體" w:eastAsia="標楷體" w:hAnsi="標楷體" w:hint="eastAsia"/>
          <w:color w:val="000000"/>
        </w:rPr>
        <w:t>Ⅰ.起始劑量最多每公斤使用200mg。</w:t>
      </w:r>
    </w:p>
    <w:p w14:paraId="6A07E731" w14:textId="77777777" w:rsidR="00562F62" w:rsidRPr="00562F62" w:rsidRDefault="00562F62" w:rsidP="001435A9">
      <w:pPr>
        <w:ind w:left="1231" w:hanging="379"/>
        <w:rPr>
          <w:rFonts w:ascii="標楷體" w:eastAsia="標楷體" w:hAnsi="標楷體"/>
          <w:color w:val="000000"/>
        </w:rPr>
      </w:pPr>
      <w:r w:rsidRPr="00562F62">
        <w:rPr>
          <w:rFonts w:ascii="標楷體" w:eastAsia="標楷體" w:hAnsi="標楷體" w:hint="eastAsia"/>
          <w:color w:val="000000"/>
        </w:rPr>
        <w:t>Ⅱ.重複劑量以每12小時，可額外再給予最高兩次每公斤100mg的重複劑量(最高總量為每公斤400mg)。(113/9/1)</w:t>
      </w:r>
    </w:p>
    <w:p w14:paraId="1372F89F" w14:textId="26B46600" w:rsidR="00BD776B" w:rsidRDefault="00562F62" w:rsidP="00562F62">
      <w:pPr>
        <w:ind w:left="811" w:hanging="245"/>
        <w:rPr>
          <w:rFonts w:ascii="標楷體" w:eastAsia="標楷體" w:hAnsi="標楷體"/>
          <w:color w:val="000000"/>
        </w:rPr>
      </w:pPr>
      <w:r w:rsidRPr="00562F62">
        <w:rPr>
          <w:rFonts w:ascii="標楷體" w:eastAsia="標楷體" w:hAnsi="標楷體" w:hint="eastAsia"/>
          <w:color w:val="000000"/>
        </w:rPr>
        <w:t>4.Survanta與Curosurf兩藥品不得併用。(113/9/1)</w:t>
      </w:r>
    </w:p>
    <w:p w14:paraId="3CB8B651" w14:textId="77777777" w:rsidR="00BD776B" w:rsidRDefault="00DF0C24">
      <w:pPr>
        <w:ind w:left="672" w:hanging="386"/>
        <w:rPr>
          <w:rFonts w:ascii="標楷體" w:eastAsia="標楷體" w:hAnsi="標楷體"/>
          <w:color w:val="000000"/>
        </w:rPr>
      </w:pPr>
      <w:r>
        <w:rPr>
          <w:rFonts w:ascii="標楷體" w:eastAsia="標楷體" w:hAnsi="標楷體"/>
          <w:color w:val="000000"/>
        </w:rPr>
        <w:t>6.2.2.Loratadine syrup（如Clarityne）：(88/6/1、97/ 12/ 1)</w:t>
      </w:r>
    </w:p>
    <w:p w14:paraId="15371101" w14:textId="77777777" w:rsidR="00BD776B" w:rsidRDefault="00DF0C24">
      <w:pPr>
        <w:ind w:left="798" w:hanging="1"/>
        <w:rPr>
          <w:rFonts w:ascii="標楷體" w:eastAsia="標楷體" w:hAnsi="標楷體"/>
          <w:color w:val="000000"/>
        </w:rPr>
      </w:pPr>
      <w:r>
        <w:rPr>
          <w:rFonts w:ascii="標楷體" w:eastAsia="標楷體" w:hAnsi="標楷體"/>
          <w:color w:val="000000"/>
        </w:rPr>
        <w:t>依全民健康保險藥品給付規定之通則八使用本項藥品(97/12/1)。</w:t>
      </w:r>
    </w:p>
    <w:p w14:paraId="7C940317" w14:textId="02F7DD94" w:rsidR="00BD776B" w:rsidRDefault="00DF0C24">
      <w:pPr>
        <w:ind w:left="672" w:hanging="386"/>
        <w:rPr>
          <w:rFonts w:ascii="標楷體" w:eastAsia="標楷體" w:hAnsi="標楷體"/>
          <w:color w:val="000000"/>
        </w:rPr>
      </w:pPr>
      <w:r>
        <w:rPr>
          <w:rFonts w:ascii="標楷體" w:eastAsia="標楷體" w:hAnsi="標楷體"/>
          <w:color w:val="000000"/>
        </w:rPr>
        <w:t>6.2.3.Zafirlukast (如Accolate tabs）：(88/8/1，90/1/1</w:t>
      </w:r>
      <w:r w:rsidR="00EC6FEF">
        <w:rPr>
          <w:rFonts w:ascii="標楷體" w:eastAsia="標楷體" w:hAnsi="標楷體" w:hint="eastAsia"/>
          <w:color w:val="000000"/>
        </w:rPr>
        <w:t>、113/8/1</w:t>
      </w:r>
      <w:r>
        <w:rPr>
          <w:rFonts w:ascii="標楷體" w:eastAsia="標楷體" w:hAnsi="標楷體"/>
          <w:color w:val="000000"/>
        </w:rPr>
        <w:t>)</w:t>
      </w:r>
      <w:r w:rsidR="00EC6FEF">
        <w:rPr>
          <w:rFonts w:ascii="標楷體" w:eastAsia="標楷體" w:hAnsi="標楷體" w:hint="eastAsia"/>
          <w:color w:val="000000"/>
        </w:rPr>
        <w:t>(刪除)</w:t>
      </w:r>
    </w:p>
    <w:p w14:paraId="00951CCE" w14:textId="04B14F73" w:rsidR="00BD776B" w:rsidRDefault="00DF0C24">
      <w:pPr>
        <w:ind w:left="672" w:hanging="386"/>
        <w:rPr>
          <w:rFonts w:ascii="標楷體" w:eastAsia="標楷體" w:hAnsi="標楷體"/>
          <w:color w:val="000000"/>
        </w:rPr>
      </w:pPr>
      <w:r>
        <w:rPr>
          <w:rFonts w:ascii="標楷體" w:eastAsia="標楷體" w:hAnsi="標楷體"/>
          <w:color w:val="000000"/>
        </w:rPr>
        <w:t>6.2.4.Montelukast sodium (如Singulair Coated Tab、Singulair Chewable Tabs)：(90/7/1、107/2/1、111/2/1</w:t>
      </w:r>
      <w:r w:rsidR="0095300B">
        <w:rPr>
          <w:rFonts w:ascii="標楷體" w:eastAsia="標楷體" w:hAnsi="標楷體" w:hint="eastAsia"/>
          <w:color w:val="000000"/>
        </w:rPr>
        <w:t>、113/8/1</w:t>
      </w:r>
      <w:r>
        <w:rPr>
          <w:rFonts w:ascii="標楷體" w:eastAsia="標楷體" w:hAnsi="標楷體"/>
          <w:color w:val="000000"/>
        </w:rPr>
        <w:t>)</w:t>
      </w:r>
    </w:p>
    <w:p w14:paraId="737EBB63"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1.限用於6歲以上「輕度至中度持續性支氣管哮喘」疾患(111/2/1)。</w:t>
      </w:r>
    </w:p>
    <w:p w14:paraId="5FE7B9C7" w14:textId="77777777" w:rsidR="00BD776B" w:rsidRDefault="00DF0C24">
      <w:pPr>
        <w:ind w:left="811" w:hanging="245"/>
        <w:rPr>
          <w:rFonts w:ascii="標楷體" w:eastAsia="標楷體" w:hAnsi="標楷體"/>
          <w:color w:val="000000"/>
        </w:rPr>
      </w:pPr>
      <w:r>
        <w:rPr>
          <w:rFonts w:ascii="標楷體" w:eastAsia="標楷體" w:hAnsi="標楷體"/>
          <w:color w:val="000000"/>
        </w:rPr>
        <w:t>2.病歷上應詳細記載上個月發作次數、頻率及PEFR值之變化。</w:t>
      </w:r>
    </w:p>
    <w:p w14:paraId="57CEF390" w14:textId="1D7C4F83" w:rsidR="00BD776B" w:rsidRDefault="00DF0C24">
      <w:pPr>
        <w:ind w:left="811" w:hanging="245"/>
        <w:rPr>
          <w:rFonts w:ascii="標楷體" w:eastAsia="標楷體" w:hAnsi="標楷體"/>
          <w:color w:val="000000"/>
        </w:rPr>
      </w:pPr>
      <w:r>
        <w:rPr>
          <w:rFonts w:ascii="標楷體" w:eastAsia="標楷體" w:hAnsi="標楷體"/>
          <w:color w:val="000000"/>
        </w:rPr>
        <w:t>3.每</w:t>
      </w:r>
      <w:r w:rsidR="00077137">
        <w:rPr>
          <w:rFonts w:ascii="標楷體" w:eastAsia="標楷體" w:hAnsi="標楷體" w:hint="eastAsia"/>
          <w:color w:val="000000"/>
        </w:rPr>
        <w:t>日</w:t>
      </w:r>
      <w:r w:rsidR="00D44612" w:rsidRPr="00D44612">
        <w:rPr>
          <w:rFonts w:ascii="標楷體" w:eastAsia="標楷體" w:hAnsi="標楷體" w:hint="eastAsia"/>
          <w:color w:val="000000"/>
        </w:rPr>
        <w:t>限用1粒。(113/8/1)</w:t>
      </w:r>
    </w:p>
    <w:p w14:paraId="3962C736" w14:textId="77777777" w:rsidR="00BD776B" w:rsidRDefault="00DF0C24">
      <w:pPr>
        <w:rPr>
          <w:rFonts w:ascii="標楷體" w:eastAsia="標楷體" w:hAnsi="標楷體"/>
          <w:color w:val="000000"/>
        </w:rPr>
      </w:pPr>
      <w:r>
        <w:rPr>
          <w:rFonts w:ascii="標楷體" w:eastAsia="標楷體" w:hAnsi="標楷體"/>
          <w:color w:val="000000"/>
        </w:rPr>
        <w:t xml:space="preserve">      ※「輕度持續支氣管哮喘 (mild persistent asthma)」之定義：</w:t>
      </w:r>
    </w:p>
    <w:p w14:paraId="1D812BAD" w14:textId="77777777" w:rsidR="00BD776B" w:rsidRDefault="00DF0C24">
      <w:pPr>
        <w:ind w:left="1049" w:hanging="341"/>
        <w:rPr>
          <w:rFonts w:ascii="標楷體" w:eastAsia="標楷體" w:hAnsi="標楷體"/>
          <w:color w:val="000000"/>
        </w:rPr>
      </w:pPr>
      <w:r>
        <w:rPr>
          <w:rFonts w:ascii="標楷體" w:eastAsia="標楷體" w:hAnsi="標楷體"/>
          <w:color w:val="000000"/>
        </w:rPr>
        <w:t>(1)氣喘發作次數每週多於一次，但並非每天發作。</w:t>
      </w:r>
    </w:p>
    <w:p w14:paraId="7F754324" w14:textId="77777777" w:rsidR="00BD776B" w:rsidRDefault="00DF0C24">
      <w:pPr>
        <w:ind w:left="1049" w:hanging="341"/>
        <w:rPr>
          <w:rFonts w:ascii="標楷體" w:eastAsia="標楷體" w:hAnsi="標楷體"/>
          <w:color w:val="000000"/>
        </w:rPr>
      </w:pPr>
      <w:r>
        <w:rPr>
          <w:rFonts w:ascii="標楷體" w:eastAsia="標楷體" w:hAnsi="標楷體"/>
          <w:color w:val="000000"/>
        </w:rPr>
        <w:t>(2)發作時會影響日常生活及睡眠。</w:t>
      </w:r>
    </w:p>
    <w:p w14:paraId="509DBE3A" w14:textId="77777777" w:rsidR="00BD776B" w:rsidRDefault="00DF0C24">
      <w:pPr>
        <w:ind w:left="1049" w:hanging="341"/>
        <w:rPr>
          <w:rFonts w:ascii="標楷體" w:eastAsia="標楷體" w:hAnsi="標楷體"/>
          <w:color w:val="000000"/>
        </w:rPr>
      </w:pPr>
      <w:r>
        <w:rPr>
          <w:rFonts w:ascii="標楷體" w:eastAsia="標楷體" w:hAnsi="標楷體"/>
          <w:color w:val="000000"/>
        </w:rPr>
        <w:t>(3)夜晚發作次數每月多於二次。</w:t>
      </w:r>
    </w:p>
    <w:p w14:paraId="4E97A48A" w14:textId="77777777" w:rsidR="00BD776B" w:rsidRDefault="00DF0C24">
      <w:pPr>
        <w:ind w:left="1049" w:hanging="341"/>
        <w:rPr>
          <w:rFonts w:ascii="標楷體" w:eastAsia="標楷體" w:hAnsi="標楷體"/>
          <w:color w:val="000000"/>
        </w:rPr>
      </w:pPr>
      <w:r>
        <w:rPr>
          <w:rFonts w:ascii="標楷體" w:eastAsia="標楷體" w:hAnsi="標楷體"/>
          <w:color w:val="000000"/>
        </w:rPr>
        <w:t>(4)尖峰呼氣流速 (Peak Expiratory Flow Rate；PEFR) 或第一秒呼氣量大於80%預測值；每日變異值為20-30%。</w:t>
      </w:r>
    </w:p>
    <w:p w14:paraId="2A902A6F" w14:textId="709D0EB8" w:rsidR="00BD776B" w:rsidRDefault="00DF0C24">
      <w:pPr>
        <w:ind w:left="672" w:hanging="386"/>
        <w:rPr>
          <w:rFonts w:ascii="標楷體" w:eastAsia="標楷體" w:hAnsi="標楷體"/>
          <w:color w:val="000000"/>
        </w:rPr>
      </w:pPr>
      <w:r>
        <w:rPr>
          <w:rFonts w:ascii="標楷體" w:eastAsia="標楷體" w:hAnsi="標楷體"/>
          <w:color w:val="000000"/>
        </w:rPr>
        <w:t xml:space="preserve">6.2.5.Montelukast sodium 4mg(如Singulair Chewable Tab. 4mg、Singulair </w:t>
      </w:r>
      <w:r>
        <w:rPr>
          <w:rFonts w:ascii="標楷體" w:eastAsia="標楷體" w:hAnsi="標楷體"/>
          <w:color w:val="000000"/>
        </w:rPr>
        <w:lastRenderedPageBreak/>
        <w:t>oral granules 4mg)：(92/1/1、100/7/1、107/2/1、111/2/1</w:t>
      </w:r>
      <w:r w:rsidR="00746F14">
        <w:rPr>
          <w:rFonts w:ascii="標楷體" w:eastAsia="標楷體" w:hAnsi="標楷體" w:hint="eastAsia"/>
          <w:color w:val="000000"/>
        </w:rPr>
        <w:t>、113/8/1</w:t>
      </w:r>
      <w:r>
        <w:rPr>
          <w:rFonts w:ascii="標楷體" w:eastAsia="標楷體" w:hAnsi="標楷體"/>
          <w:color w:val="000000"/>
        </w:rPr>
        <w:t>)</w:t>
      </w:r>
    </w:p>
    <w:p w14:paraId="77B8B82A" w14:textId="77777777" w:rsidR="00BD776B" w:rsidRDefault="00DF0C24">
      <w:pPr>
        <w:ind w:left="798" w:hanging="1"/>
        <w:rPr>
          <w:rFonts w:ascii="標楷體" w:eastAsia="標楷體" w:hAnsi="標楷體"/>
          <w:color w:val="000000"/>
        </w:rPr>
      </w:pPr>
      <w:r>
        <w:rPr>
          <w:rFonts w:ascii="標楷體" w:eastAsia="標楷體" w:hAnsi="標楷體"/>
          <w:color w:val="000000"/>
        </w:rPr>
        <w:t>須符合下列各項條件：</w:t>
      </w:r>
    </w:p>
    <w:p w14:paraId="047E2D48"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1.限用於「輕度至中度持續支氣管哮喘病患」。</w:t>
      </w:r>
    </w:p>
    <w:p w14:paraId="779BC6BE" w14:textId="77777777" w:rsidR="00BD776B" w:rsidRDefault="00DF0C24">
      <w:pPr>
        <w:ind w:left="811" w:hanging="245"/>
        <w:rPr>
          <w:rFonts w:ascii="標楷體" w:eastAsia="標楷體" w:hAnsi="標楷體"/>
          <w:color w:val="000000"/>
        </w:rPr>
      </w:pPr>
      <w:r>
        <w:rPr>
          <w:rFonts w:ascii="標楷體" w:eastAsia="標楷體" w:hAnsi="標楷體"/>
          <w:color w:val="000000"/>
        </w:rPr>
        <w:t>2.Chewable Tab. 4mg限用於2歲以上未滿6歲、oral granules 4mg限用於6個月以上未滿6歲(111/2/1)。</w:t>
      </w:r>
    </w:p>
    <w:p w14:paraId="2E2471F1" w14:textId="77777777" w:rsidR="00BD776B" w:rsidRDefault="00DF0C24">
      <w:pPr>
        <w:ind w:left="811" w:hanging="245"/>
        <w:rPr>
          <w:rFonts w:ascii="標楷體" w:eastAsia="標楷體" w:hAnsi="標楷體"/>
          <w:color w:val="000000"/>
        </w:rPr>
      </w:pPr>
      <w:r>
        <w:rPr>
          <w:rFonts w:ascii="標楷體" w:eastAsia="標楷體" w:hAnsi="標楷體"/>
          <w:color w:val="000000"/>
        </w:rPr>
        <w:t>3.病歷上應詳細記載上個月發作次數、頻率。</w:t>
      </w:r>
    </w:p>
    <w:p w14:paraId="4733FB66" w14:textId="448F1631" w:rsidR="00BD776B" w:rsidRDefault="00DF0C24">
      <w:pPr>
        <w:ind w:left="811" w:hanging="245"/>
        <w:rPr>
          <w:rFonts w:ascii="標楷體" w:eastAsia="標楷體" w:hAnsi="標楷體"/>
          <w:color w:val="000000"/>
        </w:rPr>
      </w:pPr>
      <w:r>
        <w:rPr>
          <w:rFonts w:ascii="標楷體" w:eastAsia="標楷體" w:hAnsi="標楷體"/>
          <w:color w:val="000000"/>
        </w:rPr>
        <w:t>4.</w:t>
      </w:r>
      <w:r w:rsidR="007D5E35" w:rsidRPr="007D5E35">
        <w:rPr>
          <w:rFonts w:ascii="標楷體" w:eastAsia="標楷體" w:hAnsi="標楷體" w:hint="eastAsia"/>
          <w:color w:val="000000"/>
        </w:rPr>
        <w:t>每日限用1粒(包)。(113/8/1)</w:t>
      </w:r>
    </w:p>
    <w:p w14:paraId="30405185" w14:textId="77777777" w:rsidR="00BD776B" w:rsidRDefault="00DF0C24">
      <w:pPr>
        <w:ind w:left="672" w:hanging="386"/>
        <w:rPr>
          <w:rFonts w:ascii="標楷體" w:eastAsia="標楷體" w:hAnsi="標楷體"/>
          <w:color w:val="000000"/>
        </w:rPr>
      </w:pPr>
      <w:r>
        <w:rPr>
          <w:rFonts w:ascii="標楷體" w:eastAsia="標楷體" w:hAnsi="標楷體"/>
          <w:color w:val="000000"/>
        </w:rPr>
        <w:t>6.2.6.Omalizumab (如Xolair)：（97/6/1、100/6/1、103/10/1、111/2/1）</w:t>
      </w:r>
    </w:p>
    <w:p w14:paraId="2E843083"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w:t>
      </w:r>
    </w:p>
    <w:p w14:paraId="2045D939" w14:textId="77777777" w:rsidR="00BD776B" w:rsidRDefault="00DF0C24">
      <w:pPr>
        <w:ind w:left="1049" w:hanging="341"/>
        <w:rPr>
          <w:rFonts w:ascii="標楷體" w:eastAsia="標楷體" w:hAnsi="標楷體"/>
          <w:color w:val="000000"/>
        </w:rPr>
      </w:pPr>
      <w:r>
        <w:rPr>
          <w:rFonts w:ascii="標楷體" w:eastAsia="標楷體" w:hAnsi="標楷體"/>
          <w:color w:val="000000"/>
        </w:rPr>
        <w:t>(1)12歲以上之青少年或成人經胸腔內科或小兒科或過敏免疫專科醫師診斷為「重度持續性氣喘」病患，為非抽煙或正積極戒煙者，需符合下列條件。</w:t>
      </w:r>
    </w:p>
    <w:p w14:paraId="32AB2C0F" w14:textId="77777777" w:rsidR="00BD776B" w:rsidRDefault="00DF0C24">
      <w:pPr>
        <w:ind w:left="1231" w:hanging="379"/>
        <w:rPr>
          <w:rFonts w:ascii="標楷體" w:eastAsia="標楷體" w:hAnsi="標楷體"/>
          <w:color w:val="000000"/>
        </w:rPr>
      </w:pPr>
      <w:r>
        <w:rPr>
          <w:rFonts w:ascii="標楷體" w:eastAsia="標楷體" w:hAnsi="標楷體"/>
          <w:color w:val="000000"/>
        </w:rPr>
        <w:t>I.臨床病史顯示對某過敏原過敏或經由體內試驗 (如skin prick test)或體外IgE試驗(如CAP、MAST、RAST、FAST、ELISA test等)呈陽性反應者。</w:t>
      </w:r>
    </w:p>
    <w:p w14:paraId="6BC618CF" w14:textId="77777777" w:rsidR="00BD776B" w:rsidRDefault="00DF0C24">
      <w:pPr>
        <w:ind w:left="1231" w:hanging="379"/>
        <w:rPr>
          <w:rFonts w:ascii="標楷體" w:eastAsia="標楷體" w:hAnsi="標楷體"/>
          <w:color w:val="000000"/>
        </w:rPr>
      </w:pPr>
      <w:r>
        <w:rPr>
          <w:rFonts w:ascii="標楷體" w:eastAsia="標楷體" w:hAnsi="標楷體"/>
          <w:color w:val="000000"/>
        </w:rPr>
        <w:t>II.必須檢附「免疫球蛋白IgE檢驗結果」。免疫球蛋白Total IgE檢驗結果必須介於 30~1300IU/mL，但使用抗IgE製劑後IgE值降低者不在此限(103/10/1)。</w:t>
      </w:r>
    </w:p>
    <w:p w14:paraId="29B2A37A" w14:textId="77777777" w:rsidR="00BD776B" w:rsidRDefault="00DF0C24">
      <w:pPr>
        <w:ind w:left="1231" w:hanging="379"/>
        <w:rPr>
          <w:rFonts w:ascii="標楷體" w:eastAsia="標楷體" w:hAnsi="標楷體"/>
          <w:color w:val="000000"/>
        </w:rPr>
      </w:pPr>
      <w:r>
        <w:rPr>
          <w:rFonts w:ascii="標楷體" w:eastAsia="標楷體" w:hAnsi="標楷體"/>
          <w:color w:val="000000"/>
        </w:rPr>
        <w:t>III.已接受高劑量類固醇藥物吸入劑 (青少年大於400 mcg belcomethasone dipropionate/day以上或他類固醇藥物吸入劑相等劑量；成人大於800mcg beclomethasone dipropionate/day以上或其他類固醇藥物吸入劑相等劑量) 及併用其他治療，如：長效乙二型作用劑 (β2-agonist)、口服類固醇治療、口服theophylline或抗白三烯素類藥品仍控制不良者，且過去四週氣喘控制仍不穩定者(包括:日間症狀每週超過2次、日常活動受到限制、有夜間氣喘症狀發作或到醒來、需要緩解型藥物每週超過2次或以上，符合上述條件2者或以上者) (103/10/1)。</w:t>
      </w:r>
    </w:p>
    <w:p w14:paraId="453656E9" w14:textId="77777777" w:rsidR="00BD776B" w:rsidRDefault="00DF0C24">
      <w:pPr>
        <w:ind w:left="1231" w:hanging="379"/>
        <w:rPr>
          <w:rFonts w:ascii="標楷體" w:eastAsia="標楷體" w:hAnsi="標楷體"/>
          <w:color w:val="000000"/>
        </w:rPr>
      </w:pPr>
      <w:r>
        <w:rPr>
          <w:rFonts w:ascii="標楷體" w:eastAsia="標楷體" w:hAnsi="標楷體"/>
          <w:color w:val="000000"/>
        </w:rPr>
        <w:t>IV.病歷記載有氣喘病史或需經證實為氣喘病患，支氣管擴張試驗顯示FEV1 reversibility超過12%與絕對值增加200mL以上，或使用類固醇後FEV1增加20%以上(103/10/1)。</w:t>
      </w:r>
    </w:p>
    <w:p w14:paraId="50B10F72" w14:textId="77777777" w:rsidR="00BD776B" w:rsidRDefault="00DF0C24">
      <w:pPr>
        <w:ind w:left="1049" w:hanging="341"/>
        <w:rPr>
          <w:rFonts w:ascii="標楷體" w:eastAsia="標楷體" w:hAnsi="標楷體"/>
          <w:color w:val="000000"/>
        </w:rPr>
      </w:pPr>
      <w:r>
        <w:rPr>
          <w:rFonts w:ascii="標楷體" w:eastAsia="標楷體" w:hAnsi="標楷體"/>
          <w:color w:val="000000"/>
        </w:rPr>
        <w:t>(2)6歲以上未滿13歲兒童經胸腔內科或小兒科或過敏免疫專科醫師診斷為「重度持續性氣喘」病患，需符合下列條件。（100/6/1、111/2/1）</w:t>
      </w:r>
    </w:p>
    <w:p w14:paraId="33AA6A59" w14:textId="77777777" w:rsidR="00BD776B" w:rsidRDefault="00DF0C24">
      <w:pPr>
        <w:ind w:left="1231" w:hanging="379"/>
        <w:rPr>
          <w:rFonts w:ascii="標楷體" w:eastAsia="標楷體" w:hAnsi="標楷體"/>
          <w:color w:val="000000"/>
        </w:rPr>
      </w:pPr>
      <w:r>
        <w:rPr>
          <w:rFonts w:ascii="標楷體" w:eastAsia="標楷體" w:hAnsi="標楷體"/>
          <w:color w:val="000000"/>
        </w:rPr>
        <w:t>I.臨床病史顯示對某過敏原過敏或經由體內試驗(如skin prick test)或體外IgE試驗(如CAP、MAST、RAST、FAST、ELISA test等)呈陽性反應者。</w:t>
      </w:r>
    </w:p>
    <w:p w14:paraId="2BBE9B52" w14:textId="77777777" w:rsidR="00BD776B" w:rsidRDefault="00DF0C24">
      <w:pPr>
        <w:ind w:left="1231" w:hanging="379"/>
        <w:rPr>
          <w:rFonts w:ascii="標楷體" w:eastAsia="標楷體" w:hAnsi="標楷體"/>
          <w:color w:val="000000"/>
        </w:rPr>
      </w:pPr>
      <w:r>
        <w:rPr>
          <w:rFonts w:ascii="標楷體" w:eastAsia="標楷體" w:hAnsi="標楷體"/>
          <w:color w:val="000000"/>
        </w:rPr>
        <w:t>II.必須檢附「免疫球蛋白IgE檢驗結果」。免疫球蛋白Total IgE檢驗結果必須介於 30~1300IU/mL，但使用抗IgE製劑後IgE值降低者不在此限。</w:t>
      </w:r>
    </w:p>
    <w:p w14:paraId="4A595B1A" w14:textId="77777777" w:rsidR="00BD776B" w:rsidRDefault="00DF0C24">
      <w:pPr>
        <w:ind w:left="1231" w:hanging="379"/>
        <w:rPr>
          <w:rFonts w:ascii="標楷體" w:eastAsia="標楷體" w:hAnsi="標楷體"/>
          <w:color w:val="000000"/>
        </w:rPr>
      </w:pPr>
      <w:r>
        <w:rPr>
          <w:rFonts w:ascii="標楷體" w:eastAsia="標楷體" w:hAnsi="標楷體"/>
          <w:color w:val="000000"/>
        </w:rPr>
        <w:t>III.已接受高劑量類固醇藥物吸入劑 (大於400mcg Beclomethasone dipropionate/day以上或其他類固醇藥物吸入劑相等劑量) 及併用其他治療，如：長效乙二型作用劑 (β2-agonist)、口服類固醇治療、口服theophylline或抗白三烯素類藥品仍控制不良者，且過去四週氣喘控制仍不穩定者 (包括:日間症狀每週超過2次、日常活動受到限制、有夜間氣喘症狀發作或到醒來、需要緩解型藥物每週超過2次或以上，符合上述條件2者或以上者) (103/10/1)。</w:t>
      </w:r>
    </w:p>
    <w:p w14:paraId="6108C4C4" w14:textId="77777777" w:rsidR="00BD776B" w:rsidRDefault="00DF0C24">
      <w:pPr>
        <w:ind w:left="1231" w:hanging="379"/>
        <w:rPr>
          <w:rFonts w:ascii="標楷體" w:eastAsia="標楷體" w:hAnsi="標楷體"/>
          <w:color w:val="000000"/>
        </w:rPr>
      </w:pPr>
      <w:r>
        <w:rPr>
          <w:rFonts w:ascii="標楷體" w:eastAsia="標楷體" w:hAnsi="標楷體"/>
          <w:color w:val="000000"/>
        </w:rPr>
        <w:t>IV.病歷記載有氣喘病史或需經證實為氣喘病患，支氣管擴張試驗顯示FEV1 reversibility超過12%與絕對值增加200mL以上，或使用類固醇後FEV1增</w:t>
      </w:r>
      <w:r>
        <w:rPr>
          <w:rFonts w:ascii="標楷體" w:eastAsia="標楷體" w:hAnsi="標楷體"/>
          <w:color w:val="000000"/>
        </w:rPr>
        <w:lastRenderedPageBreak/>
        <w:t>加20%以上(103/10/1)。</w:t>
      </w:r>
    </w:p>
    <w:p w14:paraId="2871889E" w14:textId="77777777" w:rsidR="00BD776B" w:rsidRDefault="00DF0C24">
      <w:pPr>
        <w:ind w:left="811" w:hanging="245"/>
        <w:rPr>
          <w:rFonts w:ascii="標楷體" w:eastAsia="標楷體" w:hAnsi="標楷體"/>
          <w:color w:val="000000"/>
        </w:rPr>
      </w:pPr>
      <w:r>
        <w:rPr>
          <w:rFonts w:ascii="標楷體" w:eastAsia="標楷體" w:hAnsi="標楷體"/>
          <w:color w:val="000000"/>
        </w:rPr>
        <w:t>2.需經事前審查核准後使用。</w:t>
      </w:r>
    </w:p>
    <w:p w14:paraId="2692E114" w14:textId="77777777" w:rsidR="00BD776B" w:rsidRDefault="00DF0C24">
      <w:pPr>
        <w:ind w:left="811" w:hanging="245"/>
        <w:rPr>
          <w:rFonts w:ascii="標楷體" w:eastAsia="標楷體" w:hAnsi="標楷體"/>
          <w:color w:val="000000"/>
        </w:rPr>
      </w:pPr>
      <w:r>
        <w:rPr>
          <w:rFonts w:ascii="標楷體" w:eastAsia="標楷體" w:hAnsi="標楷體"/>
          <w:color w:val="000000"/>
        </w:rPr>
        <w:t>3.每月使用不得超過2次。</w:t>
      </w:r>
    </w:p>
    <w:p w14:paraId="6BD18146" w14:textId="77777777" w:rsidR="00BD776B" w:rsidRDefault="00DF0C24">
      <w:pPr>
        <w:ind w:left="811" w:hanging="245"/>
      </w:pPr>
      <w:r>
        <w:rPr>
          <w:rFonts w:ascii="標楷體" w:eastAsia="標楷體" w:hAnsi="標楷體"/>
          <w:color w:val="000000"/>
        </w:rPr>
        <w:t>4.應於病歷上詳細記載上個月發作次數、頻率及肺功能(如PEFR值或FEV</w:t>
      </w:r>
      <w:r>
        <w:rPr>
          <w:rFonts w:ascii="標楷體" w:eastAsia="標楷體" w:hAnsi="標楷體"/>
          <w:color w:val="000000"/>
          <w:vertAlign w:val="subscript"/>
        </w:rPr>
        <w:t>1</w:t>
      </w:r>
      <w:r>
        <w:rPr>
          <w:rFonts w:ascii="標楷體" w:eastAsia="標楷體" w:hAnsi="標楷體"/>
          <w:color w:val="000000"/>
        </w:rPr>
        <w:t>值)之變化。</w:t>
      </w:r>
    </w:p>
    <w:p w14:paraId="5F593F6E" w14:textId="77777777" w:rsidR="00BD776B" w:rsidRDefault="00DF0C24">
      <w:pPr>
        <w:ind w:left="811" w:hanging="245"/>
        <w:rPr>
          <w:rFonts w:ascii="標楷體" w:eastAsia="標楷體" w:hAnsi="標楷體"/>
          <w:color w:val="000000"/>
        </w:rPr>
      </w:pPr>
      <w:r>
        <w:rPr>
          <w:rFonts w:ascii="標楷體" w:eastAsia="標楷體" w:hAnsi="標楷體"/>
          <w:color w:val="000000"/>
        </w:rPr>
        <w:t>5.使用16週後需進行評估，與未使用前比較，症狀確實改善，方可繼續使用。</w:t>
      </w:r>
    </w:p>
    <w:p w14:paraId="7DE35977" w14:textId="77777777" w:rsidR="00BD776B" w:rsidRDefault="00DF0C24">
      <w:pPr>
        <w:ind w:left="1418" w:hanging="708"/>
        <w:rPr>
          <w:rFonts w:ascii="標楷體" w:eastAsia="標楷體" w:hAnsi="標楷體"/>
          <w:color w:val="000000"/>
        </w:rPr>
      </w:pPr>
      <w:r>
        <w:rPr>
          <w:rFonts w:ascii="標楷體" w:eastAsia="標楷體" w:hAnsi="標楷體"/>
          <w:color w:val="000000"/>
        </w:rPr>
        <w:t>備註：「症狀改善」的定義為每日症狀或PEFR的改善，或減少口服或吸入性類固醇的使用，或減少非常規回診的次數或急診就醫或住院次數。</w:t>
      </w:r>
    </w:p>
    <w:p w14:paraId="15EC29C3" w14:textId="77777777" w:rsidR="00BD776B" w:rsidRDefault="00DF0C24">
      <w:pPr>
        <w:ind w:left="566" w:hanging="266"/>
        <w:rPr>
          <w:rFonts w:ascii="標楷體" w:eastAsia="標楷體" w:hAnsi="標楷體"/>
          <w:color w:val="000000"/>
        </w:rPr>
      </w:pPr>
      <w:r>
        <w:rPr>
          <w:rFonts w:ascii="標楷體" w:eastAsia="標楷體" w:hAnsi="標楷體"/>
          <w:color w:val="000000"/>
        </w:rPr>
        <w:t>6.2.7.Nintedanib(如Ofev)、pirfenidone（如Pirespa）：(106/3/1、106/7/1、108/12/1、109/9/1、110/6/1、112/7/1、112/12/1）</w:t>
      </w:r>
    </w:p>
    <w:p w14:paraId="200AD750" w14:textId="77777777" w:rsidR="00BD776B" w:rsidRDefault="00DF0C24">
      <w:pPr>
        <w:ind w:left="708" w:hanging="266"/>
        <w:rPr>
          <w:rFonts w:ascii="標楷體" w:eastAsia="標楷體" w:hAnsi="標楷體"/>
          <w:color w:val="000000"/>
        </w:rPr>
      </w:pPr>
      <w:r>
        <w:rPr>
          <w:rFonts w:ascii="標楷體" w:eastAsia="標楷體" w:hAnsi="標楷體"/>
          <w:color w:val="000000"/>
        </w:rPr>
        <w:t xml:space="preserve"> 1.特發性肺纖維化：</w:t>
      </w:r>
    </w:p>
    <w:p w14:paraId="5AF2D7C0" w14:textId="77777777" w:rsidR="00BD776B" w:rsidRDefault="00DF0C24">
      <w:pPr>
        <w:ind w:left="991" w:hanging="266"/>
        <w:rPr>
          <w:rFonts w:ascii="標楷體" w:eastAsia="標楷體" w:hAnsi="標楷體"/>
          <w:color w:val="000000"/>
        </w:rPr>
      </w:pPr>
      <w:r>
        <w:rPr>
          <w:rFonts w:ascii="標楷體" w:eastAsia="標楷體" w:hAnsi="標楷體"/>
          <w:color w:val="000000"/>
        </w:rPr>
        <w:t>(1)需檢附肺部HRCT (High resolution computed tomography)影像檢查。</w:t>
      </w:r>
    </w:p>
    <w:p w14:paraId="314BC9BA" w14:textId="77777777" w:rsidR="00BD776B" w:rsidRDefault="00DF0C24">
      <w:pPr>
        <w:ind w:left="1090" w:hanging="365"/>
      </w:pPr>
      <w:r>
        <w:rPr>
          <w:rFonts w:ascii="標楷體" w:eastAsia="標楷體" w:hAnsi="標楷體"/>
          <w:color w:val="000000"/>
        </w:rPr>
        <w:t>(2)</w:t>
      </w:r>
      <w:r>
        <w:t xml:space="preserve"> </w:t>
      </w:r>
      <w:r>
        <w:rPr>
          <w:rFonts w:ascii="標楷體" w:eastAsia="標楷體" w:hAnsi="標楷體"/>
          <w:color w:val="000000"/>
        </w:rPr>
        <w:t>經專科醫師確診為特發性肺纖維化(Idiopathic pulmonary fibrosis,IPF)後，首次申請時病人的用力肺活量預測值(forced vital capacity,FVC predicted)在50~80%之間。(112/7/1)</w:t>
      </w:r>
    </w:p>
    <w:p w14:paraId="4386AA67" w14:textId="77777777" w:rsidR="00BD776B" w:rsidRDefault="00DF0C24">
      <w:pPr>
        <w:ind w:left="991" w:hanging="266"/>
      </w:pPr>
      <w:r>
        <w:rPr>
          <w:rFonts w:ascii="標楷體" w:eastAsia="標楷體" w:hAnsi="標楷體"/>
          <w:color w:val="000000"/>
        </w:rPr>
        <w:t>(3)</w:t>
      </w:r>
      <w:r>
        <w:t xml:space="preserve"> </w:t>
      </w:r>
      <w:r>
        <w:rPr>
          <w:rFonts w:ascii="標楷體" w:eastAsia="標楷體" w:hAnsi="標楷體"/>
          <w:color w:val="000000"/>
        </w:rPr>
        <w:t>用於經專科醫師確診為特發性肺纖維化，且FVC預測值&gt;80%之病患，需具明顯症狀(病歷須清楚記載如呼吸困難、喘或咳嗽等臨床症狀)。(108/12/1、109/9/1、112/7/1）</w:t>
      </w:r>
    </w:p>
    <w:p w14:paraId="20441659" w14:textId="77777777" w:rsidR="00BD776B" w:rsidRDefault="00DF0C24">
      <w:pPr>
        <w:ind w:left="1090" w:hanging="365"/>
      </w:pPr>
      <w:r>
        <w:rPr>
          <w:rFonts w:ascii="標楷體" w:eastAsia="標楷體" w:hAnsi="標楷體"/>
          <w:color w:val="000000"/>
        </w:rPr>
        <w:t>(4)</w:t>
      </w:r>
      <w:r>
        <w:t xml:space="preserve"> </w:t>
      </w:r>
      <w:r>
        <w:rPr>
          <w:rFonts w:ascii="標楷體" w:eastAsia="標楷體" w:hAnsi="標楷體"/>
          <w:color w:val="000000"/>
        </w:rPr>
        <w:t>停止治療條件：肺功能出現惡化（即確認病人的用力肺活量預測值與最近一次申請時的FVC預測值(%)相比降低10%絕對值或以上時），則進入12週的緩衝期(grace period)，這段期間可先給予續用或得申請使用不同機轉的藥物治療12週，緩衝期後再測之FVC預測值(%)與緩衝期前相比仍降低時，則認定為未改善，應該停止用藥。(106/7/1、108/12/1、109/9/1、112/7/1）</w:t>
      </w:r>
    </w:p>
    <w:p w14:paraId="6F1A2181" w14:textId="77777777" w:rsidR="00BD776B" w:rsidRDefault="00DF0C24">
      <w:pPr>
        <w:ind w:left="991" w:hanging="266"/>
        <w:rPr>
          <w:rFonts w:ascii="標楷體" w:eastAsia="標楷體" w:hAnsi="標楷體"/>
          <w:color w:val="000000"/>
        </w:rPr>
      </w:pPr>
      <w:r>
        <w:rPr>
          <w:rFonts w:ascii="標楷體" w:eastAsia="標楷體" w:hAnsi="標楷體"/>
          <w:color w:val="000000"/>
        </w:rPr>
        <w:t>(5)需經事前審查核准後使用，每24週需檢送評估資料再次申請。</w:t>
      </w:r>
    </w:p>
    <w:p w14:paraId="58845583" w14:textId="77777777" w:rsidR="00BD776B" w:rsidRDefault="00DF0C24">
      <w:pPr>
        <w:ind w:left="991" w:hanging="266"/>
        <w:rPr>
          <w:rFonts w:ascii="標楷體" w:eastAsia="標楷體" w:hAnsi="標楷體"/>
          <w:color w:val="000000"/>
        </w:rPr>
      </w:pPr>
      <w:r>
        <w:rPr>
          <w:rFonts w:ascii="標楷體" w:eastAsia="標楷體" w:hAnsi="標楷體"/>
          <w:color w:val="000000"/>
        </w:rPr>
        <w:t>(6)Nintedanib與pirfenidone不得同時併用。(106/7/1）</w:t>
      </w:r>
    </w:p>
    <w:p w14:paraId="67D161F9" w14:textId="77777777" w:rsidR="00BD776B" w:rsidRDefault="00DF0C24">
      <w:pPr>
        <w:ind w:left="708" w:hanging="266"/>
        <w:rPr>
          <w:rFonts w:ascii="標楷體" w:eastAsia="標楷體" w:hAnsi="標楷體"/>
          <w:color w:val="000000"/>
        </w:rPr>
      </w:pPr>
      <w:r>
        <w:rPr>
          <w:rFonts w:ascii="標楷體" w:eastAsia="標楷體" w:hAnsi="標楷體"/>
          <w:color w:val="000000"/>
        </w:rPr>
        <w:t xml:space="preserve"> 2.Nintedanib用於全身性硬化症有關之間質性肺病：需符合下列所有條件(110/6/1)</w:t>
      </w:r>
    </w:p>
    <w:p w14:paraId="66A87010" w14:textId="77777777" w:rsidR="00BD776B" w:rsidRDefault="00DF0C24">
      <w:pPr>
        <w:ind w:left="657" w:hanging="266"/>
        <w:rPr>
          <w:rFonts w:ascii="標楷體" w:eastAsia="標楷體" w:hAnsi="標楷體"/>
          <w:color w:val="000000"/>
        </w:rPr>
      </w:pPr>
      <w:r>
        <w:rPr>
          <w:rFonts w:ascii="標楷體" w:eastAsia="標楷體" w:hAnsi="標楷體"/>
          <w:color w:val="000000"/>
        </w:rPr>
        <w:t xml:space="preserve">   (1)需經免疫風濕專科醫師確診為全身性硬化症。</w:t>
      </w:r>
    </w:p>
    <w:p w14:paraId="66DFF126" w14:textId="77777777" w:rsidR="00BD776B" w:rsidRDefault="00DF0C24">
      <w:pPr>
        <w:ind w:left="1104" w:hanging="713"/>
        <w:rPr>
          <w:rFonts w:ascii="標楷體" w:eastAsia="標楷體" w:hAnsi="標楷體"/>
          <w:color w:val="000000"/>
        </w:rPr>
      </w:pPr>
      <w:r>
        <w:rPr>
          <w:rFonts w:ascii="標楷體" w:eastAsia="標楷體" w:hAnsi="標楷體"/>
          <w:color w:val="000000"/>
        </w:rPr>
        <w:t xml:space="preserve">   (2)需檢附肺部HRCT影像及檢查報告，經胸腔內科及放射科醫師證實具有肺部纖維化且肺纖維化侵犯至少10% 肺野(lung field)，並符合間質性肺病之診斷。</w:t>
      </w:r>
    </w:p>
    <w:p w14:paraId="383328C1" w14:textId="77777777" w:rsidR="00BD776B" w:rsidRDefault="00DF0C24">
      <w:pPr>
        <w:ind w:left="1133" w:hanging="742"/>
        <w:rPr>
          <w:rFonts w:ascii="標楷體" w:eastAsia="標楷體" w:hAnsi="標楷體"/>
          <w:color w:val="000000"/>
        </w:rPr>
      </w:pPr>
      <w:r>
        <w:rPr>
          <w:rFonts w:ascii="標楷體" w:eastAsia="標楷體" w:hAnsi="標楷體"/>
          <w:color w:val="000000"/>
        </w:rPr>
        <w:t xml:space="preserve">   (3)經胸腔內科及免疫風濕專科醫師確診為全身性硬化症有關之間質性肺病(SSc-ILD)，且病人的用力肺活量(forced vital capacity，FVC)≧40%且DLCO (Diffusing capacity of the lung for carbon monoxide)為預估值之30-89%，病歷須清楚記載病人之相關臨床症狀(如呼吸困難、喘或咳嗽等)。</w:t>
      </w:r>
    </w:p>
    <w:p w14:paraId="1DAF47D0" w14:textId="77777777" w:rsidR="00BD776B" w:rsidRDefault="00DF0C24">
      <w:pPr>
        <w:ind w:left="1133" w:hanging="742"/>
        <w:rPr>
          <w:rFonts w:ascii="標楷體" w:eastAsia="標楷體" w:hAnsi="標楷體"/>
          <w:color w:val="000000"/>
        </w:rPr>
      </w:pPr>
      <w:r>
        <w:rPr>
          <w:rFonts w:ascii="標楷體" w:eastAsia="標楷體" w:hAnsi="標楷體"/>
          <w:color w:val="000000"/>
        </w:rPr>
        <w:t xml:space="preserve">   (4)使用cyclophosphamide (CYC)或azathioprine (AZA)或mycophenolate mofetil (MMF)6個月最高可耐受劑量後治療失敗的SSc-ILD病人。</w:t>
      </w:r>
    </w:p>
    <w:p w14:paraId="6862A5EA" w14:textId="77777777" w:rsidR="00BD776B" w:rsidRDefault="00DF0C24">
      <w:pPr>
        <w:ind w:left="657" w:hanging="266"/>
        <w:rPr>
          <w:rFonts w:ascii="標楷體" w:eastAsia="標楷體" w:hAnsi="標楷體"/>
          <w:color w:val="000000"/>
        </w:rPr>
      </w:pPr>
      <w:r>
        <w:rPr>
          <w:rFonts w:ascii="標楷體" w:eastAsia="標楷體" w:hAnsi="標楷體"/>
          <w:color w:val="000000"/>
        </w:rPr>
        <w:t xml:space="preserve">   (5)需經事前審查核准後使用，每26週需檢送肺功能評估報告資料再次申請。</w:t>
      </w:r>
    </w:p>
    <w:p w14:paraId="2B83FA6B" w14:textId="77777777" w:rsidR="00BD776B" w:rsidRDefault="00DF0C24">
      <w:pPr>
        <w:ind w:left="1104" w:hanging="713"/>
        <w:rPr>
          <w:rFonts w:ascii="標楷體" w:eastAsia="標楷體" w:hAnsi="標楷體"/>
          <w:color w:val="000000"/>
        </w:rPr>
      </w:pPr>
      <w:r>
        <w:rPr>
          <w:rFonts w:ascii="標楷體" w:eastAsia="標楷體" w:hAnsi="標楷體"/>
          <w:color w:val="000000"/>
        </w:rPr>
        <w:t xml:space="preserve">   (6)停止治療條件：在持續使用nintedanib 52週後，若病人用力肺活量FVC持續年下降＞100毫升，得以續用並觀察12週，如再測之FVC未改善，則應停止使用。</w:t>
      </w:r>
    </w:p>
    <w:p w14:paraId="012AB0BE" w14:textId="77777777" w:rsidR="00BD776B" w:rsidRDefault="00DF0C24">
      <w:pPr>
        <w:ind w:left="708" w:hanging="266"/>
        <w:rPr>
          <w:rFonts w:ascii="標楷體" w:eastAsia="標楷體" w:hAnsi="標楷體"/>
          <w:color w:val="000000"/>
        </w:rPr>
      </w:pPr>
      <w:r>
        <w:rPr>
          <w:rFonts w:ascii="標楷體" w:eastAsia="標楷體" w:hAnsi="標楷體"/>
          <w:color w:val="000000"/>
        </w:rPr>
        <w:lastRenderedPageBreak/>
        <w:t xml:space="preserve"> 3.Nintedanib用於慢性漸進性纖維化間質性肺病（PF-ILD）：</w:t>
      </w:r>
    </w:p>
    <w:p w14:paraId="5DCB22A4" w14:textId="77777777" w:rsidR="00BD776B" w:rsidRDefault="00DF0C24">
      <w:pPr>
        <w:ind w:left="948" w:hanging="266"/>
        <w:rPr>
          <w:rFonts w:ascii="標楷體" w:eastAsia="標楷體" w:hAnsi="標楷體"/>
          <w:color w:val="000000"/>
        </w:rPr>
      </w:pPr>
      <w:r>
        <w:rPr>
          <w:rFonts w:ascii="標楷體" w:eastAsia="標楷體" w:hAnsi="標楷體"/>
          <w:color w:val="000000"/>
        </w:rPr>
        <w:t xml:space="preserve"> 需符合下列所有條件：(112/12/1） </w:t>
      </w:r>
    </w:p>
    <w:p w14:paraId="54FCE191" w14:textId="77777777" w:rsidR="00BD776B" w:rsidRDefault="00DF0C24">
      <w:pPr>
        <w:ind w:left="1146" w:hanging="340"/>
        <w:rPr>
          <w:rFonts w:ascii="標楷體" w:eastAsia="標楷體" w:hAnsi="標楷體"/>
          <w:color w:val="000000"/>
        </w:rPr>
      </w:pPr>
      <w:r>
        <w:rPr>
          <w:rFonts w:ascii="標楷體" w:eastAsia="標楷體" w:hAnsi="標楷體"/>
          <w:color w:val="000000"/>
        </w:rPr>
        <w:t>(1)需檢附肺部HRCT（High resolution computed tomography）影像及檢查報告，證實具有肺部纖維化且侵犯至少10%肺野（lung field），並符合間質性肺病之診斷。</w:t>
      </w:r>
    </w:p>
    <w:p w14:paraId="046663E0" w14:textId="77777777" w:rsidR="00BD776B" w:rsidRDefault="00DF0C24">
      <w:pPr>
        <w:ind w:left="1146" w:hanging="340"/>
      </w:pPr>
      <w:r>
        <w:rPr>
          <w:rFonts w:ascii="標楷體" w:eastAsia="標楷體" w:hAnsi="標楷體"/>
          <w:color w:val="000000"/>
        </w:rPr>
        <w:t>(2)經胸腔或風濕免疫專科醫師確認符合慢性漸進性纖維化間質性肺病（Chronic fibrosing interstitial lung diseases with a progressive phenotype，PF-ILD）之疾病進展定義（請檢附過去一年內可證明疾病進展之病歷及相關檢查報告）。須符合肺功能惡化，且伴隨呼吸症狀惡化或HRCT肺部影響檢查有纖維化增加的證據。肺功能惡化可以為以下任一條件(a)用力肺活量（Forced vital capacity, FVC）預測值之絕對值降低</w:t>
      </w:r>
      <w:r>
        <w:rPr>
          <w:rFonts w:eastAsia="標楷體"/>
          <w:color w:val="000000"/>
        </w:rPr>
        <w:t>≥</w:t>
      </w:r>
      <w:r>
        <w:rPr>
          <w:rFonts w:ascii="標楷體" w:eastAsia="標楷體" w:hAnsi="標楷體"/>
          <w:color w:val="000000"/>
        </w:rPr>
        <w:t>5%或(b) DLCO（Diffusing capacity of the lung for carbon monoxide）預測值之絕對值降低</w:t>
      </w:r>
      <w:r>
        <w:rPr>
          <w:rFonts w:eastAsia="標楷體"/>
          <w:color w:val="000000"/>
        </w:rPr>
        <w:t>≥</w:t>
      </w:r>
      <w:r>
        <w:rPr>
          <w:rFonts w:ascii="標楷體" w:eastAsia="標楷體" w:hAnsi="標楷體"/>
          <w:color w:val="000000"/>
        </w:rPr>
        <w:t>10%。</w:t>
      </w:r>
    </w:p>
    <w:p w14:paraId="671246F0" w14:textId="77777777" w:rsidR="00BD776B" w:rsidRDefault="00DF0C24">
      <w:pPr>
        <w:ind w:left="1146" w:hanging="340"/>
        <w:rPr>
          <w:rFonts w:ascii="標楷體" w:eastAsia="標楷體" w:hAnsi="標楷體"/>
          <w:color w:val="000000"/>
        </w:rPr>
      </w:pPr>
      <w:r>
        <w:rPr>
          <w:rFonts w:ascii="標楷體" w:eastAsia="標楷體" w:hAnsi="標楷體"/>
          <w:color w:val="000000"/>
        </w:rPr>
        <w:t>(3)起始治療條件：病人的FVC為預測值之45~80%且DLCO為預估值之30~80%，病歷須清楚記載病人之相關臨床症狀（如呼吸困難、喘或咳嗽等）。</w:t>
      </w:r>
    </w:p>
    <w:p w14:paraId="433858BA" w14:textId="77777777" w:rsidR="00BD776B" w:rsidRDefault="00DF0C24">
      <w:pPr>
        <w:ind w:left="1146" w:hanging="340"/>
        <w:rPr>
          <w:rFonts w:ascii="標楷體" w:eastAsia="標楷體" w:hAnsi="標楷體"/>
          <w:color w:val="000000"/>
        </w:rPr>
      </w:pPr>
      <w:r>
        <w:rPr>
          <w:rFonts w:ascii="標楷體" w:eastAsia="標楷體" w:hAnsi="標楷體"/>
          <w:color w:val="000000"/>
        </w:rPr>
        <w:t>(4)停止治療條件：在持續使用nintedanib 52週後，若病人的用力肺活量FVC預測值持續年下降10%絕對值或以上，則進入12週的緩衝期 (grace period)，這段期間可先給予續用，緩衝期後，再測之FVC預測值（%）與緩衝期前相比仍降低時，則認定為未改善，應停止用藥。</w:t>
      </w:r>
    </w:p>
    <w:p w14:paraId="63B0B4DB" w14:textId="77777777" w:rsidR="00BD776B" w:rsidRDefault="00DF0C24">
      <w:pPr>
        <w:ind w:left="566" w:hanging="266"/>
        <w:rPr>
          <w:rFonts w:ascii="標楷體" w:eastAsia="標楷體" w:hAnsi="標楷體"/>
          <w:color w:val="000000"/>
        </w:rPr>
      </w:pPr>
      <w:r>
        <w:rPr>
          <w:rFonts w:ascii="標楷體" w:eastAsia="標楷體" w:hAnsi="標楷體"/>
          <w:color w:val="000000"/>
        </w:rPr>
        <w:tab/>
        <w:t xml:space="preserve">  (5)需經事前審查核准後使用，每26週需檢送評估資料再次申請。</w:t>
      </w:r>
    </w:p>
    <w:p w14:paraId="0D1714DF" w14:textId="77777777" w:rsidR="00BD776B" w:rsidRDefault="00DF0C24">
      <w:pPr>
        <w:spacing w:line="380" w:lineRule="exact"/>
        <w:ind w:left="991" w:hanging="708"/>
      </w:pPr>
      <w:r>
        <w:rPr>
          <w:rFonts w:ascii="標楷體" w:eastAsia="標楷體" w:hAnsi="標楷體"/>
          <w:color w:val="000000"/>
        </w:rPr>
        <w:t xml:space="preserve">6.2.8.Mepolizumab (如Nucala) 、Benralizumab (如Fasenra)（107/11/1、109/3/1、109/11/1）： </w:t>
      </w:r>
    </w:p>
    <w:p w14:paraId="49886449" w14:textId="77777777" w:rsidR="00BD776B" w:rsidRDefault="00DF0C24">
      <w:pPr>
        <w:spacing w:line="380" w:lineRule="exact"/>
        <w:ind w:left="849" w:hanging="283"/>
        <w:rPr>
          <w:rFonts w:ascii="標楷體" w:eastAsia="標楷體" w:hAnsi="標楷體"/>
          <w:color w:val="000000"/>
        </w:rPr>
      </w:pPr>
      <w:r>
        <w:rPr>
          <w:rFonts w:ascii="標楷體" w:eastAsia="標楷體" w:hAnsi="標楷體"/>
          <w:color w:val="000000"/>
        </w:rPr>
        <w:t>1.限用於經胸腔專科或過敏免疫專科醫師診斷為嗜伊紅性(嗜酸性)白血球的嚴重氣喘且控制不良(severe refractory eosinophilic asthma)之18歲以上成人病患，投藥前12個月內的血中嗜伊紅性(嗜酸性)白血球≧300 cells/mcL，且需符合下列條件：(109/11/1）</w:t>
      </w:r>
    </w:p>
    <w:p w14:paraId="107C23FB" w14:textId="77777777" w:rsidR="00BD776B" w:rsidRDefault="00DF0C24">
      <w:pPr>
        <w:spacing w:line="380" w:lineRule="exact"/>
        <w:ind w:left="1133" w:hanging="425"/>
        <w:rPr>
          <w:rFonts w:ascii="標楷體" w:eastAsia="標楷體" w:hAnsi="標楷體"/>
          <w:color w:val="000000"/>
        </w:rPr>
      </w:pPr>
      <w:r>
        <w:rPr>
          <w:rFonts w:ascii="標楷體" w:eastAsia="標楷體" w:hAnsi="標楷體"/>
          <w:color w:val="000000"/>
        </w:rPr>
        <w:t>(1)病患已遵循最適切的標準療法且過去6個月持續使用口服類固醇prednisolone每天至少5mg或等價當量(equivalence)。</w:t>
      </w:r>
    </w:p>
    <w:p w14:paraId="057D1766" w14:textId="77777777" w:rsidR="00BD776B" w:rsidRDefault="00DF0C24">
      <w:pPr>
        <w:spacing w:line="380" w:lineRule="exact"/>
        <w:ind w:left="1092" w:hanging="384"/>
        <w:rPr>
          <w:rFonts w:ascii="標楷體" w:eastAsia="標楷體" w:hAnsi="標楷體"/>
          <w:color w:val="000000"/>
        </w:rPr>
      </w:pPr>
      <w:r>
        <w:rPr>
          <w:rFonts w:ascii="標楷體" w:eastAsia="標楷體" w:hAnsi="標楷體"/>
          <w:color w:val="000000"/>
        </w:rPr>
        <w:t>(2)過去12個月內有2次或2次以上因氣喘急性惡化而需要使用全身性類固醇，且其中至少一次是因為氣喘惡化而需急診或住院治療。</w:t>
      </w:r>
    </w:p>
    <w:p w14:paraId="2AF754E9" w14:textId="77777777" w:rsidR="00BD776B" w:rsidRDefault="00DF0C24">
      <w:pPr>
        <w:spacing w:line="380" w:lineRule="exact"/>
        <w:ind w:left="566"/>
        <w:rPr>
          <w:rFonts w:ascii="標楷體" w:eastAsia="標楷體" w:hAnsi="標楷體"/>
          <w:color w:val="000000"/>
        </w:rPr>
      </w:pPr>
      <w:r>
        <w:rPr>
          <w:rFonts w:ascii="標楷體" w:eastAsia="標楷體" w:hAnsi="標楷體"/>
          <w:color w:val="000000"/>
        </w:rPr>
        <w:t>2.需經事前審查核准後使用。</w:t>
      </w:r>
    </w:p>
    <w:p w14:paraId="6D81329A" w14:textId="77777777" w:rsidR="00BD776B" w:rsidRDefault="00DF0C24">
      <w:pPr>
        <w:spacing w:line="380" w:lineRule="exact"/>
        <w:ind w:left="566"/>
        <w:rPr>
          <w:rFonts w:ascii="標楷體" w:eastAsia="標楷體" w:hAnsi="標楷體"/>
          <w:color w:val="000000"/>
        </w:rPr>
      </w:pPr>
      <w:r>
        <w:rPr>
          <w:rFonts w:ascii="標楷體" w:eastAsia="標楷體" w:hAnsi="標楷體"/>
          <w:color w:val="000000"/>
        </w:rPr>
        <w:t>3.使用頻率：</w:t>
      </w:r>
    </w:p>
    <w:p w14:paraId="107F347C" w14:textId="77777777" w:rsidR="00BD776B" w:rsidRDefault="00DF0C24">
      <w:pPr>
        <w:spacing w:line="380" w:lineRule="exact"/>
        <w:ind w:left="708"/>
        <w:rPr>
          <w:rFonts w:ascii="標楷體" w:eastAsia="標楷體" w:hAnsi="標楷體"/>
          <w:color w:val="000000"/>
        </w:rPr>
      </w:pPr>
      <w:r>
        <w:rPr>
          <w:rFonts w:ascii="標楷體" w:eastAsia="標楷體" w:hAnsi="標楷體"/>
          <w:color w:val="000000"/>
        </w:rPr>
        <w:t>(1)Mepolizumab每4週使用不得超過1次。</w:t>
      </w:r>
    </w:p>
    <w:p w14:paraId="7B0D3A4E" w14:textId="77777777" w:rsidR="00BD776B" w:rsidRDefault="00DF0C24">
      <w:pPr>
        <w:spacing w:line="380" w:lineRule="exact"/>
        <w:ind w:left="708"/>
        <w:rPr>
          <w:rFonts w:ascii="標楷體" w:eastAsia="標楷體" w:hAnsi="標楷體"/>
          <w:color w:val="000000"/>
        </w:rPr>
      </w:pPr>
      <w:r>
        <w:rPr>
          <w:rFonts w:ascii="標楷體" w:eastAsia="標楷體" w:hAnsi="標楷體"/>
          <w:color w:val="000000"/>
        </w:rPr>
        <w:t>(2)Benralizumab第一個8週使用不得超過3次(第0、4、8週)，以後每8週使用不得超過1次。</w:t>
      </w:r>
    </w:p>
    <w:p w14:paraId="4582CA8E" w14:textId="77777777" w:rsidR="00BD776B" w:rsidRDefault="00DF0C24">
      <w:pPr>
        <w:spacing w:line="380" w:lineRule="exact"/>
        <w:ind w:left="849" w:hanging="283"/>
        <w:rPr>
          <w:rFonts w:ascii="標楷體" w:eastAsia="標楷體" w:hAnsi="標楷體"/>
          <w:color w:val="000000"/>
        </w:rPr>
      </w:pPr>
      <w:r>
        <w:rPr>
          <w:rFonts w:ascii="標楷體" w:eastAsia="標楷體" w:hAnsi="標楷體"/>
          <w:color w:val="000000"/>
        </w:rPr>
        <w:t>4.使用32週後進行評估，與未使用前比較，若「惡化」情形減少，方可繼續使用。</w:t>
      </w:r>
    </w:p>
    <w:p w14:paraId="45A18C1E" w14:textId="77777777" w:rsidR="00BD776B" w:rsidRDefault="00DF0C24">
      <w:pPr>
        <w:spacing w:line="380" w:lineRule="exact"/>
        <w:ind w:left="566"/>
        <w:rPr>
          <w:rFonts w:ascii="標楷體" w:eastAsia="標楷體" w:hAnsi="標楷體"/>
          <w:color w:val="000000"/>
        </w:rPr>
      </w:pPr>
      <w:r>
        <w:rPr>
          <w:rFonts w:ascii="標楷體" w:eastAsia="標楷體" w:hAnsi="標楷體"/>
          <w:color w:val="000000"/>
        </w:rPr>
        <w:t>備註：</w:t>
      </w:r>
    </w:p>
    <w:p w14:paraId="61892F44" w14:textId="77777777" w:rsidR="00BD776B" w:rsidRDefault="00DF0C24">
      <w:pPr>
        <w:spacing w:line="380" w:lineRule="exact"/>
        <w:ind w:left="991" w:hanging="425"/>
        <w:rPr>
          <w:rFonts w:ascii="標楷體" w:eastAsia="標楷體" w:hAnsi="標楷體"/>
          <w:color w:val="000000"/>
        </w:rPr>
      </w:pPr>
      <w:r>
        <w:rPr>
          <w:rFonts w:ascii="標楷體" w:eastAsia="標楷體" w:hAnsi="標楷體"/>
          <w:color w:val="000000"/>
        </w:rPr>
        <w:t>1.「惡化」的定義為必須使用口服/全身性類固醇治療、或住院治療、或送急診</w:t>
      </w:r>
      <w:r>
        <w:rPr>
          <w:rFonts w:ascii="標楷體" w:eastAsia="標楷體" w:hAnsi="標楷體"/>
          <w:color w:val="000000"/>
        </w:rPr>
        <w:lastRenderedPageBreak/>
        <w:t>治療的氣喘惡化現象。</w:t>
      </w:r>
    </w:p>
    <w:p w14:paraId="66E731C5" w14:textId="77777777" w:rsidR="00BD776B" w:rsidRDefault="00DF0C24">
      <w:pPr>
        <w:spacing w:line="380" w:lineRule="exact"/>
        <w:ind w:left="566"/>
        <w:rPr>
          <w:rFonts w:ascii="標楷體" w:eastAsia="標楷體" w:hAnsi="標楷體"/>
          <w:color w:val="000000"/>
        </w:rPr>
      </w:pPr>
      <w:r>
        <w:rPr>
          <w:rFonts w:ascii="標楷體" w:eastAsia="標楷體" w:hAnsi="標楷體"/>
          <w:color w:val="000000"/>
        </w:rPr>
        <w:t>2.「最適切的標準療法」係指符合GINA治療指引Step 5之規範。(109/11/1）</w:t>
      </w:r>
    </w:p>
    <w:p w14:paraId="4E6D4C40" w14:textId="77777777" w:rsidR="00BD776B" w:rsidRDefault="00DF0C24">
      <w:pPr>
        <w:tabs>
          <w:tab w:val="left" w:pos="851"/>
        </w:tabs>
        <w:ind w:left="546" w:hanging="284"/>
        <w:rPr>
          <w:rFonts w:ascii="標楷體" w:eastAsia="標楷體" w:hAnsi="標楷體"/>
          <w:szCs w:val="24"/>
        </w:rPr>
      </w:pPr>
      <w:r>
        <w:rPr>
          <w:rFonts w:ascii="標楷體" w:eastAsia="標楷體" w:hAnsi="標楷體"/>
          <w:szCs w:val="24"/>
        </w:rPr>
        <w:t>6.2.9.Dupilumab (如Dupixent)：(113/2/1)</w:t>
      </w:r>
    </w:p>
    <w:p w14:paraId="52130C7D" w14:textId="77777777" w:rsidR="00BD776B" w:rsidRDefault="00DF0C24">
      <w:pPr>
        <w:tabs>
          <w:tab w:val="left" w:pos="851"/>
        </w:tabs>
        <w:ind w:left="927" w:hanging="284"/>
        <w:rPr>
          <w:rFonts w:ascii="標楷體" w:eastAsia="標楷體" w:hAnsi="標楷體"/>
          <w:szCs w:val="24"/>
        </w:rPr>
      </w:pPr>
      <w:r>
        <w:rPr>
          <w:rFonts w:ascii="標楷體" w:eastAsia="標楷體" w:hAnsi="標楷體"/>
          <w:szCs w:val="24"/>
        </w:rPr>
        <w:t>1.限用於嗜伊紅性(嗜酸性)白血球表現型的嚴重氣喘且控制不良(severe refractory eosinophilic asthma)之12歲以上病人，且需符合下列各項條件：</w:t>
      </w:r>
    </w:p>
    <w:p w14:paraId="3FD2FE10" w14:textId="77777777" w:rsidR="00BD776B" w:rsidRDefault="00DF0C24">
      <w:pPr>
        <w:pStyle w:val="af"/>
        <w:ind w:left="1352" w:hanging="423"/>
        <w:rPr>
          <w:rFonts w:ascii="標楷體" w:eastAsia="標楷體" w:hAnsi="標楷體"/>
        </w:rPr>
      </w:pPr>
      <w:r>
        <w:rPr>
          <w:rFonts w:ascii="標楷體" w:eastAsia="標楷體" w:hAnsi="標楷體"/>
        </w:rPr>
        <w:t>(1)須經胸腔專科或過敏免疫或兒科專科醫師診斷。</w:t>
      </w:r>
    </w:p>
    <w:p w14:paraId="1C697FCF" w14:textId="77777777" w:rsidR="00BD776B" w:rsidRDefault="00DF0C24">
      <w:pPr>
        <w:pStyle w:val="af"/>
        <w:ind w:left="1352" w:hanging="423"/>
        <w:rPr>
          <w:rFonts w:ascii="標楷體" w:eastAsia="標楷體" w:hAnsi="標楷體"/>
        </w:rPr>
      </w:pPr>
      <w:r>
        <w:rPr>
          <w:rFonts w:ascii="標楷體" w:eastAsia="標楷體" w:hAnsi="標楷體"/>
        </w:rPr>
        <w:t>(2)投藥前12個月內的血中嗜伊紅性(嗜酸性)白血球≧300 cells/mcL。</w:t>
      </w:r>
    </w:p>
    <w:p w14:paraId="1658F36E" w14:textId="77777777" w:rsidR="00BD776B" w:rsidRDefault="00DF0C24">
      <w:pPr>
        <w:pStyle w:val="af"/>
        <w:ind w:left="1352" w:hanging="423"/>
        <w:rPr>
          <w:rFonts w:ascii="標楷體" w:eastAsia="標楷體" w:hAnsi="標楷體"/>
        </w:rPr>
      </w:pPr>
      <w:r>
        <w:rPr>
          <w:rFonts w:ascii="標楷體" w:eastAsia="標楷體" w:hAnsi="標楷體"/>
        </w:rPr>
        <w:t>(3)病人已使用最適切的標準療法。</w:t>
      </w:r>
    </w:p>
    <w:p w14:paraId="6D7F8485" w14:textId="77777777" w:rsidR="00BD776B" w:rsidRDefault="00DF0C24">
      <w:pPr>
        <w:pStyle w:val="af"/>
        <w:ind w:left="1352" w:hanging="423"/>
        <w:rPr>
          <w:rFonts w:ascii="標楷體" w:eastAsia="標楷體" w:hAnsi="標楷體"/>
        </w:rPr>
      </w:pPr>
      <w:r>
        <w:rPr>
          <w:rFonts w:ascii="標楷體" w:eastAsia="標楷體" w:hAnsi="標楷體"/>
        </w:rPr>
        <w:t>(4)18歲以上病人過去6個月、12歲以上至未滿18歲過去1至3個月，持續使用口服類固醇prednisolone每天至少5mg或等價當量(equivalence)。</w:t>
      </w:r>
    </w:p>
    <w:p w14:paraId="500BE00C" w14:textId="77777777" w:rsidR="00BD776B" w:rsidRDefault="00DF0C24">
      <w:pPr>
        <w:pStyle w:val="af"/>
        <w:ind w:left="1352" w:hanging="423"/>
        <w:rPr>
          <w:rFonts w:ascii="標楷體" w:eastAsia="標楷體" w:hAnsi="標楷體"/>
        </w:rPr>
      </w:pPr>
      <w:r>
        <w:rPr>
          <w:rFonts w:ascii="標楷體" w:eastAsia="標楷體" w:hAnsi="標楷體"/>
        </w:rPr>
        <w:t>(5)過去12個月內有2次或2次以上因氣喘急性惡化而需要使用全身性類固醇，且其中至少一次是因為氣喘惡化而需急診或住院治療。</w:t>
      </w:r>
    </w:p>
    <w:p w14:paraId="729EFE67" w14:textId="77777777" w:rsidR="00BD776B" w:rsidRDefault="00DF0C24">
      <w:pPr>
        <w:tabs>
          <w:tab w:val="left" w:pos="851"/>
        </w:tabs>
        <w:ind w:left="927" w:hanging="284"/>
        <w:rPr>
          <w:rFonts w:ascii="標楷體" w:eastAsia="標楷體" w:hAnsi="標楷體"/>
          <w:szCs w:val="24"/>
        </w:rPr>
      </w:pPr>
      <w:r>
        <w:rPr>
          <w:rFonts w:ascii="標楷體" w:eastAsia="標楷體" w:hAnsi="標楷體"/>
          <w:szCs w:val="24"/>
        </w:rPr>
        <w:t>2.需經事前審查核准後使用。</w:t>
      </w:r>
    </w:p>
    <w:p w14:paraId="5892B1A6" w14:textId="77777777" w:rsidR="00BD776B" w:rsidRDefault="00DF0C24">
      <w:pPr>
        <w:tabs>
          <w:tab w:val="left" w:pos="851"/>
        </w:tabs>
        <w:ind w:left="927" w:hanging="284"/>
        <w:rPr>
          <w:rFonts w:ascii="標楷體" w:eastAsia="標楷體" w:hAnsi="標楷體"/>
          <w:szCs w:val="24"/>
        </w:rPr>
      </w:pPr>
      <w:r>
        <w:rPr>
          <w:rFonts w:ascii="標楷體" w:eastAsia="標楷體" w:hAnsi="標楷體"/>
          <w:szCs w:val="24"/>
        </w:rPr>
        <w:t xml:space="preserve">3.使用頻率： </w:t>
      </w:r>
    </w:p>
    <w:p w14:paraId="0EB60D71" w14:textId="77777777" w:rsidR="00BD776B" w:rsidRDefault="00DF0C24">
      <w:pPr>
        <w:pStyle w:val="af"/>
        <w:ind w:left="1352" w:hanging="423"/>
        <w:rPr>
          <w:rFonts w:ascii="標楷體" w:eastAsia="標楷體" w:hAnsi="標楷體"/>
        </w:rPr>
      </w:pPr>
      <w:r>
        <w:rPr>
          <w:rFonts w:ascii="標楷體" w:eastAsia="標楷體" w:hAnsi="標楷體"/>
        </w:rPr>
        <w:t>(1)口服皮質類固醇依賴型的氣喘，或合併有中度至重度異位性皮膚炎，或合併有慢性鼻竇炎合併鼻息肉：起始劑量為600 mg(300 mg注射兩劑)，接著以300 mg每2週注射一次。</w:t>
      </w:r>
    </w:p>
    <w:p w14:paraId="792E5D3F" w14:textId="77777777" w:rsidR="00BD776B" w:rsidRDefault="00DF0C24">
      <w:pPr>
        <w:pStyle w:val="af"/>
        <w:ind w:left="1352" w:hanging="423"/>
        <w:rPr>
          <w:rFonts w:ascii="標楷體" w:eastAsia="標楷體" w:hAnsi="標楷體"/>
        </w:rPr>
      </w:pPr>
      <w:r>
        <w:rPr>
          <w:rFonts w:ascii="標楷體" w:eastAsia="標楷體" w:hAnsi="標楷體"/>
        </w:rPr>
        <w:t>(2)其他病人為起始劑量為400 mg(200 mg注射兩劑)，接著以200 mg每2週注射一次。</w:t>
      </w:r>
    </w:p>
    <w:p w14:paraId="02BC38BF" w14:textId="77777777" w:rsidR="00BD776B" w:rsidRDefault="00DF0C24">
      <w:pPr>
        <w:tabs>
          <w:tab w:val="left" w:pos="851"/>
        </w:tabs>
        <w:ind w:left="927" w:hanging="284"/>
        <w:rPr>
          <w:rFonts w:ascii="標楷體" w:eastAsia="標楷體" w:hAnsi="標楷體"/>
          <w:szCs w:val="24"/>
        </w:rPr>
      </w:pPr>
      <w:r>
        <w:rPr>
          <w:rFonts w:ascii="標楷體" w:eastAsia="標楷體" w:hAnsi="標楷體"/>
          <w:szCs w:val="24"/>
        </w:rPr>
        <w:t>4.使用32週後進行評估，與未使用前比較，若「惡化」情形減少，方可繼續使用。</w:t>
      </w:r>
    </w:p>
    <w:p w14:paraId="09D9986F" w14:textId="77777777" w:rsidR="00BD776B" w:rsidRDefault="00DF0C24">
      <w:pPr>
        <w:tabs>
          <w:tab w:val="left" w:pos="851"/>
        </w:tabs>
        <w:ind w:left="927" w:hanging="284"/>
        <w:rPr>
          <w:rFonts w:ascii="標楷體" w:eastAsia="標楷體" w:hAnsi="標楷體"/>
          <w:szCs w:val="24"/>
        </w:rPr>
      </w:pPr>
      <w:r>
        <w:rPr>
          <w:rFonts w:ascii="標楷體" w:eastAsia="標楷體" w:hAnsi="標楷體"/>
          <w:szCs w:val="24"/>
        </w:rPr>
        <w:t>5.不得併用其他治療氣喘之生物製劑。</w:t>
      </w:r>
    </w:p>
    <w:p w14:paraId="7BB991C5" w14:textId="77777777" w:rsidR="00BD776B" w:rsidRDefault="00DF0C24">
      <w:pPr>
        <w:tabs>
          <w:tab w:val="left" w:pos="851"/>
        </w:tabs>
        <w:ind w:left="760" w:hanging="280"/>
        <w:rPr>
          <w:rFonts w:ascii="標楷體" w:eastAsia="標楷體" w:hAnsi="標楷體"/>
          <w:szCs w:val="24"/>
        </w:rPr>
      </w:pPr>
      <w:r>
        <w:rPr>
          <w:rFonts w:ascii="標楷體" w:eastAsia="標楷體" w:hAnsi="標楷體"/>
          <w:szCs w:val="24"/>
        </w:rPr>
        <w:t>備註：</w:t>
      </w:r>
    </w:p>
    <w:p w14:paraId="191A3349" w14:textId="77777777" w:rsidR="00BD776B" w:rsidRDefault="00DF0C24">
      <w:pPr>
        <w:pStyle w:val="af"/>
        <w:numPr>
          <w:ilvl w:val="0"/>
          <w:numId w:val="16"/>
        </w:numPr>
        <w:tabs>
          <w:tab w:val="left" w:pos="851"/>
        </w:tabs>
        <w:ind w:left="926" w:hanging="283"/>
        <w:rPr>
          <w:rFonts w:ascii="標楷體" w:eastAsia="標楷體" w:hAnsi="標楷體"/>
        </w:rPr>
      </w:pPr>
      <w:r>
        <w:rPr>
          <w:rFonts w:ascii="標楷體" w:eastAsia="標楷體" w:hAnsi="標楷體"/>
        </w:rPr>
        <w:t>「惡化」的定義為必須使用口服/全身性類固醇治療、或住院治療、或送急診治療的氣喘惡化現象。</w:t>
      </w:r>
    </w:p>
    <w:p w14:paraId="1D2E4479" w14:textId="77777777" w:rsidR="00BD776B" w:rsidRDefault="00DF0C24">
      <w:pPr>
        <w:pStyle w:val="af"/>
        <w:numPr>
          <w:ilvl w:val="0"/>
          <w:numId w:val="16"/>
        </w:numPr>
        <w:tabs>
          <w:tab w:val="left" w:pos="851"/>
        </w:tabs>
        <w:ind w:left="926" w:hanging="283"/>
        <w:rPr>
          <w:rFonts w:ascii="標楷體" w:eastAsia="標楷體" w:hAnsi="標楷體"/>
        </w:rPr>
      </w:pPr>
      <w:r>
        <w:rPr>
          <w:rFonts w:ascii="標楷體" w:eastAsia="標楷體" w:hAnsi="標楷體"/>
        </w:rPr>
        <w:t>「最適切的標準療法」係指符合GINA治療指引Step 5之規範。</w:t>
      </w:r>
    </w:p>
    <w:p w14:paraId="60128C6F" w14:textId="77777777" w:rsidR="00FD47EB" w:rsidRPr="00FD47EB" w:rsidRDefault="00FD47EB" w:rsidP="00FD47EB">
      <w:pPr>
        <w:tabs>
          <w:tab w:val="left" w:pos="851"/>
        </w:tabs>
        <w:ind w:left="546" w:hanging="284"/>
        <w:rPr>
          <w:rFonts w:ascii="標楷體" w:eastAsia="標楷體" w:hAnsi="標楷體"/>
          <w:szCs w:val="24"/>
        </w:rPr>
      </w:pPr>
      <w:r w:rsidRPr="00FD47EB">
        <w:rPr>
          <w:rFonts w:ascii="標楷體" w:eastAsia="標楷體" w:hAnsi="標楷體"/>
          <w:szCs w:val="24"/>
        </w:rPr>
        <w:t>6.2.10. Tezepelumab (如Tezspire)：(113/6/1)</w:t>
      </w:r>
    </w:p>
    <w:p w14:paraId="42A26F51" w14:textId="2EDB0C16" w:rsidR="00FD47EB" w:rsidRPr="00FD47EB" w:rsidRDefault="00FD47EB" w:rsidP="00FD47EB">
      <w:pPr>
        <w:tabs>
          <w:tab w:val="left" w:pos="851"/>
        </w:tabs>
        <w:ind w:left="927" w:hanging="284"/>
        <w:rPr>
          <w:rFonts w:ascii="標楷體" w:eastAsia="標楷體" w:hAnsi="標楷體"/>
          <w:color w:val="000000"/>
        </w:rPr>
      </w:pPr>
      <w:r>
        <w:rPr>
          <w:rFonts w:ascii="標楷體" w:eastAsia="標楷體" w:hAnsi="標楷體" w:hint="eastAsia"/>
          <w:szCs w:val="24"/>
        </w:rPr>
        <w:t>1.</w:t>
      </w:r>
      <w:r w:rsidRPr="00FD47EB">
        <w:rPr>
          <w:rFonts w:ascii="標楷體" w:eastAsia="標楷體" w:hAnsi="標楷體"/>
          <w:szCs w:val="24"/>
        </w:rPr>
        <w:t>限用於經胸腔專科或過敏免疫專科醫師診斷為嚴重氣喘且控制不良(severe asthma)之</w:t>
      </w:r>
      <w:r w:rsidRPr="00FD47EB">
        <w:rPr>
          <w:rFonts w:ascii="標楷體" w:eastAsia="標楷體" w:hAnsi="標楷體"/>
          <w:color w:val="000000"/>
        </w:rPr>
        <w:t>18歲以上成人病人，且須符合下列條件：</w:t>
      </w:r>
    </w:p>
    <w:p w14:paraId="6C954CF7" w14:textId="2270B2E2" w:rsidR="00FD47EB" w:rsidRPr="00FD47EB" w:rsidRDefault="004E089E" w:rsidP="004E089E">
      <w:pPr>
        <w:spacing w:line="380" w:lineRule="exact"/>
        <w:ind w:left="1440"/>
        <w:rPr>
          <w:rFonts w:ascii="標楷體" w:eastAsia="標楷體" w:hAnsi="標楷體"/>
          <w:color w:val="000000"/>
        </w:rPr>
      </w:pPr>
      <w:r>
        <w:rPr>
          <w:rFonts w:ascii="標楷體" w:eastAsia="標楷體" w:hAnsi="標楷體"/>
        </w:rPr>
        <w:t>(1)</w:t>
      </w:r>
      <w:r w:rsidR="00FD47EB" w:rsidRPr="004E089E">
        <w:rPr>
          <w:rFonts w:ascii="標楷體" w:eastAsia="標楷體" w:hAnsi="標楷體"/>
        </w:rPr>
        <w:t>病人已遵循最適</w:t>
      </w:r>
      <w:r w:rsidR="00FD47EB" w:rsidRPr="00FD47EB">
        <w:rPr>
          <w:rFonts w:ascii="標楷體" w:eastAsia="標楷體" w:hAnsi="標楷體"/>
          <w:color w:val="000000"/>
        </w:rPr>
        <w:t>切的標準療法。</w:t>
      </w:r>
    </w:p>
    <w:p w14:paraId="36B69811" w14:textId="19BFB92A" w:rsidR="00FD47EB" w:rsidRPr="00FD47EB" w:rsidRDefault="004E089E" w:rsidP="004E089E">
      <w:pPr>
        <w:pStyle w:val="af"/>
        <w:ind w:left="1352" w:hanging="423"/>
        <w:rPr>
          <w:rFonts w:ascii="標楷體" w:eastAsia="標楷體" w:hAnsi="標楷體"/>
          <w:color w:val="000000"/>
        </w:rPr>
      </w:pPr>
      <w:r>
        <w:rPr>
          <w:rFonts w:ascii="標楷體" w:eastAsia="標楷體" w:hAnsi="標楷體"/>
        </w:rPr>
        <w:t>(2)</w:t>
      </w:r>
      <w:r w:rsidR="00FD47EB" w:rsidRPr="00FD47EB">
        <w:rPr>
          <w:rFonts w:ascii="標楷體" w:eastAsia="標楷體" w:hAnsi="標楷體"/>
          <w:color w:val="000000"/>
        </w:rPr>
        <w:t>過去12個月內有2次或2次以上因氣喘急性惡化而需要使用全身性類固醇，且其中至少一次是因為氣喘惡化而需急診或住院治療。</w:t>
      </w:r>
    </w:p>
    <w:p w14:paraId="15F4933A" w14:textId="4CD9307E" w:rsidR="00FD47EB" w:rsidRPr="00FD47EB" w:rsidRDefault="00FD47EB" w:rsidP="00FD47EB">
      <w:pPr>
        <w:tabs>
          <w:tab w:val="left" w:pos="851"/>
        </w:tabs>
        <w:ind w:left="927" w:hanging="284"/>
        <w:rPr>
          <w:rFonts w:ascii="標楷體" w:eastAsia="標楷體" w:hAnsi="標楷體"/>
          <w:color w:val="000000"/>
        </w:rPr>
      </w:pPr>
      <w:r w:rsidRPr="00FD47EB">
        <w:rPr>
          <w:rFonts w:ascii="標楷體" w:eastAsia="標楷體" w:hAnsi="標楷體" w:hint="eastAsia"/>
          <w:szCs w:val="24"/>
        </w:rPr>
        <w:t>2.</w:t>
      </w:r>
      <w:r w:rsidRPr="00FD47EB">
        <w:rPr>
          <w:rFonts w:ascii="標楷體" w:eastAsia="標楷體" w:hAnsi="標楷體"/>
          <w:szCs w:val="24"/>
        </w:rPr>
        <w:t>需經事前</w:t>
      </w:r>
      <w:r w:rsidRPr="00FD47EB">
        <w:rPr>
          <w:rFonts w:ascii="標楷體" w:eastAsia="標楷體" w:hAnsi="標楷體"/>
          <w:color w:val="000000"/>
        </w:rPr>
        <w:t>審查核准後使用。</w:t>
      </w:r>
    </w:p>
    <w:p w14:paraId="62C0E3BF" w14:textId="62C8E585" w:rsidR="00FD47EB" w:rsidRPr="00FD47EB" w:rsidRDefault="00FD47EB" w:rsidP="00FD47EB">
      <w:pPr>
        <w:tabs>
          <w:tab w:val="left" w:pos="851"/>
        </w:tabs>
        <w:ind w:left="927" w:hanging="284"/>
        <w:rPr>
          <w:rFonts w:ascii="標楷體" w:eastAsia="標楷體" w:hAnsi="標楷體"/>
          <w:color w:val="000000"/>
        </w:rPr>
      </w:pPr>
      <w:r>
        <w:rPr>
          <w:rFonts w:ascii="標楷體" w:eastAsia="標楷體" w:hAnsi="標楷體" w:hint="eastAsia"/>
          <w:color w:val="000000"/>
        </w:rPr>
        <w:t>3.</w:t>
      </w:r>
      <w:r w:rsidRPr="00FD47EB">
        <w:rPr>
          <w:rFonts w:ascii="標楷體" w:eastAsia="標楷體" w:hAnsi="標楷體"/>
          <w:color w:val="000000"/>
        </w:rPr>
        <w:t>使用頻率：Tezepelumab每4週使用不得超過1次。</w:t>
      </w:r>
    </w:p>
    <w:p w14:paraId="1CEE01C3" w14:textId="0FE48A51" w:rsidR="00FD47EB" w:rsidRPr="00FD47EB" w:rsidRDefault="00FD47EB" w:rsidP="00FD47EB">
      <w:pPr>
        <w:tabs>
          <w:tab w:val="left" w:pos="851"/>
        </w:tabs>
        <w:ind w:left="927" w:hanging="284"/>
        <w:rPr>
          <w:rFonts w:ascii="標楷體" w:eastAsia="標楷體" w:hAnsi="標楷體"/>
          <w:color w:val="000000"/>
        </w:rPr>
      </w:pPr>
      <w:r>
        <w:rPr>
          <w:rFonts w:ascii="標楷體" w:eastAsia="標楷體" w:hAnsi="標楷體" w:hint="eastAsia"/>
          <w:color w:val="000000"/>
        </w:rPr>
        <w:t>4.</w:t>
      </w:r>
      <w:r w:rsidRPr="00FD47EB">
        <w:rPr>
          <w:rFonts w:ascii="標楷體" w:eastAsia="標楷體" w:hAnsi="標楷體"/>
          <w:color w:val="000000"/>
        </w:rPr>
        <w:t>使用32週後進行評估，與未使用前比較，若惡化情形減少，方可繼續使用。</w:t>
      </w:r>
    </w:p>
    <w:p w14:paraId="71C6547A" w14:textId="77777777" w:rsidR="00FD47EB" w:rsidRPr="00FD47EB" w:rsidRDefault="00FD47EB" w:rsidP="004E089E">
      <w:pPr>
        <w:tabs>
          <w:tab w:val="left" w:pos="851"/>
        </w:tabs>
        <w:ind w:left="760" w:hanging="280"/>
        <w:rPr>
          <w:rFonts w:ascii="標楷體" w:eastAsia="標楷體" w:hAnsi="標楷體"/>
          <w:color w:val="000000"/>
        </w:rPr>
      </w:pPr>
      <w:r w:rsidRPr="00FD47EB">
        <w:rPr>
          <w:rFonts w:ascii="標楷體" w:eastAsia="標楷體" w:hAnsi="標楷體"/>
          <w:color w:val="000000"/>
        </w:rPr>
        <w:t>備註：</w:t>
      </w:r>
    </w:p>
    <w:p w14:paraId="3E447D46" w14:textId="77777777" w:rsidR="004E089E" w:rsidRDefault="00FD47EB" w:rsidP="008A7063">
      <w:pPr>
        <w:pStyle w:val="af"/>
        <w:numPr>
          <w:ilvl w:val="0"/>
          <w:numId w:val="128"/>
        </w:numPr>
        <w:tabs>
          <w:tab w:val="left" w:pos="851"/>
        </w:tabs>
        <w:ind w:left="925" w:hanging="284"/>
        <w:rPr>
          <w:rFonts w:ascii="標楷體" w:eastAsia="標楷體" w:hAnsi="標楷體"/>
        </w:rPr>
      </w:pPr>
      <w:r w:rsidRPr="004E089E">
        <w:rPr>
          <w:rFonts w:ascii="標楷體" w:eastAsia="標楷體" w:hAnsi="標楷體"/>
        </w:rPr>
        <w:t>「惡化」的定義為必須使用口服/全身性類固醇治療、或住院治療、或送急診治療的氣喘惡化現象。</w:t>
      </w:r>
    </w:p>
    <w:p w14:paraId="13059E57" w14:textId="380DD70D" w:rsidR="00BD776B" w:rsidRPr="004E089E" w:rsidRDefault="00FD47EB" w:rsidP="008A7063">
      <w:pPr>
        <w:pStyle w:val="af"/>
        <w:numPr>
          <w:ilvl w:val="0"/>
          <w:numId w:val="128"/>
        </w:numPr>
        <w:tabs>
          <w:tab w:val="left" w:pos="851"/>
        </w:tabs>
        <w:ind w:left="925" w:hanging="284"/>
        <w:rPr>
          <w:rFonts w:ascii="標楷體" w:eastAsia="標楷體" w:hAnsi="標楷體"/>
        </w:rPr>
      </w:pPr>
      <w:r w:rsidRPr="004E089E">
        <w:rPr>
          <w:rFonts w:ascii="標楷體" w:eastAsia="標楷體" w:hAnsi="標楷體"/>
        </w:rPr>
        <w:t>「最適切</w:t>
      </w:r>
      <w:r w:rsidRPr="004E089E">
        <w:rPr>
          <w:rFonts w:ascii="標楷體" w:eastAsia="標楷體" w:hAnsi="標楷體"/>
          <w:color w:val="000000"/>
        </w:rPr>
        <w:t>的標準療法」係指符合GINA治療指引Step 5之規範。</w:t>
      </w:r>
    </w:p>
    <w:p w14:paraId="599834EA" w14:textId="77777777" w:rsidR="00BD776B" w:rsidRDefault="00BD776B">
      <w:pPr>
        <w:pageBreakBefore/>
        <w:widowControl/>
        <w:suppressAutoHyphens w:val="0"/>
        <w:rPr>
          <w:rFonts w:ascii="標楷體" w:eastAsia="標楷體" w:hAnsi="標楷體"/>
          <w:color w:val="000000"/>
        </w:rPr>
      </w:pPr>
    </w:p>
    <w:p w14:paraId="3F32CF86" w14:textId="28EAC398" w:rsidR="00BD776B" w:rsidRDefault="00DF0C24">
      <w:pPr>
        <w:pStyle w:val="ab"/>
        <w:spacing w:line="380" w:lineRule="exact"/>
      </w:pPr>
      <w:r>
        <w:rPr>
          <w:rFonts w:ascii="標楷體" w:eastAsia="標楷體" w:hAnsi="標楷體"/>
          <w:color w:val="000000"/>
          <w:kern w:val="0"/>
        </w:rPr>
        <w:t>成人</w:t>
      </w:r>
      <w:r>
        <w:rPr>
          <w:rFonts w:ascii="標楷體" w:eastAsia="標楷體" w:hAnsi="標楷體"/>
          <w:color w:val="000000"/>
        </w:rPr>
        <w:t>呼吸道疾患吸入製劑給付規定表（91</w:t>
      </w:r>
      <w:r w:rsidR="00163F29">
        <w:rPr>
          <w:rFonts w:ascii="標楷體" w:eastAsia="標楷體" w:hAnsi="標楷體" w:hint="eastAsia"/>
          <w:color w:val="000000"/>
        </w:rPr>
        <w:t>/</w:t>
      </w:r>
      <w:r>
        <w:rPr>
          <w:rFonts w:ascii="標楷體" w:eastAsia="標楷體" w:hAnsi="標楷體"/>
          <w:color w:val="000000"/>
        </w:rPr>
        <w:t>8</w:t>
      </w:r>
      <w:r w:rsidR="00163F29">
        <w:rPr>
          <w:rFonts w:ascii="標楷體" w:eastAsia="標楷體" w:hAnsi="標楷體" w:hint="eastAsia"/>
          <w:color w:val="000000"/>
        </w:rPr>
        <w:t>/</w:t>
      </w:r>
      <w:r>
        <w:rPr>
          <w:rFonts w:ascii="標楷體" w:eastAsia="標楷體" w:hAnsi="標楷體"/>
          <w:color w:val="000000"/>
        </w:rPr>
        <w:t>1、</w:t>
      </w:r>
      <w:r>
        <w:rPr>
          <w:rFonts w:ascii="標楷體" w:eastAsia="標楷體" w:hAnsi="標楷體"/>
          <w:color w:val="000000"/>
          <w:kern w:val="0"/>
        </w:rPr>
        <w:t>111/3/1</w:t>
      </w:r>
      <w:r w:rsidR="00AC0100">
        <w:rPr>
          <w:rFonts w:ascii="標楷體" w:eastAsia="標楷體" w:hAnsi="標楷體" w:hint="eastAsia"/>
          <w:color w:val="000000"/>
          <w:kern w:val="0"/>
        </w:rPr>
        <w:t>、113/8/1</w:t>
      </w:r>
      <w:r>
        <w:rPr>
          <w:rFonts w:ascii="標楷體" w:eastAsia="標楷體" w:hAnsi="標楷體"/>
          <w:color w:val="000000"/>
        </w:rPr>
        <w:t>）</w:t>
      </w:r>
    </w:p>
    <w:tbl>
      <w:tblPr>
        <w:tblW w:w="5000" w:type="pct"/>
        <w:jc w:val="center"/>
        <w:tblLayout w:type="fixed"/>
        <w:tblCellMar>
          <w:left w:w="10" w:type="dxa"/>
          <w:right w:w="10" w:type="dxa"/>
        </w:tblCellMar>
        <w:tblLook w:val="0000" w:firstRow="0" w:lastRow="0" w:firstColumn="0" w:lastColumn="0" w:noHBand="0" w:noVBand="0"/>
      </w:tblPr>
      <w:tblGrid>
        <w:gridCol w:w="1497"/>
        <w:gridCol w:w="3463"/>
        <w:gridCol w:w="1543"/>
        <w:gridCol w:w="2551"/>
      </w:tblGrid>
      <w:tr w:rsidR="00BD776B" w14:paraId="6B632A0E" w14:textId="77777777">
        <w:trPr>
          <w:trHeight w:val="584"/>
          <w:jc w:val="center"/>
        </w:trPr>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500B58" w14:textId="77777777" w:rsidR="00BD776B" w:rsidRDefault="00DF0C24">
            <w:pPr>
              <w:pStyle w:val="ab"/>
              <w:spacing w:line="360" w:lineRule="exact"/>
              <w:jc w:val="center"/>
            </w:pPr>
            <w:r>
              <w:rPr>
                <w:rFonts w:ascii="標楷體" w:eastAsia="標楷體" w:hAnsi="標楷體"/>
                <w:b/>
                <w:color w:val="000000"/>
              </w:rPr>
              <w:t xml:space="preserve"> </w:t>
            </w:r>
          </w:p>
        </w:tc>
        <w:tc>
          <w:tcPr>
            <w:tcW w:w="34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CFE344" w14:textId="77777777" w:rsidR="00BD776B" w:rsidRDefault="00DF0C24">
            <w:pPr>
              <w:pStyle w:val="ab"/>
              <w:spacing w:line="360" w:lineRule="exact"/>
              <w:jc w:val="center"/>
            </w:pPr>
            <w:r>
              <w:rPr>
                <w:rFonts w:ascii="標楷體" w:eastAsia="標楷體" w:hAnsi="標楷體"/>
                <w:b/>
                <w:color w:val="000000"/>
              </w:rPr>
              <w:t>定量吸入劑(MDI)</w:t>
            </w:r>
          </w:p>
        </w:tc>
        <w:tc>
          <w:tcPr>
            <w:tcW w:w="15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4E9FAB" w14:textId="77777777" w:rsidR="00BD776B" w:rsidRDefault="00DF0C24">
            <w:pPr>
              <w:pStyle w:val="ab"/>
              <w:spacing w:line="360" w:lineRule="exact"/>
              <w:jc w:val="center"/>
            </w:pPr>
            <w:r>
              <w:rPr>
                <w:rFonts w:ascii="標楷體" w:eastAsia="標楷體" w:hAnsi="標楷體"/>
                <w:b/>
                <w:color w:val="000000"/>
              </w:rPr>
              <w:t>乾粉吸入劑(DPI)</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500F2F" w14:textId="77777777" w:rsidR="00BD776B" w:rsidRDefault="00DF0C24">
            <w:pPr>
              <w:pStyle w:val="ab"/>
              <w:spacing w:line="360" w:lineRule="exact"/>
              <w:jc w:val="center"/>
            </w:pPr>
            <w:r>
              <w:rPr>
                <w:rFonts w:ascii="標楷體" w:eastAsia="標楷體" w:hAnsi="標楷體"/>
                <w:b/>
                <w:color w:val="000000"/>
              </w:rPr>
              <w:t xml:space="preserve">霧化吸入劑 (nebulizer) </w:t>
            </w:r>
          </w:p>
        </w:tc>
      </w:tr>
      <w:tr w:rsidR="00BD776B" w14:paraId="2CED5B68" w14:textId="77777777">
        <w:trPr>
          <w:trHeight w:val="411"/>
          <w:jc w:val="center"/>
        </w:trPr>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514CD3" w14:textId="77777777" w:rsidR="00BD776B" w:rsidRDefault="00DF0C24">
            <w:pPr>
              <w:pStyle w:val="ab"/>
              <w:snapToGrid w:val="0"/>
              <w:spacing w:line="360" w:lineRule="exact"/>
            </w:pPr>
            <w:r>
              <w:rPr>
                <w:rFonts w:ascii="標楷體" w:eastAsia="標楷體" w:hAnsi="標楷體"/>
                <w:color w:val="000000"/>
              </w:rPr>
              <w:t>支氣管擴張劑(bronchodilators)</w:t>
            </w:r>
          </w:p>
        </w:tc>
        <w:tc>
          <w:tcPr>
            <w:tcW w:w="34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FD30AB" w14:textId="77777777" w:rsidR="00BD776B" w:rsidRDefault="00DF0C24">
            <w:pPr>
              <w:pStyle w:val="ab"/>
              <w:snapToGrid w:val="0"/>
              <w:spacing w:line="320" w:lineRule="exact"/>
              <w:ind w:left="560" w:hanging="560"/>
              <w:jc w:val="both"/>
            </w:pPr>
            <w:r>
              <w:rPr>
                <w:rFonts w:ascii="標楷體" w:eastAsia="標楷體" w:hAnsi="標楷體"/>
                <w:color w:val="000000"/>
              </w:rPr>
              <w:t>一、短效劑型</w:t>
            </w:r>
          </w:p>
          <w:p w14:paraId="1740C6D2" w14:textId="77777777" w:rsidR="00BD776B" w:rsidRDefault="00DF0C24">
            <w:pPr>
              <w:pStyle w:val="ab"/>
              <w:widowControl/>
              <w:numPr>
                <w:ilvl w:val="0"/>
                <w:numId w:val="17"/>
              </w:numPr>
              <w:tabs>
                <w:tab w:val="left" w:pos="0"/>
              </w:tabs>
              <w:snapToGrid w:val="0"/>
              <w:spacing w:after="0" w:line="320" w:lineRule="exact"/>
              <w:ind w:left="686" w:firstLine="0"/>
              <w:jc w:val="both"/>
              <w:textAlignment w:val="auto"/>
            </w:pPr>
            <w:r>
              <w:rPr>
                <w:rFonts w:ascii="標楷體" w:eastAsia="標楷體" w:hAnsi="標楷體"/>
                <w:color w:val="000000"/>
              </w:rPr>
              <w:t>有症狀時使用，使用頻率每日一般不要超過4到6次。</w:t>
            </w:r>
          </w:p>
          <w:p w14:paraId="2B1830B2" w14:textId="583C7DBB" w:rsidR="00BD776B" w:rsidRDefault="00DF0C24">
            <w:pPr>
              <w:pStyle w:val="ab"/>
              <w:widowControl/>
              <w:numPr>
                <w:ilvl w:val="0"/>
                <w:numId w:val="17"/>
              </w:numPr>
              <w:tabs>
                <w:tab w:val="left" w:pos="0"/>
              </w:tabs>
              <w:snapToGrid w:val="0"/>
              <w:spacing w:after="0" w:line="320" w:lineRule="exact"/>
              <w:ind w:left="686" w:firstLine="0"/>
              <w:jc w:val="both"/>
              <w:textAlignment w:val="auto"/>
            </w:pPr>
            <w:r>
              <w:rPr>
                <w:rFonts w:ascii="標楷體" w:eastAsia="標楷體" w:hAnsi="標楷體"/>
                <w:color w:val="000000"/>
              </w:rPr>
              <w:t>每</w:t>
            </w:r>
            <w:r w:rsidR="00B166AA">
              <w:rPr>
                <w:rFonts w:ascii="標楷體" w:eastAsia="標楷體" w:hAnsi="標楷體" w:hint="eastAsia"/>
                <w:color w:val="000000"/>
              </w:rPr>
              <w:t>28天</w:t>
            </w:r>
            <w:r>
              <w:rPr>
                <w:rFonts w:ascii="標楷體" w:eastAsia="標楷體" w:hAnsi="標楷體"/>
                <w:color w:val="000000"/>
              </w:rPr>
              <w:t>處方不得超過1支短效擴張劑。</w:t>
            </w:r>
          </w:p>
          <w:p w14:paraId="5A10DE4D" w14:textId="77777777" w:rsidR="00BD776B" w:rsidRDefault="00DF0C24">
            <w:pPr>
              <w:pStyle w:val="ab"/>
              <w:widowControl/>
              <w:numPr>
                <w:ilvl w:val="0"/>
                <w:numId w:val="17"/>
              </w:numPr>
              <w:tabs>
                <w:tab w:val="left" w:pos="0"/>
              </w:tabs>
              <w:snapToGrid w:val="0"/>
              <w:spacing w:after="0" w:line="320" w:lineRule="exact"/>
              <w:ind w:left="686" w:firstLine="0"/>
              <w:jc w:val="both"/>
              <w:textAlignment w:val="auto"/>
            </w:pPr>
            <w:r>
              <w:rPr>
                <w:rFonts w:ascii="標楷體" w:eastAsia="標楷體" w:hAnsi="標楷體"/>
                <w:color w:val="000000"/>
              </w:rPr>
              <w:t>不建議長期規則使用。</w:t>
            </w:r>
          </w:p>
          <w:p w14:paraId="542D0E4E" w14:textId="77777777" w:rsidR="00BD776B" w:rsidRDefault="00DF0C24">
            <w:pPr>
              <w:pStyle w:val="ab"/>
              <w:snapToGrid w:val="0"/>
              <w:spacing w:line="320" w:lineRule="exact"/>
              <w:ind w:left="560" w:hanging="560"/>
              <w:jc w:val="both"/>
            </w:pPr>
            <w:r>
              <w:rPr>
                <w:rFonts w:ascii="標楷體" w:eastAsia="標楷體" w:hAnsi="標楷體"/>
                <w:color w:val="000000"/>
              </w:rPr>
              <w:t>二、長效劑型</w:t>
            </w:r>
          </w:p>
          <w:p w14:paraId="5F8ABA79" w14:textId="77777777" w:rsidR="00BD776B" w:rsidRDefault="00DF0C24">
            <w:pPr>
              <w:pStyle w:val="ab"/>
              <w:widowControl/>
              <w:numPr>
                <w:ilvl w:val="0"/>
                <w:numId w:val="18"/>
              </w:numPr>
              <w:tabs>
                <w:tab w:val="left" w:pos="0"/>
              </w:tabs>
              <w:snapToGrid w:val="0"/>
              <w:spacing w:after="0" w:line="320" w:lineRule="exact"/>
              <w:ind w:left="686" w:firstLine="0"/>
              <w:jc w:val="both"/>
              <w:textAlignment w:val="auto"/>
            </w:pPr>
            <w:r>
              <w:rPr>
                <w:rFonts w:ascii="標楷體" w:eastAsia="標楷體" w:hAnsi="標楷體"/>
                <w:color w:val="000000"/>
              </w:rPr>
              <w:t>長效劑型每日1至2次(QD~BID)。</w:t>
            </w:r>
          </w:p>
          <w:p w14:paraId="6820A2A0" w14:textId="77777777" w:rsidR="00BD776B" w:rsidRDefault="00DF0C24">
            <w:pPr>
              <w:pStyle w:val="ab"/>
              <w:widowControl/>
              <w:numPr>
                <w:ilvl w:val="0"/>
                <w:numId w:val="18"/>
              </w:numPr>
              <w:tabs>
                <w:tab w:val="left" w:pos="0"/>
              </w:tabs>
              <w:snapToGrid w:val="0"/>
              <w:spacing w:after="0" w:line="320" w:lineRule="exact"/>
              <w:ind w:left="686" w:firstLine="0"/>
              <w:jc w:val="both"/>
              <w:textAlignment w:val="auto"/>
            </w:pPr>
            <w:r>
              <w:rPr>
                <w:rFonts w:ascii="標楷體" w:eastAsia="標楷體" w:hAnsi="標楷體"/>
                <w:color w:val="000000"/>
              </w:rPr>
              <w:t>限與類固醇藥物吸入劑合併使用於治療氣喘。</w:t>
            </w:r>
          </w:p>
          <w:p w14:paraId="470BB8D4" w14:textId="77777777" w:rsidR="00BD776B" w:rsidRDefault="00DF0C24">
            <w:pPr>
              <w:pStyle w:val="ab"/>
              <w:widowControl/>
              <w:numPr>
                <w:ilvl w:val="0"/>
                <w:numId w:val="18"/>
              </w:numPr>
              <w:tabs>
                <w:tab w:val="left" w:pos="0"/>
              </w:tabs>
              <w:snapToGrid w:val="0"/>
              <w:spacing w:after="0" w:line="320" w:lineRule="exact"/>
              <w:ind w:left="686" w:firstLine="0"/>
              <w:jc w:val="both"/>
              <w:textAlignment w:val="auto"/>
            </w:pPr>
            <w:r>
              <w:rPr>
                <w:rFonts w:ascii="標楷體" w:eastAsia="標楷體" w:hAnsi="標楷體"/>
                <w:color w:val="000000"/>
              </w:rPr>
              <w:t>可用於治療肺阻塞。</w:t>
            </w:r>
          </w:p>
          <w:p w14:paraId="27BE7BA7" w14:textId="3B690F40" w:rsidR="00BD776B" w:rsidRDefault="00DF0C24">
            <w:pPr>
              <w:pStyle w:val="ab"/>
              <w:widowControl/>
              <w:numPr>
                <w:ilvl w:val="0"/>
                <w:numId w:val="18"/>
              </w:numPr>
              <w:tabs>
                <w:tab w:val="left" w:pos="0"/>
              </w:tabs>
              <w:snapToGrid w:val="0"/>
              <w:spacing w:after="0" w:line="320" w:lineRule="exact"/>
              <w:ind w:left="686" w:firstLine="0"/>
              <w:jc w:val="both"/>
              <w:textAlignment w:val="auto"/>
            </w:pPr>
            <w:r>
              <w:rPr>
                <w:rFonts w:ascii="標楷體" w:eastAsia="標楷體" w:hAnsi="標楷體"/>
                <w:color w:val="000000"/>
              </w:rPr>
              <w:t>合併低劑量吸入型類固醇與formoterol之吸入劑於GINA輕度氣喘可用於有症狀或急性發作時之緩解治療，於中度與重度氣喘則可用於每日維持以及緩解治療。此類吸入劑於輕度與中度氣喘每</w:t>
            </w:r>
            <w:r w:rsidR="009A5166">
              <w:rPr>
                <w:rFonts w:ascii="標楷體" w:eastAsia="標楷體" w:hAnsi="標楷體" w:hint="eastAsia"/>
                <w:color w:val="000000"/>
              </w:rPr>
              <w:t>28天</w:t>
            </w:r>
            <w:r>
              <w:rPr>
                <w:rFonts w:ascii="標楷體" w:eastAsia="標楷體" w:hAnsi="標楷體"/>
                <w:color w:val="000000"/>
              </w:rPr>
              <w:t>至多使用1支；於重度氣喘每</w:t>
            </w:r>
            <w:r w:rsidR="00D03B8E">
              <w:rPr>
                <w:rFonts w:ascii="標楷體" w:eastAsia="標楷體" w:hAnsi="標楷體" w:hint="eastAsia"/>
                <w:color w:val="000000"/>
              </w:rPr>
              <w:t>28天</w:t>
            </w:r>
            <w:r>
              <w:rPr>
                <w:rFonts w:ascii="標楷體" w:eastAsia="標楷體" w:hAnsi="標楷體"/>
                <w:color w:val="000000"/>
              </w:rPr>
              <w:t>至多可使用2支，但開立時病歷上應詳細記載氣喘發作與控制狀況，並註明上次取藥日期。</w:t>
            </w:r>
          </w:p>
        </w:tc>
        <w:tc>
          <w:tcPr>
            <w:tcW w:w="15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19A78F4" w14:textId="77777777" w:rsidR="00BD776B" w:rsidRDefault="00DF0C24">
            <w:pPr>
              <w:pStyle w:val="ab"/>
              <w:snapToGrid w:val="0"/>
              <w:spacing w:line="360" w:lineRule="exact"/>
            </w:pPr>
            <w:r>
              <w:rPr>
                <w:rFonts w:ascii="標楷體" w:eastAsia="標楷體" w:hAnsi="標楷體"/>
                <w:color w:val="000000"/>
              </w:rPr>
              <w:t>使用劑量及調整方式同固定劑量吸入劑(MDI)。</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E1F06D4" w14:textId="77777777" w:rsidR="00BD776B" w:rsidRDefault="00DF0C24">
            <w:pPr>
              <w:pStyle w:val="ab"/>
              <w:snapToGrid w:val="0"/>
              <w:spacing w:line="320" w:lineRule="exact"/>
              <w:ind w:left="560" w:hanging="560"/>
              <w:jc w:val="both"/>
            </w:pPr>
            <w:r>
              <w:rPr>
                <w:rFonts w:ascii="標楷體" w:eastAsia="標楷體" w:hAnsi="標楷體"/>
                <w:color w:val="000000"/>
              </w:rPr>
              <w:t>一、阻塞性肺疾病急性發作時，每20分鐘至1小時使用1次。</w:t>
            </w:r>
          </w:p>
          <w:p w14:paraId="7755B2DA" w14:textId="77777777" w:rsidR="00BD776B" w:rsidRDefault="00DF0C24">
            <w:pPr>
              <w:pStyle w:val="ab"/>
              <w:snapToGrid w:val="0"/>
              <w:spacing w:line="320" w:lineRule="exact"/>
              <w:ind w:left="560" w:hanging="560"/>
              <w:jc w:val="both"/>
            </w:pPr>
            <w:r>
              <w:rPr>
                <w:rFonts w:ascii="標楷體" w:eastAsia="標楷體" w:hAnsi="標楷體"/>
                <w:color w:val="000000"/>
              </w:rPr>
              <w:t>二、急性症狀消失後恢復為每日4到6次。</w:t>
            </w:r>
          </w:p>
          <w:p w14:paraId="2DBB4C1C" w14:textId="77777777" w:rsidR="00BD776B" w:rsidRDefault="00DF0C24">
            <w:pPr>
              <w:pStyle w:val="ab"/>
              <w:snapToGrid w:val="0"/>
              <w:spacing w:line="320" w:lineRule="exact"/>
              <w:ind w:left="560" w:hanging="560"/>
              <w:jc w:val="both"/>
            </w:pPr>
            <w:r>
              <w:rPr>
                <w:rFonts w:ascii="標楷體" w:eastAsia="標楷體" w:hAnsi="標楷體"/>
                <w:color w:val="000000"/>
              </w:rPr>
              <w:t>三、乙二型刺激劑(β2-agonists)</w:t>
            </w:r>
          </w:p>
          <w:p w14:paraId="05638BD7" w14:textId="77777777" w:rsidR="00BD776B" w:rsidRDefault="00DF0C24">
            <w:pPr>
              <w:pStyle w:val="ab"/>
              <w:widowControl/>
              <w:snapToGrid w:val="0"/>
              <w:spacing w:line="320" w:lineRule="exact"/>
              <w:ind w:left="528" w:hanging="360"/>
              <w:jc w:val="both"/>
            </w:pPr>
            <w:r>
              <w:rPr>
                <w:rFonts w:ascii="標楷體" w:eastAsia="標楷體" w:hAnsi="標楷體" w:cs="新細明體"/>
                <w:color w:val="000000"/>
              </w:rPr>
              <w:t>(一)視情況繼續居家使用，每次處方以1週為限。</w:t>
            </w:r>
          </w:p>
          <w:p w14:paraId="56F87D63" w14:textId="65813BD3" w:rsidR="00BD776B" w:rsidRDefault="00DF0C24">
            <w:pPr>
              <w:pStyle w:val="ab"/>
              <w:widowControl/>
              <w:snapToGrid w:val="0"/>
              <w:spacing w:line="320" w:lineRule="exact"/>
              <w:ind w:left="528" w:hanging="360"/>
              <w:jc w:val="both"/>
            </w:pPr>
            <w:r>
              <w:rPr>
                <w:rFonts w:ascii="標楷體" w:eastAsia="標楷體" w:hAnsi="標楷體" w:cs="新細明體"/>
                <w:color w:val="000000"/>
              </w:rPr>
              <w:t>(二)每</w:t>
            </w:r>
            <w:r w:rsidR="00C96847">
              <w:rPr>
                <w:rFonts w:ascii="標楷體" w:eastAsia="標楷體" w:hAnsi="標楷體" w:cs="新細明體" w:hint="eastAsia"/>
                <w:color w:val="000000"/>
              </w:rPr>
              <w:t>28天</w:t>
            </w:r>
            <w:r>
              <w:rPr>
                <w:rFonts w:ascii="標楷體" w:eastAsia="標楷體" w:hAnsi="標楷體" w:cs="新細明體"/>
                <w:color w:val="000000"/>
              </w:rPr>
              <w:t>最大劑量為</w:t>
            </w:r>
            <w:r w:rsidR="00C96847">
              <w:rPr>
                <w:rFonts w:ascii="標楷體" w:eastAsia="標楷體" w:hAnsi="標楷體" w:cs="新細明體" w:hint="eastAsia"/>
                <w:color w:val="000000"/>
              </w:rPr>
              <w:t>56</w:t>
            </w:r>
            <w:r>
              <w:rPr>
                <w:rFonts w:ascii="標楷體" w:eastAsia="標楷體" w:hAnsi="標楷體" w:cs="新細明體"/>
                <w:color w:val="000000"/>
              </w:rPr>
              <w:t>小瓶(vial)。</w:t>
            </w:r>
          </w:p>
          <w:p w14:paraId="15EF2758" w14:textId="77777777" w:rsidR="00BD776B" w:rsidRDefault="00DF0C24">
            <w:pPr>
              <w:pStyle w:val="ab"/>
              <w:snapToGrid w:val="0"/>
              <w:spacing w:line="320" w:lineRule="exact"/>
              <w:ind w:left="560" w:hanging="560"/>
              <w:jc w:val="both"/>
            </w:pPr>
            <w:r>
              <w:rPr>
                <w:rFonts w:ascii="標楷體" w:eastAsia="標楷體" w:hAnsi="標楷體"/>
                <w:color w:val="000000"/>
              </w:rPr>
              <w:t>四、抗膽鹼藥物(anticholinergics)</w:t>
            </w:r>
          </w:p>
          <w:p w14:paraId="12C50F6C" w14:textId="73197464" w:rsidR="00BD776B" w:rsidRDefault="00DF0C24">
            <w:pPr>
              <w:pStyle w:val="ab"/>
              <w:snapToGrid w:val="0"/>
              <w:spacing w:line="320" w:lineRule="exact"/>
              <w:ind w:left="557"/>
              <w:jc w:val="both"/>
            </w:pPr>
            <w:r>
              <w:rPr>
                <w:rFonts w:ascii="標楷體" w:eastAsia="標楷體" w:hAnsi="標楷體"/>
                <w:color w:val="000000"/>
              </w:rPr>
              <w:t>視情況(＊)繼續居家使用，每</w:t>
            </w:r>
            <w:r w:rsidR="00C96847">
              <w:rPr>
                <w:rFonts w:ascii="標楷體" w:eastAsia="標楷體" w:hAnsi="標楷體" w:hint="eastAsia"/>
                <w:color w:val="000000"/>
              </w:rPr>
              <w:t>28天</w:t>
            </w:r>
            <w:r>
              <w:rPr>
                <w:rFonts w:ascii="標楷體" w:eastAsia="標楷體" w:hAnsi="標楷體"/>
                <w:color w:val="000000"/>
              </w:rPr>
              <w:t>最大劑量為1</w:t>
            </w:r>
            <w:r w:rsidR="00C96847">
              <w:rPr>
                <w:rFonts w:ascii="標楷體" w:eastAsia="標楷體" w:hAnsi="標楷體" w:hint="eastAsia"/>
                <w:color w:val="000000"/>
              </w:rPr>
              <w:t>12</w:t>
            </w:r>
            <w:r>
              <w:rPr>
                <w:rFonts w:ascii="標楷體" w:eastAsia="標楷體" w:hAnsi="標楷體"/>
                <w:color w:val="000000"/>
              </w:rPr>
              <w:t>小瓶(vial)。</w:t>
            </w:r>
          </w:p>
        </w:tc>
      </w:tr>
      <w:tr w:rsidR="00BD776B" w14:paraId="33A5A0F4" w14:textId="77777777">
        <w:trPr>
          <w:trHeight w:val="2183"/>
          <w:jc w:val="center"/>
        </w:trPr>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8D86EF6" w14:textId="77777777" w:rsidR="00BD776B" w:rsidRDefault="00DF0C24">
            <w:pPr>
              <w:pStyle w:val="ab"/>
              <w:snapToGrid w:val="0"/>
              <w:spacing w:line="360" w:lineRule="exact"/>
              <w:ind w:left="72" w:right="50"/>
              <w:jc w:val="both"/>
            </w:pPr>
            <w:r>
              <w:rPr>
                <w:rFonts w:ascii="標楷體" w:eastAsia="標楷體" w:hAnsi="標楷體"/>
                <w:color w:val="000000"/>
              </w:rPr>
              <w:t>吸入型類固醇</w:t>
            </w:r>
          </w:p>
          <w:p w14:paraId="1225A677" w14:textId="77777777" w:rsidR="00BD776B" w:rsidRDefault="00DF0C24">
            <w:pPr>
              <w:pStyle w:val="ab"/>
              <w:snapToGrid w:val="0"/>
              <w:spacing w:line="360" w:lineRule="exact"/>
              <w:ind w:left="72" w:right="50"/>
              <w:jc w:val="both"/>
            </w:pPr>
            <w:r>
              <w:rPr>
                <w:rFonts w:ascii="標楷體" w:eastAsia="標楷體" w:hAnsi="標楷體"/>
                <w:color w:val="000000"/>
              </w:rPr>
              <w:t>(inhaled corticosteroid)</w:t>
            </w:r>
          </w:p>
        </w:tc>
        <w:tc>
          <w:tcPr>
            <w:tcW w:w="34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96FE791" w14:textId="77777777" w:rsidR="00BD776B" w:rsidRDefault="00DF0C24">
            <w:pPr>
              <w:pStyle w:val="ab"/>
              <w:widowControl/>
              <w:numPr>
                <w:ilvl w:val="0"/>
                <w:numId w:val="19"/>
              </w:numPr>
              <w:tabs>
                <w:tab w:val="left" w:pos="0"/>
              </w:tabs>
              <w:snapToGrid w:val="0"/>
              <w:spacing w:after="0" w:line="360" w:lineRule="exact"/>
              <w:ind w:left="505" w:hanging="505"/>
              <w:jc w:val="both"/>
              <w:textAlignment w:val="auto"/>
            </w:pPr>
            <w:r>
              <w:rPr>
                <w:rFonts w:ascii="標楷體" w:eastAsia="標楷體" w:hAnsi="標楷體" w:cs="新細明體"/>
                <w:color w:val="000000"/>
              </w:rPr>
              <w:t>氣喘治療之維持劑量依嚴重度及控制程度，以及所使用之類固醇藥物吸入劑之不同，依最新版GINA指引之建議給予適當劑量。</w:t>
            </w:r>
          </w:p>
          <w:p w14:paraId="65137253" w14:textId="77777777" w:rsidR="00BD776B" w:rsidRDefault="00DF0C24">
            <w:pPr>
              <w:pStyle w:val="ab"/>
              <w:widowControl/>
              <w:numPr>
                <w:ilvl w:val="0"/>
                <w:numId w:val="19"/>
              </w:numPr>
              <w:tabs>
                <w:tab w:val="left" w:pos="0"/>
              </w:tabs>
              <w:snapToGrid w:val="0"/>
              <w:spacing w:after="0" w:line="360" w:lineRule="exact"/>
              <w:ind w:left="505" w:hanging="505"/>
              <w:jc w:val="both"/>
              <w:textAlignment w:val="auto"/>
            </w:pPr>
            <w:r>
              <w:rPr>
                <w:rFonts w:ascii="標楷體" w:eastAsia="標楷體" w:hAnsi="標楷體" w:cs="新細明體"/>
                <w:color w:val="000000"/>
              </w:rPr>
              <w:t>少數控制不佳之患者，以BDP (CFC)為例，其劑量可增加至每日1000 mcg以上(或其他類固醇藥物吸入劑相等劑量)。</w:t>
            </w:r>
          </w:p>
          <w:p w14:paraId="3615D363" w14:textId="7C3657A3" w:rsidR="00BD776B" w:rsidRDefault="00DF0C24">
            <w:pPr>
              <w:pStyle w:val="ab"/>
              <w:widowControl/>
              <w:numPr>
                <w:ilvl w:val="0"/>
                <w:numId w:val="19"/>
              </w:numPr>
              <w:tabs>
                <w:tab w:val="left" w:pos="0"/>
              </w:tabs>
              <w:snapToGrid w:val="0"/>
              <w:spacing w:after="0" w:line="360" w:lineRule="exact"/>
              <w:ind w:left="505" w:hanging="505"/>
              <w:jc w:val="both"/>
              <w:textAlignment w:val="auto"/>
            </w:pPr>
            <w:r>
              <w:rPr>
                <w:rFonts w:ascii="標楷體" w:eastAsia="標楷體" w:hAnsi="標楷體" w:cs="新細明體"/>
                <w:color w:val="000000"/>
              </w:rPr>
              <w:lastRenderedPageBreak/>
              <w:t>最大處方量每</w:t>
            </w:r>
            <w:r w:rsidR="000150D3">
              <w:rPr>
                <w:rFonts w:ascii="標楷體" w:eastAsia="標楷體" w:hAnsi="標楷體" w:cs="新細明體" w:hint="eastAsia"/>
                <w:color w:val="000000"/>
              </w:rPr>
              <w:t>28天</w:t>
            </w:r>
            <w:r>
              <w:rPr>
                <w:rFonts w:ascii="標楷體" w:eastAsia="標楷體" w:hAnsi="標楷體" w:cs="新細明體"/>
                <w:color w:val="000000"/>
              </w:rPr>
              <w:t>2瓶，需註明上次取藥日期。</w:t>
            </w:r>
          </w:p>
        </w:tc>
        <w:tc>
          <w:tcPr>
            <w:tcW w:w="15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5B52C1" w14:textId="77777777" w:rsidR="00BD776B" w:rsidRDefault="00DF0C24">
            <w:pPr>
              <w:pStyle w:val="ab"/>
              <w:snapToGrid w:val="0"/>
              <w:spacing w:line="360" w:lineRule="exact"/>
              <w:ind w:left="72" w:right="50"/>
              <w:jc w:val="both"/>
            </w:pPr>
            <w:r>
              <w:rPr>
                <w:rFonts w:ascii="標楷體" w:eastAsia="標楷體" w:hAnsi="標楷體"/>
                <w:color w:val="000000"/>
              </w:rPr>
              <w:lastRenderedPageBreak/>
              <w:t>使用劑量及調整方式同固定劑量吸入劑 (MDI)。</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82B57F" w14:textId="77777777" w:rsidR="00BD776B" w:rsidRDefault="00DF0C24">
            <w:pPr>
              <w:pStyle w:val="ab"/>
              <w:snapToGrid w:val="0"/>
              <w:spacing w:line="320" w:lineRule="exact"/>
              <w:ind w:left="510" w:hanging="510"/>
              <w:jc w:val="both"/>
            </w:pPr>
            <w:r>
              <w:rPr>
                <w:rFonts w:ascii="標楷體" w:eastAsia="標楷體" w:hAnsi="標楷體"/>
                <w:color w:val="000000"/>
              </w:rPr>
              <w:t>一、阻塞性肺疾病併有其他不適合口服、靜脈注射的狀況、具有人工呼吸道需要使用類固醇的狀況。</w:t>
            </w:r>
          </w:p>
          <w:p w14:paraId="01797486" w14:textId="77777777" w:rsidR="00BD776B" w:rsidRDefault="00DF0C24">
            <w:pPr>
              <w:pStyle w:val="ab"/>
              <w:snapToGrid w:val="0"/>
              <w:spacing w:line="320" w:lineRule="exact"/>
              <w:ind w:left="397" w:hanging="397"/>
              <w:jc w:val="both"/>
            </w:pPr>
            <w:r>
              <w:rPr>
                <w:rFonts w:ascii="標楷體" w:eastAsia="標楷體" w:hAnsi="標楷體"/>
                <w:color w:val="000000"/>
              </w:rPr>
              <w:t>二、拔管後、使用固定劑量吸入劑或粉狀吸入劑效果不彰、或使用技巧無法配</w:t>
            </w:r>
            <w:r>
              <w:rPr>
                <w:rFonts w:ascii="標楷體" w:eastAsia="標楷體" w:hAnsi="標楷體"/>
                <w:color w:val="000000"/>
              </w:rPr>
              <w:lastRenderedPageBreak/>
              <w:t>合等狀況使用。</w:t>
            </w:r>
          </w:p>
          <w:p w14:paraId="2B77F2AD" w14:textId="77777777" w:rsidR="00BD776B" w:rsidRDefault="00DF0C24">
            <w:pPr>
              <w:pStyle w:val="ab"/>
              <w:snapToGrid w:val="0"/>
              <w:spacing w:line="320" w:lineRule="exact"/>
              <w:ind w:left="560" w:hanging="560"/>
              <w:jc w:val="both"/>
            </w:pPr>
            <w:r>
              <w:rPr>
                <w:rFonts w:ascii="標楷體" w:eastAsia="標楷體" w:hAnsi="標楷體"/>
                <w:color w:val="000000"/>
              </w:rPr>
              <w:t>三、適應症或狀況消失後應儘速改用其他劑型，一般使用以不超過一週為原則。</w:t>
            </w:r>
          </w:p>
        </w:tc>
      </w:tr>
    </w:tbl>
    <w:p w14:paraId="741C8844" w14:textId="77777777" w:rsidR="00BD776B" w:rsidRDefault="00DF0C24">
      <w:pPr>
        <w:pStyle w:val="ab"/>
        <w:snapToGrid w:val="0"/>
        <w:spacing w:line="280" w:lineRule="exact"/>
        <w:ind w:left="279" w:hanging="240"/>
      </w:pPr>
      <w:r>
        <w:rPr>
          <w:rFonts w:ascii="標楷體" w:eastAsia="標楷體" w:hAnsi="標楷體"/>
          <w:b/>
          <w:bCs/>
          <w:color w:val="000000"/>
        </w:rPr>
        <w:lastRenderedPageBreak/>
        <w:t>＊霧化吸入劑</w:t>
      </w:r>
    </w:p>
    <w:p w14:paraId="05A4962D" w14:textId="77777777" w:rsidR="00BD776B" w:rsidRDefault="00DF0C24">
      <w:pPr>
        <w:pStyle w:val="ab"/>
        <w:snapToGrid w:val="0"/>
        <w:spacing w:line="320" w:lineRule="exact"/>
        <w:ind w:left="811" w:hanging="772"/>
      </w:pPr>
      <w:r>
        <w:rPr>
          <w:rFonts w:ascii="標楷體" w:eastAsia="標楷體" w:hAnsi="標楷體"/>
          <w:color w:val="000000"/>
        </w:rPr>
        <w:t>一、病人被判斷為無法有效地操作固定劑量吸入劑 (MDI) 裝置</w:t>
      </w:r>
    </w:p>
    <w:p w14:paraId="1621E2CA" w14:textId="77777777" w:rsidR="00BD776B" w:rsidRDefault="00DF0C24">
      <w:pPr>
        <w:pStyle w:val="ab"/>
        <w:snapToGrid w:val="0"/>
        <w:spacing w:line="320" w:lineRule="exact"/>
        <w:ind w:left="563" w:hanging="524"/>
      </w:pPr>
      <w:r>
        <w:rPr>
          <w:rFonts w:ascii="標楷體" w:eastAsia="標楷體" w:hAnsi="標楷體"/>
          <w:color w:val="000000"/>
        </w:rPr>
        <w:t>二、病患肺活量低於7mL×1.5/kg吸氣流量(inspiratory flow)低於每分鐘30公升，或停止呼吸之能力低於4秒時。</w:t>
      </w:r>
    </w:p>
    <w:p w14:paraId="2D0619D4" w14:textId="77777777" w:rsidR="00BD776B" w:rsidRDefault="00DF0C24">
      <w:pPr>
        <w:pStyle w:val="ab"/>
        <w:snapToGrid w:val="0"/>
        <w:spacing w:line="320" w:lineRule="exact"/>
        <w:ind w:left="563" w:hanging="524"/>
      </w:pPr>
      <w:r>
        <w:rPr>
          <w:rFonts w:ascii="標楷體" w:eastAsia="標楷體" w:hAnsi="標楷體"/>
          <w:color w:val="000000"/>
        </w:rPr>
        <w:t>三、使用定量吸入劑之病患，反覆發作急性呼吸道阻塞損及使用此裝置之能力。</w:t>
      </w:r>
    </w:p>
    <w:p w14:paraId="5E19A791" w14:textId="77777777" w:rsidR="00BD776B" w:rsidRDefault="00DF0C24">
      <w:pPr>
        <w:pStyle w:val="ab"/>
        <w:snapToGrid w:val="0"/>
        <w:spacing w:line="320" w:lineRule="exact"/>
        <w:ind w:left="563" w:hanging="524"/>
        <w:rPr>
          <w:rFonts w:ascii="標楷體" w:eastAsia="標楷體" w:hAnsi="標楷體"/>
          <w:color w:val="000000"/>
        </w:rPr>
      </w:pPr>
      <w:r>
        <w:rPr>
          <w:rFonts w:ascii="標楷體" w:eastAsia="標楷體" w:hAnsi="標楷體"/>
          <w:color w:val="000000"/>
        </w:rPr>
        <w:t>四、使用定量吸入劑或乾粉吸入劑(DPI)效果並不理想時，亦可使用小容積化霧器或液態吸入劑，惟必須定期評估。</w:t>
      </w:r>
    </w:p>
    <w:p w14:paraId="193E3F71" w14:textId="555E8CB5" w:rsidR="00BD776B" w:rsidRDefault="00DF0C24">
      <w:pPr>
        <w:pStyle w:val="ab"/>
      </w:pPr>
      <w:r>
        <w:rPr>
          <w:rFonts w:ascii="標楷體" w:eastAsia="標楷體" w:hAnsi="標楷體"/>
          <w:color w:val="000000"/>
        </w:rPr>
        <w:t>兒童呼吸道疾患吸入製劑給付規定表（</w:t>
      </w:r>
      <w:r>
        <w:rPr>
          <w:rFonts w:ascii="標楷體" w:eastAsia="標楷體" w:hAnsi="標楷體"/>
          <w:color w:val="000000"/>
          <w:kern w:val="0"/>
        </w:rPr>
        <w:t>111/3/1</w:t>
      </w:r>
      <w:r w:rsidR="00BE42C3">
        <w:rPr>
          <w:rFonts w:ascii="標楷體" w:eastAsia="標楷體" w:hAnsi="標楷體" w:hint="eastAsia"/>
          <w:color w:val="000000"/>
          <w:kern w:val="0"/>
        </w:rPr>
        <w:t>、113/8/1</w:t>
      </w:r>
      <w:r>
        <w:rPr>
          <w:rFonts w:ascii="標楷體" w:eastAsia="標楷體" w:hAnsi="標楷體"/>
          <w:color w:val="000000"/>
        </w:rPr>
        <w:t>）</w:t>
      </w:r>
    </w:p>
    <w:tbl>
      <w:tblPr>
        <w:tblW w:w="4950" w:type="pct"/>
        <w:jc w:val="center"/>
        <w:tblLayout w:type="fixed"/>
        <w:tblCellMar>
          <w:left w:w="10" w:type="dxa"/>
          <w:right w:w="10" w:type="dxa"/>
        </w:tblCellMar>
        <w:tblLook w:val="0000" w:firstRow="0" w:lastRow="0" w:firstColumn="0" w:lastColumn="0" w:noHBand="0" w:noVBand="0"/>
      </w:tblPr>
      <w:tblGrid>
        <w:gridCol w:w="1602"/>
        <w:gridCol w:w="2693"/>
        <w:gridCol w:w="1852"/>
        <w:gridCol w:w="2816"/>
      </w:tblGrid>
      <w:tr w:rsidR="00BD776B" w14:paraId="59F36F73" w14:textId="77777777">
        <w:trPr>
          <w:trHeight w:val="584"/>
          <w:jc w:val="center"/>
        </w:trPr>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149CC2" w14:textId="77777777" w:rsidR="00BD776B" w:rsidRDefault="00BD776B">
            <w:pPr>
              <w:pStyle w:val="ab"/>
              <w:spacing w:line="280" w:lineRule="exact"/>
              <w:jc w:val="center"/>
              <w:rPr>
                <w:rFonts w:ascii="標楷體" w:eastAsia="標楷體" w:hAnsi="標楷體"/>
                <w:b/>
                <w:color w:val="00000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CE75A0" w14:textId="77777777" w:rsidR="00BD776B" w:rsidRDefault="00DF0C24">
            <w:pPr>
              <w:pStyle w:val="ab"/>
              <w:spacing w:line="280" w:lineRule="exact"/>
              <w:jc w:val="center"/>
            </w:pPr>
            <w:r>
              <w:rPr>
                <w:rFonts w:ascii="標楷體" w:eastAsia="標楷體" w:hAnsi="標楷體"/>
                <w:b/>
                <w:color w:val="000000"/>
              </w:rPr>
              <w:t>定量吸入劑(MDI)</w:t>
            </w:r>
          </w:p>
        </w:tc>
        <w:tc>
          <w:tcPr>
            <w:tcW w:w="18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8348F9" w14:textId="77777777" w:rsidR="00BD776B" w:rsidRDefault="00DF0C24">
            <w:pPr>
              <w:pStyle w:val="ab"/>
              <w:spacing w:line="280" w:lineRule="exact"/>
              <w:jc w:val="center"/>
            </w:pPr>
            <w:r>
              <w:rPr>
                <w:rFonts w:ascii="標楷體" w:eastAsia="標楷體" w:hAnsi="標楷體"/>
                <w:b/>
                <w:color w:val="000000"/>
              </w:rPr>
              <w:t>乾粉吸入劑(DPI)</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936E18" w14:textId="77777777" w:rsidR="00BD776B" w:rsidRDefault="00DF0C24">
            <w:pPr>
              <w:pStyle w:val="ab"/>
              <w:spacing w:line="280" w:lineRule="exact"/>
              <w:jc w:val="center"/>
            </w:pPr>
            <w:r>
              <w:rPr>
                <w:rFonts w:ascii="標楷體" w:eastAsia="標楷體" w:hAnsi="標楷體"/>
                <w:b/>
                <w:color w:val="000000"/>
              </w:rPr>
              <w:t>霧化吸入劑(nebulizer)</w:t>
            </w:r>
          </w:p>
        </w:tc>
      </w:tr>
      <w:tr w:rsidR="00BD776B" w14:paraId="674FC42A" w14:textId="77777777">
        <w:trPr>
          <w:trHeight w:val="440"/>
          <w:jc w:val="center"/>
        </w:trPr>
        <w:tc>
          <w:tcPr>
            <w:tcW w:w="160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077BB9" w14:textId="77777777" w:rsidR="00BD776B" w:rsidRDefault="00DF0C24">
            <w:pPr>
              <w:pStyle w:val="ab"/>
              <w:snapToGrid w:val="0"/>
              <w:spacing w:line="320" w:lineRule="exact"/>
              <w:ind w:left="72" w:right="50"/>
              <w:jc w:val="both"/>
            </w:pPr>
            <w:r>
              <w:rPr>
                <w:rFonts w:ascii="標楷體" w:eastAsia="標楷體" w:hAnsi="標楷體"/>
                <w:color w:val="000000"/>
              </w:rPr>
              <w:t>支氣管擴張劑(bronchodilators)</w:t>
            </w:r>
          </w:p>
        </w:tc>
        <w:tc>
          <w:tcPr>
            <w:tcW w:w="269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224618" w14:textId="77777777" w:rsidR="00BD776B" w:rsidRDefault="00DF0C24">
            <w:pPr>
              <w:pStyle w:val="ab"/>
              <w:snapToGrid w:val="0"/>
              <w:spacing w:line="320" w:lineRule="exact"/>
              <w:ind w:left="561" w:hanging="561"/>
            </w:pPr>
            <w:r>
              <w:rPr>
                <w:rFonts w:ascii="標楷體" w:eastAsia="標楷體" w:hAnsi="標楷體"/>
                <w:color w:val="000000"/>
              </w:rPr>
              <w:t>一、短效劑型</w:t>
            </w:r>
          </w:p>
          <w:p w14:paraId="52E7D11F" w14:textId="77777777" w:rsidR="00BD776B" w:rsidRDefault="00DF0C24">
            <w:pPr>
              <w:pStyle w:val="ab"/>
              <w:snapToGrid w:val="0"/>
              <w:spacing w:line="320" w:lineRule="exact"/>
              <w:ind w:left="609" w:hanging="408"/>
            </w:pPr>
            <w:r>
              <w:rPr>
                <w:rFonts w:ascii="標楷體" w:eastAsia="標楷體" w:hAnsi="標楷體"/>
                <w:color w:val="000000"/>
              </w:rPr>
              <w:t>(一)需要時才使用，不建議長期規則使用。</w:t>
            </w:r>
          </w:p>
          <w:p w14:paraId="224E7A44" w14:textId="40D727E9" w:rsidR="00BD776B" w:rsidRDefault="00DF0C24">
            <w:pPr>
              <w:pStyle w:val="ab"/>
              <w:snapToGrid w:val="0"/>
              <w:spacing w:line="320" w:lineRule="exact"/>
              <w:ind w:left="606" w:hanging="408"/>
            </w:pPr>
            <w:r>
              <w:rPr>
                <w:rFonts w:ascii="標楷體" w:eastAsia="標楷體" w:hAnsi="標楷體"/>
                <w:color w:val="000000"/>
              </w:rPr>
              <w:t>(二)每日最多6次(puffs)，每</w:t>
            </w:r>
            <w:r w:rsidR="00E153CE">
              <w:rPr>
                <w:rFonts w:ascii="標楷體" w:eastAsia="標楷體" w:hAnsi="標楷體" w:hint="eastAsia"/>
                <w:color w:val="000000"/>
              </w:rPr>
              <w:t>28天</w:t>
            </w:r>
            <w:r>
              <w:rPr>
                <w:rFonts w:ascii="標楷體" w:eastAsia="標楷體" w:hAnsi="標楷體"/>
                <w:color w:val="000000"/>
              </w:rPr>
              <w:t>最多100次。</w:t>
            </w:r>
          </w:p>
          <w:p w14:paraId="37B53AAD" w14:textId="77777777" w:rsidR="00BD776B" w:rsidRDefault="00DF0C24">
            <w:pPr>
              <w:pStyle w:val="ab"/>
              <w:snapToGrid w:val="0"/>
              <w:spacing w:line="320" w:lineRule="exact"/>
              <w:ind w:left="560" w:hanging="560"/>
            </w:pPr>
            <w:r>
              <w:rPr>
                <w:rFonts w:ascii="標楷體" w:eastAsia="標楷體" w:hAnsi="標楷體"/>
                <w:color w:val="000000"/>
              </w:rPr>
              <w:t>二、長效劑型</w:t>
            </w:r>
          </w:p>
          <w:p w14:paraId="3E98CCA0" w14:textId="77777777" w:rsidR="00BD776B" w:rsidRDefault="00DF0C24">
            <w:pPr>
              <w:pStyle w:val="ab"/>
              <w:snapToGrid w:val="0"/>
              <w:spacing w:line="320" w:lineRule="exact"/>
              <w:ind w:left="446" w:hanging="446"/>
            </w:pPr>
            <w:r>
              <w:rPr>
                <w:rFonts w:ascii="標楷體" w:eastAsia="標楷體" w:hAnsi="標楷體"/>
                <w:color w:val="000000"/>
              </w:rPr>
              <w:t>(一)每日1至2次(BID)，急性發作不建議使用。</w:t>
            </w:r>
          </w:p>
          <w:p w14:paraId="06EEDE6F" w14:textId="0F359061" w:rsidR="00BD776B" w:rsidRDefault="00DF0C24">
            <w:pPr>
              <w:pStyle w:val="ab"/>
              <w:snapToGrid w:val="0"/>
              <w:spacing w:line="320" w:lineRule="exact"/>
              <w:ind w:left="446" w:hanging="446"/>
            </w:pPr>
            <w:r>
              <w:rPr>
                <w:rFonts w:ascii="標楷體" w:eastAsia="標楷體" w:hAnsi="標楷體"/>
                <w:color w:val="000000"/>
              </w:rPr>
              <w:t>(二)合併低劑量吸入型類固醇與formoterol之吸入劑於GINA輕度氣喘可用於有症狀或急性發作時之緩解治療，於中度與重度氣喘則可用於每日維持以及緩解治療。此類吸入劑於輕度與中度氣喘每</w:t>
            </w:r>
            <w:r w:rsidR="00E153CE">
              <w:rPr>
                <w:rFonts w:ascii="標楷體" w:eastAsia="標楷體" w:hAnsi="標楷體" w:hint="eastAsia"/>
                <w:color w:val="000000"/>
              </w:rPr>
              <w:t>28天</w:t>
            </w:r>
            <w:r>
              <w:rPr>
                <w:rFonts w:ascii="標楷體" w:eastAsia="標楷體" w:hAnsi="標楷體"/>
                <w:color w:val="000000"/>
              </w:rPr>
              <w:t>至多使用1</w:t>
            </w:r>
            <w:r>
              <w:rPr>
                <w:rFonts w:ascii="標楷體" w:eastAsia="標楷體" w:hAnsi="標楷體"/>
                <w:color w:val="000000"/>
              </w:rPr>
              <w:lastRenderedPageBreak/>
              <w:t>支。</w:t>
            </w:r>
          </w:p>
        </w:tc>
        <w:tc>
          <w:tcPr>
            <w:tcW w:w="185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D806AB" w14:textId="77777777" w:rsidR="00BD776B" w:rsidRDefault="00DF0C24">
            <w:pPr>
              <w:pStyle w:val="ab"/>
              <w:snapToGrid w:val="0"/>
              <w:spacing w:line="320" w:lineRule="exact"/>
            </w:pPr>
            <w:r>
              <w:rPr>
                <w:rFonts w:ascii="標楷體" w:eastAsia="標楷體" w:hAnsi="標楷體"/>
                <w:color w:val="000000"/>
              </w:rPr>
              <w:lastRenderedPageBreak/>
              <w:t>使用劑量及調整方式同固定劑量吸入劑 (MDI)。</w:t>
            </w:r>
          </w:p>
        </w:tc>
        <w:tc>
          <w:tcPr>
            <w:tcW w:w="281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848665" w14:textId="77777777" w:rsidR="00BD776B" w:rsidRDefault="00DF0C24">
            <w:pPr>
              <w:pStyle w:val="ab"/>
              <w:snapToGrid w:val="0"/>
              <w:spacing w:line="320" w:lineRule="exact"/>
              <w:ind w:left="475" w:hanging="475"/>
            </w:pPr>
            <w:r>
              <w:rPr>
                <w:rFonts w:ascii="標楷體" w:eastAsia="標楷體" w:hAnsi="標楷體"/>
                <w:color w:val="000000"/>
              </w:rPr>
              <w:t>一、乙二型刺激劑(β2-agonists)</w:t>
            </w:r>
          </w:p>
          <w:p w14:paraId="7D2493F9" w14:textId="75A3F0EB" w:rsidR="00BD776B" w:rsidRDefault="00DF0C24">
            <w:pPr>
              <w:pStyle w:val="ab"/>
              <w:numPr>
                <w:ilvl w:val="0"/>
                <w:numId w:val="20"/>
              </w:numPr>
              <w:tabs>
                <w:tab w:val="left" w:pos="0"/>
              </w:tabs>
              <w:snapToGrid w:val="0"/>
              <w:spacing w:after="0" w:line="320" w:lineRule="exact"/>
              <w:ind w:left="667" w:hanging="415"/>
              <w:textAlignment w:val="auto"/>
            </w:pPr>
            <w:r>
              <w:rPr>
                <w:rFonts w:ascii="標楷體" w:eastAsia="標楷體" w:hAnsi="標楷體"/>
                <w:color w:val="000000"/>
              </w:rPr>
              <w:t>急性症狀緩解後治療，有需要才使用，每日最多6次，每</w:t>
            </w:r>
            <w:r w:rsidR="001662FC">
              <w:rPr>
                <w:rFonts w:ascii="標楷體" w:eastAsia="標楷體" w:hAnsi="標楷體" w:hint="eastAsia"/>
                <w:color w:val="000000"/>
              </w:rPr>
              <w:t>28天</w:t>
            </w:r>
            <w:r>
              <w:rPr>
                <w:rFonts w:ascii="標楷體" w:eastAsia="標楷體" w:hAnsi="標楷體"/>
                <w:color w:val="000000"/>
              </w:rPr>
              <w:t>最高用量</w:t>
            </w:r>
            <w:r w:rsidR="001662FC">
              <w:rPr>
                <w:rFonts w:ascii="標楷體" w:eastAsia="標楷體" w:hAnsi="標楷體" w:hint="eastAsia"/>
                <w:color w:val="000000"/>
              </w:rPr>
              <w:t>28</w:t>
            </w:r>
            <w:r>
              <w:rPr>
                <w:rFonts w:ascii="標楷體" w:eastAsia="標楷體" w:hAnsi="標楷體"/>
                <w:color w:val="000000"/>
              </w:rPr>
              <w:t>次。</w:t>
            </w:r>
          </w:p>
          <w:p w14:paraId="7F4DBC00" w14:textId="77777777" w:rsidR="00BD776B" w:rsidRDefault="00DF0C24">
            <w:pPr>
              <w:pStyle w:val="ab"/>
              <w:numPr>
                <w:ilvl w:val="0"/>
                <w:numId w:val="20"/>
              </w:numPr>
              <w:tabs>
                <w:tab w:val="left" w:pos="0"/>
              </w:tabs>
              <w:snapToGrid w:val="0"/>
              <w:spacing w:after="0" w:line="320" w:lineRule="exact"/>
              <w:ind w:left="667" w:hanging="415"/>
              <w:textAlignment w:val="auto"/>
            </w:pPr>
            <w:r>
              <w:rPr>
                <w:rFonts w:ascii="標楷體" w:eastAsia="標楷體" w:hAnsi="標楷體"/>
                <w:color w:val="000000"/>
              </w:rPr>
              <w:t>氣喘病人可合併使用吸入性類固醇，可減少長期使用。</w:t>
            </w:r>
          </w:p>
          <w:p w14:paraId="643258A3" w14:textId="77777777" w:rsidR="00BD776B" w:rsidRDefault="00DF0C24">
            <w:pPr>
              <w:pStyle w:val="ab"/>
              <w:numPr>
                <w:ilvl w:val="0"/>
                <w:numId w:val="20"/>
              </w:numPr>
              <w:tabs>
                <w:tab w:val="left" w:pos="0"/>
              </w:tabs>
              <w:snapToGrid w:val="0"/>
              <w:spacing w:after="0" w:line="320" w:lineRule="exact"/>
              <w:ind w:left="667" w:hanging="415"/>
              <w:textAlignment w:val="auto"/>
            </w:pPr>
            <w:r>
              <w:rPr>
                <w:rFonts w:ascii="標楷體" w:eastAsia="標楷體" w:hAnsi="標楷體"/>
                <w:color w:val="000000"/>
              </w:rPr>
              <w:t>視情況居家使用，以2天為限。</w:t>
            </w:r>
          </w:p>
          <w:p w14:paraId="7A7F632B" w14:textId="77777777" w:rsidR="00BD776B" w:rsidRDefault="00DF0C24">
            <w:pPr>
              <w:pStyle w:val="ab"/>
              <w:snapToGrid w:val="0"/>
              <w:spacing w:line="320" w:lineRule="exact"/>
              <w:ind w:left="523" w:hanging="523"/>
            </w:pPr>
            <w:r>
              <w:rPr>
                <w:rFonts w:ascii="標楷體" w:eastAsia="標楷體" w:hAnsi="標楷體"/>
                <w:color w:val="000000"/>
              </w:rPr>
              <w:t>二、抗膽鹼藥物 (anticholinergics)</w:t>
            </w:r>
          </w:p>
          <w:p w14:paraId="040C4F6D" w14:textId="457C6F88" w:rsidR="00BD776B" w:rsidRDefault="00DF0C24">
            <w:pPr>
              <w:pStyle w:val="ab"/>
              <w:snapToGrid w:val="0"/>
              <w:spacing w:line="320" w:lineRule="exact"/>
              <w:ind w:left="448" w:hanging="57"/>
            </w:pPr>
            <w:r>
              <w:rPr>
                <w:rFonts w:ascii="標楷體" w:eastAsia="標楷體" w:hAnsi="標楷體"/>
                <w:color w:val="000000"/>
              </w:rPr>
              <w:t>沒有急性重症發作時，每</w:t>
            </w:r>
            <w:r w:rsidR="00443F17">
              <w:rPr>
                <w:rFonts w:ascii="標楷體" w:eastAsia="標楷體" w:hAnsi="標楷體" w:hint="eastAsia"/>
                <w:color w:val="000000"/>
              </w:rPr>
              <w:t>28天</w:t>
            </w:r>
            <w:r>
              <w:rPr>
                <w:rFonts w:ascii="標楷體" w:eastAsia="標楷體" w:hAnsi="標楷體"/>
                <w:color w:val="000000"/>
              </w:rPr>
              <w:t>用量</w:t>
            </w:r>
            <w:r w:rsidR="00443F17">
              <w:rPr>
                <w:rFonts w:ascii="標楷體" w:eastAsia="標楷體" w:hAnsi="標楷體" w:hint="eastAsia"/>
                <w:color w:val="000000"/>
              </w:rPr>
              <w:t>28</w:t>
            </w:r>
            <w:r>
              <w:rPr>
                <w:rFonts w:ascii="標楷體" w:eastAsia="標楷體" w:hAnsi="標楷體"/>
                <w:color w:val="000000"/>
              </w:rPr>
              <w:t>次以內。</w:t>
            </w:r>
          </w:p>
        </w:tc>
      </w:tr>
      <w:tr w:rsidR="00BD776B" w14:paraId="319FAA62" w14:textId="77777777">
        <w:trPr>
          <w:trHeight w:val="480"/>
          <w:jc w:val="center"/>
        </w:trPr>
        <w:tc>
          <w:tcPr>
            <w:tcW w:w="160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25689B" w14:textId="77777777" w:rsidR="00BD776B" w:rsidRDefault="00BD776B">
            <w:pPr>
              <w:rPr>
                <w:rFonts w:ascii="標楷體" w:eastAsia="標楷體" w:hAnsi="標楷體"/>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2AEAFD" w14:textId="77777777" w:rsidR="00BD776B" w:rsidRDefault="00BD776B">
            <w:pPr>
              <w:rPr>
                <w:rFonts w:ascii="標楷體" w:eastAsia="標楷體" w:hAnsi="標楷體"/>
              </w:rPr>
            </w:pPr>
          </w:p>
        </w:tc>
        <w:tc>
          <w:tcPr>
            <w:tcW w:w="185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8595F1" w14:textId="77777777" w:rsidR="00BD776B" w:rsidRDefault="00BD776B">
            <w:pPr>
              <w:rPr>
                <w:rFonts w:ascii="標楷體" w:eastAsia="標楷體" w:hAnsi="標楷體"/>
              </w:rPr>
            </w:pPr>
          </w:p>
        </w:tc>
        <w:tc>
          <w:tcPr>
            <w:tcW w:w="281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D63AEF" w14:textId="77777777" w:rsidR="00BD776B" w:rsidRDefault="00BD776B">
            <w:pPr>
              <w:rPr>
                <w:rFonts w:ascii="標楷體" w:eastAsia="標楷體" w:hAnsi="標楷體"/>
              </w:rPr>
            </w:pPr>
          </w:p>
        </w:tc>
      </w:tr>
      <w:tr w:rsidR="00BD776B" w14:paraId="2A9F0281" w14:textId="77777777">
        <w:trPr>
          <w:trHeight w:val="2104"/>
          <w:jc w:val="center"/>
        </w:trPr>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5836FC" w14:textId="77777777" w:rsidR="00BD776B" w:rsidRDefault="00DF0C24">
            <w:pPr>
              <w:pStyle w:val="ab"/>
              <w:spacing w:line="280" w:lineRule="exact"/>
            </w:pPr>
            <w:r>
              <w:rPr>
                <w:rFonts w:ascii="標楷體" w:eastAsia="標楷體" w:hAnsi="標楷體"/>
                <w:color w:val="000000"/>
              </w:rPr>
              <w:t>吸入型類固醇(inhaled corticosteroid)</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4424308" w14:textId="77777777" w:rsidR="00BD776B" w:rsidRDefault="00DF0C24">
            <w:pPr>
              <w:pStyle w:val="ab"/>
              <w:widowControl/>
              <w:snapToGrid w:val="0"/>
              <w:spacing w:line="320" w:lineRule="exact"/>
              <w:ind w:left="360" w:hanging="360"/>
              <w:jc w:val="both"/>
            </w:pPr>
            <w:r>
              <w:rPr>
                <w:rFonts w:ascii="標楷體" w:eastAsia="標楷體" w:hAnsi="標楷體"/>
                <w:color w:val="000000"/>
              </w:rPr>
              <w:t>一、有需要應規則使用，配合GINA氣喘控制評估項目調整。</w:t>
            </w:r>
          </w:p>
          <w:p w14:paraId="6D124971" w14:textId="77777777" w:rsidR="00BD776B" w:rsidRDefault="00DF0C24">
            <w:pPr>
              <w:pStyle w:val="ab"/>
              <w:widowControl/>
              <w:snapToGrid w:val="0"/>
              <w:spacing w:line="320" w:lineRule="exact"/>
              <w:ind w:left="480" w:hanging="480"/>
              <w:jc w:val="both"/>
            </w:pPr>
            <w:r>
              <w:rPr>
                <w:rFonts w:ascii="標楷體" w:eastAsia="標楷體" w:hAnsi="標楷體"/>
                <w:color w:val="000000"/>
              </w:rPr>
              <w:t>二、維持劑量視個人而定，原則上依最新版GINA指引之建議，給予適當劑量。</w:t>
            </w:r>
          </w:p>
          <w:p w14:paraId="71987573" w14:textId="77777777" w:rsidR="00BD776B" w:rsidRDefault="00DF0C24">
            <w:pPr>
              <w:pStyle w:val="ab"/>
              <w:widowControl/>
              <w:snapToGrid w:val="0"/>
              <w:spacing w:line="320" w:lineRule="exact"/>
              <w:ind w:left="480" w:hanging="480"/>
              <w:jc w:val="both"/>
            </w:pPr>
            <w:r>
              <w:rPr>
                <w:rFonts w:ascii="標楷體" w:eastAsia="標楷體" w:hAnsi="標楷體"/>
                <w:color w:val="000000"/>
              </w:rPr>
              <w:t>三、少數控制不佳之氣喘患者，以BDP (CFC)為例，其劑量可增加至每日1000mcg以上(或其他類固醇藥物吸入劑相等劑量)。</w:t>
            </w:r>
          </w:p>
          <w:p w14:paraId="00DEB14C" w14:textId="4F35DDE4" w:rsidR="00BD776B" w:rsidRDefault="00DF0C24">
            <w:pPr>
              <w:pStyle w:val="ab"/>
              <w:widowControl/>
              <w:snapToGrid w:val="0"/>
              <w:spacing w:line="320" w:lineRule="exact"/>
              <w:ind w:left="480" w:hanging="480"/>
              <w:jc w:val="both"/>
            </w:pPr>
            <w:r>
              <w:rPr>
                <w:rFonts w:ascii="標楷體" w:eastAsia="標楷體" w:hAnsi="標楷體"/>
                <w:color w:val="000000"/>
              </w:rPr>
              <w:t>四、每</w:t>
            </w:r>
            <w:r w:rsidR="00B2498D">
              <w:rPr>
                <w:rFonts w:ascii="標楷體" w:eastAsia="標楷體" w:hAnsi="標楷體" w:hint="eastAsia"/>
                <w:color w:val="000000"/>
              </w:rPr>
              <w:t>28天</w:t>
            </w:r>
            <w:r>
              <w:rPr>
                <w:rFonts w:ascii="標楷體" w:eastAsia="標楷體" w:hAnsi="標楷體"/>
                <w:color w:val="000000"/>
              </w:rPr>
              <w:t>最大用量1至2瓶。</w:t>
            </w:r>
          </w:p>
        </w:tc>
        <w:tc>
          <w:tcPr>
            <w:tcW w:w="18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444F1A" w14:textId="77777777" w:rsidR="00BD776B" w:rsidRDefault="00DF0C24">
            <w:pPr>
              <w:pStyle w:val="ab"/>
              <w:widowControl/>
              <w:snapToGrid w:val="0"/>
              <w:spacing w:line="320" w:lineRule="exact"/>
              <w:jc w:val="both"/>
            </w:pPr>
            <w:r>
              <w:rPr>
                <w:rFonts w:ascii="標楷體" w:eastAsia="標楷體" w:hAnsi="標楷體"/>
                <w:color w:val="000000"/>
              </w:rPr>
              <w:t>使用劑量及調整方式同固定劑量吸入劑 (MDI)。</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9B95E1" w14:textId="77777777" w:rsidR="00BD776B" w:rsidRDefault="00DF0C24">
            <w:pPr>
              <w:pStyle w:val="ab"/>
              <w:snapToGrid w:val="0"/>
              <w:spacing w:line="320" w:lineRule="exact"/>
              <w:ind w:left="480" w:hanging="480"/>
              <w:jc w:val="both"/>
            </w:pPr>
            <w:r>
              <w:rPr>
                <w:rFonts w:ascii="標楷體" w:eastAsia="標楷體" w:hAnsi="標楷體"/>
                <w:color w:val="000000"/>
              </w:rPr>
              <w:t>一、阻塞性肺病（如氣喘）急性發作，在確定診斷下，每12小時使用1劑（0.05mg/kg，上限2mg/次）。</w:t>
            </w:r>
          </w:p>
          <w:p w14:paraId="50D19A4D" w14:textId="77777777" w:rsidR="00BD776B" w:rsidRDefault="00DF0C24">
            <w:pPr>
              <w:pStyle w:val="ab"/>
              <w:snapToGrid w:val="0"/>
              <w:spacing w:line="320" w:lineRule="exact"/>
              <w:ind w:left="480" w:hanging="480"/>
              <w:jc w:val="both"/>
            </w:pPr>
            <w:r>
              <w:rPr>
                <w:rFonts w:ascii="標楷體" w:eastAsia="標楷體" w:hAnsi="標楷體"/>
                <w:color w:val="000000"/>
              </w:rPr>
              <w:t>二、拔管前後之病人，亦適合使用，不超過2天。</w:t>
            </w:r>
          </w:p>
          <w:p w14:paraId="14195358" w14:textId="77777777" w:rsidR="00BD776B" w:rsidRDefault="00DF0C24">
            <w:pPr>
              <w:pStyle w:val="ab"/>
              <w:widowControl/>
              <w:snapToGrid w:val="0"/>
              <w:spacing w:line="320" w:lineRule="exact"/>
              <w:ind w:left="480" w:hanging="480"/>
              <w:jc w:val="both"/>
            </w:pPr>
            <w:r>
              <w:rPr>
                <w:rFonts w:ascii="標楷體" w:eastAsia="標楷體" w:hAnsi="標楷體"/>
                <w:color w:val="000000"/>
              </w:rPr>
              <w:t>三、使用1至3天後，應轉成其他MDI劑型使用。超過3天使用，應說明理由。</w:t>
            </w:r>
          </w:p>
        </w:tc>
      </w:tr>
    </w:tbl>
    <w:p w14:paraId="312FD6CC" w14:textId="77777777" w:rsidR="00BD776B" w:rsidRDefault="00DF0C24">
      <w:pPr>
        <w:pStyle w:val="ab"/>
        <w:rPr>
          <w:rFonts w:ascii="標楷體" w:eastAsia="標楷體" w:hAnsi="標楷體"/>
        </w:rPr>
      </w:pPr>
      <w:r>
        <w:rPr>
          <w:rFonts w:ascii="標楷體" w:eastAsia="標楷體" w:hAnsi="標楷體"/>
        </w:rPr>
        <w:t>＊MDI使用於年紀小者，可配合spacer或aerochamber使用</w:t>
      </w:r>
    </w:p>
    <w:p w14:paraId="135011F9" w14:textId="77777777" w:rsidR="00BD776B" w:rsidRDefault="00BD776B">
      <w:pPr>
        <w:rPr>
          <w:rFonts w:ascii="標楷體" w:eastAsia="標楷體" w:hAnsi="標楷體"/>
          <w:color w:val="000000"/>
        </w:rPr>
      </w:pPr>
    </w:p>
    <w:p w14:paraId="01CE4A56" w14:textId="77777777" w:rsidR="00BD776B" w:rsidRDefault="00BD776B">
      <w:pPr>
        <w:pageBreakBefore/>
        <w:widowControl/>
        <w:suppressAutoHyphens w:val="0"/>
      </w:pPr>
    </w:p>
    <w:p w14:paraId="620686A7" w14:textId="77777777" w:rsidR="00BD776B" w:rsidRDefault="00DF0C24">
      <w:pPr>
        <w:pStyle w:val="2"/>
      </w:pPr>
      <w:r>
        <w:t>第7節 腸胃藥物 Gastrointestinal drugs</w:t>
      </w:r>
    </w:p>
    <w:p w14:paraId="2F68A477" w14:textId="77777777" w:rsidR="00BD776B" w:rsidRDefault="00BD776B">
      <w:pPr>
        <w:snapToGrid w:val="0"/>
        <w:spacing w:line="400" w:lineRule="exact"/>
        <w:jc w:val="center"/>
        <w:rPr>
          <w:rFonts w:ascii="標楷體" w:eastAsia="標楷體" w:hAnsi="標楷體"/>
          <w:b/>
          <w:color w:val="000000"/>
          <w:sz w:val="32"/>
          <w:szCs w:val="32"/>
        </w:rPr>
      </w:pPr>
    </w:p>
    <w:p w14:paraId="5C7A3402"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7.1</w:t>
      </w:r>
      <w:r>
        <w:rPr>
          <w:rFonts w:ascii="標楷體" w:eastAsia="標楷體" w:hAnsi="標楷體"/>
          <w:color w:val="000000"/>
        </w:rPr>
        <w:tab/>
        <w:t>.消化性潰瘍用藥：</w:t>
      </w:r>
    </w:p>
    <w:p w14:paraId="572A1534"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1.藥品種類：</w:t>
      </w:r>
    </w:p>
    <w:p w14:paraId="047C5BFD"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(1)制酸懸浮劑：</w:t>
      </w:r>
    </w:p>
    <w:p w14:paraId="31E1A232" w14:textId="77777777" w:rsidR="00BD776B" w:rsidRDefault="00DF0C24">
      <w:pPr>
        <w:snapToGrid w:val="0"/>
        <w:ind w:left="1049"/>
        <w:rPr>
          <w:rFonts w:ascii="標楷體" w:eastAsia="標楷體" w:hAnsi="標楷體"/>
          <w:color w:val="000000"/>
        </w:rPr>
      </w:pPr>
      <w:r>
        <w:rPr>
          <w:rFonts w:ascii="標楷體" w:eastAsia="標楷體" w:hAnsi="標楷體"/>
          <w:color w:val="000000"/>
        </w:rPr>
        <w:t>各廠牌瓶裝、袋裝制酸懸浮劑及袋裝顆粒制酸劑。</w:t>
      </w:r>
    </w:p>
    <w:p w14:paraId="3818353A"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(2)乙型組織胺受體阻斷劑：</w:t>
      </w:r>
    </w:p>
    <w:p w14:paraId="13BEBC7A" w14:textId="77777777" w:rsidR="00BD776B" w:rsidRDefault="00DF0C24">
      <w:pPr>
        <w:snapToGrid w:val="0"/>
        <w:ind w:left="1049"/>
        <w:rPr>
          <w:rFonts w:ascii="標楷體" w:eastAsia="標楷體" w:hAnsi="標楷體"/>
          <w:color w:val="000000"/>
        </w:rPr>
      </w:pPr>
      <w:r>
        <w:rPr>
          <w:rFonts w:ascii="標楷體" w:eastAsia="標楷體" w:hAnsi="標楷體"/>
          <w:color w:val="000000"/>
        </w:rPr>
        <w:t>各廠牌乙型組織胺受體阻斷劑之口服製劑與針劑。</w:t>
      </w:r>
    </w:p>
    <w:p w14:paraId="175155F6"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(3)氫離子幫浦阻斷劑：</w:t>
      </w:r>
    </w:p>
    <w:p w14:paraId="265B7657" w14:textId="77777777" w:rsidR="00BD776B" w:rsidRDefault="00DF0C24">
      <w:pPr>
        <w:snapToGrid w:val="0"/>
        <w:ind w:left="1049"/>
        <w:rPr>
          <w:rFonts w:ascii="標楷體" w:eastAsia="標楷體" w:hAnsi="標楷體"/>
          <w:color w:val="000000"/>
        </w:rPr>
      </w:pPr>
      <w:r>
        <w:rPr>
          <w:rFonts w:ascii="標楷體" w:eastAsia="標楷體" w:hAnsi="標楷體"/>
          <w:color w:val="000000"/>
        </w:rPr>
        <w:t>各廠牌氫離子幫浦阻斷劑。</w:t>
      </w:r>
    </w:p>
    <w:p w14:paraId="1DD7B562"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(4)細胞保護劑：如gefarnate、cetraxate、carbenoxolone等。</w:t>
      </w:r>
    </w:p>
    <w:p w14:paraId="775638E8"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(5)其他消化性潰瘍用藥：</w:t>
      </w:r>
    </w:p>
    <w:p w14:paraId="41D200FC" w14:textId="77777777" w:rsidR="00BD776B" w:rsidRDefault="00DF0C24">
      <w:pPr>
        <w:snapToGrid w:val="0"/>
        <w:ind w:left="1049"/>
        <w:rPr>
          <w:rFonts w:ascii="標楷體" w:eastAsia="標楷體" w:hAnsi="標楷體"/>
          <w:color w:val="000000"/>
        </w:rPr>
      </w:pPr>
      <w:r>
        <w:rPr>
          <w:rFonts w:ascii="標楷體" w:eastAsia="標楷體" w:hAnsi="標楷體"/>
          <w:color w:val="000000"/>
        </w:rPr>
        <w:t>dibismuth trioxide, sucralfate, pirenzepine HCl, Gaspin, Caved-S, misoprostol, proglumide及其他未列入之同類藥品，價格與其相當者比照辦理。</w:t>
      </w:r>
    </w:p>
    <w:p w14:paraId="307CA22F"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2.使用規定：(106/12/1、110/12/1)</w:t>
      </w:r>
    </w:p>
    <w:p w14:paraId="3866A85C"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(1)使用於治療活動性（active）或癒合中（healing）之消化性潰瘍及逆流性食道炎。(92/10/1)</w:t>
      </w:r>
    </w:p>
    <w:p w14:paraId="5555AF9B"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(2)瘢痕期（scar stage）之消化性潰瘍復發預防，其劑量依照醫理減量使用。</w:t>
      </w:r>
    </w:p>
    <w:p w14:paraId="533EB383"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(3)消化性潰瘍及逆流性食道炎符合洛杉磯食道炎分級表（The Los Angeles Classification of Esophagitis※備註）Grade A或Grade B者，欲使用消化性潰瘍用藥，其使用期間以四個月為限，申報費用時需檢附四個月內有效之上消化道內視鏡檢查或上消化道Ｘ光攝影報告，其針劑限使用於消化道出血不能口服之病人急性期替代療法。(92/10/1)</w:t>
      </w:r>
    </w:p>
    <w:p w14:paraId="27797924"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(4)經上消化道內視鏡檢查，診斷為重度逆流性食道炎，且符合洛杉磯食道炎分級表（The Los Angeles Classification of Esophagitis※備註）Grade C或Grade D者，得經消化系專科醫師之確認後可長期使用消化性潰瘍用藥一年。另外，下列病患得比照辦理：(92/10/1)</w:t>
      </w:r>
    </w:p>
    <w:p w14:paraId="7A2917AA"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Ⅰ.胃切除手術縫接處產生之潰瘍。</w:t>
      </w:r>
    </w:p>
    <w:p w14:paraId="157DE0CD"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Ⅱ.經消化系專科醫師重覆多次（三次以上）上消化道內視鏡檢查確認屬難治癒性之潰瘍。經診斷確定為Zollinger-Ellision症候群之病患，得長期使用氫離子幫浦阻斷劑而不受一年之限制。</w:t>
      </w:r>
    </w:p>
    <w:p w14:paraId="1925DEAF"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(5)因腦中風，冠狀動脈疾病或周邊血管疾病，或易出血體質(備註)而需使用雙重抗血小板藥物及抗凝血藥物，如aspirin、warfarin、tirofiban、cilostazol、 P2Y12 inhibitor（如clopidogrel、ticagrelor、ticlopidine、prasugrel）或新一代口服抗凝血藥物（如rivaroxaban、apixaban、edoxaban、dabigatran）病人得以使用每日藥費6.5元以下之氫離子幫浦阻斷劑(PPI)，最長以16週為限；若為曾接受過內視鏡檢查，經彩色內視鏡圖譜證實有活動性消化性潰瘍或上消化道出血，最長以一年為限，如使用期間或停藥後，活動性消化性潰瘍再發或上消化道出血，得再治療一年。(110/12/1)</w:t>
      </w:r>
    </w:p>
    <w:p w14:paraId="5CDC9A9E"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備註：易出血性體質建議如下(110/12/1)：</w:t>
      </w:r>
    </w:p>
    <w:p w14:paraId="16247E56"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第五期慢性腎臟病(eGFR&lt;15mL/min/1.73M2)或透析治治療中</w:t>
      </w:r>
    </w:p>
    <w:p w14:paraId="110F620B"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lastRenderedPageBreak/>
        <w:t>II.</w:t>
      </w:r>
      <w:r>
        <w:rPr>
          <w:rFonts w:ascii="標楷體" w:eastAsia="標楷體" w:hAnsi="標楷體"/>
          <w:color w:val="000000"/>
        </w:rPr>
        <w:tab/>
        <w:t>血小板＜80,000 /mm3。</w:t>
      </w:r>
    </w:p>
    <w:p w14:paraId="1630E756"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III.</w:t>
      </w:r>
      <w:r>
        <w:rPr>
          <w:rFonts w:ascii="標楷體" w:eastAsia="標楷體" w:hAnsi="標楷體"/>
          <w:color w:val="000000"/>
        </w:rPr>
        <w:tab/>
        <w:t>肝臟疾病且INR&gt;1.7。</w:t>
      </w:r>
    </w:p>
    <w:p w14:paraId="6D278F94"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IV.</w:t>
      </w:r>
      <w:r>
        <w:rPr>
          <w:rFonts w:ascii="標楷體" w:eastAsia="標楷體" w:hAnsi="標楷體"/>
          <w:color w:val="000000"/>
        </w:rPr>
        <w:tab/>
        <w:t>其他凝血功能不全疾病。</w:t>
      </w:r>
    </w:p>
    <w:p w14:paraId="21BC0998"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(6)需使用NSAIDs而曾經上消化道內視鏡或Ｘ光攝影證實有過潰瘍，得於使用NSAIDs期間內，使用消化性潰瘍用藥。(92/10/1、110/12/1)</w:t>
      </w:r>
    </w:p>
    <w:p w14:paraId="45C8C431"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(7)對於症狀擬似逆流性食道炎之患者，但其上消化道內視鏡檢查無異常，若欲使用消化性潰瘍用藥，則需檢附其他相關檢查（如24小時pH監測）的結果。(92/10/1)</w:t>
      </w:r>
    </w:p>
    <w:p w14:paraId="421B5994"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(8)消化性潰瘍穿孔病人經手術證實者，且所施手術僅為單純縫合，未作胃酸抑制相關手術者，可檢附手術記錄或病理檢驗報告，申請使用消化性潰瘍用藥，但以四個月內為限，如需繼續使用，仍請檢附胃鏡檢查或上腸胃道Ｘ光檢查四個月內有效報告影本。(92/10/1)</w:t>
      </w:r>
    </w:p>
    <w:p w14:paraId="2E484B13"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(9)嚴重外傷、大手術、腦手術、嚴重燙傷、休克、嚴重胰臟炎及急性腦中風者為預防壓力性潰瘍，得使用消化性潰瘍藥品。此類藥物之針劑限使用於不能口服之前述病患短期替代療法。</w:t>
      </w:r>
    </w:p>
    <w:p w14:paraId="2674D63F" w14:textId="441CBA04" w:rsidR="00BD776B" w:rsidRDefault="005A2844">
      <w:pPr>
        <w:snapToGrid w:val="0"/>
        <w:ind w:left="1049" w:hanging="341"/>
        <w:rPr>
          <w:rFonts w:ascii="標楷體" w:eastAsia="標楷體" w:hAnsi="標楷體"/>
          <w:color w:val="000000"/>
        </w:rPr>
      </w:pPr>
      <w:r w:rsidRPr="005A2844">
        <w:rPr>
          <w:rFonts w:ascii="標楷體" w:eastAsia="標楷體" w:hAnsi="標楷體" w:hint="eastAsia"/>
          <w:color w:val="000000"/>
        </w:rPr>
        <w:t>(10)經由碳13尿素呼氣檢查、或幽門螺旋桿菌糞便抗原檢查、或上消化道內視鏡切片檢查，確診為幽門螺旋桿菌感染之病人，得進行初次幽門螺旋桿菌消除治療，使用時需檢附檢測報告並註明初次治療。(92/10/1、113/8/1)</w:t>
      </w:r>
    </w:p>
    <w:p w14:paraId="6B4BE728"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(11)幽門螺旋桿菌之消除治療療程以二週為原則，特殊病例需延長治療或再次治療，需檢附相關檢驗報告說明理由。</w:t>
      </w:r>
    </w:p>
    <w:p w14:paraId="59EFD32E"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(12)下列病患若因長期服用NSAIDs而需使用前列腺素劑(如misoprostol)，得免附胃鏡報告：(99/7/1)</w:t>
      </w:r>
    </w:p>
    <w:p w14:paraId="60856A0B"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Ⅰ紅斑性狼瘡。</w:t>
      </w:r>
    </w:p>
    <w:p w14:paraId="79421C22" w14:textId="77777777" w:rsidR="00BD776B" w:rsidRDefault="00DF0C24">
      <w:pPr>
        <w:snapToGrid w:val="0"/>
        <w:ind w:left="1231" w:hanging="379"/>
        <w:rPr>
          <w:rFonts w:ascii="標楷體" w:eastAsia="標楷體" w:hAnsi="標楷體"/>
          <w:color w:val="000000"/>
        </w:rPr>
      </w:pPr>
      <w:r>
        <w:rPr>
          <w:rFonts w:ascii="標楷體" w:eastAsia="標楷體" w:hAnsi="標楷體"/>
          <w:color w:val="000000"/>
        </w:rPr>
        <w:t>Ⅱ五十歲以上罹患類風濕性關節炎或僵直性脊椎炎之病患。</w:t>
      </w:r>
    </w:p>
    <w:p w14:paraId="783E3304"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(13)經消化系專科醫師上消化道內視鏡檢查，並經病理切片確診為Barrett’s esophagus之病患，可使用消化性潰瘍用藥一年，一年內至少須經上消化道內視鏡檢查追蹤一次。(101/1/1)</w:t>
      </w:r>
    </w:p>
    <w:p w14:paraId="05382B99"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(14)腦性麻痺、先天性心臟病、消化道畸形及其他有施行胃鏡檢查困難之兒科病患有消化道出血、消化性潰瘍、逆流性食道炎者，可使用消化性潰瘍用藥六個月。上述病人若經上消化道X光攝影或經食道酸鹼度測定為重度逆流者，得經兒科消化醫學次專科醫師確認後長期使用消化性潰瘍用藥一年。(106/12/1)</w:t>
      </w:r>
    </w:p>
    <w:p w14:paraId="56ED4BE5" w14:textId="77777777" w:rsidR="00BD776B" w:rsidRDefault="00DF0C24">
      <w:pPr>
        <w:snapToGrid w:val="0"/>
        <w:ind w:left="1419" w:hanging="850"/>
        <w:rPr>
          <w:rFonts w:ascii="標楷體" w:eastAsia="標楷體" w:hAnsi="標楷體"/>
          <w:color w:val="000000"/>
        </w:rPr>
      </w:pPr>
      <w:r>
        <w:rPr>
          <w:rFonts w:ascii="標楷體" w:eastAsia="標楷體" w:hAnsi="標楷體"/>
          <w:color w:val="000000"/>
        </w:rPr>
        <w:t>備註：</w:t>
      </w:r>
    </w:p>
    <w:p w14:paraId="68857CAF"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1.The Los Angeles Classification of Esophagitis</w:t>
      </w:r>
    </w:p>
    <w:p w14:paraId="640D4660" w14:textId="77777777" w:rsidR="00BD776B" w:rsidRDefault="00DF0C24">
      <w:pPr>
        <w:snapToGrid w:val="0"/>
        <w:ind w:left="1889" w:hanging="1063"/>
        <w:rPr>
          <w:rFonts w:ascii="標楷體" w:eastAsia="標楷體" w:hAnsi="標楷體"/>
          <w:color w:val="000000"/>
        </w:rPr>
      </w:pPr>
      <w:r>
        <w:rPr>
          <w:rFonts w:ascii="標楷體" w:eastAsia="標楷體" w:hAnsi="標楷體"/>
          <w:color w:val="000000"/>
        </w:rPr>
        <w:t>Grade A:</w:t>
      </w:r>
      <w:r>
        <w:rPr>
          <w:rFonts w:ascii="標楷體" w:eastAsia="標楷體" w:hAnsi="標楷體"/>
          <w:color w:val="000000"/>
        </w:rPr>
        <w:tab/>
        <w:t>One or more mucosal break,each ≦5mm long,confined to the mucosal folds。</w:t>
      </w:r>
    </w:p>
    <w:p w14:paraId="6C51B3EE" w14:textId="77777777" w:rsidR="00BD776B" w:rsidRDefault="00DF0C24">
      <w:pPr>
        <w:snapToGrid w:val="0"/>
        <w:ind w:left="1889" w:hanging="1063"/>
        <w:rPr>
          <w:rFonts w:ascii="標楷體" w:eastAsia="標楷體" w:hAnsi="標楷體"/>
          <w:color w:val="000000"/>
        </w:rPr>
      </w:pPr>
      <w:r>
        <w:rPr>
          <w:rFonts w:ascii="標楷體" w:eastAsia="標楷體" w:hAnsi="標楷體"/>
          <w:color w:val="000000"/>
        </w:rPr>
        <w:t>Grade B:</w:t>
      </w:r>
      <w:r>
        <w:rPr>
          <w:rFonts w:ascii="標楷體" w:eastAsia="標楷體" w:hAnsi="標楷體"/>
          <w:color w:val="000000"/>
        </w:rPr>
        <w:tab/>
        <w:t>One or more mucosal break &gt; 5mm long, confined to the mucosal folds but not continuous between the tops of two mucosal folds。</w:t>
      </w:r>
    </w:p>
    <w:p w14:paraId="15709040" w14:textId="77777777" w:rsidR="00BD776B" w:rsidRDefault="00DF0C24">
      <w:pPr>
        <w:snapToGrid w:val="0"/>
        <w:ind w:left="1889" w:hanging="1063"/>
        <w:rPr>
          <w:rFonts w:ascii="標楷體" w:eastAsia="標楷體" w:hAnsi="標楷體"/>
          <w:color w:val="000000"/>
        </w:rPr>
      </w:pPr>
      <w:r>
        <w:rPr>
          <w:rFonts w:ascii="標楷體" w:eastAsia="標楷體" w:hAnsi="標楷體"/>
          <w:color w:val="000000"/>
        </w:rPr>
        <w:t>Grade C:</w:t>
      </w:r>
      <w:r>
        <w:rPr>
          <w:rFonts w:ascii="標楷體" w:eastAsia="標楷體" w:hAnsi="標楷體"/>
          <w:color w:val="000000"/>
        </w:rPr>
        <w:tab/>
        <w:t>One or more mucosal break continuous between the tops of two or more mucosal folds but which involve less than 75% of the esophageal circumference。</w:t>
      </w:r>
    </w:p>
    <w:p w14:paraId="1A5A9230" w14:textId="77777777" w:rsidR="00BD776B" w:rsidRDefault="00DF0C24">
      <w:pPr>
        <w:snapToGrid w:val="0"/>
        <w:ind w:left="1889" w:hanging="1063"/>
        <w:rPr>
          <w:rFonts w:ascii="標楷體" w:eastAsia="標楷體" w:hAnsi="標楷體"/>
          <w:color w:val="000000"/>
        </w:rPr>
      </w:pPr>
      <w:r>
        <w:rPr>
          <w:rFonts w:ascii="標楷體" w:eastAsia="標楷體" w:hAnsi="標楷體"/>
          <w:color w:val="000000"/>
        </w:rPr>
        <w:t>Grade D:</w:t>
      </w:r>
      <w:r>
        <w:rPr>
          <w:rFonts w:ascii="標楷體" w:eastAsia="標楷體" w:hAnsi="標楷體"/>
          <w:color w:val="000000"/>
        </w:rPr>
        <w:tab/>
        <w:t>Mucosal breaks which involve less than 75% of the esophageal circumference。</w:t>
      </w:r>
    </w:p>
    <w:p w14:paraId="1FA6F1FD"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lastRenderedPageBreak/>
        <w:t>2.</w:t>
      </w:r>
      <w:r>
        <w:rPr>
          <w:rFonts w:ascii="標楷體" w:eastAsia="標楷體" w:hAnsi="標楷體"/>
          <w:color w:val="000000"/>
        </w:rPr>
        <w:tab/>
        <w:t>醫療院所使用單價新台幣四元(含)以下之消化性潰瘍用藥時，得由醫師視病情決定是否需要上消化道內視鏡檢查。(92/10/1)</w:t>
      </w:r>
    </w:p>
    <w:p w14:paraId="629E3360"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7.2.止吐劑  Antiemetic drugs</w:t>
      </w:r>
    </w:p>
    <w:p w14:paraId="6A25DA1E" w14:textId="77777777" w:rsidR="00BD776B" w:rsidRDefault="00DF0C24">
      <w:pPr>
        <w:snapToGrid w:val="0"/>
        <w:ind w:left="809"/>
        <w:rPr>
          <w:rFonts w:ascii="標楷體" w:eastAsia="標楷體" w:hAnsi="標楷體"/>
          <w:color w:val="000000"/>
        </w:rPr>
      </w:pPr>
      <w:r>
        <w:rPr>
          <w:rFonts w:ascii="標楷體" w:eastAsia="標楷體" w:hAnsi="標楷體"/>
          <w:color w:val="000000"/>
        </w:rPr>
        <w:t>靜脈注射癌症化療藥品之致吐性風險與劑量標準，依NCCN (National Comprehensive Cancer Network)最新版治療指引內容。(101/02/1、101/4/1、107/5/1)</w:t>
      </w:r>
    </w:p>
    <w:p w14:paraId="492D8E7C" w14:textId="77777777" w:rsidR="00BD776B" w:rsidRDefault="00DF0C24">
      <w:pPr>
        <w:snapToGrid w:val="0"/>
        <w:ind w:left="994" w:hanging="708"/>
        <w:rPr>
          <w:rFonts w:ascii="標楷體" w:eastAsia="標楷體" w:hAnsi="標楷體"/>
          <w:color w:val="000000"/>
        </w:rPr>
      </w:pPr>
      <w:r>
        <w:rPr>
          <w:rFonts w:ascii="標楷體" w:eastAsia="標楷體" w:hAnsi="標楷體"/>
          <w:color w:val="000000"/>
        </w:rPr>
        <w:t>7.2.1.Serotonin antagonists（如ondansetron、granisetron、tropisetron、ramosetron、palonosetron等）(93/2/1、93/9/1、98/9/1、99/5/1、101/4/1、102/9/1)</w:t>
      </w:r>
    </w:p>
    <w:p w14:paraId="73BFFFDD"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1.血液幹細胞移植患者接受高劑量化學治療時。</w:t>
      </w:r>
    </w:p>
    <w:p w14:paraId="27C7B2CE"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2.惡性腫瘤患者及風濕免疫疾病（如紅斑性狼瘡、類風濕性關節炎、貝西氏症、皮肌炎/多發性肌炎、硬皮症、血管炎等）患者接受化學治療時，依下述情形使用：(98/9/1、99/5/1)</w:t>
      </w:r>
    </w:p>
    <w:p w14:paraId="33234382"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(1)前述患者處方高致吐性藥品，可預防性使用ondansetron 8~32 mg、granisetron 1~3 mg、tropisetron 5 mg、ramosetron 0.3 mg一日劑量。必要時其使用以不得超過五日為原則。若發生嚴重延遲性嘔吐，得直接使用，每療程使用不得超過五日為原則。</w:t>
      </w:r>
    </w:p>
    <w:p w14:paraId="6AE18E51"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(2)前述患者處方中致吐性藥品，可預防性使用ondansetron 8~32 mg、granisetron 1~3 mg、tropisetron 5 mg、ramosetron 0.3 mg一日劑量。若發生嚴重延遲性嘔吐，使用dexamethasone 及 metoclopramide 無效之病例，每療程使用以不得超過五日為原則。病歷需有使用dexamethasone及 metoclopramide 無效之記錄。</w:t>
      </w:r>
    </w:p>
    <w:p w14:paraId="6A1DAD30"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(3)血液腫瘤病患接受化學治療，需使用中、高致吐性抗癌藥品時，得依患者接受抗癌藥品實際使用天數使用本類製劑。(93/9/1)</w:t>
      </w:r>
    </w:p>
    <w:p w14:paraId="0F89FCB5"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(4)Palonosetron限於中、高致吐化學治療之前使用。(99/5/1)</w:t>
      </w:r>
    </w:p>
    <w:p w14:paraId="3BB05F4E"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3.接受腹部放射照射之癌症病人，得依下列規範使用ondansetron、granisetron等藥品：(93/9/1)</w:t>
      </w:r>
    </w:p>
    <w:p w14:paraId="78450BF9"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(1)Total body or half body irradiation</w:t>
      </w:r>
    </w:p>
    <w:p w14:paraId="0BE94B18"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(2)Pelvis or upper abdominal region of single irradiation dose&gt; 6 Gy</w:t>
      </w:r>
    </w:p>
    <w:p w14:paraId="0FF2801C" w14:textId="77777777" w:rsidR="00BD776B" w:rsidRDefault="00DF0C24">
      <w:pPr>
        <w:snapToGrid w:val="0"/>
        <w:ind w:left="1049" w:hanging="341"/>
        <w:rPr>
          <w:rFonts w:ascii="標楷體" w:eastAsia="標楷體" w:hAnsi="標楷體"/>
          <w:color w:val="000000"/>
        </w:rPr>
      </w:pPr>
      <w:r>
        <w:rPr>
          <w:rFonts w:ascii="標楷體" w:eastAsia="標楷體" w:hAnsi="標楷體"/>
          <w:color w:val="000000"/>
        </w:rPr>
        <w:t>(3)腹部放射治療中產生嘔吐，經使用dexamethasone、metoclopramide或prochlorperazine等傳統止吐劑無效，仍發生嚴重嘔吐之患者。</w:t>
      </w:r>
    </w:p>
    <w:p w14:paraId="652961F9" w14:textId="77777777" w:rsidR="00BD776B" w:rsidRDefault="00DF0C24">
      <w:pPr>
        <w:snapToGrid w:val="0"/>
        <w:ind w:left="847" w:hanging="281"/>
        <w:rPr>
          <w:rFonts w:ascii="標楷體" w:eastAsia="標楷體" w:hAnsi="標楷體"/>
          <w:color w:val="000000"/>
        </w:rPr>
      </w:pPr>
      <w:r>
        <w:rPr>
          <w:rFonts w:ascii="標楷體" w:eastAsia="標楷體" w:hAnsi="標楷體"/>
          <w:color w:val="000000"/>
        </w:rPr>
        <w:t>4.穿皮貼片劑限用於無法口服之病患。(102/9/1)</w:t>
      </w:r>
    </w:p>
    <w:p w14:paraId="7FA0894F"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7.2.2. Neurokinin-1 receptor antagonist （如aprepitant、fosaprepitant）(94/10/1、101/02/1、101/4/1、101/12/1、102/8/1)</w:t>
      </w:r>
    </w:p>
    <w:p w14:paraId="4CC0A591"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1.與其他止吐藥劑併用，以防止由高致吐性癌症化療藥物在初次或重覆使用時所引起的急性或延遲性噁心與嘔吐。(101/2/1)</w:t>
      </w:r>
    </w:p>
    <w:p w14:paraId="159C8DE9"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2.口服製劑限用三天，每日限用一顆。注射製劑限於化療第一天使用。(101/4/1、101/12/1)</w:t>
      </w:r>
    </w:p>
    <w:p w14:paraId="31FCDC24" w14:textId="77777777" w:rsidR="00BD776B" w:rsidRDefault="00DF0C24">
      <w:pPr>
        <w:snapToGrid w:val="0"/>
        <w:ind w:left="811" w:hanging="245"/>
      </w:pPr>
      <w:r>
        <w:rPr>
          <w:rFonts w:ascii="標楷體" w:eastAsia="標楷體" w:hAnsi="標楷體"/>
          <w:bCs/>
          <w:color w:val="000000"/>
        </w:rPr>
        <w:t>3.本品除第一天外，不得併用5-HT</w:t>
      </w:r>
      <w:r>
        <w:rPr>
          <w:rFonts w:ascii="標楷體" w:eastAsia="標楷體" w:hAnsi="標楷體"/>
          <w:bCs/>
          <w:color w:val="000000"/>
          <w:vertAlign w:val="subscript"/>
        </w:rPr>
        <w:t>3</w:t>
      </w:r>
      <w:r>
        <w:rPr>
          <w:rFonts w:ascii="標楷體" w:eastAsia="標楷體" w:hAnsi="標楷體"/>
          <w:bCs/>
          <w:color w:val="000000"/>
        </w:rPr>
        <w:t>之藥物。(101/4/1)</w:t>
      </w:r>
    </w:p>
    <w:p w14:paraId="4C962945"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4.若於化療第四天（含）後仍有Grade 2 以上之嘔吐，則於第四天及第五天可依照7.2.1.規範給予serotonin antagonist。(102/8/1)</w:t>
      </w:r>
    </w:p>
    <w:p w14:paraId="37BA0DE4"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7.2.3.含palonosetron及netupitant之複方製劑(如Akynzeo)(108/1/1)</w:t>
      </w:r>
    </w:p>
    <w:p w14:paraId="77B3A4CA" w14:textId="77777777" w:rsidR="00BD776B" w:rsidRDefault="00DF0C24">
      <w:pPr>
        <w:snapToGrid w:val="0"/>
        <w:ind w:left="811" w:hanging="245"/>
      </w:pPr>
      <w:r>
        <w:rPr>
          <w:rFonts w:ascii="標楷體" w:eastAsia="標楷體" w:hAnsi="標楷體"/>
          <w:color w:val="000000"/>
        </w:rPr>
        <w:t>1.限</w:t>
      </w:r>
      <w:r>
        <w:rPr>
          <w:rFonts w:ascii="標楷體" w:eastAsia="標楷體" w:hAnsi="標楷體"/>
          <w:bCs/>
          <w:color w:val="000000"/>
        </w:rPr>
        <w:t>用於防止由高致吐性癌症化療藥物在初次或重覆使用時所引起的急性或延遲性噁心與嘔吐。</w:t>
      </w:r>
    </w:p>
    <w:p w14:paraId="41C5C5BB" w14:textId="77777777" w:rsidR="00BD776B" w:rsidRDefault="00DF0C24">
      <w:pPr>
        <w:snapToGrid w:val="0"/>
        <w:ind w:left="811" w:hanging="245"/>
        <w:rPr>
          <w:rFonts w:ascii="標楷體" w:eastAsia="標楷體" w:hAnsi="標楷體"/>
          <w:bCs/>
          <w:color w:val="000000"/>
        </w:rPr>
      </w:pPr>
      <w:r>
        <w:rPr>
          <w:rFonts w:ascii="標楷體" w:eastAsia="標楷體" w:hAnsi="標楷體"/>
          <w:bCs/>
          <w:color w:val="000000"/>
        </w:rPr>
        <w:lastRenderedPageBreak/>
        <w:t>2.每次化療限使用1粒。</w:t>
      </w:r>
    </w:p>
    <w:p w14:paraId="5B3F6395" w14:textId="77777777" w:rsidR="00BD776B" w:rsidRDefault="00DF0C24">
      <w:pPr>
        <w:snapToGrid w:val="0"/>
        <w:ind w:left="811" w:hanging="245"/>
      </w:pPr>
      <w:r>
        <w:rPr>
          <w:rFonts w:ascii="標楷體" w:eastAsia="標楷體" w:hAnsi="標楷體"/>
          <w:bCs/>
          <w:color w:val="000000"/>
        </w:rPr>
        <w:t>3.自使用</w:t>
      </w:r>
      <w:r>
        <w:rPr>
          <w:rFonts w:ascii="標楷體" w:eastAsia="標楷體" w:hAnsi="標楷體"/>
          <w:color w:val="000000"/>
        </w:rPr>
        <w:t>本案藥品之日起3天內不得併用其他serotonin antagonist或neurokinin-1 receptor antagonist止吐劑。</w:t>
      </w:r>
    </w:p>
    <w:p w14:paraId="29DC445D"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7.3.其他  Miscellaneous</w:t>
      </w:r>
    </w:p>
    <w:p w14:paraId="02377995"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7.3.1.Mesalazine（如Asacol）、balsalazide (如Basazyde)(94/5/1)：</w:t>
      </w:r>
    </w:p>
    <w:p w14:paraId="253FFBC8"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限潰瘍性結腸炎、庫隆氏症病例使用。</w:t>
      </w:r>
    </w:p>
    <w:p w14:paraId="22AAF968"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7.3.2.益生菌類藥物Antidiarrheal microorganisms：</w:t>
      </w:r>
    </w:p>
    <w:p w14:paraId="142EDBC8"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限用於接受放射治療、化學療法患者，治療期間造成的腹瀉。（97/8/1）</w:t>
      </w:r>
    </w:p>
    <w:p w14:paraId="64B248B1" w14:textId="77777777" w:rsidR="00BD776B" w:rsidRDefault="00DF0C24">
      <w:pPr>
        <w:snapToGrid w:val="0"/>
        <w:ind w:left="782" w:hanging="499"/>
        <w:rPr>
          <w:rFonts w:ascii="標楷體" w:eastAsia="標楷體" w:hAnsi="標楷體"/>
          <w:color w:val="000000"/>
        </w:rPr>
      </w:pPr>
      <w:r>
        <w:rPr>
          <w:rFonts w:ascii="標楷體" w:eastAsia="標楷體" w:hAnsi="標楷體"/>
          <w:color w:val="000000"/>
        </w:rPr>
        <w:t>7.3.3. Racecadotril (如Hidrasec)(106/3/1)</w:t>
      </w:r>
    </w:p>
    <w:p w14:paraId="269BA19E" w14:textId="77777777" w:rsidR="00BD776B" w:rsidRDefault="00DF0C24">
      <w:pPr>
        <w:snapToGrid w:val="0"/>
        <w:ind w:left="797"/>
        <w:rPr>
          <w:rFonts w:ascii="標楷體" w:eastAsia="標楷體" w:hAnsi="標楷體"/>
          <w:color w:val="000000"/>
        </w:rPr>
      </w:pPr>
      <w:r>
        <w:rPr>
          <w:rFonts w:ascii="標楷體" w:eastAsia="標楷體" w:hAnsi="標楷體"/>
          <w:color w:val="000000"/>
        </w:rPr>
        <w:t>每療程使用不得超過5 天。</w:t>
      </w:r>
    </w:p>
    <w:p w14:paraId="3B93F2C8"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7.3.4. Cholic acid（如Cholbam）（108/7/1）：</w:t>
      </w:r>
    </w:p>
    <w:p w14:paraId="35D5A7F7"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 xml:space="preserve">  限E7870先天性膽酸合成障礙、E71.510 Zellweger氏症候群病患使用。</w:t>
      </w:r>
    </w:p>
    <w:p w14:paraId="6099893E" w14:textId="77777777" w:rsidR="00BD776B" w:rsidRDefault="00DF0C24">
      <w:pPr>
        <w:snapToGrid w:val="0"/>
        <w:spacing w:line="400" w:lineRule="exact"/>
        <w:ind w:left="811" w:hanging="245"/>
        <w:rPr>
          <w:rFonts w:ascii="標楷體" w:eastAsia="標楷體" w:hAnsi="標楷體"/>
          <w:bCs/>
          <w:color w:val="000000"/>
        </w:rPr>
      </w:pPr>
      <w:r>
        <w:rPr>
          <w:rFonts w:ascii="標楷體" w:eastAsia="標楷體" w:hAnsi="標楷體"/>
          <w:bCs/>
          <w:color w:val="000000"/>
        </w:rPr>
        <w:t>1.需符合以下診斷條件之一者：</w:t>
      </w:r>
    </w:p>
    <w:p w14:paraId="7D32F98B" w14:textId="77777777" w:rsidR="00BD776B" w:rsidRDefault="00DF0C24">
      <w:pPr>
        <w:numPr>
          <w:ilvl w:val="0"/>
          <w:numId w:val="21"/>
        </w:numPr>
        <w:snapToGrid w:val="0"/>
        <w:spacing w:line="400" w:lineRule="exact"/>
        <w:ind w:left="1133" w:hanging="424"/>
        <w:rPr>
          <w:rFonts w:ascii="標楷體" w:eastAsia="標楷體" w:hAnsi="標楷體"/>
          <w:szCs w:val="28"/>
        </w:rPr>
      </w:pPr>
      <w:r>
        <w:rPr>
          <w:rFonts w:ascii="標楷體" w:eastAsia="標楷體" w:hAnsi="標楷體"/>
          <w:szCs w:val="28"/>
        </w:rPr>
        <w:t>除臨床表徵外，須佐證患者尿液膽酸質譜分析顯示尿液膽汁酸異常，或證明患者基因經分子生物學檢驗確認有一處已知或必然會引起單一酵素缺乏造成先天性膽酸合成障礙之突變。</w:t>
      </w:r>
    </w:p>
    <w:p w14:paraId="279C4A86" w14:textId="77777777" w:rsidR="00BD776B" w:rsidRDefault="00DF0C24">
      <w:pPr>
        <w:numPr>
          <w:ilvl w:val="0"/>
          <w:numId w:val="21"/>
        </w:numPr>
        <w:snapToGrid w:val="0"/>
        <w:spacing w:line="400" w:lineRule="exact"/>
        <w:ind w:left="1133" w:hanging="424"/>
        <w:rPr>
          <w:rFonts w:ascii="標楷體" w:eastAsia="標楷體" w:hAnsi="標楷體"/>
          <w:szCs w:val="28"/>
        </w:rPr>
      </w:pPr>
      <w:r>
        <w:rPr>
          <w:rFonts w:ascii="標楷體" w:eastAsia="標楷體" w:hAnsi="標楷體"/>
          <w:szCs w:val="28"/>
        </w:rPr>
        <w:t>過氧化體代謝異常（包括Zellweger spectrum disorders）病人呈現之肝病表現、脂肪瀉或脂溶性維生素吸收降低所引起的併發症。</w:t>
      </w:r>
    </w:p>
    <w:p w14:paraId="31E3C86D" w14:textId="77777777" w:rsidR="00BD776B" w:rsidRDefault="00DF0C24">
      <w:pPr>
        <w:snapToGrid w:val="0"/>
        <w:spacing w:line="400" w:lineRule="exact"/>
        <w:ind w:left="811" w:hanging="245"/>
        <w:rPr>
          <w:rFonts w:ascii="標楷體" w:eastAsia="標楷體" w:hAnsi="標楷體"/>
          <w:bCs/>
          <w:color w:val="000000"/>
        </w:rPr>
      </w:pPr>
      <w:r>
        <w:rPr>
          <w:rFonts w:ascii="標楷體" w:eastAsia="標楷體" w:hAnsi="標楷體"/>
          <w:bCs/>
          <w:color w:val="000000"/>
        </w:rPr>
        <w:t>2.限兒科消化次專科醫師，或兒童神經科醫師，或兒科專科經醫學遺傳學次專訓練取得證書之醫師使用。</w:t>
      </w:r>
    </w:p>
    <w:p w14:paraId="0A8CDDF6" w14:textId="77777777" w:rsidR="00BD776B" w:rsidRDefault="00DF0C24">
      <w:pPr>
        <w:snapToGrid w:val="0"/>
        <w:spacing w:line="400" w:lineRule="exact"/>
        <w:ind w:left="811" w:hanging="245"/>
        <w:rPr>
          <w:rFonts w:ascii="標楷體" w:eastAsia="標楷體" w:hAnsi="標楷體"/>
          <w:bCs/>
          <w:color w:val="000000"/>
        </w:rPr>
      </w:pPr>
      <w:r>
        <w:rPr>
          <w:rFonts w:ascii="標楷體" w:eastAsia="標楷體" w:hAnsi="標楷體"/>
          <w:bCs/>
          <w:color w:val="000000"/>
        </w:rPr>
        <w:t>3.應定期追蹤評估治療效果及下列事項：</w:t>
      </w:r>
    </w:p>
    <w:p w14:paraId="592BCA1B" w14:textId="77777777" w:rsidR="00BD776B" w:rsidRDefault="00DF0C24">
      <w:pPr>
        <w:snapToGrid w:val="0"/>
        <w:spacing w:line="400" w:lineRule="exact"/>
        <w:ind w:left="811" w:hanging="245"/>
        <w:rPr>
          <w:rFonts w:ascii="標楷體" w:eastAsia="標楷體" w:hAnsi="標楷體"/>
          <w:bCs/>
          <w:color w:val="000000"/>
        </w:rPr>
      </w:pPr>
      <w:r>
        <w:rPr>
          <w:rFonts w:ascii="標楷體" w:eastAsia="標楷體" w:hAnsi="標楷體"/>
          <w:bCs/>
          <w:color w:val="000000"/>
        </w:rPr>
        <w:t xml:space="preserve">  用藥後第一年至少每3個月監測一次血清aspartate aminotransferase (AST)，血清alanine aminotransferase (ALT)，膽紅素等之血中濃度，之後每6個月監測一次。</w:t>
      </w:r>
    </w:p>
    <w:p w14:paraId="7FF5604C" w14:textId="77777777" w:rsidR="00BD776B" w:rsidRDefault="00DF0C24">
      <w:pPr>
        <w:snapToGrid w:val="0"/>
        <w:spacing w:line="400" w:lineRule="exact"/>
        <w:ind w:left="811" w:hanging="245"/>
        <w:rPr>
          <w:rFonts w:ascii="標楷體" w:eastAsia="標楷體" w:hAnsi="標楷體"/>
          <w:bCs/>
          <w:color w:val="000000"/>
        </w:rPr>
      </w:pPr>
      <w:r>
        <w:rPr>
          <w:rFonts w:ascii="標楷體" w:eastAsia="標楷體" w:hAnsi="標楷體"/>
          <w:bCs/>
          <w:color w:val="000000"/>
        </w:rPr>
        <w:t>4.需經事前審查核准後使用。</w:t>
      </w:r>
    </w:p>
    <w:p w14:paraId="037C326F"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7.3.5. Budesonide(如Cortiment MMX)(108/7/1):</w:t>
      </w:r>
    </w:p>
    <w:p w14:paraId="4EA77250" w14:textId="77777777" w:rsidR="00BD776B" w:rsidRDefault="00DF0C24">
      <w:pPr>
        <w:snapToGrid w:val="0"/>
        <w:spacing w:line="400" w:lineRule="exact"/>
        <w:ind w:left="384" w:hanging="101"/>
        <w:rPr>
          <w:rFonts w:ascii="標楷體" w:eastAsia="標楷體" w:hAnsi="標楷體"/>
          <w:color w:val="000000"/>
        </w:rPr>
      </w:pPr>
      <w:r>
        <w:rPr>
          <w:rFonts w:ascii="標楷體" w:eastAsia="標楷體" w:hAnsi="標楷體"/>
          <w:color w:val="000000"/>
        </w:rPr>
        <w:t xml:space="preserve">  1.限符合下列各項條件之病患使用：</w:t>
      </w:r>
    </w:p>
    <w:p w14:paraId="08D9446D"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 xml:space="preserve">    (1)對已接受aminosalicylate類藥物治療效果不佳或不能耐受之成人患者。</w:t>
      </w:r>
    </w:p>
    <w:p w14:paraId="1222C984"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 xml:space="preserve">    (2)領有潰瘍性結腸炎重大傷病卡。</w:t>
      </w:r>
    </w:p>
    <w:p w14:paraId="5B997E1B"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 xml:space="preserve">  2.每療程限使用8週，每日限使用1粒。</w:t>
      </w:r>
    </w:p>
    <w:p w14:paraId="2A87B1A5" w14:textId="77777777" w:rsidR="00BD776B" w:rsidRDefault="00DF0C24">
      <w:pPr>
        <w:spacing w:line="400" w:lineRule="exact"/>
        <w:ind w:left="782" w:hanging="499"/>
        <w:rPr>
          <w:rFonts w:ascii="標楷體" w:eastAsia="標楷體" w:hAnsi="標楷體"/>
          <w:color w:val="000000"/>
        </w:rPr>
      </w:pPr>
      <w:r>
        <w:rPr>
          <w:rFonts w:ascii="標楷體" w:eastAsia="標楷體" w:hAnsi="標楷體"/>
          <w:color w:val="000000"/>
        </w:rPr>
        <w:t xml:space="preserve">7.3.6.含amylase+lipase+protease複方製劑(如Protase、Creon)：(110/1/1) </w:t>
      </w:r>
    </w:p>
    <w:p w14:paraId="32B6C6A2" w14:textId="77777777" w:rsidR="00BD776B" w:rsidRDefault="00DF0C24">
      <w:pPr>
        <w:spacing w:line="400" w:lineRule="exact"/>
        <w:ind w:left="850" w:hanging="262"/>
        <w:rPr>
          <w:rFonts w:ascii="標楷體" w:eastAsia="標楷體" w:hAnsi="標楷體"/>
          <w:color w:val="000000"/>
        </w:rPr>
      </w:pPr>
      <w:r>
        <w:rPr>
          <w:rFonts w:ascii="標楷體" w:eastAsia="標楷體" w:hAnsi="標楷體"/>
          <w:color w:val="000000"/>
        </w:rPr>
        <w:t>1.適用因疾病所導致之胰液分泌不全：如囊狀性纖維化疾病、慢性胰臟炎、胰臟切除手術、胃腸繞道手術，或其他因腫瘤引發之胰管膽管阻塞之情形。</w:t>
      </w:r>
    </w:p>
    <w:p w14:paraId="28EEF777" w14:textId="77777777" w:rsidR="00BD776B" w:rsidRDefault="00DF0C24">
      <w:pPr>
        <w:spacing w:line="400" w:lineRule="exact"/>
        <w:ind w:left="1077" w:hanging="499"/>
        <w:rPr>
          <w:rFonts w:ascii="標楷體" w:eastAsia="標楷體" w:hAnsi="標楷體"/>
          <w:color w:val="000000"/>
        </w:rPr>
      </w:pPr>
      <w:r>
        <w:rPr>
          <w:rFonts w:ascii="標楷體" w:eastAsia="標楷體" w:hAnsi="標楷體"/>
          <w:color w:val="000000"/>
        </w:rPr>
        <w:t>2.申報費用時應檢附病歷資料及相關檢驗（查）報告：</w:t>
      </w:r>
    </w:p>
    <w:p w14:paraId="72985610" w14:textId="77777777" w:rsidR="00BD776B" w:rsidRDefault="00DF0C24">
      <w:pPr>
        <w:spacing w:line="400" w:lineRule="exact"/>
        <w:ind w:left="1274" w:hanging="499"/>
        <w:rPr>
          <w:rFonts w:ascii="標楷體" w:eastAsia="標楷體" w:hAnsi="標楷體"/>
          <w:color w:val="000000"/>
        </w:rPr>
      </w:pPr>
      <w:r>
        <w:rPr>
          <w:rFonts w:ascii="標楷體" w:eastAsia="標楷體" w:hAnsi="標楷體"/>
          <w:color w:val="000000"/>
        </w:rPr>
        <w:t>(1)胰液分泌不全之疾病。</w:t>
      </w:r>
    </w:p>
    <w:p w14:paraId="592A88BD" w14:textId="77777777" w:rsidR="00BD776B" w:rsidRDefault="00DF0C24">
      <w:pPr>
        <w:spacing w:line="400" w:lineRule="exact"/>
        <w:ind w:left="1274" w:hanging="499"/>
        <w:rPr>
          <w:rFonts w:ascii="標楷體" w:eastAsia="標楷體" w:hAnsi="標楷體"/>
          <w:color w:val="000000"/>
        </w:rPr>
      </w:pPr>
      <w:r>
        <w:rPr>
          <w:rFonts w:ascii="標楷體" w:eastAsia="標楷體" w:hAnsi="標楷體"/>
          <w:color w:val="000000"/>
        </w:rPr>
        <w:t>(2)有營養不良或脂肪痢便之記載。</w:t>
      </w:r>
    </w:p>
    <w:p w14:paraId="4FCCAE46" w14:textId="77777777" w:rsidR="00BD776B" w:rsidRDefault="00DF0C24">
      <w:pPr>
        <w:snapToGrid w:val="0"/>
        <w:spacing w:line="400" w:lineRule="exact"/>
        <w:ind w:left="782" w:hanging="499"/>
        <w:rPr>
          <w:rFonts w:ascii="標楷體" w:eastAsia="標楷體" w:hAnsi="標楷體"/>
          <w:color w:val="000000"/>
        </w:rPr>
      </w:pPr>
      <w:r>
        <w:rPr>
          <w:rFonts w:ascii="標楷體" w:eastAsia="標楷體" w:hAnsi="標楷體"/>
          <w:color w:val="000000"/>
        </w:rPr>
        <w:t xml:space="preserve">   3.功能性腸胃炎不得使用本類藥品。</w:t>
      </w:r>
    </w:p>
    <w:p w14:paraId="7A4697AE" w14:textId="77777777" w:rsidR="00BD776B" w:rsidRDefault="00DF0C24">
      <w:pPr>
        <w:spacing w:line="400" w:lineRule="exact"/>
        <w:ind w:left="608" w:hanging="282"/>
        <w:rPr>
          <w:rFonts w:ascii="標楷體" w:eastAsia="標楷體" w:hAnsi="標楷體"/>
          <w:szCs w:val="24"/>
        </w:rPr>
      </w:pPr>
      <w:r>
        <w:rPr>
          <w:rFonts w:ascii="標楷體" w:eastAsia="標楷體" w:hAnsi="標楷體"/>
          <w:szCs w:val="24"/>
        </w:rPr>
        <w:lastRenderedPageBreak/>
        <w:t>7.3.7. Dioctahedral smectite口服懸液劑(如Smectite oral suspension)：(113/4/1)</w:t>
      </w:r>
    </w:p>
    <w:p w14:paraId="0135EFC4" w14:textId="77777777" w:rsidR="00BD776B" w:rsidRDefault="00DF0C24">
      <w:pPr>
        <w:snapToGrid w:val="0"/>
        <w:spacing w:line="400" w:lineRule="exact"/>
        <w:ind w:left="782" w:hanging="499"/>
      </w:pPr>
      <w:r>
        <w:rPr>
          <w:rFonts w:ascii="標楷體" w:eastAsia="標楷體" w:hAnsi="標楷體"/>
          <w:szCs w:val="24"/>
        </w:rPr>
        <w:t>限用於2歲以上至未滿18歲兒童。</w:t>
      </w:r>
    </w:p>
    <w:p w14:paraId="0D3BE7EE" w14:textId="77777777" w:rsidR="00BD776B" w:rsidRDefault="00BD776B">
      <w:pPr>
        <w:pageBreakBefore/>
        <w:widowControl/>
        <w:suppressAutoHyphens w:val="0"/>
        <w:rPr>
          <w:rFonts w:ascii="標楷體" w:eastAsia="標楷體" w:hAnsi="標楷體"/>
          <w:color w:val="000000"/>
        </w:rPr>
        <w:sectPr w:rsidR="00BD776B" w:rsidSect="008315BD">
          <w:headerReference w:type="default" r:id="rId8"/>
          <w:footerReference w:type="default" r:id="rId9"/>
          <w:pgSz w:w="11906" w:h="16838"/>
          <w:pgMar w:top="1418" w:right="1418" w:bottom="1418" w:left="1418" w:header="720" w:footer="720" w:gutter="0"/>
          <w:cols w:space="720"/>
          <w:docGrid w:type="lines" w:linePitch="326"/>
        </w:sectPr>
      </w:pPr>
    </w:p>
    <w:p w14:paraId="4E3D5201" w14:textId="77777777" w:rsidR="00BD776B" w:rsidRDefault="00DF0C24">
      <w:pPr>
        <w:pStyle w:val="2"/>
      </w:pPr>
      <w:r>
        <w:lastRenderedPageBreak/>
        <w:t>第8節 免疫製劑 Immunologic agents</w:t>
      </w:r>
    </w:p>
    <w:p w14:paraId="217FCCB7" w14:textId="77777777" w:rsidR="00BD776B" w:rsidRDefault="00BD776B">
      <w:pPr>
        <w:snapToGrid w:val="0"/>
        <w:spacing w:line="400" w:lineRule="exact"/>
        <w:jc w:val="center"/>
        <w:rPr>
          <w:rFonts w:ascii="標楷體" w:eastAsia="標楷體" w:hAnsi="標楷體"/>
          <w:b/>
          <w:color w:val="000000"/>
          <w:sz w:val="32"/>
          <w:szCs w:val="32"/>
        </w:rPr>
      </w:pPr>
    </w:p>
    <w:p w14:paraId="3EDD4A45" w14:textId="77777777" w:rsidR="00BD776B" w:rsidRDefault="00DF0C24">
      <w:pPr>
        <w:ind w:left="672" w:hanging="386"/>
      </w:pPr>
      <w:r>
        <w:rPr>
          <w:rFonts w:ascii="標楷體" w:eastAsia="標楷體" w:hAnsi="標楷體"/>
          <w:color w:val="000000"/>
        </w:rPr>
        <w:t>8.1.疫苗及免疫球蛋白  Vaccines and Immunoglobulins</w:t>
      </w:r>
    </w:p>
    <w:p w14:paraId="4A76FEF9" w14:textId="77777777" w:rsidR="00BD776B" w:rsidRDefault="00DF0C24">
      <w:pPr>
        <w:ind w:left="672" w:hanging="386"/>
        <w:rPr>
          <w:rFonts w:ascii="標楷體" w:eastAsia="標楷體" w:hAnsi="標楷體"/>
          <w:color w:val="000000"/>
        </w:rPr>
      </w:pPr>
      <w:r>
        <w:rPr>
          <w:rFonts w:ascii="標楷體" w:eastAsia="標楷體" w:hAnsi="標楷體"/>
          <w:color w:val="000000"/>
        </w:rPr>
        <w:t>8.1.1.Hepatitis B immune globulin：</w:t>
      </w:r>
    </w:p>
    <w:p w14:paraId="5220825A" w14:textId="77777777" w:rsidR="00BD776B" w:rsidRDefault="00DF0C24">
      <w:pPr>
        <w:ind w:left="798" w:hanging="1"/>
        <w:rPr>
          <w:rFonts w:ascii="標楷體" w:eastAsia="標楷體" w:hAnsi="標楷體"/>
          <w:color w:val="000000"/>
        </w:rPr>
      </w:pPr>
      <w:r>
        <w:rPr>
          <w:rFonts w:ascii="標楷體" w:eastAsia="標楷體" w:hAnsi="標楷體"/>
          <w:color w:val="000000"/>
        </w:rPr>
        <w:t>應以HBsAg (-)，Anti-HBc (-)之醫院工作人員為主，且傳染者需為HBsAg (+)。</w:t>
      </w:r>
    </w:p>
    <w:p w14:paraId="4435A61D" w14:textId="77777777" w:rsidR="00BD776B" w:rsidRDefault="00DF0C24">
      <w:pPr>
        <w:ind w:left="672" w:hanging="386"/>
        <w:rPr>
          <w:rFonts w:ascii="標楷體" w:eastAsia="標楷體" w:hAnsi="標楷體"/>
          <w:color w:val="000000"/>
        </w:rPr>
      </w:pPr>
      <w:r>
        <w:rPr>
          <w:rFonts w:ascii="標楷體" w:eastAsia="標楷體" w:hAnsi="標楷體"/>
          <w:color w:val="000000"/>
        </w:rPr>
        <w:t>8.1.2.(刪除)</w:t>
      </w:r>
    </w:p>
    <w:p w14:paraId="59328432" w14:textId="7A868C2F" w:rsidR="00BD776B" w:rsidRDefault="00DF0C24">
      <w:pPr>
        <w:ind w:left="938" w:hanging="672"/>
        <w:rPr>
          <w:rFonts w:ascii="標楷體" w:eastAsia="標楷體" w:hAnsi="標楷體"/>
          <w:szCs w:val="28"/>
        </w:rPr>
      </w:pPr>
      <w:r>
        <w:rPr>
          <w:rFonts w:ascii="標楷體" w:eastAsia="標楷體" w:hAnsi="標楷體"/>
          <w:szCs w:val="28"/>
        </w:rPr>
        <w:t>8.1.3. 高單位免疫球蛋白(111/2/1</w:t>
      </w:r>
      <w:r w:rsidR="00B06714">
        <w:rPr>
          <w:rFonts w:ascii="標楷體" w:eastAsia="標楷體" w:hAnsi="標楷體" w:hint="eastAsia"/>
          <w:szCs w:val="28"/>
        </w:rPr>
        <w:t>、113/11/1</w:t>
      </w:r>
      <w:r>
        <w:rPr>
          <w:rFonts w:ascii="標楷體" w:eastAsia="標楷體" w:hAnsi="標楷體"/>
          <w:szCs w:val="28"/>
        </w:rPr>
        <w:t>)：</w:t>
      </w:r>
    </w:p>
    <w:p w14:paraId="02064DF5" w14:textId="578E4484" w:rsidR="00BD776B" w:rsidRDefault="00B06714">
      <w:pPr>
        <w:ind w:left="284"/>
        <w:rPr>
          <w:rFonts w:ascii="標楷體" w:eastAsia="標楷體" w:hAnsi="標楷體"/>
          <w:szCs w:val="28"/>
        </w:rPr>
      </w:pPr>
      <w:r w:rsidRPr="00B06714">
        <w:rPr>
          <w:rFonts w:ascii="標楷體" w:eastAsia="標楷體" w:hAnsi="標楷體" w:hint="eastAsia"/>
          <w:szCs w:val="28"/>
        </w:rPr>
        <w:t>本類藥品限依藥品許可證登載之適應症範圍內用於符合下列任一條件病人，須檢附病歷摘要（註明診斷，相關檢查報告及數據，體重、年齡、性別、病史、曾否使用同一藥品及其療效…等</w:t>
      </w:r>
      <w:r w:rsidR="00DF0C24">
        <w:rPr>
          <w:rFonts w:ascii="標楷體" w:eastAsia="標楷體" w:hAnsi="標楷體"/>
          <w:szCs w:val="28"/>
        </w:rPr>
        <w:t>）</w:t>
      </w:r>
    </w:p>
    <w:p w14:paraId="46E950AC" w14:textId="77777777" w:rsidR="00BD776B" w:rsidRDefault="00DF0C24">
      <w:pPr>
        <w:ind w:left="1276" w:hanging="672"/>
        <w:rPr>
          <w:rFonts w:ascii="標楷體" w:eastAsia="標楷體" w:hAnsi="標楷體"/>
          <w:szCs w:val="28"/>
        </w:rPr>
      </w:pPr>
      <w:r>
        <w:rPr>
          <w:rFonts w:ascii="標楷體" w:eastAsia="標楷體" w:hAnsi="標楷體"/>
          <w:szCs w:val="28"/>
        </w:rPr>
        <w:t>1.靜脈注射劑：</w:t>
      </w:r>
    </w:p>
    <w:p w14:paraId="7FC8B7D1" w14:textId="77777777" w:rsidR="00BD776B" w:rsidRDefault="00DF0C24">
      <w:pPr>
        <w:ind w:left="1276" w:hanging="425"/>
        <w:rPr>
          <w:rFonts w:ascii="標楷體" w:eastAsia="標楷體" w:hAnsi="標楷體"/>
          <w:szCs w:val="28"/>
        </w:rPr>
      </w:pPr>
      <w:r>
        <w:rPr>
          <w:rFonts w:ascii="標楷體" w:eastAsia="標楷體" w:hAnsi="標楷體"/>
          <w:szCs w:val="28"/>
        </w:rPr>
        <w:t>(1)先天或後天性免疫球蛋白低下症併發嚴重感染時（需附六個月內免疫球蛋白檢查報告)</w:t>
      </w:r>
    </w:p>
    <w:p w14:paraId="5240BBE5" w14:textId="77777777" w:rsidR="00BD776B" w:rsidRDefault="00DF0C24">
      <w:pPr>
        <w:ind w:left="1276" w:hanging="388"/>
        <w:rPr>
          <w:rFonts w:ascii="標楷體" w:eastAsia="標楷體" w:hAnsi="標楷體"/>
          <w:szCs w:val="28"/>
        </w:rPr>
      </w:pPr>
      <w:r>
        <w:rPr>
          <w:rFonts w:ascii="標楷體" w:eastAsia="標楷體" w:hAnsi="標楷體"/>
          <w:szCs w:val="28"/>
        </w:rPr>
        <w:t>(2)免疫血小板缺乏性紫斑症 (ITP) 經傳統治療效果不佳，若其血小板＜80,000/cumm且符合下列情況之一者：(108/6/1)</w:t>
      </w:r>
    </w:p>
    <w:p w14:paraId="18751A7C" w14:textId="77777777" w:rsidR="00BD776B" w:rsidRDefault="00DF0C24">
      <w:pPr>
        <w:ind w:left="1276" w:hanging="246"/>
        <w:rPr>
          <w:rFonts w:ascii="標楷體" w:eastAsia="標楷體" w:hAnsi="標楷體"/>
          <w:szCs w:val="28"/>
        </w:rPr>
      </w:pPr>
      <w:r>
        <w:rPr>
          <w:rFonts w:ascii="標楷體" w:eastAsia="標楷體" w:hAnsi="標楷體"/>
          <w:szCs w:val="28"/>
        </w:rPr>
        <w:t>Ⅰ.有嚴重出血。</w:t>
      </w:r>
    </w:p>
    <w:p w14:paraId="5F85B5CD" w14:textId="77777777" w:rsidR="00BD776B" w:rsidRDefault="00DF0C24">
      <w:pPr>
        <w:ind w:left="1276" w:hanging="246"/>
        <w:rPr>
          <w:rFonts w:ascii="標楷體" w:eastAsia="標楷體" w:hAnsi="標楷體"/>
          <w:szCs w:val="28"/>
        </w:rPr>
      </w:pPr>
      <w:r>
        <w:rPr>
          <w:rFonts w:ascii="標楷體" w:eastAsia="標楷體" w:hAnsi="標楷體"/>
          <w:szCs w:val="28"/>
        </w:rPr>
        <w:t>Ⅱ.需接受緊急手術治療者。(103/4/1)</w:t>
      </w:r>
    </w:p>
    <w:p w14:paraId="279C6080" w14:textId="77777777" w:rsidR="00BD776B" w:rsidRDefault="00DF0C24">
      <w:pPr>
        <w:ind w:left="1276" w:hanging="425"/>
        <w:rPr>
          <w:rFonts w:ascii="標楷體" w:eastAsia="標楷體" w:hAnsi="標楷體"/>
          <w:szCs w:val="28"/>
        </w:rPr>
      </w:pPr>
      <w:r>
        <w:rPr>
          <w:rFonts w:ascii="標楷體" w:eastAsia="標楷體" w:hAnsi="標楷體"/>
          <w:szCs w:val="28"/>
        </w:rPr>
        <w:t>(3)免疫血小板缺乏性紫斑症(ITP)且於懷孕或分娩期間，或急性免疫血小板缺乏性紫斑症(ITP) 18歲以下兒童。（107/4/1、108/6/1、111/2/1)</w:t>
      </w:r>
    </w:p>
    <w:p w14:paraId="352EDEF9" w14:textId="77777777" w:rsidR="00BD776B" w:rsidRDefault="00DF0C24">
      <w:pPr>
        <w:ind w:left="1358" w:hanging="530"/>
        <w:rPr>
          <w:rFonts w:ascii="標楷體" w:eastAsia="標楷體" w:hAnsi="標楷體"/>
          <w:szCs w:val="28"/>
        </w:rPr>
      </w:pPr>
      <w:r>
        <w:rPr>
          <w:rFonts w:ascii="標楷體" w:eastAsia="標楷體" w:hAnsi="標楷體"/>
          <w:szCs w:val="28"/>
        </w:rPr>
        <w:t>(4)先天性免疫不全症之預防性使用，但需有醫學中心之診斷証明。</w:t>
      </w:r>
    </w:p>
    <w:p w14:paraId="622CD371" w14:textId="77777777" w:rsidR="00BD776B" w:rsidRDefault="00DF0C24">
      <w:pPr>
        <w:ind w:left="1358" w:hanging="530"/>
        <w:rPr>
          <w:rFonts w:ascii="標楷體" w:eastAsia="標楷體" w:hAnsi="標楷體"/>
          <w:szCs w:val="28"/>
        </w:rPr>
      </w:pPr>
      <w:r>
        <w:rPr>
          <w:rFonts w:ascii="標楷體" w:eastAsia="標楷體" w:hAnsi="標楷體"/>
          <w:szCs w:val="28"/>
        </w:rPr>
        <w:t>(5)川崎病合乎美國疾病管制中心所訂之診斷標準</w:t>
      </w:r>
    </w:p>
    <w:p w14:paraId="6CB87FD9" w14:textId="77777777" w:rsidR="00BD776B" w:rsidRDefault="00DF0C24">
      <w:pPr>
        <w:ind w:left="1418" w:hanging="425"/>
        <w:rPr>
          <w:rFonts w:ascii="標楷體" w:eastAsia="標楷體" w:hAnsi="標楷體"/>
          <w:szCs w:val="28"/>
        </w:rPr>
      </w:pPr>
      <w:r>
        <w:rPr>
          <w:rFonts w:ascii="標楷體" w:eastAsia="標楷體" w:hAnsi="標楷體"/>
          <w:szCs w:val="28"/>
        </w:rPr>
        <w:t>Ⅰ.限由區域醫院(含)以上教學醫院實施或具有小兒心臟醫師證書之小兒科醫師，並有小兒心臟超音波儀器之醫院實施。(108/10/1)</w:t>
      </w:r>
    </w:p>
    <w:p w14:paraId="7D0D93F3" w14:textId="77777777" w:rsidR="00BD776B" w:rsidRDefault="00DF0C24">
      <w:pPr>
        <w:ind w:left="1418" w:hanging="388"/>
        <w:rPr>
          <w:rFonts w:ascii="標楷體" w:eastAsia="標楷體" w:hAnsi="標楷體"/>
          <w:szCs w:val="28"/>
        </w:rPr>
      </w:pPr>
      <w:r>
        <w:rPr>
          <w:rFonts w:ascii="標楷體" w:eastAsia="標楷體" w:hAnsi="標楷體"/>
          <w:szCs w:val="28"/>
        </w:rPr>
        <w:t>Ⅱ.需填寫「全民健康保險使用Intravenous Immune Globulin (IVIG) 治療川崎病」申請表(詳附表六)併當月份醫療費用申報。</w:t>
      </w:r>
    </w:p>
    <w:p w14:paraId="0CF1D5AE" w14:textId="77777777" w:rsidR="00BD776B" w:rsidRDefault="00DF0C24">
      <w:pPr>
        <w:ind w:left="1276" w:hanging="425"/>
        <w:rPr>
          <w:rFonts w:ascii="標楷體" w:eastAsia="標楷體" w:hAnsi="標楷體"/>
          <w:szCs w:val="28"/>
        </w:rPr>
      </w:pPr>
      <w:r>
        <w:rPr>
          <w:rFonts w:ascii="標楷體" w:eastAsia="標楷體" w:hAnsi="標楷體"/>
          <w:szCs w:val="28"/>
        </w:rPr>
        <w:t>(6)因感染誘發過度免疫機轉反應，而致維生重要器官衰竭，有危及生命之慮者，限由區域醫院（含）以上有加護病房乙等級以上之教學醫院實施。（93/2/1）</w:t>
      </w:r>
    </w:p>
    <w:p w14:paraId="349F2630" w14:textId="77777777" w:rsidR="00BD776B" w:rsidRDefault="00DF0C24">
      <w:pPr>
        <w:ind w:left="1276" w:hanging="388"/>
        <w:rPr>
          <w:rFonts w:ascii="標楷體" w:eastAsia="標楷體" w:hAnsi="標楷體"/>
          <w:szCs w:val="28"/>
        </w:rPr>
      </w:pPr>
      <w:r>
        <w:rPr>
          <w:rFonts w:ascii="標楷體" w:eastAsia="標楷體" w:hAnsi="標楷體"/>
          <w:szCs w:val="28"/>
        </w:rPr>
        <w:t>(7)腸病毒感染嚴重患者，且符合衛生福利部疾病管制署修訂之「腸病毒感染嚴重患者靜脈注射免疫球蛋白之適應症」。(97/5/9、102/7/23、105/8/1)</w:t>
      </w:r>
    </w:p>
    <w:p w14:paraId="5888DF32" w14:textId="77777777" w:rsidR="00BD776B" w:rsidRDefault="00DF0C24">
      <w:pPr>
        <w:ind w:left="1276" w:hanging="388"/>
        <w:rPr>
          <w:rFonts w:ascii="標楷體" w:eastAsia="標楷體" w:hAnsi="標楷體"/>
          <w:szCs w:val="28"/>
        </w:rPr>
      </w:pPr>
      <w:r>
        <w:rPr>
          <w:rFonts w:ascii="標楷體" w:eastAsia="標楷體" w:hAnsi="標楷體"/>
          <w:szCs w:val="28"/>
        </w:rPr>
        <w:t>(8)急性發炎性去髓鞘多發性神經根病變（Guillain Barré症候群）：(107/12/1、111/2/1)</w:t>
      </w:r>
    </w:p>
    <w:p w14:paraId="15E76040" w14:textId="77777777" w:rsidR="00BD776B" w:rsidRDefault="00DF0C24">
      <w:pPr>
        <w:ind w:left="1276" w:hanging="246"/>
        <w:rPr>
          <w:rFonts w:ascii="標楷體" w:eastAsia="標楷體" w:hAnsi="標楷體"/>
          <w:szCs w:val="28"/>
        </w:rPr>
      </w:pPr>
      <w:r>
        <w:rPr>
          <w:rFonts w:ascii="標楷體" w:eastAsia="標楷體" w:hAnsi="標楷體"/>
          <w:szCs w:val="28"/>
        </w:rPr>
        <w:t>Ⅰ.不得與血漿置換術併用。</w:t>
      </w:r>
    </w:p>
    <w:p w14:paraId="68643DFB" w14:textId="77777777" w:rsidR="00BD776B" w:rsidRDefault="00DF0C24">
      <w:pPr>
        <w:ind w:left="1276" w:hanging="246"/>
        <w:rPr>
          <w:rFonts w:ascii="標楷體" w:eastAsia="標楷體" w:hAnsi="標楷體"/>
          <w:szCs w:val="28"/>
        </w:rPr>
      </w:pPr>
      <w:r>
        <w:rPr>
          <w:rFonts w:ascii="標楷體" w:eastAsia="標楷體" w:hAnsi="標楷體"/>
          <w:szCs w:val="28"/>
        </w:rPr>
        <w:t>Ⅱ.使用於未滿18歲的病人</w:t>
      </w:r>
    </w:p>
    <w:p w14:paraId="68AAB201" w14:textId="77777777" w:rsidR="00BD776B" w:rsidRDefault="00DF0C24">
      <w:pPr>
        <w:ind w:left="1560" w:hanging="283"/>
        <w:rPr>
          <w:rFonts w:ascii="標楷體" w:eastAsia="標楷體" w:hAnsi="標楷體"/>
          <w:szCs w:val="28"/>
        </w:rPr>
      </w:pPr>
      <w:r>
        <w:rPr>
          <w:rFonts w:ascii="標楷體" w:eastAsia="標楷體" w:hAnsi="標楷體"/>
          <w:szCs w:val="28"/>
        </w:rPr>
        <w:t>i.限無法自行走路的病童，自行走路指不需要他人扶助可以走路，前述只適用於發病前會自行走路的孩童，經小兒神經專科醫師或神經科醫師確定診斷。</w:t>
      </w:r>
    </w:p>
    <w:p w14:paraId="777BB8CF" w14:textId="77777777" w:rsidR="00BD776B" w:rsidRDefault="00DF0C24">
      <w:pPr>
        <w:ind w:left="1560" w:hanging="425"/>
        <w:rPr>
          <w:rFonts w:ascii="標楷體" w:eastAsia="標楷體" w:hAnsi="標楷體"/>
          <w:szCs w:val="28"/>
        </w:rPr>
      </w:pPr>
      <w:r>
        <w:rPr>
          <w:rFonts w:ascii="標楷體" w:eastAsia="標楷體" w:hAnsi="標楷體"/>
          <w:szCs w:val="28"/>
        </w:rPr>
        <w:t>ii.限由區域醫院（含）以上教學醫院實施。劑量為每公斤體重2公克，分成2天或5天給予。</w:t>
      </w:r>
    </w:p>
    <w:p w14:paraId="606DE558" w14:textId="77777777" w:rsidR="00BD776B" w:rsidRDefault="00DF0C24">
      <w:pPr>
        <w:ind w:left="1276" w:hanging="246"/>
        <w:rPr>
          <w:rFonts w:ascii="標楷體" w:eastAsia="標楷體" w:hAnsi="標楷體"/>
          <w:szCs w:val="28"/>
        </w:rPr>
      </w:pPr>
      <w:r>
        <w:rPr>
          <w:rFonts w:ascii="標楷體" w:eastAsia="標楷體" w:hAnsi="標楷體"/>
          <w:szCs w:val="28"/>
        </w:rPr>
        <w:t>Ⅲ.使用於18歲以上病人(111/2/1)</w:t>
      </w:r>
    </w:p>
    <w:p w14:paraId="73043C74" w14:textId="77777777" w:rsidR="00BD776B" w:rsidRDefault="00DF0C24">
      <w:pPr>
        <w:ind w:left="1560" w:hanging="283"/>
        <w:rPr>
          <w:rFonts w:ascii="標楷體" w:eastAsia="標楷體" w:hAnsi="標楷體"/>
          <w:szCs w:val="28"/>
        </w:rPr>
      </w:pPr>
      <w:r>
        <w:rPr>
          <w:rFonts w:ascii="標楷體" w:eastAsia="標楷體" w:hAnsi="標楷體"/>
          <w:szCs w:val="28"/>
        </w:rPr>
        <w:t>i.</w:t>
      </w:r>
      <w:r>
        <w:rPr>
          <w:rFonts w:ascii="標楷體" w:eastAsia="標楷體" w:hAnsi="標楷體"/>
          <w:szCs w:val="28"/>
        </w:rPr>
        <w:tab/>
        <w:t>限發病兩週內有嚴重病況（呼吸衰竭或瀕臨呼吸衰竭）病人使用。</w:t>
      </w:r>
    </w:p>
    <w:p w14:paraId="04902608" w14:textId="77777777" w:rsidR="00BD776B" w:rsidRDefault="00DF0C24">
      <w:pPr>
        <w:ind w:left="1560" w:hanging="425"/>
      </w:pPr>
      <w:r>
        <w:rPr>
          <w:rFonts w:ascii="標楷體" w:eastAsia="標楷體" w:hAnsi="標楷體"/>
          <w:szCs w:val="28"/>
        </w:rPr>
        <w:t>ii.</w:t>
      </w:r>
      <w:r>
        <w:rPr>
          <w:rFonts w:ascii="標楷體" w:eastAsia="標楷體" w:hAnsi="標楷體"/>
          <w:szCs w:val="28"/>
        </w:rPr>
        <w:tab/>
        <w:t>限經神經科醫師確定診斷，限由區域醫院（含）以上教學醫院實施。劑量為每公斤體重2公克，分成5天給予。</w:t>
      </w:r>
    </w:p>
    <w:p w14:paraId="290FA5FF" w14:textId="4AEEEA7E" w:rsidR="00BD776B" w:rsidRDefault="00DF0C24">
      <w:pPr>
        <w:ind w:left="1276" w:hanging="425"/>
      </w:pPr>
      <w:r>
        <w:rPr>
          <w:rFonts w:ascii="標楷體" w:eastAsia="標楷體" w:hAnsi="標楷體"/>
          <w:szCs w:val="28"/>
        </w:rPr>
        <w:lastRenderedPageBreak/>
        <w:t>(9)</w:t>
      </w:r>
      <w:r w:rsidR="0000130D" w:rsidRPr="0000130D">
        <w:rPr>
          <w:rFonts w:ascii="標楷體" w:eastAsia="標楷體" w:hAnsi="標楷體" w:hint="eastAsia"/>
          <w:szCs w:val="28"/>
        </w:rPr>
        <w:t>慢性脫髓鞘多發性神經炎（Chronic inflammatory demyelinating polyneuropathy, CIDP）：(108/2/1、108/10/1、109/4/1、110/3/1、110/12/1、111/3/1、113/11/1</w:t>
      </w:r>
      <w:r>
        <w:rPr>
          <w:rFonts w:ascii="標楷體" w:eastAsia="標楷體" w:hAnsi="標楷體"/>
          <w:szCs w:val="28"/>
        </w:rPr>
        <w:t>)</w:t>
      </w:r>
    </w:p>
    <w:p w14:paraId="585FFE1A" w14:textId="77777777" w:rsidR="00BD776B" w:rsidRDefault="00DF0C24">
      <w:pPr>
        <w:ind w:left="1276" w:hanging="425"/>
      </w:pPr>
      <w:r>
        <w:rPr>
          <w:rFonts w:ascii="標楷體" w:eastAsia="標楷體" w:hAnsi="標楷體"/>
          <w:szCs w:val="28"/>
        </w:rPr>
        <w:t>Ⅰ.限用於依歐洲神經醫學會聯合會 (European Federation of Neurological Societies; EFNS)之診斷標準確診為慢性脫髓鞘多發性神經炎</w:t>
      </w:r>
      <w:bookmarkStart w:id="13" w:name="_Hlk78470203"/>
      <w:r>
        <w:rPr>
          <w:rFonts w:ascii="標楷體" w:eastAsia="標楷體" w:hAnsi="標楷體"/>
          <w:szCs w:val="28"/>
        </w:rPr>
        <w:t>之2歲以上</w:t>
      </w:r>
      <w:bookmarkEnd w:id="13"/>
      <w:r>
        <w:rPr>
          <w:rFonts w:ascii="標楷體" w:eastAsia="標楷體" w:hAnsi="標楷體"/>
          <w:szCs w:val="28"/>
        </w:rPr>
        <w:t>病患，且對於類固醇治療無效或無法耐受類固醇，臨床上仍產生急性惡化時使用。(110/12/1)</w:t>
      </w:r>
    </w:p>
    <w:p w14:paraId="75A41CCF" w14:textId="77777777" w:rsidR="00BD776B" w:rsidRDefault="00DF0C24">
      <w:pPr>
        <w:ind w:left="1276" w:hanging="425"/>
        <w:rPr>
          <w:rFonts w:ascii="標楷體" w:eastAsia="標楷體" w:hAnsi="標楷體"/>
          <w:szCs w:val="28"/>
        </w:rPr>
      </w:pPr>
      <w:r>
        <w:rPr>
          <w:rFonts w:ascii="標楷體" w:eastAsia="標楷體" w:hAnsi="標楷體"/>
          <w:szCs w:val="28"/>
        </w:rPr>
        <w:t>Ⅱ.前述類固醇治療無效定義，係指使用口服每日每公斤體重1mg或每日60mg prednisolone兩個月仍未有INCAT (Inflammatory Neuropathy Cause and Treatment) Disability scale 1分(含)以上之進步。</w:t>
      </w:r>
    </w:p>
    <w:p w14:paraId="33F22A96" w14:textId="77777777" w:rsidR="00BD776B" w:rsidRDefault="00DF0C24">
      <w:pPr>
        <w:ind w:left="1276" w:firstLine="6"/>
        <w:rPr>
          <w:rFonts w:ascii="標楷體" w:eastAsia="標楷體" w:hAnsi="標楷體"/>
          <w:szCs w:val="28"/>
        </w:rPr>
      </w:pPr>
      <w:r>
        <w:rPr>
          <w:rFonts w:ascii="標楷體" w:eastAsia="標楷體" w:hAnsi="標楷體"/>
          <w:szCs w:val="28"/>
        </w:rPr>
        <w:t>Ⅲ.限由區域醫院(含)以上教學醫院神經科專科醫師診斷及使用。</w:t>
      </w:r>
    </w:p>
    <w:p w14:paraId="6C5879DB" w14:textId="77777777" w:rsidR="00BD776B" w:rsidRDefault="00DF0C24">
      <w:pPr>
        <w:ind w:left="1276" w:hanging="425"/>
        <w:rPr>
          <w:rFonts w:ascii="標楷體" w:eastAsia="標楷體" w:hAnsi="標楷體"/>
          <w:szCs w:val="28"/>
        </w:rPr>
      </w:pPr>
      <w:r>
        <w:rPr>
          <w:rFonts w:ascii="標楷體" w:eastAsia="標楷體" w:hAnsi="標楷體"/>
          <w:szCs w:val="28"/>
        </w:rPr>
        <w:t>Ⅳ.需經事前審查核准後使用，每次申請半年兩個療程，每年最多四個療程，需檢附病歷資料及治療前後的INCAT評估結果。</w:t>
      </w:r>
    </w:p>
    <w:p w14:paraId="1947BDB3" w14:textId="77777777" w:rsidR="00BD776B" w:rsidRDefault="00DF0C24">
      <w:pPr>
        <w:ind w:left="1276" w:firstLine="6"/>
        <w:rPr>
          <w:rFonts w:ascii="標楷體" w:eastAsia="標楷體" w:hAnsi="標楷體"/>
          <w:szCs w:val="28"/>
        </w:rPr>
      </w:pPr>
      <w:r>
        <w:rPr>
          <w:rFonts w:ascii="標楷體" w:eastAsia="標楷體" w:hAnsi="標楷體"/>
          <w:szCs w:val="28"/>
        </w:rPr>
        <w:t>Ⅴ.每月最大劑量每公斤體重2公克。</w:t>
      </w:r>
    </w:p>
    <w:p w14:paraId="7045284F" w14:textId="77777777" w:rsidR="00BD776B" w:rsidRDefault="00DF0C24">
      <w:pPr>
        <w:ind w:left="1276" w:hanging="425"/>
        <w:rPr>
          <w:rFonts w:ascii="標楷體" w:eastAsia="標楷體" w:hAnsi="標楷體"/>
          <w:szCs w:val="28"/>
        </w:rPr>
      </w:pPr>
      <w:r>
        <w:rPr>
          <w:rFonts w:ascii="標楷體" w:eastAsia="標楷體" w:hAnsi="標楷體"/>
          <w:szCs w:val="28"/>
        </w:rPr>
        <w:t>Ⅵ.如在開始兩個療程後無INCAT 1分(含)以上之進步，則不再給予高單位免疫球蛋白。</w:t>
      </w:r>
    </w:p>
    <w:p w14:paraId="282845F4" w14:textId="77777777" w:rsidR="00BD776B" w:rsidRDefault="00DF0C24">
      <w:pPr>
        <w:ind w:left="1276" w:hanging="425"/>
      </w:pPr>
      <w:r w:rsidRPr="0000130D">
        <w:rPr>
          <w:rFonts w:ascii="標楷體" w:eastAsia="標楷體" w:hAnsi="標楷體"/>
          <w:szCs w:val="28"/>
        </w:rPr>
        <w:t>Ⅶ</w:t>
      </w:r>
      <w:r>
        <w:rPr>
          <w:rFonts w:ascii="標楷體" w:eastAsia="標楷體" w:hAnsi="標楷體"/>
          <w:szCs w:val="28"/>
        </w:rPr>
        <w:t>.經高單位免疫球蛋白治療滿1年未復發者(INCAT分數進步1分或1分以上者)，應停止治療；若停止治療後惡化(adjusted INCAT disability score change≧1)的患者，可重新申請使用。</w:t>
      </w:r>
    </w:p>
    <w:p w14:paraId="2C1060CF" w14:textId="35DBFE86" w:rsidR="00BD776B" w:rsidRDefault="00DF0C24">
      <w:pPr>
        <w:ind w:left="851" w:firstLine="6"/>
        <w:rPr>
          <w:rFonts w:ascii="標楷體" w:eastAsia="標楷體" w:hAnsi="標楷體"/>
          <w:szCs w:val="28"/>
        </w:rPr>
      </w:pPr>
      <w:r>
        <w:rPr>
          <w:rFonts w:ascii="標楷體" w:eastAsia="標楷體" w:hAnsi="標楷體"/>
          <w:szCs w:val="28"/>
        </w:rPr>
        <w:t>Ⅷ.2歲以上至未滿18歲兒童限使用Kiovig。(110/12/1、111/3/1)</w:t>
      </w:r>
    </w:p>
    <w:p w14:paraId="1A6C912C" w14:textId="77777777" w:rsidR="0000130D" w:rsidRPr="0000130D" w:rsidRDefault="0000130D" w:rsidP="0080165B">
      <w:pPr>
        <w:ind w:left="1276" w:hanging="425"/>
        <w:rPr>
          <w:rFonts w:ascii="標楷體" w:eastAsia="標楷體" w:hAnsi="標楷體"/>
          <w:color w:val="000000" w:themeColor="text1"/>
          <w:kern w:val="2"/>
          <w:szCs w:val="28"/>
        </w:rPr>
      </w:pPr>
      <w:r w:rsidRPr="0000130D">
        <w:rPr>
          <w:rFonts w:ascii="標楷體" w:eastAsia="標楷體" w:hAnsi="標楷體" w:hint="eastAsia"/>
          <w:color w:val="000000" w:themeColor="text1"/>
          <w:kern w:val="2"/>
          <w:szCs w:val="28"/>
        </w:rPr>
        <w:t>(10)後天性免疫球蛋白低下症(</w:t>
      </w:r>
      <w:r w:rsidRPr="0000130D">
        <w:rPr>
          <w:rFonts w:ascii="標楷體" w:eastAsia="標楷體" w:hAnsi="標楷體"/>
          <w:color w:val="000000" w:themeColor="text1"/>
          <w:kern w:val="2"/>
          <w:szCs w:val="28"/>
        </w:rPr>
        <w:t>Secondary Immunodeficiency,SID</w:t>
      </w:r>
      <w:r w:rsidRPr="0000130D">
        <w:rPr>
          <w:rFonts w:ascii="標楷體" w:eastAsia="標楷體" w:hAnsi="標楷體" w:hint="eastAsia"/>
          <w:color w:val="000000" w:themeColor="text1"/>
          <w:kern w:val="2"/>
          <w:szCs w:val="28"/>
        </w:rPr>
        <w:t>)的維持性治療使用：(1</w:t>
      </w:r>
      <w:r w:rsidRPr="0000130D">
        <w:rPr>
          <w:rFonts w:ascii="標楷體" w:eastAsia="標楷體" w:hAnsi="標楷體"/>
          <w:color w:val="000000" w:themeColor="text1"/>
          <w:kern w:val="2"/>
          <w:szCs w:val="28"/>
        </w:rPr>
        <w:t>13</w:t>
      </w:r>
      <w:r w:rsidRPr="0000130D">
        <w:rPr>
          <w:rFonts w:ascii="標楷體" w:eastAsia="標楷體" w:hAnsi="標楷體" w:hint="eastAsia"/>
          <w:color w:val="000000" w:themeColor="text1"/>
          <w:kern w:val="2"/>
          <w:szCs w:val="28"/>
        </w:rPr>
        <w:t>/11/1</w:t>
      </w:r>
      <w:r w:rsidRPr="0000130D">
        <w:rPr>
          <w:rFonts w:ascii="標楷體" w:eastAsia="標楷體" w:hAnsi="標楷體"/>
          <w:color w:val="000000" w:themeColor="text1"/>
          <w:kern w:val="2"/>
          <w:szCs w:val="28"/>
        </w:rPr>
        <w:t>)</w:t>
      </w:r>
    </w:p>
    <w:p w14:paraId="5209FB4E" w14:textId="77777777" w:rsidR="0000130D" w:rsidRPr="0000130D" w:rsidRDefault="0000130D" w:rsidP="0080165B">
      <w:pPr>
        <w:ind w:left="1276" w:hanging="425"/>
        <w:rPr>
          <w:rFonts w:ascii="標楷體" w:eastAsia="標楷體" w:hAnsi="標楷體"/>
          <w:szCs w:val="28"/>
        </w:rPr>
      </w:pPr>
      <w:r w:rsidRPr="0000130D">
        <w:rPr>
          <w:rFonts w:ascii="標楷體" w:eastAsia="標楷體" w:hAnsi="標楷體" w:hint="eastAsia"/>
          <w:color w:val="000000" w:themeColor="text1"/>
          <w:kern w:val="2"/>
          <w:szCs w:val="28"/>
        </w:rPr>
        <w:t>Ⅰ</w:t>
      </w:r>
      <w:r w:rsidRPr="0000130D">
        <w:rPr>
          <w:rFonts w:ascii="標楷體" w:eastAsia="標楷體" w:hAnsi="標楷體"/>
          <w:color w:val="000000" w:themeColor="text1"/>
          <w:kern w:val="2"/>
          <w:szCs w:val="28"/>
        </w:rPr>
        <w:t>.</w:t>
      </w:r>
      <w:r w:rsidRPr="0000130D">
        <w:rPr>
          <w:rFonts w:ascii="標楷體" w:eastAsia="標楷體" w:hAnsi="標楷體"/>
          <w:szCs w:val="28"/>
        </w:rPr>
        <w:t>限用於</w:t>
      </w:r>
      <w:r w:rsidRPr="0000130D">
        <w:rPr>
          <w:rFonts w:ascii="標楷體" w:eastAsia="標楷體" w:hAnsi="標楷體" w:hint="eastAsia"/>
          <w:szCs w:val="28"/>
        </w:rPr>
        <w:t>接受骨髓或幹細胞移植病人在合併後天性免疫球蛋白低下症(</w:t>
      </w:r>
      <w:r w:rsidRPr="0000130D">
        <w:rPr>
          <w:rFonts w:ascii="標楷體" w:eastAsia="標楷體" w:hAnsi="標楷體"/>
          <w:szCs w:val="28"/>
        </w:rPr>
        <w:t>SID</w:t>
      </w:r>
      <w:r w:rsidRPr="0000130D">
        <w:rPr>
          <w:rFonts w:ascii="標楷體" w:eastAsia="標楷體" w:hAnsi="標楷體" w:hint="eastAsia"/>
          <w:szCs w:val="28"/>
        </w:rPr>
        <w:t>)的維持性治療使用，預防感染或降低感染的發生率，且血清I</w:t>
      </w:r>
      <w:r w:rsidRPr="0000130D">
        <w:rPr>
          <w:rFonts w:ascii="標楷體" w:eastAsia="標楷體" w:hAnsi="標楷體"/>
          <w:szCs w:val="28"/>
        </w:rPr>
        <w:t>gG</w:t>
      </w:r>
      <w:r w:rsidRPr="0000130D">
        <w:rPr>
          <w:rFonts w:ascii="標楷體" w:eastAsia="標楷體" w:hAnsi="標楷體" w:hint="eastAsia"/>
          <w:szCs w:val="28"/>
        </w:rPr>
        <w:t xml:space="preserve">濃度＜4 </w:t>
      </w:r>
      <w:r w:rsidRPr="0000130D">
        <w:rPr>
          <w:rFonts w:ascii="標楷體" w:eastAsia="標楷體" w:hAnsi="標楷體"/>
          <w:szCs w:val="28"/>
        </w:rPr>
        <w:t>g/L</w:t>
      </w:r>
      <w:r w:rsidRPr="0000130D">
        <w:rPr>
          <w:rFonts w:ascii="標楷體" w:eastAsia="標楷體" w:hAnsi="標楷體" w:hint="eastAsia"/>
          <w:szCs w:val="28"/>
        </w:rPr>
        <w:t>，及過去6個月曾發生2次(含)以上嚴重感染。</w:t>
      </w:r>
    </w:p>
    <w:p w14:paraId="63FAD39F" w14:textId="77777777" w:rsidR="0000130D" w:rsidRPr="0000130D" w:rsidRDefault="0000130D" w:rsidP="0080165B">
      <w:pPr>
        <w:ind w:left="1276" w:hanging="425"/>
        <w:rPr>
          <w:rFonts w:ascii="標楷體" w:eastAsia="標楷體" w:hAnsi="標楷體"/>
          <w:szCs w:val="28"/>
        </w:rPr>
      </w:pPr>
      <w:bookmarkStart w:id="14" w:name="_Hlk149032110"/>
      <w:r w:rsidRPr="0000130D">
        <w:rPr>
          <w:rFonts w:ascii="標楷體" w:eastAsia="標楷體" w:hAnsi="標楷體" w:hint="eastAsia"/>
          <w:szCs w:val="28"/>
        </w:rPr>
        <w:t>Ⅱ.療程為每4週注射1次，每次劑量為每公斤體重0.2公克。</w:t>
      </w:r>
      <w:bookmarkEnd w:id="14"/>
    </w:p>
    <w:p w14:paraId="2895775F" w14:textId="77777777" w:rsidR="0000130D" w:rsidRPr="0000130D" w:rsidRDefault="0000130D" w:rsidP="0080165B">
      <w:pPr>
        <w:ind w:left="1276" w:hanging="425"/>
        <w:rPr>
          <w:rFonts w:ascii="標楷體" w:eastAsia="標楷體" w:hAnsi="標楷體"/>
          <w:szCs w:val="28"/>
        </w:rPr>
      </w:pPr>
      <w:r w:rsidRPr="0000130D">
        <w:rPr>
          <w:rFonts w:ascii="標楷體" w:eastAsia="標楷體" w:hAnsi="標楷體" w:hint="eastAsia"/>
          <w:szCs w:val="28"/>
        </w:rPr>
        <w:t>Ⅲ.經事前審查核准後使用，</w:t>
      </w:r>
      <w:r w:rsidRPr="0000130D">
        <w:rPr>
          <w:rFonts w:ascii="標楷體" w:eastAsia="標楷體" w:hAnsi="標楷體"/>
          <w:szCs w:val="28"/>
        </w:rPr>
        <w:t>每次申請</w:t>
      </w:r>
      <w:r w:rsidRPr="0000130D">
        <w:rPr>
          <w:rFonts w:ascii="標楷體" w:eastAsia="標楷體" w:hAnsi="標楷體" w:hint="eastAsia"/>
          <w:szCs w:val="28"/>
        </w:rPr>
        <w:t>以3</w:t>
      </w:r>
      <w:r w:rsidRPr="0000130D">
        <w:rPr>
          <w:rFonts w:ascii="標楷體" w:eastAsia="標楷體" w:hAnsi="標楷體"/>
          <w:szCs w:val="28"/>
        </w:rPr>
        <w:t>個</w:t>
      </w:r>
      <w:r w:rsidRPr="0000130D">
        <w:rPr>
          <w:rFonts w:ascii="標楷體" w:eastAsia="標楷體" w:hAnsi="標楷體" w:hint="eastAsia"/>
          <w:szCs w:val="28"/>
        </w:rPr>
        <w:t>月為限(限使用3個</w:t>
      </w:r>
      <w:r w:rsidRPr="0000130D">
        <w:rPr>
          <w:rFonts w:ascii="標楷體" w:eastAsia="標楷體" w:hAnsi="標楷體"/>
          <w:szCs w:val="28"/>
        </w:rPr>
        <w:t>療程</w:t>
      </w:r>
      <w:r w:rsidRPr="0000130D">
        <w:rPr>
          <w:rFonts w:ascii="標楷體" w:eastAsia="標楷體" w:hAnsi="標楷體" w:hint="eastAsia"/>
          <w:szCs w:val="28"/>
        </w:rPr>
        <w:t>)</w:t>
      </w:r>
      <w:r w:rsidRPr="0000130D">
        <w:rPr>
          <w:rFonts w:ascii="標楷體" w:eastAsia="標楷體" w:hAnsi="標楷體"/>
          <w:szCs w:val="28"/>
        </w:rPr>
        <w:t>，</w:t>
      </w:r>
      <w:r w:rsidRPr="0000130D">
        <w:rPr>
          <w:rFonts w:ascii="標楷體" w:eastAsia="標楷體" w:hAnsi="標楷體" w:hint="eastAsia"/>
          <w:szCs w:val="28"/>
        </w:rPr>
        <w:t>並</w:t>
      </w:r>
      <w:r w:rsidRPr="0000130D">
        <w:rPr>
          <w:rFonts w:ascii="標楷體" w:eastAsia="標楷體" w:hAnsi="標楷體"/>
          <w:szCs w:val="28"/>
        </w:rPr>
        <w:t>需檢附</w:t>
      </w:r>
      <w:r w:rsidRPr="0000130D">
        <w:rPr>
          <w:rFonts w:ascii="標楷體" w:eastAsia="標楷體" w:hAnsi="標楷體" w:hint="eastAsia"/>
          <w:szCs w:val="28"/>
        </w:rPr>
        <w:t>免疫球蛋白(I</w:t>
      </w:r>
      <w:r w:rsidRPr="0000130D">
        <w:rPr>
          <w:rFonts w:ascii="標楷體" w:eastAsia="標楷體" w:hAnsi="標楷體"/>
          <w:szCs w:val="28"/>
        </w:rPr>
        <w:t xml:space="preserve">gG </w:t>
      </w:r>
      <w:r w:rsidRPr="0000130D">
        <w:rPr>
          <w:rFonts w:ascii="標楷體" w:eastAsia="標楷體" w:hAnsi="標楷體" w:hint="eastAsia"/>
          <w:szCs w:val="28"/>
        </w:rPr>
        <w:t>濃度)檢查報告</w:t>
      </w:r>
      <w:r w:rsidRPr="0000130D">
        <w:rPr>
          <w:rFonts w:ascii="標楷體" w:eastAsia="標楷體" w:hAnsi="標楷體"/>
          <w:szCs w:val="28"/>
        </w:rPr>
        <w:t>。</w:t>
      </w:r>
      <w:r w:rsidRPr="0000130D">
        <w:rPr>
          <w:rFonts w:ascii="標楷體" w:eastAsia="標楷體" w:hAnsi="標楷體" w:hint="eastAsia"/>
          <w:szCs w:val="28"/>
        </w:rPr>
        <w:t xml:space="preserve"> </w:t>
      </w:r>
    </w:p>
    <w:p w14:paraId="09112D9D" w14:textId="77777777" w:rsidR="0000130D" w:rsidRPr="0000130D" w:rsidRDefault="0000130D" w:rsidP="0080165B">
      <w:pPr>
        <w:ind w:left="1276" w:hanging="425"/>
        <w:rPr>
          <w:rFonts w:ascii="標楷體" w:eastAsia="標楷體" w:hAnsi="標楷體"/>
          <w:szCs w:val="28"/>
        </w:rPr>
      </w:pPr>
      <w:r w:rsidRPr="0000130D">
        <w:rPr>
          <w:rFonts w:ascii="標楷體" w:eastAsia="標楷體" w:hAnsi="標楷體" w:hint="eastAsia"/>
          <w:szCs w:val="28"/>
        </w:rPr>
        <w:t>Ⅳ.繼續使用者，需每3個月評估一次血清I</w:t>
      </w:r>
      <w:r w:rsidRPr="0000130D">
        <w:rPr>
          <w:rFonts w:ascii="標楷體" w:eastAsia="標楷體" w:hAnsi="標楷體"/>
          <w:szCs w:val="28"/>
        </w:rPr>
        <w:t xml:space="preserve">gG </w:t>
      </w:r>
      <w:r w:rsidRPr="0000130D">
        <w:rPr>
          <w:rFonts w:ascii="標楷體" w:eastAsia="標楷體" w:hAnsi="標楷體" w:hint="eastAsia"/>
          <w:szCs w:val="28"/>
        </w:rPr>
        <w:t>濃度(於最後1次注射I</w:t>
      </w:r>
      <w:r w:rsidRPr="0000130D">
        <w:rPr>
          <w:rFonts w:ascii="標楷體" w:eastAsia="標楷體" w:hAnsi="標楷體"/>
          <w:szCs w:val="28"/>
        </w:rPr>
        <w:t>VIg</w:t>
      </w:r>
      <w:r w:rsidRPr="0000130D">
        <w:rPr>
          <w:rFonts w:ascii="標楷體" w:eastAsia="標楷體" w:hAnsi="標楷體" w:hint="eastAsia"/>
          <w:szCs w:val="28"/>
        </w:rPr>
        <w:t>的4週後或下次注射前檢測)，</w:t>
      </w:r>
      <w:bookmarkStart w:id="15" w:name="_Hlk149031951"/>
      <w:r w:rsidRPr="0000130D">
        <w:rPr>
          <w:rFonts w:ascii="標楷體" w:eastAsia="標楷體" w:hAnsi="標楷體" w:hint="eastAsia"/>
          <w:szCs w:val="28"/>
        </w:rPr>
        <w:t>符合血清I</w:t>
      </w:r>
      <w:r w:rsidRPr="0000130D">
        <w:rPr>
          <w:rFonts w:ascii="標楷體" w:eastAsia="標楷體" w:hAnsi="標楷體"/>
          <w:szCs w:val="28"/>
        </w:rPr>
        <w:t>gG</w:t>
      </w:r>
      <w:bookmarkStart w:id="16" w:name="_Hlk149031626"/>
      <w:r w:rsidRPr="0000130D">
        <w:rPr>
          <w:rFonts w:ascii="標楷體" w:eastAsia="標楷體" w:hAnsi="標楷體" w:hint="eastAsia"/>
          <w:szCs w:val="28"/>
        </w:rPr>
        <w:t>濃度＜</w:t>
      </w:r>
      <w:r w:rsidRPr="0000130D">
        <w:rPr>
          <w:rFonts w:ascii="標楷體" w:eastAsia="標楷體" w:hAnsi="標楷體"/>
          <w:szCs w:val="28"/>
        </w:rPr>
        <w:t>5g/L</w:t>
      </w:r>
      <w:bookmarkEnd w:id="16"/>
      <w:r w:rsidRPr="0000130D">
        <w:rPr>
          <w:rFonts w:ascii="標楷體" w:eastAsia="標楷體" w:hAnsi="標楷體" w:hint="eastAsia"/>
          <w:szCs w:val="28"/>
        </w:rPr>
        <w:t>，且過去</w:t>
      </w:r>
      <w:r w:rsidRPr="0000130D">
        <w:rPr>
          <w:rFonts w:ascii="標楷體" w:eastAsia="標楷體" w:hAnsi="標楷體"/>
          <w:szCs w:val="28"/>
        </w:rPr>
        <w:t>3</w:t>
      </w:r>
      <w:r w:rsidRPr="0000130D">
        <w:rPr>
          <w:rFonts w:ascii="標楷體" w:eastAsia="標楷體" w:hAnsi="標楷體" w:hint="eastAsia"/>
          <w:szCs w:val="28"/>
        </w:rPr>
        <w:t>個月曾發生嚴重感染</w:t>
      </w:r>
      <w:bookmarkEnd w:id="15"/>
      <w:r w:rsidRPr="0000130D">
        <w:rPr>
          <w:rFonts w:ascii="標楷體" w:eastAsia="標楷體" w:hAnsi="標楷體" w:hint="eastAsia"/>
          <w:szCs w:val="28"/>
        </w:rPr>
        <w:t>，方可提出申請續用。若續用時血清I</w:t>
      </w:r>
      <w:r w:rsidRPr="0000130D">
        <w:rPr>
          <w:rFonts w:ascii="標楷體" w:eastAsia="標楷體" w:hAnsi="標楷體"/>
          <w:szCs w:val="28"/>
        </w:rPr>
        <w:t>gG</w:t>
      </w:r>
      <w:r w:rsidRPr="0000130D">
        <w:rPr>
          <w:rFonts w:ascii="標楷體" w:eastAsia="標楷體" w:hAnsi="標楷體" w:hint="eastAsia"/>
          <w:szCs w:val="28"/>
        </w:rPr>
        <w:t>濃度＜</w:t>
      </w:r>
      <w:r w:rsidRPr="0000130D">
        <w:rPr>
          <w:rFonts w:ascii="標楷體" w:eastAsia="標楷體" w:hAnsi="標楷體"/>
          <w:szCs w:val="28"/>
        </w:rPr>
        <w:t>5g/L</w:t>
      </w:r>
      <w:r w:rsidRPr="0000130D">
        <w:rPr>
          <w:rFonts w:ascii="標楷體" w:eastAsia="標楷體" w:hAnsi="標楷體" w:hint="eastAsia"/>
          <w:szCs w:val="28"/>
        </w:rPr>
        <w:t>則每次劑量為每公斤體重0</w:t>
      </w:r>
      <w:r w:rsidRPr="0000130D">
        <w:rPr>
          <w:rFonts w:ascii="標楷體" w:eastAsia="標楷體" w:hAnsi="標楷體"/>
          <w:szCs w:val="28"/>
        </w:rPr>
        <w:t>.2-</w:t>
      </w:r>
      <w:r w:rsidRPr="0000130D">
        <w:rPr>
          <w:rFonts w:ascii="標楷體" w:eastAsia="標楷體" w:hAnsi="標楷體" w:hint="eastAsia"/>
          <w:szCs w:val="28"/>
        </w:rPr>
        <w:t>0.</w:t>
      </w:r>
      <w:r w:rsidRPr="0000130D">
        <w:rPr>
          <w:rFonts w:ascii="標楷體" w:eastAsia="標楷體" w:hAnsi="標楷體"/>
          <w:szCs w:val="28"/>
        </w:rPr>
        <w:t>4</w:t>
      </w:r>
      <w:r w:rsidRPr="0000130D">
        <w:rPr>
          <w:rFonts w:ascii="標楷體" w:eastAsia="標楷體" w:hAnsi="標楷體" w:hint="eastAsia"/>
          <w:szCs w:val="28"/>
        </w:rPr>
        <w:t>公克。</w:t>
      </w:r>
    </w:p>
    <w:p w14:paraId="5E69F3B2" w14:textId="730F990E" w:rsidR="0000130D" w:rsidRPr="0000130D" w:rsidRDefault="0000130D" w:rsidP="0080165B">
      <w:pPr>
        <w:ind w:left="1276" w:hanging="425"/>
        <w:rPr>
          <w:color w:val="000000" w:themeColor="text1"/>
        </w:rPr>
      </w:pPr>
      <w:r w:rsidRPr="0080165B">
        <w:rPr>
          <w:rFonts w:ascii="標楷體" w:eastAsia="標楷體" w:hAnsi="標楷體" w:hint="eastAsia"/>
          <w:szCs w:val="28"/>
        </w:rPr>
        <w:t>Ⅴ</w:t>
      </w:r>
      <w:r w:rsidRPr="0080165B">
        <w:rPr>
          <w:rFonts w:ascii="標楷體" w:eastAsia="標楷體" w:hAnsi="標楷體"/>
          <w:szCs w:val="28"/>
        </w:rPr>
        <w:t>.</w:t>
      </w:r>
      <w:r w:rsidRPr="0080165B">
        <w:rPr>
          <w:rFonts w:ascii="標楷體" w:eastAsia="標楷體" w:hAnsi="標楷體" w:hint="eastAsia"/>
          <w:szCs w:val="28"/>
        </w:rPr>
        <w:t>上揭為預防感染</w:t>
      </w:r>
      <w:r w:rsidRPr="0000130D">
        <w:rPr>
          <w:rFonts w:ascii="標楷體" w:eastAsia="標楷體" w:hAnsi="標楷體" w:hint="eastAsia"/>
          <w:color w:val="000000" w:themeColor="text1"/>
          <w:kern w:val="2"/>
          <w:szCs w:val="28"/>
        </w:rPr>
        <w:t>或降低感染發生率，限使用於正在接受壓抑B細胞之積極治療方案病人，每個方案以9個月為上限。</w:t>
      </w:r>
    </w:p>
    <w:p w14:paraId="0B5E9D66" w14:textId="77777777" w:rsidR="00BD776B" w:rsidRDefault="00DF0C24">
      <w:pPr>
        <w:ind w:left="1276" w:hanging="672"/>
      </w:pPr>
      <w:r>
        <w:rPr>
          <w:rFonts w:ascii="標楷體" w:eastAsia="標楷體" w:hAnsi="標楷體"/>
          <w:szCs w:val="28"/>
        </w:rPr>
        <w:t>2.</w:t>
      </w:r>
      <w:r>
        <w:rPr>
          <w:sz w:val="22"/>
        </w:rPr>
        <w:t xml:space="preserve"> </w:t>
      </w:r>
      <w:r>
        <w:rPr>
          <w:rFonts w:ascii="標楷體" w:eastAsia="標楷體" w:hAnsi="標楷體"/>
          <w:szCs w:val="28"/>
        </w:rPr>
        <w:t xml:space="preserve">皮下注射劑：（108/2/1） </w:t>
      </w:r>
    </w:p>
    <w:p w14:paraId="47C90E5F" w14:textId="77777777" w:rsidR="00BD776B" w:rsidRDefault="00DF0C24">
      <w:pPr>
        <w:ind w:left="1064" w:hanging="84"/>
      </w:pPr>
      <w:r>
        <w:rPr>
          <w:rFonts w:ascii="標楷體" w:eastAsia="標楷體" w:hAnsi="標楷體"/>
          <w:szCs w:val="28"/>
        </w:rPr>
        <w:t>原發性免疫不全症之預防性使用，需有醫學中心之診斷證明。</w:t>
      </w:r>
    </w:p>
    <w:p w14:paraId="073934D2" w14:textId="77777777" w:rsidR="00BD776B" w:rsidRDefault="00DF0C24">
      <w:pPr>
        <w:ind w:left="1276" w:hanging="1098"/>
        <w:rPr>
          <w:rFonts w:ascii="標楷體" w:eastAsia="標楷體" w:hAnsi="標楷體"/>
          <w:szCs w:val="28"/>
        </w:rPr>
      </w:pPr>
      <w:r>
        <w:rPr>
          <w:rFonts w:ascii="標楷體" w:eastAsia="標楷體" w:hAnsi="標楷體"/>
          <w:szCs w:val="28"/>
        </w:rPr>
        <w:t>註：川崎病診斷標準：</w:t>
      </w:r>
    </w:p>
    <w:p w14:paraId="38AC1BC1" w14:textId="77777777" w:rsidR="00BD776B" w:rsidRDefault="00DF0C24">
      <w:pPr>
        <w:ind w:left="1276" w:hanging="672"/>
        <w:rPr>
          <w:rFonts w:ascii="標楷體" w:eastAsia="標楷體" w:hAnsi="標楷體"/>
          <w:szCs w:val="28"/>
        </w:rPr>
      </w:pPr>
      <w:r>
        <w:rPr>
          <w:rFonts w:ascii="標楷體" w:eastAsia="標楷體" w:hAnsi="標楷體"/>
          <w:szCs w:val="28"/>
        </w:rPr>
        <w:t>1.發燒五天或五天以上且合併下列五項臨床症狀中至少四項。</w:t>
      </w:r>
    </w:p>
    <w:p w14:paraId="3DB18F2F" w14:textId="77777777" w:rsidR="00BD776B" w:rsidRDefault="00DF0C24">
      <w:pPr>
        <w:ind w:left="1418" w:hanging="672"/>
        <w:rPr>
          <w:rFonts w:ascii="標楷體" w:eastAsia="標楷體" w:hAnsi="標楷體"/>
          <w:szCs w:val="28"/>
        </w:rPr>
      </w:pPr>
      <w:r>
        <w:rPr>
          <w:rFonts w:ascii="標楷體" w:eastAsia="標楷體" w:hAnsi="標楷體"/>
          <w:szCs w:val="28"/>
        </w:rPr>
        <w:t>(1)兩眼眼球結膜充血。</w:t>
      </w:r>
    </w:p>
    <w:p w14:paraId="5FCED045" w14:textId="77777777" w:rsidR="00BD776B" w:rsidRDefault="00DF0C24">
      <w:pPr>
        <w:ind w:left="1418" w:hanging="672"/>
        <w:rPr>
          <w:rFonts w:ascii="標楷體" w:eastAsia="標楷體" w:hAnsi="標楷體"/>
          <w:szCs w:val="28"/>
        </w:rPr>
      </w:pPr>
      <w:r>
        <w:rPr>
          <w:rFonts w:ascii="標楷體" w:eastAsia="標楷體" w:hAnsi="標楷體"/>
          <w:szCs w:val="28"/>
        </w:rPr>
        <w:t>(2)嘴唇及口腔的變化：嘴唇紅、乾裂或草莓舌或咽喉泛紅。</w:t>
      </w:r>
    </w:p>
    <w:p w14:paraId="1C18CAE0" w14:textId="77777777" w:rsidR="00BD776B" w:rsidRDefault="00DF0C24">
      <w:pPr>
        <w:ind w:left="1418" w:hanging="672"/>
        <w:rPr>
          <w:rFonts w:ascii="標楷體" w:eastAsia="標楷體" w:hAnsi="標楷體"/>
          <w:szCs w:val="28"/>
        </w:rPr>
      </w:pPr>
      <w:r>
        <w:rPr>
          <w:rFonts w:ascii="標楷體" w:eastAsia="標楷體" w:hAnsi="標楷體"/>
          <w:szCs w:val="28"/>
        </w:rPr>
        <w:t>(3)肢端病變：手（足）水腫或指（趾）尖脫皮。</w:t>
      </w:r>
    </w:p>
    <w:p w14:paraId="7E2BA4C0" w14:textId="77777777" w:rsidR="00BD776B" w:rsidRDefault="00DF0C24">
      <w:pPr>
        <w:ind w:left="1418" w:hanging="672"/>
        <w:rPr>
          <w:rFonts w:ascii="標楷體" w:eastAsia="標楷體" w:hAnsi="標楷體"/>
          <w:szCs w:val="28"/>
        </w:rPr>
      </w:pPr>
      <w:r>
        <w:rPr>
          <w:rFonts w:ascii="標楷體" w:eastAsia="標楷體" w:hAnsi="標楷體"/>
          <w:szCs w:val="28"/>
        </w:rPr>
        <w:t>(4)多形性皮疹。</w:t>
      </w:r>
    </w:p>
    <w:p w14:paraId="6B5C4E7C" w14:textId="77777777" w:rsidR="00BD776B" w:rsidRDefault="00DF0C24">
      <w:pPr>
        <w:ind w:left="1418" w:hanging="672"/>
        <w:rPr>
          <w:rFonts w:ascii="標楷體" w:eastAsia="標楷體" w:hAnsi="標楷體"/>
          <w:szCs w:val="28"/>
        </w:rPr>
      </w:pPr>
      <w:r>
        <w:rPr>
          <w:rFonts w:ascii="標楷體" w:eastAsia="標楷體" w:hAnsi="標楷體"/>
          <w:szCs w:val="28"/>
        </w:rPr>
        <w:t>(5)頸部淋巴腺腫。</w:t>
      </w:r>
    </w:p>
    <w:p w14:paraId="4F3BEB40" w14:textId="77777777" w:rsidR="00BD776B" w:rsidRDefault="00DF0C24">
      <w:pPr>
        <w:ind w:left="1276" w:hanging="709"/>
        <w:rPr>
          <w:rFonts w:ascii="標楷體" w:eastAsia="標楷體" w:hAnsi="標楷體"/>
          <w:szCs w:val="28"/>
        </w:rPr>
      </w:pPr>
      <w:r>
        <w:rPr>
          <w:rFonts w:ascii="標楷體" w:eastAsia="標楷體" w:hAnsi="標楷體"/>
          <w:szCs w:val="28"/>
        </w:rPr>
        <w:t>2.排除其他可能引起類似臨床疾病。</w:t>
      </w:r>
    </w:p>
    <w:p w14:paraId="48BCC7FF" w14:textId="77777777" w:rsidR="00BD776B" w:rsidRDefault="00DF0C24">
      <w:pPr>
        <w:ind w:left="811" w:hanging="245"/>
      </w:pPr>
      <w:r>
        <w:rPr>
          <w:rFonts w:ascii="標楷體" w:eastAsia="標楷體" w:hAnsi="標楷體"/>
          <w:szCs w:val="28"/>
        </w:rPr>
        <w:lastRenderedPageBreak/>
        <w:t>3.或只符合三項臨床症狀，但心臟超音波檢查已發現有冠狀動脈病變。</w:t>
      </w:r>
    </w:p>
    <w:p w14:paraId="0D5161FF" w14:textId="77777777" w:rsidR="00BD776B" w:rsidRDefault="00DF0C24">
      <w:pPr>
        <w:ind w:left="672" w:hanging="386"/>
        <w:rPr>
          <w:rFonts w:ascii="標楷體" w:eastAsia="標楷體" w:hAnsi="標楷體"/>
          <w:color w:val="000000"/>
        </w:rPr>
      </w:pPr>
      <w:r>
        <w:rPr>
          <w:rFonts w:ascii="標楷體" w:eastAsia="標楷體" w:hAnsi="標楷體"/>
          <w:color w:val="000000"/>
        </w:rPr>
        <w:t>8.1.4.Immunoglobulin（如：Thymoglobuline inj）(90/11/1、96/2/1、97/8/1、99/2/1、109/4/1)：</w:t>
      </w:r>
    </w:p>
    <w:p w14:paraId="06293DBF" w14:textId="77777777" w:rsidR="00BD776B" w:rsidRDefault="00DF0C24">
      <w:pPr>
        <w:ind w:left="811" w:hanging="245"/>
        <w:rPr>
          <w:rFonts w:ascii="標楷體" w:eastAsia="標楷體" w:hAnsi="標楷體"/>
          <w:color w:val="000000"/>
        </w:rPr>
      </w:pPr>
      <w:r>
        <w:rPr>
          <w:rFonts w:ascii="標楷體" w:eastAsia="標楷體" w:hAnsi="標楷體"/>
          <w:color w:val="000000"/>
        </w:rPr>
        <w:t>1.限符合下列適應症病患檢附病歷摘要（註明診斷、相關檢查報告及數據、體重、年齡、性別、病史)</w:t>
      </w:r>
    </w:p>
    <w:p w14:paraId="77326E26" w14:textId="77777777" w:rsidR="00BD776B" w:rsidRDefault="00DF0C24">
      <w:pPr>
        <w:ind w:left="1049" w:hanging="341"/>
        <w:rPr>
          <w:rFonts w:ascii="標楷體" w:eastAsia="標楷體" w:hAnsi="標楷體"/>
          <w:color w:val="000000"/>
        </w:rPr>
      </w:pPr>
      <w:r>
        <w:rPr>
          <w:rFonts w:ascii="標楷體" w:eastAsia="標楷體" w:hAnsi="標楷體"/>
          <w:color w:val="000000"/>
        </w:rPr>
        <w:t>(1)嚴重再生不良性貧血經傳統方法治療無效且不適合作骨髓移植之病例。</w:t>
      </w:r>
    </w:p>
    <w:p w14:paraId="64B8969F" w14:textId="77777777" w:rsidR="00BD776B" w:rsidRDefault="00DF0C24">
      <w:pPr>
        <w:ind w:left="1049" w:hanging="341"/>
        <w:rPr>
          <w:rFonts w:ascii="標楷體" w:eastAsia="標楷體" w:hAnsi="標楷體"/>
          <w:color w:val="000000"/>
        </w:rPr>
      </w:pPr>
      <w:r>
        <w:rPr>
          <w:rFonts w:ascii="標楷體" w:eastAsia="標楷體" w:hAnsi="標楷體"/>
          <w:color w:val="000000"/>
        </w:rPr>
        <w:t>(2)器官移植病患併發嚴重之急性排斥反應。</w:t>
      </w:r>
    </w:p>
    <w:p w14:paraId="1877447B" w14:textId="77777777" w:rsidR="00BD776B" w:rsidRDefault="00DF0C24">
      <w:pPr>
        <w:ind w:left="1049" w:hanging="341"/>
        <w:rPr>
          <w:rFonts w:ascii="標楷體" w:eastAsia="標楷體" w:hAnsi="標楷體"/>
          <w:color w:val="000000"/>
        </w:rPr>
      </w:pPr>
      <w:r>
        <w:rPr>
          <w:rFonts w:ascii="標楷體" w:eastAsia="標楷體" w:hAnsi="標楷體"/>
          <w:color w:val="000000"/>
        </w:rPr>
        <w:t>(3)限定於異體造血幹細胞移植之植體抗宿主疾病（graft versus host disease）之預防與治療。(109/4/1)</w:t>
      </w:r>
    </w:p>
    <w:p w14:paraId="328AD9AF" w14:textId="77777777" w:rsidR="00BD776B" w:rsidRDefault="00DF0C24">
      <w:pPr>
        <w:ind w:left="1049" w:hanging="341"/>
        <w:rPr>
          <w:rFonts w:ascii="標楷體" w:eastAsia="標楷體" w:hAnsi="標楷體"/>
          <w:color w:val="000000"/>
        </w:rPr>
      </w:pPr>
      <w:r>
        <w:rPr>
          <w:rFonts w:ascii="標楷體" w:eastAsia="標楷體" w:hAnsi="標楷體"/>
          <w:color w:val="000000"/>
        </w:rPr>
        <w:t>(4)心臟移植病人使用呼吸器，並可能併發腎功能不全者。</w:t>
      </w:r>
    </w:p>
    <w:p w14:paraId="13CDCE7E" w14:textId="77777777" w:rsidR="00BD776B" w:rsidRDefault="00DF0C24">
      <w:pPr>
        <w:ind w:left="1049" w:hanging="341"/>
        <w:rPr>
          <w:rFonts w:ascii="標楷體" w:eastAsia="標楷體" w:hAnsi="標楷體"/>
          <w:color w:val="000000"/>
        </w:rPr>
      </w:pPr>
      <w:r>
        <w:rPr>
          <w:rFonts w:ascii="標楷體" w:eastAsia="標楷體" w:hAnsi="標楷體"/>
          <w:color w:val="000000"/>
        </w:rPr>
        <w:t>(5)Thymoglobuline inj.可用於預防心臟、腎臟移植引起之急性排斥。(109/4/1)</w:t>
      </w:r>
    </w:p>
    <w:p w14:paraId="597768ED" w14:textId="77777777" w:rsidR="00BD776B" w:rsidRDefault="00DF0C24">
      <w:pPr>
        <w:ind w:left="1049" w:hanging="341"/>
        <w:rPr>
          <w:rFonts w:ascii="標楷體" w:eastAsia="標楷體" w:hAnsi="標楷體"/>
          <w:color w:val="000000"/>
        </w:rPr>
      </w:pPr>
      <w:r>
        <w:rPr>
          <w:rFonts w:ascii="標楷體" w:eastAsia="標楷體" w:hAnsi="標楷體"/>
          <w:color w:val="000000"/>
        </w:rPr>
        <w:t>(6)作為異體造血幹細胞移植前之條件療法(109/4/1)。</w:t>
      </w:r>
    </w:p>
    <w:p w14:paraId="55012BEE" w14:textId="77777777" w:rsidR="00BD776B" w:rsidRDefault="00DF0C24">
      <w:pPr>
        <w:ind w:left="629" w:hanging="346"/>
        <w:rPr>
          <w:rFonts w:ascii="標楷體" w:eastAsia="標楷體" w:hAnsi="標楷體"/>
          <w:color w:val="000000"/>
        </w:rPr>
      </w:pPr>
      <w:r>
        <w:rPr>
          <w:rFonts w:ascii="標楷體" w:eastAsia="標楷體" w:hAnsi="標楷體"/>
          <w:color w:val="000000"/>
        </w:rPr>
        <w:t>8.1.5.人用狂犬病疫苗及免疫球蛋白(如Rabipur)：(103/1/1、103/5/1、106/3/1)</w:t>
      </w:r>
    </w:p>
    <w:p w14:paraId="28FF2F84" w14:textId="77777777" w:rsidR="00BD776B" w:rsidRDefault="00DF0C24">
      <w:pPr>
        <w:ind w:left="796" w:hanging="230"/>
        <w:rPr>
          <w:rFonts w:ascii="標楷體" w:eastAsia="標楷體" w:hAnsi="標楷體"/>
          <w:color w:val="000000"/>
        </w:rPr>
      </w:pPr>
      <w:r>
        <w:rPr>
          <w:rFonts w:ascii="標楷體" w:eastAsia="標楷體" w:hAnsi="標楷體"/>
          <w:color w:val="000000"/>
        </w:rPr>
        <w:t>1.本類藥品使用於遭疑似狂犬病或麗沙病毒感染動物咬傷暴露後之接種，其使用對象及使用方式應依衛生福利部疾病管制署最新版「疑似狂犬病或麗沙病毒感染動物抓咬傷臨床處置指引」之接種建議辦理(請參閱疾病管制署狂犬病專區網頁http://www.cdc.gov.tw)。(106/3/1)</w:t>
      </w:r>
    </w:p>
    <w:p w14:paraId="60CE9D90" w14:textId="77777777" w:rsidR="00BD776B" w:rsidRDefault="00DF0C24">
      <w:pPr>
        <w:ind w:left="796" w:hanging="230"/>
        <w:rPr>
          <w:rFonts w:ascii="標楷體" w:eastAsia="標楷體" w:hAnsi="標楷體"/>
          <w:color w:val="000000"/>
        </w:rPr>
      </w:pPr>
      <w:r>
        <w:rPr>
          <w:rFonts w:ascii="標楷體" w:eastAsia="標楷體" w:hAnsi="標楷體"/>
          <w:color w:val="000000"/>
        </w:rPr>
        <w:t>2.限於疾病管制署公布之人用狂犬病疫苗接種服務醫院(衛生所)施打。(103/5/1)</w:t>
      </w:r>
    </w:p>
    <w:p w14:paraId="717F8982" w14:textId="77777777" w:rsidR="00BD776B" w:rsidRDefault="00DF0C24">
      <w:pPr>
        <w:ind w:left="76" w:hanging="230"/>
      </w:pPr>
      <w:r>
        <w:rPr>
          <w:rFonts w:ascii="標楷體" w:eastAsia="標楷體" w:hAnsi="標楷體"/>
          <w:szCs w:val="24"/>
        </w:rPr>
        <w:tab/>
      </w:r>
      <w:r>
        <w:rPr>
          <w:rFonts w:ascii="標楷體" w:eastAsia="標楷體" w:hAnsi="標楷體"/>
          <w:sz w:val="20"/>
          <w:szCs w:val="20"/>
        </w:rPr>
        <w:t xml:space="preserve">  </w:t>
      </w:r>
      <w:r>
        <w:rPr>
          <w:rFonts w:ascii="標楷體" w:eastAsia="標楷體" w:hAnsi="標楷體"/>
          <w:szCs w:val="24"/>
        </w:rPr>
        <w:t>8.1.6.破傷風類毒素Tetanus toxoid：(112/11/12)</w:t>
      </w:r>
    </w:p>
    <w:p w14:paraId="44CB2528" w14:textId="77777777" w:rsidR="00BD776B" w:rsidRDefault="00DF0C24">
      <w:pPr>
        <w:ind w:left="796" w:hanging="230"/>
      </w:pPr>
      <w:r>
        <w:rPr>
          <w:rFonts w:ascii="標楷體" w:eastAsia="標楷體" w:hAnsi="標楷體"/>
          <w:szCs w:val="24"/>
        </w:rPr>
        <w:t xml:space="preserve"> 每人每次處方限申報0.5mL。</w:t>
      </w:r>
    </w:p>
    <w:p w14:paraId="405D3CC8" w14:textId="77777777" w:rsidR="00BD776B" w:rsidRDefault="00DF0C24">
      <w:pPr>
        <w:ind w:left="672" w:hanging="386"/>
        <w:rPr>
          <w:rFonts w:ascii="標楷體" w:eastAsia="標楷體" w:hAnsi="標楷體"/>
          <w:color w:val="000000"/>
        </w:rPr>
      </w:pPr>
      <w:r>
        <w:rPr>
          <w:rFonts w:ascii="標楷體" w:eastAsia="標楷體" w:hAnsi="標楷體"/>
          <w:color w:val="000000"/>
        </w:rPr>
        <w:t>8.2.免疫調節劑  Immunomodulators</w:t>
      </w:r>
    </w:p>
    <w:p w14:paraId="53F1A8E9" w14:textId="77777777" w:rsidR="00BD776B" w:rsidRDefault="00DF0C24">
      <w:pPr>
        <w:ind w:left="672" w:hanging="386"/>
        <w:rPr>
          <w:rFonts w:ascii="標楷體" w:eastAsia="標楷體" w:hAnsi="標楷體"/>
          <w:color w:val="000000"/>
        </w:rPr>
      </w:pPr>
      <w:r>
        <w:rPr>
          <w:rFonts w:ascii="標楷體" w:eastAsia="標楷體" w:hAnsi="標楷體"/>
          <w:color w:val="000000"/>
        </w:rPr>
        <w:t>8.2.1.Cyclosporin（如Sandimmun）：（86/1/1、86/9/1、89/7/1、101/10/1、111/5/1）限</w:t>
      </w:r>
    </w:p>
    <w:p w14:paraId="78E9CDD4" w14:textId="77777777" w:rsidR="00BD776B" w:rsidRDefault="00DF0C24">
      <w:pPr>
        <w:ind w:left="811" w:hanging="245"/>
        <w:rPr>
          <w:rFonts w:ascii="標楷體" w:eastAsia="標楷體" w:hAnsi="標楷體"/>
          <w:color w:val="000000"/>
        </w:rPr>
      </w:pPr>
      <w:r>
        <w:rPr>
          <w:rFonts w:ascii="標楷體" w:eastAsia="標楷體" w:hAnsi="標楷體"/>
          <w:color w:val="000000"/>
        </w:rPr>
        <w:t>1.器官移植抗排斥藥物。</w:t>
      </w:r>
    </w:p>
    <w:p w14:paraId="3C8A4064" w14:textId="77777777" w:rsidR="00BD776B" w:rsidRDefault="00DF0C24">
      <w:pPr>
        <w:ind w:left="811" w:hanging="245"/>
      </w:pPr>
      <w:r>
        <w:rPr>
          <w:rFonts w:ascii="標楷體" w:eastAsia="標楷體" w:hAnsi="標楷體"/>
          <w:color w:val="000000"/>
        </w:rPr>
        <w:t>2.</w:t>
      </w:r>
      <w:r>
        <w:t xml:space="preserve"> </w:t>
      </w:r>
      <w:r>
        <w:rPr>
          <w:rFonts w:ascii="標楷體" w:eastAsia="標楷體" w:hAnsi="標楷體"/>
          <w:color w:val="000000"/>
        </w:rPr>
        <w:t>嚴重乾癬或異位性皮膚炎引起之全身性紅皮症(需檢附照片)。(111/5/1）。</w:t>
      </w:r>
    </w:p>
    <w:p w14:paraId="1ED51844" w14:textId="77777777" w:rsidR="00BD776B" w:rsidRDefault="00DF0C24">
      <w:pPr>
        <w:ind w:left="811" w:hanging="245"/>
        <w:rPr>
          <w:rFonts w:ascii="標楷體" w:eastAsia="標楷體" w:hAnsi="標楷體"/>
          <w:color w:val="000000"/>
        </w:rPr>
      </w:pPr>
      <w:r>
        <w:rPr>
          <w:rFonts w:ascii="標楷體" w:eastAsia="標楷體" w:hAnsi="標楷體"/>
          <w:color w:val="000000"/>
        </w:rPr>
        <w:t>3.自體免疫性葡萄膜炎及貝西氏病病例使用，請檢附病歷摘要及診斷證明。</w:t>
      </w:r>
    </w:p>
    <w:p w14:paraId="7010BDAB" w14:textId="77777777" w:rsidR="00BD776B" w:rsidRDefault="00DF0C24">
      <w:pPr>
        <w:ind w:left="811" w:hanging="245"/>
        <w:rPr>
          <w:rFonts w:ascii="標楷體" w:eastAsia="標楷體" w:hAnsi="標楷體"/>
          <w:color w:val="000000"/>
        </w:rPr>
      </w:pPr>
      <w:r>
        <w:rPr>
          <w:rFonts w:ascii="標楷體" w:eastAsia="標楷體" w:hAnsi="標楷體"/>
          <w:color w:val="000000"/>
        </w:rPr>
        <w:t>4.替代性療法無效或不適用之嚴重乾癬或異位性皮膚炎(需檢附三個月以上之病歷與用藥紀錄)。(111/5/1）。</w:t>
      </w:r>
    </w:p>
    <w:p w14:paraId="4D494893" w14:textId="77777777" w:rsidR="00BD776B" w:rsidRDefault="00DF0C24">
      <w:pPr>
        <w:ind w:left="811" w:hanging="245"/>
        <w:rPr>
          <w:rFonts w:ascii="標楷體" w:eastAsia="標楷體" w:hAnsi="標楷體"/>
          <w:color w:val="000000"/>
        </w:rPr>
      </w:pPr>
      <w:r>
        <w:rPr>
          <w:rFonts w:ascii="標楷體" w:eastAsia="標楷體" w:hAnsi="標楷體"/>
          <w:color w:val="000000"/>
        </w:rPr>
        <w:t>5.標準療法無效或不適用之嚴重類風濕性關節炎(需檢附三個月以上之病歷與用藥紀錄)。</w:t>
      </w:r>
    </w:p>
    <w:p w14:paraId="0F720832" w14:textId="77777777" w:rsidR="00BD776B" w:rsidRDefault="00DF0C24">
      <w:pPr>
        <w:ind w:left="811" w:hanging="245"/>
        <w:rPr>
          <w:rFonts w:ascii="標楷體" w:eastAsia="標楷體" w:hAnsi="標楷體"/>
          <w:color w:val="000000"/>
        </w:rPr>
      </w:pPr>
      <w:r>
        <w:rPr>
          <w:rFonts w:ascii="標楷體" w:eastAsia="標楷體" w:hAnsi="標楷體"/>
          <w:color w:val="000000"/>
        </w:rPr>
        <w:t>6.以類固醇治療無效或對類固醇有依賴性的原發性腎病症候群【經活體檢視（biopsy）主要為微小病變疾病或局部環節腎絲球硬化症】，經細胞穩定劑（cytostatics）治療無效且腎功能指數在正常值50%以上之病人。</w:t>
      </w:r>
    </w:p>
    <w:p w14:paraId="24B12302" w14:textId="77777777" w:rsidR="00BD776B" w:rsidRDefault="00DF0C24">
      <w:pPr>
        <w:ind w:left="811" w:hanging="245"/>
        <w:rPr>
          <w:rFonts w:ascii="標楷體" w:eastAsia="標楷體" w:hAnsi="標楷體"/>
          <w:color w:val="000000"/>
        </w:rPr>
      </w:pPr>
      <w:r>
        <w:rPr>
          <w:rFonts w:ascii="標楷體" w:eastAsia="標楷體" w:hAnsi="標楷體"/>
          <w:color w:val="000000"/>
        </w:rPr>
        <w:t>7.若經病人使用cyclosporin後四個月內，其每日尿蛋白量無法降低至少40%時，即認定為cyclosporin治療無效，應予以停用cyclosporin。</w:t>
      </w:r>
    </w:p>
    <w:p w14:paraId="3A98CA16" w14:textId="77777777" w:rsidR="00BD776B" w:rsidRDefault="00DF0C24">
      <w:pPr>
        <w:ind w:left="672" w:hanging="386"/>
      </w:pPr>
      <w:r>
        <w:rPr>
          <w:rFonts w:ascii="標楷體" w:eastAsia="標楷體" w:hAnsi="標楷體"/>
          <w:bCs/>
          <w:color w:val="000000"/>
        </w:rPr>
        <w:t xml:space="preserve">8.使用於後天型嚴重再生不良性貧血。惟限使用「Sandimmun Neoral Soft Gelatin Capsules 25mg」及「Sandimmun Neoral Oral Solution </w:t>
      </w:r>
      <w:r>
        <w:rPr>
          <w:rFonts w:ascii="標楷體" w:eastAsia="標楷體" w:hAnsi="標楷體"/>
          <w:color w:val="000000"/>
        </w:rPr>
        <w:t>100mg/mL」。（101/10/1）</w:t>
      </w:r>
    </w:p>
    <w:p w14:paraId="128D76FA" w14:textId="77777777" w:rsidR="00BD776B" w:rsidRDefault="00DF0C24">
      <w:pPr>
        <w:ind w:left="672" w:hanging="386"/>
        <w:rPr>
          <w:rFonts w:ascii="標楷體" w:eastAsia="標楷體" w:hAnsi="標楷體"/>
          <w:color w:val="000000"/>
        </w:rPr>
      </w:pPr>
      <w:r>
        <w:rPr>
          <w:rFonts w:ascii="標楷體" w:eastAsia="標楷體" w:hAnsi="標楷體"/>
          <w:color w:val="000000"/>
        </w:rPr>
        <w:t>8.2.2.Tacrolimus</w:t>
      </w:r>
    </w:p>
    <w:p w14:paraId="581A0526" w14:textId="77777777" w:rsidR="00BD776B" w:rsidRDefault="00DF0C24">
      <w:pPr>
        <w:ind w:left="672" w:hanging="386"/>
        <w:rPr>
          <w:rFonts w:ascii="標楷體" w:eastAsia="標楷體" w:hAnsi="標楷體"/>
          <w:color w:val="000000"/>
        </w:rPr>
      </w:pPr>
      <w:r>
        <w:rPr>
          <w:rFonts w:ascii="標楷體" w:eastAsia="標楷體" w:hAnsi="標楷體"/>
          <w:color w:val="000000"/>
        </w:rPr>
        <w:t>8.2.2.1.Tacrolimus持續性口服製劑：(98/8/1)</w:t>
      </w:r>
    </w:p>
    <w:p w14:paraId="794462B6" w14:textId="77777777" w:rsidR="00BD776B" w:rsidRDefault="00DF0C24">
      <w:pPr>
        <w:ind w:left="912" w:hanging="386"/>
        <w:rPr>
          <w:rFonts w:ascii="標楷體" w:eastAsia="標楷體" w:hAnsi="標楷體"/>
          <w:color w:val="000000"/>
        </w:rPr>
      </w:pPr>
      <w:r>
        <w:rPr>
          <w:rFonts w:ascii="標楷體" w:eastAsia="標楷體" w:hAnsi="標楷體"/>
          <w:color w:val="000000"/>
        </w:rPr>
        <w:t>1.成人肝、腎移植之第一線用藥。</w:t>
      </w:r>
    </w:p>
    <w:p w14:paraId="4F8BCD23" w14:textId="77777777" w:rsidR="00BD776B" w:rsidRDefault="00DF0C24">
      <w:pPr>
        <w:ind w:left="912" w:hanging="386"/>
        <w:rPr>
          <w:rFonts w:ascii="標楷體" w:eastAsia="標楷體" w:hAnsi="標楷體"/>
          <w:color w:val="000000"/>
        </w:rPr>
      </w:pPr>
      <w:r>
        <w:rPr>
          <w:rFonts w:ascii="標楷體" w:eastAsia="標楷體" w:hAnsi="標楷體"/>
          <w:color w:val="000000"/>
        </w:rPr>
        <w:t>2.成人肝、腎移植cyclosporin無效之第二線用藥。</w:t>
      </w:r>
    </w:p>
    <w:p w14:paraId="41499CA5" w14:textId="77777777" w:rsidR="00BD776B" w:rsidRDefault="00DF0C24">
      <w:pPr>
        <w:ind w:left="912" w:hanging="386"/>
        <w:rPr>
          <w:rFonts w:ascii="標楷體" w:eastAsia="標楷體" w:hAnsi="標楷體"/>
          <w:color w:val="000000"/>
        </w:rPr>
      </w:pPr>
      <w:r>
        <w:rPr>
          <w:rFonts w:ascii="標楷體" w:eastAsia="標楷體" w:hAnsi="標楷體"/>
          <w:color w:val="000000"/>
        </w:rPr>
        <w:lastRenderedPageBreak/>
        <w:t>8.2.2.2.Tacrolimus 注射劑及其他非持續性口服製劑： (88/8/1、93/12/1、102/7/1)</w:t>
      </w:r>
    </w:p>
    <w:p w14:paraId="400B331E" w14:textId="77777777" w:rsidR="00BD776B" w:rsidRDefault="00DF0C24">
      <w:pPr>
        <w:ind w:left="912" w:hanging="386"/>
        <w:rPr>
          <w:rFonts w:ascii="標楷體" w:eastAsia="標楷體" w:hAnsi="標楷體"/>
          <w:color w:val="000000"/>
        </w:rPr>
      </w:pPr>
      <w:r>
        <w:rPr>
          <w:rFonts w:ascii="標楷體" w:eastAsia="標楷體" w:hAnsi="標楷體"/>
          <w:color w:val="000000"/>
        </w:rPr>
        <w:t>1.肝臟及腎臟移植之第一線用藥或肝腎移植cyclosporin無效之第二線用藥。</w:t>
      </w:r>
    </w:p>
    <w:p w14:paraId="08B4E330" w14:textId="77777777" w:rsidR="00BD776B" w:rsidRDefault="00DF0C24">
      <w:pPr>
        <w:ind w:left="912" w:hanging="386"/>
        <w:rPr>
          <w:rFonts w:ascii="標楷體" w:eastAsia="標楷體" w:hAnsi="標楷體"/>
          <w:color w:val="000000"/>
        </w:rPr>
      </w:pPr>
      <w:r>
        <w:rPr>
          <w:rFonts w:ascii="標楷體" w:eastAsia="標楷體" w:hAnsi="標楷體"/>
          <w:color w:val="000000"/>
        </w:rPr>
        <w:t>2.心臟移植之第一線、第二線用藥。</w:t>
      </w:r>
    </w:p>
    <w:p w14:paraId="1E7C6163" w14:textId="77777777" w:rsidR="00BD776B" w:rsidRDefault="00DF0C24">
      <w:pPr>
        <w:ind w:left="672" w:hanging="386"/>
        <w:rPr>
          <w:rFonts w:ascii="標楷體" w:eastAsia="標楷體" w:hAnsi="標楷體"/>
          <w:color w:val="000000"/>
        </w:rPr>
      </w:pPr>
      <w:r>
        <w:rPr>
          <w:rFonts w:ascii="標楷體" w:eastAsia="標楷體" w:hAnsi="標楷體"/>
          <w:color w:val="000000"/>
        </w:rPr>
        <w:t>8.2.3.多發性硬化症治療藥品 (91/4/1、92/3/1、92/12/1、93/3/1、94/10/1、96/7/1、97/8/1、99/10/1、100/5/1、100/10/1、101/9/1、102/10/1、107/7/1、107/10/1、108/7/1、109/1/1、109/11/1、112/3/1)</w:t>
      </w:r>
    </w:p>
    <w:p w14:paraId="24B0C83E" w14:textId="77777777" w:rsidR="00BD776B" w:rsidRDefault="00DF0C24">
      <w:pPr>
        <w:ind w:left="672" w:hanging="386"/>
        <w:rPr>
          <w:rFonts w:ascii="標楷體" w:eastAsia="標楷體" w:hAnsi="標楷體"/>
          <w:color w:val="000000"/>
        </w:rPr>
      </w:pPr>
      <w:r>
        <w:rPr>
          <w:rFonts w:ascii="標楷體" w:eastAsia="標楷體" w:hAnsi="標楷體"/>
          <w:color w:val="000000"/>
        </w:rPr>
        <w:t>8.2.3.1. Interferon beta-la (如Rebif) 、teriflunomide 14mg (如Aubagio)、dimethyl fumarate（如Tecfidera）、peginterferon beta-1a (如Plegridy)、ozanimod(如Zeposia)：(91/4/1、97/8/1、100/10/1、106/10/1、107/7/1、107/10/1、109/11/1、112/3/1)</w:t>
      </w:r>
    </w:p>
    <w:p w14:paraId="2CFEAB9F" w14:textId="77777777" w:rsidR="00BD776B" w:rsidRDefault="00DF0C24">
      <w:pPr>
        <w:ind w:left="912" w:hanging="386"/>
        <w:rPr>
          <w:rFonts w:ascii="標楷體" w:eastAsia="標楷體" w:hAnsi="標楷體"/>
          <w:color w:val="000000"/>
        </w:rPr>
      </w:pPr>
      <w:r>
        <w:rPr>
          <w:rFonts w:ascii="標楷體" w:eastAsia="標楷體" w:hAnsi="標楷體"/>
          <w:color w:val="000000"/>
        </w:rPr>
        <w:t>1.限用於復發型多發性硬化症。</w:t>
      </w:r>
    </w:p>
    <w:p w14:paraId="410AB5F9" w14:textId="77777777" w:rsidR="00BD776B" w:rsidRDefault="00DF0C24">
      <w:pPr>
        <w:ind w:left="912" w:hanging="386"/>
        <w:rPr>
          <w:rFonts w:ascii="標楷體" w:eastAsia="標楷體" w:hAnsi="標楷體"/>
          <w:color w:val="000000"/>
        </w:rPr>
      </w:pPr>
      <w:r>
        <w:rPr>
          <w:rFonts w:ascii="標楷體" w:eastAsia="標楷體" w:hAnsi="標楷體"/>
          <w:color w:val="000000"/>
        </w:rPr>
        <w:t>2.初次使用teriflunomide、dimethyl fumarate、peginterferon beta-1a及ozanimod時需經事前審查核准後使用(109/11/1、112/3/1)。</w:t>
      </w:r>
    </w:p>
    <w:p w14:paraId="52F3E8AC" w14:textId="77777777" w:rsidR="00BD776B" w:rsidRDefault="00DF0C24">
      <w:pPr>
        <w:ind w:left="912" w:hanging="386"/>
        <w:rPr>
          <w:rFonts w:ascii="標楷體" w:eastAsia="標楷體" w:hAnsi="標楷體"/>
          <w:color w:val="000000"/>
        </w:rPr>
      </w:pPr>
      <w:r>
        <w:rPr>
          <w:rFonts w:ascii="標楷體" w:eastAsia="標楷體" w:hAnsi="標楷體"/>
          <w:color w:val="000000"/>
        </w:rPr>
        <w:t>3.不適用於視神經脊髓炎（neuromyelitis optica,NMO），包括：(100/10/1)</w:t>
      </w:r>
    </w:p>
    <w:p w14:paraId="7231F8CE" w14:textId="77777777" w:rsidR="00BD776B" w:rsidRDefault="00DF0C24">
      <w:pPr>
        <w:ind w:left="1152" w:hanging="386"/>
        <w:rPr>
          <w:rFonts w:ascii="標楷體" w:eastAsia="標楷體" w:hAnsi="標楷體"/>
          <w:color w:val="000000"/>
        </w:rPr>
      </w:pPr>
      <w:r>
        <w:rPr>
          <w:rFonts w:ascii="標楷體" w:eastAsia="標楷體" w:hAnsi="標楷體"/>
          <w:color w:val="000000"/>
        </w:rPr>
        <w:t>(1)有視神經及脊髓發作。</w:t>
      </w:r>
    </w:p>
    <w:p w14:paraId="0222ED60" w14:textId="77777777" w:rsidR="00BD776B" w:rsidRDefault="00DF0C24">
      <w:pPr>
        <w:ind w:left="1152" w:hanging="386"/>
        <w:rPr>
          <w:rFonts w:ascii="標楷體" w:eastAsia="標楷體" w:hAnsi="標楷體"/>
          <w:color w:val="000000"/>
        </w:rPr>
      </w:pPr>
      <w:r>
        <w:rPr>
          <w:rFonts w:ascii="標楷體" w:eastAsia="標楷體" w:hAnsi="標楷體"/>
          <w:color w:val="000000"/>
        </w:rPr>
        <w:t>(2)出現下列2種以上症狀：</w:t>
      </w:r>
    </w:p>
    <w:p w14:paraId="10F93D24" w14:textId="77777777" w:rsidR="00BD776B" w:rsidRDefault="00DF0C24">
      <w:pPr>
        <w:ind w:left="1152" w:hanging="386"/>
        <w:rPr>
          <w:rFonts w:ascii="標楷體" w:eastAsia="標楷體" w:hAnsi="標楷體"/>
          <w:color w:val="000000"/>
        </w:rPr>
      </w:pPr>
      <w:r>
        <w:rPr>
          <w:rFonts w:ascii="標楷體" w:eastAsia="標楷體" w:hAnsi="標楷體"/>
          <w:color w:val="000000"/>
        </w:rPr>
        <w:t>i脊髓侵犯大於3節。</w:t>
      </w:r>
    </w:p>
    <w:p w14:paraId="44AB4993" w14:textId="77777777" w:rsidR="00BD776B" w:rsidRDefault="00DF0C24">
      <w:pPr>
        <w:ind w:left="1152" w:hanging="386"/>
        <w:rPr>
          <w:rFonts w:ascii="標楷體" w:eastAsia="標楷體" w:hAnsi="標楷體"/>
          <w:color w:val="000000"/>
        </w:rPr>
      </w:pPr>
      <w:r>
        <w:rPr>
          <w:rFonts w:ascii="標楷體" w:eastAsia="標楷體" w:hAnsi="標楷體"/>
          <w:color w:val="000000"/>
        </w:rPr>
        <w:t>ii NMO-IgG or Aquaporin-4抗體陽性。</w:t>
      </w:r>
    </w:p>
    <w:p w14:paraId="7A325F6B" w14:textId="77777777" w:rsidR="00BD776B" w:rsidRDefault="00DF0C24">
      <w:pPr>
        <w:ind w:left="1152" w:hanging="386"/>
        <w:rPr>
          <w:rFonts w:ascii="標楷體" w:eastAsia="標楷體" w:hAnsi="標楷體"/>
          <w:color w:val="000000"/>
        </w:rPr>
      </w:pPr>
      <w:r>
        <w:rPr>
          <w:rFonts w:ascii="標楷體" w:eastAsia="標楷體" w:hAnsi="標楷體"/>
          <w:color w:val="000000"/>
        </w:rPr>
        <w:t>iii腦部磁振造影不符合多發性硬化症診斷標準。</w:t>
      </w:r>
    </w:p>
    <w:p w14:paraId="798395F6" w14:textId="77777777" w:rsidR="00BD776B" w:rsidRDefault="00DF0C24">
      <w:pPr>
        <w:ind w:left="912" w:hanging="386"/>
        <w:rPr>
          <w:rFonts w:ascii="標楷體" w:eastAsia="標楷體" w:hAnsi="標楷體"/>
          <w:color w:val="000000"/>
        </w:rPr>
      </w:pPr>
      <w:r>
        <w:rPr>
          <w:rFonts w:ascii="標楷體" w:eastAsia="標楷體" w:hAnsi="標楷體"/>
          <w:color w:val="000000"/>
        </w:rPr>
        <w:t>4.Ozanimod每日限用1粒，若治療無效，第二線治療藥物不得使用fingolimod。(112/3/1)</w:t>
      </w:r>
    </w:p>
    <w:p w14:paraId="481CF594" w14:textId="77777777" w:rsidR="00BD776B" w:rsidRDefault="00DF0C24">
      <w:pPr>
        <w:ind w:left="912" w:hanging="386"/>
        <w:rPr>
          <w:rFonts w:ascii="標楷體" w:eastAsia="標楷體" w:hAnsi="標楷體"/>
          <w:color w:val="000000"/>
        </w:rPr>
      </w:pPr>
      <w:r>
        <w:rPr>
          <w:rFonts w:ascii="標楷體" w:eastAsia="標楷體" w:hAnsi="標楷體"/>
          <w:color w:val="000000"/>
        </w:rPr>
        <w:t>5.Interferon beta-la、teriflunomide 14mg、dimethyl fumarate、peginterferon beta-1a、ozanimod僅得擇一使用。(112/3/1)</w:t>
      </w:r>
    </w:p>
    <w:p w14:paraId="1A06084F" w14:textId="77777777" w:rsidR="00BD776B" w:rsidRDefault="00DF0C24">
      <w:pPr>
        <w:ind w:left="240"/>
        <w:rPr>
          <w:rFonts w:ascii="標楷體" w:eastAsia="標楷體" w:hAnsi="標楷體"/>
          <w:color w:val="000000"/>
        </w:rPr>
      </w:pPr>
      <w:r>
        <w:rPr>
          <w:rFonts w:ascii="標楷體" w:eastAsia="標楷體" w:hAnsi="標楷體"/>
          <w:color w:val="000000"/>
        </w:rPr>
        <w:t>8.2.3.2.Interferon beta-1b (如Betaferon 8MIU)：(92/3/1、92/12/1、93/3/1、97/8/1、99/10/1、100/10/1、106/10/1)</w:t>
      </w:r>
    </w:p>
    <w:p w14:paraId="7479747F" w14:textId="77777777" w:rsidR="00BD776B" w:rsidRDefault="00DF0C24">
      <w:pPr>
        <w:ind w:left="798" w:hanging="1"/>
        <w:rPr>
          <w:rFonts w:ascii="標楷體" w:eastAsia="標楷體" w:hAnsi="標楷體"/>
          <w:color w:val="000000"/>
        </w:rPr>
      </w:pPr>
      <w:r>
        <w:rPr>
          <w:rFonts w:ascii="標楷體" w:eastAsia="標楷體" w:hAnsi="標楷體"/>
          <w:color w:val="000000"/>
        </w:rPr>
        <w:t>限用於：</w:t>
      </w:r>
    </w:p>
    <w:p w14:paraId="72771602" w14:textId="77777777" w:rsidR="00BD776B" w:rsidRDefault="00DF0C24">
      <w:pPr>
        <w:pStyle w:val="af"/>
        <w:numPr>
          <w:ilvl w:val="6"/>
          <w:numId w:val="5"/>
        </w:numPr>
        <w:spacing w:line="400" w:lineRule="exact"/>
        <w:ind w:left="879" w:hanging="284"/>
        <w:rPr>
          <w:rFonts w:ascii="標楷體" w:eastAsia="標楷體" w:hAnsi="標楷體"/>
          <w:color w:val="000000"/>
        </w:rPr>
      </w:pPr>
      <w:r>
        <w:rPr>
          <w:rFonts w:ascii="標楷體" w:eastAsia="標楷體" w:hAnsi="標楷體"/>
          <w:color w:val="000000"/>
        </w:rPr>
        <w:t>降低反覆發作型多發性硬化症的發作頻率及嚴重度。(100/10/1、106/10/1)</w:t>
      </w:r>
    </w:p>
    <w:p w14:paraId="5D943DE4" w14:textId="77777777" w:rsidR="00BD776B" w:rsidRDefault="00DF0C24">
      <w:pPr>
        <w:pStyle w:val="af"/>
        <w:numPr>
          <w:ilvl w:val="6"/>
          <w:numId w:val="5"/>
        </w:numPr>
        <w:spacing w:line="400" w:lineRule="exact"/>
        <w:ind w:left="879" w:hanging="284"/>
        <w:rPr>
          <w:rFonts w:ascii="標楷體" w:eastAsia="標楷體" w:hAnsi="標楷體"/>
          <w:color w:val="000000"/>
        </w:rPr>
      </w:pPr>
      <w:r>
        <w:rPr>
          <w:rFonts w:ascii="標楷體" w:eastAsia="標楷體" w:hAnsi="標楷體"/>
          <w:color w:val="000000"/>
        </w:rPr>
        <w:t>降低續發型多發性硬化症的發作頻率及嚴重度。(100/10/1、106/10/1)。</w:t>
      </w:r>
    </w:p>
    <w:p w14:paraId="1B1734B7" w14:textId="77777777" w:rsidR="00BD776B" w:rsidRDefault="00DF0C24">
      <w:pPr>
        <w:pStyle w:val="af"/>
        <w:numPr>
          <w:ilvl w:val="6"/>
          <w:numId w:val="5"/>
        </w:numPr>
        <w:spacing w:line="400" w:lineRule="exact"/>
        <w:ind w:left="879" w:hanging="284"/>
        <w:rPr>
          <w:rFonts w:ascii="標楷體" w:eastAsia="標楷體" w:hAnsi="標楷體"/>
          <w:color w:val="000000"/>
        </w:rPr>
      </w:pPr>
      <w:r>
        <w:rPr>
          <w:rFonts w:ascii="標楷體" w:eastAsia="標楷體" w:hAnsi="標楷體"/>
          <w:color w:val="000000"/>
        </w:rPr>
        <w:t>發生單一臨床症狀（Clinically Isolated Syndrome）疑似多發性硬化症的病患。使用時需符合下列規定：(99/10/1、106/10/1)</w:t>
      </w:r>
    </w:p>
    <w:p w14:paraId="644DFEA2" w14:textId="77777777" w:rsidR="00BD776B" w:rsidRDefault="00DF0C24">
      <w:pPr>
        <w:pStyle w:val="af"/>
        <w:spacing w:line="400" w:lineRule="exact"/>
        <w:ind w:left="910"/>
        <w:rPr>
          <w:rFonts w:ascii="標楷體" w:eastAsia="標楷體" w:hAnsi="標楷體"/>
          <w:color w:val="000000"/>
        </w:rPr>
      </w:pPr>
      <w:r>
        <w:rPr>
          <w:rFonts w:ascii="標楷體" w:eastAsia="標楷體" w:hAnsi="標楷體"/>
          <w:color w:val="000000"/>
        </w:rPr>
        <w:t>限神經科醫師申請使用，申請時必須附病歷及具2個以上MS-like病灶點之MRI影像，以確認符合Clinical Isolated Syndrome (CIS)。</w:t>
      </w:r>
    </w:p>
    <w:p w14:paraId="1F2E88DC" w14:textId="77777777" w:rsidR="00BD776B" w:rsidRDefault="00DF0C24">
      <w:pPr>
        <w:pStyle w:val="af"/>
        <w:numPr>
          <w:ilvl w:val="6"/>
          <w:numId w:val="5"/>
        </w:numPr>
        <w:spacing w:line="400" w:lineRule="exact"/>
        <w:ind w:left="879" w:hanging="284"/>
        <w:rPr>
          <w:rFonts w:ascii="標楷體" w:eastAsia="標楷體" w:hAnsi="標楷體"/>
          <w:color w:val="000000"/>
        </w:rPr>
      </w:pPr>
      <w:r>
        <w:rPr>
          <w:rFonts w:ascii="標楷體" w:eastAsia="標楷體" w:hAnsi="標楷體"/>
          <w:color w:val="000000"/>
        </w:rPr>
        <w:t>不適用於視神經脊髓炎（neuromyelitis optica, NMO），包括：(100/10/1)</w:t>
      </w:r>
    </w:p>
    <w:p w14:paraId="57452B00" w14:textId="77777777" w:rsidR="00BD776B" w:rsidRDefault="00DF0C24">
      <w:pPr>
        <w:pStyle w:val="af"/>
        <w:spacing w:line="400" w:lineRule="exact"/>
        <w:ind w:firstLine="399"/>
        <w:rPr>
          <w:rFonts w:ascii="標楷體" w:eastAsia="標楷體" w:hAnsi="標楷體"/>
          <w:color w:val="000000"/>
        </w:rPr>
      </w:pPr>
      <w:r>
        <w:rPr>
          <w:rFonts w:ascii="標楷體" w:eastAsia="標楷體" w:hAnsi="標楷體"/>
          <w:color w:val="000000"/>
        </w:rPr>
        <w:t>(1)有視神經及脊髓發作。</w:t>
      </w:r>
    </w:p>
    <w:p w14:paraId="138F78FE" w14:textId="77777777" w:rsidR="00BD776B" w:rsidRDefault="00DF0C24">
      <w:pPr>
        <w:pStyle w:val="af"/>
        <w:spacing w:line="400" w:lineRule="exact"/>
        <w:ind w:firstLine="399"/>
        <w:rPr>
          <w:rFonts w:ascii="標楷體" w:eastAsia="標楷體" w:hAnsi="標楷體"/>
          <w:color w:val="000000"/>
        </w:rPr>
      </w:pPr>
      <w:r>
        <w:rPr>
          <w:rFonts w:ascii="標楷體" w:eastAsia="標楷體" w:hAnsi="標楷體"/>
          <w:color w:val="000000"/>
        </w:rPr>
        <w:t>(2)出現下列2種以上症狀：</w:t>
      </w:r>
    </w:p>
    <w:p w14:paraId="02216186" w14:textId="77777777" w:rsidR="00BD776B" w:rsidRDefault="00DF0C24">
      <w:pPr>
        <w:ind w:left="1200"/>
        <w:rPr>
          <w:rFonts w:ascii="標楷體" w:eastAsia="標楷體" w:hAnsi="標楷體"/>
          <w:color w:val="000000"/>
        </w:rPr>
      </w:pPr>
      <w:r>
        <w:rPr>
          <w:rFonts w:ascii="標楷體" w:eastAsia="標楷體" w:hAnsi="標楷體"/>
          <w:color w:val="000000"/>
        </w:rPr>
        <w:t>i脊髓侵犯大於3節。</w:t>
      </w:r>
    </w:p>
    <w:p w14:paraId="55A6FC76" w14:textId="77777777" w:rsidR="00BD776B" w:rsidRDefault="00DF0C24">
      <w:pPr>
        <w:ind w:left="1200"/>
        <w:rPr>
          <w:rFonts w:ascii="標楷體" w:eastAsia="標楷體" w:hAnsi="標楷體"/>
          <w:color w:val="000000"/>
        </w:rPr>
      </w:pPr>
      <w:r>
        <w:rPr>
          <w:rFonts w:ascii="標楷體" w:eastAsia="標楷體" w:hAnsi="標楷體"/>
          <w:color w:val="000000"/>
        </w:rPr>
        <w:t>iiNMO-IgG or Aquaporin-4抗體陽性。</w:t>
      </w:r>
    </w:p>
    <w:p w14:paraId="02303036" w14:textId="77777777" w:rsidR="00BD776B" w:rsidRDefault="00DF0C24">
      <w:pPr>
        <w:ind w:left="720" w:firstLine="480"/>
        <w:rPr>
          <w:rFonts w:ascii="標楷體" w:eastAsia="標楷體" w:hAnsi="標楷體"/>
          <w:color w:val="000000"/>
        </w:rPr>
      </w:pPr>
      <w:r>
        <w:rPr>
          <w:rFonts w:ascii="標楷體" w:eastAsia="標楷體" w:hAnsi="標楷體"/>
          <w:color w:val="000000"/>
        </w:rPr>
        <w:t>iii腦部磁振造影不符合多發性硬化症診斷標準。</w:t>
      </w:r>
    </w:p>
    <w:p w14:paraId="0DB63CF8" w14:textId="77777777" w:rsidR="00BD776B" w:rsidRDefault="00DF0C24">
      <w:pPr>
        <w:ind w:left="672" w:hanging="386"/>
        <w:rPr>
          <w:rFonts w:ascii="標楷體" w:eastAsia="標楷體" w:hAnsi="標楷體"/>
          <w:color w:val="000000"/>
        </w:rPr>
      </w:pPr>
      <w:r>
        <w:rPr>
          <w:rFonts w:ascii="標楷體" w:eastAsia="標楷體" w:hAnsi="標楷體"/>
          <w:color w:val="000000"/>
        </w:rPr>
        <w:t>8.2.3.3.Glatiramer acetate (如Copaxone injection)：(94/10/1、97/8/1)</w:t>
      </w:r>
    </w:p>
    <w:p w14:paraId="234DB629" w14:textId="77777777" w:rsidR="00BD776B" w:rsidRDefault="00DF0C24">
      <w:pPr>
        <w:ind w:left="798" w:hanging="1"/>
        <w:rPr>
          <w:rFonts w:ascii="標楷體" w:eastAsia="標楷體" w:hAnsi="標楷體"/>
          <w:color w:val="000000"/>
        </w:rPr>
      </w:pPr>
      <w:r>
        <w:rPr>
          <w:rFonts w:ascii="標楷體" w:eastAsia="標楷體" w:hAnsi="標楷體"/>
          <w:color w:val="000000"/>
        </w:rPr>
        <w:t>限用於復發型多發性硬化症，Copaxone用於減少復發型多發性硬化症病人的復發頻率。</w:t>
      </w:r>
    </w:p>
    <w:p w14:paraId="775218FC" w14:textId="77777777" w:rsidR="00BD776B" w:rsidRDefault="00DF0C24">
      <w:pPr>
        <w:ind w:left="672" w:hanging="386"/>
        <w:rPr>
          <w:rFonts w:ascii="標楷體" w:eastAsia="標楷體" w:hAnsi="標楷體"/>
          <w:color w:val="000000"/>
        </w:rPr>
      </w:pPr>
      <w:r>
        <w:rPr>
          <w:rFonts w:ascii="標楷體" w:eastAsia="標楷體" w:hAnsi="標楷體"/>
          <w:color w:val="000000"/>
        </w:rPr>
        <w:lastRenderedPageBreak/>
        <w:t>8.2.3.4.Natalizumab (如Tysabri) （100/5/1）:</w:t>
      </w:r>
    </w:p>
    <w:p w14:paraId="23957070"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1.限用於interferon-beta 或 glatiramer 治療無效之復發型多發性硬化症病人。</w:t>
      </w:r>
    </w:p>
    <w:p w14:paraId="370739F3" w14:textId="77777777" w:rsidR="00BD776B" w:rsidRDefault="00DF0C24">
      <w:pPr>
        <w:ind w:left="811" w:hanging="245"/>
        <w:rPr>
          <w:rFonts w:ascii="標楷體" w:eastAsia="標楷體" w:hAnsi="標楷體"/>
          <w:color w:val="000000"/>
        </w:rPr>
      </w:pPr>
      <w:r>
        <w:rPr>
          <w:rFonts w:ascii="標楷體" w:eastAsia="標楷體" w:hAnsi="標楷體"/>
          <w:color w:val="000000"/>
        </w:rPr>
        <w:t>2.前述治療無效定義，係指患者臨床上每年有2次（含）以上的失能發作，且併下列條件之一：</w:t>
      </w:r>
    </w:p>
    <w:p w14:paraId="2B470123" w14:textId="77777777" w:rsidR="00BD776B" w:rsidRDefault="00DF0C24">
      <w:pPr>
        <w:ind w:left="1049" w:hanging="341"/>
        <w:rPr>
          <w:rFonts w:ascii="標楷體" w:eastAsia="標楷體" w:hAnsi="標楷體"/>
          <w:color w:val="000000"/>
        </w:rPr>
      </w:pPr>
      <w:r>
        <w:rPr>
          <w:rFonts w:ascii="標楷體" w:eastAsia="標楷體" w:hAnsi="標楷體"/>
          <w:color w:val="000000"/>
        </w:rPr>
        <w:t>(1)磁振攝影（MRI）影像的T2增強訊號病灶明顯增加。</w:t>
      </w:r>
    </w:p>
    <w:p w14:paraId="5E0357BB" w14:textId="77777777" w:rsidR="00BD776B" w:rsidRDefault="00DF0C24">
      <w:pPr>
        <w:ind w:left="1049" w:hanging="341"/>
        <w:rPr>
          <w:rFonts w:ascii="標楷體" w:eastAsia="標楷體" w:hAnsi="標楷體"/>
          <w:color w:val="000000"/>
        </w:rPr>
      </w:pPr>
      <w:r>
        <w:rPr>
          <w:rFonts w:ascii="標楷體" w:eastAsia="標楷體" w:hAnsi="標楷體"/>
          <w:color w:val="000000"/>
        </w:rPr>
        <w:t>(2)至少出現1 個釓增強病灶(gadolinium-enhancing lesions)。</w:t>
      </w:r>
    </w:p>
    <w:p w14:paraId="41498DBB" w14:textId="77777777" w:rsidR="00BD776B" w:rsidRDefault="00DF0C24">
      <w:pPr>
        <w:ind w:left="811" w:hanging="245"/>
        <w:rPr>
          <w:rFonts w:ascii="標楷體" w:eastAsia="標楷體" w:hAnsi="標楷體"/>
          <w:color w:val="000000"/>
        </w:rPr>
      </w:pPr>
      <w:r>
        <w:rPr>
          <w:rFonts w:ascii="標楷體" w:eastAsia="標楷體" w:hAnsi="標楷體"/>
          <w:color w:val="000000"/>
        </w:rPr>
        <w:t>3.病患若為眼神經脊髓炎(neuromyelitis optica)或曾經有脊髓發作超過三節或三節(≧3 vertebral bodies) 以上者，不得使用。</w:t>
      </w:r>
    </w:p>
    <w:p w14:paraId="3DCF0EE2" w14:textId="77777777" w:rsidR="00BD776B" w:rsidRDefault="00DF0C24">
      <w:pPr>
        <w:ind w:left="811" w:hanging="245"/>
        <w:rPr>
          <w:rFonts w:ascii="標楷體" w:eastAsia="標楷體" w:hAnsi="標楷體"/>
          <w:color w:val="000000"/>
        </w:rPr>
      </w:pPr>
      <w:r>
        <w:rPr>
          <w:rFonts w:ascii="標楷體" w:eastAsia="標楷體" w:hAnsi="標楷體"/>
          <w:color w:val="000000"/>
        </w:rPr>
        <w:t>4.僅限於「多發性硬化症擴展殘疾狀況評分表」（Expanded Disability Status Scale；EDSS）小於5.5者使用。</w:t>
      </w:r>
    </w:p>
    <w:p w14:paraId="4B7AC6AC" w14:textId="77777777" w:rsidR="00BD776B" w:rsidRDefault="00DF0C24">
      <w:pPr>
        <w:ind w:left="811" w:hanging="245"/>
        <w:rPr>
          <w:rFonts w:ascii="標楷體" w:eastAsia="標楷體" w:hAnsi="標楷體"/>
          <w:color w:val="000000"/>
        </w:rPr>
      </w:pPr>
      <w:r>
        <w:rPr>
          <w:rFonts w:ascii="標楷體" w:eastAsia="標楷體" w:hAnsi="標楷體"/>
          <w:color w:val="000000"/>
        </w:rPr>
        <w:t>5.須經事前審查核准後使用，每年須重新申請，排除眼神經脊髓炎(neuromyelitis optica)病患。處方醫師應事先告知病患，使用本案藥品無法完全排除發生「進行性多灶性白質腦病」(Progressive multifocal leukoencephalopathy；PML)之副作用，PML致死率高，且臨床上不易處理。</w:t>
      </w:r>
    </w:p>
    <w:p w14:paraId="402494C4" w14:textId="77777777" w:rsidR="00BD776B" w:rsidRDefault="00DF0C24">
      <w:pPr>
        <w:ind w:left="672" w:hanging="386"/>
        <w:rPr>
          <w:rFonts w:ascii="標楷體" w:eastAsia="標楷體" w:hAnsi="標楷體"/>
          <w:color w:val="000000"/>
        </w:rPr>
      </w:pPr>
      <w:r>
        <w:rPr>
          <w:rFonts w:ascii="標楷體" w:eastAsia="標楷體" w:hAnsi="標楷體"/>
          <w:color w:val="000000"/>
        </w:rPr>
        <w:t>8.2.3.5.Fingolimod(如Gilenya)、cladribine(如Mavenclad)：(101/9/1、102/10/1、109/1/1、109/10/1)</w:t>
      </w:r>
    </w:p>
    <w:p w14:paraId="566C0CB3"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1.限用於雖已接受乙型干擾素或glatiramer治療，相較於前一年度復發率仍不變或反而上升之高度活躍型復發緩解之多發性硬化症病人(highly active relapsing–remitting multiple sclerosis 即 前一年有一次以上復發或是前兩年有兩次以上復發)，但排除使用於：</w:t>
      </w:r>
    </w:p>
    <w:p w14:paraId="0A3025A4" w14:textId="77777777" w:rsidR="00BD776B" w:rsidRDefault="00DF0C24">
      <w:pPr>
        <w:ind w:left="1049" w:hanging="341"/>
        <w:rPr>
          <w:rFonts w:ascii="標楷體" w:eastAsia="標楷體" w:hAnsi="標楷體"/>
          <w:color w:val="000000"/>
        </w:rPr>
      </w:pPr>
      <w:r>
        <w:rPr>
          <w:rFonts w:ascii="標楷體" w:eastAsia="標楷體" w:hAnsi="標楷體"/>
          <w:color w:val="000000"/>
        </w:rPr>
        <w:t>(1)EDSS (Expanded Disabi1ity Status Scale)大於5.5之患者。</w:t>
      </w:r>
    </w:p>
    <w:p w14:paraId="7420CCA8" w14:textId="77777777" w:rsidR="00BD776B" w:rsidRDefault="00DF0C24">
      <w:pPr>
        <w:ind w:left="1049" w:hanging="341"/>
        <w:rPr>
          <w:rFonts w:ascii="標楷體" w:eastAsia="標楷體" w:hAnsi="標楷體"/>
          <w:color w:val="000000"/>
        </w:rPr>
      </w:pPr>
      <w:r>
        <w:rPr>
          <w:rFonts w:ascii="標楷體" w:eastAsia="標楷體" w:hAnsi="標楷體"/>
          <w:color w:val="000000"/>
        </w:rPr>
        <w:t>(2)視神經脊髓炎(neuromyelitis optica,NMO)，包括：</w:t>
      </w:r>
    </w:p>
    <w:p w14:paraId="29583F32" w14:textId="77777777" w:rsidR="00BD776B" w:rsidRDefault="00DF0C24">
      <w:pPr>
        <w:ind w:left="1414" w:hanging="336"/>
        <w:rPr>
          <w:rFonts w:ascii="標楷體" w:eastAsia="標楷體" w:hAnsi="標楷體"/>
          <w:color w:val="000000"/>
        </w:rPr>
      </w:pPr>
      <w:r>
        <w:rPr>
          <w:rFonts w:ascii="標楷體" w:eastAsia="標楷體" w:hAnsi="標楷體"/>
          <w:color w:val="000000"/>
        </w:rPr>
        <w:t>Ⅰ.有視神經及脊髓發作。</w:t>
      </w:r>
    </w:p>
    <w:p w14:paraId="397D25E0" w14:textId="77777777" w:rsidR="00BD776B" w:rsidRDefault="00DF0C24">
      <w:pPr>
        <w:ind w:left="1414" w:hanging="336"/>
        <w:rPr>
          <w:rFonts w:ascii="標楷體" w:eastAsia="標楷體" w:hAnsi="標楷體"/>
          <w:color w:val="000000"/>
        </w:rPr>
      </w:pPr>
      <w:r>
        <w:rPr>
          <w:rFonts w:ascii="標楷體" w:eastAsia="標楷體" w:hAnsi="標楷體"/>
          <w:color w:val="000000"/>
        </w:rPr>
        <w:t>Ⅱ.出現下列2 種以上症狀：</w:t>
      </w:r>
    </w:p>
    <w:p w14:paraId="1122CB82" w14:textId="77777777" w:rsidR="00BD776B" w:rsidRDefault="00DF0C24">
      <w:pPr>
        <w:ind w:left="1500" w:hanging="240"/>
        <w:rPr>
          <w:rFonts w:ascii="標楷體" w:eastAsia="標楷體" w:hAnsi="標楷體"/>
          <w:color w:val="000000"/>
        </w:rPr>
      </w:pPr>
      <w:r>
        <w:rPr>
          <w:rFonts w:ascii="標楷體" w:eastAsia="標楷體" w:hAnsi="標楷體"/>
          <w:color w:val="000000"/>
        </w:rPr>
        <w:t>i.脊髓侵犯大於3節；</w:t>
      </w:r>
    </w:p>
    <w:p w14:paraId="7EE5F87D" w14:textId="77777777" w:rsidR="00BD776B" w:rsidRDefault="00DF0C24">
      <w:pPr>
        <w:ind w:left="1500" w:hanging="240"/>
        <w:rPr>
          <w:rFonts w:ascii="標楷體" w:eastAsia="標楷體" w:hAnsi="標楷體"/>
          <w:color w:val="000000"/>
        </w:rPr>
      </w:pPr>
      <w:r>
        <w:rPr>
          <w:rFonts w:ascii="標楷體" w:eastAsia="標楷體" w:hAnsi="標楷體"/>
          <w:color w:val="000000"/>
        </w:rPr>
        <w:t>ii.NMO-IgG or Aquaporin-4 抗體陽性；</w:t>
      </w:r>
    </w:p>
    <w:p w14:paraId="577AD170" w14:textId="77777777" w:rsidR="00BD776B" w:rsidRDefault="00DF0C24">
      <w:pPr>
        <w:ind w:left="1500" w:hanging="240"/>
        <w:rPr>
          <w:rFonts w:ascii="標楷體" w:eastAsia="標楷體" w:hAnsi="標楷體"/>
          <w:color w:val="000000"/>
        </w:rPr>
      </w:pPr>
      <w:r>
        <w:rPr>
          <w:rFonts w:ascii="標楷體" w:eastAsia="標楷體" w:hAnsi="標楷體"/>
          <w:color w:val="000000"/>
        </w:rPr>
        <w:t>iii.腦部磁振造影不符合多發性硬化症診斷標準。</w:t>
      </w:r>
    </w:p>
    <w:p w14:paraId="1DC1A39C" w14:textId="77777777" w:rsidR="00BD776B" w:rsidRDefault="00DF0C24">
      <w:pPr>
        <w:ind w:left="811" w:hanging="245"/>
        <w:rPr>
          <w:rFonts w:ascii="標楷體" w:eastAsia="標楷體" w:hAnsi="標楷體"/>
          <w:color w:val="000000"/>
        </w:rPr>
      </w:pPr>
      <w:r>
        <w:rPr>
          <w:rFonts w:ascii="標楷體" w:eastAsia="標楷體" w:hAnsi="標楷體"/>
          <w:color w:val="000000"/>
        </w:rPr>
        <w:t>2.須經事前審查核准後使用，每年需重新申請，併應提出整個用藥期間的復發情形。(102/10/1)</w:t>
      </w:r>
    </w:p>
    <w:p w14:paraId="28AE5D0F" w14:textId="77777777" w:rsidR="00BD776B" w:rsidRDefault="00DF0C24">
      <w:pPr>
        <w:ind w:left="811" w:hanging="245"/>
        <w:rPr>
          <w:rFonts w:ascii="標楷體" w:eastAsia="標楷體" w:hAnsi="標楷體"/>
          <w:color w:val="000000"/>
        </w:rPr>
      </w:pPr>
      <w:r>
        <w:rPr>
          <w:rFonts w:ascii="標楷體" w:eastAsia="標楷體" w:hAnsi="標楷體"/>
          <w:color w:val="000000"/>
        </w:rPr>
        <w:t>3.Cladribine限給付兩年。(109/1/1)</w:t>
      </w:r>
    </w:p>
    <w:p w14:paraId="4434C391" w14:textId="77777777" w:rsidR="00BD776B" w:rsidRDefault="00DF0C24">
      <w:pPr>
        <w:ind w:left="811" w:hanging="245"/>
      </w:pPr>
      <w:r>
        <w:rPr>
          <w:rFonts w:ascii="標楷體" w:eastAsia="標楷體" w:hAnsi="標楷體"/>
          <w:color w:val="000000"/>
        </w:rPr>
        <w:t>4.Fingolimod使用兩年後，年度復發率(average annual relapse)無法減少</w:t>
      </w:r>
      <w:r>
        <w:rPr>
          <w:rFonts w:ascii="標楷體" w:eastAsia="標楷體" w:hAnsi="標楷體"/>
          <w:color w:val="000000"/>
          <w:vertAlign w:val="superscript"/>
        </w:rPr>
        <w:t>※</w:t>
      </w:r>
      <w:r>
        <w:rPr>
          <w:rFonts w:ascii="標楷體" w:eastAsia="標楷體" w:hAnsi="標楷體"/>
          <w:color w:val="000000"/>
        </w:rPr>
        <w:t>時應停止本藥品之治療。(102/10/1、109/1/1)</w:t>
      </w:r>
    </w:p>
    <w:p w14:paraId="373F7794" w14:textId="77777777" w:rsidR="00BD776B" w:rsidRDefault="00DF0C24">
      <w:pPr>
        <w:ind w:left="991" w:hanging="245"/>
        <w:rPr>
          <w:rFonts w:ascii="標楷體" w:eastAsia="標楷體" w:hAnsi="標楷體"/>
          <w:color w:val="000000"/>
        </w:rPr>
      </w:pPr>
      <w:r>
        <w:rPr>
          <w:rFonts w:ascii="標楷體" w:eastAsia="標楷體" w:hAnsi="標楷體"/>
          <w:color w:val="000000"/>
        </w:rPr>
        <w:t>註：年度復發率無法減少之定義為：</w:t>
      </w:r>
    </w:p>
    <w:p w14:paraId="18DB43CE" w14:textId="77777777" w:rsidR="00BD776B" w:rsidRDefault="00DF0C24">
      <w:pPr>
        <w:ind w:left="991" w:hanging="245"/>
        <w:rPr>
          <w:rFonts w:ascii="標楷體" w:eastAsia="標楷體" w:hAnsi="標楷體"/>
          <w:color w:val="000000"/>
        </w:rPr>
      </w:pPr>
      <w:r>
        <w:rPr>
          <w:rFonts w:ascii="標楷體" w:eastAsia="標楷體" w:hAnsi="標楷體"/>
          <w:color w:val="000000"/>
        </w:rPr>
        <w:t>採計使用fingolimod藥物後一年至兩年復發次數之數據 (以最近一年或兩年之復發次數除以1或2來計算)，較諸更先前一年或兩年之年復發率皆無再減少時。(102/10/1)</w:t>
      </w:r>
    </w:p>
    <w:p w14:paraId="2EC503EA" w14:textId="77777777" w:rsidR="00BD776B" w:rsidRDefault="00DF0C24">
      <w:pPr>
        <w:ind w:left="811" w:hanging="245"/>
        <w:rPr>
          <w:rFonts w:ascii="標楷體" w:eastAsia="標楷體" w:hAnsi="標楷體"/>
          <w:color w:val="000000"/>
        </w:rPr>
      </w:pPr>
      <w:r>
        <w:rPr>
          <w:rFonts w:ascii="標楷體" w:eastAsia="標楷體" w:hAnsi="標楷體"/>
          <w:color w:val="000000"/>
        </w:rPr>
        <w:t>5.個案在停藥觀察期間復發且為高度活躍型復發緩解之多發性硬化症病人(highly active relapsing– remitting multiple sclerosis可再申請並經事前審查核准後使用。(102/10/1)</w:t>
      </w:r>
    </w:p>
    <w:p w14:paraId="5733E5D3" w14:textId="77777777" w:rsidR="00BD776B" w:rsidRDefault="00DF0C24">
      <w:pPr>
        <w:pStyle w:val="11"/>
        <w:ind w:left="949" w:hanging="829"/>
        <w:rPr>
          <w:rFonts w:ascii="標楷體" w:hAnsi="標楷體"/>
          <w:sz w:val="24"/>
          <w:szCs w:val="24"/>
        </w:rPr>
      </w:pPr>
      <w:r>
        <w:rPr>
          <w:rFonts w:ascii="標楷體" w:hAnsi="標楷體"/>
          <w:sz w:val="24"/>
          <w:szCs w:val="24"/>
        </w:rPr>
        <w:t>8.2.3.6.Alemtuzumab（如Lemtrada）：（108/7/1）</w:t>
      </w:r>
    </w:p>
    <w:p w14:paraId="7D04A3DE"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1.限用曾經使用兩類或以上的多發性硬化症藥物治療後，仍控制不佳之高度活躍型復發緩解多發性硬化症病人(highly active relapsing–remitting multiple sclerosis，意即前一年有一次以上復發或是前兩年有兩次以上復發)，但排除使用於：</w:t>
      </w:r>
    </w:p>
    <w:p w14:paraId="360F8225"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(1)EDSS (Expanded Disabi1ity Status Scale)大於5.5之患者。</w:t>
      </w:r>
    </w:p>
    <w:p w14:paraId="0C00A115" w14:textId="77777777" w:rsidR="00BD776B" w:rsidRDefault="00DF0C24">
      <w:pPr>
        <w:ind w:left="1049" w:hanging="341"/>
        <w:rPr>
          <w:rFonts w:ascii="標楷體" w:eastAsia="標楷體" w:hAnsi="標楷體"/>
          <w:color w:val="000000"/>
        </w:rPr>
      </w:pPr>
      <w:r>
        <w:rPr>
          <w:rFonts w:ascii="標楷體" w:eastAsia="標楷體" w:hAnsi="標楷體"/>
          <w:color w:val="000000"/>
        </w:rPr>
        <w:t>(2)視神經脊髓炎(neuromyelitis optica, NMO)，包括：</w:t>
      </w:r>
    </w:p>
    <w:p w14:paraId="0F305BBA" w14:textId="77777777" w:rsidR="00BD776B" w:rsidRDefault="00DF0C24">
      <w:pPr>
        <w:ind w:left="1414" w:hanging="336"/>
        <w:rPr>
          <w:rFonts w:ascii="標楷體" w:eastAsia="標楷體" w:hAnsi="標楷體"/>
          <w:color w:val="000000"/>
        </w:rPr>
      </w:pPr>
      <w:r>
        <w:rPr>
          <w:rFonts w:ascii="標楷體" w:eastAsia="標楷體" w:hAnsi="標楷體"/>
          <w:color w:val="000000"/>
        </w:rPr>
        <w:t>Ⅰ.有視神經及脊髓發作。</w:t>
      </w:r>
    </w:p>
    <w:p w14:paraId="4D3BB1C8" w14:textId="77777777" w:rsidR="00BD776B" w:rsidRDefault="00DF0C24">
      <w:pPr>
        <w:ind w:left="1414" w:hanging="336"/>
        <w:rPr>
          <w:rFonts w:ascii="標楷體" w:eastAsia="標楷體" w:hAnsi="標楷體"/>
          <w:color w:val="000000"/>
        </w:rPr>
      </w:pPr>
      <w:r>
        <w:rPr>
          <w:rFonts w:ascii="標楷體" w:eastAsia="標楷體" w:hAnsi="標楷體"/>
          <w:color w:val="000000"/>
        </w:rPr>
        <w:t>Ⅱ.出現下列2種以上症狀：</w:t>
      </w:r>
    </w:p>
    <w:p w14:paraId="06201CE0" w14:textId="77777777" w:rsidR="00BD776B" w:rsidRDefault="00DF0C24">
      <w:pPr>
        <w:ind w:left="1740" w:hanging="240"/>
        <w:rPr>
          <w:rFonts w:ascii="標楷體" w:eastAsia="標楷體" w:hAnsi="標楷體"/>
          <w:color w:val="000000"/>
        </w:rPr>
      </w:pPr>
      <w:r>
        <w:rPr>
          <w:rFonts w:ascii="標楷體" w:eastAsia="標楷體" w:hAnsi="標楷體"/>
          <w:color w:val="000000"/>
        </w:rPr>
        <w:t>i.脊髓侵犯大於3節</w:t>
      </w:r>
    </w:p>
    <w:p w14:paraId="19008156" w14:textId="77777777" w:rsidR="00BD776B" w:rsidRDefault="00DF0C24">
      <w:pPr>
        <w:ind w:left="1740" w:hanging="240"/>
        <w:rPr>
          <w:rFonts w:ascii="標楷體" w:eastAsia="標楷體" w:hAnsi="標楷體"/>
          <w:color w:val="000000"/>
        </w:rPr>
      </w:pPr>
      <w:r>
        <w:rPr>
          <w:rFonts w:ascii="標楷體" w:eastAsia="標楷體" w:hAnsi="標楷體"/>
          <w:color w:val="000000"/>
        </w:rPr>
        <w:t>ii.NMO-IgG or Aquaporin-4抗體陽性</w:t>
      </w:r>
    </w:p>
    <w:p w14:paraId="436E906A" w14:textId="77777777" w:rsidR="00BD776B" w:rsidRDefault="00DF0C24">
      <w:pPr>
        <w:ind w:left="1740" w:hanging="240"/>
        <w:rPr>
          <w:rFonts w:ascii="標楷體" w:eastAsia="標楷體" w:hAnsi="標楷體"/>
          <w:color w:val="000000"/>
        </w:rPr>
      </w:pPr>
      <w:r>
        <w:rPr>
          <w:rFonts w:ascii="標楷體" w:eastAsia="標楷體" w:hAnsi="標楷體"/>
          <w:color w:val="000000"/>
        </w:rPr>
        <w:t>iii.腦部磁振造影不符合多發性硬化症診斷標準。</w:t>
      </w:r>
    </w:p>
    <w:p w14:paraId="03A719FD"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2.須經事前審查核准後使用，治療第三年後如需再接受治療者，每次追加療程都須重新申請經事前審查核准後使用，併應提出整個用藥期間的復發情形。</w:t>
      </w:r>
    </w:p>
    <w:p w14:paraId="3C9CAC78" w14:textId="77777777" w:rsidR="00BD776B" w:rsidRDefault="00DF0C24">
      <w:pPr>
        <w:snapToGrid w:val="0"/>
        <w:ind w:left="1051" w:hanging="245"/>
        <w:rPr>
          <w:rFonts w:ascii="標楷體" w:eastAsia="標楷體" w:hAnsi="標楷體"/>
          <w:color w:val="000000"/>
        </w:rPr>
      </w:pPr>
      <w:r>
        <w:rPr>
          <w:rFonts w:ascii="標楷體" w:eastAsia="標楷體" w:hAnsi="標楷體"/>
          <w:color w:val="000000"/>
        </w:rPr>
        <w:t>需再接受治療者應符合以下其中任一條件:</w:t>
      </w:r>
    </w:p>
    <w:p w14:paraId="61913BDA" w14:textId="77777777" w:rsidR="00BD776B" w:rsidRDefault="00DF0C24">
      <w:pPr>
        <w:ind w:left="1049" w:hanging="341"/>
        <w:rPr>
          <w:rFonts w:ascii="標楷體" w:eastAsia="標楷體" w:hAnsi="標楷體"/>
          <w:color w:val="000000"/>
        </w:rPr>
      </w:pPr>
      <w:r>
        <w:rPr>
          <w:rFonts w:ascii="標楷體" w:eastAsia="標楷體" w:hAnsi="標楷體"/>
          <w:color w:val="000000"/>
        </w:rPr>
        <w:t>(1)前一年有一次以上復發</w:t>
      </w:r>
    </w:p>
    <w:p w14:paraId="1BB2063F" w14:textId="77777777" w:rsidR="00BD776B" w:rsidRDefault="00DF0C24">
      <w:pPr>
        <w:ind w:left="1049" w:hanging="341"/>
        <w:rPr>
          <w:rFonts w:ascii="標楷體" w:eastAsia="標楷體" w:hAnsi="標楷體"/>
          <w:color w:val="000000"/>
        </w:rPr>
      </w:pPr>
      <w:r>
        <w:rPr>
          <w:rFonts w:ascii="標楷體" w:eastAsia="標楷體" w:hAnsi="標楷體"/>
          <w:color w:val="000000"/>
        </w:rPr>
        <w:t>(2)腦部核磁共振影像上有&gt;=2個以上gadolinium-enhanced lesion或T2WI病灶數量明顯增加</w:t>
      </w:r>
    </w:p>
    <w:p w14:paraId="17A64F85" w14:textId="77777777" w:rsidR="00BD776B" w:rsidRDefault="00DF0C24">
      <w:pPr>
        <w:ind w:left="1049" w:hanging="341"/>
        <w:rPr>
          <w:rFonts w:ascii="標楷體" w:eastAsia="標楷體" w:hAnsi="標楷體"/>
          <w:color w:val="000000"/>
        </w:rPr>
      </w:pPr>
      <w:r>
        <w:rPr>
          <w:rFonts w:ascii="標楷體" w:eastAsia="標楷體" w:hAnsi="標楷體"/>
          <w:color w:val="000000"/>
        </w:rPr>
        <w:t>(3)脊椎核磁共振影像上有新的gadolinium-enhanced lesion或新的T2WI病灶</w:t>
      </w:r>
    </w:p>
    <w:p w14:paraId="6245505F"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3.第一次療程以申請第一年五支，第二年三支為限，治療第三年後如需再接受治療者，每年每次追加療程以三支為限。</w:t>
      </w:r>
    </w:p>
    <w:p w14:paraId="1829290D"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4.使用兩年後，年度復發率(average annual relapse)無法減少時應停止本藥品之治療。</w:t>
      </w:r>
    </w:p>
    <w:p w14:paraId="7E1897B5" w14:textId="77777777" w:rsidR="00BD776B" w:rsidRDefault="00DF0C24">
      <w:pPr>
        <w:snapToGrid w:val="0"/>
        <w:ind w:left="811" w:hanging="245"/>
        <w:rPr>
          <w:rFonts w:ascii="標楷體" w:eastAsia="標楷體" w:hAnsi="標楷體"/>
          <w:szCs w:val="24"/>
        </w:rPr>
      </w:pPr>
      <w:r>
        <w:rPr>
          <w:rFonts w:ascii="標楷體" w:eastAsia="標楷體" w:hAnsi="標楷體"/>
          <w:szCs w:val="24"/>
        </w:rPr>
        <w:t>※年度復發率無法減少之定義：</w:t>
      </w:r>
    </w:p>
    <w:p w14:paraId="1080FF9B" w14:textId="77777777" w:rsidR="00BD776B" w:rsidRDefault="00DF0C24">
      <w:pPr>
        <w:ind w:left="670" w:firstLine="36"/>
        <w:rPr>
          <w:rFonts w:ascii="標楷體" w:eastAsia="標楷體" w:hAnsi="標楷體"/>
          <w:szCs w:val="24"/>
        </w:rPr>
      </w:pPr>
      <w:r>
        <w:rPr>
          <w:rFonts w:ascii="標楷體" w:eastAsia="標楷體" w:hAnsi="標楷體"/>
          <w:szCs w:val="24"/>
        </w:rPr>
        <w:t>採計使用Alemtuzumab藥物後兩年內復發次數之數據(以最近兩年之復發次數除以2來計算)，較諸更先前一年或兩年之年復發率皆無再減少時。</w:t>
      </w:r>
    </w:p>
    <w:p w14:paraId="3FDA92BC" w14:textId="77777777" w:rsidR="00BD776B" w:rsidRDefault="00DF0C24">
      <w:pPr>
        <w:snapToGrid w:val="0"/>
        <w:ind w:left="567" w:hanging="245"/>
        <w:rPr>
          <w:rFonts w:ascii="標楷體" w:eastAsia="標楷體" w:hAnsi="標楷體"/>
          <w:color w:val="000000"/>
        </w:rPr>
      </w:pPr>
      <w:r>
        <w:rPr>
          <w:rFonts w:ascii="標楷體" w:eastAsia="標楷體" w:hAnsi="標楷體"/>
          <w:color w:val="000000"/>
        </w:rPr>
        <w:t>8.2.3.7.Siponimod(如Mayzent)：(110/3/1)</w:t>
      </w:r>
    </w:p>
    <w:p w14:paraId="3F3BFD54"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限用於曾被診斷為復發緩解型多發性硬化症之病人。</w:t>
      </w:r>
    </w:p>
    <w:p w14:paraId="7B7260D8"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須符合次發進展型多發性硬化症之診斷，即過去在沒有復發或與復發無關的情況下，出現失能惡化持續至少6個月以上。</w:t>
      </w:r>
    </w:p>
    <w:p w14:paraId="6DFA3CCC"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初次接受siponimod時，EDSS應小於或等於6.5分，且EDSS大於等於3分。</w:t>
      </w:r>
    </w:p>
    <w:p w14:paraId="33FB418A"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初次接受siponimod之前2年內，需有明顯EDSS進展性惡化之證據，亦即符合以下二者其中之一：</w:t>
      </w:r>
    </w:p>
    <w:p w14:paraId="490E2678" w14:textId="77777777" w:rsidR="00BD776B" w:rsidRDefault="00DF0C24">
      <w:pPr>
        <w:snapToGrid w:val="0"/>
        <w:ind w:left="993" w:hanging="245"/>
        <w:rPr>
          <w:rFonts w:ascii="標楷體" w:eastAsia="標楷體" w:hAnsi="標楷體"/>
          <w:color w:val="000000"/>
        </w:rPr>
      </w:pPr>
      <w:r>
        <w:rPr>
          <w:rFonts w:ascii="標楷體" w:eastAsia="標楷體" w:hAnsi="標楷體"/>
          <w:color w:val="000000"/>
        </w:rPr>
        <w:t>(1)申請時EDSS未滿6分者，過去2年內EDSS惡化1分以上。</w:t>
      </w:r>
    </w:p>
    <w:p w14:paraId="3EE6B38B" w14:textId="77777777" w:rsidR="00BD776B" w:rsidRDefault="00DF0C24">
      <w:pPr>
        <w:snapToGrid w:val="0"/>
        <w:ind w:left="993" w:hanging="245"/>
        <w:rPr>
          <w:rFonts w:ascii="標楷體" w:eastAsia="標楷體" w:hAnsi="標楷體"/>
          <w:color w:val="000000"/>
        </w:rPr>
      </w:pPr>
      <w:r>
        <w:rPr>
          <w:rFonts w:ascii="標楷體" w:eastAsia="標楷體" w:hAnsi="標楷體"/>
          <w:color w:val="000000"/>
        </w:rPr>
        <w:t>(2)申請時EDSS大於等於6分者，過去2年內EDSS惡化0.5分以上。</w:t>
      </w:r>
    </w:p>
    <w:p w14:paraId="3382AF31"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ab/>
        <w:t>須經事前審查核准後使用，每年需重新申請，併應提出整個用藥期間之EDSS分數(包括起始用藥EDSS分數與每年申請時EDSS分數)</w:t>
      </w:r>
    </w:p>
    <w:p w14:paraId="3787C085"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6.</w:t>
      </w:r>
      <w:r>
        <w:rPr>
          <w:rFonts w:ascii="標楷體" w:eastAsia="標楷體" w:hAnsi="標楷體"/>
          <w:color w:val="000000"/>
        </w:rPr>
        <w:tab/>
        <w:t>Siponimod使用2年後，EDSS出現確認失能惡化持續6個月(6-month confirmed disability progression)時，亦即EDSS未滿6分者，2年內惡化1分以上，EDSS大於等於6分者，2年內惡化0.5分以上，應停止本藥品之治療。</w:t>
      </w:r>
    </w:p>
    <w:p w14:paraId="6DF1805C"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7.</w:t>
      </w:r>
      <w:r>
        <w:rPr>
          <w:rFonts w:ascii="標楷體" w:eastAsia="標楷體" w:hAnsi="標楷體"/>
          <w:color w:val="000000"/>
        </w:rPr>
        <w:tab/>
        <w:t>依治療建議劑量，從0.25mg每天1次起始，達到2mg每天1次之維持劑量，且不得以8粒0.25mg取代1粒2mg。</w:t>
      </w:r>
    </w:p>
    <w:p w14:paraId="64D645A7" w14:textId="2A66056D" w:rsidR="00BD776B" w:rsidRDefault="00DF0C24">
      <w:pPr>
        <w:ind w:left="672" w:hanging="386"/>
        <w:rPr>
          <w:rFonts w:ascii="標楷體" w:eastAsia="標楷體" w:hAnsi="標楷體"/>
        </w:rPr>
      </w:pPr>
      <w:r>
        <w:rPr>
          <w:rFonts w:ascii="標楷體" w:eastAsia="標楷體" w:hAnsi="標楷體"/>
        </w:rPr>
        <w:t>8.2.4.Etanercept(如Enbrel); adalimumab（如Humira）;golimumab（如Simponi）；abatacept（如Orencia）；tocilizumab（如Actemra）；tofacitinib（如Xeljanz）；infliximab ；certolizumab (如Cimzia)；ixekizumab(如Taltz)；brodalumab(如Lumicef)；filgotinib(如Jyseleca) (92/3/1、93/8/1、93/9/1、98/3/1、99/2/1、100/12/1、101/1/1、101/6/1、101/10/1、102/1/1、102/2/1、102/4/1、102/10/1、103/9/1、103/12/1、105/9/1、105/10/1、109/12/1、111/5/1、112/5/1</w:t>
      </w:r>
      <w:r w:rsidR="009E5448">
        <w:rPr>
          <w:rFonts w:ascii="標楷體" w:eastAsia="標楷體" w:hAnsi="標楷體" w:hint="eastAsia"/>
        </w:rPr>
        <w:t>、113/10/1</w:t>
      </w:r>
      <w:r>
        <w:rPr>
          <w:rFonts w:ascii="標楷體" w:eastAsia="標楷體" w:hAnsi="標楷體"/>
        </w:rPr>
        <w:t>)</w:t>
      </w:r>
    </w:p>
    <w:p w14:paraId="0B3AF7CE" w14:textId="77777777" w:rsidR="00BD776B" w:rsidRDefault="00DF0C24">
      <w:pPr>
        <w:ind w:left="713" w:hanging="5"/>
        <w:rPr>
          <w:rFonts w:ascii="標楷體" w:eastAsia="標楷體" w:hAnsi="標楷體"/>
          <w:color w:val="000000"/>
        </w:rPr>
      </w:pPr>
      <w:r>
        <w:rPr>
          <w:rFonts w:ascii="標楷體" w:eastAsia="標楷體" w:hAnsi="標楷體"/>
          <w:color w:val="000000"/>
        </w:rPr>
        <w:lastRenderedPageBreak/>
        <w:t>使用本類藥品之醫事機構應注意監測病患用藥後之不良反應及可能發生的重大安全事件(如肺結核及病毒性肝炎)。（103/9/1）</w:t>
      </w:r>
    </w:p>
    <w:p w14:paraId="70414F08" w14:textId="7E226018" w:rsidR="00BD776B" w:rsidRDefault="00DF0C24">
      <w:pPr>
        <w:ind w:left="1342" w:hanging="1056"/>
        <w:rPr>
          <w:rFonts w:ascii="標楷體" w:eastAsia="標楷體" w:hAnsi="標楷體"/>
          <w:color w:val="000000"/>
        </w:rPr>
      </w:pPr>
      <w:r>
        <w:rPr>
          <w:rFonts w:ascii="標楷體" w:eastAsia="標楷體" w:hAnsi="標楷體"/>
          <w:color w:val="000000"/>
        </w:rPr>
        <w:t>8.2.4.1.Etanercept(如Enbrel)；adalimumab(如Humira)；tocilizumab（如Actemra）</w:t>
      </w:r>
      <w:r w:rsidR="009E5448" w:rsidRPr="009E5448">
        <w:rPr>
          <w:rFonts w:ascii="標楷體" w:eastAsia="標楷體" w:hAnsi="標楷體" w:hint="eastAsia"/>
          <w:color w:val="000000"/>
        </w:rPr>
        <w:t>；tofacitinib（如Xeljanz oral solution）(94/3/1、101/12/1、102/1/1、102/10/1、105/10/1、108/1/1、111/2/1、113/10/1)</w:t>
      </w:r>
      <w:r>
        <w:rPr>
          <w:rFonts w:ascii="標楷體" w:eastAsia="標楷體" w:hAnsi="標楷體"/>
          <w:color w:val="000000"/>
        </w:rPr>
        <w:t>：兒童治療部分</w:t>
      </w:r>
    </w:p>
    <w:p w14:paraId="1481E4C3" w14:textId="4EAD8F48" w:rsidR="00BD776B" w:rsidRDefault="00DF0C24">
      <w:pPr>
        <w:ind w:left="811" w:hanging="245"/>
        <w:rPr>
          <w:rFonts w:ascii="標楷體" w:eastAsia="標楷體" w:hAnsi="標楷體"/>
          <w:color w:val="000000"/>
        </w:rPr>
      </w:pPr>
      <w:r>
        <w:rPr>
          <w:rFonts w:ascii="標楷體" w:eastAsia="標楷體" w:hAnsi="標楷體"/>
          <w:color w:val="000000"/>
        </w:rPr>
        <w:t>1.Etanercept限使用於4歲以上具有活動性多關節幼年型慢性關節炎患者。adalimumab</w:t>
      </w:r>
      <w:r w:rsidR="00A547C1" w:rsidRPr="00A547C1">
        <w:rPr>
          <w:rFonts w:ascii="標楷體" w:eastAsia="標楷體" w:hAnsi="標楷體" w:hint="eastAsia"/>
          <w:color w:val="000000"/>
        </w:rPr>
        <w:t>、tocilizumab及tofacitinib oral solution限使用於2歲以上具有活動性多關節幼年型慢性關節炎患者（101/12/1、</w:t>
      </w:r>
      <w:r w:rsidR="00A547C1">
        <w:rPr>
          <w:rFonts w:ascii="標楷體" w:eastAsia="標楷體" w:hAnsi="標楷體" w:hint="eastAsia"/>
          <w:color w:val="000000"/>
        </w:rPr>
        <w:t>102/10/1、</w:t>
      </w:r>
      <w:r w:rsidR="00A547C1" w:rsidRPr="00A547C1">
        <w:rPr>
          <w:rFonts w:ascii="標楷體" w:eastAsia="標楷體" w:hAnsi="標楷體" w:hint="eastAsia"/>
          <w:color w:val="000000"/>
        </w:rPr>
        <w:t>105/10/1、108/1/1、111/2/1、113/10/1）</w:t>
      </w:r>
    </w:p>
    <w:p w14:paraId="5631D43F" w14:textId="77777777" w:rsidR="00BD776B" w:rsidRDefault="00DF0C24">
      <w:pPr>
        <w:ind w:left="811" w:hanging="245"/>
        <w:rPr>
          <w:rFonts w:ascii="標楷體" w:eastAsia="標楷體" w:hAnsi="標楷體"/>
          <w:color w:val="000000"/>
        </w:rPr>
      </w:pPr>
      <w:r>
        <w:rPr>
          <w:rFonts w:ascii="標楷體" w:eastAsia="標楷體" w:hAnsi="標楷體"/>
          <w:color w:val="000000"/>
        </w:rPr>
        <w:t>2.限具有風濕病專科醫師證書之內科、小兒科專科醫師或具有小兒過敏免疫專科醫師證書之小兒科專科醫師處方。</w:t>
      </w:r>
    </w:p>
    <w:p w14:paraId="50A852B2" w14:textId="77777777" w:rsidR="00BD776B" w:rsidRDefault="00DF0C24">
      <w:pPr>
        <w:ind w:left="811" w:hanging="245"/>
        <w:rPr>
          <w:rFonts w:ascii="標楷體" w:eastAsia="標楷體" w:hAnsi="標楷體"/>
          <w:color w:val="000000"/>
        </w:rPr>
      </w:pPr>
      <w:r>
        <w:rPr>
          <w:rFonts w:ascii="標楷體" w:eastAsia="標楷體" w:hAnsi="標楷體"/>
          <w:color w:val="000000"/>
        </w:rPr>
        <w:t>3.年齡大於18歲的病患應由具有風濕病專科醫師證書之內科專科醫師或具有小兒過敏免疫專科醫師證書之小兒科專科醫師重新評估病情，改依成人治療（8.2.4.2）規定申請。（108/1/1）</w:t>
      </w:r>
    </w:p>
    <w:p w14:paraId="64796063" w14:textId="77777777" w:rsidR="00BD776B" w:rsidRDefault="00DF0C24">
      <w:pPr>
        <w:ind w:left="811" w:hanging="245"/>
        <w:rPr>
          <w:rFonts w:ascii="標楷體" w:eastAsia="標楷體" w:hAnsi="標楷體"/>
          <w:color w:val="000000"/>
        </w:rPr>
      </w:pPr>
      <w:r>
        <w:rPr>
          <w:rFonts w:ascii="標楷體" w:eastAsia="標楷體" w:hAnsi="標楷體"/>
          <w:color w:val="000000"/>
        </w:rPr>
        <w:t>4.需事前審查核准後使用。</w:t>
      </w:r>
    </w:p>
    <w:p w14:paraId="1F739B1F" w14:textId="77777777" w:rsidR="00BD776B" w:rsidRDefault="00DF0C24">
      <w:pPr>
        <w:ind w:left="1049" w:hanging="341"/>
        <w:rPr>
          <w:rFonts w:ascii="標楷體" w:eastAsia="標楷體" w:hAnsi="標楷體"/>
          <w:color w:val="000000"/>
        </w:rPr>
      </w:pPr>
      <w:r>
        <w:rPr>
          <w:rFonts w:ascii="標楷體" w:eastAsia="標楷體" w:hAnsi="標楷體"/>
          <w:color w:val="000000"/>
        </w:rPr>
        <w:t>(1)申報時需檢附methrotexate或corticosteroids 藥物使用的劑量、治療時間、副作用、及關節腫脹治療前後的相關照片或關節X光檢查報告等資料。</w:t>
      </w:r>
    </w:p>
    <w:p w14:paraId="3112AFFB" w14:textId="04DD98D5" w:rsidR="00BD776B" w:rsidRDefault="00DF0C24">
      <w:pPr>
        <w:ind w:left="1049" w:hanging="341"/>
        <w:rPr>
          <w:rFonts w:ascii="標楷體" w:eastAsia="標楷體" w:hAnsi="標楷體"/>
          <w:color w:val="000000"/>
        </w:rPr>
      </w:pPr>
      <w:r>
        <w:rPr>
          <w:rFonts w:ascii="標楷體" w:eastAsia="標楷體" w:hAnsi="標楷體"/>
          <w:color w:val="000000"/>
        </w:rPr>
        <w:t>(2)使用後，每六個月需再申請一次；需描述使用藥物後的療效、副作用或併發症。（101/12/1、102/10/1</w:t>
      </w:r>
      <w:r w:rsidR="00912B96">
        <w:rPr>
          <w:rFonts w:ascii="標楷體" w:eastAsia="標楷體" w:hAnsi="標楷體" w:hint="eastAsia"/>
          <w:color w:val="000000"/>
        </w:rPr>
        <w:t>、113/10/1</w:t>
      </w:r>
      <w:r>
        <w:rPr>
          <w:rFonts w:ascii="標楷體" w:eastAsia="標楷體" w:hAnsi="標楷體"/>
          <w:color w:val="000000"/>
        </w:rPr>
        <w:t>）</w:t>
      </w:r>
    </w:p>
    <w:p w14:paraId="34F6011B" w14:textId="77777777" w:rsidR="00BD776B" w:rsidRDefault="00DF0C24">
      <w:pPr>
        <w:ind w:left="811" w:hanging="245"/>
        <w:rPr>
          <w:rFonts w:ascii="標楷體" w:eastAsia="標楷體" w:hAnsi="標楷體"/>
          <w:color w:val="000000"/>
        </w:rPr>
      </w:pPr>
      <w:r>
        <w:rPr>
          <w:rFonts w:ascii="標楷體" w:eastAsia="標楷體" w:hAnsi="標楷體"/>
          <w:color w:val="000000"/>
        </w:rPr>
        <w:t>5.病患需同時符合下述(1)(2)(3)三項條件者方可使用</w:t>
      </w:r>
    </w:p>
    <w:p w14:paraId="5C95493D" w14:textId="77777777" w:rsidR="00BD776B" w:rsidRDefault="00DF0C24">
      <w:pPr>
        <w:ind w:left="1049" w:hanging="341"/>
        <w:rPr>
          <w:rFonts w:ascii="標楷體" w:eastAsia="標楷體" w:hAnsi="標楷體"/>
          <w:color w:val="000000"/>
        </w:rPr>
      </w:pPr>
      <w:r>
        <w:rPr>
          <w:rFonts w:ascii="標楷體" w:eastAsia="標楷體" w:hAnsi="標楷體"/>
          <w:color w:val="000000"/>
        </w:rPr>
        <w:t>(1)病人的關節炎必須符合下列任何一種亞型的病變：</w:t>
      </w:r>
    </w:p>
    <w:p w14:paraId="6627A098" w14:textId="77777777" w:rsidR="00BD776B" w:rsidRDefault="00DF0C24">
      <w:pPr>
        <w:ind w:left="1414" w:hanging="336"/>
        <w:rPr>
          <w:rFonts w:ascii="標楷體" w:eastAsia="標楷體" w:hAnsi="標楷體"/>
          <w:color w:val="000000"/>
        </w:rPr>
      </w:pPr>
      <w:r>
        <w:rPr>
          <w:rFonts w:ascii="標楷體" w:eastAsia="標楷體" w:hAnsi="標楷體"/>
          <w:color w:val="000000"/>
        </w:rPr>
        <w:t>Ⅰ全身性 ( systemic)</w:t>
      </w:r>
    </w:p>
    <w:p w14:paraId="1948D597" w14:textId="77777777" w:rsidR="00BD776B" w:rsidRDefault="00DF0C24">
      <w:pPr>
        <w:ind w:left="1414" w:hanging="336"/>
        <w:rPr>
          <w:rFonts w:ascii="標楷體" w:eastAsia="標楷體" w:hAnsi="標楷體"/>
          <w:color w:val="000000"/>
        </w:rPr>
      </w:pPr>
      <w:r>
        <w:rPr>
          <w:rFonts w:ascii="標楷體" w:eastAsia="標楷體" w:hAnsi="標楷體"/>
          <w:color w:val="000000"/>
        </w:rPr>
        <w:t>Ⅱ多發性關節炎 (polyarticular)(類風濕性因子陽性或陰性者皆可)</w:t>
      </w:r>
    </w:p>
    <w:p w14:paraId="1A36CAB0" w14:textId="77777777" w:rsidR="00BD776B" w:rsidRDefault="00DF0C24">
      <w:pPr>
        <w:ind w:left="1414" w:hanging="336"/>
        <w:rPr>
          <w:rFonts w:ascii="標楷體" w:eastAsia="標楷體" w:hAnsi="標楷體"/>
          <w:color w:val="000000"/>
        </w:rPr>
      </w:pPr>
      <w:r>
        <w:rPr>
          <w:rFonts w:ascii="標楷體" w:eastAsia="標楷體" w:hAnsi="標楷體"/>
          <w:color w:val="000000"/>
        </w:rPr>
        <w:t>Ⅲ擴散型嚴重少數關節炎 (extended oligoarticular)</w:t>
      </w:r>
    </w:p>
    <w:p w14:paraId="430A8AB1" w14:textId="77777777" w:rsidR="00BD776B" w:rsidRDefault="00DF0C24">
      <w:pPr>
        <w:ind w:left="1049" w:hanging="341"/>
        <w:rPr>
          <w:rFonts w:ascii="標楷體" w:eastAsia="標楷體" w:hAnsi="標楷體"/>
          <w:color w:val="000000"/>
        </w:rPr>
      </w:pPr>
      <w:r>
        <w:rPr>
          <w:rFonts w:ascii="標楷體" w:eastAsia="標楷體" w:hAnsi="標楷體"/>
          <w:color w:val="000000"/>
        </w:rPr>
        <w:t>(2)標準療法失敗者 (符合下列任一項)</w:t>
      </w:r>
    </w:p>
    <w:p w14:paraId="06779074" w14:textId="77777777" w:rsidR="00BD776B" w:rsidRDefault="00DF0C24">
      <w:pPr>
        <w:ind w:left="1414" w:hanging="336"/>
        <w:rPr>
          <w:rFonts w:ascii="標楷體" w:eastAsia="標楷體" w:hAnsi="標楷體"/>
          <w:color w:val="000000"/>
        </w:rPr>
      </w:pPr>
      <w:r>
        <w:rPr>
          <w:rFonts w:ascii="標楷體" w:eastAsia="標楷體" w:hAnsi="標楷體"/>
          <w:color w:val="000000"/>
        </w:rPr>
        <w:t>Ⅰ病患必須曾經接受methotrexate的充分治療。</w:t>
      </w:r>
    </w:p>
    <w:p w14:paraId="33ED780D" w14:textId="77777777" w:rsidR="00BD776B" w:rsidRDefault="00DF0C24">
      <w:pPr>
        <w:ind w:left="1330"/>
        <w:rPr>
          <w:rFonts w:ascii="標楷體" w:eastAsia="標楷體" w:hAnsi="標楷體"/>
          <w:color w:val="000000"/>
        </w:rPr>
      </w:pPr>
      <w:r>
        <w:rPr>
          <w:rFonts w:ascii="標楷體" w:eastAsia="標楷體" w:hAnsi="標楷體"/>
          <w:color w:val="000000"/>
        </w:rPr>
        <w:t>充分治療的定義：</w:t>
      </w:r>
    </w:p>
    <w:p w14:paraId="38235042" w14:textId="77777777" w:rsidR="00BD776B" w:rsidRDefault="00DF0C24">
      <w:pPr>
        <w:ind w:left="1330"/>
        <w:rPr>
          <w:rFonts w:ascii="標楷體" w:eastAsia="標楷體" w:hAnsi="標楷體"/>
          <w:color w:val="000000"/>
        </w:rPr>
      </w:pPr>
      <w:r>
        <w:rPr>
          <w:rFonts w:ascii="標楷體" w:eastAsia="標楷體" w:hAnsi="標楷體"/>
          <w:color w:val="000000"/>
        </w:rPr>
        <w:t>10毫克/身體表面積平方米/週的口服或注射methotrexate治療，藥物治療時間必須達3個月以上。(若因藥物毒性無法忍受，以致於無法達到上項要求時，劑量可以酌情降低。)</w:t>
      </w:r>
    </w:p>
    <w:p w14:paraId="3DCABD08" w14:textId="77777777" w:rsidR="00BD776B" w:rsidRDefault="00DF0C24">
      <w:pPr>
        <w:ind w:left="1414" w:hanging="336"/>
        <w:rPr>
          <w:rFonts w:ascii="標楷體" w:eastAsia="標楷體" w:hAnsi="標楷體"/>
          <w:color w:val="000000"/>
        </w:rPr>
      </w:pPr>
      <w:r>
        <w:rPr>
          <w:rFonts w:ascii="標楷體" w:eastAsia="標楷體" w:hAnsi="標楷體"/>
          <w:color w:val="000000"/>
        </w:rPr>
        <w:t>Ⅱ若單獨使用類固醇來治療全身性類風濕性關節炎症狀，prednisolone的劑量必須高於每天每公斤0.25毫克以上並且發生無法接受的副作用。</w:t>
      </w:r>
    </w:p>
    <w:p w14:paraId="25C2B992" w14:textId="77777777" w:rsidR="00BD776B" w:rsidRDefault="00DF0C24">
      <w:pPr>
        <w:ind w:left="1049" w:hanging="341"/>
        <w:rPr>
          <w:rFonts w:ascii="標楷體" w:eastAsia="標楷體" w:hAnsi="標楷體"/>
          <w:color w:val="000000"/>
        </w:rPr>
      </w:pPr>
      <w:r>
        <w:rPr>
          <w:rFonts w:ascii="標楷體" w:eastAsia="標楷體" w:hAnsi="標楷體"/>
          <w:color w:val="000000"/>
        </w:rPr>
        <w:t>(3)最近3個月關節炎的活動性必須符合活動性多關節炎標準者。活動性多關節炎標準定義:關節病情必須同時符合下列兩個要項：</w:t>
      </w:r>
    </w:p>
    <w:p w14:paraId="3A55CB77" w14:textId="77777777" w:rsidR="00BD776B" w:rsidRDefault="00DF0C24">
      <w:pPr>
        <w:ind w:left="1414" w:hanging="336"/>
        <w:rPr>
          <w:rFonts w:ascii="標楷體" w:eastAsia="標楷體" w:hAnsi="標楷體"/>
          <w:color w:val="000000"/>
        </w:rPr>
      </w:pPr>
      <w:r>
        <w:rPr>
          <w:rFonts w:ascii="標楷體" w:eastAsia="標楷體" w:hAnsi="標楷體"/>
          <w:color w:val="000000"/>
        </w:rPr>
        <w:t>Ⅰ腫脹的關節總數大於等於5個。</w:t>
      </w:r>
    </w:p>
    <w:p w14:paraId="086B5B44" w14:textId="77777777" w:rsidR="00BD776B" w:rsidRDefault="00DF0C24">
      <w:pPr>
        <w:ind w:left="1414" w:hanging="336"/>
        <w:rPr>
          <w:rFonts w:ascii="標楷體" w:eastAsia="標楷體" w:hAnsi="標楷體"/>
          <w:color w:val="000000"/>
        </w:rPr>
      </w:pPr>
      <w:r>
        <w:rPr>
          <w:rFonts w:ascii="標楷體" w:eastAsia="標楷體" w:hAnsi="標楷體"/>
          <w:color w:val="000000"/>
        </w:rPr>
        <w:t>Ⅱ關節活動受到限制而且具有疼痛或壓痛的關節總數≧3個。</w:t>
      </w:r>
    </w:p>
    <w:p w14:paraId="1998FAAD" w14:textId="77777777" w:rsidR="00BD776B" w:rsidRDefault="00DF0C24">
      <w:pPr>
        <w:ind w:left="1330"/>
        <w:rPr>
          <w:rFonts w:ascii="標楷體" w:eastAsia="標楷體" w:hAnsi="標楷體"/>
          <w:color w:val="000000"/>
        </w:rPr>
      </w:pPr>
      <w:r>
        <w:rPr>
          <w:rFonts w:ascii="標楷體" w:eastAsia="標楷體" w:hAnsi="標楷體"/>
          <w:color w:val="000000"/>
        </w:rPr>
        <w:t>(必須附上關節腫脹之相關照片或關節X光檢查報告作為輔証)。</w:t>
      </w:r>
    </w:p>
    <w:p w14:paraId="1CD57074" w14:textId="0BAAC6FC" w:rsidR="00BD776B" w:rsidRDefault="00DF0C24">
      <w:pPr>
        <w:ind w:left="811" w:hanging="245"/>
        <w:rPr>
          <w:rFonts w:ascii="標楷體" w:eastAsia="標楷體" w:hAnsi="標楷體"/>
          <w:color w:val="000000"/>
        </w:rPr>
      </w:pPr>
      <w:r>
        <w:rPr>
          <w:rFonts w:ascii="標楷體" w:eastAsia="標楷體" w:hAnsi="標楷體"/>
          <w:color w:val="000000"/>
        </w:rPr>
        <w:t>6.需排除使用的情形(102/10/1</w:t>
      </w:r>
      <w:r w:rsidR="00436819">
        <w:rPr>
          <w:rFonts w:ascii="標楷體" w:eastAsia="標楷體" w:hAnsi="標楷體" w:hint="eastAsia"/>
          <w:color w:val="000000"/>
        </w:rPr>
        <w:t>、113/10/1</w:t>
      </w:r>
      <w:r>
        <w:rPr>
          <w:rFonts w:ascii="標楷體" w:eastAsia="標楷體" w:hAnsi="標楷體"/>
          <w:color w:val="000000"/>
        </w:rPr>
        <w:t>)</w:t>
      </w:r>
    </w:p>
    <w:p w14:paraId="4347CF0F" w14:textId="77777777" w:rsidR="00BD776B" w:rsidRDefault="00DF0C24">
      <w:pPr>
        <w:ind w:left="798" w:hanging="1"/>
        <w:rPr>
          <w:rFonts w:ascii="標楷體" w:eastAsia="標楷體" w:hAnsi="標楷體"/>
          <w:color w:val="000000"/>
        </w:rPr>
      </w:pPr>
      <w:r>
        <w:rPr>
          <w:rFonts w:ascii="標楷體" w:eastAsia="標楷體" w:hAnsi="標楷體"/>
          <w:color w:val="000000"/>
        </w:rPr>
        <w:t>應參照藥物仿單，重要之排除使用狀況包括：</w:t>
      </w:r>
    </w:p>
    <w:p w14:paraId="34DF3FC7" w14:textId="77777777" w:rsidR="00BD776B" w:rsidRDefault="00DF0C24">
      <w:pPr>
        <w:ind w:left="1049" w:hanging="341"/>
        <w:rPr>
          <w:rFonts w:ascii="標楷體" w:eastAsia="標楷體" w:hAnsi="標楷體"/>
          <w:color w:val="000000"/>
        </w:rPr>
      </w:pPr>
      <w:r>
        <w:rPr>
          <w:rFonts w:ascii="標楷體" w:eastAsia="標楷體" w:hAnsi="標楷體"/>
          <w:color w:val="000000"/>
        </w:rPr>
        <w:t>(1)懷孕或正在授乳的婦女。</w:t>
      </w:r>
    </w:p>
    <w:p w14:paraId="739E7A26" w14:textId="77777777" w:rsidR="00BD776B" w:rsidRDefault="00DF0C24">
      <w:pPr>
        <w:ind w:left="1049" w:hanging="341"/>
        <w:rPr>
          <w:rFonts w:ascii="標楷體" w:eastAsia="標楷體" w:hAnsi="標楷體"/>
          <w:color w:val="000000"/>
        </w:rPr>
      </w:pPr>
      <w:r>
        <w:rPr>
          <w:rFonts w:ascii="標楷體" w:eastAsia="標楷體" w:hAnsi="標楷體"/>
          <w:color w:val="000000"/>
        </w:rPr>
        <w:t>(2)罹患活動性的感染症的病患。</w:t>
      </w:r>
    </w:p>
    <w:p w14:paraId="21C1013D" w14:textId="77777777" w:rsidR="00BD776B" w:rsidRDefault="00DF0C24">
      <w:pPr>
        <w:ind w:left="1049" w:hanging="341"/>
        <w:rPr>
          <w:rFonts w:ascii="標楷體" w:eastAsia="標楷體" w:hAnsi="標楷體"/>
          <w:color w:val="000000"/>
        </w:rPr>
      </w:pPr>
      <w:r>
        <w:rPr>
          <w:rFonts w:ascii="標楷體" w:eastAsia="標楷體" w:hAnsi="標楷體"/>
          <w:color w:val="000000"/>
        </w:rPr>
        <w:t>(3)未經完整治療之結核病的病患（包括潛伏結核感染治療未達四週者，申請時應檢附潛伏結核感染篩檢紀錄及治療紀錄供審查）。(102/1/1)</w:t>
      </w:r>
    </w:p>
    <w:p w14:paraId="04593756"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(4)身上帶有人工關節者，罹患或先前曾罹患過嚴重的敗血症(sepsis)者。</w:t>
      </w:r>
    </w:p>
    <w:p w14:paraId="6DAC9E3A" w14:textId="77777777" w:rsidR="00BD776B" w:rsidRDefault="00DF0C24">
      <w:pPr>
        <w:ind w:left="1049" w:hanging="341"/>
        <w:rPr>
          <w:rFonts w:ascii="標楷體" w:eastAsia="標楷體" w:hAnsi="標楷體"/>
          <w:color w:val="000000"/>
        </w:rPr>
      </w:pPr>
      <w:r>
        <w:rPr>
          <w:rFonts w:ascii="標楷體" w:eastAsia="標楷體" w:hAnsi="標楷體"/>
          <w:color w:val="000000"/>
        </w:rPr>
        <w:t>(5)惡性腫瘤或具有癌症前兆 (pre-malignancy) 的病患。</w:t>
      </w:r>
    </w:p>
    <w:p w14:paraId="123F1BEC" w14:textId="77777777" w:rsidR="00BD776B" w:rsidRDefault="00DF0C24">
      <w:pPr>
        <w:ind w:left="1049" w:hanging="341"/>
        <w:rPr>
          <w:rFonts w:ascii="標楷體" w:eastAsia="標楷體" w:hAnsi="標楷體"/>
          <w:color w:val="000000"/>
        </w:rPr>
      </w:pPr>
      <w:r>
        <w:rPr>
          <w:rFonts w:ascii="標楷體" w:eastAsia="標楷體" w:hAnsi="標楷體"/>
          <w:color w:val="000000"/>
        </w:rPr>
        <w:t>(6)免疫功能不全者 (Immunodeficiency)。</w:t>
      </w:r>
    </w:p>
    <w:p w14:paraId="1A1EE229" w14:textId="31971792" w:rsidR="00BD776B" w:rsidRDefault="00DF0C24">
      <w:pPr>
        <w:ind w:left="811" w:hanging="245"/>
        <w:rPr>
          <w:rFonts w:ascii="標楷體" w:eastAsia="標楷體" w:hAnsi="標楷體"/>
          <w:color w:val="000000"/>
        </w:rPr>
      </w:pPr>
      <w:r>
        <w:rPr>
          <w:rFonts w:ascii="標楷體" w:eastAsia="標楷體" w:hAnsi="標楷體"/>
          <w:color w:val="000000"/>
        </w:rPr>
        <w:t>7.需停止治療的情形(102/10/1</w:t>
      </w:r>
      <w:r w:rsidR="00272B25">
        <w:rPr>
          <w:rFonts w:ascii="標楷體" w:eastAsia="標楷體" w:hAnsi="標楷體" w:hint="eastAsia"/>
          <w:color w:val="000000"/>
        </w:rPr>
        <w:t>、113/10/1</w:t>
      </w:r>
      <w:r>
        <w:rPr>
          <w:rFonts w:ascii="標楷體" w:eastAsia="標楷體" w:hAnsi="標楷體"/>
          <w:color w:val="000000"/>
        </w:rPr>
        <w:t>)</w:t>
      </w:r>
    </w:p>
    <w:p w14:paraId="2DD705EE" w14:textId="77777777" w:rsidR="00BD776B" w:rsidRDefault="00DF0C24">
      <w:pPr>
        <w:ind w:left="798" w:hanging="1"/>
        <w:rPr>
          <w:rFonts w:ascii="標楷體" w:eastAsia="標楷體" w:hAnsi="標楷體"/>
          <w:color w:val="000000"/>
        </w:rPr>
      </w:pPr>
      <w:r>
        <w:rPr>
          <w:rFonts w:ascii="標楷體" w:eastAsia="標楷體" w:hAnsi="標楷體"/>
          <w:color w:val="000000"/>
        </w:rPr>
        <w:t>如果發生下列現象應停止治療：</w:t>
      </w:r>
    </w:p>
    <w:p w14:paraId="2D0B366E" w14:textId="77777777" w:rsidR="00BD776B" w:rsidRDefault="00DF0C24">
      <w:pPr>
        <w:ind w:left="1049" w:hanging="341"/>
        <w:rPr>
          <w:rFonts w:ascii="標楷體" w:eastAsia="標楷體" w:hAnsi="標楷體"/>
          <w:color w:val="000000"/>
        </w:rPr>
      </w:pPr>
      <w:r>
        <w:rPr>
          <w:rFonts w:ascii="標楷體" w:eastAsia="標楷體" w:hAnsi="標楷體"/>
          <w:color w:val="000000"/>
        </w:rPr>
        <w:t>(1)不良事件，包括：</w:t>
      </w:r>
    </w:p>
    <w:p w14:paraId="2233F1EE" w14:textId="77777777" w:rsidR="00BD776B" w:rsidRDefault="00DF0C24">
      <w:pPr>
        <w:ind w:left="1414" w:hanging="336"/>
        <w:rPr>
          <w:rFonts w:ascii="標楷體" w:eastAsia="標楷體" w:hAnsi="標楷體"/>
          <w:color w:val="000000"/>
        </w:rPr>
      </w:pPr>
      <w:r>
        <w:rPr>
          <w:rFonts w:ascii="標楷體" w:eastAsia="標楷體" w:hAnsi="標楷體"/>
          <w:color w:val="000000"/>
        </w:rPr>
        <w:t>Ⅰ惡性腫瘤。</w:t>
      </w:r>
    </w:p>
    <w:p w14:paraId="3DD4F461" w14:textId="77777777" w:rsidR="00BD776B" w:rsidRDefault="00DF0C24">
      <w:pPr>
        <w:ind w:left="1414" w:hanging="336"/>
        <w:rPr>
          <w:rFonts w:ascii="標楷體" w:eastAsia="標楷體" w:hAnsi="標楷體"/>
          <w:color w:val="000000"/>
        </w:rPr>
      </w:pPr>
      <w:r>
        <w:rPr>
          <w:rFonts w:ascii="標楷體" w:eastAsia="標楷體" w:hAnsi="標楷體"/>
          <w:color w:val="000000"/>
        </w:rPr>
        <w:t>Ⅱ該藥物引起的嚴重毒性。</w:t>
      </w:r>
    </w:p>
    <w:p w14:paraId="2DAFFA91" w14:textId="77777777" w:rsidR="00BD776B" w:rsidRDefault="00DF0C24">
      <w:pPr>
        <w:ind w:left="1414" w:hanging="336"/>
        <w:rPr>
          <w:rFonts w:ascii="標楷體" w:eastAsia="標楷體" w:hAnsi="標楷體"/>
          <w:color w:val="000000"/>
        </w:rPr>
      </w:pPr>
      <w:r>
        <w:rPr>
          <w:rFonts w:ascii="標楷體" w:eastAsia="標楷體" w:hAnsi="標楷體"/>
          <w:color w:val="000000"/>
        </w:rPr>
        <w:t>Ⅲ懷孕 (暫時停藥即可)。</w:t>
      </w:r>
    </w:p>
    <w:p w14:paraId="532C5189" w14:textId="77777777" w:rsidR="00BD776B" w:rsidRDefault="00DF0C24">
      <w:pPr>
        <w:ind w:left="1414" w:hanging="336"/>
        <w:rPr>
          <w:rFonts w:ascii="標楷體" w:eastAsia="標楷體" w:hAnsi="標楷體"/>
          <w:color w:val="000000"/>
        </w:rPr>
      </w:pPr>
      <w:r>
        <w:rPr>
          <w:rFonts w:ascii="標楷體" w:eastAsia="標楷體" w:hAnsi="標楷體"/>
          <w:color w:val="000000"/>
        </w:rPr>
        <w:t>Ⅳ嚴重的間發性感染症 (intercurrent infection)(暫時停藥即可)。</w:t>
      </w:r>
    </w:p>
    <w:p w14:paraId="6640CBD6" w14:textId="77777777" w:rsidR="00BD776B" w:rsidRDefault="00DF0C24">
      <w:pPr>
        <w:ind w:left="1049" w:hanging="341"/>
        <w:rPr>
          <w:rFonts w:ascii="標楷體" w:eastAsia="標楷體" w:hAnsi="標楷體"/>
          <w:color w:val="000000"/>
        </w:rPr>
      </w:pPr>
      <w:r>
        <w:rPr>
          <w:rFonts w:ascii="標楷體" w:eastAsia="標楷體" w:hAnsi="標楷體"/>
          <w:color w:val="000000"/>
        </w:rPr>
        <w:t>療效不彰：患者的core set data經過6個月治療後未達療效者。</w:t>
      </w:r>
    </w:p>
    <w:p w14:paraId="5ED8AD21" w14:textId="77777777" w:rsidR="00BD776B" w:rsidRDefault="00DF0C24">
      <w:pPr>
        <w:ind w:left="1049" w:hanging="341"/>
        <w:rPr>
          <w:rFonts w:ascii="標楷體" w:eastAsia="標楷體" w:hAnsi="標楷體"/>
          <w:color w:val="000000"/>
        </w:rPr>
      </w:pPr>
      <w:r>
        <w:rPr>
          <w:rFonts w:ascii="標楷體" w:eastAsia="標楷體" w:hAnsi="標楷體"/>
          <w:color w:val="000000"/>
        </w:rPr>
        <w:t>療效定義：</w:t>
      </w:r>
    </w:p>
    <w:p w14:paraId="3976A368" w14:textId="77777777" w:rsidR="00BD776B" w:rsidRDefault="00DF0C24">
      <w:pPr>
        <w:ind w:left="1414" w:hanging="336"/>
        <w:rPr>
          <w:rFonts w:ascii="標楷體" w:eastAsia="標楷體" w:hAnsi="標楷體"/>
          <w:color w:val="000000"/>
        </w:rPr>
      </w:pPr>
      <w:r>
        <w:rPr>
          <w:rFonts w:ascii="標楷體" w:eastAsia="標楷體" w:hAnsi="標楷體"/>
          <w:color w:val="000000"/>
        </w:rPr>
        <w:t>Ⅰ紅血球沉降速率 (ESR) 或CRP及下列三項中至少有二項達到較基礎值改善30%以上效果者。</w:t>
      </w:r>
    </w:p>
    <w:p w14:paraId="17678D26" w14:textId="77777777" w:rsidR="00BD776B" w:rsidRDefault="00DF0C24">
      <w:pPr>
        <w:ind w:left="1500" w:hanging="240"/>
        <w:rPr>
          <w:rFonts w:ascii="標楷體" w:eastAsia="標楷體" w:hAnsi="標楷體"/>
          <w:color w:val="000000"/>
        </w:rPr>
      </w:pPr>
      <w:r>
        <w:rPr>
          <w:rFonts w:ascii="標楷體" w:eastAsia="標楷體" w:hAnsi="標楷體"/>
          <w:color w:val="000000"/>
        </w:rPr>
        <w:t>i.活動性關節炎的總數</w:t>
      </w:r>
    </w:p>
    <w:p w14:paraId="7A9E9F67" w14:textId="77777777" w:rsidR="00BD776B" w:rsidRDefault="00DF0C24">
      <w:pPr>
        <w:ind w:left="1500" w:hanging="240"/>
        <w:rPr>
          <w:rFonts w:ascii="標楷體" w:eastAsia="標楷體" w:hAnsi="標楷體"/>
          <w:color w:val="000000"/>
        </w:rPr>
      </w:pPr>
      <w:r>
        <w:rPr>
          <w:rFonts w:ascii="標楷體" w:eastAsia="標楷體" w:hAnsi="標楷體"/>
          <w:color w:val="000000"/>
        </w:rPr>
        <w:t>ii.關節活動範圍受到限制的關節總數</w:t>
      </w:r>
    </w:p>
    <w:p w14:paraId="32561FE4" w14:textId="77777777" w:rsidR="00BD776B" w:rsidRDefault="00DF0C24">
      <w:pPr>
        <w:ind w:left="1500" w:hanging="240"/>
        <w:rPr>
          <w:rFonts w:ascii="標楷體" w:eastAsia="標楷體" w:hAnsi="標楷體"/>
          <w:color w:val="000000"/>
        </w:rPr>
      </w:pPr>
      <w:r>
        <w:rPr>
          <w:rFonts w:ascii="標楷體" w:eastAsia="標楷體" w:hAnsi="標楷體"/>
          <w:color w:val="000000"/>
        </w:rPr>
        <w:t>iii.醫師的整體評估</w:t>
      </w:r>
    </w:p>
    <w:p w14:paraId="2D122FD7" w14:textId="77777777" w:rsidR="00BD776B" w:rsidRDefault="00DF0C24">
      <w:pPr>
        <w:ind w:left="1414" w:hanging="336"/>
        <w:rPr>
          <w:rFonts w:ascii="標楷體" w:eastAsia="標楷體" w:hAnsi="標楷體"/>
          <w:color w:val="000000"/>
        </w:rPr>
      </w:pPr>
      <w:r>
        <w:rPr>
          <w:rFonts w:ascii="標楷體" w:eastAsia="標楷體" w:hAnsi="標楷體"/>
          <w:color w:val="000000"/>
        </w:rPr>
        <w:t>Ⅱ上述各種指標惡化程度達30%以上者不得超過一項</w:t>
      </w:r>
    </w:p>
    <w:p w14:paraId="2DC225EC" w14:textId="4EB38222" w:rsidR="00BD776B" w:rsidRDefault="00DF0C24">
      <w:pPr>
        <w:ind w:left="1414" w:hanging="336"/>
        <w:rPr>
          <w:rFonts w:ascii="標楷體" w:eastAsia="標楷體" w:hAnsi="標楷體"/>
          <w:color w:val="000000"/>
        </w:rPr>
      </w:pPr>
      <w:r>
        <w:rPr>
          <w:rFonts w:ascii="標楷體" w:eastAsia="標楷體" w:hAnsi="標楷體"/>
          <w:color w:val="000000"/>
        </w:rPr>
        <w:t>◎附表十六：全民健康保險活動性多關節幼年型慢性關節炎使用</w:t>
      </w:r>
      <w:r w:rsidR="00272B25">
        <w:rPr>
          <w:rFonts w:ascii="標楷體" w:eastAsia="標楷體" w:hAnsi="標楷體" w:hint="eastAsia"/>
          <w:color w:val="000000"/>
        </w:rPr>
        <w:t>藥品</w:t>
      </w:r>
      <w:r>
        <w:rPr>
          <w:rFonts w:ascii="標楷體" w:eastAsia="標楷體" w:hAnsi="標楷體"/>
          <w:color w:val="000000"/>
        </w:rPr>
        <w:t>申請表</w:t>
      </w:r>
    </w:p>
    <w:p w14:paraId="0C3587E8" w14:textId="77777777" w:rsidR="00BD776B" w:rsidRDefault="00DF0C24">
      <w:pPr>
        <w:ind w:left="1414" w:hanging="336"/>
        <w:rPr>
          <w:rFonts w:ascii="標楷體" w:eastAsia="標楷體" w:hAnsi="標楷體"/>
          <w:color w:val="000000"/>
        </w:rPr>
      </w:pPr>
      <w:r>
        <w:rPr>
          <w:rFonts w:ascii="標楷體" w:eastAsia="標楷體" w:hAnsi="標楷體"/>
          <w:color w:val="000000"/>
        </w:rPr>
        <w:t>◎附表十六之二：（刪除）</w:t>
      </w:r>
    </w:p>
    <w:p w14:paraId="7CAB9975" w14:textId="77777777" w:rsidR="00BD776B" w:rsidRDefault="00DF0C24">
      <w:pPr>
        <w:ind w:left="567" w:hanging="245"/>
        <w:rPr>
          <w:rFonts w:ascii="標楷體" w:eastAsia="標楷體" w:hAnsi="標楷體"/>
          <w:color w:val="000000"/>
        </w:rPr>
      </w:pPr>
      <w:r>
        <w:rPr>
          <w:rFonts w:ascii="標楷體" w:eastAsia="標楷體" w:hAnsi="標楷體"/>
          <w:color w:val="000000"/>
        </w:rPr>
        <w:t>8.2.4.2.Etanercept(如Enbrel)； adalimumab（如Humira）；golimumab（如Simponi）； abatacept（如Orencia）；tocilizumab（如Actemra）；tofacitinib（如Xeljanz）；certolizumab (Cimzia) ；baricitinib（如Olumiant）；opinercept (如Tunex)； infliximab；peficitinib (如Smyraf)；upadacitinib(如Rinvoq)；filgotinib(如Jyseleca) (92/3/1、93/8/1、93/9/1、98/3/1、99/2/1、100/12/1、101/1/1、101/6/1、102/1/1、102/4/1、102/10/1、103/12/1、106/4/1、106/11/1、107/9/1、108/3/1、108/5/1、109/8/1、109/9/1、109/12/1、110/3/1、110/5/1、110/6/1、112/5/1)：成人治療部分</w:t>
      </w:r>
    </w:p>
    <w:p w14:paraId="5E2B16F6" w14:textId="77777777" w:rsidR="00BD776B" w:rsidRDefault="00DF0C24">
      <w:pPr>
        <w:ind w:left="797" w:hanging="245"/>
        <w:rPr>
          <w:rFonts w:ascii="標楷體" w:eastAsia="標楷體" w:hAnsi="標楷體"/>
          <w:color w:val="000000"/>
        </w:rPr>
      </w:pPr>
      <w:r>
        <w:rPr>
          <w:rFonts w:ascii="標楷體" w:eastAsia="標楷體" w:hAnsi="標楷體"/>
          <w:color w:val="000000"/>
        </w:rPr>
        <w:t>1.限內科專科醫師且具有風濕病專科醫師證書者使用於類風濕關節炎病患。</w:t>
      </w:r>
    </w:p>
    <w:p w14:paraId="361CC624" w14:textId="77777777" w:rsidR="00BD776B" w:rsidRDefault="00DF0C24">
      <w:pPr>
        <w:ind w:left="811" w:hanging="245"/>
        <w:rPr>
          <w:rFonts w:ascii="標楷體" w:eastAsia="標楷體" w:hAnsi="標楷體"/>
          <w:color w:val="000000"/>
        </w:rPr>
      </w:pPr>
      <w:r>
        <w:rPr>
          <w:rFonts w:ascii="標楷體" w:eastAsia="標楷體" w:hAnsi="標楷體"/>
          <w:color w:val="000000"/>
        </w:rPr>
        <w:t>2.經事前審查核准後使用。</w:t>
      </w:r>
    </w:p>
    <w:p w14:paraId="08EA26B4" w14:textId="77777777" w:rsidR="00BD776B" w:rsidRDefault="00DF0C24">
      <w:pPr>
        <w:ind w:left="811" w:hanging="245"/>
        <w:rPr>
          <w:rFonts w:ascii="標楷體" w:eastAsia="標楷體" w:hAnsi="標楷體"/>
          <w:color w:val="000000"/>
        </w:rPr>
      </w:pPr>
      <w:r>
        <w:rPr>
          <w:rFonts w:ascii="標楷體" w:eastAsia="標楷體" w:hAnsi="標楷體"/>
          <w:color w:val="000000"/>
        </w:rPr>
        <w:t>3.申報時須檢附使用DMARD藥物六個月以上後之DAS28積分，各種DMARD藥物使用之種類、劑量、治療時間、副作用、關節腫脹之相關照片(須註明日期)及關節X光檢查報告等資料。（99/2/1、108/5/1）</w:t>
      </w:r>
    </w:p>
    <w:p w14:paraId="19DB6FC8" w14:textId="77777777" w:rsidR="00BD776B" w:rsidRDefault="00DF0C24">
      <w:pPr>
        <w:ind w:left="811" w:hanging="245"/>
        <w:rPr>
          <w:rFonts w:ascii="標楷體" w:eastAsia="標楷體" w:hAnsi="標楷體"/>
          <w:color w:val="000000"/>
        </w:rPr>
      </w:pPr>
      <w:r>
        <w:rPr>
          <w:rFonts w:ascii="標楷體" w:eastAsia="標楷體" w:hAnsi="標楷體"/>
          <w:color w:val="000000"/>
        </w:rPr>
        <w:t>4.使用劑量：</w:t>
      </w:r>
    </w:p>
    <w:p w14:paraId="125BFB77" w14:textId="77777777" w:rsidR="00BD776B" w:rsidRDefault="00DF0C24">
      <w:pPr>
        <w:ind w:left="1077" w:hanging="367"/>
        <w:rPr>
          <w:rFonts w:ascii="標楷體" w:eastAsia="標楷體" w:hAnsi="標楷體"/>
          <w:color w:val="000000"/>
        </w:rPr>
      </w:pPr>
      <w:r>
        <w:rPr>
          <w:rFonts w:ascii="標楷體" w:eastAsia="標楷體" w:hAnsi="標楷體"/>
          <w:color w:val="000000"/>
        </w:rPr>
        <w:t>(1)初次使用tocilizumab時：</w:t>
      </w:r>
    </w:p>
    <w:p w14:paraId="6DCAB35C" w14:textId="77777777" w:rsidR="00BD776B" w:rsidRDefault="00DF0C24">
      <w:pPr>
        <w:ind w:left="1414" w:hanging="336"/>
        <w:rPr>
          <w:rFonts w:ascii="標楷體" w:eastAsia="標楷體" w:hAnsi="標楷體"/>
          <w:color w:val="000000"/>
        </w:rPr>
      </w:pPr>
      <w:r>
        <w:rPr>
          <w:rFonts w:ascii="標楷體" w:eastAsia="標楷體" w:hAnsi="標楷體"/>
          <w:color w:val="000000"/>
        </w:rPr>
        <w:t>I. 靜脈注射劑：劑量應從4mg/kg開始，治療第12週，評估DAS28積分，未達療效者(療效之定義：DAS28總積分下降程度≧ 1.2，或DAS28總積分＜ 3.2者)，得調高劑量至8mg/kg，繼續治療12週後，再評估DAS28總積分，必須下降程度≧ 1.2，或DAS28總積分＜ 3.2，方可續用。(102/10/1、106/4/1)</w:t>
      </w:r>
    </w:p>
    <w:p w14:paraId="144FB3EE" w14:textId="77777777" w:rsidR="00BD776B" w:rsidRDefault="00DF0C24">
      <w:pPr>
        <w:ind w:left="1414" w:hanging="336"/>
        <w:rPr>
          <w:rFonts w:ascii="標楷體" w:eastAsia="標楷體" w:hAnsi="標楷體"/>
          <w:color w:val="000000"/>
        </w:rPr>
      </w:pPr>
      <w:r>
        <w:rPr>
          <w:rFonts w:ascii="標楷體" w:eastAsia="標楷體" w:hAnsi="標楷體"/>
          <w:color w:val="000000"/>
        </w:rPr>
        <w:t>Ⅱ.皮下注射劑：體重小於100公斤者，劑量應從162mg每兩週一次開始，治療第12週，評估DAS28積分，未達療效者，得調高劑量至162mg每週一次，繼續治療12週後，再評估DAS28積分，達療效者方可續用。體重大於</w:t>
      </w:r>
      <w:r>
        <w:rPr>
          <w:rFonts w:ascii="標楷體" w:eastAsia="標楷體" w:hAnsi="標楷體"/>
          <w:color w:val="000000"/>
        </w:rPr>
        <w:lastRenderedPageBreak/>
        <w:t>100公斤者，劑量162mg每週一次，治療第24週，評估DAS28積分，達療效者方可續用。(106/4/1)</w:t>
      </w:r>
    </w:p>
    <w:p w14:paraId="50B66D54" w14:textId="77777777" w:rsidR="00BD776B" w:rsidRDefault="00DF0C24">
      <w:pPr>
        <w:ind w:left="1077" w:hanging="367"/>
      </w:pPr>
      <w:r>
        <w:rPr>
          <w:rFonts w:ascii="標楷體" w:eastAsia="標楷體" w:hAnsi="標楷體"/>
          <w:color w:val="000000"/>
        </w:rPr>
        <w:t>(2)</w:t>
      </w:r>
      <w:r>
        <w:t xml:space="preserve"> </w:t>
      </w:r>
      <w:r>
        <w:rPr>
          <w:rFonts w:ascii="標楷體" w:eastAsia="標楷體" w:hAnsi="標楷體"/>
          <w:color w:val="000000"/>
        </w:rPr>
        <w:t>baricitinib、upadacitinib或filgotinib時，劑量用法之調整應參照藥物仿單，且每日限用1錠。使用peficitinib時，劑量用法之調整應參照藥物仿單，每日100mg~150mg (且限每日最大劑量150mg)。(107/9/1、110/3/1、110/5/1、112/5/1)</w:t>
      </w:r>
    </w:p>
    <w:p w14:paraId="018D0E61" w14:textId="77777777" w:rsidR="00BD776B" w:rsidRDefault="00DF0C24">
      <w:pPr>
        <w:ind w:left="1077" w:hanging="367"/>
        <w:rPr>
          <w:rFonts w:ascii="標楷體" w:eastAsia="標楷體" w:hAnsi="標楷體"/>
          <w:color w:val="000000"/>
        </w:rPr>
      </w:pPr>
      <w:r>
        <w:rPr>
          <w:rFonts w:ascii="標楷體" w:eastAsia="標楷體" w:hAnsi="標楷體"/>
          <w:color w:val="000000"/>
        </w:rPr>
        <w:t>(3)使用infliximab時，應參照藥物仿單之用法，與methotrexate併用，infliximab在第0、2及6週時投予3mg/kg，之後每8週給藥1次。(109/9/1、109/12/1)</w:t>
      </w:r>
    </w:p>
    <w:p w14:paraId="1B6D5111" w14:textId="77777777" w:rsidR="00BD776B" w:rsidRDefault="00DF0C24">
      <w:pPr>
        <w:ind w:left="811" w:hanging="245"/>
        <w:rPr>
          <w:rFonts w:ascii="標楷體" w:eastAsia="標楷體" w:hAnsi="標楷體"/>
          <w:color w:val="000000"/>
        </w:rPr>
      </w:pPr>
      <w:r>
        <w:rPr>
          <w:rFonts w:ascii="標楷體" w:eastAsia="標楷體" w:hAnsi="標楷體"/>
          <w:color w:val="000000"/>
        </w:rPr>
        <w:t>5.使用半年後，每三個月需再申報一次；內含DAS28積分，使用藥物後之療效、副作用或併發症。惟infliximab初次申請時核予22週用量，續用時，每16週需再申請續用。(93/8/1、93/9/1、110/6/1)</w:t>
      </w:r>
    </w:p>
    <w:p w14:paraId="4BCBCB00" w14:textId="77777777" w:rsidR="00BD776B" w:rsidRDefault="00DF0C24">
      <w:pPr>
        <w:ind w:left="811" w:hanging="245"/>
        <w:rPr>
          <w:rFonts w:ascii="標楷體" w:eastAsia="標楷體" w:hAnsi="標楷體"/>
          <w:color w:val="000000"/>
        </w:rPr>
      </w:pPr>
      <w:r>
        <w:rPr>
          <w:rFonts w:ascii="標楷體" w:eastAsia="標楷體" w:hAnsi="標楷體"/>
          <w:color w:val="000000"/>
        </w:rPr>
        <w:t>6.病患需同時符合下述(1)(2)(3)項條件，方可使用；若有第(4)項情形，不得使用；若有第(5)項情形，需停止使用。</w:t>
      </w:r>
    </w:p>
    <w:p w14:paraId="64378B76" w14:textId="77777777" w:rsidR="00BD776B" w:rsidRDefault="00DF0C24">
      <w:pPr>
        <w:ind w:left="1049" w:hanging="341"/>
        <w:rPr>
          <w:rFonts w:ascii="標楷體" w:eastAsia="標楷體" w:hAnsi="標楷體"/>
          <w:color w:val="000000"/>
        </w:rPr>
      </w:pPr>
      <w:r>
        <w:rPr>
          <w:rFonts w:ascii="標楷體" w:eastAsia="標楷體" w:hAnsi="標楷體"/>
          <w:color w:val="000000"/>
        </w:rPr>
        <w:t>(1)符合美國風濕病學院(American College of Rheumatology)類風濕關節炎分類標準的診斷條件。(102/10/1)</w:t>
      </w:r>
    </w:p>
    <w:p w14:paraId="41EE28E6" w14:textId="77777777" w:rsidR="00BD776B" w:rsidRDefault="00DF0C24">
      <w:pPr>
        <w:ind w:left="1049" w:hanging="341"/>
        <w:rPr>
          <w:rFonts w:ascii="標楷體" w:eastAsia="標楷體" w:hAnsi="標楷體"/>
          <w:color w:val="000000"/>
        </w:rPr>
      </w:pPr>
      <w:r>
        <w:rPr>
          <w:rFonts w:ascii="標楷體" w:eastAsia="標楷體" w:hAnsi="標楷體"/>
          <w:color w:val="000000"/>
        </w:rPr>
        <w:t>(2)連續活動性的類風濕關節炎</w:t>
      </w:r>
    </w:p>
    <w:p w14:paraId="68A3E322" w14:textId="77777777" w:rsidR="00BD776B" w:rsidRDefault="00DF0C24">
      <w:pPr>
        <w:ind w:left="1414" w:hanging="336"/>
        <w:rPr>
          <w:rFonts w:ascii="標楷體" w:eastAsia="標楷體" w:hAnsi="標楷體"/>
          <w:color w:val="000000"/>
        </w:rPr>
      </w:pPr>
      <w:r>
        <w:rPr>
          <w:rFonts w:ascii="標楷體" w:eastAsia="標楷體" w:hAnsi="標楷體"/>
          <w:color w:val="000000"/>
        </w:rPr>
        <w:t>Ⅰ.28處關節疾病活動度積分 (Disease Activity Score, DAS 28) 必須大於5.1。</w:t>
      </w:r>
    </w:p>
    <w:p w14:paraId="724D788C" w14:textId="77777777" w:rsidR="00BD776B" w:rsidRDefault="00DF0C24">
      <w:pPr>
        <w:ind w:left="1414" w:hanging="336"/>
        <w:rPr>
          <w:rFonts w:ascii="標楷體" w:eastAsia="標楷體" w:hAnsi="標楷體"/>
          <w:color w:val="000000"/>
        </w:rPr>
      </w:pPr>
      <w:r>
        <w:rPr>
          <w:rFonts w:ascii="標楷體" w:eastAsia="標楷體" w:hAnsi="標楷體"/>
          <w:color w:val="000000"/>
        </w:rPr>
        <w:t>Ⅱ.此項評分需連續二次，其時間相隔至少4週(含)以上，並附當時關節腫脹之相關照片(須註明日期)及關節X光檢查報告為輔証。(108/5/1、109/8/1)</w:t>
      </w:r>
    </w:p>
    <w:p w14:paraId="211693F7" w14:textId="77777777" w:rsidR="00BD776B" w:rsidRDefault="00DF0C24">
      <w:pPr>
        <w:ind w:left="1666" w:hanging="574"/>
        <w:rPr>
          <w:rFonts w:ascii="標楷體" w:eastAsia="標楷體" w:hAnsi="標楷體"/>
          <w:color w:val="000000"/>
        </w:rPr>
      </w:pPr>
      <w:r>
        <w:rPr>
          <w:rFonts w:ascii="標楷體" w:eastAsia="標楷體" w:hAnsi="標楷體"/>
          <w:color w:val="000000"/>
        </w:rPr>
        <w:t>註1：28處關節部位記分如 (附表十三) 所示，其疾病活動度積分計算方式如下:</w:t>
      </w:r>
    </w:p>
    <w:p w14:paraId="7A371D01" w14:textId="77777777" w:rsidR="00BD776B" w:rsidRDefault="00DF0C24">
      <w:pPr>
        <w:ind w:left="1721"/>
        <w:rPr>
          <w:rFonts w:ascii="標楷體" w:eastAsia="標楷體" w:hAnsi="標楷體"/>
          <w:color w:val="000000"/>
        </w:rPr>
      </w:pPr>
      <w:r>
        <w:rPr>
          <w:rFonts w:ascii="標楷體" w:eastAsia="標楷體" w:hAnsi="標楷體"/>
          <w:color w:val="000000"/>
        </w:rPr>
        <w:t>DAS28 = 0.56 ×√TJC + 0.28 ×√SJC + 0.7 × lnESR+0.014 × GH</w:t>
      </w:r>
    </w:p>
    <w:p w14:paraId="2F60AAFF" w14:textId="77777777" w:rsidR="00BD776B" w:rsidRDefault="00DF0C24">
      <w:pPr>
        <w:ind w:left="1666" w:hanging="574"/>
        <w:rPr>
          <w:rFonts w:ascii="標楷體" w:eastAsia="標楷體" w:hAnsi="標楷體"/>
          <w:color w:val="000000"/>
        </w:rPr>
      </w:pPr>
      <w:r>
        <w:rPr>
          <w:rFonts w:ascii="標楷體" w:eastAsia="標楷體" w:hAnsi="標楷體"/>
          <w:color w:val="000000"/>
        </w:rPr>
        <w:t>註2：TJC: 觸痛關節數，SJC: 腫脹關節數，ESR: 紅血球沉降速率 (單位為mm/h)，GH: 在100 mm圖像模擬量表中所呈現的整體健康狀態 (general health status)</w:t>
      </w:r>
    </w:p>
    <w:p w14:paraId="2A8CC763" w14:textId="77777777" w:rsidR="00BD776B" w:rsidRDefault="00DF0C24">
      <w:pPr>
        <w:ind w:left="1049" w:hanging="341"/>
        <w:rPr>
          <w:rFonts w:ascii="標楷體" w:eastAsia="標楷體" w:hAnsi="標楷體"/>
          <w:color w:val="000000"/>
        </w:rPr>
      </w:pPr>
      <w:r>
        <w:rPr>
          <w:rFonts w:ascii="標楷體" w:eastAsia="標楷體" w:hAnsi="標楷體"/>
          <w:color w:val="000000"/>
        </w:rPr>
        <w:t>(3)標準疾病修飾抗風濕病藥物 (Disease-Modifying Anti-Rheumatic Drugs, DMARD) 療法失敗：</w:t>
      </w:r>
    </w:p>
    <w:p w14:paraId="75C9F721" w14:textId="77777777" w:rsidR="00BD776B" w:rsidRDefault="00DF0C24">
      <w:pPr>
        <w:ind w:left="1020"/>
        <w:rPr>
          <w:rFonts w:ascii="標楷體" w:eastAsia="標楷體" w:hAnsi="標楷體"/>
          <w:color w:val="000000"/>
        </w:rPr>
      </w:pPr>
      <w:r>
        <w:rPr>
          <w:rFonts w:ascii="標楷體" w:eastAsia="標楷體" w:hAnsi="標楷體"/>
          <w:color w:val="000000"/>
        </w:rPr>
        <w:t>病患曾經接受至少兩種DMARDs (methotrexate為基本藥物，另一藥物必須包括肌肉注射之金劑、hydroxychloroquine、sulfasalazine、d-penicillamine、azathioprine、leflunomide、cyclosporine中之任何一種) 之充分治療，而仍無明顯療效。(93/8/1)</w:t>
      </w:r>
    </w:p>
    <w:p w14:paraId="601AA8D8" w14:textId="77777777" w:rsidR="00BD776B" w:rsidRDefault="00DF0C24">
      <w:pPr>
        <w:ind w:left="1414" w:hanging="336"/>
        <w:rPr>
          <w:rFonts w:ascii="標楷體" w:eastAsia="標楷體" w:hAnsi="標楷體"/>
          <w:color w:val="000000"/>
        </w:rPr>
      </w:pPr>
      <w:r>
        <w:rPr>
          <w:rFonts w:ascii="標楷體" w:eastAsia="標楷體" w:hAnsi="標楷體"/>
          <w:color w:val="000000"/>
        </w:rPr>
        <w:t>Ⅰ.充分治療的定義：(100/12/1)</w:t>
      </w:r>
    </w:p>
    <w:p w14:paraId="79CC4A0C" w14:textId="77777777" w:rsidR="00BD776B" w:rsidRDefault="00DF0C24">
      <w:pPr>
        <w:ind w:left="1500" w:hanging="240"/>
        <w:rPr>
          <w:rFonts w:ascii="標楷體" w:eastAsia="標楷體" w:hAnsi="標楷體"/>
          <w:color w:val="000000"/>
        </w:rPr>
      </w:pPr>
      <w:r>
        <w:rPr>
          <w:rFonts w:ascii="標楷體" w:eastAsia="標楷體" w:hAnsi="標楷體"/>
          <w:color w:val="000000"/>
        </w:rPr>
        <w:t>i.DMARDs藥物治療時間須符合下列條件之一：</w:t>
      </w:r>
    </w:p>
    <w:p w14:paraId="2D41978F" w14:textId="77777777" w:rsidR="00BD776B" w:rsidRDefault="00DF0C24">
      <w:pPr>
        <w:ind w:left="1764" w:hanging="348"/>
        <w:rPr>
          <w:rFonts w:ascii="標楷體" w:eastAsia="標楷體" w:hAnsi="標楷體"/>
          <w:color w:val="000000"/>
        </w:rPr>
      </w:pPr>
      <w:r>
        <w:rPr>
          <w:rFonts w:ascii="標楷體" w:eastAsia="標楷體" w:hAnsi="標楷體"/>
          <w:color w:val="000000"/>
        </w:rPr>
        <w:t>(i)必須至少6個月以上，而其中至少2個月必須達到 (附表十四) 所示標準目標劑量 (standard target dose)。</w:t>
      </w:r>
    </w:p>
    <w:p w14:paraId="486023B0" w14:textId="77777777" w:rsidR="00BD776B" w:rsidRDefault="00DF0C24">
      <w:pPr>
        <w:ind w:left="1764" w:hanging="348"/>
        <w:rPr>
          <w:rFonts w:ascii="標楷體" w:eastAsia="標楷體" w:hAnsi="標楷體"/>
          <w:color w:val="000000"/>
        </w:rPr>
      </w:pPr>
      <w:r>
        <w:rPr>
          <w:rFonts w:ascii="標楷體" w:eastAsia="標楷體" w:hAnsi="標楷體"/>
          <w:color w:val="000000"/>
        </w:rPr>
        <w:t>(ii)DMARDs藥物合併使用prednisolone 15 mg/day治療，須至少3個月以上，而其中至少2個月DMARDs藥物必須達到 (附表十四) 所示標準目標劑量 (standard target dose)。(100/12/1)</w:t>
      </w:r>
    </w:p>
    <w:p w14:paraId="2B45EF81" w14:textId="77777777" w:rsidR="00BD776B" w:rsidRDefault="00DF0C24">
      <w:pPr>
        <w:ind w:left="1500" w:hanging="240"/>
        <w:rPr>
          <w:rFonts w:ascii="標楷體" w:eastAsia="標楷體" w:hAnsi="標楷體"/>
          <w:color w:val="000000"/>
        </w:rPr>
      </w:pPr>
      <w:r>
        <w:rPr>
          <w:rFonts w:ascii="標楷體" w:eastAsia="標楷體" w:hAnsi="標楷體"/>
          <w:color w:val="000000"/>
        </w:rPr>
        <w:t>ii.若病患因DMARDs藥物毒性無法忍受，以致無法達到上項要求時，DMARDs劑量仍需達 (附表十四) 所示治療劑量 (therapeutic doses) 連續2個月以上。</w:t>
      </w:r>
    </w:p>
    <w:p w14:paraId="3501F62A" w14:textId="77777777" w:rsidR="00BD776B" w:rsidRDefault="00DF0C24">
      <w:pPr>
        <w:ind w:left="1414" w:hanging="336"/>
        <w:rPr>
          <w:rFonts w:ascii="標楷體" w:eastAsia="標楷體" w:hAnsi="標楷體"/>
          <w:color w:val="000000"/>
        </w:rPr>
      </w:pPr>
      <w:r>
        <w:rPr>
          <w:rFonts w:ascii="標楷體" w:eastAsia="標楷體" w:hAnsi="標楷體"/>
          <w:color w:val="000000"/>
        </w:rPr>
        <w:lastRenderedPageBreak/>
        <w:t>Ⅱ.療效的定義：(93/8/1、98/3/1)</w:t>
      </w:r>
    </w:p>
    <w:p w14:paraId="274D7BFB" w14:textId="77777777" w:rsidR="00BD776B" w:rsidRDefault="00DF0C24">
      <w:pPr>
        <w:ind w:left="1428"/>
        <w:rPr>
          <w:rFonts w:ascii="標楷體" w:eastAsia="標楷體" w:hAnsi="標楷體"/>
          <w:color w:val="000000"/>
        </w:rPr>
      </w:pPr>
      <w:r>
        <w:rPr>
          <w:rFonts w:ascii="標楷體" w:eastAsia="標楷體" w:hAnsi="標楷體"/>
          <w:color w:val="000000"/>
        </w:rPr>
        <w:t>DAS28總積分下降程度大於等於(≧)1.2，或DAS28總積分小於3.2者。</w:t>
      </w:r>
    </w:p>
    <w:p w14:paraId="629A140A" w14:textId="77777777" w:rsidR="00BD776B" w:rsidRDefault="00DF0C24">
      <w:pPr>
        <w:ind w:left="1049" w:hanging="341"/>
        <w:rPr>
          <w:rFonts w:ascii="標楷體" w:eastAsia="標楷體" w:hAnsi="標楷體"/>
          <w:color w:val="000000"/>
        </w:rPr>
      </w:pPr>
      <w:r>
        <w:rPr>
          <w:rFonts w:ascii="標楷體" w:eastAsia="標楷體" w:hAnsi="標楷體"/>
          <w:color w:val="000000"/>
        </w:rPr>
        <w:t>(4)需排除使用的情形 (93/9/1、106/11/1)</w:t>
      </w:r>
    </w:p>
    <w:p w14:paraId="4BFFA4E4" w14:textId="77777777" w:rsidR="00BD776B" w:rsidRDefault="00DF0C24">
      <w:pPr>
        <w:ind w:left="1202"/>
        <w:rPr>
          <w:rFonts w:ascii="標楷體" w:eastAsia="標楷體" w:hAnsi="標楷體"/>
          <w:color w:val="000000"/>
        </w:rPr>
      </w:pPr>
      <w:r>
        <w:rPr>
          <w:rFonts w:ascii="標楷體" w:eastAsia="標楷體" w:hAnsi="標楷體"/>
          <w:color w:val="000000"/>
        </w:rPr>
        <w:t>應參照藥物仿單，重要之排除使用狀況包括 (以下未列者參照仿單所載)：</w:t>
      </w:r>
    </w:p>
    <w:p w14:paraId="29658FD4" w14:textId="77777777" w:rsidR="00BD776B" w:rsidRDefault="00DF0C24">
      <w:pPr>
        <w:ind w:left="1414" w:hanging="336"/>
        <w:rPr>
          <w:rFonts w:ascii="標楷體" w:eastAsia="標楷體" w:hAnsi="標楷體"/>
          <w:color w:val="000000"/>
        </w:rPr>
      </w:pPr>
      <w:r>
        <w:rPr>
          <w:rFonts w:ascii="標楷體" w:eastAsia="標楷體" w:hAnsi="標楷體"/>
          <w:color w:val="000000"/>
        </w:rPr>
        <w:t>Ⅰ.懷孕或正在授乳的婦女 (certolizumab除外) (106/11/1)</w:t>
      </w:r>
    </w:p>
    <w:p w14:paraId="384B790E" w14:textId="77777777" w:rsidR="00BD776B" w:rsidRDefault="00DF0C24">
      <w:pPr>
        <w:ind w:left="1414" w:hanging="336"/>
        <w:rPr>
          <w:rFonts w:ascii="標楷體" w:eastAsia="標楷體" w:hAnsi="標楷體"/>
          <w:color w:val="000000"/>
        </w:rPr>
      </w:pPr>
      <w:r>
        <w:rPr>
          <w:rFonts w:ascii="標楷體" w:eastAsia="標楷體" w:hAnsi="標楷體"/>
          <w:color w:val="000000"/>
        </w:rPr>
        <w:t>Ⅱ.活動性感染症之病患</w:t>
      </w:r>
    </w:p>
    <w:p w14:paraId="426FDB0A" w14:textId="77777777" w:rsidR="00BD776B" w:rsidRDefault="00DF0C24">
      <w:pPr>
        <w:ind w:left="1414" w:hanging="336"/>
        <w:rPr>
          <w:rFonts w:ascii="標楷體" w:eastAsia="標楷體" w:hAnsi="標楷體"/>
          <w:color w:val="000000"/>
        </w:rPr>
      </w:pPr>
      <w:r>
        <w:rPr>
          <w:rFonts w:ascii="標楷體" w:eastAsia="標楷體" w:hAnsi="標楷體"/>
          <w:color w:val="000000"/>
        </w:rPr>
        <w:t>Ⅲ.具高度感染機會的病患，包括：</w:t>
      </w:r>
    </w:p>
    <w:p w14:paraId="5832D703" w14:textId="77777777" w:rsidR="00BD776B" w:rsidRDefault="00DF0C24">
      <w:pPr>
        <w:ind w:left="1500" w:hanging="240"/>
        <w:rPr>
          <w:rFonts w:ascii="標楷體" w:eastAsia="標楷體" w:hAnsi="標楷體"/>
          <w:color w:val="000000"/>
        </w:rPr>
      </w:pPr>
      <w:r>
        <w:rPr>
          <w:rFonts w:ascii="標楷體" w:eastAsia="標楷體" w:hAnsi="標楷體"/>
          <w:color w:val="000000"/>
        </w:rPr>
        <w:t>i.慢性腿部潰瘍之病患</w:t>
      </w:r>
    </w:p>
    <w:p w14:paraId="316F79C3" w14:textId="77777777" w:rsidR="00BD776B" w:rsidRDefault="00DF0C24">
      <w:pPr>
        <w:ind w:left="1637" w:hanging="377"/>
        <w:rPr>
          <w:rFonts w:ascii="標楷體" w:eastAsia="標楷體" w:hAnsi="標楷體"/>
          <w:color w:val="000000"/>
        </w:rPr>
      </w:pPr>
      <w:r>
        <w:rPr>
          <w:rFonts w:ascii="標楷體" w:eastAsia="標楷體" w:hAnsi="標楷體"/>
          <w:color w:val="000000"/>
        </w:rPr>
        <w:t>ii.未經完整治療之結核病的病患（包括潛伏結核感染治療未達四週者，申請時應檢附潛伏結核感染篩檢紀錄及治療紀錄供審查）。(102/1/1)</w:t>
      </w:r>
    </w:p>
    <w:p w14:paraId="1C9F085B" w14:textId="77777777" w:rsidR="00BD776B" w:rsidRDefault="00DF0C24">
      <w:pPr>
        <w:ind w:left="1500" w:hanging="240"/>
        <w:rPr>
          <w:rFonts w:ascii="標楷體" w:eastAsia="標楷體" w:hAnsi="標楷體"/>
          <w:color w:val="000000"/>
        </w:rPr>
      </w:pPr>
      <w:r>
        <w:rPr>
          <w:rFonts w:ascii="標楷體" w:eastAsia="標楷體" w:hAnsi="標楷體"/>
          <w:color w:val="000000"/>
        </w:rPr>
        <w:t>iii.過去12個月內曾有感染性關節炎者</w:t>
      </w:r>
    </w:p>
    <w:p w14:paraId="1C104EB9" w14:textId="77777777" w:rsidR="00BD776B" w:rsidRDefault="00DF0C24">
      <w:pPr>
        <w:ind w:left="1500" w:hanging="240"/>
        <w:rPr>
          <w:rFonts w:ascii="標楷體" w:eastAsia="標楷體" w:hAnsi="標楷體"/>
          <w:color w:val="000000"/>
        </w:rPr>
      </w:pPr>
      <w:r>
        <w:rPr>
          <w:rFonts w:ascii="標楷體" w:eastAsia="標楷體" w:hAnsi="標楷體"/>
          <w:color w:val="000000"/>
        </w:rPr>
        <w:t>iv.有人工關節感染，若該人工關節未除去前，不可使用</w:t>
      </w:r>
    </w:p>
    <w:p w14:paraId="38A8C382" w14:textId="77777777" w:rsidR="00BD776B" w:rsidRDefault="00DF0C24">
      <w:pPr>
        <w:ind w:left="1500" w:hanging="240"/>
        <w:rPr>
          <w:rFonts w:ascii="標楷體" w:eastAsia="標楷體" w:hAnsi="標楷體"/>
          <w:color w:val="000000"/>
        </w:rPr>
      </w:pPr>
      <w:r>
        <w:rPr>
          <w:rFonts w:ascii="標楷體" w:eastAsia="標楷體" w:hAnsi="標楷體"/>
          <w:color w:val="000000"/>
        </w:rPr>
        <w:t>v.頑固性或復發性的胸腔感染症</w:t>
      </w:r>
    </w:p>
    <w:p w14:paraId="3D6123D3" w14:textId="77777777" w:rsidR="00BD776B" w:rsidRDefault="00DF0C24">
      <w:pPr>
        <w:ind w:left="1500" w:hanging="240"/>
        <w:rPr>
          <w:rFonts w:ascii="標楷體" w:eastAsia="標楷體" w:hAnsi="標楷體"/>
          <w:color w:val="000000"/>
        </w:rPr>
      </w:pPr>
      <w:r>
        <w:rPr>
          <w:rFonts w:ascii="標楷體" w:eastAsia="標楷體" w:hAnsi="標楷體"/>
          <w:color w:val="000000"/>
        </w:rPr>
        <w:t>vi.具有留置導尿管者</w:t>
      </w:r>
    </w:p>
    <w:p w14:paraId="52A82813" w14:textId="77777777" w:rsidR="00BD776B" w:rsidRDefault="00DF0C24">
      <w:pPr>
        <w:ind w:left="1414" w:hanging="336"/>
        <w:rPr>
          <w:rFonts w:ascii="標楷體" w:eastAsia="標楷體" w:hAnsi="標楷體"/>
          <w:color w:val="000000"/>
        </w:rPr>
      </w:pPr>
      <w:r>
        <w:rPr>
          <w:rFonts w:ascii="標楷體" w:eastAsia="標楷體" w:hAnsi="標楷體"/>
          <w:color w:val="000000"/>
        </w:rPr>
        <w:t>Ⅳ.惡性腫瘤或癌前狀態之病患 （但不包括已經接受過充分治療達10年以上的惡性腫瘤）</w:t>
      </w:r>
    </w:p>
    <w:p w14:paraId="18163340" w14:textId="77777777" w:rsidR="00BD776B" w:rsidRDefault="00DF0C24">
      <w:pPr>
        <w:ind w:left="1414" w:hanging="336"/>
        <w:rPr>
          <w:rFonts w:ascii="標楷體" w:eastAsia="標楷體" w:hAnsi="標楷體"/>
          <w:color w:val="000000"/>
        </w:rPr>
      </w:pPr>
      <w:r>
        <w:rPr>
          <w:rFonts w:ascii="標楷體" w:eastAsia="標楷體" w:hAnsi="標楷體"/>
          <w:color w:val="000000"/>
        </w:rPr>
        <w:t>Ⅴ.多發性硬化症 (multiple sclerosis)</w:t>
      </w:r>
    </w:p>
    <w:p w14:paraId="26B8E9A1" w14:textId="77777777" w:rsidR="00BD776B" w:rsidRDefault="00DF0C24">
      <w:pPr>
        <w:ind w:left="1049" w:hanging="341"/>
        <w:rPr>
          <w:rFonts w:ascii="標楷體" w:eastAsia="標楷體" w:hAnsi="標楷體"/>
          <w:color w:val="000000"/>
        </w:rPr>
      </w:pPr>
      <w:r>
        <w:rPr>
          <w:rFonts w:ascii="標楷體" w:eastAsia="標楷體" w:hAnsi="標楷體"/>
          <w:color w:val="000000"/>
        </w:rPr>
        <w:t>(5)需停止治療的情形 (93/8/1、93/9/1)</w:t>
      </w:r>
    </w:p>
    <w:p w14:paraId="1EE794FD" w14:textId="77777777" w:rsidR="00BD776B" w:rsidRDefault="00DF0C24">
      <w:pPr>
        <w:ind w:left="1080"/>
        <w:rPr>
          <w:rFonts w:ascii="標楷體" w:eastAsia="標楷體" w:hAnsi="標楷體"/>
          <w:color w:val="000000"/>
        </w:rPr>
      </w:pPr>
      <w:r>
        <w:rPr>
          <w:rFonts w:ascii="標楷體" w:eastAsia="標楷體" w:hAnsi="標楷體"/>
          <w:color w:val="000000"/>
        </w:rPr>
        <w:t>如果發生下列現象應停止治療：</w:t>
      </w:r>
    </w:p>
    <w:p w14:paraId="354B7D09" w14:textId="77777777" w:rsidR="00BD776B" w:rsidRDefault="00DF0C24">
      <w:pPr>
        <w:ind w:left="1414" w:hanging="336"/>
        <w:rPr>
          <w:rFonts w:ascii="標楷體" w:eastAsia="標楷體" w:hAnsi="標楷體"/>
          <w:color w:val="000000"/>
        </w:rPr>
      </w:pPr>
      <w:r>
        <w:rPr>
          <w:rFonts w:ascii="標楷體" w:eastAsia="標楷體" w:hAnsi="標楷體"/>
          <w:color w:val="000000"/>
        </w:rPr>
        <w:t>Ⅰ療效不彰</w:t>
      </w:r>
    </w:p>
    <w:p w14:paraId="2C0894EB" w14:textId="77777777" w:rsidR="00BD776B" w:rsidRDefault="00DF0C24">
      <w:pPr>
        <w:ind w:left="1414" w:hanging="336"/>
        <w:rPr>
          <w:rFonts w:ascii="標楷體" w:eastAsia="標楷體" w:hAnsi="標楷體"/>
          <w:color w:val="000000"/>
        </w:rPr>
      </w:pPr>
      <w:r>
        <w:rPr>
          <w:rFonts w:ascii="標楷體" w:eastAsia="標楷體" w:hAnsi="標楷體"/>
          <w:color w:val="000000"/>
        </w:rPr>
        <w:t>Ⅱ不良事件，包括：</w:t>
      </w:r>
    </w:p>
    <w:p w14:paraId="6045BC42" w14:textId="77777777" w:rsidR="00BD776B" w:rsidRDefault="00DF0C24">
      <w:pPr>
        <w:ind w:left="1500" w:hanging="240"/>
        <w:rPr>
          <w:rFonts w:ascii="標楷體" w:eastAsia="標楷體" w:hAnsi="標楷體"/>
          <w:color w:val="000000"/>
        </w:rPr>
      </w:pPr>
      <w:r>
        <w:rPr>
          <w:rFonts w:ascii="標楷體" w:eastAsia="標楷體" w:hAnsi="標楷體"/>
          <w:color w:val="000000"/>
        </w:rPr>
        <w:t>i.惡性腫瘤</w:t>
      </w:r>
    </w:p>
    <w:p w14:paraId="6E54155A" w14:textId="77777777" w:rsidR="00BD776B" w:rsidRDefault="00DF0C24">
      <w:pPr>
        <w:ind w:left="1500" w:hanging="240"/>
        <w:rPr>
          <w:rFonts w:ascii="標楷體" w:eastAsia="標楷體" w:hAnsi="標楷體"/>
          <w:color w:val="000000"/>
        </w:rPr>
      </w:pPr>
      <w:r>
        <w:rPr>
          <w:rFonts w:ascii="標楷體" w:eastAsia="標楷體" w:hAnsi="標楷體"/>
          <w:color w:val="000000"/>
        </w:rPr>
        <w:t>ii.該藥物引起的嚴重毒性</w:t>
      </w:r>
    </w:p>
    <w:p w14:paraId="2AC414AF" w14:textId="77777777" w:rsidR="00BD776B" w:rsidRDefault="00DF0C24">
      <w:pPr>
        <w:ind w:left="1500" w:hanging="240"/>
        <w:rPr>
          <w:rFonts w:ascii="標楷體" w:eastAsia="標楷體" w:hAnsi="標楷體"/>
          <w:color w:val="000000"/>
        </w:rPr>
      </w:pPr>
      <w:r>
        <w:rPr>
          <w:rFonts w:ascii="標楷體" w:eastAsia="標楷體" w:hAnsi="標楷體"/>
          <w:color w:val="000000"/>
        </w:rPr>
        <w:t>iii.懷孕 (暫時停藥即可)</w:t>
      </w:r>
    </w:p>
    <w:p w14:paraId="3F5A4222" w14:textId="77777777" w:rsidR="00BD776B" w:rsidRDefault="00DF0C24">
      <w:pPr>
        <w:ind w:left="1500" w:hanging="240"/>
        <w:rPr>
          <w:rFonts w:ascii="標楷體" w:eastAsia="標楷體" w:hAnsi="標楷體"/>
          <w:color w:val="000000"/>
        </w:rPr>
      </w:pPr>
      <w:r>
        <w:rPr>
          <w:rFonts w:ascii="標楷體" w:eastAsia="標楷體" w:hAnsi="標楷體"/>
          <w:color w:val="000000"/>
        </w:rPr>
        <w:t>iv.嚴重的間發性感染症 (暫時停藥即可)</w:t>
      </w:r>
    </w:p>
    <w:p w14:paraId="04A7F3EA" w14:textId="77777777" w:rsidR="00BD776B" w:rsidRDefault="00DF0C24">
      <w:pPr>
        <w:ind w:left="811" w:hanging="245"/>
        <w:rPr>
          <w:rFonts w:ascii="標楷體" w:eastAsia="標楷體" w:hAnsi="標楷體"/>
          <w:color w:val="000000"/>
        </w:rPr>
      </w:pPr>
      <w:r>
        <w:rPr>
          <w:rFonts w:ascii="標楷體" w:eastAsia="標楷體" w:hAnsi="標楷體"/>
          <w:color w:val="000000"/>
        </w:rPr>
        <w:t>7.轉用其他成分生物製劑之條件：</w:t>
      </w:r>
    </w:p>
    <w:p w14:paraId="3A44F827" w14:textId="77777777" w:rsidR="00BD776B" w:rsidRDefault="00DF0C24">
      <w:pPr>
        <w:ind w:left="1032" w:hanging="326"/>
        <w:rPr>
          <w:rFonts w:ascii="標楷體" w:eastAsia="標楷體" w:hAnsi="標楷體"/>
          <w:color w:val="000000"/>
        </w:rPr>
      </w:pPr>
      <w:r>
        <w:rPr>
          <w:rFonts w:ascii="標楷體" w:eastAsia="標楷體" w:hAnsi="標楷體"/>
          <w:color w:val="000000"/>
        </w:rPr>
        <w:t>(1)使用生物製劑治療後有療效，但因方便性欲改用給藥頻率較少者或無法忍受副作用者，可轉用相同藥理機轉之生物製劑。</w:t>
      </w:r>
    </w:p>
    <w:p w14:paraId="02F0C717" w14:textId="77777777" w:rsidR="00BD776B" w:rsidRDefault="00DF0C24">
      <w:pPr>
        <w:ind w:left="809" w:hanging="101"/>
        <w:rPr>
          <w:rFonts w:ascii="標楷體" w:eastAsia="標楷體" w:hAnsi="標楷體"/>
          <w:color w:val="000000"/>
        </w:rPr>
      </w:pPr>
      <w:r>
        <w:rPr>
          <w:rFonts w:ascii="標楷體" w:eastAsia="標楷體" w:hAnsi="標楷體"/>
          <w:color w:val="000000"/>
        </w:rPr>
        <w:t>(2)使用生物製劑治療後療效不彰，不可轉用相同藥理機轉之其他成分生物製劑。</w:t>
      </w:r>
    </w:p>
    <w:p w14:paraId="6A126571" w14:textId="77777777" w:rsidR="00BD776B" w:rsidRDefault="00DF0C24">
      <w:pPr>
        <w:ind w:left="811" w:hanging="245"/>
        <w:rPr>
          <w:rFonts w:ascii="標楷體" w:eastAsia="標楷體" w:hAnsi="標楷體"/>
          <w:color w:val="000000"/>
        </w:rPr>
      </w:pPr>
      <w:r>
        <w:rPr>
          <w:rFonts w:ascii="標楷體" w:eastAsia="標楷體" w:hAnsi="標楷體"/>
          <w:color w:val="000000"/>
        </w:rPr>
        <w:t>8.減量及暫緩續用之相關規定：(102/4/1)</w:t>
      </w:r>
    </w:p>
    <w:p w14:paraId="5ECA80B6" w14:textId="77777777" w:rsidR="00BD776B" w:rsidRDefault="00DF0C24">
      <w:pPr>
        <w:ind w:left="1049" w:hanging="341"/>
        <w:rPr>
          <w:rFonts w:ascii="標楷體" w:eastAsia="標楷體" w:hAnsi="標楷體"/>
          <w:color w:val="000000"/>
        </w:rPr>
      </w:pPr>
      <w:r>
        <w:rPr>
          <w:rFonts w:ascii="標楷體" w:eastAsia="標楷體" w:hAnsi="標楷體"/>
          <w:color w:val="000000"/>
        </w:rPr>
        <w:t>(1)減量時機：使用2年且已達疾病緩解(DAS28＜ 2.6)超過6個月。(108/5/1)</w:t>
      </w:r>
    </w:p>
    <w:p w14:paraId="19B89CBD" w14:textId="77777777" w:rsidR="00BD776B" w:rsidRDefault="00DF0C24">
      <w:pPr>
        <w:ind w:left="1049" w:hanging="341"/>
        <w:rPr>
          <w:rFonts w:ascii="標楷體" w:eastAsia="標楷體" w:hAnsi="標楷體"/>
          <w:color w:val="000000"/>
        </w:rPr>
      </w:pPr>
      <w:r>
        <w:rPr>
          <w:rFonts w:ascii="標楷體" w:eastAsia="標楷體" w:hAnsi="標楷體"/>
          <w:color w:val="000000"/>
        </w:rPr>
        <w:t>(2)減量方式：</w:t>
      </w:r>
    </w:p>
    <w:p w14:paraId="5A61B13C" w14:textId="77777777" w:rsidR="00BD776B" w:rsidRDefault="00DF0C24">
      <w:pPr>
        <w:ind w:left="1049" w:firstLine="41"/>
        <w:rPr>
          <w:rFonts w:ascii="標楷體" w:eastAsia="標楷體" w:hAnsi="標楷體"/>
          <w:color w:val="000000"/>
        </w:rPr>
      </w:pPr>
      <w:r>
        <w:rPr>
          <w:rFonts w:ascii="標楷體" w:eastAsia="標楷體" w:hAnsi="標楷體"/>
          <w:color w:val="000000"/>
        </w:rPr>
        <w:t>病患使用生物製劑2年後，申請續用之事前審查時，應依據患者個別狀況提出符合醫理之治療計畫，並敘明開始減量至1年後暫緩續用之減量方式。減量方式可為減少每次使用劑量或延長給藥間隔。</w:t>
      </w:r>
    </w:p>
    <w:p w14:paraId="70D93BF0" w14:textId="77777777" w:rsidR="00BD776B" w:rsidRDefault="00DF0C24">
      <w:pPr>
        <w:ind w:left="1077" w:hanging="367"/>
        <w:rPr>
          <w:rFonts w:ascii="標楷體" w:eastAsia="標楷體" w:hAnsi="標楷體"/>
          <w:color w:val="000000"/>
        </w:rPr>
      </w:pPr>
      <w:r>
        <w:rPr>
          <w:rFonts w:ascii="標楷體" w:eastAsia="標楷體" w:hAnsi="標楷體"/>
          <w:color w:val="000000"/>
        </w:rPr>
        <w:t>(3)減量期間若符合以下所有條件，得申請回復減量前之使用量，下次再評估減量之時機為1年後：</w:t>
      </w:r>
    </w:p>
    <w:p w14:paraId="58DD4AAA" w14:textId="77777777" w:rsidR="00BD776B" w:rsidRDefault="00DF0C24">
      <w:pPr>
        <w:ind w:left="1133"/>
        <w:rPr>
          <w:rFonts w:ascii="標楷體" w:eastAsia="標楷體" w:hAnsi="標楷體"/>
          <w:color w:val="000000"/>
        </w:rPr>
      </w:pPr>
      <w:r>
        <w:rPr>
          <w:rFonts w:ascii="標楷體" w:eastAsia="標楷體" w:hAnsi="標楷體"/>
          <w:color w:val="000000"/>
        </w:rPr>
        <w:t>Ⅰ.與減量前比較，DAS28總積分上升程度＞ 1.2。</w:t>
      </w:r>
    </w:p>
    <w:p w14:paraId="3C864BED" w14:textId="77777777" w:rsidR="00BD776B" w:rsidRDefault="00DF0C24">
      <w:pPr>
        <w:ind w:left="1133"/>
        <w:rPr>
          <w:rFonts w:ascii="標楷體" w:eastAsia="標楷體" w:hAnsi="標楷體"/>
          <w:color w:val="000000"/>
        </w:rPr>
      </w:pPr>
      <w:r>
        <w:rPr>
          <w:rFonts w:ascii="標楷體" w:eastAsia="標楷體" w:hAnsi="標楷體"/>
          <w:color w:val="000000"/>
        </w:rPr>
        <w:t>Ⅱ.ESR＞ 25mm/h。</w:t>
      </w:r>
    </w:p>
    <w:p w14:paraId="071B99B8" w14:textId="77777777" w:rsidR="00BD776B" w:rsidRDefault="00DF0C24">
      <w:pPr>
        <w:ind w:left="1133"/>
        <w:rPr>
          <w:rFonts w:ascii="標楷體" w:eastAsia="標楷體" w:hAnsi="標楷體"/>
          <w:color w:val="000000"/>
        </w:rPr>
      </w:pPr>
      <w:r>
        <w:rPr>
          <w:rFonts w:ascii="標楷體" w:eastAsia="標楷體" w:hAnsi="標楷體"/>
          <w:color w:val="000000"/>
        </w:rPr>
        <w:t>Ⅲ.與減量前比較，ESR上升程度＞ 25%。</w:t>
      </w:r>
    </w:p>
    <w:p w14:paraId="48E4DA6C" w14:textId="77777777" w:rsidR="00BD776B" w:rsidRDefault="00DF0C24">
      <w:pPr>
        <w:ind w:left="1061" w:hanging="355"/>
        <w:rPr>
          <w:rFonts w:ascii="標楷體" w:eastAsia="標楷體" w:hAnsi="標楷體"/>
          <w:color w:val="000000"/>
        </w:rPr>
      </w:pPr>
      <w:r>
        <w:rPr>
          <w:rFonts w:ascii="標楷體" w:eastAsia="標楷體" w:hAnsi="標楷體"/>
          <w:color w:val="000000"/>
        </w:rPr>
        <w:t>(4)因使用一種生物製劑治療後療效不彰，而轉用另一種不同藥理機轉之生物製劑，以轉用後者之起始日重新計算2年後開始減量之時機。但因方便性考量或無法忍受副作用而轉用相同藥理機轉之生物製劑，轉用前後所使用生物製</w:t>
      </w:r>
      <w:r>
        <w:rPr>
          <w:rFonts w:ascii="標楷體" w:eastAsia="標楷體" w:hAnsi="標楷體"/>
          <w:color w:val="000000"/>
        </w:rPr>
        <w:lastRenderedPageBreak/>
        <w:t>劑之期間均應計入。</w:t>
      </w:r>
    </w:p>
    <w:p w14:paraId="0E9C2C04" w14:textId="77777777" w:rsidR="00BD776B" w:rsidRDefault="00DF0C24">
      <w:pPr>
        <w:ind w:left="1077" w:hanging="367"/>
        <w:rPr>
          <w:rFonts w:ascii="標楷體" w:eastAsia="標楷體" w:hAnsi="標楷體"/>
          <w:color w:val="000000"/>
        </w:rPr>
      </w:pPr>
      <w:r>
        <w:rPr>
          <w:rFonts w:ascii="標楷體" w:eastAsia="標楷體" w:hAnsi="標楷體"/>
          <w:color w:val="000000"/>
        </w:rPr>
        <w:t>(5)暫緩續用時機：開始減量1年後暫緩續用。</w:t>
      </w:r>
    </w:p>
    <w:p w14:paraId="18515392" w14:textId="77777777" w:rsidR="00BD776B" w:rsidRDefault="00DF0C24">
      <w:pPr>
        <w:ind w:left="1077" w:hanging="367"/>
        <w:rPr>
          <w:rFonts w:ascii="標楷體" w:eastAsia="標楷體" w:hAnsi="標楷體"/>
          <w:color w:val="000000"/>
        </w:rPr>
      </w:pPr>
      <w:r>
        <w:rPr>
          <w:rFonts w:ascii="標楷體" w:eastAsia="標楷體" w:hAnsi="標楷體"/>
          <w:color w:val="000000"/>
        </w:rPr>
        <w:t>(6)至101年12月31日止，已申請使用逾2年者，於下次申報時即須依規定評估是否需減量。</w:t>
      </w:r>
    </w:p>
    <w:p w14:paraId="02FFD1C6" w14:textId="77777777" w:rsidR="00BD776B" w:rsidRDefault="00DF0C24">
      <w:pPr>
        <w:ind w:left="811" w:hanging="245"/>
        <w:rPr>
          <w:rFonts w:ascii="標楷體" w:eastAsia="標楷體" w:hAnsi="標楷體"/>
          <w:color w:val="000000"/>
        </w:rPr>
      </w:pPr>
      <w:r>
        <w:rPr>
          <w:rFonts w:ascii="標楷體" w:eastAsia="標楷體" w:hAnsi="標楷體"/>
          <w:color w:val="000000"/>
        </w:rPr>
        <w:t>9.暫緩續用後若疾病再復發，重新申請使用必須符合以下條件：(102/1/1)</w:t>
      </w:r>
    </w:p>
    <w:p w14:paraId="2B1F4237" w14:textId="77777777" w:rsidR="00BD776B" w:rsidRDefault="00DF0C24">
      <w:pPr>
        <w:ind w:left="1049" w:hanging="341"/>
        <w:rPr>
          <w:rFonts w:ascii="標楷體" w:eastAsia="標楷體" w:hAnsi="標楷體"/>
          <w:color w:val="000000"/>
        </w:rPr>
      </w:pPr>
      <w:r>
        <w:rPr>
          <w:rFonts w:ascii="標楷體" w:eastAsia="標楷體" w:hAnsi="標楷體"/>
          <w:color w:val="000000"/>
        </w:rPr>
        <w:t>(1)生物製劑暫緩續用後，必須持續接受至少2種DMARDs藥物之治療（methotrexate為基本藥物，另一藥物必須包括肌肉注射之金劑、hydroxychloroquine、sulfasalazine、d-penicillamine、azathioprine、leflunomide、cyclosporine中之任何一種），其中methotrexate至少2個月以上必須達到當初申請生物製劑時所使用之劑量。</w:t>
      </w:r>
    </w:p>
    <w:p w14:paraId="693C150B" w14:textId="77777777" w:rsidR="00BD776B" w:rsidRDefault="00DF0C24">
      <w:pPr>
        <w:ind w:left="1049" w:hanging="341"/>
        <w:rPr>
          <w:rFonts w:ascii="標楷體" w:eastAsia="標楷體" w:hAnsi="標楷體"/>
          <w:color w:val="000000"/>
        </w:rPr>
      </w:pPr>
      <w:r>
        <w:rPr>
          <w:rFonts w:ascii="標楷體" w:eastAsia="標楷體" w:hAnsi="標楷體"/>
          <w:color w:val="000000"/>
        </w:rPr>
        <w:t>(2)DAS28總積分上升程度＞ 1.2。(102/4/1)</w:t>
      </w:r>
    </w:p>
    <w:p w14:paraId="41002867" w14:textId="77777777" w:rsidR="00BD776B" w:rsidRDefault="00DF0C24">
      <w:pPr>
        <w:ind w:left="811" w:hanging="245"/>
      </w:pPr>
      <w:r>
        <w:rPr>
          <w:rFonts w:ascii="標楷體" w:eastAsia="標楷體" w:hAnsi="標楷體"/>
          <w:color w:val="000000"/>
        </w:rPr>
        <w:t>◎附表十三：全民健康保險類風濕關節炎病患28處關節疾病活動度(Disease Activity Score, DAS 28</w:t>
      </w:r>
      <w:r>
        <w:rPr>
          <w:rFonts w:ascii="標楷體" w:eastAsia="標楷體" w:hAnsi="標楷體"/>
        </w:rPr>
        <w:t>)評估表</w:t>
      </w:r>
    </w:p>
    <w:p w14:paraId="3E1AD65A" w14:textId="77777777" w:rsidR="00BD776B" w:rsidRDefault="00DF0C24">
      <w:pPr>
        <w:ind w:left="811" w:hanging="245"/>
        <w:rPr>
          <w:rFonts w:ascii="標楷體" w:eastAsia="標楷體" w:hAnsi="標楷體"/>
        </w:rPr>
      </w:pPr>
      <w:r>
        <w:rPr>
          <w:rFonts w:ascii="標楷體" w:eastAsia="標楷體" w:hAnsi="標楷體"/>
        </w:rPr>
        <w:t>◎附表十四：全民健康保險疾病修飾抗風濕病藥物(DMARDs)之標準目標劑量暨治療劑量表</w:t>
      </w:r>
    </w:p>
    <w:p w14:paraId="269E19DB" w14:textId="77777777" w:rsidR="00BD776B" w:rsidRDefault="00DF0C24">
      <w:pPr>
        <w:ind w:left="811" w:hanging="245"/>
        <w:rPr>
          <w:rFonts w:ascii="標楷體" w:eastAsia="標楷體" w:hAnsi="標楷體"/>
        </w:rPr>
      </w:pPr>
      <w:r>
        <w:rPr>
          <w:rFonts w:ascii="標楷體" w:eastAsia="標楷體" w:hAnsi="標楷體"/>
        </w:rPr>
        <w:t>◎附表十五：全民健康保險類風濕關節炎使用生物製劑申請表(106/11/1)</w:t>
      </w:r>
    </w:p>
    <w:p w14:paraId="1A52B443" w14:textId="77777777" w:rsidR="00BD776B" w:rsidRDefault="00DF0C24">
      <w:pPr>
        <w:ind w:left="672" w:hanging="386"/>
      </w:pPr>
      <w:r>
        <w:rPr>
          <w:rFonts w:ascii="標楷體" w:eastAsia="標楷體" w:hAnsi="標楷體"/>
          <w:color w:val="000000"/>
        </w:rPr>
        <w:t>8.2.4.3. Adalimumab（如Humira）; etanercept (如Enbrel) ；golimumab（如Simponi）；secukinumab（如Cosentyx）；infliximab；certolizumab (如Cimzia)；ixekizumab(如Taltz) ；upadacitinib(如Rinvoq)；tofacitinib (如Xeljanz)</w:t>
      </w:r>
      <w:r>
        <w:rPr>
          <w:rFonts w:ascii="標楷體" w:eastAsia="標楷體" w:hAnsi="標楷體"/>
          <w:szCs w:val="24"/>
        </w:rPr>
        <w:t>；brodalumab (如Lumicef)</w:t>
      </w:r>
      <w:r>
        <w:rPr>
          <w:rFonts w:ascii="標楷體" w:eastAsia="標楷體" w:hAnsi="標楷體"/>
          <w:color w:val="000000"/>
        </w:rPr>
        <w:t xml:space="preserve"> (98/8/1、98/11/1、101/1/1、102/1/1、107/1/1、109/9/1、109/12/1、110/7/1、111/5/1、112/3/1、112/4/1、112/12/1)：用於僵直性脊椎炎治療部分</w:t>
      </w:r>
    </w:p>
    <w:p w14:paraId="71DA2FAD" w14:textId="77777777" w:rsidR="00BD776B" w:rsidRDefault="00DF0C24">
      <w:pPr>
        <w:ind w:left="912" w:hanging="386"/>
        <w:rPr>
          <w:rFonts w:ascii="標楷體" w:eastAsia="標楷體" w:hAnsi="標楷體"/>
          <w:color w:val="000000"/>
        </w:rPr>
      </w:pPr>
      <w:r>
        <w:rPr>
          <w:rFonts w:ascii="標楷體" w:eastAsia="標楷體" w:hAnsi="標楷體"/>
          <w:color w:val="000000"/>
        </w:rPr>
        <w:t>1.限內科專科醫師且具有風濕或免疫專科醫師證書者處方。</w:t>
      </w:r>
    </w:p>
    <w:p w14:paraId="5A63E8AC" w14:textId="77777777" w:rsidR="00BD776B" w:rsidRDefault="00DF0C24">
      <w:pPr>
        <w:ind w:left="912" w:hanging="386"/>
        <w:rPr>
          <w:rFonts w:ascii="標楷體" w:eastAsia="標楷體" w:hAnsi="標楷體"/>
          <w:color w:val="000000"/>
        </w:rPr>
      </w:pPr>
      <w:r>
        <w:rPr>
          <w:rFonts w:ascii="標楷體" w:eastAsia="標楷體" w:hAnsi="標楷體"/>
          <w:color w:val="000000"/>
        </w:rPr>
        <w:t>2.需經事前審查核准後使用。</w:t>
      </w:r>
    </w:p>
    <w:p w14:paraId="45E1ECD2" w14:textId="77777777" w:rsidR="00BD776B" w:rsidRDefault="00DF0C24">
      <w:pPr>
        <w:ind w:left="912" w:hanging="386"/>
        <w:rPr>
          <w:rFonts w:ascii="標楷體" w:eastAsia="標楷體" w:hAnsi="標楷體"/>
          <w:color w:val="000000"/>
        </w:rPr>
      </w:pPr>
      <w:r>
        <w:rPr>
          <w:rFonts w:ascii="標楷體" w:eastAsia="標楷體" w:hAnsi="標楷體"/>
          <w:color w:val="000000"/>
        </w:rPr>
        <w:t>3.需符合下列所有條件：</w:t>
      </w:r>
    </w:p>
    <w:p w14:paraId="07470212" w14:textId="77777777" w:rsidR="00BD776B" w:rsidRDefault="00DF0C24">
      <w:pPr>
        <w:ind w:left="1152" w:hanging="386"/>
        <w:rPr>
          <w:rFonts w:ascii="標楷體" w:eastAsia="標楷體" w:hAnsi="標楷體"/>
          <w:color w:val="000000"/>
        </w:rPr>
      </w:pPr>
      <w:r>
        <w:rPr>
          <w:rFonts w:ascii="標楷體" w:eastAsia="標楷體" w:hAnsi="標楷體"/>
          <w:color w:val="000000"/>
        </w:rPr>
        <w:t>(1)年齡18歲以上</w:t>
      </w:r>
    </w:p>
    <w:p w14:paraId="4A270E7B" w14:textId="77777777" w:rsidR="00BD776B" w:rsidRDefault="00DF0C24">
      <w:pPr>
        <w:ind w:left="1152" w:hanging="386"/>
        <w:rPr>
          <w:rFonts w:ascii="標楷體" w:eastAsia="標楷體" w:hAnsi="標楷體"/>
          <w:color w:val="000000"/>
        </w:rPr>
      </w:pPr>
      <w:r>
        <w:rPr>
          <w:rFonts w:ascii="標楷體" w:eastAsia="標楷體" w:hAnsi="標楷體"/>
          <w:color w:val="000000"/>
        </w:rPr>
        <w:t>(2)HLA B27陽性</w:t>
      </w:r>
    </w:p>
    <w:p w14:paraId="57636963" w14:textId="77777777" w:rsidR="00BD776B" w:rsidRDefault="00DF0C24">
      <w:pPr>
        <w:ind w:left="1152" w:hanging="386"/>
        <w:rPr>
          <w:rFonts w:ascii="標楷體" w:eastAsia="標楷體" w:hAnsi="標楷體"/>
          <w:color w:val="000000"/>
        </w:rPr>
      </w:pPr>
      <w:r>
        <w:rPr>
          <w:rFonts w:ascii="標楷體" w:eastAsia="標楷體" w:hAnsi="標楷體"/>
          <w:color w:val="000000"/>
        </w:rPr>
        <w:t>(3)X光(plain X Ray)檢查需有薦腸關節炎：雙側性二級以上，或單側性三級以上、附有報告影印或X光影像光碟。</w:t>
      </w:r>
    </w:p>
    <w:p w14:paraId="1BCED99A" w14:textId="77777777" w:rsidR="00BD776B" w:rsidRDefault="00DF0C24">
      <w:pPr>
        <w:ind w:left="1152" w:hanging="386"/>
        <w:rPr>
          <w:rFonts w:ascii="標楷體" w:eastAsia="標楷體" w:hAnsi="標楷體"/>
          <w:color w:val="000000"/>
        </w:rPr>
      </w:pPr>
      <w:r>
        <w:rPr>
          <w:rFonts w:ascii="標楷體" w:eastAsia="標楷體" w:hAnsi="標楷體"/>
          <w:color w:val="000000"/>
        </w:rPr>
        <w:t>(4)臨床症狀及身體檢查，下列三條件至少需符合二項</w:t>
      </w:r>
    </w:p>
    <w:p w14:paraId="697EAC3B" w14:textId="77777777" w:rsidR="00BD776B" w:rsidRDefault="00DF0C24">
      <w:pPr>
        <w:ind w:left="1632" w:hanging="386"/>
        <w:rPr>
          <w:rFonts w:ascii="標楷體" w:eastAsia="標楷體" w:hAnsi="標楷體"/>
          <w:color w:val="000000"/>
        </w:rPr>
      </w:pPr>
      <w:r>
        <w:rPr>
          <w:rFonts w:ascii="標楷體" w:eastAsia="標楷體" w:hAnsi="標楷體"/>
          <w:color w:val="000000"/>
        </w:rPr>
        <w:t>i.下背痛及晨間僵硬的症狀持續3個月以上，這些症狀無法因休息而緩解，但會隨運動改善。</w:t>
      </w:r>
    </w:p>
    <w:p w14:paraId="3BA2319E" w14:textId="77777777" w:rsidR="00BD776B" w:rsidRDefault="00DF0C24">
      <w:pPr>
        <w:ind w:left="1632" w:hanging="386"/>
        <w:rPr>
          <w:rFonts w:ascii="標楷體" w:eastAsia="標楷體" w:hAnsi="標楷體"/>
          <w:color w:val="000000"/>
        </w:rPr>
      </w:pPr>
      <w:r>
        <w:rPr>
          <w:rFonts w:ascii="標楷體" w:eastAsia="標楷體" w:hAnsi="標楷體"/>
          <w:color w:val="000000"/>
        </w:rPr>
        <w:t>ii.腰椎活動受到限制，有確切體檢發現者。</w:t>
      </w:r>
    </w:p>
    <w:p w14:paraId="58566099" w14:textId="77777777" w:rsidR="00BD776B" w:rsidRDefault="00DF0C24">
      <w:pPr>
        <w:ind w:left="1632" w:hanging="386"/>
        <w:rPr>
          <w:rFonts w:ascii="標楷體" w:eastAsia="標楷體" w:hAnsi="標楷體"/>
          <w:color w:val="000000"/>
        </w:rPr>
      </w:pPr>
      <w:r>
        <w:rPr>
          <w:rFonts w:ascii="標楷體" w:eastAsia="標楷體" w:hAnsi="標楷體"/>
          <w:color w:val="000000"/>
        </w:rPr>
        <w:t>iii.胸部擴展受到限制，有確切體檢發現者。</w:t>
      </w:r>
    </w:p>
    <w:p w14:paraId="04C4C47F" w14:textId="77777777" w:rsidR="00BD776B" w:rsidRDefault="00DF0C24">
      <w:pPr>
        <w:ind w:left="1152" w:hanging="386"/>
        <w:rPr>
          <w:rFonts w:ascii="標楷體" w:eastAsia="標楷體" w:hAnsi="標楷體"/>
          <w:color w:val="000000"/>
        </w:rPr>
      </w:pPr>
      <w:r>
        <w:rPr>
          <w:rFonts w:ascii="標楷體" w:eastAsia="標楷體" w:hAnsi="標楷體"/>
          <w:color w:val="000000"/>
        </w:rPr>
        <w:t>(5)所有的病患都必須曾經使用過至少2種 (NSAIDs)進行充分的治療，但療效不彰。充分治療的定義為：使用最高建議劑量或最高耐受劑量的NSAID抗發炎藥物，在同一家醫院連續治療三個月以上，且每種NSAID至少使用四週以上，除非出現毒性而停藥，需以附表二十一之二為根據記錄NSAID之毒性送審。</w:t>
      </w:r>
    </w:p>
    <w:p w14:paraId="0BB2F9BB" w14:textId="77777777" w:rsidR="00BD776B" w:rsidRDefault="00DF0C24">
      <w:pPr>
        <w:ind w:left="1152" w:hanging="386"/>
        <w:rPr>
          <w:rFonts w:ascii="標楷體" w:eastAsia="標楷體" w:hAnsi="標楷體"/>
          <w:color w:val="000000"/>
        </w:rPr>
      </w:pPr>
      <w:r>
        <w:rPr>
          <w:rFonts w:ascii="標楷體" w:eastAsia="標楷體" w:hAnsi="標楷體"/>
          <w:color w:val="000000"/>
        </w:rPr>
        <w:t>(6)周邊關節炎患者必須曾經同時使用NSAIDs和sulfasalazine進行充分的治療，sulfasalazine需以2 g/day之標準治療4個月或以上，除非有相關毒性發生而停藥，並有適當病歷記載者。</w:t>
      </w:r>
    </w:p>
    <w:p w14:paraId="6C233A3F" w14:textId="77777777" w:rsidR="00BD776B" w:rsidRDefault="00DF0C24">
      <w:pPr>
        <w:ind w:left="1152" w:hanging="386"/>
      </w:pPr>
      <w:r>
        <w:rPr>
          <w:rFonts w:ascii="標楷體" w:eastAsia="標楷體" w:hAnsi="標楷體"/>
          <w:color w:val="000000"/>
        </w:rPr>
        <w:t>(7)</w:t>
      </w:r>
      <w:r>
        <w:t xml:space="preserve"> </w:t>
      </w:r>
      <w:r>
        <w:rPr>
          <w:rFonts w:ascii="標楷體" w:eastAsia="標楷體" w:hAnsi="標楷體"/>
          <w:color w:val="000000"/>
        </w:rPr>
        <w:t>必須附有(1) 風濕或免疫專科且具有保險人核定復健處方權之醫師所開立之運動衛教證明書和(2)病患自身在家運動狀况聲明書。</w:t>
      </w:r>
    </w:p>
    <w:p w14:paraId="1E7E6F63" w14:textId="77777777" w:rsidR="00BD776B" w:rsidRDefault="00DF0C24">
      <w:pPr>
        <w:ind w:left="1152" w:hanging="386"/>
        <w:rPr>
          <w:rFonts w:ascii="標楷體" w:eastAsia="標楷體" w:hAnsi="標楷體"/>
          <w:color w:val="000000"/>
        </w:rPr>
      </w:pPr>
      <w:r>
        <w:rPr>
          <w:rFonts w:ascii="標楷體" w:eastAsia="標楷體" w:hAnsi="標楷體"/>
          <w:color w:val="000000"/>
        </w:rPr>
        <w:lastRenderedPageBreak/>
        <w:t>(8)活動性疾病持續四週以上。（需連續二次檢查BASDAI≧6、ESR &gt; 28 mm/1 hr 暨 CRP &gt; 1 mg/dL，且二次檢查之間隔需經過至少4週以上之充分治療）</w:t>
      </w:r>
    </w:p>
    <w:p w14:paraId="7383DD0A" w14:textId="77777777" w:rsidR="00BD776B" w:rsidRDefault="00DF0C24">
      <w:pPr>
        <w:ind w:left="1152" w:hanging="386"/>
        <w:rPr>
          <w:rFonts w:ascii="標楷體" w:eastAsia="標楷體" w:hAnsi="標楷體"/>
          <w:color w:val="000000"/>
        </w:rPr>
      </w:pPr>
      <w:r>
        <w:rPr>
          <w:rFonts w:ascii="標楷體" w:eastAsia="標楷體" w:hAnsi="標楷體"/>
          <w:color w:val="000000"/>
        </w:rPr>
        <w:t>(9)病患需填具藥物使用同意書以示瞭解本藥物之適應症、禁忌及副作用。</w:t>
      </w:r>
    </w:p>
    <w:p w14:paraId="24C3ABB1" w14:textId="77777777" w:rsidR="00BD776B" w:rsidRDefault="00DF0C24">
      <w:pPr>
        <w:ind w:left="912" w:hanging="386"/>
        <w:rPr>
          <w:rFonts w:ascii="標楷體" w:eastAsia="標楷體" w:hAnsi="標楷體"/>
          <w:color w:val="000000"/>
        </w:rPr>
      </w:pPr>
      <w:r>
        <w:rPr>
          <w:rFonts w:ascii="標楷體" w:eastAsia="標楷體" w:hAnsi="標楷體"/>
          <w:color w:val="000000"/>
        </w:rPr>
        <w:t>4.使用劑量：</w:t>
      </w:r>
    </w:p>
    <w:p w14:paraId="019E5DE0" w14:textId="77777777" w:rsidR="00BD776B" w:rsidRDefault="00DF0C24">
      <w:pPr>
        <w:ind w:left="1152" w:hanging="386"/>
        <w:rPr>
          <w:rFonts w:ascii="標楷體" w:eastAsia="標楷體" w:hAnsi="標楷體"/>
          <w:color w:val="000000"/>
        </w:rPr>
      </w:pPr>
      <w:r>
        <w:rPr>
          <w:rFonts w:ascii="標楷體" w:eastAsia="標楷體" w:hAnsi="標楷體"/>
          <w:color w:val="000000"/>
        </w:rPr>
        <w:t>(1)Secukinumab每次使用劑量為150mg，起始於第0，1，2，3和4週，之後每4週給予維持劑量150mg。治療12週後，未達療效(參考底下第5點療效定義)，劑量可增加為300mg。(107/1/1、112/3/1)</w:t>
      </w:r>
    </w:p>
    <w:p w14:paraId="3384132C" w14:textId="77777777" w:rsidR="00BD776B" w:rsidRDefault="00DF0C24">
      <w:pPr>
        <w:ind w:left="1152" w:hanging="386"/>
        <w:rPr>
          <w:rFonts w:ascii="標楷體" w:eastAsia="標楷體" w:hAnsi="標楷體"/>
          <w:color w:val="000000"/>
        </w:rPr>
      </w:pPr>
      <w:r>
        <w:rPr>
          <w:rFonts w:ascii="標楷體" w:eastAsia="標楷體" w:hAnsi="標楷體"/>
          <w:color w:val="000000"/>
        </w:rPr>
        <w:t>(2)infliximab起始於第0，2和6週時投予5mg/kg，之後每6週給藥。(109/9/1、109/12/1)</w:t>
      </w:r>
    </w:p>
    <w:p w14:paraId="6CE04CAF" w14:textId="77777777" w:rsidR="00BD776B" w:rsidRDefault="00DF0C24">
      <w:pPr>
        <w:ind w:left="1152" w:hanging="386"/>
        <w:rPr>
          <w:rFonts w:ascii="標楷體" w:eastAsia="標楷體" w:hAnsi="標楷體"/>
          <w:color w:val="000000"/>
        </w:rPr>
      </w:pPr>
      <w:r>
        <w:rPr>
          <w:rFonts w:ascii="標楷體" w:eastAsia="標楷體" w:hAnsi="標楷體"/>
          <w:color w:val="000000"/>
        </w:rPr>
        <w:t>(3)Ixekizumab每4週給予80 mg (111/5/1)</w:t>
      </w:r>
    </w:p>
    <w:p w14:paraId="73EAC8C6" w14:textId="77777777" w:rsidR="00BD776B" w:rsidRDefault="00DF0C24">
      <w:pPr>
        <w:ind w:left="1152" w:hanging="386"/>
        <w:rPr>
          <w:rFonts w:ascii="標楷體" w:eastAsia="標楷體" w:hAnsi="標楷體"/>
          <w:color w:val="000000"/>
        </w:rPr>
      </w:pPr>
      <w:r>
        <w:rPr>
          <w:rFonts w:ascii="標楷體" w:eastAsia="標楷體" w:hAnsi="標楷體"/>
          <w:color w:val="000000"/>
        </w:rPr>
        <w:t>(4)Certolizumab起始於第0週、第2週與第4週時投予各400mg，之後維持劑量為每2週200 mg或每4週 400mg。於懷孕哺乳期間若已接受其他生物製劑治療者，得改申請certolizumab。若症狀嚴重程度已符合生物製劑申請條件但尚未接受生物製劑治療者，不須受傳統治療無效才得申請之限制，得於懷孕哺乳期申請certolizumab。(110/7/1)</w:t>
      </w:r>
    </w:p>
    <w:p w14:paraId="11254B72" w14:textId="77777777" w:rsidR="00BD776B" w:rsidRDefault="00DF0C24">
      <w:pPr>
        <w:ind w:left="1152" w:hanging="386"/>
      </w:pPr>
      <w:r>
        <w:rPr>
          <w:rFonts w:ascii="標楷體" w:eastAsia="標楷體" w:hAnsi="標楷體"/>
          <w:color w:val="000000"/>
        </w:rPr>
        <w:t>(5)</w:t>
      </w:r>
      <w:r>
        <w:t xml:space="preserve"> </w:t>
      </w:r>
      <w:r>
        <w:rPr>
          <w:rFonts w:ascii="標楷體" w:eastAsia="標楷體" w:hAnsi="標楷體"/>
          <w:color w:val="000000"/>
        </w:rPr>
        <w:t>Tofacitinib口服使用5mg每日2次或11mg每日1次。(使用前應排除有血栓風險之病患，不建議與azathioprine或與cyclosporine合併使用。(112/4/1)</w:t>
      </w:r>
    </w:p>
    <w:p w14:paraId="5ECBFD19" w14:textId="77777777" w:rsidR="00BD776B" w:rsidRDefault="00DF0C24">
      <w:pPr>
        <w:ind w:left="1152" w:hanging="386"/>
      </w:pPr>
      <w:r>
        <w:rPr>
          <w:rFonts w:ascii="標楷體" w:eastAsia="標楷體" w:hAnsi="標楷體"/>
          <w:color w:val="000000"/>
        </w:rPr>
        <w:t>(6)</w:t>
      </w:r>
      <w:r>
        <w:t xml:space="preserve"> </w:t>
      </w:r>
      <w:r>
        <w:rPr>
          <w:rFonts w:ascii="標楷體" w:eastAsia="標楷體" w:hAnsi="標楷體"/>
          <w:color w:val="000000"/>
        </w:rPr>
        <w:t>Brodalumab 起始於第0週投予 210 mg，接著於第1週及第2週投予210mg，之後每2週投予210mg。(112/12/1)</w:t>
      </w:r>
    </w:p>
    <w:p w14:paraId="52B99A1F" w14:textId="77777777" w:rsidR="00BD776B" w:rsidRDefault="00DF0C24">
      <w:pPr>
        <w:ind w:left="912" w:hanging="386"/>
        <w:rPr>
          <w:rFonts w:ascii="標楷體" w:eastAsia="標楷體" w:hAnsi="標楷體"/>
          <w:color w:val="000000"/>
        </w:rPr>
      </w:pPr>
      <w:r>
        <w:rPr>
          <w:rFonts w:ascii="標楷體" w:eastAsia="標楷體" w:hAnsi="標楷體"/>
          <w:color w:val="000000"/>
        </w:rPr>
        <w:t>5.療效評估與繼續使用：</w:t>
      </w:r>
    </w:p>
    <w:p w14:paraId="355A82A3" w14:textId="77777777" w:rsidR="00BD776B" w:rsidRDefault="00DF0C24">
      <w:pPr>
        <w:ind w:left="1234" w:hanging="468"/>
        <w:rPr>
          <w:rFonts w:ascii="標楷體" w:eastAsia="標楷體" w:hAnsi="標楷體"/>
          <w:color w:val="000000"/>
        </w:rPr>
      </w:pPr>
      <w:r>
        <w:rPr>
          <w:rFonts w:ascii="標楷體" w:eastAsia="標楷體" w:hAnsi="標楷體"/>
          <w:color w:val="000000"/>
        </w:rPr>
        <w:t xml:space="preserve"> (1)治療12週後評估BASDAI：與使用前比較,出現50%以上的進步或減少2 分以上，方得繼續使用。</w:t>
      </w:r>
    </w:p>
    <w:p w14:paraId="6C5265DA" w14:textId="77777777" w:rsidR="00BD776B" w:rsidRDefault="00DF0C24">
      <w:pPr>
        <w:ind w:left="1262" w:hanging="386"/>
        <w:rPr>
          <w:rFonts w:ascii="標楷體" w:eastAsia="標楷體" w:hAnsi="標楷體"/>
          <w:color w:val="000000"/>
        </w:rPr>
      </w:pPr>
      <w:r>
        <w:rPr>
          <w:rFonts w:ascii="標楷體" w:eastAsia="標楷體" w:hAnsi="標楷體"/>
          <w:color w:val="000000"/>
        </w:rPr>
        <w:t>(2)繼續使用者，需每12週評估一次。</w:t>
      </w:r>
    </w:p>
    <w:p w14:paraId="301A56B4" w14:textId="77777777" w:rsidR="00BD776B" w:rsidRDefault="00DF0C24">
      <w:pPr>
        <w:ind w:left="912" w:hanging="386"/>
        <w:rPr>
          <w:rFonts w:ascii="標楷體" w:eastAsia="標楷體" w:hAnsi="標楷體"/>
          <w:color w:val="000000"/>
        </w:rPr>
      </w:pPr>
      <w:r>
        <w:rPr>
          <w:rFonts w:ascii="標楷體" w:eastAsia="標楷體" w:hAnsi="標楷體"/>
          <w:color w:val="000000"/>
        </w:rPr>
        <w:t>6.需排除使用的情形</w:t>
      </w:r>
    </w:p>
    <w:p w14:paraId="7D7D10A0" w14:textId="77777777" w:rsidR="00BD776B" w:rsidRDefault="00DF0C24">
      <w:pPr>
        <w:ind w:left="1152" w:hanging="386"/>
        <w:rPr>
          <w:rFonts w:ascii="標楷體" w:eastAsia="標楷體" w:hAnsi="標楷體"/>
          <w:color w:val="000000"/>
        </w:rPr>
      </w:pPr>
      <w:r>
        <w:rPr>
          <w:rFonts w:ascii="標楷體" w:eastAsia="標楷體" w:hAnsi="標楷體"/>
          <w:color w:val="000000"/>
        </w:rPr>
        <w:t>應參照藥物仿單，重要之排除使用狀況包括(以下未列者參照仿單所載)：</w:t>
      </w:r>
    </w:p>
    <w:p w14:paraId="41F3D724" w14:textId="77777777" w:rsidR="00BD776B" w:rsidRDefault="00DF0C24">
      <w:pPr>
        <w:ind w:left="1152" w:hanging="386"/>
        <w:rPr>
          <w:rFonts w:ascii="標楷體" w:eastAsia="標楷體" w:hAnsi="標楷體"/>
          <w:color w:val="000000"/>
        </w:rPr>
      </w:pPr>
      <w:r>
        <w:rPr>
          <w:rFonts w:ascii="標楷體" w:eastAsia="標楷體" w:hAnsi="標楷體"/>
          <w:color w:val="000000"/>
        </w:rPr>
        <w:t>(1)懷孕或正在授乳的婦女(certolizumab除外) (110/7/1)</w:t>
      </w:r>
    </w:p>
    <w:p w14:paraId="42915439" w14:textId="77777777" w:rsidR="00BD776B" w:rsidRDefault="00DF0C24">
      <w:pPr>
        <w:ind w:left="1152" w:hanging="386"/>
        <w:rPr>
          <w:rFonts w:ascii="標楷體" w:eastAsia="標楷體" w:hAnsi="標楷體"/>
          <w:color w:val="000000"/>
        </w:rPr>
      </w:pPr>
      <w:r>
        <w:rPr>
          <w:rFonts w:ascii="標楷體" w:eastAsia="標楷體" w:hAnsi="標楷體"/>
          <w:color w:val="000000"/>
        </w:rPr>
        <w:t>(2)活動性感染症之病患</w:t>
      </w:r>
    </w:p>
    <w:p w14:paraId="5C58E7DF" w14:textId="77777777" w:rsidR="00BD776B" w:rsidRDefault="00DF0C24">
      <w:pPr>
        <w:ind w:left="1152" w:hanging="386"/>
        <w:rPr>
          <w:rFonts w:ascii="標楷體" w:eastAsia="標楷體" w:hAnsi="標楷體"/>
          <w:color w:val="000000"/>
        </w:rPr>
      </w:pPr>
      <w:r>
        <w:rPr>
          <w:rFonts w:ascii="標楷體" w:eastAsia="標楷體" w:hAnsi="標楷體"/>
          <w:color w:val="000000"/>
        </w:rPr>
        <w:t>(3)具高度感染機會的病患，包括：</w:t>
      </w:r>
    </w:p>
    <w:p w14:paraId="59C435B2" w14:textId="77777777" w:rsidR="00BD776B" w:rsidRDefault="00DF0C24">
      <w:pPr>
        <w:ind w:left="1392" w:hanging="386"/>
        <w:rPr>
          <w:rFonts w:ascii="標楷體" w:eastAsia="標楷體" w:hAnsi="標楷體"/>
          <w:color w:val="000000"/>
        </w:rPr>
      </w:pPr>
      <w:r>
        <w:rPr>
          <w:rFonts w:ascii="標楷體" w:eastAsia="標楷體" w:hAnsi="標楷體"/>
          <w:color w:val="000000"/>
        </w:rPr>
        <w:t>i.慢性腿部潰瘍之病患</w:t>
      </w:r>
    </w:p>
    <w:p w14:paraId="574CC5C7" w14:textId="77777777" w:rsidR="00BD776B" w:rsidRDefault="00DF0C24">
      <w:pPr>
        <w:ind w:left="1392" w:hanging="386"/>
        <w:rPr>
          <w:rFonts w:ascii="標楷體" w:eastAsia="標楷體" w:hAnsi="標楷體"/>
          <w:color w:val="000000"/>
        </w:rPr>
      </w:pPr>
      <w:r>
        <w:rPr>
          <w:rFonts w:ascii="標楷體" w:eastAsia="標楷體" w:hAnsi="標楷體"/>
          <w:color w:val="000000"/>
        </w:rPr>
        <w:t>ii.未經完整治療之結核病的病患（包括潛伏結核感染治療未達四週者，申請時應檢附潛伏結核感染篩檢紀錄及治療紀錄供審查）。(102/1/1)</w:t>
      </w:r>
    </w:p>
    <w:p w14:paraId="374C5483" w14:textId="77777777" w:rsidR="00BD776B" w:rsidRDefault="00DF0C24">
      <w:pPr>
        <w:ind w:left="1392" w:hanging="386"/>
        <w:rPr>
          <w:rFonts w:ascii="標楷體" w:eastAsia="標楷體" w:hAnsi="標楷體"/>
          <w:color w:val="000000"/>
        </w:rPr>
      </w:pPr>
      <w:r>
        <w:rPr>
          <w:rFonts w:ascii="標楷體" w:eastAsia="標楷體" w:hAnsi="標楷體"/>
          <w:color w:val="000000"/>
        </w:rPr>
        <w:t>iii.過去12個月內曾有感染性關節炎者</w:t>
      </w:r>
    </w:p>
    <w:p w14:paraId="0652EAAD" w14:textId="77777777" w:rsidR="00BD776B" w:rsidRDefault="00DF0C24">
      <w:pPr>
        <w:ind w:left="1392" w:hanging="386"/>
        <w:rPr>
          <w:rFonts w:ascii="標楷體" w:eastAsia="標楷體" w:hAnsi="標楷體"/>
          <w:color w:val="000000"/>
        </w:rPr>
      </w:pPr>
      <w:r>
        <w:rPr>
          <w:rFonts w:ascii="標楷體" w:eastAsia="標楷體" w:hAnsi="標楷體"/>
          <w:color w:val="000000"/>
        </w:rPr>
        <w:t>iv.曾有人工關節感染，若該人工關節未去除前，不可使用</w:t>
      </w:r>
    </w:p>
    <w:p w14:paraId="3601B475" w14:textId="77777777" w:rsidR="00BD776B" w:rsidRDefault="00DF0C24">
      <w:pPr>
        <w:ind w:left="1392" w:hanging="386"/>
        <w:rPr>
          <w:rFonts w:ascii="標楷體" w:eastAsia="標楷體" w:hAnsi="標楷體"/>
          <w:color w:val="000000"/>
        </w:rPr>
      </w:pPr>
      <w:r>
        <w:rPr>
          <w:rFonts w:ascii="標楷體" w:eastAsia="標楷體" w:hAnsi="標楷體"/>
          <w:color w:val="000000"/>
        </w:rPr>
        <w:t>v.頑固性或復發性的胸腔感染症</w:t>
      </w:r>
    </w:p>
    <w:p w14:paraId="7A74BC86" w14:textId="77777777" w:rsidR="00BD776B" w:rsidRDefault="00DF0C24">
      <w:pPr>
        <w:ind w:left="1392" w:hanging="386"/>
        <w:rPr>
          <w:rFonts w:ascii="標楷體" w:eastAsia="標楷體" w:hAnsi="標楷體"/>
          <w:color w:val="000000"/>
        </w:rPr>
      </w:pPr>
      <w:r>
        <w:rPr>
          <w:rFonts w:ascii="標楷體" w:eastAsia="標楷體" w:hAnsi="標楷體"/>
          <w:color w:val="000000"/>
        </w:rPr>
        <w:t>vi.具有留置導尿管者</w:t>
      </w:r>
    </w:p>
    <w:p w14:paraId="6B716094" w14:textId="77777777" w:rsidR="00BD776B" w:rsidRDefault="00DF0C24">
      <w:pPr>
        <w:ind w:left="1152" w:hanging="386"/>
        <w:rPr>
          <w:rFonts w:ascii="標楷體" w:eastAsia="標楷體" w:hAnsi="標楷體"/>
          <w:color w:val="000000"/>
        </w:rPr>
      </w:pPr>
      <w:r>
        <w:rPr>
          <w:rFonts w:ascii="標楷體" w:eastAsia="標楷體" w:hAnsi="標楷體"/>
          <w:color w:val="000000"/>
        </w:rPr>
        <w:t>(4)惡性腫瘤或癌前狀態之病患（但不包括已經接受過充分治療達10年以上的惡性腫瘤）</w:t>
      </w:r>
    </w:p>
    <w:p w14:paraId="7793105D" w14:textId="77777777" w:rsidR="00BD776B" w:rsidRDefault="00DF0C24">
      <w:pPr>
        <w:ind w:left="1152" w:hanging="386"/>
        <w:rPr>
          <w:rFonts w:ascii="標楷體" w:eastAsia="標楷體" w:hAnsi="標楷體"/>
          <w:color w:val="000000"/>
        </w:rPr>
      </w:pPr>
      <w:r>
        <w:rPr>
          <w:rFonts w:ascii="標楷體" w:eastAsia="標楷體" w:hAnsi="標楷體"/>
          <w:color w:val="000000"/>
        </w:rPr>
        <w:t>(5)多發性硬化症(multiple sclerosis)</w:t>
      </w:r>
    </w:p>
    <w:p w14:paraId="5FE7B0B3" w14:textId="77777777" w:rsidR="00BD776B" w:rsidRDefault="00DF0C24">
      <w:pPr>
        <w:ind w:left="912" w:hanging="386"/>
        <w:rPr>
          <w:rFonts w:ascii="標楷體" w:eastAsia="標楷體" w:hAnsi="標楷體"/>
          <w:color w:val="000000"/>
        </w:rPr>
      </w:pPr>
      <w:r>
        <w:rPr>
          <w:rFonts w:ascii="標楷體" w:eastAsia="標楷體" w:hAnsi="標楷體"/>
          <w:color w:val="000000"/>
        </w:rPr>
        <w:t>7.需停止治療的情形</w:t>
      </w:r>
    </w:p>
    <w:p w14:paraId="5672B90A" w14:textId="77777777" w:rsidR="00BD776B" w:rsidRDefault="00DF0C24">
      <w:pPr>
        <w:ind w:left="1152" w:hanging="386"/>
        <w:rPr>
          <w:rFonts w:ascii="標楷體" w:eastAsia="標楷體" w:hAnsi="標楷體"/>
          <w:color w:val="000000"/>
        </w:rPr>
      </w:pPr>
      <w:r>
        <w:rPr>
          <w:rFonts w:ascii="標楷體" w:eastAsia="標楷體" w:hAnsi="標楷體"/>
          <w:color w:val="000000"/>
        </w:rPr>
        <w:t>如果發生下列現象應停止治療：</w:t>
      </w:r>
    </w:p>
    <w:p w14:paraId="0A3191B3" w14:textId="77777777" w:rsidR="00BD776B" w:rsidRDefault="00DF0C24">
      <w:pPr>
        <w:ind w:left="1152" w:hanging="386"/>
        <w:rPr>
          <w:rFonts w:ascii="標楷體" w:eastAsia="標楷體" w:hAnsi="標楷體"/>
          <w:color w:val="000000"/>
        </w:rPr>
      </w:pPr>
      <w:r>
        <w:rPr>
          <w:rFonts w:ascii="標楷體" w:eastAsia="標楷體" w:hAnsi="標楷體"/>
          <w:color w:val="000000"/>
        </w:rPr>
        <w:t>(1)療效不彰：療效評估未達繼續使用標準者</w:t>
      </w:r>
    </w:p>
    <w:p w14:paraId="2AAF2412" w14:textId="77777777" w:rsidR="00BD776B" w:rsidRDefault="00DF0C24">
      <w:pPr>
        <w:ind w:left="1152" w:hanging="386"/>
        <w:rPr>
          <w:rFonts w:ascii="標楷體" w:eastAsia="標楷體" w:hAnsi="標楷體"/>
          <w:color w:val="000000"/>
        </w:rPr>
      </w:pPr>
      <w:r>
        <w:rPr>
          <w:rFonts w:ascii="標楷體" w:eastAsia="標楷體" w:hAnsi="標楷體"/>
          <w:color w:val="000000"/>
        </w:rPr>
        <w:t>(2)不良事件，與藥物之使用有關或無關的事件，包括：</w:t>
      </w:r>
    </w:p>
    <w:p w14:paraId="1C07882E" w14:textId="77777777" w:rsidR="00BD776B" w:rsidRDefault="00DF0C24">
      <w:pPr>
        <w:ind w:left="1392" w:hanging="386"/>
        <w:rPr>
          <w:rFonts w:ascii="標楷體" w:eastAsia="標楷體" w:hAnsi="標楷體"/>
          <w:color w:val="000000"/>
        </w:rPr>
      </w:pPr>
      <w:r>
        <w:rPr>
          <w:rFonts w:ascii="標楷體" w:eastAsia="標楷體" w:hAnsi="標楷體"/>
          <w:color w:val="000000"/>
        </w:rPr>
        <w:lastRenderedPageBreak/>
        <w:t>i.惡性腫瘤</w:t>
      </w:r>
    </w:p>
    <w:p w14:paraId="680004AE" w14:textId="77777777" w:rsidR="00BD776B" w:rsidRDefault="00DF0C24">
      <w:pPr>
        <w:ind w:left="1392" w:hanging="386"/>
        <w:rPr>
          <w:rFonts w:ascii="標楷體" w:eastAsia="標楷體" w:hAnsi="標楷體"/>
          <w:color w:val="000000"/>
        </w:rPr>
      </w:pPr>
      <w:r>
        <w:rPr>
          <w:rFonts w:ascii="標楷體" w:eastAsia="標楷體" w:hAnsi="標楷體"/>
          <w:color w:val="000000"/>
        </w:rPr>
        <w:t>ii.該藥物引起的嚴重毒性</w:t>
      </w:r>
    </w:p>
    <w:p w14:paraId="63C07B59" w14:textId="77777777" w:rsidR="00BD776B" w:rsidRDefault="00DF0C24">
      <w:pPr>
        <w:ind w:left="1392" w:hanging="386"/>
        <w:rPr>
          <w:rFonts w:ascii="標楷體" w:eastAsia="標楷體" w:hAnsi="標楷體"/>
          <w:color w:val="000000"/>
        </w:rPr>
      </w:pPr>
      <w:r>
        <w:rPr>
          <w:rFonts w:ascii="標楷體" w:eastAsia="標楷體" w:hAnsi="標楷體"/>
          <w:color w:val="000000"/>
        </w:rPr>
        <w:t>iii.懷孕(certolizumab除外，其他暫時停藥即可) (110/7/1)</w:t>
      </w:r>
    </w:p>
    <w:p w14:paraId="6A48F400" w14:textId="77777777" w:rsidR="00BD776B" w:rsidRDefault="00DF0C24">
      <w:pPr>
        <w:ind w:left="1392" w:hanging="386"/>
        <w:rPr>
          <w:rFonts w:ascii="標楷體" w:eastAsia="標楷體" w:hAnsi="標楷體"/>
          <w:color w:val="000000"/>
        </w:rPr>
      </w:pPr>
      <w:r>
        <w:rPr>
          <w:rFonts w:ascii="標楷體" w:eastAsia="標楷體" w:hAnsi="標楷體"/>
          <w:color w:val="000000"/>
        </w:rPr>
        <w:t>iv.嚴重的間發性感染症(依嚴重性判斷可選擇暫時停藥即可)</w:t>
      </w:r>
    </w:p>
    <w:p w14:paraId="0BC588B5" w14:textId="77777777" w:rsidR="00BD776B" w:rsidRDefault="00DF0C24">
      <w:pPr>
        <w:ind w:left="1152" w:hanging="386"/>
        <w:rPr>
          <w:rFonts w:ascii="標楷體" w:eastAsia="標楷體" w:hAnsi="標楷體"/>
          <w:color w:val="000000"/>
        </w:rPr>
      </w:pPr>
      <w:r>
        <w:rPr>
          <w:rFonts w:ascii="標楷體" w:eastAsia="標楷體" w:hAnsi="標楷體"/>
          <w:color w:val="000000"/>
        </w:rPr>
        <w:t xml:space="preserve">◎附表二十一之一：全民健康保險僵直性脊椎炎使用生物製劑申請表(107/1/1) </w:t>
      </w:r>
    </w:p>
    <w:p w14:paraId="341A4007" w14:textId="77777777" w:rsidR="00BD776B" w:rsidRDefault="00DF0C24">
      <w:pPr>
        <w:ind w:left="1152" w:hanging="386"/>
        <w:rPr>
          <w:rFonts w:ascii="標楷體" w:eastAsia="標楷體" w:hAnsi="標楷體"/>
          <w:color w:val="000000"/>
        </w:rPr>
      </w:pPr>
      <w:r>
        <w:rPr>
          <w:rFonts w:ascii="標楷體" w:eastAsia="標楷體" w:hAnsi="標楷體"/>
          <w:color w:val="000000"/>
        </w:rPr>
        <w:t>◎附表二十一之二：NSAID藥物副作用</w:t>
      </w:r>
    </w:p>
    <w:p w14:paraId="602A7FC8" w14:textId="01EDA5DC" w:rsidR="00D85917" w:rsidRPr="00D85917" w:rsidRDefault="00D85917" w:rsidP="00D85917">
      <w:pPr>
        <w:ind w:left="672" w:hanging="386"/>
        <w:rPr>
          <w:rFonts w:ascii="標楷體" w:eastAsia="標楷體" w:hAnsi="標楷體"/>
          <w:color w:val="000000"/>
        </w:rPr>
      </w:pPr>
      <w:r w:rsidRPr="00D85917">
        <w:rPr>
          <w:rFonts w:ascii="標楷體" w:eastAsia="標楷體" w:hAnsi="標楷體" w:hint="eastAsia"/>
          <w:color w:val="000000"/>
        </w:rPr>
        <w:t>8.2.4.4.Adalimumab（如Humira）； etanercept (如Enbrel)；golimumab（如Simponi）；ustekinumab（如Stelara）；secukinumab（如Cosentyx）；ixekizumab (如Taltz)；tofacitinib（如Xeljanz）；certolizumab(如Cimzia)；brodalumab(如Lumicef)；guselkumab(如Tremfya)；upadacitinib(如Rinvoq) ；risankizumab (如Skyrizi)（98/8/1、98/11/1、99/1/1、102/1/1、102/2/1、105/10/1、107/1/1、109/3/1、109/6/1、109/8/1、109/9/1、110/7/1、111/3/1、111/5/1、111/9/1、112/3/1、112/4/1、112/12/1、114/2/1)：用於活動性乾癬性關節炎－乾癬性周邊關節炎治療部分</w:t>
      </w:r>
    </w:p>
    <w:p w14:paraId="597512B7"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1.限內科專科醫師且具有風濕或免疫專科醫師證書者，或皮膚科專科醫師處方。（99/1/ 1）</w:t>
      </w:r>
    </w:p>
    <w:p w14:paraId="7B5BE85E"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2.需經事前審查核准後使用。</w:t>
      </w:r>
    </w:p>
    <w:p w14:paraId="0FEE61F3"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3.需符合下列所有條件：</w:t>
      </w:r>
    </w:p>
    <w:p w14:paraId="47306E3C"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(1)經內科專科醫師且具有風濕或免疫專科醫師證書者診斷為乾癬性關節炎之患者。</w:t>
      </w:r>
    </w:p>
    <w:p w14:paraId="2801CE2A"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(2)曾經皮膚科醫師診斷為乾癬患者，或經皮膚切片診斷為乾癬患者。</w:t>
      </w:r>
    </w:p>
    <w:p w14:paraId="684ED6FB"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(3)三個或是三個以上的疼痛關節及三個或三個以上的腫脹關節，且至少間隔4週(含) 以上之連續兩次評估均符合上述條件。(需附關節腫脹相關X-光片或照片輔証)。(109/8/1)</w:t>
      </w:r>
    </w:p>
    <w:p w14:paraId="339A3E17"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(4)應先使用非類固醇類消炎止痛劑(NSAID)及疾病修飾治療藥物(DMARDs)，且必須曾使用過至少2種疾病修飾治療藥物(DMARDs)進行充分的治療，但療效不彰。(附表二十二之二)</w:t>
      </w:r>
    </w:p>
    <w:p w14:paraId="3F4CC934"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i.疾病修飾治療藥物〔DMARDs包括下列四種: sulfasalazine、methotrexate (MTX)、cyclosporine、leflunomide〕，治療至少六個月，且至少有兩個月都達標準目標劑量(除非有明顯副作用或毒性反應)，仍然未達療效者。</w:t>
      </w:r>
    </w:p>
    <w:p w14:paraId="7FCFA95A"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ii.疾病修飾治療藥物中sulfasalazine、methotrexate (MTX)、cyclosporine為第一線藥物，leflunomide為第二線藥物，第一線疾病修飾類藥物治療無效，應先經leflunomide治療3個月無效後，方可使用腫瘤壞死因子抑制劑或secukinumab 150mg、ixekizumab或tofacitinib或upadacitinib或brodalumab作為第三線治療。(107/1/1、109/6/1、112/3/1、112/4/1、112/12/1)</w:t>
      </w:r>
    </w:p>
    <w:p w14:paraId="5CA0DD40"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iii.標準治療失敗之定義：經過充分使用以上藥物治療又給予規定劑量，且至少先後使用或併用兩種疾病修飾類藥物(DMARDs)仍無法使病情緩解，即符合下列情況之一：</w:t>
      </w:r>
    </w:p>
    <w:p w14:paraId="2254CE52" w14:textId="77777777" w:rsidR="00D85917" w:rsidRPr="00D85917" w:rsidRDefault="00D85917" w:rsidP="00D85917">
      <w:pPr>
        <w:ind w:left="1702" w:hanging="284"/>
        <w:rPr>
          <w:rFonts w:ascii="標楷體" w:eastAsia="標楷體" w:hAnsi="標楷體"/>
          <w:color w:val="000000"/>
        </w:rPr>
      </w:pPr>
      <w:r w:rsidRPr="00D85917">
        <w:rPr>
          <w:rFonts w:ascii="標楷體" w:eastAsia="標楷體" w:hAnsi="標楷體" w:hint="eastAsia"/>
          <w:color w:val="000000"/>
        </w:rPr>
        <w:t>- 治療療程至少有六個月，且至少有兩個月都達標準目標劑量(除非有明顯副作用或毒性反應)仍然未達療效者。</w:t>
      </w:r>
    </w:p>
    <w:p w14:paraId="2A7BF31C" w14:textId="77777777" w:rsidR="00D85917" w:rsidRPr="00D85917" w:rsidRDefault="00D85917" w:rsidP="00D85917">
      <w:pPr>
        <w:ind w:left="1702" w:hanging="284"/>
        <w:rPr>
          <w:rFonts w:ascii="標楷體" w:eastAsia="標楷體" w:hAnsi="標楷體"/>
          <w:color w:val="000000"/>
        </w:rPr>
      </w:pPr>
      <w:r w:rsidRPr="00D85917">
        <w:rPr>
          <w:rFonts w:ascii="標楷體" w:eastAsia="標楷體" w:hAnsi="標楷體" w:hint="eastAsia"/>
          <w:color w:val="000000"/>
        </w:rPr>
        <w:t>- 治療不到六個月，但是病患無法忍受藥物副作用或是藥物毒性而停藥</w:t>
      </w:r>
      <w:r w:rsidRPr="00D85917">
        <w:rPr>
          <w:rFonts w:ascii="標楷體" w:eastAsia="標楷體" w:hAnsi="標楷體" w:hint="eastAsia"/>
          <w:color w:val="000000"/>
        </w:rPr>
        <w:lastRenderedPageBreak/>
        <w:t>者，但需說明藥物之何種毒性或副作用。</w:t>
      </w:r>
    </w:p>
    <w:p w14:paraId="702A5269" w14:textId="77777777" w:rsidR="00D85917" w:rsidRPr="00D85917" w:rsidRDefault="00D85917" w:rsidP="00D85917">
      <w:pPr>
        <w:ind w:left="1702" w:hanging="284"/>
        <w:rPr>
          <w:rFonts w:ascii="標楷體" w:eastAsia="標楷體" w:hAnsi="標楷體"/>
          <w:color w:val="000000"/>
        </w:rPr>
      </w:pPr>
      <w:r w:rsidRPr="00D85917">
        <w:rPr>
          <w:rFonts w:ascii="標楷體" w:eastAsia="標楷體" w:hAnsi="標楷體" w:hint="eastAsia"/>
          <w:color w:val="000000"/>
        </w:rPr>
        <w:t>- 治療大於兩個月，且因無法忍受藥物副作用或是藥物毒性而停止療程，其中至少有兩個月需達有效治療劑量，且需說明藥物之何種毒性或副作用。</w:t>
      </w:r>
    </w:p>
    <w:p w14:paraId="22A86CCC" w14:textId="3DF4AFA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(5)Ustekinumab、guselkumab及risankizumab限用於曾經接受抗腫瘤壞死因子(如etanercept、adalimumab或certolizumab等)、secukinumab、ixekizumab、tofacitinib、upadacitinib或brodalumab治療，但未達療效，或無法耐受的活動性乾癬性關節炎。申請初次治療者，應檢附曾經使用抗腫瘤壞死因子、secukinumab、tofacitinib、ixekizumab、upadacitinib或brodalumab之用藥結果，包括種類、劑量、治療前後PsARC評估及副作用報告等資料，並宜記錄患者HBsAg及Anti-HCV資料(若HBsAg檢驗為陽性，宜加作HBV DNA)。(105/10/1、107/1/1、109/3/1、109/6/1、111/3/1、111/5/1、111/9/1、112/4/1、112/12/1、114/2/1)</w:t>
      </w:r>
    </w:p>
    <w:p w14:paraId="3262A241"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4.使用劑量：</w:t>
      </w:r>
    </w:p>
    <w:p w14:paraId="0CF770C8"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(1)Secukinumab每次使用劑量為150mg，起始於第0，1，2，3和4週，之後每4週給予維持劑量150mg。治療12週後，若secukinumb 150mg 治療未達療效(參考底下第5點療效定義)的病人，劑量可增加為300mg。但對於曾以腫瘤壞死因子阻斷劑(anti-TNFα)未達療效，建議每次劑量為300mg，起始於第0，1，2，3和4週皮下注射，之後每4週給予300mg劑量。(107/1/1、112/3/1)</w:t>
      </w:r>
    </w:p>
    <w:p w14:paraId="0BAE61FB" w14:textId="616E9AF0"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(2)Ixekizumab 之起始劑量為第0週160mg，之後每4週給予80mg。(109/3/1、111/5/1)</w:t>
      </w:r>
    </w:p>
    <w:p w14:paraId="3BF18BF0"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(3)Certolizumab起始於第0週、第2週與第4週時投予各400 mg，之後維持劑量為每2週200 mg或每4週400mg。於懷孕哺乳期間若已接受其他生物製劑治療者，得改申請certolizumab。若症狀嚴重程度已符合生物製劑申請條件但尚未接受生物製劑治療者，可不受傳統治療無效才得申請之限制，得於懷孕哺乳期申請certolizumab。(110/7/1)</w:t>
      </w:r>
    </w:p>
    <w:p w14:paraId="3C92410B"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(4)Brodalumab 起始於第0週投予 210 mg，接著於第1週及第2週投予210mg，之後每2週投予210mg 。(111/3/1)</w:t>
      </w:r>
    </w:p>
    <w:p w14:paraId="51D60814"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(5)Guselkumab之起始劑量為第0週及第4週投予100mg，之後每8週給予維持劑量100mg。(111/9/1)</w:t>
      </w:r>
    </w:p>
    <w:p w14:paraId="1B00D33D"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(6)Risankizumab之起始劑量為第0週及第4週投予150mg/mL，之後每12週給予維持劑量150mg/mL。(114/2/1)</w:t>
      </w:r>
    </w:p>
    <w:p w14:paraId="09B49B30"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5.療效評估與繼續使用：(105/10/1、111/9/1、114/2/1)</w:t>
      </w:r>
    </w:p>
    <w:p w14:paraId="70B2339C"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(1)療效定義：治療12週(ustekinumab、guselkumab及risankizumab初次治療則為24週)後，評估乾癬關節炎反應標準(PsARC, Psoriatic Arthritis Response Criteria)，其標準為下列四項中至少有二項較原基礎值改善，且其中一項需為疼痛關節或腫脹關節的關節總數，且下述各種指標不得有任一項惡化，方得繼續使用。(附表二十二之三) (111/9/1、114/2/1)</w:t>
      </w:r>
    </w:p>
    <w:p w14:paraId="7F72EA32"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i.疼痛關節的關節總數：改善的定義為關節總數減少30%或以上，惡化定義為總數增加30%或以上。</w:t>
      </w:r>
    </w:p>
    <w:p w14:paraId="768F6A2F"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ii.腫脹關節的關節總數：改善的定義為關節總數減少30%或以上，惡化定義為總數增加30%或以上。</w:t>
      </w:r>
    </w:p>
    <w:p w14:paraId="76E98E2C"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iii.醫師的整體評估(0-5分)：改善定義為減少1分，惡化定義為增加1分。</w:t>
      </w:r>
    </w:p>
    <w:p w14:paraId="79002CFC"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lastRenderedPageBreak/>
        <w:t>iv.病患的整體評估(0-5分)：改善定義為減少1分，惡化定義為增加1分。</w:t>
      </w:r>
    </w:p>
    <w:p w14:paraId="16CABB42"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(2)Ustekinumab：</w:t>
      </w:r>
    </w:p>
    <w:p w14:paraId="7A7E8241"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 xml:space="preserve">i.初次申請以3劑(初次、4週後及16週時投予每劑45mg；體重大於100公斤病患，得初次、4週後及16週時投予每劑90mg)為限，且於24週時，需先行評估，至少有PsARC療效方可申請續用，續用以45mg q12w(體重大於100公斤，續用以90mg q12w)為限。(105/10/1、109/9/1) </w:t>
      </w:r>
    </w:p>
    <w:p w14:paraId="6257E90E"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ii.若使用劑量為90mg（含）以上，限使用90mg(1mL)規格量。(109/9/1)</w:t>
      </w:r>
    </w:p>
    <w:p w14:paraId="61949839"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(3)Guselkumab：初次申請以4劑(初次、第4週、第12週及第20週時投予每劑100mg)為限，且於第24週時，需先行評估，至少有PsARC療效方可申請續用，續用以每隔8週給予維持劑量100mg為限。(111/9/1)</w:t>
      </w:r>
    </w:p>
    <w:p w14:paraId="1CA0B041" w14:textId="71FA66D5"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(4)Risankizumab：初次申請以3劑 (初次、第4週及第16週時投予每劑150mg/mL)為限，且於第24週時，需先行評估，至少有PsARC療效方可申請續用，續用以每隔12週給予維持劑量150mg/mL為限。(114/2/1)</w:t>
      </w:r>
    </w:p>
    <w:p w14:paraId="5B967684"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(5)繼續使用者，需每12週評估一次，再次提出申請續用；惟guselkumab每16週評估一次、risankizumab每24週評估一次，再次提出申請續用。(111/9/1、114/2/1)。</w:t>
      </w:r>
    </w:p>
    <w:p w14:paraId="364D9C0B"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6.需排除使用的情形：</w:t>
      </w:r>
    </w:p>
    <w:p w14:paraId="5A680FA9"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應參照藥物仿單，重要之排除使用狀況包括﹝以下未列者參照仿單所載﹞：</w:t>
      </w:r>
    </w:p>
    <w:p w14:paraId="652DB30A"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(1)懷孕或正在授乳婦女(certolizumab除外) (110/7/1)</w:t>
      </w:r>
    </w:p>
    <w:p w14:paraId="253A6F03"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(2)活動性感染症之病患</w:t>
      </w:r>
    </w:p>
    <w:p w14:paraId="4DC17A8A"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(3)具高度感染機會之病患</w:t>
      </w:r>
    </w:p>
    <w:p w14:paraId="1286DFAB"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i.慢性腿部潰瘍之病患</w:t>
      </w:r>
    </w:p>
    <w:p w14:paraId="5B3F6D4C"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ii.未經完整治療之結核病的病患（包括潛伏結核感染治療未達四週者，申請時應檢附潛伏結核感染篩檢紀錄及治療紀錄供審查）。(102/1/1)</w:t>
      </w:r>
    </w:p>
    <w:p w14:paraId="2B50F612"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iii.過去12個月內曾罹患感染性關節炎者</w:t>
      </w:r>
    </w:p>
    <w:p w14:paraId="5BFCD4DF"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iv.曾有人工關節感染，若該人工關節未去除前，不可使用v.頑固性或復發性的胸腔感染疾病</w:t>
      </w:r>
    </w:p>
    <w:p w14:paraId="0D7F6208"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vi.具有留置導尿管之情形</w:t>
      </w:r>
    </w:p>
    <w:p w14:paraId="6AE07969"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(4)惡性腫瘤或癌前狀態之病患﹝但不包括已經接受過充分治療達10年以上的惡性腫瘤﹞</w:t>
      </w:r>
    </w:p>
    <w:p w14:paraId="409EAD4D"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(5)多發性硬化症 (multiple sclerosis)</w:t>
      </w:r>
    </w:p>
    <w:p w14:paraId="226B3C11" w14:textId="77777777" w:rsidR="00D85917" w:rsidRPr="00D85917" w:rsidRDefault="00D85917" w:rsidP="00D85917">
      <w:pPr>
        <w:ind w:left="912" w:hanging="386"/>
        <w:rPr>
          <w:rFonts w:ascii="標楷體" w:eastAsia="標楷體" w:hAnsi="標楷體"/>
          <w:color w:val="000000"/>
        </w:rPr>
      </w:pPr>
      <w:r w:rsidRPr="00D85917">
        <w:rPr>
          <w:rFonts w:ascii="標楷體" w:eastAsia="標楷體" w:hAnsi="標楷體" w:hint="eastAsia"/>
          <w:color w:val="000000"/>
        </w:rPr>
        <w:t>7.需停止治療的情形</w:t>
      </w:r>
    </w:p>
    <w:p w14:paraId="06EC0A88"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如果發生下列現象應停止治療：</w:t>
      </w:r>
    </w:p>
    <w:p w14:paraId="285CB948"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(1)療效不彰：療效評估未達繼續使用標準者</w:t>
      </w:r>
    </w:p>
    <w:p w14:paraId="083CC9A4" w14:textId="77777777" w:rsidR="00D85917" w:rsidRPr="00D85917" w:rsidRDefault="00D85917" w:rsidP="00D85917">
      <w:pPr>
        <w:ind w:left="1152" w:hanging="386"/>
        <w:rPr>
          <w:rFonts w:ascii="標楷體" w:eastAsia="標楷體" w:hAnsi="標楷體"/>
          <w:color w:val="000000"/>
        </w:rPr>
      </w:pPr>
      <w:r w:rsidRPr="00D85917">
        <w:rPr>
          <w:rFonts w:ascii="標楷體" w:eastAsia="標楷體" w:hAnsi="標楷體" w:hint="eastAsia"/>
          <w:color w:val="000000"/>
        </w:rPr>
        <w:t>(2)不良事件：與藥物之使用有關或無關的事件，包括：</w:t>
      </w:r>
    </w:p>
    <w:p w14:paraId="1F103AD3"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i.惡性腫瘤</w:t>
      </w:r>
    </w:p>
    <w:p w14:paraId="4CAD6481"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ii.該藥物引起的嚴重毒性</w:t>
      </w:r>
    </w:p>
    <w:p w14:paraId="32F57704"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iii.懷孕(certolizumab除外，其他暫時停藥即可)(110/7/1)</w:t>
      </w:r>
    </w:p>
    <w:p w14:paraId="0DE3993E"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iv.嚴重感染症﹝依嚴重性判斷可選擇暫時停藥﹞</w:t>
      </w:r>
    </w:p>
    <w:p w14:paraId="6F7A8942"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◎附表二十二之一：全民健康保險乾癬性周邊關節炎使用生物製劑申請表(109/3/1)</w:t>
      </w:r>
    </w:p>
    <w:p w14:paraId="4AF0897C"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◎附表二十二之二：乾癬性周邊關節炎使用DMARDs標準目標劑量及有效治療劑量的定義</w:t>
      </w:r>
    </w:p>
    <w:p w14:paraId="08D73217" w14:textId="77777777" w:rsidR="00D85917" w:rsidRPr="00D85917"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t>◎附表二十二之三：乾癬性關節炎評估表</w:t>
      </w:r>
    </w:p>
    <w:p w14:paraId="64F017B1" w14:textId="1BF03718" w:rsidR="00BD776B" w:rsidRPr="00D93C01" w:rsidRDefault="00D85917" w:rsidP="00D85917">
      <w:pPr>
        <w:ind w:left="1392" w:hanging="386"/>
        <w:rPr>
          <w:rFonts w:ascii="標楷體" w:eastAsia="標楷體" w:hAnsi="標楷體"/>
          <w:color w:val="000000"/>
        </w:rPr>
      </w:pPr>
      <w:r w:rsidRPr="00D85917">
        <w:rPr>
          <w:rFonts w:ascii="標楷體" w:eastAsia="標楷體" w:hAnsi="標楷體" w:hint="eastAsia"/>
          <w:color w:val="000000"/>
        </w:rPr>
        <w:lastRenderedPageBreak/>
        <w:t>◎附表二十二之六：全民健康保險乾癬性周邊關節炎使用 ustekinumab/guselkumab/risankizumab申請表(109/3/1、111/3/1、111/5/1、111/9/1、112/12/1、114/2/1)</w:t>
      </w:r>
    </w:p>
    <w:p w14:paraId="19AB3B36" w14:textId="77777777" w:rsidR="004D1476" w:rsidRPr="004D1476" w:rsidRDefault="004D1476" w:rsidP="004D1476">
      <w:pPr>
        <w:ind w:left="672" w:hanging="386"/>
        <w:rPr>
          <w:rFonts w:ascii="標楷體" w:eastAsia="標楷體" w:hAnsi="標楷體"/>
          <w:color w:val="000000"/>
        </w:rPr>
      </w:pPr>
      <w:r w:rsidRPr="004D1476">
        <w:rPr>
          <w:rFonts w:ascii="標楷體" w:eastAsia="標楷體" w:hAnsi="標楷體" w:hint="eastAsia"/>
          <w:color w:val="000000"/>
        </w:rPr>
        <w:t>8.2.4.5.Adalimumab（如Humira）;etanercept(如Enbrel)；golimumab（如Simponi）；secukinumab(如Cosentyx)；ixekizumab(如Taltz)；tofacitinib(如Xeljanz)；certolizumab(如Cimzia)；guselkumab(如Tremfya)；upadacitinib(如Rinvoq)；brodalumab (如Lumicef) ；risankizumab (如Skyrizi) (98/8/1、98/11/1、99/1/1、102/1/1、102/2/1、107/1/1、109/3/1、109/6/1、110/7/1、111/9/1、112/3/1、112/4/1、112/12/1、114/2/1)：用於活動性乾癬性關節炎－乾癬性脊椎病變治療部分</w:t>
      </w:r>
    </w:p>
    <w:p w14:paraId="590B3A2B"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1.限內科專科醫師且具有風濕或免疫專科醫師證書者，或皮膚科專科醫師處方。（99/1/ 1）</w:t>
      </w:r>
    </w:p>
    <w:p w14:paraId="1EC35C43"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 xml:space="preserve">2.需經事前審查核准後使用。 </w:t>
      </w:r>
    </w:p>
    <w:p w14:paraId="47B74B9C" w14:textId="21FB0C36"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3.需符合下列所有條件方可使用腫瘤壞死因子抑制劑或secukinumab 150mg或ixekizumab或tofacitinib或guselkumab或upadacitinib或brodalumab或risankizumab作為第二線治療：(107/1/1、109/3/1、109/6/1、111/9/1、112/4/1、112/12/1、114/2/1)</w:t>
      </w:r>
    </w:p>
    <w:p w14:paraId="5DDC6E45"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(1)經內科專科醫師且具有風濕或免疫專科醫師證書者診斷為乾癬性關節炎之患者。</w:t>
      </w:r>
    </w:p>
    <w:p w14:paraId="6C7F3BA8"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(2)曾經皮膚科醫師診斷為乾癬患者，或經皮膚切片診斷為乾癬患者。</w:t>
      </w:r>
    </w:p>
    <w:p w14:paraId="6820A021"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(3)下列三項條件至少需符合二項：</w:t>
      </w:r>
    </w:p>
    <w:p w14:paraId="46ABF4D2"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i.下背痛及晨間僵硬的症狀持續3個月以上，這些症狀無法因休息而緩解，但會隨運動改善。</w:t>
      </w:r>
    </w:p>
    <w:p w14:paraId="4DDBE62B"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ii.腰椎前屈活動受限。</w:t>
      </w:r>
    </w:p>
    <w:p w14:paraId="0819DD36"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iii.胸廓擴張受限。</w:t>
      </w:r>
    </w:p>
    <w:p w14:paraId="63480F12"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(4)X光(plain X ray)檢查需有薦腸關節炎：單側性二級以上、附有報告影印及X光影像光碟。</w:t>
      </w:r>
    </w:p>
    <w:p w14:paraId="5E77170E"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(5)病患必須曾使用過至少2種非類固醇類消炎止痛劑(NSAIDs)進行充分的治療，但療效不彰。充分治療的定義為：使用最高建議劑量或最高耐受劑量的NSAID抗發炎藥物，在同一家醫院連續治療三個月以上，且每種NSAID至少使用四週以上，除非出現毒性而停藥，需以附表二十二之五為根據，記錄NSAID之毒性送審。</w:t>
      </w:r>
    </w:p>
    <w:p w14:paraId="19BC550C"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(6)活動性疾病持續四週以上。（需連續二次檢查BASDAI≧6、ESR &gt; 28 mm/1 hr及CRP &gt; 1 mg/dL，且二次檢查之間隔需經過至少4週以上充分治療）</w:t>
      </w:r>
    </w:p>
    <w:p w14:paraId="6917627B"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4.Secukinumab每次使用劑量為150mg，起始於第0，1，2，3和4週，之後每4週給予維持劑量150mg。治療12週後，若secukinumb 150mg 治療未達療效的病人(參考底下第8點療效定義)，劑量可增加為300mg。但對於曾以腫瘤壞死因子阻斷劑(anti-TNFα)未達療效，建議每次劑量為300mg，起始於第0，1，2，3和4週皮下注射，之後每4週給予300mg劑量。(107/1/1、112/3/1)</w:t>
      </w:r>
    </w:p>
    <w:p w14:paraId="412A0092"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5.Ixekizumab 之起始劑量為第0週160mg，之後每4週80mg。(109/3/1)</w:t>
      </w:r>
    </w:p>
    <w:p w14:paraId="0364AC7F"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6.Certolizumab起始建議劑量為第0 週、第2週及第4週各投予400mg，之後每2週200mg。於懷孕哺乳期間若已接受其他生物製劑治療者，得改申請certolizumab。若症狀嚴重程度已符合生物製劑申請條件但尚未接受生物製劑治療者，不需受傳統治療無效才得申請之限制，得於懷孕哺乳期申請</w:t>
      </w:r>
      <w:r w:rsidRPr="004D1476">
        <w:rPr>
          <w:rFonts w:ascii="標楷體" w:eastAsia="標楷體" w:hAnsi="標楷體" w:hint="eastAsia"/>
          <w:color w:val="000000"/>
        </w:rPr>
        <w:lastRenderedPageBreak/>
        <w:t>certolizumab。(110/7/1)</w:t>
      </w:r>
    </w:p>
    <w:p w14:paraId="483A343E"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7. Guselkumab之起始劑量為第0週及第4週投予100mg，之後每8週給予維持劑量100mg。(111/9/1)</w:t>
      </w:r>
    </w:p>
    <w:p w14:paraId="7BF2F986"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8. Brodalumab 起始於第0週投予 210 mg，接著於第1週及第2週投予210mg，之後每2週投予210mg。(112/12/1)</w:t>
      </w:r>
    </w:p>
    <w:p w14:paraId="335B8311"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9.Risankizumab之起始劑量於第0週及第4週投予150mg/mL，之後每12週給予維持劑量150mg/mL。(114/2/1)</w:t>
      </w:r>
    </w:p>
    <w:p w14:paraId="58BFE08A"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10.療效評估與繼續使用：</w:t>
      </w:r>
    </w:p>
    <w:p w14:paraId="54160545" w14:textId="1D8046DB"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(1)初次使用者治療12週評估BASDAI，惟guselkumab、risankizumab初次治療24週評估BASDAI：與使用前比較，出現50%以上的進步或減少2分以上，方得繼續使用。(111/9/1、114/2/1)</w:t>
      </w:r>
    </w:p>
    <w:p w14:paraId="6BD4FA8F"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(2)繼續使用者，需每12週評估一次，再次提出申請續用；惟guselkumab每16週評估一次、risankizumab每24週評估一次，再次提出申請續用。(111/9/1、114/2/1)</w:t>
      </w:r>
    </w:p>
    <w:p w14:paraId="649D3FA0"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11.需排除使用的情形：</w:t>
      </w:r>
    </w:p>
    <w:p w14:paraId="7F9ECABE"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應參照藥物仿單，重要之排除使用狀況包括﹝以下未列者參照仿單所載﹞：</w:t>
      </w:r>
    </w:p>
    <w:p w14:paraId="09D4D144"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(1)懷孕或正在授乳婦女(certolizumab除外) (110/7/1)</w:t>
      </w:r>
    </w:p>
    <w:p w14:paraId="446CC318"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(2)活動性感染症之病患</w:t>
      </w:r>
    </w:p>
    <w:p w14:paraId="1B853BB3"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(3)具高度感染機會之病患</w:t>
      </w:r>
    </w:p>
    <w:p w14:paraId="614FFC8B"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i.慢性腿部潰瘍之病患</w:t>
      </w:r>
    </w:p>
    <w:p w14:paraId="54985B61"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ii.未經完整治療之結核病的病患（包括潛伏結核感染治療未達四週者，申請時應檢附潛伏結核感染篩檢紀錄及治療紀錄供審查）。(102/1/1)</w:t>
      </w:r>
    </w:p>
    <w:p w14:paraId="73F66DE1"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iii.過去12個月內曾罹患感染性關節炎者</w:t>
      </w:r>
    </w:p>
    <w:p w14:paraId="4FE2422E"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iv.曾有人工關節感染，若該人工關節未去除前，不可使用</w:t>
      </w:r>
    </w:p>
    <w:p w14:paraId="3611B8DA"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v.頑固性或復發性的胸腔感染疾病</w:t>
      </w:r>
    </w:p>
    <w:p w14:paraId="60ED4A60"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vi.具有留置導尿管之情形</w:t>
      </w:r>
    </w:p>
    <w:p w14:paraId="0A4B3426"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(4)惡性腫瘤或癌前狀態之病患﹝但不包括已經接受過充分治療達10年以上的惡性腫瘤﹞</w:t>
      </w:r>
    </w:p>
    <w:p w14:paraId="021C3F2B"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(5)多發性硬化症 (multiple sclerosis)</w:t>
      </w:r>
    </w:p>
    <w:p w14:paraId="10B0124A" w14:textId="77777777" w:rsidR="004D1476" w:rsidRPr="004D1476" w:rsidRDefault="004D1476" w:rsidP="004D1476">
      <w:pPr>
        <w:ind w:left="912" w:hanging="386"/>
        <w:rPr>
          <w:rFonts w:ascii="標楷體" w:eastAsia="標楷體" w:hAnsi="標楷體"/>
          <w:color w:val="000000"/>
        </w:rPr>
      </w:pPr>
      <w:r w:rsidRPr="004D1476">
        <w:rPr>
          <w:rFonts w:ascii="標楷體" w:eastAsia="標楷體" w:hAnsi="標楷體" w:hint="eastAsia"/>
          <w:color w:val="000000"/>
        </w:rPr>
        <w:t>12.需停止治療的情形</w:t>
      </w:r>
    </w:p>
    <w:p w14:paraId="4DBA672B"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如果發生下列現象應停止治療：</w:t>
      </w:r>
    </w:p>
    <w:p w14:paraId="0314B5A4"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(1)療效不彰：療效評估未達繼續使用標準者</w:t>
      </w:r>
    </w:p>
    <w:p w14:paraId="4C88FFF6" w14:textId="77777777" w:rsidR="004D1476" w:rsidRPr="004D1476" w:rsidRDefault="004D1476" w:rsidP="004D1476">
      <w:pPr>
        <w:ind w:left="1152" w:hanging="386"/>
        <w:rPr>
          <w:rFonts w:ascii="標楷體" w:eastAsia="標楷體" w:hAnsi="標楷體"/>
          <w:color w:val="000000"/>
        </w:rPr>
      </w:pPr>
      <w:r w:rsidRPr="004D1476">
        <w:rPr>
          <w:rFonts w:ascii="標楷體" w:eastAsia="標楷體" w:hAnsi="標楷體" w:hint="eastAsia"/>
          <w:color w:val="000000"/>
        </w:rPr>
        <w:t>(2)不良事件：與藥物之使用有關或無關的事件，包括：</w:t>
      </w:r>
    </w:p>
    <w:p w14:paraId="3ED060BA"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i.惡性腫瘤</w:t>
      </w:r>
    </w:p>
    <w:p w14:paraId="5B1BA0AD"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ii.該藥物引起的嚴重毒性</w:t>
      </w:r>
    </w:p>
    <w:p w14:paraId="4DEFF645"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iii.懷孕(certolizumab除外，其他暫時停藥即可)(110/7/1)</w:t>
      </w:r>
    </w:p>
    <w:p w14:paraId="09C7A4B7"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iv.嚴重的間發性感染症﹝依嚴重性判斷可選擇暫時停藥﹞</w:t>
      </w:r>
    </w:p>
    <w:p w14:paraId="4B06A652" w14:textId="77777777" w:rsidR="004D1476" w:rsidRPr="004D1476"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◎附表二十二之四：全民健康保險乾癬性脊椎病變使用生物製劑申請表(107/1/1、109/3/1)</w:t>
      </w:r>
    </w:p>
    <w:p w14:paraId="56FB70CB" w14:textId="4F9C8AD0" w:rsidR="00BD776B" w:rsidRDefault="004D1476" w:rsidP="00A548B9">
      <w:pPr>
        <w:ind w:left="1392" w:hanging="386"/>
        <w:rPr>
          <w:rFonts w:ascii="標楷體" w:eastAsia="標楷體" w:hAnsi="標楷體"/>
          <w:color w:val="000000"/>
        </w:rPr>
      </w:pPr>
      <w:r w:rsidRPr="004D1476">
        <w:rPr>
          <w:rFonts w:ascii="標楷體" w:eastAsia="標楷體" w:hAnsi="標楷體" w:hint="eastAsia"/>
          <w:color w:val="000000"/>
        </w:rPr>
        <w:t>◎附表二十二之五：NSAID藥物副作用</w:t>
      </w:r>
    </w:p>
    <w:p w14:paraId="65D20F07" w14:textId="2D83AF12" w:rsidR="00BD776B" w:rsidRDefault="00DF0C24" w:rsidP="0047445F">
      <w:pPr>
        <w:ind w:left="672" w:hanging="386"/>
        <w:rPr>
          <w:rFonts w:ascii="標楷體" w:eastAsia="標楷體" w:hAnsi="標楷體"/>
          <w:color w:val="000000"/>
          <w:szCs w:val="24"/>
        </w:rPr>
      </w:pPr>
      <w:r>
        <w:rPr>
          <w:rFonts w:ascii="標楷體" w:eastAsia="標楷體" w:hAnsi="標楷體"/>
          <w:color w:val="000000"/>
        </w:rPr>
        <w:t>8.2.4.6.</w:t>
      </w:r>
      <w:r w:rsidR="0047445F" w:rsidRPr="0047445F">
        <w:rPr>
          <w:rFonts w:ascii="標楷體" w:eastAsia="標楷體" w:hAnsi="標楷體" w:hint="eastAsia"/>
          <w:color w:val="000000"/>
        </w:rPr>
        <w:t>Etanercept（如Enbrel）；adalimumab（如Humira）；ustekinumab（如Stelara）；secukinumab（如Cosentyx）；ixekizumab（如Taltz）；guselkumab（如Tremfya）；brodalumab（如Lumicef）；risankizumab（如Skyrizi）；certolizumab（如Cimzia）；spesolimab（如Spevigo) (98/11/1、100/7/1、</w:t>
      </w:r>
      <w:r w:rsidR="0047445F" w:rsidRPr="0047445F">
        <w:rPr>
          <w:rFonts w:ascii="標楷體" w:eastAsia="標楷體" w:hAnsi="標楷體" w:hint="eastAsia"/>
          <w:color w:val="000000"/>
        </w:rPr>
        <w:lastRenderedPageBreak/>
        <w:t>101/5/1、101/12/1、102/1/1、104/4/1、105/9/1、107/8/1、108/3/1、108/4/1、109/9/1、109/12/1、110/5/1、110/7/1、113/3/1、113/7/1)：用於乾癬治療部分</w:t>
      </w:r>
    </w:p>
    <w:p w14:paraId="4547A91F" w14:textId="20CC4841" w:rsidR="00D5441D" w:rsidRPr="00D5441D" w:rsidRDefault="00D5441D" w:rsidP="00D5441D">
      <w:pPr>
        <w:suppressAutoHyphens w:val="0"/>
        <w:autoSpaceDN/>
        <w:ind w:leftChars="119" w:left="672" w:hangingChars="161" w:hanging="386"/>
        <w:textAlignment w:val="auto"/>
        <w:rPr>
          <w:rFonts w:ascii="標楷體" w:eastAsia="標楷體" w:hAnsi="標楷體"/>
          <w:color w:val="000000"/>
          <w:kern w:val="2"/>
        </w:rPr>
      </w:pPr>
      <w:r w:rsidRPr="00D5441D">
        <w:rPr>
          <w:rFonts w:ascii="標楷體" w:eastAsia="標楷體" w:hAnsi="標楷體" w:hint="eastAsia"/>
          <w:color w:val="000000"/>
          <w:kern w:val="2"/>
        </w:rPr>
        <w:t>8.2.4.6.1.Etanercept（如Enbrel）；adalimumab（如Humira）；ustekinumab（如Stelara）；secukinumab（如Cosentyx）；ixekizumab(如Taltz) ； guselkumab (如Tremfya) ；brodalumab (如Lumicef)；risankizumab(如Skyrizi) ；certolizumab (如Cimzia) (98/11/1、100/7/1、101/5/1、101/12/1、102/1/1、104/4/1、105/9/1、107/8/1、108/3/1、108/4/1、109/9/1、109/12/1、110/5/1、110/7/1、113/3/1)：用於乾癬治療部分</w:t>
      </w:r>
    </w:p>
    <w:p w14:paraId="46977E2C" w14:textId="77777777" w:rsidR="00BD776B" w:rsidRDefault="00DF0C24">
      <w:pPr>
        <w:ind w:left="850" w:hanging="341"/>
        <w:rPr>
          <w:rFonts w:ascii="標楷體" w:eastAsia="標楷體" w:hAnsi="標楷體"/>
          <w:color w:val="000000"/>
          <w:szCs w:val="24"/>
        </w:rPr>
      </w:pPr>
      <w:r>
        <w:rPr>
          <w:rFonts w:ascii="標楷體" w:eastAsia="標楷體" w:hAnsi="標楷體"/>
          <w:color w:val="000000"/>
          <w:szCs w:val="24"/>
        </w:rPr>
        <w:t xml:space="preserve">1.給付條件：限符合下列(1)或(2)任一情形使用： </w:t>
      </w:r>
    </w:p>
    <w:p w14:paraId="3CD036C6"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(1)用於經照光治療及其他全身性治療無效，或因醫療因素而無法接受其他系統性治療之全身慢性中、重度之乾癬或頑固之掌蹠性乾癬，且影響功能之患者。</w:t>
      </w:r>
    </w:p>
    <w:p w14:paraId="1AD22D23" w14:textId="77777777" w:rsidR="00BD776B" w:rsidRDefault="00DF0C24">
      <w:pPr>
        <w:ind w:left="1275" w:hanging="341"/>
        <w:rPr>
          <w:rFonts w:ascii="標楷體" w:eastAsia="標楷體" w:hAnsi="標楷體"/>
          <w:color w:val="000000"/>
          <w:szCs w:val="24"/>
        </w:rPr>
      </w:pPr>
      <w:r>
        <w:rPr>
          <w:rFonts w:ascii="標楷體" w:eastAsia="標楷體" w:hAnsi="標楷體"/>
          <w:color w:val="000000"/>
          <w:szCs w:val="24"/>
        </w:rPr>
        <w:t>Ⅰ.所稱”慢性”，指病灶持續至少6個月，且Psoriasis area severity index (PASI) ≧10 (不適用PASI測定如膿疱性乾癬，則以範圍 ≧10%體表面積)。(附表二十四之二)</w:t>
      </w:r>
    </w:p>
    <w:p w14:paraId="0C1A5E13" w14:textId="77777777" w:rsidR="00BD776B" w:rsidRDefault="00DF0C24">
      <w:pPr>
        <w:ind w:left="1275" w:hanging="341"/>
        <w:rPr>
          <w:rFonts w:ascii="標楷體" w:eastAsia="標楷體" w:hAnsi="標楷體"/>
          <w:color w:val="000000"/>
          <w:szCs w:val="24"/>
        </w:rPr>
      </w:pPr>
      <w:r>
        <w:rPr>
          <w:rFonts w:ascii="標楷體" w:eastAsia="標楷體" w:hAnsi="標楷體"/>
          <w:color w:val="000000"/>
          <w:szCs w:val="24"/>
        </w:rPr>
        <w:t>Ⅱ.頑固之掌蹠性乾癬：指非膿疱性掌蹠廣泛性角化，嚴重影響行走或日常作習，申請時需附照片以供審查。照片應包括前、後、左、右至少四張，並視需要加附頭部、掌、蹠照片。</w:t>
      </w:r>
    </w:p>
    <w:p w14:paraId="6A97C7E1" w14:textId="77777777" w:rsidR="00BD776B" w:rsidRDefault="00DF0C24">
      <w:pPr>
        <w:ind w:left="1275" w:hanging="341"/>
        <w:rPr>
          <w:rFonts w:ascii="標楷體" w:eastAsia="標楷體" w:hAnsi="標楷體"/>
          <w:color w:val="000000"/>
          <w:szCs w:val="24"/>
        </w:rPr>
      </w:pPr>
      <w:r>
        <w:rPr>
          <w:rFonts w:ascii="標楷體" w:eastAsia="標楷體" w:hAnsi="標楷體"/>
          <w:color w:val="000000"/>
          <w:szCs w:val="24"/>
        </w:rPr>
        <w:t>Ⅲ.慢性紅皮症乾癬：範圍≧75%體表面積，病史超過1年，以cyclosporin足量（5mg/kg/d，除非有明顯不良反應）治療6個月以上，停藥未滿3個月即復發到PASI＞10或體表面積＞30%（需經皮膚科醫師評估），可不經照光治療，只需methotrexate及acitretin治療無效後直接申請。（101/12/1）</w:t>
      </w:r>
    </w:p>
    <w:p w14:paraId="5BDBFFCB" w14:textId="77777777" w:rsidR="00BD776B" w:rsidRDefault="00DF0C24">
      <w:pPr>
        <w:ind w:left="1275" w:hanging="341"/>
      </w:pPr>
      <w:r>
        <w:rPr>
          <w:rFonts w:ascii="標楷體" w:eastAsia="標楷體" w:hAnsi="標楷體"/>
          <w:color w:val="000000"/>
          <w:szCs w:val="24"/>
        </w:rPr>
        <w:t>Ⅳ.所稱治療無效，指治療後嚴重度仍符合上列第(Ⅰ)及第(Ⅱ)點情況，或PASI或體表面積改善＜50%。（101/5/1）</w:t>
      </w:r>
    </w:p>
    <w:p w14:paraId="21F0EEA8" w14:textId="77777777" w:rsidR="00BD776B" w:rsidRDefault="00DF0C24">
      <w:pPr>
        <w:ind w:left="1654" w:hanging="336"/>
      </w:pPr>
      <w:r>
        <w:rPr>
          <w:rFonts w:ascii="標楷體" w:eastAsia="標楷體" w:hAnsi="標楷體"/>
          <w:bCs/>
          <w:color w:val="000000"/>
          <w:szCs w:val="24"/>
        </w:rPr>
        <w:t>i.</w:t>
      </w:r>
      <w:r>
        <w:rPr>
          <w:rFonts w:ascii="標楷體" w:eastAsia="標楷體" w:hAnsi="標楷體"/>
          <w:color w:val="000000"/>
          <w:szCs w:val="24"/>
        </w:rPr>
        <w:t>治療必須包括足量之照光治療及包括以下兩種系統性治療之至少兩種</w:t>
      </w:r>
      <w:r>
        <w:rPr>
          <w:rFonts w:ascii="標楷體" w:eastAsia="標楷體" w:hAnsi="標楷體"/>
          <w:bCs/>
          <w:color w:val="000000"/>
          <w:szCs w:val="24"/>
        </w:rPr>
        <w:t>，包括methotrexate、acitretin、cyclosporin、apremilast。（101/12/1、113/3/1）</w:t>
      </w:r>
    </w:p>
    <w:p w14:paraId="330069B1" w14:textId="77777777" w:rsidR="00BD776B" w:rsidRDefault="00DF0C24">
      <w:pPr>
        <w:ind w:left="1654" w:hanging="336"/>
        <w:rPr>
          <w:rFonts w:ascii="標楷體" w:eastAsia="標楷體" w:hAnsi="標楷體"/>
          <w:bCs/>
          <w:color w:val="000000"/>
          <w:szCs w:val="24"/>
        </w:rPr>
      </w:pPr>
      <w:r>
        <w:rPr>
          <w:rFonts w:ascii="標楷體" w:eastAsia="標楷體" w:hAnsi="標楷體"/>
          <w:bCs/>
          <w:color w:val="000000"/>
          <w:szCs w:val="24"/>
        </w:rPr>
        <w:t>ii.治療需至少使用3個月，但育齡女性，得不經acitretin使用。</w:t>
      </w:r>
    </w:p>
    <w:p w14:paraId="31E369CB" w14:textId="77777777" w:rsidR="00BD776B" w:rsidRDefault="00DF0C24">
      <w:pPr>
        <w:ind w:left="1654" w:hanging="336"/>
        <w:rPr>
          <w:rFonts w:ascii="標楷體" w:eastAsia="標楷體" w:hAnsi="標楷體"/>
          <w:bCs/>
          <w:color w:val="000000"/>
          <w:szCs w:val="24"/>
        </w:rPr>
      </w:pPr>
      <w:r>
        <w:rPr>
          <w:rFonts w:ascii="標楷體" w:eastAsia="標楷體" w:hAnsi="標楷體"/>
          <w:bCs/>
          <w:color w:val="000000"/>
          <w:szCs w:val="24"/>
        </w:rPr>
        <w:t>iii.照光治療應依學理，如光化療法(PUVA)及窄頻UVB(nb-UVB)必須每週至少2次，寬頻UVB併用焦油每週至少3次，並依學理逐漸增加至有效可忍受劑量。申請時必須附病歷影印及詳細照光劑量紀錄。</w:t>
      </w:r>
    </w:p>
    <w:p w14:paraId="7C5E56F3" w14:textId="77777777" w:rsidR="00BD776B" w:rsidRDefault="00DF0C24">
      <w:pPr>
        <w:ind w:left="1654" w:hanging="336"/>
      </w:pPr>
      <w:r>
        <w:rPr>
          <w:rFonts w:ascii="標楷體" w:eastAsia="標楷體" w:hAnsi="標楷體"/>
          <w:bCs/>
          <w:color w:val="000000"/>
          <w:szCs w:val="24"/>
        </w:rPr>
        <w:t>iv.Methotrexate合理劑量需達每週15mg, cyclosporin為2.5-5 mg/kg/d, acitretin為0.3-1 mg/kg/d。但若因為藥物毒性無法耐受，使用劑量可酌情降低。</w:t>
      </w:r>
    </w:p>
    <w:p w14:paraId="4A3AB00C" w14:textId="77777777" w:rsidR="00BD776B" w:rsidRDefault="00DF0C24">
      <w:pPr>
        <w:ind w:left="1275" w:hanging="341"/>
        <w:rPr>
          <w:rFonts w:ascii="標楷體" w:eastAsia="標楷體" w:hAnsi="標楷體"/>
          <w:bCs/>
          <w:color w:val="000000"/>
          <w:szCs w:val="24"/>
        </w:rPr>
      </w:pPr>
      <w:r>
        <w:rPr>
          <w:rFonts w:ascii="標楷體" w:eastAsia="標楷體" w:hAnsi="標楷體"/>
          <w:bCs/>
          <w:color w:val="000000"/>
          <w:szCs w:val="24"/>
        </w:rPr>
        <w:t>Ⅴ.所稱無法接受治療：</w:t>
      </w:r>
    </w:p>
    <w:p w14:paraId="48809B4B" w14:textId="77777777" w:rsidR="00BD776B" w:rsidRDefault="00DF0C24">
      <w:pPr>
        <w:ind w:left="1654" w:hanging="336"/>
        <w:rPr>
          <w:rFonts w:ascii="標楷體" w:eastAsia="標楷體" w:hAnsi="標楷體"/>
          <w:bCs/>
          <w:color w:val="000000"/>
          <w:szCs w:val="24"/>
        </w:rPr>
      </w:pPr>
      <w:r>
        <w:rPr>
          <w:rFonts w:ascii="標楷體" w:eastAsia="標楷體" w:hAnsi="標楷體"/>
          <w:bCs/>
          <w:color w:val="000000"/>
          <w:szCs w:val="24"/>
        </w:rPr>
        <w:t>i.Methotrexate：指因肝功能異常或切片第三期a異常，經6個月後切片仍無改善，或第三期b以上之肝切片異常，病毒性肝炎帶原或腎功能異常而無法使用methotrexate治療者。</w:t>
      </w:r>
    </w:p>
    <w:p w14:paraId="08D26B69" w14:textId="77777777" w:rsidR="00BD776B" w:rsidRDefault="00DF0C24">
      <w:pPr>
        <w:ind w:left="1654" w:hanging="336"/>
        <w:rPr>
          <w:rFonts w:ascii="標楷體" w:eastAsia="標楷體" w:hAnsi="標楷體"/>
          <w:bCs/>
          <w:color w:val="000000"/>
          <w:szCs w:val="24"/>
        </w:rPr>
      </w:pPr>
      <w:r>
        <w:rPr>
          <w:rFonts w:ascii="標楷體" w:eastAsia="標楷體" w:hAnsi="標楷體"/>
          <w:bCs/>
          <w:color w:val="000000"/>
          <w:szCs w:val="24"/>
        </w:rPr>
        <w:t>ii.Acitretin：指有明顯肝功能異常、高血脂無法有效控制，或cyclosporin有效但停藥後迅速復發，已持續使用超用1年，或已產生腎毒性經減量後無法有效控制者。</w:t>
      </w:r>
    </w:p>
    <w:p w14:paraId="0B6F427C" w14:textId="77777777" w:rsidR="00BD776B" w:rsidRDefault="00DF0C24">
      <w:pPr>
        <w:ind w:left="1049" w:hanging="336"/>
        <w:rPr>
          <w:rFonts w:ascii="標楷體" w:eastAsia="標楷體" w:hAnsi="標楷體"/>
          <w:color w:val="000000"/>
          <w:szCs w:val="24"/>
        </w:rPr>
      </w:pPr>
      <w:r>
        <w:rPr>
          <w:rFonts w:ascii="標楷體" w:eastAsia="標楷體" w:hAnsi="標楷體"/>
          <w:color w:val="000000"/>
          <w:szCs w:val="24"/>
        </w:rPr>
        <w:t>(2)用於全身型急性膿疱性乾癬(限經衛生主管機關核准許可證登載此適應症之藥品)：經確診為全身型急性膿疱性乾癬，且符合以下所有條件者，即可申</w:t>
      </w:r>
      <w:r>
        <w:rPr>
          <w:rFonts w:ascii="標楷體" w:eastAsia="標楷體" w:hAnsi="標楷體"/>
          <w:color w:val="000000"/>
          <w:szCs w:val="24"/>
        </w:rPr>
        <w:lastRenderedPageBreak/>
        <w:t>請有全身型膿疱性乾癬適應症之生物製劑，每次申請以4週為原則，供當次或下次發作使用，之後申請得依前次病情需要(經生物製劑治療後膿疱仍持續超過4週)可申請延長至最長8週用藥。下次申請使用，需相隔至少12週。（110/5/1）</w:t>
      </w:r>
    </w:p>
    <w:p w14:paraId="46565062" w14:textId="77777777" w:rsidR="00BD776B" w:rsidRDefault="00DF0C24">
      <w:pPr>
        <w:ind w:left="1443" w:hanging="353"/>
        <w:rPr>
          <w:rFonts w:ascii="標楷體" w:eastAsia="標楷體" w:hAnsi="標楷體"/>
          <w:color w:val="000000"/>
          <w:szCs w:val="24"/>
        </w:rPr>
      </w:pPr>
      <w:r>
        <w:rPr>
          <w:rFonts w:ascii="標楷體" w:eastAsia="標楷體" w:hAnsi="標楷體"/>
          <w:color w:val="000000"/>
          <w:szCs w:val="24"/>
        </w:rPr>
        <w:t>Ⅰ.18歲以上且有懷孕可能之患者。</w:t>
      </w:r>
    </w:p>
    <w:p w14:paraId="7856A86C" w14:textId="77777777" w:rsidR="00BD776B" w:rsidRDefault="00DF0C24">
      <w:pPr>
        <w:ind w:left="1443" w:hanging="353"/>
        <w:rPr>
          <w:rFonts w:ascii="標楷體" w:eastAsia="標楷體" w:hAnsi="標楷體"/>
          <w:color w:val="000000"/>
          <w:szCs w:val="24"/>
        </w:rPr>
      </w:pPr>
      <w:r>
        <w:rPr>
          <w:rFonts w:ascii="標楷體" w:eastAsia="標楷體" w:hAnsi="標楷體"/>
          <w:color w:val="000000"/>
          <w:szCs w:val="24"/>
        </w:rPr>
        <w:t>Ⅱ.伴有膿疱之紅腫部位侵犯體表面積&gt;10%且伴隨系統性症狀包括發燒及白血球增多症等。</w:t>
      </w:r>
    </w:p>
    <w:p w14:paraId="2F883BDC"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2.需經事前審查核准後使用：</w:t>
      </w:r>
    </w:p>
    <w:p w14:paraId="186D2DE2"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(1)初次申請時，以6個月為1個療程，肝腎功能不佳者，必須先經照光及使用apremilast無效後，始得申請使用，持續使用時每6個月需再申報一次，且應於期滿前1個月提出。（101/12/1、113/3/1）</w:t>
      </w:r>
    </w:p>
    <w:p w14:paraId="2F85EB1A"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(2)紅皮症乾癬病患以6個月為限，於6個月療程結束後，應回復使用cyclosporin，除非產生腎功能異常(Creatinine基礎值上升≧30%)，或其他無法有效控制之副作用，減藥後乾癬仍無法有效控制。（101/12/1）</w:t>
      </w:r>
    </w:p>
    <w:p w14:paraId="3F992088"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(3)Etanercept初期3個月可使用50mg biw，之後則為25mg biw，且於12週時，需先行評估，至少有PASI25療效。</w:t>
      </w:r>
    </w:p>
    <w:p w14:paraId="7081E44F"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(4)Adalimumab初次投予為80mg，之後則為40mg qow，且於12週時，須先行評估，至少有PASI25療效。(100/7/1)</w:t>
      </w:r>
    </w:p>
    <w:p w14:paraId="4220A1E9"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(5)Ustekinumab：</w:t>
      </w:r>
    </w:p>
    <w:p w14:paraId="78F0412E" w14:textId="77777777" w:rsidR="00BD776B" w:rsidRDefault="00DF0C24">
      <w:pPr>
        <w:ind w:left="1414" w:hanging="336"/>
        <w:rPr>
          <w:rFonts w:ascii="標楷體" w:eastAsia="標楷體" w:hAnsi="標楷體"/>
          <w:bCs/>
          <w:color w:val="000000"/>
          <w:szCs w:val="24"/>
        </w:rPr>
      </w:pPr>
      <w:r>
        <w:rPr>
          <w:rFonts w:ascii="標楷體" w:eastAsia="標楷體" w:hAnsi="標楷體"/>
          <w:bCs/>
          <w:color w:val="000000"/>
          <w:szCs w:val="24"/>
        </w:rPr>
        <w:t>i.初次及4週後投予45mg，之後則為45mg q12w（對於初次使用45mg反應不完全*，或體重大於100公斤病患，得初次及4週後投予90mg，之後則為90mg q12w），且於16週時，需先行評估，至少有PASI25療效。(101/5/1、109/9/1)</w:t>
      </w:r>
    </w:p>
    <w:p w14:paraId="3401843D" w14:textId="77777777" w:rsidR="00BD776B" w:rsidRDefault="00DF0C24">
      <w:pPr>
        <w:ind w:left="1414" w:hanging="336"/>
        <w:rPr>
          <w:rFonts w:ascii="標楷體" w:eastAsia="標楷體" w:hAnsi="標楷體"/>
          <w:bCs/>
          <w:color w:val="000000"/>
          <w:szCs w:val="24"/>
        </w:rPr>
      </w:pPr>
      <w:r>
        <w:rPr>
          <w:rFonts w:ascii="標楷體" w:eastAsia="標楷體" w:hAnsi="標楷體"/>
          <w:bCs/>
          <w:color w:val="000000"/>
          <w:szCs w:val="24"/>
        </w:rPr>
        <w:t>註*：治療後雖然有達成PASI50療效，但仍有PASI&gt;1，體表面積&gt;3，或是病灶存在外露明顯部位(臉部、指甲、手部)者。</w:t>
      </w:r>
    </w:p>
    <w:p w14:paraId="393ADBD2" w14:textId="77777777" w:rsidR="00BD776B" w:rsidRDefault="00DF0C24">
      <w:pPr>
        <w:ind w:left="1414" w:hanging="336"/>
        <w:rPr>
          <w:rFonts w:ascii="標楷體" w:eastAsia="標楷體" w:hAnsi="標楷體"/>
          <w:bCs/>
          <w:color w:val="000000"/>
          <w:szCs w:val="24"/>
        </w:rPr>
      </w:pPr>
      <w:r>
        <w:rPr>
          <w:rFonts w:ascii="標楷體" w:eastAsia="標楷體" w:hAnsi="標楷體"/>
          <w:bCs/>
          <w:color w:val="000000"/>
          <w:szCs w:val="24"/>
        </w:rPr>
        <w:t>ii.若使用劑量為90mg（含）以上，限使用90mg(1mL)規格量。(109/9/1)</w:t>
      </w:r>
    </w:p>
    <w:p w14:paraId="220FE1F4" w14:textId="77777777" w:rsidR="00BD776B" w:rsidRDefault="00DF0C24">
      <w:pPr>
        <w:ind w:left="1049" w:hanging="341"/>
      </w:pPr>
      <w:r>
        <w:rPr>
          <w:rFonts w:ascii="標楷體" w:eastAsia="標楷體" w:hAnsi="標楷體"/>
          <w:bCs/>
          <w:color w:val="000000"/>
          <w:szCs w:val="24"/>
        </w:rPr>
        <w:t>(6)Secukinumab起始於第0,1,2,3,4週投予300mg，接著於第4週開始於每4週投予300mg (體重</w:t>
      </w:r>
      <w:r>
        <w:rPr>
          <w:rFonts w:ascii="Times New Roman" w:eastAsia="標楷體" w:hAnsi="Times New Roman"/>
          <w:bCs/>
          <w:color w:val="000000"/>
          <w:szCs w:val="24"/>
        </w:rPr>
        <w:t>≤</w:t>
      </w:r>
      <w:r>
        <w:rPr>
          <w:rFonts w:ascii="標楷體" w:eastAsia="標楷體" w:hAnsi="標楷體"/>
          <w:bCs/>
          <w:color w:val="000000"/>
          <w:szCs w:val="24"/>
        </w:rPr>
        <w:t>60kg，投予150 mg的劑量)，且於12週時，須先行評估，至少有PASI25療效。</w:t>
      </w:r>
    </w:p>
    <w:p w14:paraId="565C1F3D"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(7)Ixekizumab起始於第0週投予160 mg，接著於第2,4,6,8,10,12週投予80mg，之後每4週投予80mg，且於12週時，須先行評估，至少有PASI25療效。(107/8/1)</w:t>
      </w:r>
    </w:p>
    <w:p w14:paraId="27273995"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(8)Guselkumab起始於第0週投予100 mg，接著於第4週投予100mg，之後每8週投予100mg，且於12週時，須先行評估，至少有PASI25療效。(108/3/1)</w:t>
      </w:r>
    </w:p>
    <w:p w14:paraId="26D8DB7A"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(9)Brodalumab起始於第0週投予210 mg，接著於第1週及第2週投予210mg，之後每2週投予210mg，且於12週時，須先行評估，至少有PASI25療效。(108/4/1)</w:t>
      </w:r>
    </w:p>
    <w:p w14:paraId="6868A2B2" w14:textId="77777777" w:rsidR="00BD776B" w:rsidRDefault="00DF0C24">
      <w:pPr>
        <w:ind w:left="1049" w:hanging="341"/>
        <w:rPr>
          <w:rFonts w:ascii="標楷體" w:eastAsia="標楷體" w:hAnsi="標楷體"/>
          <w:bCs/>
          <w:color w:val="000000"/>
          <w:szCs w:val="24"/>
        </w:rPr>
      </w:pPr>
      <w:r>
        <w:rPr>
          <w:rFonts w:ascii="標楷體" w:eastAsia="標楷體" w:hAnsi="標楷體"/>
          <w:bCs/>
          <w:color w:val="000000"/>
          <w:szCs w:val="24"/>
        </w:rPr>
        <w:t>(10)Risankizumab起始於第0週投予150mg，接著於第4週投予150mg，之後每12週投予150mg。且於16週時，須先行評估至少有PASI 75療效。(109/12/1)</w:t>
      </w:r>
    </w:p>
    <w:p w14:paraId="11367C88" w14:textId="77777777" w:rsidR="00BD776B" w:rsidRDefault="00DF0C24">
      <w:pPr>
        <w:ind w:left="1049" w:hanging="341"/>
      </w:pPr>
      <w:r>
        <w:rPr>
          <w:rFonts w:ascii="標楷體" w:eastAsia="標楷體" w:hAnsi="標楷體"/>
          <w:color w:val="000000"/>
          <w:szCs w:val="24"/>
        </w:rPr>
        <w:t>(11)C</w:t>
      </w:r>
      <w:r>
        <w:rPr>
          <w:rFonts w:ascii="標楷體" w:eastAsia="標楷體" w:hAnsi="標楷體"/>
          <w:szCs w:val="24"/>
        </w:rPr>
        <w:t>ertolizumab起始建議劑量為第0 週、第2週及第4週各投予400mg，之後每2週200 mg。</w:t>
      </w:r>
      <w:r>
        <w:rPr>
          <w:rFonts w:ascii="標楷體" w:eastAsia="標楷體" w:hAnsi="標楷體"/>
          <w:color w:val="000000"/>
          <w:szCs w:val="24"/>
        </w:rPr>
        <w:t>於懷孕哺乳期間若已接受其他生物製劑治療者，得改申請certolizumab。若症狀嚴重程度已符合生物製劑申請條件但尚未接受生物製劑治療者，不須受照光治療及其他系統性治療無效才得申請之限制，得於懷孕哺乳期申請certolizumab。</w:t>
      </w:r>
      <w:r>
        <w:rPr>
          <w:rFonts w:ascii="標楷體" w:eastAsia="標楷體" w:hAnsi="標楷體"/>
          <w:szCs w:val="24"/>
        </w:rPr>
        <w:t xml:space="preserve"> (110/7/1)</w:t>
      </w:r>
      <w:r>
        <w:rPr>
          <w:rFonts w:ascii="標楷體" w:eastAsia="標楷體" w:hAnsi="標楷體"/>
          <w:color w:val="000000"/>
          <w:szCs w:val="24"/>
        </w:rPr>
        <w:t xml:space="preserve"> </w:t>
      </w:r>
    </w:p>
    <w:p w14:paraId="7254162A"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lastRenderedPageBreak/>
        <w:t>(12)原先使用cyclosporin控制有效且腎功能異常(Creatinine基礎值上升≧30%)者，於6個月療程結束後，應回復使用cyclosporin，除非產生腎功能異常，或其他無法有效控制之副作用，減藥後乾癬仍無法有效控制，否則下次申請應於1年後。</w:t>
      </w:r>
    </w:p>
    <w:p w14:paraId="1EE34245"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(13)初次申請後每6個月須再次申請續用，續用時，與初次治療前之療效達PASI50方可使用；其中risankizumab續用時，與初次治療前之療效達PASI 75方可使用續用；且etanercept再次申請時僅限使用25mg biw之劑量。停藥超過3個月再申請者，視同新申請案件，否則視為續用案件。（101/12/1、104/4/1、109/12/1）</w:t>
      </w:r>
    </w:p>
    <w:p w14:paraId="0F721208"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3.使用生物製劑時，考慮其於乾癬療效可能較慢，及立即停藥之可能反彈現象，治療前兩個月得合併使用cyclosporine及照光治療，但生物製劑療效出現時即應逐漸停用。 (101/5/1、105/9/1、107/8/1)</w:t>
      </w:r>
    </w:p>
    <w:p w14:paraId="262A82E4"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4.需排除使用的情形應參照藥物仿單，重要之排除使用狀況包括：</w:t>
      </w:r>
    </w:p>
    <w:p w14:paraId="47EC3154" w14:textId="77777777" w:rsidR="00BD776B" w:rsidRDefault="00DF0C24">
      <w:pPr>
        <w:ind w:left="1049" w:hanging="341"/>
      </w:pPr>
      <w:r>
        <w:rPr>
          <w:rFonts w:ascii="標楷體" w:eastAsia="標楷體" w:hAnsi="標楷體"/>
          <w:color w:val="000000"/>
          <w:szCs w:val="24"/>
        </w:rPr>
        <w:t>(1)懐孕或正在授乳的婦女</w:t>
      </w:r>
      <w:r>
        <w:rPr>
          <w:rFonts w:ascii="標楷體" w:eastAsia="標楷體" w:hAnsi="標楷體"/>
          <w:szCs w:val="24"/>
        </w:rPr>
        <w:t>(</w:t>
      </w:r>
      <w:r>
        <w:rPr>
          <w:rFonts w:ascii="標楷體" w:eastAsia="標楷體" w:hAnsi="標楷體"/>
          <w:kern w:val="0"/>
          <w:szCs w:val="24"/>
        </w:rPr>
        <w:t>certolizumab除外</w:t>
      </w:r>
      <w:r>
        <w:rPr>
          <w:rFonts w:ascii="標楷體" w:eastAsia="標楷體" w:hAnsi="標楷體"/>
          <w:szCs w:val="24"/>
        </w:rPr>
        <w:t>) (110/7/1)</w:t>
      </w:r>
      <w:r>
        <w:rPr>
          <w:rFonts w:ascii="標楷體" w:eastAsia="標楷體" w:hAnsi="標楷體"/>
          <w:color w:val="000000"/>
          <w:szCs w:val="24"/>
        </w:rPr>
        <w:t>。</w:t>
      </w:r>
    </w:p>
    <w:p w14:paraId="4B2D4ED0"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(2)罹患活動性的感染症的病患。</w:t>
      </w:r>
    </w:p>
    <w:p w14:paraId="24355F99"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(3)未經完整治療之結核病的病患（包括潛伏結核感染治療未達四週者，申請時應檢附潛伏結核感染篩檢紀錄及治療紀錄供審查）。(102/1/1)</w:t>
      </w:r>
    </w:p>
    <w:p w14:paraId="2EA148D9"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(4)身上帶有人工關節者，罹患或先前曾罹患過嚴重的敗血病(sepsis)者。</w:t>
      </w:r>
    </w:p>
    <w:p w14:paraId="7C74859E"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(5)惡性腫瘤或具有癌症前兆(pre-malignancy)的病患。</w:t>
      </w:r>
    </w:p>
    <w:p w14:paraId="1D3707F8"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(6)免疫功能不全者(immunodeficiency) 。</w:t>
      </w:r>
    </w:p>
    <w:p w14:paraId="63397B73"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5.需停止治療情形，如果發生下列現象應停止治療：</w:t>
      </w:r>
    </w:p>
    <w:p w14:paraId="2F41DA1F"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(1)不良事件，包括：</w:t>
      </w:r>
    </w:p>
    <w:p w14:paraId="0C59ADF5" w14:textId="77777777" w:rsidR="00BD776B" w:rsidRDefault="00DF0C24">
      <w:pPr>
        <w:ind w:left="1414" w:hanging="336"/>
        <w:rPr>
          <w:rFonts w:ascii="標楷體" w:eastAsia="標楷體" w:hAnsi="標楷體"/>
          <w:color w:val="000000"/>
          <w:szCs w:val="24"/>
        </w:rPr>
      </w:pPr>
      <w:r>
        <w:rPr>
          <w:rFonts w:ascii="標楷體" w:eastAsia="標楷體" w:hAnsi="標楷體"/>
          <w:color w:val="000000"/>
          <w:szCs w:val="24"/>
        </w:rPr>
        <w:t>i.惡性腫瘤。</w:t>
      </w:r>
    </w:p>
    <w:p w14:paraId="6773498C" w14:textId="77777777" w:rsidR="00BD776B" w:rsidRDefault="00DF0C24">
      <w:pPr>
        <w:ind w:left="1414" w:hanging="336"/>
        <w:rPr>
          <w:rFonts w:ascii="標楷體" w:eastAsia="標楷體" w:hAnsi="標楷體"/>
          <w:color w:val="000000"/>
          <w:szCs w:val="24"/>
        </w:rPr>
      </w:pPr>
      <w:r>
        <w:rPr>
          <w:rFonts w:ascii="標楷體" w:eastAsia="標楷體" w:hAnsi="標楷體"/>
          <w:color w:val="000000"/>
          <w:szCs w:val="24"/>
        </w:rPr>
        <w:t>ii.該藥物引起的嚴重性毒性。</w:t>
      </w:r>
    </w:p>
    <w:p w14:paraId="4CD96CE1" w14:textId="77777777" w:rsidR="00BD776B" w:rsidRDefault="00DF0C24">
      <w:pPr>
        <w:ind w:left="1414" w:hanging="336"/>
      </w:pPr>
      <w:r>
        <w:rPr>
          <w:rFonts w:ascii="標楷體" w:eastAsia="標楷體" w:hAnsi="標楷體"/>
          <w:color w:val="000000"/>
          <w:szCs w:val="24"/>
        </w:rPr>
        <w:t>iii.懷孕</w:t>
      </w:r>
      <w:r>
        <w:rPr>
          <w:rFonts w:ascii="標楷體" w:eastAsia="標楷體" w:hAnsi="標楷體"/>
          <w:szCs w:val="24"/>
        </w:rPr>
        <w:t>（c</w:t>
      </w:r>
      <w:r>
        <w:rPr>
          <w:rFonts w:ascii="標楷體" w:eastAsia="標楷體" w:hAnsi="標楷體"/>
          <w:kern w:val="0"/>
          <w:szCs w:val="24"/>
        </w:rPr>
        <w:t>ertolizumab除外，其他</w:t>
      </w:r>
      <w:r>
        <w:rPr>
          <w:rFonts w:ascii="標楷體" w:eastAsia="標楷體" w:hAnsi="標楷體"/>
          <w:szCs w:val="24"/>
        </w:rPr>
        <w:t>暫時停藥即可）。(110/7/1)</w:t>
      </w:r>
      <w:r>
        <w:rPr>
          <w:rFonts w:ascii="標楷體" w:eastAsia="標楷體" w:hAnsi="標楷體"/>
          <w:color w:val="000000"/>
          <w:szCs w:val="24"/>
        </w:rPr>
        <w:t>。</w:t>
      </w:r>
    </w:p>
    <w:p w14:paraId="4C32D897" w14:textId="77777777" w:rsidR="00BD776B" w:rsidRDefault="00DF0C24">
      <w:pPr>
        <w:ind w:left="1414" w:hanging="336"/>
        <w:rPr>
          <w:rFonts w:ascii="標楷體" w:eastAsia="標楷體" w:hAnsi="標楷體"/>
          <w:color w:val="000000"/>
          <w:szCs w:val="24"/>
        </w:rPr>
      </w:pPr>
      <w:r>
        <w:rPr>
          <w:rFonts w:ascii="標楷體" w:eastAsia="標楷體" w:hAnsi="標楷體"/>
          <w:color w:val="000000"/>
          <w:szCs w:val="24"/>
        </w:rPr>
        <w:t>iv.嚴重的間發性感染症（intercurrent infection）（暫時停藥即可）。</w:t>
      </w:r>
    </w:p>
    <w:p w14:paraId="55AC056D" w14:textId="77777777" w:rsidR="00BD776B" w:rsidRDefault="00DF0C24">
      <w:pPr>
        <w:ind w:left="1049" w:hanging="341"/>
        <w:rPr>
          <w:rFonts w:ascii="標楷體" w:eastAsia="標楷體" w:hAnsi="標楷體"/>
          <w:color w:val="000000"/>
          <w:szCs w:val="24"/>
        </w:rPr>
      </w:pPr>
      <w:r>
        <w:rPr>
          <w:rFonts w:ascii="標楷體" w:eastAsia="標楷體" w:hAnsi="標楷體"/>
          <w:color w:val="000000"/>
          <w:szCs w:val="24"/>
        </w:rPr>
        <w:t>(2)療效不彰：患者經過6個月治療（初次療程）後未達療效者，療效定義指PASI或體表面積改善未達50%。</w:t>
      </w:r>
    </w:p>
    <w:p w14:paraId="43590801" w14:textId="77777777" w:rsidR="00BD776B" w:rsidRDefault="00DF0C24">
      <w:pPr>
        <w:ind w:left="826" w:hanging="197"/>
        <w:rPr>
          <w:rFonts w:ascii="標楷體" w:eastAsia="標楷體" w:hAnsi="標楷體"/>
          <w:color w:val="000000"/>
          <w:szCs w:val="24"/>
        </w:rPr>
      </w:pPr>
      <w:r>
        <w:rPr>
          <w:rFonts w:ascii="標楷體" w:eastAsia="標楷體" w:hAnsi="標楷體"/>
          <w:color w:val="000000"/>
          <w:szCs w:val="24"/>
        </w:rPr>
        <w:t>6.暫緩續用之相關規定：(104/4/1、110/5/1）</w:t>
      </w:r>
    </w:p>
    <w:p w14:paraId="4994ED4C" w14:textId="77777777" w:rsidR="00BD776B" w:rsidRDefault="00DF0C24">
      <w:pPr>
        <w:ind w:left="1010" w:hanging="360"/>
        <w:rPr>
          <w:rFonts w:ascii="標楷體" w:eastAsia="標楷體" w:hAnsi="標楷體"/>
          <w:color w:val="000000"/>
          <w:szCs w:val="24"/>
        </w:rPr>
      </w:pPr>
      <w:r>
        <w:rPr>
          <w:rFonts w:ascii="標楷體" w:eastAsia="標楷體" w:hAnsi="標楷體"/>
          <w:color w:val="000000"/>
          <w:szCs w:val="24"/>
        </w:rPr>
        <w:t xml:space="preserve">(1)暫緩續用時機：使用生物製劑治療2年後符合PASI≦10者，但有連續兩次暫緩用藥後復發病史者（停藥後6個月內PASI&gt;10或50%復發）不在此限。(110/5/1) </w:t>
      </w:r>
    </w:p>
    <w:p w14:paraId="71605BC4" w14:textId="77777777" w:rsidR="00BD776B" w:rsidRDefault="00DF0C24">
      <w:pPr>
        <w:ind w:left="1010" w:hanging="360"/>
        <w:rPr>
          <w:rFonts w:ascii="標楷體" w:eastAsia="標楷體" w:hAnsi="標楷體"/>
          <w:color w:val="000000"/>
          <w:szCs w:val="24"/>
        </w:rPr>
      </w:pPr>
      <w:r>
        <w:rPr>
          <w:rFonts w:ascii="標楷體" w:eastAsia="標楷體" w:hAnsi="標楷體"/>
          <w:color w:val="000000"/>
          <w:szCs w:val="24"/>
        </w:rPr>
        <w:t xml:space="preserve">(2)因使用一種生物製劑治療後療效不彰(PASI&gt;10)，而轉用另一種不同藥理機轉之生物製劑，以轉用後者之起始日重新計算2年後開始減量之時機。但因無法忍受副作用而轉用相同藥理機轉之生物製劑，轉用前後所使用生物製劑之期間均應計入。(110/5/1) </w:t>
      </w:r>
    </w:p>
    <w:p w14:paraId="18AD6245" w14:textId="77777777" w:rsidR="00BD776B" w:rsidRDefault="00DF0C24">
      <w:pPr>
        <w:ind w:left="890" w:hanging="240"/>
        <w:rPr>
          <w:rFonts w:ascii="標楷體" w:eastAsia="標楷體" w:hAnsi="標楷體"/>
          <w:color w:val="000000"/>
          <w:szCs w:val="24"/>
        </w:rPr>
      </w:pPr>
      <w:r>
        <w:rPr>
          <w:rFonts w:ascii="標楷體" w:eastAsia="標楷體" w:hAnsi="標楷體"/>
          <w:color w:val="000000"/>
          <w:szCs w:val="24"/>
        </w:rPr>
        <w:t>7.暫緩續用後若疾病再復發，可重新申請使用，須符合至少有50%復發(需附上次療程治療前、後，及本次照片，計算方式係以最近一次新療程開始時的PASI嚴重度，減去療程結束時的PASI嚴重度，有50%復發)。(104/4/1、110/5/1）</w:t>
      </w:r>
    </w:p>
    <w:p w14:paraId="4E9FB27A" w14:textId="77777777" w:rsidR="00BD776B" w:rsidRDefault="00DF0C24">
      <w:pPr>
        <w:ind w:left="847" w:hanging="197"/>
        <w:rPr>
          <w:rFonts w:ascii="標楷體" w:eastAsia="標楷體" w:hAnsi="標楷體"/>
          <w:color w:val="000000"/>
          <w:szCs w:val="24"/>
        </w:rPr>
      </w:pPr>
      <w:r>
        <w:rPr>
          <w:rFonts w:ascii="標楷體" w:eastAsia="標楷體" w:hAnsi="標楷體"/>
          <w:color w:val="000000"/>
          <w:szCs w:val="24"/>
        </w:rPr>
        <w:t>8.平行轉換時機：(110/5/1)</w:t>
      </w:r>
    </w:p>
    <w:p w14:paraId="5F8EE21D" w14:textId="77777777" w:rsidR="00BD776B" w:rsidRDefault="00DF0C24">
      <w:pPr>
        <w:ind w:left="991" w:hanging="341"/>
        <w:rPr>
          <w:rFonts w:ascii="標楷體" w:eastAsia="標楷體" w:hAnsi="標楷體"/>
          <w:color w:val="000000"/>
          <w:szCs w:val="24"/>
        </w:rPr>
      </w:pPr>
      <w:r>
        <w:rPr>
          <w:rFonts w:ascii="標楷體" w:eastAsia="標楷體" w:hAnsi="標楷體"/>
          <w:color w:val="000000"/>
          <w:szCs w:val="24"/>
        </w:rPr>
        <w:t>(1)使用一種生物製劑治療後，雖PASI&lt;10且有PASI 50療效，但治療後仍有PASI&gt;1、體表面積&gt;3% 或是病灶存在外露明顯部位(如頭皮、臉部、手指甲、手部)且明顯影響生活品質者，得於每半年續用申請時，平行轉用另一種生物製劑(用法用量依照仿單)，但前後所使用生物製劑之期間均應計入2年給付時</w:t>
      </w:r>
      <w:r>
        <w:rPr>
          <w:rFonts w:ascii="標楷體" w:eastAsia="標楷體" w:hAnsi="標楷體"/>
          <w:color w:val="000000"/>
          <w:szCs w:val="24"/>
        </w:rPr>
        <w:lastRenderedPageBreak/>
        <w:t>間合併計算。</w:t>
      </w:r>
    </w:p>
    <w:p w14:paraId="07854CAD" w14:textId="77777777" w:rsidR="00BD776B" w:rsidRDefault="00DF0C24">
      <w:pPr>
        <w:ind w:left="991" w:hanging="341"/>
        <w:rPr>
          <w:rFonts w:ascii="標楷體" w:eastAsia="標楷體" w:hAnsi="標楷體"/>
          <w:color w:val="000000"/>
          <w:szCs w:val="24"/>
        </w:rPr>
      </w:pPr>
      <w:r>
        <w:rPr>
          <w:rFonts w:ascii="標楷體" w:eastAsia="標楷體" w:hAnsi="標楷體"/>
          <w:color w:val="000000"/>
          <w:szCs w:val="24"/>
        </w:rPr>
        <w:t>(2)申請此項平行轉換者，申請續用時，有效性比較基準點為此2年療程起始時之嚴重度。</w:t>
      </w:r>
    </w:p>
    <w:p w14:paraId="1FDB5008"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◎附表二十四之一：全民健康保險乾癬使用生物製劑申請表(105/9/1、107/8/1、110/5/1)</w:t>
      </w:r>
    </w:p>
    <w:p w14:paraId="3B9A0BD0"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◎附表二十四之二：全民健康保險乾癬（慢性紅皮症乾癬部分）使用生物製劑申請表(105/9/1、107/8/1)</w:t>
      </w:r>
    </w:p>
    <w:p w14:paraId="1FC3FA4A"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◎附表二十四之三：乾癬面積暨嚴重度指數【Psoriasis Area Severity Index (PASI)】</w:t>
      </w:r>
    </w:p>
    <w:p w14:paraId="192584C5" w14:textId="4F6341DF" w:rsidR="00CD1F55" w:rsidRPr="00CD1F55" w:rsidRDefault="00DF0C24" w:rsidP="00CD1F55">
      <w:pPr>
        <w:ind w:left="811" w:hanging="245"/>
        <w:rPr>
          <w:rFonts w:ascii="標楷體" w:eastAsia="標楷體" w:hAnsi="標楷體"/>
          <w:bCs/>
          <w:color w:val="000000"/>
          <w:szCs w:val="24"/>
        </w:rPr>
      </w:pPr>
      <w:r>
        <w:rPr>
          <w:rFonts w:ascii="標楷體" w:eastAsia="標楷體" w:hAnsi="標楷體"/>
          <w:bCs/>
          <w:color w:val="000000"/>
          <w:szCs w:val="24"/>
        </w:rPr>
        <w:t>◎附表二十四之四：全民健康保險乾癬(全身型急性膿疱性乾癬部分)使用生物製劑申請表(110/5/1)</w:t>
      </w:r>
    </w:p>
    <w:p w14:paraId="062BCDB0" w14:textId="77777777" w:rsidR="00CD1F55" w:rsidRPr="00CD1F55" w:rsidRDefault="00CD1F55" w:rsidP="00CD1F55">
      <w:pPr>
        <w:suppressAutoHyphens w:val="0"/>
        <w:autoSpaceDN/>
        <w:ind w:leftChars="119" w:left="672" w:hangingChars="161" w:hanging="386"/>
        <w:textAlignment w:val="auto"/>
        <w:rPr>
          <w:rFonts w:ascii="標楷體" w:eastAsia="標楷體" w:hAnsi="標楷體"/>
          <w:color w:val="000000"/>
          <w:kern w:val="2"/>
        </w:rPr>
      </w:pPr>
      <w:r w:rsidRPr="00CD1F55">
        <w:rPr>
          <w:rFonts w:ascii="標楷體" w:eastAsia="標楷體" w:hAnsi="標楷體"/>
          <w:color w:val="000000"/>
          <w:kern w:val="2"/>
        </w:rPr>
        <w:t>8.2.4.6.2.Spesolimab (</w:t>
      </w:r>
      <w:r w:rsidRPr="00CD1F55">
        <w:rPr>
          <w:rFonts w:ascii="標楷體" w:eastAsia="標楷體" w:hAnsi="標楷體" w:hint="eastAsia"/>
          <w:color w:val="000000"/>
          <w:kern w:val="2"/>
        </w:rPr>
        <w:t>如</w:t>
      </w:r>
      <w:r w:rsidRPr="00CD1F55">
        <w:rPr>
          <w:rFonts w:ascii="標楷體" w:eastAsia="標楷體" w:hAnsi="標楷體"/>
          <w:color w:val="000000"/>
          <w:kern w:val="2"/>
        </w:rPr>
        <w:t xml:space="preserve"> Spevigo) (113/7/1)</w:t>
      </w:r>
      <w:r w:rsidRPr="00CD1F55">
        <w:rPr>
          <w:rFonts w:ascii="標楷體" w:eastAsia="標楷體" w:hAnsi="標楷體" w:hint="eastAsia"/>
          <w:color w:val="000000"/>
          <w:kern w:val="2"/>
        </w:rPr>
        <w:t>：用於全身型急性發作膿疱性乾癬治療部分</w:t>
      </w:r>
    </w:p>
    <w:p w14:paraId="597E86B8" w14:textId="77777777" w:rsidR="00CD1F55" w:rsidRPr="00CD1F55" w:rsidRDefault="00CD1F55" w:rsidP="00CD1F55">
      <w:pPr>
        <w:suppressAutoHyphens w:val="0"/>
        <w:autoSpaceDN/>
        <w:ind w:leftChars="212" w:left="850" w:hangingChars="142" w:hanging="341"/>
        <w:textAlignment w:val="auto"/>
        <w:rPr>
          <w:rFonts w:ascii="標楷體" w:eastAsia="標楷體" w:hAnsi="標楷體"/>
          <w:color w:val="000000"/>
          <w:kern w:val="2"/>
        </w:rPr>
      </w:pPr>
      <w:r w:rsidRPr="00CD1F55">
        <w:rPr>
          <w:rFonts w:ascii="標楷體" w:eastAsia="標楷體" w:hAnsi="標楷體" w:hint="eastAsia"/>
          <w:color w:val="000000"/>
          <w:kern w:val="2"/>
        </w:rPr>
        <w:t>1.限皮膚科專科醫師及風濕免疫科專科醫師使用。</w:t>
      </w:r>
    </w:p>
    <w:p w14:paraId="66031A02" w14:textId="77777777" w:rsidR="00CD1F55" w:rsidRPr="00CD1F55" w:rsidRDefault="00CD1F55" w:rsidP="00CD1F55">
      <w:pPr>
        <w:suppressAutoHyphens w:val="0"/>
        <w:autoSpaceDN/>
        <w:ind w:leftChars="212" w:left="850" w:hangingChars="142" w:hanging="341"/>
        <w:textAlignment w:val="auto"/>
        <w:rPr>
          <w:rFonts w:ascii="標楷體" w:eastAsia="標楷體" w:hAnsi="標楷體"/>
          <w:color w:val="000000"/>
          <w:kern w:val="2"/>
        </w:rPr>
      </w:pPr>
      <w:r w:rsidRPr="00CD1F55">
        <w:rPr>
          <w:rFonts w:ascii="標楷體" w:eastAsia="標楷體" w:hAnsi="標楷體"/>
          <w:color w:val="000000"/>
          <w:kern w:val="2"/>
        </w:rPr>
        <w:t>2.</w:t>
      </w:r>
      <w:r w:rsidRPr="00CD1F55">
        <w:rPr>
          <w:rFonts w:ascii="標楷體" w:eastAsia="標楷體" w:hAnsi="標楷體" w:hint="eastAsia"/>
          <w:color w:val="000000"/>
          <w:kern w:val="2"/>
        </w:rPr>
        <w:t>經確診為具有</w:t>
      </w:r>
      <w:r w:rsidRPr="00CD1F55">
        <w:rPr>
          <w:rFonts w:ascii="標楷體" w:eastAsia="標楷體" w:hAnsi="標楷體"/>
          <w:color w:val="000000"/>
          <w:kern w:val="2"/>
        </w:rPr>
        <w:t>IL36RN</w:t>
      </w:r>
      <w:r w:rsidRPr="00CD1F55">
        <w:rPr>
          <w:rFonts w:ascii="標楷體" w:eastAsia="標楷體" w:hAnsi="標楷體" w:hint="eastAsia"/>
          <w:color w:val="000000"/>
          <w:kern w:val="2"/>
        </w:rPr>
        <w:t>突變之全身型急性膿疱性乾癬，且符合以下所有條件者：</w:t>
      </w:r>
    </w:p>
    <w:p w14:paraId="20099E6A" w14:textId="77777777" w:rsidR="00CD1F55" w:rsidRPr="00CD1F55" w:rsidRDefault="00CD1F55" w:rsidP="00CD1F55">
      <w:pPr>
        <w:suppressAutoHyphens w:val="0"/>
        <w:autoSpaceDN/>
        <w:ind w:leftChars="295" w:left="1049" w:hangingChars="142" w:hanging="341"/>
        <w:textAlignment w:val="auto"/>
        <w:rPr>
          <w:rFonts w:ascii="標楷體" w:eastAsia="標楷體" w:hAnsi="標楷體"/>
          <w:color w:val="000000"/>
          <w:kern w:val="2"/>
        </w:rPr>
      </w:pPr>
      <w:r w:rsidRPr="00CD1F55">
        <w:rPr>
          <w:rFonts w:ascii="標楷體" w:eastAsia="標楷體" w:hAnsi="標楷體"/>
          <w:color w:val="000000"/>
          <w:kern w:val="2"/>
        </w:rPr>
        <w:t>(1)</w:t>
      </w:r>
      <w:r w:rsidRPr="00CD1F55">
        <w:rPr>
          <w:rFonts w:ascii="標楷體" w:eastAsia="標楷體" w:hAnsi="標楷體" w:hint="eastAsia"/>
          <w:color w:val="000000"/>
          <w:kern w:val="2"/>
        </w:rPr>
        <w:t>中重度之</w:t>
      </w:r>
      <w:r w:rsidRPr="00CD1F55">
        <w:rPr>
          <w:rFonts w:ascii="標楷體" w:eastAsia="標楷體" w:hAnsi="標楷體"/>
          <w:color w:val="000000"/>
          <w:kern w:val="2"/>
        </w:rPr>
        <w:t xml:space="preserve">GPP(GPPGA </w:t>
      </w:r>
      <w:r w:rsidRPr="00CD1F55">
        <w:rPr>
          <w:rFonts w:ascii="標楷體" w:eastAsia="標楷體" w:hAnsi="標楷體" w:hint="eastAsia"/>
          <w:color w:val="000000"/>
          <w:kern w:val="2"/>
        </w:rPr>
        <w:t>總分</w:t>
      </w:r>
      <w:r w:rsidRPr="00CD1F55">
        <w:rPr>
          <w:rFonts w:ascii="Times New Roman" w:eastAsia="標楷體" w:hAnsi="Times New Roman"/>
          <w:color w:val="000000"/>
          <w:kern w:val="2"/>
        </w:rPr>
        <w:t>≥</w:t>
      </w:r>
      <w:r w:rsidRPr="00CD1F55">
        <w:rPr>
          <w:rFonts w:ascii="標楷體" w:eastAsia="標楷體" w:hAnsi="標楷體"/>
          <w:color w:val="000000"/>
          <w:kern w:val="2"/>
        </w:rPr>
        <w:t xml:space="preserve"> 3</w:t>
      </w:r>
      <w:r w:rsidRPr="00CD1F55">
        <w:rPr>
          <w:rFonts w:ascii="標楷體" w:eastAsia="標楷體" w:hAnsi="標楷體" w:hint="eastAsia"/>
          <w:color w:val="000000"/>
          <w:kern w:val="2"/>
        </w:rPr>
        <w:t>且</w:t>
      </w:r>
      <w:r w:rsidRPr="00CD1F55">
        <w:rPr>
          <w:rFonts w:ascii="標楷體" w:eastAsia="標楷體" w:hAnsi="標楷體"/>
          <w:color w:val="000000"/>
          <w:kern w:val="2"/>
        </w:rPr>
        <w:t>GPPGA</w:t>
      </w:r>
      <w:r w:rsidRPr="00CD1F55">
        <w:rPr>
          <w:rFonts w:ascii="標楷體" w:eastAsia="標楷體" w:hAnsi="標楷體" w:hint="eastAsia"/>
          <w:color w:val="000000"/>
          <w:kern w:val="2"/>
        </w:rPr>
        <w:t>膿疱項目分數</w:t>
      </w:r>
      <w:r w:rsidRPr="00CD1F55">
        <w:rPr>
          <w:rFonts w:ascii="Times New Roman" w:eastAsia="標楷體" w:hAnsi="Times New Roman"/>
          <w:color w:val="000000"/>
          <w:kern w:val="2"/>
        </w:rPr>
        <w:t>≥</w:t>
      </w:r>
      <w:r w:rsidRPr="00CD1F55">
        <w:rPr>
          <w:rFonts w:ascii="標楷體" w:eastAsia="標楷體" w:hAnsi="標楷體"/>
          <w:color w:val="000000"/>
          <w:kern w:val="2"/>
        </w:rPr>
        <w:t xml:space="preserve"> 2)</w:t>
      </w:r>
      <w:r w:rsidRPr="00CD1F55">
        <w:rPr>
          <w:rFonts w:ascii="標楷體" w:eastAsia="標楷體" w:hAnsi="標楷體" w:hint="eastAsia"/>
          <w:color w:val="000000"/>
          <w:kern w:val="2"/>
        </w:rPr>
        <w:t>。</w:t>
      </w:r>
    </w:p>
    <w:p w14:paraId="2C0EFA43" w14:textId="77777777" w:rsidR="00CD1F55" w:rsidRPr="00CD1F55" w:rsidRDefault="00CD1F55" w:rsidP="00CD1F55">
      <w:pPr>
        <w:suppressAutoHyphens w:val="0"/>
        <w:autoSpaceDN/>
        <w:ind w:leftChars="295" w:left="1049" w:hangingChars="142" w:hanging="341"/>
        <w:textAlignment w:val="auto"/>
        <w:rPr>
          <w:rFonts w:ascii="標楷體" w:eastAsia="標楷體" w:hAnsi="標楷體"/>
          <w:color w:val="000000"/>
          <w:kern w:val="2"/>
        </w:rPr>
      </w:pPr>
      <w:r w:rsidRPr="00CD1F55">
        <w:rPr>
          <w:rFonts w:ascii="標楷體" w:eastAsia="標楷體" w:hAnsi="標楷體"/>
          <w:color w:val="000000"/>
          <w:kern w:val="2"/>
        </w:rPr>
        <w:t>(2)</w:t>
      </w:r>
      <w:r w:rsidRPr="00CD1F55">
        <w:rPr>
          <w:rFonts w:ascii="標楷體" w:eastAsia="標楷體" w:hAnsi="標楷體" w:hint="eastAsia"/>
          <w:color w:val="000000"/>
          <w:kern w:val="2"/>
        </w:rPr>
        <w:t>伴有膿疱之紅腫部位侵犯體表面積</w:t>
      </w:r>
      <w:r w:rsidRPr="00CD1F55">
        <w:rPr>
          <w:rFonts w:ascii="標楷體" w:eastAsia="標楷體" w:hAnsi="標楷體"/>
          <w:color w:val="000000"/>
          <w:kern w:val="2"/>
        </w:rPr>
        <w:t>&gt;10%</w:t>
      </w:r>
      <w:r w:rsidRPr="00CD1F55">
        <w:rPr>
          <w:rFonts w:ascii="標楷體" w:eastAsia="標楷體" w:hAnsi="標楷體" w:hint="eastAsia"/>
          <w:color w:val="000000"/>
          <w:kern w:val="2"/>
        </w:rPr>
        <w:t>。</w:t>
      </w:r>
    </w:p>
    <w:p w14:paraId="55A3A731" w14:textId="77777777" w:rsidR="00CD1F55" w:rsidRPr="00CD1F55" w:rsidRDefault="00CD1F55" w:rsidP="00CD1F55">
      <w:pPr>
        <w:suppressAutoHyphens w:val="0"/>
        <w:autoSpaceDN/>
        <w:ind w:leftChars="212" w:left="850" w:hangingChars="142" w:hanging="341"/>
        <w:textAlignment w:val="auto"/>
        <w:rPr>
          <w:rFonts w:ascii="標楷體" w:eastAsia="標楷體" w:hAnsi="標楷體"/>
          <w:color w:val="000000"/>
          <w:kern w:val="2"/>
        </w:rPr>
      </w:pPr>
      <w:r w:rsidRPr="00CD1F55">
        <w:rPr>
          <w:rFonts w:ascii="標楷體" w:eastAsia="標楷體" w:hAnsi="標楷體" w:hint="eastAsia"/>
          <w:color w:val="000000"/>
          <w:kern w:val="2"/>
        </w:rPr>
        <w:t>3.需經事前審查核准後使用，申請時需檢附所有病灶照片及IL36RN檢測報告，每次申請參考仿單建議劑量，以一次給予900毫克為原則。</w:t>
      </w:r>
    </w:p>
    <w:p w14:paraId="0251EE41" w14:textId="77777777" w:rsidR="00CD1F55" w:rsidRPr="00CD1F55" w:rsidRDefault="00CD1F55" w:rsidP="00CD1F55">
      <w:pPr>
        <w:suppressAutoHyphens w:val="0"/>
        <w:autoSpaceDN/>
        <w:ind w:leftChars="212" w:left="850" w:hangingChars="142" w:hanging="341"/>
        <w:textAlignment w:val="auto"/>
        <w:rPr>
          <w:rFonts w:ascii="標楷體" w:eastAsia="標楷體" w:hAnsi="標楷體"/>
          <w:color w:val="000000"/>
          <w:kern w:val="2"/>
        </w:rPr>
      </w:pPr>
      <w:r w:rsidRPr="00CD1F55">
        <w:rPr>
          <w:rFonts w:ascii="標楷體" w:eastAsia="標楷體" w:hAnsi="標楷體"/>
          <w:color w:val="000000"/>
          <w:kern w:val="2"/>
        </w:rPr>
        <w:t>4.</w:t>
      </w:r>
      <w:r w:rsidRPr="00CD1F55">
        <w:rPr>
          <w:rFonts w:ascii="標楷體" w:eastAsia="標楷體" w:hAnsi="標楷體" w:hint="eastAsia"/>
          <w:color w:val="000000"/>
          <w:kern w:val="2"/>
        </w:rPr>
        <w:t>若於給予初始劑量的</w:t>
      </w:r>
      <w:r w:rsidRPr="00CD1F55">
        <w:rPr>
          <w:rFonts w:ascii="標楷體" w:eastAsia="標楷體" w:hAnsi="標楷體"/>
          <w:color w:val="000000"/>
          <w:kern w:val="2"/>
        </w:rPr>
        <w:t>1</w:t>
      </w:r>
      <w:r w:rsidRPr="00CD1F55">
        <w:rPr>
          <w:rFonts w:ascii="標楷體" w:eastAsia="標楷體" w:hAnsi="標楷體" w:hint="eastAsia"/>
          <w:color w:val="000000"/>
          <w:kern w:val="2"/>
        </w:rPr>
        <w:t>週後急性發作症狀持續（</w:t>
      </w:r>
      <w:r w:rsidRPr="00CD1F55">
        <w:rPr>
          <w:rFonts w:ascii="標楷體" w:eastAsia="標楷體" w:hAnsi="標楷體"/>
          <w:color w:val="000000"/>
          <w:kern w:val="2"/>
        </w:rPr>
        <w:t xml:space="preserve">GPPGA </w:t>
      </w:r>
      <w:r w:rsidRPr="00CD1F55">
        <w:rPr>
          <w:rFonts w:ascii="標楷體" w:eastAsia="標楷體" w:hAnsi="標楷體" w:hint="eastAsia"/>
          <w:color w:val="000000"/>
          <w:kern w:val="2"/>
        </w:rPr>
        <w:t>總分</w:t>
      </w:r>
      <w:r w:rsidRPr="00CD1F55">
        <w:rPr>
          <w:rFonts w:ascii="Times New Roman" w:eastAsia="標楷體" w:hAnsi="Times New Roman"/>
          <w:color w:val="000000"/>
          <w:kern w:val="2"/>
        </w:rPr>
        <w:t>≥</w:t>
      </w:r>
      <w:r w:rsidRPr="00CD1F55">
        <w:rPr>
          <w:rFonts w:ascii="標楷體" w:eastAsia="標楷體" w:hAnsi="標楷體"/>
          <w:color w:val="000000"/>
          <w:kern w:val="2"/>
        </w:rPr>
        <w:t xml:space="preserve">2 </w:t>
      </w:r>
      <w:r w:rsidRPr="00CD1F55">
        <w:rPr>
          <w:rFonts w:ascii="標楷體" w:eastAsia="標楷體" w:hAnsi="標楷體" w:hint="eastAsia"/>
          <w:color w:val="000000"/>
          <w:kern w:val="2"/>
        </w:rPr>
        <w:t>且</w:t>
      </w:r>
      <w:r w:rsidRPr="00CD1F55">
        <w:rPr>
          <w:rFonts w:ascii="標楷體" w:eastAsia="標楷體" w:hAnsi="標楷體"/>
          <w:color w:val="000000"/>
          <w:kern w:val="2"/>
        </w:rPr>
        <w:t xml:space="preserve"> GPPGA </w:t>
      </w:r>
      <w:r w:rsidRPr="00CD1F55">
        <w:rPr>
          <w:rFonts w:ascii="標楷體" w:eastAsia="標楷體" w:hAnsi="標楷體" w:hint="eastAsia"/>
          <w:color w:val="000000"/>
          <w:kern w:val="2"/>
        </w:rPr>
        <w:t>單項膿疱評分</w:t>
      </w:r>
      <w:r w:rsidRPr="00CD1F55">
        <w:rPr>
          <w:rFonts w:ascii="Times New Roman" w:eastAsia="標楷體" w:hAnsi="Times New Roman"/>
          <w:color w:val="000000"/>
          <w:kern w:val="2"/>
        </w:rPr>
        <w:t>≥</w:t>
      </w:r>
      <w:r w:rsidRPr="00CD1F55">
        <w:rPr>
          <w:rFonts w:ascii="標楷體" w:eastAsia="標楷體" w:hAnsi="標楷體"/>
          <w:color w:val="000000"/>
          <w:kern w:val="2"/>
        </w:rPr>
        <w:t>2</w:t>
      </w:r>
      <w:r w:rsidRPr="00CD1F55">
        <w:rPr>
          <w:rFonts w:ascii="標楷體" w:eastAsia="標楷體" w:hAnsi="標楷體" w:hint="eastAsia"/>
          <w:color w:val="000000"/>
          <w:kern w:val="2"/>
        </w:rPr>
        <w:t>），可再給予額外一劑</w:t>
      </w:r>
      <w:r w:rsidRPr="00CD1F55">
        <w:rPr>
          <w:rFonts w:ascii="標楷體" w:eastAsia="標楷體" w:hAnsi="標楷體"/>
          <w:color w:val="000000"/>
          <w:kern w:val="2"/>
        </w:rPr>
        <w:t>900</w:t>
      </w:r>
      <w:r w:rsidRPr="00CD1F55">
        <w:rPr>
          <w:rFonts w:ascii="標楷體" w:eastAsia="標楷體" w:hAnsi="標楷體" w:hint="eastAsia"/>
          <w:color w:val="000000"/>
          <w:kern w:val="2"/>
        </w:rPr>
        <w:t>毫克。</w:t>
      </w:r>
    </w:p>
    <w:p w14:paraId="75A0071D" w14:textId="1C2DD2DC" w:rsidR="00CD1F55" w:rsidRDefault="00CD1F55" w:rsidP="00CD1F55">
      <w:pPr>
        <w:suppressAutoHyphens w:val="0"/>
        <w:autoSpaceDN/>
        <w:ind w:leftChars="212" w:left="850" w:hangingChars="142" w:hanging="341"/>
        <w:textAlignment w:val="auto"/>
        <w:rPr>
          <w:rFonts w:ascii="標楷體" w:eastAsia="標楷體" w:hAnsi="標楷體"/>
          <w:color w:val="000000"/>
        </w:rPr>
      </w:pPr>
      <w:r w:rsidRPr="00CD1F55">
        <w:rPr>
          <w:rFonts w:ascii="標楷體" w:eastAsia="標楷體" w:hAnsi="標楷體" w:hint="eastAsia"/>
          <w:color w:val="000000"/>
          <w:kern w:val="2"/>
        </w:rPr>
        <w:t>5.需檢附IL36RN突變檢測報告，且需符合全民健康保險藥品給付規定之通則十二。</w:t>
      </w:r>
    </w:p>
    <w:p w14:paraId="22B33582" w14:textId="5DDA1777" w:rsidR="00BD776B" w:rsidRDefault="00DF0C24">
      <w:pPr>
        <w:ind w:left="672" w:hanging="386"/>
      </w:pPr>
      <w:r>
        <w:rPr>
          <w:rFonts w:ascii="標楷體" w:eastAsia="標楷體" w:hAnsi="標楷體"/>
          <w:color w:val="000000"/>
        </w:rPr>
        <w:t>8.2.4.7.</w:t>
      </w:r>
      <w:r w:rsidR="00D86840" w:rsidRPr="00D86840">
        <w:rPr>
          <w:rFonts w:ascii="標楷體" w:eastAsia="標楷體" w:hAnsi="標楷體" w:hint="eastAsia"/>
          <w:color w:val="000000"/>
        </w:rPr>
        <w:t>Adalimumab（如Humira）、infliximab（如Remicade）、vedolizumab(如Entyvio)、ustekinumab（如Stelara）、risankizumab（如Skyrizi）(100/7/1、102/1/1、105/10/1、106/5/1、106/10/1、108/10/1、109/9/1、112/8/1、113/7/1、113/9/1</w:t>
      </w:r>
      <w:r w:rsidR="00451423">
        <w:rPr>
          <w:rFonts w:ascii="標楷體" w:eastAsia="標楷體" w:hAnsi="標楷體" w:hint="eastAsia"/>
          <w:color w:val="000000"/>
        </w:rPr>
        <w:t>、113/11/1</w:t>
      </w:r>
      <w:r w:rsidR="00D86840" w:rsidRPr="00D86840">
        <w:rPr>
          <w:rFonts w:ascii="標楷體" w:eastAsia="標楷體" w:hAnsi="標楷體" w:hint="eastAsia"/>
          <w:color w:val="000000"/>
        </w:rPr>
        <w:t>)</w:t>
      </w:r>
      <w:r>
        <w:rPr>
          <w:rFonts w:ascii="標楷體" w:eastAsia="標楷體" w:hAnsi="標楷體"/>
          <w:color w:val="000000"/>
        </w:rPr>
        <w:t>：用於克隆氏症治療部分</w:t>
      </w:r>
    </w:p>
    <w:p w14:paraId="50187E3D" w14:textId="0E970ED5" w:rsidR="00BD776B" w:rsidRDefault="00DF0C24" w:rsidP="00B00548">
      <w:pPr>
        <w:suppressAutoHyphens w:val="0"/>
        <w:ind w:left="672" w:hanging="386"/>
        <w:textAlignment w:val="auto"/>
        <w:rPr>
          <w:rFonts w:ascii="標楷體" w:eastAsia="標楷體" w:hAnsi="標楷體"/>
          <w:color w:val="000000"/>
        </w:rPr>
      </w:pPr>
      <w:r>
        <w:rPr>
          <w:rFonts w:ascii="標楷體" w:eastAsia="標楷體" w:hAnsi="標楷體"/>
          <w:color w:val="000000"/>
        </w:rPr>
        <w:t>8.2.4.7.1.</w:t>
      </w:r>
      <w:r w:rsidR="00D86840" w:rsidRPr="00D86840">
        <w:rPr>
          <w:rFonts w:ascii="標楷體" w:eastAsia="標楷體" w:hAnsi="標楷體" w:hint="eastAsia"/>
          <w:color w:val="000000"/>
        </w:rPr>
        <w:t>Adalimumab（如Humira）、infliximab（如Remicade）、vedolizumab(如Entyvio)、ustekinumab（如Stelara）、risankizumab（如Skyrizi）(105/10/1、106/5/1、106/10/1、108/10/1、109/9/1、112/8/1、113/7/1、113/9/1</w:t>
      </w:r>
      <w:r w:rsidR="00B00548">
        <w:rPr>
          <w:rFonts w:ascii="標楷體" w:eastAsia="標楷體" w:hAnsi="標楷體" w:hint="eastAsia"/>
          <w:color w:val="000000"/>
        </w:rPr>
        <w:t>、113/11/1</w:t>
      </w:r>
      <w:r w:rsidR="00D86840" w:rsidRPr="00D86840">
        <w:rPr>
          <w:rFonts w:ascii="標楷體" w:eastAsia="標楷體" w:hAnsi="標楷體" w:hint="eastAsia"/>
          <w:color w:val="000000"/>
        </w:rPr>
        <w:t>)</w:t>
      </w:r>
      <w:r>
        <w:rPr>
          <w:rFonts w:ascii="標楷體" w:eastAsia="標楷體" w:hAnsi="標楷體"/>
          <w:color w:val="000000"/>
        </w:rPr>
        <w:t>：成人治療部分</w:t>
      </w:r>
    </w:p>
    <w:p w14:paraId="56AFC4F9" w14:textId="77777777" w:rsidR="00BD776B" w:rsidRDefault="00DF0C24">
      <w:pPr>
        <w:suppressAutoHyphens w:val="0"/>
        <w:ind w:left="811" w:hanging="245"/>
        <w:textAlignment w:val="auto"/>
        <w:rPr>
          <w:rFonts w:ascii="標楷體" w:eastAsia="標楷體" w:hAnsi="標楷體"/>
          <w:color w:val="000000"/>
        </w:rPr>
      </w:pPr>
      <w:r>
        <w:rPr>
          <w:rFonts w:ascii="標楷體" w:eastAsia="標楷體" w:hAnsi="標楷體"/>
          <w:color w:val="000000"/>
        </w:rPr>
        <w:t>1.限具有消化系專科證書者處方。</w:t>
      </w:r>
    </w:p>
    <w:p w14:paraId="302463FE" w14:textId="77777777" w:rsidR="00BD776B" w:rsidRDefault="00DF0C24">
      <w:pPr>
        <w:suppressAutoHyphens w:val="0"/>
        <w:ind w:left="811" w:hanging="245"/>
        <w:textAlignment w:val="auto"/>
        <w:rPr>
          <w:rFonts w:ascii="標楷體" w:eastAsia="標楷體" w:hAnsi="標楷體"/>
          <w:color w:val="000000"/>
        </w:rPr>
      </w:pPr>
      <w:r>
        <w:rPr>
          <w:rFonts w:ascii="標楷體" w:eastAsia="標楷體" w:hAnsi="標楷體"/>
          <w:color w:val="000000"/>
        </w:rPr>
        <w:t>2.須經事前審查核准後使用。</w:t>
      </w:r>
    </w:p>
    <w:p w14:paraId="7F1CD173" w14:textId="77777777" w:rsidR="00BD776B" w:rsidRDefault="00DF0C24">
      <w:pPr>
        <w:suppressAutoHyphens w:val="0"/>
        <w:ind w:left="811" w:hanging="245"/>
        <w:textAlignment w:val="auto"/>
        <w:rPr>
          <w:rFonts w:ascii="標楷體" w:eastAsia="標楷體" w:hAnsi="標楷體"/>
          <w:color w:val="000000"/>
        </w:rPr>
      </w:pPr>
      <w:r>
        <w:rPr>
          <w:rFonts w:ascii="標楷體" w:eastAsia="標楷體" w:hAnsi="標楷體"/>
          <w:color w:val="000000"/>
        </w:rPr>
        <w:t>3.須經診斷為成人克隆氏症，領有克隆氏症重大傷病卡，並符合下列條件之一；且申請時應附上影像診斷評估報告。</w:t>
      </w:r>
    </w:p>
    <w:p w14:paraId="0F9C223D"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(1)克隆氏症病情發作，經5-aminosalicylic acid藥物 (sulfasalazine, mesalamine, balsalazide)、類固醇、及/或免疫抑制劑(azathioprine, 6-mercaptopurine, methotrexate)充分治療超過六個月，仍然無法控制病情(CDAI≧300)或產生嚴重藥物副作用時，且病況不適合手術者。</w:t>
      </w:r>
    </w:p>
    <w:p w14:paraId="73DA4291"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(2)克隆氏症經5-aminosalicylic acid 藥物如(sulfasalazine, mesalamine, balsalazide)、類固醇、及免疫抑制劑(azathioprine, 6-mercaptopurine, methotrexate)充分治療超過六個月，或外科手術治療，肛門周圍廔管或腹壁廔管仍無法癒合且CDAI≧100者。</w:t>
      </w:r>
    </w:p>
    <w:p w14:paraId="586F2FCE" w14:textId="7252348B" w:rsidR="00C24191" w:rsidRDefault="00DF0C24" w:rsidP="00154B03">
      <w:pPr>
        <w:suppressAutoHyphens w:val="0"/>
        <w:ind w:left="1049" w:hanging="341"/>
        <w:textAlignment w:val="auto"/>
        <w:rPr>
          <w:rFonts w:ascii="標楷體" w:eastAsia="標楷體" w:hAnsi="標楷體"/>
          <w:color w:val="000000"/>
        </w:rPr>
      </w:pPr>
      <w:r>
        <w:rPr>
          <w:rFonts w:ascii="標楷體" w:eastAsia="標楷體" w:hAnsi="標楷體"/>
          <w:color w:val="000000"/>
        </w:rPr>
        <w:t xml:space="preserve">(3)克隆氏症經5-aminosalicylic acid 藥物如(sulfasalazine, mesalamine, </w:t>
      </w:r>
      <w:r>
        <w:rPr>
          <w:rFonts w:ascii="標楷體" w:eastAsia="標楷體" w:hAnsi="標楷體"/>
          <w:color w:val="000000"/>
        </w:rPr>
        <w:lastRenderedPageBreak/>
        <w:t>balsalazide)、類固醇、及免疫抑制劑(azathioprine, 6-mercaptopurine, methotrexate)充分治療，仍於一年內因克隆氏症之併發症接受二次(含)以上之手術治療且CDAI≧100者。</w:t>
      </w:r>
      <w:r w:rsidR="00154B03">
        <w:rPr>
          <w:rFonts w:ascii="標楷體" w:eastAsia="標楷體" w:hAnsi="標楷體"/>
          <w:color w:val="000000"/>
        </w:rPr>
        <w:t xml:space="preserve"> </w:t>
      </w:r>
    </w:p>
    <w:p w14:paraId="74915824" w14:textId="77777777" w:rsidR="00BD776B" w:rsidRDefault="00DF0C24">
      <w:pPr>
        <w:suppressAutoHyphens w:val="0"/>
        <w:ind w:left="809" w:hanging="341"/>
        <w:textAlignment w:val="auto"/>
        <w:rPr>
          <w:rFonts w:ascii="標楷體" w:eastAsia="標楷體" w:hAnsi="標楷體"/>
          <w:color w:val="000000"/>
        </w:rPr>
      </w:pPr>
      <w:r>
        <w:rPr>
          <w:rFonts w:ascii="標楷體" w:eastAsia="標楷體" w:hAnsi="標楷體"/>
          <w:color w:val="000000"/>
        </w:rPr>
        <w:t>4.療效評估與繼續使用：</w:t>
      </w:r>
    </w:p>
    <w:p w14:paraId="248D3955" w14:textId="56FE71B8" w:rsidR="0073339B" w:rsidRPr="0073339B" w:rsidRDefault="00DF0C24" w:rsidP="0073339B">
      <w:pPr>
        <w:suppressAutoHyphens w:val="0"/>
        <w:ind w:left="1049" w:hanging="341"/>
        <w:textAlignment w:val="auto"/>
        <w:rPr>
          <w:rFonts w:ascii="標楷體" w:eastAsia="標楷體" w:hAnsi="標楷體"/>
          <w:color w:val="000000"/>
        </w:rPr>
      </w:pPr>
      <w:r>
        <w:rPr>
          <w:rFonts w:ascii="標楷體" w:eastAsia="標楷體" w:hAnsi="標楷體"/>
          <w:color w:val="000000"/>
        </w:rPr>
        <w:t>(1)</w:t>
      </w:r>
      <w:r w:rsidR="0073339B" w:rsidRPr="0073339B">
        <w:rPr>
          <w:rFonts w:ascii="標楷體" w:eastAsia="標楷體" w:hAnsi="標楷體" w:hint="eastAsia"/>
          <w:color w:val="000000"/>
        </w:rPr>
        <w:t>初次申請：adalimumab以6週(使用4劑為限)；infliximab以6週(使用3劑為限)；vedolizumab以6週(使用靜脈注射3劑為限)，或以2週(使用靜脈注射2劑為限)；ustekinumab以8週(使用靜脈注射1劑為限)，risankizumab以8週(使用靜脈注射3劑為限)，完成誘導治療後，達到有效緩解之誘導或部份有效緩解之誘導，方得申請繼續使用。誘導緩解失敗者，得提出申請轉換他類生物製劑，然同一療程不得合併使用。(106/5/1、106/10/1、109/9/1、112/8/1、113</w:t>
      </w:r>
      <w:r w:rsidR="0073339B" w:rsidRPr="0073339B">
        <w:rPr>
          <w:rFonts w:ascii="標楷體" w:eastAsia="標楷體" w:hAnsi="標楷體"/>
          <w:color w:val="000000"/>
        </w:rPr>
        <w:t>/9/1)</w:t>
      </w:r>
    </w:p>
    <w:p w14:paraId="58DD3E9B" w14:textId="77777777" w:rsidR="0073339B" w:rsidRPr="0073339B" w:rsidRDefault="0073339B" w:rsidP="00195B5F">
      <w:pPr>
        <w:suppressAutoHyphens w:val="0"/>
        <w:ind w:left="1361" w:hanging="340"/>
        <w:textAlignment w:val="auto"/>
        <w:rPr>
          <w:rFonts w:ascii="標楷體" w:eastAsia="標楷體" w:hAnsi="標楷體"/>
          <w:color w:val="000000"/>
        </w:rPr>
      </w:pPr>
      <w:r w:rsidRPr="0073339B">
        <w:rPr>
          <w:rFonts w:ascii="標楷體" w:eastAsia="標楷體" w:hAnsi="標楷體" w:hint="eastAsia"/>
          <w:color w:val="000000"/>
        </w:rPr>
        <w:t>i有效緩解之誘導：CDAI≦150或廔管痊癒。</w:t>
      </w:r>
    </w:p>
    <w:p w14:paraId="3AB79A26" w14:textId="77777777" w:rsidR="0073339B" w:rsidRPr="0073339B" w:rsidRDefault="0073339B" w:rsidP="00195B5F">
      <w:pPr>
        <w:suppressAutoHyphens w:val="0"/>
        <w:ind w:left="1361" w:hanging="340"/>
        <w:textAlignment w:val="auto"/>
        <w:rPr>
          <w:rFonts w:ascii="標楷體" w:eastAsia="標楷體" w:hAnsi="標楷體"/>
          <w:color w:val="000000"/>
        </w:rPr>
      </w:pPr>
      <w:r w:rsidRPr="0073339B">
        <w:rPr>
          <w:rFonts w:ascii="標楷體" w:eastAsia="標楷體" w:hAnsi="標楷體" w:hint="eastAsia"/>
          <w:color w:val="000000"/>
        </w:rPr>
        <w:t>ii部份有效緩解之誘導：CDAI分數下降≧100或廔管數量減少。</w:t>
      </w:r>
    </w:p>
    <w:p w14:paraId="30A1757A" w14:textId="04685513" w:rsidR="0073339B" w:rsidRPr="0073339B" w:rsidRDefault="0073339B" w:rsidP="0073339B">
      <w:pPr>
        <w:suppressAutoHyphens w:val="0"/>
        <w:ind w:left="1049" w:hanging="341"/>
        <w:textAlignment w:val="auto"/>
        <w:rPr>
          <w:rFonts w:ascii="標楷體" w:eastAsia="標楷體" w:hAnsi="標楷體"/>
          <w:color w:val="000000"/>
        </w:rPr>
      </w:pPr>
      <w:r w:rsidRPr="0073339B">
        <w:rPr>
          <w:rFonts w:ascii="標楷體" w:eastAsia="標楷體" w:hAnsi="標楷體" w:hint="eastAsia"/>
          <w:color w:val="000000"/>
        </w:rPr>
        <w:t>(2)</w:t>
      </w:r>
      <w:r w:rsidR="0039422B" w:rsidRPr="0039422B">
        <w:rPr>
          <w:rFonts w:ascii="標楷體" w:eastAsia="標楷體" w:hAnsi="標楷體" w:hint="eastAsia"/>
          <w:color w:val="000000"/>
        </w:rPr>
        <w:t>繼續使用者:adalimumab需每24週(使用12劑)；infliximab需16週(使用2劑)或24週(使用3劑)；vedolizumab需16週(使用靜脈注射2劑)或24週(使用靜脈注射3劑)，或第6週起，每24週(使用皮下注射12劑)；ustekinumab需每24週(使用2劑或3劑)；risankizumab需每16週(使用皮下注射2劑)或24週(使用皮下注射3劑)評估一次。評估仍維持前一次療程有效或部份有效緩解時之CDAI分數者，方得提出申請續用。Ustekinumab治療達到部分有效緩解者，經消化系專科醫師評估後，得申請繼續使用，以每隔8週給予皮下注射維持劑量90mg。每次申請adalimumab以24週(使用12劑)；infliximab以16週(使用2劑)或24週(使用3劑)；vedolizumab以16週(使用靜脈注射2劑)或24週(使用靜脈注射3劑)，或每24週(使用皮下注射12劑)；ustekinumab以24週(使用2劑或3劑)；risankizumab以每16週(使用皮下注射2劑)或24週(使用皮下注射3劑)為限。(106/5/1、106/10/1、108/10/1、109/9/1、112/8/1、113/9/1、113/11/1)</w:t>
      </w:r>
    </w:p>
    <w:p w14:paraId="6716D5CD" w14:textId="6954E112" w:rsidR="00BD776B" w:rsidRDefault="0073339B" w:rsidP="0073339B">
      <w:pPr>
        <w:suppressAutoHyphens w:val="0"/>
        <w:ind w:left="1049" w:hanging="341"/>
        <w:textAlignment w:val="auto"/>
        <w:rPr>
          <w:rFonts w:ascii="標楷體" w:eastAsia="標楷體" w:hAnsi="標楷體"/>
          <w:color w:val="000000"/>
        </w:rPr>
      </w:pPr>
      <w:r w:rsidRPr="0073339B">
        <w:rPr>
          <w:rFonts w:ascii="標楷體" w:eastAsia="標楷體" w:hAnsi="標楷體" w:hint="eastAsia"/>
          <w:color w:val="000000"/>
        </w:rPr>
        <w:t>(3)</w:t>
      </w:r>
      <w:r w:rsidR="0039422B" w:rsidRPr="0039422B">
        <w:rPr>
          <w:rFonts w:ascii="標楷體" w:eastAsia="標楷體" w:hAnsi="標楷體" w:hint="eastAsia"/>
          <w:color w:val="000000"/>
        </w:rPr>
        <w:t>總療程:adalimumab治療54週使用28劑；infliximab治療46週使用8劑(療效持續至54週)；vedolizumab靜脈注射治療46週，使用靜脈注射8劑(療效持續至54週)，或vedolizumab靜脈注射搭配皮下注射共治療52週，使用靜脈注射2劑，皮下注射24劑(療效持續至54週)；ustekinumab治療44週使用5劑或 48週使用7劑；risankizumab靜脈注射搭配皮下注射共治療44週，使用靜脈注射3劑，皮下注射5劑(療效持續至52週)。總療程結束後，必須至少再間隔超過3個月後，因病情復發或以其他治療難以控制達上述3.之(1)(2)(3)之標準(惟其中經5-aminosalicylic acid藥物、類固醇、及/或免疫抑制劑充分治療，連續超過3個月)才能再次提出申請使用</w:t>
      </w:r>
      <w:r w:rsidR="0039422B">
        <w:rPr>
          <w:rFonts w:ascii="標楷體" w:eastAsia="標楷體" w:hAnsi="標楷體" w:hint="eastAsia"/>
          <w:color w:val="000000"/>
        </w:rPr>
        <w:t>。</w:t>
      </w:r>
      <w:r w:rsidR="0039422B" w:rsidRPr="0039422B">
        <w:rPr>
          <w:rFonts w:ascii="標楷體" w:eastAsia="標楷體" w:hAnsi="標楷體" w:hint="eastAsia"/>
          <w:color w:val="000000"/>
        </w:rPr>
        <w:t>（105/10/1、106/5/1、106/10/1、108/10/1、109/9/1、112/8/1、113/9/1、113/11/1）</w:t>
      </w:r>
    </w:p>
    <w:p w14:paraId="343E4AD3" w14:textId="39C3E72E" w:rsidR="00154B03" w:rsidRDefault="00154B03">
      <w:pPr>
        <w:suppressAutoHyphens w:val="0"/>
        <w:ind w:left="1049" w:hanging="341"/>
        <w:textAlignment w:val="auto"/>
        <w:rPr>
          <w:rFonts w:ascii="標楷體" w:eastAsia="標楷體" w:hAnsi="標楷體"/>
          <w:color w:val="000000"/>
        </w:rPr>
      </w:pPr>
      <w:r w:rsidRPr="00154B03">
        <w:rPr>
          <w:rFonts w:ascii="標楷體" w:eastAsia="標楷體" w:hAnsi="標楷體"/>
          <w:color w:val="000000"/>
        </w:rPr>
        <w:t>(4)</w:t>
      </w:r>
      <w:r w:rsidRPr="00154B03">
        <w:rPr>
          <w:rFonts w:ascii="標楷體" w:eastAsia="標楷體" w:hAnsi="標楷體" w:hint="eastAsia"/>
          <w:color w:val="000000"/>
        </w:rPr>
        <w:t>連續</w:t>
      </w:r>
      <w:r w:rsidRPr="00154B03">
        <w:rPr>
          <w:rFonts w:ascii="標楷體" w:eastAsia="標楷體" w:hAnsi="標楷體"/>
          <w:color w:val="000000"/>
        </w:rPr>
        <w:t>2</w:t>
      </w:r>
      <w:r w:rsidRPr="00154B03">
        <w:rPr>
          <w:rFonts w:ascii="標楷體" w:eastAsia="標楷體" w:hAnsi="標楷體" w:hint="eastAsia"/>
          <w:color w:val="000000"/>
        </w:rPr>
        <w:t>次於總療程結束後復發</w:t>
      </w:r>
      <w:r w:rsidRPr="00154B03">
        <w:rPr>
          <w:rFonts w:ascii="標楷體" w:eastAsia="標楷體" w:hAnsi="標楷體"/>
          <w:color w:val="000000"/>
        </w:rPr>
        <w:t>(CDAI</w:t>
      </w:r>
      <w:r w:rsidRPr="00154B03">
        <w:rPr>
          <w:rFonts w:ascii="Times New Roman" w:eastAsia="標楷體" w:hAnsi="Times New Roman"/>
          <w:color w:val="000000"/>
        </w:rPr>
        <w:t>≥</w:t>
      </w:r>
      <w:r w:rsidRPr="00154B03">
        <w:rPr>
          <w:rFonts w:ascii="標楷體" w:eastAsia="標楷體" w:hAnsi="標楷體"/>
          <w:color w:val="000000"/>
        </w:rPr>
        <w:t xml:space="preserve">300) </w:t>
      </w:r>
      <w:r w:rsidRPr="00154B03">
        <w:rPr>
          <w:rFonts w:ascii="標楷體" w:eastAsia="標楷體" w:hAnsi="標楷體" w:hint="eastAsia"/>
          <w:color w:val="000000"/>
        </w:rPr>
        <w:t>者，且第</w:t>
      </w:r>
      <w:r w:rsidRPr="00154B03">
        <w:rPr>
          <w:rFonts w:ascii="標楷體" w:eastAsia="標楷體" w:hAnsi="標楷體"/>
          <w:color w:val="000000"/>
        </w:rPr>
        <w:t>2</w:t>
      </w:r>
      <w:r w:rsidRPr="00154B03">
        <w:rPr>
          <w:rFonts w:ascii="標楷體" w:eastAsia="標楷體" w:hAnsi="標楷體" w:hint="eastAsia"/>
          <w:color w:val="000000"/>
        </w:rPr>
        <w:t>次復發於藥效終止後</w:t>
      </w:r>
      <w:r w:rsidRPr="00154B03">
        <w:rPr>
          <w:rFonts w:ascii="標楷體" w:eastAsia="標楷體" w:hAnsi="標楷體"/>
          <w:color w:val="000000"/>
        </w:rPr>
        <w:t>3</w:t>
      </w:r>
      <w:r w:rsidRPr="00154B03">
        <w:rPr>
          <w:rFonts w:ascii="標楷體" w:eastAsia="標楷體" w:hAnsi="標楷體" w:hint="eastAsia"/>
          <w:color w:val="000000"/>
        </w:rPr>
        <w:t>個月內發生，則可持續使用，惟需每</w:t>
      </w:r>
      <w:r w:rsidRPr="00154B03">
        <w:rPr>
          <w:rFonts w:ascii="標楷體" w:eastAsia="標楷體" w:hAnsi="標楷體"/>
          <w:color w:val="000000"/>
        </w:rPr>
        <w:t>24</w:t>
      </w:r>
      <w:r w:rsidRPr="00154B03">
        <w:rPr>
          <w:rFonts w:ascii="標楷體" w:eastAsia="標楷體" w:hAnsi="標楷體" w:hint="eastAsia"/>
          <w:color w:val="000000"/>
        </w:rPr>
        <w:t>週提出續用事前審查。仍維持前一療程有效或部分有效緩解之</w:t>
      </w:r>
      <w:r w:rsidRPr="00154B03">
        <w:rPr>
          <w:rFonts w:ascii="標楷體" w:eastAsia="標楷體" w:hAnsi="標楷體"/>
          <w:color w:val="000000"/>
        </w:rPr>
        <w:t>CDAI</w:t>
      </w:r>
      <w:r w:rsidRPr="00154B03">
        <w:rPr>
          <w:rFonts w:ascii="標楷體" w:eastAsia="標楷體" w:hAnsi="標楷體" w:hint="eastAsia"/>
          <w:color w:val="000000"/>
        </w:rPr>
        <w:t>分數，才可繼續申請事前審查。連續</w:t>
      </w:r>
      <w:r w:rsidRPr="00154B03">
        <w:rPr>
          <w:rFonts w:ascii="標楷體" w:eastAsia="標楷體" w:hAnsi="標楷體"/>
          <w:color w:val="000000"/>
        </w:rPr>
        <w:t>2</w:t>
      </w:r>
      <w:r w:rsidRPr="00154B03">
        <w:rPr>
          <w:rFonts w:ascii="標楷體" w:eastAsia="標楷體" w:hAnsi="標楷體" w:hint="eastAsia"/>
          <w:color w:val="000000"/>
        </w:rPr>
        <w:t>年</w:t>
      </w:r>
      <w:r w:rsidRPr="00154B03">
        <w:rPr>
          <w:rFonts w:ascii="標楷體" w:eastAsia="標楷體" w:hAnsi="標楷體"/>
          <w:color w:val="000000"/>
        </w:rPr>
        <w:t>(4</w:t>
      </w:r>
      <w:r w:rsidRPr="00154B03">
        <w:rPr>
          <w:rFonts w:ascii="標楷體" w:eastAsia="標楷體" w:hAnsi="標楷體" w:hint="eastAsia"/>
          <w:color w:val="000000"/>
        </w:rPr>
        <w:t>次評估</w:t>
      </w:r>
      <w:r w:rsidRPr="00154B03">
        <w:rPr>
          <w:rFonts w:ascii="標楷體" w:eastAsia="標楷體" w:hAnsi="標楷體"/>
          <w:color w:val="000000"/>
        </w:rPr>
        <w:t>)</w:t>
      </w:r>
      <w:r w:rsidRPr="00154B03">
        <w:rPr>
          <w:rFonts w:ascii="標楷體" w:eastAsia="標楷體" w:hAnsi="標楷體" w:hint="eastAsia"/>
          <w:color w:val="000000"/>
        </w:rPr>
        <w:t>達到</w:t>
      </w:r>
      <w:r w:rsidRPr="00154B03">
        <w:rPr>
          <w:rFonts w:ascii="標楷體" w:eastAsia="標楷體" w:hAnsi="標楷體"/>
          <w:color w:val="000000"/>
        </w:rPr>
        <w:t>CDAI&lt;150</w:t>
      </w:r>
      <w:r w:rsidRPr="00154B03">
        <w:rPr>
          <w:rFonts w:ascii="標楷體" w:eastAsia="標楷體" w:hAnsi="標楷體" w:hint="eastAsia"/>
          <w:color w:val="000000"/>
        </w:rPr>
        <w:t>，則應考慮停藥。（</w:t>
      </w:r>
      <w:r w:rsidRPr="00154B03">
        <w:rPr>
          <w:rFonts w:ascii="標楷體" w:eastAsia="標楷體" w:hAnsi="標楷體"/>
          <w:color w:val="000000"/>
        </w:rPr>
        <w:t>113/7/1</w:t>
      </w:r>
      <w:r w:rsidRPr="00154B03">
        <w:rPr>
          <w:rFonts w:ascii="標楷體" w:eastAsia="標楷體" w:hAnsi="標楷體" w:hint="eastAsia"/>
          <w:color w:val="000000"/>
        </w:rPr>
        <w:t>）</w:t>
      </w:r>
    </w:p>
    <w:p w14:paraId="721510FB" w14:textId="77777777" w:rsidR="00BD776B" w:rsidRDefault="00DF0C24">
      <w:pPr>
        <w:suppressAutoHyphens w:val="0"/>
        <w:ind w:left="811" w:hanging="245"/>
        <w:textAlignment w:val="auto"/>
        <w:rPr>
          <w:rFonts w:ascii="標楷體" w:eastAsia="標楷體" w:hAnsi="標楷體"/>
          <w:color w:val="000000"/>
        </w:rPr>
      </w:pPr>
      <w:r>
        <w:rPr>
          <w:rFonts w:ascii="標楷體" w:eastAsia="標楷體" w:hAnsi="標楷體"/>
          <w:color w:val="000000"/>
        </w:rPr>
        <w:t>5.使用劑量：</w:t>
      </w:r>
    </w:p>
    <w:p w14:paraId="2D396286" w14:textId="77777777" w:rsidR="00BD776B" w:rsidRDefault="00DF0C24">
      <w:pPr>
        <w:suppressAutoHyphens w:val="0"/>
        <w:ind w:left="1202" w:hanging="384"/>
        <w:textAlignment w:val="auto"/>
        <w:rPr>
          <w:rFonts w:ascii="標楷體" w:eastAsia="標楷體" w:hAnsi="標楷體"/>
          <w:color w:val="000000"/>
        </w:rPr>
      </w:pPr>
      <w:r>
        <w:rPr>
          <w:rFonts w:ascii="標楷體" w:eastAsia="標楷體" w:hAnsi="標楷體"/>
          <w:color w:val="000000"/>
        </w:rPr>
        <w:t>(1)Adalimumab：原則上，最初第一劑160mg，兩週後第二劑80mg，第四週之第三劑40mg，作為緩解之誘導；之後每隔兩週給予維持劑量40mg，可持續治療至54週(總共使用28劑)，作為緩解之維持。（105/10/1、106/5/1）</w:t>
      </w:r>
    </w:p>
    <w:p w14:paraId="0D85738B" w14:textId="77777777" w:rsidR="00BD776B" w:rsidRDefault="00DF0C24">
      <w:pPr>
        <w:suppressAutoHyphens w:val="0"/>
        <w:ind w:left="1202" w:hanging="384"/>
        <w:textAlignment w:val="auto"/>
        <w:rPr>
          <w:rFonts w:ascii="標楷體" w:eastAsia="標楷體" w:hAnsi="標楷體"/>
          <w:color w:val="000000"/>
        </w:rPr>
      </w:pPr>
      <w:r>
        <w:rPr>
          <w:rFonts w:ascii="標楷體" w:eastAsia="標楷體" w:hAnsi="標楷體"/>
          <w:color w:val="000000"/>
        </w:rPr>
        <w:lastRenderedPageBreak/>
        <w:t>(2)Infliximab：原則上，第0、2、6週給予靜脈輸注5mg/kg作為緩解之誘導；之後每隔8週給予維持劑量5mg/kg， 可持續治療至第46週 (總共使用8劑，療效持續至54週)，作為緩解之維持。（106/5/1）</w:t>
      </w:r>
    </w:p>
    <w:p w14:paraId="53AE4C33" w14:textId="77777777" w:rsidR="00BD776B" w:rsidRDefault="00DF0C24">
      <w:pPr>
        <w:suppressAutoHyphens w:val="0"/>
        <w:ind w:left="1202" w:hanging="384"/>
        <w:textAlignment w:val="auto"/>
      </w:pPr>
      <w:r>
        <w:rPr>
          <w:rFonts w:ascii="標楷體" w:eastAsia="標楷體" w:hAnsi="標楷體"/>
          <w:color w:val="000000"/>
        </w:rPr>
        <w:t>(3)</w:t>
      </w:r>
      <w:r>
        <w:t xml:space="preserve"> </w:t>
      </w:r>
      <w:r>
        <w:rPr>
          <w:rFonts w:ascii="標楷體" w:eastAsia="標楷體" w:hAnsi="標楷體"/>
          <w:color w:val="000000"/>
        </w:rPr>
        <w:t>Vedolizumab：原則上，第0、2、6週給予靜脈輸注300mg作為緩解之誘導；之後每隔8週給予維持劑量300mg，可持續治療至第46週(總共使用靜脈輸注8劑，療效持續至54週)，作為緩解之維持。或第0、2週給予靜脈輸注300mg作為緩解之誘導；第6週開始給予皮下注射維持劑量108mg，之後每隔2週給予皮下注射維持劑量108mg，可持續治療至第52週 (總共使用靜脈注射2劑，皮下注射24劑，療效持續至54週)，作為緩解之維持。（106/10/1、112/8/1）</w:t>
      </w:r>
    </w:p>
    <w:p w14:paraId="7C918C98" w14:textId="7DA2015C" w:rsidR="0073339B" w:rsidRDefault="00DF0C24" w:rsidP="0073339B">
      <w:pPr>
        <w:suppressAutoHyphens w:val="0"/>
        <w:ind w:left="1202" w:hanging="384"/>
        <w:textAlignment w:val="auto"/>
        <w:rPr>
          <w:rFonts w:ascii="標楷體" w:eastAsia="標楷體" w:hAnsi="標楷體"/>
          <w:color w:val="000000"/>
        </w:rPr>
      </w:pPr>
      <w:r>
        <w:rPr>
          <w:rFonts w:ascii="標楷體" w:eastAsia="標楷體" w:hAnsi="標楷體"/>
          <w:color w:val="000000"/>
        </w:rPr>
        <w:t>(4)</w:t>
      </w:r>
      <w:r w:rsidR="0039422B" w:rsidRPr="0039422B">
        <w:rPr>
          <w:rFonts w:ascii="標楷體" w:eastAsia="標楷體" w:hAnsi="標楷體"/>
          <w:color w:val="000000"/>
        </w:rPr>
        <w:t>Ustekinumab</w:t>
      </w:r>
      <w:r w:rsidR="0039422B" w:rsidRPr="0039422B">
        <w:rPr>
          <w:rFonts w:ascii="標楷體" w:eastAsia="標楷體" w:hAnsi="標楷體" w:hint="eastAsia"/>
          <w:color w:val="000000"/>
        </w:rPr>
        <w:t>：原則上，第</w:t>
      </w:r>
      <w:r w:rsidR="0039422B" w:rsidRPr="0039422B">
        <w:rPr>
          <w:rFonts w:ascii="標楷體" w:eastAsia="標楷體" w:hAnsi="標楷體"/>
          <w:color w:val="000000"/>
        </w:rPr>
        <w:t>0</w:t>
      </w:r>
      <w:r w:rsidR="0039422B" w:rsidRPr="0039422B">
        <w:rPr>
          <w:rFonts w:ascii="標楷體" w:eastAsia="標楷體" w:hAnsi="標楷體" w:hint="eastAsia"/>
          <w:color w:val="000000"/>
        </w:rPr>
        <w:t>週給予靜脈輸注作為緩解之誘導（體重</w:t>
      </w:r>
      <w:r w:rsidR="0039422B" w:rsidRPr="0039422B">
        <w:rPr>
          <w:rFonts w:ascii="Times New Roman" w:eastAsia="標楷體" w:hAnsi="Times New Roman"/>
          <w:color w:val="000000"/>
        </w:rPr>
        <w:t>≤</w:t>
      </w:r>
      <w:r w:rsidR="0039422B" w:rsidRPr="0039422B">
        <w:rPr>
          <w:rFonts w:ascii="標楷體" w:eastAsia="標楷體" w:hAnsi="標楷體"/>
          <w:color w:val="000000"/>
        </w:rPr>
        <w:t>55kg</w:t>
      </w:r>
      <w:r w:rsidR="0039422B" w:rsidRPr="0039422B">
        <w:rPr>
          <w:rFonts w:ascii="標楷體" w:eastAsia="標楷體" w:hAnsi="標楷體" w:hint="eastAsia"/>
          <w:color w:val="000000"/>
        </w:rPr>
        <w:t>使用</w:t>
      </w:r>
      <w:r w:rsidR="0039422B" w:rsidRPr="0039422B">
        <w:rPr>
          <w:rFonts w:ascii="標楷體" w:eastAsia="標楷體" w:hAnsi="標楷體"/>
          <w:color w:val="000000"/>
        </w:rPr>
        <w:t>260 mg;</w:t>
      </w:r>
      <w:r w:rsidR="0039422B" w:rsidRPr="0039422B">
        <w:rPr>
          <w:rFonts w:ascii="標楷體" w:eastAsia="標楷體" w:hAnsi="標楷體" w:hint="eastAsia"/>
          <w:color w:val="000000"/>
        </w:rPr>
        <w:t>大於</w:t>
      </w:r>
      <w:r w:rsidR="0039422B" w:rsidRPr="0039422B">
        <w:rPr>
          <w:rFonts w:ascii="標楷體" w:eastAsia="標楷體" w:hAnsi="標楷體"/>
          <w:color w:val="000000"/>
        </w:rPr>
        <w:t>55kg</w:t>
      </w:r>
      <w:r w:rsidR="0039422B" w:rsidRPr="0039422B">
        <w:rPr>
          <w:rFonts w:ascii="標楷體" w:eastAsia="標楷體" w:hAnsi="標楷體" w:hint="eastAsia"/>
          <w:color w:val="000000"/>
        </w:rPr>
        <w:t>至</w:t>
      </w:r>
      <w:r w:rsidR="0039422B" w:rsidRPr="0039422B">
        <w:rPr>
          <w:rFonts w:ascii="標楷體" w:eastAsia="標楷體" w:hAnsi="標楷體"/>
          <w:color w:val="000000"/>
        </w:rPr>
        <w:t>85kg</w:t>
      </w:r>
      <w:r w:rsidR="0039422B" w:rsidRPr="0039422B">
        <w:rPr>
          <w:rFonts w:ascii="標楷體" w:eastAsia="標楷體" w:hAnsi="標楷體" w:hint="eastAsia"/>
          <w:color w:val="000000"/>
        </w:rPr>
        <w:t>使用</w:t>
      </w:r>
      <w:r w:rsidR="0039422B" w:rsidRPr="0039422B">
        <w:rPr>
          <w:rFonts w:ascii="標楷體" w:eastAsia="標楷體" w:hAnsi="標楷體"/>
          <w:color w:val="000000"/>
        </w:rPr>
        <w:t>390mg;&gt;85kg</w:t>
      </w:r>
      <w:r w:rsidR="0039422B" w:rsidRPr="0039422B">
        <w:rPr>
          <w:rFonts w:ascii="標楷體" w:eastAsia="標楷體" w:hAnsi="標楷體" w:hint="eastAsia"/>
          <w:color w:val="000000"/>
        </w:rPr>
        <w:t>者使用</w:t>
      </w:r>
      <w:r w:rsidR="0039422B" w:rsidRPr="0039422B">
        <w:rPr>
          <w:rFonts w:ascii="標楷體" w:eastAsia="標楷體" w:hAnsi="標楷體"/>
          <w:color w:val="000000"/>
        </w:rPr>
        <w:t>520mg</w:t>
      </w:r>
      <w:r w:rsidR="0039422B" w:rsidRPr="0039422B">
        <w:rPr>
          <w:rFonts w:ascii="標楷體" w:eastAsia="標楷體" w:hAnsi="標楷體" w:hint="eastAsia"/>
          <w:color w:val="000000"/>
        </w:rPr>
        <w:t>）；之後每隔</w:t>
      </w:r>
      <w:r w:rsidR="0039422B" w:rsidRPr="0039422B">
        <w:rPr>
          <w:rFonts w:ascii="標楷體" w:eastAsia="標楷體" w:hAnsi="標楷體"/>
          <w:color w:val="000000"/>
        </w:rPr>
        <w:t>12</w:t>
      </w:r>
      <w:r w:rsidR="0039422B" w:rsidRPr="0039422B">
        <w:rPr>
          <w:rFonts w:ascii="標楷體" w:eastAsia="標楷體" w:hAnsi="標楷體" w:hint="eastAsia"/>
          <w:color w:val="000000"/>
        </w:rPr>
        <w:t>週或每隔</w:t>
      </w:r>
      <w:r w:rsidR="0039422B" w:rsidRPr="0039422B">
        <w:rPr>
          <w:rFonts w:ascii="標楷體" w:eastAsia="標楷體" w:hAnsi="標楷體"/>
          <w:color w:val="000000"/>
        </w:rPr>
        <w:t>8</w:t>
      </w:r>
      <w:r w:rsidR="0039422B" w:rsidRPr="0039422B">
        <w:rPr>
          <w:rFonts w:ascii="標楷體" w:eastAsia="標楷體" w:hAnsi="標楷體" w:hint="eastAsia"/>
          <w:color w:val="000000"/>
        </w:rPr>
        <w:t>週給予皮下注射維持劑量</w:t>
      </w:r>
      <w:r w:rsidR="0039422B" w:rsidRPr="0039422B">
        <w:rPr>
          <w:rFonts w:ascii="標楷體" w:eastAsia="標楷體" w:hAnsi="標楷體"/>
          <w:color w:val="000000"/>
        </w:rPr>
        <w:t>90mg</w:t>
      </w:r>
      <w:r w:rsidR="0039422B" w:rsidRPr="0039422B">
        <w:rPr>
          <w:rFonts w:ascii="標楷體" w:eastAsia="標楷體" w:hAnsi="標楷體" w:hint="eastAsia"/>
          <w:color w:val="000000"/>
        </w:rPr>
        <w:t>，可持續治療至第</w:t>
      </w:r>
      <w:r w:rsidR="0039422B" w:rsidRPr="0039422B">
        <w:rPr>
          <w:rFonts w:ascii="標楷體" w:eastAsia="標楷體" w:hAnsi="標楷體"/>
          <w:color w:val="000000"/>
        </w:rPr>
        <w:t>44</w:t>
      </w:r>
      <w:r w:rsidR="0039422B" w:rsidRPr="0039422B">
        <w:rPr>
          <w:rFonts w:ascii="標楷體" w:eastAsia="標楷體" w:hAnsi="標楷體" w:hint="eastAsia"/>
          <w:color w:val="000000"/>
        </w:rPr>
        <w:t>週或第</w:t>
      </w:r>
      <w:r w:rsidR="0039422B" w:rsidRPr="0039422B">
        <w:rPr>
          <w:rFonts w:ascii="標楷體" w:eastAsia="標楷體" w:hAnsi="標楷體"/>
          <w:color w:val="000000"/>
        </w:rPr>
        <w:t>48</w:t>
      </w:r>
      <w:r w:rsidR="0039422B" w:rsidRPr="0039422B">
        <w:rPr>
          <w:rFonts w:ascii="標楷體" w:eastAsia="標楷體" w:hAnsi="標楷體" w:hint="eastAsia"/>
          <w:color w:val="000000"/>
        </w:rPr>
        <w:t>週</w:t>
      </w:r>
      <w:r w:rsidR="0039422B" w:rsidRPr="0039422B">
        <w:rPr>
          <w:rFonts w:ascii="標楷體" w:eastAsia="標楷體" w:hAnsi="標楷體"/>
          <w:color w:val="000000"/>
        </w:rPr>
        <w:t>(</w:t>
      </w:r>
      <w:r w:rsidR="0039422B" w:rsidRPr="0039422B">
        <w:rPr>
          <w:rFonts w:ascii="標楷體" w:eastAsia="標楷體" w:hAnsi="標楷體" w:hint="eastAsia"/>
          <w:color w:val="000000"/>
        </w:rPr>
        <w:t>總共使用</w:t>
      </w:r>
      <w:r w:rsidR="0039422B" w:rsidRPr="0039422B">
        <w:rPr>
          <w:rFonts w:ascii="標楷體" w:eastAsia="標楷體" w:hAnsi="標楷體"/>
          <w:color w:val="000000"/>
        </w:rPr>
        <w:t>5</w:t>
      </w:r>
      <w:r w:rsidR="0039422B" w:rsidRPr="0039422B">
        <w:rPr>
          <w:rFonts w:ascii="標楷體" w:eastAsia="標楷體" w:hAnsi="標楷體" w:hint="eastAsia"/>
          <w:color w:val="000000"/>
        </w:rPr>
        <w:t>劑或</w:t>
      </w:r>
      <w:r w:rsidR="0039422B" w:rsidRPr="0039422B">
        <w:rPr>
          <w:rFonts w:ascii="標楷體" w:eastAsia="標楷體" w:hAnsi="標楷體"/>
          <w:color w:val="000000"/>
        </w:rPr>
        <w:t>7</w:t>
      </w:r>
      <w:r w:rsidR="0039422B" w:rsidRPr="0039422B">
        <w:rPr>
          <w:rFonts w:ascii="標楷體" w:eastAsia="標楷體" w:hAnsi="標楷體" w:hint="eastAsia"/>
          <w:color w:val="000000"/>
        </w:rPr>
        <w:t>劑，療效持續至</w:t>
      </w:r>
      <w:r w:rsidR="0039422B" w:rsidRPr="0039422B">
        <w:rPr>
          <w:rFonts w:ascii="標楷體" w:eastAsia="標楷體" w:hAnsi="標楷體"/>
          <w:color w:val="000000"/>
        </w:rPr>
        <w:t>56</w:t>
      </w:r>
      <w:r w:rsidR="0039422B" w:rsidRPr="0039422B">
        <w:rPr>
          <w:rFonts w:ascii="標楷體" w:eastAsia="標楷體" w:hAnsi="標楷體" w:hint="eastAsia"/>
          <w:color w:val="000000"/>
        </w:rPr>
        <w:t>週</w:t>
      </w:r>
      <w:r w:rsidR="0039422B" w:rsidRPr="0039422B">
        <w:rPr>
          <w:rFonts w:ascii="標楷體" w:eastAsia="標楷體" w:hAnsi="標楷體"/>
          <w:color w:val="000000"/>
        </w:rPr>
        <w:t>)</w:t>
      </w:r>
      <w:r w:rsidR="0039422B" w:rsidRPr="0039422B">
        <w:rPr>
          <w:rFonts w:ascii="標楷體" w:eastAsia="標楷體" w:hAnsi="標楷體" w:hint="eastAsia"/>
          <w:color w:val="000000"/>
        </w:rPr>
        <w:t>，作為緩解之維持。</w:t>
      </w:r>
      <w:r w:rsidR="0039422B" w:rsidRPr="0039422B">
        <w:rPr>
          <w:rFonts w:ascii="標楷體" w:eastAsia="標楷體" w:hAnsi="標楷體"/>
          <w:color w:val="000000"/>
        </w:rPr>
        <w:t>(109/9/1</w:t>
      </w:r>
      <w:r w:rsidR="0039422B" w:rsidRPr="0039422B">
        <w:rPr>
          <w:rFonts w:ascii="標楷體" w:eastAsia="標楷體" w:hAnsi="標楷體" w:hint="eastAsia"/>
          <w:color w:val="000000"/>
        </w:rPr>
        <w:t>、</w:t>
      </w:r>
      <w:r w:rsidR="0039422B" w:rsidRPr="0039422B">
        <w:rPr>
          <w:rFonts w:ascii="標楷體" w:eastAsia="標楷體" w:hAnsi="標楷體"/>
          <w:color w:val="000000"/>
        </w:rPr>
        <w:t>113/11/1</w:t>
      </w:r>
      <w:r>
        <w:rPr>
          <w:rFonts w:ascii="標楷體" w:eastAsia="標楷體" w:hAnsi="標楷體"/>
          <w:color w:val="000000"/>
        </w:rPr>
        <w:t>)</w:t>
      </w:r>
    </w:p>
    <w:p w14:paraId="4428A567" w14:textId="316BC30A" w:rsidR="0073339B" w:rsidRPr="0073339B" w:rsidRDefault="0073339B" w:rsidP="0073339B">
      <w:pPr>
        <w:suppressAutoHyphens w:val="0"/>
        <w:ind w:left="1202" w:hanging="384"/>
        <w:textAlignment w:val="auto"/>
        <w:rPr>
          <w:rFonts w:ascii="標楷體" w:eastAsia="標楷體" w:hAnsi="標楷體"/>
          <w:color w:val="000000"/>
        </w:rPr>
      </w:pPr>
      <w:r>
        <w:rPr>
          <w:rFonts w:ascii="標楷體" w:eastAsia="標楷體" w:hAnsi="標楷體"/>
          <w:color w:val="000000"/>
        </w:rPr>
        <w:t>(</w:t>
      </w:r>
      <w:r w:rsidRPr="0073339B">
        <w:rPr>
          <w:rFonts w:ascii="標楷體" w:eastAsia="標楷體" w:hAnsi="標楷體" w:hint="eastAsia"/>
          <w:color w:val="000000"/>
        </w:rPr>
        <w:t>5)Risankizumab：原則上，第0、4、8週給予靜脈輸注600mg作為緩解之誘導；之後每隔8週給予皮下注射維持劑量360mg，可持續治療至第44週(總共8劑，使用靜脈注射3劑，皮下注射5劑，療效持續至52週)，作為緩解之維持。(113/9/1)</w:t>
      </w:r>
    </w:p>
    <w:p w14:paraId="1298156D" w14:textId="77777777" w:rsidR="00BD776B" w:rsidRDefault="00DF0C24">
      <w:pPr>
        <w:suppressAutoHyphens w:val="0"/>
        <w:ind w:left="1202" w:hanging="384"/>
        <w:textAlignment w:val="auto"/>
        <w:rPr>
          <w:rFonts w:ascii="標楷體" w:eastAsia="標楷體" w:hAnsi="標楷體"/>
          <w:color w:val="000000"/>
        </w:rPr>
      </w:pPr>
      <w:r>
        <w:rPr>
          <w:rFonts w:ascii="標楷體" w:eastAsia="標楷體" w:hAnsi="標楷體"/>
          <w:color w:val="000000"/>
        </w:rPr>
        <w:t>註：ustekinumab若使用維持劑量為90mg（含）以上，限使用90mg(1mL)規格量。(109/9/1)</w:t>
      </w:r>
    </w:p>
    <w:p w14:paraId="6F7AB6F5" w14:textId="77777777" w:rsidR="00BD776B" w:rsidRDefault="00DF0C24">
      <w:pPr>
        <w:suppressAutoHyphens w:val="0"/>
        <w:ind w:left="811" w:hanging="245"/>
        <w:textAlignment w:val="auto"/>
        <w:rPr>
          <w:rFonts w:ascii="標楷體" w:eastAsia="標楷體" w:hAnsi="標楷體"/>
          <w:color w:val="000000"/>
        </w:rPr>
      </w:pPr>
      <w:r>
        <w:rPr>
          <w:rFonts w:ascii="標楷體" w:eastAsia="標楷體" w:hAnsi="標楷體"/>
          <w:color w:val="000000"/>
        </w:rPr>
        <w:t>6.須排除使用之情形</w:t>
      </w:r>
    </w:p>
    <w:p w14:paraId="51C9D654" w14:textId="77777777" w:rsidR="00BD776B" w:rsidRDefault="00DF0C24">
      <w:pPr>
        <w:suppressAutoHyphens w:val="0"/>
        <w:ind w:left="798" w:hanging="1"/>
        <w:textAlignment w:val="auto"/>
        <w:rPr>
          <w:rFonts w:ascii="標楷體" w:eastAsia="標楷體" w:hAnsi="標楷體"/>
          <w:color w:val="000000"/>
        </w:rPr>
      </w:pPr>
      <w:r>
        <w:rPr>
          <w:rFonts w:ascii="標楷體" w:eastAsia="標楷體" w:hAnsi="標楷體"/>
          <w:color w:val="000000"/>
        </w:rPr>
        <w:t>應參照藥物仿單，重要之排除使用狀況包括：</w:t>
      </w:r>
    </w:p>
    <w:p w14:paraId="47304223"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(1)懷孕或正在授乳的婦女。</w:t>
      </w:r>
    </w:p>
    <w:p w14:paraId="21660897"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(2)罹患活動性感染症(active infection)之病患。</w:t>
      </w:r>
    </w:p>
    <w:p w14:paraId="62645475"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(3)未經完整治療之結核病的病患（包括潛伏結核感染治療未達四週者，申請時應檢附潛伏結核感染篩檢紀錄及治療紀錄供審查）。(102/1/1)</w:t>
      </w:r>
    </w:p>
    <w:p w14:paraId="3E08F0E9"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(4)惡性腫瘤或具有癌症前兆(pre-malignancy)之病患(但不包括已經接受過充分治療達10年以上的惡性腫瘤)。</w:t>
      </w:r>
    </w:p>
    <w:p w14:paraId="780EDD67"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(5)具高度感染機會之病患：慢性腿部潰瘍、導尿管置留、身上有引流管、人工關節感染，該人工關節尚未摘除者、頑固性或復發性之胸腔感染症病患。</w:t>
      </w:r>
    </w:p>
    <w:p w14:paraId="6D50B28C"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(6)多發性硬化症(multiple sclerosis)。</w:t>
      </w:r>
    </w:p>
    <w:p w14:paraId="4BDEA80F" w14:textId="77777777" w:rsidR="00BD776B" w:rsidRDefault="00DF0C24">
      <w:pPr>
        <w:suppressAutoHyphens w:val="0"/>
        <w:ind w:left="811" w:hanging="245"/>
        <w:textAlignment w:val="auto"/>
        <w:rPr>
          <w:rFonts w:ascii="標楷體" w:eastAsia="標楷體" w:hAnsi="標楷體"/>
          <w:color w:val="000000"/>
        </w:rPr>
      </w:pPr>
      <w:r>
        <w:rPr>
          <w:rFonts w:ascii="標楷體" w:eastAsia="標楷體" w:hAnsi="標楷體"/>
          <w:color w:val="000000"/>
        </w:rPr>
        <w:t>7.須停止治療的情形</w:t>
      </w:r>
    </w:p>
    <w:p w14:paraId="37E22363"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(1)療效不彰：療效評估未達繼續使用標準者。</w:t>
      </w:r>
    </w:p>
    <w:p w14:paraId="797461EE" w14:textId="77777777" w:rsidR="00BD776B" w:rsidRDefault="00DF0C24">
      <w:pPr>
        <w:suppressAutoHyphens w:val="0"/>
        <w:ind w:left="1049" w:hanging="341"/>
        <w:textAlignment w:val="auto"/>
        <w:rPr>
          <w:rFonts w:ascii="標楷體" w:eastAsia="標楷體" w:hAnsi="標楷體"/>
          <w:color w:val="000000"/>
        </w:rPr>
      </w:pPr>
      <w:r>
        <w:rPr>
          <w:rFonts w:ascii="標楷體" w:eastAsia="標楷體" w:hAnsi="標楷體"/>
          <w:color w:val="000000"/>
        </w:rPr>
        <w:t>(2)其他事項：包括</w:t>
      </w:r>
    </w:p>
    <w:p w14:paraId="00DDE6EB" w14:textId="77777777" w:rsidR="00BD776B" w:rsidRDefault="00DF0C24">
      <w:pPr>
        <w:suppressAutoHyphens w:val="0"/>
        <w:ind w:left="1414" w:hanging="336"/>
        <w:textAlignment w:val="auto"/>
        <w:rPr>
          <w:rFonts w:ascii="標楷體" w:eastAsia="標楷體" w:hAnsi="標楷體"/>
          <w:color w:val="000000"/>
        </w:rPr>
      </w:pPr>
      <w:r>
        <w:rPr>
          <w:rFonts w:ascii="標楷體" w:eastAsia="標楷體" w:hAnsi="標楷體"/>
          <w:color w:val="000000"/>
        </w:rPr>
        <w:t>i惡性腫瘤</w:t>
      </w:r>
    </w:p>
    <w:p w14:paraId="5BF077CC" w14:textId="77777777" w:rsidR="00BD776B" w:rsidRDefault="00DF0C24">
      <w:pPr>
        <w:suppressAutoHyphens w:val="0"/>
        <w:ind w:left="1414" w:hanging="336"/>
        <w:textAlignment w:val="auto"/>
        <w:rPr>
          <w:rFonts w:ascii="標楷體" w:eastAsia="標楷體" w:hAnsi="標楷體"/>
          <w:color w:val="000000"/>
        </w:rPr>
      </w:pPr>
      <w:r>
        <w:rPr>
          <w:rFonts w:ascii="標楷體" w:eastAsia="標楷體" w:hAnsi="標楷體"/>
          <w:color w:val="000000"/>
        </w:rPr>
        <w:t xml:space="preserve">ii該藥物引起之嚴重毒性 (白血球過低、嚴重過敏) </w:t>
      </w:r>
    </w:p>
    <w:p w14:paraId="3330B051" w14:textId="77777777" w:rsidR="00BD776B" w:rsidRDefault="00DF0C24">
      <w:pPr>
        <w:suppressAutoHyphens w:val="0"/>
        <w:ind w:left="1414" w:hanging="336"/>
        <w:textAlignment w:val="auto"/>
        <w:rPr>
          <w:rFonts w:ascii="標楷體" w:eastAsia="標楷體" w:hAnsi="標楷體"/>
          <w:color w:val="000000"/>
        </w:rPr>
      </w:pPr>
      <w:r>
        <w:rPr>
          <w:rFonts w:ascii="標楷體" w:eastAsia="標楷體" w:hAnsi="標楷體"/>
          <w:color w:val="000000"/>
        </w:rPr>
        <w:t xml:space="preserve">iii懷孕(暫時停藥即可) </w:t>
      </w:r>
    </w:p>
    <w:p w14:paraId="6DE8E53F" w14:textId="77777777" w:rsidR="00BD776B" w:rsidRDefault="00DF0C24">
      <w:pPr>
        <w:suppressAutoHyphens w:val="0"/>
        <w:ind w:left="1414" w:hanging="336"/>
        <w:textAlignment w:val="auto"/>
        <w:rPr>
          <w:rFonts w:ascii="標楷體" w:eastAsia="標楷體" w:hAnsi="標楷體"/>
          <w:color w:val="000000"/>
        </w:rPr>
      </w:pPr>
      <w:r>
        <w:rPr>
          <w:rFonts w:ascii="標楷體" w:eastAsia="標楷體" w:hAnsi="標楷體"/>
          <w:color w:val="000000"/>
        </w:rPr>
        <w:t>iv嚴重間發性感染(暫時停藥即可)。</w:t>
      </w:r>
    </w:p>
    <w:p w14:paraId="1AAF8937" w14:textId="2796B0CC" w:rsidR="00BD776B" w:rsidRDefault="00DF0C24" w:rsidP="00142B10">
      <w:pPr>
        <w:suppressAutoHyphens w:val="0"/>
        <w:ind w:left="811" w:hanging="244"/>
        <w:textAlignment w:val="auto"/>
        <w:rPr>
          <w:rFonts w:ascii="標楷體" w:eastAsia="標楷體" w:hAnsi="標楷體"/>
          <w:bCs/>
          <w:color w:val="000000"/>
        </w:rPr>
      </w:pPr>
      <w:r>
        <w:rPr>
          <w:rFonts w:ascii="標楷體" w:eastAsia="標楷體" w:hAnsi="標楷體"/>
          <w:bCs/>
          <w:color w:val="000000"/>
        </w:rPr>
        <w:t>◎</w:t>
      </w:r>
      <w:r w:rsidR="00DF3C45" w:rsidRPr="00DF3C45">
        <w:rPr>
          <w:rFonts w:ascii="標楷體" w:eastAsia="標楷體" w:hAnsi="標楷體" w:hint="eastAsia"/>
          <w:bCs/>
          <w:color w:val="000000"/>
        </w:rPr>
        <w:t>附表二十六之一：全民健康保險克隆氏症使用生物製劑申請表(106/5/1、106/10/1、108/10/1、109/9/1、112/8/1、113/7/1</w:t>
      </w:r>
      <w:r w:rsidR="005533EC">
        <w:rPr>
          <w:rFonts w:ascii="標楷體" w:eastAsia="標楷體" w:hAnsi="標楷體" w:hint="eastAsia"/>
          <w:bCs/>
          <w:color w:val="000000"/>
        </w:rPr>
        <w:t>、113/9/1</w:t>
      </w:r>
      <w:r w:rsidR="00814E21">
        <w:rPr>
          <w:rFonts w:ascii="標楷體" w:eastAsia="標楷體" w:hAnsi="標楷體" w:hint="eastAsia"/>
          <w:bCs/>
          <w:color w:val="000000"/>
        </w:rPr>
        <w:t>、113/10/1</w:t>
      </w:r>
      <w:r w:rsidR="003F4180">
        <w:rPr>
          <w:rFonts w:ascii="標楷體" w:eastAsia="標楷體" w:hAnsi="標楷體" w:hint="eastAsia"/>
          <w:bCs/>
          <w:color w:val="000000"/>
        </w:rPr>
        <w:t>、1</w:t>
      </w:r>
      <w:r w:rsidR="003F4180">
        <w:rPr>
          <w:rFonts w:ascii="標楷體" w:eastAsia="標楷體" w:hAnsi="標楷體"/>
          <w:bCs/>
          <w:color w:val="000000"/>
        </w:rPr>
        <w:t>13/11/1</w:t>
      </w:r>
      <w:r w:rsidR="00DF3C45" w:rsidRPr="00DF3C45">
        <w:rPr>
          <w:rFonts w:ascii="標楷體" w:eastAsia="標楷體" w:hAnsi="標楷體" w:hint="eastAsia"/>
          <w:bCs/>
          <w:color w:val="000000"/>
        </w:rPr>
        <w:t>)</w:t>
      </w:r>
    </w:p>
    <w:p w14:paraId="41353480" w14:textId="0A44B0CF" w:rsidR="00BD776B" w:rsidRPr="001122C1" w:rsidRDefault="00DF0C24" w:rsidP="001122C1">
      <w:pPr>
        <w:ind w:left="828" w:hanging="261"/>
        <w:rPr>
          <w:rFonts w:ascii="標楷體" w:eastAsia="標楷體" w:hAnsi="標楷體"/>
          <w:bCs/>
          <w:color w:val="000000"/>
        </w:rPr>
      </w:pPr>
      <w:r>
        <w:rPr>
          <w:rFonts w:ascii="標楷體" w:eastAsia="標楷體" w:hAnsi="標楷體"/>
          <w:bCs/>
          <w:color w:val="000000"/>
        </w:rPr>
        <w:t>◎附表二十六之二：CDAI（Crohn’s disease activity index）</w:t>
      </w:r>
    </w:p>
    <w:p w14:paraId="5340581A" w14:textId="6A88C4C0" w:rsidR="00BD776B" w:rsidRDefault="00DF0C24">
      <w:pPr>
        <w:ind w:left="1275" w:hanging="989"/>
      </w:pPr>
      <w:r>
        <w:rPr>
          <w:rFonts w:ascii="標楷體" w:eastAsia="標楷體" w:hAnsi="標楷體"/>
          <w:bCs/>
          <w:color w:val="000000"/>
        </w:rPr>
        <w:t>8.2.4.7.2.</w:t>
      </w:r>
      <w:r w:rsidR="007A558B" w:rsidRPr="007A558B">
        <w:rPr>
          <w:rFonts w:ascii="標楷體" w:eastAsia="標楷體" w:hAnsi="標楷體" w:hint="eastAsia"/>
          <w:bCs/>
          <w:color w:val="000000"/>
        </w:rPr>
        <w:t>Adalimumab（如Humira）、infliximab （如Remicade）、risankizumab</w:t>
      </w:r>
      <w:r w:rsidR="007A558B" w:rsidRPr="007A558B">
        <w:rPr>
          <w:rFonts w:ascii="標楷體" w:eastAsia="標楷體" w:hAnsi="標楷體" w:hint="eastAsia"/>
          <w:bCs/>
          <w:color w:val="000000"/>
        </w:rPr>
        <w:lastRenderedPageBreak/>
        <w:t>（如Skyrizi）(105/10/1、106/5/1、108/10/1、111/2/1、113/7/1、113/9/1)</w:t>
      </w:r>
      <w:r>
        <w:rPr>
          <w:rFonts w:ascii="標楷體" w:eastAsia="標楷體" w:hAnsi="標楷體"/>
          <w:bCs/>
          <w:color w:val="000000"/>
        </w:rPr>
        <w:t>：兒童治療部分</w:t>
      </w:r>
    </w:p>
    <w:p w14:paraId="6680C49F" w14:textId="77777777" w:rsidR="00BD776B" w:rsidRDefault="00DF0C24">
      <w:pPr>
        <w:ind w:left="847" w:hanging="283"/>
      </w:pPr>
      <w:r>
        <w:rPr>
          <w:rFonts w:ascii="標楷體" w:eastAsia="標楷體" w:hAnsi="標楷體"/>
          <w:bCs/>
          <w:color w:val="000000"/>
        </w:rPr>
        <w:t>1.限具消化系專科證書之內科、兒科專科醫師處方使用。(</w:t>
      </w:r>
      <w:r>
        <w:rPr>
          <w:rFonts w:ascii="標楷體" w:eastAsia="標楷體" w:hAnsi="標楷體"/>
          <w:color w:val="000000"/>
        </w:rPr>
        <w:t>108/10/1</w:t>
      </w:r>
      <w:r>
        <w:rPr>
          <w:rFonts w:ascii="標楷體" w:eastAsia="標楷體" w:hAnsi="標楷體"/>
          <w:bCs/>
          <w:color w:val="000000"/>
        </w:rPr>
        <w:t>)</w:t>
      </w:r>
    </w:p>
    <w:p w14:paraId="7503E62B" w14:textId="77777777" w:rsidR="00BD776B" w:rsidRDefault="00DF0C24">
      <w:pPr>
        <w:ind w:left="847" w:hanging="283"/>
        <w:rPr>
          <w:rFonts w:ascii="標楷體" w:eastAsia="標楷體" w:hAnsi="標楷體"/>
          <w:bCs/>
          <w:color w:val="000000"/>
        </w:rPr>
      </w:pPr>
      <w:r>
        <w:rPr>
          <w:rFonts w:ascii="標楷體" w:eastAsia="標楷體" w:hAnsi="標楷體"/>
          <w:bCs/>
          <w:color w:val="000000"/>
        </w:rPr>
        <w:t>2.須經事前審查核准後使用。</w:t>
      </w:r>
    </w:p>
    <w:p w14:paraId="31A1FABB" w14:textId="148EAA3A" w:rsidR="00BD776B" w:rsidRDefault="00DF0C24">
      <w:pPr>
        <w:ind w:left="847" w:hanging="283"/>
      </w:pPr>
      <w:r>
        <w:rPr>
          <w:rFonts w:ascii="標楷體" w:eastAsia="標楷體" w:hAnsi="標楷體"/>
          <w:bCs/>
          <w:color w:val="000000"/>
        </w:rPr>
        <w:t>3.</w:t>
      </w:r>
      <w:r w:rsidR="007A558B" w:rsidRPr="00AA4ED4">
        <w:rPr>
          <w:rFonts w:ascii="標楷體" w:eastAsia="標楷體" w:hAnsi="標楷體" w:hint="eastAsia"/>
        </w:rPr>
        <w:t>6歲以上(risankizumab限使用於16歲以上未滿18歲)，經診斷為小兒克隆氏症且領有重大傷病證明，並排除第6項之情形及符合下列條件之一；且申請時應附上影像診斷評估報告；(111/2/1、113/9/1)</w:t>
      </w:r>
      <w:r w:rsidRPr="00AA4ED4">
        <w:rPr>
          <w:rFonts w:ascii="標楷體" w:eastAsia="標楷體" w:hAnsi="標楷體"/>
          <w:bCs/>
          <w:color w:val="000000"/>
        </w:rPr>
        <w:t>。</w:t>
      </w:r>
    </w:p>
    <w:p w14:paraId="2E1C9C32" w14:textId="77777777" w:rsidR="00BD776B" w:rsidRDefault="00DF0C24">
      <w:pPr>
        <w:ind w:left="1131" w:hanging="425"/>
        <w:rPr>
          <w:rFonts w:ascii="標楷體" w:eastAsia="標楷體" w:hAnsi="標楷體"/>
          <w:bCs/>
          <w:color w:val="000000"/>
        </w:rPr>
      </w:pPr>
      <w:r>
        <w:rPr>
          <w:rFonts w:ascii="標楷體" w:eastAsia="標楷體" w:hAnsi="標楷體"/>
          <w:bCs/>
          <w:color w:val="000000"/>
        </w:rPr>
        <w:t>(1)克隆氏症病情發作，經皮質類固醇及免疫抑制劑(azathioprine, 6-mercaptopurine, methotrexate)充分治療超過三個月，仍然無法控制病情(PCDAI&gt;30)或產生過敏或其他嚴重副作用者。</w:t>
      </w:r>
    </w:p>
    <w:p w14:paraId="1AA0EFDA" w14:textId="77777777" w:rsidR="00BD776B" w:rsidRDefault="00DF0C24">
      <w:pPr>
        <w:ind w:left="1131" w:hanging="425"/>
        <w:rPr>
          <w:rFonts w:ascii="標楷體" w:eastAsia="標楷體" w:hAnsi="標楷體"/>
          <w:bCs/>
          <w:color w:val="000000"/>
        </w:rPr>
      </w:pPr>
      <w:r>
        <w:rPr>
          <w:rFonts w:ascii="標楷體" w:eastAsia="標楷體" w:hAnsi="標楷體"/>
          <w:bCs/>
          <w:color w:val="000000"/>
        </w:rPr>
        <w:t>(2)小兒克隆氏症病童腹部或肛門廔管合併生長遲緩者(height velocity Z Score -1 to -2.5)。</w:t>
      </w:r>
    </w:p>
    <w:p w14:paraId="799D691F" w14:textId="26D6B2A4" w:rsidR="00C82C17" w:rsidRDefault="00DF0C24" w:rsidP="00C82C17">
      <w:pPr>
        <w:ind w:left="1131" w:hanging="425"/>
        <w:rPr>
          <w:rFonts w:ascii="標楷體" w:eastAsia="標楷體" w:hAnsi="標楷體"/>
          <w:bCs/>
          <w:color w:val="000000"/>
        </w:rPr>
      </w:pPr>
      <w:r>
        <w:rPr>
          <w:rFonts w:ascii="標楷體" w:eastAsia="標楷體" w:hAnsi="標楷體"/>
          <w:bCs/>
          <w:color w:val="000000"/>
        </w:rPr>
        <w:t>(3)小兒克隆氏症病情發作且生長遲緩(height velocity Z Score -1 to -2.5)病童，經營養治療與免疫抑制劑治療失敗者。</w:t>
      </w:r>
    </w:p>
    <w:p w14:paraId="3FF72A12" w14:textId="77777777" w:rsidR="00BD776B" w:rsidRDefault="00DF0C24">
      <w:pPr>
        <w:ind w:left="847" w:hanging="283"/>
        <w:rPr>
          <w:rFonts w:ascii="標楷體" w:eastAsia="標楷體" w:hAnsi="標楷體"/>
          <w:bCs/>
          <w:color w:val="000000"/>
        </w:rPr>
      </w:pPr>
      <w:r>
        <w:rPr>
          <w:rFonts w:ascii="標楷體" w:eastAsia="標楷體" w:hAnsi="標楷體"/>
          <w:bCs/>
          <w:color w:val="000000"/>
        </w:rPr>
        <w:t>4.療效評估與繼續使用：</w:t>
      </w:r>
    </w:p>
    <w:p w14:paraId="1BD02ED9" w14:textId="297D64E5" w:rsidR="00073780" w:rsidRPr="00073780" w:rsidRDefault="00DF0C24" w:rsidP="00073780">
      <w:pPr>
        <w:ind w:left="1075" w:hanging="367"/>
        <w:rPr>
          <w:rFonts w:ascii="標楷體" w:eastAsia="標楷體" w:hAnsi="標楷體"/>
          <w:bCs/>
          <w:color w:val="000000"/>
        </w:rPr>
      </w:pPr>
      <w:r>
        <w:rPr>
          <w:rFonts w:ascii="標楷體" w:eastAsia="標楷體" w:hAnsi="標楷體"/>
          <w:bCs/>
          <w:color w:val="000000"/>
        </w:rPr>
        <w:t>(1)</w:t>
      </w:r>
      <w:r w:rsidR="00073780" w:rsidRPr="00073780">
        <w:rPr>
          <w:rFonts w:ascii="標楷體" w:eastAsia="標楷體" w:hAnsi="標楷體" w:hint="eastAsia"/>
          <w:bCs/>
          <w:color w:val="000000"/>
        </w:rPr>
        <w:t>初次申請adalimumab以6週(使用4劑為限)；infliximab以6週(使用3劑為限)；risankizumab以8週(使用靜脈注射3劑為限)，治療第3劑後，達到臨床反應(PCDAI降低&gt;=15)者，方得申請繼續使用。誘導緩解失敗者，得提出申請轉換他類生物製劑，然同一療程不得合併使用。（106/5/1、113/9/1）</w:t>
      </w:r>
    </w:p>
    <w:p w14:paraId="1CA1F7D3" w14:textId="77777777" w:rsidR="00073780" w:rsidRPr="00073780" w:rsidRDefault="00073780" w:rsidP="00073780">
      <w:pPr>
        <w:ind w:left="1075" w:hanging="367"/>
        <w:rPr>
          <w:rFonts w:ascii="標楷體" w:eastAsia="標楷體" w:hAnsi="標楷體"/>
          <w:bCs/>
          <w:color w:val="000000"/>
        </w:rPr>
      </w:pPr>
      <w:r w:rsidRPr="00073780">
        <w:rPr>
          <w:rFonts w:ascii="標楷體" w:eastAsia="標楷體" w:hAnsi="標楷體" w:hint="eastAsia"/>
          <w:bCs/>
          <w:color w:val="000000"/>
        </w:rPr>
        <w:t>(2)繼續使用者: adalimumab需每24週(使用12劑)；infliximab需每16週(使用2劑)或每24週(使用3劑)；risankizumab需每16週(使用皮下注射2劑)或每24週(使用皮下注射3劑)評估一次。評估仍維持前一次療程有效或部份有效緩解時之PCDAI分數者，方得提出申請續用。每次申請adalimumab以16週(使用8劑)；infliximab以每16週(使用2劑)或每24週(使用3劑)；risankizumab以每16週(使用2劑)或每24週(使用3劑)為限。（106/5/1、108/10/1、113/9/1）</w:t>
      </w:r>
    </w:p>
    <w:p w14:paraId="29971819" w14:textId="0CAD2DF3" w:rsidR="00BD776B" w:rsidRDefault="00073780" w:rsidP="00073780">
      <w:pPr>
        <w:ind w:left="1075" w:hanging="367"/>
        <w:rPr>
          <w:rFonts w:ascii="標楷體" w:eastAsia="標楷體" w:hAnsi="標楷體"/>
          <w:bCs/>
          <w:color w:val="000000"/>
        </w:rPr>
      </w:pPr>
      <w:r w:rsidRPr="00073780">
        <w:rPr>
          <w:rFonts w:ascii="標楷體" w:eastAsia="標楷體" w:hAnsi="標楷體" w:hint="eastAsia"/>
          <w:bCs/>
          <w:color w:val="000000"/>
        </w:rPr>
        <w:t>(3)總療程:adalimumab治療54週使用28劑；infliximab治療46週使用8劑 (療效持續至54週)；risankizumab治療44週使用8劑，靜脈注射3劑，皮下注射5劑(療效持續至52週)。必須至少再間隔超過3個月後，因病情復發或以其他治療難以控制達上述3.之(1)(2)(3)之標準才能再次提出申請使用。（106/5/1、108/10/1、113/9/1）</w:t>
      </w:r>
    </w:p>
    <w:p w14:paraId="4E47B5F2" w14:textId="66A6872A" w:rsidR="00C82C17" w:rsidRPr="00C82C17" w:rsidRDefault="00C82C17">
      <w:pPr>
        <w:ind w:left="1075" w:hanging="367"/>
        <w:rPr>
          <w:rFonts w:ascii="標楷體" w:eastAsia="標楷體" w:hAnsi="標楷體"/>
          <w:bCs/>
          <w:color w:val="000000"/>
        </w:rPr>
      </w:pPr>
      <w:r w:rsidRPr="00C82C17">
        <w:rPr>
          <w:rFonts w:ascii="標楷體" w:eastAsia="標楷體" w:hAnsi="標楷體" w:hint="eastAsia"/>
          <w:bCs/>
          <w:color w:val="000000"/>
        </w:rPr>
        <w:t>(4)連續2次於總療程結束後復發者，且第2次復發於藥效終止後3個月內發生，則可持續使用，惟需每24週提出續用事前審查。連續2年(4次評估)達到PCDAI&lt;10分則應考慮停藥。（113/7/1）</w:t>
      </w:r>
    </w:p>
    <w:p w14:paraId="248452CC" w14:textId="77777777" w:rsidR="00BD776B" w:rsidRDefault="00DF0C24">
      <w:pPr>
        <w:ind w:left="847" w:hanging="283"/>
        <w:rPr>
          <w:rFonts w:ascii="標楷體" w:eastAsia="標楷體" w:hAnsi="標楷體"/>
          <w:bCs/>
          <w:color w:val="000000"/>
        </w:rPr>
      </w:pPr>
      <w:r>
        <w:rPr>
          <w:rFonts w:ascii="標楷體" w:eastAsia="標楷體" w:hAnsi="標楷體"/>
          <w:bCs/>
          <w:color w:val="000000"/>
        </w:rPr>
        <w:t>5.使用劑量：</w:t>
      </w:r>
    </w:p>
    <w:p w14:paraId="03691C2D" w14:textId="77777777" w:rsidR="00BD776B" w:rsidRDefault="00DF0C24">
      <w:pPr>
        <w:ind w:left="1061" w:hanging="353"/>
        <w:rPr>
          <w:rFonts w:ascii="標楷體" w:eastAsia="標楷體" w:hAnsi="標楷體"/>
          <w:bCs/>
          <w:color w:val="000000"/>
        </w:rPr>
      </w:pPr>
      <w:r>
        <w:rPr>
          <w:rFonts w:ascii="標楷體" w:eastAsia="標楷體" w:hAnsi="標楷體"/>
          <w:bCs/>
          <w:color w:val="000000"/>
        </w:rPr>
        <w:t>(1)adalimumab：體重&gt;=40公斤者，最初第一劑160mg，兩週後第二劑 80mg，第四週給予第三劑40mg，之後每隔兩週給予維持劑量40mg；體重&lt;40公斤者，最初第一劑80mg，兩週後第二劑40mg，第四週給予第三劑20mg，之後每隔兩週給予維持劑量20mg。</w:t>
      </w:r>
    </w:p>
    <w:p w14:paraId="726AA96F" w14:textId="315B976B" w:rsidR="00BD776B" w:rsidRDefault="00DF0C24">
      <w:pPr>
        <w:ind w:left="1061" w:hanging="353"/>
        <w:rPr>
          <w:rFonts w:ascii="標楷體" w:eastAsia="標楷體" w:hAnsi="標楷體"/>
          <w:bCs/>
          <w:color w:val="000000"/>
        </w:rPr>
      </w:pPr>
      <w:r>
        <w:rPr>
          <w:rFonts w:ascii="標楷體" w:eastAsia="標楷體" w:hAnsi="標楷體"/>
          <w:bCs/>
          <w:color w:val="000000"/>
        </w:rPr>
        <w:t>(2)Infliximab：第0.2.6週給予靜脈輸注5mg/kg作為緩解之誘導，之後每8週給予5mg/kg。可持續治療至第46週 (總共使用8劑，療效持續至54週)，作為緩解之維持。（106/5/1）</w:t>
      </w:r>
    </w:p>
    <w:p w14:paraId="21CCA031" w14:textId="6F2BF7B0" w:rsidR="00B84866" w:rsidRDefault="00B84866">
      <w:pPr>
        <w:ind w:left="1061" w:hanging="353"/>
        <w:rPr>
          <w:rFonts w:ascii="標楷體" w:eastAsia="標楷體" w:hAnsi="標楷體"/>
          <w:bCs/>
          <w:color w:val="000000"/>
        </w:rPr>
      </w:pPr>
      <w:r w:rsidRPr="00B84866">
        <w:rPr>
          <w:rFonts w:ascii="標楷體" w:eastAsia="標楷體" w:hAnsi="標楷體" w:hint="eastAsia"/>
          <w:bCs/>
          <w:color w:val="000000"/>
        </w:rPr>
        <w:t>(3)Risankizumab：第0、4、8週給予靜脈輸注600mg作為緩解之誘導，之後每8週給予皮下注射360mg，可持續治療至第44週 (總共8劑，使用靜脈注射3</w:t>
      </w:r>
      <w:r w:rsidRPr="00B84866">
        <w:rPr>
          <w:rFonts w:ascii="標楷體" w:eastAsia="標楷體" w:hAnsi="標楷體" w:hint="eastAsia"/>
          <w:bCs/>
          <w:color w:val="000000"/>
        </w:rPr>
        <w:lastRenderedPageBreak/>
        <w:t>劑，皮下注射5劑，療效持續至52週)，作為緩解之維持。（113/9/1）</w:t>
      </w:r>
    </w:p>
    <w:p w14:paraId="00F30548" w14:textId="77777777" w:rsidR="00BD776B" w:rsidRDefault="00DF0C24">
      <w:pPr>
        <w:ind w:left="847" w:hanging="283"/>
        <w:rPr>
          <w:rFonts w:ascii="標楷體" w:eastAsia="標楷體" w:hAnsi="標楷體"/>
          <w:bCs/>
          <w:color w:val="000000"/>
        </w:rPr>
      </w:pPr>
      <w:r>
        <w:rPr>
          <w:rFonts w:ascii="標楷體" w:eastAsia="標楷體" w:hAnsi="標楷體"/>
          <w:bCs/>
          <w:color w:val="000000"/>
        </w:rPr>
        <w:t>6.須排除使用之情形</w:t>
      </w:r>
    </w:p>
    <w:p w14:paraId="061E5BAC" w14:textId="77777777" w:rsidR="00BD776B" w:rsidRDefault="00DF0C24">
      <w:pPr>
        <w:ind w:left="847"/>
        <w:rPr>
          <w:rFonts w:ascii="標楷體" w:eastAsia="標楷體" w:hAnsi="標楷體"/>
          <w:bCs/>
          <w:color w:val="000000"/>
        </w:rPr>
      </w:pPr>
      <w:r>
        <w:rPr>
          <w:rFonts w:ascii="標楷體" w:eastAsia="標楷體" w:hAnsi="標楷體"/>
          <w:bCs/>
          <w:color w:val="000000"/>
        </w:rPr>
        <w:t>應參照藥物仿單，重要之排除使用狀況包括：</w:t>
      </w:r>
    </w:p>
    <w:p w14:paraId="55AF9805" w14:textId="77777777" w:rsidR="00BD776B" w:rsidRDefault="00DF0C24">
      <w:pPr>
        <w:ind w:left="1102" w:hanging="396"/>
        <w:rPr>
          <w:rFonts w:ascii="標楷體" w:eastAsia="標楷體" w:hAnsi="標楷體"/>
          <w:bCs/>
          <w:color w:val="000000"/>
        </w:rPr>
      </w:pPr>
      <w:r>
        <w:rPr>
          <w:rFonts w:ascii="標楷體" w:eastAsia="標楷體" w:hAnsi="標楷體"/>
          <w:bCs/>
          <w:color w:val="000000"/>
        </w:rPr>
        <w:t>(1)罹患活動性感染症(active infection)之病患。</w:t>
      </w:r>
    </w:p>
    <w:p w14:paraId="4C67E88A" w14:textId="77777777" w:rsidR="00BD776B" w:rsidRDefault="00DF0C24">
      <w:pPr>
        <w:ind w:left="1102" w:hanging="396"/>
        <w:rPr>
          <w:rFonts w:ascii="標楷體" w:eastAsia="標楷體" w:hAnsi="標楷體"/>
          <w:bCs/>
          <w:color w:val="000000"/>
        </w:rPr>
      </w:pPr>
      <w:r>
        <w:rPr>
          <w:rFonts w:ascii="標楷體" w:eastAsia="標楷體" w:hAnsi="標楷體"/>
          <w:bCs/>
          <w:color w:val="000000"/>
        </w:rPr>
        <w:t>(2)未經完整治療之結核病的病患（包括潛伏結核感染治療未達四週者，申請時應檢附潛伏結核感染篩檢紀錄及治療紀錄供審查）。</w:t>
      </w:r>
    </w:p>
    <w:p w14:paraId="4950E63A" w14:textId="77777777" w:rsidR="00BD776B" w:rsidRDefault="00DF0C24">
      <w:pPr>
        <w:ind w:left="1102" w:hanging="396"/>
        <w:rPr>
          <w:rFonts w:ascii="標楷體" w:eastAsia="標楷體" w:hAnsi="標楷體"/>
          <w:bCs/>
          <w:color w:val="000000"/>
        </w:rPr>
      </w:pPr>
      <w:r>
        <w:rPr>
          <w:rFonts w:ascii="標楷體" w:eastAsia="標楷體" w:hAnsi="標楷體"/>
          <w:bCs/>
          <w:color w:val="000000"/>
        </w:rPr>
        <w:t>(3)惡性腫瘤或具有癌症前兆(pre-malignancy)之病患。</w:t>
      </w:r>
    </w:p>
    <w:p w14:paraId="3F9D0EB8" w14:textId="77777777" w:rsidR="00BD776B" w:rsidRDefault="00DF0C24">
      <w:pPr>
        <w:ind w:left="1102" w:hanging="396"/>
        <w:rPr>
          <w:rFonts w:ascii="標楷體" w:eastAsia="標楷體" w:hAnsi="標楷體"/>
          <w:bCs/>
          <w:color w:val="000000"/>
        </w:rPr>
      </w:pPr>
      <w:r>
        <w:rPr>
          <w:rFonts w:ascii="標楷體" w:eastAsia="標楷體" w:hAnsi="標楷體"/>
          <w:bCs/>
          <w:color w:val="000000"/>
        </w:rPr>
        <w:t>(4)具高度感染機會之病患：慢性腿部潰瘍、導尿管置留、身上有引流管、頑固性或復發性之胸腔感染症病患。</w:t>
      </w:r>
    </w:p>
    <w:p w14:paraId="074A85E9" w14:textId="77777777" w:rsidR="00BD776B" w:rsidRDefault="00DF0C24">
      <w:pPr>
        <w:ind w:left="1102" w:hanging="396"/>
        <w:rPr>
          <w:rFonts w:ascii="標楷體" w:eastAsia="標楷體" w:hAnsi="標楷體"/>
          <w:bCs/>
          <w:color w:val="000000"/>
        </w:rPr>
      </w:pPr>
      <w:r>
        <w:rPr>
          <w:rFonts w:ascii="標楷體" w:eastAsia="標楷體" w:hAnsi="標楷體"/>
          <w:bCs/>
          <w:color w:val="000000"/>
        </w:rPr>
        <w:t>(5)多發性硬化症(multiple sclerosis)。</w:t>
      </w:r>
    </w:p>
    <w:p w14:paraId="50FFDFAF" w14:textId="77777777" w:rsidR="00BD776B" w:rsidRDefault="00DF0C24">
      <w:pPr>
        <w:ind w:left="847" w:hanging="283"/>
        <w:rPr>
          <w:rFonts w:ascii="標楷體" w:eastAsia="標楷體" w:hAnsi="標楷體"/>
          <w:bCs/>
          <w:color w:val="000000"/>
        </w:rPr>
      </w:pPr>
      <w:r>
        <w:rPr>
          <w:rFonts w:ascii="標楷體" w:eastAsia="標楷體" w:hAnsi="標楷體"/>
          <w:bCs/>
          <w:color w:val="000000"/>
        </w:rPr>
        <w:t>7.須停止治療的情形</w:t>
      </w:r>
    </w:p>
    <w:p w14:paraId="03352494" w14:textId="77777777" w:rsidR="00BD776B" w:rsidRDefault="00DF0C24">
      <w:pPr>
        <w:ind w:left="1090" w:hanging="382"/>
        <w:rPr>
          <w:rFonts w:ascii="標楷體" w:eastAsia="標楷體" w:hAnsi="標楷體"/>
          <w:bCs/>
          <w:color w:val="000000"/>
        </w:rPr>
      </w:pPr>
      <w:r>
        <w:rPr>
          <w:rFonts w:ascii="標楷體" w:eastAsia="標楷體" w:hAnsi="標楷體"/>
          <w:bCs/>
          <w:color w:val="000000"/>
        </w:rPr>
        <w:t>(1)療效不彰：療效評估未達繼續使用標準者。</w:t>
      </w:r>
    </w:p>
    <w:p w14:paraId="28C8F9BD" w14:textId="77777777" w:rsidR="00BD776B" w:rsidRDefault="00DF0C24">
      <w:pPr>
        <w:ind w:left="1090" w:hanging="382"/>
        <w:rPr>
          <w:rFonts w:ascii="標楷體" w:eastAsia="標楷體" w:hAnsi="標楷體"/>
          <w:bCs/>
          <w:color w:val="000000"/>
        </w:rPr>
      </w:pPr>
      <w:r>
        <w:rPr>
          <w:rFonts w:ascii="標楷體" w:eastAsia="標楷體" w:hAnsi="標楷體"/>
          <w:bCs/>
          <w:color w:val="000000"/>
        </w:rPr>
        <w:t>(2)其他事項：包括</w:t>
      </w:r>
    </w:p>
    <w:p w14:paraId="41219570" w14:textId="77777777" w:rsidR="00BD776B" w:rsidRDefault="00DF0C24">
      <w:pPr>
        <w:ind w:left="1269" w:hanging="139"/>
        <w:rPr>
          <w:rFonts w:ascii="標楷體" w:eastAsia="標楷體" w:hAnsi="標楷體"/>
          <w:bCs/>
          <w:color w:val="000000"/>
        </w:rPr>
      </w:pPr>
      <w:r>
        <w:rPr>
          <w:rFonts w:ascii="標楷體" w:eastAsia="標楷體" w:hAnsi="標楷體"/>
          <w:bCs/>
          <w:color w:val="000000"/>
        </w:rPr>
        <w:t>i惡性腫瘤</w:t>
      </w:r>
    </w:p>
    <w:p w14:paraId="406EC8FF" w14:textId="77777777" w:rsidR="00BD776B" w:rsidRDefault="00DF0C24">
      <w:pPr>
        <w:ind w:left="1269" w:hanging="139"/>
        <w:rPr>
          <w:rFonts w:ascii="標楷體" w:eastAsia="標楷體" w:hAnsi="標楷體"/>
          <w:bCs/>
          <w:color w:val="000000"/>
        </w:rPr>
      </w:pPr>
      <w:r>
        <w:rPr>
          <w:rFonts w:ascii="標楷體" w:eastAsia="標楷體" w:hAnsi="標楷體"/>
          <w:bCs/>
          <w:color w:val="000000"/>
        </w:rPr>
        <w:t>ii該藥物引起之嚴重毒性 (白血球過低、嚴重過敏)</w:t>
      </w:r>
    </w:p>
    <w:p w14:paraId="7521BA45" w14:textId="77777777" w:rsidR="00BD776B" w:rsidRDefault="00DF0C24">
      <w:pPr>
        <w:ind w:left="1269" w:hanging="139"/>
        <w:rPr>
          <w:rFonts w:ascii="標楷體" w:eastAsia="標楷體" w:hAnsi="標楷體"/>
          <w:bCs/>
          <w:color w:val="000000"/>
        </w:rPr>
      </w:pPr>
      <w:r>
        <w:rPr>
          <w:rFonts w:ascii="標楷體" w:eastAsia="標楷體" w:hAnsi="標楷體"/>
          <w:bCs/>
          <w:color w:val="000000"/>
        </w:rPr>
        <w:t>iii嚴重感染(暫時停藥即可)。</w:t>
      </w:r>
    </w:p>
    <w:p w14:paraId="29F3EEE4" w14:textId="1B864BF6" w:rsidR="00BD776B" w:rsidRPr="0004758B" w:rsidRDefault="00DF0C24" w:rsidP="0004758B">
      <w:pPr>
        <w:ind w:left="828" w:hanging="261"/>
        <w:rPr>
          <w:rFonts w:ascii="標楷體" w:eastAsia="標楷體" w:hAnsi="標楷體"/>
          <w:bCs/>
          <w:color w:val="000000"/>
        </w:rPr>
      </w:pPr>
      <w:r>
        <w:rPr>
          <w:rFonts w:ascii="標楷體" w:eastAsia="標楷體" w:hAnsi="標楷體"/>
          <w:bCs/>
          <w:color w:val="000000"/>
        </w:rPr>
        <w:t>◎附表二十六之三：全民健康保險小兒克隆氏症使用adalimumab、infliximab</w:t>
      </w:r>
      <w:r w:rsidR="00B84866" w:rsidRPr="00B84866">
        <w:rPr>
          <w:rFonts w:ascii="標楷體" w:eastAsia="標楷體" w:hAnsi="標楷體" w:hint="eastAsia"/>
          <w:bCs/>
          <w:color w:val="000000"/>
        </w:rPr>
        <w:t>、risankizumab申請表(106/5/1、108/10/1、113/7/1、113/9/1)</w:t>
      </w:r>
    </w:p>
    <w:p w14:paraId="0E206431" w14:textId="77777777" w:rsidR="00BD776B" w:rsidRDefault="00DF0C24" w:rsidP="0004758B">
      <w:pPr>
        <w:ind w:left="828" w:hanging="261"/>
        <w:rPr>
          <w:rFonts w:ascii="標楷體" w:eastAsia="標楷體" w:hAnsi="標楷體"/>
          <w:bCs/>
          <w:color w:val="000000"/>
        </w:rPr>
      </w:pPr>
      <w:r>
        <w:rPr>
          <w:rFonts w:ascii="標楷體" w:eastAsia="標楷體" w:hAnsi="標楷體"/>
          <w:bCs/>
          <w:color w:val="000000"/>
        </w:rPr>
        <w:t>◎附表二十六之四：PCDAI（Pediatric Crohn’s disease activity index）</w:t>
      </w:r>
    </w:p>
    <w:p w14:paraId="0BB06A98" w14:textId="77777777" w:rsidR="00BD776B" w:rsidRDefault="00DF0C24">
      <w:pPr>
        <w:ind w:left="1275" w:hanging="989"/>
      </w:pPr>
      <w:r>
        <w:rPr>
          <w:rFonts w:ascii="標楷體" w:eastAsia="標楷體" w:hAnsi="標楷體"/>
          <w:bCs/>
          <w:color w:val="000000"/>
        </w:rPr>
        <w:t>8.2.4.8.</w:t>
      </w:r>
      <w:r>
        <w:rPr>
          <w:rFonts w:ascii="標楷體" w:eastAsia="標楷體" w:hAnsi="標楷體"/>
          <w:color w:val="000000"/>
        </w:rPr>
        <w:t>Abatacept靜脈注射劑（如Orencia IV）（101/10/1、102/1/1、104/8/1、108/1/1、111/2/1）：用於幼年型慢性關節炎治療部分</w:t>
      </w:r>
    </w:p>
    <w:p w14:paraId="09F604F1"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1.給付條件：</w:t>
      </w:r>
    </w:p>
    <w:p w14:paraId="3E283C1C"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(1)限用於曾經接受抗腫瘤壞死因子拮抗劑(如etanercept)治療，但未達療效或無法耐受之6歲以上有幼年型慢性關節炎之患者。（108/1/1、111/2/1）</w:t>
      </w:r>
    </w:p>
    <w:p w14:paraId="2896DE9B" w14:textId="77777777" w:rsidR="00BD776B" w:rsidRDefault="00DF0C24">
      <w:pPr>
        <w:ind w:left="1414" w:hanging="336"/>
      </w:pPr>
      <w:r>
        <w:rPr>
          <w:rFonts w:ascii="標楷體" w:eastAsia="標楷體" w:hAnsi="標楷體"/>
          <w:bCs/>
          <w:color w:val="000000"/>
        </w:rPr>
        <w:t>I.</w:t>
      </w:r>
      <w:r>
        <w:rPr>
          <w:rFonts w:ascii="標楷體" w:eastAsia="標楷體" w:hAnsi="標楷體"/>
          <w:color w:val="000000"/>
        </w:rPr>
        <w:t>Etanercept</w:t>
      </w:r>
      <w:r>
        <w:rPr>
          <w:rFonts w:ascii="標楷體" w:eastAsia="標楷體" w:hAnsi="標楷體"/>
          <w:bCs/>
          <w:color w:val="000000"/>
        </w:rPr>
        <w:t>的療效：</w:t>
      </w:r>
    </w:p>
    <w:p w14:paraId="3EE6B162" w14:textId="77777777" w:rsidR="00BD776B" w:rsidRDefault="00DF0C24">
      <w:pPr>
        <w:ind w:left="1414" w:hanging="336"/>
      </w:pPr>
      <w:r>
        <w:rPr>
          <w:rFonts w:ascii="標楷體" w:eastAsia="標楷體" w:hAnsi="標楷體"/>
          <w:bCs/>
          <w:color w:val="000000"/>
        </w:rPr>
        <w:t>i.紅血球沉降速率 (ESR) 或CRP及下列三項中至少有二項達到較基礎值改善30%</w:t>
      </w:r>
      <w:r>
        <w:rPr>
          <w:rFonts w:ascii="標楷體" w:eastAsia="標楷體" w:hAnsi="標楷體"/>
          <w:color w:val="000000"/>
        </w:rPr>
        <w:t>以上效果者</w:t>
      </w:r>
      <w:r>
        <w:rPr>
          <w:rFonts w:ascii="標楷體" w:eastAsia="標楷體" w:hAnsi="標楷體"/>
          <w:bCs/>
          <w:color w:val="000000"/>
        </w:rPr>
        <w:t>。</w:t>
      </w:r>
    </w:p>
    <w:p w14:paraId="332FC49C" w14:textId="77777777" w:rsidR="00BD776B" w:rsidRDefault="00DF0C24">
      <w:pPr>
        <w:ind w:left="1469" w:hanging="264"/>
        <w:rPr>
          <w:rFonts w:ascii="標楷體" w:eastAsia="標楷體" w:hAnsi="標楷體"/>
          <w:bCs/>
          <w:color w:val="000000"/>
        </w:rPr>
      </w:pPr>
      <w:r>
        <w:rPr>
          <w:rFonts w:ascii="標楷體" w:eastAsia="標楷體" w:hAnsi="標楷體"/>
          <w:bCs/>
          <w:color w:val="000000"/>
        </w:rPr>
        <w:t>a.活動性關節炎的總數。</w:t>
      </w:r>
    </w:p>
    <w:p w14:paraId="4A965D80" w14:textId="77777777" w:rsidR="00BD776B" w:rsidRDefault="00DF0C24">
      <w:pPr>
        <w:ind w:left="1469" w:hanging="264"/>
        <w:rPr>
          <w:rFonts w:ascii="標楷體" w:eastAsia="標楷體" w:hAnsi="標楷體"/>
          <w:bCs/>
          <w:color w:val="000000"/>
        </w:rPr>
      </w:pPr>
      <w:r>
        <w:rPr>
          <w:rFonts w:ascii="標楷體" w:eastAsia="標楷體" w:hAnsi="標楷體"/>
          <w:bCs/>
          <w:color w:val="000000"/>
        </w:rPr>
        <w:t>b.關節活動範圍受到限制的關節總數。</w:t>
      </w:r>
    </w:p>
    <w:p w14:paraId="058DE69F" w14:textId="77777777" w:rsidR="00BD776B" w:rsidRDefault="00DF0C24">
      <w:pPr>
        <w:ind w:left="1469" w:hanging="264"/>
        <w:rPr>
          <w:rFonts w:ascii="標楷體" w:eastAsia="標楷體" w:hAnsi="標楷體"/>
          <w:bCs/>
          <w:color w:val="000000"/>
        </w:rPr>
      </w:pPr>
      <w:r>
        <w:rPr>
          <w:rFonts w:ascii="標楷體" w:eastAsia="標楷體" w:hAnsi="標楷體"/>
          <w:bCs/>
          <w:color w:val="000000"/>
        </w:rPr>
        <w:t>c.醫師的整體評估。</w:t>
      </w:r>
    </w:p>
    <w:p w14:paraId="2FD5238D"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ii. 上述各種指標惡化程度達30%以上者不得超過一項</w:t>
      </w:r>
    </w:p>
    <w:p w14:paraId="1EC19E22"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II.無法耐受的定義：無法忍受etanercept治療的副作用。</w:t>
      </w:r>
    </w:p>
    <w:p w14:paraId="04DC43E4"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(2)需與methotrexate併用（但對methotrexate過敏，或methotrexate引起嚴重血球低下、肝毒性及其它嚴重副作用者除外）。</w:t>
      </w:r>
    </w:p>
    <w:p w14:paraId="11252486"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2.限具有風濕病專科醫師證書之內科、小兒科專科醫師或具有小兒過敏免疫專科醫師證書之小兒科專科醫師處方。</w:t>
      </w:r>
    </w:p>
    <w:p w14:paraId="58F6DFFA"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3.年齡大於18歲的病患應由具有風濕病專科醫師證書之內科專科醫師或具有小兒過敏免疫專科醫師證書之小兒科專科醫師重新評估病情，改依成人治療（8.2.4.2）規定申請。（108/1/1）</w:t>
      </w:r>
    </w:p>
    <w:p w14:paraId="11FB559C"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4.需經事前審查核准後使用：</w:t>
      </w:r>
    </w:p>
    <w:p w14:paraId="721008B3"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(1)申請初次治療時，應檢附曾經使用抗腫瘤壞死因子拮抗劑之用藥結果，包括種類、劑量、關節腫脹治療前後的相關照片或關節X光檢查報告、及副作用報告等資料。</w:t>
      </w:r>
    </w:p>
    <w:p w14:paraId="6C2AC2B8"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(2)使用abatacept之後，每6個月需再申請一次；需描述使用藥物後的療效、副</w:t>
      </w:r>
      <w:r>
        <w:rPr>
          <w:rFonts w:ascii="標楷體" w:eastAsia="標楷體" w:hAnsi="標楷體"/>
          <w:bCs/>
          <w:color w:val="000000"/>
        </w:rPr>
        <w:lastRenderedPageBreak/>
        <w:t>作用或併發症。</w:t>
      </w:r>
    </w:p>
    <w:p w14:paraId="3F7D0B40" w14:textId="77777777" w:rsidR="00BD776B" w:rsidRDefault="00DF0C24">
      <w:pPr>
        <w:ind w:left="811" w:hanging="245"/>
      </w:pPr>
      <w:r>
        <w:rPr>
          <w:rFonts w:ascii="標楷體" w:eastAsia="標楷體" w:hAnsi="標楷體"/>
          <w:bCs/>
          <w:color w:val="000000"/>
        </w:rPr>
        <w:t>5.需排除abatacept使用的情形</w:t>
      </w:r>
      <w:r>
        <w:rPr>
          <w:rFonts w:ascii="標楷體" w:eastAsia="標楷體" w:hAnsi="標楷體"/>
          <w:color w:val="000000"/>
        </w:rPr>
        <w:t>應參照藥物仿單</w:t>
      </w:r>
      <w:r>
        <w:rPr>
          <w:rFonts w:ascii="標楷體" w:eastAsia="標楷體" w:hAnsi="標楷體"/>
          <w:bCs/>
          <w:color w:val="000000"/>
        </w:rPr>
        <w:t>，重要之排除使用狀況包括：</w:t>
      </w:r>
    </w:p>
    <w:p w14:paraId="3B255A36"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(1)懷孕或正在授乳的婦女。</w:t>
      </w:r>
    </w:p>
    <w:p w14:paraId="230299CB"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(2)罹患活動性的感染症的病患。</w:t>
      </w:r>
    </w:p>
    <w:p w14:paraId="35D2C1DC" w14:textId="77777777" w:rsidR="00BD776B" w:rsidRDefault="00DF0C24">
      <w:pPr>
        <w:ind w:left="950" w:hanging="384"/>
        <w:rPr>
          <w:rFonts w:ascii="標楷體" w:eastAsia="標楷體" w:hAnsi="標楷體"/>
          <w:bCs/>
          <w:color w:val="000000"/>
        </w:rPr>
      </w:pPr>
      <w:r>
        <w:rPr>
          <w:rFonts w:ascii="標楷體" w:eastAsia="標楷體" w:hAnsi="標楷體"/>
          <w:bCs/>
          <w:color w:val="000000"/>
        </w:rPr>
        <w:t>(3)未經完整治療之結核病的患者（包括潛伏結核感染治療未達四週者，申請時應檢附潛伏結核感染篩檢紀錄及治療紀錄供審查）。(102/1/1)</w:t>
      </w:r>
    </w:p>
    <w:p w14:paraId="7163E8D7"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(4)身上帶有人工關節者，罹患或先前曾罹患過嚴重的敗血症(sepsis)者。</w:t>
      </w:r>
    </w:p>
    <w:p w14:paraId="20E86ABB"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(5)惡性腫瘤或具有癌症前兆 (pre-malignancy) 的病患。</w:t>
      </w:r>
    </w:p>
    <w:p w14:paraId="0F534DB2"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(6)免疫功能不全者 (Immunodeficiency)。</w:t>
      </w:r>
    </w:p>
    <w:p w14:paraId="09D85D44" w14:textId="77777777" w:rsidR="00BD776B" w:rsidRDefault="00DF0C24">
      <w:pPr>
        <w:ind w:left="811" w:hanging="245"/>
      </w:pPr>
      <w:r>
        <w:rPr>
          <w:rFonts w:ascii="標楷體" w:eastAsia="標楷體" w:hAnsi="標楷體"/>
          <w:bCs/>
          <w:color w:val="000000"/>
        </w:rPr>
        <w:t>6.需停止abatacept治療的情形</w:t>
      </w:r>
      <w:r>
        <w:rPr>
          <w:rFonts w:ascii="標楷體" w:eastAsia="標楷體" w:hAnsi="標楷體"/>
          <w:color w:val="000000"/>
        </w:rPr>
        <w:t>如果發生下列現象應停止治療</w:t>
      </w:r>
      <w:r>
        <w:rPr>
          <w:rFonts w:ascii="標楷體" w:eastAsia="標楷體" w:hAnsi="標楷體"/>
          <w:bCs/>
          <w:color w:val="000000"/>
        </w:rPr>
        <w:t>：</w:t>
      </w:r>
    </w:p>
    <w:p w14:paraId="4C7EA4A3"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(1)不良事件，包括：</w:t>
      </w:r>
    </w:p>
    <w:p w14:paraId="317EDE21"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Ⅰ.惡性腫瘤。</w:t>
      </w:r>
    </w:p>
    <w:p w14:paraId="6B1C5474"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Ⅱ.該藥物引起的嚴重毒性。</w:t>
      </w:r>
    </w:p>
    <w:p w14:paraId="38E0D662"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Ⅲ.懷孕 (暫時停藥即可)。</w:t>
      </w:r>
    </w:p>
    <w:p w14:paraId="248D4B57"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Ⅳ.嚴重的間發性感染症 (intercurrent infection)(暫時停藥即可)。</w:t>
      </w:r>
    </w:p>
    <w:p w14:paraId="5B9004FF"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(2)療效不彰：患者的core set data經過6個月治療後未達療效者。</w:t>
      </w:r>
    </w:p>
    <w:p w14:paraId="3F1C93E9" w14:textId="77777777" w:rsidR="00BD776B" w:rsidRDefault="00DF0C24">
      <w:pPr>
        <w:ind w:left="798" w:hanging="1"/>
        <w:rPr>
          <w:rFonts w:ascii="標楷體" w:eastAsia="標楷體" w:hAnsi="標楷體"/>
          <w:bCs/>
          <w:color w:val="000000"/>
        </w:rPr>
      </w:pPr>
      <w:r>
        <w:rPr>
          <w:rFonts w:ascii="標楷體" w:eastAsia="標楷體" w:hAnsi="標楷體"/>
          <w:bCs/>
          <w:color w:val="000000"/>
        </w:rPr>
        <w:t>療效定義：</w:t>
      </w:r>
    </w:p>
    <w:p w14:paraId="4663335A"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Ⅰ.紅血球沉降速率 (ESR) 或CRP及下列三項中至少有二項達到較基礎值改善30%以上效果者。</w:t>
      </w:r>
    </w:p>
    <w:p w14:paraId="66B5D823"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i.活動性關節炎的總數</w:t>
      </w:r>
    </w:p>
    <w:p w14:paraId="6931ABC0"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ii.關節活動範圍受到限制的關節總數</w:t>
      </w:r>
    </w:p>
    <w:p w14:paraId="3196DA50"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iii.醫師的整體評估</w:t>
      </w:r>
    </w:p>
    <w:p w14:paraId="034208AE" w14:textId="77777777" w:rsidR="00BD776B" w:rsidRDefault="00DF0C24">
      <w:pPr>
        <w:ind w:left="1414" w:hanging="336"/>
        <w:rPr>
          <w:rFonts w:ascii="標楷體" w:eastAsia="標楷體" w:hAnsi="標楷體"/>
          <w:bCs/>
          <w:color w:val="000000"/>
        </w:rPr>
      </w:pPr>
      <w:r>
        <w:rPr>
          <w:rFonts w:ascii="標楷體" w:eastAsia="標楷體" w:hAnsi="標楷體"/>
          <w:bCs/>
          <w:color w:val="000000"/>
        </w:rPr>
        <w:t>Ⅱ.上述各種指標惡化程度達30%以上者不得超過一項。</w:t>
      </w:r>
    </w:p>
    <w:p w14:paraId="1753B7FB"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◎附表三十一：全民健康保險使用abatacept申請表(六歲以上兒童)</w:t>
      </w:r>
    </w:p>
    <w:p w14:paraId="01C5D794" w14:textId="6E3CC48C" w:rsidR="00BD776B" w:rsidRPr="00D43F03" w:rsidRDefault="00DF0C24" w:rsidP="00D43F03">
      <w:pPr>
        <w:ind w:left="571" w:hanging="245"/>
        <w:rPr>
          <w:rFonts w:ascii="標楷體" w:eastAsia="標楷體" w:hAnsi="標楷體"/>
          <w:bCs/>
          <w:color w:val="000000"/>
        </w:rPr>
      </w:pPr>
      <w:r>
        <w:rPr>
          <w:rFonts w:ascii="標楷體" w:eastAsia="標楷體" w:hAnsi="標楷體"/>
          <w:color w:val="000000"/>
        </w:rPr>
        <w:t>8</w:t>
      </w:r>
      <w:r>
        <w:rPr>
          <w:rFonts w:ascii="標楷體" w:eastAsia="標楷體" w:hAnsi="標楷體"/>
          <w:bCs/>
          <w:color w:val="000000"/>
        </w:rPr>
        <w:t>.2.4.9. Golimumab(如Simponi)、Adalimumab（如Humira）、Vedolizumab（如Entyvio）、infliximab（如Remicade）、tofacitinib(如Xeljanz) ；ustekinumab(如Stelara) (105/9/1、105/10/1、106/10/1、107/8/1、108/10/1、111/3/1、111/6/1、112/8/1</w:t>
      </w:r>
      <w:r w:rsidR="00D43F03">
        <w:rPr>
          <w:rFonts w:ascii="標楷體" w:eastAsia="標楷體" w:hAnsi="標楷體" w:hint="eastAsia"/>
          <w:bCs/>
          <w:color w:val="000000"/>
        </w:rPr>
        <w:t>、113/7/1</w:t>
      </w:r>
      <w:r w:rsidR="00A92F12">
        <w:rPr>
          <w:rFonts w:ascii="標楷體" w:eastAsia="標楷體" w:hAnsi="標楷體" w:hint="eastAsia"/>
          <w:bCs/>
          <w:color w:val="000000"/>
        </w:rPr>
        <w:t>、1</w:t>
      </w:r>
      <w:r w:rsidR="00A92F12">
        <w:rPr>
          <w:rFonts w:ascii="標楷體" w:eastAsia="標楷體" w:hAnsi="標楷體"/>
          <w:bCs/>
          <w:color w:val="000000"/>
        </w:rPr>
        <w:t>13/11/1</w:t>
      </w:r>
      <w:r>
        <w:rPr>
          <w:rFonts w:ascii="標楷體" w:eastAsia="標楷體" w:hAnsi="標楷體"/>
          <w:bCs/>
          <w:color w:val="000000"/>
        </w:rPr>
        <w:t>)：用於潰瘍性結腸炎治療部分</w:t>
      </w:r>
    </w:p>
    <w:p w14:paraId="1DEC0682" w14:textId="73A6F3DE" w:rsidR="00BD776B" w:rsidRDefault="00DF0C24">
      <w:pPr>
        <w:ind w:left="571" w:hanging="245"/>
        <w:rPr>
          <w:rFonts w:ascii="標楷體" w:eastAsia="標楷體" w:hAnsi="標楷體"/>
          <w:bCs/>
          <w:color w:val="000000"/>
        </w:rPr>
      </w:pPr>
      <w:r>
        <w:rPr>
          <w:rFonts w:ascii="標楷體" w:eastAsia="標楷體" w:hAnsi="標楷體"/>
          <w:bCs/>
          <w:color w:val="000000"/>
        </w:rPr>
        <w:t>8.2.4.9.1.Golimumab(如Simponi)、Adalimumab（如Humira）、Vedolizumab（如Entyvio）、infliximab（如Remicade）、tofacitinib(如Xeljanz) ustekinumab(如Stelara)  (105/9/1、105/10/1、106/10/1、107/8/1、108/10/1、111/3/1、111/6/1、112/8/1</w:t>
      </w:r>
      <w:r w:rsidR="003C06DE">
        <w:rPr>
          <w:rFonts w:ascii="標楷體" w:eastAsia="標楷體" w:hAnsi="標楷體" w:hint="eastAsia"/>
          <w:bCs/>
          <w:color w:val="000000"/>
        </w:rPr>
        <w:t>、113/7/1</w:t>
      </w:r>
      <w:r w:rsidR="00A92F12">
        <w:rPr>
          <w:rFonts w:ascii="標楷體" w:eastAsia="標楷體" w:hAnsi="標楷體" w:hint="eastAsia"/>
          <w:bCs/>
          <w:color w:val="000000"/>
        </w:rPr>
        <w:t>、113/11/1</w:t>
      </w:r>
      <w:r>
        <w:rPr>
          <w:rFonts w:ascii="標楷體" w:eastAsia="標楷體" w:hAnsi="標楷體"/>
          <w:bCs/>
          <w:color w:val="000000"/>
        </w:rPr>
        <w:t>)：成人治療部分</w:t>
      </w:r>
    </w:p>
    <w:p w14:paraId="02C2767C"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1.限具有消化系專科證書者處方。</w:t>
      </w:r>
    </w:p>
    <w:p w14:paraId="79482193"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2.須經事前審查核准後使用。</w:t>
      </w:r>
    </w:p>
    <w:p w14:paraId="5F3CFCE3"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3.須經診斷為成人潰瘍性結腸炎，並符合下列條件之一：</w:t>
      </w:r>
    </w:p>
    <w:p w14:paraId="41BE8461" w14:textId="77777777" w:rsidR="00BD776B" w:rsidRDefault="00DF0C24">
      <w:pPr>
        <w:ind w:left="1090" w:hanging="245"/>
        <w:rPr>
          <w:rFonts w:ascii="標楷體" w:eastAsia="標楷體" w:hAnsi="標楷體"/>
          <w:bCs/>
          <w:color w:val="000000"/>
        </w:rPr>
      </w:pPr>
      <w:r>
        <w:rPr>
          <w:rFonts w:ascii="標楷體" w:eastAsia="標楷體" w:hAnsi="標楷體"/>
          <w:bCs/>
          <w:color w:val="000000"/>
        </w:rPr>
        <w:t>(1)同時符合下列條件：</w:t>
      </w:r>
    </w:p>
    <w:p w14:paraId="44E95701"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Ⅰ.領有潰瘍性結腸炎重大傷病卡（直腸型排除）。</w:t>
      </w:r>
    </w:p>
    <w:p w14:paraId="46BB8C11"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Ⅱ.經5-aminosalicylic acid藥物(如sulfasalazine、mesalamine或balsalazide)、類固醇、及免疫調節劑(如azathioprine或6-mercaptopurine)充分治療無效(須有病歷完整記載用藥史，連續治療達6個月以上)，或對5-aminosalicylic acid藥物、免疫調節劑產生嚴重藥物副作用。</w:t>
      </w:r>
    </w:p>
    <w:p w14:paraId="23F945B0"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Ⅲ.Mayo score ≧9分且Mayo Endoscopic subscore ≧2分(需檢附兩個月</w:t>
      </w:r>
      <w:r>
        <w:rPr>
          <w:rFonts w:ascii="標楷體" w:eastAsia="標楷體" w:hAnsi="標楷體"/>
          <w:bCs/>
          <w:color w:val="000000"/>
        </w:rPr>
        <w:lastRenderedPageBreak/>
        <w:t>內之大腸鏡報告，內含可供辨識之彩色照片)。</w:t>
      </w:r>
    </w:p>
    <w:p w14:paraId="2CF33ECA" w14:textId="77777777" w:rsidR="00BD776B" w:rsidRDefault="00DF0C24">
      <w:pPr>
        <w:ind w:left="1090" w:hanging="245"/>
        <w:rPr>
          <w:rFonts w:ascii="標楷體" w:eastAsia="標楷體" w:hAnsi="標楷體"/>
          <w:bCs/>
          <w:color w:val="000000"/>
        </w:rPr>
      </w:pPr>
      <w:r>
        <w:rPr>
          <w:rFonts w:ascii="標楷體" w:eastAsia="標楷體" w:hAnsi="標楷體"/>
          <w:bCs/>
          <w:color w:val="000000"/>
        </w:rPr>
        <w:t>(2)急性嚴重的潰瘍性結腸炎，同時符合下列四要件:</w:t>
      </w:r>
    </w:p>
    <w:p w14:paraId="0ABC9AA9"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Ⅰ.內視鏡下符合潰瘍性結腸炎。</w:t>
      </w:r>
    </w:p>
    <w:p w14:paraId="0085FF9E"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Ⅱ.病理切片排除巨細胞病毒腸炎、阿米巴結腸炎、淋巴癌。</w:t>
      </w:r>
    </w:p>
    <w:p w14:paraId="2FAC090C"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Ⅲ.糞便檢測排除困難梭狀桿菌感染。</w:t>
      </w:r>
    </w:p>
    <w:p w14:paraId="75E3D11F" w14:textId="77777777" w:rsidR="00BD776B" w:rsidRDefault="00DF0C24">
      <w:pPr>
        <w:ind w:left="1515" w:hanging="245"/>
        <w:rPr>
          <w:rFonts w:ascii="標楷體" w:eastAsia="標楷體" w:hAnsi="標楷體"/>
          <w:bCs/>
          <w:color w:val="000000"/>
        </w:rPr>
      </w:pPr>
      <w:r>
        <w:rPr>
          <w:rFonts w:ascii="標楷體" w:eastAsia="標楷體" w:hAnsi="標楷體"/>
          <w:bCs/>
          <w:color w:val="000000"/>
        </w:rPr>
        <w:t>Ⅳ.Mayo Score為12分，經類固醇全劑量靜脈注射(如methylprednisolone 40-60mg/day等)連續治療5天無效。</w:t>
      </w:r>
    </w:p>
    <w:p w14:paraId="3FDA8DB5" w14:textId="77777777" w:rsidR="00BD776B" w:rsidRDefault="00DF0C24">
      <w:pPr>
        <w:ind w:left="751" w:hanging="386"/>
        <w:rPr>
          <w:rFonts w:ascii="標楷體" w:eastAsia="標楷體" w:hAnsi="標楷體"/>
          <w:bCs/>
          <w:color w:val="000000"/>
        </w:rPr>
      </w:pPr>
      <w:r>
        <w:rPr>
          <w:rFonts w:ascii="標楷體" w:eastAsia="標楷體" w:hAnsi="標楷體"/>
          <w:bCs/>
          <w:color w:val="000000"/>
        </w:rPr>
        <w:t>4.療效評估與繼續使用：</w:t>
      </w:r>
    </w:p>
    <w:p w14:paraId="3E7B2927" w14:textId="77777777" w:rsidR="00BD776B" w:rsidRDefault="00DF0C24">
      <w:pPr>
        <w:ind w:left="991" w:hanging="386"/>
        <w:rPr>
          <w:rFonts w:ascii="標楷體" w:eastAsia="標楷體" w:hAnsi="標楷體"/>
          <w:bCs/>
          <w:color w:val="000000"/>
        </w:rPr>
      </w:pPr>
      <w:r>
        <w:rPr>
          <w:rFonts w:ascii="標楷體" w:eastAsia="標楷體" w:hAnsi="標楷體"/>
          <w:bCs/>
          <w:color w:val="000000"/>
        </w:rPr>
        <w:t>(1)初次申請：golimumab以2週(使用2劑)、adalimumab以6週(使用4劑)、vedolizumab 6週(使用靜脈注射3劑為限)，或以2週(使用靜脈注射2劑為限)、infliximab以6週(使用3劑) 、tofacitinib以8週為限(且tofacitinib限用於其他生物製劑治療失敗或無法耐受之中至重度活動性潰瘍性結腸炎病人，另使用前應排除有血栓風險之病患，且不建議與azathioprine與cyclosporine合併使用) 、ustekinumab以使用靜脈注射1劑為限，治療後達到臨床反應評估者(第一次續用評估採用partial Mayo score評估，相較於初次申請，partial Mayo score減少≧2分且血便項”rectal bleeding”減少≧1分以上。)，方得申請第一次繼續使用。誘導緩解失敗者，得提出申請轉換他類生物製劑，然同一療程不得合併使用。(105/10/1、106/10/1、107/8/1、108/10/1、111/3/1、111/6/1、112/8/1)</w:t>
      </w:r>
    </w:p>
    <w:p w14:paraId="15E69330" w14:textId="0A238EF8" w:rsidR="00BD776B" w:rsidRDefault="00DF0C24">
      <w:pPr>
        <w:ind w:left="991" w:hanging="386"/>
        <w:rPr>
          <w:rFonts w:ascii="標楷體" w:eastAsia="標楷體" w:hAnsi="標楷體"/>
          <w:bCs/>
          <w:color w:val="000000"/>
        </w:rPr>
      </w:pPr>
      <w:r>
        <w:rPr>
          <w:rFonts w:ascii="標楷體" w:eastAsia="標楷體" w:hAnsi="標楷體"/>
          <w:bCs/>
          <w:color w:val="000000"/>
        </w:rPr>
        <w:t>(2)</w:t>
      </w:r>
      <w:r w:rsidR="00544356" w:rsidRPr="00544356">
        <w:rPr>
          <w:rFonts w:ascii="標楷體" w:eastAsia="標楷體" w:hAnsi="標楷體" w:hint="eastAsia"/>
          <w:bCs/>
          <w:color w:val="000000"/>
        </w:rPr>
        <w:t>繼續使用者：第一次續用評估採Partial Mayo Score評估，最長24週需再續用評估一次。第二次續用評估，必須Mayo Score≦ 6分，且Mayo Endoscopic subscore≦ 1分方可再申請繼續使用。ustekinumab治療達到部分有效緩解者，經消化系專科醫師評估後，得申請繼續使用，以每隔8週給予皮下注射維持劑量90mg。Golimumab、adalimumab及tofacitinib繼續使用以24週2次為限。Ustekinumab繼續使用以24週2次或3次為限。Vedolizumab以24週(使用靜脈注射3劑)或16週(使用靜脈注射2劑) ，或第6週起，每24週(使用皮下注射12劑)。infliximab繼續使用以24週(使用3劑)及16週(使用2劑)為限。（106/10/1、107/8/1、108/10/1、111/3/1、111/6/1、112/8/1、113/11/1</w:t>
      </w:r>
      <w:r>
        <w:rPr>
          <w:rFonts w:ascii="標楷體" w:eastAsia="標楷體" w:hAnsi="標楷體"/>
          <w:bCs/>
          <w:color w:val="000000"/>
        </w:rPr>
        <w:t>）</w:t>
      </w:r>
    </w:p>
    <w:p w14:paraId="49A95FFE" w14:textId="77777777" w:rsidR="00BD776B" w:rsidRDefault="00DF0C24">
      <w:pPr>
        <w:ind w:left="571" w:hanging="245"/>
        <w:rPr>
          <w:rFonts w:ascii="標楷體" w:eastAsia="標楷體" w:hAnsi="標楷體"/>
          <w:bCs/>
          <w:color w:val="000000"/>
        </w:rPr>
      </w:pPr>
      <w:r>
        <w:rPr>
          <w:rFonts w:ascii="標楷體" w:eastAsia="標楷體" w:hAnsi="標楷體"/>
          <w:bCs/>
          <w:color w:val="000000"/>
        </w:rPr>
        <w:t>5.劑量給予方式及總療程：</w:t>
      </w:r>
    </w:p>
    <w:p w14:paraId="01D47F06"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 Golimumab：</w:t>
      </w:r>
    </w:p>
    <w:p w14:paraId="5019C44C" w14:textId="77777777" w:rsidR="00BD776B" w:rsidRDefault="00DF0C24">
      <w:pPr>
        <w:ind w:left="1416" w:hanging="386"/>
        <w:rPr>
          <w:rFonts w:ascii="標楷體" w:eastAsia="標楷體" w:hAnsi="標楷體"/>
          <w:bCs/>
          <w:color w:val="000000"/>
        </w:rPr>
      </w:pPr>
      <w:r>
        <w:rPr>
          <w:rFonts w:ascii="標楷體" w:eastAsia="標楷體" w:hAnsi="標楷體"/>
          <w:bCs/>
          <w:color w:val="000000"/>
        </w:rPr>
        <w:t>Ⅰ.最初第一劑200mg，兩週後第二劑100mg，作為緩解之誘導；有效患者之後每隔4週給予維持劑量50mg(體重大於80公斤病患，每隔4週100mg)，至多持續至50週(使用14劑)，作為緩解之維持。(106/10/1、108/10/1)</w:t>
      </w:r>
    </w:p>
    <w:p w14:paraId="078C7D85" w14:textId="77777777" w:rsidR="00BD776B" w:rsidRDefault="00DF0C24">
      <w:pPr>
        <w:ind w:left="1275" w:hanging="245"/>
        <w:rPr>
          <w:rFonts w:ascii="標楷體" w:eastAsia="標楷體" w:hAnsi="標楷體"/>
          <w:bCs/>
          <w:color w:val="000000"/>
        </w:rPr>
      </w:pPr>
      <w:r>
        <w:rPr>
          <w:rFonts w:ascii="標楷體" w:eastAsia="標楷體" w:hAnsi="標楷體"/>
          <w:bCs/>
          <w:color w:val="000000"/>
        </w:rPr>
        <w:t>Ⅱ.若使用劑量為100mg（含）以上，限使用100mg(1mL)規格量。</w:t>
      </w:r>
    </w:p>
    <w:p w14:paraId="33B7FCA2" w14:textId="77777777" w:rsidR="00BD776B" w:rsidRDefault="00DF0C24">
      <w:pPr>
        <w:ind w:left="991" w:hanging="425"/>
        <w:rPr>
          <w:rFonts w:ascii="標楷體" w:eastAsia="標楷體" w:hAnsi="標楷體"/>
          <w:bCs/>
          <w:color w:val="000000"/>
        </w:rPr>
      </w:pPr>
      <w:r>
        <w:rPr>
          <w:rFonts w:ascii="標楷體" w:eastAsia="標楷體" w:hAnsi="標楷體"/>
          <w:bCs/>
          <w:color w:val="000000"/>
        </w:rPr>
        <w:t>(2) Adalimumab：最初第一劑160mg，兩週後第二劑80mg，第四週之第三劑及第六週之第四劑40mg，作為緩解之誘導；之後每隔兩週給予維持劑量40mg，至多持續至54週(使用28劑)，作為緩解之維持。(105/10/1、106/10/1、108/10/1)</w:t>
      </w:r>
    </w:p>
    <w:p w14:paraId="346397DD" w14:textId="77777777" w:rsidR="00BD776B" w:rsidRDefault="00DF0C24">
      <w:pPr>
        <w:ind w:left="811" w:hanging="245"/>
      </w:pPr>
      <w:r>
        <w:rPr>
          <w:rFonts w:ascii="標楷體" w:eastAsia="標楷體" w:hAnsi="標楷體"/>
          <w:bCs/>
          <w:color w:val="000000"/>
        </w:rPr>
        <w:t>(3)</w:t>
      </w:r>
      <w:r>
        <w:t xml:space="preserve"> </w:t>
      </w:r>
      <w:r>
        <w:rPr>
          <w:rFonts w:ascii="標楷體" w:eastAsia="標楷體" w:hAnsi="標楷體"/>
          <w:bCs/>
          <w:color w:val="000000"/>
        </w:rPr>
        <w:t>Vedolizumab：靜脈注射最初第一劑300mg，兩週後第二劑300mg，第六週之第三劑300mg，作為緩解之誘導；之後每隔八週給予維持劑量300mg，至多持續至46週(使用靜脈注射8劑)，或靜脈注射搭配皮下注射共治療52週，使用靜脈注射2劑誘導緩解，皮下注射24劑，作為緩解之維持。(106/10/1、108/10/1、112/8/1)</w:t>
      </w:r>
    </w:p>
    <w:p w14:paraId="6BC5B7EC"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lastRenderedPageBreak/>
        <w:t>(4)</w:t>
      </w:r>
      <w:r>
        <w:rPr>
          <w:rFonts w:ascii="標楷體" w:eastAsia="標楷體" w:hAnsi="標楷體"/>
          <w:bCs/>
          <w:color w:val="000000"/>
        </w:rPr>
        <w:tab/>
        <w:t>Infliximab：最初第一劑、兩週後之第二劑、第六週之第三劑給予5mg/kg，作為緩解之誘導；之後每隔八週給予維持劑量5mg/kg，至多持續至46週(使用8劑)，作為緩解之維持。(107/8/1、108/10/1)</w:t>
      </w:r>
    </w:p>
    <w:p w14:paraId="1B2DD33F"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(5)Tofacitinib：口服使用每日兩次，最初8週每次10 mg，第9週開始可調整劑量為每日2次5 mg或每日1次11 mg (Tofacitinib XR)，至多持續至56週，作為緩解之維持。(使用前應排除有血栓風險之病患，且不建議與azathioprine與cyclosporine合併使用)。(111/3/1）</w:t>
      </w:r>
    </w:p>
    <w:p w14:paraId="480DCAC3" w14:textId="0FFBEA72" w:rsidR="00BD776B" w:rsidRDefault="00DF0C24">
      <w:pPr>
        <w:ind w:left="811" w:hanging="245"/>
      </w:pPr>
      <w:r>
        <w:rPr>
          <w:rFonts w:ascii="標楷體" w:eastAsia="標楷體" w:hAnsi="標楷體"/>
          <w:bCs/>
          <w:color w:val="000000"/>
        </w:rPr>
        <w:t>(6)</w:t>
      </w:r>
      <w:r w:rsidR="00406D60" w:rsidRPr="00406D60">
        <w:rPr>
          <w:rFonts w:ascii="標楷體" w:eastAsia="標楷體" w:hAnsi="標楷體"/>
          <w:bCs/>
          <w:color w:val="000000"/>
        </w:rPr>
        <w:t>Ustekinumab</w:t>
      </w:r>
      <w:r w:rsidR="00406D60" w:rsidRPr="00406D60">
        <w:rPr>
          <w:rFonts w:ascii="標楷體" w:eastAsia="標楷體" w:hAnsi="標楷體" w:hint="eastAsia"/>
          <w:bCs/>
          <w:color w:val="000000"/>
        </w:rPr>
        <w:t>：第</w:t>
      </w:r>
      <w:r w:rsidR="00406D60" w:rsidRPr="00406D60">
        <w:rPr>
          <w:rFonts w:ascii="標楷體" w:eastAsia="標楷體" w:hAnsi="標楷體"/>
          <w:bCs/>
          <w:color w:val="000000"/>
        </w:rPr>
        <w:t>0</w:t>
      </w:r>
      <w:r w:rsidR="00406D60" w:rsidRPr="00406D60">
        <w:rPr>
          <w:rFonts w:ascii="標楷體" w:eastAsia="標楷體" w:hAnsi="標楷體" w:hint="eastAsia"/>
          <w:bCs/>
          <w:color w:val="000000"/>
        </w:rPr>
        <w:t>週給予靜脈輸注作為緩解之誘導（體重</w:t>
      </w:r>
      <w:r w:rsidR="00406D60" w:rsidRPr="00406D60">
        <w:rPr>
          <w:rFonts w:ascii="Times New Roman" w:eastAsia="標楷體" w:hAnsi="Times New Roman"/>
          <w:bCs/>
          <w:color w:val="000000"/>
        </w:rPr>
        <w:t>≤</w:t>
      </w:r>
      <w:r w:rsidR="00406D60" w:rsidRPr="00406D60">
        <w:rPr>
          <w:rFonts w:ascii="標楷體" w:eastAsia="標楷體" w:hAnsi="標楷體"/>
          <w:bCs/>
          <w:color w:val="000000"/>
        </w:rPr>
        <w:t>55kg</w:t>
      </w:r>
      <w:r w:rsidR="00406D60" w:rsidRPr="00406D60">
        <w:rPr>
          <w:rFonts w:ascii="標楷體" w:eastAsia="標楷體" w:hAnsi="標楷體" w:hint="eastAsia"/>
          <w:bCs/>
          <w:color w:val="000000"/>
        </w:rPr>
        <w:t>使用</w:t>
      </w:r>
      <w:r w:rsidR="00406D60" w:rsidRPr="00406D60">
        <w:rPr>
          <w:rFonts w:ascii="標楷體" w:eastAsia="標楷體" w:hAnsi="標楷體"/>
          <w:bCs/>
          <w:color w:val="000000"/>
        </w:rPr>
        <w:t>260 mg;</w:t>
      </w:r>
      <w:r w:rsidR="00406D60" w:rsidRPr="00406D60">
        <w:rPr>
          <w:rFonts w:ascii="標楷體" w:eastAsia="標楷體" w:hAnsi="標楷體" w:hint="eastAsia"/>
          <w:bCs/>
          <w:color w:val="000000"/>
        </w:rPr>
        <w:t>大於</w:t>
      </w:r>
      <w:r w:rsidR="00406D60" w:rsidRPr="00406D60">
        <w:rPr>
          <w:rFonts w:ascii="標楷體" w:eastAsia="標楷體" w:hAnsi="標楷體"/>
          <w:bCs/>
          <w:color w:val="000000"/>
        </w:rPr>
        <w:t>55kg</w:t>
      </w:r>
      <w:r w:rsidR="00406D60" w:rsidRPr="00406D60">
        <w:rPr>
          <w:rFonts w:ascii="標楷體" w:eastAsia="標楷體" w:hAnsi="標楷體" w:hint="eastAsia"/>
          <w:bCs/>
          <w:color w:val="000000"/>
        </w:rPr>
        <w:t>至</w:t>
      </w:r>
      <w:r w:rsidR="00406D60" w:rsidRPr="00406D60">
        <w:rPr>
          <w:rFonts w:ascii="標楷體" w:eastAsia="標楷體" w:hAnsi="標楷體"/>
          <w:bCs/>
          <w:color w:val="000000"/>
        </w:rPr>
        <w:t>85kg</w:t>
      </w:r>
      <w:r w:rsidR="00406D60" w:rsidRPr="00406D60">
        <w:rPr>
          <w:rFonts w:ascii="標楷體" w:eastAsia="標楷體" w:hAnsi="標楷體" w:hint="eastAsia"/>
          <w:bCs/>
          <w:color w:val="000000"/>
        </w:rPr>
        <w:t>使用</w:t>
      </w:r>
      <w:r w:rsidR="00406D60" w:rsidRPr="00406D60">
        <w:rPr>
          <w:rFonts w:ascii="標楷體" w:eastAsia="標楷體" w:hAnsi="標楷體"/>
          <w:bCs/>
          <w:color w:val="000000"/>
        </w:rPr>
        <w:t>390mg;&gt;85kg</w:t>
      </w:r>
      <w:r w:rsidR="00406D60" w:rsidRPr="00406D60">
        <w:rPr>
          <w:rFonts w:ascii="標楷體" w:eastAsia="標楷體" w:hAnsi="標楷體" w:hint="eastAsia"/>
          <w:bCs/>
          <w:color w:val="000000"/>
        </w:rPr>
        <w:t>者使用</w:t>
      </w:r>
      <w:r w:rsidR="00406D60" w:rsidRPr="00406D60">
        <w:rPr>
          <w:rFonts w:ascii="標楷體" w:eastAsia="標楷體" w:hAnsi="標楷體"/>
          <w:bCs/>
          <w:color w:val="000000"/>
        </w:rPr>
        <w:t>520mg</w:t>
      </w:r>
      <w:r w:rsidR="00406D60" w:rsidRPr="00406D60">
        <w:rPr>
          <w:rFonts w:ascii="標楷體" w:eastAsia="標楷體" w:hAnsi="標楷體" w:hint="eastAsia"/>
          <w:bCs/>
          <w:color w:val="000000"/>
        </w:rPr>
        <w:t>）；於靜脈注射後的第</w:t>
      </w:r>
      <w:r w:rsidR="00406D60" w:rsidRPr="00406D60">
        <w:rPr>
          <w:rFonts w:ascii="標楷體" w:eastAsia="標楷體" w:hAnsi="標楷體"/>
          <w:bCs/>
          <w:color w:val="000000"/>
        </w:rPr>
        <w:t>8</w:t>
      </w:r>
      <w:r w:rsidR="00406D60" w:rsidRPr="00406D60">
        <w:rPr>
          <w:rFonts w:ascii="標楷體" w:eastAsia="標楷體" w:hAnsi="標楷體" w:hint="eastAsia"/>
          <w:bCs/>
          <w:color w:val="000000"/>
        </w:rPr>
        <w:t>週開始給予第</w:t>
      </w:r>
      <w:r w:rsidR="00406D60" w:rsidRPr="00406D60">
        <w:rPr>
          <w:rFonts w:ascii="標楷體" w:eastAsia="標楷體" w:hAnsi="標楷體"/>
          <w:bCs/>
          <w:color w:val="000000"/>
        </w:rPr>
        <w:t>1</w:t>
      </w:r>
      <w:r w:rsidR="00406D60" w:rsidRPr="00406D60">
        <w:rPr>
          <w:rFonts w:ascii="標楷體" w:eastAsia="標楷體" w:hAnsi="標楷體" w:hint="eastAsia"/>
          <w:bCs/>
          <w:color w:val="000000"/>
        </w:rPr>
        <w:t>劑皮下注射劑，之後每隔</w:t>
      </w:r>
      <w:r w:rsidR="00406D60" w:rsidRPr="00406D60">
        <w:rPr>
          <w:rFonts w:ascii="標楷體" w:eastAsia="標楷體" w:hAnsi="標楷體"/>
          <w:bCs/>
          <w:color w:val="000000"/>
        </w:rPr>
        <w:t>12</w:t>
      </w:r>
      <w:r w:rsidR="00406D60" w:rsidRPr="00406D60">
        <w:rPr>
          <w:rFonts w:ascii="標楷體" w:eastAsia="標楷體" w:hAnsi="標楷體" w:hint="eastAsia"/>
          <w:bCs/>
          <w:color w:val="000000"/>
        </w:rPr>
        <w:t>週或</w:t>
      </w:r>
      <w:r w:rsidR="00406D60" w:rsidRPr="00406D60">
        <w:rPr>
          <w:rFonts w:ascii="標楷體" w:eastAsia="標楷體" w:hAnsi="標楷體"/>
          <w:bCs/>
          <w:color w:val="000000"/>
        </w:rPr>
        <w:t>8</w:t>
      </w:r>
      <w:r w:rsidR="00406D60" w:rsidRPr="00406D60">
        <w:rPr>
          <w:rFonts w:ascii="標楷體" w:eastAsia="標楷體" w:hAnsi="標楷體" w:hint="eastAsia"/>
          <w:bCs/>
          <w:color w:val="000000"/>
        </w:rPr>
        <w:t>週給予皮下注射維持劑量</w:t>
      </w:r>
      <w:r w:rsidR="00406D60" w:rsidRPr="00406D60">
        <w:rPr>
          <w:rFonts w:ascii="標楷體" w:eastAsia="標楷體" w:hAnsi="標楷體"/>
          <w:bCs/>
          <w:color w:val="000000"/>
        </w:rPr>
        <w:t>90mg</w:t>
      </w:r>
      <w:r w:rsidR="00406D60" w:rsidRPr="00406D60">
        <w:rPr>
          <w:rFonts w:ascii="標楷體" w:eastAsia="標楷體" w:hAnsi="標楷體" w:hint="eastAsia"/>
          <w:bCs/>
          <w:color w:val="000000"/>
        </w:rPr>
        <w:t>，至多持續治療至第</w:t>
      </w:r>
      <w:r w:rsidR="00406D60" w:rsidRPr="00406D60">
        <w:rPr>
          <w:rFonts w:ascii="標楷體" w:eastAsia="標楷體" w:hAnsi="標楷體"/>
          <w:bCs/>
          <w:color w:val="000000"/>
        </w:rPr>
        <w:t>44</w:t>
      </w:r>
      <w:r w:rsidR="00406D60" w:rsidRPr="00406D60">
        <w:rPr>
          <w:rFonts w:ascii="標楷體" w:eastAsia="標楷體" w:hAnsi="標楷體" w:hint="eastAsia"/>
          <w:bCs/>
          <w:color w:val="000000"/>
        </w:rPr>
        <w:t>週或第</w:t>
      </w:r>
      <w:r w:rsidR="00406D60" w:rsidRPr="00406D60">
        <w:rPr>
          <w:rFonts w:ascii="標楷體" w:eastAsia="標楷體" w:hAnsi="標楷體"/>
          <w:bCs/>
          <w:color w:val="000000"/>
        </w:rPr>
        <w:t>48</w:t>
      </w:r>
      <w:r w:rsidR="00406D60" w:rsidRPr="00406D60">
        <w:rPr>
          <w:rFonts w:ascii="標楷體" w:eastAsia="標楷體" w:hAnsi="標楷體" w:hint="eastAsia"/>
          <w:bCs/>
          <w:color w:val="000000"/>
        </w:rPr>
        <w:t>週</w:t>
      </w:r>
      <w:r w:rsidR="00406D60" w:rsidRPr="00406D60">
        <w:rPr>
          <w:rFonts w:ascii="標楷體" w:eastAsia="標楷體" w:hAnsi="標楷體"/>
          <w:bCs/>
          <w:color w:val="000000"/>
        </w:rPr>
        <w:t>(</w:t>
      </w:r>
      <w:r w:rsidR="00406D60" w:rsidRPr="00406D60">
        <w:rPr>
          <w:rFonts w:ascii="標楷體" w:eastAsia="標楷體" w:hAnsi="標楷體" w:hint="eastAsia"/>
          <w:bCs/>
          <w:color w:val="000000"/>
        </w:rPr>
        <w:t>使用</w:t>
      </w:r>
      <w:r w:rsidR="00406D60" w:rsidRPr="00406D60">
        <w:rPr>
          <w:rFonts w:ascii="標楷體" w:eastAsia="標楷體" w:hAnsi="標楷體"/>
          <w:bCs/>
          <w:color w:val="000000"/>
        </w:rPr>
        <w:t>5</w:t>
      </w:r>
      <w:r w:rsidR="00406D60" w:rsidRPr="00406D60">
        <w:rPr>
          <w:rFonts w:ascii="標楷體" w:eastAsia="標楷體" w:hAnsi="標楷體" w:hint="eastAsia"/>
          <w:bCs/>
          <w:color w:val="000000"/>
        </w:rPr>
        <w:t>劑或</w:t>
      </w:r>
      <w:r w:rsidR="00406D60" w:rsidRPr="00406D60">
        <w:rPr>
          <w:rFonts w:ascii="標楷體" w:eastAsia="標楷體" w:hAnsi="標楷體"/>
          <w:bCs/>
          <w:color w:val="000000"/>
        </w:rPr>
        <w:t>7</w:t>
      </w:r>
      <w:r w:rsidR="00406D60" w:rsidRPr="00406D60">
        <w:rPr>
          <w:rFonts w:ascii="標楷體" w:eastAsia="標楷體" w:hAnsi="標楷體" w:hint="eastAsia"/>
          <w:bCs/>
          <w:color w:val="000000"/>
        </w:rPr>
        <w:t>劑</w:t>
      </w:r>
      <w:r w:rsidR="00406D60" w:rsidRPr="00406D60">
        <w:rPr>
          <w:rFonts w:ascii="標楷體" w:eastAsia="標楷體" w:hAnsi="標楷體"/>
          <w:bCs/>
          <w:color w:val="000000"/>
        </w:rPr>
        <w:t>)</w:t>
      </w:r>
      <w:r w:rsidR="00406D60" w:rsidRPr="00406D60">
        <w:rPr>
          <w:rFonts w:ascii="標楷體" w:eastAsia="標楷體" w:hAnsi="標楷體" w:hint="eastAsia"/>
          <w:bCs/>
          <w:color w:val="000000"/>
        </w:rPr>
        <w:t>，作為緩解之維持。</w:t>
      </w:r>
      <w:r w:rsidR="00406D60" w:rsidRPr="00406D60">
        <w:rPr>
          <w:rFonts w:ascii="標楷體" w:eastAsia="標楷體" w:hAnsi="標楷體"/>
          <w:bCs/>
          <w:color w:val="000000"/>
        </w:rPr>
        <w:t>(111/6/1</w:t>
      </w:r>
      <w:r w:rsidR="00406D60" w:rsidRPr="00406D60">
        <w:rPr>
          <w:rFonts w:ascii="標楷體" w:eastAsia="標楷體" w:hAnsi="標楷體" w:hint="eastAsia"/>
          <w:bCs/>
          <w:color w:val="000000"/>
        </w:rPr>
        <w:t>、</w:t>
      </w:r>
      <w:r w:rsidR="00406D60" w:rsidRPr="00406D60">
        <w:rPr>
          <w:rFonts w:ascii="標楷體" w:eastAsia="標楷體" w:hAnsi="標楷體"/>
          <w:bCs/>
          <w:color w:val="000000"/>
        </w:rPr>
        <w:t>113/11/1</w:t>
      </w:r>
      <w:r>
        <w:rPr>
          <w:rFonts w:ascii="標楷體" w:eastAsia="標楷體" w:hAnsi="標楷體"/>
          <w:bCs/>
          <w:color w:val="000000"/>
        </w:rPr>
        <w:t>)</w:t>
      </w:r>
    </w:p>
    <w:p w14:paraId="5428817E"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 xml:space="preserve">  註：若ustekinumab使用維持劑量為90mg（含）以上，則限使用90mg(1mL)規格量。(111/6/1)</w:t>
      </w:r>
    </w:p>
    <w:p w14:paraId="64975ACB" w14:textId="1D67E996" w:rsidR="00BD776B" w:rsidRDefault="00DF0C24" w:rsidP="00406D60">
      <w:pPr>
        <w:ind w:left="811" w:hanging="245"/>
        <w:rPr>
          <w:rFonts w:ascii="標楷體" w:eastAsia="標楷體" w:hAnsi="標楷體"/>
          <w:bCs/>
          <w:color w:val="000000"/>
        </w:rPr>
      </w:pPr>
      <w:r>
        <w:rPr>
          <w:rFonts w:ascii="標楷體" w:eastAsia="標楷體" w:hAnsi="標楷體"/>
          <w:bCs/>
          <w:color w:val="000000"/>
        </w:rPr>
        <w:t>6.</w:t>
      </w:r>
      <w:r w:rsidR="00406D60" w:rsidRPr="00406D60">
        <w:rPr>
          <w:rFonts w:ascii="標楷體" w:eastAsia="標楷體" w:hAnsi="標楷體" w:hint="eastAsia"/>
          <w:bCs/>
          <w:color w:val="000000"/>
        </w:rPr>
        <w:t>Golimumab治療50週(使用14劑)；adalimumab治療54週(使用28劑)；vedolizumab治療46週(使用靜脈注射8劑)，或第0、2週給予靜脈輸注300mg作為緩解之誘導；第6週開始給予皮下注射維持劑量108mg，之後每隔2週給予皮下注射維持劑量108mg，可持續治療至第52週 (總共使用靜脈注射2劑，皮下注射24劑，療效持續至54週)或infliximab治療46週(使用8劑)後；tofacitinib治療56週後; ustekinumab治療44週使用5劑(共使用1劑靜脈注射及4劑皮下注射)或48週使用7劑(共使用1劑靜脈注射及6劑皮下注射)後，必須至少再間隔超過3個月後，若病情復發，依初次使用標準(其中經5-aminosalicylic acid藥物、類固醇、及/或免疫抑制劑充分治療，連續超過3個月)再次提出事前審查。連續2次於總療程結束後復發，且第2次復發於藥效終止後3個月內發生，則可持續使用；惟需每24週提出續用事前審查。必須Mayo score≦6分且Mayo endoscopic subscore≦1分，才可繼續使用。連續2年（4次評估）達到Mayo score≦2分，且Mayo endoscopic subscore ≦1，則應考慮停藥。(105/10/1、106/10/1、107/8/1、108/10/1、111/3/1、111/6/1、112/8/1、113/7/1、113/11/1</w:t>
      </w:r>
      <w:r w:rsidR="008260B0" w:rsidRPr="008260B0">
        <w:rPr>
          <w:rFonts w:ascii="標楷體" w:eastAsia="標楷體" w:hAnsi="標楷體" w:hint="eastAsia"/>
          <w:bCs/>
          <w:color w:val="000000"/>
        </w:rPr>
        <w:t>)</w:t>
      </w:r>
    </w:p>
    <w:p w14:paraId="1D8305AD"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7.須排除使用之情形：</w:t>
      </w:r>
    </w:p>
    <w:p w14:paraId="467D6EDA"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應參照藥物仿單，重要之排除使用狀況包括：</w:t>
      </w:r>
    </w:p>
    <w:p w14:paraId="55127317"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(1)懷孕或正在授乳的婦女。</w:t>
      </w:r>
    </w:p>
    <w:p w14:paraId="3FD627A6"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(2)罹患活動性感染症(active infection)之病患。</w:t>
      </w:r>
    </w:p>
    <w:p w14:paraId="15BBF388"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(3)未經完整治療之結核病病患（包括潛伏結核感染治療未達四週者，申請時應檢附潛伏結核感染篩檢紀錄及治療紀錄供審查）。</w:t>
      </w:r>
    </w:p>
    <w:p w14:paraId="667A7548"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(4)惡性腫瘤或具有癌症前兆(pre-malignancy)之病患(但不包括已經接受過充分治療達10年以上的惡性腫瘤)。</w:t>
      </w:r>
    </w:p>
    <w:p w14:paraId="02F232F0"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(5)具高度感染機會之病患：慢性腿部潰瘍、導尿管置留、身上有引流管、人工關節感染，該人工關節尚未摘除者、頑固性或復發性之胸腔感染症病患。</w:t>
      </w:r>
    </w:p>
    <w:p w14:paraId="2098C442"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(6)多發性硬化症(multiple sclerosis)。</w:t>
      </w:r>
    </w:p>
    <w:p w14:paraId="1FADCBC2"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8.須停止治療的情形：</w:t>
      </w:r>
    </w:p>
    <w:p w14:paraId="696E894C"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(1)療效不彰：療效評估未達繼續使用標準者。</w:t>
      </w:r>
    </w:p>
    <w:p w14:paraId="50960ED0" w14:textId="77777777" w:rsidR="00BD776B" w:rsidRDefault="00DF0C24">
      <w:pPr>
        <w:ind w:left="1051" w:hanging="245"/>
        <w:rPr>
          <w:rFonts w:ascii="標楷體" w:eastAsia="標楷體" w:hAnsi="標楷體"/>
          <w:bCs/>
          <w:color w:val="000000"/>
        </w:rPr>
      </w:pPr>
      <w:r>
        <w:rPr>
          <w:rFonts w:ascii="標楷體" w:eastAsia="標楷體" w:hAnsi="標楷體"/>
          <w:bCs/>
          <w:color w:val="000000"/>
        </w:rPr>
        <w:t>(2)其他事項包括：</w:t>
      </w:r>
    </w:p>
    <w:p w14:paraId="27C3121D" w14:textId="77777777" w:rsidR="00BD776B" w:rsidRDefault="00DF0C24">
      <w:pPr>
        <w:ind w:left="1373" w:hanging="245"/>
        <w:rPr>
          <w:rFonts w:ascii="標楷體" w:eastAsia="標楷體" w:hAnsi="標楷體"/>
          <w:bCs/>
          <w:color w:val="000000"/>
        </w:rPr>
      </w:pPr>
      <w:r>
        <w:rPr>
          <w:rFonts w:ascii="標楷體" w:eastAsia="標楷體" w:hAnsi="標楷體"/>
          <w:bCs/>
          <w:color w:val="000000"/>
        </w:rPr>
        <w:t>Ⅰ.惡性腫瘤。</w:t>
      </w:r>
    </w:p>
    <w:p w14:paraId="019AA021" w14:textId="77777777" w:rsidR="00BD776B" w:rsidRDefault="00DF0C24">
      <w:pPr>
        <w:ind w:left="1373" w:hanging="245"/>
        <w:rPr>
          <w:rFonts w:ascii="標楷體" w:eastAsia="標楷體" w:hAnsi="標楷體"/>
          <w:bCs/>
          <w:color w:val="000000"/>
        </w:rPr>
      </w:pPr>
      <w:r>
        <w:rPr>
          <w:rFonts w:ascii="標楷體" w:eastAsia="標楷體" w:hAnsi="標楷體"/>
          <w:bCs/>
          <w:color w:val="000000"/>
        </w:rPr>
        <w:lastRenderedPageBreak/>
        <w:t>Ⅱ.該藥物引起之嚴重毒性(白血球過低、嚴重過敏)。</w:t>
      </w:r>
    </w:p>
    <w:p w14:paraId="23FDD14E" w14:textId="77777777" w:rsidR="00BD776B" w:rsidRDefault="00DF0C24">
      <w:pPr>
        <w:ind w:left="1373" w:hanging="245"/>
        <w:rPr>
          <w:rFonts w:ascii="標楷體" w:eastAsia="標楷體" w:hAnsi="標楷體"/>
          <w:bCs/>
          <w:color w:val="000000"/>
        </w:rPr>
      </w:pPr>
      <w:r>
        <w:rPr>
          <w:rFonts w:ascii="標楷體" w:eastAsia="標楷體" w:hAnsi="標楷體"/>
          <w:bCs/>
          <w:color w:val="000000"/>
        </w:rPr>
        <w:t>Ⅲ.懷孕(暫時停藥即可)。</w:t>
      </w:r>
    </w:p>
    <w:p w14:paraId="5B536378" w14:textId="3692BFBF" w:rsidR="00BD776B" w:rsidRDefault="00DF0C24">
      <w:pPr>
        <w:ind w:left="1291" w:hanging="245"/>
        <w:rPr>
          <w:rFonts w:ascii="標楷體" w:eastAsia="標楷體" w:hAnsi="標楷體"/>
        </w:rPr>
      </w:pPr>
      <w:r>
        <w:rPr>
          <w:rFonts w:ascii="標楷體" w:eastAsia="標楷體" w:hAnsi="標楷體"/>
        </w:rPr>
        <w:t xml:space="preserve"> Ⅳ.嚴重間發性感染(暫時停藥即可)。</w:t>
      </w:r>
    </w:p>
    <w:p w14:paraId="66A77FE3" w14:textId="4BA816BC" w:rsidR="00124574" w:rsidRPr="00124574" w:rsidRDefault="00124574" w:rsidP="008B0E7B">
      <w:pPr>
        <w:ind w:left="1291" w:hanging="724"/>
        <w:rPr>
          <w:rFonts w:ascii="標楷體" w:eastAsia="標楷體" w:hAnsi="標楷體"/>
        </w:rPr>
      </w:pPr>
      <w:r w:rsidRPr="00124574">
        <w:rPr>
          <w:rFonts w:ascii="標楷體" w:eastAsia="標楷體" w:hAnsi="標楷體" w:hint="eastAsia"/>
        </w:rPr>
        <w:t>◎附</w:t>
      </w:r>
      <w:r w:rsidRPr="008B0E7B">
        <w:rPr>
          <w:rFonts w:ascii="標楷體" w:eastAsia="標楷體" w:hAnsi="標楷體" w:hint="eastAsia"/>
          <w:bCs/>
          <w:color w:val="000000"/>
        </w:rPr>
        <w:t>表二</w:t>
      </w:r>
      <w:r w:rsidRPr="00124574">
        <w:rPr>
          <w:rFonts w:ascii="標楷體" w:eastAsia="標楷體" w:hAnsi="標楷體" w:hint="eastAsia"/>
        </w:rPr>
        <w:t>十六之五：全民健康保險潰瘍性結腸炎使用生物製劑申請表(113/7/1)</w:t>
      </w:r>
    </w:p>
    <w:p w14:paraId="36D2D003" w14:textId="42E21AA1" w:rsidR="00124574" w:rsidRDefault="00124574" w:rsidP="008B0E7B">
      <w:pPr>
        <w:ind w:left="1291" w:hanging="724"/>
        <w:rPr>
          <w:rFonts w:ascii="標楷體" w:eastAsia="標楷體" w:hAnsi="標楷體"/>
        </w:rPr>
      </w:pPr>
      <w:r w:rsidRPr="00124574">
        <w:rPr>
          <w:rFonts w:ascii="標楷體" w:eastAsia="標楷體" w:hAnsi="標楷體" w:hint="eastAsia"/>
        </w:rPr>
        <w:t>◎附表二十六之六：Mayo Score(113/7/1)</w:t>
      </w:r>
    </w:p>
    <w:p w14:paraId="291BD889" w14:textId="684CF0CB" w:rsidR="00BD776B" w:rsidRDefault="00DF0C24">
      <w:pPr>
        <w:ind w:left="331" w:hanging="245"/>
        <w:rPr>
          <w:rFonts w:ascii="標楷體" w:eastAsia="標楷體" w:hAnsi="標楷體"/>
          <w:color w:val="000000"/>
        </w:rPr>
      </w:pPr>
      <w:r>
        <w:rPr>
          <w:rFonts w:ascii="標楷體" w:eastAsia="標楷體" w:hAnsi="標楷體"/>
          <w:color w:val="000000"/>
        </w:rPr>
        <w:t>8.2.4.9.2.Infliximab（如Remicade）、adalimumab（如Humira） (107/8/1、108/10/1、111/2/1、111/5/1</w:t>
      </w:r>
      <w:r w:rsidR="002C04E9">
        <w:rPr>
          <w:rFonts w:ascii="標楷體" w:eastAsia="標楷體" w:hAnsi="標楷體" w:hint="eastAsia"/>
          <w:color w:val="000000"/>
        </w:rPr>
        <w:t>、113/7/1</w:t>
      </w:r>
      <w:r>
        <w:rPr>
          <w:rFonts w:ascii="標楷體" w:eastAsia="標楷體" w:hAnsi="標楷體"/>
          <w:color w:val="000000"/>
        </w:rPr>
        <w:t>）：兒童治療部分</w:t>
      </w:r>
    </w:p>
    <w:p w14:paraId="2C4ECB26" w14:textId="77777777" w:rsidR="00BD776B" w:rsidRDefault="00DF0C24">
      <w:pPr>
        <w:ind w:left="991" w:hanging="425"/>
        <w:rPr>
          <w:rFonts w:ascii="標楷體" w:eastAsia="標楷體" w:hAnsi="標楷體"/>
          <w:color w:val="000000"/>
        </w:rPr>
      </w:pPr>
      <w:r>
        <w:rPr>
          <w:rFonts w:ascii="標楷體" w:eastAsia="標楷體" w:hAnsi="標楷體"/>
          <w:color w:val="000000"/>
        </w:rPr>
        <w:t>1.限具有消化系專科醫師證書之內科、兒科專科醫師處方使用。</w:t>
      </w:r>
    </w:p>
    <w:p w14:paraId="65D4404D" w14:textId="77777777" w:rsidR="00BD776B" w:rsidRDefault="00DF0C24">
      <w:pPr>
        <w:ind w:left="991" w:hanging="425"/>
        <w:rPr>
          <w:rFonts w:ascii="標楷體" w:eastAsia="標楷體" w:hAnsi="標楷體"/>
          <w:color w:val="000000"/>
        </w:rPr>
      </w:pPr>
      <w:r>
        <w:rPr>
          <w:rFonts w:ascii="標楷體" w:eastAsia="標楷體" w:hAnsi="標楷體"/>
          <w:color w:val="000000"/>
        </w:rPr>
        <w:t>2.須經事前審查核准後使用。</w:t>
      </w:r>
    </w:p>
    <w:p w14:paraId="1AB3BF76" w14:textId="77777777" w:rsidR="00BD776B" w:rsidRDefault="00DF0C24">
      <w:pPr>
        <w:ind w:left="991" w:hanging="425"/>
        <w:rPr>
          <w:rFonts w:ascii="標楷體" w:eastAsia="標楷體" w:hAnsi="標楷體"/>
          <w:color w:val="000000"/>
        </w:rPr>
      </w:pPr>
      <w:r>
        <w:rPr>
          <w:rFonts w:ascii="標楷體" w:eastAsia="標楷體" w:hAnsi="標楷體"/>
          <w:color w:val="000000"/>
        </w:rPr>
        <w:t>3.Adalimumab限使用於5歲以上未滿6歲之經診斷為小兒潰瘍性結腸炎患者，infliximab使用於6歲以上經診斷為小兒潰瘍性結腸炎患者，並符合下列條件之一：(111/5/1)</w:t>
      </w:r>
    </w:p>
    <w:p w14:paraId="7CC4E482" w14:textId="77777777" w:rsidR="00BD776B" w:rsidRDefault="00DF0C24">
      <w:pPr>
        <w:ind w:left="1231" w:hanging="425"/>
        <w:rPr>
          <w:rFonts w:ascii="標楷體" w:eastAsia="標楷體" w:hAnsi="標楷體"/>
          <w:color w:val="000000"/>
        </w:rPr>
      </w:pPr>
      <w:r>
        <w:rPr>
          <w:rFonts w:ascii="標楷體" w:eastAsia="標楷體" w:hAnsi="標楷體"/>
          <w:color w:val="000000"/>
        </w:rPr>
        <w:t>(1) 同時符合下列條件：</w:t>
      </w:r>
    </w:p>
    <w:p w14:paraId="287F5CD8" w14:textId="77777777" w:rsidR="00BD776B" w:rsidRDefault="00DF0C24">
      <w:pPr>
        <w:ind w:left="1798" w:hanging="425"/>
        <w:rPr>
          <w:rFonts w:ascii="標楷體" w:eastAsia="標楷體" w:hAnsi="標楷體"/>
          <w:color w:val="000000"/>
        </w:rPr>
      </w:pPr>
      <w:r>
        <w:rPr>
          <w:rFonts w:ascii="標楷體" w:eastAsia="標楷體" w:hAnsi="標楷體"/>
          <w:color w:val="000000"/>
        </w:rPr>
        <w:t>Ⅰ.領有潰瘍性結腸炎重大傷病卡（直腸型排除）。</w:t>
      </w:r>
    </w:p>
    <w:p w14:paraId="391989A2" w14:textId="77777777" w:rsidR="00BD776B" w:rsidRDefault="00DF0C24">
      <w:pPr>
        <w:ind w:left="1798" w:hanging="425"/>
        <w:rPr>
          <w:rFonts w:ascii="標楷體" w:eastAsia="標楷體" w:hAnsi="標楷體"/>
          <w:color w:val="000000"/>
        </w:rPr>
      </w:pPr>
      <w:r>
        <w:rPr>
          <w:rFonts w:ascii="標楷體" w:eastAsia="標楷體" w:hAnsi="標楷體"/>
          <w:color w:val="000000"/>
        </w:rPr>
        <w:t>Ⅱ.經5-aminosalicylic acid藥物(如sulfasalazine、mesalamine或balsalazide)、類固醇、及免疫調節劑(如azathioprine或6-mercaptopurine)充分治療無效(須有病歷完整記載用藥史，連續治療達3個月以上)，或對5-aminosalicylic acid藥物、免疫調節劑產生嚴重藥物副作用。</w:t>
      </w:r>
    </w:p>
    <w:p w14:paraId="23C1EA6A" w14:textId="77777777" w:rsidR="00BD776B" w:rsidRDefault="00DF0C24">
      <w:pPr>
        <w:ind w:left="1798" w:hanging="425"/>
        <w:rPr>
          <w:rFonts w:ascii="標楷體" w:eastAsia="標楷體" w:hAnsi="標楷體"/>
          <w:color w:val="000000"/>
        </w:rPr>
      </w:pPr>
      <w:r>
        <w:rPr>
          <w:rFonts w:ascii="標楷體" w:eastAsia="標楷體" w:hAnsi="標楷體"/>
          <w:color w:val="000000"/>
        </w:rPr>
        <w:t>Ⅲ.PUCAI≧35分 (需檢附兩個月內報告)，或合併生長遲緩(height velocity Z score -1 to 2.5)孩童經營養治療與免疫抑制劑治療失敗者。</w:t>
      </w:r>
    </w:p>
    <w:p w14:paraId="614AA0D3" w14:textId="77777777" w:rsidR="00BD776B" w:rsidRDefault="00DF0C24">
      <w:pPr>
        <w:ind w:left="1231" w:hanging="425"/>
        <w:rPr>
          <w:rFonts w:ascii="標楷體" w:eastAsia="標楷體" w:hAnsi="標楷體"/>
          <w:color w:val="000000"/>
        </w:rPr>
      </w:pPr>
      <w:r>
        <w:rPr>
          <w:rFonts w:ascii="標楷體" w:eastAsia="標楷體" w:hAnsi="標楷體"/>
          <w:color w:val="000000"/>
        </w:rPr>
        <w:t>(2)急性嚴重的潰瘍性結腸炎，同時符合下列四要件：</w:t>
      </w:r>
    </w:p>
    <w:p w14:paraId="0708A0F6" w14:textId="77777777" w:rsidR="00BD776B" w:rsidRDefault="00DF0C24">
      <w:pPr>
        <w:ind w:left="1798" w:hanging="425"/>
        <w:rPr>
          <w:rFonts w:ascii="標楷體" w:eastAsia="標楷體" w:hAnsi="標楷體"/>
          <w:color w:val="000000"/>
        </w:rPr>
      </w:pPr>
      <w:r>
        <w:rPr>
          <w:rFonts w:ascii="標楷體" w:eastAsia="標楷體" w:hAnsi="標楷體"/>
          <w:color w:val="000000"/>
        </w:rPr>
        <w:t>Ⅰ.內視鏡下符合潰瘍性結腸炎。</w:t>
      </w:r>
    </w:p>
    <w:p w14:paraId="7113BCD4" w14:textId="77777777" w:rsidR="00BD776B" w:rsidRDefault="00DF0C24">
      <w:pPr>
        <w:ind w:left="1798" w:hanging="425"/>
        <w:rPr>
          <w:rFonts w:ascii="標楷體" w:eastAsia="標楷體" w:hAnsi="標楷體"/>
          <w:color w:val="000000"/>
        </w:rPr>
      </w:pPr>
      <w:r>
        <w:rPr>
          <w:rFonts w:ascii="標楷體" w:eastAsia="標楷體" w:hAnsi="標楷體"/>
          <w:color w:val="000000"/>
        </w:rPr>
        <w:t>Ⅱ.病理切片排除巨細胞病毒腸炎、阿米巴結腸炎、淋巴癌。</w:t>
      </w:r>
    </w:p>
    <w:p w14:paraId="1D400B73" w14:textId="77777777" w:rsidR="00BD776B" w:rsidRDefault="00DF0C24">
      <w:pPr>
        <w:ind w:left="1798" w:hanging="425"/>
        <w:rPr>
          <w:rFonts w:ascii="標楷體" w:eastAsia="標楷體" w:hAnsi="標楷體"/>
          <w:color w:val="000000"/>
        </w:rPr>
      </w:pPr>
      <w:r>
        <w:rPr>
          <w:rFonts w:ascii="標楷體" w:eastAsia="標楷體" w:hAnsi="標楷體"/>
          <w:color w:val="000000"/>
        </w:rPr>
        <w:t>Ⅲ.糞便檢測排除困難梭狀桿菌感染。</w:t>
      </w:r>
    </w:p>
    <w:p w14:paraId="3D040D20" w14:textId="77777777" w:rsidR="00BD776B" w:rsidRDefault="00DF0C24">
      <w:pPr>
        <w:ind w:left="1798" w:hanging="425"/>
        <w:rPr>
          <w:rFonts w:ascii="標楷體" w:eastAsia="標楷體" w:hAnsi="標楷體"/>
          <w:color w:val="000000"/>
        </w:rPr>
      </w:pPr>
      <w:r>
        <w:rPr>
          <w:rFonts w:ascii="標楷體" w:eastAsia="標楷體" w:hAnsi="標楷體"/>
          <w:color w:val="000000"/>
        </w:rPr>
        <w:t>Ⅳ.PUCAI為50分，經類固醇全劑量靜脈注射[如prednisolone 1-2 mg/kg/day(最大劑量每日 40-60 mg)、methylprednisolone 0.8-1.6 mg/kg/day(最大劑量每日32-48 mg)等]連續治療5天無效。</w:t>
      </w:r>
    </w:p>
    <w:p w14:paraId="5F785000" w14:textId="77777777" w:rsidR="00BD776B" w:rsidRDefault="00DF0C24">
      <w:pPr>
        <w:ind w:left="991" w:hanging="425"/>
        <w:rPr>
          <w:rFonts w:ascii="標楷體" w:eastAsia="標楷體" w:hAnsi="標楷體"/>
          <w:color w:val="000000"/>
        </w:rPr>
      </w:pPr>
      <w:r>
        <w:rPr>
          <w:rFonts w:ascii="標楷體" w:eastAsia="標楷體" w:hAnsi="標楷體"/>
          <w:color w:val="000000"/>
        </w:rPr>
        <w:t>4.療效評估與繼續使用：</w:t>
      </w:r>
    </w:p>
    <w:p w14:paraId="25A205DD" w14:textId="77777777" w:rsidR="00BD776B" w:rsidRDefault="00DF0C24">
      <w:pPr>
        <w:ind w:left="1231" w:hanging="425"/>
        <w:rPr>
          <w:rFonts w:ascii="標楷體" w:eastAsia="標楷體" w:hAnsi="標楷體"/>
          <w:color w:val="000000"/>
        </w:rPr>
      </w:pPr>
      <w:r>
        <w:rPr>
          <w:rFonts w:ascii="標楷體" w:eastAsia="標楷體" w:hAnsi="標楷體"/>
          <w:color w:val="000000"/>
        </w:rPr>
        <w:t>(1)初次申請：infliximab以6週(使用3劑)、adalimumab以6週(使用4劑)為限，治療後達到臨床反應評估者(PUCAI減少20分或PUCAI＜10分)，方得申請繼續使用。(111/5/1)</w:t>
      </w:r>
    </w:p>
    <w:p w14:paraId="53C7BE69" w14:textId="77777777" w:rsidR="00BD776B" w:rsidRDefault="00DF0C24">
      <w:pPr>
        <w:ind w:left="1231" w:hanging="425"/>
        <w:rPr>
          <w:rFonts w:ascii="標楷體" w:eastAsia="標楷體" w:hAnsi="標楷體"/>
          <w:color w:val="000000"/>
        </w:rPr>
      </w:pPr>
      <w:r>
        <w:rPr>
          <w:rFonts w:ascii="標楷體" w:eastAsia="標楷體" w:hAnsi="標楷體"/>
          <w:color w:val="000000"/>
        </w:rPr>
        <w:t>(2)繼續使用者：續用評估必須PUCAI較初次申請減少20分或PUCAI＜10分，方得申請繼續使用。infliximab以24週 (使用3劑)及16週(使用2劑)各1次為限。adalimumab繼續使用以24週(使用12劑)2次為限。(108/10/1、111/5/1)</w:t>
      </w:r>
    </w:p>
    <w:p w14:paraId="30E094CB" w14:textId="77777777" w:rsidR="00BD776B" w:rsidRDefault="00DF0C24">
      <w:pPr>
        <w:ind w:left="991" w:hanging="425"/>
        <w:rPr>
          <w:rFonts w:ascii="標楷體" w:eastAsia="標楷體" w:hAnsi="標楷體"/>
          <w:color w:val="000000"/>
        </w:rPr>
      </w:pPr>
      <w:r>
        <w:rPr>
          <w:rFonts w:ascii="標楷體" w:eastAsia="標楷體" w:hAnsi="標楷體"/>
          <w:color w:val="000000"/>
        </w:rPr>
        <w:t>5.劑量給予方式及總療程：</w:t>
      </w:r>
    </w:p>
    <w:p w14:paraId="32B8F0A3" w14:textId="77777777" w:rsidR="00BD776B" w:rsidRDefault="00DF0C24">
      <w:pPr>
        <w:ind w:left="1231" w:hanging="425"/>
        <w:rPr>
          <w:rFonts w:ascii="標楷體" w:eastAsia="標楷體" w:hAnsi="標楷體"/>
          <w:color w:val="000000"/>
        </w:rPr>
      </w:pPr>
      <w:r>
        <w:rPr>
          <w:rFonts w:ascii="標楷體" w:eastAsia="標楷體" w:hAnsi="標楷體"/>
          <w:color w:val="000000"/>
        </w:rPr>
        <w:t>(1)Infliximab最初第一劑、兩週後之第二劑、第六週之第三劑給予5mg/kg，作為緩解之誘導；之後每隔八週給予維持劑量5mg/kg，至多持續至46週(使用8劑)，作為緩解之維持。 (108/10/1)</w:t>
      </w:r>
    </w:p>
    <w:p w14:paraId="7BF45C3A" w14:textId="77777777" w:rsidR="00BD776B" w:rsidRDefault="00DF0C24">
      <w:pPr>
        <w:ind w:left="1231" w:hanging="425"/>
        <w:rPr>
          <w:rFonts w:ascii="標楷體" w:eastAsia="標楷體" w:hAnsi="標楷體"/>
          <w:color w:val="000000"/>
        </w:rPr>
      </w:pPr>
      <w:r>
        <w:rPr>
          <w:rFonts w:ascii="標楷體" w:eastAsia="標楷體" w:hAnsi="標楷體"/>
          <w:color w:val="000000"/>
        </w:rPr>
        <w:t>(2)Adalimumab：(111/5/1)</w:t>
      </w:r>
    </w:p>
    <w:p w14:paraId="6883140E" w14:textId="77777777" w:rsidR="00BD776B" w:rsidRDefault="00DF0C24">
      <w:pPr>
        <w:ind w:left="1798" w:hanging="425"/>
        <w:rPr>
          <w:rFonts w:ascii="標楷體" w:eastAsia="標楷體" w:hAnsi="標楷體"/>
          <w:color w:val="000000"/>
        </w:rPr>
      </w:pPr>
      <w:r>
        <w:rPr>
          <w:rFonts w:ascii="標楷體" w:eastAsia="標楷體" w:hAnsi="標楷體"/>
          <w:color w:val="000000"/>
        </w:rPr>
        <w:t>Ⅰ.20公斤至未滿40公斤: 最初第一劑80 mg，兩週後第二劑40 mg，之後每隔兩週給予維持劑量40 mg。</w:t>
      </w:r>
    </w:p>
    <w:p w14:paraId="07A54803" w14:textId="77777777" w:rsidR="00BD776B" w:rsidRDefault="00DF0C24">
      <w:pPr>
        <w:ind w:left="1798" w:hanging="425"/>
        <w:rPr>
          <w:rFonts w:ascii="標楷體" w:eastAsia="標楷體" w:hAnsi="標楷體"/>
          <w:color w:val="000000"/>
        </w:rPr>
      </w:pPr>
      <w:r>
        <w:rPr>
          <w:rFonts w:ascii="標楷體" w:eastAsia="標楷體" w:hAnsi="標楷體"/>
          <w:color w:val="000000"/>
        </w:rPr>
        <w:lastRenderedPageBreak/>
        <w:t>Ⅱ.40公斤(含)以上:最初第一劑160 mg，兩週後第二劑80mg，之後每隔兩週給予維持劑量80mg。</w:t>
      </w:r>
    </w:p>
    <w:p w14:paraId="6AC85648" w14:textId="77777777" w:rsidR="00BD776B" w:rsidRDefault="00DF0C24">
      <w:pPr>
        <w:ind w:left="1798" w:hanging="425"/>
        <w:rPr>
          <w:rFonts w:ascii="標楷體" w:eastAsia="標楷體" w:hAnsi="標楷體"/>
          <w:color w:val="000000"/>
        </w:rPr>
      </w:pPr>
      <w:r>
        <w:rPr>
          <w:rFonts w:ascii="標楷體" w:eastAsia="標楷體" w:hAnsi="標楷體"/>
          <w:color w:val="000000"/>
        </w:rPr>
        <w:t>Ⅲ.治療至多持續至54週(使用28劑)，作為緩解之維持。</w:t>
      </w:r>
    </w:p>
    <w:p w14:paraId="22A2F507" w14:textId="3CBDA7F5" w:rsidR="00BD776B" w:rsidRDefault="00DF0C24">
      <w:pPr>
        <w:ind w:left="991" w:hanging="425"/>
        <w:rPr>
          <w:rFonts w:ascii="標楷體" w:eastAsia="標楷體" w:hAnsi="標楷體"/>
          <w:color w:val="000000"/>
        </w:rPr>
      </w:pPr>
      <w:r>
        <w:rPr>
          <w:rFonts w:ascii="標楷體" w:eastAsia="標楷體" w:hAnsi="標楷體"/>
          <w:color w:val="000000"/>
        </w:rPr>
        <w:t>6.Infliximab治療46週(使用8劑)、adalimumab治療54週(使用28劑)後，必須至少再間隔超過3個月後，若病情復發，依初次使用標準再次提出</w:t>
      </w:r>
      <w:r w:rsidR="00630B92" w:rsidRPr="00630B92">
        <w:rPr>
          <w:rFonts w:ascii="標楷體" w:eastAsia="標楷體" w:hAnsi="標楷體" w:hint="eastAsia"/>
          <w:color w:val="000000"/>
        </w:rPr>
        <w:t>事前審查，連續2次因療程結束而暫緩用藥疾病復發，且第2次復發於藥效終止後3個月內發生，則可持續使用，惟需每24週提出續用事前審查。連續2年(4次評估)達到PUCAI &lt; 5分，則應考慮停藥。(108/10/1、111/5/1、113/7/1)</w:t>
      </w:r>
    </w:p>
    <w:p w14:paraId="609EE488" w14:textId="77777777" w:rsidR="00BD776B" w:rsidRDefault="00DF0C24">
      <w:pPr>
        <w:ind w:left="991" w:hanging="425"/>
        <w:rPr>
          <w:rFonts w:ascii="標楷體" w:eastAsia="標楷體" w:hAnsi="標楷體"/>
          <w:color w:val="000000"/>
        </w:rPr>
      </w:pPr>
      <w:r>
        <w:rPr>
          <w:rFonts w:ascii="標楷體" w:eastAsia="標楷體" w:hAnsi="標楷體"/>
          <w:color w:val="000000"/>
        </w:rPr>
        <w:t>7.須排除使用之情形：</w:t>
      </w:r>
    </w:p>
    <w:p w14:paraId="4AB23130" w14:textId="77777777" w:rsidR="00BD776B" w:rsidRDefault="00DF0C24">
      <w:pPr>
        <w:ind w:left="991" w:hanging="425"/>
        <w:rPr>
          <w:rFonts w:ascii="標楷體" w:eastAsia="標楷體" w:hAnsi="標楷體"/>
          <w:color w:val="000000"/>
        </w:rPr>
      </w:pPr>
      <w:r>
        <w:rPr>
          <w:rFonts w:ascii="標楷體" w:eastAsia="標楷體" w:hAnsi="標楷體"/>
          <w:color w:val="000000"/>
        </w:rPr>
        <w:t xml:space="preserve">  應參照藥物仿單，重要之排除使用狀況包括：</w:t>
      </w:r>
    </w:p>
    <w:p w14:paraId="3115DAFA" w14:textId="77777777" w:rsidR="00BD776B" w:rsidRDefault="00DF0C24">
      <w:pPr>
        <w:ind w:left="1231" w:hanging="425"/>
        <w:rPr>
          <w:rFonts w:ascii="標楷體" w:eastAsia="標楷體" w:hAnsi="標楷體"/>
          <w:color w:val="000000"/>
        </w:rPr>
      </w:pPr>
      <w:r>
        <w:rPr>
          <w:rFonts w:ascii="標楷體" w:eastAsia="標楷體" w:hAnsi="標楷體"/>
          <w:color w:val="000000"/>
        </w:rPr>
        <w:t>(1)懷孕或正在授乳的婦女。</w:t>
      </w:r>
    </w:p>
    <w:p w14:paraId="2E7E68CF" w14:textId="77777777" w:rsidR="00BD776B" w:rsidRDefault="00DF0C24">
      <w:pPr>
        <w:ind w:left="1231" w:hanging="425"/>
        <w:rPr>
          <w:rFonts w:ascii="標楷體" w:eastAsia="標楷體" w:hAnsi="標楷體"/>
          <w:color w:val="000000"/>
        </w:rPr>
      </w:pPr>
      <w:r>
        <w:rPr>
          <w:rFonts w:ascii="標楷體" w:eastAsia="標楷體" w:hAnsi="標楷體"/>
          <w:color w:val="000000"/>
        </w:rPr>
        <w:t>(2)罹患活動性感染症(active infection)之病患。</w:t>
      </w:r>
    </w:p>
    <w:p w14:paraId="4287ABAF" w14:textId="77777777" w:rsidR="00BD776B" w:rsidRDefault="00DF0C24">
      <w:pPr>
        <w:ind w:left="1231" w:hanging="425"/>
        <w:rPr>
          <w:rFonts w:ascii="標楷體" w:eastAsia="標楷體" w:hAnsi="標楷體"/>
          <w:color w:val="000000"/>
        </w:rPr>
      </w:pPr>
      <w:r>
        <w:rPr>
          <w:rFonts w:ascii="標楷體" w:eastAsia="標楷體" w:hAnsi="標楷體"/>
          <w:color w:val="000000"/>
        </w:rPr>
        <w:t>(3)未經完整治療之結核病病患（包括潛伏結核感染治療未達四週者，申請時應檢附潛伏結核感染篩檢紀錄及治療紀錄供審查）。</w:t>
      </w:r>
    </w:p>
    <w:p w14:paraId="69D23449" w14:textId="77777777" w:rsidR="00BD776B" w:rsidRDefault="00DF0C24">
      <w:pPr>
        <w:ind w:left="1231" w:hanging="425"/>
        <w:rPr>
          <w:rFonts w:ascii="標楷體" w:eastAsia="標楷體" w:hAnsi="標楷體"/>
          <w:color w:val="000000"/>
        </w:rPr>
      </w:pPr>
      <w:r>
        <w:rPr>
          <w:rFonts w:ascii="標楷體" w:eastAsia="標楷體" w:hAnsi="標楷體"/>
          <w:color w:val="000000"/>
        </w:rPr>
        <w:t>(4)惡性腫瘤或具有癌症前兆(pre-malignancy)之病患(但不包括已經接受過充分治療達10年以上的惡性腫瘤)。</w:t>
      </w:r>
    </w:p>
    <w:p w14:paraId="402CBAF2" w14:textId="77777777" w:rsidR="00BD776B" w:rsidRDefault="00DF0C24">
      <w:pPr>
        <w:ind w:left="1231" w:hanging="425"/>
        <w:rPr>
          <w:rFonts w:ascii="標楷體" w:eastAsia="標楷體" w:hAnsi="標楷體"/>
          <w:color w:val="000000"/>
        </w:rPr>
      </w:pPr>
      <w:r>
        <w:rPr>
          <w:rFonts w:ascii="標楷體" w:eastAsia="標楷體" w:hAnsi="標楷體"/>
          <w:color w:val="000000"/>
        </w:rPr>
        <w:t>(5)具高度感染機會之病患：慢性腿部潰瘍、導尿管置留、身上有引流管、人工關節感染，該人工關節尚未摘除者、頑固性或復發性之胸腔感染症病患。</w:t>
      </w:r>
    </w:p>
    <w:p w14:paraId="0F0CBB5F" w14:textId="77777777" w:rsidR="00BD776B" w:rsidRDefault="00DF0C24">
      <w:pPr>
        <w:ind w:left="1231" w:hanging="425"/>
        <w:rPr>
          <w:rFonts w:ascii="標楷體" w:eastAsia="標楷體" w:hAnsi="標楷體"/>
          <w:color w:val="000000"/>
        </w:rPr>
      </w:pPr>
      <w:r>
        <w:rPr>
          <w:rFonts w:ascii="標楷體" w:eastAsia="標楷體" w:hAnsi="標楷體"/>
          <w:color w:val="000000"/>
        </w:rPr>
        <w:t>(6)多發性硬化症(multiple sclerosis)。</w:t>
      </w:r>
    </w:p>
    <w:p w14:paraId="767CDCBD" w14:textId="77777777" w:rsidR="00BD776B" w:rsidRDefault="00DF0C24">
      <w:pPr>
        <w:ind w:left="991" w:hanging="425"/>
        <w:rPr>
          <w:rFonts w:ascii="標楷體" w:eastAsia="標楷體" w:hAnsi="標楷體"/>
          <w:color w:val="000000"/>
        </w:rPr>
      </w:pPr>
      <w:r>
        <w:rPr>
          <w:rFonts w:ascii="標楷體" w:eastAsia="標楷體" w:hAnsi="標楷體"/>
          <w:color w:val="000000"/>
        </w:rPr>
        <w:t>8.須停止治療的情形：</w:t>
      </w:r>
    </w:p>
    <w:p w14:paraId="2F2D2577" w14:textId="77777777" w:rsidR="00BD776B" w:rsidRDefault="00DF0C24">
      <w:pPr>
        <w:ind w:left="1231" w:hanging="425"/>
        <w:rPr>
          <w:rFonts w:ascii="標楷體" w:eastAsia="標楷體" w:hAnsi="標楷體"/>
          <w:color w:val="000000"/>
        </w:rPr>
      </w:pPr>
      <w:r>
        <w:rPr>
          <w:rFonts w:ascii="標楷體" w:eastAsia="標楷體" w:hAnsi="標楷體"/>
          <w:color w:val="000000"/>
        </w:rPr>
        <w:t>(1)療效不彰：療效評估未達繼續使用標準者。</w:t>
      </w:r>
    </w:p>
    <w:p w14:paraId="720301CC" w14:textId="77777777" w:rsidR="00BD776B" w:rsidRDefault="00DF0C24">
      <w:pPr>
        <w:ind w:left="1231" w:hanging="425"/>
        <w:rPr>
          <w:rFonts w:ascii="標楷體" w:eastAsia="標楷體" w:hAnsi="標楷體"/>
          <w:color w:val="000000"/>
        </w:rPr>
      </w:pPr>
      <w:r>
        <w:rPr>
          <w:rFonts w:ascii="標楷體" w:eastAsia="標楷體" w:hAnsi="標楷體"/>
          <w:color w:val="000000"/>
        </w:rPr>
        <w:t>(2)其他事項包括：</w:t>
      </w:r>
    </w:p>
    <w:p w14:paraId="7868D875" w14:textId="77777777" w:rsidR="00BD776B" w:rsidRDefault="00DF0C24">
      <w:pPr>
        <w:ind w:left="1798" w:hanging="425"/>
        <w:rPr>
          <w:rFonts w:ascii="標楷體" w:eastAsia="標楷體" w:hAnsi="標楷體"/>
          <w:color w:val="000000"/>
        </w:rPr>
      </w:pPr>
      <w:r>
        <w:rPr>
          <w:rFonts w:ascii="標楷體" w:eastAsia="標楷體" w:hAnsi="標楷體"/>
          <w:color w:val="000000"/>
        </w:rPr>
        <w:t>Ⅰ.惡性腫瘤。</w:t>
      </w:r>
    </w:p>
    <w:p w14:paraId="6944E954" w14:textId="77777777" w:rsidR="00BD776B" w:rsidRDefault="00DF0C24">
      <w:pPr>
        <w:ind w:left="1798" w:hanging="425"/>
        <w:rPr>
          <w:rFonts w:ascii="標楷體" w:eastAsia="標楷體" w:hAnsi="標楷體"/>
          <w:color w:val="000000"/>
        </w:rPr>
      </w:pPr>
      <w:r>
        <w:rPr>
          <w:rFonts w:ascii="標楷體" w:eastAsia="標楷體" w:hAnsi="標楷體"/>
          <w:color w:val="000000"/>
        </w:rPr>
        <w:t>Ⅱ.該藥物引起之嚴重毒性(白血球過低、嚴重過敏)。</w:t>
      </w:r>
    </w:p>
    <w:p w14:paraId="13B819DA" w14:textId="77777777" w:rsidR="00BD776B" w:rsidRDefault="00DF0C24">
      <w:pPr>
        <w:ind w:left="1798" w:hanging="425"/>
        <w:rPr>
          <w:rFonts w:ascii="標楷體" w:eastAsia="標楷體" w:hAnsi="標楷體"/>
          <w:color w:val="000000"/>
        </w:rPr>
      </w:pPr>
      <w:r>
        <w:rPr>
          <w:rFonts w:ascii="標楷體" w:eastAsia="標楷體" w:hAnsi="標楷體"/>
          <w:color w:val="000000"/>
        </w:rPr>
        <w:t>Ⅲ.懷孕(暫時停藥即可)。</w:t>
      </w:r>
    </w:p>
    <w:p w14:paraId="18C48DF9" w14:textId="60DE3449" w:rsidR="004F2C6E" w:rsidRDefault="00DF0C24">
      <w:pPr>
        <w:ind w:left="1798" w:hanging="425"/>
        <w:rPr>
          <w:rFonts w:ascii="標楷體" w:eastAsia="標楷體" w:hAnsi="標楷體"/>
          <w:color w:val="000000"/>
        </w:rPr>
      </w:pPr>
      <w:r>
        <w:rPr>
          <w:rFonts w:ascii="標楷體" w:eastAsia="標楷體" w:hAnsi="標楷體"/>
          <w:color w:val="000000"/>
        </w:rPr>
        <w:t>Ⅳ.嚴重間發性感染(暫時停藥即可)。</w:t>
      </w:r>
    </w:p>
    <w:p w14:paraId="72C7F86C" w14:textId="77777777" w:rsidR="004C6C56" w:rsidRPr="004C6C56" w:rsidRDefault="004C6C56" w:rsidP="004C6C56">
      <w:pPr>
        <w:ind w:left="851" w:hanging="284"/>
        <w:rPr>
          <w:rFonts w:ascii="標楷體" w:eastAsia="標楷體" w:hAnsi="標楷體"/>
          <w:color w:val="000000"/>
        </w:rPr>
      </w:pPr>
      <w:r w:rsidRPr="004C6C56">
        <w:rPr>
          <w:rFonts w:ascii="標楷體" w:eastAsia="標楷體" w:hAnsi="標楷體" w:hint="eastAsia"/>
          <w:color w:val="000000"/>
        </w:rPr>
        <w:t>◎附表二十六之七：全民健康保險小兒潰瘍性結腸炎使用adalimumab、infliximab申請表(113/7/1)</w:t>
      </w:r>
    </w:p>
    <w:p w14:paraId="4788C211" w14:textId="6A3BC731" w:rsidR="004C6C56" w:rsidRDefault="004C6C56" w:rsidP="004C6C56">
      <w:pPr>
        <w:ind w:left="1798" w:hanging="1231"/>
        <w:rPr>
          <w:rFonts w:ascii="標楷體" w:eastAsia="標楷體" w:hAnsi="標楷體"/>
          <w:color w:val="000000"/>
        </w:rPr>
      </w:pPr>
      <w:r w:rsidRPr="004C6C56">
        <w:rPr>
          <w:rFonts w:ascii="標楷體" w:eastAsia="標楷體" w:hAnsi="標楷體" w:hint="eastAsia"/>
          <w:color w:val="000000"/>
        </w:rPr>
        <w:t>◎附表二十六之八小兒潰瘍性結腸炎PUCAI Score</w:t>
      </w:r>
    </w:p>
    <w:p w14:paraId="478751C3" w14:textId="778F6F3C" w:rsidR="00BD776B" w:rsidRDefault="00DF0C24" w:rsidP="005F0454">
      <w:pPr>
        <w:widowControl/>
        <w:suppressAutoHyphens w:val="0"/>
        <w:rPr>
          <w:rFonts w:ascii="標楷體" w:eastAsia="標楷體" w:hAnsi="標楷體"/>
          <w:color w:val="000000"/>
        </w:rPr>
      </w:pPr>
      <w:r>
        <w:rPr>
          <w:rFonts w:ascii="標楷體" w:eastAsia="標楷體" w:hAnsi="標楷體"/>
          <w:color w:val="000000"/>
        </w:rPr>
        <w:t>8.2.4.10.Adalimumab（如Humira）(109/9/1) 用於小兒葡萄膜炎治療部分</w:t>
      </w:r>
    </w:p>
    <w:p w14:paraId="2D588A8C" w14:textId="77777777" w:rsidR="00BD776B" w:rsidRDefault="00DF0C24">
      <w:pPr>
        <w:ind w:left="566"/>
        <w:rPr>
          <w:rFonts w:ascii="標楷體" w:eastAsia="標楷體" w:hAnsi="標楷體"/>
          <w:color w:val="000000"/>
        </w:rPr>
      </w:pPr>
      <w:r>
        <w:rPr>
          <w:rFonts w:ascii="標楷體" w:eastAsia="標楷體" w:hAnsi="標楷體"/>
          <w:color w:val="000000"/>
        </w:rPr>
        <w:t>1.限使用於2-17歲小兒非感染性葡萄膜炎患者。</w:t>
      </w:r>
    </w:p>
    <w:p w14:paraId="38C7D522" w14:textId="77777777" w:rsidR="00BD776B" w:rsidRDefault="00DF0C24">
      <w:pPr>
        <w:ind w:left="806" w:hanging="240"/>
        <w:rPr>
          <w:rFonts w:ascii="標楷體" w:eastAsia="標楷體" w:hAnsi="標楷體"/>
          <w:color w:val="000000"/>
        </w:rPr>
      </w:pPr>
      <w:r>
        <w:rPr>
          <w:rFonts w:ascii="標楷體" w:eastAsia="標楷體" w:hAnsi="標楷體"/>
          <w:color w:val="000000"/>
        </w:rPr>
        <w:t>2.限具有眼科專科、風濕病專科醫師證書之內科、或具有小兒過敏免疫專科醫師證書之醫師處方。</w:t>
      </w:r>
    </w:p>
    <w:p w14:paraId="65483CA3" w14:textId="77777777" w:rsidR="00BD776B" w:rsidRDefault="00DF0C24">
      <w:pPr>
        <w:ind w:left="566"/>
        <w:rPr>
          <w:rFonts w:ascii="標楷體" w:eastAsia="標楷體" w:hAnsi="標楷體"/>
          <w:color w:val="000000"/>
        </w:rPr>
      </w:pPr>
      <w:r>
        <w:rPr>
          <w:rFonts w:ascii="標楷體" w:eastAsia="標楷體" w:hAnsi="標楷體"/>
          <w:color w:val="000000"/>
        </w:rPr>
        <w:t>3.需事前審查核准後使用。</w:t>
      </w:r>
    </w:p>
    <w:p w14:paraId="1F4B1767" w14:textId="77777777" w:rsidR="00BD776B" w:rsidRDefault="00DF0C24">
      <w:pPr>
        <w:ind w:left="1049" w:hanging="341"/>
        <w:rPr>
          <w:rFonts w:ascii="標楷體" w:eastAsia="標楷體" w:hAnsi="標楷體"/>
          <w:color w:val="000000"/>
        </w:rPr>
      </w:pPr>
      <w:r>
        <w:rPr>
          <w:rFonts w:ascii="標楷體" w:eastAsia="標楷體" w:hAnsi="標楷體"/>
          <w:color w:val="000000"/>
        </w:rPr>
        <w:t>(1)申報時需檢附methotrexate使用的劑量、治療時間、副作用、及前房發炎細胞的病情描述。</w:t>
      </w:r>
    </w:p>
    <w:p w14:paraId="1ECD8A42" w14:textId="77777777" w:rsidR="00BD776B" w:rsidRDefault="00DF0C24">
      <w:pPr>
        <w:ind w:left="1049" w:hanging="341"/>
        <w:rPr>
          <w:rFonts w:ascii="標楷體" w:eastAsia="標楷體" w:hAnsi="標楷體"/>
          <w:color w:val="000000"/>
        </w:rPr>
      </w:pPr>
      <w:r>
        <w:rPr>
          <w:rFonts w:ascii="標楷體" w:eastAsia="標楷體" w:hAnsi="標楷體"/>
          <w:color w:val="000000"/>
        </w:rPr>
        <w:t>(2)每24週需再申請一次；需描述使用adalimumab後的療效、副作用或併發症。</w:t>
      </w:r>
    </w:p>
    <w:p w14:paraId="4E3DD686" w14:textId="77777777" w:rsidR="00BD776B" w:rsidRDefault="00DF0C24">
      <w:pPr>
        <w:ind w:left="566"/>
        <w:rPr>
          <w:rFonts w:ascii="標楷體" w:eastAsia="標楷體" w:hAnsi="標楷體"/>
          <w:color w:val="000000"/>
        </w:rPr>
      </w:pPr>
      <w:r>
        <w:rPr>
          <w:rFonts w:ascii="標楷體" w:eastAsia="標楷體" w:hAnsi="標楷體"/>
          <w:color w:val="000000"/>
        </w:rPr>
        <w:t>4.需同時符合下述(1)(2)兩項條件者方可使用。</w:t>
      </w:r>
    </w:p>
    <w:p w14:paraId="355BB6A3" w14:textId="77777777" w:rsidR="00BD776B" w:rsidRDefault="00DF0C24">
      <w:pPr>
        <w:ind w:left="1049" w:hanging="341"/>
        <w:rPr>
          <w:rFonts w:ascii="標楷體" w:eastAsia="標楷體" w:hAnsi="標楷體"/>
          <w:color w:val="000000"/>
        </w:rPr>
      </w:pPr>
      <w:r>
        <w:rPr>
          <w:rFonts w:ascii="標楷體" w:eastAsia="標楷體" w:hAnsi="標楷體"/>
          <w:color w:val="000000"/>
        </w:rPr>
        <w:t>(1)最近3個月葡萄膜炎處於活動期 (定義為前房發炎細胞大於等於+1價)。</w:t>
      </w:r>
    </w:p>
    <w:p w14:paraId="1A7A4A88" w14:textId="77777777" w:rsidR="00BD776B" w:rsidRDefault="00DF0C24">
      <w:pPr>
        <w:ind w:left="1049" w:hanging="341"/>
        <w:rPr>
          <w:rFonts w:ascii="標楷體" w:eastAsia="標楷體" w:hAnsi="標楷體"/>
          <w:color w:val="000000"/>
        </w:rPr>
      </w:pPr>
      <w:r>
        <w:rPr>
          <w:rFonts w:ascii="標楷體" w:eastAsia="標楷體" w:hAnsi="標楷體"/>
          <w:color w:val="000000"/>
        </w:rPr>
        <w:t>(2)標準療法失敗，定義為methotrexate 10毫克/身體表面積平方米/週的口服或注射治療達3個月以上，前房發炎細胞仍大於等於+1價。若因藥物毒性無法忍受，以致於無法達到上項要求時，劑量可以酌情降低。</w:t>
      </w:r>
    </w:p>
    <w:p w14:paraId="608A098A" w14:textId="77777777" w:rsidR="00BD776B" w:rsidRDefault="00DF0C24">
      <w:pPr>
        <w:ind w:left="566"/>
        <w:rPr>
          <w:rFonts w:ascii="標楷體" w:eastAsia="標楷體" w:hAnsi="標楷體"/>
          <w:color w:val="000000"/>
        </w:rPr>
      </w:pPr>
      <w:r>
        <w:rPr>
          <w:rFonts w:ascii="標楷體" w:eastAsia="標楷體" w:hAnsi="標楷體"/>
          <w:color w:val="000000"/>
        </w:rPr>
        <w:lastRenderedPageBreak/>
        <w:t>5.療效評估與繼續使用:</w:t>
      </w:r>
    </w:p>
    <w:p w14:paraId="2A9CCD93" w14:textId="77777777" w:rsidR="00BD776B" w:rsidRDefault="00DF0C24">
      <w:pPr>
        <w:ind w:left="1049" w:hanging="341"/>
        <w:rPr>
          <w:rFonts w:ascii="標楷體" w:eastAsia="標楷體" w:hAnsi="標楷體"/>
          <w:color w:val="000000"/>
        </w:rPr>
      </w:pPr>
      <w:r>
        <w:rPr>
          <w:rFonts w:ascii="標楷體" w:eastAsia="標楷體" w:hAnsi="標楷體"/>
          <w:color w:val="000000"/>
        </w:rPr>
        <w:t>(1)初次申請adalimumab以24週為限。起始劑量(loading dose)和維持劑量如下:</w:t>
      </w:r>
    </w:p>
    <w:p w14:paraId="5C873D18" w14:textId="77777777" w:rsidR="00BD776B" w:rsidRDefault="00DF0C24">
      <w:pPr>
        <w:ind w:left="1560" w:hanging="425"/>
        <w:rPr>
          <w:rFonts w:ascii="標楷體" w:eastAsia="標楷體" w:hAnsi="標楷體"/>
          <w:color w:val="000000"/>
        </w:rPr>
      </w:pPr>
      <w:r>
        <w:rPr>
          <w:rFonts w:ascii="標楷體" w:eastAsia="標楷體" w:hAnsi="標楷體"/>
          <w:color w:val="000000"/>
        </w:rPr>
        <w:t>Ⅰ.&lt;30公斤:起始劑量為40 mg，隔週給予維持劑量，維持劑量為每隔一週給予20 mg。</w:t>
      </w:r>
    </w:p>
    <w:p w14:paraId="4B3FA081" w14:textId="77777777" w:rsidR="00BD776B" w:rsidRDefault="00DF0C24">
      <w:pPr>
        <w:ind w:left="1560" w:hanging="425"/>
      </w:pPr>
      <w:r>
        <w:rPr>
          <w:rFonts w:ascii="標楷體" w:eastAsia="標楷體" w:hAnsi="標楷體"/>
          <w:color w:val="000000"/>
        </w:rPr>
        <w:t>Ⅱ.</w:t>
      </w:r>
      <w:r>
        <w:t xml:space="preserve"> </w:t>
      </w:r>
      <w:r>
        <w:rPr>
          <w:rFonts w:ascii="Times New Roman" w:eastAsia="標楷體" w:hAnsi="Times New Roman"/>
          <w:color w:val="000000"/>
        </w:rPr>
        <w:t>≥</w:t>
      </w:r>
      <w:r>
        <w:rPr>
          <w:rFonts w:ascii="標楷體" w:eastAsia="標楷體" w:hAnsi="標楷體"/>
          <w:color w:val="000000"/>
        </w:rPr>
        <w:t>30公斤:起始劑量為80 mg，隔週給予維持劑量，維持劑量為每隔一週給予40 mg。</w:t>
      </w:r>
    </w:p>
    <w:p w14:paraId="62FD4615" w14:textId="77777777" w:rsidR="00BD776B" w:rsidRDefault="00DF0C24">
      <w:pPr>
        <w:ind w:left="1049" w:hanging="341"/>
        <w:rPr>
          <w:rFonts w:ascii="標楷體" w:eastAsia="標楷體" w:hAnsi="標楷體"/>
          <w:color w:val="000000"/>
        </w:rPr>
      </w:pPr>
      <w:r>
        <w:rPr>
          <w:rFonts w:ascii="標楷體" w:eastAsia="標楷體" w:hAnsi="標楷體"/>
          <w:color w:val="000000"/>
        </w:rPr>
        <w:t xml:space="preserve">  (2)繼續使用adalimumab者，每24週評估療效一次。</w:t>
      </w:r>
    </w:p>
    <w:p w14:paraId="29768FF0" w14:textId="77777777" w:rsidR="00BD776B" w:rsidRDefault="00DF0C24">
      <w:pPr>
        <w:ind w:left="566"/>
        <w:rPr>
          <w:rFonts w:ascii="標楷體" w:eastAsia="標楷體" w:hAnsi="標楷體"/>
          <w:color w:val="000000"/>
        </w:rPr>
      </w:pPr>
      <w:r>
        <w:rPr>
          <w:rFonts w:ascii="標楷體" w:eastAsia="標楷體" w:hAnsi="標楷體"/>
          <w:color w:val="000000"/>
        </w:rPr>
        <w:t>6.須停止使用adalimumab的情形：</w:t>
      </w:r>
    </w:p>
    <w:p w14:paraId="447CAAC7" w14:textId="77777777" w:rsidR="00BD776B" w:rsidRDefault="00DF0C24">
      <w:pPr>
        <w:ind w:left="1049" w:hanging="341"/>
        <w:rPr>
          <w:rFonts w:ascii="標楷體" w:eastAsia="標楷體" w:hAnsi="標楷體"/>
          <w:color w:val="000000"/>
        </w:rPr>
      </w:pPr>
      <w:r>
        <w:rPr>
          <w:rFonts w:ascii="標楷體" w:eastAsia="標楷體" w:hAnsi="標楷體"/>
          <w:color w:val="000000"/>
        </w:rPr>
        <w:t>(1)療效不彰：定義為24週adalimumab治療後，出現以下任一情形：</w:t>
      </w:r>
    </w:p>
    <w:p w14:paraId="7DB05DCB" w14:textId="77777777" w:rsidR="00BD776B" w:rsidRDefault="00DF0C24">
      <w:pPr>
        <w:ind w:left="1560" w:hanging="425"/>
        <w:rPr>
          <w:rFonts w:ascii="標楷體" w:eastAsia="標楷體" w:hAnsi="標楷體"/>
          <w:color w:val="000000"/>
        </w:rPr>
      </w:pPr>
      <w:r>
        <w:rPr>
          <w:rFonts w:ascii="標楷體" w:eastAsia="標楷體" w:hAnsi="標楷體"/>
          <w:color w:val="000000"/>
        </w:rPr>
        <w:t>Ⅰ.前房發炎細胞比基礎值未改善或惡化。</w:t>
      </w:r>
    </w:p>
    <w:p w14:paraId="720B3C37" w14:textId="77777777" w:rsidR="00BD776B" w:rsidRDefault="00DF0C24">
      <w:pPr>
        <w:ind w:left="1560" w:hanging="425"/>
        <w:rPr>
          <w:rFonts w:ascii="標楷體" w:eastAsia="標楷體" w:hAnsi="標楷體"/>
          <w:color w:val="000000"/>
        </w:rPr>
      </w:pPr>
      <w:r>
        <w:rPr>
          <w:rFonts w:ascii="標楷體" w:eastAsia="標楷體" w:hAnsi="標楷體"/>
          <w:color w:val="000000"/>
        </w:rPr>
        <w:t>Ⅱ.有眼球共病惡化(如視神經水腫、黃斑囊樣水腫或視力衰退)或治療期間發展出新的眼球共病。</w:t>
      </w:r>
    </w:p>
    <w:p w14:paraId="3411F368" w14:textId="77777777" w:rsidR="00BD776B" w:rsidRDefault="00DF0C24">
      <w:pPr>
        <w:ind w:left="1049" w:hanging="341"/>
        <w:rPr>
          <w:rFonts w:ascii="標楷體" w:eastAsia="標楷體" w:hAnsi="標楷體"/>
          <w:color w:val="000000"/>
        </w:rPr>
      </w:pPr>
      <w:r>
        <w:rPr>
          <w:rFonts w:ascii="標楷體" w:eastAsia="標楷體" w:hAnsi="標楷體"/>
          <w:color w:val="000000"/>
        </w:rPr>
        <w:t>(2)不良事件，包括：</w:t>
      </w:r>
    </w:p>
    <w:p w14:paraId="2FB3A623" w14:textId="77777777" w:rsidR="00BD776B" w:rsidRDefault="00DF0C24">
      <w:pPr>
        <w:ind w:left="1560" w:hanging="425"/>
        <w:rPr>
          <w:rFonts w:ascii="標楷體" w:eastAsia="標楷體" w:hAnsi="標楷體"/>
          <w:color w:val="000000"/>
        </w:rPr>
      </w:pPr>
      <w:r>
        <w:rPr>
          <w:rFonts w:ascii="標楷體" w:eastAsia="標楷體" w:hAnsi="標楷體"/>
          <w:color w:val="000000"/>
        </w:rPr>
        <w:t>Ⅰ.惡性腫瘤。</w:t>
      </w:r>
    </w:p>
    <w:p w14:paraId="19F95FE3" w14:textId="77777777" w:rsidR="00BD776B" w:rsidRDefault="00DF0C24">
      <w:pPr>
        <w:ind w:left="1560" w:hanging="425"/>
        <w:rPr>
          <w:rFonts w:ascii="標楷體" w:eastAsia="標楷體" w:hAnsi="標楷體"/>
          <w:color w:val="000000"/>
        </w:rPr>
      </w:pPr>
      <w:r>
        <w:rPr>
          <w:rFonts w:ascii="標楷體" w:eastAsia="標楷體" w:hAnsi="標楷體"/>
          <w:color w:val="000000"/>
        </w:rPr>
        <w:t>Ⅱ.該藥物引起的嚴重毒性。</w:t>
      </w:r>
    </w:p>
    <w:p w14:paraId="0EE052C5" w14:textId="77777777" w:rsidR="00BD776B" w:rsidRDefault="00DF0C24">
      <w:pPr>
        <w:ind w:left="1560" w:hanging="425"/>
        <w:rPr>
          <w:rFonts w:ascii="標楷體" w:eastAsia="標楷體" w:hAnsi="標楷體"/>
          <w:color w:val="000000"/>
        </w:rPr>
      </w:pPr>
      <w:r>
        <w:rPr>
          <w:rFonts w:ascii="標楷體" w:eastAsia="標楷體" w:hAnsi="標楷體"/>
          <w:color w:val="000000"/>
        </w:rPr>
        <w:t>Ⅲ.嚴重的間發性感染症 (intercurrent infection)(暫時停藥即可)。</w:t>
      </w:r>
    </w:p>
    <w:p w14:paraId="4ED41819" w14:textId="77777777" w:rsidR="00BD776B" w:rsidRDefault="00DF0C24">
      <w:pPr>
        <w:ind w:left="566"/>
        <w:rPr>
          <w:rFonts w:ascii="標楷體" w:eastAsia="標楷體" w:hAnsi="標楷體"/>
          <w:color w:val="000000"/>
        </w:rPr>
      </w:pPr>
      <w:r>
        <w:rPr>
          <w:rFonts w:ascii="標楷體" w:eastAsia="標楷體" w:hAnsi="標楷體"/>
          <w:color w:val="000000"/>
        </w:rPr>
        <w:t>7.需排除使用的情形</w:t>
      </w:r>
    </w:p>
    <w:p w14:paraId="39AD4A54" w14:textId="77777777" w:rsidR="00BD776B" w:rsidRDefault="00DF0C24">
      <w:pPr>
        <w:ind w:left="806"/>
        <w:rPr>
          <w:rFonts w:ascii="標楷體" w:eastAsia="標楷體" w:hAnsi="標楷體"/>
          <w:color w:val="000000"/>
        </w:rPr>
      </w:pPr>
      <w:r>
        <w:rPr>
          <w:rFonts w:ascii="標楷體" w:eastAsia="標楷體" w:hAnsi="標楷體"/>
          <w:color w:val="000000"/>
        </w:rPr>
        <w:t>應參照藥物仿單，重要之排除使用狀況包括 (以下未列者參照仿單所載)：</w:t>
      </w:r>
    </w:p>
    <w:p w14:paraId="48094AC9" w14:textId="77777777" w:rsidR="00BD776B" w:rsidRDefault="00DF0C24">
      <w:pPr>
        <w:ind w:left="1289" w:hanging="341"/>
        <w:rPr>
          <w:rFonts w:ascii="標楷體" w:eastAsia="標楷體" w:hAnsi="標楷體"/>
          <w:color w:val="000000"/>
        </w:rPr>
      </w:pPr>
      <w:r>
        <w:rPr>
          <w:rFonts w:ascii="標楷體" w:eastAsia="標楷體" w:hAnsi="標楷體"/>
          <w:color w:val="000000"/>
        </w:rPr>
        <w:t>(1)罹患活動性的感染症的病患。</w:t>
      </w:r>
    </w:p>
    <w:p w14:paraId="2786EBCB" w14:textId="77777777" w:rsidR="00BD776B" w:rsidRDefault="00DF0C24">
      <w:pPr>
        <w:ind w:left="1289" w:hanging="341"/>
        <w:rPr>
          <w:rFonts w:ascii="標楷體" w:eastAsia="標楷體" w:hAnsi="標楷體"/>
          <w:color w:val="000000"/>
        </w:rPr>
      </w:pPr>
      <w:r>
        <w:rPr>
          <w:rFonts w:ascii="標楷體" w:eastAsia="標楷體" w:hAnsi="標楷體"/>
          <w:color w:val="000000"/>
        </w:rPr>
        <w:t>(2)未經完整治療之結核病的病患（包括潛伏結核感染治療未達四週者，申請時應檢附潛伏結核感染篩檢紀錄及治療紀錄供審查）</w:t>
      </w:r>
    </w:p>
    <w:p w14:paraId="7E109E5D" w14:textId="77777777" w:rsidR="00BD776B" w:rsidRDefault="00DF0C24">
      <w:pPr>
        <w:ind w:left="1289" w:hanging="341"/>
        <w:rPr>
          <w:rFonts w:ascii="標楷體" w:eastAsia="標楷體" w:hAnsi="標楷體"/>
          <w:color w:val="000000"/>
        </w:rPr>
      </w:pPr>
      <w:r>
        <w:rPr>
          <w:rFonts w:ascii="標楷體" w:eastAsia="標楷體" w:hAnsi="標楷體"/>
          <w:color w:val="000000"/>
        </w:rPr>
        <w:t>(3)身上帶有人工關節者，罹患或先前曾罹患過嚴重的敗血症(Sepsis)者。</w:t>
      </w:r>
    </w:p>
    <w:p w14:paraId="5E984AE6" w14:textId="77777777" w:rsidR="00BD776B" w:rsidRDefault="00DF0C24">
      <w:pPr>
        <w:ind w:left="1289" w:hanging="341"/>
        <w:rPr>
          <w:rFonts w:ascii="標楷體" w:eastAsia="標楷體" w:hAnsi="標楷體"/>
          <w:color w:val="000000"/>
        </w:rPr>
      </w:pPr>
      <w:r>
        <w:rPr>
          <w:rFonts w:ascii="標楷體" w:eastAsia="標楷體" w:hAnsi="標楷體"/>
          <w:color w:val="000000"/>
        </w:rPr>
        <w:t>(4)惡性腫瘤或具有癌症前兆(pre-malignancy)的患者。</w:t>
      </w:r>
    </w:p>
    <w:p w14:paraId="137E2FCD" w14:textId="77777777" w:rsidR="00BD776B" w:rsidRDefault="00DF0C24">
      <w:pPr>
        <w:ind w:left="566" w:hanging="240"/>
        <w:rPr>
          <w:rFonts w:ascii="標楷體" w:eastAsia="標楷體" w:hAnsi="標楷體"/>
          <w:color w:val="000000"/>
        </w:rPr>
      </w:pPr>
      <w:r>
        <w:rPr>
          <w:rFonts w:ascii="標楷體" w:eastAsia="標楷體" w:hAnsi="標楷體"/>
          <w:color w:val="000000"/>
        </w:rPr>
        <w:t>8.2.4.11.Guselkumab (如Tremfya) (111/9/1)：用於掌蹠膿皰症治療部分</w:t>
      </w:r>
    </w:p>
    <w:p w14:paraId="6AFC8192" w14:textId="77777777" w:rsidR="00BD776B" w:rsidRDefault="00DF0C24">
      <w:pPr>
        <w:ind w:left="850" w:hanging="240"/>
      </w:pPr>
      <w:r>
        <w:rPr>
          <w:rFonts w:ascii="標楷體" w:eastAsia="標楷體" w:hAnsi="標楷體"/>
          <w:color w:val="000000"/>
        </w:rPr>
        <w:t>1.</w:t>
      </w:r>
      <w:r>
        <w:rPr>
          <w:rFonts w:ascii="標楷體" w:eastAsia="標楷體" w:hAnsi="標楷體"/>
          <w:color w:val="000000"/>
          <w:kern w:val="0"/>
        </w:rPr>
        <w:t>限內科專科醫師且具有風濕或免疫專科醫師證書者，或皮膚科專科醫師處方。</w:t>
      </w:r>
    </w:p>
    <w:p w14:paraId="74039D6C" w14:textId="77777777" w:rsidR="00BD776B" w:rsidRDefault="00DF0C24">
      <w:pPr>
        <w:ind w:left="850" w:hanging="240"/>
        <w:rPr>
          <w:rFonts w:ascii="標楷體" w:eastAsia="標楷體" w:hAnsi="標楷體"/>
          <w:color w:val="000000"/>
        </w:rPr>
      </w:pPr>
      <w:r>
        <w:rPr>
          <w:rFonts w:ascii="標楷體" w:eastAsia="標楷體" w:hAnsi="標楷體"/>
          <w:color w:val="000000"/>
        </w:rPr>
        <w:t xml:space="preserve">2.給付條件: </w:t>
      </w:r>
      <w:bookmarkStart w:id="17" w:name="_Hlk51664278"/>
      <w:r>
        <w:rPr>
          <w:rFonts w:ascii="標楷體" w:eastAsia="標楷體" w:hAnsi="標楷體"/>
          <w:color w:val="000000"/>
        </w:rPr>
        <w:t>限用於經照光治療及其他全身性治療無效，或因醫療因素而無法接受其他全身性治療之中、重度掌蹠膿皰症，且影響功能之患者</w:t>
      </w:r>
      <w:bookmarkEnd w:id="17"/>
      <w:r>
        <w:rPr>
          <w:rFonts w:ascii="標楷體" w:eastAsia="標楷體" w:hAnsi="標楷體"/>
          <w:color w:val="000000"/>
        </w:rPr>
        <w:t>。</w:t>
      </w:r>
    </w:p>
    <w:p w14:paraId="49BB1AEA" w14:textId="77777777" w:rsidR="00BD776B" w:rsidRDefault="00DF0C24">
      <w:pPr>
        <w:ind w:left="1133" w:hanging="384"/>
        <w:rPr>
          <w:rFonts w:ascii="標楷體" w:eastAsia="標楷體" w:hAnsi="標楷體"/>
          <w:color w:val="000000"/>
        </w:rPr>
      </w:pPr>
      <w:r>
        <w:rPr>
          <w:rFonts w:ascii="標楷體" w:eastAsia="標楷體" w:hAnsi="標楷體"/>
          <w:color w:val="000000"/>
        </w:rPr>
        <w:t>(1)中重度掌蹠膿皰症：PPPASI(Palmoplantar Pustulosis  Area and Severity Index ) ≧12。</w:t>
      </w:r>
    </w:p>
    <w:p w14:paraId="2A046564" w14:textId="77777777" w:rsidR="00BD776B" w:rsidRDefault="00DF0C24">
      <w:pPr>
        <w:ind w:left="994" w:hanging="245"/>
        <w:rPr>
          <w:rFonts w:ascii="標楷體" w:eastAsia="標楷體" w:hAnsi="標楷體"/>
          <w:color w:val="000000"/>
        </w:rPr>
      </w:pPr>
      <w:r>
        <w:rPr>
          <w:rFonts w:ascii="標楷體" w:eastAsia="標楷體" w:hAnsi="標楷體"/>
          <w:color w:val="000000"/>
        </w:rPr>
        <w:t>(2)所稱治療無效，指治療後嚴重度仍符合上列第(1)點情況。</w:t>
      </w:r>
    </w:p>
    <w:p w14:paraId="05B273C4" w14:textId="77777777" w:rsidR="00BD776B" w:rsidRDefault="00DF0C24">
      <w:pPr>
        <w:ind w:left="1275" w:hanging="245"/>
        <w:rPr>
          <w:rFonts w:ascii="標楷體" w:eastAsia="標楷體" w:hAnsi="標楷體"/>
          <w:color w:val="000000"/>
        </w:rPr>
      </w:pPr>
      <w:r>
        <w:rPr>
          <w:rFonts w:ascii="標楷體" w:eastAsia="標楷體" w:hAnsi="標楷體"/>
          <w:color w:val="000000"/>
        </w:rPr>
        <w:t>i.治療必須包括以下三種全身性治療之至少兩種，包括methotrexate、acitretin、cyclosporin。</w:t>
      </w:r>
    </w:p>
    <w:p w14:paraId="2A0FCFCA" w14:textId="77777777" w:rsidR="00BD776B" w:rsidRDefault="00DF0C24">
      <w:pPr>
        <w:ind w:left="1275" w:hanging="245"/>
        <w:rPr>
          <w:rFonts w:ascii="標楷體" w:eastAsia="標楷體" w:hAnsi="標楷體"/>
          <w:color w:val="000000"/>
        </w:rPr>
      </w:pPr>
      <w:r>
        <w:rPr>
          <w:rFonts w:ascii="標楷體" w:eastAsia="標楷體" w:hAnsi="標楷體"/>
          <w:color w:val="000000"/>
        </w:rPr>
        <w:t>ii.治療需至少使用3個月，但育齡女性，得不經acitretin使用。</w:t>
      </w:r>
    </w:p>
    <w:p w14:paraId="3BA34AF4" w14:textId="77777777" w:rsidR="00BD776B" w:rsidRDefault="00DF0C24">
      <w:pPr>
        <w:ind w:left="1390" w:hanging="360"/>
        <w:rPr>
          <w:rFonts w:ascii="標楷體" w:eastAsia="標楷體" w:hAnsi="標楷體"/>
          <w:color w:val="000000"/>
        </w:rPr>
      </w:pPr>
      <w:r>
        <w:rPr>
          <w:rFonts w:ascii="標楷體" w:eastAsia="標楷體" w:hAnsi="標楷體"/>
          <w:color w:val="000000"/>
        </w:rPr>
        <w:t>iii.照光治療應依學理，如光化療法(PUVA)及窄頻UVB(nb-UVB)必須每週至少2次，寬頻UVB併用焦油每週至少3次，並依學理逐漸增加至有效可忍受劑量。申請時必須附病歷影印及詳細照光劑量紀錄。</w:t>
      </w:r>
    </w:p>
    <w:p w14:paraId="027F52ED" w14:textId="77777777" w:rsidR="00BD776B" w:rsidRDefault="00DF0C24">
      <w:pPr>
        <w:ind w:left="1390" w:hanging="360"/>
        <w:rPr>
          <w:rFonts w:ascii="標楷體" w:eastAsia="標楷體" w:hAnsi="標楷體"/>
          <w:color w:val="000000"/>
        </w:rPr>
      </w:pPr>
      <w:r>
        <w:rPr>
          <w:rFonts w:ascii="標楷體" w:eastAsia="標楷體" w:hAnsi="標楷體"/>
          <w:color w:val="000000"/>
        </w:rPr>
        <w:t>iv.Methotrexate合理劑量需達每週15mg, cyclosporin合理劑量需達2.5-5 mg/kg/d, acitretin為0.3-1 mg/kg/d。但若因為藥物毒性無法耐受，使用劑量可酌情降低。</w:t>
      </w:r>
    </w:p>
    <w:p w14:paraId="699D113B" w14:textId="77777777" w:rsidR="00BD776B" w:rsidRDefault="00DF0C24">
      <w:pPr>
        <w:ind w:left="855" w:hanging="245"/>
        <w:rPr>
          <w:rFonts w:ascii="標楷體" w:eastAsia="標楷體" w:hAnsi="標楷體"/>
          <w:color w:val="000000"/>
        </w:rPr>
      </w:pPr>
      <w:r>
        <w:rPr>
          <w:rFonts w:ascii="標楷體" w:eastAsia="標楷體" w:hAnsi="標楷體"/>
          <w:color w:val="000000"/>
        </w:rPr>
        <w:t xml:space="preserve"> (3)所稱無法接受治療：</w:t>
      </w:r>
    </w:p>
    <w:p w14:paraId="49AAFB0C" w14:textId="77777777" w:rsidR="00BD776B" w:rsidRDefault="00DF0C24">
      <w:pPr>
        <w:ind w:left="1416" w:hanging="245"/>
        <w:rPr>
          <w:rFonts w:ascii="標楷體" w:eastAsia="標楷體" w:hAnsi="標楷體"/>
          <w:color w:val="000000"/>
        </w:rPr>
      </w:pPr>
      <w:r>
        <w:rPr>
          <w:rFonts w:ascii="標楷體" w:eastAsia="標楷體" w:hAnsi="標楷體"/>
          <w:color w:val="000000"/>
        </w:rPr>
        <w:t>i.Methotrexate：指因肝功能異常或切片第三期a異常，經6個月後切片仍無改善，或第三期b以上之肝切片異常，病毒性肝炎帶原或腎功能異常而無法使用methotrexate治療者。</w:t>
      </w:r>
    </w:p>
    <w:p w14:paraId="3F6DDA72" w14:textId="77777777" w:rsidR="00BD776B" w:rsidRDefault="00DF0C24">
      <w:pPr>
        <w:ind w:left="1416" w:hanging="245"/>
        <w:rPr>
          <w:rFonts w:ascii="標楷體" w:eastAsia="標楷體" w:hAnsi="標楷體"/>
          <w:color w:val="000000"/>
        </w:rPr>
      </w:pPr>
      <w:r>
        <w:rPr>
          <w:rFonts w:ascii="標楷體" w:eastAsia="標楷體" w:hAnsi="標楷體"/>
          <w:color w:val="000000"/>
        </w:rPr>
        <w:lastRenderedPageBreak/>
        <w:t>ii.Acitretin：指有明顯肝功能異常、高血脂無法有效控制，或cyclosporin有效但停藥後迅速復發，已持續使用超用1年，或已產生腎毒性經減量後無法有效控制者。</w:t>
      </w:r>
    </w:p>
    <w:p w14:paraId="74620E25" w14:textId="77777777" w:rsidR="00BD776B" w:rsidRDefault="00DF0C24">
      <w:pPr>
        <w:ind w:left="855" w:hanging="245"/>
        <w:rPr>
          <w:rFonts w:ascii="標楷體" w:eastAsia="標楷體" w:hAnsi="標楷體"/>
          <w:color w:val="000000"/>
        </w:rPr>
      </w:pPr>
      <w:r>
        <w:rPr>
          <w:rFonts w:ascii="標楷體" w:eastAsia="標楷體" w:hAnsi="標楷體"/>
          <w:color w:val="000000"/>
        </w:rPr>
        <w:t>3.需經事前審查核准後使用：</w:t>
      </w:r>
    </w:p>
    <w:p w14:paraId="70C58D43" w14:textId="77777777" w:rsidR="00BD776B" w:rsidRDefault="00DF0C24">
      <w:pPr>
        <w:ind w:left="1132" w:hanging="386"/>
        <w:rPr>
          <w:rFonts w:ascii="標楷體" w:eastAsia="標楷體" w:hAnsi="標楷體"/>
          <w:color w:val="000000"/>
        </w:rPr>
      </w:pPr>
      <w:r>
        <w:rPr>
          <w:rFonts w:ascii="標楷體" w:eastAsia="標楷體" w:hAnsi="標楷體"/>
          <w:color w:val="000000"/>
        </w:rPr>
        <w:t>(1)初次申請時，以6個月為1個療程，持續使用時每6個月需再申報一次，且應於期滿前1個月提出。</w:t>
      </w:r>
    </w:p>
    <w:p w14:paraId="65C92BDD" w14:textId="77777777" w:rsidR="00BD776B" w:rsidRDefault="00DF0C24">
      <w:pPr>
        <w:ind w:left="1132" w:hanging="386"/>
      </w:pPr>
      <w:r>
        <w:rPr>
          <w:rFonts w:ascii="標楷體" w:eastAsia="標楷體" w:hAnsi="標楷體"/>
          <w:color w:val="000000"/>
        </w:rPr>
        <w:t>(2)Guselkumab起始於第0週投予100 mg，接著於第4週投予100mg，之後每8週投予100mg，且於16週時，須先行評估，至少有PPPASI 25療效。</w:t>
      </w:r>
      <w:r>
        <w:rPr>
          <w:rFonts w:ascii="標楷體" w:eastAsia="標楷體" w:hAnsi="標楷體"/>
          <w:color w:val="000000"/>
          <w:kern w:val="0"/>
        </w:rPr>
        <w:t>不得同時併用其他生物製劑。</w:t>
      </w:r>
    </w:p>
    <w:p w14:paraId="71A4A61B" w14:textId="77777777" w:rsidR="00BD776B" w:rsidRDefault="00DF0C24">
      <w:pPr>
        <w:ind w:left="1132" w:hanging="386"/>
        <w:rPr>
          <w:rFonts w:ascii="標楷體" w:eastAsia="標楷體" w:hAnsi="標楷體"/>
          <w:color w:val="000000"/>
        </w:rPr>
      </w:pPr>
      <w:r>
        <w:rPr>
          <w:rFonts w:ascii="標楷體" w:eastAsia="標楷體" w:hAnsi="標楷體"/>
          <w:color w:val="000000"/>
        </w:rPr>
        <w:t>(3)初次申請後每6個月須再次申請續用，續用時，與初次治療前之療效達PPPASI 50方可使用。停藥超過3個月再申請者，視同新申請案件，否則視為續用案件。</w:t>
      </w:r>
    </w:p>
    <w:p w14:paraId="54855E6E" w14:textId="77777777" w:rsidR="00BD776B" w:rsidRDefault="00DF0C24">
      <w:pPr>
        <w:ind w:left="855" w:hanging="245"/>
        <w:rPr>
          <w:rFonts w:ascii="標楷體" w:eastAsia="標楷體" w:hAnsi="標楷體"/>
          <w:color w:val="000000"/>
        </w:rPr>
      </w:pPr>
      <w:r>
        <w:rPr>
          <w:rFonts w:ascii="標楷體" w:eastAsia="標楷體" w:hAnsi="標楷體"/>
          <w:color w:val="000000"/>
        </w:rPr>
        <w:t>4.</w:t>
      </w:r>
      <w:bookmarkStart w:id="18" w:name="_Hlk63066893"/>
      <w:r>
        <w:rPr>
          <w:rFonts w:ascii="標楷體" w:eastAsia="標楷體" w:hAnsi="標楷體"/>
          <w:color w:val="000000"/>
        </w:rPr>
        <w:t>使用生物製劑時，考慮其於掌蹠膿皰症療效可能較慢，及立即停藥之可能反彈現象，治療前兩個月得合併使用照光治療，但生物製劑療效出現時即應逐漸停用。</w:t>
      </w:r>
      <w:bookmarkEnd w:id="18"/>
      <w:r>
        <w:rPr>
          <w:rFonts w:ascii="標楷體" w:eastAsia="標楷體" w:hAnsi="標楷體"/>
          <w:color w:val="000000"/>
        </w:rPr>
        <w:t xml:space="preserve"> </w:t>
      </w:r>
    </w:p>
    <w:p w14:paraId="1B848F49" w14:textId="77777777" w:rsidR="00BD776B" w:rsidRDefault="00DF0C24">
      <w:pPr>
        <w:ind w:left="855" w:hanging="245"/>
        <w:rPr>
          <w:rFonts w:ascii="標楷體" w:eastAsia="標楷體" w:hAnsi="標楷體"/>
          <w:color w:val="000000"/>
        </w:rPr>
      </w:pPr>
      <w:r>
        <w:rPr>
          <w:rFonts w:ascii="標楷體" w:eastAsia="標楷體" w:hAnsi="標楷體"/>
          <w:color w:val="000000"/>
        </w:rPr>
        <w:t>5.需排除使用的情形應參照藥物仿單，重要之排除使用狀況包括：</w:t>
      </w:r>
    </w:p>
    <w:p w14:paraId="47799785" w14:textId="77777777" w:rsidR="00BD776B" w:rsidRDefault="00DF0C24">
      <w:pPr>
        <w:ind w:left="991" w:hanging="245"/>
        <w:rPr>
          <w:rFonts w:ascii="標楷體" w:eastAsia="標楷體" w:hAnsi="標楷體"/>
          <w:color w:val="000000"/>
        </w:rPr>
      </w:pPr>
      <w:r>
        <w:rPr>
          <w:rFonts w:ascii="標楷體" w:eastAsia="標楷體" w:hAnsi="標楷體"/>
          <w:color w:val="000000"/>
        </w:rPr>
        <w:t>(1)懷孕或正在授乳的婦女。</w:t>
      </w:r>
    </w:p>
    <w:p w14:paraId="1EB6A568" w14:textId="77777777" w:rsidR="00BD776B" w:rsidRDefault="00DF0C24">
      <w:pPr>
        <w:ind w:left="991" w:hanging="245"/>
        <w:rPr>
          <w:rFonts w:ascii="標楷體" w:eastAsia="標楷體" w:hAnsi="標楷體"/>
          <w:color w:val="000000"/>
        </w:rPr>
      </w:pPr>
      <w:r>
        <w:rPr>
          <w:rFonts w:ascii="標楷體" w:eastAsia="標楷體" w:hAnsi="標楷體"/>
          <w:color w:val="000000"/>
        </w:rPr>
        <w:t>(2)罹患活動性的感染症的病患。</w:t>
      </w:r>
    </w:p>
    <w:p w14:paraId="5FF44352" w14:textId="77777777" w:rsidR="00BD776B" w:rsidRDefault="00DF0C24">
      <w:pPr>
        <w:ind w:left="991" w:hanging="245"/>
        <w:rPr>
          <w:rFonts w:ascii="標楷體" w:eastAsia="標楷體" w:hAnsi="標楷體"/>
          <w:color w:val="000000"/>
        </w:rPr>
      </w:pPr>
      <w:r>
        <w:rPr>
          <w:rFonts w:ascii="標楷體" w:eastAsia="標楷體" w:hAnsi="標楷體"/>
          <w:color w:val="000000"/>
        </w:rPr>
        <w:t>(3)未經完整治療之結核病的病患（包括潛伏結核感染治療未達四週者，申請時應檢附潛伏結核感染篩檢紀錄及治療紀錄供審查）。</w:t>
      </w:r>
    </w:p>
    <w:p w14:paraId="38C79800" w14:textId="77777777" w:rsidR="00BD776B" w:rsidRDefault="00DF0C24">
      <w:pPr>
        <w:ind w:left="991" w:hanging="245"/>
        <w:rPr>
          <w:rFonts w:ascii="標楷體" w:eastAsia="標楷體" w:hAnsi="標楷體"/>
          <w:color w:val="000000"/>
        </w:rPr>
      </w:pPr>
      <w:r>
        <w:rPr>
          <w:rFonts w:ascii="標楷體" w:eastAsia="標楷體" w:hAnsi="標楷體"/>
          <w:color w:val="000000"/>
        </w:rPr>
        <w:t>(4)身上帶有人工關節者，罹患或先前曾罹患過嚴重的敗血病(sepsis)者。</w:t>
      </w:r>
    </w:p>
    <w:p w14:paraId="5C1F1177" w14:textId="77777777" w:rsidR="00BD776B" w:rsidRDefault="00DF0C24">
      <w:pPr>
        <w:ind w:left="991" w:hanging="245"/>
        <w:rPr>
          <w:rFonts w:ascii="標楷體" w:eastAsia="標楷體" w:hAnsi="標楷體"/>
          <w:color w:val="000000"/>
        </w:rPr>
      </w:pPr>
      <w:r>
        <w:rPr>
          <w:rFonts w:ascii="標楷體" w:eastAsia="標楷體" w:hAnsi="標楷體"/>
          <w:color w:val="000000"/>
        </w:rPr>
        <w:t>(5)惡性腫瘤或具有癌症前兆(pre-malignancy)的病患。</w:t>
      </w:r>
    </w:p>
    <w:p w14:paraId="2EEDD76D" w14:textId="77777777" w:rsidR="00BD776B" w:rsidRDefault="00DF0C24">
      <w:pPr>
        <w:ind w:left="991" w:hanging="245"/>
        <w:rPr>
          <w:rFonts w:ascii="標楷體" w:eastAsia="標楷體" w:hAnsi="標楷體"/>
          <w:color w:val="000000"/>
        </w:rPr>
      </w:pPr>
      <w:r>
        <w:rPr>
          <w:rFonts w:ascii="標楷體" w:eastAsia="標楷體" w:hAnsi="標楷體"/>
          <w:color w:val="000000"/>
        </w:rPr>
        <w:t>(6)免疫功能不全者(immunodeficiency) 。</w:t>
      </w:r>
    </w:p>
    <w:p w14:paraId="756E383A" w14:textId="77777777" w:rsidR="00BD776B" w:rsidRDefault="00DF0C24">
      <w:pPr>
        <w:ind w:left="855" w:hanging="245"/>
        <w:rPr>
          <w:rFonts w:ascii="標楷體" w:eastAsia="標楷體" w:hAnsi="標楷體"/>
          <w:color w:val="000000"/>
        </w:rPr>
      </w:pPr>
      <w:r>
        <w:rPr>
          <w:rFonts w:ascii="標楷體" w:eastAsia="標楷體" w:hAnsi="標楷體"/>
          <w:color w:val="000000"/>
        </w:rPr>
        <w:t>6.需停止治療情形，如果發生下列現象應停止治療：</w:t>
      </w:r>
    </w:p>
    <w:p w14:paraId="206FFBCA" w14:textId="77777777" w:rsidR="00BD776B" w:rsidRDefault="00DF0C24">
      <w:pPr>
        <w:ind w:left="991" w:hanging="245"/>
        <w:rPr>
          <w:rFonts w:ascii="標楷體" w:eastAsia="標楷體" w:hAnsi="標楷體"/>
          <w:color w:val="000000"/>
        </w:rPr>
      </w:pPr>
      <w:r>
        <w:rPr>
          <w:rFonts w:ascii="標楷體" w:eastAsia="標楷體" w:hAnsi="標楷體"/>
          <w:color w:val="000000"/>
        </w:rPr>
        <w:t>(1)不良事件，包括：</w:t>
      </w:r>
    </w:p>
    <w:p w14:paraId="031B2B76" w14:textId="77777777" w:rsidR="00BD776B" w:rsidRDefault="00DF0C24">
      <w:pPr>
        <w:ind w:left="1133"/>
        <w:rPr>
          <w:rFonts w:ascii="標楷體" w:eastAsia="標楷體" w:hAnsi="標楷體"/>
          <w:color w:val="000000"/>
        </w:rPr>
      </w:pPr>
      <w:r>
        <w:rPr>
          <w:rFonts w:ascii="標楷體" w:eastAsia="標楷體" w:hAnsi="標楷體"/>
          <w:color w:val="000000"/>
        </w:rPr>
        <w:t>i.惡性腫瘤。</w:t>
      </w:r>
    </w:p>
    <w:p w14:paraId="445EEE63" w14:textId="77777777" w:rsidR="00BD776B" w:rsidRDefault="00DF0C24">
      <w:pPr>
        <w:ind w:left="1133"/>
        <w:rPr>
          <w:rFonts w:ascii="標楷體" w:eastAsia="標楷體" w:hAnsi="標楷體"/>
          <w:color w:val="000000"/>
        </w:rPr>
      </w:pPr>
      <w:r>
        <w:rPr>
          <w:rFonts w:ascii="標楷體" w:eastAsia="標楷體" w:hAnsi="標楷體"/>
          <w:color w:val="000000"/>
        </w:rPr>
        <w:t>ii.該藥物引起的嚴重性毒性。</w:t>
      </w:r>
    </w:p>
    <w:p w14:paraId="08EC1F5E" w14:textId="77777777" w:rsidR="00BD776B" w:rsidRDefault="00DF0C24">
      <w:pPr>
        <w:ind w:left="1133"/>
        <w:rPr>
          <w:rFonts w:ascii="標楷體" w:eastAsia="標楷體" w:hAnsi="標楷體"/>
          <w:color w:val="000000"/>
        </w:rPr>
      </w:pPr>
      <w:r>
        <w:rPr>
          <w:rFonts w:ascii="標楷體" w:eastAsia="標楷體" w:hAnsi="標楷體"/>
          <w:color w:val="000000"/>
        </w:rPr>
        <w:t>iii.懷孕（暫時停藥即可）。</w:t>
      </w:r>
    </w:p>
    <w:p w14:paraId="657C03A1" w14:textId="77777777" w:rsidR="00BD776B" w:rsidRDefault="00DF0C24">
      <w:pPr>
        <w:ind w:left="1133"/>
        <w:rPr>
          <w:rFonts w:ascii="標楷體" w:eastAsia="標楷體" w:hAnsi="標楷體"/>
          <w:color w:val="000000"/>
        </w:rPr>
      </w:pPr>
      <w:r>
        <w:rPr>
          <w:rFonts w:ascii="標楷體" w:eastAsia="標楷體" w:hAnsi="標楷體"/>
          <w:color w:val="000000"/>
        </w:rPr>
        <w:t>iv.嚴重的間發性感染症（intercurrent infection）（暫時停藥即可）。</w:t>
      </w:r>
    </w:p>
    <w:p w14:paraId="61A43750" w14:textId="77777777" w:rsidR="00BD776B" w:rsidRDefault="00DF0C24">
      <w:pPr>
        <w:ind w:left="1132" w:hanging="386"/>
        <w:rPr>
          <w:rFonts w:ascii="標楷體" w:eastAsia="標楷體" w:hAnsi="標楷體"/>
          <w:color w:val="000000"/>
        </w:rPr>
      </w:pPr>
      <w:r>
        <w:rPr>
          <w:rFonts w:ascii="標楷體" w:eastAsia="標楷體" w:hAnsi="標楷體"/>
          <w:color w:val="000000"/>
        </w:rPr>
        <w:t>(2)療效不彰：患者經過6個月治療（初次療程）後未達療效者，療效定義指PPPASI改善未達50%。</w:t>
      </w:r>
    </w:p>
    <w:p w14:paraId="73EAF39E" w14:textId="77777777" w:rsidR="00BD776B" w:rsidRDefault="00DF0C24">
      <w:pPr>
        <w:ind w:left="855" w:hanging="245"/>
        <w:rPr>
          <w:rFonts w:ascii="標楷體" w:eastAsia="標楷體" w:hAnsi="標楷體"/>
          <w:color w:val="000000"/>
        </w:rPr>
      </w:pPr>
      <w:r>
        <w:rPr>
          <w:rFonts w:ascii="標楷體" w:eastAsia="標楷體" w:hAnsi="標楷體"/>
          <w:color w:val="000000"/>
        </w:rPr>
        <w:t>7.暫緩續用之相關規定：</w:t>
      </w:r>
    </w:p>
    <w:p w14:paraId="1790E265" w14:textId="77777777" w:rsidR="00BD776B" w:rsidRDefault="00DF0C24">
      <w:pPr>
        <w:ind w:left="991" w:hanging="245"/>
        <w:rPr>
          <w:rFonts w:ascii="標楷體" w:eastAsia="標楷體" w:hAnsi="標楷體"/>
          <w:color w:val="000000"/>
        </w:rPr>
      </w:pPr>
      <w:r>
        <w:rPr>
          <w:rFonts w:ascii="標楷體" w:eastAsia="標楷體" w:hAnsi="標楷體"/>
          <w:color w:val="000000"/>
        </w:rPr>
        <w:t>(1)暫緩續用時機：使用生物製劑治療2年後符合PPPASI&lt;12者。</w:t>
      </w:r>
    </w:p>
    <w:p w14:paraId="2C4A090B" w14:textId="77777777" w:rsidR="00BD776B" w:rsidRDefault="00DF0C24">
      <w:pPr>
        <w:ind w:left="1132" w:hanging="386"/>
        <w:rPr>
          <w:rFonts w:ascii="標楷體" w:eastAsia="標楷體" w:hAnsi="標楷體"/>
          <w:color w:val="000000"/>
        </w:rPr>
      </w:pPr>
      <w:r>
        <w:rPr>
          <w:rFonts w:ascii="標楷體" w:eastAsia="標楷體" w:hAnsi="標楷體"/>
          <w:color w:val="000000"/>
        </w:rPr>
        <w:t>(2)因使用一種生物製劑治療後療效不彰，而轉用另一種不同藥理機轉之生物製劑，以轉用後者之起始日重新計算2年後開始減量之時機。但因無法忍受副作用而轉用相同藥理機轉之生物製劑，轉用前後所使用生物製劑之期間均應計入。</w:t>
      </w:r>
    </w:p>
    <w:p w14:paraId="2F49C85C" w14:textId="77777777" w:rsidR="00BD776B" w:rsidRDefault="00DF0C24">
      <w:pPr>
        <w:ind w:left="855" w:hanging="245"/>
        <w:rPr>
          <w:rFonts w:ascii="標楷體" w:eastAsia="標楷體" w:hAnsi="標楷體"/>
          <w:color w:val="000000"/>
        </w:rPr>
      </w:pPr>
      <w:r>
        <w:rPr>
          <w:rFonts w:ascii="標楷體" w:eastAsia="標楷體" w:hAnsi="標楷體"/>
          <w:color w:val="000000"/>
        </w:rPr>
        <w:t>8.暫緩續用後若疾病再復發，可重新申請使用，須符合至少有50%復發(需附上次療程治療前、後，及本次照片)。</w:t>
      </w:r>
    </w:p>
    <w:p w14:paraId="3C983156" w14:textId="77777777" w:rsidR="00BD776B" w:rsidRDefault="00DF0C24">
      <w:pPr>
        <w:ind w:left="855" w:hanging="245"/>
        <w:rPr>
          <w:rFonts w:ascii="標楷體" w:eastAsia="標楷體" w:hAnsi="標楷體"/>
          <w:color w:val="000000"/>
        </w:rPr>
      </w:pPr>
      <w:r>
        <w:rPr>
          <w:rFonts w:ascii="標楷體" w:eastAsia="標楷體" w:hAnsi="標楷體"/>
          <w:color w:val="000000"/>
        </w:rPr>
        <w:t>◎附表二十四之六：全民健康保險掌蹠膿皰症使用生物製劑申請表</w:t>
      </w:r>
    </w:p>
    <w:p w14:paraId="35A987C2" w14:textId="77777777" w:rsidR="00BD776B" w:rsidRDefault="00DF0C24">
      <w:pPr>
        <w:ind w:left="850" w:hanging="240"/>
        <w:rPr>
          <w:rFonts w:ascii="標楷體" w:eastAsia="標楷體" w:hAnsi="標楷體"/>
          <w:color w:val="000000"/>
        </w:rPr>
      </w:pPr>
      <w:r>
        <w:rPr>
          <w:rFonts w:ascii="標楷體" w:eastAsia="標楷體" w:hAnsi="標楷體"/>
          <w:color w:val="000000"/>
        </w:rPr>
        <w:t>◎附表二十四之五：掌蹠膿皰症面積暨嚴重度指數【</w:t>
      </w:r>
      <w:bookmarkStart w:id="19" w:name="_Hlk51776985"/>
      <w:r>
        <w:rPr>
          <w:rFonts w:ascii="標楷體" w:eastAsia="標楷體" w:hAnsi="標楷體"/>
          <w:color w:val="000000"/>
        </w:rPr>
        <w:t>Palmoplantar Pustulosis</w:t>
      </w:r>
      <w:bookmarkEnd w:id="19"/>
      <w:r>
        <w:rPr>
          <w:rFonts w:ascii="標楷體" w:eastAsia="標楷體" w:hAnsi="標楷體"/>
          <w:color w:val="000000"/>
        </w:rPr>
        <w:t xml:space="preserve"> Area Severity Index (PPPASI)】</w:t>
      </w:r>
    </w:p>
    <w:p w14:paraId="43C9FD4F" w14:textId="77777777" w:rsidR="00BD776B" w:rsidRDefault="00DF0C24">
      <w:pPr>
        <w:ind w:left="737" w:hanging="451"/>
        <w:rPr>
          <w:rFonts w:ascii="標楷體" w:eastAsia="標楷體" w:hAnsi="標楷體"/>
          <w:color w:val="000000"/>
          <w:szCs w:val="24"/>
        </w:rPr>
      </w:pPr>
      <w:r>
        <w:rPr>
          <w:rFonts w:ascii="標楷體" w:eastAsia="標楷體" w:hAnsi="標楷體"/>
          <w:color w:val="000000"/>
          <w:szCs w:val="24"/>
        </w:rPr>
        <w:t>8.2.4.12.Tocilizumab(如Actemra)：(113/1/1)</w:t>
      </w:r>
    </w:p>
    <w:p w14:paraId="3707A5C1" w14:textId="77777777" w:rsidR="00BD776B" w:rsidRDefault="00DF0C24">
      <w:pPr>
        <w:ind w:left="645"/>
        <w:rPr>
          <w:rFonts w:ascii="標楷體" w:eastAsia="標楷體" w:hAnsi="標楷體"/>
          <w:color w:val="000000"/>
          <w:szCs w:val="24"/>
        </w:rPr>
      </w:pPr>
      <w:r>
        <w:rPr>
          <w:rFonts w:ascii="標楷體" w:eastAsia="標楷體" w:hAnsi="標楷體"/>
          <w:color w:val="000000"/>
          <w:szCs w:val="24"/>
        </w:rPr>
        <w:t>1.用於新型冠狀病毒疾病，需同時符合下述所有條件：</w:t>
      </w:r>
    </w:p>
    <w:p w14:paraId="3B6E9FBA" w14:textId="77777777" w:rsidR="00BD776B" w:rsidRDefault="00DF0C24">
      <w:pPr>
        <w:ind w:left="240"/>
      </w:pPr>
      <w:r>
        <w:rPr>
          <w:rFonts w:ascii="標楷體" w:eastAsia="標楷體" w:hAnsi="標楷體"/>
          <w:color w:val="000000"/>
        </w:rPr>
        <w:lastRenderedPageBreak/>
        <w:tab/>
        <w:t xml:space="preserve">   (1)</w:t>
      </w:r>
      <w:r>
        <w:rPr>
          <w:rFonts w:ascii="標楷體" w:eastAsia="標楷體" w:hAnsi="標楷體"/>
        </w:rPr>
        <w:t>住院成年病人。</w:t>
      </w:r>
    </w:p>
    <w:p w14:paraId="1DF26868" w14:textId="77777777" w:rsidR="00BD776B" w:rsidRDefault="00DF0C24">
      <w:pPr>
        <w:ind w:left="1200" w:hanging="960"/>
      </w:pPr>
      <w:r>
        <w:rPr>
          <w:rFonts w:ascii="標楷體" w:eastAsia="標楷體" w:hAnsi="標楷體"/>
          <w:color w:val="000000"/>
        </w:rPr>
        <w:t xml:space="preserve">     (2)</w:t>
      </w:r>
      <w:r>
        <w:rPr>
          <w:rFonts w:ascii="標楷體" w:eastAsia="標楷體" w:hAnsi="標楷體"/>
        </w:rPr>
        <w:t>與dexamethasone合併使用於嚴重肺炎以上(未使用吸氧治療下SpO2 ≦94%；需使用吸氧治療、高流量氧氣或非侵襲性呼吸器、使用機械式呼吸器或使用體外膜氧合器葉克膜/ECMO)之患者。或與dexamethasone及remdesivir合併用於未使用吸氧治療下SpO2≦ 94%、需使用吸氧治療、高流量氧氣或非侵襲性呼吸器之患者。</w:t>
      </w:r>
    </w:p>
    <w:p w14:paraId="779C1C58" w14:textId="77777777" w:rsidR="00BD776B" w:rsidRDefault="00DF0C24">
      <w:pPr>
        <w:pStyle w:val="af"/>
        <w:widowControl/>
        <w:ind w:left="645"/>
      </w:pPr>
      <w:r>
        <w:rPr>
          <w:rFonts w:ascii="標楷體" w:eastAsia="標楷體" w:hAnsi="標楷體"/>
        </w:rPr>
        <w:t>2.</w:t>
      </w:r>
      <w:r>
        <w:rPr>
          <w:rFonts w:ascii="標楷體" w:eastAsia="標楷體" w:hAnsi="標楷體"/>
          <w:szCs w:val="24"/>
        </w:rPr>
        <w:t>劑量8mg/kg，單次靜脈注射，最大劑量800mg。</w:t>
      </w:r>
    </w:p>
    <w:p w14:paraId="3AF84F82" w14:textId="77777777" w:rsidR="00BD776B" w:rsidRDefault="00DF0C24">
      <w:pPr>
        <w:ind w:left="737" w:hanging="451"/>
        <w:rPr>
          <w:rFonts w:ascii="標楷體" w:eastAsia="標楷體" w:hAnsi="標楷體"/>
          <w:color w:val="000000"/>
          <w:szCs w:val="24"/>
        </w:rPr>
      </w:pPr>
      <w:r>
        <w:rPr>
          <w:rFonts w:ascii="標楷體" w:eastAsia="標楷體" w:hAnsi="標楷體"/>
          <w:color w:val="000000"/>
          <w:szCs w:val="24"/>
        </w:rPr>
        <w:t>8.2.4.13.Baricitinib (Olumiant)：(113/1/1)</w:t>
      </w:r>
    </w:p>
    <w:p w14:paraId="630F0BA9" w14:textId="77777777" w:rsidR="00BD776B" w:rsidRDefault="00DF0C24">
      <w:pPr>
        <w:ind w:left="645"/>
        <w:rPr>
          <w:rFonts w:ascii="標楷體" w:eastAsia="標楷體" w:hAnsi="標楷體"/>
          <w:color w:val="000000"/>
          <w:szCs w:val="24"/>
        </w:rPr>
      </w:pPr>
      <w:r>
        <w:rPr>
          <w:rFonts w:ascii="標楷體" w:eastAsia="標楷體" w:hAnsi="標楷體"/>
          <w:color w:val="000000"/>
          <w:szCs w:val="24"/>
        </w:rPr>
        <w:t>1.用於新型冠狀病毒疾病，需同時符合下述所有條件：</w:t>
      </w:r>
    </w:p>
    <w:p w14:paraId="533F3FA4" w14:textId="77777777" w:rsidR="00BD776B" w:rsidRDefault="00DF0C24">
      <w:pPr>
        <w:pStyle w:val="af"/>
        <w:ind w:left="806"/>
      </w:pPr>
      <w:r>
        <w:rPr>
          <w:rFonts w:ascii="標楷體" w:eastAsia="標楷體" w:hAnsi="標楷體"/>
          <w:color w:val="000000"/>
        </w:rPr>
        <w:t>(1)</w:t>
      </w:r>
      <w:r>
        <w:rPr>
          <w:rFonts w:ascii="標楷體" w:eastAsia="標楷體" w:hAnsi="標楷體"/>
          <w:szCs w:val="24"/>
        </w:rPr>
        <w:t>住院成年病人。</w:t>
      </w:r>
    </w:p>
    <w:p w14:paraId="3C7949F9" w14:textId="77777777" w:rsidR="00BD776B" w:rsidRDefault="00DF0C24">
      <w:pPr>
        <w:pStyle w:val="af"/>
        <w:ind w:left="1166" w:hanging="360"/>
      </w:pPr>
      <w:r>
        <w:rPr>
          <w:rFonts w:ascii="標楷體" w:eastAsia="標楷體" w:hAnsi="標楷體"/>
          <w:color w:val="000000"/>
        </w:rPr>
        <w:t>(2)</w:t>
      </w:r>
      <w:r>
        <w:rPr>
          <w:rFonts w:ascii="標楷體" w:eastAsia="標楷體" w:hAnsi="標楷體"/>
          <w:szCs w:val="24"/>
        </w:rPr>
        <w:t>與dexamethasone及remdesivir合併用於未使用吸氧治療下SpO2 ≦94%、需使用吸氧治療、高流量氧氣或非侵襲性呼吸器之患者。</w:t>
      </w:r>
    </w:p>
    <w:p w14:paraId="1417B5AB" w14:textId="77777777" w:rsidR="00BD776B" w:rsidRDefault="00DF0C24">
      <w:pPr>
        <w:ind w:left="645"/>
        <w:rPr>
          <w:rFonts w:ascii="標楷體" w:eastAsia="標楷體" w:hAnsi="標楷體"/>
          <w:color w:val="000000"/>
          <w:szCs w:val="24"/>
        </w:rPr>
      </w:pPr>
      <w:r>
        <w:rPr>
          <w:rFonts w:ascii="標楷體" w:eastAsia="標楷體" w:hAnsi="標楷體"/>
          <w:color w:val="000000"/>
          <w:szCs w:val="24"/>
        </w:rPr>
        <w:t>2.每日劑量口服4mg，使用14天或至出院。</w:t>
      </w:r>
    </w:p>
    <w:p w14:paraId="6CA11D49" w14:textId="77777777" w:rsidR="00BD776B" w:rsidRDefault="00DF0C24">
      <w:pPr>
        <w:ind w:left="645"/>
        <w:rPr>
          <w:rFonts w:ascii="標楷體" w:eastAsia="標楷體" w:hAnsi="標楷體"/>
          <w:color w:val="000000"/>
          <w:szCs w:val="24"/>
        </w:rPr>
      </w:pPr>
      <w:r>
        <w:rPr>
          <w:rFonts w:ascii="標楷體" w:eastAsia="標楷體" w:hAnsi="標楷體"/>
          <w:color w:val="000000"/>
          <w:szCs w:val="24"/>
        </w:rPr>
        <w:t>3.排除懷孕婦女。</w:t>
      </w:r>
    </w:p>
    <w:p w14:paraId="7BED7440" w14:textId="77777777" w:rsidR="00BD776B" w:rsidRDefault="00DF0C24">
      <w:pPr>
        <w:rPr>
          <w:rFonts w:ascii="標楷體" w:eastAsia="標楷體" w:hAnsi="標楷體"/>
          <w:color w:val="000000"/>
        </w:rPr>
      </w:pPr>
      <w:r>
        <w:rPr>
          <w:rFonts w:ascii="標楷體" w:eastAsia="標楷體" w:hAnsi="標楷體"/>
          <w:color w:val="000000"/>
        </w:rPr>
        <w:t>8.2.5.Leflunomide (如Arava、Arheuma )：(92/9/1、93/5/1、97/9/1)</w:t>
      </w:r>
    </w:p>
    <w:p w14:paraId="5F91A978" w14:textId="77777777" w:rsidR="00BD776B" w:rsidRDefault="00DF0C24">
      <w:pPr>
        <w:ind w:left="811" w:hanging="245"/>
        <w:rPr>
          <w:rFonts w:ascii="標楷體" w:eastAsia="標楷體" w:hAnsi="標楷體"/>
          <w:color w:val="000000"/>
        </w:rPr>
      </w:pPr>
      <w:r>
        <w:rPr>
          <w:rFonts w:ascii="標楷體" w:eastAsia="標楷體" w:hAnsi="標楷體"/>
          <w:color w:val="000000"/>
        </w:rPr>
        <w:t>1.限治療成人類風濕性關節炎，且用於methotrexate治療無效，或無法忍受methotrexate副作用時使用。</w:t>
      </w:r>
    </w:p>
    <w:p w14:paraId="721F41EC" w14:textId="77777777" w:rsidR="00BD776B" w:rsidRDefault="00DF0C24">
      <w:pPr>
        <w:ind w:left="811" w:hanging="245"/>
        <w:rPr>
          <w:rFonts w:ascii="標楷體" w:eastAsia="標楷體" w:hAnsi="標楷體"/>
          <w:color w:val="000000"/>
        </w:rPr>
      </w:pPr>
      <w:r>
        <w:rPr>
          <w:rFonts w:ascii="標楷體" w:eastAsia="標楷體" w:hAnsi="標楷體"/>
          <w:color w:val="000000"/>
        </w:rPr>
        <w:t>2.限治療具活動性的成人乾癬性關節炎，且於DMARDs（疾病修飾抗風濕病藥物）治療無效後使用。（97/9/1）</w:t>
      </w:r>
    </w:p>
    <w:p w14:paraId="3430F911" w14:textId="77777777" w:rsidR="00BD776B" w:rsidRDefault="00DF0C24">
      <w:pPr>
        <w:rPr>
          <w:rFonts w:ascii="標楷體" w:eastAsia="標楷體" w:hAnsi="標楷體"/>
          <w:color w:val="000000"/>
        </w:rPr>
      </w:pPr>
      <w:r>
        <w:rPr>
          <w:rFonts w:ascii="標楷體" w:eastAsia="標楷體" w:hAnsi="標楷體"/>
          <w:color w:val="000000"/>
        </w:rPr>
        <w:t>8.2.6.短效干擾素、長效干擾素：</w:t>
      </w:r>
    </w:p>
    <w:p w14:paraId="55CFBE3E" w14:textId="77777777" w:rsidR="00BD776B" w:rsidRDefault="00DF0C24">
      <w:pPr>
        <w:ind w:left="672" w:hanging="386"/>
      </w:pPr>
      <w:r>
        <w:rPr>
          <w:rFonts w:ascii="標楷體" w:eastAsia="標楷體" w:hAnsi="標楷體"/>
        </w:rPr>
        <w:t>8.2.6.1.Interferon alpha-2a （如Roferon-A）及interferon alpha-2b（如Intron A）（92/10/1、109/7/1）; peginterferon alfa-2a（如Pegasys）（92/11/1-C肝、94/11/1-B肝、96/10/1、98/11/1、99/5/1-B肝、100/6/1-B肝、102/2/1、105/10/1、106/1/1、106/4/1、109/7/1、110/3/1、111/2/1、111/3/1)：</w:t>
      </w:r>
    </w:p>
    <w:p w14:paraId="1DC22BCA" w14:textId="77777777" w:rsidR="00BD776B" w:rsidRDefault="00DF0C24">
      <w:pPr>
        <w:ind w:left="811" w:hanging="245"/>
        <w:rPr>
          <w:rFonts w:ascii="標楷體" w:eastAsia="標楷體" w:hAnsi="標楷體"/>
          <w:color w:val="000000"/>
        </w:rPr>
      </w:pPr>
      <w:r>
        <w:rPr>
          <w:rFonts w:ascii="標楷體" w:eastAsia="標楷體" w:hAnsi="標楷體"/>
          <w:color w:val="000000"/>
        </w:rPr>
        <w:t>1.用於慢性病毒性B型或慢性病毒性C型肝炎患者之條件如下：</w:t>
      </w:r>
    </w:p>
    <w:p w14:paraId="3D16A100" w14:textId="77777777" w:rsidR="00BD776B" w:rsidRDefault="00DF0C24">
      <w:pPr>
        <w:ind w:left="1049" w:hanging="341"/>
        <w:rPr>
          <w:rFonts w:ascii="標楷體" w:eastAsia="標楷體" w:hAnsi="標楷體"/>
          <w:color w:val="000000"/>
        </w:rPr>
      </w:pPr>
      <w:r>
        <w:rPr>
          <w:rFonts w:ascii="標楷體" w:eastAsia="標楷體" w:hAnsi="標楷體"/>
          <w:color w:val="000000"/>
        </w:rPr>
        <w:t>(1)用於慢性病毒性B型肝炎患者</w:t>
      </w:r>
    </w:p>
    <w:p w14:paraId="282B54D1" w14:textId="77777777" w:rsidR="00BD776B" w:rsidRDefault="00DF0C24">
      <w:pPr>
        <w:ind w:left="1414" w:hanging="336"/>
        <w:rPr>
          <w:rFonts w:ascii="標楷體" w:eastAsia="標楷體" w:hAnsi="標楷體"/>
          <w:color w:val="000000"/>
        </w:rPr>
      </w:pPr>
      <w:r>
        <w:rPr>
          <w:rFonts w:ascii="標楷體" w:eastAsia="標楷體" w:hAnsi="標楷體"/>
          <w:color w:val="000000"/>
        </w:rPr>
        <w:t>Ⅰ.HBsAg (+) 超過六個月及HBeAg (+) 超過三個月，且ALT值大於 (或等於) 正常值上限五倍以上 (ALT≧5X)，且無肝功能代償不全者。療程為12個月。（98/11/1、105/10/1）</w:t>
      </w:r>
    </w:p>
    <w:p w14:paraId="2161AB45" w14:textId="77777777" w:rsidR="00BD776B" w:rsidRDefault="00DF0C24">
      <w:pPr>
        <w:ind w:left="1904" w:hanging="464"/>
        <w:rPr>
          <w:rFonts w:ascii="標楷體" w:eastAsia="標楷體" w:hAnsi="標楷體"/>
          <w:color w:val="000000"/>
        </w:rPr>
      </w:pPr>
      <w:r>
        <w:rPr>
          <w:rFonts w:ascii="標楷體" w:eastAsia="標楷體" w:hAnsi="標楷體"/>
          <w:color w:val="000000"/>
        </w:rPr>
        <w:t>註：肝代償不全條件為prothrombin time延長≧3秒或bilirubin (total)≧2.0mg/dL，prothrombin time延長係以該次檢驗control值為準。</w:t>
      </w:r>
    </w:p>
    <w:p w14:paraId="3AF44BA3" w14:textId="77777777" w:rsidR="00BD776B" w:rsidRDefault="00DF0C24">
      <w:pPr>
        <w:ind w:left="1414" w:hanging="336"/>
        <w:rPr>
          <w:rFonts w:ascii="標楷體" w:eastAsia="標楷體" w:hAnsi="標楷體"/>
          <w:color w:val="000000"/>
        </w:rPr>
      </w:pPr>
      <w:r>
        <w:rPr>
          <w:rFonts w:ascii="標楷體" w:eastAsia="標楷體" w:hAnsi="標楷體"/>
          <w:color w:val="000000"/>
        </w:rPr>
        <w:t>Ⅱ.</w:t>
      </w:r>
      <w:r>
        <w:rPr>
          <w:rFonts w:ascii="標楷體" w:eastAsia="標楷體" w:hAnsi="標楷體"/>
          <w:color w:val="000000"/>
        </w:rPr>
        <w:tab/>
        <w:t>HBsAg (+) 超過六個月及HBeAg (+) 超過三個月，其ALT值介於正常值上限二至五倍之間 (2X≦ALT&lt;5X)，且血清HBV DNA≧20,000 IU/mL或經由肝組織切片（血友病患及類血友病患經照會消化系專科醫師同意後，得不作切片）證實HBcAg陽性並有慢性肝炎變化，無D型或C型肝炎合併感染，且無肝功能代償不全者，可接受藥物治療，療程為12個月。（98/11/1、105/10/1）</w:t>
      </w:r>
    </w:p>
    <w:p w14:paraId="49067053" w14:textId="77777777" w:rsidR="00BD776B" w:rsidRDefault="00DF0C24">
      <w:pPr>
        <w:ind w:left="1414" w:hanging="336"/>
        <w:rPr>
          <w:rFonts w:ascii="標楷體" w:eastAsia="標楷體" w:hAnsi="標楷體"/>
          <w:color w:val="000000"/>
        </w:rPr>
      </w:pPr>
      <w:r>
        <w:rPr>
          <w:rFonts w:ascii="標楷體" w:eastAsia="標楷體" w:hAnsi="標楷體"/>
          <w:color w:val="000000"/>
        </w:rPr>
        <w:t>Ⅲ.</w:t>
      </w:r>
      <w:r>
        <w:rPr>
          <w:rFonts w:ascii="標楷體" w:eastAsia="標楷體" w:hAnsi="標楷體"/>
          <w:color w:val="000000"/>
        </w:rPr>
        <w:tab/>
        <w:t>HBsAg (+) 超過六個月及HBeAg (-) 超過三個月，且ALT值半年有兩次以上 (每次間隔三個月) 大於或等於正常值上限二倍以上 (ALT≧2X)，且血清HBV DNA≧2,000 IU/mL或經由肝組織切片（血友病患及類血友病患經照會消化系專科醫師同意後，得不作切片）證實HBcAg陽性，無D型或C型肝炎合併感染，且無肝功能代償不全之患者。療程為12個月。</w:t>
      </w:r>
      <w:r>
        <w:rPr>
          <w:rFonts w:ascii="標楷體" w:eastAsia="標楷體" w:hAnsi="標楷體"/>
          <w:color w:val="000000"/>
        </w:rPr>
        <w:lastRenderedPageBreak/>
        <w:t>（98/11/1）</w:t>
      </w:r>
    </w:p>
    <w:p w14:paraId="170FFE44" w14:textId="77777777" w:rsidR="00BD776B" w:rsidRDefault="00DF0C24">
      <w:pPr>
        <w:ind w:left="1457" w:hanging="360"/>
        <w:rPr>
          <w:rFonts w:ascii="標楷體" w:eastAsia="標楷體" w:hAnsi="標楷體"/>
        </w:rPr>
      </w:pPr>
      <w:r>
        <w:rPr>
          <w:rFonts w:ascii="標楷體" w:eastAsia="標楷體" w:hAnsi="標楷體"/>
        </w:rPr>
        <w:t>IV.符合上述Ⅰ、Ⅱ、Ⅲ條件納入治療計畫且經完成治療後停藥者：經6個月觀察期，復發且符合上述Ⅰ、Ⅱ、Ⅲ條件者，無肝代償不全者，可使用interferon alpha-2a、interferon alpha-2b、peginterferon alfa-2a再治療（一個療程）；或以lamivudine 100mg、entecavir 0.5mg、telbivudine 600mg、tenofovir disoproxil或tenofovir alafenamide再治療。惟若有肝代償不全者則應儘速使用lamivudine 100mg、entecavir 1.0mg(每日限使用1粒)、telbivudine 600mg、tenofovir disoproxil或tenofovir alafenamide再治療。（98/11/1、99/5/1、100/6/1、102/2/1、106/1/1、110/3/1、111/3/1）</w:t>
      </w:r>
    </w:p>
    <w:p w14:paraId="5B9A2F93" w14:textId="77777777" w:rsidR="00BD776B" w:rsidRDefault="00DF0C24">
      <w:pPr>
        <w:ind w:left="1414" w:hanging="336"/>
        <w:rPr>
          <w:rFonts w:ascii="標楷體" w:eastAsia="標楷體" w:hAnsi="標楷體"/>
        </w:rPr>
      </w:pPr>
      <w:r>
        <w:rPr>
          <w:rFonts w:ascii="標楷體" w:eastAsia="標楷體" w:hAnsi="標楷體"/>
        </w:rPr>
        <w:t>V.符合10.7.3之1及3至4項條件納入治療計畫經完成治療後停藥者：經觀察3至6個月，復發且符合上述Ⅰ、Ⅱ、Ⅲ條件且無肝代償不全者，可使用interferon alpha-2a、interferon alpha-2b或peginterferon alfa-2a再治療（一個療程），或以lamivudine 100mg、entecavir 0.5mg、telbivudine 600mg、tenofovir disoproxil或tenofovir alafenamide再治療。惟若有肝代償不全者，則應儘速使用lamivudine 100mg、entecavir 1.0mg(每日限使用1粒)、telbivudine 600mg、tenofovir disoproxil或tenofovir alafenamide再治療。（98/11/1、100/6/1、102/2/1、106/1/1、110/3/1、111/3/1）</w:t>
      </w:r>
    </w:p>
    <w:p w14:paraId="451FEF12" w14:textId="77777777" w:rsidR="00BD776B" w:rsidRDefault="00DF0C24">
      <w:pPr>
        <w:ind w:left="1484" w:hanging="406"/>
        <w:rPr>
          <w:rFonts w:ascii="標楷體" w:eastAsia="標楷體" w:hAnsi="標楷體"/>
          <w:color w:val="000000"/>
        </w:rPr>
      </w:pPr>
      <w:r>
        <w:rPr>
          <w:rFonts w:ascii="標楷體" w:eastAsia="標楷體" w:hAnsi="標楷體"/>
          <w:color w:val="000000"/>
        </w:rPr>
        <w:t>Ⅵ.上述Ⅳ及Ⅴ停藥復發者再以口服抗病毒藥物治療之給付療程依HBeAg(+)或HBeAg(-)而定：HBeAg(+)病患治療至e抗原轉陰並再給付最多12個月；HBeAg(-)病患治療至少二年，治療期間需檢驗血清HBV DNA，並於檢驗血清HBV DNA連續三次，每次間隔6個月，均檢驗不出HBV DNA時停藥，每次療程至多給付36個月。再次復發時得再接受治療，不限治療次數。（106/1/1、106/4/1）</w:t>
      </w:r>
    </w:p>
    <w:p w14:paraId="7523691E" w14:textId="77777777" w:rsidR="00BD776B" w:rsidRDefault="00DF0C24">
      <w:pPr>
        <w:ind w:left="1049" w:hanging="341"/>
        <w:rPr>
          <w:rFonts w:ascii="標楷體" w:eastAsia="標楷體" w:hAnsi="標楷體"/>
          <w:color w:val="000000"/>
        </w:rPr>
      </w:pPr>
      <w:r>
        <w:rPr>
          <w:rFonts w:ascii="標楷體" w:eastAsia="標楷體" w:hAnsi="標楷體"/>
          <w:color w:val="000000"/>
        </w:rPr>
        <w:t>(2)用於慢性病毒性C型肝炎治療時:</w:t>
      </w:r>
    </w:p>
    <w:p w14:paraId="6A848D18" w14:textId="77777777" w:rsidR="00BD776B" w:rsidRDefault="00DF0C24">
      <w:pPr>
        <w:ind w:left="1414" w:hanging="336"/>
        <w:rPr>
          <w:rFonts w:ascii="標楷體" w:eastAsia="標楷體" w:hAnsi="標楷體"/>
          <w:color w:val="000000"/>
        </w:rPr>
      </w:pPr>
      <w:r>
        <w:rPr>
          <w:rFonts w:ascii="標楷體" w:eastAsia="標楷體" w:hAnsi="標楷體"/>
          <w:color w:val="000000"/>
        </w:rPr>
        <w:t>Ⅰ.應與Ribavirin併用</w:t>
      </w:r>
    </w:p>
    <w:p w14:paraId="7A25D2D1" w14:textId="77777777" w:rsidR="00BD776B" w:rsidRDefault="00DF0C24">
      <w:pPr>
        <w:ind w:left="1414" w:hanging="336"/>
        <w:rPr>
          <w:rFonts w:ascii="標楷體" w:eastAsia="標楷體" w:hAnsi="標楷體"/>
          <w:color w:val="000000"/>
        </w:rPr>
      </w:pPr>
      <w:r>
        <w:rPr>
          <w:rFonts w:ascii="標楷體" w:eastAsia="標楷體" w:hAnsi="標楷體"/>
          <w:color w:val="000000"/>
        </w:rPr>
        <w:t>Ⅱ.限ALT值異常者，且Anti-HCV 與HCV RNA均為陽性，或經由肝組織切片（血友病患及類血友病患經照會消化系專科醫師同意後，得不作切片）以METAVIR system證實輕度纖維化大於或等於F1及肝炎變化，且無肝功能代償不全者。（98/11/1）</w:t>
      </w:r>
    </w:p>
    <w:p w14:paraId="18159ADB" w14:textId="77777777" w:rsidR="00BD776B" w:rsidRDefault="00DF0C24">
      <w:pPr>
        <w:ind w:left="1414" w:hanging="336"/>
        <w:rPr>
          <w:rFonts w:ascii="標楷體" w:eastAsia="標楷體" w:hAnsi="標楷體"/>
          <w:color w:val="000000"/>
        </w:rPr>
      </w:pPr>
      <w:r>
        <w:rPr>
          <w:rFonts w:ascii="標楷體" w:eastAsia="標楷體" w:hAnsi="標楷體"/>
          <w:color w:val="000000"/>
        </w:rPr>
        <w:t>Ⅲ.療程依Viral Kinetics區分如下: （98/11/1）</w:t>
      </w:r>
    </w:p>
    <w:p w14:paraId="0FE29203" w14:textId="77777777" w:rsidR="00BD776B" w:rsidRDefault="00DF0C24">
      <w:pPr>
        <w:ind w:left="1776" w:hanging="377"/>
        <w:rPr>
          <w:rFonts w:ascii="標楷體" w:eastAsia="標楷體" w:hAnsi="標楷體"/>
          <w:color w:val="000000"/>
        </w:rPr>
      </w:pPr>
      <w:r>
        <w:rPr>
          <w:rFonts w:ascii="標楷體" w:eastAsia="標楷體" w:hAnsi="標楷體"/>
          <w:color w:val="000000"/>
        </w:rPr>
        <w:t>a、有RVR (rapid virological response, 快速病毒反應)者，給付治療不超過24週。</w:t>
      </w:r>
    </w:p>
    <w:p w14:paraId="02083763" w14:textId="77777777" w:rsidR="00BD776B" w:rsidRDefault="00DF0C24">
      <w:pPr>
        <w:ind w:left="1776" w:hanging="377"/>
        <w:rPr>
          <w:rFonts w:ascii="標楷體" w:eastAsia="標楷體" w:hAnsi="標楷體"/>
          <w:color w:val="000000"/>
        </w:rPr>
      </w:pPr>
      <w:r>
        <w:rPr>
          <w:rFonts w:ascii="標楷體" w:eastAsia="標楷體" w:hAnsi="標楷體"/>
          <w:color w:val="000000"/>
        </w:rPr>
        <w:t>b、無RVR，但有EVR (early virologic response)者，給付治療48週。</w:t>
      </w:r>
    </w:p>
    <w:p w14:paraId="10419095" w14:textId="77777777" w:rsidR="00BD776B" w:rsidRDefault="00DF0C24">
      <w:pPr>
        <w:ind w:left="1776" w:hanging="377"/>
        <w:rPr>
          <w:rFonts w:ascii="標楷體" w:eastAsia="標楷體" w:hAnsi="標楷體"/>
          <w:color w:val="000000"/>
        </w:rPr>
      </w:pPr>
      <w:r>
        <w:rPr>
          <w:rFonts w:ascii="標楷體" w:eastAsia="標楷體" w:hAnsi="標楷體"/>
          <w:color w:val="000000"/>
        </w:rPr>
        <w:t>c、到第12週未到EVR者，應中止治療，治療期間不超過16週。</w:t>
      </w:r>
    </w:p>
    <w:p w14:paraId="3E545FC6" w14:textId="77777777" w:rsidR="00BD776B" w:rsidRDefault="00DF0C24">
      <w:pPr>
        <w:ind w:left="1776" w:hanging="377"/>
        <w:rPr>
          <w:rFonts w:ascii="標楷體" w:eastAsia="標楷體" w:hAnsi="標楷體"/>
          <w:color w:val="000000"/>
        </w:rPr>
      </w:pPr>
      <w:r>
        <w:rPr>
          <w:rFonts w:ascii="標楷體" w:eastAsia="標楷體" w:hAnsi="標楷體"/>
          <w:color w:val="000000"/>
        </w:rPr>
        <w:t>d、第一次藥物治療24週後復發者，可以給予第二次治療，不超過48週。</w:t>
      </w:r>
    </w:p>
    <w:p w14:paraId="45EB0FE3" w14:textId="77777777" w:rsidR="00BD776B" w:rsidRDefault="00DF0C24">
      <w:pPr>
        <w:ind w:left="1080"/>
        <w:rPr>
          <w:rFonts w:ascii="標楷體" w:eastAsia="標楷體" w:hAnsi="標楷體"/>
          <w:color w:val="000000"/>
        </w:rPr>
      </w:pPr>
      <w:r>
        <w:rPr>
          <w:rFonts w:ascii="標楷體" w:eastAsia="標楷體" w:hAnsi="標楷體"/>
          <w:color w:val="000000"/>
        </w:rPr>
        <w:t>※復發的定義:</w:t>
      </w:r>
    </w:p>
    <w:p w14:paraId="65CD52F3" w14:textId="77777777" w:rsidR="00BD776B" w:rsidRDefault="00DF0C24">
      <w:pPr>
        <w:ind w:left="1301" w:firstLine="1"/>
        <w:rPr>
          <w:rFonts w:ascii="標楷體" w:eastAsia="標楷體" w:hAnsi="標楷體"/>
          <w:color w:val="000000"/>
        </w:rPr>
      </w:pPr>
      <w:r>
        <w:rPr>
          <w:rFonts w:ascii="標楷體" w:eastAsia="標楷體" w:hAnsi="標楷體"/>
          <w:color w:val="000000"/>
        </w:rPr>
        <w:t>治療完成時，血中偵測不到病毒，停藥後血中病毒又再次偵測到。（98/11/1）</w:t>
      </w:r>
    </w:p>
    <w:p w14:paraId="10F42C2A" w14:textId="77777777" w:rsidR="00BD776B" w:rsidRDefault="00DF0C24">
      <w:pPr>
        <w:ind w:left="1049" w:hanging="341"/>
        <w:rPr>
          <w:rFonts w:ascii="標楷體" w:eastAsia="標楷體" w:hAnsi="標楷體"/>
          <w:color w:val="000000"/>
        </w:rPr>
      </w:pPr>
      <w:r>
        <w:rPr>
          <w:rFonts w:ascii="標楷體" w:eastAsia="標楷體" w:hAnsi="標楷體"/>
          <w:color w:val="000000"/>
        </w:rPr>
        <w:t>(3)醫事服務機構及醫師資格：(109/7/1)</w:t>
      </w:r>
    </w:p>
    <w:p w14:paraId="024F12B7" w14:textId="77777777" w:rsidR="00BD776B" w:rsidRDefault="00DF0C24">
      <w:pPr>
        <w:ind w:left="1414" w:hanging="336"/>
        <w:rPr>
          <w:rFonts w:ascii="標楷體" w:eastAsia="標楷體" w:hAnsi="標楷體"/>
          <w:color w:val="000000"/>
        </w:rPr>
      </w:pPr>
      <w:r>
        <w:rPr>
          <w:rFonts w:ascii="標楷體" w:eastAsia="標楷體" w:hAnsi="標楷體"/>
          <w:color w:val="000000"/>
        </w:rPr>
        <w:t>Ⅰ.醫院：</w:t>
      </w:r>
    </w:p>
    <w:p w14:paraId="2E8DA696" w14:textId="77777777" w:rsidR="00BD776B" w:rsidRDefault="00DF0C24">
      <w:pPr>
        <w:ind w:left="1781" w:hanging="341"/>
        <w:rPr>
          <w:rFonts w:ascii="標楷體" w:eastAsia="標楷體" w:hAnsi="標楷體"/>
          <w:color w:val="000000"/>
        </w:rPr>
      </w:pPr>
      <w:r>
        <w:rPr>
          <w:rFonts w:ascii="標楷體" w:eastAsia="標楷體" w:hAnsi="標楷體"/>
          <w:color w:val="000000"/>
        </w:rPr>
        <w:t>i.有消化系內科或消化系兒科專科醫師之醫院。</w:t>
      </w:r>
    </w:p>
    <w:p w14:paraId="0B3C9380" w14:textId="77777777" w:rsidR="00BD776B" w:rsidRDefault="00DF0C24">
      <w:pPr>
        <w:ind w:left="1788" w:hanging="350"/>
        <w:rPr>
          <w:rFonts w:ascii="標楷體" w:eastAsia="標楷體" w:hAnsi="標楷體"/>
          <w:color w:val="000000"/>
        </w:rPr>
      </w:pPr>
      <w:r>
        <w:rPr>
          <w:rFonts w:ascii="標楷體" w:eastAsia="標楷體" w:hAnsi="標楷體"/>
          <w:color w:val="000000"/>
        </w:rPr>
        <w:t>ii.醫師資格為前開醫院之消化系內科專科醫師、消化系兒科專科醫師、</w:t>
      </w:r>
      <w:r>
        <w:rPr>
          <w:rFonts w:ascii="標楷體" w:eastAsia="標楷體" w:hAnsi="標楷體"/>
          <w:color w:val="000000"/>
        </w:rPr>
        <w:lastRenderedPageBreak/>
        <w:t>血液病專科醫師、腫瘤內科專科醫師、癌症相關科醫師及符合器官移植手術資格之專任或兼任專科醫師。</w:t>
      </w:r>
    </w:p>
    <w:p w14:paraId="2DF35929" w14:textId="77777777" w:rsidR="00BD776B" w:rsidRDefault="00DF0C24">
      <w:pPr>
        <w:ind w:left="1908" w:hanging="468"/>
        <w:rPr>
          <w:rFonts w:ascii="標楷體" w:eastAsia="標楷體" w:hAnsi="標楷體"/>
          <w:color w:val="000000"/>
        </w:rPr>
      </w:pPr>
      <w:r>
        <w:rPr>
          <w:rFonts w:ascii="標楷體" w:eastAsia="標楷體" w:hAnsi="標楷體"/>
          <w:color w:val="000000"/>
        </w:rPr>
        <w:t>iii.前開非消化系專科醫師，需先照會消化系專科醫師，惟愛滋病毒感染患者併有B型或C肝炎感染者，得由其照護之感染症內科專科醫師開立處方。</w:t>
      </w:r>
    </w:p>
    <w:p w14:paraId="6BB0548E" w14:textId="77777777" w:rsidR="00BD776B" w:rsidRDefault="00DF0C24">
      <w:pPr>
        <w:ind w:left="1414" w:hanging="336"/>
        <w:rPr>
          <w:rFonts w:ascii="標楷體" w:eastAsia="標楷體" w:hAnsi="標楷體"/>
          <w:color w:val="000000"/>
        </w:rPr>
      </w:pPr>
      <w:r>
        <w:rPr>
          <w:rFonts w:ascii="標楷體" w:eastAsia="標楷體" w:hAnsi="標楷體"/>
          <w:color w:val="000000"/>
        </w:rPr>
        <w:t>Ⅱ.基層院所：</w:t>
      </w:r>
    </w:p>
    <w:p w14:paraId="66A8C38B" w14:textId="77777777" w:rsidR="00BD776B" w:rsidRDefault="00DF0C24">
      <w:pPr>
        <w:ind w:left="1781" w:hanging="341"/>
        <w:rPr>
          <w:rFonts w:ascii="標楷體" w:eastAsia="標楷體" w:hAnsi="標楷體"/>
          <w:color w:val="000000"/>
        </w:rPr>
      </w:pPr>
      <w:r>
        <w:rPr>
          <w:rFonts w:ascii="標楷體" w:eastAsia="標楷體" w:hAnsi="標楷體"/>
          <w:color w:val="000000"/>
        </w:rPr>
        <w:t>i.須具有消化系內科或消化系兒科專任專科醫師之基層院所。</w:t>
      </w:r>
    </w:p>
    <w:p w14:paraId="7362A45A" w14:textId="77777777" w:rsidR="00BD776B" w:rsidRDefault="00DF0C24">
      <w:pPr>
        <w:ind w:left="1788" w:hanging="350"/>
        <w:rPr>
          <w:rFonts w:ascii="標楷體" w:eastAsia="標楷體" w:hAnsi="標楷體"/>
        </w:rPr>
      </w:pPr>
      <w:r>
        <w:rPr>
          <w:rFonts w:ascii="標楷體" w:eastAsia="標楷體" w:hAnsi="標楷體"/>
        </w:rPr>
        <w:t>ii.肝炎治療醫療資源不足地區及山地離島地區，具有消化系內科或消化系兒科兼任專科醫師之基層院所，亦得開立處方，惟離島地區(如金門縣、連江縣、澎湖縣、台東縣蘭嶼鄉、台東縣綠島鄉)內科醫師之基層院所，亦得開立處方。</w:t>
      </w:r>
    </w:p>
    <w:p w14:paraId="2A481060" w14:textId="77777777" w:rsidR="00BD776B" w:rsidRDefault="00DF0C24">
      <w:pPr>
        <w:ind w:left="1049" w:hanging="341"/>
        <w:rPr>
          <w:rFonts w:ascii="標楷體" w:eastAsia="標楷體" w:hAnsi="標楷體"/>
        </w:rPr>
      </w:pPr>
      <w:r>
        <w:rPr>
          <w:rFonts w:ascii="標楷體" w:eastAsia="標楷體" w:hAnsi="標楷體"/>
        </w:rPr>
        <w:t>◎附表三十四：肝炎治療醫療資源不足地區及山地離島地區一覽表</w:t>
      </w:r>
    </w:p>
    <w:p w14:paraId="29A8FA22" w14:textId="77777777" w:rsidR="00BD776B" w:rsidRDefault="00DF0C24">
      <w:pPr>
        <w:ind w:left="811" w:hanging="245"/>
        <w:rPr>
          <w:rFonts w:ascii="標楷體" w:eastAsia="標楷體" w:hAnsi="標楷體"/>
        </w:rPr>
      </w:pPr>
      <w:r>
        <w:rPr>
          <w:rFonts w:ascii="標楷體" w:eastAsia="標楷體" w:hAnsi="標楷體"/>
        </w:rPr>
        <w:t>2.限用於下列癌瘤病患「限interferon alpha-2a（如Roferon-A）及interferon alpha-2b（如Intron A）」（93/4/1、97/8/1、111/2/1）:</w:t>
      </w:r>
    </w:p>
    <w:p w14:paraId="5290BA39" w14:textId="77777777" w:rsidR="00BD776B" w:rsidRDefault="00DF0C24">
      <w:pPr>
        <w:ind w:left="1049" w:hanging="341"/>
        <w:rPr>
          <w:rFonts w:ascii="標楷體" w:eastAsia="標楷體" w:hAnsi="標楷體"/>
        </w:rPr>
      </w:pPr>
      <w:r>
        <w:rPr>
          <w:rFonts w:ascii="標楷體" w:eastAsia="標楷體" w:hAnsi="標楷體"/>
        </w:rPr>
        <w:t>(1)Chronic myelogenous leukemia</w:t>
      </w:r>
    </w:p>
    <w:p w14:paraId="15450EAD" w14:textId="77777777" w:rsidR="00BD776B" w:rsidRDefault="00DF0C24">
      <w:pPr>
        <w:ind w:left="1049" w:hanging="341"/>
        <w:rPr>
          <w:rFonts w:ascii="標楷體" w:eastAsia="標楷體" w:hAnsi="標楷體"/>
        </w:rPr>
      </w:pPr>
      <w:r>
        <w:rPr>
          <w:rFonts w:ascii="標楷體" w:eastAsia="標楷體" w:hAnsi="標楷體"/>
        </w:rPr>
        <w:t>(2)Multiple myeloma</w:t>
      </w:r>
    </w:p>
    <w:p w14:paraId="1550C0E4" w14:textId="77777777" w:rsidR="00BD776B" w:rsidRDefault="00DF0C24">
      <w:pPr>
        <w:ind w:left="1049" w:hanging="341"/>
        <w:rPr>
          <w:rFonts w:ascii="標楷體" w:eastAsia="標楷體" w:hAnsi="標楷體"/>
        </w:rPr>
      </w:pPr>
      <w:r>
        <w:rPr>
          <w:rFonts w:ascii="標楷體" w:eastAsia="標楷體" w:hAnsi="標楷體"/>
        </w:rPr>
        <w:t>(3)Hairy cell leukemia</w:t>
      </w:r>
    </w:p>
    <w:p w14:paraId="5604AD97" w14:textId="77777777" w:rsidR="00BD776B" w:rsidRDefault="00DF0C24">
      <w:pPr>
        <w:ind w:left="1049" w:hanging="341"/>
        <w:rPr>
          <w:rFonts w:ascii="標楷體" w:eastAsia="標楷體" w:hAnsi="標楷體"/>
        </w:rPr>
      </w:pPr>
      <w:r>
        <w:rPr>
          <w:rFonts w:ascii="標楷體" w:eastAsia="標楷體" w:hAnsi="標楷體"/>
        </w:rPr>
        <w:t>(4)Ｔ細胞淋巴瘤病例(限a-2A、2B type) (87/4/1)。</w:t>
      </w:r>
    </w:p>
    <w:p w14:paraId="0C844DA1" w14:textId="77777777" w:rsidR="00BD776B" w:rsidRDefault="00DF0C24">
      <w:pPr>
        <w:ind w:left="1049" w:hanging="341"/>
        <w:rPr>
          <w:rFonts w:ascii="標楷體" w:eastAsia="標楷體" w:hAnsi="標楷體"/>
        </w:rPr>
      </w:pPr>
      <w:r>
        <w:rPr>
          <w:rFonts w:ascii="標楷體" w:eastAsia="標楷體" w:hAnsi="標楷體"/>
        </w:rPr>
        <w:t>(5)卡波西氏肉瘤（Kaposi’s sarcoma）病例使用（87/4/1）。</w:t>
      </w:r>
    </w:p>
    <w:p w14:paraId="4AA2CFD0" w14:textId="77777777" w:rsidR="00BD776B" w:rsidRDefault="00DF0C24">
      <w:pPr>
        <w:ind w:left="1049" w:hanging="341"/>
      </w:pPr>
      <w:r>
        <w:rPr>
          <w:rFonts w:ascii="標楷體" w:eastAsia="標楷體" w:hAnsi="標楷體"/>
        </w:rPr>
        <w:t>(6)</w:t>
      </w:r>
      <w:r>
        <w:t xml:space="preserve"> </w:t>
      </w:r>
      <w:r>
        <w:rPr>
          <w:rFonts w:ascii="標楷體" w:eastAsia="標楷體" w:hAnsi="標楷體"/>
        </w:rPr>
        <w:t>70歲以下，罹患中、晚期之低度非何杰金氏淋巴瘤(low grade non-Hodgkin’s lymphoma)，且具有高腫瘤負荷(high tumor burden)之病患。(89/1/1、111/2/1)</w:t>
      </w:r>
    </w:p>
    <w:p w14:paraId="630B2C7C" w14:textId="77777777" w:rsidR="00BD776B" w:rsidRDefault="00DF0C24">
      <w:pPr>
        <w:ind w:left="1020"/>
        <w:rPr>
          <w:rFonts w:ascii="標楷體" w:eastAsia="標楷體" w:hAnsi="標楷體"/>
        </w:rPr>
      </w:pPr>
      <w:r>
        <w:rPr>
          <w:rFonts w:ascii="標楷體" w:eastAsia="標楷體" w:hAnsi="標楷體"/>
        </w:rPr>
        <w:t>(「高腫瘤負荷」定義：第三或第四期病患；或血清LDH &gt; 350 IU/L；或腫塊大於十公分以上。)</w:t>
      </w:r>
    </w:p>
    <w:p w14:paraId="3EB68DA7" w14:textId="77777777" w:rsidR="00BD776B" w:rsidRDefault="00DF0C24">
      <w:pPr>
        <w:ind w:left="1049" w:hanging="341"/>
        <w:rPr>
          <w:rFonts w:ascii="標楷體" w:eastAsia="標楷體" w:hAnsi="標楷體"/>
        </w:rPr>
      </w:pPr>
      <w:r>
        <w:rPr>
          <w:rFonts w:ascii="標楷體" w:eastAsia="標楷體" w:hAnsi="標楷體"/>
        </w:rPr>
        <w:t>(7)限使用於晚期不能手術切除或轉移性腎細胞癌之病患(限a-2A type)（89/1/1）</w:t>
      </w:r>
    </w:p>
    <w:p w14:paraId="7C651C20" w14:textId="77777777" w:rsidR="00BD776B" w:rsidRDefault="00DF0C24">
      <w:pPr>
        <w:ind w:left="1049" w:hanging="341"/>
        <w:rPr>
          <w:rFonts w:ascii="標楷體" w:eastAsia="標楷體" w:hAnsi="標楷體"/>
        </w:rPr>
      </w:pPr>
      <w:r>
        <w:rPr>
          <w:rFonts w:ascii="標楷體" w:eastAsia="標楷體" w:hAnsi="標楷體"/>
        </w:rPr>
        <w:t>(8)kasabach-Merritt症候群。（93/4/1）</w:t>
      </w:r>
    </w:p>
    <w:p w14:paraId="4DF4FD5F" w14:textId="77777777" w:rsidR="00BD776B" w:rsidRDefault="00DF0C24">
      <w:pPr>
        <w:ind w:left="1049" w:hanging="341"/>
        <w:rPr>
          <w:rFonts w:ascii="標楷體" w:eastAsia="標楷體" w:hAnsi="標楷體"/>
        </w:rPr>
      </w:pPr>
      <w:r>
        <w:rPr>
          <w:rFonts w:ascii="標楷體" w:eastAsia="標楷體" w:hAnsi="標楷體"/>
        </w:rPr>
        <w:t>(9)用於一般療法無法治療的Lymphangioma。（93/4/1、97/8/1）</w:t>
      </w:r>
    </w:p>
    <w:p w14:paraId="4AA90831" w14:textId="77777777" w:rsidR="00BD776B" w:rsidRDefault="00DF0C24">
      <w:pPr>
        <w:ind w:left="672" w:hanging="386"/>
        <w:rPr>
          <w:rFonts w:ascii="標楷體" w:eastAsia="標楷體" w:hAnsi="標楷體"/>
        </w:rPr>
      </w:pPr>
      <w:r>
        <w:rPr>
          <w:rFonts w:ascii="標楷體" w:eastAsia="標楷體" w:hAnsi="標楷體"/>
        </w:rPr>
        <w:t>8.2.6.2.Peginterferon alpha-2b（如Peg-Intron）（92/10/1、94/10/1、109/7/1）；interferon alfacon-1（如Infergen）（93/7/1、94/10/1、98/11/1、109/7/1）</w:t>
      </w:r>
    </w:p>
    <w:p w14:paraId="51AC221B" w14:textId="77777777" w:rsidR="00BD776B" w:rsidRDefault="00DF0C24">
      <w:pPr>
        <w:ind w:left="811" w:hanging="245"/>
        <w:rPr>
          <w:rFonts w:ascii="標楷體" w:eastAsia="標楷體" w:hAnsi="標楷體"/>
        </w:rPr>
      </w:pPr>
      <w:r>
        <w:rPr>
          <w:rFonts w:ascii="標楷體" w:eastAsia="標楷體" w:hAnsi="標楷體"/>
        </w:rPr>
        <w:t>1.限用於下列慢性病毒性C型肝炎患者，且應與ribavirin併用:</w:t>
      </w:r>
    </w:p>
    <w:p w14:paraId="53A54BA3" w14:textId="77777777" w:rsidR="00BD776B" w:rsidRDefault="00DF0C24">
      <w:pPr>
        <w:ind w:left="1056" w:hanging="348"/>
        <w:rPr>
          <w:rFonts w:ascii="標楷體" w:eastAsia="標楷體" w:hAnsi="標楷體"/>
        </w:rPr>
      </w:pPr>
      <w:r>
        <w:rPr>
          <w:rFonts w:ascii="標楷體" w:eastAsia="標楷體" w:hAnsi="標楷體"/>
        </w:rPr>
        <w:t>(1)限ALT值異常者，且Anti-HCV 與HCV RNA 均為陽性，或經由肝組織切片（血友病患及類血友病患經照會消化系專科醫師同意後，得不作切片），以METAVIR system證實輕度纖維化大於或等於F1及肝炎變化，且無肝功能代償不全者。（98/11/1）</w:t>
      </w:r>
    </w:p>
    <w:p w14:paraId="0753804A" w14:textId="77777777" w:rsidR="00BD776B" w:rsidRDefault="00DF0C24">
      <w:pPr>
        <w:ind w:left="1056" w:hanging="348"/>
        <w:rPr>
          <w:rFonts w:ascii="標楷體" w:eastAsia="標楷體" w:hAnsi="標楷體"/>
        </w:rPr>
      </w:pPr>
      <w:r>
        <w:rPr>
          <w:rFonts w:ascii="標楷體" w:eastAsia="標楷體" w:hAnsi="標楷體"/>
        </w:rPr>
        <w:t>(2)療程依Viral kinetics區分如下: （98/11/1）</w:t>
      </w:r>
    </w:p>
    <w:p w14:paraId="296D42B8" w14:textId="77777777" w:rsidR="00BD776B" w:rsidRDefault="00DF0C24">
      <w:pPr>
        <w:ind w:left="1440" w:hanging="362"/>
        <w:rPr>
          <w:rFonts w:ascii="標楷體" w:eastAsia="標楷體" w:hAnsi="標楷體"/>
        </w:rPr>
      </w:pPr>
      <w:r>
        <w:rPr>
          <w:rFonts w:ascii="標楷體" w:eastAsia="標楷體" w:hAnsi="標楷體"/>
        </w:rPr>
        <w:t>Ⅰ.有RVR (rapid virological response, 快速病毒反應)者，給付治療不超過24週。</w:t>
      </w:r>
    </w:p>
    <w:p w14:paraId="5FA54A49" w14:textId="77777777" w:rsidR="00BD776B" w:rsidRDefault="00DF0C24">
      <w:pPr>
        <w:ind w:left="1414" w:hanging="336"/>
        <w:rPr>
          <w:rFonts w:ascii="標楷體" w:eastAsia="標楷體" w:hAnsi="標楷體"/>
        </w:rPr>
      </w:pPr>
      <w:r>
        <w:rPr>
          <w:rFonts w:ascii="標楷體" w:eastAsia="標楷體" w:hAnsi="標楷體"/>
        </w:rPr>
        <w:t>Ⅱ.無RVR，但有EVR (early virologic response)者，給付治療48週。</w:t>
      </w:r>
    </w:p>
    <w:p w14:paraId="631FAA42" w14:textId="77777777" w:rsidR="00BD776B" w:rsidRDefault="00DF0C24">
      <w:pPr>
        <w:ind w:left="1414" w:hanging="336"/>
        <w:rPr>
          <w:rFonts w:ascii="標楷體" w:eastAsia="標楷體" w:hAnsi="標楷體"/>
        </w:rPr>
      </w:pPr>
      <w:r>
        <w:rPr>
          <w:rFonts w:ascii="標楷體" w:eastAsia="標楷體" w:hAnsi="標楷體"/>
        </w:rPr>
        <w:t>Ⅲ.到第12週未到EVR者，應中止治療，治療期間不超過16週。</w:t>
      </w:r>
    </w:p>
    <w:p w14:paraId="50D39AB7" w14:textId="77777777" w:rsidR="00BD776B" w:rsidRDefault="00DF0C24">
      <w:pPr>
        <w:ind w:left="1414" w:hanging="336"/>
        <w:rPr>
          <w:rFonts w:ascii="標楷體" w:eastAsia="標楷體" w:hAnsi="標楷體"/>
        </w:rPr>
      </w:pPr>
      <w:r>
        <w:rPr>
          <w:rFonts w:ascii="標楷體" w:eastAsia="標楷體" w:hAnsi="標楷體"/>
        </w:rPr>
        <w:t>Ⅳ.第一次治療24週後復發者，可以給予第二次治療，給付不超過48週。</w:t>
      </w:r>
    </w:p>
    <w:p w14:paraId="60E3382B" w14:textId="77777777" w:rsidR="00BD776B" w:rsidRDefault="00DF0C24">
      <w:pPr>
        <w:ind w:left="811" w:hanging="245"/>
        <w:rPr>
          <w:rFonts w:ascii="標楷體" w:eastAsia="標楷體" w:hAnsi="標楷體"/>
        </w:rPr>
      </w:pPr>
      <w:r>
        <w:rPr>
          <w:rFonts w:ascii="標楷體" w:eastAsia="標楷體" w:hAnsi="標楷體"/>
        </w:rPr>
        <w:t>2.醫事服務機構及醫師資格：(109/7/1)</w:t>
      </w:r>
    </w:p>
    <w:p w14:paraId="07EEB3B9" w14:textId="77777777" w:rsidR="00BD776B" w:rsidRDefault="00DF0C24">
      <w:pPr>
        <w:ind w:left="1056" w:hanging="348"/>
        <w:rPr>
          <w:rFonts w:ascii="標楷體" w:eastAsia="標楷體" w:hAnsi="標楷體"/>
        </w:rPr>
      </w:pPr>
      <w:r>
        <w:rPr>
          <w:rFonts w:ascii="標楷體" w:eastAsia="標楷體" w:hAnsi="標楷體"/>
        </w:rPr>
        <w:t>(1)醫院：</w:t>
      </w:r>
    </w:p>
    <w:p w14:paraId="6B717B79" w14:textId="77777777" w:rsidR="00BD776B" w:rsidRDefault="00DF0C24">
      <w:pPr>
        <w:ind w:left="1440" w:hanging="362"/>
        <w:rPr>
          <w:rFonts w:ascii="標楷體" w:eastAsia="標楷體" w:hAnsi="標楷體"/>
        </w:rPr>
      </w:pPr>
      <w:r>
        <w:rPr>
          <w:rFonts w:ascii="標楷體" w:eastAsia="標楷體" w:hAnsi="標楷體"/>
        </w:rPr>
        <w:lastRenderedPageBreak/>
        <w:t>Ⅰ.有消化系內科或消化系兒科專科醫師之醫院。</w:t>
      </w:r>
    </w:p>
    <w:p w14:paraId="7B9AC4CB" w14:textId="77777777" w:rsidR="00BD776B" w:rsidRDefault="00DF0C24">
      <w:pPr>
        <w:ind w:left="1440" w:hanging="362"/>
        <w:rPr>
          <w:rFonts w:ascii="標楷體" w:eastAsia="標楷體" w:hAnsi="標楷體"/>
        </w:rPr>
      </w:pPr>
      <w:r>
        <w:rPr>
          <w:rFonts w:ascii="標楷體" w:eastAsia="標楷體" w:hAnsi="標楷體"/>
        </w:rPr>
        <w:t>Ⅱ.醫師資格為前開醫院之消化系內科專科醫師、消化系兒科專科醫師、血液病專科醫師、腫瘤內科專科醫師、癌症相關科醫師及符合器官移植手術資格之專任或兼任專科醫師。</w:t>
      </w:r>
    </w:p>
    <w:p w14:paraId="7B7C990D" w14:textId="77777777" w:rsidR="00BD776B" w:rsidRDefault="00DF0C24">
      <w:pPr>
        <w:ind w:left="1440" w:hanging="362"/>
        <w:rPr>
          <w:rFonts w:ascii="標楷體" w:eastAsia="標楷體" w:hAnsi="標楷體"/>
        </w:rPr>
      </w:pPr>
      <w:r>
        <w:rPr>
          <w:rFonts w:ascii="標楷體" w:eastAsia="標楷體" w:hAnsi="標楷體"/>
        </w:rPr>
        <w:t>Ⅲ.前開非消化系專科醫師，需先照會消化系專科醫師，惟愛滋病毒感染患者併有B型或C肝炎感染者，得由其照護之感染症內科專科醫師開立處方。</w:t>
      </w:r>
    </w:p>
    <w:p w14:paraId="76088AEB" w14:textId="77777777" w:rsidR="00BD776B" w:rsidRDefault="00DF0C24">
      <w:pPr>
        <w:ind w:left="1056" w:hanging="348"/>
        <w:rPr>
          <w:rFonts w:ascii="標楷體" w:eastAsia="標楷體" w:hAnsi="標楷體"/>
        </w:rPr>
      </w:pPr>
      <w:r>
        <w:rPr>
          <w:rFonts w:ascii="標楷體" w:eastAsia="標楷體" w:hAnsi="標楷體"/>
        </w:rPr>
        <w:t>(2)基層院所：</w:t>
      </w:r>
    </w:p>
    <w:p w14:paraId="40C65BAC" w14:textId="77777777" w:rsidR="00BD776B" w:rsidRDefault="00DF0C24">
      <w:pPr>
        <w:ind w:left="1440" w:hanging="362"/>
        <w:rPr>
          <w:rFonts w:ascii="標楷體" w:eastAsia="標楷體" w:hAnsi="標楷體"/>
        </w:rPr>
      </w:pPr>
      <w:r>
        <w:rPr>
          <w:rFonts w:ascii="標楷體" w:eastAsia="標楷體" w:hAnsi="標楷體"/>
        </w:rPr>
        <w:t>Ⅰ.須具有消化系內科或消化系兒科專任專科醫師之基層院所。</w:t>
      </w:r>
    </w:p>
    <w:p w14:paraId="14B7AA88" w14:textId="77777777" w:rsidR="00BD776B" w:rsidRDefault="00DF0C24">
      <w:pPr>
        <w:ind w:left="1440" w:hanging="362"/>
        <w:rPr>
          <w:rFonts w:ascii="標楷體" w:eastAsia="標楷體" w:hAnsi="標楷體"/>
        </w:rPr>
      </w:pPr>
      <w:r>
        <w:rPr>
          <w:rFonts w:ascii="標楷體" w:eastAsia="標楷體" w:hAnsi="標楷體"/>
        </w:rPr>
        <w:t>Ⅱ.肝炎治療醫療資源不足地區及山地離島地區，具有消化系內科或消化系兒科兼任專科醫師之基層院所，亦得開立處方，惟離島地區(如金門縣、連江縣、澎湖縣、台東縣蘭嶼鄉、台東縣綠島鄉)內科醫師之基層院所，亦得開立處方。</w:t>
      </w:r>
    </w:p>
    <w:p w14:paraId="6515DD19" w14:textId="77777777" w:rsidR="00BD776B" w:rsidRDefault="00DF0C24">
      <w:pPr>
        <w:ind w:left="811" w:hanging="245"/>
        <w:rPr>
          <w:rFonts w:ascii="標楷體" w:eastAsia="標楷體" w:hAnsi="標楷體"/>
        </w:rPr>
      </w:pPr>
      <w:r>
        <w:rPr>
          <w:rFonts w:ascii="標楷體" w:eastAsia="標楷體" w:hAnsi="標楷體"/>
        </w:rPr>
        <w:t>◎附表三十四：肝炎治療醫療資源不足地區及山地離島地區一覽表</w:t>
      </w:r>
    </w:p>
    <w:p w14:paraId="12D0030B" w14:textId="77777777" w:rsidR="00BD776B" w:rsidRDefault="00DF0C24">
      <w:pPr>
        <w:pStyle w:val="Default"/>
      </w:pPr>
      <w:r>
        <w:rPr>
          <w:rFonts w:ascii="標楷體" w:eastAsia="標楷體" w:hAnsi="標楷體"/>
        </w:rPr>
        <w:t>8.2.7.</w:t>
      </w:r>
      <w:r>
        <w:rPr>
          <w:rFonts w:ascii="標楷體" w:eastAsia="標楷體" w:hAnsi="標楷體"/>
          <w:kern w:val="3"/>
          <w:szCs w:val="22"/>
        </w:rPr>
        <w:t>Rituximab注射劑（如Mabthera，不同劑型之適用範圍需符合藥品許可證登載之適應症)：用於類風濕性關節炎之成人治療部分（97/11/1、99/2/1、101/7/1、102/1/1、102/4/1、106/9/1、109/11/1）</w:t>
      </w:r>
    </w:p>
    <w:p w14:paraId="5111733E" w14:textId="77777777" w:rsidR="00BD776B" w:rsidRDefault="00DF0C24">
      <w:pPr>
        <w:ind w:left="811" w:hanging="245"/>
      </w:pPr>
      <w:r>
        <w:rPr>
          <w:rFonts w:ascii="標楷體" w:eastAsia="標楷體" w:hAnsi="標楷體"/>
          <w:color w:val="000000"/>
        </w:rPr>
        <w:t>1.用於類風濕性關節炎之成人治療部分：(109/11/1）</w:t>
      </w:r>
    </w:p>
    <w:p w14:paraId="257EFED9" w14:textId="77777777" w:rsidR="00BD776B" w:rsidRDefault="00DF0C24">
      <w:pPr>
        <w:ind w:left="991" w:hanging="245"/>
        <w:rPr>
          <w:rFonts w:ascii="標楷體" w:eastAsia="標楷體" w:hAnsi="標楷體"/>
          <w:color w:val="000000"/>
        </w:rPr>
      </w:pPr>
      <w:r>
        <w:rPr>
          <w:rFonts w:ascii="標楷體" w:eastAsia="標楷體" w:hAnsi="標楷體"/>
          <w:color w:val="000000"/>
        </w:rPr>
        <w:t>(1)給付條件：</w:t>
      </w:r>
    </w:p>
    <w:p w14:paraId="14037ED6" w14:textId="77777777" w:rsidR="00BD776B" w:rsidRDefault="00DF0C24">
      <w:pPr>
        <w:ind w:left="1416" w:hanging="386"/>
        <w:rPr>
          <w:rFonts w:ascii="標楷體" w:eastAsia="標楷體" w:hAnsi="標楷體"/>
          <w:color w:val="000000"/>
        </w:rPr>
      </w:pPr>
      <w:r>
        <w:rPr>
          <w:rFonts w:ascii="標楷體" w:eastAsia="標楷體" w:hAnsi="標楷體"/>
          <w:color w:val="000000"/>
        </w:rPr>
        <w:t>Ⅰ.限用於曾經接受抗腫瘤壞死因子 (如etanercept、adalimumab或golimumab等) 治療，但未達療效，或無法耐受的成人活動性類風濕性關節炎患者。（101/7/1）</w:t>
      </w:r>
    </w:p>
    <w:p w14:paraId="65258D77" w14:textId="77777777" w:rsidR="00BD776B" w:rsidRDefault="00DF0C24">
      <w:pPr>
        <w:ind w:left="1699" w:hanging="245"/>
        <w:rPr>
          <w:rFonts w:ascii="標楷體" w:eastAsia="標楷體" w:hAnsi="標楷體"/>
          <w:color w:val="000000"/>
        </w:rPr>
      </w:pPr>
      <w:r>
        <w:rPr>
          <w:rFonts w:ascii="標楷體" w:eastAsia="標楷體" w:hAnsi="標楷體"/>
          <w:color w:val="000000"/>
        </w:rPr>
        <w:t>i.Etanercept、adalimumab或golimumab的療效：經治療後評估DAS28總積分下降程度大於等於(≧)1.2，或DAS28總積分小於3.2者。（101/7/1）</w:t>
      </w:r>
    </w:p>
    <w:p w14:paraId="6CB0F122" w14:textId="77777777" w:rsidR="00BD776B" w:rsidRDefault="00DF0C24">
      <w:pPr>
        <w:ind w:left="1699" w:hanging="386"/>
        <w:rPr>
          <w:rFonts w:ascii="標楷體" w:eastAsia="標楷體" w:hAnsi="標楷體"/>
          <w:color w:val="000000"/>
        </w:rPr>
      </w:pPr>
      <w:r>
        <w:rPr>
          <w:rFonts w:ascii="標楷體" w:eastAsia="標楷體" w:hAnsi="標楷體"/>
          <w:color w:val="000000"/>
        </w:rPr>
        <w:t>ii.無法耐受的定義：無法忍受etanercept、adalimumab或golimumab治療的副作用。（101/7/1）</w:t>
      </w:r>
    </w:p>
    <w:p w14:paraId="5B1F9C90" w14:textId="77777777" w:rsidR="00BD776B" w:rsidRDefault="00DF0C24">
      <w:pPr>
        <w:ind w:left="1416" w:hanging="386"/>
        <w:rPr>
          <w:rFonts w:ascii="標楷體" w:eastAsia="標楷體" w:hAnsi="標楷體"/>
          <w:color w:val="000000"/>
        </w:rPr>
      </w:pPr>
      <w:r>
        <w:rPr>
          <w:rFonts w:ascii="標楷體" w:eastAsia="標楷體" w:hAnsi="標楷體"/>
          <w:color w:val="000000"/>
        </w:rPr>
        <w:t>Ⅱ.需與methotrexate併用（但對methotrexate過敏，或methotrexate引起嚴重血球低下、肝毒性及其它嚴重副作用者除外）。</w:t>
      </w:r>
    </w:p>
    <w:p w14:paraId="66C619DA" w14:textId="77777777" w:rsidR="00BD776B" w:rsidRDefault="00DF0C24">
      <w:pPr>
        <w:ind w:left="1275" w:hanging="245"/>
        <w:rPr>
          <w:rFonts w:ascii="標楷體" w:eastAsia="標楷體" w:hAnsi="標楷體"/>
          <w:color w:val="000000"/>
        </w:rPr>
      </w:pPr>
      <w:r>
        <w:rPr>
          <w:rFonts w:ascii="標楷體" w:eastAsia="標楷體" w:hAnsi="標楷體"/>
          <w:color w:val="000000"/>
        </w:rPr>
        <w:t>Ⅲ.給予重複療程之時機：</w:t>
      </w:r>
    </w:p>
    <w:p w14:paraId="58DA9C5B" w14:textId="77777777" w:rsidR="00BD776B" w:rsidRDefault="00DF0C24">
      <w:pPr>
        <w:ind w:left="1699" w:hanging="245"/>
        <w:rPr>
          <w:rFonts w:ascii="標楷體" w:eastAsia="標楷體" w:hAnsi="標楷體"/>
          <w:color w:val="000000"/>
        </w:rPr>
      </w:pPr>
      <w:r>
        <w:rPr>
          <w:rFonts w:ascii="標楷體" w:eastAsia="標楷體" w:hAnsi="標楷體"/>
          <w:color w:val="000000"/>
        </w:rPr>
        <w:t>i.與前次治療相隔24週或以上，且</w:t>
      </w:r>
    </w:p>
    <w:p w14:paraId="55AD38EE" w14:textId="77777777" w:rsidR="00BD776B" w:rsidRDefault="00DF0C24">
      <w:pPr>
        <w:ind w:left="1699" w:hanging="386"/>
        <w:rPr>
          <w:rFonts w:ascii="標楷體" w:eastAsia="標楷體" w:hAnsi="標楷體"/>
          <w:color w:val="000000"/>
        </w:rPr>
      </w:pPr>
      <w:r>
        <w:rPr>
          <w:rFonts w:ascii="標楷體" w:eastAsia="標楷體" w:hAnsi="標楷體"/>
          <w:color w:val="000000"/>
        </w:rPr>
        <w:t>ii.符合下列給藥時機規定： DAS28總積分 ≧ 3.2，或與前次接受rituximab治療後第21週比較，DAS28總積分上升 ≧ 0.6。</w:t>
      </w:r>
    </w:p>
    <w:p w14:paraId="716DF58C" w14:textId="77777777" w:rsidR="00BD776B" w:rsidRDefault="00DF0C24">
      <w:pPr>
        <w:ind w:left="1416" w:hanging="389"/>
        <w:rPr>
          <w:rFonts w:ascii="標楷體" w:eastAsia="標楷體" w:hAnsi="標楷體"/>
          <w:color w:val="000000"/>
        </w:rPr>
      </w:pPr>
      <w:r>
        <w:rPr>
          <w:rFonts w:ascii="標楷體" w:eastAsia="標楷體" w:hAnsi="標楷體"/>
          <w:color w:val="000000"/>
        </w:rPr>
        <w:t>Ⅳ.每次療程為靜脈注射500毫克～1,000毫克，兩週後相同劑量再注射一次，共注射兩次。</w:t>
      </w:r>
    </w:p>
    <w:p w14:paraId="2271FC10" w14:textId="77777777" w:rsidR="00BD776B" w:rsidRDefault="00DF0C24">
      <w:pPr>
        <w:ind w:left="991" w:hanging="245"/>
        <w:rPr>
          <w:rFonts w:ascii="標楷體" w:eastAsia="標楷體" w:hAnsi="標楷體"/>
          <w:color w:val="000000"/>
        </w:rPr>
      </w:pPr>
      <w:r>
        <w:rPr>
          <w:rFonts w:ascii="標楷體" w:eastAsia="標楷體" w:hAnsi="標楷體"/>
          <w:color w:val="000000"/>
        </w:rPr>
        <w:t>(2)限內科專科醫師且具有風濕或免疫專科醫師證書者處方。</w:t>
      </w:r>
    </w:p>
    <w:p w14:paraId="09DFC390" w14:textId="77777777" w:rsidR="00BD776B" w:rsidRDefault="00DF0C24">
      <w:pPr>
        <w:ind w:left="991" w:hanging="245"/>
        <w:rPr>
          <w:rFonts w:ascii="標楷體" w:eastAsia="標楷體" w:hAnsi="標楷體"/>
          <w:color w:val="000000"/>
        </w:rPr>
      </w:pPr>
      <w:r>
        <w:rPr>
          <w:rFonts w:ascii="標楷體" w:eastAsia="標楷體" w:hAnsi="標楷體"/>
          <w:color w:val="000000"/>
        </w:rPr>
        <w:t>(3)需經事前審查核准後使用：</w:t>
      </w:r>
    </w:p>
    <w:p w14:paraId="685E254E" w14:textId="77777777" w:rsidR="00BD776B" w:rsidRDefault="00DF0C24">
      <w:pPr>
        <w:ind w:left="1416" w:hanging="386"/>
        <w:rPr>
          <w:rFonts w:ascii="標楷體" w:eastAsia="標楷體" w:hAnsi="標楷體"/>
          <w:color w:val="000000"/>
        </w:rPr>
      </w:pPr>
      <w:r>
        <w:rPr>
          <w:rFonts w:ascii="標楷體" w:eastAsia="標楷體" w:hAnsi="標楷體"/>
          <w:color w:val="000000"/>
        </w:rPr>
        <w:t>Ⅰ.申請初次治療：應檢附曾經使用抗腫瘤壞死因子之用藥結果，包括種類、劑量、治療前後DAS28積分及副作用報告等資料。並宜記錄患者HBsAg及Anti-HCV資料(若HBsAg檢驗為陽性，宜加作HBV DNA)。</w:t>
      </w:r>
    </w:p>
    <w:p w14:paraId="7ECA11CD" w14:textId="77777777" w:rsidR="00BD776B" w:rsidRDefault="00DF0C24">
      <w:pPr>
        <w:ind w:left="1275" w:hanging="245"/>
        <w:rPr>
          <w:rFonts w:ascii="標楷體" w:eastAsia="標楷體" w:hAnsi="標楷體"/>
          <w:color w:val="000000"/>
        </w:rPr>
      </w:pPr>
      <w:r>
        <w:rPr>
          <w:rFonts w:ascii="標楷體" w:eastAsia="標楷體" w:hAnsi="標楷體"/>
          <w:color w:val="000000"/>
        </w:rPr>
        <w:t>Ⅱ.申請給予重複療程：符合下列條件者，得再提出申請。</w:t>
      </w:r>
    </w:p>
    <w:p w14:paraId="2919D7F7" w14:textId="77777777" w:rsidR="00BD776B" w:rsidRDefault="00DF0C24">
      <w:pPr>
        <w:ind w:left="1558" w:hanging="245"/>
        <w:rPr>
          <w:rFonts w:ascii="標楷體" w:eastAsia="標楷體" w:hAnsi="標楷體"/>
          <w:color w:val="000000"/>
        </w:rPr>
      </w:pPr>
      <w:r>
        <w:rPr>
          <w:rFonts w:ascii="標楷體" w:eastAsia="標楷體" w:hAnsi="標楷體"/>
          <w:color w:val="000000"/>
        </w:rPr>
        <w:t>i.接受rituximab初次治療後第21週評估DAS28總積分，必須下降程度≧ 1.2，或DAS28總積分 ＜ 3.2 者，方可給予重複療程。</w:t>
      </w:r>
    </w:p>
    <w:p w14:paraId="5F7EE72F" w14:textId="77777777" w:rsidR="00BD776B" w:rsidRDefault="00DF0C24">
      <w:pPr>
        <w:ind w:left="1558" w:hanging="389"/>
        <w:rPr>
          <w:rFonts w:ascii="標楷體" w:eastAsia="標楷體" w:hAnsi="標楷體"/>
          <w:color w:val="000000"/>
        </w:rPr>
      </w:pPr>
      <w:r>
        <w:rPr>
          <w:rFonts w:ascii="標楷體" w:eastAsia="標楷體" w:hAnsi="標楷體"/>
          <w:color w:val="000000"/>
        </w:rPr>
        <w:t>ii.重複療程之申請可於治療後第21週提出。申請第1次重複療程者，應先</w:t>
      </w:r>
      <w:r>
        <w:rPr>
          <w:rFonts w:ascii="標楷體" w:eastAsia="標楷體" w:hAnsi="標楷體"/>
          <w:color w:val="000000"/>
        </w:rPr>
        <w:lastRenderedPageBreak/>
        <w:t>填寫初次療效;申請第2次以上重複療程者，必須填寫前兩次療效。並宜記錄患者發生之重大感染等副作用。</w:t>
      </w:r>
    </w:p>
    <w:p w14:paraId="2277E8B7" w14:textId="77777777" w:rsidR="00BD776B" w:rsidRDefault="00DF0C24">
      <w:pPr>
        <w:ind w:left="1275" w:hanging="245"/>
        <w:rPr>
          <w:rFonts w:ascii="標楷體" w:eastAsia="標楷體" w:hAnsi="標楷體"/>
          <w:color w:val="000000"/>
        </w:rPr>
      </w:pPr>
      <w:r>
        <w:rPr>
          <w:rFonts w:ascii="標楷體" w:eastAsia="標楷體" w:hAnsi="標楷體"/>
          <w:color w:val="000000"/>
        </w:rPr>
        <w:t>Ⅲ.每次申請時應檢附治療前後之相關照片。（99/2/1）</w:t>
      </w:r>
    </w:p>
    <w:p w14:paraId="6D278ADF" w14:textId="77777777" w:rsidR="00BD776B" w:rsidRDefault="00DF0C24">
      <w:pPr>
        <w:ind w:left="991" w:hanging="245"/>
        <w:rPr>
          <w:rFonts w:ascii="標楷體" w:eastAsia="標楷體" w:hAnsi="標楷體"/>
          <w:color w:val="000000"/>
        </w:rPr>
      </w:pPr>
      <w:r>
        <w:rPr>
          <w:rFonts w:ascii="標楷體" w:eastAsia="標楷體" w:hAnsi="標楷體"/>
          <w:color w:val="000000"/>
        </w:rPr>
        <w:t>(4)需排除或停止使用rituximab治療之情形如下：</w:t>
      </w:r>
    </w:p>
    <w:p w14:paraId="21077769" w14:textId="77777777" w:rsidR="00BD776B" w:rsidRDefault="00DF0C24">
      <w:pPr>
        <w:ind w:left="1275" w:hanging="245"/>
        <w:rPr>
          <w:rFonts w:ascii="標楷體" w:eastAsia="標楷體" w:hAnsi="標楷體"/>
          <w:color w:val="000000"/>
        </w:rPr>
      </w:pPr>
      <w:r>
        <w:rPr>
          <w:rFonts w:ascii="標楷體" w:eastAsia="標楷體" w:hAnsi="標楷體"/>
          <w:color w:val="000000"/>
        </w:rPr>
        <w:t>- 對rituximab過敏</w:t>
      </w:r>
    </w:p>
    <w:p w14:paraId="367CCE49" w14:textId="77777777" w:rsidR="00BD776B" w:rsidRDefault="00DF0C24">
      <w:pPr>
        <w:ind w:left="1275" w:hanging="245"/>
        <w:rPr>
          <w:rFonts w:ascii="標楷體" w:eastAsia="標楷體" w:hAnsi="標楷體"/>
          <w:color w:val="000000"/>
        </w:rPr>
      </w:pPr>
      <w:r>
        <w:rPr>
          <w:rFonts w:ascii="標楷體" w:eastAsia="標楷體" w:hAnsi="標楷體"/>
          <w:color w:val="000000"/>
        </w:rPr>
        <w:t>- 重度活動性感染症</w:t>
      </w:r>
    </w:p>
    <w:p w14:paraId="6D02A9DF" w14:textId="77777777" w:rsidR="00BD776B" w:rsidRDefault="00DF0C24">
      <w:pPr>
        <w:ind w:left="1275" w:hanging="245"/>
        <w:rPr>
          <w:rFonts w:ascii="標楷體" w:eastAsia="標楷體" w:hAnsi="標楷體"/>
          <w:color w:val="000000"/>
        </w:rPr>
      </w:pPr>
      <w:r>
        <w:rPr>
          <w:rFonts w:ascii="標楷體" w:eastAsia="標楷體" w:hAnsi="標楷體"/>
          <w:color w:val="000000"/>
        </w:rPr>
        <w:t>- 未經完整治療之結核病的病患（包括潛伏結核感染治療未達四週者，申請時應檢附潛伏結核感染篩檢紀錄及治療紀錄供審查）。(102/1/1)</w:t>
      </w:r>
    </w:p>
    <w:p w14:paraId="1A3BCAAC" w14:textId="77777777" w:rsidR="00BD776B" w:rsidRDefault="00DF0C24">
      <w:pPr>
        <w:ind w:left="1275" w:hanging="245"/>
        <w:rPr>
          <w:rFonts w:ascii="標楷體" w:eastAsia="標楷體" w:hAnsi="標楷體"/>
          <w:color w:val="000000"/>
        </w:rPr>
      </w:pPr>
      <w:r>
        <w:rPr>
          <w:rFonts w:ascii="標楷體" w:eastAsia="標楷體" w:hAnsi="標楷體"/>
          <w:color w:val="000000"/>
        </w:rPr>
        <w:t>- 心衰竭病患（New York Heart Association class IV）</w:t>
      </w:r>
    </w:p>
    <w:p w14:paraId="02DAE94D" w14:textId="77777777" w:rsidR="00BD776B" w:rsidRDefault="00DF0C24">
      <w:pPr>
        <w:ind w:left="1275" w:hanging="245"/>
        <w:rPr>
          <w:rFonts w:ascii="標楷體" w:eastAsia="標楷體" w:hAnsi="標楷體"/>
          <w:color w:val="000000"/>
        </w:rPr>
      </w:pPr>
      <w:r>
        <w:rPr>
          <w:rFonts w:ascii="標楷體" w:eastAsia="標楷體" w:hAnsi="標楷體"/>
          <w:color w:val="000000"/>
        </w:rPr>
        <w:t>- 懷孕或授乳婦女</w:t>
      </w:r>
    </w:p>
    <w:p w14:paraId="2334E705" w14:textId="77777777" w:rsidR="00BD776B" w:rsidRDefault="00DF0C24">
      <w:pPr>
        <w:ind w:left="1275" w:hanging="245"/>
        <w:rPr>
          <w:rFonts w:ascii="標楷體" w:eastAsia="標楷體" w:hAnsi="標楷體"/>
          <w:color w:val="000000"/>
        </w:rPr>
      </w:pPr>
      <w:r>
        <w:rPr>
          <w:rFonts w:ascii="標楷體" w:eastAsia="標楷體" w:hAnsi="標楷體"/>
          <w:color w:val="000000"/>
        </w:rPr>
        <w:t>- 未達療效</w:t>
      </w:r>
    </w:p>
    <w:p w14:paraId="3F8F7F90" w14:textId="77777777" w:rsidR="00BD776B" w:rsidRDefault="00DF0C24">
      <w:pPr>
        <w:ind w:left="1275" w:hanging="245"/>
        <w:rPr>
          <w:rFonts w:ascii="標楷體" w:eastAsia="標楷體" w:hAnsi="標楷體"/>
          <w:color w:val="000000"/>
        </w:rPr>
      </w:pPr>
      <w:r>
        <w:rPr>
          <w:rFonts w:ascii="標楷體" w:eastAsia="標楷體" w:hAnsi="標楷體"/>
          <w:color w:val="000000"/>
        </w:rPr>
        <w:t>- 藥物引起嚴重毒性</w:t>
      </w:r>
    </w:p>
    <w:p w14:paraId="7F1D927F" w14:textId="77777777" w:rsidR="00BD776B" w:rsidRDefault="00DF0C24">
      <w:pPr>
        <w:ind w:left="811" w:hanging="245"/>
        <w:rPr>
          <w:rFonts w:ascii="標楷體" w:eastAsia="標楷體" w:hAnsi="標楷體"/>
          <w:color w:val="000000"/>
        </w:rPr>
      </w:pPr>
      <w:r>
        <w:rPr>
          <w:rFonts w:ascii="標楷體" w:eastAsia="標楷體" w:hAnsi="標楷體"/>
          <w:color w:val="000000"/>
        </w:rPr>
        <w:t>◎附表二十三：全民健康保險使用rituximab用於類風濕性關節炎申請表</w:t>
      </w:r>
    </w:p>
    <w:p w14:paraId="2C8A1483" w14:textId="77777777" w:rsidR="00BD776B" w:rsidRDefault="00DF0C24">
      <w:pPr>
        <w:ind w:left="811" w:hanging="245"/>
        <w:rPr>
          <w:rFonts w:ascii="標楷體" w:eastAsia="標楷體" w:hAnsi="標楷體"/>
          <w:color w:val="000000"/>
        </w:rPr>
      </w:pPr>
      <w:r>
        <w:rPr>
          <w:rFonts w:ascii="標楷體" w:eastAsia="標楷體" w:hAnsi="標楷體"/>
          <w:color w:val="000000"/>
        </w:rPr>
        <w:t>2.Rituximab注射劑與葡萄糖皮質素(glucocorticoids)併用，用於治療中度至重度尋常性天疱瘡(PV)的成人病人部分(限符合藥品許可證登載適應症之藥品)：(109/11/1)</w:t>
      </w:r>
    </w:p>
    <w:p w14:paraId="4841C187" w14:textId="77777777" w:rsidR="00BD776B" w:rsidRDefault="00DF0C24">
      <w:pPr>
        <w:ind w:left="991" w:hanging="245"/>
        <w:rPr>
          <w:rFonts w:ascii="標楷體" w:eastAsia="標楷體" w:hAnsi="標楷體"/>
          <w:color w:val="000000"/>
        </w:rPr>
      </w:pPr>
      <w:r>
        <w:rPr>
          <w:rFonts w:ascii="標楷體" w:eastAsia="標楷體" w:hAnsi="標楷體"/>
          <w:color w:val="000000"/>
        </w:rPr>
        <w:t>(1)限皮膚科、或內科專科醫師且具有風濕或免疫專科醫師證書者處方。</w:t>
      </w:r>
    </w:p>
    <w:p w14:paraId="1DAA2D04" w14:textId="77777777" w:rsidR="00BD776B" w:rsidRDefault="00DF0C24">
      <w:pPr>
        <w:ind w:left="991" w:hanging="245"/>
        <w:rPr>
          <w:rFonts w:ascii="標楷體" w:eastAsia="標楷體" w:hAnsi="標楷體"/>
          <w:color w:val="000000"/>
        </w:rPr>
      </w:pPr>
      <w:r>
        <w:rPr>
          <w:rFonts w:ascii="標楷體" w:eastAsia="標楷體" w:hAnsi="標楷體"/>
          <w:color w:val="000000"/>
        </w:rPr>
        <w:t>(2)限成人申請，且需經事前審查核准後使用。又申報時應檢附相關病例資料。</w:t>
      </w:r>
    </w:p>
    <w:p w14:paraId="248DA52E" w14:textId="77777777" w:rsidR="00BD776B" w:rsidRDefault="00DF0C24">
      <w:pPr>
        <w:ind w:left="991" w:hanging="245"/>
        <w:rPr>
          <w:rFonts w:ascii="標楷體" w:eastAsia="標楷體" w:hAnsi="標楷體"/>
          <w:color w:val="000000"/>
        </w:rPr>
      </w:pPr>
      <w:r>
        <w:rPr>
          <w:rFonts w:ascii="標楷體" w:eastAsia="標楷體" w:hAnsi="標楷體"/>
          <w:color w:val="000000"/>
        </w:rPr>
        <w:t xml:space="preserve">(3)給付條件： </w:t>
      </w:r>
    </w:p>
    <w:p w14:paraId="6906AE6D" w14:textId="77777777" w:rsidR="00BD776B" w:rsidRDefault="00DF0C24">
      <w:pPr>
        <w:ind w:left="991" w:hanging="245"/>
        <w:rPr>
          <w:rFonts w:ascii="標楷體" w:eastAsia="標楷體" w:hAnsi="標楷體"/>
          <w:color w:val="000000"/>
        </w:rPr>
      </w:pPr>
      <w:r>
        <w:rPr>
          <w:rFonts w:ascii="標楷體" w:eastAsia="標楷體" w:hAnsi="標楷體"/>
          <w:color w:val="000000"/>
        </w:rPr>
        <w:t xml:space="preserve">  併用葡萄糖皮質素(glucocorticoids)給付於中度至重度尋常性天疱瘡成人患者，且符合下列條件:</w:t>
      </w:r>
    </w:p>
    <w:p w14:paraId="405E67D6" w14:textId="77777777" w:rsidR="00BD776B" w:rsidRDefault="00DF0C24">
      <w:pPr>
        <w:ind w:left="1416" w:hanging="386"/>
        <w:rPr>
          <w:rFonts w:ascii="標楷體" w:eastAsia="標楷體" w:hAnsi="標楷體"/>
          <w:color w:val="000000"/>
        </w:rPr>
      </w:pPr>
      <w:r>
        <w:rPr>
          <w:rFonts w:ascii="標楷體" w:eastAsia="標楷體" w:hAnsi="標楷體"/>
          <w:color w:val="000000"/>
        </w:rPr>
        <w:t xml:space="preserve">Ⅰ.中度至重度尋常性天疱瘡：PDAI評估指数為15分以上病人，且以1.0 mg/kg/day(含)以上劑量的口服prednisolone (或等劑量之類固醇)連續治療達6週仍未能控制疾病者，並檢具病理切片報告，及直接免疫螢光染色(DIF)報告，得給予起始劑量。  </w:t>
      </w:r>
    </w:p>
    <w:p w14:paraId="00C2473A" w14:textId="77777777" w:rsidR="00BD776B" w:rsidRDefault="00DF0C24">
      <w:pPr>
        <w:ind w:left="1416" w:hanging="386"/>
        <w:rPr>
          <w:rFonts w:ascii="標楷體" w:eastAsia="標楷體" w:hAnsi="標楷體"/>
          <w:color w:val="000000"/>
        </w:rPr>
      </w:pPr>
      <w:r>
        <w:rPr>
          <w:rFonts w:ascii="標楷體" w:eastAsia="標楷體" w:hAnsi="標楷體"/>
          <w:color w:val="000000"/>
        </w:rPr>
        <w:t xml:space="preserve">Ⅱ.類固醇依賴型尋常性天疱瘡：指非新診斷尋常性天疱瘡病人，且以10mg/day口服prednisolone(或等劑量之類固醇)治療仍未能控制疾病者。此類病人須提供照相證明、病理切片報告，及直接免疫螢光染色(DIF)報告，證實曾符合上述「Ⅰ中度至重度尋常性天疱瘡」所述之條件，得給予起始劑量。 </w:t>
      </w:r>
    </w:p>
    <w:p w14:paraId="38331E50" w14:textId="77777777" w:rsidR="00BD776B" w:rsidRDefault="00DF0C24">
      <w:pPr>
        <w:ind w:left="1416" w:hanging="386"/>
        <w:rPr>
          <w:rFonts w:ascii="標楷體" w:eastAsia="標楷體" w:hAnsi="標楷體"/>
          <w:color w:val="000000"/>
        </w:rPr>
      </w:pPr>
      <w:r>
        <w:rPr>
          <w:rFonts w:ascii="標楷體" w:eastAsia="標楷體" w:hAnsi="標楷體"/>
          <w:color w:val="000000"/>
        </w:rPr>
        <w:t xml:space="preserve">Ⅲ.經rituximab自費治療後非類固醇依賴型天疱瘡，此類病人須提供照相證明、病理切片報告及直接免疫螢光染色(DIF)報告，證實曾符合上述Ⅰ及Ⅱ中度至重度尋常性天疱瘡」所述之條件，得給予維持性治療。 </w:t>
      </w:r>
    </w:p>
    <w:p w14:paraId="1C1EBD48" w14:textId="77777777" w:rsidR="00BD776B" w:rsidRDefault="00DF0C24">
      <w:pPr>
        <w:ind w:left="1416" w:hanging="386"/>
      </w:pPr>
      <w:r>
        <w:rPr>
          <w:rFonts w:ascii="標楷體" w:eastAsia="標楷體" w:hAnsi="標楷體"/>
          <w:color w:val="000000"/>
        </w:rPr>
        <w:t>Ⅳ.前開Ⅰ及Ⅱ所稱「未能控制疾病」者，指使用I或Ⅱ所列藥物治療後，1個月內仍有新的水疱</w:t>
      </w:r>
      <w:r>
        <w:rPr>
          <w:rFonts w:ascii="Times New Roman" w:eastAsia="標楷體" w:hAnsi="Times New Roman"/>
          <w:color w:val="000000"/>
        </w:rPr>
        <w:t>≥</w:t>
      </w:r>
      <w:r>
        <w:rPr>
          <w:rFonts w:ascii="標楷體" w:eastAsia="標楷體" w:hAnsi="標楷體"/>
          <w:color w:val="000000"/>
        </w:rPr>
        <w:t>3個產生且大於一週仍無法癒合或是舊有水疱病灶仍持續擴大。（需附照片佐證)。</w:t>
      </w:r>
    </w:p>
    <w:p w14:paraId="62502668" w14:textId="77777777" w:rsidR="00BD776B" w:rsidRDefault="00DF0C24">
      <w:pPr>
        <w:ind w:left="1416" w:hanging="386"/>
        <w:rPr>
          <w:rFonts w:ascii="標楷體" w:eastAsia="標楷體" w:hAnsi="標楷體"/>
          <w:color w:val="000000"/>
        </w:rPr>
      </w:pPr>
      <w:r>
        <w:rPr>
          <w:rFonts w:ascii="標楷體" w:eastAsia="標楷體" w:hAnsi="標楷體"/>
          <w:color w:val="000000"/>
        </w:rPr>
        <w:t xml:space="preserve">Ⅴ.若無前開Ⅰ、Ⅱ及Ⅲ所稱之直接免疫螢光染色(DIF)報告，得改以出具採用本國核准之 DSG1/DSG3體外診斷用試劑檢測陽性，醫院或符合CAP或ISO15189認證實驗室之正式報告。在目前尚無本國核准試劑前，可以採用歐盟、日本、美國核准之試劑。 </w:t>
      </w:r>
    </w:p>
    <w:p w14:paraId="37DE46EA" w14:textId="77777777" w:rsidR="00BD776B" w:rsidRDefault="00DF0C24">
      <w:pPr>
        <w:ind w:left="1132" w:hanging="386"/>
        <w:rPr>
          <w:rFonts w:ascii="標楷體" w:eastAsia="標楷體" w:hAnsi="標楷體"/>
          <w:color w:val="000000"/>
        </w:rPr>
      </w:pPr>
      <w:r>
        <w:rPr>
          <w:rFonts w:ascii="標楷體" w:eastAsia="標楷體" w:hAnsi="標楷體"/>
          <w:color w:val="000000"/>
        </w:rPr>
        <w:t xml:space="preserve">(4)起始治療:1000mg rituximab以靜脈輸注投予，兩週後投予第二劑1000 mg rituximab靜脈輸注，同時依據病人嚴重度併用逐漸減量之葡萄糖皮質素(glucocorticoids)療程。 </w:t>
      </w:r>
    </w:p>
    <w:p w14:paraId="65533E65" w14:textId="77777777" w:rsidR="00BD776B" w:rsidRDefault="00DF0C24">
      <w:pPr>
        <w:ind w:left="1132" w:hanging="386"/>
        <w:rPr>
          <w:rFonts w:ascii="標楷體" w:eastAsia="標楷體" w:hAnsi="標楷體"/>
          <w:color w:val="000000"/>
        </w:rPr>
      </w:pPr>
      <w:r>
        <w:rPr>
          <w:rFonts w:ascii="標楷體" w:eastAsia="標楷體" w:hAnsi="標楷體"/>
          <w:color w:val="000000"/>
        </w:rPr>
        <w:t>(5)維持治療應於第12個月時靜脈輸注投予500mg的維持治療，之後每6個月根</w:t>
      </w:r>
      <w:r>
        <w:rPr>
          <w:rFonts w:ascii="標楷體" w:eastAsia="標楷體" w:hAnsi="標楷體"/>
          <w:color w:val="000000"/>
        </w:rPr>
        <w:lastRenderedPageBreak/>
        <w:t>據臨床評估投予。</w:t>
      </w:r>
    </w:p>
    <w:p w14:paraId="458D9C28" w14:textId="77777777" w:rsidR="00BD776B" w:rsidRDefault="00DF0C24">
      <w:pPr>
        <w:ind w:left="1132" w:hanging="386"/>
        <w:rPr>
          <w:rFonts w:ascii="標楷體" w:eastAsia="標楷體" w:hAnsi="標楷體"/>
          <w:color w:val="000000"/>
        </w:rPr>
      </w:pPr>
      <w:r>
        <w:rPr>
          <w:rFonts w:ascii="標楷體" w:eastAsia="標楷體" w:hAnsi="標楷體"/>
          <w:color w:val="000000"/>
        </w:rPr>
        <w:t>(6)若於rituximab療療程中復發，病人可接受一劑1000mg rituximab靜脈輸注。醫療專業人員也應根據臨床評估，考慮重新開始或增加病人的葡萄糖皮質素(glucocorticoids)劑量。</w:t>
      </w:r>
    </w:p>
    <w:p w14:paraId="64AC80D9" w14:textId="77777777" w:rsidR="00BD776B" w:rsidRDefault="00DF0C24">
      <w:pPr>
        <w:ind w:left="672" w:hanging="386"/>
        <w:rPr>
          <w:rFonts w:ascii="標楷體" w:eastAsia="標楷體" w:hAnsi="標楷體"/>
          <w:color w:val="000000"/>
        </w:rPr>
      </w:pPr>
      <w:r>
        <w:rPr>
          <w:rFonts w:ascii="標楷體" w:eastAsia="標楷體" w:hAnsi="標楷體"/>
          <w:color w:val="000000"/>
        </w:rPr>
        <w:t>8.2.8.Palivizumab (如Synagis)(99/12/1、102/7/1、106/4/1、111/2/1、111/4/1)</w:t>
      </w:r>
    </w:p>
    <w:p w14:paraId="48D7E843" w14:textId="77777777" w:rsidR="00BD776B" w:rsidRDefault="00DF0C24">
      <w:pPr>
        <w:ind w:left="798" w:hanging="1"/>
        <w:rPr>
          <w:rFonts w:ascii="標楷體" w:eastAsia="標楷體" w:hAnsi="標楷體"/>
          <w:color w:val="000000"/>
        </w:rPr>
      </w:pPr>
      <w:r>
        <w:rPr>
          <w:rFonts w:ascii="標楷體" w:eastAsia="標楷體" w:hAnsi="標楷體"/>
          <w:color w:val="000000"/>
        </w:rPr>
        <w:t>限符合下列條件之一：</w:t>
      </w:r>
    </w:p>
    <w:p w14:paraId="1DF62D9B" w14:textId="77777777" w:rsidR="00BD776B" w:rsidRDefault="00DF0C24">
      <w:pPr>
        <w:ind w:left="991" w:hanging="425"/>
      </w:pPr>
      <w:r>
        <w:rPr>
          <w:rFonts w:ascii="標楷體" w:eastAsia="標楷體" w:hAnsi="標楷體"/>
          <w:color w:val="000000"/>
        </w:rPr>
        <w:t>1.出生時懷孕週數未滿33週之早產兒。(106/4/1、111/2/1</w:t>
      </w:r>
      <w:r>
        <w:rPr>
          <w:rFonts w:ascii="新細明體" w:hAnsi="新細明體"/>
          <w:color w:val="000000"/>
        </w:rPr>
        <w:t>、</w:t>
      </w:r>
      <w:r>
        <w:rPr>
          <w:rFonts w:ascii="標楷體" w:eastAsia="標楷體" w:hAnsi="標楷體"/>
          <w:color w:val="000000"/>
        </w:rPr>
        <w:t>111/4/1)</w:t>
      </w:r>
    </w:p>
    <w:p w14:paraId="08404FEE" w14:textId="77777777" w:rsidR="00BD776B" w:rsidRDefault="00DF0C24">
      <w:pPr>
        <w:ind w:left="991" w:hanging="425"/>
        <w:rPr>
          <w:rFonts w:ascii="標楷體" w:eastAsia="標楷體" w:hAnsi="標楷體"/>
          <w:color w:val="000000"/>
        </w:rPr>
      </w:pPr>
      <w:r>
        <w:rPr>
          <w:rFonts w:ascii="標楷體" w:eastAsia="標楷體" w:hAnsi="標楷體"/>
          <w:color w:val="000000"/>
        </w:rPr>
        <w:t>2.併有慢性肺疾病(Chronic Lung Disease；CLD)之早產兒(35週以下)(111/2/1)。</w:t>
      </w:r>
    </w:p>
    <w:p w14:paraId="26470EEA" w14:textId="77777777" w:rsidR="00BD776B" w:rsidRDefault="00DF0C24">
      <w:pPr>
        <w:ind w:left="991" w:hanging="425"/>
        <w:rPr>
          <w:rFonts w:ascii="標楷體" w:eastAsia="標楷體" w:hAnsi="標楷體"/>
          <w:color w:val="000000"/>
        </w:rPr>
      </w:pPr>
      <w:r>
        <w:rPr>
          <w:rFonts w:ascii="標楷體" w:eastAsia="標楷體" w:hAnsi="標楷體"/>
          <w:color w:val="000000"/>
        </w:rPr>
        <w:t>3.1歲以下患有血液動力學上顯著異常之先天性心臟病童。需符合以下條件(111/2/1)：</w:t>
      </w:r>
    </w:p>
    <w:p w14:paraId="0F13FC5B" w14:textId="77777777" w:rsidR="00BD776B" w:rsidRDefault="00DF0C24">
      <w:pPr>
        <w:ind w:left="989" w:hanging="281"/>
        <w:rPr>
          <w:rFonts w:ascii="標楷體" w:eastAsia="標楷體" w:hAnsi="標楷體"/>
          <w:color w:val="000000"/>
        </w:rPr>
      </w:pPr>
      <w:r>
        <w:rPr>
          <w:rFonts w:ascii="標楷體" w:eastAsia="標楷體" w:hAnsi="標楷體"/>
          <w:color w:val="000000"/>
        </w:rPr>
        <w:t>(1)納入條件：符合下列條件之一</w:t>
      </w:r>
    </w:p>
    <w:p w14:paraId="0CC4DE44" w14:textId="77777777" w:rsidR="00BD776B" w:rsidRDefault="00DF0C24">
      <w:pPr>
        <w:ind w:left="1315" w:hanging="252"/>
        <w:rPr>
          <w:rFonts w:ascii="標楷體" w:eastAsia="標楷體" w:hAnsi="標楷體"/>
          <w:color w:val="000000"/>
        </w:rPr>
      </w:pPr>
      <w:r>
        <w:rPr>
          <w:rFonts w:ascii="標楷體" w:eastAsia="標楷體" w:hAnsi="標楷體"/>
          <w:color w:val="000000"/>
        </w:rPr>
        <w:t>Ⅰ非發紺性先天性心臟病合併心臟衰竭：符合下列三項中至少兩項：(1)生長遲滯，體重小於第三百分位；(2)有明顯心臟擴大現象；(3)需兩種以上抗心臟衰竭藥物控制症狀。</w:t>
      </w:r>
    </w:p>
    <w:p w14:paraId="778F9ACF" w14:textId="77777777" w:rsidR="00BD776B" w:rsidRDefault="00DF0C24">
      <w:pPr>
        <w:ind w:left="1344" w:hanging="264"/>
        <w:rPr>
          <w:rFonts w:ascii="標楷體" w:eastAsia="標楷體" w:hAnsi="標楷體"/>
          <w:color w:val="000000"/>
        </w:rPr>
      </w:pPr>
      <w:r>
        <w:rPr>
          <w:rFonts w:ascii="標楷體" w:eastAsia="標楷體" w:hAnsi="標楷體"/>
          <w:color w:val="000000"/>
        </w:rPr>
        <w:t>Ⅱ發紺性先天性心臟病：完全矯正手術（含心導管或是外科手術矯正）前或是矯正手術後仍有發紺或是心臟衰竭症狀者。</w:t>
      </w:r>
    </w:p>
    <w:p w14:paraId="5B32FBAC" w14:textId="77777777" w:rsidR="00BD776B" w:rsidRDefault="00DF0C24">
      <w:pPr>
        <w:ind w:left="989" w:hanging="281"/>
        <w:rPr>
          <w:rFonts w:ascii="標楷體" w:eastAsia="標楷體" w:hAnsi="標楷體"/>
          <w:color w:val="000000"/>
        </w:rPr>
      </w:pPr>
      <w:r>
        <w:rPr>
          <w:rFonts w:ascii="標楷體" w:eastAsia="標楷體" w:hAnsi="標楷體"/>
          <w:color w:val="000000"/>
        </w:rPr>
        <w:t>(2)排除條件：</w:t>
      </w:r>
    </w:p>
    <w:p w14:paraId="4DEDD4B8" w14:textId="77777777" w:rsidR="00BD776B" w:rsidRDefault="00DF0C24">
      <w:pPr>
        <w:ind w:left="1341" w:hanging="266"/>
        <w:rPr>
          <w:rFonts w:ascii="標楷體" w:eastAsia="標楷體" w:hAnsi="標楷體"/>
          <w:color w:val="000000"/>
        </w:rPr>
      </w:pPr>
      <w:r>
        <w:rPr>
          <w:rFonts w:ascii="標楷體" w:eastAsia="標楷體" w:hAnsi="標楷體"/>
          <w:color w:val="000000"/>
        </w:rPr>
        <w:t>Ⅰ非嚴重性先天性心臟病：不需藥物控制心臟衰竭，如心房中隔缺損，單純動脈瓣膜輕微狹窄等。</w:t>
      </w:r>
    </w:p>
    <w:p w14:paraId="38066B83" w14:textId="77777777" w:rsidR="00BD776B" w:rsidRDefault="00DF0C24">
      <w:pPr>
        <w:ind w:left="1316" w:hanging="238"/>
        <w:rPr>
          <w:rFonts w:ascii="標楷體" w:eastAsia="標楷體" w:hAnsi="標楷體"/>
          <w:color w:val="000000"/>
        </w:rPr>
      </w:pPr>
      <w:r>
        <w:rPr>
          <w:rFonts w:ascii="標楷體" w:eastAsia="標楷體" w:hAnsi="標楷體"/>
          <w:color w:val="000000"/>
        </w:rPr>
        <w:t>Ⅱ嚴重性先天性心臟病，但經心導管或外科手術治療，目前僅殘存輕微血行動力學異常，且無發紺症狀。</w:t>
      </w:r>
    </w:p>
    <w:p w14:paraId="6957642B" w14:textId="77777777" w:rsidR="00BD776B" w:rsidRDefault="00DF0C24">
      <w:pPr>
        <w:ind w:left="989" w:hanging="281"/>
        <w:rPr>
          <w:rFonts w:ascii="標楷體" w:eastAsia="標楷體" w:hAnsi="標楷體"/>
          <w:color w:val="000000"/>
        </w:rPr>
      </w:pPr>
      <w:r>
        <w:rPr>
          <w:rFonts w:ascii="標楷體" w:eastAsia="標楷體" w:hAnsi="標楷體"/>
          <w:color w:val="000000"/>
        </w:rPr>
        <w:t>(3)施打方式：</w:t>
      </w:r>
    </w:p>
    <w:p w14:paraId="58AAAED2" w14:textId="77777777" w:rsidR="00BD776B" w:rsidRDefault="00DF0C24">
      <w:pPr>
        <w:ind w:left="1315" w:hanging="223"/>
        <w:rPr>
          <w:rFonts w:ascii="標楷體" w:eastAsia="標楷體" w:hAnsi="標楷體"/>
          <w:color w:val="000000"/>
        </w:rPr>
      </w:pPr>
      <w:r>
        <w:rPr>
          <w:rFonts w:ascii="標楷體" w:eastAsia="標楷體" w:hAnsi="標楷體"/>
          <w:color w:val="000000"/>
        </w:rPr>
        <w:t>Ⅰ一歲之內每個月給予15mg/kg palivizumab肌肉注射一次，直到年齡滿一歲或直到矯正手術(包括開心及心導管手術)為止。</w:t>
      </w:r>
    </w:p>
    <w:p w14:paraId="27018907" w14:textId="77777777" w:rsidR="00BD776B" w:rsidRDefault="00DF0C24">
      <w:pPr>
        <w:ind w:left="1315" w:hanging="223"/>
        <w:rPr>
          <w:rFonts w:ascii="標楷體" w:eastAsia="標楷體" w:hAnsi="標楷體"/>
          <w:color w:val="000000"/>
        </w:rPr>
      </w:pPr>
      <w:r>
        <w:rPr>
          <w:rFonts w:ascii="標楷體" w:eastAsia="標楷體" w:hAnsi="標楷體"/>
          <w:color w:val="000000"/>
        </w:rPr>
        <w:t>Ⅱ一歲之內接受體外循環開心矯正手術者，術後出院前再給一劑。</w:t>
      </w:r>
    </w:p>
    <w:p w14:paraId="00F2AA1D" w14:textId="77777777" w:rsidR="00BD776B" w:rsidRDefault="00DF0C24">
      <w:pPr>
        <w:ind w:left="1315" w:hanging="223"/>
        <w:rPr>
          <w:rFonts w:ascii="標楷體" w:eastAsia="標楷體" w:hAnsi="標楷體"/>
          <w:color w:val="000000"/>
        </w:rPr>
      </w:pPr>
      <w:r>
        <w:rPr>
          <w:rFonts w:ascii="標楷體" w:eastAsia="標楷體" w:hAnsi="標楷體"/>
          <w:color w:val="000000"/>
        </w:rPr>
        <w:t>Ⅲ最多施打六劑。</w:t>
      </w:r>
    </w:p>
    <w:p w14:paraId="7874C278" w14:textId="77777777" w:rsidR="00BD776B" w:rsidRDefault="00DF0C24">
      <w:pPr>
        <w:ind w:left="672" w:hanging="386"/>
        <w:rPr>
          <w:rFonts w:ascii="標楷體" w:eastAsia="標楷體" w:hAnsi="標楷體"/>
          <w:color w:val="000000"/>
        </w:rPr>
      </w:pPr>
      <w:r>
        <w:rPr>
          <w:rFonts w:ascii="標楷體" w:eastAsia="標楷體" w:hAnsi="標楷體"/>
          <w:color w:val="000000"/>
        </w:rPr>
        <w:t>8.2.9.Thalidomide（如Thado）(100/2/1)</w:t>
      </w:r>
    </w:p>
    <w:p w14:paraId="32556EAE" w14:textId="77777777" w:rsidR="00BD776B" w:rsidRDefault="00DF0C24">
      <w:pPr>
        <w:ind w:left="811" w:hanging="245"/>
        <w:rPr>
          <w:rFonts w:ascii="標楷體" w:eastAsia="標楷體" w:hAnsi="標楷體"/>
          <w:color w:val="000000"/>
        </w:rPr>
      </w:pPr>
      <w:r>
        <w:rPr>
          <w:rFonts w:ascii="標楷體" w:eastAsia="標楷體" w:hAnsi="標楷體"/>
          <w:color w:val="000000"/>
        </w:rPr>
        <w:t>1.用於中度至重度痲瘋性結節性紅斑(ERYTHEMA NODOSUM LEPROSUM, ENL)出現皮膚徵兆之急性期治療。</w:t>
      </w:r>
    </w:p>
    <w:p w14:paraId="1283DC9C" w14:textId="77777777" w:rsidR="00BD776B" w:rsidRDefault="00DF0C24">
      <w:pPr>
        <w:ind w:left="811" w:hanging="245"/>
        <w:rPr>
          <w:rFonts w:ascii="標楷體" w:eastAsia="標楷體" w:hAnsi="標楷體"/>
          <w:color w:val="000000"/>
        </w:rPr>
      </w:pPr>
      <w:r>
        <w:rPr>
          <w:rFonts w:ascii="標楷體" w:eastAsia="標楷體" w:hAnsi="標楷體"/>
          <w:color w:val="000000"/>
        </w:rPr>
        <w:t>2.可持續用於預防及抑制ENL皮膚徵兆復發。</w:t>
      </w:r>
    </w:p>
    <w:p w14:paraId="67B30684" w14:textId="77777777" w:rsidR="00BD776B" w:rsidRDefault="00DF0C24">
      <w:pPr>
        <w:ind w:left="811" w:hanging="245"/>
        <w:rPr>
          <w:rFonts w:ascii="標楷體" w:eastAsia="標楷體" w:hAnsi="標楷體"/>
          <w:color w:val="000000"/>
        </w:rPr>
      </w:pPr>
      <w:r>
        <w:rPr>
          <w:rFonts w:ascii="標楷體" w:eastAsia="標楷體" w:hAnsi="標楷體"/>
          <w:color w:val="000000"/>
        </w:rPr>
        <w:t>3.不可單獨用於治療發生中度至重度神經炎之ENL。</w:t>
      </w:r>
    </w:p>
    <w:p w14:paraId="5A0DD87C" w14:textId="77777777" w:rsidR="00BD776B" w:rsidRDefault="00DF0C24">
      <w:pPr>
        <w:ind w:left="811" w:hanging="245"/>
        <w:rPr>
          <w:rFonts w:ascii="標楷體" w:eastAsia="標楷體" w:hAnsi="標楷體"/>
          <w:color w:val="000000"/>
        </w:rPr>
      </w:pPr>
      <w:r>
        <w:rPr>
          <w:rFonts w:ascii="標楷體" w:eastAsia="標楷體" w:hAnsi="標楷體"/>
          <w:color w:val="000000"/>
        </w:rPr>
        <w:t>4.需事前審查核准後使用。</w:t>
      </w:r>
    </w:p>
    <w:p w14:paraId="305145E2" w14:textId="77777777" w:rsidR="000B35A4" w:rsidRPr="000B35A4" w:rsidRDefault="000B35A4" w:rsidP="000B35A4">
      <w:pPr>
        <w:suppressAutoHyphens w:val="0"/>
        <w:autoSpaceDN/>
        <w:ind w:leftChars="119" w:left="672" w:hangingChars="161" w:hanging="386"/>
        <w:textAlignment w:val="auto"/>
        <w:rPr>
          <w:rFonts w:ascii="Times New Roman" w:hAnsi="Times New Roman"/>
          <w:szCs w:val="24"/>
        </w:rPr>
      </w:pPr>
      <w:r w:rsidRPr="000B35A4">
        <w:rPr>
          <w:rFonts w:ascii="標楷體" w:eastAsia="標楷體" w:hAnsi="標楷體" w:cs="Calibri"/>
          <w:szCs w:val="24"/>
        </w:rPr>
        <w:t>8.2.10.Eculizumab（如Soliris）、ravulizumab (如Ultomiris)（101/4/1、102/10/1、108/6/1、108/9/1、114/2/1）</w:t>
      </w:r>
    </w:p>
    <w:p w14:paraId="38F2BFE0" w14:textId="77777777" w:rsidR="000B35A4" w:rsidRPr="000B35A4" w:rsidRDefault="000B35A4" w:rsidP="000B35A4">
      <w:pPr>
        <w:suppressAutoHyphens w:val="0"/>
        <w:autoSpaceDN/>
        <w:ind w:leftChars="236" w:left="811" w:hangingChars="102" w:hanging="245"/>
        <w:textAlignment w:val="auto"/>
        <w:rPr>
          <w:rFonts w:ascii="Times New Roman" w:hAnsi="Times New Roman"/>
          <w:szCs w:val="24"/>
        </w:rPr>
      </w:pPr>
      <w:r w:rsidRPr="000B35A4">
        <w:rPr>
          <w:rFonts w:ascii="標楷體" w:eastAsia="標楷體" w:hAnsi="標楷體" w:cs="Calibri"/>
          <w:szCs w:val="24"/>
        </w:rPr>
        <w:t>1.用於經衛生福利部國民健康署認定之陣發性夜間血紅素尿症患者：(108/6/1、114/2/1)</w:t>
      </w:r>
    </w:p>
    <w:p w14:paraId="53B7C6DF"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s="Calibri"/>
          <w:szCs w:val="24"/>
        </w:rPr>
      </w:pPr>
      <w:r w:rsidRPr="000B35A4">
        <w:rPr>
          <w:rFonts w:ascii="標楷體" w:eastAsia="標楷體" w:hAnsi="標楷體" w:cs="Calibri"/>
          <w:szCs w:val="24"/>
        </w:rPr>
        <w:t>(1)陣發性夜間血紅素尿症患者且PNH granulocyte clone size經兩種抗體確認大於50%，並符合下列條件之一者使用：</w:t>
      </w:r>
    </w:p>
    <w:p w14:paraId="4C553253"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s="Calibri"/>
          <w:szCs w:val="24"/>
        </w:rPr>
      </w:pPr>
      <w:r w:rsidRPr="000B35A4">
        <w:rPr>
          <w:rFonts w:ascii="標楷體" w:eastAsia="標楷體" w:hAnsi="標楷體" w:cs="Calibri"/>
          <w:szCs w:val="24"/>
        </w:rPr>
        <w:t>Ⅰ.有溶血性貧血，血紅素濃度至少有兩次檢測數值低於7g/dL或有心肺功能不全症狀（New York Heart Association Class III或IV）且血紅素濃度低於9g/dL，並須長期大量輸血（3個月內至少輸血6個單位以上）。須排除其他原因引起之貧血，包括缺鐵性貧血或出血等。</w:t>
      </w:r>
    </w:p>
    <w:p w14:paraId="7B7887C5"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s="Calibri"/>
          <w:szCs w:val="24"/>
        </w:rPr>
      </w:pPr>
      <w:r w:rsidRPr="000B35A4">
        <w:rPr>
          <w:rFonts w:ascii="標楷體" w:eastAsia="標楷體" w:hAnsi="標楷體" w:cs="Calibri"/>
          <w:szCs w:val="24"/>
        </w:rPr>
        <w:lastRenderedPageBreak/>
        <w:t>Ⅱ.有發生危及生命之虞之血栓並導致明顯器官功能受損者，但須排除其他已知原因引起之血栓。</w:t>
      </w:r>
    </w:p>
    <w:p w14:paraId="59FD86CD" w14:textId="77777777" w:rsidR="000B35A4" w:rsidRPr="000B35A4" w:rsidRDefault="000B35A4" w:rsidP="000B35A4">
      <w:pPr>
        <w:suppressAutoHyphens w:val="0"/>
        <w:autoSpaceDN/>
        <w:ind w:leftChars="547" w:left="1558" w:hangingChars="102" w:hanging="245"/>
        <w:textAlignment w:val="auto"/>
        <w:rPr>
          <w:rFonts w:ascii="Times New Roman" w:hAnsi="Times New Roman"/>
          <w:szCs w:val="24"/>
        </w:rPr>
      </w:pPr>
      <w:r w:rsidRPr="000B35A4">
        <w:rPr>
          <w:rFonts w:ascii="新細明體" w:hAnsi="新細明體" w:cs="新細明體"/>
          <w:szCs w:val="24"/>
        </w:rPr>
        <w:t>ⅰ</w:t>
      </w:r>
      <w:r w:rsidRPr="000B35A4">
        <w:rPr>
          <w:rFonts w:ascii="標楷體" w:eastAsia="標楷體" w:hAnsi="標楷體" w:cs="Calibri"/>
          <w:szCs w:val="24"/>
        </w:rPr>
        <w:t>.任何位置之動脈血栓。</w:t>
      </w:r>
    </w:p>
    <w:p w14:paraId="6E295896"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新細明體" w:hAnsi="新細明體" w:cs="新細明體"/>
          <w:szCs w:val="24"/>
        </w:rPr>
        <w:t>ⅱ</w:t>
      </w:r>
      <w:r w:rsidRPr="000B35A4">
        <w:rPr>
          <w:rFonts w:ascii="標楷體" w:eastAsia="標楷體" w:hAnsi="標楷體" w:cs="Calibri"/>
          <w:szCs w:val="24"/>
        </w:rPr>
        <w:t>.重要部位之靜脈性血栓，包括腦部靜脈、靜脈竇、上下腔靜脈、近端深部靜脈、肝靜脈或肝門靜脈血栓等。</w:t>
      </w:r>
    </w:p>
    <w:p w14:paraId="433864D5" w14:textId="77777777" w:rsidR="000B35A4" w:rsidRPr="000B35A4" w:rsidRDefault="000B35A4" w:rsidP="000B35A4">
      <w:pPr>
        <w:suppressAutoHyphens w:val="0"/>
        <w:autoSpaceDN/>
        <w:ind w:leftChars="547" w:left="1558" w:hangingChars="102" w:hanging="245"/>
        <w:textAlignment w:val="auto"/>
        <w:rPr>
          <w:rFonts w:ascii="Times New Roman" w:hAnsi="Times New Roman"/>
          <w:szCs w:val="24"/>
        </w:rPr>
      </w:pPr>
      <w:r w:rsidRPr="000B35A4">
        <w:rPr>
          <w:rFonts w:ascii="新細明體" w:hAnsi="新細明體" w:cs="新細明體"/>
          <w:szCs w:val="24"/>
        </w:rPr>
        <w:t>ⅲ</w:t>
      </w:r>
      <w:r w:rsidRPr="000B35A4">
        <w:rPr>
          <w:rFonts w:ascii="標楷體" w:eastAsia="標楷體" w:hAnsi="標楷體" w:cs="Calibri"/>
          <w:szCs w:val="24"/>
        </w:rPr>
        <w:t>.發生因血管內溶血導致的進行性腎功能衰竭（serum creatinine大於2.0 mg/dL），且無法以其他原因解釋者。</w:t>
      </w:r>
    </w:p>
    <w:p w14:paraId="65812069"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s="Calibri"/>
          <w:szCs w:val="24"/>
        </w:rPr>
      </w:pPr>
      <w:r w:rsidRPr="000B35A4">
        <w:rPr>
          <w:rFonts w:ascii="標楷體" w:eastAsia="標楷體" w:hAnsi="標楷體" w:cs="Calibri"/>
          <w:szCs w:val="24"/>
        </w:rPr>
        <w:t>(2)排除有高危險之骨髓化生不良症候群（RAEB-1或RAEB-2）的病患。</w:t>
      </w:r>
    </w:p>
    <w:p w14:paraId="25C53E9A"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s="Calibri"/>
          <w:szCs w:val="24"/>
        </w:rPr>
      </w:pPr>
      <w:r w:rsidRPr="000B35A4">
        <w:rPr>
          <w:rFonts w:ascii="標楷體" w:eastAsia="標楷體" w:hAnsi="標楷體" w:cs="Calibri"/>
          <w:szCs w:val="24"/>
        </w:rPr>
        <w:t>(3)新個案需經專家小組特殊專案審查核准後使用，每次申請期限為6個月。</w:t>
      </w:r>
    </w:p>
    <w:p w14:paraId="1AFF6759"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s="Calibri"/>
          <w:szCs w:val="24"/>
        </w:rPr>
      </w:pPr>
      <w:r w:rsidRPr="000B35A4">
        <w:rPr>
          <w:rFonts w:ascii="標楷體" w:eastAsia="標楷體" w:hAnsi="標楷體" w:cs="Calibri"/>
          <w:szCs w:val="24"/>
        </w:rPr>
        <w:t>(4)每6個月須重新評估治療結果。若符合下列條件之一，則不予同意使用。</w:t>
      </w:r>
    </w:p>
    <w:p w14:paraId="532C8D29"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s="Calibri"/>
          <w:szCs w:val="24"/>
        </w:rPr>
      </w:pPr>
      <w:r w:rsidRPr="000B35A4">
        <w:rPr>
          <w:rFonts w:ascii="標楷體" w:eastAsia="標楷體" w:hAnsi="標楷體" w:cs="Calibri"/>
          <w:szCs w:val="24"/>
        </w:rPr>
        <w:t>Ⅰ.接受治療的患者用藥後病情沒有改善者（LDH超過正常值上限的1.5倍或最近3個月內輸血多於2個單位）</w:t>
      </w:r>
    </w:p>
    <w:p w14:paraId="6F3030D6"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s="Calibri"/>
          <w:szCs w:val="24"/>
        </w:rPr>
      </w:pPr>
      <w:r w:rsidRPr="000B35A4">
        <w:rPr>
          <w:rFonts w:ascii="標楷體" w:eastAsia="標楷體" w:hAnsi="標楷體" w:cs="Calibri"/>
          <w:szCs w:val="24"/>
        </w:rPr>
        <w:t>Ⅱ.PNH granulocyte clone size ≦50%。</w:t>
      </w:r>
    </w:p>
    <w:p w14:paraId="26CE84DE" w14:textId="77777777" w:rsidR="000B35A4" w:rsidRPr="000B35A4" w:rsidRDefault="000B35A4" w:rsidP="000B35A4">
      <w:pPr>
        <w:suppressAutoHyphens w:val="0"/>
        <w:autoSpaceDN/>
        <w:ind w:leftChars="443" w:left="1315" w:hangingChars="105" w:hanging="252"/>
        <w:textAlignment w:val="auto"/>
        <w:rPr>
          <w:rFonts w:ascii="Times New Roman" w:hAnsi="Times New Roman"/>
          <w:szCs w:val="24"/>
        </w:rPr>
      </w:pPr>
      <w:r w:rsidRPr="000B35A4">
        <w:rPr>
          <w:rFonts w:ascii="標楷體" w:eastAsia="標楷體" w:hAnsi="標楷體" w:cs="Calibri"/>
          <w:szCs w:val="24"/>
        </w:rPr>
        <w:t>Ⅲ.發生嚴重再生不良性貧血者，其檢查結果符合下列兩項或兩項以上者：（102/10/1、114/2/1）</w:t>
      </w:r>
    </w:p>
    <w:p w14:paraId="5BCC0DB1"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新細明體" w:hAnsi="新細明體" w:cs="新細明體"/>
          <w:szCs w:val="24"/>
        </w:rPr>
        <w:t>ⅰ</w:t>
      </w:r>
      <w:r w:rsidRPr="000B35A4">
        <w:rPr>
          <w:rFonts w:ascii="標楷體" w:eastAsia="標楷體" w:hAnsi="標楷體" w:cs="Calibri"/>
          <w:szCs w:val="24"/>
        </w:rPr>
        <w:t>.中性白血球數目(neutrophil count) &lt;0.5x109/L。</w:t>
      </w:r>
    </w:p>
    <w:p w14:paraId="3E361F5C"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新細明體" w:hAnsi="新細明體" w:cs="新細明體"/>
          <w:szCs w:val="24"/>
        </w:rPr>
        <w:t>ⅱ</w:t>
      </w:r>
      <w:r w:rsidRPr="000B35A4">
        <w:rPr>
          <w:rFonts w:ascii="標楷體" w:eastAsia="標楷體" w:hAnsi="標楷體" w:cs="Calibri"/>
          <w:szCs w:val="24"/>
        </w:rPr>
        <w:t>.血小板數目( platelet count) &lt;20x109/L。</w:t>
      </w:r>
    </w:p>
    <w:p w14:paraId="3D5DE104"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新細明體" w:hAnsi="新細明體" w:cs="新細明體"/>
          <w:szCs w:val="24"/>
        </w:rPr>
        <w:t>ⅲ</w:t>
      </w:r>
      <w:r w:rsidRPr="000B35A4">
        <w:rPr>
          <w:rFonts w:ascii="標楷體" w:eastAsia="標楷體" w:hAnsi="標楷體" w:cs="Calibri"/>
          <w:szCs w:val="24"/>
        </w:rPr>
        <w:t>.網狀細胞(reticulocytes) &lt;25x109/L。</w:t>
      </w:r>
    </w:p>
    <w:p w14:paraId="558E3310" w14:textId="77777777" w:rsidR="000B35A4" w:rsidRPr="000B35A4" w:rsidRDefault="000B35A4" w:rsidP="000B35A4">
      <w:pPr>
        <w:suppressAutoHyphens w:val="0"/>
        <w:autoSpaceDN/>
        <w:ind w:leftChars="547" w:left="1558" w:hangingChars="102" w:hanging="245"/>
        <w:textAlignment w:val="auto"/>
        <w:rPr>
          <w:rFonts w:ascii="Times New Roman" w:hAnsi="Times New Roman"/>
          <w:szCs w:val="24"/>
        </w:rPr>
      </w:pPr>
      <w:r w:rsidRPr="000B35A4">
        <w:rPr>
          <w:rFonts w:ascii="新細明體" w:hAnsi="新細明體" w:cs="新細明體"/>
          <w:szCs w:val="24"/>
        </w:rPr>
        <w:t>ⅳ</w:t>
      </w:r>
      <w:r w:rsidRPr="000B35A4">
        <w:rPr>
          <w:rFonts w:ascii="標楷體" w:eastAsia="標楷體" w:hAnsi="標楷體" w:cs="Calibri"/>
          <w:szCs w:val="24"/>
        </w:rPr>
        <w:t>.骨髓內造血細胞密度 &lt;30%。</w:t>
      </w:r>
    </w:p>
    <w:p w14:paraId="4B49DA22" w14:textId="77777777" w:rsidR="000B35A4" w:rsidRPr="000B35A4" w:rsidRDefault="000B35A4" w:rsidP="000B35A4">
      <w:pPr>
        <w:suppressAutoHyphens w:val="0"/>
        <w:autoSpaceDN/>
        <w:ind w:leftChars="547" w:left="1558" w:hangingChars="102" w:hanging="245"/>
        <w:textAlignment w:val="auto"/>
        <w:rPr>
          <w:rFonts w:ascii="Times New Roman" w:hAnsi="Times New Roman"/>
          <w:szCs w:val="24"/>
        </w:rPr>
      </w:pPr>
      <w:r w:rsidRPr="000B35A4">
        <w:rPr>
          <w:rFonts w:ascii="標楷體" w:eastAsia="標楷體" w:hAnsi="標楷體" w:cs="Cambria Math"/>
          <w:szCs w:val="24"/>
        </w:rPr>
        <w:t>◎</w:t>
      </w:r>
      <w:r w:rsidRPr="000B35A4">
        <w:rPr>
          <w:rFonts w:ascii="標楷體" w:eastAsia="標楷體" w:hAnsi="標楷體" w:cs="Calibri"/>
          <w:szCs w:val="24"/>
        </w:rPr>
        <w:t>附表三十之一：全民健康保險使用陣發性夜間血紅素尿症治療藥品eculizumab、ravulizumab特殊專案審查申請表</w:t>
      </w:r>
    </w:p>
    <w:p w14:paraId="6B4224B6"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mbria Math"/>
          <w:szCs w:val="24"/>
        </w:rPr>
        <w:t>◎</w:t>
      </w:r>
      <w:r w:rsidRPr="000B35A4">
        <w:rPr>
          <w:rFonts w:ascii="標楷體" w:eastAsia="標楷體" w:hAnsi="標楷體" w:cs="Calibri"/>
          <w:szCs w:val="24"/>
        </w:rPr>
        <w:t>附表三十之二：陣發性夜間血紅素尿症患者特殊專案審查申請Soliris (eculizumab)、Ultomiris (ravulizumab)用藥檢附資料查檢表</w:t>
      </w:r>
    </w:p>
    <w:p w14:paraId="63875C91" w14:textId="77777777" w:rsidR="000B35A4" w:rsidRPr="000B35A4" w:rsidRDefault="000B35A4" w:rsidP="000B35A4">
      <w:pPr>
        <w:suppressAutoHyphens w:val="0"/>
        <w:autoSpaceDN/>
        <w:ind w:leftChars="236" w:left="811" w:hangingChars="102" w:hanging="245"/>
        <w:textAlignment w:val="auto"/>
        <w:rPr>
          <w:rFonts w:ascii="標楷體" w:eastAsia="標楷體" w:hAnsi="標楷體" w:cs="Calibri"/>
          <w:sz w:val="28"/>
          <w:szCs w:val="28"/>
        </w:rPr>
      </w:pPr>
      <w:r w:rsidRPr="000B35A4">
        <w:rPr>
          <w:rFonts w:ascii="標楷體" w:eastAsia="標楷體" w:hAnsi="標楷體" w:cs="Calibri"/>
          <w:szCs w:val="24"/>
        </w:rPr>
        <w:t>2.</w:t>
      </w:r>
      <w:r w:rsidRPr="000B35A4">
        <w:rPr>
          <w:rFonts w:ascii="標楷體" w:eastAsia="標楷體" w:hAnsi="標楷體" w:cs="Calibri"/>
          <w:szCs w:val="24"/>
        </w:rPr>
        <w:tab/>
        <w:t>用於經衛生福利部國民健康署認定之非典型性尿毒溶血症候群(Atypical Hemolytic Uremic Syndrome, aHUS)病人：(108/6/1、108/9/1)</w:t>
      </w:r>
    </w:p>
    <w:p w14:paraId="5AF709A8"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olor w:val="000000"/>
          <w:szCs w:val="24"/>
        </w:rPr>
      </w:pPr>
      <w:r w:rsidRPr="000B35A4">
        <w:rPr>
          <w:rFonts w:ascii="標楷體" w:eastAsia="標楷體" w:hAnsi="標楷體"/>
          <w:color w:val="000000"/>
          <w:szCs w:val="24"/>
        </w:rPr>
        <w:t>(1)</w:t>
      </w:r>
      <w:r w:rsidRPr="000B35A4">
        <w:rPr>
          <w:rFonts w:ascii="標楷體" w:eastAsia="標楷體" w:hAnsi="標楷體" w:cs="Calibri"/>
          <w:szCs w:val="24"/>
        </w:rPr>
        <w:t>定義</w:t>
      </w:r>
      <w:r w:rsidRPr="000B35A4">
        <w:rPr>
          <w:rFonts w:ascii="標楷體" w:eastAsia="標楷體" w:hAnsi="標楷體"/>
          <w:color w:val="000000"/>
          <w:szCs w:val="24"/>
        </w:rPr>
        <w:t>：</w:t>
      </w:r>
    </w:p>
    <w:p w14:paraId="523A49D9" w14:textId="77777777" w:rsidR="000B35A4" w:rsidRPr="000B35A4" w:rsidRDefault="000B35A4" w:rsidP="000B35A4">
      <w:pPr>
        <w:ind w:left="1051" w:hanging="5"/>
        <w:rPr>
          <w:rFonts w:ascii="標楷體" w:eastAsia="標楷體" w:hAnsi="標楷體"/>
          <w:color w:val="000000"/>
          <w:szCs w:val="24"/>
        </w:rPr>
      </w:pPr>
      <w:r w:rsidRPr="000B35A4">
        <w:rPr>
          <w:rFonts w:ascii="標楷體" w:eastAsia="標楷體" w:hAnsi="標楷體"/>
          <w:color w:val="000000"/>
          <w:szCs w:val="24"/>
        </w:rPr>
        <w:t>非典型性尿毒溶血症候群為突然發生急性腎衰竭、急性溶血性貧血及低血小板(&lt;150,000/μL)符合尿毒溶血症候群診斷，且不合併嚴重ADAMTS13功能欠損、分泌類志賀氏毒素大腸桿菌(shiga-like toxin-producing E. coli, STEC)感染、肺炎鏈球菌感染，且未具有相關併存疾病、藥物相關或其他等條件(coexisting diseases/conditions)者。少數也有可能因補體調節異常而產生非典型性尿毒溶血症候群，得視病患各別的情況由專家會議仔細評估及排除典型性尿毒溶血症候群的可能。</w:t>
      </w:r>
    </w:p>
    <w:p w14:paraId="212FDF2D"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olor w:val="000000"/>
          <w:szCs w:val="24"/>
        </w:rPr>
      </w:pPr>
      <w:r w:rsidRPr="000B35A4">
        <w:rPr>
          <w:rFonts w:ascii="標楷體" w:eastAsia="標楷體" w:hAnsi="標楷體"/>
          <w:color w:val="000000"/>
          <w:szCs w:val="24"/>
        </w:rPr>
        <w:t>(2)</w:t>
      </w:r>
      <w:r w:rsidRPr="000B35A4">
        <w:rPr>
          <w:rFonts w:ascii="標楷體" w:eastAsia="標楷體" w:hAnsi="標楷體" w:cs="Calibri"/>
          <w:szCs w:val="24"/>
        </w:rPr>
        <w:t>治療</w:t>
      </w:r>
      <w:r w:rsidRPr="000B35A4">
        <w:rPr>
          <w:rFonts w:ascii="標楷體" w:eastAsia="標楷體" w:hAnsi="標楷體"/>
          <w:color w:val="000000"/>
          <w:szCs w:val="24"/>
        </w:rPr>
        <w:t>對血漿治療反應不佳之非典型溶血性尿毒症候群(aHUS)病人，且同時符合下列Ⅰ~Ⅲ之全部條件。</w:t>
      </w:r>
    </w:p>
    <w:p w14:paraId="449196EA" w14:textId="77777777" w:rsidR="000B35A4" w:rsidRPr="000B35A4" w:rsidRDefault="000B35A4" w:rsidP="000B35A4">
      <w:pPr>
        <w:suppressAutoHyphens w:val="0"/>
        <w:autoSpaceDN/>
        <w:ind w:leftChars="443" w:left="1315" w:hangingChars="105" w:hanging="252"/>
        <w:textAlignment w:val="auto"/>
        <w:rPr>
          <w:rFonts w:ascii="Times New Roman" w:hAnsi="Times New Roman"/>
          <w:szCs w:val="24"/>
        </w:rPr>
      </w:pPr>
      <w:r w:rsidRPr="000B35A4">
        <w:rPr>
          <w:rFonts w:ascii="標楷體" w:eastAsia="標楷體" w:hAnsi="標楷體"/>
          <w:color w:val="000000"/>
          <w:szCs w:val="24"/>
        </w:rPr>
        <w:t>I.病人最近一週已進行至少4次的血漿置換或血漿輸液治療，仍出現血小板數&lt; 150,000/μL，且比最近一次(須至少一個月前)TMA之前之3次血小板數平均值低至少25%；若無法取得之過去之血小板檢驗數值，則最進一次發病時之血小板數值須</w:t>
      </w:r>
      <w:r w:rsidRPr="000B35A4">
        <w:rPr>
          <w:rFonts w:ascii="Times New Roman" w:eastAsia="標楷體" w:hAnsi="Times New Roman"/>
          <w:color w:val="000000"/>
          <w:szCs w:val="24"/>
        </w:rPr>
        <w:t>≤</w:t>
      </w:r>
      <w:r w:rsidRPr="000B35A4">
        <w:rPr>
          <w:rFonts w:ascii="標楷體" w:eastAsia="標楷體" w:hAnsi="標楷體"/>
          <w:color w:val="000000"/>
          <w:szCs w:val="24"/>
        </w:rPr>
        <w:t xml:space="preserve"> 75,000/μL，且病患最近一週已進行至少4次的血漿置換或血漿輸液治療，仍出現血小板數</w:t>
      </w:r>
      <w:r w:rsidRPr="000B35A4">
        <w:rPr>
          <w:rFonts w:ascii="Times New Roman" w:eastAsia="標楷體" w:hAnsi="Times New Roman"/>
          <w:color w:val="000000"/>
          <w:szCs w:val="24"/>
        </w:rPr>
        <w:t>≤</w:t>
      </w:r>
      <w:r w:rsidRPr="000B35A4">
        <w:rPr>
          <w:rFonts w:ascii="標楷體" w:eastAsia="標楷體" w:hAnsi="標楷體"/>
          <w:color w:val="000000"/>
          <w:szCs w:val="24"/>
        </w:rPr>
        <w:t xml:space="preserve"> 100,000/μL。</w:t>
      </w:r>
    </w:p>
    <w:p w14:paraId="2057797C"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II.LDH大於正常上限值(＞ upper limit of normal (ULN))，或病人持續接受血漿置換治療，而LDH於最近一次發病時至少超過正常上限值。</w:t>
      </w:r>
    </w:p>
    <w:p w14:paraId="56DC41CB" w14:textId="77777777" w:rsidR="000B35A4" w:rsidRPr="000B35A4" w:rsidRDefault="000B35A4" w:rsidP="000B35A4">
      <w:pPr>
        <w:suppressAutoHyphens w:val="0"/>
        <w:autoSpaceDN/>
        <w:ind w:leftChars="443" w:left="1315" w:hangingChars="105" w:hanging="252"/>
        <w:textAlignment w:val="auto"/>
        <w:rPr>
          <w:rFonts w:ascii="Times New Roman" w:hAnsi="Times New Roman"/>
          <w:szCs w:val="24"/>
        </w:rPr>
      </w:pPr>
      <w:r w:rsidRPr="000B35A4">
        <w:rPr>
          <w:rFonts w:ascii="標楷體" w:eastAsia="標楷體" w:hAnsi="標楷體"/>
          <w:color w:val="000000"/>
          <w:szCs w:val="24"/>
        </w:rPr>
        <w:t>III.血清肌酸酐 (creatinine)大於或等於年齡之正常上限值(</w:t>
      </w:r>
      <w:r w:rsidRPr="000B35A4">
        <w:rPr>
          <w:rFonts w:ascii="Times New Roman" w:eastAsia="標楷體" w:hAnsi="Times New Roman"/>
          <w:color w:val="000000"/>
          <w:szCs w:val="24"/>
        </w:rPr>
        <w:t>≥</w:t>
      </w:r>
      <w:r w:rsidRPr="000B35A4">
        <w:rPr>
          <w:rFonts w:ascii="標楷體" w:eastAsia="標楷體" w:hAnsi="標楷體"/>
          <w:color w:val="000000"/>
          <w:szCs w:val="24"/>
        </w:rPr>
        <w:t xml:space="preserve"> ULN for age)，或因急性腎衰竭須要緊急透析治療之病人。</w:t>
      </w:r>
    </w:p>
    <w:p w14:paraId="5AD4E7FB"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olor w:val="000000"/>
          <w:szCs w:val="24"/>
        </w:rPr>
      </w:pPr>
      <w:r w:rsidRPr="000B35A4">
        <w:rPr>
          <w:rFonts w:ascii="標楷體" w:eastAsia="標楷體" w:hAnsi="標楷體"/>
          <w:color w:val="000000"/>
          <w:szCs w:val="24"/>
        </w:rPr>
        <w:lastRenderedPageBreak/>
        <w:t>(3)</w:t>
      </w:r>
      <w:r w:rsidRPr="000B35A4">
        <w:rPr>
          <w:rFonts w:ascii="標楷體" w:eastAsia="標楷體" w:hAnsi="標楷體" w:cs="Calibri"/>
          <w:szCs w:val="24"/>
        </w:rPr>
        <w:t>符合</w:t>
      </w:r>
      <w:r w:rsidRPr="000B35A4">
        <w:rPr>
          <w:rFonts w:ascii="標楷體" w:eastAsia="標楷體" w:hAnsi="標楷體"/>
          <w:color w:val="000000"/>
          <w:szCs w:val="24"/>
        </w:rPr>
        <w:t>尿毒溶血症候群診斷且排除以下情況：</w:t>
      </w:r>
    </w:p>
    <w:p w14:paraId="34D45CDB"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I.「典型性尿毒溶血症候群」</w:t>
      </w:r>
    </w:p>
    <w:p w14:paraId="51FAFAC6"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II.「次發性非典型性尿毒溶血症候群」，與下列情形相關者：</w:t>
      </w:r>
    </w:p>
    <w:p w14:paraId="24736722"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olor w:val="000000"/>
          <w:szCs w:val="24"/>
        </w:rPr>
        <w:t>i.流</w:t>
      </w:r>
      <w:r w:rsidRPr="000B35A4">
        <w:rPr>
          <w:rFonts w:ascii="標楷體" w:eastAsia="標楷體" w:hAnsi="標楷體" w:cs="Calibri"/>
          <w:szCs w:val="24"/>
        </w:rPr>
        <w:t>感</w:t>
      </w:r>
    </w:p>
    <w:p w14:paraId="7A4837B9"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ii.肺炎鏈球菌感染</w:t>
      </w:r>
    </w:p>
    <w:p w14:paraId="3F8EB323"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iii.分泌類志賀氏毒素大腸桿菌(shiga-like toxin-producing Escherichia coli)感染</w:t>
      </w:r>
    </w:p>
    <w:p w14:paraId="607B142A"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 xml:space="preserve">iv.thrombotic thrombocytopenic purpura (TTP) </w:t>
      </w:r>
    </w:p>
    <w:p w14:paraId="6CC16FEA"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v.合併HELLP (hemolytic anemia, elevated liver enzymes and low platelets) syndrome</w:t>
      </w:r>
    </w:p>
    <w:p w14:paraId="53EF49FC"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vi.使用中藥物，如calcineurin inhibitors、化學治療、血小板抑制劑、口服避孕藥等</w:t>
      </w:r>
    </w:p>
    <w:p w14:paraId="1DF62AA1"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vii.其他血栓性微血管病 (thrombotic microangiopathy)，包括惡性高血壓 (malignant hypertension)、抗磷脂質症候群 (antiphospholipid syndrome)、瀰漫性血管內凝血 (disseminated intravascular coagulation)</w:t>
      </w:r>
    </w:p>
    <w:p w14:paraId="07CE336A"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olor w:val="000000"/>
          <w:szCs w:val="24"/>
        </w:rPr>
      </w:pPr>
      <w:r w:rsidRPr="000B35A4">
        <w:rPr>
          <w:rFonts w:ascii="標楷體" w:eastAsia="標楷體" w:hAnsi="標楷體" w:cs="Calibri"/>
          <w:szCs w:val="24"/>
        </w:rPr>
        <w:t>viii.Cob</w:t>
      </w:r>
      <w:r w:rsidRPr="000B35A4">
        <w:rPr>
          <w:rFonts w:ascii="標楷體" w:eastAsia="標楷體" w:hAnsi="標楷體"/>
          <w:color w:val="000000"/>
          <w:szCs w:val="24"/>
        </w:rPr>
        <w:t>alamin C欠損相關之尿毒溶血症候群</w:t>
      </w:r>
    </w:p>
    <w:p w14:paraId="0C972395"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olor w:val="000000"/>
          <w:szCs w:val="24"/>
        </w:rPr>
      </w:pPr>
      <w:r w:rsidRPr="000B35A4">
        <w:rPr>
          <w:rFonts w:ascii="標楷體" w:eastAsia="標楷體" w:hAnsi="標楷體"/>
          <w:color w:val="000000"/>
          <w:szCs w:val="24"/>
        </w:rPr>
        <w:t>(4)</w:t>
      </w:r>
      <w:r w:rsidRPr="000B35A4">
        <w:rPr>
          <w:rFonts w:ascii="標楷體" w:eastAsia="標楷體" w:hAnsi="標楷體" w:cs="Calibri"/>
          <w:szCs w:val="24"/>
        </w:rPr>
        <w:t>病人</w:t>
      </w:r>
      <w:r w:rsidRPr="000B35A4">
        <w:rPr>
          <w:rFonts w:ascii="標楷體" w:eastAsia="標楷體" w:hAnsi="標楷體"/>
          <w:color w:val="000000"/>
          <w:szCs w:val="24"/>
        </w:rPr>
        <w:t>同時符合下列條件Ⅰ、Ⅱ、Ⅲ及Ⅳ-Ⅷ至少一個器官侵犯時，屬於重症。只有重症才需要使用血漿置換術或eculizumab治療 (但使用eculizumab之前，仍需符合前述最近一週已進行至少4次的血漿置換或血漿輸液治療反應不佳等條件)：</w:t>
      </w:r>
    </w:p>
    <w:p w14:paraId="1D3CB5D7"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w:t>
      </w:r>
      <w:r w:rsidRPr="000B35A4">
        <w:rPr>
          <w:rFonts w:ascii="標楷體" w:eastAsia="標楷體" w:hAnsi="標楷體"/>
          <w:color w:val="000000"/>
          <w:szCs w:val="24"/>
        </w:rPr>
        <w:tab/>
        <w:t>溶血性貧血(Hb低於10.0g/dl)</w:t>
      </w:r>
    </w:p>
    <w:p w14:paraId="3D18C11D"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II.血小板減少(血小板低於150,000/μL)</w:t>
      </w:r>
    </w:p>
    <w:p w14:paraId="79B53E5D"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III.血清LDH升高(高於各醫院檢驗室之正常值)</w:t>
      </w:r>
    </w:p>
    <w:p w14:paraId="392664E8"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IV.急性腎衰竭(成人AKI第2期以上，兒童請參考表1)</w:t>
      </w:r>
    </w:p>
    <w:p w14:paraId="10F9DA25"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V.</w:t>
      </w:r>
      <w:r w:rsidRPr="000B35A4">
        <w:rPr>
          <w:rFonts w:ascii="標楷體" w:eastAsia="標楷體" w:hAnsi="標楷體"/>
          <w:color w:val="000000"/>
          <w:szCs w:val="24"/>
        </w:rPr>
        <w:tab/>
        <w:t>腦血管病變(例如腦中風等)</w:t>
      </w:r>
    </w:p>
    <w:p w14:paraId="5C328A51"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VI.心臟障礙(例如缺血性心臟病、心衰竭)</w:t>
      </w:r>
    </w:p>
    <w:p w14:paraId="19F12D34"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VII.呼吸障礙(氧合能力200mmHg &lt; PaO2/FiO2 ≦ 300mmHg + PEEP或CPAP≧ 5cmH2O)</w:t>
      </w:r>
    </w:p>
    <w:p w14:paraId="545FED52"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VIII.缺血性腸炎、小腸破裂</w:t>
      </w:r>
    </w:p>
    <w:p w14:paraId="7F203CED" w14:textId="77777777" w:rsidR="000B35A4" w:rsidRPr="000B35A4" w:rsidRDefault="000B35A4" w:rsidP="000B35A4">
      <w:pPr>
        <w:spacing w:line="400" w:lineRule="exact"/>
        <w:ind w:left="34" w:firstLineChars="104" w:firstLine="250"/>
        <w:rPr>
          <w:rFonts w:ascii="Times New Roman" w:eastAsia="標楷體" w:hAnsi="Times New Roman"/>
          <w:szCs w:val="24"/>
        </w:rPr>
      </w:pPr>
      <w:r w:rsidRPr="000B35A4">
        <w:rPr>
          <w:rFonts w:ascii="Times New Roman" w:eastAsia="標楷體" w:hAnsi="Times New Roman"/>
          <w:szCs w:val="24"/>
        </w:rPr>
        <w:t>表</w:t>
      </w:r>
      <w:r w:rsidRPr="000B35A4">
        <w:rPr>
          <w:rFonts w:ascii="Times New Roman" w:eastAsia="標楷體" w:hAnsi="Times New Roman"/>
          <w:szCs w:val="24"/>
        </w:rPr>
        <w:t>1</w:t>
      </w:r>
      <w:r w:rsidRPr="000B35A4">
        <w:rPr>
          <w:rFonts w:ascii="Times New Roman" w:eastAsia="標楷體" w:hAnsi="Times New Roman"/>
          <w:szCs w:val="24"/>
        </w:rPr>
        <w:t>急性腎衰竭定義</w:t>
      </w:r>
    </w:p>
    <w:tbl>
      <w:tblPr>
        <w:tblW w:w="4750" w:type="pct"/>
        <w:tblInd w:w="250" w:type="dxa"/>
        <w:tblLayout w:type="fixed"/>
        <w:tblCellMar>
          <w:left w:w="10" w:type="dxa"/>
          <w:right w:w="10" w:type="dxa"/>
        </w:tblCellMar>
        <w:tblLook w:val="0000" w:firstRow="0" w:lastRow="0" w:firstColumn="0" w:lastColumn="0" w:noHBand="0" w:noVBand="0"/>
      </w:tblPr>
      <w:tblGrid>
        <w:gridCol w:w="798"/>
        <w:gridCol w:w="4128"/>
        <w:gridCol w:w="3681"/>
      </w:tblGrid>
      <w:tr w:rsidR="000B35A4" w:rsidRPr="000B35A4" w14:paraId="55BAC665" w14:textId="77777777" w:rsidTr="009A1A75">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E3DA5" w14:textId="77777777" w:rsidR="000B35A4" w:rsidRPr="000B35A4" w:rsidRDefault="000B35A4" w:rsidP="000B35A4">
            <w:pPr>
              <w:rPr>
                <w:rFonts w:ascii="Times New Roman" w:eastAsia="標楷體" w:hAnsi="Times New Roman"/>
                <w:sz w:val="20"/>
                <w:szCs w:val="20"/>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FAC00"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血清肌酸酐</w:t>
            </w:r>
            <w:r w:rsidRPr="000B35A4">
              <w:rPr>
                <w:rFonts w:ascii="Times New Roman" w:eastAsia="標楷體" w:hAnsi="Times New Roman"/>
                <w:sz w:val="20"/>
                <w:szCs w:val="20"/>
              </w:rPr>
              <w:t>(Cr)</w:t>
            </w:r>
          </w:p>
        </w:tc>
        <w:tc>
          <w:tcPr>
            <w:tcW w:w="4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6334D"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尿量</w:t>
            </w:r>
          </w:p>
        </w:tc>
      </w:tr>
      <w:tr w:rsidR="000B35A4" w:rsidRPr="000B35A4" w14:paraId="655B7CED" w14:textId="77777777" w:rsidTr="009A1A75">
        <w:trPr>
          <w:trHeight w:val="914"/>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9FE15"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病期</w:t>
            </w:r>
            <w:r w:rsidRPr="000B35A4">
              <w:rPr>
                <w:rFonts w:ascii="Times New Roman" w:eastAsia="標楷體" w:hAnsi="Times New Roman"/>
                <w:sz w:val="20"/>
                <w:szCs w:val="20"/>
              </w:rPr>
              <w:t>1</w:t>
            </w: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57354"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基準值之</w:t>
            </w:r>
            <w:r w:rsidRPr="000B35A4">
              <w:rPr>
                <w:rFonts w:ascii="Times New Roman" w:eastAsia="標楷體" w:hAnsi="Times New Roman"/>
                <w:sz w:val="20"/>
                <w:szCs w:val="20"/>
              </w:rPr>
              <w:t>1.5-1.9</w:t>
            </w:r>
            <w:r w:rsidRPr="000B35A4">
              <w:rPr>
                <w:rFonts w:ascii="Times New Roman" w:eastAsia="標楷體" w:hAnsi="Times New Roman"/>
                <w:sz w:val="20"/>
                <w:szCs w:val="20"/>
              </w:rPr>
              <w:t>倍</w:t>
            </w:r>
          </w:p>
        </w:tc>
        <w:tc>
          <w:tcPr>
            <w:tcW w:w="4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60F32"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6-12</w:t>
            </w:r>
            <w:r w:rsidRPr="000B35A4">
              <w:rPr>
                <w:rFonts w:ascii="Times New Roman" w:eastAsia="標楷體" w:hAnsi="Times New Roman"/>
                <w:sz w:val="20"/>
                <w:szCs w:val="20"/>
              </w:rPr>
              <w:t>小時量低於</w:t>
            </w:r>
          </w:p>
          <w:p w14:paraId="7F11B50C"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0.5ml/</w:t>
            </w:r>
            <w:r w:rsidRPr="000B35A4">
              <w:rPr>
                <w:rFonts w:ascii="Times New Roman" w:eastAsia="標楷體" w:hAnsi="Times New Roman"/>
                <w:sz w:val="20"/>
                <w:szCs w:val="20"/>
              </w:rPr>
              <w:t>公斤體重</w:t>
            </w:r>
            <w:r w:rsidRPr="000B35A4">
              <w:rPr>
                <w:rFonts w:ascii="Times New Roman" w:eastAsia="標楷體" w:hAnsi="Times New Roman"/>
                <w:sz w:val="20"/>
                <w:szCs w:val="20"/>
              </w:rPr>
              <w:t>/</w:t>
            </w:r>
            <w:r w:rsidRPr="000B35A4">
              <w:rPr>
                <w:rFonts w:ascii="Times New Roman" w:eastAsia="標楷體" w:hAnsi="Times New Roman"/>
                <w:sz w:val="20"/>
                <w:szCs w:val="20"/>
              </w:rPr>
              <w:t>小時</w:t>
            </w:r>
          </w:p>
        </w:tc>
      </w:tr>
      <w:tr w:rsidR="000B35A4" w:rsidRPr="000B35A4" w14:paraId="78590DC0" w14:textId="77777777" w:rsidTr="009A1A75">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47BC6"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病期</w:t>
            </w:r>
            <w:r w:rsidRPr="000B35A4">
              <w:rPr>
                <w:rFonts w:ascii="Times New Roman" w:eastAsia="標楷體" w:hAnsi="Times New Roman"/>
                <w:sz w:val="20"/>
                <w:szCs w:val="20"/>
              </w:rPr>
              <w:t>2</w:t>
            </w: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D0F14"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基準值之</w:t>
            </w:r>
            <w:r w:rsidRPr="000B35A4">
              <w:rPr>
                <w:rFonts w:ascii="Times New Roman" w:eastAsia="標楷體" w:hAnsi="Times New Roman"/>
                <w:sz w:val="20"/>
                <w:szCs w:val="20"/>
              </w:rPr>
              <w:t>2.0-2.9</w:t>
            </w:r>
            <w:r w:rsidRPr="000B35A4">
              <w:rPr>
                <w:rFonts w:ascii="Times New Roman" w:eastAsia="標楷體" w:hAnsi="Times New Roman"/>
                <w:sz w:val="20"/>
                <w:szCs w:val="20"/>
              </w:rPr>
              <w:t>倍</w:t>
            </w:r>
          </w:p>
        </w:tc>
        <w:tc>
          <w:tcPr>
            <w:tcW w:w="4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5C4A"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12</w:t>
            </w:r>
            <w:r w:rsidRPr="000B35A4">
              <w:rPr>
                <w:rFonts w:ascii="Times New Roman" w:eastAsia="標楷體" w:hAnsi="Times New Roman"/>
                <w:sz w:val="20"/>
                <w:szCs w:val="20"/>
              </w:rPr>
              <w:t>小時以上低於</w:t>
            </w:r>
          </w:p>
          <w:p w14:paraId="73D9748C"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0.5ml/</w:t>
            </w:r>
            <w:r w:rsidRPr="000B35A4">
              <w:rPr>
                <w:rFonts w:ascii="Times New Roman" w:eastAsia="標楷體" w:hAnsi="Times New Roman"/>
                <w:sz w:val="20"/>
                <w:szCs w:val="20"/>
              </w:rPr>
              <w:t>公斤體重</w:t>
            </w:r>
            <w:r w:rsidRPr="000B35A4">
              <w:rPr>
                <w:rFonts w:ascii="Times New Roman" w:eastAsia="標楷體" w:hAnsi="Times New Roman"/>
                <w:sz w:val="20"/>
                <w:szCs w:val="20"/>
              </w:rPr>
              <w:t>/</w:t>
            </w:r>
            <w:r w:rsidRPr="000B35A4">
              <w:rPr>
                <w:rFonts w:ascii="Times New Roman" w:eastAsia="標楷體" w:hAnsi="Times New Roman"/>
                <w:sz w:val="20"/>
                <w:szCs w:val="20"/>
              </w:rPr>
              <w:t>小時</w:t>
            </w:r>
          </w:p>
        </w:tc>
      </w:tr>
      <w:tr w:rsidR="000B35A4" w:rsidRPr="000B35A4" w14:paraId="2FFB8480" w14:textId="77777777" w:rsidTr="009A1A75">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785D"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病期</w:t>
            </w:r>
            <w:r w:rsidRPr="000B35A4">
              <w:rPr>
                <w:rFonts w:ascii="Times New Roman" w:eastAsia="標楷體" w:hAnsi="Times New Roman"/>
                <w:sz w:val="20"/>
                <w:szCs w:val="20"/>
              </w:rPr>
              <w:t>3</w:t>
            </w: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33C5" w14:textId="77777777" w:rsidR="000B35A4" w:rsidRPr="000B35A4" w:rsidRDefault="000B35A4" w:rsidP="000B35A4">
            <w:pPr>
              <w:rPr>
                <w:rFonts w:ascii="Times New Roman" w:hAnsi="Times New Roman"/>
                <w:szCs w:val="24"/>
              </w:rPr>
            </w:pPr>
            <w:r w:rsidRPr="000B35A4">
              <w:rPr>
                <w:rFonts w:ascii="Times New Roman" w:eastAsia="標楷體" w:hAnsi="Times New Roman"/>
                <w:sz w:val="20"/>
                <w:szCs w:val="20"/>
              </w:rPr>
              <w:t>基準值之</w:t>
            </w:r>
            <w:r w:rsidRPr="000B35A4">
              <w:rPr>
                <w:rFonts w:ascii="Times New Roman" w:eastAsia="標楷體" w:hAnsi="Times New Roman"/>
                <w:sz w:val="20"/>
                <w:szCs w:val="20"/>
              </w:rPr>
              <w:t>3</w:t>
            </w:r>
            <w:r w:rsidRPr="000B35A4">
              <w:rPr>
                <w:rFonts w:ascii="Times New Roman" w:eastAsia="標楷體" w:hAnsi="Times New Roman"/>
                <w:sz w:val="20"/>
                <w:szCs w:val="20"/>
              </w:rPr>
              <w:t>倍以上且血清肌酸酐</w:t>
            </w:r>
            <w:r w:rsidRPr="000B35A4">
              <w:rPr>
                <w:rFonts w:ascii="微軟正黑體" w:eastAsia="微軟正黑體" w:hAnsi="微軟正黑體" w:cs="微軟正黑體"/>
                <w:sz w:val="20"/>
                <w:szCs w:val="20"/>
              </w:rPr>
              <w:t>≧</w:t>
            </w:r>
            <w:r w:rsidRPr="000B35A4">
              <w:rPr>
                <w:rFonts w:ascii="Times New Roman" w:eastAsia="標楷體" w:hAnsi="Times New Roman"/>
                <w:sz w:val="20"/>
                <w:szCs w:val="20"/>
              </w:rPr>
              <w:t>4.0mg/dl</w:t>
            </w:r>
            <w:r w:rsidRPr="000B35A4">
              <w:rPr>
                <w:rFonts w:ascii="Times New Roman" w:eastAsia="標楷體" w:hAnsi="Times New Roman"/>
                <w:sz w:val="20"/>
                <w:szCs w:val="20"/>
              </w:rPr>
              <w:t>，且開始腎臟替代療法，在</w:t>
            </w:r>
            <w:r w:rsidRPr="000B35A4">
              <w:rPr>
                <w:rFonts w:ascii="Times New Roman" w:eastAsia="標楷體" w:hAnsi="Times New Roman"/>
                <w:sz w:val="20"/>
                <w:szCs w:val="20"/>
              </w:rPr>
              <w:t>18</w:t>
            </w:r>
            <w:r w:rsidRPr="000B35A4">
              <w:rPr>
                <w:rFonts w:ascii="Times New Roman" w:eastAsia="標楷體" w:hAnsi="Times New Roman"/>
                <w:sz w:val="20"/>
                <w:szCs w:val="20"/>
              </w:rPr>
              <w:t>歲以下則</w:t>
            </w:r>
            <w:r w:rsidRPr="000B35A4">
              <w:rPr>
                <w:rFonts w:ascii="Times New Roman" w:eastAsia="標楷體" w:hAnsi="Times New Roman"/>
                <w:sz w:val="20"/>
                <w:szCs w:val="20"/>
              </w:rPr>
              <w:t>eGFR&lt;35ml/min/1.73m</w:t>
            </w:r>
            <w:r w:rsidRPr="000B35A4">
              <w:rPr>
                <w:rFonts w:ascii="Times New Roman" w:eastAsia="標楷體" w:hAnsi="Times New Roman"/>
                <w:sz w:val="20"/>
                <w:szCs w:val="20"/>
                <w:vertAlign w:val="superscript"/>
              </w:rPr>
              <w:t>2</w:t>
            </w:r>
          </w:p>
        </w:tc>
        <w:tc>
          <w:tcPr>
            <w:tcW w:w="4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5D7F2"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24</w:t>
            </w:r>
            <w:r w:rsidRPr="000B35A4">
              <w:rPr>
                <w:rFonts w:ascii="Times New Roman" w:eastAsia="標楷體" w:hAnsi="Times New Roman"/>
                <w:sz w:val="20"/>
                <w:szCs w:val="20"/>
              </w:rPr>
              <w:t>小時以上</w:t>
            </w:r>
          </w:p>
          <w:p w14:paraId="19BA2E6A"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&lt;0.3ml/</w:t>
            </w:r>
            <w:r w:rsidRPr="000B35A4">
              <w:rPr>
                <w:rFonts w:ascii="Times New Roman" w:eastAsia="標楷體" w:hAnsi="Times New Roman"/>
                <w:sz w:val="20"/>
                <w:szCs w:val="20"/>
              </w:rPr>
              <w:t>公斤體重</w:t>
            </w:r>
            <w:r w:rsidRPr="000B35A4">
              <w:rPr>
                <w:rFonts w:ascii="Times New Roman" w:eastAsia="標楷體" w:hAnsi="Times New Roman"/>
                <w:sz w:val="20"/>
                <w:szCs w:val="20"/>
              </w:rPr>
              <w:t>/</w:t>
            </w:r>
            <w:r w:rsidRPr="000B35A4">
              <w:rPr>
                <w:rFonts w:ascii="Times New Roman" w:eastAsia="標楷體" w:hAnsi="Times New Roman"/>
                <w:sz w:val="20"/>
                <w:szCs w:val="20"/>
              </w:rPr>
              <w:t>小時</w:t>
            </w:r>
          </w:p>
          <w:p w14:paraId="169367A3" w14:textId="77777777" w:rsidR="000B35A4" w:rsidRPr="000B35A4" w:rsidRDefault="000B35A4" w:rsidP="000B35A4">
            <w:pPr>
              <w:rPr>
                <w:rFonts w:ascii="Times New Roman" w:eastAsia="標楷體" w:hAnsi="Times New Roman"/>
                <w:sz w:val="20"/>
                <w:szCs w:val="20"/>
              </w:rPr>
            </w:pPr>
            <w:r w:rsidRPr="000B35A4">
              <w:rPr>
                <w:rFonts w:ascii="Times New Roman" w:eastAsia="標楷體" w:hAnsi="Times New Roman"/>
                <w:sz w:val="20"/>
                <w:szCs w:val="20"/>
              </w:rPr>
              <w:t>或</w:t>
            </w:r>
            <w:r w:rsidRPr="000B35A4">
              <w:rPr>
                <w:rFonts w:ascii="Times New Roman" w:eastAsia="標楷體" w:hAnsi="Times New Roman"/>
                <w:sz w:val="20"/>
                <w:szCs w:val="20"/>
              </w:rPr>
              <w:t>12</w:t>
            </w:r>
            <w:r w:rsidRPr="000B35A4">
              <w:rPr>
                <w:rFonts w:ascii="Times New Roman" w:eastAsia="標楷體" w:hAnsi="Times New Roman"/>
                <w:sz w:val="20"/>
                <w:szCs w:val="20"/>
              </w:rPr>
              <w:t>小時以上無尿</w:t>
            </w:r>
          </w:p>
        </w:tc>
      </w:tr>
    </w:tbl>
    <w:p w14:paraId="5F16E363" w14:textId="77777777" w:rsidR="000B35A4" w:rsidRPr="000B35A4" w:rsidRDefault="000B35A4" w:rsidP="000B35A4">
      <w:pPr>
        <w:ind w:left="993" w:hanging="1031"/>
        <w:rPr>
          <w:rFonts w:ascii="Times New Roman" w:hAnsi="Times New Roman"/>
          <w:szCs w:val="24"/>
        </w:rPr>
      </w:pPr>
      <w:r w:rsidRPr="000B35A4">
        <w:rPr>
          <w:rFonts w:ascii="Times New Roman" w:eastAsia="標楷體" w:hAnsi="Times New Roman"/>
          <w:szCs w:val="24"/>
        </w:rPr>
        <w:t>*KDIGO Clinical Practice Guideline for Acute Kidney Injury. Kidney Int Suppl 2012:2:1-138</w:t>
      </w:r>
    </w:p>
    <w:p w14:paraId="0C1E3259"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olor w:val="000000"/>
          <w:szCs w:val="24"/>
        </w:rPr>
      </w:pPr>
      <w:r w:rsidRPr="000B35A4">
        <w:rPr>
          <w:rFonts w:ascii="標楷體" w:eastAsia="標楷體" w:hAnsi="標楷體"/>
          <w:color w:val="000000"/>
          <w:szCs w:val="24"/>
        </w:rPr>
        <w:t>(5)</w:t>
      </w:r>
      <w:r w:rsidRPr="000B35A4">
        <w:rPr>
          <w:rFonts w:ascii="標楷體" w:eastAsia="標楷體" w:hAnsi="標楷體" w:cs="Calibri"/>
          <w:szCs w:val="24"/>
        </w:rPr>
        <w:t>用藥</w:t>
      </w:r>
      <w:r w:rsidRPr="000B35A4">
        <w:rPr>
          <w:rFonts w:ascii="標楷體" w:eastAsia="標楷體" w:hAnsi="標楷體"/>
          <w:color w:val="000000"/>
          <w:szCs w:val="24"/>
        </w:rPr>
        <w:t>禁忌</w:t>
      </w:r>
    </w:p>
    <w:p w14:paraId="7D7E2A97"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I.病人有嚴重之腦膜炎球菌 (Neisseria meningitis)感染</w:t>
      </w:r>
    </w:p>
    <w:p w14:paraId="6C34CDC7"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II.病人未施打過腦膜炎球菌疫苗，除非目前病情之權重高於腦膜炎感染之風險</w:t>
      </w:r>
    </w:p>
    <w:p w14:paraId="40C72CED"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s="Calibri"/>
          <w:szCs w:val="24"/>
        </w:rPr>
      </w:pPr>
      <w:r w:rsidRPr="000B35A4">
        <w:rPr>
          <w:rFonts w:ascii="標楷體" w:eastAsia="標楷體" w:hAnsi="標楷體"/>
          <w:color w:val="000000"/>
          <w:szCs w:val="24"/>
        </w:rPr>
        <w:lastRenderedPageBreak/>
        <w:t>(6)需</w:t>
      </w:r>
      <w:r w:rsidRPr="000B35A4">
        <w:rPr>
          <w:rFonts w:ascii="標楷體" w:eastAsia="標楷體" w:hAnsi="標楷體" w:cs="Calibri"/>
          <w:szCs w:val="24"/>
        </w:rPr>
        <w:t>檢送基因檢測報告經專家小組特殊專案審查核准後使用，每24週須重新申請，必要時得請照護病人之醫師專案報告。(108/9/1)</w:t>
      </w:r>
    </w:p>
    <w:p w14:paraId="34134DA6" w14:textId="77777777" w:rsidR="000B35A4" w:rsidRPr="000B35A4" w:rsidRDefault="000B35A4" w:rsidP="000B35A4">
      <w:pPr>
        <w:suppressAutoHyphens w:val="0"/>
        <w:autoSpaceDN/>
        <w:ind w:leftChars="295" w:left="989" w:hangingChars="117" w:hanging="281"/>
        <w:textAlignment w:val="auto"/>
        <w:rPr>
          <w:rFonts w:ascii="標楷體" w:eastAsia="標楷體" w:hAnsi="標楷體"/>
          <w:color w:val="000000"/>
          <w:szCs w:val="24"/>
        </w:rPr>
      </w:pPr>
      <w:r w:rsidRPr="000B35A4">
        <w:rPr>
          <w:rFonts w:ascii="標楷體" w:eastAsia="標楷體" w:hAnsi="標楷體" w:cs="Calibri"/>
          <w:szCs w:val="24"/>
        </w:rPr>
        <w:t>(7)使</w:t>
      </w:r>
      <w:r w:rsidRPr="000B35A4">
        <w:rPr>
          <w:rFonts w:ascii="標楷體" w:eastAsia="標楷體" w:hAnsi="標楷體"/>
          <w:color w:val="000000"/>
          <w:szCs w:val="24"/>
        </w:rPr>
        <w:t>用eculizumab治療aHUS之退場機制：</w:t>
      </w:r>
    </w:p>
    <w:p w14:paraId="6396B311"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I.Eculizumab治療有效及無效定義，如下：</w:t>
      </w:r>
    </w:p>
    <w:p w14:paraId="2760843F"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olor w:val="000000"/>
          <w:szCs w:val="24"/>
        </w:rPr>
        <w:t>i.</w:t>
      </w:r>
      <w:r w:rsidRPr="000B35A4">
        <w:rPr>
          <w:rFonts w:ascii="標楷體" w:eastAsia="標楷體" w:hAnsi="標楷體" w:cs="Calibri"/>
          <w:szCs w:val="24"/>
        </w:rPr>
        <w:t>治療有效定義：病人經使用eculizumab 6個月，其血栓性微血管病變獲得控制(指控制的定義為至少兩次檢驗，間隔超過一個月，血小板回復正常≧150,000/mm3，血紅素回復正常，LDH下降至正常值下限，持續呈現器官血栓性微血管病變)。</w:t>
      </w:r>
    </w:p>
    <w:p w14:paraId="3CBE1C09"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olor w:val="000000"/>
          <w:szCs w:val="24"/>
        </w:rPr>
      </w:pPr>
      <w:r w:rsidRPr="000B35A4">
        <w:rPr>
          <w:rFonts w:ascii="標楷體" w:eastAsia="標楷體" w:hAnsi="標楷體" w:cs="Calibri"/>
          <w:szCs w:val="24"/>
        </w:rPr>
        <w:t>ii.治</w:t>
      </w:r>
      <w:r w:rsidRPr="000B35A4">
        <w:rPr>
          <w:rFonts w:ascii="標楷體" w:eastAsia="標楷體" w:hAnsi="標楷體"/>
          <w:color w:val="000000"/>
          <w:szCs w:val="24"/>
        </w:rPr>
        <w:t>療無效定義：病人經使用eculizumab 6個月，無法使血栓性微血管病變獲得控制(控制的定義如上)；但須排除劑量不足或藥物經由尿液流失特別是併發腎病症候群患者。</w:t>
      </w:r>
    </w:p>
    <w:p w14:paraId="6446531E"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II.若治療反應無法達到有效，建議由其他專家再作劑量評估或排除非典型性尿毒溶血症候群之可能。</w:t>
      </w:r>
    </w:p>
    <w:p w14:paraId="78EF9B88" w14:textId="77777777" w:rsidR="000B35A4" w:rsidRPr="000B35A4" w:rsidRDefault="000B35A4" w:rsidP="000B35A4">
      <w:pPr>
        <w:suppressAutoHyphens w:val="0"/>
        <w:autoSpaceDN/>
        <w:ind w:leftChars="443" w:left="1315" w:hangingChars="105" w:hanging="252"/>
        <w:textAlignment w:val="auto"/>
        <w:rPr>
          <w:rFonts w:ascii="標楷體" w:eastAsia="標楷體" w:hAnsi="標楷體"/>
          <w:color w:val="000000"/>
          <w:szCs w:val="24"/>
        </w:rPr>
      </w:pPr>
      <w:r w:rsidRPr="000B35A4">
        <w:rPr>
          <w:rFonts w:ascii="標楷體" w:eastAsia="標楷體" w:hAnsi="標楷體"/>
          <w:color w:val="000000"/>
          <w:szCs w:val="24"/>
        </w:rPr>
        <w:t>III.退場機制建議如下：</w:t>
      </w:r>
    </w:p>
    <w:p w14:paraId="1B2EB75B"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olor w:val="000000"/>
          <w:szCs w:val="24"/>
        </w:rPr>
        <w:t>i.</w:t>
      </w:r>
      <w:r w:rsidRPr="000B35A4">
        <w:rPr>
          <w:rFonts w:ascii="標楷體" w:eastAsia="標楷體" w:hAnsi="標楷體" w:cs="Calibri"/>
          <w:szCs w:val="24"/>
        </w:rPr>
        <w:t>治療無效</w:t>
      </w:r>
    </w:p>
    <w:p w14:paraId="6A3CD6C7"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ii.慢性腎臟病第五期</w:t>
      </w:r>
    </w:p>
    <w:p w14:paraId="3B087D64" w14:textId="77777777" w:rsidR="000B35A4" w:rsidRPr="000B35A4" w:rsidRDefault="000B35A4" w:rsidP="000B35A4">
      <w:pPr>
        <w:suppressAutoHyphens w:val="0"/>
        <w:autoSpaceDN/>
        <w:ind w:leftChars="547" w:left="1558" w:hangingChars="102" w:hanging="245"/>
        <w:textAlignment w:val="auto"/>
        <w:rPr>
          <w:rFonts w:ascii="標楷體" w:eastAsia="標楷體" w:hAnsi="標楷體" w:cs="Calibri"/>
          <w:szCs w:val="24"/>
        </w:rPr>
      </w:pPr>
      <w:r w:rsidRPr="000B35A4">
        <w:rPr>
          <w:rFonts w:ascii="標楷體" w:eastAsia="標楷體" w:hAnsi="標楷體" w:cs="Calibri"/>
          <w:szCs w:val="24"/>
        </w:rPr>
        <w:t>iii.嚴重腦傷害導致神經性異常重度殘障</w:t>
      </w:r>
    </w:p>
    <w:p w14:paraId="4FBF2AC9" w14:textId="77777777" w:rsidR="000B35A4" w:rsidRPr="000B35A4" w:rsidRDefault="000B35A4" w:rsidP="000B35A4">
      <w:pPr>
        <w:suppressAutoHyphens w:val="0"/>
        <w:autoSpaceDN/>
        <w:ind w:leftChars="547" w:left="1558" w:hangingChars="102" w:hanging="245"/>
        <w:textAlignment w:val="auto"/>
        <w:rPr>
          <w:rFonts w:ascii="Times New Roman" w:hAnsi="Times New Roman"/>
          <w:szCs w:val="24"/>
        </w:rPr>
      </w:pPr>
      <w:r w:rsidRPr="000B35A4">
        <w:rPr>
          <w:rFonts w:ascii="標楷體" w:eastAsia="標楷體" w:hAnsi="標楷體" w:cs="Calibri"/>
          <w:szCs w:val="24"/>
        </w:rPr>
        <w:t>iv.若</w:t>
      </w:r>
      <w:r w:rsidRPr="000B35A4">
        <w:rPr>
          <w:rFonts w:ascii="標楷體" w:eastAsia="標楷體" w:hAnsi="標楷體"/>
          <w:color w:val="000000"/>
          <w:szCs w:val="24"/>
        </w:rPr>
        <w:t>病患疾病是由於帶MCP、CD46、CFI基因異常導致，且超過易感染病毒年紀(5歲以上)，或者在延長給藥時間或減少劑量下仍然無復發且CH50&lt;10%，可考慮停藥。</w:t>
      </w:r>
    </w:p>
    <w:p w14:paraId="3BD312A9" w14:textId="73D94977" w:rsidR="00BD776B" w:rsidRDefault="000B35A4" w:rsidP="000B35A4">
      <w:pPr>
        <w:ind w:left="1555" w:hanging="223"/>
        <w:rPr>
          <w:rFonts w:ascii="標楷體" w:eastAsia="標楷體" w:hAnsi="標楷體"/>
          <w:color w:val="000000"/>
        </w:rPr>
      </w:pPr>
      <w:r w:rsidRPr="0081542F">
        <w:rPr>
          <w:rFonts w:ascii="標楷體" w:eastAsia="標楷體" w:hAnsi="標楷體" w:cs="Calibri"/>
          <w:szCs w:val="24"/>
        </w:rPr>
        <w:t>3.另於114/2/1前已使用eculizumab之病人，符合續用申請條件者，得轉換至ravulizumab，惟使用ravulizumab無效後，不得再申請eculizumab。(114/2/1)</w:t>
      </w:r>
    </w:p>
    <w:p w14:paraId="2B7FA9AC" w14:textId="77777777" w:rsidR="00BD776B" w:rsidRDefault="00DF0C24">
      <w:pPr>
        <w:ind w:left="240"/>
        <w:rPr>
          <w:rFonts w:ascii="標楷體" w:eastAsia="標楷體" w:hAnsi="標楷體"/>
          <w:color w:val="000000"/>
        </w:rPr>
      </w:pPr>
      <w:r>
        <w:rPr>
          <w:rFonts w:ascii="標楷體" w:eastAsia="標楷體" w:hAnsi="標楷體"/>
          <w:color w:val="000000"/>
        </w:rPr>
        <w:t>8.2.11.Plerixafor (如Mozobil)：(102/12/1、106/10/1)</w:t>
      </w:r>
    </w:p>
    <w:p w14:paraId="5B9D01E0" w14:textId="77777777" w:rsidR="00BD776B" w:rsidRDefault="00DF0C24">
      <w:pPr>
        <w:ind w:left="783" w:hanging="257"/>
        <w:rPr>
          <w:rFonts w:ascii="標楷體" w:eastAsia="標楷體" w:hAnsi="標楷體"/>
          <w:color w:val="000000"/>
        </w:rPr>
      </w:pPr>
      <w:r>
        <w:rPr>
          <w:rFonts w:ascii="標楷體" w:eastAsia="標楷體" w:hAnsi="標楷體"/>
          <w:color w:val="000000"/>
        </w:rPr>
        <w:t>1.限用於須施行自體移植之非何杰金氏淋巴瘤或多發性骨髓瘤的病患，但驅動不佳者。為至少使用一療程之G-CSF合併化學治療的幹細胞驅動治療，收集數量每公斤體重CD34+細胞少於2百萬個才可申請使用。</w:t>
      </w:r>
    </w:p>
    <w:p w14:paraId="315DD8C6" w14:textId="77777777" w:rsidR="00BD776B" w:rsidRDefault="00DF0C24">
      <w:pPr>
        <w:ind w:left="783" w:hanging="257"/>
        <w:rPr>
          <w:rFonts w:ascii="標楷體" w:eastAsia="標楷體" w:hAnsi="標楷體"/>
          <w:color w:val="000000"/>
        </w:rPr>
      </w:pPr>
      <w:r>
        <w:rPr>
          <w:rFonts w:ascii="標楷體" w:eastAsia="標楷體" w:hAnsi="標楷體"/>
          <w:color w:val="000000"/>
        </w:rPr>
        <w:t>2.原則上使用不超過2天(106/10/1)。</w:t>
      </w:r>
    </w:p>
    <w:p w14:paraId="7851FB11" w14:textId="77777777" w:rsidR="00BD776B" w:rsidRDefault="00DF0C24">
      <w:pPr>
        <w:ind w:left="783" w:hanging="257"/>
        <w:rPr>
          <w:rFonts w:ascii="標楷體" w:eastAsia="標楷體" w:hAnsi="標楷體"/>
          <w:color w:val="000000"/>
        </w:rPr>
      </w:pPr>
      <w:r>
        <w:rPr>
          <w:rFonts w:ascii="標楷體" w:eastAsia="標楷體" w:hAnsi="標楷體"/>
          <w:color w:val="000000"/>
        </w:rPr>
        <w:t>3.使用第2天應確實計算療程中已收集之CD34+細胞總數，若仍未達每公斤體重2百萬個CD34+細胞，方得再使用1天。</w:t>
      </w:r>
    </w:p>
    <w:p w14:paraId="7C19C4E4" w14:textId="77777777" w:rsidR="00BD776B" w:rsidRDefault="00DF0C24">
      <w:pPr>
        <w:ind w:left="283"/>
        <w:rPr>
          <w:rFonts w:ascii="標楷體" w:eastAsia="標楷體" w:hAnsi="標楷體"/>
          <w:color w:val="000000"/>
        </w:rPr>
      </w:pPr>
      <w:r>
        <w:rPr>
          <w:rFonts w:ascii="標楷體" w:eastAsia="標楷體" w:hAnsi="標楷體"/>
          <w:color w:val="000000"/>
        </w:rPr>
        <w:t xml:space="preserve">8.2.12.Canakinumab（如Ilaris）：(104/8/1) </w:t>
      </w:r>
    </w:p>
    <w:p w14:paraId="03A359A4" w14:textId="77777777" w:rsidR="00BD776B" w:rsidRDefault="00DF0C24">
      <w:pPr>
        <w:ind w:left="783" w:hanging="257"/>
        <w:rPr>
          <w:rFonts w:ascii="標楷體" w:eastAsia="標楷體" w:hAnsi="標楷體"/>
          <w:color w:val="000000"/>
        </w:rPr>
      </w:pPr>
      <w:r>
        <w:rPr>
          <w:rFonts w:ascii="標楷體" w:eastAsia="標楷體" w:hAnsi="標楷體"/>
          <w:color w:val="000000"/>
        </w:rPr>
        <w:t>1.限具有風濕或免疫專長之醫師處方。</w:t>
      </w:r>
    </w:p>
    <w:p w14:paraId="2CB290F7" w14:textId="77777777" w:rsidR="00BD776B" w:rsidRDefault="00DF0C24">
      <w:pPr>
        <w:ind w:left="783" w:hanging="257"/>
        <w:rPr>
          <w:rFonts w:ascii="標楷體" w:eastAsia="標楷體" w:hAnsi="標楷體"/>
          <w:color w:val="000000"/>
        </w:rPr>
      </w:pPr>
      <w:r>
        <w:rPr>
          <w:rFonts w:ascii="標楷體" w:eastAsia="標楷體" w:hAnsi="標楷體"/>
          <w:color w:val="000000"/>
        </w:rPr>
        <w:t>2.臨床診斷為Cryopyrin相關週期性症候群(CAPS)，包括：嚴重型的家族性冷因性自體發炎症候群(FCAS)/家族性寒冷蕁麻疹(FCU)、Muckle-Wells症候群(MWS)、新生兒多重系統發炎疾病(NOMID)/慢性嬰兒神經學、皮膚、關節症候群(CINCA)，並符合下列所有條件：</w:t>
      </w:r>
    </w:p>
    <w:p w14:paraId="597029E6" w14:textId="77777777" w:rsidR="00BD776B" w:rsidRDefault="00DF0C24">
      <w:pPr>
        <w:ind w:left="1133" w:hanging="425"/>
        <w:rPr>
          <w:rFonts w:ascii="標楷體" w:eastAsia="標楷體" w:hAnsi="標楷體"/>
          <w:color w:val="000000"/>
        </w:rPr>
      </w:pPr>
      <w:r>
        <w:rPr>
          <w:rFonts w:ascii="標楷體" w:eastAsia="標楷體" w:hAnsi="標楷體"/>
          <w:color w:val="000000"/>
        </w:rPr>
        <w:t>(1)具有NLRP3基因突變。</w:t>
      </w:r>
    </w:p>
    <w:p w14:paraId="3F04320C" w14:textId="77777777" w:rsidR="00BD776B" w:rsidRDefault="00DF0C24">
      <w:pPr>
        <w:ind w:left="1088" w:hanging="382"/>
        <w:rPr>
          <w:rFonts w:ascii="標楷體" w:eastAsia="標楷體" w:hAnsi="標楷體"/>
          <w:color w:val="000000"/>
        </w:rPr>
      </w:pPr>
      <w:r>
        <w:rPr>
          <w:rFonts w:ascii="標楷體" w:eastAsia="標楷體" w:hAnsi="標楷體"/>
          <w:color w:val="000000"/>
        </w:rPr>
        <w:t>(2)有下列兩個以上之併發症：</w:t>
      </w:r>
    </w:p>
    <w:p w14:paraId="1F00D9DE" w14:textId="77777777" w:rsidR="00BD776B" w:rsidRDefault="00DF0C24">
      <w:pPr>
        <w:ind w:left="1063" w:firstLine="12"/>
        <w:rPr>
          <w:rFonts w:ascii="標楷體" w:eastAsia="標楷體" w:hAnsi="標楷體"/>
          <w:color w:val="000000"/>
        </w:rPr>
      </w:pPr>
      <w:r>
        <w:rPr>
          <w:rFonts w:ascii="標楷體" w:eastAsia="標楷體" w:hAnsi="標楷體"/>
          <w:color w:val="000000"/>
        </w:rPr>
        <w:t>Ⅰ.中樞神經系統併發症。</w:t>
      </w:r>
    </w:p>
    <w:p w14:paraId="7EB2D583" w14:textId="77777777" w:rsidR="00BD776B" w:rsidRDefault="00DF0C24">
      <w:pPr>
        <w:ind w:left="1063" w:firstLine="12"/>
        <w:rPr>
          <w:rFonts w:ascii="標楷體" w:eastAsia="標楷體" w:hAnsi="標楷體"/>
          <w:color w:val="000000"/>
        </w:rPr>
      </w:pPr>
      <w:r>
        <w:rPr>
          <w:rFonts w:ascii="標楷體" w:eastAsia="標楷體" w:hAnsi="標楷體"/>
          <w:color w:val="000000"/>
        </w:rPr>
        <w:t>Ⅱ.葡萄膜炎。</w:t>
      </w:r>
    </w:p>
    <w:p w14:paraId="2DB607D0" w14:textId="77777777" w:rsidR="00BD776B" w:rsidRDefault="00DF0C24">
      <w:pPr>
        <w:ind w:left="1063" w:firstLine="12"/>
        <w:rPr>
          <w:rFonts w:ascii="標楷體" w:eastAsia="標楷體" w:hAnsi="標楷體"/>
          <w:color w:val="000000"/>
        </w:rPr>
      </w:pPr>
      <w:r>
        <w:rPr>
          <w:rFonts w:ascii="標楷體" w:eastAsia="標楷體" w:hAnsi="標楷體"/>
          <w:color w:val="000000"/>
        </w:rPr>
        <w:t>Ⅲ.感覺神經性聽損。</w:t>
      </w:r>
    </w:p>
    <w:p w14:paraId="3B568EE7" w14:textId="77777777" w:rsidR="00BD776B" w:rsidRDefault="00DF0C24">
      <w:pPr>
        <w:ind w:left="1063" w:firstLine="12"/>
        <w:rPr>
          <w:rFonts w:ascii="標楷體" w:eastAsia="標楷體" w:hAnsi="標楷體"/>
          <w:color w:val="000000"/>
        </w:rPr>
      </w:pPr>
      <w:r>
        <w:rPr>
          <w:rFonts w:ascii="標楷體" w:eastAsia="標楷體" w:hAnsi="標楷體"/>
          <w:color w:val="000000"/>
        </w:rPr>
        <w:t>Ⅳ.腎臟類澱粉沉積症。</w:t>
      </w:r>
    </w:p>
    <w:p w14:paraId="02B513AE" w14:textId="77777777" w:rsidR="00BD776B" w:rsidRDefault="00DF0C24">
      <w:pPr>
        <w:ind w:left="1092" w:hanging="382"/>
        <w:rPr>
          <w:rFonts w:ascii="標楷體" w:eastAsia="標楷體" w:hAnsi="標楷體"/>
          <w:color w:val="000000"/>
        </w:rPr>
      </w:pPr>
      <w:r>
        <w:rPr>
          <w:rFonts w:ascii="標楷體" w:eastAsia="標楷體" w:hAnsi="標楷體"/>
          <w:color w:val="000000"/>
        </w:rPr>
        <w:t>(3)hsCRP（high sensitivity CRP）＞ 1mg/dL及ESR＞ 25mm/h。</w:t>
      </w:r>
    </w:p>
    <w:p w14:paraId="77C0B2EE" w14:textId="77777777" w:rsidR="00BD776B" w:rsidRDefault="00DF0C24">
      <w:pPr>
        <w:ind w:left="1092" w:hanging="382"/>
        <w:rPr>
          <w:rFonts w:ascii="標楷體" w:eastAsia="標楷體" w:hAnsi="標楷體"/>
          <w:color w:val="000000"/>
        </w:rPr>
      </w:pPr>
      <w:r>
        <w:rPr>
          <w:rFonts w:ascii="標楷體" w:eastAsia="標楷體" w:hAnsi="標楷體"/>
          <w:color w:val="000000"/>
        </w:rPr>
        <w:t>(4)經一般藥物及類固醇治療3個月以上無效。</w:t>
      </w:r>
    </w:p>
    <w:p w14:paraId="369D418F" w14:textId="77777777" w:rsidR="00BD776B" w:rsidRDefault="00DF0C24">
      <w:pPr>
        <w:ind w:left="783" w:hanging="257"/>
        <w:rPr>
          <w:rFonts w:ascii="標楷體" w:eastAsia="標楷體" w:hAnsi="標楷體"/>
          <w:color w:val="000000"/>
        </w:rPr>
      </w:pPr>
      <w:r>
        <w:rPr>
          <w:rFonts w:ascii="標楷體" w:eastAsia="標楷體" w:hAnsi="標楷體"/>
          <w:color w:val="000000"/>
        </w:rPr>
        <w:lastRenderedPageBreak/>
        <w:t>3.需經事前審查核准後使用：</w:t>
      </w:r>
    </w:p>
    <w:p w14:paraId="49E8E77C" w14:textId="77777777" w:rsidR="00BD776B" w:rsidRDefault="00DF0C24">
      <w:pPr>
        <w:ind w:left="1063" w:hanging="353"/>
        <w:rPr>
          <w:rFonts w:ascii="標楷體" w:eastAsia="標楷體" w:hAnsi="標楷體"/>
          <w:color w:val="000000"/>
        </w:rPr>
      </w:pPr>
      <w:r>
        <w:rPr>
          <w:rFonts w:ascii="標楷體" w:eastAsia="標楷體" w:hAnsi="標楷體"/>
          <w:color w:val="000000"/>
        </w:rPr>
        <w:t>(1)初次申請需於給藥兩週後進行療效評估，達療效者方可繼續使用，自初次起計使用期間為1年，療效之定義為符合下列條件之一：</w:t>
      </w:r>
    </w:p>
    <w:p w14:paraId="07056667" w14:textId="77777777" w:rsidR="00BD776B" w:rsidRDefault="00DF0C24">
      <w:pPr>
        <w:ind w:left="1428" w:hanging="336"/>
        <w:rPr>
          <w:rFonts w:ascii="標楷體" w:eastAsia="標楷體" w:hAnsi="標楷體"/>
          <w:color w:val="000000"/>
        </w:rPr>
      </w:pPr>
      <w:r>
        <w:rPr>
          <w:rFonts w:ascii="標楷體" w:eastAsia="標楷體" w:hAnsi="標楷體"/>
          <w:color w:val="000000"/>
        </w:rPr>
        <w:t>Ⅰ.治療後hsCRP≦ 1mg/dL及ESR≦ 25mm/h。</w:t>
      </w:r>
    </w:p>
    <w:p w14:paraId="75363589" w14:textId="77777777" w:rsidR="00BD776B" w:rsidRDefault="00DF0C24">
      <w:pPr>
        <w:ind w:left="1428" w:hanging="336"/>
        <w:rPr>
          <w:rFonts w:ascii="標楷體" w:eastAsia="標楷體" w:hAnsi="標楷體"/>
          <w:color w:val="000000"/>
        </w:rPr>
      </w:pPr>
      <w:r>
        <w:rPr>
          <w:rFonts w:ascii="標楷體" w:eastAsia="標楷體" w:hAnsi="標楷體"/>
          <w:color w:val="000000"/>
        </w:rPr>
        <w:t>Ⅱ.治療後hsCRP及ESR改善程度≧50%。</w:t>
      </w:r>
    </w:p>
    <w:p w14:paraId="3BB0CAD8" w14:textId="77777777" w:rsidR="00BD776B" w:rsidRDefault="00DF0C24">
      <w:pPr>
        <w:ind w:left="1063" w:right="-710" w:hanging="353"/>
        <w:rPr>
          <w:rFonts w:ascii="標楷體" w:eastAsia="標楷體" w:hAnsi="標楷體"/>
          <w:color w:val="000000"/>
        </w:rPr>
      </w:pPr>
      <w:r>
        <w:rPr>
          <w:rFonts w:ascii="標楷體" w:eastAsia="標楷體" w:hAnsi="標楷體"/>
          <w:color w:val="000000"/>
        </w:rPr>
        <w:t>(2)使用1年期間後須暫緩續用，倘hsCRP及ESR較暫緩續用前上升程度≧50%，則可申請續用，續用期間為1年。hsCRP檢驗結果上升應排除其他非CAPS之情況所引起。</w:t>
      </w:r>
    </w:p>
    <w:p w14:paraId="0A953491" w14:textId="77777777" w:rsidR="00D17574" w:rsidRPr="00D17574" w:rsidRDefault="00D17574" w:rsidP="00D17574">
      <w:pPr>
        <w:suppressAutoHyphens w:val="0"/>
        <w:autoSpaceDN/>
        <w:ind w:leftChars="118" w:left="283"/>
        <w:textAlignment w:val="auto"/>
        <w:rPr>
          <w:rFonts w:ascii="標楷體" w:eastAsia="標楷體" w:hAnsi="標楷體"/>
          <w:kern w:val="2"/>
          <w:szCs w:val="28"/>
        </w:rPr>
      </w:pPr>
      <w:r w:rsidRPr="00D17574">
        <w:rPr>
          <w:rFonts w:ascii="標楷體" w:eastAsia="標楷體" w:hAnsi="標楷體" w:hint="eastAsia"/>
          <w:kern w:val="2"/>
          <w:szCs w:val="28"/>
        </w:rPr>
        <w:t>8.2.13.Belimumab(如Benlysta)：(111/10/1、114/2/1)</w:t>
      </w:r>
    </w:p>
    <w:p w14:paraId="190E49FD" w14:textId="77777777" w:rsidR="00D17574" w:rsidRPr="00D17574" w:rsidRDefault="00D17574" w:rsidP="00D17574">
      <w:pPr>
        <w:suppressAutoHyphens w:val="0"/>
        <w:autoSpaceDN/>
        <w:ind w:leftChars="219" w:left="783" w:hangingChars="107" w:hanging="257"/>
        <w:textAlignment w:val="auto"/>
        <w:rPr>
          <w:rFonts w:ascii="標楷體" w:eastAsia="標楷體" w:hAnsi="標楷體"/>
          <w:kern w:val="2"/>
          <w:szCs w:val="28"/>
        </w:rPr>
      </w:pPr>
      <w:r w:rsidRPr="00D17574">
        <w:rPr>
          <w:rFonts w:ascii="標楷體" w:eastAsia="標楷體" w:hAnsi="標楷體" w:hint="eastAsia"/>
          <w:kern w:val="2"/>
          <w:szCs w:val="28"/>
        </w:rPr>
        <w:t>1.用於接受標準治療至少6個月但仍然無法有效控制疾病的第Ⅲ、IV或V型狼瘡腎炎成人病人。</w:t>
      </w:r>
    </w:p>
    <w:p w14:paraId="543921EF"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color w:val="000000"/>
          <w:kern w:val="2"/>
        </w:rPr>
      </w:pPr>
      <w:r w:rsidRPr="00D17574">
        <w:rPr>
          <w:rFonts w:ascii="標楷體" w:eastAsia="標楷體" w:hAnsi="標楷體" w:hint="eastAsia"/>
          <w:kern w:val="2"/>
          <w:szCs w:val="28"/>
        </w:rPr>
        <w:t>(1)</w:t>
      </w:r>
      <w:r w:rsidRPr="00D17574">
        <w:rPr>
          <w:rFonts w:ascii="標楷體" w:eastAsia="標楷體" w:hAnsi="標楷體" w:hint="eastAsia"/>
          <w:color w:val="000000"/>
          <w:kern w:val="2"/>
        </w:rPr>
        <w:t>需經事前審查核准後使用。</w:t>
      </w:r>
    </w:p>
    <w:p w14:paraId="2ED7C26A"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color w:val="000000"/>
          <w:kern w:val="2"/>
        </w:rPr>
        <w:t>(2)</w:t>
      </w:r>
      <w:r w:rsidRPr="00D17574">
        <w:rPr>
          <w:rFonts w:ascii="標楷體" w:eastAsia="標楷體" w:hAnsi="標楷體" w:hint="eastAsia"/>
          <w:kern w:val="2"/>
          <w:szCs w:val="28"/>
        </w:rPr>
        <w:t>標準治療係指同時使用以下藥物</w:t>
      </w:r>
    </w:p>
    <w:p w14:paraId="264A2843"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kern w:val="2"/>
          <w:szCs w:val="28"/>
        </w:rPr>
        <w:t>Ⅰ.</w:t>
      </w:r>
      <w:r w:rsidRPr="00D17574">
        <w:rPr>
          <w:rFonts w:ascii="標楷體" w:eastAsia="標楷體" w:hAnsi="標楷體" w:hint="eastAsia"/>
          <w:color w:val="000000"/>
          <w:kern w:val="2"/>
        </w:rPr>
        <w:t xml:space="preserve">類固醇治療6個月，其中至少有2個月之月平均達標準目標劑量(如口服Prednisolone </w:t>
      </w:r>
      <w:r w:rsidRPr="00D17574">
        <w:rPr>
          <w:rFonts w:ascii="Times New Roman" w:eastAsia="標楷體" w:hAnsi="Times New Roman"/>
          <w:color w:val="000000"/>
          <w:kern w:val="2"/>
        </w:rPr>
        <w:t>≥</w:t>
      </w:r>
      <w:r w:rsidRPr="00D17574">
        <w:rPr>
          <w:rFonts w:ascii="標楷體" w:eastAsia="標楷體" w:hAnsi="標楷體" w:hint="eastAsia"/>
          <w:color w:val="000000"/>
          <w:kern w:val="2"/>
        </w:rPr>
        <w:t xml:space="preserve"> 每日劑量每公斤0.5mg或等劑量之類固醇藥物)。(114/2/1)</w:t>
      </w:r>
    </w:p>
    <w:p w14:paraId="05F75E52"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color w:val="000000"/>
          <w:kern w:val="2"/>
        </w:rPr>
        <w:t>Ⅱ.使用足量前導治療(induction phase)免疫抑制劑，含6個月的mycophenolate mofetil(每日劑量2gm)或mycophenolic acid(每日劑量1,440mg)、或注射型的cyclophosphamide(注射量12週內總劑量需達3gm)接續3個月的mycophenolate mofetil(每日劑量2gm)或mycophenolic acid(每日劑量1,440mg)或azathioprine (每日劑量每公斤2mg)。</w:t>
      </w:r>
    </w:p>
    <w:p w14:paraId="7DEA2A4E"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color w:val="000000"/>
          <w:kern w:val="2"/>
        </w:rPr>
        <w:t>Ⅲ.若因</w:t>
      </w:r>
      <w:r w:rsidRPr="00D17574">
        <w:rPr>
          <w:rFonts w:ascii="標楷體" w:eastAsia="標楷體" w:hAnsi="標楷體" w:hint="eastAsia"/>
          <w:kern w:val="2"/>
          <w:szCs w:val="28"/>
        </w:rPr>
        <w:t>藥物毒性無法忍受，以致於無法達到前述要求時，劑量可以酌情降低，但需說明藥物之何種毒性或副作用。(114/2/1)</w:t>
      </w:r>
    </w:p>
    <w:p w14:paraId="1B65ED39"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(3)無法有效控制疾病的定義為經標準治療至少6個月後仍有以下情形:</w:t>
      </w:r>
    </w:p>
    <w:p w14:paraId="304A52FD"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kern w:val="2"/>
          <w:szCs w:val="28"/>
        </w:rPr>
        <w:t>Ⅰ.蛋白</w:t>
      </w:r>
      <w:r w:rsidRPr="00D17574">
        <w:rPr>
          <w:rFonts w:ascii="標楷體" w:eastAsia="標楷體" w:hAnsi="標楷體" w:hint="eastAsia"/>
          <w:color w:val="000000"/>
          <w:kern w:val="2"/>
        </w:rPr>
        <w:t xml:space="preserve">尿相較基期下降比例&lt;50%，且uPCR或24小時蛋白尿 </w:t>
      </w:r>
      <w:r w:rsidRPr="00D17574">
        <w:rPr>
          <w:rFonts w:ascii="Times New Roman" w:eastAsia="標楷體" w:hAnsi="Times New Roman"/>
          <w:color w:val="000000"/>
          <w:kern w:val="2"/>
        </w:rPr>
        <w:t>≥</w:t>
      </w:r>
      <w:r w:rsidRPr="00D17574">
        <w:rPr>
          <w:rFonts w:ascii="標楷體" w:eastAsia="標楷體" w:hAnsi="標楷體" w:hint="eastAsia"/>
          <w:color w:val="000000"/>
          <w:kern w:val="2"/>
        </w:rPr>
        <w:t xml:space="preserve"> 1.0。</w:t>
      </w:r>
    </w:p>
    <w:p w14:paraId="2E5E7EFD"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color w:val="000000"/>
          <w:kern w:val="2"/>
        </w:rPr>
        <w:t>Ⅱ.腎絲</w:t>
      </w:r>
      <w:r w:rsidRPr="00D17574">
        <w:rPr>
          <w:rFonts w:ascii="標楷體" w:eastAsia="標楷體" w:hAnsi="標楷體" w:hint="eastAsia"/>
          <w:kern w:val="2"/>
          <w:szCs w:val="28"/>
        </w:rPr>
        <w:t>球過濾率(glomerular filtration rate, GFR)下降超過20%以上且伴隨uPCR或24小時蛋白尿</w:t>
      </w:r>
      <w:r w:rsidRPr="00D17574">
        <w:rPr>
          <w:rFonts w:ascii="Times New Roman" w:eastAsia="標楷體" w:hAnsi="Times New Roman"/>
          <w:kern w:val="2"/>
          <w:szCs w:val="28"/>
        </w:rPr>
        <w:t>≥</w:t>
      </w:r>
      <w:r w:rsidRPr="00D17574">
        <w:rPr>
          <w:rFonts w:ascii="標楷體" w:eastAsia="標楷體" w:hAnsi="標楷體" w:hint="eastAsia"/>
          <w:kern w:val="2"/>
          <w:szCs w:val="28"/>
        </w:rPr>
        <w:t xml:space="preserve"> 1.0或是出現尿沉渣。</w:t>
      </w:r>
    </w:p>
    <w:p w14:paraId="7A3A89E5"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(4)療效評估與繼續使用:每治療12個月需評估病人在使用期間內是否達充分改善腎臟指標，必須達到以下標準才可以繼續使用:</w:t>
      </w:r>
    </w:p>
    <w:p w14:paraId="32C91C2A"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kern w:val="2"/>
          <w:szCs w:val="28"/>
        </w:rPr>
        <w:t>Ⅰ. uP</w:t>
      </w:r>
      <w:r w:rsidRPr="00D17574">
        <w:rPr>
          <w:rFonts w:ascii="標楷體" w:eastAsia="標楷體" w:hAnsi="標楷體" w:hint="eastAsia"/>
          <w:color w:val="000000"/>
          <w:kern w:val="2"/>
        </w:rPr>
        <w:t>CR或24小時蛋白尿</w:t>
      </w:r>
      <w:r w:rsidRPr="00D17574">
        <w:rPr>
          <w:rFonts w:ascii="Times New Roman" w:eastAsia="標楷體" w:hAnsi="Times New Roman"/>
          <w:color w:val="000000"/>
          <w:kern w:val="2"/>
        </w:rPr>
        <w:t>≤</w:t>
      </w:r>
      <w:r w:rsidRPr="00D17574">
        <w:rPr>
          <w:rFonts w:ascii="標楷體" w:eastAsia="標楷體" w:hAnsi="標楷體" w:hint="eastAsia"/>
          <w:color w:val="000000"/>
          <w:kern w:val="2"/>
        </w:rPr>
        <w:t xml:space="preserve"> 0.7gm/天或相較於基期下降一半以上。(111/10/1、114/2/1)</w:t>
      </w:r>
    </w:p>
    <w:p w14:paraId="684A4867"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color w:val="000000"/>
          <w:kern w:val="2"/>
        </w:rPr>
        <w:t>Ⅱ.腎絲球過濾率 (glomerular filtration rate, GFR)沒有下降超過 20%以上。</w:t>
      </w:r>
    </w:p>
    <w:p w14:paraId="04C88CC2"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color w:val="000000"/>
          <w:kern w:val="2"/>
        </w:rPr>
        <w:t>Ⅲ.沒有末期腎臟病。</w:t>
      </w:r>
    </w:p>
    <w:p w14:paraId="1CCCB330"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color w:val="000000"/>
          <w:kern w:val="2"/>
        </w:rPr>
      </w:pPr>
      <w:r w:rsidRPr="00D17574">
        <w:rPr>
          <w:rFonts w:ascii="標楷體" w:eastAsia="標楷體" w:hAnsi="標楷體" w:hint="eastAsia"/>
          <w:color w:val="000000"/>
          <w:kern w:val="2"/>
        </w:rPr>
        <w:t>Ⅳ.相較基期，血清肌酸酐沒有增加超過1倍。</w:t>
      </w:r>
    </w:p>
    <w:p w14:paraId="74030191"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color w:val="000000"/>
          <w:kern w:val="2"/>
        </w:rPr>
        <w:t>Ⅴ.治療2年</w:t>
      </w:r>
      <w:r w:rsidRPr="00D17574">
        <w:rPr>
          <w:rFonts w:ascii="標楷體" w:eastAsia="標楷體" w:hAnsi="標楷體" w:hint="eastAsia"/>
          <w:kern w:val="2"/>
          <w:szCs w:val="28"/>
        </w:rPr>
        <w:t>後，若腎炎已達完全緩解者(complete renal response, CRR)，應停止使用belimumab。CRR指病人uPCR&lt;0.5且eGFR下降與基期相比&lt;10%或持續</w:t>
      </w:r>
      <w:r w:rsidRPr="00D17574">
        <w:rPr>
          <w:rFonts w:ascii="Times New Roman" w:eastAsia="標楷體" w:hAnsi="Times New Roman"/>
          <w:kern w:val="2"/>
          <w:szCs w:val="28"/>
        </w:rPr>
        <w:t>≥</w:t>
      </w:r>
      <w:r w:rsidRPr="00D17574">
        <w:rPr>
          <w:rFonts w:ascii="標楷體" w:eastAsia="標楷體" w:hAnsi="標楷體" w:hint="eastAsia"/>
          <w:kern w:val="2"/>
          <w:szCs w:val="28"/>
        </w:rPr>
        <w:t>90 ml/min/1.73m</w:t>
      </w:r>
      <w:r w:rsidRPr="00D17574">
        <w:rPr>
          <w:rFonts w:ascii="標楷體" w:eastAsia="標楷體" w:hAnsi="標楷體" w:hint="eastAsia"/>
          <w:kern w:val="2"/>
          <w:szCs w:val="28"/>
          <w:vertAlign w:val="superscript"/>
        </w:rPr>
        <w:t>2</w:t>
      </w:r>
      <w:r w:rsidRPr="00D17574">
        <w:rPr>
          <w:rFonts w:ascii="標楷體" w:eastAsia="標楷體" w:hAnsi="標楷體" w:hint="eastAsia"/>
          <w:kern w:val="2"/>
          <w:szCs w:val="28"/>
        </w:rPr>
        <w:t>。</w:t>
      </w:r>
    </w:p>
    <w:p w14:paraId="325FFC4E"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◎附表三十六：全民健康保險狼瘡腎炎使用belimumab申請表</w:t>
      </w:r>
    </w:p>
    <w:p w14:paraId="275F1414" w14:textId="77777777" w:rsidR="00D17574" w:rsidRPr="00D17574" w:rsidRDefault="00D17574" w:rsidP="00D17574">
      <w:pPr>
        <w:suppressAutoHyphens w:val="0"/>
        <w:autoSpaceDN/>
        <w:ind w:leftChars="219" w:left="783" w:hangingChars="107" w:hanging="257"/>
        <w:textAlignment w:val="auto"/>
        <w:rPr>
          <w:rFonts w:ascii="標楷體" w:eastAsia="標楷體" w:hAnsi="標楷體"/>
          <w:kern w:val="2"/>
          <w:szCs w:val="28"/>
        </w:rPr>
      </w:pPr>
      <w:r w:rsidRPr="00D17574">
        <w:rPr>
          <w:rFonts w:ascii="標楷體" w:eastAsia="標楷體" w:hAnsi="標楷體" w:hint="eastAsia"/>
          <w:kern w:val="2"/>
          <w:szCs w:val="28"/>
        </w:rPr>
        <w:t>2.限使用於18歲以上具有活動性之全身性紅斑性狼瘡治療病人。(114/2/1)</w:t>
      </w:r>
    </w:p>
    <w:p w14:paraId="059211A5"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(1)限內科專科醫師且具有風濕或免疫專科醫師證書者處方。</w:t>
      </w:r>
    </w:p>
    <w:p w14:paraId="4FBB9A44"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(2)需經事前審查核准後使用。</w:t>
      </w:r>
    </w:p>
    <w:p w14:paraId="6B1A0CCD"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(3)申報時須檢附使用標準治療藥物滿5個月及6個月後之2次SLEDAI-2K積分，各種藥物之種類、劑量、治療時間、副作用與所計分病徵之相關佐證等</w:t>
      </w:r>
      <w:r w:rsidRPr="00D17574">
        <w:rPr>
          <w:rFonts w:ascii="標楷體" w:eastAsia="標楷體" w:hAnsi="標楷體" w:hint="eastAsia"/>
          <w:kern w:val="2"/>
          <w:szCs w:val="28"/>
        </w:rPr>
        <w:lastRenderedPageBreak/>
        <w:t>資料(包含ESR與CRP)。</w:t>
      </w:r>
    </w:p>
    <w:p w14:paraId="6169F61A"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(4)病人須同時符合下述所有條件，方可使用。</w:t>
      </w:r>
    </w:p>
    <w:p w14:paraId="3913375C"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I.有高疾病活性，需同時符合</w:t>
      </w:r>
    </w:p>
    <w:p w14:paraId="313F9E30"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i.anti-</w:t>
      </w:r>
      <w:r w:rsidRPr="00D17574">
        <w:rPr>
          <w:rFonts w:ascii="標楷體" w:eastAsia="標楷體" w:hAnsi="標楷體" w:cs="Calibri" w:hint="eastAsia"/>
          <w:szCs w:val="24"/>
        </w:rPr>
        <w:t>dsDNA</w:t>
      </w:r>
      <w:r w:rsidRPr="00D17574">
        <w:rPr>
          <w:rFonts w:ascii="標楷體" w:eastAsia="標楷體" w:hAnsi="標楷體" w:hint="eastAsia"/>
          <w:kern w:val="2"/>
          <w:szCs w:val="28"/>
        </w:rPr>
        <w:t>陽性</w:t>
      </w:r>
    </w:p>
    <w:p w14:paraId="70A46223"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ii.低補體(C3或C4)下降</w:t>
      </w:r>
    </w:p>
    <w:p w14:paraId="6D55DC96"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II.用於接受標準治療後，仍無法有效控制病情之全身性紅斑性狼瘡，其療效不彰之定義為：</w:t>
      </w:r>
    </w:p>
    <w:p w14:paraId="11FC5AB6"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i.標準治療藥物滿5個月及6個月後，2次評估SLEDAI-2K分數均</w:t>
      </w:r>
      <w:r w:rsidRPr="00D17574">
        <w:rPr>
          <w:rFonts w:ascii="Times New Roman" w:eastAsia="標楷體" w:hAnsi="Times New Roman"/>
          <w:kern w:val="2"/>
          <w:szCs w:val="28"/>
        </w:rPr>
        <w:t>≥</w:t>
      </w:r>
      <w:r w:rsidRPr="00D17574">
        <w:rPr>
          <w:rFonts w:ascii="標楷體" w:eastAsia="標楷體" w:hAnsi="標楷體" w:hint="eastAsia"/>
          <w:kern w:val="2"/>
          <w:szCs w:val="28"/>
        </w:rPr>
        <w:t>8。</w:t>
      </w:r>
    </w:p>
    <w:p w14:paraId="1930A11B"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ii.以下分數不可計入SLEDAI-2K計分: 癲癇、精神疾病、器質性腦部症候群、腦神經、狼瘡性頭痛、掉髮、口腔潰瘍、狼瘡腎臟分數(尿圓柱體、血尿、蛋白尿、膿尿)。</w:t>
      </w:r>
    </w:p>
    <w:p w14:paraId="79A149FE"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iii.血管炎計分需臨床有潰瘍、壞疽、栓塞等病變，需檢附照片或組織病理或影像學檢查，且需ESR≧28mm/hour或CRP≧1mg/dL。</w:t>
      </w:r>
    </w:p>
    <w:p w14:paraId="3BA09686"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iv.關節炎計分需有4個或是以上的疼痛關節及4個或是以上的腫脹關節(需附關節腫脹相關X-光片或照片輔證)，且需ESR≧28mm/hour或CRP≧1mg/dL。</w:t>
      </w:r>
    </w:p>
    <w:p w14:paraId="1ABB7942"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v.肌炎計分需有血清中肌肉酵素如CPK、LDH、GOT上升大於正常值2倍以上且肌電圖異常、或肌肉切片有發炎性疾病、或放射線影像檢查，3項中至少有1項檢查結果確認。</w:t>
      </w:r>
    </w:p>
    <w:p w14:paraId="2527A601"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vi.皮疹計分需排除掉髮與口腔潰瘍後，皮膚紅斑性狼瘡面積和嚴重程度指數(Cutaneous Lupus Erythematosus Disease Area and Severity Index,CLASI)達8分以上，且體表面積受影響達9%以上(附皮膚照片佐證)。</w:t>
      </w:r>
    </w:p>
    <w:p w14:paraId="7D1843B5"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vii.肋膜炎或心包膜炎計分，除理學檢查外需附影像學或心電圖等證明，且需ESR≧28mm/hour或CRP≧1mg/dL。</w:t>
      </w:r>
    </w:p>
    <w:p w14:paraId="26EA84AC"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Ⅲ.標準治療療法為病患曾經接受下列3種標準治療藥物合併治療：</w:t>
      </w:r>
    </w:p>
    <w:p w14:paraId="0DF06F2A"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i.類固醇：治療至少6個月，其中至少有2個月之月平均達標準目標劑量(如口服Prednisolone≧每日劑量每公斤0.5mg或相等強度劑量之類固醇類藥物)或過去3個月內曾使用Pulse IV methylprednisolone (連續3天每公斤10mg以上)。</w:t>
      </w:r>
    </w:p>
    <w:p w14:paraId="5BE545F8"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ii.奎寧類藥物：連續使用至少6個月標準劑量的hydroxychloroquine (每天200mg或以上)</w:t>
      </w:r>
    </w:p>
    <w:p w14:paraId="05BA1F47"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iii.使用足量免疫抑制劑至少擇一連續使用至少6個月：azathioprine (每天每公斤2mg)或methotrexate (每週15mg)或cyclosporin (每天每公斤3mg)或mycophenolate mofetil (每天2gm)或mycophenolic acid (每天1,440mg)</w:t>
      </w:r>
    </w:p>
    <w:p w14:paraId="504E94A6"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iv.如藥物劑量無法耐受，可視臨床情況調整類固醇、奎寧及免疫抑制劑之劑量。</w:t>
      </w:r>
    </w:p>
    <w:p w14:paraId="22B1852A" w14:textId="77777777" w:rsidR="00046A1A" w:rsidRDefault="00D17574" w:rsidP="00046A1A">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IV.續用處方條件：</w:t>
      </w:r>
    </w:p>
    <w:p w14:paraId="0F4A9841" w14:textId="75719D6E" w:rsidR="00D17574" w:rsidRPr="00D17574" w:rsidRDefault="00D17574" w:rsidP="00046A1A">
      <w:pPr>
        <w:suppressAutoHyphens w:val="0"/>
        <w:autoSpaceDN/>
        <w:ind w:leftChars="589" w:left="1416" w:hanging="2"/>
        <w:textAlignment w:val="auto"/>
        <w:rPr>
          <w:rFonts w:ascii="標楷體" w:eastAsia="標楷體" w:hAnsi="標楷體"/>
          <w:kern w:val="2"/>
          <w:szCs w:val="28"/>
        </w:rPr>
      </w:pPr>
      <w:r w:rsidRPr="00D17574">
        <w:rPr>
          <w:rFonts w:ascii="標楷體" w:eastAsia="標楷體" w:hAnsi="標楷體" w:hint="eastAsia"/>
          <w:kern w:val="2"/>
          <w:szCs w:val="28"/>
        </w:rPr>
        <w:t>首次申請治療6個月後評估SLEDAI-2K疾病活動指標，符合下列所有條件，可以持續使用，之後每3個月再次申請續用：</w:t>
      </w:r>
    </w:p>
    <w:p w14:paraId="3BBFA7E4"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i.口服類固醇每日劑量下降至每天7.5mg以下或接受Benlysta治療前相較每日劑量下降50%以上。</w:t>
      </w:r>
    </w:p>
    <w:p w14:paraId="4298AB19"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ii.疾病活動度改善，以下列指標評估：SLEDAI-2K下降至4分以下或與接</w:t>
      </w:r>
      <w:r w:rsidRPr="00D17574">
        <w:rPr>
          <w:rFonts w:ascii="標楷體" w:eastAsia="標楷體" w:hAnsi="標楷體" w:hint="eastAsia"/>
          <w:kern w:val="2"/>
          <w:szCs w:val="28"/>
        </w:rPr>
        <w:lastRenderedPageBreak/>
        <w:t>受Benlysta治療前SLEDAI-2K改善3分以上。</w:t>
      </w:r>
    </w:p>
    <w:p w14:paraId="75E8ACAE" w14:textId="77777777" w:rsidR="00D17574" w:rsidRPr="00D17574" w:rsidRDefault="00D17574" w:rsidP="00D17574">
      <w:pPr>
        <w:suppressAutoHyphens w:val="0"/>
        <w:autoSpaceDN/>
        <w:ind w:leftChars="547" w:left="1558"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iii.不得有新增器官侵犯或原有病徵惡化，原有計分之項目，續用申請時需附相關佐證資料(包含ESR與CRP)</w:t>
      </w:r>
    </w:p>
    <w:p w14:paraId="7A357DCD" w14:textId="77777777" w:rsidR="00D17574" w:rsidRPr="00D17574" w:rsidRDefault="00D17574" w:rsidP="00D17574">
      <w:pPr>
        <w:suppressAutoHyphens w:val="0"/>
        <w:autoSpaceDN/>
        <w:ind w:leftChars="700" w:left="1925"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(i)血管炎計分者，續用申請時需檢附原病灶位置之照片。</w:t>
      </w:r>
    </w:p>
    <w:p w14:paraId="71282592" w14:textId="77777777" w:rsidR="00D17574" w:rsidRPr="00D17574" w:rsidRDefault="00D17574" w:rsidP="00D17574">
      <w:pPr>
        <w:suppressAutoHyphens w:val="0"/>
        <w:autoSpaceDN/>
        <w:ind w:leftChars="700" w:left="1925"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(ii)關節炎計分者，續用申請時需檢附腫脹關節數目及照片。</w:t>
      </w:r>
    </w:p>
    <w:p w14:paraId="2C3634DF" w14:textId="77777777" w:rsidR="00D17574" w:rsidRPr="00D17574" w:rsidRDefault="00D17574" w:rsidP="00D17574">
      <w:pPr>
        <w:suppressAutoHyphens w:val="0"/>
        <w:autoSpaceDN/>
        <w:ind w:leftChars="700" w:left="1925"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(iii)肌炎計分者，續用申請時需檢附CPK、LDH、GOT數值。</w:t>
      </w:r>
    </w:p>
    <w:p w14:paraId="369718F8" w14:textId="77777777" w:rsidR="00D17574" w:rsidRPr="00D17574" w:rsidRDefault="00D17574" w:rsidP="00D17574">
      <w:pPr>
        <w:suppressAutoHyphens w:val="0"/>
        <w:autoSpaceDN/>
        <w:ind w:leftChars="700" w:left="1925" w:hangingChars="102" w:hanging="245"/>
        <w:textAlignment w:val="auto"/>
        <w:rPr>
          <w:rFonts w:ascii="標楷體" w:eastAsia="標楷體" w:hAnsi="標楷體"/>
          <w:kern w:val="2"/>
          <w:szCs w:val="28"/>
        </w:rPr>
      </w:pPr>
      <w:r w:rsidRPr="00D17574">
        <w:rPr>
          <w:rFonts w:ascii="標楷體" w:eastAsia="標楷體" w:hAnsi="標楷體" w:hint="eastAsia"/>
          <w:kern w:val="2"/>
          <w:szCs w:val="28"/>
        </w:rPr>
        <w:t>(iv)皮疹計分者，續用申請時需檢附CLASI評分及皮膚照片。</w:t>
      </w:r>
    </w:p>
    <w:p w14:paraId="5DA5A048"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V.減量或停用條件：若使用滿2年，達緩解或低疾病活動度SLEDAI-2K≦4滿一年以上，可以減量。減量後，若持續維持緩解或低疾病活動度SLEDAI-2K≦4滿一年以上停用，若減量或停用後病情復發，可以申請恢復治療，後續依續用條件申請。</w:t>
      </w:r>
    </w:p>
    <w:p w14:paraId="3602E138"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Ⅵ.不給付於神經精神性狼瘡病人。</w:t>
      </w:r>
    </w:p>
    <w:p w14:paraId="2786ECE0"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Ⅶ.Belimumab不應與其他生物製劑同時給付。</w:t>
      </w:r>
    </w:p>
    <w:p w14:paraId="7E3A0472" w14:textId="77777777" w:rsidR="00D17574" w:rsidRPr="00D17574" w:rsidRDefault="00D17574" w:rsidP="00D17574">
      <w:pPr>
        <w:tabs>
          <w:tab w:val="num" w:pos="720"/>
        </w:tabs>
        <w:suppressAutoHyphens w:val="0"/>
        <w:autoSpaceDN/>
        <w:ind w:leftChars="219" w:left="783" w:hangingChars="107" w:hanging="257"/>
        <w:textAlignment w:val="auto"/>
        <w:rPr>
          <w:rFonts w:ascii="標楷體" w:eastAsia="標楷體" w:hAnsi="標楷體"/>
          <w:kern w:val="2"/>
          <w:szCs w:val="28"/>
        </w:rPr>
      </w:pPr>
      <w:r w:rsidRPr="00D17574">
        <w:rPr>
          <w:rFonts w:ascii="標楷體" w:eastAsia="標楷體" w:hAnsi="標楷體" w:hint="eastAsia"/>
          <w:kern w:val="2"/>
          <w:szCs w:val="28"/>
        </w:rPr>
        <w:t>3</w:t>
      </w:r>
      <w:r w:rsidRPr="00D17574">
        <w:rPr>
          <w:rFonts w:ascii="標楷體" w:eastAsia="標楷體" w:hAnsi="標楷體"/>
          <w:kern w:val="2"/>
          <w:szCs w:val="28"/>
        </w:rPr>
        <w:t>.</w:t>
      </w:r>
      <w:r w:rsidRPr="00D17574">
        <w:rPr>
          <w:rFonts w:ascii="標楷體" w:eastAsia="標楷體" w:hAnsi="標楷體" w:hint="eastAsia"/>
          <w:kern w:val="2"/>
          <w:szCs w:val="28"/>
        </w:rPr>
        <w:t>限用於Anti-ds DNA抗體陽性之報告及低補體，且正在接受標準治療至少3個月但仍無法達到有效控制疾病的全身性紅斑性狼瘡5-17歲病人。(114/2/1)</w:t>
      </w:r>
    </w:p>
    <w:p w14:paraId="12C976AA"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(1)需經事前審查核准後使用。</w:t>
      </w:r>
    </w:p>
    <w:p w14:paraId="55DA04F0"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(2)申請前3個月內同時接受下列三項標準治療之至少兩項，且達到以下建議劑量：</w:t>
      </w:r>
    </w:p>
    <w:p w14:paraId="27FC5955"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 xml:space="preserve">I.類固醇平均劑量(如口服prednisolone </w:t>
      </w:r>
      <w:r w:rsidRPr="00D17574">
        <w:rPr>
          <w:rFonts w:ascii="Times New Roman" w:eastAsia="標楷體" w:hAnsi="Times New Roman"/>
          <w:kern w:val="2"/>
          <w:szCs w:val="28"/>
        </w:rPr>
        <w:t>≥</w:t>
      </w:r>
      <w:r w:rsidRPr="00D17574">
        <w:rPr>
          <w:rFonts w:ascii="標楷體" w:eastAsia="標楷體" w:hAnsi="標楷體" w:hint="eastAsia"/>
          <w:kern w:val="2"/>
          <w:szCs w:val="28"/>
        </w:rPr>
        <w:t>每日劑量每公斤0.25mg或等劑量之類固醇藥物）。</w:t>
      </w:r>
    </w:p>
    <w:p w14:paraId="16FBEC2C"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Ⅱ.Hydroxychloroquine（每日劑量每公斤3-5mg，最大劑量400 mg）。</w:t>
      </w:r>
    </w:p>
    <w:p w14:paraId="59A002BD" w14:textId="77777777" w:rsidR="00D17574" w:rsidRPr="00D17574" w:rsidRDefault="00D17574" w:rsidP="00D17574">
      <w:pPr>
        <w:suppressAutoHyphens w:val="0"/>
        <w:autoSpaceDN/>
        <w:ind w:leftChars="443" w:left="1423" w:hangingChars="150" w:hanging="360"/>
        <w:textAlignment w:val="auto"/>
        <w:rPr>
          <w:rFonts w:ascii="標楷體" w:eastAsia="標楷體" w:hAnsi="標楷體"/>
          <w:kern w:val="2"/>
          <w:szCs w:val="28"/>
        </w:rPr>
      </w:pPr>
      <w:r w:rsidRPr="00D17574">
        <w:rPr>
          <w:rFonts w:ascii="標楷體" w:eastAsia="標楷體" w:hAnsi="標楷體" w:hint="eastAsia"/>
          <w:kern w:val="2"/>
          <w:szCs w:val="28"/>
        </w:rPr>
        <w:t>Ⅲ.至少一種（含）免疫抑制劑，如azathioprine（每日劑量每公斤1mg）、注射型cyclophosphamide（500mg/m</w:t>
      </w:r>
      <w:r w:rsidRPr="00D17574">
        <w:rPr>
          <w:rFonts w:ascii="標楷體" w:eastAsia="標楷體" w:hAnsi="標楷體" w:hint="eastAsia"/>
          <w:kern w:val="2"/>
          <w:szCs w:val="28"/>
          <w:vertAlign w:val="superscript"/>
        </w:rPr>
        <w:t>2</w:t>
      </w:r>
      <w:r w:rsidRPr="00D17574">
        <w:rPr>
          <w:rFonts w:ascii="標楷體" w:eastAsia="標楷體" w:hAnsi="標楷體" w:hint="eastAsia"/>
          <w:kern w:val="2"/>
          <w:szCs w:val="28"/>
        </w:rPr>
        <w:t>/month）、cyclosporin（每日劑量每公斤2.5mg）、mycophenolic acid（720mg/m</w:t>
      </w:r>
      <w:r w:rsidRPr="00D17574">
        <w:rPr>
          <w:rFonts w:ascii="標楷體" w:eastAsia="標楷體" w:hAnsi="標楷體" w:hint="eastAsia"/>
          <w:kern w:val="2"/>
          <w:szCs w:val="28"/>
          <w:vertAlign w:val="superscript"/>
        </w:rPr>
        <w:t>2</w:t>
      </w:r>
      <w:r w:rsidRPr="00D17574">
        <w:rPr>
          <w:rFonts w:ascii="標楷體" w:eastAsia="標楷體" w:hAnsi="標楷體" w:hint="eastAsia"/>
          <w:kern w:val="2"/>
          <w:szCs w:val="28"/>
        </w:rPr>
        <w:t>/day）、mycophenolate mofetil（1gm/m</w:t>
      </w:r>
      <w:r w:rsidRPr="00D17574">
        <w:rPr>
          <w:rFonts w:ascii="標楷體" w:eastAsia="標楷體" w:hAnsi="標楷體" w:hint="eastAsia"/>
          <w:kern w:val="2"/>
          <w:szCs w:val="28"/>
          <w:vertAlign w:val="superscript"/>
        </w:rPr>
        <w:t>2</w:t>
      </w:r>
      <w:r w:rsidRPr="00D17574">
        <w:rPr>
          <w:rFonts w:ascii="標楷體" w:eastAsia="標楷體" w:hAnsi="標楷體" w:hint="eastAsia"/>
          <w:kern w:val="2"/>
          <w:szCs w:val="28"/>
        </w:rPr>
        <w:t>/day）或methotrexate（10mg/m</w:t>
      </w:r>
      <w:r w:rsidRPr="00D17574">
        <w:rPr>
          <w:rFonts w:ascii="標楷體" w:eastAsia="標楷體" w:hAnsi="標楷體" w:hint="eastAsia"/>
          <w:kern w:val="2"/>
          <w:szCs w:val="28"/>
          <w:vertAlign w:val="superscript"/>
        </w:rPr>
        <w:t>2</w:t>
      </w:r>
      <w:r w:rsidRPr="00D17574">
        <w:rPr>
          <w:rFonts w:ascii="標楷體" w:eastAsia="標楷體" w:hAnsi="標楷體" w:hint="eastAsia"/>
          <w:kern w:val="2"/>
          <w:szCs w:val="28"/>
        </w:rPr>
        <w:t>/week）等（但無法接受副作用除外）。</w:t>
      </w:r>
    </w:p>
    <w:p w14:paraId="6A95F3AF"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(3)無法達到有效控制的定義為經標準治療至少3個月後仍有疾病活動性SELENA SLEDAI</w:t>
      </w:r>
      <w:r w:rsidRPr="00D17574">
        <w:rPr>
          <w:rFonts w:ascii="Times New Roman" w:eastAsia="標楷體" w:hAnsi="Times New Roman"/>
          <w:kern w:val="2"/>
          <w:szCs w:val="28"/>
        </w:rPr>
        <w:t>≥</w:t>
      </w:r>
      <w:r w:rsidRPr="00D17574">
        <w:rPr>
          <w:rFonts w:ascii="標楷體" w:eastAsia="標楷體" w:hAnsi="標楷體" w:hint="eastAsia"/>
          <w:kern w:val="2"/>
          <w:szCs w:val="28"/>
        </w:rPr>
        <w:t>8（神經精神分數不可計入計分: 癲癇發作、精神疾病、器質性腦部症候群、腦神經疾患、狼瘡性頭痛、腦血管事件。腎臟分數計分最多只能佔4分:尿圓柱體、血尿、蛋白尿、膿尿。皮膚、黏膜與關節相關分數需附照片證明，相關檢驗與檢查須附報告）。</w:t>
      </w:r>
    </w:p>
    <w:p w14:paraId="15B2776A"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 xml:space="preserve">(4)療效評估與繼續使用：每治療12 個月後評估SELENA SLEDAI </w:t>
      </w:r>
      <w:r w:rsidRPr="00D17574">
        <w:rPr>
          <w:rFonts w:ascii="Times New Roman" w:eastAsia="標楷體" w:hAnsi="Times New Roman"/>
          <w:kern w:val="2"/>
          <w:szCs w:val="28"/>
        </w:rPr>
        <w:t>≥</w:t>
      </w:r>
      <w:r w:rsidRPr="00D17574">
        <w:rPr>
          <w:rFonts w:ascii="標楷體" w:eastAsia="標楷體" w:hAnsi="標楷體" w:hint="eastAsia"/>
          <w:kern w:val="2"/>
          <w:szCs w:val="28"/>
        </w:rPr>
        <w:t>8積分：與初次申請之積分比較，減少</w:t>
      </w:r>
      <w:r w:rsidRPr="00D17574">
        <w:rPr>
          <w:rFonts w:ascii="Times New Roman" w:eastAsia="標楷體" w:hAnsi="Times New Roman"/>
          <w:kern w:val="2"/>
          <w:szCs w:val="28"/>
        </w:rPr>
        <w:t>≥</w:t>
      </w:r>
      <w:r w:rsidRPr="00D17574">
        <w:rPr>
          <w:rFonts w:ascii="標楷體" w:eastAsia="標楷體" w:hAnsi="標楷體" w:hint="eastAsia"/>
          <w:kern w:val="2"/>
          <w:szCs w:val="28"/>
        </w:rPr>
        <w:t>4 分方得繼續使用。若需繼續使用，需重新提出申請。</w:t>
      </w:r>
    </w:p>
    <w:p w14:paraId="7A9BD421" w14:textId="77777777" w:rsidR="00D17574" w:rsidRPr="00D17574" w:rsidRDefault="00D17574" w:rsidP="00D17574">
      <w:pPr>
        <w:suppressAutoHyphens w:val="0"/>
        <w:autoSpaceDN/>
        <w:ind w:leftChars="296" w:left="1063" w:hangingChars="147" w:hanging="353"/>
        <w:textAlignment w:val="auto"/>
        <w:rPr>
          <w:rFonts w:ascii="標楷體" w:eastAsia="標楷體" w:hAnsi="標楷體"/>
          <w:kern w:val="2"/>
          <w:szCs w:val="28"/>
        </w:rPr>
      </w:pPr>
      <w:r w:rsidRPr="00D17574">
        <w:rPr>
          <w:rFonts w:ascii="標楷體" w:eastAsia="標楷體" w:hAnsi="標楷體" w:hint="eastAsia"/>
          <w:kern w:val="2"/>
          <w:szCs w:val="28"/>
        </w:rPr>
        <w:t>◎附表三十六之一：全民健康保險全身性紅斑性狼瘡5-17 歲病人使用belimumab生物製劑申請表</w:t>
      </w:r>
    </w:p>
    <w:p w14:paraId="4503C21E" w14:textId="4725DFC9" w:rsidR="00BD776B" w:rsidRDefault="00D17574" w:rsidP="00D17574">
      <w:pPr>
        <w:ind w:left="1063" w:right="-710" w:hanging="353"/>
      </w:pPr>
      <w:r w:rsidRPr="00D17574">
        <w:rPr>
          <w:rFonts w:ascii="標楷體" w:eastAsia="標楷體" w:hAnsi="標楷體" w:hint="eastAsia"/>
          <w:kern w:val="2"/>
          <w:szCs w:val="28"/>
        </w:rPr>
        <w:t>◎附表三十六之二：SELENA SLEDAI積分表</w:t>
      </w:r>
    </w:p>
    <w:p w14:paraId="3C3AE266" w14:textId="77777777" w:rsidR="00BD776B" w:rsidRDefault="00DF0C24">
      <w:pPr>
        <w:ind w:left="511" w:hanging="353"/>
      </w:pPr>
      <w:r>
        <w:rPr>
          <w:rFonts w:ascii="標楷體" w:eastAsia="標楷體" w:hAnsi="標楷體"/>
          <w:color w:val="000000"/>
          <w:szCs w:val="24"/>
        </w:rPr>
        <w:t xml:space="preserve"> 8.2.14.Satralizumab(如Enspryng)、inebilizumab(如Uplizna)：(112/10/1)</w:t>
      </w:r>
    </w:p>
    <w:p w14:paraId="3A0C334E" w14:textId="77777777" w:rsidR="00BD776B" w:rsidRDefault="00DF0C24">
      <w:pPr>
        <w:spacing w:line="400" w:lineRule="exact"/>
        <w:ind w:left="842" w:hanging="242"/>
        <w:rPr>
          <w:rFonts w:ascii="標楷體" w:eastAsia="標楷體" w:hAnsi="標楷體"/>
          <w:color w:val="000000"/>
          <w:szCs w:val="24"/>
        </w:rPr>
      </w:pPr>
      <w:r>
        <w:rPr>
          <w:rFonts w:ascii="標楷體" w:eastAsia="標楷體" w:hAnsi="標楷體"/>
          <w:color w:val="000000"/>
          <w:szCs w:val="24"/>
        </w:rPr>
        <w:t>1.</w:t>
      </w:r>
      <w:r>
        <w:rPr>
          <w:rFonts w:ascii="標楷體" w:eastAsia="標楷體" w:hAnsi="標楷體"/>
          <w:color w:val="000000"/>
          <w:szCs w:val="24"/>
        </w:rPr>
        <w:tab/>
        <w:t>Satralizumab限用於治療泛視神經脊髓炎(neuromyelitis optica spectrum disorder,NMOSD)之12歲以上患者，另inebilizumab限用於成人，且需同時符合下列條件：</w:t>
      </w:r>
    </w:p>
    <w:p w14:paraId="0118FF6C"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t>(1)經檢測為水通道蛋白4自體抗體陽性(anti-aquaporin-4[AQP4] antibody positive)。</w:t>
      </w:r>
    </w:p>
    <w:p w14:paraId="370B7BAC"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lastRenderedPageBreak/>
        <w:t>(2)使用至少3個月免疫抑制療法後，如口服皮質類固醇、azathioprine或mycophenolate mofetil，仍有疾病復發。</w:t>
      </w:r>
    </w:p>
    <w:p w14:paraId="4E943A1F"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t>(3)一年內曾發生二次以上需要救援治療的復發患者，且須符合以下條件(Ⅰ+Ⅱ+Ⅲ或Ⅰ+Ⅱ+Ⅳ)</w:t>
      </w:r>
    </w:p>
    <w:p w14:paraId="278684E4" w14:textId="77777777" w:rsidR="00BD776B" w:rsidRDefault="00DF0C24">
      <w:pPr>
        <w:snapToGrid w:val="0"/>
        <w:spacing w:line="400" w:lineRule="exact"/>
        <w:ind w:left="1474" w:hanging="394"/>
        <w:rPr>
          <w:rFonts w:ascii="標楷體" w:eastAsia="標楷體" w:hAnsi="標楷體"/>
          <w:szCs w:val="24"/>
        </w:rPr>
      </w:pPr>
      <w:r>
        <w:rPr>
          <w:rFonts w:ascii="標楷體" w:eastAsia="標楷體" w:hAnsi="標楷體"/>
          <w:szCs w:val="24"/>
        </w:rPr>
        <w:t>Ⅰ.</w:t>
      </w:r>
      <w:r>
        <w:rPr>
          <w:rFonts w:ascii="標楷體" w:eastAsia="標楷體" w:hAnsi="標楷體"/>
          <w:szCs w:val="24"/>
        </w:rPr>
        <w:tab/>
        <w:t>有神經影像學(磁振造影)報告佐證其發作</w:t>
      </w:r>
    </w:p>
    <w:p w14:paraId="6EA4D932" w14:textId="77777777" w:rsidR="00BD776B" w:rsidRDefault="00DF0C24">
      <w:pPr>
        <w:snapToGrid w:val="0"/>
        <w:spacing w:line="400" w:lineRule="exact"/>
        <w:ind w:left="1474" w:hanging="394"/>
        <w:rPr>
          <w:rFonts w:ascii="標楷體" w:eastAsia="標楷體" w:hAnsi="標楷體"/>
          <w:szCs w:val="24"/>
        </w:rPr>
      </w:pPr>
      <w:r>
        <w:rPr>
          <w:rFonts w:ascii="標楷體" w:eastAsia="標楷體" w:hAnsi="標楷體"/>
          <w:szCs w:val="24"/>
        </w:rPr>
        <w:t>Ⅱ.</w:t>
      </w:r>
      <w:r>
        <w:rPr>
          <w:rFonts w:ascii="標楷體" w:eastAsia="標楷體" w:hAnsi="標楷體"/>
          <w:szCs w:val="24"/>
        </w:rPr>
        <w:tab/>
        <w:t>發作時住院接受急性期治療</w:t>
      </w:r>
    </w:p>
    <w:p w14:paraId="452D401C" w14:textId="77777777" w:rsidR="00BD776B" w:rsidRDefault="00DF0C24">
      <w:pPr>
        <w:snapToGrid w:val="0"/>
        <w:spacing w:line="400" w:lineRule="exact"/>
        <w:ind w:left="1474" w:hanging="394"/>
        <w:rPr>
          <w:rFonts w:ascii="標楷體" w:eastAsia="標楷體" w:hAnsi="標楷體"/>
          <w:szCs w:val="24"/>
        </w:rPr>
      </w:pPr>
      <w:r>
        <w:rPr>
          <w:rFonts w:ascii="標楷體" w:eastAsia="標楷體" w:hAnsi="標楷體"/>
          <w:szCs w:val="24"/>
        </w:rPr>
        <w:t>Ⅲ.</w:t>
      </w:r>
      <w:r>
        <w:rPr>
          <w:rFonts w:ascii="標楷體" w:eastAsia="標楷體" w:hAnsi="標楷體"/>
          <w:szCs w:val="24"/>
        </w:rPr>
        <w:tab/>
        <w:t>發作時EDSS(Expanded Disability Status Scale)分數增加，其定義為原先EDSS為0者須增加2分以上，原先EDSS大於0者須增加1分以上。</w:t>
      </w:r>
    </w:p>
    <w:p w14:paraId="74015034" w14:textId="77777777" w:rsidR="00BD776B" w:rsidRDefault="00DF0C24">
      <w:pPr>
        <w:snapToGrid w:val="0"/>
        <w:spacing w:line="400" w:lineRule="exact"/>
        <w:ind w:left="1320" w:hanging="240"/>
        <w:rPr>
          <w:rFonts w:ascii="標楷體" w:eastAsia="標楷體" w:hAnsi="標楷體"/>
          <w:szCs w:val="24"/>
        </w:rPr>
      </w:pPr>
      <w:r>
        <w:rPr>
          <w:rFonts w:ascii="標楷體" w:eastAsia="標楷體" w:hAnsi="標楷體"/>
          <w:szCs w:val="24"/>
        </w:rPr>
        <w:t xml:space="preserve">  【EDSS：Expanded Disability Status Scale。擴展失能狀態量表，針對神經功能的表現評估。分數介於0至10分，0分代表健康無失能狀態，10分代表死亡。】</w:t>
      </w:r>
    </w:p>
    <w:p w14:paraId="716ED984" w14:textId="77777777" w:rsidR="00BD776B" w:rsidRDefault="00DF0C24">
      <w:pPr>
        <w:snapToGrid w:val="0"/>
        <w:spacing w:line="400" w:lineRule="exact"/>
        <w:ind w:left="1474" w:hanging="394"/>
        <w:rPr>
          <w:rFonts w:ascii="標楷體" w:eastAsia="標楷體" w:hAnsi="標楷體"/>
          <w:szCs w:val="24"/>
        </w:rPr>
      </w:pPr>
      <w:r>
        <w:rPr>
          <w:rFonts w:ascii="標楷體" w:eastAsia="標楷體" w:hAnsi="標楷體"/>
          <w:szCs w:val="24"/>
        </w:rPr>
        <w:t>Ⅳ.</w:t>
      </w:r>
      <w:r>
        <w:rPr>
          <w:rFonts w:ascii="標楷體" w:eastAsia="標楷體" w:hAnsi="標楷體"/>
          <w:szCs w:val="24"/>
        </w:rPr>
        <w:tab/>
        <w:t>發作時最佳矯正視力、辨色力與視野檢查呈現與視神經炎相關視覺損害加上視網膜斷層掃描儀(Optical Coherence Tomography)結構損傷之證據。</w:t>
      </w:r>
    </w:p>
    <w:p w14:paraId="449B9C42"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t>(4)治療前之疾病嚴重度(EDSS)須小於等於6.5分。</w:t>
      </w:r>
    </w:p>
    <w:p w14:paraId="20C65AD5" w14:textId="77777777" w:rsidR="00BD776B" w:rsidRDefault="00DF0C24">
      <w:pPr>
        <w:spacing w:line="400" w:lineRule="exact"/>
        <w:ind w:left="842" w:hanging="242"/>
        <w:rPr>
          <w:rFonts w:ascii="標楷體" w:eastAsia="標楷體" w:hAnsi="標楷體"/>
          <w:color w:val="000000"/>
          <w:szCs w:val="24"/>
        </w:rPr>
      </w:pPr>
      <w:r>
        <w:rPr>
          <w:rFonts w:ascii="標楷體" w:eastAsia="標楷體" w:hAnsi="標楷體"/>
          <w:color w:val="000000"/>
          <w:szCs w:val="24"/>
        </w:rPr>
        <w:t>2.</w:t>
      </w:r>
      <w:r>
        <w:rPr>
          <w:rFonts w:ascii="標楷體" w:eastAsia="標楷體" w:hAnsi="標楷體"/>
          <w:color w:val="000000"/>
          <w:szCs w:val="24"/>
        </w:rPr>
        <w:tab/>
        <w:t>需經事前審查核准後使用：</w:t>
      </w:r>
    </w:p>
    <w:p w14:paraId="74976276"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t>(1)限由神經科及眼科醫師開立處方。</w:t>
      </w:r>
    </w:p>
    <w:p w14:paraId="6EA934D6"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t>(2)應併檢附病人完整視力、視野、MRI、整個用藥期間復發情形之相關完整病歷等資料。</w:t>
      </w:r>
    </w:p>
    <w:p w14:paraId="6C5CEC34" w14:textId="77777777" w:rsidR="00BD776B" w:rsidRDefault="00DF0C24">
      <w:pPr>
        <w:tabs>
          <w:tab w:val="left" w:pos="679"/>
        </w:tabs>
        <w:spacing w:line="400" w:lineRule="exact"/>
        <w:ind w:left="1080" w:hanging="360"/>
        <w:rPr>
          <w:rFonts w:ascii="標楷體" w:eastAsia="標楷體" w:hAnsi="標楷體"/>
          <w:color w:val="000000"/>
          <w:szCs w:val="24"/>
        </w:rPr>
      </w:pPr>
      <w:r>
        <w:rPr>
          <w:rFonts w:ascii="標楷體" w:eastAsia="標楷體" w:hAnsi="標楷體"/>
          <w:color w:val="000000"/>
          <w:szCs w:val="24"/>
        </w:rPr>
        <w:t>(3)初始給付期間以12個月為限。</w:t>
      </w:r>
    </w:p>
    <w:p w14:paraId="43DE6779" w14:textId="77777777" w:rsidR="00BD776B" w:rsidRDefault="00DF0C24">
      <w:pPr>
        <w:spacing w:line="400" w:lineRule="exact"/>
        <w:ind w:left="842" w:hanging="242"/>
        <w:rPr>
          <w:rFonts w:ascii="標楷體" w:eastAsia="標楷體" w:hAnsi="標楷體"/>
          <w:color w:val="000000"/>
          <w:szCs w:val="24"/>
        </w:rPr>
      </w:pPr>
      <w:r>
        <w:rPr>
          <w:rFonts w:ascii="標楷體" w:eastAsia="標楷體" w:hAnsi="標楷體"/>
          <w:color w:val="000000"/>
          <w:szCs w:val="24"/>
        </w:rPr>
        <w:t>3.</w:t>
      </w:r>
      <w:r>
        <w:rPr>
          <w:rFonts w:ascii="標楷體" w:eastAsia="標楷體" w:hAnsi="標楷體"/>
          <w:color w:val="000000"/>
          <w:szCs w:val="24"/>
        </w:rPr>
        <w:tab/>
        <w:t>續用標準：初始給付12個月後，應每6個月測量病人之EDSS分數，且EDSS值≦6.5分，始得續用，每次續用限6個月。</w:t>
      </w:r>
    </w:p>
    <w:p w14:paraId="46346C0A" w14:textId="77777777" w:rsidR="00BD776B" w:rsidRDefault="00DF0C24">
      <w:pPr>
        <w:spacing w:line="400" w:lineRule="exact"/>
        <w:ind w:left="842" w:hanging="242"/>
        <w:rPr>
          <w:rFonts w:ascii="標楷體" w:eastAsia="標楷體" w:hAnsi="標楷體"/>
          <w:color w:val="000000"/>
          <w:szCs w:val="24"/>
        </w:rPr>
      </w:pPr>
      <w:r>
        <w:rPr>
          <w:rFonts w:ascii="標楷體" w:eastAsia="標楷體" w:hAnsi="標楷體"/>
          <w:color w:val="000000"/>
          <w:szCs w:val="24"/>
        </w:rPr>
        <w:t>4.</w:t>
      </w:r>
      <w:r>
        <w:rPr>
          <w:rFonts w:ascii="標楷體" w:eastAsia="標楷體" w:hAnsi="標楷體"/>
          <w:color w:val="000000"/>
          <w:szCs w:val="24"/>
        </w:rPr>
        <w:tab/>
        <w:t>停用標準：使用satralizumab或inebilizumab後，病人疾病惡化，且EDSS≧8分，或疾病年度發作頻率增加者，應停止使用。</w:t>
      </w:r>
    </w:p>
    <w:p w14:paraId="6421A8BA" w14:textId="77777777" w:rsidR="00BD776B" w:rsidRDefault="00DF0C24">
      <w:pPr>
        <w:spacing w:line="400" w:lineRule="exact"/>
        <w:ind w:left="842" w:hanging="242"/>
        <w:rPr>
          <w:rFonts w:ascii="標楷體" w:eastAsia="標楷體" w:hAnsi="標楷體"/>
          <w:color w:val="000000"/>
          <w:szCs w:val="24"/>
        </w:rPr>
      </w:pPr>
      <w:r>
        <w:rPr>
          <w:rFonts w:ascii="標楷體" w:eastAsia="標楷體" w:hAnsi="標楷體"/>
          <w:color w:val="000000"/>
          <w:szCs w:val="24"/>
        </w:rPr>
        <w:t>5.</w:t>
      </w:r>
      <w:r>
        <w:rPr>
          <w:rFonts w:ascii="標楷體" w:eastAsia="標楷體" w:hAnsi="標楷體"/>
          <w:color w:val="000000"/>
          <w:szCs w:val="24"/>
        </w:rPr>
        <w:tab/>
        <w:t>Satralizumab或inebilizumab僅得擇一使用，惟在有耐受不良時方可轉換使用。</w:t>
      </w:r>
    </w:p>
    <w:p w14:paraId="7A52D364" w14:textId="77777777" w:rsidR="00BD776B" w:rsidRDefault="00DF0C24">
      <w:pPr>
        <w:ind w:left="560" w:hanging="276"/>
        <w:rPr>
          <w:rFonts w:ascii="標楷體" w:eastAsia="標楷體" w:hAnsi="標楷體"/>
          <w:szCs w:val="24"/>
        </w:rPr>
      </w:pPr>
      <w:r>
        <w:rPr>
          <w:rFonts w:ascii="標楷體" w:eastAsia="標楷體" w:hAnsi="標楷體"/>
          <w:szCs w:val="24"/>
        </w:rPr>
        <w:t xml:space="preserve">8.2.15.Siltuximab (如Sylvant):(113/2/1) </w:t>
      </w:r>
    </w:p>
    <w:p w14:paraId="56848BC7"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限免疫過敏或血液腫瘤專科醫師處方。</w:t>
      </w:r>
    </w:p>
    <w:p w14:paraId="35F3333A"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限用於治療人類免疫不全病毒(HIV)陰性及人類皰疹病毒-8 (HHV-8)陰性的多發性Castleman氏病(Multicentric Castleman's Disease(MCD))患者，ECOG≦2。</w:t>
      </w:r>
    </w:p>
    <w:p w14:paraId="4E00FB0E" w14:textId="77777777" w:rsidR="00BD776B" w:rsidRDefault="00DF0C24" w:rsidP="008A7063">
      <w:pPr>
        <w:numPr>
          <w:ilvl w:val="0"/>
          <w:numId w:val="22"/>
        </w:numPr>
        <w:ind w:left="803" w:hanging="280"/>
        <w:rPr>
          <w:rFonts w:ascii="標楷體" w:eastAsia="標楷體" w:hAnsi="標楷體"/>
          <w:szCs w:val="24"/>
        </w:rPr>
      </w:pPr>
      <w:r>
        <w:rPr>
          <w:rFonts w:ascii="標楷體" w:eastAsia="標楷體" w:hAnsi="標楷體"/>
          <w:szCs w:val="24"/>
        </w:rPr>
        <w:t>需經事前審查核准後使用。初次申請時，以6個月為限，之後每3個月再次申請，再次申請時應檢附前次治療結果評估資料，如血液學或影像學檢查報告。</w:t>
      </w:r>
    </w:p>
    <w:p w14:paraId="16AC30C3"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病人需符合與iMCD 譜系(iMCD spectrum)一致的組織病理學淋巴結特徵。</w:t>
      </w:r>
    </w:p>
    <w:p w14:paraId="66D77929"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病人需至少在2個淋巴結分區(lymph node stations)有淋巴結腫大(短軸直徑至少1 cm)。</w:t>
      </w:r>
    </w:p>
    <w:p w14:paraId="73500F4E"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申請時須註明，病人至少符合2項以上iMCD診斷標準(iMCD 實驗室診斷標準</w:t>
      </w:r>
      <w:r>
        <w:rPr>
          <w:rFonts w:ascii="標楷體" w:eastAsia="標楷體" w:hAnsi="標楷體"/>
          <w:szCs w:val="24"/>
        </w:rPr>
        <w:lastRenderedPageBreak/>
        <w:t>(laboratory iMCD diagnostic criteria)或iMCD臨床診斷標準(clinical iMCD diagnostic criteria))，且至少1項須為實驗室診斷標準。</w:t>
      </w:r>
    </w:p>
    <w:p w14:paraId="61681560"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排除其他疾病因素：</w:t>
      </w:r>
    </w:p>
    <w:p w14:paraId="7108EF65"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人類皰疹病毒-8感染。</w:t>
      </w:r>
    </w:p>
    <w:p w14:paraId="7ED4E8A1"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Epstein-Barr病毒淋巴增生性疾病。</w:t>
      </w:r>
    </w:p>
    <w:p w14:paraId="48ED5AE7"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急性/不受控制的感染(如巨細胞病毒、弓形蟲病、人類免疫缺陷病毒、肺結核)所導致的炎症並伴有淋巴結腫大。</w:t>
      </w:r>
    </w:p>
    <w:p w14:paraId="54C537D8"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自身免疫/自體發炎性疾病。</w:t>
      </w:r>
    </w:p>
    <w:p w14:paraId="2CFC30D6"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惡性/淋巴增生性疾病。</w:t>
      </w:r>
    </w:p>
    <w:p w14:paraId="61EA53A3" w14:textId="77777777" w:rsidR="00BD776B" w:rsidRDefault="00DF0C24" w:rsidP="008A7063">
      <w:pPr>
        <w:numPr>
          <w:ilvl w:val="0"/>
          <w:numId w:val="22"/>
        </w:numPr>
        <w:ind w:left="883"/>
        <w:rPr>
          <w:rFonts w:ascii="標楷體" w:eastAsia="標楷體" w:hAnsi="標楷體"/>
          <w:szCs w:val="24"/>
        </w:rPr>
      </w:pPr>
      <w:r>
        <w:rPr>
          <w:rFonts w:ascii="標楷體" w:eastAsia="標楷體" w:hAnsi="標楷體"/>
          <w:szCs w:val="24"/>
        </w:rPr>
        <w:t>停用時機：</w:t>
      </w:r>
    </w:p>
    <w:p w14:paraId="75978282"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初次治療前6個月未符合治療改善之定義，停止使用。</w:t>
      </w:r>
    </w:p>
    <w:p w14:paraId="50769D73"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維持治療：每3個月評估直到疾病進展(Progression Disease)則停止治療。</w:t>
      </w:r>
    </w:p>
    <w:p w14:paraId="71833817" w14:textId="77777777" w:rsidR="00BD776B" w:rsidRDefault="00DF0C24" w:rsidP="008A7063">
      <w:pPr>
        <w:numPr>
          <w:ilvl w:val="2"/>
          <w:numId w:val="22"/>
        </w:numPr>
        <w:ind w:left="1230" w:hanging="424"/>
        <w:rPr>
          <w:rFonts w:ascii="標楷體" w:eastAsia="標楷體" w:hAnsi="標楷體"/>
          <w:szCs w:val="24"/>
        </w:rPr>
      </w:pPr>
      <w:r>
        <w:rPr>
          <w:rFonts w:ascii="標楷體" w:eastAsia="標楷體" w:hAnsi="標楷體"/>
          <w:szCs w:val="24"/>
        </w:rPr>
        <w:t>若疾病進展或無法耐受藥物副作用，則必須停止使用。</w:t>
      </w:r>
    </w:p>
    <w:p w14:paraId="520BB919" w14:textId="77777777" w:rsidR="00BD776B" w:rsidRDefault="00DF0C24" w:rsidP="008A7063">
      <w:pPr>
        <w:numPr>
          <w:ilvl w:val="0"/>
          <w:numId w:val="22"/>
        </w:numPr>
        <w:ind w:left="971" w:hanging="448"/>
        <w:rPr>
          <w:rFonts w:ascii="標楷體" w:eastAsia="標楷體" w:hAnsi="標楷體"/>
          <w:szCs w:val="24"/>
        </w:rPr>
      </w:pPr>
      <w:r>
        <w:rPr>
          <w:rFonts w:ascii="標楷體" w:eastAsia="標楷體" w:hAnsi="標楷體"/>
          <w:szCs w:val="24"/>
        </w:rPr>
        <w:t xml:space="preserve">最長使用2年，復發時依初次使用標準審查。 </w:t>
      </w:r>
    </w:p>
    <w:p w14:paraId="26C8DFE8" w14:textId="77777777" w:rsidR="00BD776B" w:rsidRDefault="00DF0C24">
      <w:pPr>
        <w:ind w:left="482" w:hanging="2"/>
        <w:rPr>
          <w:rFonts w:ascii="標楷體" w:eastAsia="標楷體" w:hAnsi="標楷體"/>
          <w:szCs w:val="24"/>
        </w:rPr>
      </w:pPr>
      <w:r>
        <w:rPr>
          <w:rFonts w:ascii="標楷體" w:eastAsia="標楷體" w:hAnsi="標楷體"/>
          <w:szCs w:val="24"/>
        </w:rPr>
        <w:t>備註：</w:t>
      </w:r>
    </w:p>
    <w:p w14:paraId="0342895F" w14:textId="77777777" w:rsidR="00BD776B" w:rsidRDefault="00DF0C24" w:rsidP="008A7063">
      <w:pPr>
        <w:numPr>
          <w:ilvl w:val="0"/>
          <w:numId w:val="23"/>
        </w:numPr>
        <w:ind w:left="764" w:hanging="284"/>
        <w:rPr>
          <w:rFonts w:ascii="標楷體" w:eastAsia="標楷體" w:hAnsi="標楷體"/>
          <w:szCs w:val="24"/>
        </w:rPr>
      </w:pPr>
      <w:r>
        <w:rPr>
          <w:rFonts w:ascii="標楷體" w:eastAsia="標楷體" w:hAnsi="標楷體"/>
          <w:szCs w:val="24"/>
        </w:rPr>
        <w:t>iMCD實驗室診斷標準(laboratory iMCD diagnostic criteria)：</w:t>
      </w:r>
    </w:p>
    <w:p w14:paraId="2A9CBCEE"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CRP升高(＞10mg/L)或紅血球沉降速率(erythrocyte sedimentation rate,ESR)升高（＞15mm/h）。</w:t>
      </w:r>
    </w:p>
    <w:p w14:paraId="5A08D1E0"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貧血（男性血紅蛋白＜12.5g/dL；女性血紅蛋白＜11.5g/dL）。</w:t>
      </w:r>
    </w:p>
    <w:p w14:paraId="1F685FEF"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血小板減少症(血小板數＜150k/mL)或血小板增多症(血小板數＞400k/mL)。</w:t>
      </w:r>
    </w:p>
    <w:p w14:paraId="02351A56"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低白蛋白血症(白蛋白＜3.5g/dL)。</w:t>
      </w:r>
    </w:p>
    <w:p w14:paraId="4A4005CC" w14:textId="77777777" w:rsidR="00BD776B" w:rsidRDefault="00DF0C24" w:rsidP="008A7063">
      <w:pPr>
        <w:numPr>
          <w:ilvl w:val="1"/>
          <w:numId w:val="23"/>
        </w:numPr>
        <w:ind w:left="1188" w:hanging="425"/>
      </w:pPr>
      <w:r>
        <w:rPr>
          <w:rFonts w:ascii="標楷體" w:eastAsia="標楷體" w:hAnsi="標楷體"/>
          <w:szCs w:val="24"/>
        </w:rPr>
        <w:t>腎功能異常（eGFR＜60mL/min/1.73m</w:t>
      </w:r>
      <w:r>
        <w:rPr>
          <w:rFonts w:ascii="標楷體" w:eastAsia="標楷體" w:hAnsi="標楷體"/>
          <w:szCs w:val="24"/>
          <w:vertAlign w:val="superscript"/>
        </w:rPr>
        <w:t>2</w:t>
      </w:r>
      <w:r>
        <w:rPr>
          <w:rFonts w:ascii="標楷體" w:eastAsia="標楷體" w:hAnsi="標楷體"/>
          <w:szCs w:val="24"/>
        </w:rPr>
        <w:t>）或蛋白尿（總蛋白質150mg/24h或10mg/100mL）。</w:t>
      </w:r>
    </w:p>
    <w:p w14:paraId="152B3191"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多株高丙型球蛋白血症（polyclonal hypergammaglobulinemia）（總g球蛋白或免疫球蛋白G＞1700mg/dL）。</w:t>
      </w:r>
    </w:p>
    <w:p w14:paraId="3519329C" w14:textId="77777777" w:rsidR="00BD776B" w:rsidRDefault="00DF0C24" w:rsidP="008A7063">
      <w:pPr>
        <w:numPr>
          <w:ilvl w:val="0"/>
          <w:numId w:val="23"/>
        </w:numPr>
        <w:ind w:left="764" w:hanging="284"/>
        <w:rPr>
          <w:rFonts w:ascii="標楷體" w:eastAsia="標楷體" w:hAnsi="標楷體"/>
          <w:szCs w:val="24"/>
        </w:rPr>
      </w:pPr>
      <w:r>
        <w:rPr>
          <w:rFonts w:ascii="標楷體" w:eastAsia="標楷體" w:hAnsi="標楷體"/>
          <w:szCs w:val="24"/>
        </w:rPr>
        <w:t>iMCD臨床診斷標準(clinical iMCD diagnostic criteria)：</w:t>
      </w:r>
    </w:p>
    <w:p w14:paraId="22B76796" w14:textId="77777777" w:rsidR="00BD776B" w:rsidRDefault="00DF0C24" w:rsidP="008A7063">
      <w:pPr>
        <w:numPr>
          <w:ilvl w:val="1"/>
          <w:numId w:val="23"/>
        </w:numPr>
        <w:ind w:left="1188" w:hanging="425"/>
      </w:pPr>
      <w:r>
        <w:rPr>
          <w:rFonts w:ascii="標楷體" w:eastAsia="標楷體" w:hAnsi="標楷體"/>
          <w:szCs w:val="24"/>
        </w:rPr>
        <w:t>全身症狀：盜汗、發燒(＞38</w:t>
      </w:r>
      <w:r>
        <w:rPr>
          <w:rFonts w:ascii="標楷體" w:eastAsia="標楷體" w:hAnsi="標楷體"/>
          <w:szCs w:val="24"/>
          <w:vertAlign w:val="superscript"/>
        </w:rPr>
        <w:t>0</w:t>
      </w:r>
      <w:r>
        <w:rPr>
          <w:rFonts w:ascii="標楷體" w:eastAsia="標楷體" w:hAnsi="標楷體"/>
          <w:szCs w:val="24"/>
        </w:rPr>
        <w:t>C)、體重減輕或疲勞（使用不良事件通用術語標準，該症狀至少2分（CTCAE gradeⅡ以上））。</w:t>
      </w:r>
    </w:p>
    <w:p w14:paraId="710DA1F5"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肝和/或脾臟增大。</w:t>
      </w:r>
    </w:p>
    <w:p w14:paraId="330B243F"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積水：水腫、全身水腫、腹水或胸腔積水。</w:t>
      </w:r>
    </w:p>
    <w:p w14:paraId="4D7A629F"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爆發性櫻桃狀血管瘤或紫羅蘭色丘疹。</w:t>
      </w:r>
    </w:p>
    <w:p w14:paraId="6B265084"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淋巴細胞間質性肺炎。</w:t>
      </w:r>
    </w:p>
    <w:p w14:paraId="37EBC13A" w14:textId="77777777" w:rsidR="00BD776B" w:rsidRDefault="00DF0C24" w:rsidP="008A7063">
      <w:pPr>
        <w:numPr>
          <w:ilvl w:val="0"/>
          <w:numId w:val="23"/>
        </w:numPr>
        <w:ind w:left="764" w:hanging="284"/>
        <w:rPr>
          <w:rFonts w:ascii="標楷體" w:eastAsia="標楷體" w:hAnsi="標楷體"/>
          <w:szCs w:val="24"/>
        </w:rPr>
      </w:pPr>
      <w:r>
        <w:rPr>
          <w:rFonts w:ascii="標楷體" w:eastAsia="標楷體" w:hAnsi="標楷體"/>
          <w:szCs w:val="24"/>
        </w:rPr>
        <w:t>治療改善狀況根據（CDCN response criteria）；需同時滿足下列（1）〜（2）條件；每3個月評估：</w:t>
      </w:r>
    </w:p>
    <w:p w14:paraId="6A60AFD9"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至少與基礎比較改善，發炎反應的客觀指標，以下4個數值有2個符合：</w:t>
      </w:r>
    </w:p>
    <w:p w14:paraId="1A47199C" w14:textId="77777777" w:rsidR="00BD776B" w:rsidRDefault="00DF0C24">
      <w:pPr>
        <w:ind w:left="1092"/>
        <w:rPr>
          <w:rFonts w:ascii="標楷體" w:eastAsia="標楷體" w:hAnsi="標楷體"/>
          <w:szCs w:val="24"/>
        </w:rPr>
      </w:pPr>
      <w:r>
        <w:rPr>
          <w:rFonts w:ascii="標楷體" w:eastAsia="標楷體" w:hAnsi="標楷體"/>
          <w:szCs w:val="24"/>
        </w:rPr>
        <w:t>Ⅰ.C-反應蛋白(CRP)下降50%。</w:t>
      </w:r>
    </w:p>
    <w:p w14:paraId="34AE403A" w14:textId="77777777" w:rsidR="00BD776B" w:rsidRDefault="00DF0C24">
      <w:pPr>
        <w:ind w:left="1568" w:hanging="423"/>
        <w:rPr>
          <w:rFonts w:ascii="標楷體" w:eastAsia="標楷體" w:hAnsi="標楷體"/>
          <w:szCs w:val="24"/>
        </w:rPr>
      </w:pPr>
      <w:r>
        <w:rPr>
          <w:rFonts w:ascii="標楷體" w:eastAsia="標楷體" w:hAnsi="標楷體"/>
          <w:szCs w:val="24"/>
        </w:rPr>
        <w:t>Ⅱ.血紅蛋白(Hemoglobin)上升2g/dL或≧10g/dL。</w:t>
      </w:r>
    </w:p>
    <w:p w14:paraId="1BE2C0A6" w14:textId="77777777" w:rsidR="00BD776B" w:rsidRDefault="00DF0C24">
      <w:pPr>
        <w:ind w:left="1287" w:hanging="106"/>
        <w:rPr>
          <w:rFonts w:ascii="標楷體" w:eastAsia="標楷體" w:hAnsi="標楷體"/>
          <w:szCs w:val="24"/>
        </w:rPr>
      </w:pPr>
      <w:r>
        <w:rPr>
          <w:rFonts w:ascii="標楷體" w:eastAsia="標楷體" w:hAnsi="標楷體"/>
          <w:szCs w:val="24"/>
        </w:rPr>
        <w:t>Ⅲ.白蛋白(Albumin)≧3.5/dL。</w:t>
      </w:r>
    </w:p>
    <w:p w14:paraId="65055008" w14:textId="77777777" w:rsidR="00BD776B" w:rsidRDefault="00DF0C24">
      <w:pPr>
        <w:ind w:left="1570" w:hanging="389"/>
      </w:pPr>
      <w:r>
        <w:rPr>
          <w:rFonts w:ascii="標楷體" w:eastAsia="標楷體" w:hAnsi="標楷體"/>
          <w:szCs w:val="24"/>
        </w:rPr>
        <w:t>Ⅳ.腎絲球過濾率GFR上升20%或GFR≧60mL/min/1.73m</w:t>
      </w:r>
      <w:r>
        <w:rPr>
          <w:rFonts w:ascii="標楷體" w:eastAsia="標楷體" w:hAnsi="標楷體"/>
          <w:szCs w:val="24"/>
          <w:vertAlign w:val="superscript"/>
        </w:rPr>
        <w:t>2</w:t>
      </w:r>
      <w:r>
        <w:rPr>
          <w:rFonts w:ascii="標楷體" w:eastAsia="標楷體" w:hAnsi="標楷體"/>
          <w:szCs w:val="24"/>
        </w:rPr>
        <w:t>。</w:t>
      </w:r>
    </w:p>
    <w:p w14:paraId="17DC37CC" w14:textId="77777777" w:rsidR="00BD776B" w:rsidRDefault="00DF0C24" w:rsidP="008A7063">
      <w:pPr>
        <w:numPr>
          <w:ilvl w:val="1"/>
          <w:numId w:val="23"/>
        </w:numPr>
        <w:ind w:left="1188" w:hanging="425"/>
        <w:rPr>
          <w:rFonts w:ascii="標楷體" w:eastAsia="標楷體" w:hAnsi="標楷體"/>
          <w:szCs w:val="24"/>
        </w:rPr>
      </w:pPr>
      <w:r>
        <w:rPr>
          <w:rFonts w:ascii="標楷體" w:eastAsia="標楷體" w:hAnsi="標楷體"/>
          <w:szCs w:val="24"/>
        </w:rPr>
        <w:t>淋巴結較基礎值可測量縮小50%或無新發生淋巴結節腫大(每半年執行檢測一次)。</w:t>
      </w:r>
    </w:p>
    <w:p w14:paraId="76554E5E" w14:textId="2111462D" w:rsidR="00BD776B" w:rsidRDefault="00DF0C24">
      <w:pPr>
        <w:spacing w:line="400" w:lineRule="exact"/>
        <w:ind w:left="397" w:hanging="140"/>
        <w:rPr>
          <w:rFonts w:ascii="標楷體" w:eastAsia="標楷體" w:hAnsi="標楷體"/>
        </w:rPr>
      </w:pPr>
      <w:r>
        <w:rPr>
          <w:rFonts w:ascii="標楷體" w:eastAsia="標楷體" w:hAnsi="標楷體"/>
        </w:rPr>
        <w:t>8.2.16.Apremilast(如Otezla)：（113/3/1</w:t>
      </w:r>
      <w:r w:rsidR="00F95EC1">
        <w:rPr>
          <w:rFonts w:ascii="標楷體" w:eastAsia="標楷體" w:hAnsi="標楷體" w:hint="eastAsia"/>
        </w:rPr>
        <w:t>、113/10/1</w:t>
      </w:r>
      <w:r>
        <w:rPr>
          <w:rFonts w:ascii="標楷體" w:eastAsia="標楷體" w:hAnsi="標楷體"/>
        </w:rPr>
        <w:t>）</w:t>
      </w:r>
    </w:p>
    <w:p w14:paraId="41AC745E" w14:textId="77777777" w:rsidR="00BD776B" w:rsidRDefault="00DF0C24">
      <w:pPr>
        <w:spacing w:line="400" w:lineRule="exact"/>
        <w:ind w:left="807" w:hanging="286"/>
        <w:jc w:val="both"/>
        <w:rPr>
          <w:rFonts w:ascii="標楷體" w:eastAsia="標楷體" w:hAnsi="標楷體"/>
        </w:rPr>
      </w:pPr>
      <w:r>
        <w:rPr>
          <w:rFonts w:ascii="標楷體" w:eastAsia="標楷體" w:hAnsi="標楷體"/>
        </w:rPr>
        <w:lastRenderedPageBreak/>
        <w:t>1.限用於對傳統全身性治療療效反應不佳、無法耐受或具有禁忌症的中度至重度斑塊乾癬之成年病人。</w:t>
      </w:r>
    </w:p>
    <w:p w14:paraId="0FF91CAF" w14:textId="77777777" w:rsidR="00BD776B" w:rsidRDefault="00DF0C24">
      <w:pPr>
        <w:spacing w:line="400" w:lineRule="exact"/>
        <w:ind w:left="1090" w:hanging="425"/>
        <w:jc w:val="both"/>
        <w:rPr>
          <w:rFonts w:ascii="標楷體" w:eastAsia="標楷體" w:hAnsi="標楷體"/>
        </w:rPr>
      </w:pPr>
      <w:r>
        <w:rPr>
          <w:rFonts w:ascii="標楷體" w:eastAsia="標楷體" w:hAnsi="標楷體"/>
        </w:rPr>
        <w:t>(1)傳統全身性治療必須包括足量之照光治療及methotrexate或cyclosporine至少一種治療藥物。</w:t>
      </w:r>
    </w:p>
    <w:p w14:paraId="62CE1394" w14:textId="77777777" w:rsidR="00BD776B" w:rsidRDefault="00DF0C24">
      <w:pPr>
        <w:spacing w:line="400" w:lineRule="exact"/>
        <w:ind w:left="1090" w:hanging="425"/>
        <w:jc w:val="both"/>
        <w:rPr>
          <w:rFonts w:ascii="標楷體" w:eastAsia="標楷體" w:hAnsi="標楷體"/>
        </w:rPr>
      </w:pPr>
      <w:r>
        <w:rPr>
          <w:rFonts w:ascii="標楷體" w:eastAsia="標楷體" w:hAnsi="標楷體"/>
        </w:rPr>
        <w:t>(2)Methotrexate合理劑量需達每週15mg，cyclosporine為2.5-5mg/kg/day。但若因為藥物毒性無法耐受，使用劑量可酌情降低。</w:t>
      </w:r>
    </w:p>
    <w:p w14:paraId="16D202D7" w14:textId="77777777" w:rsidR="00BD776B" w:rsidRDefault="00DF0C24">
      <w:pPr>
        <w:spacing w:line="400" w:lineRule="exact"/>
        <w:ind w:left="1090" w:hanging="425"/>
        <w:jc w:val="both"/>
        <w:rPr>
          <w:rFonts w:ascii="標楷體" w:eastAsia="標楷體" w:hAnsi="標楷體"/>
        </w:rPr>
      </w:pPr>
      <w:r>
        <w:rPr>
          <w:rFonts w:ascii="標楷體" w:eastAsia="標楷體" w:hAnsi="標楷體"/>
        </w:rPr>
        <w:t>(3)照光治療應依學理，如光化療法(PUVA)及窄頻UVB(nb-UVB)必須每週至少2次，寬頻UVB 併用焦油每週至少3次，並依學理逐漸增加至有效可忍受劑量。申請時必須附病歷影印及詳細照光劑量紀錄。</w:t>
      </w:r>
    </w:p>
    <w:p w14:paraId="11C39F11" w14:textId="77777777" w:rsidR="00BD776B" w:rsidRDefault="00DF0C24">
      <w:pPr>
        <w:spacing w:line="400" w:lineRule="exact"/>
        <w:ind w:left="779" w:hanging="114"/>
        <w:jc w:val="both"/>
        <w:rPr>
          <w:rFonts w:ascii="標楷體" w:eastAsia="標楷體" w:hAnsi="標楷體"/>
        </w:rPr>
      </w:pPr>
      <w:r>
        <w:rPr>
          <w:rFonts w:ascii="標楷體" w:eastAsia="標楷體" w:hAnsi="標楷體"/>
        </w:rPr>
        <w:t>(4)所稱禁忌症或不適用情況指有下列任一情形：</w:t>
      </w:r>
    </w:p>
    <w:p w14:paraId="18BA020E" w14:textId="77777777" w:rsidR="00BD776B" w:rsidRDefault="00DF0C24">
      <w:pPr>
        <w:spacing w:line="400" w:lineRule="exact"/>
        <w:ind w:left="1375" w:hanging="350"/>
        <w:jc w:val="both"/>
      </w:pPr>
      <w:r>
        <w:rPr>
          <w:rFonts w:ascii="新細明體" w:hAnsi="新細明體" w:cs="新細明體"/>
        </w:rPr>
        <w:t>ⅰ</w:t>
      </w:r>
      <w:r>
        <w:rPr>
          <w:rFonts w:ascii="標楷體" w:eastAsia="標楷體" w:hAnsi="標楷體"/>
        </w:rPr>
        <w:t>.因肝功能異常或切片第三期a異常，經6個月後切片仍無改善，或第三期b以上之肝切片異常，病毒性肝炎帶原或腎功能異常或癌症所引起嚴重或重複感染而無法使用methotrexate治療者。</w:t>
      </w:r>
    </w:p>
    <w:p w14:paraId="32ED9360" w14:textId="77777777" w:rsidR="00BD776B" w:rsidRDefault="00DF0C24">
      <w:pPr>
        <w:spacing w:line="400" w:lineRule="exact"/>
        <w:ind w:left="1375" w:hanging="350"/>
        <w:jc w:val="both"/>
      </w:pPr>
      <w:r>
        <w:rPr>
          <w:rFonts w:ascii="新細明體" w:hAnsi="新細明體" w:cs="新細明體"/>
        </w:rPr>
        <w:t>ⅱ</w:t>
      </w:r>
      <w:r>
        <w:rPr>
          <w:rFonts w:ascii="標楷體" w:eastAsia="標楷體" w:hAnsi="標楷體" w:cs="新細明體"/>
        </w:rPr>
        <w:t>.腎功能異常或癌症無法使用cylcosporine者。</w:t>
      </w:r>
    </w:p>
    <w:p w14:paraId="5F3B9DDE" w14:textId="77777777" w:rsidR="00BD776B" w:rsidRDefault="00DF0C24">
      <w:pPr>
        <w:spacing w:line="400" w:lineRule="exact"/>
        <w:ind w:left="1375" w:hanging="350"/>
        <w:jc w:val="both"/>
      </w:pPr>
      <w:r>
        <w:rPr>
          <w:rFonts w:ascii="新細明體" w:hAnsi="新細明體" w:cs="新細明體"/>
        </w:rPr>
        <w:t>ⅲ</w:t>
      </w:r>
      <w:r>
        <w:rPr>
          <w:rFonts w:ascii="標楷體" w:eastAsia="標楷體" w:hAnsi="標楷體" w:cs="新細明體"/>
        </w:rPr>
        <w:t>.具有光敏感性疾病，不適合照光。</w:t>
      </w:r>
    </w:p>
    <w:p w14:paraId="0D243F3E" w14:textId="77777777" w:rsidR="00BD776B" w:rsidRDefault="00DF0C24">
      <w:pPr>
        <w:spacing w:line="400" w:lineRule="exact"/>
        <w:ind w:left="1375" w:hanging="350"/>
        <w:jc w:val="both"/>
      </w:pPr>
      <w:r>
        <w:rPr>
          <w:rFonts w:ascii="新細明體" w:hAnsi="新細明體" w:cs="新細明體"/>
        </w:rPr>
        <w:t>ⅳ</w:t>
      </w:r>
      <w:r>
        <w:rPr>
          <w:rFonts w:ascii="標楷體" w:eastAsia="標楷體" w:hAnsi="標楷體" w:cs="新細明體"/>
        </w:rPr>
        <w:t>.多發性非原位皮膚上皮癌，不適合照光。</w:t>
      </w:r>
    </w:p>
    <w:p w14:paraId="429AEF16" w14:textId="77777777" w:rsidR="00BD776B" w:rsidRDefault="00DF0C24">
      <w:pPr>
        <w:spacing w:line="400" w:lineRule="exact"/>
        <w:ind w:left="1375" w:hanging="350"/>
        <w:jc w:val="both"/>
      </w:pPr>
      <w:r>
        <w:rPr>
          <w:rFonts w:ascii="新細明體" w:hAnsi="新細明體" w:cs="新細明體"/>
        </w:rPr>
        <w:t>ⅴ</w:t>
      </w:r>
      <w:r>
        <w:rPr>
          <w:rFonts w:ascii="標楷體" w:eastAsia="標楷體" w:hAnsi="標楷體" w:cs="新細明體"/>
        </w:rPr>
        <w:t>.頭皮侵犯(&gt;50%，應檢附照片備查)照光無效或無法耐受。</w:t>
      </w:r>
    </w:p>
    <w:p w14:paraId="4CD2F65C" w14:textId="77777777" w:rsidR="00BD776B" w:rsidRDefault="00DF0C24">
      <w:pPr>
        <w:spacing w:line="400" w:lineRule="exact"/>
        <w:ind w:left="806" w:hanging="283"/>
        <w:jc w:val="both"/>
      </w:pPr>
      <w:r>
        <w:rPr>
          <w:rFonts w:ascii="標楷體" w:eastAsia="標楷體" w:hAnsi="標楷體"/>
        </w:rPr>
        <w:t>2.需經事前審查核准後使用(</w:t>
      </w:r>
      <w:r>
        <w:rPr>
          <w:rFonts w:ascii="標楷體" w:eastAsia="標楷體" w:hAnsi="標楷體" w:cs="+mn-cs"/>
          <w:bCs/>
        </w:rPr>
        <w:t>肝腎功能不佳者除外，惟需經照光、methotrexate治療無效者使用</w:t>
      </w:r>
      <w:r>
        <w:rPr>
          <w:rFonts w:ascii="標楷體" w:eastAsia="標楷體" w:hAnsi="標楷體"/>
        </w:rPr>
        <w:t>)，初次申請時應檢附資料如申請表。</w:t>
      </w:r>
    </w:p>
    <w:p w14:paraId="5441F951" w14:textId="77777777" w:rsidR="00BD776B" w:rsidRDefault="00DF0C24">
      <w:pPr>
        <w:spacing w:line="400" w:lineRule="exact"/>
        <w:ind w:left="806" w:hanging="283"/>
        <w:jc w:val="both"/>
        <w:rPr>
          <w:rFonts w:ascii="標楷體" w:eastAsia="標楷體" w:hAnsi="標楷體"/>
        </w:rPr>
      </w:pPr>
      <w:r>
        <w:rPr>
          <w:rFonts w:ascii="標楷體" w:eastAsia="標楷體" w:hAnsi="標楷體"/>
        </w:rPr>
        <w:t>3.需排除使用及停止治療的情形應參照藥物仿單。</w:t>
      </w:r>
    </w:p>
    <w:p w14:paraId="020686B9" w14:textId="7DAB1F1A" w:rsidR="00BD776B" w:rsidRDefault="00DF0C24">
      <w:pPr>
        <w:spacing w:line="400" w:lineRule="exact"/>
        <w:ind w:left="806" w:hanging="283"/>
        <w:jc w:val="both"/>
        <w:rPr>
          <w:rFonts w:ascii="標楷體" w:eastAsia="標楷體" w:hAnsi="標楷體"/>
        </w:rPr>
      </w:pPr>
      <w:r>
        <w:rPr>
          <w:rFonts w:ascii="標楷體" w:eastAsia="標楷體" w:hAnsi="標楷體"/>
        </w:rPr>
        <w:t>4.不得合併申請生物製劑、tofacitinib及cyclosporine使用。</w:t>
      </w:r>
    </w:p>
    <w:p w14:paraId="15E3EA47" w14:textId="77777777" w:rsidR="00547EF6" w:rsidRPr="00547EF6" w:rsidRDefault="00547EF6" w:rsidP="00547EF6">
      <w:pPr>
        <w:suppressAutoHyphens w:val="0"/>
        <w:autoSpaceDN/>
        <w:spacing w:line="400" w:lineRule="exact"/>
        <w:ind w:leftChars="107" w:left="397" w:hanging="140"/>
        <w:textAlignment w:val="auto"/>
        <w:rPr>
          <w:rFonts w:ascii="標楷體" w:eastAsia="標楷體" w:hAnsi="標楷體"/>
          <w:kern w:val="2"/>
        </w:rPr>
      </w:pPr>
      <w:r w:rsidRPr="00547EF6">
        <w:rPr>
          <w:rFonts w:ascii="標楷體" w:eastAsia="標楷體" w:hAnsi="標楷體" w:hint="eastAsia"/>
          <w:kern w:val="2"/>
        </w:rPr>
        <w:t>備註:</w:t>
      </w:r>
    </w:p>
    <w:p w14:paraId="639F5BBD" w14:textId="77777777" w:rsidR="00547EF6" w:rsidRPr="00547EF6" w:rsidRDefault="00547EF6" w:rsidP="00547EF6">
      <w:pPr>
        <w:suppressAutoHyphens w:val="0"/>
        <w:autoSpaceDN/>
        <w:spacing w:line="400" w:lineRule="exact"/>
        <w:ind w:leftChars="217" w:left="807" w:hangingChars="119" w:hanging="286"/>
        <w:jc w:val="both"/>
        <w:textAlignment w:val="auto"/>
        <w:rPr>
          <w:rFonts w:ascii="標楷體" w:eastAsia="標楷體" w:hAnsi="標楷體"/>
          <w:kern w:val="2"/>
        </w:rPr>
      </w:pPr>
      <w:r w:rsidRPr="00547EF6">
        <w:rPr>
          <w:rFonts w:ascii="標楷體" w:eastAsia="標楷體" w:hAnsi="標楷體" w:hint="eastAsia"/>
          <w:kern w:val="2"/>
        </w:rPr>
        <w:t>1.肝功能不佳之定義為: (113/10/1)</w:t>
      </w:r>
    </w:p>
    <w:p w14:paraId="738F5978" w14:textId="77777777" w:rsidR="00547EF6" w:rsidRPr="00547EF6" w:rsidRDefault="00547EF6" w:rsidP="00547EF6">
      <w:pPr>
        <w:suppressAutoHyphens w:val="0"/>
        <w:autoSpaceDN/>
        <w:spacing w:line="400" w:lineRule="exact"/>
        <w:ind w:leftChars="277" w:left="1090" w:hanging="425"/>
        <w:jc w:val="both"/>
        <w:textAlignment w:val="auto"/>
        <w:rPr>
          <w:rFonts w:ascii="標楷體" w:eastAsia="標楷體" w:hAnsi="標楷體"/>
          <w:kern w:val="2"/>
        </w:rPr>
      </w:pPr>
      <w:r w:rsidRPr="00547EF6">
        <w:rPr>
          <w:rFonts w:ascii="標楷體" w:eastAsia="標楷體" w:hAnsi="標楷體" w:hint="eastAsia"/>
          <w:kern w:val="2"/>
        </w:rPr>
        <w:t>(1)</w:t>
      </w:r>
      <w:r w:rsidRPr="00547EF6">
        <w:rPr>
          <w:rFonts w:ascii="標楷體" w:eastAsia="標楷體" w:hAnsi="標楷體" w:hint="eastAsia"/>
          <w:kern w:val="2"/>
        </w:rPr>
        <w:tab/>
        <w:t>肝硬化等級Child-Pugh score A級且經6個月追蹤治療仍無改善或是Child-Pugh B級以上。</w:t>
      </w:r>
    </w:p>
    <w:p w14:paraId="5D683B71" w14:textId="77777777" w:rsidR="00547EF6" w:rsidRPr="00547EF6" w:rsidRDefault="00547EF6" w:rsidP="00547EF6">
      <w:pPr>
        <w:suppressAutoHyphens w:val="0"/>
        <w:autoSpaceDN/>
        <w:spacing w:line="400" w:lineRule="exact"/>
        <w:ind w:leftChars="277" w:left="1090" w:hanging="425"/>
        <w:jc w:val="both"/>
        <w:textAlignment w:val="auto"/>
        <w:rPr>
          <w:rFonts w:ascii="標楷體" w:eastAsia="標楷體" w:hAnsi="標楷體"/>
          <w:kern w:val="2"/>
        </w:rPr>
      </w:pPr>
      <w:r w:rsidRPr="00547EF6">
        <w:rPr>
          <w:rFonts w:ascii="標楷體" w:eastAsia="標楷體" w:hAnsi="標楷體" w:hint="eastAsia"/>
          <w:kern w:val="2"/>
        </w:rPr>
        <w:t>(2)</w:t>
      </w:r>
      <w:r w:rsidRPr="00547EF6">
        <w:rPr>
          <w:rFonts w:ascii="標楷體" w:eastAsia="標楷體" w:hAnsi="標楷體" w:hint="eastAsia"/>
          <w:kern w:val="2"/>
        </w:rPr>
        <w:tab/>
        <w:t>因肝功能異常具肝臟切片結果：第三期以上異常。</w:t>
      </w:r>
    </w:p>
    <w:p w14:paraId="02BD38CB" w14:textId="77777777" w:rsidR="00547EF6" w:rsidRPr="00547EF6" w:rsidRDefault="00547EF6" w:rsidP="00547EF6">
      <w:pPr>
        <w:suppressAutoHyphens w:val="0"/>
        <w:autoSpaceDN/>
        <w:spacing w:line="400" w:lineRule="exact"/>
        <w:ind w:leftChars="277" w:left="1090" w:hanging="425"/>
        <w:jc w:val="both"/>
        <w:textAlignment w:val="auto"/>
        <w:rPr>
          <w:rFonts w:ascii="標楷體" w:eastAsia="標楷體" w:hAnsi="標楷體"/>
          <w:kern w:val="2"/>
        </w:rPr>
      </w:pPr>
      <w:r w:rsidRPr="00547EF6">
        <w:rPr>
          <w:rFonts w:ascii="標楷體" w:eastAsia="標楷體" w:hAnsi="標楷體" w:hint="eastAsia"/>
          <w:kern w:val="2"/>
        </w:rPr>
        <w:t>(3)</w:t>
      </w:r>
      <w:r w:rsidRPr="00547EF6">
        <w:rPr>
          <w:rFonts w:ascii="標楷體" w:eastAsia="標楷體" w:hAnsi="標楷體" w:hint="eastAsia"/>
          <w:kern w:val="2"/>
        </w:rPr>
        <w:tab/>
        <w:t>C肝病毒陽性。</w:t>
      </w:r>
    </w:p>
    <w:p w14:paraId="303875F3" w14:textId="77777777" w:rsidR="00547EF6" w:rsidRPr="00547EF6" w:rsidRDefault="00547EF6" w:rsidP="00547EF6">
      <w:pPr>
        <w:suppressAutoHyphens w:val="0"/>
        <w:autoSpaceDN/>
        <w:spacing w:line="400" w:lineRule="exact"/>
        <w:ind w:leftChars="277" w:left="1090" w:hanging="425"/>
        <w:jc w:val="both"/>
        <w:textAlignment w:val="auto"/>
        <w:rPr>
          <w:rFonts w:ascii="標楷體" w:eastAsia="標楷體" w:hAnsi="標楷體"/>
          <w:kern w:val="2"/>
        </w:rPr>
      </w:pPr>
      <w:r w:rsidRPr="00547EF6">
        <w:rPr>
          <w:rFonts w:ascii="標楷體" w:eastAsia="標楷體" w:hAnsi="標楷體" w:hint="eastAsia"/>
          <w:kern w:val="2"/>
        </w:rPr>
        <w:t>(4)</w:t>
      </w:r>
      <w:r w:rsidRPr="00547EF6">
        <w:rPr>
          <w:rFonts w:ascii="標楷體" w:eastAsia="標楷體" w:hAnsi="標楷體" w:hint="eastAsia"/>
          <w:kern w:val="2"/>
        </w:rPr>
        <w:tab/>
        <w:t>HBsAg陽性。</w:t>
      </w:r>
    </w:p>
    <w:p w14:paraId="0111B995" w14:textId="77777777" w:rsidR="00547EF6" w:rsidRPr="00547EF6" w:rsidRDefault="00547EF6" w:rsidP="00547EF6">
      <w:pPr>
        <w:suppressAutoHyphens w:val="0"/>
        <w:autoSpaceDN/>
        <w:spacing w:line="400" w:lineRule="exact"/>
        <w:ind w:leftChars="277" w:left="1090" w:hanging="425"/>
        <w:jc w:val="both"/>
        <w:textAlignment w:val="auto"/>
        <w:rPr>
          <w:rFonts w:ascii="標楷體" w:eastAsia="標楷體" w:hAnsi="標楷體"/>
          <w:kern w:val="2"/>
        </w:rPr>
      </w:pPr>
      <w:r w:rsidRPr="00547EF6">
        <w:rPr>
          <w:rFonts w:ascii="標楷體" w:eastAsia="標楷體" w:hAnsi="標楷體" w:hint="eastAsia"/>
          <w:kern w:val="2"/>
        </w:rPr>
        <w:t>(5)</w:t>
      </w:r>
      <w:r w:rsidRPr="00547EF6">
        <w:rPr>
          <w:rFonts w:ascii="標楷體" w:eastAsia="標楷體" w:hAnsi="標楷體" w:hint="eastAsia"/>
          <w:kern w:val="2"/>
        </w:rPr>
        <w:tab/>
        <w:t>AST/ALT ≧2.5UNL(100)。</w:t>
      </w:r>
    </w:p>
    <w:p w14:paraId="20094C7E" w14:textId="77777777" w:rsidR="00547EF6" w:rsidRPr="00547EF6" w:rsidRDefault="00547EF6" w:rsidP="00547EF6">
      <w:pPr>
        <w:suppressAutoHyphens w:val="0"/>
        <w:autoSpaceDN/>
        <w:spacing w:line="400" w:lineRule="exact"/>
        <w:ind w:leftChars="217" w:left="807" w:hangingChars="119" w:hanging="286"/>
        <w:jc w:val="both"/>
        <w:textAlignment w:val="auto"/>
        <w:rPr>
          <w:rFonts w:ascii="標楷體" w:eastAsia="標楷體" w:hAnsi="標楷體"/>
          <w:kern w:val="2"/>
        </w:rPr>
      </w:pPr>
      <w:r w:rsidRPr="00547EF6">
        <w:rPr>
          <w:rFonts w:ascii="標楷體" w:eastAsia="標楷體" w:hAnsi="標楷體" w:hint="eastAsia"/>
          <w:kern w:val="2"/>
        </w:rPr>
        <w:t>2.腎功能不佳之定義為：(113/10/1)</w:t>
      </w:r>
    </w:p>
    <w:p w14:paraId="1FC83C91" w14:textId="77777777" w:rsidR="00547EF6" w:rsidRPr="00547EF6" w:rsidRDefault="00547EF6" w:rsidP="00547EF6">
      <w:pPr>
        <w:suppressAutoHyphens w:val="0"/>
        <w:autoSpaceDN/>
        <w:spacing w:line="400" w:lineRule="exact"/>
        <w:ind w:leftChars="277" w:left="1090" w:hanging="425"/>
        <w:jc w:val="both"/>
        <w:textAlignment w:val="auto"/>
        <w:rPr>
          <w:rFonts w:ascii="標楷體" w:eastAsia="標楷體" w:hAnsi="標楷體"/>
          <w:kern w:val="2"/>
        </w:rPr>
      </w:pPr>
      <w:r w:rsidRPr="00547EF6">
        <w:rPr>
          <w:rFonts w:ascii="標楷體" w:eastAsia="標楷體" w:hAnsi="標楷體" w:hint="eastAsia"/>
          <w:kern w:val="2"/>
        </w:rPr>
        <w:t>(1)</w:t>
      </w:r>
      <w:r w:rsidRPr="00547EF6">
        <w:rPr>
          <w:rFonts w:ascii="標楷體" w:eastAsia="標楷體" w:hAnsi="標楷體" w:hint="eastAsia"/>
          <w:kern w:val="2"/>
        </w:rPr>
        <w:tab/>
        <w:t>CCr&lt;50mL/min或eGFR&lt;60mL/min/1.73m</w:t>
      </w:r>
      <w:r w:rsidRPr="00547EF6">
        <w:rPr>
          <w:rFonts w:ascii="標楷體" w:eastAsia="標楷體" w:hAnsi="標楷體" w:hint="eastAsia"/>
          <w:kern w:val="2"/>
          <w:vertAlign w:val="superscript"/>
        </w:rPr>
        <w:t>2</w:t>
      </w:r>
      <w:r w:rsidRPr="00547EF6">
        <w:rPr>
          <w:rFonts w:ascii="標楷體" w:eastAsia="標楷體" w:hAnsi="標楷體" w:hint="eastAsia"/>
          <w:kern w:val="2"/>
        </w:rPr>
        <w:t>或洗腎。</w:t>
      </w:r>
    </w:p>
    <w:p w14:paraId="28D531CA" w14:textId="5FC84DE5" w:rsidR="00547EF6" w:rsidRDefault="00547EF6" w:rsidP="00547EF6">
      <w:pPr>
        <w:spacing w:line="400" w:lineRule="exact"/>
        <w:ind w:left="806" w:hanging="283"/>
        <w:jc w:val="both"/>
        <w:rPr>
          <w:rFonts w:ascii="標楷體" w:eastAsia="標楷體" w:hAnsi="標楷體"/>
        </w:rPr>
      </w:pPr>
      <w:r w:rsidRPr="00547EF6">
        <w:rPr>
          <w:rFonts w:ascii="標楷體" w:eastAsia="標楷體" w:hAnsi="標楷體" w:hint="eastAsia"/>
          <w:kern w:val="2"/>
        </w:rPr>
        <w:t>(2)</w:t>
      </w:r>
      <w:r w:rsidRPr="00547EF6">
        <w:rPr>
          <w:rFonts w:ascii="標楷體" w:eastAsia="標楷體" w:hAnsi="標楷體" w:hint="eastAsia"/>
          <w:kern w:val="2"/>
        </w:rPr>
        <w:tab/>
        <w:t>Creatinine增加超過使用前30%。</w:t>
      </w:r>
    </w:p>
    <w:p w14:paraId="4F6B2912" w14:textId="77777777" w:rsidR="00BD776B" w:rsidRDefault="00DF0C24">
      <w:pPr>
        <w:ind w:left="240"/>
        <w:rPr>
          <w:rFonts w:ascii="標楷體" w:eastAsia="標楷體" w:hAnsi="標楷體"/>
        </w:rPr>
      </w:pPr>
      <w:r>
        <w:rPr>
          <w:rFonts w:ascii="標楷體" w:eastAsia="標楷體" w:hAnsi="標楷體"/>
        </w:rPr>
        <w:t xml:space="preserve">  ◎附表二十四之七：全民健康保險乾癬使用apremilast申請表(113/3/1)</w:t>
      </w:r>
    </w:p>
    <w:p w14:paraId="5D13646B" w14:textId="77777777" w:rsidR="00BD776B" w:rsidRDefault="00DF0C24" w:rsidP="0024093A">
      <w:pPr>
        <w:suppressAutoHyphens w:val="0"/>
        <w:autoSpaceDN/>
        <w:spacing w:line="400" w:lineRule="exact"/>
        <w:ind w:leftChars="107" w:left="397" w:hanging="140"/>
        <w:textAlignment w:val="auto"/>
      </w:pPr>
      <w:r>
        <w:rPr>
          <w:rFonts w:ascii="標楷體" w:eastAsia="標楷體" w:hAnsi="標楷體"/>
          <w:color w:val="000000"/>
          <w:kern w:val="0"/>
          <w:szCs w:val="24"/>
        </w:rPr>
        <w:t>8.2.17. Mepolizumab (如Nucala)：(</w:t>
      </w:r>
      <w:r>
        <w:rPr>
          <w:rFonts w:ascii="標楷體" w:eastAsia="標楷體" w:hAnsi="標楷體"/>
          <w:color w:val="000000"/>
          <w:szCs w:val="24"/>
        </w:rPr>
        <w:t>113</w:t>
      </w:r>
      <w:r>
        <w:rPr>
          <w:rFonts w:ascii="標楷體" w:eastAsia="標楷體" w:hAnsi="標楷體"/>
          <w:color w:val="000000"/>
          <w:kern w:val="0"/>
          <w:szCs w:val="24"/>
        </w:rPr>
        <w:t>/</w:t>
      </w:r>
      <w:r>
        <w:rPr>
          <w:rFonts w:eastAsia="標楷體"/>
          <w:color w:val="000000"/>
          <w:szCs w:val="24"/>
        </w:rPr>
        <w:t>4</w:t>
      </w:r>
      <w:r>
        <w:rPr>
          <w:rFonts w:ascii="標楷體" w:eastAsia="標楷體" w:hAnsi="標楷體"/>
          <w:color w:val="000000"/>
          <w:kern w:val="0"/>
          <w:szCs w:val="24"/>
        </w:rPr>
        <w:t>/1)</w:t>
      </w:r>
    </w:p>
    <w:p w14:paraId="4C003549" w14:textId="77777777" w:rsidR="00BD776B" w:rsidRDefault="00DF0C24"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szCs w:val="24"/>
        </w:rPr>
      </w:pPr>
      <w:r>
        <w:rPr>
          <w:rFonts w:ascii="標楷體" w:eastAsia="標楷體" w:hAnsi="標楷體"/>
          <w:color w:val="000000"/>
          <w:kern w:val="0"/>
          <w:szCs w:val="24"/>
        </w:rPr>
        <w:t xml:space="preserve">1.用於經診斷為嗜伊紅性肉芽腫併多發性血管炎(eosinophilic granulomatosis </w:t>
      </w:r>
      <w:r>
        <w:rPr>
          <w:rFonts w:ascii="標楷體" w:eastAsia="標楷體" w:hAnsi="標楷體"/>
          <w:color w:val="000000"/>
          <w:kern w:val="0"/>
          <w:szCs w:val="24"/>
        </w:rPr>
        <w:lastRenderedPageBreak/>
        <w:t>with polyangiitis, EGPA)之18歲以上成人病人，且需符合下列條件之一：</w:t>
      </w:r>
    </w:p>
    <w:p w14:paraId="3F09183F" w14:textId="77777777" w:rsidR="00BD776B" w:rsidRPr="0024093A" w:rsidRDefault="00DF0C24"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bdr w:val="nil"/>
        </w:rPr>
      </w:pPr>
      <w:r>
        <w:rPr>
          <w:rFonts w:ascii="標楷體" w:eastAsia="標楷體" w:hAnsi="標楷體"/>
          <w:color w:val="000000"/>
          <w:kern w:val="0"/>
          <w:szCs w:val="24"/>
        </w:rPr>
        <w:t>(1)</w:t>
      </w:r>
      <w:r w:rsidRPr="0024093A">
        <w:rPr>
          <w:rFonts w:ascii="標楷體" w:eastAsia="標楷體" w:hAnsi="標楷體"/>
          <w:color w:val="000000"/>
          <w:kern w:val="0"/>
          <w:szCs w:val="24"/>
          <w:bdr w:val="nil"/>
        </w:rPr>
        <w:t>復發型嗜伊紅性肉芽腫併多發性血管炎：過去2年內，曾經於使用口服類固醇prednisolone至少每天7.5mg或等價當量（equivalent）之情況下復發（如：增加口服類固醇劑量、或開始/增加免疫抑制劑治療、或住院等）。</w:t>
      </w:r>
    </w:p>
    <w:p w14:paraId="5AF403D9" w14:textId="77777777" w:rsidR="00BD776B" w:rsidRDefault="00DF0C24"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rPr>
      </w:pPr>
      <w:r w:rsidRPr="0024093A">
        <w:rPr>
          <w:rFonts w:ascii="標楷體" w:eastAsia="標楷體" w:hAnsi="標楷體"/>
          <w:color w:val="000000"/>
          <w:kern w:val="0"/>
          <w:szCs w:val="24"/>
          <w:bdr w:val="nil"/>
        </w:rPr>
        <w:t>(2)</w:t>
      </w:r>
      <w:r>
        <w:rPr>
          <w:rFonts w:ascii="標楷體" w:eastAsia="標楷體" w:hAnsi="標楷體"/>
          <w:color w:val="000000"/>
          <w:kern w:val="0"/>
          <w:szCs w:val="24"/>
        </w:rPr>
        <w:t>難治型嗜伊紅性肉芽腫併多發血管炎：過去6個月經傳統誘導治療（如：cyclophosphamide、或azathioprine、或methotrexate、或mycophenolate mofetil、或口服類固醇prednisolone每天15mg以上等）至少3個月，仍未達疾病緩解（未達緩解定義：口服類固醇prednisolone無法降至每天7.5mg以下或等價當量）。</w:t>
      </w:r>
    </w:p>
    <w:p w14:paraId="5E44894D" w14:textId="77777777" w:rsidR="00BD776B" w:rsidRDefault="00DF0C24"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szCs w:val="24"/>
        </w:rPr>
      </w:pPr>
      <w:r>
        <w:rPr>
          <w:rFonts w:ascii="標楷體" w:eastAsia="標楷體" w:hAnsi="標楷體"/>
          <w:color w:val="000000"/>
          <w:kern w:val="0"/>
          <w:szCs w:val="24"/>
        </w:rPr>
        <w:t>2.需經事前審查核准後使用，使用52週後評估符合下列任一條件可續用：</w:t>
      </w:r>
    </w:p>
    <w:p w14:paraId="06543747" w14:textId="77777777" w:rsidR="00BD776B" w:rsidRPr="0024093A" w:rsidRDefault="00DF0C24"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bdr w:val="nil"/>
        </w:rPr>
      </w:pPr>
      <w:r>
        <w:rPr>
          <w:rFonts w:ascii="標楷體" w:eastAsia="標楷體" w:hAnsi="標楷體"/>
          <w:color w:val="000000"/>
          <w:kern w:val="0"/>
          <w:szCs w:val="24"/>
        </w:rPr>
        <w:t>(1)</w:t>
      </w:r>
      <w:r w:rsidRPr="0024093A">
        <w:rPr>
          <w:rFonts w:ascii="標楷體" w:eastAsia="標楷體" w:hAnsi="標楷體"/>
          <w:color w:val="000000"/>
          <w:kern w:val="0"/>
          <w:szCs w:val="24"/>
          <w:bdr w:val="nil"/>
        </w:rPr>
        <w:t>以mepolizumab治療52週期間，曾經達成疾病緩解（緩解定義：無EGPA病徵，且口服類固醇prednisolone可降至每天5mg以下），或</w:t>
      </w:r>
    </w:p>
    <w:p w14:paraId="67D94C46" w14:textId="77777777" w:rsidR="00BD776B" w:rsidRPr="0024093A" w:rsidRDefault="00DF0C24"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bdr w:val="nil"/>
        </w:rPr>
      </w:pPr>
      <w:r w:rsidRPr="0024093A">
        <w:rPr>
          <w:rFonts w:ascii="標楷體" w:eastAsia="標楷體" w:hAnsi="標楷體"/>
          <w:color w:val="000000"/>
          <w:kern w:val="0"/>
          <w:szCs w:val="24"/>
          <w:bdr w:val="nil"/>
        </w:rPr>
        <w:t>(2)於52週評估時，口服類固醇劑量相較於mepolizumab 治療前劑量降低50%以上，或</w:t>
      </w:r>
    </w:p>
    <w:p w14:paraId="164FFD16" w14:textId="77777777" w:rsidR="00BD776B" w:rsidRDefault="00DF0C24"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rPr>
      </w:pPr>
      <w:r w:rsidRPr="0024093A">
        <w:rPr>
          <w:rFonts w:ascii="標楷體" w:eastAsia="標楷體" w:hAnsi="標楷體"/>
          <w:color w:val="000000"/>
          <w:kern w:val="0"/>
          <w:szCs w:val="24"/>
          <w:bdr w:val="nil"/>
        </w:rPr>
        <w:t>(3)以</w:t>
      </w:r>
      <w:r>
        <w:rPr>
          <w:rFonts w:ascii="標楷體" w:eastAsia="標楷體" w:hAnsi="標楷體"/>
          <w:color w:val="000000"/>
          <w:kern w:val="0"/>
          <w:szCs w:val="24"/>
        </w:rPr>
        <w:t>mepolizumab治療52週期間，EGPA未復發（如：增加口服類固醇劑量、或開始/增加免疫抑制劑治療、或住院等）。</w:t>
      </w:r>
    </w:p>
    <w:p w14:paraId="15ACFECD" w14:textId="77777777" w:rsidR="00BD776B" w:rsidRDefault="00DF0C24"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rPr>
      </w:pPr>
      <w:r w:rsidRPr="0024093A">
        <w:rPr>
          <w:rFonts w:ascii="標楷體" w:eastAsia="標楷體" w:hAnsi="標楷體"/>
          <w:color w:val="000000"/>
          <w:kern w:val="0"/>
          <w:szCs w:val="24"/>
          <w:bdr w:val="nil"/>
        </w:rPr>
        <w:t>備註</w:t>
      </w:r>
      <w:r>
        <w:rPr>
          <w:rFonts w:ascii="標楷體" w:eastAsia="標楷體" w:hAnsi="標楷體"/>
          <w:color w:val="000000"/>
          <w:kern w:val="0"/>
          <w:szCs w:val="24"/>
        </w:rPr>
        <w:t>：診斷為嗜伊紅性肉芽腫併多發血管炎之定義：曾經發生氣喘伴隨嗜伊紅性白血球增多，且診斷報告須附上組織切片檢查報告，確認出現EGPA病徵。</w:t>
      </w:r>
    </w:p>
    <w:p w14:paraId="6A3C8EF8" w14:textId="77777777" w:rsidR="0024093A" w:rsidRPr="0024093A" w:rsidRDefault="0024093A" w:rsidP="0024093A">
      <w:pPr>
        <w:suppressAutoHyphens w:val="0"/>
        <w:autoSpaceDN/>
        <w:spacing w:line="400" w:lineRule="exact"/>
        <w:ind w:leftChars="107" w:left="397" w:hanging="140"/>
        <w:textAlignment w:val="auto"/>
        <w:rPr>
          <w:rFonts w:ascii="標楷體" w:eastAsia="標楷體" w:hAnsi="標楷體"/>
          <w:szCs w:val="24"/>
        </w:rPr>
      </w:pPr>
      <w:r w:rsidRPr="0024093A">
        <w:rPr>
          <w:rFonts w:ascii="標楷體" w:eastAsia="標楷體" w:hAnsi="標楷體" w:hint="eastAsia"/>
          <w:color w:val="000000"/>
          <w:kern w:val="2"/>
        </w:rPr>
        <w:t>8.2.18.Anifrolumab（如Saphnelo）：(113</w:t>
      </w:r>
      <w:r w:rsidRPr="0024093A">
        <w:rPr>
          <w:rFonts w:ascii="標楷體" w:eastAsia="標楷體" w:hAnsi="標楷體" w:hint="eastAsia"/>
          <w:kern w:val="2"/>
        </w:rPr>
        <w:t>/10/1)</w:t>
      </w:r>
      <w:r w:rsidRPr="0024093A">
        <w:rPr>
          <w:rFonts w:ascii="標楷體" w:eastAsia="標楷體" w:hAnsi="標楷體" w:hint="eastAsia"/>
          <w:color w:val="000000"/>
          <w:kern w:val="2"/>
        </w:rPr>
        <w:t>：</w:t>
      </w:r>
    </w:p>
    <w:p w14:paraId="3045C099"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szCs w:val="24"/>
          <w:bdr w:val="nil"/>
        </w:rPr>
      </w:pPr>
      <w:r w:rsidRPr="0024093A">
        <w:rPr>
          <w:rFonts w:ascii="標楷體" w:eastAsia="標楷體" w:hAnsi="標楷體" w:hint="eastAsia"/>
          <w:color w:val="000000"/>
          <w:kern w:val="0"/>
        </w:rPr>
        <w:t>1.</w:t>
      </w:r>
      <w:r w:rsidRPr="0024093A">
        <w:rPr>
          <w:rFonts w:ascii="標楷體" w:eastAsia="標楷體" w:hAnsi="標楷體" w:hint="eastAsia"/>
          <w:color w:val="000000"/>
          <w:kern w:val="0"/>
          <w:szCs w:val="24"/>
          <w:bdr w:val="nil"/>
        </w:rPr>
        <w:t>限使用於18歲以上具有活動性之全身性紅斑性狼瘡病人。</w:t>
      </w:r>
    </w:p>
    <w:p w14:paraId="7EFA74C3"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szCs w:val="24"/>
          <w:bdr w:val="nil"/>
        </w:rPr>
      </w:pPr>
      <w:r w:rsidRPr="0024093A">
        <w:rPr>
          <w:rFonts w:ascii="標楷體" w:eastAsia="標楷體" w:hAnsi="標楷體" w:hint="eastAsia"/>
          <w:color w:val="000000"/>
          <w:kern w:val="0"/>
          <w:szCs w:val="24"/>
          <w:bdr w:val="nil"/>
        </w:rPr>
        <w:t>2.限內科專科醫師且具有風濕或免疫專科醫師證書之處方。</w:t>
      </w:r>
    </w:p>
    <w:p w14:paraId="695E4C1B"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szCs w:val="24"/>
          <w:bdr w:val="nil"/>
        </w:rPr>
      </w:pPr>
      <w:r w:rsidRPr="0024093A">
        <w:rPr>
          <w:rFonts w:ascii="標楷體" w:eastAsia="標楷體" w:hAnsi="標楷體" w:hint="eastAsia"/>
          <w:color w:val="000000"/>
          <w:kern w:val="0"/>
          <w:szCs w:val="24"/>
          <w:bdr w:val="nil"/>
        </w:rPr>
        <w:t>3.需經事前審查核准後使用。</w:t>
      </w:r>
    </w:p>
    <w:p w14:paraId="619A9DF8"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rPr>
      </w:pPr>
      <w:r w:rsidRPr="0024093A">
        <w:rPr>
          <w:rFonts w:ascii="標楷體" w:eastAsia="標楷體" w:hAnsi="標楷體" w:hint="eastAsia"/>
          <w:color w:val="000000"/>
          <w:kern w:val="0"/>
          <w:szCs w:val="24"/>
          <w:bdr w:val="nil"/>
        </w:rPr>
        <w:t>4.申報</w:t>
      </w:r>
      <w:r w:rsidRPr="0024093A">
        <w:rPr>
          <w:rFonts w:ascii="標楷體" w:eastAsia="標楷體" w:hAnsi="標楷體" w:hint="eastAsia"/>
          <w:color w:val="000000"/>
          <w:kern w:val="0"/>
        </w:rPr>
        <w:t>時須檢附使用標準治療藥物滿5個月及6個月後之2次SLEDAI-2K積分，各種藥物之種類、劑量、治療時間、副作用與所計分病徵之相關佐證等資料(包含ESR與CRP)。</w:t>
      </w:r>
    </w:p>
    <w:p w14:paraId="03AB1E18"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rPr>
      </w:pPr>
      <w:r w:rsidRPr="0024093A">
        <w:rPr>
          <w:rFonts w:ascii="標楷體" w:eastAsia="標楷體" w:hAnsi="標楷體" w:hint="eastAsia"/>
          <w:color w:val="000000"/>
          <w:kern w:val="0"/>
        </w:rPr>
        <w:t>5.</w:t>
      </w:r>
      <w:r w:rsidRPr="0024093A">
        <w:rPr>
          <w:rFonts w:ascii="標楷體" w:eastAsia="標楷體" w:hAnsi="標楷體" w:hint="eastAsia"/>
          <w:color w:val="000000"/>
          <w:kern w:val="0"/>
          <w:szCs w:val="24"/>
          <w:bdr w:val="nil"/>
        </w:rPr>
        <w:t>病人</w:t>
      </w:r>
      <w:r w:rsidRPr="0024093A">
        <w:rPr>
          <w:rFonts w:ascii="標楷體" w:eastAsia="標楷體" w:hAnsi="標楷體" w:hint="eastAsia"/>
          <w:color w:val="000000"/>
          <w:kern w:val="0"/>
        </w:rPr>
        <w:t>須同時符合下述所有條件，方可使用。</w:t>
      </w:r>
    </w:p>
    <w:p w14:paraId="56AE40E1" w14:textId="77777777" w:rsidR="0024093A" w:rsidRPr="0024093A" w:rsidRDefault="0024093A" w:rsidP="0024093A">
      <w:pPr>
        <w:suppressAutoHyphens w:val="0"/>
        <w:autoSpaceDN/>
        <w:spacing w:line="400" w:lineRule="exact"/>
        <w:ind w:leftChars="277" w:left="1090" w:hanging="425"/>
        <w:jc w:val="both"/>
        <w:textAlignment w:val="auto"/>
        <w:rPr>
          <w:rFonts w:ascii="標楷體" w:eastAsia="標楷體" w:hAnsi="標楷體"/>
          <w:color w:val="000000"/>
          <w:kern w:val="0"/>
          <w:szCs w:val="24"/>
          <w:bdr w:val="nil"/>
        </w:rPr>
      </w:pPr>
      <w:r w:rsidRPr="0024093A">
        <w:rPr>
          <w:rFonts w:ascii="標楷體" w:eastAsia="標楷體" w:hAnsi="標楷體" w:hint="eastAsia"/>
          <w:color w:val="000000"/>
          <w:kern w:val="0"/>
        </w:rPr>
        <w:t>(1)</w:t>
      </w:r>
      <w:r w:rsidRPr="0024093A">
        <w:rPr>
          <w:rFonts w:ascii="標楷體" w:eastAsia="標楷體" w:hAnsi="標楷體" w:hint="eastAsia"/>
          <w:color w:val="000000"/>
          <w:kern w:val="0"/>
          <w:szCs w:val="24"/>
          <w:bdr w:val="nil"/>
        </w:rPr>
        <w:t>自體免疫抗體陽性。</w:t>
      </w:r>
    </w:p>
    <w:p w14:paraId="75FBE07C" w14:textId="77777777" w:rsidR="0024093A" w:rsidRPr="0024093A" w:rsidRDefault="0024093A" w:rsidP="0024093A">
      <w:pPr>
        <w:suppressAutoHyphens w:val="0"/>
        <w:autoSpaceDN/>
        <w:spacing w:line="400" w:lineRule="exact"/>
        <w:ind w:leftChars="277" w:left="1090" w:hanging="425"/>
        <w:jc w:val="both"/>
        <w:textAlignment w:val="auto"/>
        <w:rPr>
          <w:rFonts w:ascii="標楷體" w:eastAsia="標楷體" w:hAnsi="標楷體"/>
        </w:rPr>
      </w:pPr>
      <w:r w:rsidRPr="0024093A">
        <w:rPr>
          <w:rFonts w:ascii="標楷體" w:eastAsia="標楷體" w:hAnsi="標楷體" w:hint="eastAsia"/>
          <w:color w:val="000000"/>
          <w:kern w:val="0"/>
          <w:szCs w:val="24"/>
          <w:bdr w:val="nil"/>
        </w:rPr>
        <w:t>(2)接</w:t>
      </w:r>
      <w:r w:rsidRPr="0024093A">
        <w:rPr>
          <w:rFonts w:ascii="標楷體" w:eastAsia="標楷體" w:hAnsi="標楷體" w:hint="eastAsia"/>
          <w:color w:val="000000"/>
          <w:kern w:val="0"/>
        </w:rPr>
        <w:t>受標準治療後，仍無法有效控制病情之全身性紅斑性狼瘡，其療效不彰之定義為：標準治療藥物滿5個月及6個月後，2次評估SLEDAI-2K分數均</w:t>
      </w:r>
      <w:r w:rsidRPr="0024093A">
        <w:rPr>
          <w:rFonts w:ascii="Times New Roman" w:eastAsia="標楷體" w:hAnsi="Times New Roman"/>
          <w:color w:val="000000"/>
          <w:kern w:val="0"/>
        </w:rPr>
        <w:t>≥</w:t>
      </w:r>
      <w:r w:rsidRPr="0024093A">
        <w:rPr>
          <w:rFonts w:ascii="標楷體" w:eastAsia="標楷體" w:hAnsi="標楷體" w:hint="eastAsia"/>
          <w:color w:val="000000"/>
          <w:kern w:val="0"/>
        </w:rPr>
        <w:t>6。</w:t>
      </w:r>
    </w:p>
    <w:p w14:paraId="5ADFF2B3"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Ⅰ.以下分數不可計入SLEDAI-2K 計分: 癲癇、精神疾病、器質性腦部症候群、腦神經疾病、狼瘡性頭痛、腦血管意外、狼瘡性腎炎、發燒、掉髮、口腔潰瘍。</w:t>
      </w:r>
    </w:p>
    <w:p w14:paraId="5C6EAE64"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Ⅱ.血管炎計分需臨床有潰瘍、壞疽、栓塞等病變，需檢附照片或組織病理或影像學檢查，且需ESR≧28mm/hour或CRP≧1mg/dL。</w:t>
      </w:r>
    </w:p>
    <w:p w14:paraId="1D252BB7"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Ⅲ.關節炎計分需有4個或是以上的疼痛關節及4個或是以上的腫脹關節(需</w:t>
      </w:r>
      <w:r w:rsidRPr="0024093A">
        <w:rPr>
          <w:rFonts w:ascii="標楷體" w:eastAsia="標楷體" w:hAnsi="標楷體" w:hint="eastAsia"/>
          <w:color w:val="000000"/>
          <w:kern w:val="0"/>
        </w:rPr>
        <w:lastRenderedPageBreak/>
        <w:t>附關節腫脹相關X-光片或照片輔證)，且需ESR≧28mm/hour或CRP≧1mg/dL。</w:t>
      </w:r>
    </w:p>
    <w:p w14:paraId="360AC8D9"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Ⅳ.肌炎計分需有血清中肌肉酵素如CPK、LDH、GOT上升大於正常值2倍以上且肌電圖異常、或肌肉切片有發炎性疾病、或放射線影像檢查，3項中至少有1項檢查結果確認。</w:t>
      </w:r>
    </w:p>
    <w:p w14:paraId="56C7FD9B"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Ⅴ.皮疹計分需排除掉髮與口腔潰瘍後，皮膚紅斑性狼瘡面積和嚴重程度指數(Cutaneous Lupus Erythematosus Disease Area and Severity Index,CLASI)達8分以上，且體表面積受影響達9%以上(附皮膚照片佐證)。</w:t>
      </w:r>
    </w:p>
    <w:p w14:paraId="5158F5CE"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 xml:space="preserve">Ⅵ.肋膜炎或心包膜炎計分，除理學檢查外需附影像學或心電圖等證明，且需ESR≧28mm/hour或CRP≧1mg/dL。 </w:t>
      </w:r>
    </w:p>
    <w:p w14:paraId="5CDAB926" w14:textId="77777777" w:rsidR="0024093A" w:rsidRPr="0024093A" w:rsidRDefault="0024093A" w:rsidP="0024093A">
      <w:pPr>
        <w:suppressAutoHyphens w:val="0"/>
        <w:autoSpaceDN/>
        <w:spacing w:line="400" w:lineRule="exact"/>
        <w:ind w:leftChars="277" w:left="1090" w:hanging="425"/>
        <w:jc w:val="both"/>
        <w:textAlignment w:val="auto"/>
        <w:rPr>
          <w:rFonts w:ascii="標楷體" w:eastAsia="標楷體" w:hAnsi="標楷體"/>
          <w:color w:val="000000"/>
          <w:kern w:val="0"/>
        </w:rPr>
      </w:pPr>
      <w:r w:rsidRPr="0024093A">
        <w:rPr>
          <w:rFonts w:ascii="標楷體" w:eastAsia="標楷體" w:hAnsi="標楷體" w:hint="eastAsia"/>
          <w:color w:val="000000"/>
          <w:kern w:val="0"/>
        </w:rPr>
        <w:t>(3)標準治療療法為病人曾經接受下列3種標準治療藥物合併治療：</w:t>
      </w:r>
    </w:p>
    <w:p w14:paraId="4DFDD46D"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I.類固醇：治療至少6個月，其中至少有2個月平均劑量達標準目標劑量(prednisolone≧0.5mg/kg/day或相等強度劑量之類固醇類藥物)或過去3個月內曾使用Pulse IV methylprednisolone (連續3天每公斤10mg以上)。</w:t>
      </w:r>
    </w:p>
    <w:p w14:paraId="1DCB2979"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Ⅱ.奎寧類藥物：連續使用至少6個月標準劑量的hydroxychloroquine  (每天200mg或以上)。</w:t>
      </w:r>
    </w:p>
    <w:p w14:paraId="1602D290"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Ⅲ.使用足量免疫抑制劑至少擇一連續使用至少6個月：azathioprine (每天每公斤2mg)或methotrexate (每週15mg)或cyclosporin (每天每公斤3mg)或mycophenolate mofetil (每天2g)或mycophenolic acid(每天1,440mg)。</w:t>
      </w:r>
    </w:p>
    <w:p w14:paraId="05549C5B"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Ⅳ.如藥物劑量無法耐受，可視臨床情況調整類固醇、奎寧及免疫抑制劑之劑量。</w:t>
      </w:r>
    </w:p>
    <w:p w14:paraId="19FF11D3"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rPr>
      </w:pPr>
      <w:r w:rsidRPr="0024093A">
        <w:rPr>
          <w:rFonts w:ascii="標楷體" w:eastAsia="標楷體" w:hAnsi="標楷體" w:hint="eastAsia"/>
          <w:color w:val="000000"/>
          <w:kern w:val="0"/>
        </w:rPr>
        <w:t>6.續用處方條件：</w:t>
      </w:r>
    </w:p>
    <w:p w14:paraId="695B790F" w14:textId="77777777" w:rsidR="0024093A" w:rsidRPr="0024093A" w:rsidRDefault="0024093A" w:rsidP="0024093A">
      <w:pPr>
        <w:widowControl/>
        <w:suppressAutoHyphens w:val="0"/>
        <w:autoSpaceDN/>
        <w:ind w:left="751" w:hanging="23"/>
        <w:textAlignment w:val="auto"/>
        <w:rPr>
          <w:rFonts w:ascii="標楷體" w:eastAsia="標楷體" w:hAnsi="標楷體"/>
          <w:color w:val="000000"/>
          <w:kern w:val="0"/>
        </w:rPr>
      </w:pPr>
      <w:r w:rsidRPr="0024093A">
        <w:rPr>
          <w:rFonts w:ascii="標楷體" w:eastAsia="標楷體" w:hAnsi="標楷體" w:hint="eastAsia"/>
          <w:color w:val="000000"/>
          <w:kern w:val="0"/>
        </w:rPr>
        <w:t>首次申請治療6個月後評估SLEDAI-2K疾病活動指標，符合下列所有條件，可以持續使用，之後每3個月再次申請續用：</w:t>
      </w:r>
    </w:p>
    <w:p w14:paraId="75401122" w14:textId="77777777" w:rsidR="0024093A" w:rsidRPr="0024093A" w:rsidRDefault="0024093A" w:rsidP="0024093A">
      <w:pPr>
        <w:suppressAutoHyphens w:val="0"/>
        <w:autoSpaceDN/>
        <w:spacing w:line="400" w:lineRule="exact"/>
        <w:ind w:leftChars="277" w:left="1090" w:hanging="425"/>
        <w:jc w:val="both"/>
        <w:textAlignment w:val="auto"/>
        <w:rPr>
          <w:rFonts w:ascii="標楷體" w:eastAsia="標楷體" w:hAnsi="標楷體"/>
          <w:color w:val="000000"/>
          <w:kern w:val="0"/>
        </w:rPr>
      </w:pPr>
      <w:r w:rsidRPr="0024093A">
        <w:rPr>
          <w:rFonts w:ascii="標楷體" w:eastAsia="標楷體" w:hAnsi="標楷體" w:hint="eastAsia"/>
          <w:color w:val="000000"/>
          <w:kern w:val="0"/>
        </w:rPr>
        <w:t>(1)口服類固醇每日劑量下降至每天7.5mg以下或接受Saphnelo治療前相較每日劑量下降50%以上。</w:t>
      </w:r>
    </w:p>
    <w:p w14:paraId="35DE39A4" w14:textId="77777777" w:rsidR="0024093A" w:rsidRPr="0024093A" w:rsidRDefault="0024093A" w:rsidP="0024093A">
      <w:pPr>
        <w:suppressAutoHyphens w:val="0"/>
        <w:autoSpaceDN/>
        <w:spacing w:line="400" w:lineRule="exact"/>
        <w:ind w:leftChars="277" w:left="1090" w:hanging="425"/>
        <w:jc w:val="both"/>
        <w:textAlignment w:val="auto"/>
        <w:rPr>
          <w:rFonts w:ascii="標楷體" w:eastAsia="標楷體" w:hAnsi="標楷體"/>
          <w:color w:val="000000"/>
          <w:kern w:val="0"/>
        </w:rPr>
      </w:pPr>
      <w:r w:rsidRPr="0024093A">
        <w:rPr>
          <w:rFonts w:ascii="標楷體" w:eastAsia="標楷體" w:hAnsi="標楷體" w:hint="eastAsia"/>
          <w:color w:val="000000"/>
          <w:kern w:val="0"/>
        </w:rPr>
        <w:t>(2)疾病活動度改善，以下列指標評估：SLEDAI-2K下降至4分以下或與接受Saphnelo治療前SLEDAI-2K改善3分以上。</w:t>
      </w:r>
    </w:p>
    <w:p w14:paraId="29561ED3" w14:textId="77777777" w:rsidR="0024093A" w:rsidRPr="0024093A" w:rsidRDefault="0024093A" w:rsidP="0024093A">
      <w:pPr>
        <w:suppressAutoHyphens w:val="0"/>
        <w:autoSpaceDN/>
        <w:spacing w:line="400" w:lineRule="exact"/>
        <w:ind w:leftChars="277" w:left="1090" w:hanging="425"/>
        <w:jc w:val="both"/>
        <w:textAlignment w:val="auto"/>
        <w:rPr>
          <w:rFonts w:ascii="標楷體" w:eastAsia="標楷體" w:hAnsi="標楷體"/>
          <w:color w:val="000000"/>
          <w:kern w:val="0"/>
        </w:rPr>
      </w:pPr>
      <w:r w:rsidRPr="0024093A">
        <w:rPr>
          <w:rFonts w:ascii="標楷體" w:eastAsia="標楷體" w:hAnsi="標楷體" w:hint="eastAsia"/>
          <w:color w:val="000000"/>
          <w:kern w:val="0"/>
        </w:rPr>
        <w:t>(3)不得有新增器官侵犯或原有病徵惡化，原有計分之項目，續用申請時需附相關佐證資料(包含ESR與CRP)。</w:t>
      </w:r>
    </w:p>
    <w:p w14:paraId="67E93AC0"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Ⅰ.血管炎計分者，續用申請時需檢附原病灶位置之照片。</w:t>
      </w:r>
    </w:p>
    <w:p w14:paraId="797FB721"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Ⅱ.關節炎計分者，續用申請時需檢附腫脹關節數目及照片。</w:t>
      </w:r>
    </w:p>
    <w:p w14:paraId="33A175F5"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t>Ⅲ.肌炎計分者，續用申請時需檢附CPK、LDH、GOT數值。</w:t>
      </w:r>
    </w:p>
    <w:p w14:paraId="54371357" w14:textId="77777777" w:rsidR="0024093A" w:rsidRPr="0024093A" w:rsidRDefault="0024093A" w:rsidP="0024093A">
      <w:pPr>
        <w:suppressAutoHyphens w:val="0"/>
        <w:autoSpaceDN/>
        <w:spacing w:line="400" w:lineRule="exact"/>
        <w:ind w:leftChars="427" w:left="1375" w:hanging="350"/>
        <w:jc w:val="both"/>
        <w:textAlignment w:val="auto"/>
        <w:rPr>
          <w:rFonts w:ascii="標楷體" w:eastAsia="標楷體" w:hAnsi="標楷體"/>
          <w:color w:val="000000"/>
          <w:kern w:val="0"/>
        </w:rPr>
      </w:pPr>
      <w:r w:rsidRPr="0024093A">
        <w:rPr>
          <w:rFonts w:ascii="標楷體" w:eastAsia="標楷體" w:hAnsi="標楷體" w:hint="eastAsia"/>
          <w:color w:val="000000"/>
          <w:kern w:val="0"/>
        </w:rPr>
        <w:lastRenderedPageBreak/>
        <w:t>Ⅳ.皮疹計分者，續用申請時需檢附CLASI評分及皮膚照片。</w:t>
      </w:r>
    </w:p>
    <w:p w14:paraId="5FEDDA8D"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rPr>
      </w:pPr>
      <w:r w:rsidRPr="0024093A">
        <w:rPr>
          <w:rFonts w:ascii="標楷體" w:eastAsia="標楷體" w:hAnsi="標楷體" w:hint="eastAsia"/>
          <w:color w:val="000000"/>
          <w:kern w:val="0"/>
        </w:rPr>
        <w:t>7.減量或停用條件：若使用滿2年，達緩解或低疾病活動度SLEDAI-2K≦4滿一年以上，可以減量。減量後，若持續維持緩解或低疾病活動度SLEDAI-2K≦4滿一年以上停用，若減量或停用後病情復發，得申請恢復治療，後續依續用條件申請。</w:t>
      </w:r>
    </w:p>
    <w:p w14:paraId="42E64D48"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color w:val="000000"/>
          <w:kern w:val="0"/>
        </w:rPr>
      </w:pPr>
      <w:r w:rsidRPr="0024093A">
        <w:rPr>
          <w:rFonts w:ascii="標楷體" w:eastAsia="標楷體" w:hAnsi="標楷體" w:hint="eastAsia"/>
          <w:color w:val="000000"/>
          <w:kern w:val="0"/>
        </w:rPr>
        <w:t>8.不給付於神經精神性狼瘡，或是狼瘡腎炎病人。</w:t>
      </w:r>
    </w:p>
    <w:p w14:paraId="182F98E1" w14:textId="77777777" w:rsidR="0024093A" w:rsidRPr="0024093A" w:rsidRDefault="0024093A" w:rsidP="0024093A">
      <w:pPr>
        <w:suppressAutoHyphens w:val="0"/>
        <w:autoSpaceDN/>
        <w:spacing w:line="400" w:lineRule="exact"/>
        <w:ind w:leftChars="217" w:left="807" w:hangingChars="119" w:hanging="286"/>
        <w:jc w:val="both"/>
        <w:textAlignment w:val="auto"/>
        <w:rPr>
          <w:rFonts w:ascii="標楷體" w:eastAsia="標楷體" w:hAnsi="標楷體"/>
        </w:rPr>
      </w:pPr>
      <w:r w:rsidRPr="0024093A">
        <w:rPr>
          <w:rFonts w:ascii="標楷體" w:eastAsia="標楷體" w:hAnsi="標楷體" w:hint="eastAsia"/>
          <w:color w:val="000000"/>
          <w:kern w:val="0"/>
        </w:rPr>
        <w:t>9.</w:t>
      </w:r>
      <w:r w:rsidRPr="0024093A">
        <w:rPr>
          <w:rFonts w:ascii="標楷體" w:eastAsia="標楷體" w:hAnsi="標楷體" w:hint="eastAsia"/>
          <w:color w:val="000000"/>
          <w:kern w:val="0"/>
        </w:rPr>
        <w:tab/>
        <w:t>Anifrolumab不得與其他生物製劑併用為原則。</w:t>
      </w:r>
    </w:p>
    <w:p w14:paraId="28B7AEBA" w14:textId="77777777" w:rsidR="00BD776B" w:rsidRPr="0024093A" w:rsidRDefault="00BD776B">
      <w:pPr>
        <w:ind w:left="1471" w:hanging="353"/>
        <w:rPr>
          <w:rFonts w:ascii="標楷體" w:eastAsia="標楷體" w:hAnsi="標楷體"/>
          <w:color w:val="000000"/>
          <w:szCs w:val="24"/>
        </w:rPr>
      </w:pPr>
    </w:p>
    <w:p w14:paraId="29B6EE83" w14:textId="77777777" w:rsidR="00BD776B" w:rsidRDefault="00BD776B">
      <w:pPr>
        <w:ind w:left="1471" w:hanging="353"/>
        <w:rPr>
          <w:rFonts w:ascii="標楷體" w:eastAsia="標楷體" w:hAnsi="標楷體"/>
          <w:color w:val="000000"/>
          <w:szCs w:val="24"/>
        </w:rPr>
        <w:sectPr w:rsidR="00BD776B" w:rsidSect="007E1772">
          <w:footerReference w:type="default" r:id="rId10"/>
          <w:pgSz w:w="11906" w:h="16838"/>
          <w:pgMar w:top="1418" w:right="1418" w:bottom="1418" w:left="1418" w:header="720" w:footer="720" w:gutter="0"/>
          <w:cols w:space="720"/>
          <w:docGrid w:type="lines"/>
        </w:sectPr>
      </w:pPr>
    </w:p>
    <w:p w14:paraId="69E8E25E" w14:textId="77777777" w:rsidR="00BD776B" w:rsidRDefault="00DF0C24">
      <w:pPr>
        <w:pStyle w:val="2"/>
      </w:pPr>
      <w:r>
        <w:lastRenderedPageBreak/>
        <w:t>第9節抗癌瘤藥物Antineoplastics drugs</w:t>
      </w:r>
    </w:p>
    <w:p w14:paraId="264114A1" w14:textId="77777777" w:rsidR="00BD776B" w:rsidRDefault="00BD776B">
      <w:pPr>
        <w:snapToGrid w:val="0"/>
        <w:spacing w:line="400" w:lineRule="exact"/>
        <w:jc w:val="center"/>
        <w:rPr>
          <w:rFonts w:ascii="標楷體" w:eastAsia="標楷體" w:hAnsi="標楷體"/>
          <w:b/>
          <w:bCs/>
          <w:color w:val="000000"/>
          <w:sz w:val="32"/>
          <w:szCs w:val="32"/>
        </w:rPr>
      </w:pPr>
    </w:p>
    <w:p w14:paraId="29C12E38" w14:textId="77777777" w:rsidR="00BD776B" w:rsidRDefault="00DF0C24">
      <w:pPr>
        <w:ind w:left="672" w:hanging="386"/>
      </w:pPr>
      <w:r>
        <w:rPr>
          <w:rFonts w:ascii="標楷體" w:eastAsia="標楷體" w:hAnsi="標楷體"/>
          <w:color w:val="000000"/>
        </w:rPr>
        <w:t>9.1.Aromatase Inhibitors</w:t>
      </w:r>
    </w:p>
    <w:p w14:paraId="7316E9FD" w14:textId="77777777" w:rsidR="00BD776B" w:rsidRDefault="00DF0C24">
      <w:pPr>
        <w:ind w:left="992" w:hanging="706"/>
        <w:rPr>
          <w:rFonts w:ascii="標楷體" w:eastAsia="標楷體" w:hAnsi="標楷體"/>
          <w:color w:val="000000"/>
        </w:rPr>
      </w:pPr>
      <w:r>
        <w:rPr>
          <w:rFonts w:ascii="標楷體" w:eastAsia="標楷體" w:hAnsi="標楷體"/>
          <w:color w:val="000000"/>
        </w:rPr>
        <w:t>9.1.1.Exemestane(如Aromasin Sugar Coated Tablets)：（88/11/1、90/10/1、99/6/1、105/8/1)</w:t>
      </w:r>
    </w:p>
    <w:p w14:paraId="511B9255" w14:textId="77777777" w:rsidR="00BD776B" w:rsidRDefault="00DF0C24">
      <w:pPr>
        <w:ind w:left="811" w:hanging="245"/>
        <w:rPr>
          <w:rFonts w:ascii="標楷體" w:eastAsia="標楷體" w:hAnsi="標楷體"/>
          <w:color w:val="000000"/>
        </w:rPr>
      </w:pPr>
      <w:r>
        <w:rPr>
          <w:rFonts w:ascii="標楷體" w:eastAsia="標楷體" w:hAnsi="標楷體"/>
          <w:color w:val="000000"/>
        </w:rPr>
        <w:t>1.限停經後或卵巢切除後，且女性荷爾蒙受體(estrogen receptor)陽性之晚期乳癌病患，經使用tamoxifen無效後，方可使用。</w:t>
      </w:r>
    </w:p>
    <w:p w14:paraId="29C9B7CC" w14:textId="77777777" w:rsidR="00BD776B" w:rsidRDefault="00DF0C24">
      <w:pPr>
        <w:ind w:left="811" w:hanging="245"/>
        <w:rPr>
          <w:rFonts w:ascii="標楷體" w:eastAsia="標楷體" w:hAnsi="標楷體"/>
          <w:color w:val="000000"/>
        </w:rPr>
      </w:pPr>
      <w:r>
        <w:rPr>
          <w:rFonts w:ascii="標楷體" w:eastAsia="標楷體" w:hAnsi="標楷體"/>
          <w:color w:val="000000"/>
        </w:rPr>
        <w:t>2.具有雌激素受體陽性之停經婦女，使用tamoxifen至少兩年之高危險早期侵犯性乳癌的輔助治療，且不得與tamoxifen或其他aromatase inhibitor併用。使用時需同時符合下列規定：(105/8/1)</w:t>
      </w:r>
    </w:p>
    <w:p w14:paraId="3A9CDCAF" w14:textId="77777777" w:rsidR="00BD776B" w:rsidRDefault="00DF0C24">
      <w:pPr>
        <w:ind w:left="1049" w:hanging="341"/>
        <w:rPr>
          <w:rFonts w:ascii="標楷體" w:eastAsia="標楷體" w:hAnsi="標楷體"/>
          <w:color w:val="000000"/>
        </w:rPr>
      </w:pPr>
      <w:r>
        <w:rPr>
          <w:rFonts w:ascii="標楷體" w:eastAsia="標楷體" w:hAnsi="標楷體"/>
          <w:color w:val="000000"/>
        </w:rPr>
        <w:t>(1)病歷上應詳細記載手術資料、病理報告(應包含ER、PR之檢測結果且無復發現象)。</w:t>
      </w:r>
    </w:p>
    <w:p w14:paraId="2ECAFBAB" w14:textId="77777777" w:rsidR="00BD776B" w:rsidRDefault="00DF0C24">
      <w:pPr>
        <w:ind w:left="1049" w:hanging="341"/>
        <w:rPr>
          <w:rFonts w:ascii="標楷體" w:eastAsia="標楷體" w:hAnsi="標楷體"/>
          <w:color w:val="000000"/>
        </w:rPr>
      </w:pPr>
      <w:r>
        <w:rPr>
          <w:rFonts w:ascii="標楷體" w:eastAsia="標楷體" w:hAnsi="標楷體"/>
          <w:color w:val="000000"/>
        </w:rPr>
        <w:t>(2)本案藥品使用不得超過三年。</w:t>
      </w:r>
    </w:p>
    <w:p w14:paraId="3C259DA6" w14:textId="77777777" w:rsidR="00BD776B" w:rsidRDefault="00DF0C24">
      <w:pPr>
        <w:ind w:left="672" w:hanging="386"/>
        <w:rPr>
          <w:rFonts w:ascii="標楷體" w:eastAsia="標楷體" w:hAnsi="標楷體"/>
          <w:color w:val="000000"/>
        </w:rPr>
      </w:pPr>
      <w:r>
        <w:rPr>
          <w:rFonts w:ascii="標楷體" w:eastAsia="標楷體" w:hAnsi="標楷體"/>
          <w:color w:val="000000"/>
        </w:rPr>
        <w:t>9.1.2.Anastrozole(如Arimidex)：（88/6/1、92/3/1、93/6/1）</w:t>
      </w:r>
    </w:p>
    <w:p w14:paraId="0A1DAA92" w14:textId="77777777" w:rsidR="00BD776B" w:rsidRDefault="00DF0C24">
      <w:pPr>
        <w:ind w:left="811" w:hanging="245"/>
        <w:rPr>
          <w:rFonts w:ascii="標楷體" w:eastAsia="標楷體" w:hAnsi="標楷體"/>
          <w:color w:val="000000"/>
        </w:rPr>
      </w:pPr>
      <w:r>
        <w:rPr>
          <w:rFonts w:ascii="標楷體" w:eastAsia="標楷體" w:hAnsi="標楷體"/>
          <w:color w:val="000000"/>
        </w:rPr>
        <w:t>1.停經後雌激素接受器為陽性或不清楚之局部晚期或轉移性乳癌第一線治療。(92/3/1)</w:t>
      </w:r>
    </w:p>
    <w:p w14:paraId="2F255E89" w14:textId="77777777" w:rsidR="00BD776B" w:rsidRDefault="00DF0C24">
      <w:pPr>
        <w:ind w:left="811" w:hanging="245"/>
        <w:rPr>
          <w:rFonts w:ascii="標楷體" w:eastAsia="標楷體" w:hAnsi="標楷體"/>
          <w:color w:val="000000"/>
        </w:rPr>
      </w:pPr>
      <w:r>
        <w:rPr>
          <w:rFonts w:ascii="標楷體" w:eastAsia="標楷體" w:hAnsi="標楷體"/>
          <w:color w:val="000000"/>
        </w:rPr>
        <w:t>2.停經後婦女晚期乳癌，雌激素接受器為陰性，但曾對tamoxifen有陽性反應者。(92/3/1)</w:t>
      </w:r>
    </w:p>
    <w:p w14:paraId="47A869C9" w14:textId="77777777" w:rsidR="00BD776B" w:rsidRDefault="00DF0C24">
      <w:pPr>
        <w:ind w:left="811" w:hanging="245"/>
        <w:rPr>
          <w:rFonts w:ascii="標楷體" w:eastAsia="標楷體" w:hAnsi="標楷體"/>
          <w:color w:val="000000"/>
        </w:rPr>
      </w:pPr>
      <w:r>
        <w:rPr>
          <w:rFonts w:ascii="標楷體" w:eastAsia="標楷體" w:hAnsi="標楷體"/>
          <w:color w:val="000000"/>
        </w:rPr>
        <w:t>3.停經後婦女罹患早期侵犯性乳癌，經外科手術切除後且雌激素接受器為陽性，且有血栓栓塞症或子宮內膜異常增生的高危險群，而無法使用tamoxifen治療者。(93/6/1)</w:t>
      </w:r>
    </w:p>
    <w:p w14:paraId="22EF30D1" w14:textId="77777777" w:rsidR="00BD776B" w:rsidRDefault="00DF0C24">
      <w:pPr>
        <w:ind w:left="1231" w:hanging="698"/>
        <w:rPr>
          <w:rFonts w:ascii="標楷體" w:eastAsia="標楷體" w:hAnsi="標楷體"/>
          <w:color w:val="000000"/>
        </w:rPr>
      </w:pPr>
      <w:r>
        <w:rPr>
          <w:rFonts w:ascii="標楷體" w:eastAsia="標楷體" w:hAnsi="標楷體"/>
          <w:color w:val="000000"/>
        </w:rPr>
        <w:t>備註：療程期間以不超過五年為原則。血栓栓塞症或子宮內膜異常增生的高危險群需符合下列情形之一：</w:t>
      </w:r>
    </w:p>
    <w:p w14:paraId="4D3091E0" w14:textId="77777777" w:rsidR="00BD776B" w:rsidRDefault="00DF0C24">
      <w:pPr>
        <w:ind w:left="1049" w:hanging="341"/>
        <w:rPr>
          <w:rFonts w:ascii="標楷體" w:eastAsia="標楷體" w:hAnsi="標楷體"/>
          <w:color w:val="000000"/>
        </w:rPr>
      </w:pPr>
      <w:r>
        <w:rPr>
          <w:rFonts w:ascii="標楷體" w:eastAsia="標楷體" w:hAnsi="標楷體"/>
          <w:color w:val="000000"/>
        </w:rPr>
        <w:t>(1)有腦血管梗塞病史者。</w:t>
      </w:r>
    </w:p>
    <w:p w14:paraId="5B5910F2" w14:textId="77777777" w:rsidR="00BD776B" w:rsidRDefault="00DF0C24">
      <w:pPr>
        <w:ind w:left="1049" w:hanging="341"/>
        <w:rPr>
          <w:rFonts w:ascii="標楷體" w:eastAsia="標楷體" w:hAnsi="標楷體"/>
          <w:color w:val="000000"/>
        </w:rPr>
      </w:pPr>
      <w:r>
        <w:rPr>
          <w:rFonts w:ascii="標楷體" w:eastAsia="標楷體" w:hAnsi="標楷體"/>
          <w:color w:val="000000"/>
        </w:rPr>
        <w:t>(2)有靜脈血栓栓塞症病史者。</w:t>
      </w:r>
    </w:p>
    <w:p w14:paraId="02EBF433" w14:textId="77777777" w:rsidR="00BD776B" w:rsidRDefault="00DF0C24">
      <w:pPr>
        <w:ind w:left="1049" w:hanging="341"/>
        <w:rPr>
          <w:rFonts w:ascii="標楷體" w:eastAsia="標楷體" w:hAnsi="標楷體"/>
          <w:color w:val="000000"/>
        </w:rPr>
      </w:pPr>
      <w:r>
        <w:rPr>
          <w:rFonts w:ascii="標楷體" w:eastAsia="標楷體" w:hAnsi="標楷體"/>
          <w:color w:val="000000"/>
        </w:rPr>
        <w:t>(3)有子宮異常出血病史，且「經陰道超音波檢查」判定為子宮內膜異常增生的高危險群。</w:t>
      </w:r>
    </w:p>
    <w:p w14:paraId="31040BAA" w14:textId="77777777" w:rsidR="00BD776B" w:rsidRDefault="00DF0C24">
      <w:pPr>
        <w:ind w:left="964" w:hanging="680"/>
        <w:rPr>
          <w:rFonts w:ascii="標楷體" w:eastAsia="標楷體" w:hAnsi="標楷體"/>
          <w:color w:val="000000"/>
        </w:rPr>
      </w:pPr>
      <w:r>
        <w:rPr>
          <w:rFonts w:ascii="標楷體" w:eastAsia="標楷體" w:hAnsi="標楷體"/>
          <w:color w:val="000000"/>
        </w:rPr>
        <w:t>9.1.3.Letrozole：（88/11/1、90/10/1、92/3/1、97/11/1、98/11/1、99/9/1、102/8/1)</w:t>
      </w:r>
    </w:p>
    <w:p w14:paraId="03404903" w14:textId="77777777" w:rsidR="00BD776B" w:rsidRDefault="00DF0C24">
      <w:pPr>
        <w:ind w:left="811" w:hanging="245"/>
        <w:rPr>
          <w:rFonts w:ascii="標楷體" w:eastAsia="標楷體" w:hAnsi="標楷體"/>
          <w:color w:val="000000"/>
        </w:rPr>
      </w:pPr>
      <w:r>
        <w:rPr>
          <w:rFonts w:ascii="標楷體" w:eastAsia="標楷體" w:hAnsi="標楷體"/>
          <w:color w:val="000000"/>
        </w:rPr>
        <w:t>1.接受抗動情激素治療失敗的自然或人工停經後之末期乳癌病人之治療、停經後之局部晚期或轉移性乳癌婦女患者之第一線治療用藥。</w:t>
      </w:r>
    </w:p>
    <w:p w14:paraId="543DB0CF" w14:textId="77777777" w:rsidR="00BD776B" w:rsidRDefault="00DF0C24">
      <w:pPr>
        <w:ind w:left="811" w:hanging="245"/>
        <w:rPr>
          <w:rFonts w:ascii="標楷體" w:eastAsia="標楷體" w:hAnsi="標楷體"/>
          <w:color w:val="000000"/>
        </w:rPr>
      </w:pPr>
      <w:r>
        <w:rPr>
          <w:rFonts w:ascii="標楷體" w:eastAsia="標楷體" w:hAnsi="標楷體"/>
          <w:color w:val="000000"/>
        </w:rPr>
        <w:t>2.停經後且荷爾蒙接受體呈陽性，有淋巴結轉移之乳癌病人，作為tamoxifen治療五年後的延伸治療，且不得與其他aromatase inhibitor併用。使用時需同時符合下列規定：（97/11/1）</w:t>
      </w:r>
    </w:p>
    <w:p w14:paraId="5DB4E24C" w14:textId="77777777" w:rsidR="00BD776B" w:rsidRDefault="00DF0C24">
      <w:pPr>
        <w:ind w:left="1049" w:hanging="341"/>
        <w:rPr>
          <w:rFonts w:ascii="標楷體" w:eastAsia="標楷體" w:hAnsi="標楷體"/>
          <w:color w:val="000000"/>
        </w:rPr>
      </w:pPr>
      <w:r>
        <w:rPr>
          <w:rFonts w:ascii="標楷體" w:eastAsia="標楷體" w:hAnsi="標楷體"/>
          <w:color w:val="000000"/>
        </w:rPr>
        <w:t>(1)手術後大於等於11年且無復發者不得使用。</w:t>
      </w:r>
    </w:p>
    <w:p w14:paraId="7F5A5A11" w14:textId="77777777" w:rsidR="00BD776B" w:rsidRDefault="00DF0C24">
      <w:pPr>
        <w:ind w:left="1049" w:hanging="341"/>
        <w:rPr>
          <w:rFonts w:ascii="標楷體" w:eastAsia="標楷體" w:hAnsi="標楷體"/>
          <w:color w:val="000000"/>
        </w:rPr>
      </w:pPr>
      <w:r>
        <w:rPr>
          <w:rFonts w:ascii="標楷體" w:eastAsia="標楷體" w:hAnsi="標楷體"/>
          <w:color w:val="000000"/>
        </w:rPr>
        <w:t>(2)每日最大劑量2.5mg，使用不得超過四年。</w:t>
      </w:r>
    </w:p>
    <w:p w14:paraId="483E43EC" w14:textId="77777777" w:rsidR="00BD776B" w:rsidRDefault="00DF0C24">
      <w:pPr>
        <w:ind w:left="811" w:hanging="245"/>
        <w:rPr>
          <w:rFonts w:ascii="標楷體" w:eastAsia="標楷體" w:hAnsi="標楷體"/>
          <w:color w:val="000000"/>
        </w:rPr>
      </w:pPr>
      <w:r>
        <w:rPr>
          <w:rFonts w:ascii="標楷體" w:eastAsia="標楷體" w:hAnsi="標楷體"/>
          <w:color w:val="000000"/>
        </w:rPr>
        <w:t>3.停經後且荷爾蒙接受體呈陽性之早期乳癌病人，經外科手術切除後之輔助治療，且不得與tamoxifen或其他aromatase inhibitor併用。使用時需同時符合下列規定：(98/11/1、99/9/1、102/8/1)</w:t>
      </w:r>
    </w:p>
    <w:p w14:paraId="17C0976B" w14:textId="77777777" w:rsidR="00BD776B" w:rsidRDefault="00DF0C24">
      <w:pPr>
        <w:ind w:left="1049" w:hanging="341"/>
        <w:rPr>
          <w:rFonts w:ascii="標楷體" w:eastAsia="標楷體" w:hAnsi="標楷體"/>
          <w:color w:val="000000"/>
        </w:rPr>
      </w:pPr>
      <w:r>
        <w:rPr>
          <w:rFonts w:ascii="標楷體" w:eastAsia="標楷體" w:hAnsi="標楷體"/>
          <w:color w:val="000000"/>
        </w:rPr>
        <w:t>(1)每日最大劑量2.5mg，使用不得超過五年；</w:t>
      </w:r>
    </w:p>
    <w:p w14:paraId="527D9FD0" w14:textId="77777777" w:rsidR="00BD776B" w:rsidRDefault="00DF0C24">
      <w:pPr>
        <w:ind w:left="1049" w:hanging="341"/>
        <w:rPr>
          <w:rFonts w:ascii="標楷體" w:eastAsia="標楷體" w:hAnsi="標楷體"/>
          <w:color w:val="000000"/>
        </w:rPr>
      </w:pPr>
      <w:r>
        <w:rPr>
          <w:rFonts w:ascii="標楷體" w:eastAsia="標楷體" w:hAnsi="標楷體"/>
          <w:color w:val="000000"/>
        </w:rPr>
        <w:t>(2)若由tamoxifen轉換使用本品，則使用期限合計不得超過5年。</w:t>
      </w:r>
    </w:p>
    <w:p w14:paraId="3868D464" w14:textId="77777777" w:rsidR="00BD776B" w:rsidRDefault="00DF0C24">
      <w:pPr>
        <w:ind w:left="847" w:hanging="281"/>
        <w:rPr>
          <w:rFonts w:ascii="標楷體" w:eastAsia="標楷體" w:hAnsi="標楷體"/>
          <w:color w:val="000000"/>
        </w:rPr>
      </w:pPr>
      <w:r>
        <w:rPr>
          <w:rFonts w:ascii="標楷體" w:eastAsia="標楷體" w:hAnsi="標楷體"/>
          <w:color w:val="000000"/>
        </w:rPr>
        <w:t>4.病歷上應詳細記載手術資料、病理報告(應包含ER、PR之檢測結果且無復發現象)及用藥紀錄(如tamoxifen使用五年證明)。</w:t>
      </w:r>
    </w:p>
    <w:p w14:paraId="28A8D466" w14:textId="2E102935" w:rsidR="00BD776B" w:rsidRDefault="00DF0C24">
      <w:pPr>
        <w:ind w:left="672" w:hanging="386"/>
        <w:rPr>
          <w:rFonts w:ascii="標楷體" w:eastAsia="標楷體" w:hAnsi="標楷體"/>
          <w:color w:val="000000"/>
        </w:rPr>
      </w:pPr>
      <w:r>
        <w:rPr>
          <w:rFonts w:ascii="標楷體" w:eastAsia="標楷體" w:hAnsi="標楷體"/>
          <w:color w:val="000000"/>
        </w:rPr>
        <w:t>9.2.Carboplatin（如Paraplatin；Carboplatin inj）：(112/12/1</w:t>
      </w:r>
      <w:r w:rsidR="0074154C">
        <w:rPr>
          <w:rFonts w:ascii="標楷體" w:eastAsia="標楷體" w:hAnsi="標楷體" w:hint="eastAsia"/>
          <w:color w:val="000000"/>
        </w:rPr>
        <w:t>、114/2/1</w:t>
      </w:r>
      <w:r>
        <w:rPr>
          <w:rFonts w:ascii="標楷體" w:eastAsia="標楷體" w:hAnsi="標楷體"/>
          <w:color w:val="000000"/>
        </w:rPr>
        <w:t>)</w:t>
      </w:r>
    </w:p>
    <w:p w14:paraId="6FE91F40" w14:textId="77777777" w:rsidR="00BD776B" w:rsidRDefault="00DF0C24">
      <w:pPr>
        <w:ind w:left="798" w:hanging="1"/>
        <w:rPr>
          <w:rFonts w:ascii="標楷體" w:eastAsia="標楷體" w:hAnsi="標楷體"/>
          <w:color w:val="000000"/>
        </w:rPr>
      </w:pPr>
      <w:r>
        <w:rPr>
          <w:rFonts w:ascii="標楷體" w:eastAsia="標楷體" w:hAnsi="標楷體"/>
          <w:color w:val="000000"/>
        </w:rPr>
        <w:lastRenderedPageBreak/>
        <w:t>限</w:t>
      </w:r>
    </w:p>
    <w:p w14:paraId="5D60BE0E" w14:textId="77777777" w:rsidR="00BD776B" w:rsidRDefault="00DF0C24">
      <w:pPr>
        <w:ind w:left="811" w:hanging="245"/>
        <w:rPr>
          <w:rFonts w:ascii="標楷體" w:eastAsia="標楷體" w:hAnsi="標楷體"/>
          <w:color w:val="000000"/>
        </w:rPr>
      </w:pPr>
      <w:r>
        <w:rPr>
          <w:rFonts w:ascii="標楷體" w:eastAsia="標楷體" w:hAnsi="標楷體"/>
          <w:color w:val="000000"/>
        </w:rPr>
        <w:t>1.卵巢癌患者。</w:t>
      </w:r>
    </w:p>
    <w:p w14:paraId="6367F6D3" w14:textId="77777777" w:rsidR="00BD776B" w:rsidRDefault="00DF0C24">
      <w:pPr>
        <w:ind w:left="811" w:hanging="245"/>
        <w:rPr>
          <w:rFonts w:ascii="標楷體" w:eastAsia="標楷體" w:hAnsi="標楷體"/>
          <w:color w:val="000000"/>
        </w:rPr>
      </w:pPr>
      <w:r>
        <w:rPr>
          <w:rFonts w:ascii="標楷體" w:eastAsia="標楷體" w:hAnsi="標楷體"/>
          <w:color w:val="000000"/>
        </w:rPr>
        <w:t>2.腎功能不佳(CCr&lt;60)或曾作單側或以上腎切除之惡性腫瘤患者使用。</w:t>
      </w:r>
    </w:p>
    <w:p w14:paraId="2674F164" w14:textId="77777777" w:rsidR="00BD776B" w:rsidRDefault="00DF0C24">
      <w:pPr>
        <w:ind w:left="811" w:hanging="245"/>
      </w:pPr>
      <w:r>
        <w:rPr>
          <w:rFonts w:ascii="標楷體" w:eastAsia="標楷體" w:hAnsi="標楷體"/>
          <w:szCs w:val="24"/>
        </w:rPr>
        <w:t>3.與pembrolizumab及paclitaxel併用於轉移性鱗狀非小細胞肺癌的第一線治療，患者需符合免疫檢查點抑制劑之藥品給付規定。(112/12/1)</w:t>
      </w:r>
    </w:p>
    <w:p w14:paraId="6F5D6304" w14:textId="3CE28EEE" w:rsidR="00BD776B" w:rsidRDefault="00DF0C24">
      <w:pPr>
        <w:ind w:left="811" w:hanging="245"/>
      </w:pPr>
      <w:r>
        <w:rPr>
          <w:rFonts w:ascii="標楷體" w:eastAsia="標楷體" w:hAnsi="標楷體"/>
          <w:szCs w:val="24"/>
        </w:rPr>
        <w:t>4.</w:t>
      </w:r>
      <w:r w:rsidR="0074154C" w:rsidRPr="0074154C">
        <w:rPr>
          <w:rFonts w:ascii="標楷體" w:eastAsia="標楷體" w:hAnsi="標楷體" w:hint="eastAsia"/>
          <w:szCs w:val="24"/>
        </w:rPr>
        <w:t>與atezolizumab及 etoposide併用，或與durvalumab及 etoposide併用於擴散期 (extensive stage)小細胞肺癌成人患者時，患者需符合免疫檢查點抑制劑之藥品給付規定。(112/12/1、114/2/1)</w:t>
      </w:r>
    </w:p>
    <w:p w14:paraId="6CAC7A8D" w14:textId="77777777" w:rsidR="00BD776B" w:rsidRDefault="00DF0C24">
      <w:pPr>
        <w:ind w:left="672" w:hanging="386"/>
        <w:rPr>
          <w:rFonts w:ascii="標楷體" w:eastAsia="標楷體" w:hAnsi="標楷體"/>
          <w:color w:val="000000"/>
        </w:rPr>
      </w:pPr>
      <w:r>
        <w:rPr>
          <w:rFonts w:ascii="標楷體" w:eastAsia="標楷體" w:hAnsi="標楷體"/>
          <w:color w:val="000000"/>
        </w:rPr>
        <w:t>9.3.Docetaxel：（87/7/1、92/11/1、93/8/1、95/8/1、96/1/1、99/6/1、100/1/1、101/9/1、108/1/1、113/5/1）</w:t>
      </w:r>
    </w:p>
    <w:p w14:paraId="2FE654DB" w14:textId="77777777" w:rsidR="00BD776B" w:rsidRDefault="00DF0C24">
      <w:pPr>
        <w:ind w:left="811" w:hanging="245"/>
        <w:rPr>
          <w:rFonts w:ascii="標楷體" w:eastAsia="標楷體" w:hAnsi="標楷體"/>
          <w:color w:val="000000"/>
        </w:rPr>
      </w:pPr>
      <w:r>
        <w:rPr>
          <w:rFonts w:ascii="標楷體" w:eastAsia="標楷體" w:hAnsi="標楷體"/>
          <w:color w:val="000000"/>
        </w:rPr>
        <w:t>1.乳癌：</w:t>
      </w:r>
    </w:p>
    <w:p w14:paraId="3252231C" w14:textId="77777777" w:rsidR="00BD776B" w:rsidRDefault="00DF0C24">
      <w:pPr>
        <w:ind w:left="1049" w:hanging="341"/>
        <w:rPr>
          <w:rFonts w:ascii="標楷體" w:eastAsia="標楷體" w:hAnsi="標楷體"/>
          <w:color w:val="000000"/>
        </w:rPr>
      </w:pPr>
      <w:r>
        <w:rPr>
          <w:rFonts w:ascii="標楷體" w:eastAsia="標楷體" w:hAnsi="標楷體"/>
          <w:color w:val="000000"/>
        </w:rPr>
        <w:t>(1)局部晚期或轉移性乳癌。</w:t>
      </w:r>
    </w:p>
    <w:p w14:paraId="1419C2F0" w14:textId="77777777" w:rsidR="00BD776B" w:rsidRDefault="00DF0C24">
      <w:pPr>
        <w:ind w:left="1049" w:hanging="341"/>
        <w:rPr>
          <w:rFonts w:ascii="標楷體" w:eastAsia="標楷體" w:hAnsi="標楷體"/>
          <w:color w:val="000000"/>
        </w:rPr>
      </w:pPr>
      <w:r>
        <w:rPr>
          <w:rFonts w:ascii="標楷體" w:eastAsia="標楷體" w:hAnsi="標楷體"/>
          <w:color w:val="000000"/>
        </w:rPr>
        <w:t>(2)與anthracycline合併使用於腋下淋巴結轉移之早期乳癌之術後輔助性化學治療。(99/6/1)</w:t>
      </w:r>
    </w:p>
    <w:p w14:paraId="3B583BE4" w14:textId="77777777" w:rsidR="00BD776B" w:rsidRDefault="00DF0C24">
      <w:pPr>
        <w:ind w:left="1049" w:hanging="341"/>
        <w:rPr>
          <w:rFonts w:ascii="標楷體" w:eastAsia="標楷體" w:hAnsi="標楷體"/>
          <w:color w:val="000000"/>
        </w:rPr>
      </w:pPr>
      <w:r>
        <w:rPr>
          <w:rFonts w:ascii="標楷體" w:eastAsia="標楷體" w:hAnsi="標楷體"/>
          <w:color w:val="000000"/>
        </w:rPr>
        <w:t>(3)早期乳癌手術後，經診斷為三陰性反應且無淋巴轉移的病人，得作為與cyclophosphamide併用doxorubicin的化學輔助療法。(101/9/1）</w:t>
      </w:r>
    </w:p>
    <w:p w14:paraId="42FE7757" w14:textId="77777777" w:rsidR="00BD776B" w:rsidRDefault="00DF0C24">
      <w:pPr>
        <w:ind w:left="811" w:hanging="245"/>
        <w:rPr>
          <w:rFonts w:ascii="標楷體" w:eastAsia="標楷體" w:hAnsi="標楷體"/>
          <w:color w:val="000000"/>
        </w:rPr>
      </w:pPr>
      <w:r>
        <w:rPr>
          <w:rFonts w:ascii="標楷體" w:eastAsia="標楷體" w:hAnsi="標楷體"/>
          <w:color w:val="000000"/>
        </w:rPr>
        <w:t>2.非小細胞肺癌：局部晚期或轉移性非小細胞肺癌。</w:t>
      </w:r>
    </w:p>
    <w:p w14:paraId="37351275" w14:textId="77777777" w:rsidR="00BD776B" w:rsidRDefault="00DF0C24">
      <w:pPr>
        <w:ind w:left="811" w:hanging="245"/>
        <w:rPr>
          <w:rFonts w:ascii="標楷體" w:eastAsia="標楷體" w:hAnsi="標楷體"/>
          <w:color w:val="000000"/>
        </w:rPr>
      </w:pPr>
      <w:r>
        <w:rPr>
          <w:rFonts w:ascii="標楷體" w:eastAsia="標楷體" w:hAnsi="標楷體"/>
          <w:color w:val="000000"/>
        </w:rPr>
        <w:t>3.前列腺癌：</w:t>
      </w:r>
    </w:p>
    <w:p w14:paraId="0A11E1C8" w14:textId="77777777" w:rsidR="00BD776B" w:rsidRDefault="00DF0C24">
      <w:pPr>
        <w:ind w:left="1049" w:hanging="341"/>
        <w:rPr>
          <w:rFonts w:ascii="標楷體" w:eastAsia="標楷體" w:hAnsi="標楷體"/>
          <w:color w:val="000000"/>
        </w:rPr>
      </w:pPr>
      <w:r>
        <w:rPr>
          <w:rFonts w:ascii="標楷體" w:eastAsia="標楷體" w:hAnsi="標楷體"/>
          <w:color w:val="000000"/>
        </w:rPr>
        <w:t>(1)於荷爾蒙治療失敗之轉移性前列腺癌。</w:t>
      </w:r>
    </w:p>
    <w:p w14:paraId="6B0F6FE0" w14:textId="77777777" w:rsidR="00BD776B" w:rsidRDefault="00DF0C24">
      <w:pPr>
        <w:ind w:left="1049" w:hanging="341"/>
        <w:rPr>
          <w:rFonts w:ascii="標楷體" w:eastAsia="標楷體" w:hAnsi="標楷體"/>
          <w:color w:val="000000"/>
        </w:rPr>
      </w:pPr>
      <w:r>
        <w:rPr>
          <w:rFonts w:ascii="標楷體" w:eastAsia="標楷體" w:hAnsi="標楷體"/>
          <w:color w:val="000000"/>
        </w:rPr>
        <w:t>(2)與darolutamide併用於治療高風險轉移性的去勢敏感性前列腺癌(mCSPC)，患者需符合darolutamide之藥品給付規定。(113/5/1)</w:t>
      </w:r>
    </w:p>
    <w:p w14:paraId="4A43C362" w14:textId="77777777" w:rsidR="00BD776B" w:rsidRDefault="00DF0C24">
      <w:pPr>
        <w:ind w:left="811" w:hanging="245"/>
        <w:rPr>
          <w:rFonts w:ascii="標楷體" w:eastAsia="標楷體" w:hAnsi="標楷體"/>
          <w:color w:val="000000"/>
        </w:rPr>
      </w:pPr>
      <w:r>
        <w:rPr>
          <w:rFonts w:ascii="標楷體" w:eastAsia="標楷體" w:hAnsi="標楷體"/>
          <w:color w:val="000000"/>
        </w:rPr>
        <w:t>4.頭頸癌：限局部晚期且無遠端轉移之頭頸部鱗狀細胞癌且無法手術切除者，與cisplatin及5-fluorouracil併用，作為放射治療前的引導治療，限使用4個療程。(100/1/1)</w:t>
      </w:r>
    </w:p>
    <w:p w14:paraId="24AB6CBB" w14:textId="77777777" w:rsidR="00BD776B" w:rsidRDefault="00DF0C24">
      <w:pPr>
        <w:ind w:left="811" w:hanging="245"/>
        <w:rPr>
          <w:rFonts w:ascii="標楷體" w:eastAsia="標楷體" w:hAnsi="標楷體"/>
          <w:color w:val="000000"/>
        </w:rPr>
      </w:pPr>
      <w:r>
        <w:rPr>
          <w:rFonts w:ascii="標楷體" w:eastAsia="標楷體" w:hAnsi="標楷體"/>
          <w:color w:val="000000"/>
        </w:rPr>
        <w:t>5.胃腺癌：晚期胃腺癌患者，包括胃食道接合處之腺癌。(108/1/1)</w:t>
      </w:r>
    </w:p>
    <w:p w14:paraId="5F770B83" w14:textId="7F0FA401" w:rsidR="00BD776B" w:rsidRDefault="00DF0C24">
      <w:pPr>
        <w:ind w:left="672" w:hanging="386"/>
        <w:rPr>
          <w:rFonts w:ascii="標楷體" w:eastAsia="標楷體" w:hAnsi="標楷體"/>
          <w:color w:val="000000"/>
        </w:rPr>
      </w:pPr>
      <w:r>
        <w:rPr>
          <w:rFonts w:ascii="標楷體" w:eastAsia="標楷體" w:hAnsi="標楷體"/>
          <w:color w:val="000000"/>
        </w:rPr>
        <w:t>9.4.Gemcitabine（如Gemzar）：（92/12/1、93/8/1、94/10/1、96/5/1、99/10/1、105/2/1</w:t>
      </w:r>
      <w:r w:rsidR="00E62393">
        <w:rPr>
          <w:rFonts w:ascii="標楷體" w:eastAsia="標楷體" w:hAnsi="標楷體" w:hint="eastAsia"/>
          <w:color w:val="000000"/>
        </w:rPr>
        <w:t>、114/2/1</w:t>
      </w:r>
      <w:r>
        <w:rPr>
          <w:rFonts w:ascii="標楷體" w:eastAsia="標楷體" w:hAnsi="標楷體"/>
          <w:color w:val="000000"/>
        </w:rPr>
        <w:t>）</w:t>
      </w:r>
    </w:p>
    <w:p w14:paraId="750188AA" w14:textId="77777777" w:rsidR="00BD776B" w:rsidRDefault="00DF0C24">
      <w:pPr>
        <w:ind w:left="798" w:hanging="1"/>
        <w:rPr>
          <w:rFonts w:ascii="標楷體" w:eastAsia="標楷體" w:hAnsi="標楷體"/>
          <w:color w:val="000000"/>
        </w:rPr>
      </w:pPr>
      <w:r>
        <w:rPr>
          <w:rFonts w:ascii="標楷體" w:eastAsia="標楷體" w:hAnsi="標楷體"/>
          <w:color w:val="000000"/>
        </w:rPr>
        <w:t>限用於</w:t>
      </w:r>
    </w:p>
    <w:p w14:paraId="56E4C70F" w14:textId="77777777" w:rsidR="00BD776B" w:rsidRDefault="00DF0C24">
      <w:pPr>
        <w:ind w:left="811" w:hanging="245"/>
        <w:rPr>
          <w:rFonts w:ascii="標楷體" w:eastAsia="標楷體" w:hAnsi="標楷體"/>
          <w:color w:val="000000"/>
        </w:rPr>
      </w:pPr>
      <w:r>
        <w:rPr>
          <w:rFonts w:ascii="標楷體" w:eastAsia="標楷體" w:hAnsi="標楷體"/>
          <w:color w:val="000000"/>
        </w:rPr>
        <w:t>1.晚期或無法手術切除之非小細胞肺癌及胰臟癌病患。</w:t>
      </w:r>
    </w:p>
    <w:p w14:paraId="21B57A78" w14:textId="77777777" w:rsidR="00BD776B" w:rsidRDefault="00DF0C24">
      <w:pPr>
        <w:ind w:left="811" w:hanging="245"/>
        <w:rPr>
          <w:rFonts w:ascii="標楷體" w:eastAsia="標楷體" w:hAnsi="標楷體"/>
          <w:color w:val="000000"/>
        </w:rPr>
      </w:pPr>
      <w:r>
        <w:rPr>
          <w:rFonts w:ascii="標楷體" w:eastAsia="標楷體" w:hAnsi="標楷體"/>
          <w:color w:val="000000"/>
        </w:rPr>
        <w:t>2.晚期膀胱癌病患。（92/12/1）</w:t>
      </w:r>
    </w:p>
    <w:p w14:paraId="4A281646" w14:textId="77777777" w:rsidR="00BD776B" w:rsidRDefault="00DF0C24">
      <w:pPr>
        <w:ind w:left="811" w:hanging="245"/>
        <w:rPr>
          <w:rFonts w:ascii="標楷體" w:eastAsia="標楷體" w:hAnsi="標楷體"/>
          <w:color w:val="000000"/>
        </w:rPr>
      </w:pPr>
      <w:r>
        <w:rPr>
          <w:rFonts w:ascii="標楷體" w:eastAsia="標楷體" w:hAnsi="標楷體"/>
          <w:color w:val="000000"/>
        </w:rPr>
        <w:t>3.Gemcitabine與paclitaxel併用，可使用於曾經使用過anthracycline之局部復發且無法手術切除或轉移性之乳癌病患。（94/10/1）</w:t>
      </w:r>
    </w:p>
    <w:p w14:paraId="7EEB5C9C" w14:textId="77777777" w:rsidR="00BD776B" w:rsidRDefault="00DF0C24">
      <w:pPr>
        <w:ind w:left="811" w:hanging="245"/>
        <w:rPr>
          <w:rFonts w:ascii="標楷體" w:eastAsia="標楷體" w:hAnsi="標楷體"/>
          <w:color w:val="000000"/>
        </w:rPr>
      </w:pPr>
      <w:r>
        <w:rPr>
          <w:rFonts w:ascii="標楷體" w:eastAsia="標楷體" w:hAnsi="標楷體"/>
          <w:color w:val="000000"/>
        </w:rPr>
        <w:t>4.用於曾經使用含鉑類藥物(platinum-based)治療後復發且間隔至少6個月之卵巢癌，作為第二線治療。（96/5/1、99/10/1）</w:t>
      </w:r>
    </w:p>
    <w:p w14:paraId="264CBD11" w14:textId="1613B194" w:rsidR="00BD776B" w:rsidRDefault="00DF0C24">
      <w:pPr>
        <w:ind w:left="811" w:hanging="245"/>
        <w:rPr>
          <w:rFonts w:ascii="標楷體" w:eastAsia="標楷體" w:hAnsi="標楷體"/>
          <w:color w:val="000000"/>
        </w:rPr>
      </w:pPr>
      <w:r>
        <w:rPr>
          <w:rFonts w:ascii="標楷體" w:eastAsia="標楷體" w:hAnsi="標楷體"/>
          <w:color w:val="000000"/>
        </w:rPr>
        <w:t>5.無法手術切除或晚期或復發之膽道癌(含肝內膽管)病患。（105/2/1）</w:t>
      </w:r>
    </w:p>
    <w:p w14:paraId="0C902DF2" w14:textId="08E247AD" w:rsidR="00E62393" w:rsidRDefault="00E62393">
      <w:pPr>
        <w:ind w:left="811" w:hanging="245"/>
        <w:rPr>
          <w:rFonts w:ascii="標楷體" w:eastAsia="標楷體" w:hAnsi="標楷體"/>
          <w:color w:val="000000"/>
        </w:rPr>
      </w:pPr>
      <w:r w:rsidRPr="00E62393">
        <w:rPr>
          <w:rFonts w:ascii="標楷體" w:eastAsia="標楷體" w:hAnsi="標楷體" w:hint="eastAsia"/>
          <w:color w:val="000000"/>
        </w:rPr>
        <w:t>6.與durvalumab及cisplatin併用於治療局部晚期或轉移性未接受治療或不可手術之膽道癌(biliary tract cancer)成人病人(壺腹癌除外)，患者需符合免疫檢查點抑制劑之藥品給付規定。（114/2/1)</w:t>
      </w:r>
    </w:p>
    <w:p w14:paraId="68FDFA55" w14:textId="77777777" w:rsidR="00BD776B" w:rsidRDefault="00DF0C24">
      <w:pPr>
        <w:ind w:left="738" w:hanging="454"/>
        <w:rPr>
          <w:rFonts w:ascii="標楷體" w:eastAsia="標楷體" w:hAnsi="標楷體"/>
          <w:color w:val="000000"/>
        </w:rPr>
      </w:pPr>
      <w:r>
        <w:rPr>
          <w:rFonts w:ascii="標楷體" w:eastAsia="標楷體" w:hAnsi="標楷體"/>
          <w:color w:val="000000"/>
        </w:rPr>
        <w:t>9.5.Paclitaxel成分劑：（88/8/1、88/11/1、89/6/1、89/10/1、91/4/1、91/8/1、93/8/1、94/1/1、98/8/1、108/11/1、112/12/1）</w:t>
      </w:r>
    </w:p>
    <w:p w14:paraId="727981D1" w14:textId="77777777" w:rsidR="00BD776B" w:rsidRDefault="00DF0C24">
      <w:pPr>
        <w:ind w:left="805" w:hanging="1"/>
        <w:rPr>
          <w:rFonts w:ascii="標楷體" w:eastAsia="標楷體" w:hAnsi="標楷體"/>
          <w:color w:val="000000"/>
        </w:rPr>
      </w:pPr>
      <w:r>
        <w:rPr>
          <w:rFonts w:ascii="標楷體" w:eastAsia="標楷體" w:hAnsi="標楷體"/>
          <w:color w:val="000000"/>
        </w:rPr>
        <w:t>9.5.1.Paclitaxel成分注射劑：(108/11/1、112/12/1)</w:t>
      </w:r>
    </w:p>
    <w:p w14:paraId="3A762131" w14:textId="77777777" w:rsidR="00BD776B" w:rsidRDefault="00DF0C24">
      <w:pPr>
        <w:ind w:left="1233" w:hanging="196"/>
        <w:rPr>
          <w:rFonts w:ascii="標楷體" w:eastAsia="標楷體" w:hAnsi="標楷體"/>
          <w:color w:val="000000"/>
        </w:rPr>
      </w:pPr>
      <w:r>
        <w:rPr>
          <w:rFonts w:ascii="標楷體" w:eastAsia="標楷體" w:hAnsi="標楷體"/>
          <w:color w:val="000000"/>
        </w:rPr>
        <w:t>限用於</w:t>
      </w:r>
    </w:p>
    <w:p w14:paraId="60E42ECA" w14:textId="77777777" w:rsidR="00BD776B" w:rsidRDefault="00DF0C24">
      <w:pPr>
        <w:ind w:left="1312" w:hanging="227"/>
        <w:rPr>
          <w:rFonts w:ascii="標楷體" w:eastAsia="標楷體" w:hAnsi="標楷體"/>
          <w:color w:val="000000"/>
        </w:rPr>
      </w:pPr>
      <w:r>
        <w:rPr>
          <w:rFonts w:ascii="標楷體" w:eastAsia="標楷體" w:hAnsi="標楷體"/>
          <w:color w:val="000000"/>
        </w:rPr>
        <w:t>1.晚期卵巢癌，作為第一線治療時需與cisplatin併用。(94/1/1)</w:t>
      </w:r>
    </w:p>
    <w:p w14:paraId="2CE3DAFE" w14:textId="77777777" w:rsidR="00BD776B" w:rsidRDefault="00DF0C24">
      <w:pPr>
        <w:ind w:left="1312" w:hanging="227"/>
        <w:rPr>
          <w:rFonts w:ascii="標楷體" w:eastAsia="標楷體" w:hAnsi="標楷體"/>
          <w:color w:val="000000"/>
        </w:rPr>
      </w:pPr>
      <w:r>
        <w:rPr>
          <w:rFonts w:ascii="標楷體" w:eastAsia="標楷體" w:hAnsi="標楷體"/>
          <w:color w:val="000000"/>
        </w:rPr>
        <w:t>2.非小細胞肺癌，作為第一線用藥時需與cisplatin併用。(94/1/1)</w:t>
      </w:r>
    </w:p>
    <w:p w14:paraId="3C55136C" w14:textId="77777777" w:rsidR="00BD776B" w:rsidRDefault="00DF0C24">
      <w:pPr>
        <w:ind w:left="1312" w:hanging="227"/>
      </w:pPr>
      <w:r>
        <w:rPr>
          <w:rFonts w:ascii="標楷體" w:eastAsia="標楷體" w:hAnsi="標楷體"/>
          <w:color w:val="000000"/>
          <w:szCs w:val="24"/>
        </w:rPr>
        <w:lastRenderedPageBreak/>
        <w:t>3.</w:t>
      </w:r>
      <w:r>
        <w:rPr>
          <w:rFonts w:ascii="標楷體" w:eastAsia="標楷體" w:hAnsi="標楷體"/>
          <w:szCs w:val="24"/>
        </w:rPr>
        <w:t>與pembrolizumab及carboplatin併用於轉移性鱗狀非小細胞肺癌的第一線治療，患者需符合免疫檢查點抑制劑之藥品給付規定。(112/12/1)</w:t>
      </w:r>
    </w:p>
    <w:p w14:paraId="26D6E536" w14:textId="77777777" w:rsidR="00BD776B" w:rsidRDefault="00DF0C24">
      <w:pPr>
        <w:ind w:left="1312" w:hanging="227"/>
        <w:rPr>
          <w:rFonts w:ascii="標楷體" w:eastAsia="標楷體" w:hAnsi="標楷體"/>
          <w:color w:val="000000"/>
        </w:rPr>
      </w:pPr>
      <w:r>
        <w:rPr>
          <w:rFonts w:ascii="標楷體" w:eastAsia="標楷體" w:hAnsi="標楷體"/>
          <w:color w:val="000000"/>
        </w:rPr>
        <w:t>4.已使用合併療法(除非有禁忌症、至少應包括使用anthracycline)失敗的轉移性乳癌患者。（91/4/1、94/1/1)</w:t>
      </w:r>
    </w:p>
    <w:p w14:paraId="1D240D54" w14:textId="77777777" w:rsidR="00BD776B" w:rsidRDefault="00DF0C24">
      <w:pPr>
        <w:ind w:left="1312" w:hanging="227"/>
        <w:rPr>
          <w:rFonts w:ascii="標楷體" w:eastAsia="標楷體" w:hAnsi="標楷體"/>
          <w:color w:val="000000"/>
        </w:rPr>
      </w:pPr>
      <w:r>
        <w:rPr>
          <w:rFonts w:ascii="標楷體" w:eastAsia="標楷體" w:hAnsi="標楷體"/>
          <w:color w:val="000000"/>
        </w:rPr>
        <w:t>5.腋下淋巴轉移之乳癌且動情素受體為陰性之患者，paclitaxel可作為接續含doxorubicin在內之輔助化學治療。（91/4/1、94/1/1、98/8/1)</w:t>
      </w:r>
    </w:p>
    <w:p w14:paraId="0B2018A6" w14:textId="77777777" w:rsidR="00BD776B" w:rsidRDefault="00DF0C24">
      <w:pPr>
        <w:ind w:left="1231" w:hanging="144"/>
        <w:rPr>
          <w:rFonts w:ascii="標楷體" w:eastAsia="標楷體" w:hAnsi="標楷體"/>
          <w:color w:val="000000"/>
        </w:rPr>
      </w:pPr>
      <w:r>
        <w:rPr>
          <w:rFonts w:ascii="標楷體" w:eastAsia="標楷體" w:hAnsi="標楷體"/>
          <w:color w:val="000000"/>
        </w:rPr>
        <w:t>6.卡波西氏肉瘤第二線用藥。（88/11/1）</w:t>
      </w:r>
    </w:p>
    <w:p w14:paraId="695E5691" w14:textId="77777777" w:rsidR="00BD776B" w:rsidRDefault="00DF0C24">
      <w:pPr>
        <w:ind w:left="805" w:hanging="1"/>
        <w:rPr>
          <w:rFonts w:ascii="標楷體" w:eastAsia="標楷體" w:hAnsi="標楷體"/>
          <w:color w:val="000000"/>
        </w:rPr>
      </w:pPr>
      <w:r>
        <w:rPr>
          <w:rFonts w:ascii="標楷體" w:eastAsia="標楷體" w:hAnsi="標楷體"/>
          <w:color w:val="000000"/>
        </w:rPr>
        <w:t>9.5.2.Albumin-based paclitaxel（如Abraxane）：(108/11/1)</w:t>
      </w:r>
    </w:p>
    <w:p w14:paraId="632BF6B4" w14:textId="77777777" w:rsidR="00BD776B" w:rsidRDefault="00DF0C24">
      <w:pPr>
        <w:ind w:left="912" w:hanging="386"/>
        <w:rPr>
          <w:rFonts w:ascii="標楷體" w:eastAsia="標楷體" w:hAnsi="標楷體"/>
          <w:color w:val="000000"/>
        </w:rPr>
      </w:pPr>
      <w:r>
        <w:rPr>
          <w:rFonts w:ascii="標楷體" w:eastAsia="標楷體" w:hAnsi="標楷體"/>
          <w:color w:val="000000"/>
        </w:rPr>
        <w:tab/>
        <w:t>限併用gemcitabine，做為轉移性胰腺癌患者之第一線治療。</w:t>
      </w:r>
    </w:p>
    <w:p w14:paraId="28A4452A" w14:textId="77777777" w:rsidR="00BD776B" w:rsidRDefault="00DF0C24">
      <w:pPr>
        <w:ind w:left="672" w:hanging="386"/>
        <w:rPr>
          <w:rFonts w:ascii="標楷體" w:eastAsia="標楷體" w:hAnsi="標楷體"/>
          <w:color w:val="000000"/>
        </w:rPr>
      </w:pPr>
      <w:r>
        <w:rPr>
          <w:rFonts w:ascii="標楷體" w:eastAsia="標楷體" w:hAnsi="標楷體"/>
          <w:color w:val="000000"/>
        </w:rPr>
        <w:t>9.6.Streptococcus pyrogene(如Picibanil)：</w:t>
      </w:r>
    </w:p>
    <w:p w14:paraId="40FE13B4" w14:textId="77777777" w:rsidR="00BD776B" w:rsidRDefault="00DF0C24">
      <w:pPr>
        <w:ind w:left="798" w:hanging="1"/>
        <w:rPr>
          <w:rFonts w:ascii="標楷體" w:eastAsia="標楷體" w:hAnsi="標楷體"/>
          <w:color w:val="000000"/>
        </w:rPr>
      </w:pPr>
      <w:r>
        <w:rPr>
          <w:rFonts w:ascii="標楷體" w:eastAsia="標楷體" w:hAnsi="標楷體"/>
          <w:color w:val="000000"/>
        </w:rPr>
        <w:t>限惡性腫瘤患者患有惡性腹水，肋膜積水或心包膜積水時使用，需檢附病歷摘要。</w:t>
      </w:r>
    </w:p>
    <w:p w14:paraId="6E46CA1D" w14:textId="77777777" w:rsidR="00BD776B" w:rsidRDefault="00DF0C24">
      <w:pPr>
        <w:ind w:left="672" w:hanging="386"/>
        <w:rPr>
          <w:rFonts w:ascii="標楷體" w:eastAsia="標楷體" w:hAnsi="標楷體"/>
          <w:color w:val="000000"/>
        </w:rPr>
      </w:pPr>
      <w:r>
        <w:rPr>
          <w:rFonts w:ascii="標楷體" w:eastAsia="標楷體" w:hAnsi="標楷體"/>
          <w:color w:val="000000"/>
        </w:rPr>
        <w:t>9.7.（刪除）（87/7/1、94/1/1、109/10/1）</w:t>
      </w:r>
    </w:p>
    <w:p w14:paraId="2CC49FB1" w14:textId="77777777" w:rsidR="00BD776B" w:rsidRDefault="00DF0C24">
      <w:pPr>
        <w:ind w:left="672" w:hanging="386"/>
      </w:pPr>
      <w:r>
        <w:rPr>
          <w:rFonts w:ascii="標楷體" w:eastAsia="標楷體" w:hAnsi="標楷體"/>
          <w:color w:val="000000"/>
        </w:rPr>
        <w:t>9.8.Toremifene（如Fareston）：（88/6/1）</w:t>
      </w:r>
    </w:p>
    <w:p w14:paraId="0E2F052C" w14:textId="77777777" w:rsidR="00BD776B" w:rsidRDefault="00DF0C24">
      <w:pPr>
        <w:ind w:left="798" w:hanging="1"/>
        <w:rPr>
          <w:rFonts w:ascii="標楷體" w:eastAsia="標楷體" w:hAnsi="標楷體"/>
          <w:color w:val="000000"/>
        </w:rPr>
      </w:pPr>
      <w:r>
        <w:rPr>
          <w:rFonts w:ascii="標楷體" w:eastAsia="標楷體" w:hAnsi="標楷體"/>
          <w:color w:val="000000"/>
        </w:rPr>
        <w:t>限用於停經後，且女性荷爾蒙接受體(estrogen receptor)為陽性之轉移性乳癌病患。</w:t>
      </w:r>
    </w:p>
    <w:p w14:paraId="3CE6217B" w14:textId="77777777" w:rsidR="00BD776B" w:rsidRDefault="00DF0C24">
      <w:pPr>
        <w:ind w:left="672" w:hanging="386"/>
      </w:pPr>
      <w:r>
        <w:rPr>
          <w:rFonts w:ascii="標楷體" w:eastAsia="標楷體" w:hAnsi="標楷體"/>
          <w:color w:val="000000"/>
        </w:rPr>
        <w:t>9.9.Vinorelbine：(91/1/1、95/6/1、96/9/1、101/3/1</w:t>
      </w:r>
      <w:r>
        <w:rPr>
          <w:rFonts w:ascii="新細明體" w:hAnsi="新細明體"/>
          <w:kern w:val="0"/>
          <w:szCs w:val="24"/>
        </w:rPr>
        <w:t>、</w:t>
      </w:r>
      <w:r>
        <w:rPr>
          <w:rFonts w:ascii="標楷體" w:eastAsia="標楷體" w:hAnsi="標楷體"/>
          <w:kern w:val="0"/>
          <w:szCs w:val="24"/>
        </w:rPr>
        <w:t>106/11/1</w:t>
      </w:r>
      <w:r>
        <w:rPr>
          <w:rFonts w:ascii="標楷體" w:eastAsia="標楷體" w:hAnsi="標楷體"/>
          <w:color w:val="000000"/>
        </w:rPr>
        <w:t>)</w:t>
      </w:r>
    </w:p>
    <w:p w14:paraId="639F43DF"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w:t>
      </w:r>
    </w:p>
    <w:p w14:paraId="6FFBBA32" w14:textId="77777777" w:rsidR="00BD776B" w:rsidRDefault="00DF0C24">
      <w:pPr>
        <w:ind w:left="1049" w:hanging="341"/>
        <w:rPr>
          <w:rFonts w:ascii="標楷體" w:eastAsia="標楷體" w:hAnsi="標楷體"/>
          <w:color w:val="000000"/>
        </w:rPr>
      </w:pPr>
      <w:r>
        <w:rPr>
          <w:rFonts w:ascii="標楷體" w:eastAsia="標楷體" w:hAnsi="標楷體"/>
          <w:color w:val="000000"/>
        </w:rPr>
        <w:t>(1)晚期或無法手術切除之非小細胞肺癌及轉移性乳癌病患。</w:t>
      </w:r>
    </w:p>
    <w:p w14:paraId="2722F77E" w14:textId="77777777" w:rsidR="00BD776B" w:rsidRDefault="00DF0C24">
      <w:pPr>
        <w:ind w:left="1049" w:hanging="341"/>
      </w:pPr>
      <w:r>
        <w:rPr>
          <w:rFonts w:ascii="標楷體" w:eastAsia="標楷體" w:hAnsi="標楷體"/>
          <w:color w:val="000000"/>
        </w:rPr>
        <w:t>(2)病理分期第二期及第三期前半(stageII &amp; stageIIIA)非小細胞肺癌於接受根治性手術後與鉑金類藥品併用之輔助治療，</w:t>
      </w:r>
      <w:r>
        <w:rPr>
          <w:rFonts w:ascii="標楷體" w:eastAsia="標楷體" w:hAnsi="標楷體"/>
          <w:kern w:val="0"/>
          <w:szCs w:val="24"/>
        </w:rPr>
        <w:t>最多可使用4療程(106/11/1)。</w:t>
      </w:r>
    </w:p>
    <w:p w14:paraId="037D62D6" w14:textId="77777777" w:rsidR="00BD776B" w:rsidRDefault="00DF0C24">
      <w:pPr>
        <w:ind w:left="811" w:hanging="245"/>
        <w:rPr>
          <w:rFonts w:ascii="標楷體" w:eastAsia="標楷體" w:hAnsi="標楷體"/>
          <w:color w:val="000000"/>
        </w:rPr>
      </w:pPr>
      <w:r>
        <w:rPr>
          <w:rFonts w:ascii="標楷體" w:eastAsia="標楷體" w:hAnsi="標楷體"/>
          <w:color w:val="000000"/>
        </w:rPr>
        <w:t>2.本成分之口服劑型與注射劑型不得併用。</w:t>
      </w:r>
    </w:p>
    <w:p w14:paraId="7C4558D8" w14:textId="54021B29" w:rsidR="00BD776B" w:rsidRDefault="00DF0C24">
      <w:pPr>
        <w:ind w:left="425" w:hanging="245"/>
        <w:rPr>
          <w:rFonts w:ascii="標楷體" w:eastAsia="標楷體" w:hAnsi="標楷體"/>
          <w:color w:val="000000"/>
        </w:rPr>
      </w:pPr>
      <w:bookmarkStart w:id="20" w:name="_Hlk75364262"/>
      <w:r>
        <w:rPr>
          <w:rFonts w:ascii="標楷體" w:eastAsia="標楷體" w:hAnsi="標楷體"/>
          <w:color w:val="000000"/>
        </w:rPr>
        <w:t>9.10.Oxaliplatin：（需符合藥品許可證登載之適應症）（89/7/1、91/10/1、93/8/1、98/2/1、98/3/1、98/7/1、102/9/1、102/12/1、109/12/1、110/5/1、110/6/1、110/7/1、111/11/1、113/4/1</w:t>
      </w:r>
      <w:r w:rsidR="00A96C86">
        <w:rPr>
          <w:rFonts w:ascii="標楷體" w:eastAsia="標楷體" w:hAnsi="標楷體" w:hint="eastAsia"/>
          <w:color w:val="000000"/>
        </w:rPr>
        <w:t>、113/6/1</w:t>
      </w:r>
      <w:r>
        <w:rPr>
          <w:rFonts w:ascii="標楷體" w:eastAsia="標楷體" w:hAnsi="標楷體"/>
          <w:color w:val="000000"/>
        </w:rPr>
        <w:t>)</w:t>
      </w:r>
    </w:p>
    <w:p w14:paraId="0B6E6403" w14:textId="77777777" w:rsidR="00BD776B" w:rsidRDefault="00DF0C24">
      <w:pPr>
        <w:ind w:left="850" w:hanging="245"/>
        <w:rPr>
          <w:rFonts w:ascii="標楷體" w:eastAsia="標楷體" w:hAnsi="標楷體"/>
          <w:color w:val="000000"/>
        </w:rPr>
      </w:pPr>
      <w:r>
        <w:rPr>
          <w:rFonts w:ascii="標楷體" w:eastAsia="標楷體" w:hAnsi="標楷體"/>
          <w:color w:val="000000"/>
        </w:rPr>
        <w:t>1.和5-FU和folinic acid併用</w:t>
      </w:r>
    </w:p>
    <w:p w14:paraId="24FF7F37" w14:textId="77777777" w:rsidR="00BD776B" w:rsidRDefault="00DF0C24">
      <w:pPr>
        <w:ind w:left="1275" w:hanging="245"/>
        <w:rPr>
          <w:rFonts w:ascii="標楷體" w:eastAsia="標楷體" w:hAnsi="標楷體"/>
          <w:color w:val="000000"/>
        </w:rPr>
      </w:pPr>
      <w:r>
        <w:rPr>
          <w:rFonts w:ascii="標楷體" w:eastAsia="標楷體" w:hAnsi="標楷體"/>
          <w:color w:val="000000"/>
        </w:rPr>
        <w:t>(1)治療轉移性結腸直腸癌，惟若再加用irinotecan (如Campto)則不予給付。(91/10/1)</w:t>
      </w:r>
    </w:p>
    <w:p w14:paraId="78C01654" w14:textId="77777777" w:rsidR="00BD776B" w:rsidRDefault="00DF0C24">
      <w:pPr>
        <w:ind w:left="1275" w:hanging="245"/>
        <w:rPr>
          <w:rFonts w:ascii="標楷體" w:eastAsia="標楷體" w:hAnsi="標楷體"/>
          <w:color w:val="000000"/>
        </w:rPr>
      </w:pPr>
      <w:r>
        <w:rPr>
          <w:rFonts w:ascii="標楷體" w:eastAsia="標楷體" w:hAnsi="標楷體"/>
          <w:color w:val="000000"/>
        </w:rPr>
        <w:t>(2)作為第三期結腸癌(Duke`s C) 原發腫瘤完全切除手術後的輔助療法。(98/2/1)</w:t>
      </w:r>
    </w:p>
    <w:p w14:paraId="7C257AF0" w14:textId="77777777" w:rsidR="00BD776B" w:rsidRDefault="00DF0C24">
      <w:pPr>
        <w:ind w:left="811" w:hanging="245"/>
        <w:rPr>
          <w:rFonts w:ascii="標楷體" w:eastAsia="標楷體" w:hAnsi="標楷體"/>
          <w:color w:val="000000"/>
        </w:rPr>
      </w:pPr>
      <w:r>
        <w:rPr>
          <w:rFonts w:ascii="標楷體" w:eastAsia="標楷體" w:hAnsi="標楷體"/>
          <w:color w:val="000000"/>
        </w:rPr>
        <w:t>2.與fluoropyrimidine類藥物(如capecitabine、5-FU、UFUR，但不包含TS-1)併用，可用於局部晚期及復發/轉移性胃癌之治療。(須依藥品許可證登載之適應症使用)。(98/2/1、98/3/1、98/7/1、102/9/1、102/12/1、109/12/1）</w:t>
      </w:r>
    </w:p>
    <w:p w14:paraId="44EA5514" w14:textId="77777777" w:rsidR="00BD776B" w:rsidRDefault="00DF0C24">
      <w:pPr>
        <w:ind w:left="851" w:hanging="244"/>
        <w:rPr>
          <w:rFonts w:ascii="標楷體" w:eastAsia="標楷體" w:hAnsi="標楷體"/>
          <w:color w:val="000000"/>
        </w:rPr>
      </w:pPr>
      <w:r>
        <w:rPr>
          <w:rFonts w:ascii="標楷體" w:eastAsia="標楷體" w:hAnsi="標楷體"/>
          <w:color w:val="000000"/>
        </w:rPr>
        <w:t>3.與5-fluorouracil、leucovorin及irinotecan併用(FOLFIRINOX)，作為轉移性胰臟癌之第一線治療。(110/5/1、110/6/1、110/7/1、111/11/1)</w:t>
      </w:r>
    </w:p>
    <w:p w14:paraId="6CCEBEE6" w14:textId="07CD400C" w:rsidR="00BD776B" w:rsidRDefault="00DF0C24">
      <w:pPr>
        <w:ind w:left="851" w:hanging="244"/>
      </w:pPr>
      <w:r>
        <w:rPr>
          <w:rFonts w:ascii="標楷體" w:eastAsia="標楷體" w:hAnsi="標楷體" w:cs="標楷體.鬁..."/>
          <w:color w:val="000000"/>
          <w:kern w:val="0"/>
          <w:szCs w:val="24"/>
        </w:rPr>
        <w:t>4.與</w:t>
      </w:r>
      <w:r>
        <w:rPr>
          <w:rFonts w:ascii="標楷體" w:eastAsia="標楷體" w:hAnsi="標楷體" w:cs="標楷體.鬁..."/>
          <w:kern w:val="0"/>
          <w:szCs w:val="24"/>
        </w:rPr>
        <w:t>nivolumab 120mg</w:t>
      </w:r>
      <w:r w:rsidR="00F97D91" w:rsidRPr="00F97D91">
        <w:rPr>
          <w:rFonts w:ascii="標楷體" w:eastAsia="標楷體" w:hAnsi="標楷體" w:cs="標楷體.鬁..." w:hint="eastAsia"/>
          <w:kern w:val="0"/>
          <w:szCs w:val="24"/>
        </w:rPr>
        <w:t>規格量品項</w:t>
      </w:r>
      <w:r>
        <w:rPr>
          <w:rFonts w:ascii="標楷體" w:eastAsia="標楷體" w:hAnsi="標楷體" w:cs="標楷體.鬁..."/>
          <w:kern w:val="0"/>
          <w:szCs w:val="24"/>
        </w:rPr>
        <w:t>及fluoropyrimidine（5-FU或capecitabine）併用於第一線治療晚期或轉移性且不具有HER2過度表現的胃癌病人</w:t>
      </w:r>
      <w:r>
        <w:rPr>
          <w:rFonts w:ascii="標楷體" w:eastAsia="標楷體" w:hAnsi="標楷體" w:cs="標楷體.鬁..."/>
          <w:color w:val="000000"/>
          <w:kern w:val="0"/>
          <w:szCs w:val="24"/>
        </w:rPr>
        <w:t>，病人需符合免疫檢查點抑制劑之藥品給付規定。(113/4/1</w:t>
      </w:r>
      <w:r w:rsidR="00F97D91">
        <w:rPr>
          <w:rFonts w:ascii="標楷體" w:eastAsia="標楷體" w:hAnsi="標楷體" w:cs="標楷體.鬁..." w:hint="eastAsia"/>
          <w:color w:val="000000"/>
          <w:kern w:val="0"/>
          <w:szCs w:val="24"/>
        </w:rPr>
        <w:t>、113/6/1</w:t>
      </w:r>
      <w:r>
        <w:rPr>
          <w:rFonts w:ascii="標楷體" w:eastAsia="標楷體" w:hAnsi="標楷體" w:cs="標楷體.鬁..."/>
          <w:color w:val="000000"/>
          <w:kern w:val="0"/>
          <w:szCs w:val="24"/>
        </w:rPr>
        <w:t>)</w:t>
      </w:r>
    </w:p>
    <w:bookmarkEnd w:id="20"/>
    <w:p w14:paraId="527E6734" w14:textId="77777777" w:rsidR="00BD776B" w:rsidRDefault="00DF0C24">
      <w:pPr>
        <w:ind w:left="672" w:hanging="386"/>
        <w:rPr>
          <w:rFonts w:ascii="標楷體" w:eastAsia="標楷體" w:hAnsi="標楷體"/>
          <w:color w:val="000000"/>
        </w:rPr>
      </w:pPr>
      <w:r>
        <w:rPr>
          <w:rFonts w:ascii="標楷體" w:eastAsia="標楷體" w:hAnsi="標楷體"/>
          <w:color w:val="000000"/>
        </w:rPr>
        <w:t>9.11.Uracil-Tegafur：(如Ufur)(100/1/1)</w:t>
      </w:r>
    </w:p>
    <w:p w14:paraId="564A1439" w14:textId="77777777" w:rsidR="00BD776B" w:rsidRDefault="00DF0C24">
      <w:pPr>
        <w:ind w:left="811" w:hanging="245"/>
        <w:rPr>
          <w:rFonts w:ascii="標楷體" w:eastAsia="標楷體" w:hAnsi="標楷體"/>
          <w:color w:val="000000"/>
        </w:rPr>
      </w:pPr>
      <w:r>
        <w:rPr>
          <w:rFonts w:ascii="標楷體" w:eastAsia="標楷體" w:hAnsi="標楷體"/>
          <w:color w:val="000000"/>
        </w:rPr>
        <w:t>1.限轉移性胃癌、轉移性直腸癌、轉移性結腸癌、轉移性乳癌之病患使用（89/10/1、97/12/1）。</w:t>
      </w:r>
    </w:p>
    <w:p w14:paraId="72F6C2D8" w14:textId="77777777" w:rsidR="00BD776B" w:rsidRDefault="00DF0C24">
      <w:pPr>
        <w:ind w:left="811" w:hanging="245"/>
        <w:rPr>
          <w:rFonts w:ascii="標楷體" w:eastAsia="標楷體" w:hAnsi="標楷體"/>
          <w:color w:val="000000"/>
        </w:rPr>
      </w:pPr>
      <w:r>
        <w:rPr>
          <w:rFonts w:ascii="標楷體" w:eastAsia="標楷體" w:hAnsi="標楷體"/>
          <w:color w:val="000000"/>
        </w:rPr>
        <w:t>2.頭頸部鱗狀上皮癌(93/4/1、98/3/1、99/10/1)。</w:t>
      </w:r>
    </w:p>
    <w:p w14:paraId="7F9DC722" w14:textId="77777777" w:rsidR="00BD776B" w:rsidRDefault="00DF0C24">
      <w:pPr>
        <w:ind w:left="811" w:hanging="245"/>
        <w:rPr>
          <w:rFonts w:ascii="標楷體" w:eastAsia="標楷體" w:hAnsi="標楷體"/>
          <w:color w:val="000000"/>
        </w:rPr>
      </w:pPr>
      <w:r>
        <w:rPr>
          <w:rFonts w:ascii="標楷體" w:eastAsia="標楷體" w:hAnsi="標楷體"/>
          <w:color w:val="000000"/>
        </w:rPr>
        <w:t>3.與cisplatin併用治療轉移及末期肺癌。</w:t>
      </w:r>
    </w:p>
    <w:p w14:paraId="62ED6E7E"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4.直腸癌、結腸癌第Ⅱ、Ⅲ期患者之術後輔助性治療，且使用期限不得超過2年(94/10/1、97/12/1)</w:t>
      </w:r>
    </w:p>
    <w:p w14:paraId="49B4BD73" w14:textId="77777777" w:rsidR="00BD776B" w:rsidRDefault="00DF0C24">
      <w:pPr>
        <w:ind w:left="811" w:hanging="245"/>
        <w:rPr>
          <w:rFonts w:ascii="標楷體" w:eastAsia="標楷體" w:hAnsi="標楷體"/>
          <w:color w:val="000000"/>
        </w:rPr>
      </w:pPr>
      <w:r>
        <w:rPr>
          <w:rFonts w:ascii="標楷體" w:eastAsia="標楷體" w:hAnsi="標楷體"/>
          <w:color w:val="000000"/>
        </w:rPr>
        <w:t>5.用於病理分期為T2且腫瘤≧3cm之肺腺癌病人，作為手術後輔助治療，使用期限以二年為限。(100/1/1)</w:t>
      </w:r>
    </w:p>
    <w:p w14:paraId="35D4D146" w14:textId="77777777" w:rsidR="00BD776B" w:rsidRDefault="00DF0C24">
      <w:pPr>
        <w:ind w:left="567" w:hanging="245"/>
        <w:rPr>
          <w:rFonts w:ascii="標楷體" w:eastAsia="標楷體" w:hAnsi="標楷體"/>
          <w:color w:val="000000"/>
        </w:rPr>
      </w:pPr>
      <w:r>
        <w:rPr>
          <w:rFonts w:ascii="標楷體" w:eastAsia="標楷體" w:hAnsi="標楷體"/>
          <w:color w:val="000000"/>
        </w:rPr>
        <w:t>9.12.Irinotecan(90/10/1、107/8/1、110/5/1、110/7/1、110/8/1、112/2/1)</w:t>
      </w:r>
    </w:p>
    <w:p w14:paraId="406D44DE" w14:textId="77777777" w:rsidR="00BD776B" w:rsidRDefault="00DF0C24">
      <w:pPr>
        <w:ind w:left="567" w:hanging="245"/>
      </w:pPr>
      <w:r>
        <w:rPr>
          <w:rFonts w:ascii="標楷體" w:eastAsia="標楷體" w:hAnsi="標楷體"/>
          <w:color w:val="000000"/>
        </w:rPr>
        <w:t>9.12.1.Irinotecan(如Campto injection)：（需符合藥品許可證登載之適應症）(90/10/1、93/8/1、110/5/1、110/7/1、110/8/1、112/2/1)</w:t>
      </w:r>
    </w:p>
    <w:p w14:paraId="3AF7DBB4" w14:textId="77777777" w:rsidR="00BD776B" w:rsidRDefault="00DF0C24">
      <w:pPr>
        <w:ind w:left="238" w:hanging="245"/>
        <w:rPr>
          <w:rFonts w:ascii="標楷體" w:eastAsia="標楷體" w:hAnsi="標楷體"/>
          <w:color w:val="000000"/>
        </w:rPr>
      </w:pPr>
      <w:r>
        <w:rPr>
          <w:rFonts w:ascii="標楷體" w:eastAsia="標楷體" w:hAnsi="標楷體"/>
          <w:color w:val="000000"/>
        </w:rPr>
        <w:t>     1.限轉移性大腸直腸癌之第一線治療藥物:</w:t>
      </w:r>
    </w:p>
    <w:p w14:paraId="51B4672D" w14:textId="77777777" w:rsidR="00BD776B" w:rsidRDefault="00DF0C24">
      <w:pPr>
        <w:ind w:left="851" w:hanging="245"/>
      </w:pPr>
      <w:r>
        <w:rPr>
          <w:rFonts w:ascii="標楷體" w:eastAsia="標楷體" w:hAnsi="標楷體"/>
          <w:color w:val="000000"/>
        </w:rPr>
        <w:t>(1)與5-FU及</w:t>
      </w:r>
      <w:r>
        <w:rPr>
          <w:rFonts w:ascii="標楷體" w:eastAsia="標楷體" w:hAnsi="標楷體"/>
        </w:rPr>
        <w:t>folinic acid合併，使</w:t>
      </w:r>
      <w:r>
        <w:rPr>
          <w:rFonts w:ascii="標楷體" w:eastAsia="標楷體" w:hAnsi="標楷體"/>
          <w:color w:val="000000"/>
        </w:rPr>
        <w:t>用於未曾接受過化學治療之患者。</w:t>
      </w:r>
    </w:p>
    <w:p w14:paraId="10E6FA93" w14:textId="77777777" w:rsidR="00BD776B" w:rsidRDefault="00DF0C24">
      <w:pPr>
        <w:ind w:left="851" w:hanging="245"/>
        <w:rPr>
          <w:rFonts w:ascii="標楷體" w:eastAsia="標楷體" w:hAnsi="標楷體"/>
          <w:color w:val="000000"/>
        </w:rPr>
      </w:pPr>
      <w:r>
        <w:rPr>
          <w:rFonts w:ascii="標楷體" w:eastAsia="標楷體" w:hAnsi="標楷體"/>
          <w:color w:val="000000"/>
        </w:rPr>
        <w:t>(2)單獨使用於曾接受5-FU療程治療無效之患者。</w:t>
      </w:r>
    </w:p>
    <w:p w14:paraId="082788FC" w14:textId="77777777" w:rsidR="00BD776B" w:rsidRDefault="00DF0C24">
      <w:pPr>
        <w:ind w:left="812" w:hanging="245"/>
        <w:rPr>
          <w:rFonts w:ascii="標楷體" w:eastAsia="標楷體" w:hAnsi="標楷體"/>
          <w:color w:val="000000"/>
        </w:rPr>
      </w:pPr>
      <w:r>
        <w:rPr>
          <w:rFonts w:ascii="標楷體" w:eastAsia="標楷體" w:hAnsi="標楷體"/>
          <w:color w:val="000000"/>
        </w:rPr>
        <w:t>2.與5-fluorouracil、leucovorin及oxaliplatin併用(FOLFIRINOX)，做為轉移性胰臟癌之第一線治療(限用Irino、Irinotel、Campto、Irinotecan Injection Concentrate、Irican、Innocan、Irinotecan Injection)。(110/5/1、110/7/1、110/8/1、112/2/1)</w:t>
      </w:r>
    </w:p>
    <w:p w14:paraId="6FBEEC22" w14:textId="77777777" w:rsidR="00BD776B" w:rsidRDefault="00DF0C24">
      <w:pPr>
        <w:ind w:left="567" w:hanging="245"/>
        <w:rPr>
          <w:rFonts w:ascii="標楷體" w:eastAsia="標楷體" w:hAnsi="標楷體"/>
          <w:color w:val="000000"/>
        </w:rPr>
      </w:pPr>
      <w:r>
        <w:rPr>
          <w:rFonts w:ascii="標楷體" w:eastAsia="標楷體" w:hAnsi="標楷體"/>
          <w:color w:val="000000"/>
        </w:rPr>
        <w:t>9.12.2.Irinotecan微脂體注射劑(如Onivyde)：(107/8/1)</w:t>
      </w:r>
    </w:p>
    <w:p w14:paraId="0A75C439" w14:textId="77777777" w:rsidR="00BD776B" w:rsidRDefault="00DF0C24">
      <w:pPr>
        <w:ind w:left="851" w:hanging="245"/>
        <w:rPr>
          <w:rFonts w:ascii="標楷體" w:eastAsia="標楷體" w:hAnsi="標楷體"/>
          <w:color w:val="000000"/>
        </w:rPr>
      </w:pPr>
      <w:r>
        <w:rPr>
          <w:rFonts w:ascii="標楷體" w:eastAsia="標楷體" w:hAnsi="標楷體"/>
          <w:color w:val="000000"/>
        </w:rPr>
        <w:t>1.與5-FU及leucovorin合併使用於曾接受過gemcitabine治療後復發或惡化之轉移性胰腺癌。</w:t>
      </w:r>
    </w:p>
    <w:p w14:paraId="62F57986" w14:textId="77777777" w:rsidR="00BD776B" w:rsidRDefault="00DF0C24">
      <w:pPr>
        <w:ind w:left="991" w:hanging="386"/>
        <w:rPr>
          <w:rFonts w:ascii="標楷體" w:eastAsia="標楷體" w:hAnsi="標楷體"/>
          <w:color w:val="000000"/>
        </w:rPr>
      </w:pPr>
      <w:r>
        <w:rPr>
          <w:rFonts w:ascii="標楷體" w:eastAsia="標楷體" w:hAnsi="標楷體"/>
          <w:color w:val="000000"/>
        </w:rPr>
        <w:t>2.需經事前審查核准後使用。</w:t>
      </w:r>
    </w:p>
    <w:p w14:paraId="7E43FA12" w14:textId="77777777" w:rsidR="00BD776B" w:rsidRDefault="00DF0C24">
      <w:pPr>
        <w:ind w:left="708" w:hanging="386"/>
        <w:rPr>
          <w:rFonts w:ascii="標楷體" w:eastAsia="標楷體" w:hAnsi="標楷體"/>
          <w:color w:val="000000"/>
        </w:rPr>
      </w:pPr>
      <w:r>
        <w:rPr>
          <w:rFonts w:ascii="標楷體" w:eastAsia="標楷體" w:hAnsi="標楷體"/>
          <w:color w:val="000000"/>
        </w:rPr>
        <w:t>9.13.Aldesleukin(如Proleukin for Injection)：(90/10/1、93/8/1)</w:t>
      </w:r>
    </w:p>
    <w:p w14:paraId="10DD7010" w14:textId="77777777" w:rsidR="00BD776B" w:rsidRDefault="00DF0C24">
      <w:pPr>
        <w:ind w:left="798" w:hanging="1"/>
        <w:rPr>
          <w:rFonts w:ascii="標楷體" w:eastAsia="標楷體" w:hAnsi="標楷體"/>
          <w:color w:val="000000"/>
        </w:rPr>
      </w:pPr>
      <w:r>
        <w:rPr>
          <w:rFonts w:ascii="標楷體" w:eastAsia="標楷體" w:hAnsi="標楷體"/>
          <w:color w:val="000000"/>
        </w:rPr>
        <w:t>限轉移性腎細胞癌及惡性黑色素癌病患使用。</w:t>
      </w:r>
    </w:p>
    <w:p w14:paraId="1A20E277" w14:textId="77777777" w:rsidR="00BD776B" w:rsidRDefault="00DF0C24">
      <w:pPr>
        <w:ind w:left="672" w:hanging="386"/>
        <w:rPr>
          <w:rFonts w:ascii="標楷體" w:eastAsia="標楷體" w:hAnsi="標楷體"/>
          <w:color w:val="000000"/>
        </w:rPr>
      </w:pPr>
      <w:r>
        <w:rPr>
          <w:rFonts w:ascii="標楷體" w:eastAsia="標楷體" w:hAnsi="標楷體"/>
          <w:color w:val="000000"/>
        </w:rPr>
        <w:t>9.14.Doxorubicin hydrochloride liposome injection(如Lipo-Dox、Caelyx)：(91/3/1、93/8/1、93/11/1、99/10/1)</w:t>
      </w:r>
    </w:p>
    <w:p w14:paraId="7A9CC219" w14:textId="77777777" w:rsidR="00BD776B" w:rsidRDefault="00DF0C24">
      <w:pPr>
        <w:ind w:left="798" w:hanging="1"/>
        <w:rPr>
          <w:rFonts w:ascii="標楷體" w:eastAsia="標楷體" w:hAnsi="標楷體"/>
          <w:color w:val="000000"/>
        </w:rPr>
      </w:pPr>
      <w:r>
        <w:rPr>
          <w:rFonts w:ascii="標楷體" w:eastAsia="標楷體" w:hAnsi="標楷體"/>
          <w:color w:val="000000"/>
        </w:rPr>
        <w:t>限用於下列適應症:(99/10/1)</w:t>
      </w:r>
    </w:p>
    <w:p w14:paraId="6ACF353C" w14:textId="77777777" w:rsidR="00BD776B" w:rsidRDefault="00DF0C24">
      <w:pPr>
        <w:ind w:left="811" w:hanging="245"/>
        <w:rPr>
          <w:rFonts w:ascii="標楷體" w:eastAsia="標楷體" w:hAnsi="標楷體"/>
          <w:color w:val="000000"/>
        </w:rPr>
      </w:pPr>
      <w:r>
        <w:rPr>
          <w:rFonts w:ascii="標楷體" w:eastAsia="標楷體" w:hAnsi="標楷體"/>
          <w:color w:val="000000"/>
        </w:rPr>
        <w:t>1.用於治療曾接受第一線含platinum及paclitaxel化學治療而失敗者或再復發之進行性或轉移性卵巢癌病人。(91/3/1)</w:t>
      </w:r>
    </w:p>
    <w:p w14:paraId="2A3A3E40" w14:textId="77777777" w:rsidR="00BD776B" w:rsidRDefault="00DF0C24">
      <w:pPr>
        <w:ind w:left="811" w:hanging="245"/>
      </w:pPr>
      <w:r>
        <w:rPr>
          <w:rFonts w:ascii="標楷體" w:eastAsia="標楷體" w:hAnsi="標楷體"/>
          <w:color w:val="000000"/>
        </w:rPr>
        <w:t>2.用於治療CD4數量低下（&lt;200 CD4 lymphocyte/mm</w:t>
      </w:r>
      <w:r>
        <w:rPr>
          <w:rFonts w:ascii="標楷體" w:eastAsia="標楷體" w:hAnsi="標楷體"/>
          <w:color w:val="000000"/>
          <w:vertAlign w:val="superscript"/>
        </w:rPr>
        <w:t>3</w:t>
      </w:r>
      <w:r>
        <w:rPr>
          <w:rFonts w:ascii="標楷體" w:eastAsia="標楷體" w:hAnsi="標楷體"/>
          <w:color w:val="000000"/>
        </w:rPr>
        <w:t>）和粘膜、皮膚或內臟有病變的AIDS related Kaposi’s Sarcoma的病人。(91/3/1)</w:t>
      </w:r>
    </w:p>
    <w:p w14:paraId="1772F60B" w14:textId="77777777" w:rsidR="00BD776B" w:rsidRDefault="00DF0C24">
      <w:pPr>
        <w:ind w:left="811" w:hanging="245"/>
        <w:rPr>
          <w:rFonts w:ascii="標楷體" w:eastAsia="標楷體" w:hAnsi="標楷體"/>
          <w:color w:val="000000"/>
        </w:rPr>
      </w:pPr>
      <w:r>
        <w:rPr>
          <w:rFonts w:ascii="標楷體" w:eastAsia="標楷體" w:hAnsi="標楷體"/>
          <w:color w:val="000000"/>
        </w:rPr>
        <w:t>3.用於單一治療有心臟疾病風險考量之轉移性乳癌患者。(93/11/1)</w:t>
      </w:r>
    </w:p>
    <w:p w14:paraId="3055C0D7" w14:textId="77777777" w:rsidR="00BD776B" w:rsidRDefault="00DF0C24">
      <w:pPr>
        <w:ind w:left="672" w:hanging="386"/>
        <w:rPr>
          <w:rFonts w:ascii="標楷體" w:eastAsia="標楷體" w:hAnsi="標楷體"/>
          <w:color w:val="000000"/>
        </w:rPr>
      </w:pPr>
      <w:r>
        <w:rPr>
          <w:rFonts w:ascii="標楷體" w:eastAsia="標楷體" w:hAnsi="標楷體"/>
          <w:color w:val="000000"/>
        </w:rPr>
        <w:t>9.15.Tretinoin（如Vesanoid Soft Gelatin）：（88/10/1）</w:t>
      </w:r>
    </w:p>
    <w:p w14:paraId="64D3BE76" w14:textId="77777777" w:rsidR="00BD776B" w:rsidRDefault="00DF0C24">
      <w:pPr>
        <w:ind w:left="798" w:hanging="1"/>
        <w:rPr>
          <w:rFonts w:ascii="標楷體" w:eastAsia="標楷體" w:hAnsi="標楷體"/>
          <w:color w:val="000000"/>
        </w:rPr>
      </w:pPr>
      <w:r>
        <w:rPr>
          <w:rFonts w:ascii="標楷體" w:eastAsia="標楷體" w:hAnsi="標楷體"/>
          <w:color w:val="000000"/>
        </w:rPr>
        <w:t>限急性前髓性白血病使用。</w:t>
      </w:r>
    </w:p>
    <w:p w14:paraId="2A3EA436" w14:textId="77777777" w:rsidR="00BD776B" w:rsidRDefault="00DF0C24">
      <w:pPr>
        <w:ind w:left="672" w:hanging="386"/>
        <w:rPr>
          <w:rFonts w:ascii="標楷體" w:eastAsia="標楷體" w:hAnsi="標楷體"/>
          <w:color w:val="000000"/>
        </w:rPr>
      </w:pPr>
      <w:r>
        <w:rPr>
          <w:rFonts w:ascii="標楷體" w:eastAsia="標楷體" w:hAnsi="標楷體"/>
          <w:color w:val="000000"/>
        </w:rPr>
        <w:t>9.16.Topotecan（如Hycamtin）：（88/10/1、93/8/1、98/11/1、100/6/1）</w:t>
      </w:r>
    </w:p>
    <w:p w14:paraId="402E824F" w14:textId="77777777" w:rsidR="00BD776B" w:rsidRDefault="00DF0C24">
      <w:pPr>
        <w:ind w:left="672" w:hanging="386"/>
        <w:rPr>
          <w:rFonts w:ascii="標楷體" w:eastAsia="標楷體" w:hAnsi="標楷體"/>
          <w:color w:val="000000"/>
        </w:rPr>
      </w:pPr>
      <w:r>
        <w:rPr>
          <w:rFonts w:ascii="標楷體" w:eastAsia="標楷體" w:hAnsi="標楷體"/>
          <w:color w:val="000000"/>
        </w:rPr>
        <w:t>9.16.1.Topotecan注射劑（88/10/1、93/8/1、98/11/1）</w:t>
      </w:r>
    </w:p>
    <w:p w14:paraId="5349F09B" w14:textId="77777777" w:rsidR="00BD776B" w:rsidRDefault="00DF0C24">
      <w:pPr>
        <w:ind w:left="811" w:hanging="245"/>
        <w:rPr>
          <w:rFonts w:ascii="標楷體" w:eastAsia="標楷體" w:hAnsi="標楷體"/>
          <w:color w:val="000000"/>
        </w:rPr>
      </w:pPr>
      <w:r>
        <w:rPr>
          <w:rFonts w:ascii="標楷體" w:eastAsia="標楷體" w:hAnsi="標楷體"/>
          <w:color w:val="000000"/>
        </w:rPr>
        <w:t>1.限卵巢癌及小細胞肺癌之第二線化學治療（第一線治療應包括白金化合物）。</w:t>
      </w:r>
    </w:p>
    <w:p w14:paraId="56A05754" w14:textId="77777777" w:rsidR="00BD776B" w:rsidRDefault="00DF0C24">
      <w:pPr>
        <w:ind w:left="811" w:hanging="245"/>
        <w:rPr>
          <w:rFonts w:ascii="標楷體" w:eastAsia="標楷體" w:hAnsi="標楷體"/>
          <w:color w:val="000000"/>
        </w:rPr>
      </w:pPr>
      <w:r>
        <w:rPr>
          <w:rFonts w:ascii="標楷體" w:eastAsia="標楷體" w:hAnsi="標楷體"/>
          <w:color w:val="000000"/>
        </w:rPr>
        <w:t>2.與cisplatin併用適用於治療經組織學檢查確定患有第IV-B期復發性或持續性子宮頸癌，且不適合以外科手術及（或）放射療法進行治療的患者。（98/11/1）</w:t>
      </w:r>
    </w:p>
    <w:p w14:paraId="6043165E" w14:textId="77777777" w:rsidR="00BD776B" w:rsidRDefault="00DF0C24">
      <w:pPr>
        <w:ind w:left="672" w:hanging="386"/>
        <w:rPr>
          <w:rFonts w:ascii="標楷體" w:eastAsia="標楷體" w:hAnsi="標楷體"/>
          <w:color w:val="000000"/>
        </w:rPr>
      </w:pPr>
      <w:r>
        <w:rPr>
          <w:rFonts w:ascii="標楷體" w:eastAsia="標楷體" w:hAnsi="標楷體"/>
          <w:color w:val="000000"/>
        </w:rPr>
        <w:t>9.16.2.Topotecan口服劑型（100/6/1）</w:t>
      </w:r>
    </w:p>
    <w:p w14:paraId="08BE00B9" w14:textId="77777777" w:rsidR="00BD776B" w:rsidRDefault="00DF0C24">
      <w:pPr>
        <w:ind w:left="798" w:hanging="1"/>
        <w:rPr>
          <w:rFonts w:ascii="標楷體" w:eastAsia="標楷體" w:hAnsi="標楷體"/>
          <w:color w:val="000000"/>
        </w:rPr>
      </w:pPr>
      <w:r>
        <w:rPr>
          <w:rFonts w:ascii="標楷體" w:eastAsia="標楷體" w:hAnsi="標楷體"/>
          <w:color w:val="000000"/>
        </w:rPr>
        <w:t>限用於小細胞肺癌之第二線化學治療（第一線治療應包括白金化合物）。</w:t>
      </w:r>
    </w:p>
    <w:p w14:paraId="7C2E743F" w14:textId="202580F8" w:rsidR="00BD776B" w:rsidRDefault="00DF0C24">
      <w:pPr>
        <w:ind w:left="567" w:hanging="283"/>
        <w:rPr>
          <w:rFonts w:ascii="標楷體" w:eastAsia="標楷體" w:hAnsi="標楷體"/>
          <w:color w:val="000000"/>
        </w:rPr>
      </w:pPr>
      <w:r>
        <w:rPr>
          <w:rFonts w:ascii="標楷體" w:eastAsia="標楷體" w:hAnsi="標楷體"/>
          <w:color w:val="000000"/>
        </w:rPr>
        <w:t>9.17.Capecitabine（如Xeloda）：（88/10/1、91/4/1、92/6/1、93/8/1、96/9/1、97/12/1、110/2/1、113/4/1</w:t>
      </w:r>
      <w:r w:rsidR="00B437A0">
        <w:rPr>
          <w:rFonts w:ascii="標楷體" w:eastAsia="標楷體" w:hAnsi="標楷體" w:hint="eastAsia"/>
          <w:color w:val="000000"/>
        </w:rPr>
        <w:t>、113/6/1</w:t>
      </w:r>
      <w:r>
        <w:rPr>
          <w:rFonts w:ascii="標楷體" w:eastAsia="標楷體" w:hAnsi="標楷體"/>
          <w:color w:val="000000"/>
        </w:rPr>
        <w:t>）</w:t>
      </w:r>
    </w:p>
    <w:p w14:paraId="1D2E9A30" w14:textId="77777777" w:rsidR="00BD776B" w:rsidRDefault="00DF0C24">
      <w:pPr>
        <w:ind w:left="811" w:hanging="245"/>
        <w:rPr>
          <w:rFonts w:ascii="標楷體" w:eastAsia="標楷體" w:hAnsi="標楷體"/>
          <w:color w:val="000000"/>
        </w:rPr>
      </w:pPr>
      <w:r>
        <w:rPr>
          <w:rFonts w:ascii="標楷體" w:eastAsia="標楷體" w:hAnsi="標楷體"/>
          <w:color w:val="000000"/>
        </w:rPr>
        <w:t>1.Capecitabine與docetaxel併用於治療對anthracycline化學治療無效之局部晚期或轉移性乳癌病患。</w:t>
      </w:r>
    </w:p>
    <w:p w14:paraId="1FDDDC4F" w14:textId="77777777" w:rsidR="00BD776B" w:rsidRDefault="00DF0C24">
      <w:pPr>
        <w:ind w:left="811" w:hanging="245"/>
        <w:rPr>
          <w:rFonts w:ascii="標楷體" w:eastAsia="標楷體" w:hAnsi="標楷體"/>
          <w:color w:val="000000"/>
        </w:rPr>
      </w:pPr>
      <w:r>
        <w:rPr>
          <w:rFonts w:ascii="標楷體" w:eastAsia="標楷體" w:hAnsi="標楷體"/>
          <w:color w:val="000000"/>
        </w:rPr>
        <w:t>2.用於局部晚期或轉移性乳癌，需符合下列條件之一：(110/2/1)</w:t>
      </w:r>
    </w:p>
    <w:p w14:paraId="1D59975F" w14:textId="77777777" w:rsidR="00BD776B" w:rsidRDefault="00DF0C24">
      <w:pPr>
        <w:ind w:left="993" w:hanging="343"/>
        <w:rPr>
          <w:rFonts w:ascii="標楷體" w:eastAsia="標楷體" w:hAnsi="標楷體"/>
          <w:color w:val="000000"/>
        </w:rPr>
      </w:pPr>
      <w:r>
        <w:rPr>
          <w:rFonts w:ascii="標楷體" w:eastAsia="標楷體" w:hAnsi="標楷體"/>
          <w:color w:val="000000"/>
        </w:rPr>
        <w:t>(1)Capecitabine單獨用於無法接受anthracycline治療者。</w:t>
      </w:r>
    </w:p>
    <w:p w14:paraId="1110D4BB" w14:textId="77777777" w:rsidR="00BD776B" w:rsidRDefault="00DF0C24">
      <w:pPr>
        <w:ind w:left="993" w:hanging="343"/>
        <w:rPr>
          <w:rFonts w:ascii="標楷體" w:eastAsia="標楷體" w:hAnsi="標楷體"/>
          <w:color w:val="000000"/>
        </w:rPr>
      </w:pPr>
      <w:r>
        <w:rPr>
          <w:rFonts w:ascii="標楷體" w:eastAsia="標楷體" w:hAnsi="標楷體"/>
          <w:color w:val="000000"/>
        </w:rPr>
        <w:lastRenderedPageBreak/>
        <w:t>(2)Capecitabine合併ixabepilone用於對taxane有抗藥性且無法接受anthracycline治療者。</w:t>
      </w:r>
    </w:p>
    <w:p w14:paraId="4DBDCCC5" w14:textId="77777777" w:rsidR="00BD776B" w:rsidRDefault="00DF0C24">
      <w:pPr>
        <w:ind w:left="993" w:hanging="343"/>
        <w:rPr>
          <w:rFonts w:ascii="標楷體" w:eastAsia="標楷體" w:hAnsi="標楷體"/>
          <w:color w:val="000000"/>
        </w:rPr>
      </w:pPr>
      <w:r>
        <w:rPr>
          <w:rFonts w:ascii="標楷體" w:eastAsia="標楷體" w:hAnsi="標楷體"/>
          <w:color w:val="000000"/>
        </w:rPr>
        <w:t>(3)Capecitabine單獨或合併ixabepilone用於對taxane及anthracycline治療無效者。</w:t>
      </w:r>
    </w:p>
    <w:p w14:paraId="05657C4F" w14:textId="77777777" w:rsidR="00BD776B" w:rsidRDefault="00DF0C24">
      <w:pPr>
        <w:ind w:left="811" w:hanging="245"/>
        <w:rPr>
          <w:rFonts w:ascii="標楷體" w:eastAsia="標楷體" w:hAnsi="標楷體"/>
          <w:color w:val="000000"/>
        </w:rPr>
      </w:pPr>
      <w:r>
        <w:rPr>
          <w:rFonts w:ascii="標楷體" w:eastAsia="標楷體" w:hAnsi="標楷體"/>
          <w:color w:val="000000"/>
        </w:rPr>
        <w:t>3.治療轉移性結腸直腸癌的第一線用藥。(92/6/1)</w:t>
      </w:r>
    </w:p>
    <w:p w14:paraId="215E94E7" w14:textId="77777777" w:rsidR="00BD776B" w:rsidRDefault="00DF0C24">
      <w:pPr>
        <w:ind w:left="811" w:hanging="245"/>
        <w:rPr>
          <w:rFonts w:ascii="標楷體" w:eastAsia="標楷體" w:hAnsi="標楷體"/>
          <w:color w:val="000000"/>
        </w:rPr>
      </w:pPr>
      <w:r>
        <w:rPr>
          <w:rFonts w:ascii="標楷體" w:eastAsia="標楷體" w:hAnsi="標楷體"/>
          <w:color w:val="000000"/>
        </w:rPr>
        <w:t>4.第三期結腸癌患者手術後的輔助性療法，以八個療程為限。（96/9/1）</w:t>
      </w:r>
    </w:p>
    <w:p w14:paraId="44833038" w14:textId="77777777" w:rsidR="00BD776B" w:rsidRDefault="00DF0C24">
      <w:pPr>
        <w:ind w:left="811" w:hanging="245"/>
        <w:rPr>
          <w:rFonts w:ascii="標楷體" w:eastAsia="標楷體" w:hAnsi="標楷體"/>
          <w:color w:val="000000"/>
        </w:rPr>
      </w:pPr>
      <w:r>
        <w:rPr>
          <w:rFonts w:ascii="標楷體" w:eastAsia="標楷體" w:hAnsi="標楷體"/>
          <w:color w:val="000000"/>
        </w:rPr>
        <w:t>5.Capecitabine合併platinum可使用於晚期胃癌之第一線治療。(97/12/1)</w:t>
      </w:r>
    </w:p>
    <w:p w14:paraId="77DDA710" w14:textId="4E4DF5D8" w:rsidR="00BD776B" w:rsidRDefault="00DF0C24">
      <w:pPr>
        <w:ind w:left="811" w:hanging="245"/>
      </w:pPr>
      <w:r>
        <w:rPr>
          <w:rFonts w:ascii="標楷體" w:eastAsia="標楷體" w:hAnsi="標楷體" w:cs="標楷體.鬁..."/>
          <w:color w:val="000000"/>
          <w:kern w:val="0"/>
          <w:szCs w:val="24"/>
        </w:rPr>
        <w:t>6.與</w:t>
      </w:r>
      <w:r>
        <w:rPr>
          <w:rFonts w:ascii="標楷體" w:eastAsia="標楷體" w:hAnsi="標楷體" w:cs="標楷體.鬁..."/>
          <w:kern w:val="0"/>
          <w:szCs w:val="24"/>
        </w:rPr>
        <w:t>nivolumab 120mg</w:t>
      </w:r>
      <w:r w:rsidR="00B437A0" w:rsidRPr="00B437A0">
        <w:rPr>
          <w:rFonts w:ascii="標楷體" w:eastAsia="標楷體" w:hAnsi="標楷體" w:cs="標楷體.鬁..." w:hint="eastAsia"/>
          <w:kern w:val="0"/>
          <w:szCs w:val="24"/>
        </w:rPr>
        <w:t>規格量品項</w:t>
      </w:r>
      <w:r>
        <w:rPr>
          <w:rFonts w:ascii="標楷體" w:eastAsia="標楷體" w:hAnsi="標楷體" w:cs="標楷體.鬁..."/>
          <w:color w:val="000000"/>
          <w:kern w:val="0"/>
          <w:szCs w:val="24"/>
        </w:rPr>
        <w:t>及oxaliplatin</w:t>
      </w:r>
      <w:r>
        <w:rPr>
          <w:rFonts w:ascii="標楷體" w:eastAsia="標楷體" w:hAnsi="標楷體" w:cs="標楷體.鬁..."/>
          <w:kern w:val="0"/>
          <w:szCs w:val="24"/>
        </w:rPr>
        <w:t>併用於第一線治療晚期或轉移性且不具有HER2過度表現的胃癌病人</w:t>
      </w:r>
      <w:r>
        <w:rPr>
          <w:rFonts w:ascii="標楷體" w:eastAsia="標楷體" w:hAnsi="標楷體" w:cs="標楷體.鬁..."/>
          <w:color w:val="000000"/>
          <w:kern w:val="0"/>
          <w:szCs w:val="24"/>
        </w:rPr>
        <w:t>，病人需符合免疫檢查點抑制劑之藥品給付規定。(113/4/1</w:t>
      </w:r>
      <w:r w:rsidR="00B437A0">
        <w:rPr>
          <w:rFonts w:ascii="標楷體" w:eastAsia="標楷體" w:hAnsi="標楷體" w:cs="標楷體.鬁..." w:hint="eastAsia"/>
          <w:color w:val="000000"/>
          <w:kern w:val="0"/>
          <w:szCs w:val="24"/>
        </w:rPr>
        <w:t>、113/6/1</w:t>
      </w:r>
      <w:r>
        <w:rPr>
          <w:rFonts w:ascii="標楷體" w:eastAsia="標楷體" w:hAnsi="標楷體" w:cs="標楷體.鬁..."/>
          <w:color w:val="000000"/>
          <w:kern w:val="0"/>
          <w:szCs w:val="24"/>
        </w:rPr>
        <w:t>)</w:t>
      </w:r>
    </w:p>
    <w:p w14:paraId="4EAE2459" w14:textId="31AE2AFA" w:rsidR="003640FE" w:rsidRDefault="003640FE" w:rsidP="003640FE">
      <w:pPr>
        <w:spacing w:line="360" w:lineRule="exact"/>
        <w:ind w:left="672" w:hanging="386"/>
        <w:rPr>
          <w:rFonts w:ascii="標楷體" w:eastAsia="標楷體" w:hAnsi="標楷體"/>
          <w:color w:val="000000"/>
        </w:rPr>
      </w:pPr>
      <w:r>
        <w:rPr>
          <w:rFonts w:ascii="標楷體" w:eastAsia="標楷體" w:hAnsi="標楷體"/>
          <w:color w:val="000000"/>
        </w:rPr>
        <w:t>9.18.Trastuzumab (如Herceptin)：(91/4/1、93/8/1、95/2/1、99/1/1、99/8/1、99/10/1、101/1/1、105/11/1、108/5/1、109/2/1、111/12/1、112/10/1、113/8/1、113/12/1、114/1/1</w:t>
      </w:r>
      <w:r w:rsidR="00EE73A6">
        <w:rPr>
          <w:rFonts w:ascii="標楷體" w:eastAsia="標楷體" w:hAnsi="標楷體"/>
          <w:color w:val="000000"/>
        </w:rPr>
        <w:t>、114/5/1</w:t>
      </w:r>
      <w:r>
        <w:rPr>
          <w:rFonts w:ascii="標楷體" w:eastAsia="標楷體" w:hAnsi="標楷體"/>
          <w:color w:val="000000"/>
        </w:rPr>
        <w:t>)</w:t>
      </w:r>
    </w:p>
    <w:p w14:paraId="09B54081" w14:textId="78D6218A" w:rsidR="003640FE" w:rsidRDefault="003640FE" w:rsidP="003640FE">
      <w:pPr>
        <w:spacing w:line="360" w:lineRule="exact"/>
        <w:ind w:left="811" w:hanging="245"/>
        <w:rPr>
          <w:rFonts w:ascii="標楷體" w:eastAsia="標楷體" w:hAnsi="標楷體"/>
          <w:color w:val="000000"/>
        </w:rPr>
      </w:pPr>
      <w:r>
        <w:rPr>
          <w:rFonts w:ascii="標楷體" w:eastAsia="標楷體" w:hAnsi="標楷體"/>
          <w:color w:val="000000"/>
        </w:rPr>
        <w:t>1.早期乳癌(99/1/1、99/8/1、99/10/1、101/1/1、111/12/1、112/10/1、113/8/1、113/12/1、114/1/1</w:t>
      </w:r>
      <w:bookmarkStart w:id="21" w:name="_GoBack"/>
      <w:bookmarkEnd w:id="21"/>
      <w:r>
        <w:rPr>
          <w:rFonts w:ascii="標楷體" w:eastAsia="標楷體" w:hAnsi="標楷體"/>
          <w:color w:val="000000"/>
        </w:rPr>
        <w:t>)</w:t>
      </w:r>
    </w:p>
    <w:p w14:paraId="097843FF" w14:textId="77777777" w:rsidR="003640FE" w:rsidRDefault="003640FE" w:rsidP="003640FE">
      <w:pPr>
        <w:spacing w:line="360" w:lineRule="exact"/>
        <w:ind w:left="1049" w:hanging="341"/>
        <w:rPr>
          <w:rFonts w:ascii="標楷體" w:eastAsia="標楷體" w:hAnsi="標楷體"/>
          <w:color w:val="000000"/>
        </w:rPr>
      </w:pPr>
      <w:r>
        <w:rPr>
          <w:rFonts w:ascii="標楷體" w:eastAsia="標楷體" w:hAnsi="標楷體"/>
          <w:color w:val="000000"/>
        </w:rPr>
        <w:t>(1)外科手術前後、化學療法(術前輔助治療或輔助治療)治療後，具HER2過度表現(IHC3+或FISH+)，且具腋下淋巴結轉移但無遠處臟器轉移之早期乳癌患者，作為輔助性治療用藥：(99/8/1、99/10/1、101/1/1、111/12/1、112/10/1、113/8/1、113/12/1、114/1/1)。</w:t>
      </w:r>
    </w:p>
    <w:p w14:paraId="65D54AC7"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I.外科手術後達病理上緩解(pCR)，下列i.~iii.使用於外科手術前後之總療程合併計算，依藥品仿單記載以18個療程為上限：(113/8/1、113/12/1、114/1/1)</w:t>
      </w:r>
    </w:p>
    <w:p w14:paraId="42A29686" w14:textId="77777777" w:rsidR="003640FE" w:rsidRDefault="003640FE" w:rsidP="003640FE">
      <w:pPr>
        <w:spacing w:line="360" w:lineRule="exact"/>
        <w:ind w:left="1441" w:hanging="420"/>
        <w:rPr>
          <w:rFonts w:ascii="標楷體" w:eastAsia="標楷體" w:hAnsi="標楷體"/>
          <w:color w:val="000000"/>
        </w:rPr>
      </w:pPr>
      <w:r>
        <w:rPr>
          <w:rFonts w:ascii="標楷體" w:eastAsia="標楷體" w:hAnsi="標楷體"/>
          <w:color w:val="000000"/>
        </w:rPr>
        <w:t>i.本藥品</w:t>
      </w:r>
    </w:p>
    <w:p w14:paraId="72757189" w14:textId="77777777" w:rsidR="003640FE" w:rsidRDefault="003640FE" w:rsidP="003640FE">
      <w:pPr>
        <w:spacing w:line="360" w:lineRule="exact"/>
        <w:ind w:left="1441" w:hanging="420"/>
        <w:rPr>
          <w:rFonts w:ascii="標楷體" w:eastAsia="標楷體" w:hAnsi="標楷體"/>
          <w:color w:val="000000"/>
        </w:rPr>
      </w:pPr>
      <w:r>
        <w:rPr>
          <w:rFonts w:ascii="標楷體" w:eastAsia="標楷體" w:hAnsi="標楷體"/>
          <w:color w:val="000000"/>
        </w:rPr>
        <w:t>ii.pertuzumab與trastuzumab（限使用Ogivri、Herzuma、Eirgasun、Herceptin、Kanjinti）併用</w:t>
      </w:r>
    </w:p>
    <w:p w14:paraId="1E919353" w14:textId="77777777" w:rsidR="003640FE" w:rsidRDefault="003640FE" w:rsidP="003640FE">
      <w:pPr>
        <w:spacing w:line="360" w:lineRule="exact"/>
        <w:ind w:left="1441" w:hanging="420"/>
        <w:rPr>
          <w:rFonts w:ascii="標楷體" w:eastAsia="標楷體" w:hAnsi="標楷體"/>
          <w:color w:val="000000"/>
        </w:rPr>
      </w:pPr>
      <w:r>
        <w:rPr>
          <w:rFonts w:ascii="標楷體" w:eastAsia="標楷體" w:hAnsi="標楷體"/>
          <w:color w:val="000000"/>
        </w:rPr>
        <w:t>iii.pertuzumab與trastuzumab皮下注射複方製劑(如Phesgo)</w:t>
      </w:r>
    </w:p>
    <w:p w14:paraId="51CDA90C"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Ⅱ.若外科手術後無法達病理上緩解(non-pCR)，本藥品與trastuzumab emtansine使用於外科手術前後的總療程合併計算，依藥品仿單記載以全部18個療程為上限，其中trastuzumab emtansine以14個療程為上限。(113/8/1、113/12/1)</w:t>
      </w:r>
    </w:p>
    <w:p w14:paraId="59DB1FA7" w14:textId="77777777" w:rsidR="003640FE" w:rsidRDefault="003640FE" w:rsidP="003640FE">
      <w:pPr>
        <w:spacing w:line="360" w:lineRule="exact"/>
        <w:ind w:left="1049" w:hanging="341"/>
      </w:pPr>
      <w:r>
        <w:rPr>
          <w:rFonts w:ascii="標楷體" w:eastAsia="標楷體" w:hAnsi="標楷體"/>
          <w:color w:val="000000"/>
        </w:rPr>
        <w:t>(2)外科手術前後、化學療法(術前輔助治療或輔助治療)治療後，符合下列所有條件之早期乳癌患者(限使用Ogivri、Herzuma、Eirgasun、Herceptin、Kanjinti)：(111/12/1、112/10/1、113/8/1、113/12/1、114/1/1)</w:t>
      </w:r>
    </w:p>
    <w:p w14:paraId="465A31E5"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Ⅰ.HER2過度表現(IHC 3+或FISH+)。</w:t>
      </w:r>
    </w:p>
    <w:p w14:paraId="0D38EB12"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Ⅱ.雌激素受體（ER)為陰性。</w:t>
      </w:r>
    </w:p>
    <w:p w14:paraId="5B9ED2F3"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Ⅲ.腫瘤大於2公分。須經乳房超音波或乳房X光攝影或核磁共振診斷。</w:t>
      </w:r>
    </w:p>
    <w:p w14:paraId="770FA411"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Ⅳ.且未發生腋下淋巴結轉移之早期乳癌患者，作為輔助性治療用藥。</w:t>
      </w:r>
    </w:p>
    <w:p w14:paraId="2E1620AE" w14:textId="77777777" w:rsidR="003640FE" w:rsidRDefault="003640FE" w:rsidP="003640FE">
      <w:pPr>
        <w:spacing w:line="360" w:lineRule="exact"/>
        <w:ind w:left="1191" w:hanging="340"/>
        <w:rPr>
          <w:rFonts w:ascii="標楷體" w:eastAsia="標楷體" w:hAnsi="標楷體"/>
          <w:color w:val="000000"/>
        </w:rPr>
      </w:pPr>
      <w:r>
        <w:rPr>
          <w:rFonts w:ascii="標楷體" w:eastAsia="標楷體" w:hAnsi="標楷體"/>
          <w:color w:val="000000"/>
        </w:rPr>
        <w:t>Ⅴ.依下列條件之一使用(113/8/1)：</w:t>
      </w:r>
    </w:p>
    <w:p w14:paraId="21F07A78" w14:textId="77777777" w:rsidR="003640FE" w:rsidRDefault="003640FE" w:rsidP="003640FE">
      <w:pPr>
        <w:spacing w:line="360" w:lineRule="exact"/>
        <w:ind w:left="1441" w:hanging="420"/>
        <w:rPr>
          <w:rFonts w:ascii="標楷體" w:eastAsia="標楷體" w:hAnsi="標楷體"/>
          <w:color w:val="000000"/>
        </w:rPr>
      </w:pPr>
      <w:r>
        <w:rPr>
          <w:rFonts w:ascii="標楷體" w:eastAsia="標楷體" w:hAnsi="標楷體"/>
          <w:color w:val="000000"/>
        </w:rPr>
        <w:t>i.外科手術後達病理上緩解(pCR)，本藥品使用於外科手術前後以9個療程為上限。</w:t>
      </w:r>
    </w:p>
    <w:p w14:paraId="21971D78" w14:textId="77777777" w:rsidR="003640FE" w:rsidRDefault="003640FE" w:rsidP="003640FE">
      <w:pPr>
        <w:spacing w:line="360" w:lineRule="exact"/>
        <w:ind w:left="1441" w:hanging="420"/>
        <w:rPr>
          <w:rFonts w:ascii="標楷體" w:eastAsia="標楷體" w:hAnsi="標楷體"/>
          <w:color w:val="000000"/>
        </w:rPr>
      </w:pPr>
      <w:r>
        <w:rPr>
          <w:rFonts w:ascii="標楷體" w:eastAsia="標楷體" w:hAnsi="標楷體"/>
          <w:color w:val="000000"/>
        </w:rPr>
        <w:lastRenderedPageBreak/>
        <w:t>ii.若外科手術後無法達病理上緩解(non-pCR)，本藥品與trastuzumab emtansine使用於外科手術前後的總療程合併計算，以全部18個療程為上限，其中trastuzumab emtansine以14個療程為上限。</w:t>
      </w:r>
    </w:p>
    <w:p w14:paraId="3D525032" w14:textId="77777777" w:rsidR="003640FE" w:rsidRDefault="003640FE" w:rsidP="003640FE">
      <w:pPr>
        <w:spacing w:line="360" w:lineRule="exact"/>
        <w:ind w:left="811" w:hanging="245"/>
        <w:rPr>
          <w:rFonts w:ascii="標楷體" w:eastAsia="標楷體" w:hAnsi="標楷體"/>
          <w:color w:val="000000"/>
        </w:rPr>
      </w:pPr>
      <w:r>
        <w:rPr>
          <w:rFonts w:ascii="標楷體" w:eastAsia="標楷體" w:hAnsi="標楷體"/>
          <w:color w:val="000000"/>
        </w:rPr>
        <w:t>2.轉移性乳癌</w:t>
      </w:r>
    </w:p>
    <w:p w14:paraId="19DB7292" w14:textId="77777777" w:rsidR="003640FE" w:rsidRDefault="003640FE" w:rsidP="003640FE">
      <w:pPr>
        <w:spacing w:line="360" w:lineRule="exact"/>
        <w:ind w:left="1049" w:hanging="341"/>
        <w:rPr>
          <w:rFonts w:ascii="標楷體" w:eastAsia="標楷體" w:hAnsi="標楷體"/>
          <w:color w:val="000000"/>
        </w:rPr>
      </w:pPr>
      <w:r>
        <w:rPr>
          <w:rFonts w:ascii="標楷體" w:eastAsia="標楷體" w:hAnsi="標楷體"/>
          <w:color w:val="000000"/>
        </w:rPr>
        <w:t>(1)單獨使用於治療腫瘤細胞上有HER2過度表現(IHC3+或FISH+)，曾接受過一次以上化學治療之轉移性乳癌病人。(91/4/1、99/1/1)</w:t>
      </w:r>
    </w:p>
    <w:p w14:paraId="12C70DCE" w14:textId="77777777" w:rsidR="003640FE" w:rsidRDefault="003640FE" w:rsidP="003640FE">
      <w:pPr>
        <w:spacing w:line="360" w:lineRule="exact"/>
        <w:ind w:left="1049" w:hanging="341"/>
        <w:rPr>
          <w:rFonts w:ascii="標楷體" w:eastAsia="標楷體" w:hAnsi="標楷體"/>
          <w:color w:val="000000"/>
        </w:rPr>
      </w:pPr>
      <w:r>
        <w:rPr>
          <w:rFonts w:ascii="標楷體" w:eastAsia="標楷體" w:hAnsi="標楷體"/>
          <w:color w:val="000000"/>
        </w:rPr>
        <w:t>(2)與paclitaxel或docetaxel併用，使用於未曾接受過化學治療之轉移性乳癌病患，且為HER2過度表現(IHC3+或FISH+)者。(93/8/1、95/2/1、99/1/1)</w:t>
      </w:r>
    </w:p>
    <w:p w14:paraId="7969453D" w14:textId="77777777" w:rsidR="003640FE" w:rsidRDefault="003640FE" w:rsidP="003640FE">
      <w:pPr>
        <w:spacing w:line="360" w:lineRule="exact"/>
        <w:ind w:left="1049" w:hanging="341"/>
        <w:rPr>
          <w:rFonts w:ascii="標楷體" w:eastAsia="標楷體" w:hAnsi="標楷體"/>
          <w:color w:val="000000"/>
        </w:rPr>
      </w:pPr>
      <w:r>
        <w:rPr>
          <w:rFonts w:ascii="標楷體" w:eastAsia="標楷體" w:hAnsi="標楷體"/>
          <w:color w:val="000000"/>
        </w:rPr>
        <w:t>(3)轉移性乳癌且HER2過度表現之病人，僅限先前未使用過本藥品者方可使用。(99/1/1、108/5/1、113/12/1)</w:t>
      </w:r>
    </w:p>
    <w:p w14:paraId="56923835" w14:textId="77777777" w:rsidR="003640FE" w:rsidRDefault="003640FE" w:rsidP="003640FE">
      <w:pPr>
        <w:spacing w:line="360" w:lineRule="exact"/>
        <w:ind w:left="1049" w:hanging="341"/>
        <w:rPr>
          <w:rFonts w:ascii="標楷體" w:eastAsia="標楷體" w:hAnsi="標楷體"/>
          <w:color w:val="000000"/>
        </w:rPr>
      </w:pPr>
      <w:r>
        <w:rPr>
          <w:rFonts w:ascii="標楷體" w:eastAsia="標楷體" w:hAnsi="標楷體"/>
          <w:color w:val="000000"/>
        </w:rPr>
        <w:t>(4)若先前使用過docetaxel及pertuzumab與trastuzumab併用或docetaxel及pertuzumab與trastuzumab皮下注射複方製劑(如Phesgo)併用達18個月上限仍未惡化者，得再次申請本藥品。(108/5/1、113/12/1)</w:t>
      </w:r>
    </w:p>
    <w:p w14:paraId="42833D9E" w14:textId="77777777" w:rsidR="003640FE" w:rsidRDefault="003640FE" w:rsidP="003640FE">
      <w:pPr>
        <w:spacing w:line="360" w:lineRule="exact"/>
        <w:ind w:left="811" w:hanging="245"/>
        <w:rPr>
          <w:rFonts w:ascii="標楷體" w:eastAsia="標楷體" w:hAnsi="標楷體"/>
          <w:color w:val="000000"/>
        </w:rPr>
      </w:pPr>
      <w:r>
        <w:rPr>
          <w:rFonts w:ascii="標楷體" w:eastAsia="標楷體" w:hAnsi="標楷體"/>
          <w:color w:val="000000"/>
        </w:rPr>
        <w:t>3.轉移性胃癌(限IV 劑型)</w:t>
      </w:r>
    </w:p>
    <w:p w14:paraId="3FDFB39C" w14:textId="77777777" w:rsidR="003640FE" w:rsidRDefault="003640FE" w:rsidP="003640FE">
      <w:pPr>
        <w:spacing w:line="360" w:lineRule="exact"/>
        <w:ind w:left="811" w:hanging="245"/>
        <w:rPr>
          <w:rFonts w:ascii="標楷體" w:eastAsia="標楷體" w:hAnsi="標楷體"/>
          <w:color w:val="000000"/>
        </w:rPr>
      </w:pPr>
      <w:r>
        <w:rPr>
          <w:rFonts w:ascii="標楷體" w:eastAsia="標楷體" w:hAnsi="標楷體"/>
          <w:color w:val="000000"/>
        </w:rPr>
        <w:t>  Trastuzumab合併capecitabine (或5-fluorouracil)及cisplatin適用於未曾接受過化學治療之HER2過度表現(IHC3+或FISH+)轉移性胃腺癌(或胃食道接合處腺癌)的治療。(109/2/1)</w:t>
      </w:r>
    </w:p>
    <w:p w14:paraId="131A680E" w14:textId="03FA4004" w:rsidR="00BD776B" w:rsidRDefault="003640FE" w:rsidP="003640FE">
      <w:pPr>
        <w:spacing w:line="360" w:lineRule="exact"/>
        <w:ind w:left="811" w:hanging="245"/>
        <w:rPr>
          <w:rFonts w:ascii="標楷體" w:eastAsia="標楷體" w:hAnsi="標楷體"/>
          <w:color w:val="000000"/>
        </w:rPr>
      </w:pPr>
      <w:r>
        <w:rPr>
          <w:rFonts w:ascii="標楷體" w:eastAsia="標楷體" w:hAnsi="標楷體"/>
          <w:color w:val="000000"/>
        </w:rPr>
        <w:t>4.經事前審查核准後使用，核准後早期乳癌每24週、晚期乳癌每18週須檢附療效評估資料再次申請，若疾病有惡化情形即不應再行申請。（105/11/1、114/5/1）</w:t>
      </w:r>
    </w:p>
    <w:p w14:paraId="77168DD1" w14:textId="77777777" w:rsidR="00BD776B" w:rsidRDefault="00DF0C24">
      <w:pPr>
        <w:ind w:left="672" w:hanging="386"/>
        <w:rPr>
          <w:rFonts w:ascii="標楷體" w:eastAsia="標楷體" w:hAnsi="標楷體"/>
          <w:color w:val="000000"/>
        </w:rPr>
      </w:pPr>
      <w:r>
        <w:rPr>
          <w:rFonts w:ascii="標楷體" w:eastAsia="標楷體" w:hAnsi="標楷體"/>
          <w:color w:val="000000"/>
        </w:rPr>
        <w:t>9.19.Estramustine sod. phosphate monohydrate(如Estracyt)：(91/4/1)</w:t>
      </w:r>
    </w:p>
    <w:p w14:paraId="374B75A0" w14:textId="77777777" w:rsidR="00BD776B" w:rsidRDefault="00DF0C24">
      <w:pPr>
        <w:ind w:left="798" w:hanging="1"/>
        <w:rPr>
          <w:rFonts w:ascii="標楷體" w:eastAsia="標楷體" w:hAnsi="標楷體"/>
          <w:color w:val="000000"/>
        </w:rPr>
      </w:pPr>
      <w:r>
        <w:rPr>
          <w:rFonts w:ascii="標楷體" w:eastAsia="標楷體" w:hAnsi="標楷體"/>
          <w:color w:val="000000"/>
        </w:rPr>
        <w:t>限晚期前列腺癌病患且符合下列條件之一者使用：</w:t>
      </w:r>
    </w:p>
    <w:p w14:paraId="64EC47C6" w14:textId="77777777" w:rsidR="00BD776B" w:rsidRDefault="00DF0C24">
      <w:pPr>
        <w:ind w:left="811" w:hanging="245"/>
        <w:rPr>
          <w:rFonts w:ascii="標楷體" w:eastAsia="標楷體" w:hAnsi="標楷體"/>
          <w:color w:val="000000"/>
        </w:rPr>
      </w:pPr>
      <w:r>
        <w:rPr>
          <w:rFonts w:ascii="標楷體" w:eastAsia="標楷體" w:hAnsi="標楷體"/>
          <w:color w:val="000000"/>
        </w:rPr>
        <w:t>1.經荷爾蒙治療無效。</w:t>
      </w:r>
    </w:p>
    <w:p w14:paraId="578A702A" w14:textId="77777777" w:rsidR="00BD776B" w:rsidRDefault="00DF0C24">
      <w:pPr>
        <w:ind w:left="811" w:hanging="245"/>
        <w:rPr>
          <w:rFonts w:ascii="標楷體" w:eastAsia="標楷體" w:hAnsi="標楷體"/>
          <w:color w:val="000000"/>
        </w:rPr>
      </w:pPr>
      <w:r>
        <w:rPr>
          <w:rFonts w:ascii="標楷體" w:eastAsia="標楷體" w:hAnsi="標楷體"/>
          <w:color w:val="000000"/>
        </w:rPr>
        <w:t>2.經診斷對單獨使用荷爾蒙治療，具有預後療效不佳因素的初次治療病患。</w:t>
      </w:r>
    </w:p>
    <w:p w14:paraId="74FDD10C" w14:textId="2E734F12" w:rsidR="00BD776B" w:rsidRDefault="00DF0C24">
      <w:pPr>
        <w:ind w:left="672" w:hanging="386"/>
        <w:rPr>
          <w:rFonts w:ascii="標楷體" w:eastAsia="標楷體" w:hAnsi="標楷體"/>
          <w:color w:val="000000"/>
        </w:rPr>
      </w:pPr>
      <w:r>
        <w:rPr>
          <w:rFonts w:ascii="標楷體" w:eastAsia="標楷體" w:hAnsi="標楷體"/>
          <w:color w:val="000000"/>
        </w:rPr>
        <w:t>9.20.Rituximab注射劑(如Mabthera，不同劑型之適用範圍需符合藥品許可證登載之適應症)：用於抗癌瘤部分(91/4/1、93/1/1、95/3/1、97/2/1、102/1/1、103/2/1、103/9/1、104/6/1、106/9/1、111/6/1、113/2/1</w:t>
      </w:r>
      <w:r w:rsidR="008216B6">
        <w:rPr>
          <w:rFonts w:ascii="標楷體" w:eastAsia="標楷體" w:hAnsi="標楷體" w:hint="eastAsia"/>
          <w:color w:val="000000"/>
        </w:rPr>
        <w:t>、113/12/1</w:t>
      </w:r>
      <w:r>
        <w:rPr>
          <w:rFonts w:ascii="標楷體" w:eastAsia="標楷體" w:hAnsi="標楷體"/>
          <w:color w:val="000000"/>
        </w:rPr>
        <w:t>)</w:t>
      </w:r>
    </w:p>
    <w:p w14:paraId="4849B8BD" w14:textId="77777777" w:rsidR="00BD776B" w:rsidRDefault="00DF0C24">
      <w:pPr>
        <w:ind w:left="991" w:hanging="386"/>
        <w:rPr>
          <w:rFonts w:ascii="標楷體" w:eastAsia="標楷體" w:hAnsi="標楷體"/>
          <w:color w:val="000000"/>
        </w:rPr>
      </w:pPr>
      <w:r>
        <w:rPr>
          <w:rFonts w:ascii="標楷體" w:eastAsia="標楷體" w:hAnsi="標楷體"/>
          <w:color w:val="000000"/>
        </w:rPr>
        <w:t>1.復發或對化學療效有抗性之低惡度B細胞非何杰金氏淋巴瘤。（91/4/1）</w:t>
      </w:r>
    </w:p>
    <w:p w14:paraId="4F40FC68" w14:textId="77777777" w:rsidR="00BD776B" w:rsidRDefault="00DF0C24">
      <w:pPr>
        <w:ind w:left="991" w:hanging="386"/>
      </w:pPr>
      <w:r>
        <w:rPr>
          <w:rFonts w:ascii="標楷體" w:eastAsia="標楷體" w:hAnsi="標楷體"/>
          <w:color w:val="000000"/>
        </w:rPr>
        <w:t>2.併用</w:t>
      </w:r>
      <w:r>
        <w:rPr>
          <w:rFonts w:ascii="標楷體" w:eastAsia="標楷體" w:hAnsi="標楷體"/>
          <w:szCs w:val="24"/>
        </w:rPr>
        <w:t>polatuzumab vedotin或</w:t>
      </w:r>
      <w:r>
        <w:rPr>
          <w:rFonts w:ascii="標楷體" w:eastAsia="標楷體" w:hAnsi="標楷體"/>
          <w:color w:val="000000"/>
        </w:rPr>
        <w:t>CHOP或其他化學療法，用於CD20抗原陽性之B瀰漫性大細胞非何杰金氏淋巴瘤之病患。(93/1/1、95/3/1、113/2/1)</w:t>
      </w:r>
    </w:p>
    <w:p w14:paraId="0B200225" w14:textId="77777777" w:rsidR="00BD776B" w:rsidRDefault="00DF0C24">
      <w:pPr>
        <w:ind w:left="991" w:hanging="386"/>
        <w:rPr>
          <w:rFonts w:ascii="標楷體" w:eastAsia="標楷體" w:hAnsi="標楷體"/>
          <w:color w:val="000000"/>
        </w:rPr>
      </w:pPr>
      <w:r>
        <w:rPr>
          <w:rFonts w:ascii="標楷體" w:eastAsia="標楷體" w:hAnsi="標楷體"/>
          <w:color w:val="000000"/>
        </w:rPr>
        <w:t>3.併用CVP化學療法，用於未經治療之和緩性（組織型態為濾泡型）B細胞非何杰金氏淋巴瘤的病人。(95/3/1)</w:t>
      </w:r>
    </w:p>
    <w:p w14:paraId="65FEE92E" w14:textId="77777777" w:rsidR="00BD776B" w:rsidRDefault="00DF0C24">
      <w:pPr>
        <w:ind w:left="991" w:hanging="386"/>
        <w:rPr>
          <w:rFonts w:ascii="標楷體" w:eastAsia="標楷體" w:hAnsi="標楷體"/>
          <w:color w:val="000000"/>
        </w:rPr>
      </w:pPr>
      <w:r>
        <w:rPr>
          <w:rFonts w:ascii="標楷體" w:eastAsia="標楷體" w:hAnsi="標楷體"/>
          <w:color w:val="000000"/>
        </w:rPr>
        <w:t>4.作為濾泡性淋巴瘤患者於接受含rituximab誘導化學治療後產生反應(達partial remission或complete remission)之病患，若在接受含rituximab誘導化學治療前有下列情形之一者，得接受rituximab維持治療，限用八劑，每三個月使用一劑，最多不超過二年。(97/2/1、104/6/1)</w:t>
      </w:r>
    </w:p>
    <w:p w14:paraId="7F447C33" w14:textId="77777777" w:rsidR="00BD776B" w:rsidRDefault="00DF0C24">
      <w:pPr>
        <w:ind w:left="1132" w:hanging="386"/>
        <w:rPr>
          <w:rFonts w:ascii="標楷體" w:eastAsia="標楷體" w:hAnsi="標楷體"/>
          <w:color w:val="000000"/>
        </w:rPr>
      </w:pPr>
      <w:r>
        <w:rPr>
          <w:rFonts w:ascii="標楷體" w:eastAsia="標楷體" w:hAnsi="標楷體"/>
          <w:color w:val="000000"/>
        </w:rPr>
        <w:t>(1)有單一腫瘤直徑超過7公分者；</w:t>
      </w:r>
    </w:p>
    <w:p w14:paraId="015D9F5A" w14:textId="77777777" w:rsidR="00BD776B" w:rsidRDefault="00DF0C24">
      <w:pPr>
        <w:ind w:left="1132" w:hanging="386"/>
        <w:rPr>
          <w:rFonts w:ascii="標楷體" w:eastAsia="標楷體" w:hAnsi="標楷體"/>
          <w:color w:val="000000"/>
        </w:rPr>
      </w:pPr>
      <w:r>
        <w:rPr>
          <w:rFonts w:ascii="標楷體" w:eastAsia="標楷體" w:hAnsi="標楷體"/>
          <w:color w:val="000000"/>
        </w:rPr>
        <w:t>(2)有超過三顆腫瘤直徑超過3公分者；</w:t>
      </w:r>
    </w:p>
    <w:p w14:paraId="7FB6E5AE" w14:textId="77777777" w:rsidR="00BD776B" w:rsidRDefault="00DF0C24">
      <w:pPr>
        <w:ind w:left="1132" w:hanging="386"/>
        <w:rPr>
          <w:rFonts w:ascii="標楷體" w:eastAsia="標楷體" w:hAnsi="標楷體"/>
          <w:color w:val="000000"/>
        </w:rPr>
      </w:pPr>
      <w:r>
        <w:rPr>
          <w:rFonts w:ascii="標楷體" w:eastAsia="標楷體" w:hAnsi="標楷體"/>
          <w:color w:val="000000"/>
        </w:rPr>
        <w:t>(3)脾臟腫大，其長度超過16公分者；</w:t>
      </w:r>
    </w:p>
    <w:p w14:paraId="269647F0" w14:textId="77777777" w:rsidR="00BD776B" w:rsidRDefault="00DF0C24">
      <w:pPr>
        <w:ind w:left="1132" w:hanging="386"/>
        <w:rPr>
          <w:rFonts w:ascii="標楷體" w:eastAsia="標楷體" w:hAnsi="標楷體"/>
          <w:color w:val="000000"/>
        </w:rPr>
      </w:pPr>
      <w:r>
        <w:rPr>
          <w:rFonts w:ascii="標楷體" w:eastAsia="標楷體" w:hAnsi="標楷體"/>
          <w:color w:val="000000"/>
        </w:rPr>
        <w:t>(4)對vitalorgans造成擠壓者；</w:t>
      </w:r>
    </w:p>
    <w:p w14:paraId="6E528DA3" w14:textId="77777777" w:rsidR="00BD776B" w:rsidRDefault="00DF0C24">
      <w:pPr>
        <w:ind w:left="1132" w:hanging="386"/>
        <w:rPr>
          <w:rFonts w:ascii="標楷體" w:eastAsia="標楷體" w:hAnsi="標楷體"/>
          <w:color w:val="000000"/>
        </w:rPr>
      </w:pPr>
      <w:r>
        <w:rPr>
          <w:rFonts w:ascii="標楷體" w:eastAsia="標楷體" w:hAnsi="標楷體"/>
          <w:color w:val="000000"/>
        </w:rPr>
        <w:lastRenderedPageBreak/>
        <w:t>(5)周邊血中出現淋巴球增生超過5000/mm3者；</w:t>
      </w:r>
    </w:p>
    <w:p w14:paraId="7010A30B" w14:textId="77777777" w:rsidR="00BD776B" w:rsidRDefault="00DF0C24">
      <w:pPr>
        <w:ind w:left="1132" w:hanging="386"/>
        <w:rPr>
          <w:rFonts w:ascii="標楷體" w:eastAsia="標楷體" w:hAnsi="標楷體"/>
          <w:color w:val="000000"/>
        </w:rPr>
      </w:pPr>
      <w:r>
        <w:rPr>
          <w:rFonts w:ascii="標楷體" w:eastAsia="標楷體" w:hAnsi="標楷體"/>
          <w:color w:val="000000"/>
        </w:rPr>
        <w:t>(6)出現任一系列血球低下者(platelet&lt;100,000/mm3，或Hb&lt;10gm/dL，或absolute neutrophil count&lt;1500/mm3)。</w:t>
      </w:r>
    </w:p>
    <w:p w14:paraId="494BCE83" w14:textId="77777777" w:rsidR="00BD776B" w:rsidRDefault="00DF0C24">
      <w:pPr>
        <w:ind w:left="991" w:hanging="386"/>
        <w:rPr>
          <w:rFonts w:ascii="標楷體" w:eastAsia="標楷體" w:hAnsi="標楷體"/>
          <w:color w:val="000000"/>
        </w:rPr>
      </w:pPr>
      <w:r>
        <w:rPr>
          <w:rFonts w:ascii="標楷體" w:eastAsia="標楷體" w:hAnsi="標楷體"/>
          <w:color w:val="000000"/>
        </w:rPr>
        <w:t>5.慢性淋巴球性白血病：(103/2/1、111/6/1)</w:t>
      </w:r>
    </w:p>
    <w:p w14:paraId="7C3E589E" w14:textId="77777777" w:rsidR="00BD776B" w:rsidRDefault="00DF0C24">
      <w:pPr>
        <w:ind w:left="1132" w:hanging="386"/>
        <w:rPr>
          <w:rFonts w:ascii="標楷體" w:eastAsia="標楷體" w:hAnsi="標楷體"/>
          <w:color w:val="000000"/>
        </w:rPr>
      </w:pPr>
      <w:r>
        <w:rPr>
          <w:rFonts w:ascii="標楷體" w:eastAsia="標楷體" w:hAnsi="標楷體"/>
          <w:color w:val="000000"/>
        </w:rPr>
        <w:t>(1)Rai Stage Ⅲ/Ⅳ(或Binet C級)之CLL病人。若用於Rai StageⅠ/Ⅱ(或Binet A/B級)併有疾病相關免疫性症候(如自體免疫性溶血、免疫性血小板低下紫瘢症等)的病人時，需經過至少一種標準的烷化基劑治療無效或病情惡化者，且CD20陽性細胞須大於50%。（Rixathon不受「需經過一種標準的烷化基劑治療無效或病情惡化，且CD20陽性細胞須大於50%」限制，僅須符合具CD20陽性細胞即可使用，做為第一線用藥需與fludarabine及cyclophosphamide併用）(111/6/1)</w:t>
      </w:r>
    </w:p>
    <w:p w14:paraId="7EDAAE37" w14:textId="77777777" w:rsidR="00BD776B" w:rsidRDefault="00DF0C24">
      <w:pPr>
        <w:ind w:left="1132" w:hanging="386"/>
        <w:rPr>
          <w:rFonts w:ascii="標楷體" w:eastAsia="標楷體" w:hAnsi="標楷體"/>
          <w:color w:val="000000"/>
        </w:rPr>
      </w:pPr>
      <w:r>
        <w:rPr>
          <w:rFonts w:ascii="標楷體" w:eastAsia="標楷體" w:hAnsi="標楷體"/>
          <w:color w:val="000000"/>
        </w:rPr>
        <w:t>(2)與化學療法併用，做為復發或頑固性的CD20陽性慢性淋巴球性白血病病患的治療用藥，且CD20陽性細胞須大於50%。（Rixathon不受「CD20陽性細胞須大於50%」限制，僅須符合具CD20陽性細胞即可使用）(111/6/1)</w:t>
      </w:r>
    </w:p>
    <w:p w14:paraId="265A67E5" w14:textId="77777777" w:rsidR="00BD776B" w:rsidRDefault="00DF0C24">
      <w:pPr>
        <w:ind w:left="1132" w:hanging="386"/>
        <w:rPr>
          <w:rFonts w:ascii="標楷體" w:eastAsia="標楷體" w:hAnsi="標楷體"/>
          <w:color w:val="000000"/>
        </w:rPr>
      </w:pPr>
      <w:r>
        <w:rPr>
          <w:rFonts w:ascii="標楷體" w:eastAsia="標楷體" w:hAnsi="標楷體"/>
          <w:color w:val="000000"/>
        </w:rPr>
        <w:t>(3)初次申請最多六個（月）療程，再次申請以三個療程為限。</w:t>
      </w:r>
    </w:p>
    <w:p w14:paraId="75509607" w14:textId="77777777" w:rsidR="00BD776B" w:rsidRDefault="00DF0C24" w:rsidP="00CB0CEB">
      <w:pPr>
        <w:ind w:left="991" w:hanging="386"/>
        <w:rPr>
          <w:rFonts w:ascii="標楷體" w:eastAsia="標楷體" w:hAnsi="標楷體"/>
          <w:color w:val="000000"/>
        </w:rPr>
      </w:pPr>
      <w:r>
        <w:rPr>
          <w:rFonts w:ascii="標楷體" w:eastAsia="標楷體" w:hAnsi="標楷體"/>
          <w:color w:val="000000"/>
        </w:rPr>
        <w:t>6.與類固醇併用，治療嗜中性白血球細胞質抗體(ANCA)陽性之肉芽腫性血管炎及顯微多發性血管炎病人：(103/9/1)</w:t>
      </w:r>
    </w:p>
    <w:p w14:paraId="2F988294" w14:textId="77777777" w:rsidR="00BD776B" w:rsidRDefault="00DF0C24">
      <w:pPr>
        <w:ind w:left="1132" w:hanging="386"/>
        <w:rPr>
          <w:rFonts w:ascii="標楷體" w:eastAsia="標楷體" w:hAnsi="標楷體"/>
          <w:color w:val="000000"/>
        </w:rPr>
      </w:pPr>
      <w:r>
        <w:rPr>
          <w:rFonts w:ascii="標楷體" w:eastAsia="標楷體" w:hAnsi="標楷體"/>
          <w:color w:val="000000"/>
        </w:rPr>
        <w:t>(1)需經事前審查核准後使用，診斷需有病理報告確定及血清學檢驗結果。</w:t>
      </w:r>
    </w:p>
    <w:p w14:paraId="08D6414F" w14:textId="77777777" w:rsidR="00BD776B" w:rsidRDefault="00DF0C24">
      <w:pPr>
        <w:ind w:left="1132" w:hanging="386"/>
        <w:rPr>
          <w:rFonts w:ascii="標楷體" w:eastAsia="標楷體" w:hAnsi="標楷體"/>
          <w:color w:val="000000"/>
        </w:rPr>
      </w:pPr>
      <w:r>
        <w:rPr>
          <w:rFonts w:ascii="標楷體" w:eastAsia="標楷體" w:hAnsi="標楷體"/>
          <w:color w:val="000000"/>
        </w:rPr>
        <w:t>(2)初次發作之肉芽腫性血管炎及顯微多發性血管炎，經cyclophosphamide治療4週以上但療效不佳者。</w:t>
      </w:r>
    </w:p>
    <w:p w14:paraId="1E942980" w14:textId="77777777" w:rsidR="00BD776B" w:rsidRDefault="00DF0C24">
      <w:pPr>
        <w:ind w:left="1132" w:hanging="386"/>
        <w:rPr>
          <w:rFonts w:ascii="標楷體" w:eastAsia="標楷體" w:hAnsi="標楷體"/>
          <w:color w:val="000000"/>
        </w:rPr>
      </w:pPr>
      <w:r>
        <w:rPr>
          <w:rFonts w:ascii="標楷體" w:eastAsia="標楷體" w:hAnsi="標楷體"/>
          <w:color w:val="000000"/>
        </w:rPr>
        <w:t>(3)復發之肉芽腫性血管炎(GPA，或稱為韋格納肉芽腫症Wegener’s granulomatosis)及顯微多發性血管炎(MPA)，先前曾接受過cyclophosphamide治療者。</w:t>
      </w:r>
    </w:p>
    <w:p w14:paraId="3508D703" w14:textId="77777777" w:rsidR="00BD776B" w:rsidRDefault="00DF0C24">
      <w:pPr>
        <w:ind w:left="1132" w:hanging="386"/>
        <w:rPr>
          <w:rFonts w:ascii="標楷體" w:eastAsia="標楷體" w:hAnsi="標楷體"/>
          <w:color w:val="000000"/>
        </w:rPr>
      </w:pPr>
      <w:r>
        <w:rPr>
          <w:rFonts w:ascii="標楷體" w:eastAsia="標楷體" w:hAnsi="標楷體"/>
          <w:color w:val="000000"/>
        </w:rPr>
        <w:t>(4)對cyclophosphamide治療無法耐受且有具體事證，或具使用禁忌之肉芽腫性血管炎及顯微多發性血管炎。</w:t>
      </w:r>
    </w:p>
    <w:p w14:paraId="2F2D5AD1" w14:textId="77777777" w:rsidR="00BD776B" w:rsidRDefault="00DF0C24">
      <w:pPr>
        <w:ind w:left="1132" w:hanging="386"/>
        <w:rPr>
          <w:rFonts w:ascii="標楷體" w:eastAsia="標楷體" w:hAnsi="標楷體"/>
          <w:color w:val="000000"/>
        </w:rPr>
      </w:pPr>
      <w:r>
        <w:rPr>
          <w:rFonts w:ascii="標楷體" w:eastAsia="標楷體" w:hAnsi="標楷體"/>
          <w:color w:val="000000"/>
        </w:rPr>
        <w:t>(5)每次申請，以治療4週之療程為限。復發時可再次申請。</w:t>
      </w:r>
    </w:p>
    <w:p w14:paraId="7A01DDC3" w14:textId="77777777" w:rsidR="00BD776B" w:rsidRDefault="00DF0C24">
      <w:pPr>
        <w:ind w:left="1132" w:hanging="386"/>
        <w:rPr>
          <w:rFonts w:ascii="標楷體" w:eastAsia="標楷體" w:hAnsi="標楷體"/>
          <w:color w:val="000000"/>
        </w:rPr>
      </w:pPr>
      <w:r>
        <w:rPr>
          <w:rFonts w:ascii="標楷體" w:eastAsia="標楷體" w:hAnsi="標楷體"/>
          <w:color w:val="000000"/>
        </w:rPr>
        <w:t>註：原發(初次發作)之肉芽腫性血管炎及顯微多發性血管炎，經cyclophosphamide治療4週以上但療效不佳者之定義為：</w:t>
      </w:r>
    </w:p>
    <w:p w14:paraId="34A579E0" w14:textId="77777777" w:rsidR="00BD776B" w:rsidRDefault="00DF0C24">
      <w:pPr>
        <w:ind w:left="1130" w:hanging="7"/>
        <w:rPr>
          <w:rFonts w:ascii="標楷體" w:eastAsia="標楷體" w:hAnsi="標楷體"/>
          <w:color w:val="000000"/>
        </w:rPr>
      </w:pPr>
      <w:r>
        <w:rPr>
          <w:rFonts w:ascii="標楷體" w:eastAsia="標楷體" w:hAnsi="標楷體"/>
          <w:color w:val="000000"/>
        </w:rPr>
        <w:t>經cyclophosphamide治療4週以上，但至少有一項受侵犯的主要器官症狀未能改善，包括:</w:t>
      </w:r>
    </w:p>
    <w:p w14:paraId="4B415FEA" w14:textId="77777777" w:rsidR="00BD776B" w:rsidRDefault="00DF0C24">
      <w:pPr>
        <w:ind w:left="1188" w:hanging="14"/>
        <w:rPr>
          <w:rFonts w:ascii="標楷體" w:eastAsia="標楷體" w:hAnsi="標楷體"/>
          <w:color w:val="000000"/>
        </w:rPr>
      </w:pPr>
      <w:r>
        <w:rPr>
          <w:rFonts w:ascii="標楷體" w:eastAsia="標楷體" w:hAnsi="標楷體"/>
          <w:color w:val="000000"/>
        </w:rPr>
        <w:t>A肺部</w:t>
      </w:r>
    </w:p>
    <w:p w14:paraId="2609702C" w14:textId="77777777" w:rsidR="00BD776B" w:rsidRDefault="00DF0C24">
      <w:pPr>
        <w:ind w:left="1188" w:hanging="14"/>
        <w:rPr>
          <w:rFonts w:ascii="標楷體" w:eastAsia="標楷體" w:hAnsi="標楷體"/>
          <w:color w:val="000000"/>
        </w:rPr>
      </w:pPr>
      <w:r>
        <w:rPr>
          <w:rFonts w:ascii="標楷體" w:eastAsia="標楷體" w:hAnsi="標楷體"/>
          <w:color w:val="000000"/>
        </w:rPr>
        <w:t>B腎臟</w:t>
      </w:r>
    </w:p>
    <w:p w14:paraId="53210B7E" w14:textId="77777777" w:rsidR="00BD776B" w:rsidRDefault="00DF0C24">
      <w:pPr>
        <w:ind w:left="1188" w:hanging="14"/>
        <w:rPr>
          <w:rFonts w:ascii="標楷體" w:eastAsia="標楷體" w:hAnsi="標楷體"/>
          <w:color w:val="000000"/>
        </w:rPr>
      </w:pPr>
      <w:r>
        <w:rPr>
          <w:rFonts w:ascii="標楷體" w:eastAsia="標楷體" w:hAnsi="標楷體"/>
          <w:color w:val="000000"/>
        </w:rPr>
        <w:t>C神經系統</w:t>
      </w:r>
    </w:p>
    <w:p w14:paraId="35C2D3DD" w14:textId="77777777" w:rsidR="00BD776B" w:rsidRDefault="00DF0C24">
      <w:pPr>
        <w:ind w:left="1188" w:hanging="14"/>
        <w:rPr>
          <w:rFonts w:ascii="標楷體" w:eastAsia="標楷體" w:hAnsi="標楷體"/>
          <w:color w:val="000000"/>
        </w:rPr>
      </w:pPr>
      <w:r>
        <w:rPr>
          <w:rFonts w:ascii="標楷體" w:eastAsia="標楷體" w:hAnsi="標楷體"/>
          <w:color w:val="000000"/>
        </w:rPr>
        <w:t>D腸胃道系統</w:t>
      </w:r>
    </w:p>
    <w:p w14:paraId="0E469F21" w14:textId="77777777" w:rsidR="00BD776B" w:rsidRDefault="00DF0C24">
      <w:pPr>
        <w:ind w:left="1188" w:hanging="14"/>
        <w:rPr>
          <w:rFonts w:ascii="標楷體" w:eastAsia="標楷體" w:hAnsi="標楷體"/>
          <w:color w:val="000000"/>
        </w:rPr>
      </w:pPr>
      <w:r>
        <w:rPr>
          <w:rFonts w:ascii="標楷體" w:eastAsia="標楷體" w:hAnsi="標楷體"/>
          <w:color w:val="000000"/>
        </w:rPr>
        <w:t>申請時需檢附病歷及病理及影像資料等，經專科醫師事前審查同意後使用。</w:t>
      </w:r>
    </w:p>
    <w:p w14:paraId="48096D8F" w14:textId="573ECFAD" w:rsidR="008216B6" w:rsidRDefault="00DF0C24" w:rsidP="00A812EF">
      <w:pPr>
        <w:ind w:left="991" w:hanging="386"/>
        <w:rPr>
          <w:rFonts w:ascii="標楷體" w:eastAsia="標楷體" w:hAnsi="標楷體"/>
          <w:color w:val="000000"/>
        </w:rPr>
      </w:pPr>
      <w:r>
        <w:rPr>
          <w:rFonts w:ascii="標楷體" w:eastAsia="標楷體" w:hAnsi="標楷體"/>
          <w:color w:val="000000"/>
        </w:rPr>
        <w:t>7.</w:t>
      </w:r>
      <w:r w:rsidR="008216B6" w:rsidRPr="008216B6">
        <w:rPr>
          <w:rFonts w:ascii="標楷體" w:eastAsia="標楷體" w:hAnsi="標楷體" w:hint="eastAsia"/>
          <w:color w:val="000000"/>
        </w:rPr>
        <w:t>合併bendamustine適用於先前未曾接受治療的CD20陽性、第III/IV期和緩性非何杰金氏淋巴瘤。(113/12/1)</w:t>
      </w:r>
    </w:p>
    <w:p w14:paraId="1FB20082" w14:textId="66FD4FF6" w:rsidR="008216B6" w:rsidRDefault="008216B6" w:rsidP="00A812EF">
      <w:pPr>
        <w:ind w:left="991" w:hanging="386"/>
        <w:rPr>
          <w:rFonts w:ascii="標楷體" w:eastAsia="標楷體" w:hAnsi="標楷體"/>
          <w:color w:val="000000"/>
        </w:rPr>
      </w:pPr>
      <w:r>
        <w:rPr>
          <w:rFonts w:ascii="標楷體" w:eastAsia="標楷體" w:hAnsi="標楷體" w:hint="eastAsia"/>
          <w:color w:val="000000"/>
        </w:rPr>
        <w:t>8.</w:t>
      </w:r>
      <w:r w:rsidRPr="008216B6">
        <w:rPr>
          <w:rFonts w:ascii="標楷體" w:eastAsia="標楷體" w:hAnsi="標楷體" w:hint="eastAsia"/>
          <w:color w:val="000000"/>
        </w:rPr>
        <w:t>合併bendamustine用於先前未曾接受治療且不適合自體幹細胞移植的第III/IV期被套細胞淋巴瘤。(113/12/1)</w:t>
      </w:r>
    </w:p>
    <w:p w14:paraId="4653604C" w14:textId="439D255D" w:rsidR="00BD776B" w:rsidRDefault="008216B6" w:rsidP="00A812EF">
      <w:pPr>
        <w:ind w:left="991" w:hanging="386"/>
        <w:rPr>
          <w:rFonts w:ascii="標楷體" w:eastAsia="標楷體" w:hAnsi="標楷體"/>
          <w:color w:val="000000"/>
        </w:rPr>
      </w:pPr>
      <w:r>
        <w:rPr>
          <w:rFonts w:ascii="標楷體" w:eastAsia="標楷體" w:hAnsi="標楷體" w:hint="eastAsia"/>
          <w:color w:val="000000"/>
        </w:rPr>
        <w:t>9.</w:t>
      </w:r>
      <w:r w:rsidRPr="008216B6">
        <w:rPr>
          <w:rFonts w:ascii="標楷體" w:eastAsia="標楷體" w:hAnsi="標楷體" w:hint="eastAsia"/>
          <w:color w:val="000000"/>
        </w:rPr>
        <w:t>使用於1、4、5、6、7及8病人時，需經事前審查核准後使用。(102/1/1、103/2/1、103/9/1、113/12/1)</w:t>
      </w:r>
    </w:p>
    <w:p w14:paraId="07A21D01" w14:textId="77777777" w:rsidR="00BD776B" w:rsidRDefault="00DF0C24">
      <w:pPr>
        <w:ind w:left="672" w:hanging="386"/>
      </w:pPr>
      <w:r>
        <w:rPr>
          <w:rFonts w:ascii="標楷體" w:eastAsia="標楷體" w:hAnsi="標楷體"/>
          <w:color w:val="000000"/>
        </w:rPr>
        <w:t>9.21.Fludarabine(如Fludara Oral, Film-Coated Tablet及Fludara Lyophilized IV Injection)：(92/12/1、93/3/1、94/10/1、99/10/1</w:t>
      </w:r>
      <w:r>
        <w:rPr>
          <w:rFonts w:ascii="新細明體" w:hAnsi="新細明體"/>
          <w:kern w:val="0"/>
          <w:szCs w:val="24"/>
        </w:rPr>
        <w:t>、</w:t>
      </w:r>
      <w:r>
        <w:rPr>
          <w:rFonts w:ascii="標楷體" w:eastAsia="標楷體" w:hAnsi="標楷體"/>
          <w:kern w:val="0"/>
          <w:szCs w:val="24"/>
        </w:rPr>
        <w:lastRenderedPageBreak/>
        <w:t>106/11/1</w:t>
      </w:r>
      <w:r>
        <w:rPr>
          <w:rFonts w:ascii="標楷體" w:eastAsia="標楷體" w:hAnsi="標楷體"/>
          <w:color w:val="000000"/>
        </w:rPr>
        <w:t>)</w:t>
      </w:r>
    </w:p>
    <w:p w14:paraId="713F5739" w14:textId="77777777" w:rsidR="00BD776B" w:rsidRDefault="00DF0C24">
      <w:pPr>
        <w:ind w:left="811" w:hanging="245"/>
        <w:rPr>
          <w:rFonts w:ascii="標楷體" w:eastAsia="標楷體" w:hAnsi="標楷體"/>
          <w:color w:val="000000"/>
        </w:rPr>
      </w:pPr>
      <w:r>
        <w:rPr>
          <w:rFonts w:ascii="標楷體" w:eastAsia="標楷體" w:hAnsi="標楷體"/>
          <w:color w:val="000000"/>
        </w:rPr>
        <w:t>1.用於B-細胞慢性淋巴性白血病（CLL）病患的起始治療及CLL與低惡性度B細胞非何杰金氏淋巴瘤(Indolent B-Cell NHL)病患，歷經至少一種標準內容的烷化基藥劑（alkylating agent）的治療方法都無效，或治療後雖有效但隨後疾病又繼續惡化的病人。</w:t>
      </w:r>
    </w:p>
    <w:p w14:paraId="260217D3" w14:textId="77777777" w:rsidR="00BD776B" w:rsidRDefault="00DF0C24">
      <w:pPr>
        <w:ind w:left="811" w:hanging="245"/>
        <w:rPr>
          <w:rFonts w:ascii="標楷體" w:eastAsia="標楷體" w:hAnsi="標楷體"/>
          <w:color w:val="000000"/>
        </w:rPr>
      </w:pPr>
      <w:r>
        <w:rPr>
          <w:rFonts w:ascii="標楷體" w:eastAsia="標楷體" w:hAnsi="標楷體"/>
          <w:color w:val="000000"/>
        </w:rPr>
        <w:t>2.以本品作為第一線治療，限用於(94/10/1)。</w:t>
      </w:r>
    </w:p>
    <w:p w14:paraId="3958C5B5" w14:textId="77777777" w:rsidR="00BD776B" w:rsidRDefault="00DF0C24">
      <w:pPr>
        <w:ind w:left="1049" w:hanging="341"/>
        <w:rPr>
          <w:rFonts w:ascii="標楷體" w:eastAsia="標楷體" w:hAnsi="標楷體"/>
          <w:color w:val="000000"/>
        </w:rPr>
      </w:pPr>
      <w:r>
        <w:rPr>
          <w:rFonts w:ascii="標楷體" w:eastAsia="標楷體" w:hAnsi="標楷體"/>
          <w:color w:val="000000"/>
        </w:rPr>
        <w:t>(1)Rai Stage Ⅲ/IV(或Binet C級)之CLL病人。若用於Rai Stage I/II(或Binet A/B級)併有疾病相關免疫性症候(如自體免疫性溶血、免疫性血小板低下紫瘢症等)的病人時，需經過至少一種標準的烷化基劑治療無效或病情惡化者。</w:t>
      </w:r>
    </w:p>
    <w:p w14:paraId="1DA5723E" w14:textId="77777777" w:rsidR="00BD776B" w:rsidRDefault="00DF0C24">
      <w:pPr>
        <w:ind w:left="1049" w:hanging="341"/>
        <w:rPr>
          <w:rFonts w:ascii="標楷體" w:eastAsia="標楷體" w:hAnsi="標楷體"/>
          <w:color w:val="000000"/>
        </w:rPr>
      </w:pPr>
      <w:r>
        <w:rPr>
          <w:rFonts w:ascii="標楷體" w:eastAsia="標楷體" w:hAnsi="標楷體"/>
          <w:color w:val="000000"/>
        </w:rPr>
        <w:t>(2)每3個療程需進行療效評估，病歷應留存評估紀錄，無疾病惡化方可繼續使用。(106/11/1)</w:t>
      </w:r>
    </w:p>
    <w:p w14:paraId="6F1C84EB" w14:textId="28AB0D8E" w:rsidR="00BD776B" w:rsidRDefault="00DF0C24">
      <w:pPr>
        <w:ind w:left="672" w:hanging="386"/>
      </w:pPr>
      <w:r>
        <w:rPr>
          <w:rFonts w:ascii="標楷體" w:eastAsia="標楷體" w:hAnsi="標楷體"/>
          <w:color w:val="000000"/>
        </w:rPr>
        <w:t>9.22.Imatinib(如Glivec)：</w:t>
      </w:r>
      <w:r>
        <w:rPr>
          <w:rFonts w:ascii="標楷體" w:hAnsi="標楷體"/>
          <w:color w:val="000000"/>
        </w:rPr>
        <w:t>(91/5/1</w:t>
      </w:r>
      <w:r>
        <w:rPr>
          <w:rFonts w:ascii="標楷體" w:hAnsi="標楷體"/>
          <w:color w:val="000000"/>
        </w:rPr>
        <w:t>、</w:t>
      </w:r>
      <w:r>
        <w:rPr>
          <w:rFonts w:ascii="標楷體" w:hAnsi="標楷體"/>
          <w:color w:val="000000"/>
        </w:rPr>
        <w:t>93/7/1</w:t>
      </w:r>
      <w:r>
        <w:rPr>
          <w:rFonts w:ascii="標楷體" w:hAnsi="標楷體"/>
          <w:color w:val="000000"/>
        </w:rPr>
        <w:t>、</w:t>
      </w:r>
      <w:r>
        <w:rPr>
          <w:rFonts w:ascii="標楷體" w:hAnsi="標楷體"/>
          <w:color w:val="000000"/>
        </w:rPr>
        <w:t>97/8/1</w:t>
      </w:r>
      <w:r>
        <w:rPr>
          <w:rFonts w:ascii="標楷體" w:hAnsi="標楷體"/>
          <w:color w:val="000000"/>
        </w:rPr>
        <w:t>、</w:t>
      </w:r>
      <w:r>
        <w:rPr>
          <w:rFonts w:ascii="標楷體" w:hAnsi="標楷體"/>
          <w:color w:val="000000"/>
        </w:rPr>
        <w:t>99/6/1</w:t>
      </w:r>
      <w:r>
        <w:rPr>
          <w:rFonts w:ascii="標楷體" w:hAnsi="標楷體"/>
          <w:color w:val="000000"/>
        </w:rPr>
        <w:t>、</w:t>
      </w:r>
      <w:r>
        <w:rPr>
          <w:rFonts w:ascii="標楷體" w:hAnsi="標楷體"/>
          <w:color w:val="000000"/>
        </w:rPr>
        <w:t>100/2/1</w:t>
      </w:r>
      <w:r>
        <w:rPr>
          <w:rFonts w:ascii="標楷體" w:hAnsi="標楷體"/>
          <w:color w:val="000000"/>
        </w:rPr>
        <w:t>、</w:t>
      </w:r>
      <w:r>
        <w:rPr>
          <w:rFonts w:ascii="標楷體" w:hAnsi="標楷體"/>
          <w:color w:val="000000"/>
        </w:rPr>
        <w:t>102/9/1</w:t>
      </w:r>
      <w:r w:rsidR="00300566">
        <w:rPr>
          <w:rFonts w:ascii="標楷體" w:hAnsi="標楷體" w:hint="eastAsia"/>
          <w:color w:val="000000"/>
        </w:rPr>
        <w:t>、</w:t>
      </w:r>
      <w:r w:rsidR="00300566">
        <w:rPr>
          <w:rFonts w:ascii="標楷體" w:hAnsi="標楷體" w:hint="eastAsia"/>
          <w:color w:val="000000"/>
        </w:rPr>
        <w:t>113/6/1</w:t>
      </w:r>
      <w:r>
        <w:rPr>
          <w:rFonts w:ascii="標楷體" w:hAnsi="標楷體"/>
          <w:color w:val="000000"/>
        </w:rPr>
        <w:t>)</w:t>
      </w:r>
      <w:r>
        <w:rPr>
          <w:rFonts w:ascii="標楷體" w:eastAsia="標楷體" w:hAnsi="標楷體"/>
          <w:color w:val="000000"/>
        </w:rPr>
        <w:t>附表九之八</w:t>
      </w:r>
    </w:p>
    <w:p w14:paraId="342427C1" w14:textId="77777777" w:rsidR="00BD776B" w:rsidRDefault="00DF0C24">
      <w:pPr>
        <w:ind w:left="798" w:hanging="1"/>
        <w:rPr>
          <w:rFonts w:ascii="標楷體" w:eastAsia="標楷體" w:hAnsi="標楷體"/>
          <w:color w:val="000000"/>
        </w:rPr>
      </w:pPr>
      <w:r>
        <w:rPr>
          <w:rFonts w:ascii="標楷體" w:eastAsia="標楷體" w:hAnsi="標楷體"/>
          <w:color w:val="000000"/>
        </w:rPr>
        <w:t>限用於</w:t>
      </w:r>
    </w:p>
    <w:p w14:paraId="6A15DEAB" w14:textId="77777777" w:rsidR="00BD776B" w:rsidRDefault="00DF0C24">
      <w:pPr>
        <w:ind w:left="811" w:hanging="245"/>
        <w:rPr>
          <w:rFonts w:ascii="標楷體" w:eastAsia="標楷體" w:hAnsi="標楷體"/>
          <w:color w:val="000000"/>
        </w:rPr>
      </w:pPr>
      <w:r>
        <w:rPr>
          <w:rFonts w:ascii="標楷體" w:eastAsia="標楷體" w:hAnsi="標楷體"/>
          <w:color w:val="000000"/>
        </w:rPr>
        <w:t>1.治療正值急性轉化期(blast crisis)、加速期或經ALPHA-干擾素治療無效之慢性期的慢性骨髓性白血病(CML)患者使用。</w:t>
      </w:r>
    </w:p>
    <w:p w14:paraId="640C31DE" w14:textId="77777777" w:rsidR="00BD776B" w:rsidRDefault="00DF0C24">
      <w:pPr>
        <w:ind w:left="811" w:hanging="245"/>
        <w:rPr>
          <w:rFonts w:ascii="標楷體" w:eastAsia="標楷體" w:hAnsi="標楷體"/>
          <w:color w:val="000000"/>
        </w:rPr>
      </w:pPr>
      <w:r>
        <w:rPr>
          <w:rFonts w:ascii="標楷體" w:eastAsia="標楷體" w:hAnsi="標楷體"/>
          <w:color w:val="000000"/>
        </w:rPr>
        <w:t>2.用於治療初期診斷為慢性骨髓性白血病（CML）的病人。</w:t>
      </w:r>
    </w:p>
    <w:p w14:paraId="42E1F321" w14:textId="77777777" w:rsidR="00BD776B" w:rsidRDefault="00DF0C24">
      <w:pPr>
        <w:ind w:left="811" w:hanging="245"/>
        <w:rPr>
          <w:rFonts w:ascii="標楷體" w:eastAsia="標楷體" w:hAnsi="標楷體"/>
          <w:color w:val="000000"/>
        </w:rPr>
      </w:pPr>
      <w:r>
        <w:rPr>
          <w:rFonts w:ascii="標楷體" w:eastAsia="標楷體" w:hAnsi="標楷體"/>
          <w:color w:val="000000"/>
        </w:rPr>
        <w:t>3.惡性胃腸道基質瘤(GIST)：</w:t>
      </w:r>
    </w:p>
    <w:p w14:paraId="71391EE3" w14:textId="77777777" w:rsidR="00BD776B" w:rsidRDefault="00DF0C24">
      <w:pPr>
        <w:ind w:left="1049" w:hanging="341"/>
        <w:rPr>
          <w:rFonts w:ascii="標楷體" w:eastAsia="標楷體" w:hAnsi="標楷體"/>
          <w:color w:val="000000"/>
        </w:rPr>
      </w:pPr>
      <w:r>
        <w:rPr>
          <w:rFonts w:ascii="標楷體" w:eastAsia="標楷體" w:hAnsi="標楷體"/>
          <w:color w:val="000000"/>
        </w:rPr>
        <w:t>(1)治療成年人無法手術切除或轉移的惡性胃腸道基質瘤。</w:t>
      </w:r>
    </w:p>
    <w:p w14:paraId="3762EBDE" w14:textId="77777777" w:rsidR="00BD776B" w:rsidRDefault="00DF0C24">
      <w:pPr>
        <w:ind w:left="1049" w:hanging="341"/>
      </w:pPr>
      <w:r>
        <w:rPr>
          <w:rFonts w:ascii="標楷體" w:eastAsia="標楷體" w:hAnsi="標楷體"/>
          <w:color w:val="000000"/>
        </w:rPr>
        <w:t>(2)作為成人胃腸道基質瘤完全切除後之術後輔助治療，符合下列一項條件可使用3年，須事前審查核准後使用。(100/2/1</w:t>
      </w:r>
      <w:r>
        <w:rPr>
          <w:rFonts w:ascii="標楷體" w:hAnsi="標楷體"/>
          <w:color w:val="000000"/>
        </w:rPr>
        <w:t>、</w:t>
      </w:r>
      <w:r>
        <w:rPr>
          <w:rFonts w:ascii="標楷體" w:hAnsi="標楷體"/>
          <w:color w:val="000000"/>
        </w:rPr>
        <w:t>102/9/1</w:t>
      </w:r>
      <w:r>
        <w:rPr>
          <w:rFonts w:ascii="標楷體" w:eastAsia="標楷體" w:hAnsi="標楷體"/>
          <w:color w:val="000000"/>
        </w:rPr>
        <w:t>)</w:t>
      </w:r>
    </w:p>
    <w:p w14:paraId="68FF71CC" w14:textId="77777777" w:rsidR="00BD776B" w:rsidRDefault="00DF0C24">
      <w:pPr>
        <w:ind w:left="1049" w:firstLine="84"/>
        <w:rPr>
          <w:rFonts w:ascii="標楷體" w:eastAsia="標楷體" w:hAnsi="標楷體"/>
          <w:color w:val="000000"/>
        </w:rPr>
      </w:pPr>
      <w:r>
        <w:rPr>
          <w:rFonts w:ascii="標楷體" w:eastAsia="標楷體" w:hAnsi="標楷體"/>
          <w:color w:val="000000"/>
        </w:rPr>
        <w:t>A.腫瘤大於10公分。</w:t>
      </w:r>
    </w:p>
    <w:p w14:paraId="2ABD8A42" w14:textId="77777777" w:rsidR="00BD776B" w:rsidRDefault="00DF0C24">
      <w:pPr>
        <w:ind w:left="1049" w:firstLine="84"/>
        <w:rPr>
          <w:rFonts w:ascii="標楷體" w:eastAsia="標楷體" w:hAnsi="標楷體"/>
          <w:color w:val="000000"/>
        </w:rPr>
      </w:pPr>
      <w:r>
        <w:rPr>
          <w:rFonts w:ascii="標楷體" w:eastAsia="標楷體" w:hAnsi="標楷體"/>
          <w:color w:val="000000"/>
        </w:rPr>
        <w:t>B.有絲分裂指數&gt;10/50 HPF(high power field)。</w:t>
      </w:r>
    </w:p>
    <w:p w14:paraId="446DD613" w14:textId="77777777" w:rsidR="00BD776B" w:rsidRDefault="00DF0C24">
      <w:pPr>
        <w:ind w:left="1049" w:firstLine="84"/>
        <w:rPr>
          <w:rFonts w:ascii="標楷體" w:eastAsia="標楷體" w:hAnsi="標楷體"/>
          <w:color w:val="000000"/>
        </w:rPr>
      </w:pPr>
      <w:r>
        <w:rPr>
          <w:rFonts w:ascii="標楷體" w:eastAsia="標楷體" w:hAnsi="標楷體"/>
          <w:color w:val="000000"/>
        </w:rPr>
        <w:t>C.腫瘤大於5公分且有絲分裂指數&gt;5/50 HPF(high power field)。</w:t>
      </w:r>
    </w:p>
    <w:p w14:paraId="44BA7769" w14:textId="77777777" w:rsidR="00BD776B" w:rsidRDefault="00DF0C24">
      <w:pPr>
        <w:ind w:left="1049" w:firstLine="84"/>
        <w:rPr>
          <w:rFonts w:ascii="標楷體" w:eastAsia="標楷體" w:hAnsi="標楷體"/>
          <w:color w:val="000000"/>
        </w:rPr>
      </w:pPr>
      <w:r>
        <w:rPr>
          <w:rFonts w:ascii="標楷體" w:eastAsia="標楷體" w:hAnsi="標楷體"/>
          <w:color w:val="000000"/>
        </w:rPr>
        <w:t>D.腫瘤破裂。</w:t>
      </w:r>
    </w:p>
    <w:p w14:paraId="4083CF30" w14:textId="77777777" w:rsidR="00BD776B" w:rsidRDefault="00DF0C24">
      <w:pPr>
        <w:ind w:left="811" w:hanging="245"/>
        <w:rPr>
          <w:rFonts w:ascii="標楷體" w:eastAsia="標楷體" w:hAnsi="標楷體"/>
          <w:color w:val="000000"/>
        </w:rPr>
      </w:pPr>
      <w:r>
        <w:rPr>
          <w:rFonts w:ascii="標楷體" w:eastAsia="標楷體" w:hAnsi="標楷體"/>
          <w:color w:val="000000"/>
        </w:rPr>
        <w:t>4.治療初診斷為費城染色體陽性急性淋巴性白血病（Ph+ALL)且併用化療之成年人。(99/6/1)</w:t>
      </w:r>
    </w:p>
    <w:p w14:paraId="1BB02853" w14:textId="77777777" w:rsidR="00BD776B" w:rsidRDefault="00DF0C24">
      <w:pPr>
        <w:ind w:left="811" w:hanging="245"/>
        <w:rPr>
          <w:rFonts w:ascii="標楷體" w:eastAsia="標楷體" w:hAnsi="標楷體"/>
          <w:color w:val="000000"/>
        </w:rPr>
      </w:pPr>
      <w:r>
        <w:rPr>
          <w:rFonts w:ascii="標楷體" w:eastAsia="標楷體" w:hAnsi="標楷體"/>
          <w:color w:val="000000"/>
        </w:rPr>
        <w:t>5.未曾使用imatinib治療之成人復發性或難治性費城染色體陽性急性淋巴性白血病(Ph+ALL)之單一療法。(99/6/1)</w:t>
      </w:r>
    </w:p>
    <w:p w14:paraId="5007C15B" w14:textId="77777777" w:rsidR="00BD776B" w:rsidRDefault="00DF0C24">
      <w:pPr>
        <w:ind w:left="811" w:hanging="245"/>
        <w:rPr>
          <w:rFonts w:ascii="標楷體" w:eastAsia="標楷體" w:hAnsi="標楷體"/>
          <w:color w:val="000000"/>
        </w:rPr>
      </w:pPr>
      <w:r>
        <w:rPr>
          <w:rFonts w:ascii="標楷體" w:eastAsia="標楷體" w:hAnsi="標楷體"/>
          <w:color w:val="000000"/>
        </w:rPr>
        <w:t>6.下列適應症患者必須在第一線的藥物如hydroxyurea; corticosteroid等無效後，經事前審查核准才可使用，且每6個月需重新申請審查。(99/6/1)</w:t>
      </w:r>
    </w:p>
    <w:p w14:paraId="5491ABA8" w14:textId="77777777" w:rsidR="00BD776B" w:rsidRDefault="00DF0C24">
      <w:pPr>
        <w:ind w:left="1049" w:hanging="341"/>
        <w:rPr>
          <w:rFonts w:ascii="標楷體" w:eastAsia="標楷體" w:hAnsi="標楷體"/>
          <w:color w:val="000000"/>
        </w:rPr>
      </w:pPr>
      <w:r>
        <w:rPr>
          <w:rFonts w:ascii="標楷體" w:eastAsia="標楷體" w:hAnsi="標楷體"/>
          <w:color w:val="000000"/>
        </w:rPr>
        <w:t>(1)治療患有與血小板衍生生長因子受體（PDGFR)基因重組相關之骨髓發育不全症候群(MDS)/骨髓增生性疾病(MPD)之成人。</w:t>
      </w:r>
    </w:p>
    <w:p w14:paraId="73731F93" w14:textId="77777777" w:rsidR="00BD776B" w:rsidRDefault="00DF0C24">
      <w:pPr>
        <w:ind w:left="1049" w:hanging="341"/>
        <w:rPr>
          <w:rFonts w:ascii="標楷體" w:eastAsia="標楷體" w:hAnsi="標楷體"/>
          <w:color w:val="000000"/>
        </w:rPr>
      </w:pPr>
      <w:r>
        <w:rPr>
          <w:rFonts w:ascii="標楷體" w:eastAsia="標楷體" w:hAnsi="標楷體"/>
          <w:color w:val="000000"/>
        </w:rPr>
        <w:t>(2)治療嗜伊紅性白血球增加症候群(HES)與/或慢性嗜伊紅性白血病(CEL)且有血小板衍生生長因子受體(PDGFR)基因重組之成人患者，且存在器官侵犯証據者。</w:t>
      </w:r>
    </w:p>
    <w:p w14:paraId="228F388D" w14:textId="4533C3B9" w:rsidR="00BD776B" w:rsidRDefault="00DF0C24">
      <w:pPr>
        <w:ind w:left="811" w:hanging="245"/>
        <w:rPr>
          <w:rFonts w:ascii="標楷體" w:eastAsia="標楷體" w:hAnsi="標楷體"/>
          <w:color w:val="000000"/>
        </w:rPr>
      </w:pPr>
      <w:r>
        <w:rPr>
          <w:rFonts w:ascii="標楷體" w:eastAsia="標楷體" w:hAnsi="標楷體"/>
          <w:color w:val="000000"/>
        </w:rPr>
        <w:t>7.治療患有無法手術切除、復發性或轉移性且有血小板衍生生長因子受體(PDGFR)基因重組之隆突性皮膚纖維肉瘤(DFSP)之成人患者。(99/6/1)</w:t>
      </w:r>
    </w:p>
    <w:p w14:paraId="6DE86074" w14:textId="25F6F8E1" w:rsidR="00300566" w:rsidRDefault="00300566">
      <w:pPr>
        <w:ind w:left="811" w:hanging="245"/>
        <w:rPr>
          <w:rFonts w:ascii="標楷體" w:eastAsia="標楷體" w:hAnsi="標楷體"/>
          <w:color w:val="000000"/>
        </w:rPr>
      </w:pPr>
      <w:r w:rsidRPr="00300566">
        <w:rPr>
          <w:rFonts w:ascii="標楷體" w:eastAsia="標楷體" w:hAnsi="標楷體" w:hint="eastAsia"/>
          <w:color w:val="000000"/>
        </w:rPr>
        <w:t>8.1~7項規定內之疾病診斷或追蹤若需依據基因檢測報告，則需符合全民健康保險藥品給付規定之通則十二。(113/6/1)</w:t>
      </w:r>
    </w:p>
    <w:p w14:paraId="6B792D4C" w14:textId="77777777" w:rsidR="00BD776B" w:rsidRDefault="00DF0C24">
      <w:pPr>
        <w:ind w:left="672" w:hanging="386"/>
        <w:rPr>
          <w:rFonts w:ascii="標楷體" w:eastAsia="標楷體" w:hAnsi="標楷體"/>
          <w:color w:val="000000"/>
        </w:rPr>
      </w:pPr>
      <w:r>
        <w:rPr>
          <w:rFonts w:ascii="標楷體" w:eastAsia="標楷體" w:hAnsi="標楷體"/>
          <w:color w:val="000000"/>
        </w:rPr>
        <w:t>9.23.Arsenic trioxide(如Asadin Inj.)：(91/8/1、92/9/1)</w:t>
      </w:r>
    </w:p>
    <w:p w14:paraId="22CB9FAB" w14:textId="77777777" w:rsidR="00BD776B" w:rsidRDefault="00DF0C24">
      <w:pPr>
        <w:ind w:left="798" w:hanging="1"/>
        <w:rPr>
          <w:rFonts w:ascii="標楷體" w:eastAsia="標楷體" w:hAnsi="標楷體"/>
          <w:color w:val="000000"/>
        </w:rPr>
      </w:pPr>
      <w:r>
        <w:rPr>
          <w:rFonts w:ascii="標楷體" w:eastAsia="標楷體" w:hAnsi="標楷體"/>
          <w:color w:val="000000"/>
        </w:rPr>
        <w:t>限用於急性前骨髓細胞白血病患者。</w:t>
      </w:r>
    </w:p>
    <w:p w14:paraId="78B91BB0" w14:textId="7DE31E3A" w:rsidR="00BD776B" w:rsidRDefault="00DF0C24" w:rsidP="00300566">
      <w:pPr>
        <w:ind w:left="672" w:hanging="386"/>
        <w:rPr>
          <w:rFonts w:ascii="標楷體" w:eastAsia="標楷體" w:hAnsi="標楷體"/>
          <w:color w:val="000000"/>
        </w:rPr>
      </w:pPr>
      <w:r>
        <w:rPr>
          <w:rFonts w:ascii="標楷體" w:eastAsia="標楷體" w:hAnsi="標楷體"/>
          <w:color w:val="000000"/>
        </w:rPr>
        <w:t>9.24.Gefitinib(如Iressa):(93/11/1、96/8/1、96/11/1、100/6/1、101/5/1、</w:t>
      </w:r>
      <w:r>
        <w:rPr>
          <w:rFonts w:ascii="標楷體" w:eastAsia="標楷體" w:hAnsi="標楷體"/>
          <w:color w:val="000000"/>
        </w:rPr>
        <w:lastRenderedPageBreak/>
        <w:t>101/10/1、103/5/1、106/11/1、 108/6/1、108/11/1、109/4/1、109/6/1、109/10/1、111/2/1、111/4/1、113/3/1</w:t>
      </w:r>
      <w:r w:rsidR="002D6973">
        <w:rPr>
          <w:rFonts w:ascii="標楷體" w:eastAsia="標楷體" w:hAnsi="標楷體" w:hint="eastAsia"/>
          <w:color w:val="000000"/>
        </w:rPr>
        <w:t>、113/6/1</w:t>
      </w:r>
      <w:r w:rsidR="00066574">
        <w:rPr>
          <w:rFonts w:ascii="標楷體" w:eastAsia="標楷體" w:hAnsi="標楷體" w:hint="eastAsia"/>
          <w:color w:val="000000"/>
        </w:rPr>
        <w:t>、113/10/1</w:t>
      </w:r>
      <w:r>
        <w:rPr>
          <w:rFonts w:ascii="標楷體" w:eastAsia="標楷體" w:hAnsi="標楷體"/>
          <w:color w:val="000000"/>
        </w:rPr>
        <w:t>)</w:t>
      </w:r>
    </w:p>
    <w:p w14:paraId="70683475" w14:textId="77777777" w:rsidR="00BD776B" w:rsidRDefault="00DF0C24">
      <w:pPr>
        <w:ind w:left="1051" w:hanging="245"/>
        <w:rPr>
          <w:rFonts w:ascii="標楷體" w:eastAsia="標楷體" w:hAnsi="標楷體"/>
          <w:color w:val="000000"/>
        </w:rPr>
      </w:pPr>
      <w:r>
        <w:rPr>
          <w:rFonts w:ascii="標楷體" w:eastAsia="標楷體" w:hAnsi="標楷體"/>
          <w:color w:val="000000"/>
        </w:rPr>
        <w:t>1.限單獨使用於</w:t>
      </w:r>
    </w:p>
    <w:p w14:paraId="68B160B7" w14:textId="7EA99703" w:rsidR="00BD776B" w:rsidRDefault="00DF0C24">
      <w:pPr>
        <w:ind w:left="1289" w:hanging="341"/>
        <w:rPr>
          <w:rFonts w:ascii="標楷體" w:eastAsia="標楷體" w:hAnsi="標楷體"/>
          <w:color w:val="000000"/>
        </w:rPr>
      </w:pPr>
      <w:r>
        <w:rPr>
          <w:rFonts w:ascii="標楷體" w:eastAsia="標楷體" w:hAnsi="標楷體"/>
          <w:color w:val="000000"/>
        </w:rPr>
        <w:t>(1)具有EGFR-TK基因突變之局部侵犯性或轉移性(即第ⅢB、ⅢC或第Ⅳ期)之肺腺癌病患之第一線治療，需檢附</w:t>
      </w:r>
      <w:r w:rsidR="003736B1" w:rsidRPr="003736B1">
        <w:rPr>
          <w:rFonts w:ascii="標楷體" w:eastAsia="標楷體" w:hAnsi="標楷體" w:hint="eastAsia"/>
          <w:color w:val="000000"/>
        </w:rPr>
        <w:t>EGFR基因檢測結果報告，且需符合全民健康保險藥品給付規定之通則十二。(100/6/1、108/6/1、108/11/1、113/6/1)</w:t>
      </w:r>
    </w:p>
    <w:p w14:paraId="77D84231" w14:textId="77777777" w:rsidR="00BD776B" w:rsidRDefault="00DF0C24">
      <w:pPr>
        <w:ind w:left="1289" w:hanging="341"/>
        <w:rPr>
          <w:rFonts w:ascii="標楷體" w:eastAsia="標楷體" w:hAnsi="標楷體"/>
          <w:color w:val="000000"/>
        </w:rPr>
      </w:pPr>
      <w:r>
        <w:rPr>
          <w:rFonts w:ascii="標楷體" w:eastAsia="標楷體" w:hAnsi="標楷體"/>
          <w:color w:val="000000"/>
        </w:rPr>
        <w:t>(2)先前已使用過第一線含鉑化學治療，或70歲以上接受過第一線化學治療，但仍局部惡化或轉移之肺腺癌。(96/11/1、100/6/1、111/2/1)</w:t>
      </w:r>
    </w:p>
    <w:p w14:paraId="3E70395A" w14:textId="77777777" w:rsidR="00BD776B" w:rsidRDefault="00DF0C24">
      <w:pPr>
        <w:ind w:left="1051" w:hanging="245"/>
        <w:rPr>
          <w:rFonts w:ascii="標楷體" w:eastAsia="標楷體" w:hAnsi="標楷體"/>
          <w:color w:val="000000"/>
        </w:rPr>
      </w:pPr>
      <w:r>
        <w:rPr>
          <w:rFonts w:ascii="標楷體" w:eastAsia="標楷體" w:hAnsi="標楷體"/>
          <w:color w:val="000000"/>
        </w:rPr>
        <w:t>2.使用注意事項(106/11/1、109/4/1、109/10/1、111/4/1、113/3/1）</w:t>
      </w:r>
    </w:p>
    <w:p w14:paraId="72550CBB" w14:textId="77777777" w:rsidR="00BD776B" w:rsidRDefault="00DF0C24">
      <w:pPr>
        <w:ind w:left="1289" w:hanging="341"/>
        <w:rPr>
          <w:rFonts w:ascii="標楷體" w:eastAsia="標楷體" w:hAnsi="標楷體"/>
          <w:color w:val="000000"/>
        </w:rPr>
      </w:pPr>
      <w:r>
        <w:rPr>
          <w:rFonts w:ascii="標楷體" w:eastAsia="標楷體" w:hAnsi="標楷體"/>
          <w:color w:val="000000"/>
        </w:rPr>
        <w:t>(1)用於第一線用藥：病歷應留存確實患有肺腺癌之病理或細胞檢查報告，及EGFR-TK基因突變檢測報告。(100/6/1、106/11/1)</w:t>
      </w:r>
    </w:p>
    <w:p w14:paraId="43D6565F" w14:textId="77777777" w:rsidR="00BD776B" w:rsidRDefault="00DF0C24">
      <w:pPr>
        <w:ind w:left="1289" w:hanging="341"/>
      </w:pPr>
      <w:r>
        <w:rPr>
          <w:rFonts w:ascii="標楷體" w:eastAsia="標楷體" w:hAnsi="標楷體"/>
          <w:color w:val="000000"/>
        </w:rPr>
        <w:t>(2)</w:t>
      </w:r>
      <w:r>
        <w:rPr>
          <w:rFonts w:ascii="標楷體" w:eastAsia="標楷體" w:hAnsi="標楷體"/>
          <w:kern w:val="0"/>
          <w:szCs w:val="24"/>
        </w:rPr>
        <w:t>用於第二線以上用藥：病歷應留存確實患有肺腺癌之病理或細胞檢查報告，並附曾經接受第一線含鉑化學治療，或70歲(含)以上接受過第一線化學治療之證明，及目前又有疾病惡化之影像診斷證明（如胸部X光、電腦斷層或其他可作為評估的影像），此影像證明以可測量（measurable）的病灶為優先，如沒有可以測量的病灶，則可評估（evaluable）的病灶亦可採用。(96/11/1、100/6/1、101/10/1、106/11/1)</w:t>
      </w:r>
    </w:p>
    <w:p w14:paraId="10BC5ED8" w14:textId="77777777" w:rsidR="00BD776B" w:rsidRDefault="00DF0C24">
      <w:pPr>
        <w:ind w:left="1289" w:hanging="341"/>
      </w:pPr>
      <w:r>
        <w:rPr>
          <w:rFonts w:ascii="標楷體" w:eastAsia="標楷體" w:hAnsi="標楷體"/>
          <w:color w:val="000000"/>
        </w:rPr>
        <w:t>(3)</w:t>
      </w:r>
      <w:r>
        <w:rPr>
          <w:rFonts w:ascii="標楷體" w:eastAsia="標楷體" w:hAnsi="標楷體"/>
          <w:kern w:val="0"/>
          <w:szCs w:val="24"/>
        </w:rPr>
        <w:t>每次處方以4週為限，再次處方時需於病歷記錄治療後相關臨床資料，如每4週需追蹤胸部X光或電腦斷層等影像檢查</w:t>
      </w:r>
      <w:r>
        <w:rPr>
          <w:rFonts w:ascii="新細明體" w:hAnsi="新細明體"/>
          <w:kern w:val="0"/>
          <w:szCs w:val="24"/>
        </w:rPr>
        <w:t>，</w:t>
      </w:r>
      <w:r>
        <w:rPr>
          <w:rFonts w:ascii="標楷體" w:eastAsia="標楷體" w:hAnsi="標楷體"/>
          <w:kern w:val="0"/>
          <w:szCs w:val="24"/>
        </w:rPr>
        <w:t>每8至12週需進行完整療效評估（如胸部X光或電腦斷層）。(101/5/1、106/11/1)</w:t>
      </w:r>
    </w:p>
    <w:p w14:paraId="258F4043" w14:textId="77777777" w:rsidR="00BD776B" w:rsidRDefault="00DF0C24">
      <w:pPr>
        <w:ind w:left="1289" w:hanging="341"/>
      </w:pPr>
      <w:r>
        <w:rPr>
          <w:rFonts w:ascii="標楷體" w:eastAsia="標楷體" w:hAnsi="標楷體"/>
          <w:kern w:val="0"/>
        </w:rPr>
        <w:t>(4)本藥品與erlotinib及afatinib不得併用。(96/8/1、103/5/1</w:t>
      </w:r>
      <w:r>
        <w:rPr>
          <w:rFonts w:ascii="標楷體" w:eastAsia="標楷體" w:hAnsi="標楷體"/>
        </w:rPr>
        <w:t>、109/4/1</w:t>
      </w:r>
      <w:r>
        <w:rPr>
          <w:rFonts w:ascii="標楷體" w:eastAsia="標楷體" w:hAnsi="標楷體"/>
          <w:kern w:val="0"/>
        </w:rPr>
        <w:t>)</w:t>
      </w:r>
    </w:p>
    <w:p w14:paraId="03A1223C" w14:textId="7BD0E2EA" w:rsidR="00BD776B" w:rsidRDefault="00DF0C24">
      <w:pPr>
        <w:ind w:left="1289" w:hanging="341"/>
        <w:rPr>
          <w:rFonts w:ascii="標楷體" w:eastAsia="標楷體" w:hAnsi="標楷體"/>
          <w:kern w:val="0"/>
        </w:rPr>
      </w:pPr>
      <w:r>
        <w:rPr>
          <w:rFonts w:ascii="標楷體" w:eastAsia="標楷體" w:hAnsi="標楷體"/>
          <w:kern w:val="0"/>
        </w:rPr>
        <w:t>(5)本藥品於第一線使用時，與osimertinib、dacomitinib及bevacizumab併用erlotinib之治療組合僅得擇一使用，除因耐受性不良，不得互換。(109/6/1、109/10/1、111/4/1、113/3/1</w:t>
      </w:r>
      <w:r w:rsidR="00AB7720">
        <w:rPr>
          <w:rFonts w:ascii="標楷體" w:eastAsia="標楷體" w:hAnsi="標楷體" w:hint="eastAsia"/>
          <w:kern w:val="0"/>
        </w:rPr>
        <w:t>、113/10/1</w:t>
      </w:r>
      <w:r>
        <w:rPr>
          <w:rFonts w:ascii="標楷體" w:eastAsia="標楷體" w:hAnsi="標楷體"/>
          <w:kern w:val="0"/>
        </w:rPr>
        <w:t>)</w:t>
      </w:r>
    </w:p>
    <w:p w14:paraId="57AB0DBE" w14:textId="722E9F54" w:rsidR="00BD776B" w:rsidRDefault="00DF0C24">
      <w:pPr>
        <w:ind w:left="1654" w:hanging="336"/>
      </w:pPr>
      <w:r>
        <w:rPr>
          <w:rFonts w:ascii="標楷體" w:eastAsia="標楷體" w:hAnsi="標楷體"/>
        </w:rPr>
        <w:t>Ⅰ.</w:t>
      </w:r>
      <w:r w:rsidR="00B5514D" w:rsidRPr="00B5514D">
        <w:rPr>
          <w:rFonts w:ascii="標楷體" w:eastAsia="標楷體" w:hAnsi="標楷體" w:hint="eastAsia"/>
        </w:rPr>
        <w:t>如需更換使用osimertinib，必須符合osimertinib第一線使用於具有EGFR Exon 19 Del或Exon 21 L858R基因突變之局部侵犯性或轉移性（即為IIIB、IIIC期或第Ⅳ期）肺腺癌病患之限制。(109/6/1、111/4/1、113/10/1)</w:t>
      </w:r>
    </w:p>
    <w:p w14:paraId="583B29D5" w14:textId="77777777" w:rsidR="00BD776B" w:rsidRDefault="00DF0C24">
      <w:pPr>
        <w:ind w:left="1654" w:hanging="336"/>
        <w:rPr>
          <w:rFonts w:ascii="標楷體" w:eastAsia="標楷體" w:hAnsi="標楷體"/>
        </w:rPr>
      </w:pPr>
      <w:r>
        <w:rPr>
          <w:rFonts w:ascii="標楷體" w:eastAsia="標楷體" w:hAnsi="標楷體"/>
        </w:rPr>
        <w:t>Ⅱ.如需更換使用dacomitinib，必須符合dacomitinib第一線使用於具有EGFR-TK Exon 19 Del或Exon 21 L858R點突變，且無腦轉移(non-CNS)之局部侵犯性或轉移性肺腺癌之限制。(109/10/1）</w:t>
      </w:r>
    </w:p>
    <w:p w14:paraId="70C0BB39" w14:textId="77777777" w:rsidR="00BD776B" w:rsidRDefault="00DF0C24">
      <w:pPr>
        <w:ind w:left="1654" w:hanging="336"/>
        <w:rPr>
          <w:rFonts w:ascii="標楷體" w:eastAsia="標楷體" w:hAnsi="標楷體"/>
        </w:rPr>
      </w:pPr>
      <w:r>
        <w:rPr>
          <w:rFonts w:ascii="標楷體" w:eastAsia="標楷體" w:hAnsi="標楷體"/>
        </w:rPr>
        <w:t>Ⅲ.如需更換使用bevacizumab併用erlotinib之治療組合，必須符合bevacizumab第一線使用於具有EGFR Exon 21 L858R突變且腦轉移之無法手術切除的轉移性（第Ⅳ期）非鱗狀非小細胞肺癌肺腺癌之限制。(113/3/1)</w:t>
      </w:r>
    </w:p>
    <w:p w14:paraId="2CDB7AA9" w14:textId="77777777" w:rsidR="00BD776B" w:rsidRDefault="00DF0C24">
      <w:pPr>
        <w:ind w:left="672" w:right="-144" w:hanging="386"/>
        <w:rPr>
          <w:rFonts w:ascii="標楷體" w:eastAsia="標楷體" w:hAnsi="標楷體"/>
          <w:color w:val="000000"/>
        </w:rPr>
      </w:pPr>
      <w:r>
        <w:rPr>
          <w:rFonts w:ascii="標楷體" w:eastAsia="標楷體" w:hAnsi="標楷體"/>
          <w:color w:val="000000"/>
        </w:rPr>
        <w:t>9.25.Temozolomide(如Temodal)：(94/3/1、97/1/1、98/9/1、111/9/1)附表八之二</w:t>
      </w:r>
    </w:p>
    <w:p w14:paraId="7AFD7018" w14:textId="77777777" w:rsidR="00BD776B" w:rsidRDefault="00DF0C24">
      <w:pPr>
        <w:ind w:left="798" w:hanging="1"/>
        <w:rPr>
          <w:rFonts w:ascii="標楷體" w:eastAsia="標楷體" w:hAnsi="標楷體"/>
          <w:color w:val="000000"/>
        </w:rPr>
      </w:pPr>
      <w:r>
        <w:rPr>
          <w:rFonts w:ascii="標楷體" w:eastAsia="標楷體" w:hAnsi="標楷體"/>
          <w:color w:val="000000"/>
        </w:rPr>
        <w:t>限用於</w:t>
      </w:r>
    </w:p>
    <w:p w14:paraId="67C24C97" w14:textId="77777777" w:rsidR="00BD776B" w:rsidRDefault="00DF0C24">
      <w:pPr>
        <w:ind w:left="811" w:hanging="245"/>
        <w:rPr>
          <w:rFonts w:ascii="標楷體" w:eastAsia="標楷體" w:hAnsi="標楷體"/>
          <w:color w:val="000000"/>
        </w:rPr>
      </w:pPr>
      <w:r>
        <w:rPr>
          <w:rFonts w:ascii="標楷體" w:eastAsia="標楷體" w:hAnsi="標楷體"/>
          <w:color w:val="000000"/>
        </w:rPr>
        <w:t>1.經手術或放射線治療後復發之下列病人：</w:t>
      </w:r>
    </w:p>
    <w:p w14:paraId="24013112" w14:textId="77777777" w:rsidR="00BD776B" w:rsidRDefault="00DF0C24">
      <w:pPr>
        <w:ind w:left="1049" w:hanging="341"/>
        <w:rPr>
          <w:rFonts w:ascii="標楷體" w:eastAsia="標楷體" w:hAnsi="標楷體"/>
          <w:color w:val="000000"/>
        </w:rPr>
      </w:pPr>
      <w:r>
        <w:rPr>
          <w:rFonts w:ascii="標楷體" w:eastAsia="標楷體" w:hAnsi="標楷體"/>
          <w:color w:val="000000"/>
        </w:rPr>
        <w:t>(1)退行性星狀細胞瘤(AA-anaplastic astrocytoma)</w:t>
      </w:r>
    </w:p>
    <w:p w14:paraId="5CC44ED0" w14:textId="77777777" w:rsidR="00BD776B" w:rsidRDefault="00DF0C24">
      <w:pPr>
        <w:ind w:left="1049" w:hanging="341"/>
        <w:rPr>
          <w:rFonts w:ascii="標楷體" w:eastAsia="標楷體" w:hAnsi="標楷體"/>
          <w:color w:val="000000"/>
        </w:rPr>
      </w:pPr>
      <w:r>
        <w:rPr>
          <w:rFonts w:ascii="標楷體" w:eastAsia="標楷體" w:hAnsi="標楷體"/>
          <w:color w:val="000000"/>
        </w:rPr>
        <w:t>(2)多形神經膠母細胞瘤(GBM-Glioblastoma multiforme)</w:t>
      </w:r>
    </w:p>
    <w:p w14:paraId="72106224" w14:textId="77777777" w:rsidR="00BD776B" w:rsidRDefault="00DF0C24">
      <w:pPr>
        <w:ind w:left="1049" w:hanging="341"/>
        <w:rPr>
          <w:rFonts w:ascii="標楷體" w:eastAsia="標楷體" w:hAnsi="標楷體"/>
          <w:color w:val="000000"/>
        </w:rPr>
      </w:pPr>
      <w:r>
        <w:rPr>
          <w:rFonts w:ascii="標楷體" w:eastAsia="標楷體" w:hAnsi="標楷體"/>
          <w:color w:val="000000"/>
        </w:rPr>
        <w:t>(3)退行性寡樹突膠質細胞瘤(anaplastic oligodendroglioma)(98/9/1)</w:t>
      </w:r>
    </w:p>
    <w:p w14:paraId="79920473" w14:textId="77777777" w:rsidR="00BD776B" w:rsidRDefault="00DF0C24">
      <w:pPr>
        <w:ind w:left="811" w:hanging="245"/>
        <w:rPr>
          <w:rFonts w:ascii="標楷體" w:eastAsia="標楷體" w:hAnsi="標楷體"/>
          <w:color w:val="000000"/>
        </w:rPr>
      </w:pPr>
      <w:r>
        <w:rPr>
          <w:rFonts w:ascii="標楷體" w:eastAsia="標楷體" w:hAnsi="標楷體"/>
          <w:color w:val="000000"/>
        </w:rPr>
        <w:t>2.新診斷的多形神經膠母細胞瘤，與放射線治療同步進行，然後作為輔助性治</w:t>
      </w:r>
      <w:r>
        <w:rPr>
          <w:rFonts w:ascii="標楷體" w:eastAsia="標楷體" w:hAnsi="標楷體"/>
          <w:color w:val="000000"/>
        </w:rPr>
        <w:lastRenderedPageBreak/>
        <w:t>療。（97/1/1）</w:t>
      </w:r>
    </w:p>
    <w:p w14:paraId="71C195E7" w14:textId="77777777" w:rsidR="00BD776B" w:rsidRDefault="00DF0C24">
      <w:pPr>
        <w:ind w:left="811" w:hanging="245"/>
      </w:pPr>
      <w:r>
        <w:rPr>
          <w:rFonts w:ascii="標楷體" w:eastAsia="標楷體" w:hAnsi="標楷體"/>
          <w:color w:val="000000"/>
        </w:rPr>
        <w:t>3.需經事前審查核准後使用，每日最大劑量200mg/m</w:t>
      </w:r>
      <w:r>
        <w:rPr>
          <w:rFonts w:ascii="標楷體" w:eastAsia="標楷體" w:hAnsi="標楷體"/>
          <w:color w:val="000000"/>
          <w:vertAlign w:val="superscript"/>
        </w:rPr>
        <w:t>2</w:t>
      </w:r>
      <w:r>
        <w:rPr>
          <w:rFonts w:ascii="標楷體" w:eastAsia="標楷體" w:hAnsi="標楷體"/>
          <w:color w:val="000000"/>
        </w:rPr>
        <w:t>。每次申請事前審查之療程以三個月為限，再次申請必須提出客觀證據（如：影像學）證實無惡化，才可繼續使用。(98/9/1、111/9/1)</w:t>
      </w:r>
    </w:p>
    <w:p w14:paraId="2AA0AEF0" w14:textId="77777777" w:rsidR="00BD776B" w:rsidRDefault="00DF0C24">
      <w:pPr>
        <w:ind w:left="672" w:hanging="386"/>
      </w:pPr>
      <w:r>
        <w:rPr>
          <w:rFonts w:ascii="標楷體" w:eastAsia="標楷體" w:hAnsi="標楷體"/>
          <w:color w:val="000000"/>
        </w:rPr>
        <w:t>9.26.</w:t>
      </w:r>
      <w:r>
        <w:rPr>
          <w:rFonts w:ascii="標楷體" w:eastAsia="標楷體" w:hAnsi="標楷體"/>
          <w:kern w:val="0"/>
          <w:szCs w:val="24"/>
        </w:rPr>
        <w:t>P</w:t>
      </w:r>
      <w:r>
        <w:rPr>
          <w:rFonts w:ascii="標楷體" w:eastAsia="標楷體" w:hAnsi="標楷體"/>
          <w:color w:val="000000"/>
        </w:rPr>
        <w:t>emetrexed(如Alimta）：(95/3/1、95/7/1、97/11/1、98/9/1、103/4/1、103/9/1、106/11/1、111/2/1)</w:t>
      </w:r>
    </w:p>
    <w:p w14:paraId="7163F5F1"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w:t>
      </w:r>
    </w:p>
    <w:p w14:paraId="22DF06B4" w14:textId="77777777" w:rsidR="00BD776B" w:rsidRDefault="00DF0C24">
      <w:pPr>
        <w:ind w:left="1049" w:hanging="341"/>
        <w:rPr>
          <w:rFonts w:ascii="標楷體" w:eastAsia="標楷體" w:hAnsi="標楷體"/>
          <w:color w:val="000000"/>
        </w:rPr>
      </w:pPr>
      <w:r>
        <w:rPr>
          <w:rFonts w:ascii="標楷體" w:eastAsia="標楷體" w:hAnsi="標楷體"/>
          <w:color w:val="000000"/>
        </w:rPr>
        <w:t>(1)與cisplatin併用於惡性肋膜間質細胞瘤。</w:t>
      </w:r>
    </w:p>
    <w:p w14:paraId="6110ED72" w14:textId="77777777" w:rsidR="00BD776B" w:rsidRDefault="00DF0C24">
      <w:pPr>
        <w:ind w:left="1049" w:hanging="341"/>
        <w:rPr>
          <w:rFonts w:ascii="標楷體" w:eastAsia="標楷體" w:hAnsi="標楷體"/>
          <w:color w:val="000000"/>
        </w:rPr>
      </w:pPr>
      <w:r>
        <w:rPr>
          <w:rFonts w:ascii="標楷體" w:eastAsia="標楷體" w:hAnsi="標楷體"/>
          <w:color w:val="000000"/>
        </w:rPr>
        <w:t>(2)以含鉑之化學療法治療或70歲以上接受過第一線化學治療，但仍失敗之局部晚期或轉移性非小細胞肺癌病患（顯著鱗狀細胞組織型除外）之單一藥物治療。(95/7/1、97/11/1、98/9/1、111/2/1)</w:t>
      </w:r>
    </w:p>
    <w:p w14:paraId="6172283F" w14:textId="77777777" w:rsidR="00BD776B" w:rsidRDefault="00DF0C24">
      <w:pPr>
        <w:ind w:left="1049" w:hanging="341"/>
        <w:rPr>
          <w:rFonts w:ascii="標楷體" w:eastAsia="標楷體" w:hAnsi="標楷體"/>
          <w:color w:val="000000"/>
        </w:rPr>
      </w:pPr>
      <w:r>
        <w:rPr>
          <w:rFonts w:ascii="標楷體" w:eastAsia="標楷體" w:hAnsi="標楷體"/>
          <w:color w:val="000000"/>
        </w:rPr>
        <w:t>(3)與含鉑類之化學療法併用，作為治療局部晚期或轉移性非小細胞肺癌（顯著鱗狀細胞組織型除外）之第一線化療用藥，且限用於ECOG為0~1之病患。(98/9/1)</w:t>
      </w:r>
    </w:p>
    <w:p w14:paraId="737EE00F" w14:textId="77777777" w:rsidR="00BD776B" w:rsidRDefault="00DF0C24">
      <w:pPr>
        <w:ind w:left="811" w:hanging="245"/>
      </w:pPr>
      <w:r>
        <w:rPr>
          <w:rFonts w:ascii="標楷體" w:eastAsia="標楷體" w:hAnsi="標楷體"/>
          <w:color w:val="000000"/>
        </w:rPr>
        <w:t>2.每4個療程需進行療效評估，病歷應留存評估紀錄，無疾病惡化方可繼續使用。(103/4/1、103/9/1、106/11/1)</w:t>
      </w:r>
    </w:p>
    <w:p w14:paraId="6566A438" w14:textId="6191367D" w:rsidR="00BD776B" w:rsidRDefault="00DF0C24">
      <w:pPr>
        <w:ind w:left="523" w:hanging="240"/>
        <w:rPr>
          <w:rFonts w:ascii="標楷體" w:eastAsia="標楷體" w:hAnsi="標楷體"/>
        </w:rPr>
      </w:pPr>
      <w:r>
        <w:rPr>
          <w:rFonts w:ascii="標楷體" w:eastAsia="標楷體" w:hAnsi="標楷體"/>
        </w:rPr>
        <w:t>9.27.Cetuximab（如Erbitux）：(96/3/1、98/7/1、98/8/1、99/10/1、101/12/1、104/11/1、106/1/1、106/4/1、107/6/1、110/6/1、111/2/1、112/12/1</w:t>
      </w:r>
      <w:r w:rsidR="00AE2E0D">
        <w:rPr>
          <w:rFonts w:ascii="標楷體" w:eastAsia="標楷體" w:hAnsi="標楷體" w:hint="eastAsia"/>
        </w:rPr>
        <w:t>、113/6/1</w:t>
      </w:r>
      <w:r>
        <w:rPr>
          <w:rFonts w:ascii="標楷體" w:eastAsia="標楷體" w:hAnsi="標楷體"/>
        </w:rPr>
        <w:t>)</w:t>
      </w:r>
    </w:p>
    <w:p w14:paraId="2DB6F374" w14:textId="77777777" w:rsidR="00BD776B" w:rsidRDefault="00DF0C24">
      <w:pPr>
        <w:ind w:left="850" w:hanging="341"/>
        <w:rPr>
          <w:rFonts w:ascii="標楷體" w:eastAsia="標楷體" w:hAnsi="標楷體"/>
        </w:rPr>
      </w:pPr>
      <w:r>
        <w:rPr>
          <w:rFonts w:ascii="標楷體" w:eastAsia="標楷體" w:hAnsi="標楷體"/>
        </w:rPr>
        <w:t>1.直腸結腸癌治療部分：</w:t>
      </w:r>
    </w:p>
    <w:p w14:paraId="5EA66D53" w14:textId="7B469E37" w:rsidR="00BD776B" w:rsidRDefault="00DF0C24">
      <w:pPr>
        <w:ind w:left="1049" w:hanging="341"/>
        <w:rPr>
          <w:rFonts w:ascii="標楷體" w:eastAsia="標楷體" w:hAnsi="標楷體"/>
        </w:rPr>
      </w:pPr>
      <w:r>
        <w:rPr>
          <w:rFonts w:ascii="標楷體" w:eastAsia="標楷體" w:hAnsi="標楷體"/>
        </w:rPr>
        <w:t>(1)與FOLFIRI（Folinicacid/ 5-fluorouracil/irinotecan）或FOLFOX（Folinicacid/ 5-fluorouracil/oxaliplatin）合併使用於治療具表皮生長因子受體表現型(EGFR expressing)，RAS基因沒有突變之轉移性直腸結腸癌病患之第一線治療。需檢附</w:t>
      </w:r>
      <w:r w:rsidR="00947B0E" w:rsidRPr="00947B0E">
        <w:rPr>
          <w:rFonts w:ascii="標楷體" w:eastAsia="標楷體" w:hAnsi="標楷體" w:hint="eastAsia"/>
        </w:rPr>
        <w:t>All-RAS基因突變分析檢測報告，且需符合全民健康保險藥品給付規定之通則十二</w:t>
      </w:r>
      <w:r>
        <w:rPr>
          <w:rFonts w:ascii="標楷體" w:eastAsia="標楷體" w:hAnsi="標楷體"/>
        </w:rPr>
        <w:t>。(101/12/1、104/11/1、106/1/1、110/6/1</w:t>
      </w:r>
      <w:r w:rsidR="0072458A">
        <w:rPr>
          <w:rFonts w:ascii="標楷體" w:eastAsia="標楷體" w:hAnsi="標楷體" w:hint="eastAsia"/>
        </w:rPr>
        <w:t>、113/6/1</w:t>
      </w:r>
      <w:r>
        <w:rPr>
          <w:rFonts w:ascii="標楷體" w:eastAsia="標楷體" w:hAnsi="標楷體"/>
        </w:rPr>
        <w:t>)</w:t>
      </w:r>
    </w:p>
    <w:p w14:paraId="31BCEE3B" w14:textId="77777777" w:rsidR="00BD776B" w:rsidRDefault="00DF0C24">
      <w:pPr>
        <w:ind w:left="1414" w:hanging="336"/>
        <w:rPr>
          <w:rFonts w:ascii="標楷體" w:eastAsia="標楷體" w:hAnsi="標楷體"/>
        </w:rPr>
      </w:pPr>
      <w:r>
        <w:rPr>
          <w:rFonts w:ascii="標楷體" w:eastAsia="標楷體" w:hAnsi="標楷體"/>
        </w:rPr>
        <w:t>I.本藥品需經事前審查核准後使用，每次申請事前審查之療程以18週為限，再次申請必須提出客觀證據（如：影像學）證實無惡化，才可繼續使用。</w:t>
      </w:r>
    </w:p>
    <w:p w14:paraId="380C288C" w14:textId="77777777" w:rsidR="00BD776B" w:rsidRDefault="00DF0C24">
      <w:pPr>
        <w:ind w:left="1414" w:hanging="336"/>
        <w:rPr>
          <w:rFonts w:ascii="標楷體" w:eastAsia="標楷體" w:hAnsi="標楷體"/>
        </w:rPr>
      </w:pPr>
      <w:r>
        <w:rPr>
          <w:rFonts w:ascii="標楷體" w:eastAsia="標楷體" w:hAnsi="標楷體"/>
        </w:rPr>
        <w:t>II.Cetuximab與panitumumab二者僅能擇一使用。唯有在無法忍受化療(其副作用)時方可互換，二者使用總療程合併計算，以全部36週為上限。(107/6/1)</w:t>
      </w:r>
    </w:p>
    <w:p w14:paraId="457C57E7" w14:textId="77777777" w:rsidR="00BD776B" w:rsidRDefault="00DF0C24">
      <w:pPr>
        <w:ind w:left="1414" w:hanging="336"/>
        <w:rPr>
          <w:rFonts w:ascii="標楷體" w:eastAsia="標楷體" w:hAnsi="標楷體"/>
        </w:rPr>
      </w:pPr>
      <w:r>
        <w:rPr>
          <w:rFonts w:ascii="標楷體" w:eastAsia="標楷體" w:hAnsi="標楷體"/>
        </w:rPr>
        <w:t>III.本藥品不得與bevacizumab併用。</w:t>
      </w:r>
    </w:p>
    <w:p w14:paraId="4E4518FA" w14:textId="09B1BB1A" w:rsidR="00BD776B" w:rsidRDefault="00DF0C24">
      <w:pPr>
        <w:ind w:left="1049" w:hanging="341"/>
        <w:rPr>
          <w:rFonts w:ascii="標楷體" w:eastAsia="標楷體" w:hAnsi="標楷體"/>
        </w:rPr>
      </w:pPr>
      <w:r>
        <w:rPr>
          <w:rFonts w:ascii="標楷體" w:eastAsia="標楷體" w:hAnsi="標楷體"/>
        </w:rPr>
        <w:t>(2)與irinotecan合併使用，治療已接受過含5-fluorouracil、irinotecan及oxaliplatin二線以上之細胞毒性治療失敗、具有表皮生長因子受體(EGFR)表現型且K-RAS基因沒有突變的轉移性直腸結腸癌的病患。需檢附</w:t>
      </w:r>
      <w:r w:rsidR="00BB1BE8" w:rsidRPr="00BB1BE8">
        <w:rPr>
          <w:rFonts w:ascii="標楷體" w:eastAsia="標楷體" w:hAnsi="標楷體" w:hint="eastAsia"/>
        </w:rPr>
        <w:t>All-RAS基因突變分析檢測報告，且需符合全民健康保險藥品給付規定之通則十二。</w:t>
      </w:r>
      <w:r>
        <w:rPr>
          <w:rFonts w:ascii="標楷體" w:eastAsia="標楷體" w:hAnsi="標楷體"/>
        </w:rPr>
        <w:t>(98/8/1、110/6/1</w:t>
      </w:r>
      <w:r w:rsidR="00BB1BE8">
        <w:rPr>
          <w:rFonts w:ascii="標楷體" w:eastAsia="標楷體" w:hAnsi="標楷體" w:hint="eastAsia"/>
        </w:rPr>
        <w:t>、113/6/1</w:t>
      </w:r>
      <w:r>
        <w:rPr>
          <w:rFonts w:ascii="標楷體" w:eastAsia="標楷體" w:hAnsi="標楷體"/>
        </w:rPr>
        <w:t>)</w:t>
      </w:r>
    </w:p>
    <w:p w14:paraId="4BDC036A" w14:textId="77777777" w:rsidR="00BD776B" w:rsidRDefault="00DF0C24">
      <w:pPr>
        <w:ind w:left="1414" w:hanging="336"/>
        <w:rPr>
          <w:rFonts w:ascii="標楷體" w:eastAsia="標楷體" w:hAnsi="標楷體"/>
        </w:rPr>
      </w:pPr>
      <w:r>
        <w:rPr>
          <w:rFonts w:ascii="標楷體" w:eastAsia="標楷體" w:hAnsi="標楷體"/>
        </w:rPr>
        <w:t>I.本藥品需經事前審查核准後使用，每次申請事前審查之療程以9週為限，再次申請必須提出客觀證據（如：影像學）證實無惡化，才可繼續使用。</w:t>
      </w:r>
    </w:p>
    <w:p w14:paraId="527BD61E" w14:textId="77777777" w:rsidR="00BD776B" w:rsidRDefault="00DF0C24">
      <w:pPr>
        <w:ind w:left="1414" w:hanging="336"/>
      </w:pPr>
      <w:r>
        <w:rPr>
          <w:rFonts w:ascii="標楷體" w:eastAsia="標楷體" w:hAnsi="標楷體"/>
        </w:rPr>
        <w:t>II.使用總療程以18週為上限。</w:t>
      </w:r>
    </w:p>
    <w:p w14:paraId="73D22A37" w14:textId="77777777" w:rsidR="00BD776B" w:rsidRDefault="00DF0C24">
      <w:pPr>
        <w:ind w:left="811" w:hanging="245"/>
        <w:rPr>
          <w:rFonts w:ascii="標楷體" w:eastAsia="標楷體" w:hAnsi="標楷體"/>
          <w:color w:val="000000"/>
        </w:rPr>
      </w:pPr>
      <w:r>
        <w:rPr>
          <w:rFonts w:ascii="標楷體" w:eastAsia="標楷體" w:hAnsi="標楷體"/>
          <w:color w:val="000000"/>
        </w:rPr>
        <w:t>2.口咽癌、下咽癌及喉癌治療部分：(98/7/1、99/10/1、111/2/1)</w:t>
      </w:r>
    </w:p>
    <w:p w14:paraId="60AA80B5" w14:textId="77777777" w:rsidR="00BD776B" w:rsidRDefault="00DF0C24">
      <w:pPr>
        <w:ind w:left="1049" w:hanging="341"/>
        <w:rPr>
          <w:rFonts w:ascii="標楷體" w:eastAsia="標楷體" w:hAnsi="標楷體"/>
          <w:color w:val="000000"/>
        </w:rPr>
      </w:pPr>
      <w:r>
        <w:rPr>
          <w:rFonts w:ascii="標楷體" w:eastAsia="標楷體" w:hAnsi="標楷體"/>
          <w:color w:val="000000"/>
        </w:rPr>
        <w:t>(1)限與放射線療法合併使用於局部晚期之口咽癌、下咽癌及喉癌患者，且符合</w:t>
      </w:r>
      <w:r>
        <w:rPr>
          <w:rFonts w:ascii="標楷體" w:eastAsia="標楷體" w:hAnsi="標楷體"/>
          <w:color w:val="000000"/>
        </w:rPr>
        <w:lastRenderedPageBreak/>
        <w:t>下列條件之一：</w:t>
      </w:r>
    </w:p>
    <w:p w14:paraId="08187BFF" w14:textId="77777777" w:rsidR="00BD776B" w:rsidRDefault="00DF0C24">
      <w:pPr>
        <w:ind w:left="1414" w:hanging="336"/>
      </w:pPr>
      <w:r>
        <w:rPr>
          <w:rFonts w:ascii="標楷體" w:eastAsia="標楷體" w:hAnsi="標楷體"/>
          <w:color w:val="000000"/>
        </w:rPr>
        <w:t>I.</w:t>
      </w:r>
      <w:r>
        <w:t xml:space="preserve"> </w:t>
      </w:r>
      <w:r>
        <w:rPr>
          <w:rFonts w:ascii="標楷體" w:eastAsia="標楷體" w:hAnsi="標楷體"/>
          <w:color w:val="000000"/>
        </w:rPr>
        <w:t>70歲以上(111/2/1)；</w:t>
      </w:r>
    </w:p>
    <w:p w14:paraId="2E5989C1" w14:textId="77777777" w:rsidR="00BD776B" w:rsidRDefault="00DF0C24">
      <w:pPr>
        <w:ind w:left="1414" w:hanging="336"/>
        <w:rPr>
          <w:rFonts w:ascii="標楷體" w:eastAsia="標楷體" w:hAnsi="標楷體"/>
          <w:color w:val="000000"/>
        </w:rPr>
      </w:pPr>
      <w:r>
        <w:rPr>
          <w:rFonts w:ascii="標楷體" w:eastAsia="標楷體" w:hAnsi="標楷體"/>
          <w:color w:val="000000"/>
        </w:rPr>
        <w:t>II.Ccr＜50mL/min；</w:t>
      </w:r>
    </w:p>
    <w:p w14:paraId="3C0679B8" w14:textId="77777777" w:rsidR="00BD776B" w:rsidRDefault="00DF0C24">
      <w:pPr>
        <w:ind w:left="1414" w:hanging="336"/>
        <w:rPr>
          <w:rFonts w:ascii="標楷體" w:eastAsia="標楷體" w:hAnsi="標楷體"/>
          <w:color w:val="000000"/>
        </w:rPr>
      </w:pPr>
      <w:r>
        <w:rPr>
          <w:rFonts w:ascii="標楷體" w:eastAsia="標楷體" w:hAnsi="標楷體"/>
          <w:color w:val="000000"/>
        </w:rPr>
        <w:t>Ⅲ.聽力障礙者(聽力障礙定義為500Hz、1000Hz、2000Hz平均聽力損失大於25分貝)；</w:t>
      </w:r>
    </w:p>
    <w:p w14:paraId="5F78620E" w14:textId="77777777" w:rsidR="00BD776B" w:rsidRDefault="00DF0C24">
      <w:pPr>
        <w:ind w:left="1414" w:hanging="336"/>
        <w:rPr>
          <w:rFonts w:ascii="標楷體" w:eastAsia="標楷體" w:hAnsi="標楷體"/>
          <w:color w:val="000000"/>
        </w:rPr>
      </w:pPr>
      <w:r>
        <w:rPr>
          <w:rFonts w:ascii="標楷體" w:eastAsia="標楷體" w:hAnsi="標楷體"/>
          <w:color w:val="000000"/>
        </w:rPr>
        <w:t>Ⅳ.無法耐受platinum-based化學治療。</w:t>
      </w:r>
    </w:p>
    <w:p w14:paraId="2856A79A" w14:textId="77777777" w:rsidR="00BD776B" w:rsidRDefault="00DF0C24">
      <w:pPr>
        <w:ind w:left="1049" w:hanging="341"/>
        <w:rPr>
          <w:rFonts w:ascii="標楷體" w:eastAsia="標楷體" w:hAnsi="標楷體"/>
          <w:color w:val="000000"/>
        </w:rPr>
      </w:pPr>
      <w:r>
        <w:rPr>
          <w:rFonts w:ascii="標楷體" w:eastAsia="標楷體" w:hAnsi="標楷體"/>
          <w:color w:val="000000"/>
        </w:rPr>
        <w:t>(2)使用總療程以接受8次輸注為上限。</w:t>
      </w:r>
    </w:p>
    <w:p w14:paraId="1F6883BB" w14:textId="77777777" w:rsidR="00BD776B" w:rsidRDefault="00DF0C24">
      <w:pPr>
        <w:ind w:left="1049" w:hanging="341"/>
        <w:rPr>
          <w:rFonts w:ascii="標楷體" w:eastAsia="標楷體" w:hAnsi="標楷體"/>
          <w:color w:val="000000"/>
        </w:rPr>
      </w:pPr>
      <w:r>
        <w:rPr>
          <w:rFonts w:ascii="標楷體" w:eastAsia="標楷體" w:hAnsi="標楷體"/>
          <w:color w:val="000000"/>
        </w:rPr>
        <w:t>(3)需經事前審查核准後使用。</w:t>
      </w:r>
    </w:p>
    <w:p w14:paraId="07926D09" w14:textId="77777777" w:rsidR="00BD776B" w:rsidRDefault="00DF0C24">
      <w:pPr>
        <w:ind w:left="847" w:hanging="283"/>
        <w:rPr>
          <w:rFonts w:ascii="標楷體" w:eastAsia="標楷體" w:hAnsi="標楷體"/>
          <w:color w:val="000000"/>
        </w:rPr>
      </w:pPr>
      <w:r>
        <w:rPr>
          <w:rFonts w:ascii="標楷體" w:eastAsia="標楷體" w:hAnsi="標楷體"/>
          <w:color w:val="000000"/>
        </w:rPr>
        <w:t>3.頭頸癌部分(106/1/1、106/4/1、112/12/1)：</w:t>
      </w:r>
    </w:p>
    <w:p w14:paraId="176DAC6B" w14:textId="77777777" w:rsidR="00BD776B" w:rsidRDefault="00DF0C24">
      <w:pPr>
        <w:ind w:left="1118" w:hanging="410"/>
        <w:rPr>
          <w:rFonts w:ascii="標楷體" w:eastAsia="標楷體" w:hAnsi="標楷體"/>
          <w:color w:val="000000"/>
        </w:rPr>
      </w:pPr>
      <w:r>
        <w:rPr>
          <w:rFonts w:ascii="標楷體" w:eastAsia="標楷體" w:hAnsi="標楷體"/>
          <w:color w:val="000000"/>
        </w:rPr>
        <w:t>(1)限無法接受局部治療之復發及/或轉移性頭頸部鱗狀細胞癌，且未曾申報cetuximab之病患使用。</w:t>
      </w:r>
    </w:p>
    <w:p w14:paraId="657C368C" w14:textId="77777777" w:rsidR="00BD776B" w:rsidRDefault="00DF0C24">
      <w:pPr>
        <w:ind w:left="1049" w:hanging="341"/>
        <w:rPr>
          <w:rFonts w:ascii="標楷體" w:eastAsia="標楷體" w:hAnsi="標楷體"/>
          <w:color w:val="000000"/>
        </w:rPr>
      </w:pPr>
      <w:r>
        <w:rPr>
          <w:rFonts w:ascii="標楷體" w:eastAsia="標楷體" w:hAnsi="標楷體"/>
          <w:color w:val="000000"/>
        </w:rPr>
        <w:t>(2)須經事前審查核准後使用，每位病人使用總療程以18週為限，每9週申請一次，需無疾病惡化情形方得繼續使用。(106/4/1)</w:t>
      </w:r>
    </w:p>
    <w:p w14:paraId="6945831B" w14:textId="77777777" w:rsidR="00BD776B" w:rsidRDefault="00DF0C24">
      <w:pPr>
        <w:ind w:left="1049" w:hanging="341"/>
      </w:pPr>
      <w:r>
        <w:rPr>
          <w:rFonts w:ascii="標楷體" w:eastAsia="標楷體" w:hAnsi="標楷體"/>
          <w:szCs w:val="24"/>
          <w:lang w:bidi="zh-TW"/>
        </w:rPr>
        <w:t>(3)Cetuximab</w:t>
      </w:r>
      <w:r>
        <w:rPr>
          <w:rFonts w:ascii="標楷體" w:eastAsia="標楷體" w:hAnsi="標楷體"/>
          <w:szCs w:val="24"/>
          <w:lang w:val="zh-TW" w:bidi="zh-TW"/>
        </w:rPr>
        <w:t>與免疫檢查點抑制劑僅能擇一使用，且治療失敗時不可互換。</w:t>
      </w:r>
      <w:r>
        <w:rPr>
          <w:rFonts w:ascii="標楷體" w:eastAsia="標楷體" w:hAnsi="標楷體"/>
          <w:szCs w:val="24"/>
          <w:lang w:bidi="zh-TW"/>
        </w:rPr>
        <w:t>(</w:t>
      </w:r>
      <w:r>
        <w:rPr>
          <w:rFonts w:ascii="標楷體" w:eastAsia="標楷體" w:hAnsi="標楷體"/>
          <w:szCs w:val="24"/>
        </w:rPr>
        <w:t>112/12/1</w:t>
      </w:r>
      <w:r>
        <w:rPr>
          <w:rFonts w:ascii="標楷體" w:eastAsia="標楷體" w:hAnsi="標楷體"/>
          <w:szCs w:val="24"/>
          <w:lang w:bidi="zh-TW"/>
        </w:rPr>
        <w:t>)</w:t>
      </w:r>
    </w:p>
    <w:p w14:paraId="2AC39261" w14:textId="77777777" w:rsidR="00BD776B" w:rsidRDefault="00DF0C24">
      <w:pPr>
        <w:ind w:left="910" w:hanging="579"/>
      </w:pPr>
      <w:r>
        <w:rPr>
          <w:rFonts w:ascii="標楷體" w:eastAsia="標楷體" w:hAnsi="標楷體"/>
          <w:color w:val="000000"/>
        </w:rPr>
        <w:t>9.28.</w:t>
      </w:r>
      <w:r>
        <w:t xml:space="preserve"> </w:t>
      </w:r>
      <w:r>
        <w:rPr>
          <w:rFonts w:ascii="標楷體" w:eastAsia="標楷體" w:hAnsi="標楷體"/>
          <w:color w:val="000000"/>
        </w:rPr>
        <w:t>Bortezomib（如Velcade）：（96/6/1、98/2/1、99/3/1、99/9/1、100/10/1、101/6/1、105/5/1、109/4/1、109/6/1、111/1/1、112/4/1）附表九之三</w:t>
      </w:r>
    </w:p>
    <w:p w14:paraId="2BD35879" w14:textId="77777777" w:rsidR="00BD776B" w:rsidRDefault="00DF0C24">
      <w:pPr>
        <w:ind w:left="1049" w:hanging="341"/>
        <w:rPr>
          <w:rFonts w:ascii="標楷體" w:eastAsia="標楷體" w:hAnsi="標楷體"/>
          <w:color w:val="000000"/>
        </w:rPr>
      </w:pPr>
      <w:r>
        <w:rPr>
          <w:rFonts w:ascii="標楷體" w:eastAsia="標楷體" w:hAnsi="標楷體"/>
          <w:color w:val="000000"/>
        </w:rPr>
        <w:t>限用於</w:t>
      </w:r>
    </w:p>
    <w:p w14:paraId="65F5ED80" w14:textId="77777777" w:rsidR="00BD776B" w:rsidRDefault="00DF0C24">
      <w:pPr>
        <w:ind w:left="1049" w:hanging="341"/>
        <w:rPr>
          <w:rFonts w:ascii="標楷體" w:eastAsia="標楷體" w:hAnsi="標楷體"/>
          <w:color w:val="000000"/>
        </w:rPr>
      </w:pPr>
      <w:r>
        <w:rPr>
          <w:rFonts w:ascii="標楷體" w:eastAsia="標楷體" w:hAnsi="標楷體"/>
          <w:color w:val="000000"/>
        </w:rPr>
        <w:t>1.合併其他癌症治療藥品使用於多發性骨髓瘤病人：(99/3/1、100/10/1、101/6/1、109/4/1、109/6/1、111/1/1、112/4/1)</w:t>
      </w:r>
    </w:p>
    <w:p w14:paraId="26A535A5" w14:textId="77777777" w:rsidR="00BD776B" w:rsidRDefault="00DF0C24">
      <w:pPr>
        <w:ind w:left="1134" w:hanging="341"/>
      </w:pPr>
      <w:r>
        <w:rPr>
          <w:rFonts w:ascii="標楷體" w:eastAsia="標楷體" w:hAnsi="標楷體"/>
          <w:color w:val="000000"/>
        </w:rPr>
        <w:t>(1)</w:t>
      </w:r>
      <w:r>
        <w:t xml:space="preserve"> </w:t>
      </w:r>
      <w:r>
        <w:rPr>
          <w:rFonts w:ascii="標楷體" w:eastAsia="標楷體" w:hAnsi="標楷體"/>
          <w:color w:val="000000"/>
        </w:rPr>
        <w:t>每人終生以16個療程為上限。(99/9/1、109/4/1、109/6/1、111/1/1、112/4/1）</w:t>
      </w:r>
    </w:p>
    <w:p w14:paraId="2B07D53B" w14:textId="77777777" w:rsidR="00BD776B" w:rsidRDefault="00DF0C24">
      <w:pPr>
        <w:ind w:left="1134" w:hanging="341"/>
        <w:rPr>
          <w:rFonts w:ascii="標楷體" w:eastAsia="標楷體" w:hAnsi="標楷體"/>
          <w:color w:val="000000"/>
        </w:rPr>
      </w:pPr>
      <w:r>
        <w:rPr>
          <w:rFonts w:ascii="標楷體" w:eastAsia="標楷體" w:hAnsi="標楷體"/>
          <w:color w:val="000000"/>
        </w:rPr>
        <w:t>(2)需經事前申請後使用，每次申請4個療程。（101/6/1）</w:t>
      </w:r>
    </w:p>
    <w:p w14:paraId="668C0D8D" w14:textId="77777777" w:rsidR="00BD776B" w:rsidRDefault="00DF0C24">
      <w:pPr>
        <w:ind w:left="1134" w:hanging="341"/>
      </w:pPr>
      <w:r>
        <w:rPr>
          <w:rFonts w:ascii="標楷體" w:eastAsia="標楷體" w:hAnsi="標楷體"/>
          <w:color w:val="000000"/>
        </w:rPr>
        <w:t>(3)</w:t>
      </w:r>
      <w:r>
        <w:t xml:space="preserve"> </w:t>
      </w:r>
      <w:r>
        <w:rPr>
          <w:rFonts w:ascii="標楷體" w:eastAsia="標楷體" w:hAnsi="標楷體"/>
          <w:color w:val="000000"/>
        </w:rPr>
        <w:t>開始治療時病患須同時符合下列Ⅰ.與Ⅱ.的條件：（112/4/1）</w:t>
      </w:r>
    </w:p>
    <w:p w14:paraId="25F0C140" w14:textId="77777777" w:rsidR="00BD776B" w:rsidRDefault="00DF0C24">
      <w:pPr>
        <w:ind w:left="1373" w:hanging="341"/>
        <w:rPr>
          <w:rFonts w:ascii="標楷體" w:eastAsia="標楷體" w:hAnsi="標楷體"/>
          <w:color w:val="000000"/>
        </w:rPr>
      </w:pPr>
      <w:r>
        <w:rPr>
          <w:rFonts w:ascii="標楷體" w:eastAsia="標楷體" w:hAnsi="標楷體"/>
          <w:color w:val="000000"/>
        </w:rPr>
        <w:t>Ⅰ.骨髓漿細胞(plasma cells)比例≧10%，或是經切片確認且有≧1顆的plasmacytoma。</w:t>
      </w:r>
    </w:p>
    <w:p w14:paraId="203284BA" w14:textId="77777777" w:rsidR="00BD776B" w:rsidRDefault="00DF0C24">
      <w:pPr>
        <w:ind w:left="1373" w:hanging="341"/>
        <w:rPr>
          <w:rFonts w:ascii="標楷體" w:eastAsia="標楷體" w:hAnsi="標楷體"/>
          <w:color w:val="000000"/>
        </w:rPr>
      </w:pPr>
      <w:r>
        <w:rPr>
          <w:rFonts w:ascii="標楷體" w:eastAsia="標楷體" w:hAnsi="標楷體"/>
          <w:color w:val="000000"/>
        </w:rPr>
        <w:t>Ⅱ.出現下列任一臨床症狀：</w:t>
      </w:r>
    </w:p>
    <w:p w14:paraId="4D1A8A31" w14:textId="77777777" w:rsidR="00BD776B" w:rsidRDefault="00DF0C24">
      <w:pPr>
        <w:ind w:left="1373" w:hanging="341"/>
      </w:pPr>
      <w:r>
        <w:rPr>
          <w:rFonts w:ascii="新細明體" w:hAnsi="新細明體" w:cs="新細明體"/>
          <w:color w:val="000000"/>
        </w:rPr>
        <w:t>ⅰ</w:t>
      </w:r>
      <w:r>
        <w:rPr>
          <w:rFonts w:ascii="標楷體" w:eastAsia="標楷體" w:hAnsi="標楷體"/>
          <w:color w:val="000000"/>
        </w:rPr>
        <w:t>.腎功能不全：serum creatinine＞2.0mg/dL或estimated GFR (eGFR)＜40 ml/min，且無其他原因可以解釋。</w:t>
      </w:r>
    </w:p>
    <w:p w14:paraId="0E34639A" w14:textId="77777777" w:rsidR="00BD776B" w:rsidRDefault="00DF0C24">
      <w:pPr>
        <w:ind w:left="1373" w:hanging="341"/>
      </w:pPr>
      <w:r>
        <w:rPr>
          <w:rFonts w:ascii="新細明體" w:hAnsi="新細明體" w:cs="新細明體"/>
          <w:color w:val="000000"/>
        </w:rPr>
        <w:t>ⅱ</w:t>
      </w:r>
      <w:r>
        <w:rPr>
          <w:rFonts w:ascii="標楷體" w:eastAsia="標楷體" w:hAnsi="標楷體"/>
          <w:color w:val="000000"/>
        </w:rPr>
        <w:t>.高血鈣(corrected serum calcium＞11.0 mg/dL 或 2.75 mmol/L)。</w:t>
      </w:r>
    </w:p>
    <w:p w14:paraId="0ADDD0B5" w14:textId="77777777" w:rsidR="00BD776B" w:rsidRDefault="00DF0C24">
      <w:pPr>
        <w:ind w:left="1373" w:hanging="341"/>
        <w:rPr>
          <w:rFonts w:ascii="標楷體" w:eastAsia="標楷體" w:hAnsi="標楷體"/>
          <w:color w:val="000000"/>
        </w:rPr>
      </w:pPr>
      <w:r>
        <w:rPr>
          <w:rFonts w:ascii="標楷體" w:eastAsia="標楷體" w:hAnsi="標楷體"/>
          <w:color w:val="000000"/>
        </w:rPr>
        <w:t>iii.貧血(Hemoglobin＜10 gm/dL且無其他原因可以解釋)。</w:t>
      </w:r>
    </w:p>
    <w:p w14:paraId="7A9C6759" w14:textId="77777777" w:rsidR="00BD776B" w:rsidRDefault="00DF0C24">
      <w:pPr>
        <w:ind w:left="1373" w:hanging="341"/>
        <w:rPr>
          <w:rFonts w:ascii="標楷體" w:eastAsia="標楷體" w:hAnsi="標楷體"/>
          <w:color w:val="000000"/>
        </w:rPr>
      </w:pPr>
      <w:r>
        <w:rPr>
          <w:rFonts w:ascii="標楷體" w:eastAsia="標楷體" w:hAnsi="標楷體"/>
          <w:color w:val="000000"/>
        </w:rPr>
        <w:t>iv.影像檢查確認之osteolytic bone lesion(s)。</w:t>
      </w:r>
    </w:p>
    <w:p w14:paraId="5D35B8FE" w14:textId="77777777" w:rsidR="00BD776B" w:rsidRDefault="00DF0C24">
      <w:pPr>
        <w:ind w:left="1373" w:hanging="341"/>
        <w:rPr>
          <w:rFonts w:ascii="標楷體" w:eastAsia="標楷體" w:hAnsi="標楷體"/>
          <w:color w:val="000000"/>
        </w:rPr>
      </w:pPr>
      <w:r>
        <w:rPr>
          <w:rFonts w:ascii="標楷體" w:eastAsia="標楷體" w:hAnsi="標楷體"/>
          <w:color w:val="000000"/>
        </w:rPr>
        <w:t>v.骨髓漿細胞(plasma cells)比例≧60%。</w:t>
      </w:r>
    </w:p>
    <w:p w14:paraId="7106C542" w14:textId="77777777" w:rsidR="00BD776B" w:rsidRDefault="00DF0C24">
      <w:pPr>
        <w:ind w:left="1373" w:hanging="341"/>
        <w:rPr>
          <w:rFonts w:ascii="標楷體" w:eastAsia="標楷體" w:hAnsi="標楷體"/>
          <w:color w:val="000000"/>
        </w:rPr>
      </w:pPr>
      <w:r>
        <w:rPr>
          <w:rFonts w:ascii="標楷體" w:eastAsia="標楷體" w:hAnsi="標楷體"/>
          <w:color w:val="000000"/>
        </w:rPr>
        <w:t>vi.Serum free light-chain ratio≧100。</w:t>
      </w:r>
    </w:p>
    <w:p w14:paraId="2BCA5EC7" w14:textId="77777777" w:rsidR="00BD776B" w:rsidRDefault="00DF0C24">
      <w:pPr>
        <w:ind w:left="1134" w:hanging="341"/>
        <w:rPr>
          <w:rFonts w:ascii="標楷體" w:eastAsia="標楷體" w:hAnsi="標楷體"/>
          <w:color w:val="000000"/>
        </w:rPr>
      </w:pPr>
      <w:r>
        <w:rPr>
          <w:rFonts w:ascii="標楷體" w:eastAsia="標楷體" w:hAnsi="標楷體"/>
          <w:color w:val="000000"/>
        </w:rPr>
        <w:t>(4)使用4個療程後，必須確定藥物使用後paraprotein (M-protein)未上升 (即表示為response或stable status)，或對部分non-secretory type MM病人以骨髓檢查plasma cell之比率為療效依據，方可繼續使用。（101/6/1、109/4/1）</w:t>
      </w:r>
    </w:p>
    <w:p w14:paraId="0DA2BE0E" w14:textId="77777777" w:rsidR="00BD776B" w:rsidRDefault="00DF0C24">
      <w:pPr>
        <w:ind w:left="1134" w:hanging="341"/>
        <w:rPr>
          <w:rFonts w:ascii="標楷體" w:eastAsia="標楷體" w:hAnsi="標楷體"/>
          <w:color w:val="000000"/>
        </w:rPr>
      </w:pPr>
      <w:r>
        <w:rPr>
          <w:rFonts w:ascii="標楷體" w:eastAsia="標楷體" w:hAnsi="標楷體"/>
          <w:color w:val="000000"/>
        </w:rPr>
        <w:t>(5)若病患於前線療程符合前項規定(4)之療效而醫師決定可暫時停藥，則後續療程可保留，於疾病復發時，再行申請使用。（101/6/1、109/4/1）</w:t>
      </w:r>
    </w:p>
    <w:p w14:paraId="3761D6AF" w14:textId="77777777" w:rsidR="00BD776B" w:rsidRDefault="00DF0C24">
      <w:pPr>
        <w:ind w:left="1134" w:hanging="341"/>
      </w:pPr>
      <w:r>
        <w:rPr>
          <w:rFonts w:ascii="標楷體" w:eastAsia="標楷體" w:hAnsi="標楷體"/>
          <w:color w:val="000000"/>
        </w:rPr>
        <w:t>(6)</w:t>
      </w:r>
      <w:r>
        <w:t xml:space="preserve"> </w:t>
      </w:r>
      <w:r>
        <w:rPr>
          <w:rFonts w:ascii="標楷體" w:eastAsia="標楷體" w:hAnsi="標楷體"/>
          <w:color w:val="000000"/>
        </w:rPr>
        <w:t>112年3月31日以前已核定用藥之病人，得經事前審查核准後，使用至總療程上限（即終生16個療程）或使用期間發生疾病惡化為止。（112/4/1）</w:t>
      </w:r>
    </w:p>
    <w:p w14:paraId="3F75C8DF" w14:textId="77777777" w:rsidR="00BD776B" w:rsidRDefault="00DF0C24">
      <w:pPr>
        <w:ind w:left="1049" w:hanging="341"/>
        <w:rPr>
          <w:rFonts w:ascii="標楷體" w:eastAsia="標楷體" w:hAnsi="標楷體"/>
          <w:color w:val="000000"/>
        </w:rPr>
      </w:pPr>
      <w:r>
        <w:rPr>
          <w:rFonts w:ascii="標楷體" w:eastAsia="標楷體" w:hAnsi="標楷體"/>
          <w:color w:val="000000"/>
        </w:rPr>
        <w:t>2.被套細胞淋巴瘤（Mantle Cell Lymphoma, MCL）病人：(98/2/1、105/5/1)</w:t>
      </w:r>
    </w:p>
    <w:p w14:paraId="24A7EFED" w14:textId="77777777" w:rsidR="00BD776B" w:rsidRDefault="00DF0C24">
      <w:pPr>
        <w:ind w:left="1134" w:hanging="341"/>
        <w:rPr>
          <w:rFonts w:ascii="標楷體" w:eastAsia="標楷體" w:hAnsi="標楷體"/>
          <w:color w:val="000000"/>
        </w:rPr>
      </w:pPr>
      <w:r>
        <w:rPr>
          <w:rFonts w:ascii="標楷體" w:eastAsia="標楷體" w:hAnsi="標楷體"/>
          <w:color w:val="000000"/>
        </w:rPr>
        <w:lastRenderedPageBreak/>
        <w:t>(1)每人以8個療程為上限。(99/9/1)</w:t>
      </w:r>
    </w:p>
    <w:p w14:paraId="59AC1390" w14:textId="77777777" w:rsidR="00BD776B" w:rsidRDefault="00DF0C24">
      <w:pPr>
        <w:ind w:left="1134" w:hanging="341"/>
        <w:rPr>
          <w:rFonts w:ascii="標楷體" w:eastAsia="標楷體" w:hAnsi="標楷體"/>
          <w:color w:val="000000"/>
        </w:rPr>
      </w:pPr>
      <w:r>
        <w:rPr>
          <w:rFonts w:ascii="標楷體" w:eastAsia="標楷體" w:hAnsi="標楷體"/>
          <w:color w:val="000000"/>
        </w:rPr>
        <w:t>(2)每日最大劑量1.5mg/m2/day；每個療程第1,4,8,11日給藥。</w:t>
      </w:r>
    </w:p>
    <w:p w14:paraId="39776B8E" w14:textId="77777777" w:rsidR="00BD776B" w:rsidRDefault="00DF0C24">
      <w:pPr>
        <w:ind w:left="1134" w:hanging="341"/>
        <w:rPr>
          <w:rFonts w:ascii="標楷體" w:eastAsia="標楷體" w:hAnsi="標楷體"/>
          <w:color w:val="000000"/>
        </w:rPr>
      </w:pPr>
      <w:r>
        <w:rPr>
          <w:rFonts w:ascii="標楷體" w:eastAsia="標楷體" w:hAnsi="標楷體"/>
          <w:color w:val="000000"/>
        </w:rPr>
        <w:t>(3)第一線使用過復發者，不得申請再次使用。(105/5/1)</w:t>
      </w:r>
    </w:p>
    <w:p w14:paraId="3566042C" w14:textId="77777777" w:rsidR="00BD776B" w:rsidRDefault="00DF0C24">
      <w:pPr>
        <w:ind w:left="910" w:hanging="579"/>
        <w:rPr>
          <w:rFonts w:ascii="標楷體" w:eastAsia="標楷體" w:hAnsi="標楷體"/>
          <w:color w:val="000000"/>
        </w:rPr>
      </w:pPr>
      <w:r>
        <w:rPr>
          <w:rFonts w:ascii="標楷體" w:eastAsia="標楷體" w:hAnsi="標楷體"/>
          <w:color w:val="000000"/>
        </w:rPr>
        <w:t xml:space="preserve">    (4)需經事前審查核准後使用。</w:t>
      </w:r>
    </w:p>
    <w:p w14:paraId="08018D14" w14:textId="77777777" w:rsidR="00D43DB7" w:rsidRDefault="00D43DB7" w:rsidP="00D43DB7">
      <w:pPr>
        <w:ind w:left="851" w:hanging="567"/>
      </w:pPr>
      <w:r>
        <w:rPr>
          <w:rFonts w:ascii="標楷體" w:eastAsia="標楷體" w:hAnsi="標楷體"/>
          <w:color w:val="000000"/>
        </w:rPr>
        <w:t>9.29.</w:t>
      </w:r>
      <w:r>
        <w:t xml:space="preserve"> </w:t>
      </w:r>
      <w:r>
        <w:rPr>
          <w:rFonts w:ascii="標楷體" w:eastAsia="標楷體" w:hAnsi="標楷體"/>
          <w:kern w:val="0"/>
          <w:szCs w:val="24"/>
        </w:rPr>
        <w:t>Erlotinib（如Tarceva）：（96/6/1、96/8/1、97/6/1、101/5/1、101/10/1、102/4/1、102/11/1、103/5/1、106/11/1、108/6/1、108/11/1</w:t>
      </w:r>
      <w:r>
        <w:rPr>
          <w:rFonts w:ascii="標楷體" w:eastAsia="標楷體" w:hAnsi="標楷體"/>
        </w:rPr>
        <w:t>、109/4/1、109/6/1、109/10/1、111/2/1</w:t>
      </w:r>
      <w:r>
        <w:rPr>
          <w:rFonts w:ascii="新細明體" w:hAnsi="新細明體"/>
        </w:rPr>
        <w:t>、</w:t>
      </w:r>
      <w:r>
        <w:rPr>
          <w:rFonts w:ascii="標楷體" w:eastAsia="標楷體" w:hAnsi="標楷體"/>
        </w:rPr>
        <w:t>111/4/1</w:t>
      </w:r>
      <w:r>
        <w:rPr>
          <w:rFonts w:ascii="標楷體" w:eastAsia="標楷體" w:hAnsi="標楷體"/>
          <w:color w:val="000000"/>
        </w:rPr>
        <w:t>、113/3/1、113/6/1、113/9/1、113/10/1</w:t>
      </w:r>
      <w:r w:rsidRPr="00F55701">
        <w:rPr>
          <w:rFonts w:ascii="標楷體" w:eastAsia="標楷體" w:hAnsi="標楷體" w:hint="eastAsia"/>
          <w:color w:val="000000"/>
        </w:rPr>
        <w:t>、114/3/1</w:t>
      </w:r>
      <w:r w:rsidRPr="0004529B">
        <w:rPr>
          <w:rFonts w:ascii="標楷體" w:eastAsia="標楷體" w:hAnsi="標楷體"/>
          <w:color w:val="000000"/>
        </w:rPr>
        <w:t>、</w:t>
      </w:r>
      <w:r w:rsidRPr="0004529B">
        <w:rPr>
          <w:rFonts w:ascii="標楷體" w:eastAsia="標楷體" w:hAnsi="標楷體" w:hint="eastAsia"/>
          <w:color w:val="000000"/>
        </w:rPr>
        <w:t>114</w:t>
      </w:r>
      <w:r w:rsidRPr="0004529B">
        <w:rPr>
          <w:rFonts w:ascii="標楷體" w:eastAsia="標楷體" w:hAnsi="標楷體"/>
          <w:color w:val="000000"/>
        </w:rPr>
        <w:t>/</w:t>
      </w:r>
      <w:r>
        <w:rPr>
          <w:rFonts w:ascii="標楷體" w:eastAsia="標楷體" w:hAnsi="標楷體" w:hint="eastAsia"/>
          <w:color w:val="000000"/>
        </w:rPr>
        <w:t>4</w:t>
      </w:r>
      <w:r w:rsidRPr="0004529B">
        <w:rPr>
          <w:rFonts w:ascii="標楷體" w:eastAsia="標楷體" w:hAnsi="標楷體"/>
          <w:color w:val="000000"/>
        </w:rPr>
        <w:t>/1</w:t>
      </w:r>
      <w:r>
        <w:rPr>
          <w:rFonts w:ascii="標楷體" w:eastAsia="標楷體" w:hAnsi="標楷體"/>
          <w:kern w:val="0"/>
          <w:szCs w:val="24"/>
        </w:rPr>
        <w:t>）</w:t>
      </w:r>
    </w:p>
    <w:p w14:paraId="3E8DE838" w14:textId="77777777" w:rsidR="00D43DB7" w:rsidRDefault="00D43DB7" w:rsidP="00D43DB7">
      <w:pPr>
        <w:ind w:left="811" w:hanging="245"/>
        <w:rPr>
          <w:rFonts w:ascii="標楷體" w:eastAsia="標楷體" w:hAnsi="標楷體"/>
          <w:color w:val="000000"/>
        </w:rPr>
      </w:pPr>
      <w:r>
        <w:rPr>
          <w:rFonts w:ascii="標楷體" w:eastAsia="標楷體" w:hAnsi="標楷體"/>
          <w:color w:val="000000"/>
        </w:rPr>
        <w:t>1.限單獨使用於</w:t>
      </w:r>
    </w:p>
    <w:p w14:paraId="65128FC6" w14:textId="77777777" w:rsidR="00D43DB7" w:rsidRDefault="00D43DB7" w:rsidP="00D43DB7">
      <w:pPr>
        <w:ind w:left="1049" w:hanging="341"/>
        <w:rPr>
          <w:rFonts w:ascii="標楷體" w:eastAsia="標楷體" w:hAnsi="標楷體"/>
          <w:color w:val="000000"/>
        </w:rPr>
      </w:pPr>
      <w:r>
        <w:rPr>
          <w:rFonts w:ascii="標楷體" w:eastAsia="標楷體" w:hAnsi="標楷體"/>
          <w:color w:val="000000"/>
        </w:rPr>
        <w:t>(1)適用於具有EGFR-TK突變之局部侵犯性或轉移性(即第ⅢB、ⅢC或第Ⅳ期)之肺腺癌病患之第一線治療，需檢附EGFR基因檢測結果報告，且需符合全民健康保險藥品給付規定之通則十二。(102/11/1、108/6/1、108/11/1、113/6/1）</w:t>
      </w:r>
    </w:p>
    <w:p w14:paraId="14227A32" w14:textId="77777777" w:rsidR="00D43DB7" w:rsidRDefault="00D43DB7" w:rsidP="00D43DB7">
      <w:pPr>
        <w:ind w:left="1049" w:hanging="341"/>
        <w:rPr>
          <w:rFonts w:ascii="標楷體" w:eastAsia="標楷體" w:hAnsi="標楷體"/>
          <w:color w:val="000000"/>
        </w:rPr>
      </w:pPr>
      <w:r>
        <w:rPr>
          <w:rFonts w:ascii="標楷體" w:eastAsia="標楷體" w:hAnsi="標楷體"/>
          <w:color w:val="000000"/>
        </w:rPr>
        <w:t>(2)已接受4個週期platinum類第一線化學療法後，腫瘤範圍穩定(stable disease，不含partial response或complete response)之局部晚期或轉移性肺腺癌的維持療法。(102/4/1)</w:t>
      </w:r>
    </w:p>
    <w:p w14:paraId="09B68CC9" w14:textId="77777777" w:rsidR="00D43DB7" w:rsidRDefault="00D43DB7" w:rsidP="00D43DB7">
      <w:pPr>
        <w:ind w:left="1049" w:hanging="341"/>
        <w:rPr>
          <w:rFonts w:ascii="標楷體" w:eastAsia="標楷體" w:hAnsi="標楷體"/>
          <w:color w:val="000000"/>
        </w:rPr>
      </w:pPr>
      <w:r>
        <w:rPr>
          <w:rFonts w:ascii="標楷體" w:eastAsia="標楷體" w:hAnsi="標楷體"/>
          <w:color w:val="000000"/>
        </w:rPr>
        <w:t>(3)先前已使用過platinum類第一線化學治療，或70歲以上接受過第一線化學治療，但仍局部惡化或轉移之腺性非小細胞肺癌之第二線用藥。（97/6/1、111/2/1）</w:t>
      </w:r>
    </w:p>
    <w:p w14:paraId="3B43AC79" w14:textId="77777777" w:rsidR="00D43DB7" w:rsidRDefault="00D43DB7" w:rsidP="00D43DB7">
      <w:pPr>
        <w:ind w:left="1049" w:hanging="341"/>
        <w:rPr>
          <w:rFonts w:ascii="標楷體" w:eastAsia="標楷體" w:hAnsi="標楷體"/>
          <w:color w:val="000000"/>
        </w:rPr>
      </w:pPr>
      <w:r>
        <w:rPr>
          <w:rFonts w:ascii="標楷體" w:eastAsia="標楷體" w:hAnsi="標楷體"/>
          <w:color w:val="000000"/>
        </w:rPr>
        <w:t>(4)先前已使用過platinum類及docetaxel或paclitaxel化學治療後，但仍局部惡化或轉移之非小細胞肺癌之第三線用藥。</w:t>
      </w:r>
    </w:p>
    <w:p w14:paraId="2E3C734D" w14:textId="77777777" w:rsidR="00D43DB7" w:rsidRDefault="00D43DB7" w:rsidP="00D43DB7">
      <w:pPr>
        <w:ind w:left="811" w:hanging="245"/>
        <w:rPr>
          <w:rFonts w:ascii="標楷體" w:eastAsia="標楷體" w:hAnsi="標楷體"/>
          <w:color w:val="000000"/>
        </w:rPr>
      </w:pPr>
      <w:r>
        <w:rPr>
          <w:rFonts w:ascii="標楷體" w:eastAsia="標楷體" w:hAnsi="標楷體"/>
          <w:color w:val="000000"/>
        </w:rPr>
        <w:t>2.Erlotinib與bevacizumab(</w:t>
      </w:r>
      <w:r w:rsidRPr="00F55701">
        <w:rPr>
          <w:rFonts w:ascii="標楷體" w:eastAsia="標楷體" w:hAnsi="標楷體" w:hint="eastAsia"/>
          <w:color w:val="000000"/>
        </w:rPr>
        <w:t>除Zirabev以外</w:t>
      </w:r>
      <w:r>
        <w:rPr>
          <w:rFonts w:ascii="標楷體" w:eastAsia="標楷體" w:hAnsi="標楷體"/>
          <w:color w:val="000000"/>
        </w:rPr>
        <w:t>)併用，作為無法手術切除的轉移性（第Ⅳ期）且帶有表皮生長因子受體(EGFR) Exon 21 L858R活性化突變之腦轉移非鱗狀非小細胞肺癌病患的第一線治療。(113/3/1、113/9/1</w:t>
      </w:r>
      <w:r w:rsidRPr="00F55701">
        <w:rPr>
          <w:rFonts w:ascii="標楷體" w:eastAsia="標楷體" w:hAnsi="標楷體" w:hint="eastAsia"/>
          <w:color w:val="000000"/>
        </w:rPr>
        <w:t>、114/3/1</w:t>
      </w:r>
      <w:r w:rsidRPr="0004529B">
        <w:rPr>
          <w:rFonts w:ascii="標楷體" w:eastAsia="標楷體" w:hAnsi="標楷體"/>
          <w:color w:val="000000"/>
        </w:rPr>
        <w:t>、</w:t>
      </w:r>
      <w:r w:rsidRPr="0004529B">
        <w:rPr>
          <w:rFonts w:ascii="標楷體" w:eastAsia="標楷體" w:hAnsi="標楷體" w:hint="eastAsia"/>
          <w:color w:val="000000"/>
        </w:rPr>
        <w:t>114</w:t>
      </w:r>
      <w:r w:rsidRPr="0004529B">
        <w:rPr>
          <w:rFonts w:ascii="標楷體" w:eastAsia="標楷體" w:hAnsi="標楷體"/>
          <w:color w:val="000000"/>
        </w:rPr>
        <w:t>/</w:t>
      </w:r>
      <w:r>
        <w:rPr>
          <w:rFonts w:ascii="標楷體" w:eastAsia="標楷體" w:hAnsi="標楷體" w:hint="eastAsia"/>
          <w:color w:val="000000"/>
        </w:rPr>
        <w:t>4</w:t>
      </w:r>
      <w:r w:rsidRPr="0004529B">
        <w:rPr>
          <w:rFonts w:ascii="標楷體" w:eastAsia="標楷體" w:hAnsi="標楷體"/>
          <w:color w:val="000000"/>
        </w:rPr>
        <w:t>/1</w:t>
      </w:r>
      <w:r>
        <w:rPr>
          <w:rFonts w:ascii="標楷體" w:eastAsia="標楷體" w:hAnsi="標楷體"/>
          <w:color w:val="000000"/>
        </w:rPr>
        <w:t>）</w:t>
      </w:r>
    </w:p>
    <w:p w14:paraId="6020268A" w14:textId="77777777" w:rsidR="00D43DB7" w:rsidRDefault="00D43DB7" w:rsidP="00D43DB7">
      <w:pPr>
        <w:ind w:left="811" w:hanging="245"/>
      </w:pPr>
      <w:r>
        <w:rPr>
          <w:rFonts w:ascii="標楷體" w:eastAsia="標楷體" w:hAnsi="標楷體"/>
          <w:color w:val="000000"/>
        </w:rPr>
        <w:t>3.使用注意事項(106/11/1</w:t>
      </w:r>
      <w:r>
        <w:rPr>
          <w:rFonts w:ascii="標楷體" w:eastAsia="標楷體" w:hAnsi="標楷體"/>
        </w:rPr>
        <w:t>、109/4/1、109/10/1</w:t>
      </w:r>
      <w:r>
        <w:rPr>
          <w:rFonts w:ascii="新細明體" w:hAnsi="新細明體"/>
        </w:rPr>
        <w:t>、</w:t>
      </w:r>
      <w:r>
        <w:rPr>
          <w:rFonts w:ascii="標楷體" w:eastAsia="標楷體" w:hAnsi="標楷體"/>
        </w:rPr>
        <w:t>111/4/1</w:t>
      </w:r>
      <w:r>
        <w:rPr>
          <w:rFonts w:ascii="標楷體" w:eastAsia="標楷體" w:hAnsi="標楷體"/>
          <w:color w:val="000000"/>
        </w:rPr>
        <w:t>）</w:t>
      </w:r>
    </w:p>
    <w:p w14:paraId="4C73669B" w14:textId="77777777" w:rsidR="00D43DB7" w:rsidRDefault="00D43DB7" w:rsidP="00D43DB7">
      <w:pPr>
        <w:ind w:left="1049" w:hanging="341"/>
      </w:pPr>
      <w:r>
        <w:rPr>
          <w:rFonts w:ascii="標楷體" w:eastAsia="標楷體" w:hAnsi="標楷體"/>
          <w:kern w:val="0"/>
          <w:szCs w:val="24"/>
        </w:rPr>
        <w:t>(1)用於已接受platinum類第一線化學療法後，病情穩定之維持療法：病歷應留存確實患有肺腺癌之病理或細胞檢查報告，並附已接受4個週期platinum類第一線化學療法後，腫瘤範圍穩定(stable disease，不含partial response或complete response)之影像診斷證明（如胸部X光、電腦斷層或其他可作為評估的影像）。(102/4/1、106/11/1)</w:t>
      </w:r>
    </w:p>
    <w:p w14:paraId="0234266C" w14:textId="77777777" w:rsidR="00D43DB7" w:rsidRDefault="00D43DB7" w:rsidP="00D43DB7">
      <w:pPr>
        <w:ind w:left="1049" w:hanging="341"/>
      </w:pPr>
      <w:r>
        <w:rPr>
          <w:rFonts w:ascii="標楷體" w:eastAsia="標楷體" w:hAnsi="標楷體"/>
          <w:color w:val="000000"/>
        </w:rPr>
        <w:t>(2)</w:t>
      </w:r>
      <w:r>
        <w:rPr>
          <w:rFonts w:ascii="標楷體" w:eastAsia="標楷體" w:hAnsi="標楷體"/>
          <w:kern w:val="0"/>
          <w:szCs w:val="24"/>
        </w:rPr>
        <w:t>用於第二線用藥：病歷應留存確實患有非小細胞肺癌之病理或細胞檢查報告，並附曾經接受platinum類第一線化學治療，或70歲(含)以上接受過第一線化學治療之證明，及目前又有疾病惡化之影像診斷證明（如胸部X光、電腦斷層或其他可作為評估的影像），此影像證明以可測量（measurable）的病灶為優先，如沒有可以測量的病灶，則可評估（evaluable）的病灶亦可採用。（97/6/1、106/11/1）</w:t>
      </w:r>
    </w:p>
    <w:p w14:paraId="25B2B61B" w14:textId="77777777" w:rsidR="00D43DB7" w:rsidRDefault="00D43DB7" w:rsidP="00D43DB7">
      <w:pPr>
        <w:ind w:left="1049" w:hanging="341"/>
        <w:rPr>
          <w:rFonts w:ascii="標楷體" w:eastAsia="標楷體" w:hAnsi="標楷體"/>
          <w:color w:val="000000"/>
        </w:rPr>
      </w:pPr>
      <w:r>
        <w:rPr>
          <w:rFonts w:ascii="標楷體" w:eastAsia="標楷體" w:hAnsi="標楷體"/>
          <w:color w:val="000000"/>
        </w:rPr>
        <w:t>(3)用於第三線用藥：病歷應留存確實患有非小細胞肺癌之病理或細胞檢查報告，並附曾經接受第一線及第二線化學藥物如platinum(cisplatin或carboplatin)與taxane(paclitaxel或docetaxel)治療之證明，及目前又有疾病惡化之影像診斷證明（如胸部X光、電腦斷層或其他可作為評估的影像），此影像證明以可測量（measurable）的病灶為優先，如沒有可以測量的病灶，則可評估（evaluable）的病灶亦可採用。（97/6/1、106/11/1）</w:t>
      </w:r>
    </w:p>
    <w:p w14:paraId="5400FE7B" w14:textId="77777777" w:rsidR="00D43DB7" w:rsidRDefault="00D43DB7" w:rsidP="00D43DB7">
      <w:pPr>
        <w:ind w:left="1049" w:hanging="341"/>
        <w:rPr>
          <w:rFonts w:ascii="標楷體" w:eastAsia="標楷體" w:hAnsi="標楷體"/>
          <w:color w:val="000000"/>
        </w:rPr>
      </w:pPr>
      <w:r>
        <w:rPr>
          <w:rFonts w:ascii="標楷體" w:eastAsia="標楷體" w:hAnsi="標楷體"/>
          <w:color w:val="000000"/>
        </w:rPr>
        <w:t>(4)每次處方以4週為限，再次處方時需於病歷記錄治療後相關臨床資料，如每4</w:t>
      </w:r>
      <w:r>
        <w:rPr>
          <w:rFonts w:ascii="標楷體" w:eastAsia="標楷體" w:hAnsi="標楷體"/>
          <w:color w:val="000000"/>
        </w:rPr>
        <w:lastRenderedPageBreak/>
        <w:t>週需追蹤胸部X光或電腦斷層等影像檢查，每8至12週需進行完整療效評估（如胸部X光或電腦斷層）。(101/5/1、106/11/1)</w:t>
      </w:r>
    </w:p>
    <w:p w14:paraId="452F88E7" w14:textId="77777777" w:rsidR="00D43DB7" w:rsidRDefault="00D43DB7" w:rsidP="00D43DB7">
      <w:pPr>
        <w:ind w:left="1049" w:hanging="341"/>
      </w:pPr>
      <w:r>
        <w:rPr>
          <w:rFonts w:ascii="標楷體" w:eastAsia="標楷體" w:hAnsi="標楷體"/>
          <w:color w:val="000000"/>
        </w:rPr>
        <w:t>(5)本藥品與gefitinib及afatinib不得併用。(103/5/1</w:t>
      </w:r>
      <w:r>
        <w:rPr>
          <w:rFonts w:ascii="標楷體" w:eastAsia="標楷體" w:hAnsi="標楷體"/>
        </w:rPr>
        <w:t>、109/4/1</w:t>
      </w:r>
      <w:r>
        <w:rPr>
          <w:rFonts w:ascii="標楷體" w:eastAsia="標楷體" w:hAnsi="標楷體"/>
          <w:color w:val="000000"/>
        </w:rPr>
        <w:t>)</w:t>
      </w:r>
    </w:p>
    <w:p w14:paraId="4BA3E60D" w14:textId="77777777" w:rsidR="00D43DB7" w:rsidRDefault="00D43DB7" w:rsidP="00D43DB7">
      <w:pPr>
        <w:ind w:left="1049" w:hanging="341"/>
      </w:pPr>
      <w:r>
        <w:rPr>
          <w:rFonts w:ascii="標楷體" w:eastAsia="標楷體" w:hAnsi="標楷體"/>
        </w:rPr>
        <w:t>(6)本藥品於第一線使用時，與osimertinib及dacomitinib僅得擇一使用，除因耐受性不良，不得互換。(109/6/1、109/10/1、111/4/1、113/10/1)</w:t>
      </w:r>
    </w:p>
    <w:p w14:paraId="69BD5C48" w14:textId="77777777" w:rsidR="00D43DB7" w:rsidRDefault="00D43DB7" w:rsidP="00D43DB7">
      <w:pPr>
        <w:ind w:left="1414" w:hanging="336"/>
      </w:pPr>
      <w:r>
        <w:rPr>
          <w:rFonts w:ascii="標楷體" w:eastAsia="標楷體" w:hAnsi="標楷體"/>
          <w:color w:val="000000"/>
        </w:rPr>
        <w:t>Ⅰ.如需更換使用osimertinib，必須符合osimertinib第一線使用於具有EGFR Exon 19 Del或Exon 21 L858R基因突變之局部侵犯性或轉移性（即為IIIB、IIIC期或第Ⅳ期）肺腺癌病患之限制。(109/6/1、111/4/1、113/10/1)</w:t>
      </w:r>
    </w:p>
    <w:p w14:paraId="208A3503" w14:textId="77777777" w:rsidR="00D43DB7" w:rsidRDefault="00D43DB7" w:rsidP="00D43DB7">
      <w:pPr>
        <w:ind w:left="1414" w:hanging="336"/>
        <w:rPr>
          <w:rFonts w:ascii="標楷體" w:eastAsia="標楷體" w:hAnsi="標楷體"/>
          <w:color w:val="000000"/>
        </w:rPr>
      </w:pPr>
      <w:r>
        <w:rPr>
          <w:rFonts w:ascii="標楷體" w:eastAsia="標楷體" w:hAnsi="標楷體"/>
          <w:color w:val="000000"/>
        </w:rPr>
        <w:t>Ⅱ.如需更換使用dacomitinib，必須符合dacomitinib第一線使用於具有EGFR-TK Exon 19 Del或Exon 21 L858R點突變，且無腦轉移(non-CNS)之局部侵犯性或轉移性肺腺癌之限制。(109/10/1）</w:t>
      </w:r>
    </w:p>
    <w:p w14:paraId="71207B6B" w14:textId="77777777" w:rsidR="00D43DB7" w:rsidRDefault="00D43DB7" w:rsidP="00D43DB7">
      <w:pPr>
        <w:ind w:left="1416" w:hanging="816"/>
        <w:rPr>
          <w:rFonts w:ascii="標楷體" w:eastAsia="標楷體" w:hAnsi="標楷體"/>
          <w:color w:val="000000"/>
        </w:rPr>
      </w:pPr>
      <w:r>
        <w:rPr>
          <w:rFonts w:ascii="標楷體" w:eastAsia="標楷體" w:hAnsi="標楷體"/>
          <w:color w:val="000000"/>
        </w:rPr>
        <w:t>備註1：非小細胞肺癌病患的第二線治療用藥之定義為：病患需先經第一線含鉑化學治療，或70歲(含)以上接受過第一線化學治療後，因疾病惡化，此時所給予之治療即為第二線用藥。（97/6/1）</w:t>
      </w:r>
    </w:p>
    <w:p w14:paraId="68331F5F" w14:textId="55CE87D2" w:rsidR="00BD776B" w:rsidRDefault="00D43DB7" w:rsidP="00D43DB7">
      <w:pPr>
        <w:ind w:left="1416" w:hanging="816"/>
        <w:rPr>
          <w:rFonts w:ascii="標楷體" w:eastAsia="標楷體" w:hAnsi="標楷體"/>
          <w:color w:val="000000"/>
        </w:rPr>
      </w:pPr>
      <w:r>
        <w:rPr>
          <w:rFonts w:ascii="標楷體" w:eastAsia="標楷體" w:hAnsi="標楷體"/>
          <w:color w:val="000000"/>
        </w:rPr>
        <w:t>備註2：非小細胞肺癌病患的第三線治療用藥之定義為：病患需先經第一線化學藥物治療後，因疾病惡化，再經第二線不同的化學藥物治療之後，若疾病再度惡化，此時所給予之治療即為第三線用藥</w:t>
      </w:r>
      <w:r w:rsidR="00DF0C24">
        <w:rPr>
          <w:rFonts w:ascii="標楷體" w:eastAsia="標楷體" w:hAnsi="標楷體"/>
          <w:color w:val="000000"/>
        </w:rPr>
        <w:t>。</w:t>
      </w:r>
    </w:p>
    <w:p w14:paraId="0C475F59" w14:textId="79B80600" w:rsidR="00BD776B" w:rsidRDefault="00DF0C24">
      <w:pPr>
        <w:ind w:left="993" w:hanging="637"/>
        <w:rPr>
          <w:rFonts w:ascii="標楷體" w:eastAsia="標楷體" w:hAnsi="標楷體"/>
          <w:color w:val="000000"/>
        </w:rPr>
      </w:pPr>
      <w:r>
        <w:rPr>
          <w:rFonts w:ascii="標楷體" w:eastAsia="標楷體" w:hAnsi="標楷體"/>
          <w:color w:val="000000"/>
        </w:rPr>
        <w:t>9.30.Dasatinib(如Sprycel)：(98/1/1、102/4/1、104/12/1、110/5/1</w:t>
      </w:r>
      <w:r w:rsidR="008D3A05">
        <w:rPr>
          <w:rFonts w:ascii="標楷體" w:eastAsia="標楷體" w:hAnsi="標楷體" w:hint="eastAsia"/>
          <w:color w:val="000000"/>
        </w:rPr>
        <w:t>、113/6/1</w:t>
      </w:r>
      <w:r>
        <w:rPr>
          <w:rFonts w:ascii="標楷體" w:eastAsia="標楷體" w:hAnsi="標楷體"/>
          <w:color w:val="000000"/>
        </w:rPr>
        <w:t>)</w:t>
      </w:r>
    </w:p>
    <w:p w14:paraId="29219906" w14:textId="77777777" w:rsidR="00BD776B" w:rsidRDefault="00DF0C24">
      <w:pPr>
        <w:ind w:left="1063" w:hanging="353"/>
        <w:rPr>
          <w:rFonts w:ascii="標楷體" w:eastAsia="標楷體" w:hAnsi="標楷體"/>
          <w:color w:val="000000"/>
        </w:rPr>
      </w:pPr>
      <w:r>
        <w:rPr>
          <w:rFonts w:ascii="標楷體" w:eastAsia="標楷體" w:hAnsi="標楷體"/>
          <w:color w:val="000000"/>
        </w:rPr>
        <w:t>限用於</w:t>
      </w:r>
    </w:p>
    <w:p w14:paraId="08F83DCB" w14:textId="77777777" w:rsidR="00BD776B" w:rsidRDefault="00DF0C24">
      <w:pPr>
        <w:ind w:left="993" w:hanging="353"/>
        <w:rPr>
          <w:rFonts w:ascii="標楷體" w:eastAsia="標楷體" w:hAnsi="標楷體"/>
          <w:color w:val="000000"/>
        </w:rPr>
      </w:pPr>
      <w:r>
        <w:rPr>
          <w:rFonts w:ascii="標楷體" w:eastAsia="標楷體" w:hAnsi="標楷體"/>
          <w:color w:val="000000"/>
        </w:rPr>
        <w:t>1.第一線使用(102/4/1、104/12/1、110/5/1)：</w:t>
      </w:r>
    </w:p>
    <w:p w14:paraId="36675A95" w14:textId="77777777" w:rsidR="00BD776B" w:rsidRDefault="00DF0C24">
      <w:pPr>
        <w:ind w:left="1063" w:hanging="353"/>
        <w:rPr>
          <w:rFonts w:ascii="標楷體" w:eastAsia="標楷體" w:hAnsi="標楷體"/>
          <w:color w:val="000000"/>
        </w:rPr>
      </w:pPr>
      <w:r>
        <w:rPr>
          <w:rFonts w:ascii="標楷體" w:eastAsia="標楷體" w:hAnsi="標楷體"/>
          <w:color w:val="000000"/>
        </w:rPr>
        <w:t>(1)治療新診斷的費城染色體陽性之慢性期慢性骨髓性白血病的成人。</w:t>
      </w:r>
    </w:p>
    <w:p w14:paraId="360AC4B2" w14:textId="77777777" w:rsidR="00BD776B" w:rsidRDefault="00DF0C24">
      <w:pPr>
        <w:ind w:left="1063" w:hanging="353"/>
        <w:rPr>
          <w:rFonts w:ascii="標楷體" w:eastAsia="標楷體" w:hAnsi="標楷體"/>
          <w:color w:val="000000"/>
        </w:rPr>
      </w:pPr>
      <w:r>
        <w:rPr>
          <w:rFonts w:ascii="標楷體" w:eastAsia="標楷體" w:hAnsi="標楷體"/>
          <w:color w:val="000000"/>
        </w:rPr>
        <w:t>(2)併用化療適用於新診斷費城染色體陽性急性淋巴性白血病(Ph+ ALL)之1歲以上兒童病人，無疾病惡化時的維持治療限使用2年。(110/5/1)</w:t>
      </w:r>
    </w:p>
    <w:p w14:paraId="5628ADD7" w14:textId="77777777" w:rsidR="00BD776B" w:rsidRDefault="00DF0C24">
      <w:pPr>
        <w:ind w:left="993" w:hanging="353"/>
        <w:rPr>
          <w:rFonts w:ascii="標楷體" w:eastAsia="標楷體" w:hAnsi="標楷體"/>
          <w:color w:val="000000"/>
        </w:rPr>
      </w:pPr>
      <w:r>
        <w:rPr>
          <w:rFonts w:ascii="標楷體" w:eastAsia="標楷體" w:hAnsi="標楷體"/>
          <w:color w:val="000000"/>
        </w:rPr>
        <w:t>2.第二線使用(104/12/1)：</w:t>
      </w:r>
    </w:p>
    <w:p w14:paraId="71A1EE63" w14:textId="77777777" w:rsidR="00BD776B" w:rsidRDefault="00DF0C24">
      <w:pPr>
        <w:ind w:left="1063" w:hanging="353"/>
        <w:rPr>
          <w:rFonts w:ascii="標楷體" w:eastAsia="標楷體" w:hAnsi="標楷體"/>
          <w:color w:val="000000"/>
        </w:rPr>
      </w:pPr>
      <w:r>
        <w:rPr>
          <w:rFonts w:ascii="標楷體" w:eastAsia="標楷體" w:hAnsi="標楷體"/>
          <w:color w:val="000000"/>
        </w:rPr>
        <w:t>(1)治療患有慢性、加速或急性期慢性骨髓性白血病，對先前經imatinib 400mg(含)以上治療後有抗藥性或無耐受性的成人。</w:t>
      </w:r>
    </w:p>
    <w:p w14:paraId="6C4351A2" w14:textId="77777777" w:rsidR="00BD776B" w:rsidRDefault="00DF0C24">
      <w:pPr>
        <w:ind w:left="1063" w:hanging="353"/>
        <w:rPr>
          <w:rFonts w:ascii="標楷體" w:eastAsia="標楷體" w:hAnsi="標楷體"/>
          <w:color w:val="000000"/>
        </w:rPr>
      </w:pPr>
      <w:r>
        <w:rPr>
          <w:rFonts w:ascii="標楷體" w:eastAsia="標楷體" w:hAnsi="標楷體"/>
          <w:color w:val="000000"/>
        </w:rPr>
        <w:t>(2)治療患有費城染色體陽性急性淋巴性白血病，且對先前經imatinib 400mg(含)以上治療後有抗藥性或無耐受性的成人。</w:t>
      </w:r>
    </w:p>
    <w:p w14:paraId="6D9FB5DA" w14:textId="77777777" w:rsidR="00BD776B" w:rsidRDefault="00DF0C24">
      <w:pPr>
        <w:ind w:left="1063" w:hanging="353"/>
        <w:rPr>
          <w:rFonts w:ascii="標楷體" w:eastAsia="標楷體" w:hAnsi="標楷體"/>
          <w:color w:val="000000"/>
        </w:rPr>
      </w:pPr>
      <w:r>
        <w:rPr>
          <w:rFonts w:ascii="標楷體" w:eastAsia="標楷體" w:hAnsi="標楷體"/>
          <w:color w:val="000000"/>
        </w:rPr>
        <w:t>(3)需檢送病歷及對imatinib耐受性不良或無效的證明(104/12/1)。</w:t>
      </w:r>
    </w:p>
    <w:p w14:paraId="23104BBB" w14:textId="3550D72D" w:rsidR="00BD776B" w:rsidRDefault="00DF0C24">
      <w:pPr>
        <w:ind w:left="1063" w:hanging="353"/>
        <w:rPr>
          <w:rFonts w:ascii="標楷體" w:eastAsia="標楷體" w:hAnsi="標楷體"/>
          <w:color w:val="000000"/>
        </w:rPr>
      </w:pPr>
      <w:r>
        <w:rPr>
          <w:rFonts w:ascii="標楷體" w:eastAsia="標楷體" w:hAnsi="標楷體"/>
          <w:color w:val="000000"/>
        </w:rPr>
        <w:t>3.治療患有慢性期費城染色體陽性慢性骨髓性白血病(Ph+ CML) 之1歲以上的兒童病人。(110/5/1)</w:t>
      </w:r>
    </w:p>
    <w:p w14:paraId="795B9C68" w14:textId="15740886" w:rsidR="008B391D" w:rsidRPr="008B391D" w:rsidRDefault="008B391D">
      <w:pPr>
        <w:ind w:left="1063" w:hanging="353"/>
        <w:rPr>
          <w:rFonts w:ascii="標楷體" w:eastAsia="標楷體" w:hAnsi="標楷體"/>
          <w:color w:val="000000"/>
        </w:rPr>
      </w:pPr>
      <w:r w:rsidRPr="008B391D">
        <w:rPr>
          <w:rFonts w:ascii="標楷體" w:eastAsia="標楷體" w:hAnsi="標楷體" w:hint="eastAsia"/>
          <w:color w:val="000000"/>
        </w:rPr>
        <w:t>4.1~3項規定內之疾病診斷或追蹤若需依據基因檢測報告，則需符合全民健康保險藥品給付規定之通則十二。(113/6/1)</w:t>
      </w:r>
    </w:p>
    <w:p w14:paraId="43360F30" w14:textId="77777777" w:rsidR="00BD776B" w:rsidRDefault="00DF0C24">
      <w:pPr>
        <w:ind w:left="709" w:hanging="341"/>
      </w:pPr>
      <w:r>
        <w:rPr>
          <w:rFonts w:ascii="標楷體" w:eastAsia="標楷體" w:hAnsi="標楷體"/>
        </w:rPr>
        <w:t>9.31.</w:t>
      </w:r>
      <w:r>
        <w:t xml:space="preserve"> </w:t>
      </w:r>
      <w:r>
        <w:rPr>
          <w:rFonts w:ascii="標楷體" w:eastAsia="標楷體" w:hAnsi="標楷體"/>
        </w:rPr>
        <w:t>Sunitinib（如Sutent）：（98/2/1、98/5/1、99/1/1、99/2/1、101/5/1、102/1/1、104/12/1、110/12/1、112/3/1）</w:t>
      </w:r>
    </w:p>
    <w:p w14:paraId="0BF17E81" w14:textId="77777777" w:rsidR="00BD776B" w:rsidRDefault="00DF0C24">
      <w:pPr>
        <w:ind w:left="993" w:hanging="341"/>
        <w:rPr>
          <w:rFonts w:ascii="標楷體" w:eastAsia="標楷體" w:hAnsi="標楷體"/>
        </w:rPr>
      </w:pPr>
      <w:r>
        <w:rPr>
          <w:rFonts w:ascii="標楷體" w:eastAsia="標楷體" w:hAnsi="標楷體"/>
        </w:rPr>
        <w:t>1.腸胃道間質腫瘤：</w:t>
      </w:r>
    </w:p>
    <w:p w14:paraId="4A8EDB14" w14:textId="77777777" w:rsidR="00BD776B" w:rsidRDefault="00DF0C24">
      <w:pPr>
        <w:ind w:left="1049" w:hanging="341"/>
        <w:rPr>
          <w:rFonts w:ascii="標楷體" w:eastAsia="標楷體" w:hAnsi="標楷體"/>
        </w:rPr>
      </w:pPr>
      <w:r>
        <w:rPr>
          <w:rFonts w:ascii="標楷體" w:eastAsia="標楷體" w:hAnsi="標楷體"/>
        </w:rPr>
        <w:t>(1)限用於以imatinib治療期間出現疾病惡化或對該藥出現不能忍受之腸胃道間質腫瘤(99/2/1)。</w:t>
      </w:r>
    </w:p>
    <w:p w14:paraId="65775B4A" w14:textId="77777777" w:rsidR="00BD776B" w:rsidRDefault="00DF0C24">
      <w:pPr>
        <w:ind w:left="1049" w:hanging="341"/>
        <w:rPr>
          <w:rFonts w:ascii="標楷體" w:eastAsia="標楷體" w:hAnsi="標楷體"/>
        </w:rPr>
      </w:pPr>
      <w:r>
        <w:rPr>
          <w:rFonts w:ascii="標楷體" w:eastAsia="標楷體" w:hAnsi="標楷體"/>
        </w:rPr>
        <w:t>(2)若使用本藥品出現疾病惡化或無法忍受其副作用，不得替換使用imatinib治療(99/2/1)。</w:t>
      </w:r>
    </w:p>
    <w:p w14:paraId="2EF61B99" w14:textId="77777777" w:rsidR="00BD776B" w:rsidRDefault="00DF0C24">
      <w:pPr>
        <w:ind w:left="1049" w:hanging="341"/>
        <w:rPr>
          <w:rFonts w:ascii="標楷體" w:eastAsia="標楷體" w:hAnsi="標楷體"/>
        </w:rPr>
      </w:pPr>
      <w:r>
        <w:rPr>
          <w:rFonts w:ascii="標楷體" w:eastAsia="標楷體" w:hAnsi="標楷體"/>
        </w:rPr>
        <w:t>(3)需經事前審查核准後使用，送審時須檢送病歷及對imatinib耐受性不良或無效之證明。（98/5/1）(99/2/1)</w:t>
      </w:r>
    </w:p>
    <w:p w14:paraId="328D7DC5" w14:textId="77777777" w:rsidR="00BD776B" w:rsidRDefault="00DF0C24">
      <w:pPr>
        <w:ind w:left="1049" w:hanging="341"/>
      </w:pPr>
      <w:r>
        <w:rPr>
          <w:rFonts w:ascii="標楷體" w:eastAsia="標楷體" w:hAnsi="標楷體"/>
        </w:rPr>
        <w:t>2.</w:t>
      </w:r>
      <w:r>
        <w:t xml:space="preserve"> </w:t>
      </w:r>
      <w:r>
        <w:rPr>
          <w:rFonts w:ascii="標楷體" w:eastAsia="標楷體" w:hAnsi="標楷體"/>
        </w:rPr>
        <w:t>晚期腎細胞癌：（99/1/1、110/12/1、112/3/1）</w:t>
      </w:r>
    </w:p>
    <w:p w14:paraId="791EC974" w14:textId="77777777" w:rsidR="00BD776B" w:rsidRDefault="00DF0C24">
      <w:pPr>
        <w:ind w:left="1049" w:hanging="341"/>
      </w:pPr>
      <w:r>
        <w:rPr>
          <w:rFonts w:ascii="標楷體" w:eastAsia="標楷體" w:hAnsi="標楷體"/>
        </w:rPr>
        <w:lastRenderedPageBreak/>
        <w:t>(1)</w:t>
      </w:r>
      <w:r>
        <w:t xml:space="preserve"> </w:t>
      </w:r>
      <w:r>
        <w:rPr>
          <w:rFonts w:ascii="標楷體" w:eastAsia="標楷體" w:hAnsi="標楷體"/>
        </w:rPr>
        <w:t>可用於第一線治療晚期或轉移性腎細胞癌。（112/3/1）</w:t>
      </w:r>
    </w:p>
    <w:p w14:paraId="2D234DA5" w14:textId="77777777" w:rsidR="00BD776B" w:rsidRDefault="00DF0C24">
      <w:pPr>
        <w:ind w:left="1049" w:hanging="341"/>
        <w:rPr>
          <w:rFonts w:ascii="標楷體" w:eastAsia="標楷體" w:hAnsi="標楷體"/>
        </w:rPr>
      </w:pPr>
      <w:r>
        <w:rPr>
          <w:rFonts w:ascii="標楷體" w:eastAsia="標楷體" w:hAnsi="標楷體"/>
        </w:rPr>
        <w:t>(2)無效後則不給付temsirolimus。（110/12/1）</w:t>
      </w:r>
    </w:p>
    <w:p w14:paraId="3E667900" w14:textId="77777777" w:rsidR="00BD776B" w:rsidRDefault="00DF0C24">
      <w:pPr>
        <w:ind w:left="1049" w:hanging="341"/>
        <w:rPr>
          <w:rFonts w:ascii="標楷體" w:eastAsia="標楷體" w:hAnsi="標楷體"/>
        </w:rPr>
      </w:pPr>
      <w:r>
        <w:rPr>
          <w:rFonts w:ascii="標楷體" w:eastAsia="標楷體" w:hAnsi="標楷體"/>
        </w:rPr>
        <w:t>(3)需檢送影像資料，每三個月評估一次。(104/12/1)</w:t>
      </w:r>
    </w:p>
    <w:p w14:paraId="7C3CC877" w14:textId="77777777" w:rsidR="00BD776B" w:rsidRDefault="00DF0C24">
      <w:pPr>
        <w:ind w:left="1049" w:hanging="341"/>
        <w:rPr>
          <w:rFonts w:ascii="標楷體" w:eastAsia="標楷體" w:hAnsi="標楷體"/>
        </w:rPr>
      </w:pPr>
      <w:r>
        <w:rPr>
          <w:rFonts w:ascii="標楷體" w:eastAsia="標楷體" w:hAnsi="標楷體"/>
        </w:rPr>
        <w:t>(4)病人若對藥物產生耐受性不佳（intolerance），則以原來藥物減量為原則，若嚴重耐受性不佳，可以換其他TKI。</w:t>
      </w:r>
    </w:p>
    <w:p w14:paraId="42E38AC5" w14:textId="77777777" w:rsidR="00BD776B" w:rsidRDefault="00DF0C24">
      <w:pPr>
        <w:ind w:left="1049" w:hanging="341"/>
        <w:rPr>
          <w:rFonts w:ascii="標楷體" w:eastAsia="標楷體" w:hAnsi="標楷體"/>
        </w:rPr>
      </w:pPr>
      <w:r>
        <w:rPr>
          <w:rFonts w:ascii="標楷體" w:eastAsia="標楷體" w:hAnsi="標楷體"/>
        </w:rPr>
        <w:t>3.進展性，無法切除或轉移性分化良好之胰臟神經內分泌腫瘤的成人病患，須同時符合下列條件：(101/5/1）</w:t>
      </w:r>
    </w:p>
    <w:p w14:paraId="2E4F860D" w14:textId="77777777" w:rsidR="00BD776B" w:rsidRDefault="00DF0C24">
      <w:pPr>
        <w:ind w:left="1049" w:hanging="341"/>
        <w:rPr>
          <w:rFonts w:ascii="標楷體" w:eastAsia="標楷體" w:hAnsi="標楷體"/>
        </w:rPr>
      </w:pPr>
      <w:r>
        <w:rPr>
          <w:rFonts w:ascii="標楷體" w:eastAsia="標楷體" w:hAnsi="標楷體"/>
        </w:rPr>
        <w:t>(1)符合WHO 2010分類方式之G1 or G2胰臟神經內分泌瘤。</w:t>
      </w:r>
    </w:p>
    <w:p w14:paraId="3BD67C6F" w14:textId="77777777" w:rsidR="00BD776B" w:rsidRDefault="00DF0C24">
      <w:pPr>
        <w:ind w:left="1049" w:hanging="341"/>
        <w:rPr>
          <w:rFonts w:ascii="標楷體" w:eastAsia="標楷體" w:hAnsi="標楷體"/>
        </w:rPr>
      </w:pPr>
      <w:r>
        <w:rPr>
          <w:rFonts w:ascii="標楷體" w:eastAsia="標楷體" w:hAnsi="標楷體"/>
        </w:rPr>
        <w:t>(2)於一年內影像檢查證實有明顯惡化者。</w:t>
      </w:r>
    </w:p>
    <w:p w14:paraId="2E7094C1" w14:textId="77777777" w:rsidR="00BD776B" w:rsidRDefault="00DF0C24">
      <w:pPr>
        <w:ind w:left="1049" w:hanging="341"/>
        <w:rPr>
          <w:rFonts w:ascii="標楷體" w:eastAsia="標楷體" w:hAnsi="標楷體"/>
        </w:rPr>
      </w:pPr>
      <w:r>
        <w:rPr>
          <w:rFonts w:ascii="標楷體" w:eastAsia="標楷體" w:hAnsi="標楷體"/>
        </w:rPr>
        <w:t>(3)不可合併使用化學治療或相關標靶藥物。（102/1/1）</w:t>
      </w:r>
    </w:p>
    <w:p w14:paraId="30076F34" w14:textId="77777777" w:rsidR="00BD776B" w:rsidRDefault="00DF0C24">
      <w:pPr>
        <w:ind w:left="1049" w:hanging="341"/>
      </w:pPr>
      <w:r>
        <w:rPr>
          <w:rFonts w:ascii="標楷體" w:eastAsia="標楷體" w:hAnsi="標楷體"/>
        </w:rPr>
        <w:t>(4)經事前專案審查核准後使用，且需每3個月評估一次。</w:t>
      </w:r>
    </w:p>
    <w:p w14:paraId="2841F57C" w14:textId="7C7D7C2F" w:rsidR="00BD776B" w:rsidRDefault="00DF0C24">
      <w:pPr>
        <w:ind w:left="672" w:hanging="386"/>
        <w:rPr>
          <w:rFonts w:ascii="標楷體" w:eastAsia="標楷體" w:hAnsi="標楷體"/>
          <w:color w:val="000000"/>
        </w:rPr>
      </w:pPr>
      <w:r>
        <w:rPr>
          <w:rFonts w:ascii="標楷體" w:eastAsia="標楷體" w:hAnsi="標楷體"/>
          <w:color w:val="000000"/>
        </w:rPr>
        <w:t>9.32.Nilotinib：（98/6/1、99/1/1、101/7/1</w:t>
      </w:r>
      <w:r w:rsidR="00045FA6">
        <w:rPr>
          <w:rFonts w:ascii="標楷體" w:eastAsia="標楷體" w:hAnsi="標楷體" w:hint="eastAsia"/>
          <w:color w:val="000000"/>
        </w:rPr>
        <w:t>、113/6/1</w:t>
      </w:r>
      <w:r>
        <w:rPr>
          <w:rFonts w:ascii="標楷體" w:eastAsia="標楷體" w:hAnsi="標楷體"/>
          <w:color w:val="000000"/>
        </w:rPr>
        <w:t>）附表九之六</w:t>
      </w:r>
    </w:p>
    <w:p w14:paraId="0573567D" w14:textId="236D34BA" w:rsidR="00BD776B" w:rsidRDefault="00DF0C24">
      <w:pPr>
        <w:ind w:left="672" w:hanging="386"/>
        <w:rPr>
          <w:rFonts w:ascii="標楷體" w:eastAsia="標楷體" w:hAnsi="標楷體"/>
          <w:color w:val="000000"/>
        </w:rPr>
      </w:pPr>
      <w:r>
        <w:rPr>
          <w:rFonts w:ascii="標楷體" w:eastAsia="標楷體" w:hAnsi="標楷體"/>
          <w:color w:val="000000"/>
        </w:rPr>
        <w:t>9.32.1.Nilotinib 200mg(如Tasigna 200mg)（98/6/1、99/1/1、104/12/1</w:t>
      </w:r>
      <w:r w:rsidR="000169D7">
        <w:rPr>
          <w:rFonts w:ascii="標楷體" w:eastAsia="標楷體" w:hAnsi="標楷體" w:hint="eastAsia"/>
          <w:color w:val="000000"/>
        </w:rPr>
        <w:t>、113/6/1</w:t>
      </w:r>
      <w:r>
        <w:rPr>
          <w:rFonts w:ascii="標楷體" w:eastAsia="標楷體" w:hAnsi="標楷體"/>
          <w:color w:val="000000"/>
        </w:rPr>
        <w:t>）</w:t>
      </w:r>
    </w:p>
    <w:p w14:paraId="34C9B4FB"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1.限用於治療對imatinib 400MG(含)以上耐受性不良或治療無效的「慢性期或加速期費城染色體(Philadelphia chromosome)陽性的慢性骨髓性白血病(CML)成年患者」。</w:t>
      </w:r>
    </w:p>
    <w:p w14:paraId="3930C42C" w14:textId="77777777" w:rsidR="00BD776B" w:rsidRDefault="00DF0C24">
      <w:pPr>
        <w:ind w:left="811" w:hanging="245"/>
        <w:rPr>
          <w:rFonts w:ascii="標楷體" w:eastAsia="標楷體" w:hAnsi="標楷體"/>
          <w:color w:val="000000"/>
        </w:rPr>
      </w:pPr>
      <w:r>
        <w:rPr>
          <w:rFonts w:ascii="標楷體" w:eastAsia="標楷體" w:hAnsi="標楷體"/>
          <w:color w:val="000000"/>
        </w:rPr>
        <w:t>2.必須檢附耐受性不良或治療無效的證明。(104/12/1)</w:t>
      </w:r>
    </w:p>
    <w:p w14:paraId="1EE28E4C" w14:textId="22CC2320" w:rsidR="00BD776B" w:rsidRDefault="00DF0C24">
      <w:pPr>
        <w:ind w:left="811" w:hanging="245"/>
        <w:rPr>
          <w:rFonts w:ascii="標楷體" w:eastAsia="標楷體" w:hAnsi="標楷體"/>
          <w:color w:val="000000"/>
        </w:rPr>
      </w:pPr>
      <w:r>
        <w:rPr>
          <w:rFonts w:ascii="標楷體" w:eastAsia="標楷體" w:hAnsi="標楷體"/>
          <w:color w:val="000000"/>
        </w:rPr>
        <w:t>3.Nilotinib與dasatinib不得合併使用。</w:t>
      </w:r>
    </w:p>
    <w:p w14:paraId="0C6C42D8" w14:textId="28B7A53E" w:rsidR="009D3447" w:rsidRDefault="009D3447">
      <w:pPr>
        <w:ind w:left="811" w:hanging="245"/>
        <w:rPr>
          <w:rFonts w:ascii="標楷體" w:eastAsia="標楷體" w:hAnsi="標楷體"/>
          <w:color w:val="000000"/>
        </w:rPr>
      </w:pPr>
      <w:r w:rsidRPr="009D3447">
        <w:rPr>
          <w:rFonts w:ascii="標楷體" w:eastAsia="標楷體" w:hAnsi="標楷體" w:hint="eastAsia"/>
          <w:color w:val="000000"/>
        </w:rPr>
        <w:t>4.1~2項規定內之疾病診斷或追蹤若需依據基因檢測報告，則需符合全民健康保險藥品給付規定之通則十二。(113/6/1)</w:t>
      </w:r>
    </w:p>
    <w:p w14:paraId="7479C9EE" w14:textId="0CCD0370" w:rsidR="00BD776B" w:rsidRDefault="00DF0C24">
      <w:pPr>
        <w:ind w:left="672" w:hanging="386"/>
        <w:rPr>
          <w:rFonts w:ascii="標楷體" w:eastAsia="標楷體" w:hAnsi="標楷體"/>
          <w:color w:val="000000"/>
        </w:rPr>
      </w:pPr>
      <w:r>
        <w:rPr>
          <w:rFonts w:ascii="標楷體" w:eastAsia="標楷體" w:hAnsi="標楷體"/>
          <w:color w:val="000000"/>
        </w:rPr>
        <w:t>9.32.2.Nilotinib 150mg(如Tasigna 150mg)：(101/7/1、104/12/1</w:t>
      </w:r>
      <w:r w:rsidR="009D3447">
        <w:rPr>
          <w:rFonts w:ascii="標楷體" w:eastAsia="標楷體" w:hAnsi="標楷體" w:hint="eastAsia"/>
          <w:color w:val="000000"/>
        </w:rPr>
        <w:t>、113/6/1</w:t>
      </w:r>
      <w:r>
        <w:rPr>
          <w:rFonts w:ascii="標楷體" w:eastAsia="標楷體" w:hAnsi="標楷體"/>
          <w:color w:val="000000"/>
        </w:rPr>
        <w:t>)</w:t>
      </w:r>
    </w:p>
    <w:p w14:paraId="7F44A4DF" w14:textId="20FB04B3" w:rsidR="00BD776B" w:rsidRDefault="00860958">
      <w:pPr>
        <w:ind w:left="811" w:hanging="245"/>
        <w:rPr>
          <w:rFonts w:ascii="標楷體" w:eastAsia="標楷體" w:hAnsi="標楷體"/>
          <w:color w:val="000000"/>
        </w:rPr>
      </w:pPr>
      <w:r>
        <w:rPr>
          <w:rFonts w:ascii="標楷體" w:eastAsia="標楷體" w:hAnsi="標楷體" w:hint="eastAsia"/>
          <w:color w:val="000000"/>
        </w:rPr>
        <w:t>1.</w:t>
      </w:r>
      <w:r w:rsidR="00DF0C24">
        <w:rPr>
          <w:rFonts w:ascii="標楷體" w:eastAsia="標楷體" w:hAnsi="標楷體"/>
          <w:color w:val="000000"/>
        </w:rPr>
        <w:t>限用於新確診之慢性期費城染色體陽性的慢性骨髓性白血病。(104/12/1)</w:t>
      </w:r>
    </w:p>
    <w:p w14:paraId="58F00E35" w14:textId="3B6DFE2C" w:rsidR="00860958" w:rsidRDefault="00860958">
      <w:pPr>
        <w:ind w:left="811" w:hanging="245"/>
        <w:rPr>
          <w:rFonts w:ascii="標楷體" w:eastAsia="標楷體" w:hAnsi="標楷體"/>
          <w:color w:val="000000"/>
        </w:rPr>
      </w:pPr>
      <w:r>
        <w:rPr>
          <w:rFonts w:ascii="標楷體" w:eastAsia="標楷體" w:hAnsi="標楷體" w:hint="eastAsia"/>
          <w:color w:val="000000"/>
        </w:rPr>
        <w:t>2.</w:t>
      </w:r>
      <w:r w:rsidRPr="00860958">
        <w:rPr>
          <w:rFonts w:ascii="標楷體" w:eastAsia="標楷體" w:hAnsi="標楷體" w:hint="eastAsia"/>
          <w:color w:val="000000"/>
        </w:rPr>
        <w:t>疾病診斷或追蹤若需依據基因檢測報告，則需符合全民健康保險藥品給付規定之通則十二。(113/6/1)</w:t>
      </w:r>
    </w:p>
    <w:p w14:paraId="0775F122" w14:textId="77777777" w:rsidR="00BD776B" w:rsidRDefault="00DF0C24">
      <w:pPr>
        <w:ind w:left="672" w:hanging="386"/>
        <w:rPr>
          <w:rFonts w:ascii="標楷體" w:eastAsia="標楷體" w:hAnsi="標楷體"/>
          <w:color w:val="000000"/>
        </w:rPr>
      </w:pPr>
      <w:r>
        <w:rPr>
          <w:rFonts w:ascii="標楷體" w:eastAsia="標楷體" w:hAnsi="標楷體"/>
          <w:color w:val="000000"/>
        </w:rPr>
        <w:t>9.33.Thalidomide（如Thado）：(98/7/1)</w:t>
      </w:r>
    </w:p>
    <w:p w14:paraId="52B04B0A" w14:textId="77777777" w:rsidR="00BD776B" w:rsidRDefault="00DF0C24">
      <w:pPr>
        <w:ind w:left="798" w:hanging="1"/>
        <w:rPr>
          <w:rFonts w:ascii="標楷體" w:eastAsia="標楷體" w:hAnsi="標楷體"/>
          <w:color w:val="000000"/>
        </w:rPr>
      </w:pPr>
      <w:r>
        <w:rPr>
          <w:rFonts w:ascii="標楷體" w:eastAsia="標楷體" w:hAnsi="標楷體"/>
          <w:color w:val="000000"/>
        </w:rPr>
        <w:t>治療新診斷多發性骨髓瘤。使用時須和prednisolone及oral melphalan併用，或和骨髓移植併用，或和palmidronate併用於骨髓移植後之治療。</w:t>
      </w:r>
    </w:p>
    <w:p w14:paraId="503BA67C" w14:textId="7FE2DCFA" w:rsidR="00BD776B" w:rsidRDefault="00DF0C24">
      <w:pPr>
        <w:ind w:left="672" w:hanging="386"/>
      </w:pPr>
      <w:r>
        <w:rPr>
          <w:rFonts w:ascii="標楷體" w:eastAsia="標楷體" w:hAnsi="標楷體"/>
          <w:color w:val="000000"/>
        </w:rPr>
        <w:t>9.34. Sorafenib(如Nexavar)：(98/10/1、100/6/1、101/8/1、104/12/1、105/11/1、106/1/1、107/7/1、108/6/1、108/12/1、109/1/1、112/8/1</w:t>
      </w:r>
      <w:r w:rsidR="0071481F">
        <w:rPr>
          <w:rFonts w:ascii="標楷體" w:eastAsia="標楷體" w:hAnsi="標楷體" w:hint="eastAsia"/>
          <w:color w:val="000000"/>
        </w:rPr>
        <w:t>、114/2/1</w:t>
      </w:r>
      <w:r>
        <w:rPr>
          <w:rFonts w:ascii="標楷體" w:eastAsia="標楷體" w:hAnsi="標楷體"/>
          <w:color w:val="000000"/>
        </w:rPr>
        <w:t>)</w:t>
      </w:r>
    </w:p>
    <w:p w14:paraId="1B6EB373" w14:textId="77777777" w:rsidR="00BD776B" w:rsidRDefault="00DF0C24">
      <w:pPr>
        <w:ind w:left="811" w:hanging="245"/>
      </w:pPr>
      <w:r>
        <w:rPr>
          <w:rFonts w:ascii="標楷體" w:eastAsia="標楷體" w:hAnsi="標楷體"/>
          <w:color w:val="000000"/>
          <w:lang w:val="it-IT"/>
        </w:rPr>
        <w:t>1.</w:t>
      </w:r>
      <w:r>
        <w:rPr>
          <w:rFonts w:ascii="標楷體" w:eastAsia="標楷體" w:hAnsi="標楷體"/>
          <w:color w:val="000000"/>
        </w:rPr>
        <w:t>晚期腎細胞癌部分</w:t>
      </w:r>
      <w:r>
        <w:rPr>
          <w:rFonts w:ascii="標楷體" w:eastAsia="標楷體" w:hAnsi="標楷體"/>
          <w:color w:val="000000"/>
          <w:lang w:val="it-IT"/>
        </w:rPr>
        <w:t>：</w:t>
      </w:r>
    </w:p>
    <w:p w14:paraId="00E6F270" w14:textId="77777777" w:rsidR="00BD776B" w:rsidRDefault="00DF0C24">
      <w:pPr>
        <w:ind w:left="1049" w:hanging="341"/>
      </w:pPr>
      <w:r>
        <w:rPr>
          <w:rFonts w:ascii="標楷體" w:eastAsia="標楷體" w:hAnsi="標楷體"/>
          <w:color w:val="000000"/>
          <w:lang w:val="it-IT"/>
        </w:rPr>
        <w:t>(1)</w:t>
      </w:r>
      <w:r>
        <w:rPr>
          <w:rFonts w:ascii="標楷體" w:eastAsia="標楷體" w:hAnsi="標楷體"/>
          <w:color w:val="000000"/>
        </w:rPr>
        <w:t>晚期腎細胞癌且已接受</w:t>
      </w:r>
      <w:r>
        <w:rPr>
          <w:rFonts w:ascii="標楷體" w:eastAsia="標楷體" w:hAnsi="標楷體"/>
          <w:color w:val="000000"/>
          <w:lang w:val="it-IT"/>
        </w:rPr>
        <w:t>interferon-alpha</w:t>
      </w:r>
      <w:r>
        <w:rPr>
          <w:rFonts w:ascii="標楷體" w:eastAsia="標楷體" w:hAnsi="標楷體"/>
          <w:color w:val="000000"/>
        </w:rPr>
        <w:t>或</w:t>
      </w:r>
      <w:r>
        <w:rPr>
          <w:rFonts w:ascii="標楷體" w:eastAsia="標楷體" w:hAnsi="標楷體"/>
          <w:color w:val="000000"/>
          <w:lang w:val="it-IT"/>
        </w:rPr>
        <w:t>interleukin-2</w:t>
      </w:r>
      <w:r>
        <w:rPr>
          <w:rFonts w:ascii="標楷體" w:eastAsia="標楷體" w:hAnsi="標楷體"/>
          <w:color w:val="000000"/>
        </w:rPr>
        <w:t>治療失敗</w:t>
      </w:r>
      <w:r>
        <w:rPr>
          <w:rFonts w:ascii="標楷體" w:eastAsia="標楷體" w:hAnsi="標楷體"/>
          <w:color w:val="000000"/>
          <w:lang w:val="it-IT"/>
        </w:rPr>
        <w:t>，</w:t>
      </w:r>
      <w:r>
        <w:rPr>
          <w:rFonts w:ascii="標楷體" w:eastAsia="標楷體" w:hAnsi="標楷體"/>
          <w:color w:val="000000"/>
        </w:rPr>
        <w:t>或不適合以上兩種藥物治療之病患。不適合以上兩種藥物治療之病患，須符合cytokine禁忌症者得直接使用sorafenib。但須列舉出所符合之禁忌症及檢附相關證明。(100/6/1)</w:t>
      </w:r>
    </w:p>
    <w:p w14:paraId="36EF53E2" w14:textId="77777777" w:rsidR="00BD776B" w:rsidRDefault="00DF0C24">
      <w:pPr>
        <w:ind w:left="1049" w:hanging="341"/>
        <w:rPr>
          <w:rFonts w:ascii="標楷體" w:eastAsia="標楷體" w:hAnsi="標楷體"/>
          <w:color w:val="000000"/>
        </w:rPr>
      </w:pPr>
      <w:r>
        <w:rPr>
          <w:rFonts w:ascii="標楷體" w:eastAsia="標楷體" w:hAnsi="標楷體"/>
          <w:color w:val="000000"/>
        </w:rPr>
        <w:t>(2)無效後則不給付temsirolimus。(108/12/1)</w:t>
      </w:r>
    </w:p>
    <w:p w14:paraId="1671CA7D" w14:textId="77777777" w:rsidR="00BD776B" w:rsidRDefault="00DF0C24">
      <w:pPr>
        <w:ind w:left="1049" w:hanging="341"/>
        <w:rPr>
          <w:rFonts w:ascii="標楷體" w:eastAsia="標楷體" w:hAnsi="標楷體"/>
          <w:color w:val="000000"/>
        </w:rPr>
      </w:pPr>
      <w:r>
        <w:rPr>
          <w:rFonts w:ascii="標楷體" w:eastAsia="標楷體" w:hAnsi="標楷體"/>
          <w:color w:val="000000"/>
        </w:rPr>
        <w:t>(3)需檢送影像資料，每3個月評估一次。(104/12/1)</w:t>
      </w:r>
    </w:p>
    <w:p w14:paraId="2671E3FF" w14:textId="16FC8C19" w:rsidR="00BD776B" w:rsidRDefault="00DF0C24">
      <w:pPr>
        <w:ind w:left="1049" w:hanging="341"/>
        <w:rPr>
          <w:rFonts w:ascii="標楷體" w:eastAsia="標楷體" w:hAnsi="標楷體"/>
          <w:color w:val="000000"/>
        </w:rPr>
      </w:pPr>
      <w:r>
        <w:rPr>
          <w:rFonts w:ascii="標楷體" w:eastAsia="標楷體" w:hAnsi="標楷體"/>
          <w:color w:val="000000"/>
        </w:rPr>
        <w:t>2.晚期肝細胞癌部分：(101/8/1、105/11/1、108/6/1、109/1/1、112/8/1</w:t>
      </w:r>
      <w:r w:rsidR="0071481F">
        <w:rPr>
          <w:rFonts w:ascii="標楷體" w:eastAsia="標楷體" w:hAnsi="標楷體" w:hint="eastAsia"/>
          <w:color w:val="000000"/>
        </w:rPr>
        <w:t>、114/2/1</w:t>
      </w:r>
      <w:r>
        <w:rPr>
          <w:rFonts w:ascii="標楷體" w:eastAsia="標楷體" w:hAnsi="標楷體"/>
          <w:color w:val="000000"/>
        </w:rPr>
        <w:t>)</w:t>
      </w:r>
    </w:p>
    <w:p w14:paraId="7A446528" w14:textId="77777777" w:rsidR="00BD776B" w:rsidRDefault="00DF0C24">
      <w:pPr>
        <w:ind w:left="1049" w:hanging="341"/>
        <w:rPr>
          <w:rFonts w:ascii="標楷體" w:eastAsia="標楷體" w:hAnsi="標楷體"/>
          <w:color w:val="000000"/>
        </w:rPr>
      </w:pPr>
      <w:r>
        <w:rPr>
          <w:rFonts w:ascii="標楷體" w:eastAsia="標楷體" w:hAnsi="標楷體"/>
          <w:color w:val="000000"/>
        </w:rPr>
        <w:t>(1)轉移性或無法手術切除且不適合局部治療或局部治療失敗之Child-Pugh A class晚期肝細胞癌成人患者，並符合下列條件之一：</w:t>
      </w:r>
    </w:p>
    <w:p w14:paraId="2CE9A03A" w14:textId="77777777" w:rsidR="00BD776B" w:rsidRDefault="00DF0C24">
      <w:pPr>
        <w:ind w:left="1049" w:hanging="341"/>
        <w:rPr>
          <w:rFonts w:ascii="標楷體" w:eastAsia="標楷體" w:hAnsi="標楷體"/>
          <w:color w:val="000000"/>
        </w:rPr>
      </w:pPr>
      <w:r>
        <w:rPr>
          <w:rFonts w:ascii="標楷體" w:eastAsia="標楷體" w:hAnsi="標楷體"/>
          <w:color w:val="000000"/>
        </w:rPr>
        <w:t>Ⅰ.肝外轉移（遠端轉移或肝外淋巴結侵犯）。</w:t>
      </w:r>
    </w:p>
    <w:p w14:paraId="19B48BBE" w14:textId="77777777" w:rsidR="00BD776B" w:rsidRDefault="00DF0C24">
      <w:pPr>
        <w:ind w:left="1049" w:hanging="341"/>
        <w:rPr>
          <w:rFonts w:ascii="標楷體" w:eastAsia="標楷體" w:hAnsi="標楷體"/>
          <w:color w:val="000000"/>
        </w:rPr>
      </w:pPr>
      <w:r>
        <w:rPr>
          <w:rFonts w:ascii="標楷體" w:eastAsia="標楷體" w:hAnsi="標楷體"/>
          <w:color w:val="000000"/>
        </w:rPr>
        <w:t>Ⅱ.大血管侵犯（腫瘤侵犯主門靜脈或侵犯左/右靜脈第一或第二分支）</w:t>
      </w:r>
    </w:p>
    <w:p w14:paraId="3E61B41E"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III.經導管動脈化學藥物栓塞治療（Transcatheter arterial chemo embolization,T.A.C.E.）失敗者，需提供患者於12個月內&gt;=3次局部治療之記錄。</w:t>
      </w:r>
    </w:p>
    <w:p w14:paraId="4547B04D" w14:textId="77777777" w:rsidR="00BD776B" w:rsidRDefault="00DF0C24">
      <w:pPr>
        <w:ind w:left="1049" w:hanging="341"/>
        <w:rPr>
          <w:rFonts w:ascii="標楷體" w:eastAsia="標楷體" w:hAnsi="標楷體"/>
          <w:color w:val="000000"/>
        </w:rPr>
      </w:pPr>
      <w:r>
        <w:rPr>
          <w:rFonts w:ascii="標楷體" w:eastAsia="標楷體" w:hAnsi="標楷體"/>
          <w:color w:val="000000"/>
        </w:rPr>
        <w:t>(2)需經事前審查核准後使用，初次申請之療程以3個月為限，之後每2個月評估一次。送審時需檢送影像資料，無疾病惡化方可繼續使用。</w:t>
      </w:r>
    </w:p>
    <w:p w14:paraId="6A4345CC" w14:textId="77777777" w:rsidR="00BD776B" w:rsidRDefault="00DF0C24">
      <w:pPr>
        <w:ind w:left="1049" w:hanging="341"/>
        <w:rPr>
          <w:rFonts w:ascii="標楷體" w:eastAsia="標楷體" w:hAnsi="標楷體"/>
          <w:color w:val="000000"/>
        </w:rPr>
      </w:pPr>
      <w:r>
        <w:rPr>
          <w:rFonts w:ascii="標楷體" w:eastAsia="標楷體" w:hAnsi="標楷體"/>
          <w:color w:val="000000"/>
        </w:rPr>
        <w:t>(3)每日至多處方4粒。</w:t>
      </w:r>
    </w:p>
    <w:p w14:paraId="31D99C6B" w14:textId="4961673E" w:rsidR="00BD776B" w:rsidRDefault="00DF0C24">
      <w:pPr>
        <w:ind w:left="1049" w:hanging="341"/>
        <w:rPr>
          <w:rFonts w:ascii="標楷體" w:eastAsia="標楷體" w:hAnsi="標楷體"/>
          <w:color w:val="000000"/>
        </w:rPr>
      </w:pPr>
      <w:r>
        <w:rPr>
          <w:rFonts w:ascii="標楷體" w:eastAsia="標楷體" w:hAnsi="標楷體"/>
          <w:color w:val="000000"/>
        </w:rPr>
        <w:t>(4)</w:t>
      </w:r>
      <w:r w:rsidR="0071481F" w:rsidRPr="0071481F">
        <w:rPr>
          <w:rFonts w:ascii="標楷體" w:eastAsia="標楷體" w:hAnsi="標楷體" w:hint="eastAsia"/>
          <w:color w:val="000000"/>
        </w:rPr>
        <w:t>Sorafenib、lenvatinib、atezolizumab併用bevacizumab、tremelimumab併用durvalumab僅得擇一給付，不得互換。(109/1/1、112/8/1、114/2/1)</w:t>
      </w:r>
    </w:p>
    <w:p w14:paraId="045291A3" w14:textId="77777777" w:rsidR="00BD776B" w:rsidRDefault="00DF0C24">
      <w:pPr>
        <w:ind w:left="849" w:hanging="283"/>
        <w:rPr>
          <w:rFonts w:ascii="標楷體" w:eastAsia="標楷體" w:hAnsi="標楷體"/>
          <w:color w:val="000000"/>
        </w:rPr>
      </w:pPr>
      <w:r>
        <w:rPr>
          <w:rFonts w:ascii="標楷體" w:eastAsia="標楷體" w:hAnsi="標楷體"/>
          <w:color w:val="000000"/>
        </w:rPr>
        <w:t>3.用於放射性碘治療無效之局部晚期或轉移性的進行性(progressive)分化型甲狀腺癌(RAI-RDTC)：(106/1/1)</w:t>
      </w:r>
    </w:p>
    <w:p w14:paraId="6EA9C8BE" w14:textId="77777777" w:rsidR="00BD776B" w:rsidRDefault="00DF0C24">
      <w:pPr>
        <w:ind w:left="1133" w:hanging="425"/>
        <w:rPr>
          <w:rFonts w:ascii="標楷體" w:eastAsia="標楷體" w:hAnsi="標楷體"/>
          <w:color w:val="000000"/>
        </w:rPr>
      </w:pPr>
      <w:r>
        <w:rPr>
          <w:rFonts w:ascii="標楷體" w:eastAsia="標楷體" w:hAnsi="標楷體"/>
          <w:color w:val="000000"/>
        </w:rPr>
        <w:t>(1)放射性碘治療無效之局部晚期或轉移性的進行性(progressive)分化型甲狀腺癌。</w:t>
      </w:r>
    </w:p>
    <w:p w14:paraId="02871983" w14:textId="77777777" w:rsidR="00BD776B" w:rsidRDefault="00DF0C24">
      <w:pPr>
        <w:ind w:left="1090" w:hanging="384"/>
        <w:rPr>
          <w:rFonts w:ascii="標楷體" w:eastAsia="標楷體" w:hAnsi="標楷體"/>
          <w:color w:val="000000"/>
        </w:rPr>
      </w:pPr>
      <w:r>
        <w:rPr>
          <w:rFonts w:ascii="標楷體" w:eastAsia="標楷體" w:hAnsi="標楷體"/>
          <w:color w:val="000000"/>
        </w:rPr>
        <w:t>(2)需經事前審查核准後使用，每次申請之療程以3個月為限，送審時需檢送影像資料，每3個月評估一次。</w:t>
      </w:r>
    </w:p>
    <w:p w14:paraId="13EA6D11" w14:textId="77777777" w:rsidR="00BD776B" w:rsidRDefault="00DF0C24">
      <w:pPr>
        <w:ind w:left="1090" w:hanging="384"/>
        <w:rPr>
          <w:rFonts w:ascii="標楷體" w:eastAsia="標楷體" w:hAnsi="標楷體"/>
          <w:color w:val="000000"/>
        </w:rPr>
      </w:pPr>
      <w:r>
        <w:rPr>
          <w:rFonts w:ascii="標楷體" w:eastAsia="標楷體" w:hAnsi="標楷體"/>
          <w:color w:val="000000"/>
        </w:rPr>
        <w:t>(3)Sorafenib與lenvatinib不得合併使用。(107/7/1)</w:t>
      </w:r>
    </w:p>
    <w:p w14:paraId="2366DAAE" w14:textId="77777777" w:rsidR="00BD776B" w:rsidRDefault="00DF0C24">
      <w:pPr>
        <w:ind w:left="672" w:hanging="386"/>
        <w:rPr>
          <w:rFonts w:ascii="標楷體" w:eastAsia="標楷體" w:hAnsi="標楷體"/>
          <w:color w:val="000000"/>
        </w:rPr>
      </w:pPr>
      <w:r>
        <w:rPr>
          <w:rFonts w:ascii="標楷體" w:eastAsia="標楷體" w:hAnsi="標楷體"/>
          <w:color w:val="000000"/>
        </w:rPr>
        <w:t>9.35.carmustine植入劑(如Gliadel Wafer)：(100/2/1)附表八之四</w:t>
      </w:r>
    </w:p>
    <w:p w14:paraId="3BE003DA" w14:textId="77777777" w:rsidR="00BD776B" w:rsidRDefault="00DF0C24">
      <w:pPr>
        <w:ind w:left="811" w:hanging="245"/>
        <w:rPr>
          <w:rFonts w:ascii="標楷體" w:eastAsia="標楷體" w:hAnsi="標楷體"/>
          <w:color w:val="000000"/>
        </w:rPr>
      </w:pPr>
      <w:r>
        <w:rPr>
          <w:rFonts w:ascii="標楷體" w:eastAsia="標楷體" w:hAnsi="標楷體"/>
          <w:color w:val="000000"/>
        </w:rPr>
        <w:t>1.作為復發性多形神經膠母細胞瘤病人的手術輔助，且不得與temozolomide併用。</w:t>
      </w:r>
    </w:p>
    <w:p w14:paraId="1C009658" w14:textId="77777777" w:rsidR="00BD776B" w:rsidRDefault="00DF0C24">
      <w:pPr>
        <w:ind w:left="811" w:hanging="245"/>
        <w:rPr>
          <w:rFonts w:ascii="標楷體" w:eastAsia="標楷體" w:hAnsi="標楷體"/>
          <w:color w:val="000000"/>
        </w:rPr>
      </w:pPr>
      <w:r>
        <w:rPr>
          <w:rFonts w:ascii="標楷體" w:eastAsia="標楷體" w:hAnsi="標楷體"/>
          <w:color w:val="000000"/>
        </w:rPr>
        <w:t>2.需經事前審查核准後使用。</w:t>
      </w:r>
    </w:p>
    <w:p w14:paraId="5D9460C5" w14:textId="77777777" w:rsidR="00BD776B" w:rsidRDefault="00DF0C24">
      <w:pPr>
        <w:ind w:left="672" w:hanging="386"/>
        <w:rPr>
          <w:rFonts w:ascii="標楷體" w:eastAsia="標楷體" w:hAnsi="標楷體"/>
          <w:szCs w:val="24"/>
        </w:rPr>
      </w:pPr>
      <w:r>
        <w:rPr>
          <w:rFonts w:ascii="標楷體" w:eastAsia="標楷體" w:hAnsi="標楷體"/>
          <w:szCs w:val="24"/>
        </w:rPr>
        <w:t>9.36.Everolimus：（100/2/1、102/1/1）附表九之九</w:t>
      </w:r>
    </w:p>
    <w:p w14:paraId="20514541" w14:textId="77777777" w:rsidR="00BD776B" w:rsidRDefault="00DF0C24">
      <w:pPr>
        <w:ind w:left="1301" w:hanging="845"/>
      </w:pPr>
      <w:r>
        <w:rPr>
          <w:rFonts w:ascii="標楷體" w:eastAsia="標楷體" w:hAnsi="標楷體"/>
          <w:szCs w:val="24"/>
        </w:rPr>
        <w:t>9.36.1.Everolimus 5mg及10mg(如Afinitor 5mg及10mg)</w:t>
      </w:r>
      <w:r>
        <w:rPr>
          <w:rFonts w:ascii="新細明體" w:hAnsi="新細明體"/>
          <w:szCs w:val="24"/>
        </w:rPr>
        <w:t>：</w:t>
      </w:r>
      <w:r>
        <w:rPr>
          <w:rFonts w:ascii="標楷體" w:eastAsia="標楷體" w:hAnsi="標楷體"/>
          <w:szCs w:val="24"/>
        </w:rPr>
        <w:t>（100/2/1、102/1/1、104/9/1、104/12/1、106/3/1、108/10/1、109/4/1）</w:t>
      </w:r>
    </w:p>
    <w:p w14:paraId="68DA805D" w14:textId="77777777" w:rsidR="00BD776B" w:rsidRDefault="00DF0C24">
      <w:pPr>
        <w:ind w:left="811" w:hanging="245"/>
        <w:rPr>
          <w:rFonts w:ascii="標楷體" w:eastAsia="標楷體" w:hAnsi="標楷體"/>
          <w:szCs w:val="24"/>
        </w:rPr>
      </w:pPr>
      <w:r>
        <w:rPr>
          <w:rFonts w:ascii="標楷體" w:eastAsia="標楷體" w:hAnsi="標楷體"/>
          <w:szCs w:val="24"/>
        </w:rPr>
        <w:t>1.治療經VEGF-targeted療法無效後之晚期腎細胞癌患者。</w:t>
      </w:r>
    </w:p>
    <w:p w14:paraId="217B6101" w14:textId="77777777" w:rsidR="00BD776B" w:rsidRDefault="00DF0C24">
      <w:pPr>
        <w:ind w:left="811" w:hanging="245"/>
        <w:rPr>
          <w:rFonts w:ascii="標楷體" w:eastAsia="標楷體" w:hAnsi="標楷體"/>
          <w:szCs w:val="24"/>
        </w:rPr>
      </w:pPr>
      <w:r>
        <w:rPr>
          <w:rFonts w:ascii="標楷體" w:eastAsia="標楷體" w:hAnsi="標楷體"/>
          <w:szCs w:val="24"/>
        </w:rPr>
        <w:t>2.使用於胰臟神經內分泌腫瘤成人病患，需同時符合下列條件：（102/1/1）</w:t>
      </w:r>
    </w:p>
    <w:p w14:paraId="15452873" w14:textId="77777777" w:rsidR="00BD776B" w:rsidRDefault="00DF0C24">
      <w:pPr>
        <w:ind w:left="1116" w:hanging="396"/>
        <w:rPr>
          <w:rFonts w:ascii="標楷體" w:eastAsia="標楷體" w:hAnsi="標楷體"/>
          <w:szCs w:val="24"/>
        </w:rPr>
      </w:pPr>
      <w:r>
        <w:rPr>
          <w:rFonts w:ascii="標楷體" w:eastAsia="標楷體" w:hAnsi="標楷體"/>
          <w:szCs w:val="24"/>
        </w:rPr>
        <w:t>(1)無法切除或轉移的成人胰臟內分泌腫瘤，其分化程度為良好或中度，或WHO 2010年分類為G1、G2者。</w:t>
      </w:r>
    </w:p>
    <w:p w14:paraId="192D8963" w14:textId="77777777" w:rsidR="00BD776B" w:rsidRDefault="00DF0C24">
      <w:pPr>
        <w:ind w:left="1116" w:hanging="396"/>
        <w:rPr>
          <w:rFonts w:ascii="標楷體" w:eastAsia="標楷體" w:hAnsi="標楷體"/>
          <w:szCs w:val="24"/>
        </w:rPr>
      </w:pPr>
      <w:r>
        <w:rPr>
          <w:rFonts w:ascii="標楷體" w:eastAsia="標楷體" w:hAnsi="標楷體"/>
          <w:szCs w:val="24"/>
        </w:rPr>
        <w:t>(2)為進展性腫瘤，即過去12個月影像檢查為持續惡化者（RECIST定義為疾病惡化者）。</w:t>
      </w:r>
    </w:p>
    <w:p w14:paraId="02FC6AFE" w14:textId="77777777" w:rsidR="00BD776B" w:rsidRDefault="00DF0C24">
      <w:pPr>
        <w:ind w:left="1116" w:hanging="396"/>
        <w:rPr>
          <w:rFonts w:ascii="標楷體" w:eastAsia="標楷體" w:hAnsi="標楷體"/>
          <w:szCs w:val="24"/>
        </w:rPr>
      </w:pPr>
      <w:r>
        <w:rPr>
          <w:rFonts w:ascii="標楷體" w:eastAsia="標楷體" w:hAnsi="標楷體"/>
          <w:szCs w:val="24"/>
        </w:rPr>
        <w:t>(3)不可合併使用化學藥物或其他標靶藥物。</w:t>
      </w:r>
    </w:p>
    <w:p w14:paraId="28A14574" w14:textId="77777777" w:rsidR="00BD776B" w:rsidRDefault="00DF0C24">
      <w:pPr>
        <w:ind w:left="1116" w:hanging="396"/>
        <w:rPr>
          <w:rFonts w:ascii="標楷體" w:eastAsia="標楷體" w:hAnsi="標楷體"/>
          <w:szCs w:val="24"/>
        </w:rPr>
      </w:pPr>
      <w:r>
        <w:rPr>
          <w:rFonts w:ascii="標楷體" w:eastAsia="標楷體" w:hAnsi="標楷體"/>
          <w:szCs w:val="24"/>
        </w:rPr>
        <w:t>(4)除因病人使用本品後，發生嚴重不良反應或耐受不良之情形外，本品與sunitinib不得轉換使用。</w:t>
      </w:r>
    </w:p>
    <w:p w14:paraId="4DF228F1" w14:textId="77777777" w:rsidR="00BD776B" w:rsidRDefault="00DF0C24">
      <w:pPr>
        <w:ind w:left="991" w:hanging="425"/>
      </w:pPr>
      <w:r>
        <w:rPr>
          <w:rFonts w:ascii="標楷體" w:eastAsia="標楷體" w:hAnsi="標楷體"/>
          <w:szCs w:val="24"/>
        </w:rPr>
        <w:t>3.</w:t>
      </w:r>
      <w:r>
        <w:t xml:space="preserve"> </w:t>
      </w:r>
      <w:r>
        <w:rPr>
          <w:rFonts w:ascii="標楷體" w:eastAsia="標楷體" w:hAnsi="標楷體"/>
          <w:szCs w:val="24"/>
        </w:rPr>
        <w:t>使用於無法切除、局部晚期或轉移之胃腸道或肺部來源之非功能性神經內分泌腫瘤成人病患，需同時符合下列條件：（108/10/1）</w:t>
      </w:r>
    </w:p>
    <w:p w14:paraId="5E198010" w14:textId="77777777" w:rsidR="00BD776B" w:rsidRDefault="00DF0C24">
      <w:pPr>
        <w:ind w:left="708"/>
        <w:rPr>
          <w:rFonts w:ascii="標楷體" w:eastAsia="標楷體" w:hAnsi="標楷體"/>
          <w:szCs w:val="24"/>
        </w:rPr>
      </w:pPr>
      <w:r>
        <w:rPr>
          <w:rFonts w:ascii="標楷體" w:eastAsia="標楷體" w:hAnsi="標楷體"/>
          <w:szCs w:val="24"/>
        </w:rPr>
        <w:t>(1)腫瘤分化程度為良好者。</w:t>
      </w:r>
    </w:p>
    <w:p w14:paraId="1352CFD7" w14:textId="77777777" w:rsidR="00BD776B" w:rsidRDefault="00DF0C24">
      <w:pPr>
        <w:ind w:left="708"/>
        <w:rPr>
          <w:rFonts w:ascii="標楷體" w:eastAsia="標楷體" w:hAnsi="標楷體"/>
          <w:szCs w:val="24"/>
        </w:rPr>
      </w:pPr>
      <w:r>
        <w:rPr>
          <w:rFonts w:ascii="標楷體" w:eastAsia="標楷體" w:hAnsi="標楷體"/>
          <w:szCs w:val="24"/>
        </w:rPr>
        <w:t>(2)為進展性腫瘤，即過去12個月影像檢查為持續惡化者（RECIST定義為疾病惡化者）。</w:t>
      </w:r>
    </w:p>
    <w:p w14:paraId="6AFC1F67" w14:textId="77777777" w:rsidR="00BD776B" w:rsidRDefault="00DF0C24">
      <w:pPr>
        <w:ind w:left="708"/>
        <w:rPr>
          <w:rFonts w:ascii="標楷體" w:eastAsia="標楷體" w:hAnsi="標楷體"/>
          <w:szCs w:val="24"/>
        </w:rPr>
      </w:pPr>
      <w:r>
        <w:rPr>
          <w:rFonts w:ascii="標楷體" w:eastAsia="標楷體" w:hAnsi="標楷體"/>
          <w:szCs w:val="24"/>
        </w:rPr>
        <w:t>(3)不可合併使用化學藥物或其他標靶藥物。</w:t>
      </w:r>
    </w:p>
    <w:p w14:paraId="654DAA60" w14:textId="77777777" w:rsidR="00BD776B" w:rsidRDefault="00DF0C24">
      <w:pPr>
        <w:ind w:left="837" w:hanging="271"/>
        <w:rPr>
          <w:rFonts w:ascii="標楷體" w:eastAsia="標楷體" w:hAnsi="標楷體"/>
          <w:szCs w:val="24"/>
        </w:rPr>
      </w:pPr>
      <w:r>
        <w:rPr>
          <w:rFonts w:ascii="標楷體" w:eastAsia="標楷體" w:hAnsi="標楷體"/>
          <w:szCs w:val="24"/>
        </w:rPr>
        <w:t xml:space="preserve">4.與exemestane併用，作為先前已使用過非類固醇類之芳香環酶抑制劑治療無效，而未曾使用exemestane之荷爾蒙接受體陽性、HER2受體陰性且尚未出現器官轉移危急症狀 (visceral crisis)之轉移性乳癌病人的治療，且使用本品無效後，不得申請 CDK4/6 抑制劑藥品（104/9/1、109/4/1） </w:t>
      </w:r>
    </w:p>
    <w:p w14:paraId="6F8E1DBB" w14:textId="77777777" w:rsidR="00BD776B" w:rsidRDefault="00DF0C24">
      <w:pPr>
        <w:ind w:left="811" w:hanging="245"/>
        <w:rPr>
          <w:rFonts w:ascii="標楷體" w:eastAsia="標楷體" w:hAnsi="標楷體"/>
          <w:szCs w:val="24"/>
        </w:rPr>
      </w:pPr>
      <w:r>
        <w:rPr>
          <w:rFonts w:ascii="標楷體" w:eastAsia="標楷體" w:hAnsi="標楷體"/>
          <w:szCs w:val="24"/>
        </w:rPr>
        <w:t>5.除晚期腎細胞癌之外，其他疾病需經事前審查核准後使用，每次申請之療程以3個月為限。初次申請時需檢送病理報告及影像報告，之後每3個月申請一次，再次申請時需檢附影像資料及前次治療結果評估資料證實無惡化，才可繼續使</w:t>
      </w:r>
      <w:r>
        <w:rPr>
          <w:rFonts w:ascii="標楷體" w:eastAsia="標楷體" w:hAnsi="標楷體"/>
          <w:szCs w:val="24"/>
        </w:rPr>
        <w:lastRenderedPageBreak/>
        <w:t>用。(104/12/1、108/10/1)</w:t>
      </w:r>
    </w:p>
    <w:p w14:paraId="3A178E9D" w14:textId="77777777" w:rsidR="00BD776B" w:rsidRDefault="00DF0C24">
      <w:pPr>
        <w:ind w:left="811" w:hanging="245"/>
      </w:pPr>
      <w:r>
        <w:rPr>
          <w:rFonts w:ascii="標楷體" w:eastAsia="標楷體" w:hAnsi="標楷體"/>
          <w:szCs w:val="24"/>
        </w:rPr>
        <w:t>6.</w:t>
      </w:r>
      <w:r>
        <w:t xml:space="preserve"> </w:t>
      </w:r>
      <w:r>
        <w:rPr>
          <w:rFonts w:ascii="標楷體" w:eastAsia="標楷體" w:hAnsi="標楷體"/>
          <w:szCs w:val="24"/>
        </w:rPr>
        <w:t>限每日最大劑量為10mg。（108/10/1）</w:t>
      </w:r>
    </w:p>
    <w:p w14:paraId="34C6E44B" w14:textId="77777777" w:rsidR="00BD776B" w:rsidRDefault="00DF0C24">
      <w:pPr>
        <w:ind w:left="672" w:hanging="386"/>
        <w:rPr>
          <w:rFonts w:ascii="標楷體" w:eastAsia="標楷體" w:hAnsi="標楷體"/>
          <w:szCs w:val="24"/>
        </w:rPr>
      </w:pPr>
      <w:r>
        <w:rPr>
          <w:rFonts w:ascii="標楷體" w:eastAsia="標楷體" w:hAnsi="標楷體"/>
          <w:szCs w:val="24"/>
        </w:rPr>
        <w:t>9.36.2.Everolimus 2.5mg及5mg(如Votubia)：（102/1/1、106/4/1、111/2/1）</w:t>
      </w:r>
    </w:p>
    <w:p w14:paraId="4D30E11F" w14:textId="77777777" w:rsidR="00BD776B" w:rsidRDefault="00DF0C24">
      <w:pPr>
        <w:ind w:left="811" w:hanging="245"/>
        <w:rPr>
          <w:rFonts w:ascii="標楷體" w:eastAsia="標楷體" w:hAnsi="標楷體"/>
          <w:szCs w:val="24"/>
        </w:rPr>
      </w:pPr>
      <w:r>
        <w:rPr>
          <w:rFonts w:ascii="標楷體" w:eastAsia="標楷體" w:hAnsi="標楷體"/>
          <w:szCs w:val="24"/>
        </w:rPr>
        <w:t>1.治療患有結節性硬化症(tuberous sclerosis)之腦室管膜下巨細胞星狀瘤(SEGA: subependymal giant cell astrocytoma)：</w:t>
      </w:r>
    </w:p>
    <w:p w14:paraId="67392DDD" w14:textId="77777777" w:rsidR="00BD776B" w:rsidRDefault="00DF0C24">
      <w:pPr>
        <w:ind w:left="1133" w:hanging="425"/>
        <w:rPr>
          <w:rFonts w:ascii="標楷體" w:eastAsia="標楷體" w:hAnsi="標楷體"/>
          <w:szCs w:val="24"/>
        </w:rPr>
      </w:pPr>
      <w:r>
        <w:rPr>
          <w:rFonts w:ascii="標楷體" w:eastAsia="標楷體" w:hAnsi="標楷體"/>
          <w:szCs w:val="24"/>
        </w:rPr>
        <w:t>(1)限併有水腦症狀或其他顯著神經學症狀，且經神經外科專科醫師評估不適合接受或無法以外科切除手術的患者使用。</w:t>
      </w:r>
    </w:p>
    <w:p w14:paraId="17A15BB1" w14:textId="77777777" w:rsidR="00BD776B" w:rsidRDefault="00DF0C24">
      <w:pPr>
        <w:ind w:left="1133" w:hanging="425"/>
        <w:rPr>
          <w:rFonts w:ascii="標楷體" w:eastAsia="標楷體" w:hAnsi="標楷體"/>
          <w:szCs w:val="24"/>
        </w:rPr>
      </w:pPr>
      <w:r>
        <w:rPr>
          <w:rFonts w:ascii="標楷體" w:eastAsia="標楷體" w:hAnsi="標楷體"/>
          <w:szCs w:val="24"/>
        </w:rPr>
        <w:t>(2)需經事前審查核准後使用，每次申請之療程以6個月為限，申請時需檢送影像檢查資料。</w:t>
      </w:r>
    </w:p>
    <w:p w14:paraId="24475810" w14:textId="77777777" w:rsidR="00BD776B" w:rsidRDefault="00DF0C24">
      <w:pPr>
        <w:ind w:left="1133" w:hanging="425"/>
        <w:rPr>
          <w:rFonts w:ascii="標楷體" w:eastAsia="標楷體" w:hAnsi="標楷體"/>
          <w:szCs w:val="24"/>
        </w:rPr>
      </w:pPr>
      <w:r>
        <w:rPr>
          <w:rFonts w:ascii="標楷體" w:eastAsia="標楷體" w:hAnsi="標楷體"/>
          <w:szCs w:val="24"/>
        </w:rPr>
        <w:t>(3)申請續用時，除需檢送治療前後之影像資料，且再經神經外科專科醫師評估，其仍不適合接受或無法以外科切除手術者，始得續用。</w:t>
      </w:r>
    </w:p>
    <w:p w14:paraId="600A3195" w14:textId="77777777" w:rsidR="00BD776B" w:rsidRDefault="00DF0C24">
      <w:pPr>
        <w:ind w:left="1133" w:hanging="425"/>
        <w:rPr>
          <w:rFonts w:ascii="標楷體" w:eastAsia="標楷體" w:hAnsi="標楷體"/>
          <w:szCs w:val="24"/>
        </w:rPr>
      </w:pPr>
      <w:r>
        <w:rPr>
          <w:rFonts w:ascii="標楷體" w:eastAsia="標楷體" w:hAnsi="標楷體"/>
          <w:szCs w:val="24"/>
        </w:rPr>
        <w:t>(4)用藥後，若病情無法持續改善或疾病已惡化，則不予同意使用。</w:t>
      </w:r>
    </w:p>
    <w:p w14:paraId="021CFDD2" w14:textId="77777777" w:rsidR="00BD776B" w:rsidRDefault="00DF0C24">
      <w:pPr>
        <w:ind w:left="809" w:hanging="245"/>
        <w:rPr>
          <w:rFonts w:ascii="標楷體" w:eastAsia="標楷體" w:hAnsi="標楷體"/>
          <w:szCs w:val="24"/>
        </w:rPr>
      </w:pPr>
      <w:r>
        <w:rPr>
          <w:rFonts w:ascii="標楷體" w:eastAsia="標楷體" w:hAnsi="標楷體"/>
          <w:szCs w:val="24"/>
        </w:rPr>
        <w:t>2.結節性硬化症併有腎血管肌脂肪瘤之成年病患，且需符合以下條件(106/4/1、111/2/1)：</w:t>
      </w:r>
    </w:p>
    <w:p w14:paraId="2D4208DA" w14:textId="77777777" w:rsidR="00BD776B" w:rsidRDefault="00DF0C24">
      <w:pPr>
        <w:ind w:left="1133" w:hanging="425"/>
      </w:pPr>
      <w:r>
        <w:rPr>
          <w:rFonts w:ascii="標楷體" w:eastAsia="標楷體" w:hAnsi="標楷體"/>
          <w:szCs w:val="24"/>
        </w:rPr>
        <w:t>(1)</w:t>
      </w:r>
      <w:r>
        <w:t xml:space="preserve"> </w:t>
      </w:r>
      <w:r>
        <w:rPr>
          <w:rFonts w:ascii="標楷體" w:eastAsia="標楷體" w:hAnsi="標楷體"/>
          <w:szCs w:val="24"/>
        </w:rPr>
        <w:t>限18歲以上病人，其腎血管肌脂肪瘤最長直徑已達4cm(含)以上且仍有持續進展之證據，且曾有發生臨床上有意義之出血或確認病灶有血管瘤(aneurysm)直徑</w:t>
      </w:r>
      <w:r>
        <w:rPr>
          <w:rFonts w:ascii="Times New Roman" w:eastAsia="標楷體" w:hAnsi="Times New Roman"/>
          <w:szCs w:val="24"/>
        </w:rPr>
        <w:t>≥</w:t>
      </w:r>
      <w:r>
        <w:rPr>
          <w:rFonts w:ascii="標楷體" w:eastAsia="標楷體" w:hAnsi="標楷體"/>
          <w:szCs w:val="24"/>
        </w:rPr>
        <w:t>5mm者，病灶不只一處，且經腎臟或泌尿專科醫師評估無法以外科手術或動脈栓塞治療，或經動脈栓塞治療或外科手術後無效或復發者(111/2/1)。</w:t>
      </w:r>
    </w:p>
    <w:p w14:paraId="595A6970" w14:textId="77777777" w:rsidR="00BD776B" w:rsidRDefault="00DF0C24">
      <w:pPr>
        <w:ind w:left="1133" w:hanging="425"/>
        <w:rPr>
          <w:rFonts w:ascii="標楷體" w:eastAsia="標楷體" w:hAnsi="標楷體"/>
          <w:szCs w:val="24"/>
        </w:rPr>
      </w:pPr>
      <w:r>
        <w:rPr>
          <w:rFonts w:ascii="標楷體" w:eastAsia="標楷體" w:hAnsi="標楷體"/>
          <w:szCs w:val="24"/>
        </w:rPr>
        <w:t>(2)需經事前審查核准後使用，每次申請之療程以6個月為限，申請時需檢送影像檢查(CT或MRI)資料。</w:t>
      </w:r>
    </w:p>
    <w:p w14:paraId="7C8BE126" w14:textId="77777777" w:rsidR="00BD776B" w:rsidRDefault="00DF0C24">
      <w:pPr>
        <w:ind w:left="1133" w:hanging="425"/>
        <w:rPr>
          <w:rFonts w:ascii="標楷體" w:eastAsia="標楷體" w:hAnsi="標楷體"/>
          <w:szCs w:val="24"/>
        </w:rPr>
      </w:pPr>
      <w:r>
        <w:rPr>
          <w:rFonts w:ascii="標楷體" w:eastAsia="標楷體" w:hAnsi="標楷體"/>
          <w:szCs w:val="24"/>
        </w:rPr>
        <w:t>(3)使用後需每24週評估一次，申請續用時，除檢送治療前之影像資料，需檢送治療後(第24週、48週、72週…等)之影像檢查資料，若腫瘤總體積較治療前降低30%(含)以上，且無新增直徑1公分以上的腫瘤或grade2(含)以上腫瘤出血併發症，始得申請續用。(註：腫瘤出血併發症分級(grading)定義依Common Terminology Criteria for Adverse Events(CTCAE), version4.0.)</w:t>
      </w:r>
    </w:p>
    <w:p w14:paraId="1D496B7D" w14:textId="77777777" w:rsidR="00BD776B" w:rsidRDefault="00DF0C24">
      <w:pPr>
        <w:ind w:left="1133" w:hanging="425"/>
      </w:pPr>
      <w:r>
        <w:rPr>
          <w:rFonts w:ascii="標楷體" w:eastAsia="標楷體" w:hAnsi="標楷體"/>
          <w:szCs w:val="24"/>
        </w:rPr>
        <w:t>(4)限每日最大劑量為10mg。</w:t>
      </w:r>
    </w:p>
    <w:p w14:paraId="02D5A317" w14:textId="77777777" w:rsidR="008C5C9A" w:rsidRPr="008C5C9A" w:rsidRDefault="008C5C9A" w:rsidP="008C5C9A">
      <w:pPr>
        <w:ind w:left="824" w:hanging="567"/>
        <w:rPr>
          <w:rFonts w:ascii="標楷體" w:eastAsia="標楷體" w:hAnsi="標楷體"/>
          <w:color w:val="000000"/>
        </w:rPr>
      </w:pPr>
      <w:r w:rsidRPr="008C5C9A">
        <w:rPr>
          <w:rFonts w:ascii="標楷體" w:eastAsia="標楷體" w:hAnsi="標楷體"/>
          <w:color w:val="000000"/>
        </w:rPr>
        <w:t>9.37.Bevacizumab(如Avastin)：（100/6/1、101/05/1、106/4/1、108/3/1、109/6/1、112/8/1、113/3/1、113/6/1、113/9/1、</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3</w:t>
      </w:r>
      <w:r w:rsidRPr="008C5C9A">
        <w:rPr>
          <w:rFonts w:ascii="標楷體" w:eastAsia="標楷體" w:hAnsi="標楷體"/>
          <w:color w:val="000000"/>
        </w:rPr>
        <w:t>/1、</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4</w:t>
      </w:r>
      <w:r w:rsidRPr="008C5C9A">
        <w:rPr>
          <w:rFonts w:ascii="標楷體" w:eastAsia="標楷體" w:hAnsi="標楷體"/>
          <w:color w:val="000000"/>
        </w:rPr>
        <w:t>/1)</w:t>
      </w:r>
    </w:p>
    <w:p w14:paraId="58DE4B99" w14:textId="77777777" w:rsidR="008C5C9A" w:rsidRPr="008C5C9A" w:rsidRDefault="008C5C9A" w:rsidP="008C5C9A">
      <w:pPr>
        <w:ind w:left="1051" w:hanging="245"/>
        <w:rPr>
          <w:rFonts w:ascii="標楷體" w:eastAsia="標楷體" w:hAnsi="標楷體"/>
          <w:color w:val="000000"/>
        </w:rPr>
      </w:pPr>
      <w:r w:rsidRPr="008C5C9A">
        <w:rPr>
          <w:rFonts w:ascii="標楷體" w:eastAsia="標楷體" w:hAnsi="標楷體"/>
          <w:color w:val="000000"/>
        </w:rPr>
        <w:t>1.轉移性大腸或直腸癌：</w:t>
      </w:r>
    </w:p>
    <w:p w14:paraId="630706CC" w14:textId="77777777" w:rsidR="008C5C9A" w:rsidRPr="008C5C9A" w:rsidRDefault="008C5C9A" w:rsidP="008C5C9A">
      <w:pPr>
        <w:ind w:left="1287" w:hanging="340"/>
        <w:rPr>
          <w:rFonts w:ascii="標楷體" w:eastAsia="標楷體" w:hAnsi="標楷體"/>
          <w:color w:val="000000"/>
        </w:rPr>
      </w:pPr>
      <w:r w:rsidRPr="008C5C9A">
        <w:rPr>
          <w:rFonts w:ascii="標楷體" w:eastAsia="標楷體" w:hAnsi="標楷體"/>
          <w:color w:val="000000"/>
        </w:rPr>
        <w:t>(1)Bevacizumab與FOLFIRI（Folinicacid/5-fluorouracil/irinotecan）或FOLFOX（Folinicacid/5-fluorouracil/oxaliplatin）或5-fluorouracil/leucovorin的化學療法合併使用，作為轉移性大腸或直腸癌患者的第一線治療。(108/3/1)</w:t>
      </w:r>
    </w:p>
    <w:p w14:paraId="1F9CA544" w14:textId="77777777" w:rsidR="008C5C9A" w:rsidRPr="008C5C9A" w:rsidRDefault="008C5C9A" w:rsidP="008A7063">
      <w:pPr>
        <w:numPr>
          <w:ilvl w:val="0"/>
          <w:numId w:val="144"/>
        </w:numPr>
        <w:ind w:left="1729" w:hanging="482"/>
        <w:rPr>
          <w:rFonts w:ascii="標楷體" w:eastAsia="標楷體" w:hAnsi="標楷體"/>
          <w:color w:val="000000"/>
        </w:rPr>
      </w:pPr>
      <w:r w:rsidRPr="008C5C9A">
        <w:rPr>
          <w:rFonts w:ascii="標楷體" w:eastAsia="標楷體" w:hAnsi="標楷體"/>
          <w:color w:val="000000"/>
        </w:rPr>
        <w:t>使用總療程以36週為上限(106/4/1)。</w:t>
      </w:r>
    </w:p>
    <w:p w14:paraId="577CDD6B" w14:textId="77777777" w:rsidR="008C5C9A" w:rsidRPr="008C5C9A" w:rsidRDefault="008C5C9A" w:rsidP="008A7063">
      <w:pPr>
        <w:numPr>
          <w:ilvl w:val="0"/>
          <w:numId w:val="144"/>
        </w:numPr>
        <w:ind w:left="1729" w:hanging="482"/>
        <w:rPr>
          <w:rFonts w:ascii="標楷體" w:eastAsia="標楷體" w:hAnsi="標楷體"/>
          <w:color w:val="000000"/>
        </w:rPr>
      </w:pPr>
      <w:r w:rsidRPr="008C5C9A">
        <w:rPr>
          <w:rFonts w:ascii="標楷體" w:eastAsia="標楷體" w:hAnsi="標楷體"/>
          <w:color w:val="000000"/>
        </w:rPr>
        <w:t>須經事前審查核准後使用，每次申請事前審查之療程以18週為限，再次申請必須提出客觀證據（如：影像學）證實無惡化，才可繼續使用。(106/4/1)</w:t>
      </w:r>
    </w:p>
    <w:p w14:paraId="6C474928" w14:textId="77777777" w:rsidR="008C5C9A" w:rsidRPr="008C5C9A" w:rsidRDefault="008C5C9A" w:rsidP="008A7063">
      <w:pPr>
        <w:numPr>
          <w:ilvl w:val="0"/>
          <w:numId w:val="144"/>
        </w:numPr>
        <w:ind w:left="1729" w:hanging="482"/>
        <w:rPr>
          <w:rFonts w:ascii="標楷體" w:eastAsia="標楷體" w:hAnsi="標楷體"/>
          <w:color w:val="000000"/>
        </w:rPr>
      </w:pPr>
      <w:r w:rsidRPr="008C5C9A">
        <w:rPr>
          <w:rFonts w:ascii="標楷體" w:eastAsia="標楷體" w:hAnsi="標楷體"/>
          <w:color w:val="000000"/>
        </w:rPr>
        <w:t>本藥品不得與cetuximab、panitumumab併用。(108/3/1、113/3/1)</w:t>
      </w:r>
    </w:p>
    <w:p w14:paraId="05CE63F8" w14:textId="1ECCD674" w:rsidR="008C5C9A" w:rsidRPr="008C5C9A" w:rsidRDefault="008C5C9A" w:rsidP="008C5C9A">
      <w:pPr>
        <w:ind w:leftChars="400" w:left="1320" w:hangingChars="150" w:hanging="360"/>
        <w:rPr>
          <w:rFonts w:ascii="標楷體" w:eastAsia="標楷體" w:hAnsi="標楷體"/>
          <w:color w:val="000000"/>
        </w:rPr>
      </w:pPr>
      <w:r w:rsidRPr="008C5C9A">
        <w:rPr>
          <w:rFonts w:ascii="標楷體" w:eastAsia="標楷體" w:hAnsi="標楷體"/>
          <w:color w:val="000000"/>
        </w:rPr>
        <w:t>(2)Bevacizumab</w:t>
      </w:r>
      <w:r w:rsidRPr="008C5C9A">
        <w:rPr>
          <w:rFonts w:ascii="標楷體" w:eastAsia="標楷體" w:hAnsi="標楷體" w:hint="eastAsia"/>
          <w:color w:val="000000"/>
        </w:rPr>
        <w:t>(除</w:t>
      </w:r>
      <w:r w:rsidRPr="008C5C9A">
        <w:rPr>
          <w:rFonts w:ascii="標楷體" w:eastAsia="標楷體" w:hAnsi="標楷體"/>
          <w:color w:val="000000"/>
        </w:rPr>
        <w:t>Zirabev</w:t>
      </w:r>
      <w:r w:rsidRPr="008C5C9A">
        <w:rPr>
          <w:rFonts w:ascii="標楷體" w:eastAsia="標楷體" w:hAnsi="標楷體" w:hint="eastAsia"/>
          <w:color w:val="000000"/>
        </w:rPr>
        <w:t>以外)</w:t>
      </w:r>
      <w:r w:rsidRPr="008C5C9A">
        <w:rPr>
          <w:rFonts w:ascii="標楷體" w:eastAsia="標楷體" w:hAnsi="標楷體"/>
          <w:color w:val="000000"/>
        </w:rPr>
        <w:t>與含有5-fluorouracil/leucovorin/oxaliplatin的化學療法合併使用，作為先前接受過以 fluoropyrimidine為基礎的化學療法併用cetuximab或panitumumab無效且未曾接受過bevacizumab治療，RAS基因沒有突變的</w:t>
      </w:r>
      <w:r w:rsidRPr="008C5C9A">
        <w:rPr>
          <w:rFonts w:ascii="標楷體" w:eastAsia="標楷體" w:hAnsi="標楷體"/>
          <w:color w:val="000000"/>
        </w:rPr>
        <w:lastRenderedPageBreak/>
        <w:t>轉移性大腸或直腸癌病人的第二線治療。(</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3</w:t>
      </w:r>
      <w:r w:rsidRPr="008C5C9A">
        <w:rPr>
          <w:rFonts w:ascii="標楷體" w:eastAsia="標楷體" w:hAnsi="標楷體"/>
          <w:color w:val="000000"/>
        </w:rPr>
        <w:t>/1、</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4</w:t>
      </w:r>
      <w:r w:rsidRPr="008C5C9A">
        <w:rPr>
          <w:rFonts w:ascii="標楷體" w:eastAsia="標楷體" w:hAnsi="標楷體"/>
          <w:color w:val="000000"/>
        </w:rPr>
        <w:t>/1)</w:t>
      </w:r>
    </w:p>
    <w:p w14:paraId="59DDCBE0" w14:textId="77777777" w:rsidR="008C5C9A" w:rsidRPr="008C5C9A" w:rsidRDefault="008C5C9A" w:rsidP="008A7063">
      <w:pPr>
        <w:numPr>
          <w:ilvl w:val="0"/>
          <w:numId w:val="145"/>
        </w:numPr>
        <w:suppressAutoHyphens w:val="0"/>
        <w:autoSpaceDN/>
        <w:ind w:leftChars="450" w:left="1560" w:hangingChars="200"/>
        <w:textAlignment w:val="auto"/>
        <w:rPr>
          <w:rFonts w:ascii="標楷體" w:eastAsia="標楷體" w:hAnsi="標楷體"/>
          <w:color w:val="000000"/>
        </w:rPr>
      </w:pPr>
      <w:r w:rsidRPr="008C5C9A">
        <w:rPr>
          <w:rFonts w:ascii="標楷體" w:eastAsia="標楷體" w:hAnsi="標楷體"/>
          <w:color w:val="000000"/>
        </w:rPr>
        <w:t>需檢附依全民健康保險醫療服務給付項目及支付標準伴隨式診斷編號30104B規定之認證實驗室檢驗之All-RAS基因突變分析檢測報告。</w:t>
      </w:r>
    </w:p>
    <w:p w14:paraId="2CE345B7" w14:textId="77777777" w:rsidR="008C5C9A" w:rsidRPr="008C5C9A" w:rsidRDefault="008C5C9A" w:rsidP="008A7063">
      <w:pPr>
        <w:numPr>
          <w:ilvl w:val="0"/>
          <w:numId w:val="145"/>
        </w:numPr>
        <w:suppressAutoHyphens w:val="0"/>
        <w:autoSpaceDN/>
        <w:ind w:leftChars="450" w:left="1560" w:hangingChars="200"/>
        <w:textAlignment w:val="auto"/>
        <w:rPr>
          <w:rFonts w:ascii="標楷體" w:eastAsia="標楷體" w:hAnsi="標楷體"/>
          <w:color w:val="000000"/>
        </w:rPr>
      </w:pPr>
      <w:r w:rsidRPr="008C5C9A">
        <w:rPr>
          <w:rFonts w:ascii="標楷體" w:eastAsia="標楷體" w:hAnsi="標楷體"/>
          <w:color w:val="000000"/>
        </w:rPr>
        <w:t>使用總療程以24週為上限。</w:t>
      </w:r>
    </w:p>
    <w:p w14:paraId="25F64231" w14:textId="77777777" w:rsidR="008C5C9A" w:rsidRPr="008C5C9A" w:rsidRDefault="008C5C9A" w:rsidP="008A7063">
      <w:pPr>
        <w:numPr>
          <w:ilvl w:val="0"/>
          <w:numId w:val="145"/>
        </w:numPr>
        <w:suppressAutoHyphens w:val="0"/>
        <w:autoSpaceDN/>
        <w:ind w:leftChars="450" w:left="1560" w:hangingChars="200"/>
        <w:textAlignment w:val="auto"/>
        <w:rPr>
          <w:rFonts w:ascii="標楷體" w:eastAsia="標楷體" w:hAnsi="標楷體"/>
          <w:color w:val="000000"/>
        </w:rPr>
      </w:pPr>
      <w:r w:rsidRPr="008C5C9A">
        <w:rPr>
          <w:rFonts w:ascii="標楷體" w:eastAsia="標楷體" w:hAnsi="標楷體"/>
          <w:color w:val="000000"/>
        </w:rPr>
        <w:t>須經事前審查核准後使用，每次申請事前審查之療程以12週為限，再次申請必須提出客觀證據（如：RECIST criteria）證實無惡化，才可繼續使用。</w:t>
      </w:r>
    </w:p>
    <w:p w14:paraId="73561AEE" w14:textId="77777777" w:rsidR="008C5C9A" w:rsidRPr="008C5C9A" w:rsidRDefault="008C5C9A" w:rsidP="008A7063">
      <w:pPr>
        <w:numPr>
          <w:ilvl w:val="0"/>
          <w:numId w:val="145"/>
        </w:numPr>
        <w:suppressAutoHyphens w:val="0"/>
        <w:autoSpaceDN/>
        <w:ind w:leftChars="450" w:left="1560" w:hangingChars="200"/>
        <w:textAlignment w:val="auto"/>
        <w:rPr>
          <w:rFonts w:ascii="標楷體" w:eastAsia="標楷體" w:hAnsi="標楷體"/>
          <w:color w:val="000000"/>
        </w:rPr>
      </w:pPr>
      <w:r w:rsidRPr="008C5C9A">
        <w:rPr>
          <w:rFonts w:ascii="標楷體" w:eastAsia="標楷體" w:hAnsi="標楷體"/>
          <w:color w:val="000000"/>
        </w:rPr>
        <w:t>使用劑量：限5mg/kg，每兩週一次。</w:t>
      </w:r>
    </w:p>
    <w:p w14:paraId="49540117" w14:textId="77777777" w:rsidR="008C5C9A" w:rsidRPr="008C5C9A" w:rsidRDefault="008C5C9A" w:rsidP="008C5C9A">
      <w:pPr>
        <w:ind w:left="1051" w:hanging="245"/>
        <w:rPr>
          <w:rFonts w:ascii="標楷體" w:eastAsia="標楷體" w:hAnsi="標楷體"/>
          <w:color w:val="000000"/>
        </w:rPr>
      </w:pPr>
      <w:r w:rsidRPr="008C5C9A">
        <w:rPr>
          <w:rFonts w:ascii="標楷體" w:eastAsia="標楷體" w:hAnsi="標楷體"/>
          <w:color w:val="000000"/>
        </w:rPr>
        <w:t>2.惡性神經膠質瘤(WHO第4級)-神經膠母細胞瘤：</w:t>
      </w:r>
    </w:p>
    <w:p w14:paraId="36BAA719" w14:textId="77777777" w:rsidR="008C5C9A" w:rsidRPr="008C5C9A" w:rsidRDefault="008C5C9A" w:rsidP="008C5C9A">
      <w:pPr>
        <w:ind w:left="1316" w:hanging="370"/>
        <w:rPr>
          <w:rFonts w:ascii="標楷體" w:eastAsia="標楷體" w:hAnsi="標楷體"/>
          <w:color w:val="000000"/>
        </w:rPr>
      </w:pPr>
      <w:r w:rsidRPr="008C5C9A">
        <w:rPr>
          <w:rFonts w:ascii="標楷體" w:eastAsia="標楷體" w:hAnsi="標楷體"/>
          <w:color w:val="000000"/>
        </w:rPr>
        <w:t>(1)單獨使用可用於治療曾接受標準放射線治療且含temozolomide在內之化學藥物治療失敗之多型性神經膠母細胞瘤(Glioblastoma multiforme)復發之成人患者。(101/05/1)</w:t>
      </w:r>
    </w:p>
    <w:p w14:paraId="31A93875" w14:textId="77777777" w:rsidR="008C5C9A" w:rsidRPr="008C5C9A" w:rsidRDefault="008C5C9A" w:rsidP="008C5C9A">
      <w:pPr>
        <w:ind w:left="1300" w:hanging="352"/>
        <w:rPr>
          <w:rFonts w:ascii="標楷體" w:eastAsia="標楷體" w:hAnsi="標楷體"/>
          <w:color w:val="000000"/>
        </w:rPr>
      </w:pPr>
      <w:r w:rsidRPr="008C5C9A">
        <w:rPr>
          <w:rFonts w:ascii="標楷體" w:eastAsia="標楷體" w:hAnsi="標楷體"/>
          <w:color w:val="000000"/>
        </w:rPr>
        <w:t>(2)須經事前審查核准後使用，每次申請事前審查之療程以12週為限，再次申請必須提出客觀證據（如：影像學）證實無惡化，才可繼續使用。</w:t>
      </w:r>
    </w:p>
    <w:p w14:paraId="43E7BA31" w14:textId="77777777" w:rsidR="008C5C9A" w:rsidRPr="008C5C9A" w:rsidRDefault="008C5C9A" w:rsidP="008C5C9A">
      <w:pPr>
        <w:ind w:left="1051" w:hanging="245"/>
        <w:rPr>
          <w:rFonts w:ascii="標楷體" w:eastAsia="標楷體" w:hAnsi="標楷體"/>
          <w:color w:val="000000"/>
        </w:rPr>
      </w:pPr>
      <w:r w:rsidRPr="008C5C9A">
        <w:rPr>
          <w:rFonts w:ascii="標楷體" w:eastAsia="標楷體" w:hAnsi="標楷體"/>
          <w:color w:val="000000"/>
        </w:rPr>
        <w:t>3.卵巢上皮細胞、輸卵管或原發性腹膜癌：(109/6/1、113/3/1、113/9/1、</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3</w:t>
      </w:r>
      <w:r w:rsidRPr="008C5C9A">
        <w:rPr>
          <w:rFonts w:ascii="標楷體" w:eastAsia="標楷體" w:hAnsi="標楷體"/>
          <w:color w:val="000000"/>
        </w:rPr>
        <w:t>/1、</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4</w:t>
      </w:r>
      <w:r w:rsidRPr="008C5C9A">
        <w:rPr>
          <w:rFonts w:ascii="標楷體" w:eastAsia="標楷體" w:hAnsi="標楷體"/>
          <w:color w:val="000000"/>
        </w:rPr>
        <w:t>/1</w:t>
      </w:r>
      <w:r w:rsidRPr="008C5C9A">
        <w:rPr>
          <w:rFonts w:ascii="標楷體" w:eastAsia="標楷體" w:hAnsi="標楷體" w:hint="eastAsia"/>
          <w:color w:val="000000"/>
        </w:rPr>
        <w:t>)</w:t>
      </w:r>
    </w:p>
    <w:p w14:paraId="2BDED3E7" w14:textId="77777777" w:rsidR="008C5C9A" w:rsidRPr="008C5C9A" w:rsidRDefault="008C5C9A" w:rsidP="008C5C9A">
      <w:pPr>
        <w:ind w:left="1289" w:hanging="341"/>
        <w:rPr>
          <w:rFonts w:ascii="標楷體" w:eastAsia="標楷體" w:hAnsi="標楷體"/>
          <w:color w:val="000000"/>
        </w:rPr>
      </w:pPr>
      <w:r w:rsidRPr="008C5C9A">
        <w:rPr>
          <w:rFonts w:ascii="標楷體" w:eastAsia="標楷體" w:hAnsi="標楷體"/>
          <w:color w:val="000000"/>
        </w:rPr>
        <w:t>(1)Bevacizumab</w:t>
      </w:r>
      <w:r w:rsidRPr="008C5C9A">
        <w:rPr>
          <w:rFonts w:ascii="標楷體" w:eastAsia="標楷體" w:hAnsi="標楷體" w:hint="eastAsia"/>
          <w:color w:val="000000"/>
        </w:rPr>
        <w:t>（除</w:t>
      </w:r>
      <w:r w:rsidRPr="008C5C9A">
        <w:rPr>
          <w:rFonts w:ascii="標楷體" w:eastAsia="標楷體" w:hAnsi="標楷體"/>
          <w:color w:val="000000"/>
        </w:rPr>
        <w:t>Zirabev</w:t>
      </w:r>
      <w:r w:rsidRPr="008C5C9A">
        <w:rPr>
          <w:rFonts w:ascii="標楷體" w:eastAsia="標楷體" w:hAnsi="標楷體" w:hint="eastAsia"/>
          <w:color w:val="000000"/>
        </w:rPr>
        <w:t>及</w:t>
      </w:r>
      <w:r w:rsidRPr="008C5C9A">
        <w:rPr>
          <w:rFonts w:ascii="標楷體" w:eastAsia="標楷體" w:hAnsi="標楷體"/>
          <w:color w:val="000000"/>
        </w:rPr>
        <w:t>Alymsys</w:t>
      </w:r>
      <w:r w:rsidRPr="008C5C9A">
        <w:rPr>
          <w:rFonts w:ascii="標楷體" w:eastAsia="標楷體" w:hAnsi="標楷體" w:hint="eastAsia"/>
          <w:color w:val="000000"/>
        </w:rPr>
        <w:t>以外）</w:t>
      </w:r>
      <w:r w:rsidRPr="008C5C9A">
        <w:rPr>
          <w:rFonts w:ascii="標楷體" w:eastAsia="標楷體" w:hAnsi="標楷體"/>
          <w:color w:val="000000"/>
        </w:rPr>
        <w:t>與carboplatin 及paclitaxel合併使用，接著單獨使用bevacizumab</w:t>
      </w:r>
      <w:r w:rsidRPr="008C5C9A">
        <w:rPr>
          <w:rFonts w:ascii="標楷體" w:eastAsia="標楷體" w:hAnsi="標楷體" w:hint="eastAsia"/>
          <w:color w:val="000000"/>
        </w:rPr>
        <w:t>（除</w:t>
      </w:r>
      <w:r w:rsidRPr="008C5C9A">
        <w:rPr>
          <w:rFonts w:ascii="標楷體" w:eastAsia="標楷體" w:hAnsi="標楷體"/>
          <w:color w:val="000000"/>
        </w:rPr>
        <w:t>Zirabev</w:t>
      </w:r>
      <w:r w:rsidRPr="008C5C9A">
        <w:rPr>
          <w:rFonts w:ascii="標楷體" w:eastAsia="標楷體" w:hAnsi="標楷體" w:hint="eastAsia"/>
          <w:color w:val="000000"/>
        </w:rPr>
        <w:t>及</w:t>
      </w:r>
      <w:r w:rsidRPr="008C5C9A">
        <w:rPr>
          <w:rFonts w:ascii="標楷體" w:eastAsia="標楷體" w:hAnsi="標楷體"/>
          <w:color w:val="000000"/>
        </w:rPr>
        <w:t>Alymsys</w:t>
      </w:r>
      <w:r w:rsidRPr="008C5C9A">
        <w:rPr>
          <w:rFonts w:ascii="標楷體" w:eastAsia="標楷體" w:hAnsi="標楷體" w:hint="eastAsia"/>
          <w:color w:val="000000"/>
        </w:rPr>
        <w:t>以外）</w:t>
      </w:r>
      <w:r w:rsidRPr="008C5C9A">
        <w:rPr>
          <w:rFonts w:ascii="標楷體" w:eastAsia="標楷體" w:hAnsi="標楷體"/>
          <w:color w:val="000000"/>
        </w:rPr>
        <w:t>治療，作為第四期卵巢上皮細胞、輸卵管或原發性腹膜癌病人接受初次手術切除後之第一線治療。(113/3/1、113/9/1</w:t>
      </w:r>
      <w:r w:rsidRPr="008C5C9A">
        <w:rPr>
          <w:rFonts w:ascii="標楷體" w:eastAsia="標楷體" w:hAnsi="標楷體" w:hint="eastAsia"/>
          <w:color w:val="000000"/>
        </w:rPr>
        <w:t>、114/3/1</w:t>
      </w:r>
      <w:r w:rsidRPr="008C5C9A">
        <w:rPr>
          <w:rFonts w:ascii="標楷體" w:eastAsia="標楷體" w:hAnsi="標楷體"/>
          <w:color w:val="000000"/>
        </w:rPr>
        <w:t>、</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4</w:t>
      </w:r>
      <w:r w:rsidRPr="008C5C9A">
        <w:rPr>
          <w:rFonts w:ascii="標楷體" w:eastAsia="標楷體" w:hAnsi="標楷體"/>
          <w:color w:val="000000"/>
        </w:rPr>
        <w:t>/1</w:t>
      </w:r>
      <w:r w:rsidRPr="008C5C9A">
        <w:rPr>
          <w:rFonts w:ascii="標楷體" w:eastAsia="標楷體" w:hAnsi="標楷體" w:hint="eastAsia"/>
          <w:color w:val="000000"/>
        </w:rPr>
        <w:t>)</w:t>
      </w:r>
    </w:p>
    <w:p w14:paraId="1E740030"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Ⅰ.初次申請為手術後一個月後起與化學治療併用5個療程。</w:t>
      </w:r>
    </w:p>
    <w:p w14:paraId="6337FEE9"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Ⅱ.第二次申請時為接續單獨使用bevacizumab維持性治療9個療程。</w:t>
      </w:r>
    </w:p>
    <w:p w14:paraId="763B29CD"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Ⅲ.第三次申請時為接續單獨使用bevacizumab維持性治療8個療程。</w:t>
      </w:r>
    </w:p>
    <w:p w14:paraId="56BF92A9"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Ⅳ.每人以總共給付22個療程為上限。若病情惡化或停藥後再復發即不得再次申請。</w:t>
      </w:r>
    </w:p>
    <w:p w14:paraId="0E6A3A89" w14:textId="77777777" w:rsidR="008C5C9A" w:rsidRPr="008C5C9A" w:rsidRDefault="008C5C9A" w:rsidP="008C5C9A">
      <w:pPr>
        <w:ind w:left="1303" w:hanging="353"/>
        <w:rPr>
          <w:rFonts w:ascii="標楷體" w:eastAsia="標楷體" w:hAnsi="標楷體"/>
          <w:color w:val="000000"/>
        </w:rPr>
      </w:pPr>
      <w:r w:rsidRPr="008C5C9A">
        <w:rPr>
          <w:rFonts w:ascii="標楷體" w:eastAsia="標楷體" w:hAnsi="標楷體"/>
          <w:color w:val="000000"/>
        </w:rPr>
        <w:t>(2)Bevacizumab與carboplatin 及paclitaxel合併使用，作為曾接受過第一線含鉑類藥物(Platinum-based)化學治療間隔6-12個月內再復發之治療。接著單獨使用bevacizumab治療，作為含鉑藥物具感受性之治療。</w:t>
      </w:r>
    </w:p>
    <w:p w14:paraId="1C5444C8"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Ⅰ.若前曾申請bevacizumab 使用於卵巢上皮細胞、輸卵管或原發性腹膜癌作為第一線治療者不可再次使用。(113/3/1)</w:t>
      </w:r>
    </w:p>
    <w:p w14:paraId="67DF6A2C"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Ⅱ.初次申請為5個療程，後續每次申請為5個療程，總申請療程以15個療程為上限。(113/3/1)</w:t>
      </w:r>
    </w:p>
    <w:p w14:paraId="00F8F8B3" w14:textId="77777777" w:rsidR="008C5C9A" w:rsidRPr="008C5C9A" w:rsidRDefault="008C5C9A" w:rsidP="008C5C9A">
      <w:pPr>
        <w:ind w:left="1289" w:hanging="341"/>
        <w:rPr>
          <w:rFonts w:ascii="標楷體" w:eastAsia="標楷體" w:hAnsi="標楷體"/>
          <w:color w:val="000000"/>
        </w:rPr>
      </w:pPr>
      <w:r w:rsidRPr="008C5C9A">
        <w:rPr>
          <w:rFonts w:ascii="標楷體" w:eastAsia="標楷體" w:hAnsi="標楷體"/>
          <w:color w:val="000000"/>
        </w:rPr>
        <w:t>(3)須經事前審查核准後使用，再次申請必須提出客觀證據（如：影像學）證實無惡化，才可繼續使用。</w:t>
      </w:r>
    </w:p>
    <w:p w14:paraId="6A698EEA" w14:textId="77777777" w:rsidR="008C5C9A" w:rsidRPr="008C5C9A" w:rsidRDefault="008C5C9A" w:rsidP="008C5C9A">
      <w:pPr>
        <w:ind w:left="1289" w:hanging="341"/>
        <w:rPr>
          <w:rFonts w:ascii="標楷體" w:eastAsia="標楷體" w:hAnsi="標楷體"/>
          <w:color w:val="000000"/>
        </w:rPr>
      </w:pPr>
      <w:r w:rsidRPr="008C5C9A">
        <w:rPr>
          <w:rFonts w:ascii="標楷體" w:eastAsia="標楷體" w:hAnsi="標楷體"/>
          <w:color w:val="000000"/>
        </w:rPr>
        <w:t>(4)FIGO Stage IV disease具germline or somatic BRCA 1/2致病性或疑似致病性突變者，若已經申請olaparib、niraparib用於第一線化學治療後維持性治療時不得另外申請bevacizumab併用，除因olaparib、niraparib耐受性不良，在維持性治療可再換成bevacizumab</w:t>
      </w:r>
      <w:r w:rsidRPr="008C5C9A">
        <w:rPr>
          <w:rFonts w:ascii="標楷體" w:eastAsia="標楷體" w:hAnsi="標楷體" w:hint="eastAsia"/>
          <w:color w:val="000000"/>
        </w:rPr>
        <w:t>（除</w:t>
      </w:r>
      <w:r w:rsidRPr="008C5C9A">
        <w:rPr>
          <w:rFonts w:ascii="標楷體" w:eastAsia="標楷體" w:hAnsi="標楷體"/>
          <w:color w:val="000000"/>
        </w:rPr>
        <w:t>Zirabev</w:t>
      </w:r>
      <w:r w:rsidRPr="008C5C9A">
        <w:rPr>
          <w:rFonts w:ascii="標楷體" w:eastAsia="標楷體" w:hAnsi="標楷體" w:hint="eastAsia"/>
          <w:color w:val="000000"/>
        </w:rPr>
        <w:t>及</w:t>
      </w:r>
      <w:r w:rsidRPr="008C5C9A">
        <w:rPr>
          <w:rFonts w:ascii="標楷體" w:eastAsia="標楷體" w:hAnsi="標楷體"/>
          <w:color w:val="000000"/>
        </w:rPr>
        <w:t>Alymsys</w:t>
      </w:r>
      <w:r w:rsidRPr="008C5C9A">
        <w:rPr>
          <w:rFonts w:ascii="標楷體" w:eastAsia="標楷體" w:hAnsi="標楷體" w:hint="eastAsia"/>
          <w:color w:val="000000"/>
        </w:rPr>
        <w:t>以外</w:t>
      </w:r>
      <w:r w:rsidRPr="008C5C9A">
        <w:rPr>
          <w:rFonts w:ascii="標楷體" w:eastAsia="標楷體" w:hAnsi="標楷體"/>
          <w:color w:val="000000"/>
        </w:rPr>
        <w:t>）單獨使用，總申請療程以17個療程為上限。(113/3/1、113/9/1</w:t>
      </w:r>
      <w:r w:rsidRPr="008C5C9A">
        <w:rPr>
          <w:rFonts w:ascii="標楷體" w:eastAsia="標楷體" w:hAnsi="標楷體" w:hint="eastAsia"/>
          <w:color w:val="000000"/>
        </w:rPr>
        <w:t>、114/3/1</w:t>
      </w:r>
      <w:r w:rsidRPr="008C5C9A">
        <w:rPr>
          <w:rFonts w:ascii="標楷體" w:eastAsia="標楷體" w:hAnsi="標楷體"/>
          <w:color w:val="000000"/>
        </w:rPr>
        <w:t>、</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4</w:t>
      </w:r>
      <w:r w:rsidRPr="008C5C9A">
        <w:rPr>
          <w:rFonts w:ascii="標楷體" w:eastAsia="標楷體" w:hAnsi="標楷體"/>
          <w:color w:val="000000"/>
        </w:rPr>
        <w:t>/1)</w:t>
      </w:r>
    </w:p>
    <w:p w14:paraId="6E9CA76F" w14:textId="77777777" w:rsidR="008C5C9A" w:rsidRPr="008C5C9A" w:rsidRDefault="008C5C9A" w:rsidP="008C5C9A">
      <w:pPr>
        <w:ind w:left="1051" w:hanging="245"/>
        <w:rPr>
          <w:rFonts w:ascii="標楷體" w:eastAsia="標楷體" w:hAnsi="標楷體"/>
          <w:color w:val="000000"/>
        </w:rPr>
      </w:pPr>
      <w:r w:rsidRPr="008C5C9A">
        <w:rPr>
          <w:rFonts w:ascii="標楷體" w:eastAsia="標楷體" w:hAnsi="標楷體"/>
          <w:color w:val="000000"/>
        </w:rPr>
        <w:t>4.持續性、復發性或轉移性之子宮頸癌：(109/6/1、113/3/1)</w:t>
      </w:r>
    </w:p>
    <w:p w14:paraId="0AD03F5E" w14:textId="77777777" w:rsidR="008C5C9A" w:rsidRPr="008C5C9A" w:rsidRDefault="008C5C9A" w:rsidP="008C5C9A">
      <w:pPr>
        <w:ind w:left="1303" w:hanging="353"/>
        <w:rPr>
          <w:rFonts w:ascii="標楷體" w:eastAsia="標楷體" w:hAnsi="標楷體"/>
          <w:color w:val="000000"/>
        </w:rPr>
      </w:pPr>
      <w:r w:rsidRPr="008C5C9A">
        <w:rPr>
          <w:rFonts w:ascii="標楷體" w:eastAsia="標楷體" w:hAnsi="標楷體"/>
          <w:color w:val="000000"/>
        </w:rPr>
        <w:t>(1)Bevacizumab與cisplatin及paclitaxel合併使用，可用於持續性、復發性或轉移性之子宮頸癌。</w:t>
      </w:r>
    </w:p>
    <w:p w14:paraId="721BBE4E" w14:textId="77777777" w:rsidR="008C5C9A" w:rsidRPr="008C5C9A" w:rsidRDefault="008C5C9A" w:rsidP="008C5C9A">
      <w:pPr>
        <w:ind w:left="1303" w:hanging="353"/>
        <w:rPr>
          <w:rFonts w:ascii="標楷體" w:eastAsia="標楷體" w:hAnsi="標楷體"/>
          <w:color w:val="000000"/>
        </w:rPr>
      </w:pPr>
      <w:r w:rsidRPr="008C5C9A">
        <w:rPr>
          <w:rFonts w:ascii="標楷體" w:eastAsia="標楷體" w:hAnsi="標楷體"/>
          <w:color w:val="000000"/>
        </w:rPr>
        <w:lastRenderedPageBreak/>
        <w:t>(2)Bevacizumab與paclitaxel及topotecan合併使用，作為無法接受含鉑類藥物治療患者之持續性、復發性或轉移性之子宮頸癌。</w:t>
      </w:r>
    </w:p>
    <w:p w14:paraId="2D60A947" w14:textId="77777777" w:rsidR="008C5C9A" w:rsidRPr="008C5C9A" w:rsidRDefault="008C5C9A" w:rsidP="008C5C9A">
      <w:pPr>
        <w:ind w:left="1300" w:hanging="352"/>
        <w:rPr>
          <w:rFonts w:ascii="標楷體" w:eastAsia="標楷體" w:hAnsi="標楷體"/>
          <w:color w:val="000000"/>
        </w:rPr>
      </w:pPr>
      <w:r w:rsidRPr="008C5C9A">
        <w:rPr>
          <w:rFonts w:ascii="標楷體" w:eastAsia="標楷體" w:hAnsi="標楷體"/>
          <w:color w:val="000000"/>
        </w:rPr>
        <w:t>(3)須經事前審查核准後使用，每次申請事前審查之療程以15週為限，再次申請必須提出客觀證據（如：影像學）證實無惡化，才可繼續使用。(113/3/1)</w:t>
      </w:r>
    </w:p>
    <w:p w14:paraId="704AD4D8" w14:textId="77777777" w:rsidR="008C5C9A" w:rsidRPr="008C5C9A" w:rsidRDefault="008C5C9A" w:rsidP="008C5C9A">
      <w:pPr>
        <w:ind w:left="1051" w:hanging="245"/>
        <w:rPr>
          <w:rFonts w:ascii="標楷體" w:eastAsia="標楷體" w:hAnsi="標楷體"/>
          <w:color w:val="000000"/>
        </w:rPr>
      </w:pPr>
      <w:r w:rsidRPr="008C5C9A">
        <w:rPr>
          <w:rFonts w:ascii="標楷體" w:eastAsia="標楷體" w:hAnsi="標楷體"/>
          <w:color w:val="000000"/>
        </w:rPr>
        <w:t>5.晚期、轉移性或復發性非鱗狀非小細胞肺癌(</w:t>
      </w:r>
      <w:r w:rsidRPr="008C5C9A">
        <w:rPr>
          <w:rFonts w:ascii="標楷體" w:eastAsia="標楷體" w:hAnsi="標楷體" w:hint="eastAsia"/>
          <w:color w:val="000000"/>
        </w:rPr>
        <w:t>除Zirabev以外</w:t>
      </w:r>
      <w:r w:rsidRPr="008C5C9A">
        <w:rPr>
          <w:rFonts w:ascii="標楷體" w:eastAsia="標楷體" w:hAnsi="標楷體"/>
          <w:color w:val="000000"/>
        </w:rPr>
        <w:t>)：(113/3/1、113/6/1、113/9/1</w:t>
      </w:r>
      <w:r w:rsidRPr="008C5C9A">
        <w:rPr>
          <w:rFonts w:ascii="標楷體" w:eastAsia="標楷體" w:hAnsi="標楷體" w:hint="eastAsia"/>
          <w:color w:val="000000"/>
        </w:rPr>
        <w:t>、114/3/1</w:t>
      </w:r>
      <w:r w:rsidRPr="008C5C9A">
        <w:rPr>
          <w:rFonts w:ascii="標楷體" w:eastAsia="標楷體" w:hAnsi="標楷體"/>
          <w:color w:val="000000"/>
        </w:rPr>
        <w:t>、</w:t>
      </w:r>
      <w:r w:rsidRPr="008C5C9A">
        <w:rPr>
          <w:rFonts w:ascii="標楷體" w:eastAsia="標楷體" w:hAnsi="標楷體" w:hint="eastAsia"/>
          <w:color w:val="000000"/>
        </w:rPr>
        <w:t>114</w:t>
      </w:r>
      <w:r w:rsidRPr="008C5C9A">
        <w:rPr>
          <w:rFonts w:ascii="標楷體" w:eastAsia="標楷體" w:hAnsi="標楷體"/>
          <w:color w:val="000000"/>
        </w:rPr>
        <w:t>/</w:t>
      </w:r>
      <w:r w:rsidRPr="008C5C9A">
        <w:rPr>
          <w:rFonts w:ascii="標楷體" w:eastAsia="標楷體" w:hAnsi="標楷體" w:hint="eastAsia"/>
          <w:color w:val="000000"/>
        </w:rPr>
        <w:t>4</w:t>
      </w:r>
      <w:r w:rsidRPr="008C5C9A">
        <w:rPr>
          <w:rFonts w:ascii="標楷體" w:eastAsia="標楷體" w:hAnsi="標楷體"/>
          <w:color w:val="000000"/>
        </w:rPr>
        <w:t>/1)</w:t>
      </w:r>
    </w:p>
    <w:p w14:paraId="01D44A53" w14:textId="77777777" w:rsidR="008C5C9A" w:rsidRPr="008C5C9A" w:rsidRDefault="008C5C9A" w:rsidP="008C5C9A">
      <w:pPr>
        <w:ind w:left="1303" w:hanging="353"/>
        <w:rPr>
          <w:rFonts w:ascii="標楷體" w:eastAsia="標楷體" w:hAnsi="標楷體"/>
          <w:color w:val="000000"/>
        </w:rPr>
      </w:pPr>
      <w:r w:rsidRPr="008C5C9A">
        <w:rPr>
          <w:rFonts w:ascii="標楷體" w:eastAsia="標楷體" w:hAnsi="標楷體"/>
          <w:color w:val="000000"/>
        </w:rPr>
        <w:t>(1)Bevacizumab與 erlotinib併用，作為無法手術切除的轉移性(第Ⅳ期)且帶有表皮生長因子受體(EGFR) Exon 21 L858R 活化性突變之腦轉移非鱗狀非小細胞肺癌病患的第一線治療。</w:t>
      </w:r>
    </w:p>
    <w:p w14:paraId="4833FC56" w14:textId="77777777" w:rsidR="008C5C9A" w:rsidRPr="008C5C9A" w:rsidRDefault="008C5C9A" w:rsidP="008C5C9A">
      <w:pPr>
        <w:ind w:left="1303" w:hanging="353"/>
        <w:rPr>
          <w:rFonts w:ascii="標楷體" w:eastAsia="標楷體" w:hAnsi="標楷體"/>
          <w:color w:val="000000"/>
        </w:rPr>
      </w:pPr>
      <w:r w:rsidRPr="008C5C9A">
        <w:rPr>
          <w:rFonts w:ascii="標楷體" w:eastAsia="標楷體" w:hAnsi="標楷體"/>
          <w:color w:val="000000"/>
        </w:rPr>
        <w:t>(2)須經事前審查核准後使用：</w:t>
      </w:r>
    </w:p>
    <w:p w14:paraId="0D645334"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Ⅰ.每次申請之療程以 12 週為限。</w:t>
      </w:r>
    </w:p>
    <w:p w14:paraId="5CD8A1D8" w14:textId="77777777" w:rsidR="008C5C9A" w:rsidRPr="008C5C9A" w:rsidRDefault="008C5C9A" w:rsidP="008C5C9A">
      <w:pPr>
        <w:ind w:left="1654" w:hanging="336"/>
      </w:pPr>
      <w:r w:rsidRPr="008C5C9A">
        <w:rPr>
          <w:rFonts w:ascii="標楷體" w:eastAsia="標楷體" w:hAnsi="標楷體"/>
          <w:color w:val="000000"/>
        </w:rPr>
        <w:t>Ⅱ.初次申請時需檢附表皮生長因子受體(EGFR) Exon 21 L858R 活化性突變檢測報告，且需符合全民健康保險藥品給付規定之通則十二。</w:t>
      </w:r>
    </w:p>
    <w:p w14:paraId="7DC5BEE5" w14:textId="77777777" w:rsidR="008C5C9A" w:rsidRPr="008C5C9A" w:rsidRDefault="008C5C9A" w:rsidP="008C5C9A">
      <w:pPr>
        <w:ind w:left="1654" w:hanging="336"/>
        <w:rPr>
          <w:rFonts w:ascii="標楷體" w:eastAsia="標楷體" w:hAnsi="標楷體"/>
          <w:color w:val="000000"/>
        </w:rPr>
      </w:pPr>
      <w:r w:rsidRPr="008C5C9A">
        <w:rPr>
          <w:rFonts w:ascii="標楷體" w:eastAsia="標楷體" w:hAnsi="標楷體"/>
          <w:color w:val="000000"/>
        </w:rPr>
        <w:t>Ⅲ.再次申請必須提出客觀證據（如：影像學）證實無惡化，才可繼續使用。</w:t>
      </w:r>
    </w:p>
    <w:p w14:paraId="263958D2" w14:textId="77777777" w:rsidR="008C5C9A" w:rsidRPr="008C5C9A" w:rsidRDefault="008C5C9A" w:rsidP="008C5C9A">
      <w:pPr>
        <w:ind w:left="1528" w:hanging="352"/>
        <w:rPr>
          <w:rFonts w:ascii="標楷體" w:eastAsia="標楷體" w:hAnsi="標楷體"/>
          <w:color w:val="000000"/>
        </w:rPr>
      </w:pPr>
      <w:r w:rsidRPr="008C5C9A">
        <w:rPr>
          <w:rFonts w:ascii="標楷體" w:eastAsia="標楷體" w:hAnsi="標楷體"/>
          <w:color w:val="000000"/>
        </w:rPr>
        <w:t>(3)Bevacizumab併用erlotinib於第一線治療時，該治療組合與gefitinib、afatinib 僅得擇一使用，除因耐受性不良，不得互換。</w:t>
      </w:r>
    </w:p>
    <w:p w14:paraId="01112D0F" w14:textId="77777777" w:rsidR="008C5C9A" w:rsidRPr="008C5C9A" w:rsidRDefault="008C5C9A" w:rsidP="008C5C9A">
      <w:pPr>
        <w:ind w:left="1528" w:hanging="352"/>
        <w:rPr>
          <w:rFonts w:ascii="標楷體" w:eastAsia="標楷體" w:hAnsi="標楷體"/>
          <w:color w:val="000000"/>
        </w:rPr>
      </w:pPr>
      <w:r w:rsidRPr="008C5C9A">
        <w:rPr>
          <w:rFonts w:ascii="標楷體" w:eastAsia="標楷體" w:hAnsi="標楷體"/>
          <w:color w:val="000000"/>
        </w:rPr>
        <w:t>(4)使用劑量：限7.5mg/kg，每三週1次。</w:t>
      </w:r>
    </w:p>
    <w:p w14:paraId="0AFA57D8" w14:textId="77777777" w:rsidR="008C5C9A" w:rsidRPr="008C5C9A" w:rsidRDefault="008C5C9A" w:rsidP="008C5C9A">
      <w:pPr>
        <w:ind w:left="993" w:hanging="227"/>
        <w:rPr>
          <w:rFonts w:ascii="標楷體" w:eastAsia="標楷體" w:hAnsi="標楷體"/>
          <w:color w:val="000000"/>
        </w:rPr>
      </w:pPr>
      <w:r w:rsidRPr="008C5C9A">
        <w:rPr>
          <w:rFonts w:ascii="標楷體" w:eastAsia="標楷體" w:hAnsi="標楷體"/>
          <w:color w:val="000000"/>
        </w:rPr>
        <w:t>6.與atezolizumab併用適用於未曾使用過全身性治療用藥之轉移性或無法手術切除且不適合局部治療或局部治療失敗之Child-Pugh A class晚期肝細胞癌，患者需符合atezolizumab之藥品給付規定。(112/8/1)</w:t>
      </w:r>
    </w:p>
    <w:p w14:paraId="793B3493" w14:textId="77777777" w:rsidR="00BD776B" w:rsidRDefault="00DF0C24">
      <w:pPr>
        <w:ind w:left="672" w:hanging="386"/>
        <w:rPr>
          <w:rFonts w:ascii="標楷體" w:eastAsia="標楷體" w:hAnsi="標楷體"/>
          <w:color w:val="000000"/>
        </w:rPr>
      </w:pPr>
      <w:r>
        <w:rPr>
          <w:rFonts w:ascii="標楷體" w:eastAsia="標楷體" w:hAnsi="標楷體"/>
          <w:color w:val="000000"/>
        </w:rPr>
        <w:t>9.38.Temsirolimus(如Torisel)：（101/1/1）附表九之十一</w:t>
      </w:r>
    </w:p>
    <w:p w14:paraId="6F5CF63E" w14:textId="77777777" w:rsidR="00BD776B" w:rsidRDefault="00DF0C24">
      <w:pPr>
        <w:ind w:left="811" w:hanging="245"/>
        <w:rPr>
          <w:rFonts w:ascii="標楷體" w:eastAsia="標楷體" w:hAnsi="標楷體"/>
          <w:color w:val="000000"/>
        </w:rPr>
      </w:pPr>
      <w:r>
        <w:rPr>
          <w:rFonts w:ascii="標楷體" w:eastAsia="標楷體" w:hAnsi="標楷體"/>
          <w:color w:val="000000"/>
        </w:rPr>
        <w:t>1.需經事前審查核准後使用，每次給付3個月藥量，送審時需檢送影像資料，每3個月評估一次。</w:t>
      </w:r>
    </w:p>
    <w:p w14:paraId="5C5F98B1" w14:textId="77777777" w:rsidR="00BD776B" w:rsidRDefault="00DF0C24">
      <w:pPr>
        <w:ind w:left="1049" w:hanging="341"/>
        <w:rPr>
          <w:rFonts w:ascii="標楷體" w:eastAsia="標楷體" w:hAnsi="標楷體"/>
          <w:color w:val="000000"/>
        </w:rPr>
      </w:pPr>
      <w:r>
        <w:rPr>
          <w:rFonts w:ascii="標楷體" w:eastAsia="標楷體" w:hAnsi="標楷體"/>
          <w:color w:val="000000"/>
        </w:rPr>
        <w:t>(1)治療不限細胞型的高風險晚期腎細胞癌。</w:t>
      </w:r>
    </w:p>
    <w:p w14:paraId="5A7194FE" w14:textId="77777777" w:rsidR="00BD776B" w:rsidRDefault="00DF0C24">
      <w:pPr>
        <w:ind w:left="1049" w:hanging="341"/>
        <w:rPr>
          <w:rFonts w:ascii="標楷體" w:eastAsia="標楷體" w:hAnsi="標楷體"/>
          <w:color w:val="000000"/>
        </w:rPr>
      </w:pPr>
      <w:r>
        <w:rPr>
          <w:rFonts w:ascii="標楷體" w:eastAsia="標楷體" w:hAnsi="標楷體"/>
          <w:color w:val="000000"/>
        </w:rPr>
        <w:t>(2)需具有下列六個風險因子中至少3個以上因子：</w:t>
      </w:r>
    </w:p>
    <w:p w14:paraId="526DB42E" w14:textId="77777777" w:rsidR="00BD776B" w:rsidRDefault="00DF0C24">
      <w:pPr>
        <w:ind w:left="1414" w:hanging="336"/>
        <w:rPr>
          <w:rFonts w:ascii="標楷體" w:eastAsia="標楷體" w:hAnsi="標楷體"/>
          <w:color w:val="000000"/>
        </w:rPr>
      </w:pPr>
      <w:r>
        <w:rPr>
          <w:rFonts w:ascii="標楷體" w:eastAsia="標楷體" w:hAnsi="標楷體"/>
          <w:color w:val="000000"/>
        </w:rPr>
        <w:t>I.距離初次診斷出腎細胞癌之時間未達一年</w:t>
      </w:r>
    </w:p>
    <w:p w14:paraId="55A635BB" w14:textId="77777777" w:rsidR="00BD776B" w:rsidRDefault="00DF0C24">
      <w:pPr>
        <w:ind w:left="1414" w:hanging="336"/>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Karnofsky Performance scale介於60至70之間</w:t>
      </w:r>
    </w:p>
    <w:p w14:paraId="64682BC9" w14:textId="77777777" w:rsidR="00BD776B" w:rsidRDefault="00DF0C24">
      <w:pPr>
        <w:ind w:left="1414" w:hanging="336"/>
        <w:rPr>
          <w:rFonts w:ascii="標楷體" w:eastAsia="標楷體" w:hAnsi="標楷體"/>
          <w:color w:val="000000"/>
        </w:rPr>
      </w:pPr>
      <w:r>
        <w:rPr>
          <w:rFonts w:ascii="標楷體" w:eastAsia="標楷體" w:hAnsi="標楷體"/>
          <w:color w:val="000000"/>
        </w:rPr>
        <w:t>III.血色素低於正常值12gm/dL</w:t>
      </w:r>
    </w:p>
    <w:p w14:paraId="0B64AA98" w14:textId="77777777" w:rsidR="00BD776B" w:rsidRDefault="00DF0C24">
      <w:pPr>
        <w:ind w:left="1414" w:hanging="336"/>
        <w:rPr>
          <w:rFonts w:ascii="標楷體" w:eastAsia="標楷體" w:hAnsi="標楷體"/>
          <w:color w:val="000000"/>
        </w:rPr>
      </w:pPr>
      <w:r>
        <w:rPr>
          <w:rFonts w:ascii="標楷體" w:eastAsia="標楷體" w:hAnsi="標楷體"/>
          <w:color w:val="000000"/>
        </w:rPr>
        <w:t>IV.矯正後血鈣值超過10mg/dL</w:t>
      </w:r>
    </w:p>
    <w:p w14:paraId="2FF14443" w14:textId="77777777" w:rsidR="00BD776B" w:rsidRDefault="00DF0C24">
      <w:pPr>
        <w:ind w:left="1414" w:hanging="336"/>
        <w:rPr>
          <w:rFonts w:ascii="標楷體" w:eastAsia="標楷體" w:hAnsi="標楷體"/>
          <w:color w:val="000000"/>
        </w:rPr>
      </w:pPr>
      <w:r>
        <w:rPr>
          <w:rFonts w:ascii="標楷體" w:eastAsia="標楷體" w:hAnsi="標楷體"/>
          <w:color w:val="000000"/>
        </w:rPr>
        <w:t>V.</w:t>
      </w:r>
      <w:r>
        <w:rPr>
          <w:rFonts w:ascii="標楷體" w:eastAsia="標楷體" w:hAnsi="標楷體"/>
          <w:color w:val="000000"/>
        </w:rPr>
        <w:tab/>
        <w:t>乳酸脫氫酶(lactate dehydrogenase)超過1.5倍正常值上限</w:t>
      </w:r>
    </w:p>
    <w:p w14:paraId="55D49D46" w14:textId="77777777" w:rsidR="00BD776B" w:rsidRDefault="00DF0C24">
      <w:pPr>
        <w:ind w:left="1414" w:hanging="336"/>
        <w:rPr>
          <w:rFonts w:ascii="標楷體" w:eastAsia="標楷體" w:hAnsi="標楷體"/>
          <w:color w:val="000000"/>
        </w:rPr>
      </w:pPr>
      <w:r>
        <w:rPr>
          <w:rFonts w:ascii="標楷體" w:eastAsia="標楷體" w:hAnsi="標楷體"/>
          <w:color w:val="000000"/>
        </w:rPr>
        <w:t>VI.超過一個以上的器官有轉移病灶。</w:t>
      </w:r>
    </w:p>
    <w:p w14:paraId="58A26596" w14:textId="77777777" w:rsidR="00BD776B" w:rsidRDefault="00DF0C24">
      <w:pPr>
        <w:ind w:left="1049" w:hanging="341"/>
        <w:rPr>
          <w:rFonts w:ascii="標楷體" w:eastAsia="標楷體" w:hAnsi="標楷體"/>
          <w:color w:val="000000"/>
        </w:rPr>
      </w:pPr>
      <w:r>
        <w:rPr>
          <w:rFonts w:ascii="標楷體" w:eastAsia="標楷體" w:hAnsi="標楷體"/>
          <w:color w:val="000000"/>
        </w:rPr>
        <w:t>(3)無效後則不給付其他酪胺酸激酶阻斷劑TKI。</w:t>
      </w:r>
    </w:p>
    <w:p w14:paraId="69201F8E" w14:textId="77777777" w:rsidR="00BD776B" w:rsidRDefault="00DF0C24">
      <w:pPr>
        <w:ind w:left="811" w:hanging="245"/>
        <w:rPr>
          <w:rFonts w:ascii="標楷體" w:eastAsia="標楷體" w:hAnsi="標楷體"/>
          <w:color w:val="000000"/>
        </w:rPr>
      </w:pPr>
      <w:r>
        <w:rPr>
          <w:rFonts w:ascii="標楷體" w:eastAsia="標楷體" w:hAnsi="標楷體"/>
          <w:color w:val="000000"/>
        </w:rPr>
        <w:t>2.病人若對藥物產生耐受性不佳（intolerance），則以原來藥物減量為原則，若嚴重耐受性不佳，可以換其他酪胺酸激酶阻斷劑（tyrosine kinase inhibitor, TKI）。</w:t>
      </w:r>
    </w:p>
    <w:p w14:paraId="1067724A" w14:textId="77777777" w:rsidR="00BD776B" w:rsidRDefault="00DF0C24">
      <w:pPr>
        <w:ind w:left="672" w:hanging="386"/>
        <w:rPr>
          <w:rFonts w:ascii="標楷體" w:eastAsia="標楷體" w:hAnsi="標楷體"/>
          <w:color w:val="000000"/>
        </w:rPr>
      </w:pPr>
      <w:r>
        <w:rPr>
          <w:rFonts w:ascii="標楷體" w:eastAsia="標楷體" w:hAnsi="標楷體"/>
          <w:color w:val="000000"/>
        </w:rPr>
        <w:t>9.39.Flutamide；buserelin：（90/8/1、101/7/1）</w:t>
      </w:r>
    </w:p>
    <w:p w14:paraId="6B984358" w14:textId="77777777" w:rsidR="00BD776B" w:rsidRDefault="00DF0C24">
      <w:pPr>
        <w:ind w:left="811" w:hanging="245"/>
        <w:rPr>
          <w:rFonts w:ascii="標楷體" w:eastAsia="標楷體" w:hAnsi="標楷體"/>
          <w:color w:val="000000"/>
        </w:rPr>
      </w:pPr>
      <w:r>
        <w:rPr>
          <w:rFonts w:ascii="標楷體" w:eastAsia="標楷體" w:hAnsi="標楷體"/>
          <w:color w:val="000000"/>
        </w:rPr>
        <w:t>1.晚期（包括T3、淋巴腺轉移、器官轉移）之腫瘤。</w:t>
      </w:r>
    </w:p>
    <w:p w14:paraId="4B5C653A" w14:textId="77777777" w:rsidR="00BD776B" w:rsidRDefault="00DF0C24">
      <w:pPr>
        <w:ind w:left="811" w:hanging="245"/>
        <w:rPr>
          <w:rFonts w:ascii="標楷體" w:eastAsia="標楷體" w:hAnsi="標楷體"/>
          <w:color w:val="000000"/>
        </w:rPr>
      </w:pPr>
      <w:r>
        <w:rPr>
          <w:rFonts w:ascii="標楷體" w:eastAsia="標楷體" w:hAnsi="標楷體"/>
          <w:color w:val="000000"/>
        </w:rPr>
        <w:t>2.攝護腺癌病人接受根除性攝護腺切除手術治療後，PSA逐漸升高有局部復發或遠處轉移之情況。</w:t>
      </w:r>
    </w:p>
    <w:p w14:paraId="32A44F64" w14:textId="77777777" w:rsidR="00BD776B" w:rsidRDefault="00DF0C24">
      <w:pPr>
        <w:ind w:left="811" w:hanging="245"/>
        <w:rPr>
          <w:rFonts w:ascii="標楷體" w:eastAsia="標楷體" w:hAnsi="標楷體"/>
          <w:color w:val="000000"/>
        </w:rPr>
      </w:pPr>
      <w:r>
        <w:rPr>
          <w:rFonts w:ascii="標楷體" w:eastAsia="標楷體" w:hAnsi="標楷體"/>
          <w:color w:val="000000"/>
        </w:rPr>
        <w:t>3.癌症臨床期別為T2、T3，準備接受根除性攝護腺切除手術治療或其他定效治療，包括irradiation之前為求tumor volume reduction，作為neoadjuvant治療之目的。</w:t>
      </w:r>
    </w:p>
    <w:p w14:paraId="648689B1" w14:textId="77777777" w:rsidR="00BD776B" w:rsidRDefault="00DF0C24">
      <w:pPr>
        <w:ind w:left="672" w:hanging="386"/>
        <w:rPr>
          <w:rFonts w:ascii="標楷體" w:eastAsia="標楷體" w:hAnsi="標楷體"/>
          <w:color w:val="000000"/>
        </w:rPr>
      </w:pPr>
      <w:r>
        <w:rPr>
          <w:rFonts w:ascii="標楷體" w:eastAsia="標楷體" w:hAnsi="標楷體"/>
          <w:color w:val="000000"/>
        </w:rPr>
        <w:lastRenderedPageBreak/>
        <w:t>9.40.Bicalutamide：（89/10/1、101/7/1）</w:t>
      </w:r>
    </w:p>
    <w:p w14:paraId="185D2764" w14:textId="77777777" w:rsidR="00BD776B" w:rsidRDefault="00DF0C24">
      <w:pPr>
        <w:ind w:left="798" w:hanging="1"/>
        <w:rPr>
          <w:rFonts w:ascii="標楷體" w:eastAsia="標楷體" w:hAnsi="標楷體"/>
          <w:color w:val="000000"/>
        </w:rPr>
      </w:pPr>
      <w:r>
        <w:rPr>
          <w:rFonts w:ascii="標楷體" w:eastAsia="標楷體" w:hAnsi="標楷體"/>
          <w:color w:val="000000"/>
        </w:rPr>
        <w:t>限用於與LHRH類似劑療法或手術去勢療法併用於進展性攝護腺癌。</w:t>
      </w:r>
    </w:p>
    <w:p w14:paraId="48BCE3DF" w14:textId="77777777" w:rsidR="00BD776B" w:rsidRDefault="00DF0C24">
      <w:pPr>
        <w:ind w:left="851" w:hanging="598"/>
        <w:rPr>
          <w:rFonts w:ascii="標楷體" w:eastAsia="標楷體" w:hAnsi="標楷體"/>
          <w:color w:val="000000"/>
        </w:rPr>
      </w:pPr>
      <w:r>
        <w:rPr>
          <w:rFonts w:ascii="標楷體" w:eastAsia="標楷體" w:hAnsi="標楷體"/>
          <w:color w:val="000000"/>
        </w:rPr>
        <w:t>9.41.Pazopanib（如Votrient）：（101/8/1、104/4/1、106/3/1、110/12/1、112/10/1）附表九之十三</w:t>
      </w:r>
    </w:p>
    <w:p w14:paraId="117EB2DD" w14:textId="77777777" w:rsidR="00BD776B" w:rsidRDefault="00DF0C24">
      <w:pPr>
        <w:ind w:left="993" w:hanging="367"/>
        <w:rPr>
          <w:rFonts w:ascii="標楷體" w:eastAsia="標楷體" w:hAnsi="標楷體"/>
          <w:color w:val="000000"/>
        </w:rPr>
      </w:pPr>
      <w:r>
        <w:rPr>
          <w:rFonts w:ascii="標楷體" w:eastAsia="標楷體" w:hAnsi="標楷體"/>
          <w:color w:val="000000"/>
        </w:rPr>
        <w:t>1.腎細胞癌：（106/3/1、110/12/1）</w:t>
      </w:r>
    </w:p>
    <w:p w14:paraId="44A07B63" w14:textId="77777777" w:rsidR="00BD776B" w:rsidRDefault="00DF0C24">
      <w:pPr>
        <w:ind w:left="993" w:hanging="367"/>
        <w:rPr>
          <w:rFonts w:ascii="標楷體" w:eastAsia="標楷體" w:hAnsi="標楷體"/>
          <w:color w:val="000000"/>
        </w:rPr>
      </w:pPr>
      <w:r>
        <w:rPr>
          <w:rFonts w:ascii="標楷體" w:eastAsia="標楷體" w:hAnsi="標楷體"/>
          <w:color w:val="000000"/>
        </w:rPr>
        <w:t>(1)可用於第一線治療晚期或轉移性腎細胞癌，其病理上為亮細胞癌(clear cell renal carcinoma)。</w:t>
      </w:r>
    </w:p>
    <w:p w14:paraId="5BAA5A28" w14:textId="77777777" w:rsidR="00BD776B" w:rsidRDefault="00DF0C24">
      <w:pPr>
        <w:ind w:left="993" w:hanging="367"/>
        <w:rPr>
          <w:rFonts w:ascii="標楷體" w:eastAsia="標楷體" w:hAnsi="標楷體"/>
          <w:color w:val="000000"/>
        </w:rPr>
      </w:pPr>
      <w:r>
        <w:rPr>
          <w:rFonts w:ascii="標楷體" w:eastAsia="標楷體" w:hAnsi="標楷體"/>
          <w:color w:val="000000"/>
        </w:rPr>
        <w:t>(2)本品使用無效後，不得申請使用temsirolimus。（110/12/1）</w:t>
      </w:r>
    </w:p>
    <w:p w14:paraId="31519E87" w14:textId="77777777" w:rsidR="00BD776B" w:rsidRDefault="00DF0C24">
      <w:pPr>
        <w:ind w:left="993" w:hanging="367"/>
        <w:rPr>
          <w:rFonts w:ascii="標楷體" w:eastAsia="標楷體" w:hAnsi="標楷體"/>
          <w:color w:val="000000"/>
        </w:rPr>
      </w:pPr>
      <w:r>
        <w:rPr>
          <w:rFonts w:ascii="標楷體" w:eastAsia="標楷體" w:hAnsi="標楷體"/>
          <w:color w:val="000000"/>
        </w:rPr>
        <w:t>(3)需檢送影像資料，每三個月評估一次。(106/3/1)</w:t>
      </w:r>
    </w:p>
    <w:p w14:paraId="233B6D66" w14:textId="77777777" w:rsidR="00BD776B" w:rsidRDefault="00DF0C24">
      <w:pPr>
        <w:ind w:left="993" w:hanging="367"/>
        <w:rPr>
          <w:rFonts w:ascii="標楷體" w:eastAsia="標楷體" w:hAnsi="標楷體"/>
          <w:color w:val="000000"/>
        </w:rPr>
      </w:pPr>
      <w:r>
        <w:rPr>
          <w:rFonts w:ascii="標楷體" w:eastAsia="標楷體" w:hAnsi="標楷體"/>
          <w:color w:val="000000"/>
        </w:rPr>
        <w:t>(4)病人若對藥物產生耐受性不佳（intolerance），則以原來藥物減量為原則，若嚴重耐受性不佳，可以換其他TKI。</w:t>
      </w:r>
    </w:p>
    <w:p w14:paraId="39E0990E" w14:textId="77777777" w:rsidR="00BD776B" w:rsidRDefault="00DF0C24">
      <w:pPr>
        <w:ind w:left="993" w:hanging="367"/>
        <w:rPr>
          <w:rFonts w:ascii="標楷體" w:eastAsia="標楷體" w:hAnsi="標楷體"/>
          <w:color w:val="000000"/>
        </w:rPr>
      </w:pPr>
      <w:r>
        <w:rPr>
          <w:rFonts w:ascii="標楷體" w:eastAsia="標楷體" w:hAnsi="標楷體"/>
          <w:color w:val="000000"/>
        </w:rPr>
        <w:t>2.軟組織肉瘤：（104/4/1、112/10/1）</w:t>
      </w:r>
    </w:p>
    <w:p w14:paraId="785C6DFF" w14:textId="77777777" w:rsidR="00BD776B" w:rsidRDefault="00DF0C24">
      <w:pPr>
        <w:ind w:left="993" w:hanging="367"/>
        <w:rPr>
          <w:rFonts w:ascii="標楷體" w:eastAsia="標楷體" w:hAnsi="標楷體"/>
          <w:color w:val="000000"/>
        </w:rPr>
      </w:pPr>
      <w:r>
        <w:rPr>
          <w:rFonts w:ascii="標楷體" w:eastAsia="標楷體" w:hAnsi="標楷體"/>
          <w:color w:val="000000"/>
        </w:rPr>
        <w:t>(1)用於治療先前曾接受化療失敗的晚期軟組織肉瘤(STS)患者。其病情若能接受手術治療者，須先經手術治療。</w:t>
      </w:r>
    </w:p>
    <w:p w14:paraId="0CF4CD85" w14:textId="77777777" w:rsidR="00BD776B" w:rsidRDefault="00DF0C24">
      <w:pPr>
        <w:ind w:left="993" w:hanging="367"/>
      </w:pPr>
      <w:r>
        <w:rPr>
          <w:rFonts w:ascii="標楷體" w:eastAsia="標楷體" w:hAnsi="標楷體"/>
          <w:color w:val="000000"/>
        </w:rPr>
        <w:t>(2)須排除胃腸道基質瘤、脂肪惡性肉瘤、橫紋肌惡性肉瘤、軟骨惡性肉瘤、骨性惡性肉瘤、依文氏(Ewing</w:t>
      </w:r>
      <w:r>
        <w:rPr>
          <w:rFonts w:eastAsia="標楷體" w:cs="Calibri"/>
          <w:color w:val="000000"/>
        </w:rPr>
        <w:t>’</w:t>
      </w:r>
      <w:r>
        <w:rPr>
          <w:rFonts w:ascii="標楷體" w:eastAsia="標楷體" w:hAnsi="標楷體"/>
          <w:color w:val="000000"/>
        </w:rPr>
        <w:t>s sarcoma)惡性肉瘤、原發性神經外胚層腫瘤(primitive neuroectodermal tumor)或突起性表皮纖維惡性腫瘤(dermatofibrosarcoma protuberance)的患者。（104/4/1、112/10/1）</w:t>
      </w:r>
    </w:p>
    <w:p w14:paraId="267D20CA" w14:textId="77777777" w:rsidR="00BD776B" w:rsidRDefault="00DF0C24">
      <w:pPr>
        <w:ind w:left="993" w:hanging="367"/>
        <w:rPr>
          <w:rFonts w:ascii="標楷體" w:eastAsia="標楷體" w:hAnsi="標楷體"/>
          <w:color w:val="000000"/>
        </w:rPr>
      </w:pPr>
      <w:r>
        <w:rPr>
          <w:rFonts w:ascii="標楷體" w:eastAsia="標楷體" w:hAnsi="標楷體"/>
          <w:color w:val="000000"/>
        </w:rPr>
        <w:t>(3)須經事前審查核准後使用，每次申請療程以三個月為限，每三個月需再次申請。(須檢附影像學報告)</w:t>
      </w:r>
    </w:p>
    <w:p w14:paraId="295FA513" w14:textId="77777777" w:rsidR="00BD776B" w:rsidRDefault="00DF0C24">
      <w:pPr>
        <w:ind w:left="672" w:hanging="386"/>
      </w:pPr>
      <w:r>
        <w:rPr>
          <w:rFonts w:ascii="標楷體" w:eastAsia="標楷體" w:hAnsi="標楷體"/>
          <w:bCs/>
          <w:color w:val="000000"/>
        </w:rPr>
        <w:t>9.42.Bendamustine（如Innomustine）</w:t>
      </w:r>
      <w:r>
        <w:rPr>
          <w:rFonts w:ascii="新細明體" w:hAnsi="新細明體"/>
          <w:bCs/>
          <w:color w:val="000000"/>
        </w:rPr>
        <w:t>：</w:t>
      </w:r>
      <w:r>
        <w:rPr>
          <w:rFonts w:ascii="標楷體" w:eastAsia="標楷體" w:hAnsi="標楷體"/>
          <w:bCs/>
          <w:color w:val="000000"/>
        </w:rPr>
        <w:t>(101/10/1、103/2/1、108/10/1、113/2/1)</w:t>
      </w:r>
    </w:p>
    <w:p w14:paraId="554C8C83"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1.以本品作為第一線治療，限用於Binet C級之慢性淋巴性白血病病人(CLL)或Binet B級併有免疫性症候(如自體免疫性溶血、免疫性血小板低下紫瘢症等)相關疾病之CLL病人。</w:t>
      </w:r>
    </w:p>
    <w:p w14:paraId="74B769C9"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2.用於B-細胞慢性淋巴性白血病（CLL）病患Binet B及C之第二線治療，在經歷至少一種標準內容的烷化基藥劑（alkylating agent）治療方法無效，或治療後雖有效但隨後疾病又繼續惡化進展的病人。</w:t>
      </w:r>
    </w:p>
    <w:p w14:paraId="3B6228F3"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3.曾接受至少一種化療之和緩性非何杰金氏淋巴瘤，六個月內曾以rituximab治療失敗之單一治療。(103/2/1)</w:t>
      </w:r>
    </w:p>
    <w:p w14:paraId="3FC9BF87" w14:textId="77777777" w:rsidR="00BD776B" w:rsidRDefault="00DF0C24">
      <w:pPr>
        <w:ind w:left="811" w:hanging="245"/>
      </w:pPr>
      <w:r>
        <w:rPr>
          <w:rFonts w:ascii="標楷體" w:eastAsia="標楷體" w:hAnsi="標楷體"/>
          <w:bCs/>
          <w:color w:val="000000"/>
        </w:rPr>
        <w:t>4.</w:t>
      </w:r>
      <w:r>
        <w:t xml:space="preserve"> </w:t>
      </w:r>
      <w:r>
        <w:rPr>
          <w:rFonts w:ascii="標楷體" w:eastAsia="標楷體" w:hAnsi="標楷體"/>
          <w:bCs/>
          <w:color w:val="000000"/>
        </w:rPr>
        <w:t>合併rituximab適用於先前未曾接受治療的CD20陽性、第III/IV期和緩性非何杰金氏淋巴瘤。(108/10/1)</w:t>
      </w:r>
    </w:p>
    <w:p w14:paraId="39C5824C" w14:textId="77777777" w:rsidR="00BD776B" w:rsidRDefault="00DF0C24">
      <w:pPr>
        <w:ind w:left="811" w:hanging="245"/>
      </w:pPr>
      <w:r>
        <w:rPr>
          <w:rFonts w:ascii="標楷體" w:eastAsia="標楷體" w:hAnsi="標楷體"/>
          <w:bCs/>
          <w:color w:val="000000"/>
        </w:rPr>
        <w:t>5.</w:t>
      </w:r>
      <w:r>
        <w:t xml:space="preserve"> </w:t>
      </w:r>
      <w:r>
        <w:rPr>
          <w:rFonts w:ascii="標楷體" w:eastAsia="標楷體" w:hAnsi="標楷體"/>
          <w:bCs/>
          <w:color w:val="000000"/>
        </w:rPr>
        <w:t>合併rituximab用於先前未曾接受治療且不適合自體幹細胞移植的第III/IV期被套細胞淋巴瘤。(108/10/1)</w:t>
      </w:r>
    </w:p>
    <w:p w14:paraId="692478CB" w14:textId="77777777" w:rsidR="00BD776B" w:rsidRDefault="00DF0C24">
      <w:pPr>
        <w:ind w:left="811" w:hanging="245"/>
      </w:pPr>
      <w:r>
        <w:rPr>
          <w:rFonts w:ascii="標楷體" w:eastAsia="標楷體" w:hAnsi="標楷體"/>
          <w:bCs/>
          <w:color w:val="000000"/>
        </w:rPr>
        <w:t>6.</w:t>
      </w:r>
      <w:r>
        <w:rPr>
          <w:rFonts w:ascii="標楷體" w:eastAsia="標楷體" w:hAnsi="標楷體"/>
          <w:szCs w:val="24"/>
        </w:rPr>
        <w:t>可與polatuzumab vedotin和rituximab併用，適用於第三線治療復發型(relapsed)或難治型(refractory)且未曾接受及不適合接受造血幹細胞移植的瀰漫性大型B細胞淋巴瘤（DLBCL）成年病人，患者需符合polatuzumab vedotin之藥品給付規定。(113/2/1)</w:t>
      </w:r>
    </w:p>
    <w:p w14:paraId="373B061F" w14:textId="77777777" w:rsidR="00BD776B" w:rsidRDefault="00DF0C24">
      <w:pPr>
        <w:ind w:left="811" w:hanging="245"/>
        <w:rPr>
          <w:rFonts w:ascii="標楷體" w:eastAsia="標楷體" w:hAnsi="標楷體"/>
          <w:bCs/>
          <w:color w:val="000000"/>
        </w:rPr>
      </w:pPr>
      <w:r>
        <w:rPr>
          <w:rFonts w:ascii="標楷體" w:eastAsia="標楷體" w:hAnsi="標楷體"/>
          <w:bCs/>
          <w:color w:val="000000"/>
        </w:rPr>
        <w:t>7.不得與fludarabine合併使用。(103/2/1)</w:t>
      </w:r>
    </w:p>
    <w:p w14:paraId="6E66AF32" w14:textId="77777777" w:rsidR="00BD776B" w:rsidRDefault="00DF0C24">
      <w:pPr>
        <w:ind w:left="811" w:hanging="245"/>
      </w:pPr>
      <w:r>
        <w:rPr>
          <w:rFonts w:ascii="標楷體" w:eastAsia="標楷體" w:hAnsi="標楷體"/>
          <w:bCs/>
          <w:color w:val="000000"/>
        </w:rPr>
        <w:t>8.須經事前審查核准後使用，每次申請最多六個（月）療程</w:t>
      </w:r>
      <w:r>
        <w:rPr>
          <w:rFonts w:ascii="標楷體" w:eastAsia="標楷體" w:hAnsi="標楷體"/>
          <w:szCs w:val="24"/>
        </w:rPr>
        <w:t>；若為依前述第6項與polatuzumab vedotin和rituximab併用時</w:t>
      </w:r>
      <w:r>
        <w:rPr>
          <w:rFonts w:ascii="新細明體" w:hAnsi="新細明體"/>
          <w:szCs w:val="24"/>
        </w:rPr>
        <w:t>，</w:t>
      </w:r>
      <w:r>
        <w:rPr>
          <w:rFonts w:ascii="標楷體" w:eastAsia="標楷體" w:hAnsi="標楷體"/>
          <w:szCs w:val="24"/>
        </w:rPr>
        <w:t>每次申請最多3個療程</w:t>
      </w:r>
      <w:r>
        <w:rPr>
          <w:rFonts w:ascii="新細明體" w:hAnsi="新細明體"/>
          <w:szCs w:val="24"/>
        </w:rPr>
        <w:t>，</w:t>
      </w:r>
      <w:r>
        <w:rPr>
          <w:rFonts w:ascii="標楷體" w:eastAsia="標楷體" w:hAnsi="標楷體"/>
          <w:szCs w:val="24"/>
        </w:rPr>
        <w:t>且最多給付6個療程</w:t>
      </w:r>
      <w:r>
        <w:rPr>
          <w:rFonts w:ascii="新細明體" w:hAnsi="新細明體"/>
          <w:szCs w:val="24"/>
        </w:rPr>
        <w:t>。</w:t>
      </w:r>
      <w:r>
        <w:rPr>
          <w:rFonts w:ascii="標楷體" w:eastAsia="標楷體" w:hAnsi="標楷體"/>
          <w:szCs w:val="24"/>
        </w:rPr>
        <w:t>(101/10/1、113/2/1)</w:t>
      </w:r>
      <w:r>
        <w:rPr>
          <w:rFonts w:ascii="標楷體" w:eastAsia="標楷體" w:hAnsi="標楷體"/>
          <w:bCs/>
          <w:color w:val="000000"/>
          <w:szCs w:val="24"/>
        </w:rPr>
        <w:t>。</w:t>
      </w:r>
    </w:p>
    <w:p w14:paraId="745C0C7E" w14:textId="77777777" w:rsidR="00BD776B" w:rsidRDefault="00DF0C24">
      <w:pPr>
        <w:ind w:left="672" w:hanging="386"/>
        <w:rPr>
          <w:rFonts w:ascii="標楷體" w:eastAsia="標楷體" w:hAnsi="標楷體"/>
        </w:rPr>
      </w:pPr>
      <w:r>
        <w:rPr>
          <w:rFonts w:ascii="標楷體" w:eastAsia="標楷體" w:hAnsi="標楷體"/>
        </w:rPr>
        <w:t>9.43 Lenalidomide(如Revlimid)：（101/12/1、106/10/1、109/2/1、109/8/1、112/4/1）</w:t>
      </w:r>
    </w:p>
    <w:p w14:paraId="0A583D61" w14:textId="77777777" w:rsidR="00BD776B" w:rsidRDefault="00DF0C24">
      <w:pPr>
        <w:ind w:left="811" w:hanging="245"/>
      </w:pPr>
      <w:r>
        <w:rPr>
          <w:rFonts w:ascii="標楷體" w:eastAsia="標楷體" w:hAnsi="標楷體"/>
        </w:rPr>
        <w:lastRenderedPageBreak/>
        <w:t>1.</w:t>
      </w:r>
      <w:r>
        <w:t xml:space="preserve"> </w:t>
      </w:r>
      <w:r>
        <w:rPr>
          <w:rFonts w:ascii="標楷體" w:eastAsia="標楷體" w:hAnsi="標楷體"/>
        </w:rPr>
        <w:t>先前尚未接受過任何治療且不適用造血幹細胞移植的多發性骨髓瘤患者可使用lenalidomide併用dexamethasone作為第一線治療。開始治療時病患須同時符合下列(1)與(2)的條件：（109/2/1、109/8/1、112/4/1）</w:t>
      </w:r>
    </w:p>
    <w:p w14:paraId="76377299" w14:textId="77777777" w:rsidR="00BD776B" w:rsidRDefault="00DF0C24">
      <w:pPr>
        <w:ind w:left="1051" w:hanging="245"/>
      </w:pPr>
      <w:r>
        <w:rPr>
          <w:rFonts w:ascii="標楷體" w:eastAsia="標楷體" w:hAnsi="標楷體"/>
        </w:rPr>
        <w:t>(1)</w:t>
      </w:r>
      <w:r>
        <w:t xml:space="preserve"> </w:t>
      </w:r>
      <w:r>
        <w:rPr>
          <w:rFonts w:ascii="標楷體" w:eastAsia="標楷體" w:hAnsi="標楷體"/>
        </w:rPr>
        <w:t>骨髓漿細胞(plasma cells)比例≧10%，或是經切片確認且有≧1顆的plasmacytoma。（112/4/1）</w:t>
      </w:r>
    </w:p>
    <w:p w14:paraId="483458E8" w14:textId="77777777" w:rsidR="00BD776B" w:rsidRDefault="00DF0C24">
      <w:pPr>
        <w:ind w:left="1051" w:hanging="245"/>
      </w:pPr>
      <w:r>
        <w:rPr>
          <w:rFonts w:ascii="標楷體" w:eastAsia="標楷體" w:hAnsi="標楷體"/>
        </w:rPr>
        <w:t>(2)</w:t>
      </w:r>
      <w:r>
        <w:t xml:space="preserve"> </w:t>
      </w:r>
      <w:r>
        <w:rPr>
          <w:rFonts w:ascii="標楷體" w:eastAsia="標楷體" w:hAnsi="標楷體"/>
        </w:rPr>
        <w:t>出現下列任一臨床症狀：（112/4/1）</w:t>
      </w:r>
    </w:p>
    <w:p w14:paraId="1B43A9E7" w14:textId="77777777" w:rsidR="00BD776B" w:rsidRDefault="00DF0C24">
      <w:pPr>
        <w:ind w:left="1291" w:hanging="245"/>
        <w:rPr>
          <w:rFonts w:ascii="標楷體" w:eastAsia="標楷體" w:hAnsi="標楷體"/>
        </w:rPr>
      </w:pPr>
      <w:r>
        <w:rPr>
          <w:rFonts w:ascii="標楷體" w:eastAsia="標楷體" w:hAnsi="標楷體"/>
        </w:rPr>
        <w:t>Ⅰ.腎功能不全：serum creatinine＞2.0mg/dL或estimated GFR (eGFR)＜40 ml/min，且無其他原因可以解釋。</w:t>
      </w:r>
    </w:p>
    <w:p w14:paraId="0DD9D2CB" w14:textId="77777777" w:rsidR="00BD776B" w:rsidRDefault="00DF0C24">
      <w:pPr>
        <w:ind w:left="1291" w:hanging="245"/>
        <w:rPr>
          <w:rFonts w:ascii="標楷體" w:eastAsia="標楷體" w:hAnsi="標楷體"/>
        </w:rPr>
      </w:pPr>
      <w:r>
        <w:rPr>
          <w:rFonts w:ascii="標楷體" w:eastAsia="標楷體" w:hAnsi="標楷體"/>
        </w:rPr>
        <w:t>Ⅱ.高血鈣(corrected serum calcium＞11.0 mg/dL或2.75 mmol/L)。</w:t>
      </w:r>
    </w:p>
    <w:p w14:paraId="78788158" w14:textId="77777777" w:rsidR="00BD776B" w:rsidRDefault="00DF0C24">
      <w:pPr>
        <w:ind w:left="1291" w:hanging="245"/>
        <w:rPr>
          <w:rFonts w:ascii="標楷體" w:eastAsia="標楷體" w:hAnsi="標楷體"/>
        </w:rPr>
      </w:pPr>
      <w:r>
        <w:rPr>
          <w:rFonts w:ascii="標楷體" w:eastAsia="標楷體" w:hAnsi="標楷體"/>
        </w:rPr>
        <w:t>Ⅲ.貧血(Hemoglobin＜10 gm/dL 且無其他原因可以解釋)。</w:t>
      </w:r>
    </w:p>
    <w:p w14:paraId="420717BC" w14:textId="77777777" w:rsidR="00BD776B" w:rsidRDefault="00DF0C24">
      <w:pPr>
        <w:ind w:left="1291" w:hanging="245"/>
        <w:rPr>
          <w:rFonts w:ascii="標楷體" w:eastAsia="標楷體" w:hAnsi="標楷體"/>
        </w:rPr>
      </w:pPr>
      <w:r>
        <w:rPr>
          <w:rFonts w:ascii="標楷體" w:eastAsia="標楷體" w:hAnsi="標楷體"/>
        </w:rPr>
        <w:t>Ⅵ.影像檢查確認之osteolytic bone lesion(s)。</w:t>
      </w:r>
    </w:p>
    <w:p w14:paraId="2526706C" w14:textId="77777777" w:rsidR="00BD776B" w:rsidRDefault="00DF0C24">
      <w:pPr>
        <w:ind w:left="1291" w:hanging="245"/>
        <w:rPr>
          <w:rFonts w:ascii="標楷體" w:eastAsia="標楷體" w:hAnsi="標楷體"/>
        </w:rPr>
      </w:pPr>
      <w:r>
        <w:rPr>
          <w:rFonts w:ascii="標楷體" w:eastAsia="標楷體" w:hAnsi="標楷體"/>
        </w:rPr>
        <w:t>Ⅴ.骨髓漿細胞(plasma cells)比例≧60%</w:t>
      </w:r>
    </w:p>
    <w:p w14:paraId="4EB3B301" w14:textId="77777777" w:rsidR="00BD776B" w:rsidRDefault="00DF0C24">
      <w:pPr>
        <w:ind w:left="1291" w:hanging="245"/>
        <w:rPr>
          <w:rFonts w:ascii="標楷體" w:eastAsia="標楷體" w:hAnsi="標楷體"/>
        </w:rPr>
      </w:pPr>
      <w:r>
        <w:rPr>
          <w:rFonts w:ascii="標楷體" w:eastAsia="標楷體" w:hAnsi="標楷體"/>
        </w:rPr>
        <w:t>Ⅵ.Serum free light-chain ratio≧100。</w:t>
      </w:r>
    </w:p>
    <w:p w14:paraId="5EE70A0C" w14:textId="77777777" w:rsidR="00BD776B" w:rsidRDefault="00DF0C24">
      <w:pPr>
        <w:ind w:left="1051" w:hanging="245"/>
      </w:pPr>
      <w:r>
        <w:rPr>
          <w:rFonts w:ascii="標楷體" w:eastAsia="標楷體" w:hAnsi="標楷體"/>
        </w:rPr>
        <w:t>(3)</w:t>
      </w:r>
      <w:r>
        <w:t xml:space="preserve"> </w:t>
      </w:r>
      <w:r>
        <w:rPr>
          <w:rFonts w:ascii="標楷體" w:eastAsia="標楷體" w:hAnsi="標楷體"/>
        </w:rPr>
        <w:t>每4個療程重新申請時，須重新評估是否適合接受造血幹細胞移植。若經重新評估為已適合接受造血幹細胞移植者，即須停止Rd之治療。（112/4/1）</w:t>
      </w:r>
    </w:p>
    <w:p w14:paraId="607962A5" w14:textId="77777777" w:rsidR="00BD776B" w:rsidRDefault="00DF0C24">
      <w:pPr>
        <w:ind w:left="811" w:hanging="245"/>
      </w:pPr>
      <w:r>
        <w:rPr>
          <w:rFonts w:ascii="標楷體" w:eastAsia="標楷體" w:hAnsi="標楷體"/>
        </w:rPr>
        <w:t>2.</w:t>
      </w:r>
      <w:r>
        <w:t xml:space="preserve"> </w:t>
      </w:r>
      <w:r>
        <w:rPr>
          <w:rFonts w:ascii="標楷體" w:eastAsia="標楷體" w:hAnsi="標楷體"/>
        </w:rPr>
        <w:t>與dexamethasone合併使用於先前已接受至少一種治療失敗之多發性骨髓瘤患者，且需同時符合下列(1)與(2)的條件：（101/12/1、112/4/1）</w:t>
      </w:r>
    </w:p>
    <w:p w14:paraId="2BCA508C" w14:textId="77777777" w:rsidR="00BD776B" w:rsidRDefault="00DF0C24">
      <w:pPr>
        <w:ind w:left="1146" w:hanging="340"/>
      </w:pPr>
      <w:r>
        <w:rPr>
          <w:rFonts w:ascii="標楷體" w:eastAsia="標楷體" w:hAnsi="標楷體"/>
        </w:rPr>
        <w:t>(1)</w:t>
      </w:r>
      <w:r>
        <w:t xml:space="preserve"> </w:t>
      </w:r>
      <w:r>
        <w:rPr>
          <w:rFonts w:ascii="標楷體" w:eastAsia="標楷體" w:hAnsi="標楷體"/>
        </w:rPr>
        <w:t>具有下列任一疾病惡化的指標： 病患開始治療前須在連續2次評估中均符合同一指標 (但若為plamacytoma 體積增加，或是新產生的bone lesion(s)或新plasmacytoma，則僅需1次評估)：（112/4/1）</w:t>
      </w:r>
    </w:p>
    <w:p w14:paraId="0B80E753" w14:textId="77777777" w:rsidR="00BD776B" w:rsidRDefault="00DF0C24">
      <w:pPr>
        <w:ind w:left="1291" w:hanging="245"/>
        <w:rPr>
          <w:rFonts w:ascii="標楷體" w:eastAsia="標楷體" w:hAnsi="標楷體"/>
        </w:rPr>
      </w:pPr>
      <w:r>
        <w:rPr>
          <w:rFonts w:ascii="標楷體" w:eastAsia="標楷體" w:hAnsi="標楷體"/>
        </w:rPr>
        <w:t>Ⅰ.若前一線治療中M component 最低值≧5 g/dL，血清M蛋白需增加≧1 g/dL；若前一線治療中M component最低值＜5 g/dL，血清M蛋白需增加≧0.5g/dL。</w:t>
      </w:r>
    </w:p>
    <w:p w14:paraId="6B37142C" w14:textId="77777777" w:rsidR="00BD776B" w:rsidRDefault="00DF0C24">
      <w:pPr>
        <w:ind w:left="1291" w:hanging="245"/>
        <w:rPr>
          <w:rFonts w:ascii="標楷體" w:eastAsia="標楷體" w:hAnsi="標楷體"/>
        </w:rPr>
      </w:pPr>
      <w:r>
        <w:rPr>
          <w:rFonts w:ascii="標楷體" w:eastAsia="標楷體" w:hAnsi="標楷體"/>
        </w:rPr>
        <w:t>Ⅱ.Urine M-protein需增加≧0.2 gm/24Hr，且需較前一線治療中的最低值增加≧25%。</w:t>
      </w:r>
    </w:p>
    <w:p w14:paraId="3B0DBE97" w14:textId="77777777" w:rsidR="00BD776B" w:rsidRDefault="00DF0C24">
      <w:pPr>
        <w:ind w:left="1291" w:hanging="245"/>
        <w:rPr>
          <w:rFonts w:ascii="標楷體" w:eastAsia="標楷體" w:hAnsi="標楷體"/>
        </w:rPr>
      </w:pPr>
      <w:r>
        <w:rPr>
          <w:rFonts w:ascii="標楷體" w:eastAsia="標楷體" w:hAnsi="標楷體"/>
        </w:rPr>
        <w:t>Ⅲ.在non-secretary myeloma 病患，骨髓漿細胞 (plasma cells)之比例絕對值增加≧10%，且需較前一線治療中的最低值增加≧25%。</w:t>
      </w:r>
    </w:p>
    <w:p w14:paraId="19558232" w14:textId="77777777" w:rsidR="00BD776B" w:rsidRDefault="00DF0C24">
      <w:pPr>
        <w:ind w:left="1291" w:hanging="245"/>
        <w:rPr>
          <w:rFonts w:ascii="標楷體" w:eastAsia="標楷體" w:hAnsi="標楷體"/>
        </w:rPr>
      </w:pPr>
      <w:r>
        <w:rPr>
          <w:rFonts w:ascii="標楷體" w:eastAsia="標楷體" w:hAnsi="標楷體"/>
        </w:rPr>
        <w:t>Ⅳ.新產生的bone lesion(s)或plasmacytoma；且須經病理切片證實。</w:t>
      </w:r>
    </w:p>
    <w:p w14:paraId="00707BC1" w14:textId="77777777" w:rsidR="00BD776B" w:rsidRDefault="00DF0C24">
      <w:pPr>
        <w:ind w:left="1291" w:hanging="245"/>
        <w:rPr>
          <w:rFonts w:ascii="標楷體" w:eastAsia="標楷體" w:hAnsi="標楷體"/>
        </w:rPr>
      </w:pPr>
      <w:r>
        <w:rPr>
          <w:rFonts w:ascii="標楷體" w:eastAsia="標楷體" w:hAnsi="標楷體"/>
        </w:rPr>
        <w:t>Ⅴ.Plasmacytoma體積增加≧50%。</w:t>
      </w:r>
    </w:p>
    <w:p w14:paraId="76484871" w14:textId="77777777" w:rsidR="00BD776B" w:rsidRDefault="00DF0C24">
      <w:pPr>
        <w:ind w:left="1291" w:hanging="245"/>
        <w:rPr>
          <w:rFonts w:ascii="標楷體" w:eastAsia="標楷體" w:hAnsi="標楷體"/>
        </w:rPr>
      </w:pPr>
      <w:r>
        <w:rPr>
          <w:rFonts w:ascii="標楷體" w:eastAsia="標楷體" w:hAnsi="標楷體"/>
        </w:rPr>
        <w:t>Ⅵ.周邊血液中漿細胞比例≧20%或漿細胞絕對值≧2000 cells/μL。</w:t>
      </w:r>
    </w:p>
    <w:p w14:paraId="4E101322" w14:textId="77777777" w:rsidR="00BD776B" w:rsidRDefault="00DF0C24">
      <w:pPr>
        <w:ind w:left="1051" w:hanging="245"/>
      </w:pPr>
      <w:r>
        <w:rPr>
          <w:rFonts w:ascii="標楷體" w:eastAsia="標楷體" w:hAnsi="標楷體"/>
        </w:rPr>
        <w:t>(2)</w:t>
      </w:r>
      <w:r>
        <w:t xml:space="preserve"> </w:t>
      </w:r>
      <w:r>
        <w:rPr>
          <w:rFonts w:ascii="標楷體" w:eastAsia="標楷體" w:hAnsi="標楷體"/>
        </w:rPr>
        <w:t>出現下列任一臨床症狀：（112/4/1）</w:t>
      </w:r>
    </w:p>
    <w:p w14:paraId="59BADCF0" w14:textId="77777777" w:rsidR="00BD776B" w:rsidRDefault="00DF0C24">
      <w:pPr>
        <w:ind w:left="1291" w:hanging="245"/>
        <w:rPr>
          <w:rFonts w:ascii="標楷體" w:eastAsia="標楷體" w:hAnsi="標楷體"/>
        </w:rPr>
      </w:pPr>
      <w:r>
        <w:rPr>
          <w:rFonts w:ascii="標楷體" w:eastAsia="標楷體" w:hAnsi="標楷體"/>
        </w:rPr>
        <w:t>Ⅰ.新產生的bone lesion(s)或plasmacytoma；且須經病理切片證實。</w:t>
      </w:r>
    </w:p>
    <w:p w14:paraId="70BAB801" w14:textId="77777777" w:rsidR="00BD776B" w:rsidRDefault="00DF0C24">
      <w:pPr>
        <w:ind w:left="1291" w:hanging="245"/>
        <w:rPr>
          <w:rFonts w:ascii="標楷體" w:eastAsia="標楷體" w:hAnsi="標楷體"/>
        </w:rPr>
      </w:pPr>
      <w:r>
        <w:rPr>
          <w:rFonts w:ascii="標楷體" w:eastAsia="標楷體" w:hAnsi="標楷體"/>
        </w:rPr>
        <w:t>Ⅱ.Plasmacytoma 體積增加≧50%。</w:t>
      </w:r>
    </w:p>
    <w:p w14:paraId="4631EFE1" w14:textId="77777777" w:rsidR="00BD776B" w:rsidRDefault="00DF0C24">
      <w:pPr>
        <w:ind w:left="1291" w:hanging="245"/>
        <w:rPr>
          <w:rFonts w:ascii="標楷體" w:eastAsia="標楷體" w:hAnsi="標楷體"/>
        </w:rPr>
      </w:pPr>
      <w:r>
        <w:rPr>
          <w:rFonts w:ascii="標楷體" w:eastAsia="標楷體" w:hAnsi="標楷體"/>
        </w:rPr>
        <w:t>Ⅲ.高血鈣(corrected serum calcium＞11.0 mg/dL 或 2.75 mmol/L)。</w:t>
      </w:r>
    </w:p>
    <w:p w14:paraId="04CC6BC6" w14:textId="77777777" w:rsidR="00BD776B" w:rsidRDefault="00DF0C24">
      <w:pPr>
        <w:ind w:left="1291" w:hanging="245"/>
        <w:rPr>
          <w:rFonts w:ascii="標楷體" w:eastAsia="標楷體" w:hAnsi="標楷體"/>
        </w:rPr>
      </w:pPr>
      <w:r>
        <w:rPr>
          <w:rFonts w:ascii="標楷體" w:eastAsia="標楷體" w:hAnsi="標楷體"/>
        </w:rPr>
        <w:t>Ⅳ.貧血(Hemoglobin 下降幅度≧ 2gm/dL且無其他原因可以解釋)。</w:t>
      </w:r>
    </w:p>
    <w:p w14:paraId="314F4706" w14:textId="77777777" w:rsidR="00BD776B" w:rsidRDefault="00DF0C24">
      <w:pPr>
        <w:ind w:left="1291" w:hanging="245"/>
        <w:rPr>
          <w:rFonts w:ascii="標楷體" w:eastAsia="標楷體" w:hAnsi="標楷體"/>
        </w:rPr>
      </w:pPr>
      <w:r>
        <w:rPr>
          <w:rFonts w:ascii="標楷體" w:eastAsia="標楷體" w:hAnsi="標楷體"/>
        </w:rPr>
        <w:t>Ⅴ.腎功能惡化(eGFR需下降幅度≧25%)，且無其他原因可以解釋。</w:t>
      </w:r>
    </w:p>
    <w:p w14:paraId="49647E95" w14:textId="77777777" w:rsidR="00BD776B" w:rsidRDefault="00DF0C24">
      <w:pPr>
        <w:ind w:left="1291" w:hanging="245"/>
        <w:rPr>
          <w:rFonts w:ascii="標楷體" w:eastAsia="標楷體" w:hAnsi="標楷體"/>
        </w:rPr>
      </w:pPr>
      <w:r>
        <w:rPr>
          <w:rFonts w:ascii="標楷體" w:eastAsia="標楷體" w:hAnsi="標楷體"/>
        </w:rPr>
        <w:t>Ⅵ.出現其他 end-organ dysfunctions。</w:t>
      </w:r>
    </w:p>
    <w:p w14:paraId="2F58E5F5" w14:textId="77777777" w:rsidR="00BD776B" w:rsidRDefault="00DF0C24">
      <w:pPr>
        <w:ind w:left="811" w:hanging="245"/>
        <w:rPr>
          <w:rFonts w:ascii="標楷體" w:eastAsia="標楷體" w:hAnsi="標楷體"/>
        </w:rPr>
      </w:pPr>
      <w:r>
        <w:rPr>
          <w:rFonts w:ascii="標楷體" w:eastAsia="標楷體" w:hAnsi="標楷體"/>
        </w:rPr>
        <w:t>3.須經事前審查核准後使用，每次申請事前審查之療程以4個療程為限，每4個療程須再次申請。</w:t>
      </w:r>
    </w:p>
    <w:p w14:paraId="007ABAF4" w14:textId="77777777" w:rsidR="00BD776B" w:rsidRDefault="00DF0C24">
      <w:pPr>
        <w:ind w:left="1049" w:hanging="341"/>
        <w:rPr>
          <w:rFonts w:ascii="標楷體" w:eastAsia="標楷體" w:hAnsi="標楷體"/>
        </w:rPr>
      </w:pPr>
      <w:r>
        <w:rPr>
          <w:rFonts w:ascii="標楷體" w:eastAsia="標楷體" w:hAnsi="標楷體"/>
        </w:rPr>
        <w:t>(1)每天限使用1粒。</w:t>
      </w:r>
    </w:p>
    <w:p w14:paraId="7F62D909" w14:textId="77777777" w:rsidR="00BD776B" w:rsidRDefault="00DF0C24">
      <w:pPr>
        <w:ind w:left="1049" w:hanging="341"/>
        <w:rPr>
          <w:rFonts w:ascii="標楷體" w:eastAsia="標楷體" w:hAnsi="標楷體"/>
        </w:rPr>
      </w:pPr>
      <w:r>
        <w:rPr>
          <w:rFonts w:ascii="標楷體" w:eastAsia="標楷體" w:hAnsi="標楷體"/>
        </w:rPr>
        <w:t>(2)使用4個療程後，必須確定paraprotein(M-protein)未上升(即表示對藥物有反應或為穩定狀態)或對部分non-secretory type MM病人以骨髓檢查plasma cell為療效依據，方可繼續使用。</w:t>
      </w:r>
    </w:p>
    <w:p w14:paraId="0E2D2988" w14:textId="77777777" w:rsidR="00BD776B" w:rsidRDefault="00DF0C24">
      <w:pPr>
        <w:ind w:left="811" w:hanging="245"/>
      </w:pPr>
      <w:r>
        <w:rPr>
          <w:rFonts w:ascii="標楷體" w:eastAsia="標楷體" w:hAnsi="標楷體"/>
        </w:rPr>
        <w:t>4.</w:t>
      </w:r>
      <w:r>
        <w:t xml:space="preserve"> </w:t>
      </w:r>
      <w:r>
        <w:rPr>
          <w:rFonts w:ascii="標楷體" w:eastAsia="標楷體" w:hAnsi="標楷體"/>
        </w:rPr>
        <w:t>每人終生至多給付24個療程為限（每療程為4週）。（106/10/1、109/2/1、</w:t>
      </w:r>
      <w:r>
        <w:rPr>
          <w:rFonts w:ascii="標楷體" w:eastAsia="標楷體" w:hAnsi="標楷體"/>
        </w:rPr>
        <w:lastRenderedPageBreak/>
        <w:t>109/8/1、112/4/1）</w:t>
      </w:r>
    </w:p>
    <w:p w14:paraId="759EFDC6" w14:textId="77777777" w:rsidR="00BD776B" w:rsidRDefault="00DF0C24">
      <w:pPr>
        <w:ind w:left="672" w:hanging="386"/>
      </w:pPr>
      <w:r>
        <w:rPr>
          <w:rFonts w:ascii="標楷體" w:eastAsia="標楷體" w:hAnsi="標楷體"/>
        </w:rPr>
        <w:t xml:space="preserve">  5.</w:t>
      </w:r>
      <w:r>
        <w:t xml:space="preserve"> </w:t>
      </w:r>
      <w:r>
        <w:rPr>
          <w:rFonts w:ascii="標楷體" w:eastAsia="標楷體" w:hAnsi="標楷體"/>
        </w:rPr>
        <w:t xml:space="preserve">112年3月31日以前已核定用藥之病人，得經事前審查核准後，使用至總療程上  </w:t>
      </w:r>
    </w:p>
    <w:p w14:paraId="6F7A9E0C" w14:textId="77777777" w:rsidR="00BD776B" w:rsidRDefault="00DF0C24">
      <w:pPr>
        <w:ind w:left="672" w:hanging="386"/>
        <w:rPr>
          <w:rFonts w:ascii="標楷體" w:eastAsia="標楷體" w:hAnsi="標楷體"/>
        </w:rPr>
      </w:pPr>
      <w:r>
        <w:rPr>
          <w:rFonts w:ascii="標楷體" w:eastAsia="標楷體" w:hAnsi="標楷體"/>
        </w:rPr>
        <w:t xml:space="preserve">    限（即終生24個療程）或使用期間發生疾病惡化為止。（112/4/1）</w:t>
      </w:r>
    </w:p>
    <w:p w14:paraId="0FEE5926" w14:textId="1EDE2A3D" w:rsidR="008218B1" w:rsidRDefault="008218B1" w:rsidP="00C71FEA">
      <w:pPr>
        <w:ind w:left="567" w:hanging="245"/>
        <w:rPr>
          <w:rFonts w:ascii="標楷體" w:eastAsia="標楷體" w:hAnsi="標楷體"/>
          <w:color w:val="000000"/>
        </w:rPr>
      </w:pPr>
      <w:r w:rsidRPr="009728DF">
        <w:rPr>
          <w:rFonts w:ascii="標楷體" w:eastAsia="標楷體" w:hAnsi="標楷體" w:hint="eastAsia"/>
          <w:color w:val="000000"/>
        </w:rPr>
        <w:t>9.44.Azacitidine：（102/1/1、111/5/1、111/8/1、112/2/1、112/8/1、114/3/1、114/5/1</w:t>
      </w:r>
      <w:r>
        <w:rPr>
          <w:rFonts w:ascii="標楷體" w:eastAsia="標楷體" w:hAnsi="標楷體"/>
          <w:color w:val="000000"/>
        </w:rPr>
        <w:t>）</w:t>
      </w:r>
    </w:p>
    <w:p w14:paraId="45DEBC3B" w14:textId="77777777" w:rsidR="008218B1" w:rsidRPr="00C612A3" w:rsidRDefault="008218B1" w:rsidP="008218B1">
      <w:pPr>
        <w:ind w:left="811" w:hanging="527"/>
        <w:rPr>
          <w:rFonts w:ascii="標楷體" w:eastAsia="標楷體" w:hAnsi="標楷體"/>
        </w:rPr>
      </w:pPr>
      <w:r w:rsidRPr="00C612A3">
        <w:rPr>
          <w:rFonts w:ascii="標楷體" w:eastAsia="標楷體" w:hAnsi="標楷體" w:hint="eastAsia"/>
        </w:rPr>
        <w:t>9.44.1.Azacitidine 注射劑（如Vidaza）：（102/1/1、111/5/1、111/8/1、112/2/1、112/8/1、114/3/1）</w:t>
      </w:r>
    </w:p>
    <w:p w14:paraId="0CE7EA78" w14:textId="77777777" w:rsidR="008218B1" w:rsidRPr="00C612A3" w:rsidRDefault="008218B1" w:rsidP="008218B1">
      <w:pPr>
        <w:ind w:left="993" w:hanging="245"/>
        <w:rPr>
          <w:rFonts w:ascii="標楷體" w:eastAsia="標楷體" w:hAnsi="標楷體"/>
        </w:rPr>
      </w:pPr>
      <w:r w:rsidRPr="00C612A3">
        <w:rPr>
          <w:rFonts w:ascii="標楷體" w:eastAsia="標楷體" w:hAnsi="標楷體" w:hint="eastAsia"/>
        </w:rPr>
        <w:t>1.骨髓增生不良症候群高危險性病患：頑固性貧血併有過量芽細胞（RA with excess blasts, RAEB）、轉變中的頑固性貧血併有過量芽細胞（RAEB in transformation, RAEB-T）、及慢性骨髓單核細胞性白血病（chronic myelomonocytic leukemia, CMMoL）。</w:t>
      </w:r>
    </w:p>
    <w:p w14:paraId="381AB890" w14:textId="77777777" w:rsidR="008218B1" w:rsidRPr="00C612A3" w:rsidRDefault="008218B1" w:rsidP="008218B1">
      <w:pPr>
        <w:ind w:left="993" w:hanging="245"/>
        <w:rPr>
          <w:rFonts w:ascii="標楷體" w:eastAsia="標楷體" w:hAnsi="標楷體"/>
        </w:rPr>
      </w:pPr>
      <w:r w:rsidRPr="00C612A3">
        <w:rPr>
          <w:rFonts w:ascii="標楷體" w:eastAsia="標楷體" w:hAnsi="標楷體" w:hint="eastAsia"/>
        </w:rPr>
        <w:t>2.需經事前審查核准後使用，申請事前審查時必須確定病患無病情惡化至急性骨髓性白血病，即可繼續使用。</w:t>
      </w:r>
    </w:p>
    <w:p w14:paraId="74274447"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(1)第一次申請4個治療療程。</w:t>
      </w:r>
    </w:p>
    <w:p w14:paraId="21733B13"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(2)第二次開始每3個療程申請一次。</w:t>
      </w:r>
    </w:p>
    <w:p w14:paraId="5CAE154D" w14:textId="77777777" w:rsidR="008218B1" w:rsidRPr="00C612A3" w:rsidRDefault="008218B1" w:rsidP="008218B1">
      <w:pPr>
        <w:ind w:left="993" w:hanging="245"/>
        <w:rPr>
          <w:rFonts w:ascii="標楷體" w:eastAsia="標楷體" w:hAnsi="標楷體"/>
        </w:rPr>
      </w:pPr>
      <w:r w:rsidRPr="00C612A3">
        <w:rPr>
          <w:rFonts w:ascii="標楷體" w:eastAsia="標楷體" w:hAnsi="標楷體" w:hint="eastAsia"/>
        </w:rPr>
        <w:t>3.Winduza、Atalin、Azacitidine Lyophilized Inj 100mg"GBC"及Azacitidine Sandoz Powder for Suspension for Injection初次申請時需經事前審查核准後使用，續用不需再事前審查，惟病歷應留存確診之病理或影像診斷證明等報告，並記錄治療相關臨床資料。病患倘病情惡化至急性骨髓性白血病即應停藥。（111/8/1、112/2/1、112/8/1、114/3/1）</w:t>
      </w:r>
    </w:p>
    <w:p w14:paraId="1D741D2A" w14:textId="77777777" w:rsidR="008218B1" w:rsidRPr="00C612A3" w:rsidRDefault="008218B1" w:rsidP="008218B1">
      <w:pPr>
        <w:ind w:left="993" w:hanging="245"/>
        <w:rPr>
          <w:rFonts w:ascii="標楷體" w:eastAsia="標楷體" w:hAnsi="標楷體"/>
        </w:rPr>
      </w:pPr>
      <w:r w:rsidRPr="00C612A3">
        <w:rPr>
          <w:rFonts w:ascii="標楷體" w:eastAsia="標楷體" w:hAnsi="標楷體" w:hint="eastAsia"/>
        </w:rPr>
        <w:t>4.急性骨髓性白血病之定義：骨髓芽細胞（myeloblast）大於30%。</w:t>
      </w:r>
    </w:p>
    <w:p w14:paraId="0A8FA735" w14:textId="77777777" w:rsidR="008218B1" w:rsidRPr="00C612A3" w:rsidRDefault="008218B1" w:rsidP="00C71FEA">
      <w:pPr>
        <w:ind w:left="993" w:hanging="245"/>
        <w:rPr>
          <w:rFonts w:ascii="標楷體" w:eastAsia="標楷體" w:hAnsi="標楷體"/>
        </w:rPr>
      </w:pPr>
      <w:r w:rsidRPr="00C612A3">
        <w:rPr>
          <w:rFonts w:ascii="標楷體" w:eastAsia="標楷體" w:hAnsi="標楷體" w:hint="eastAsia"/>
        </w:rPr>
        <w:t>5.本藥品與decitabine僅能擇一使用，除因耐受性不良，不得互換。若因無法耐受 decitabine而轉換至本藥品時需事前申請。使用本藥品無效後，不得再申請decitabine。（111/5/1）</w:t>
      </w:r>
    </w:p>
    <w:p w14:paraId="440E52A7" w14:textId="77777777" w:rsidR="008218B1" w:rsidRPr="00C612A3" w:rsidRDefault="008218B1" w:rsidP="008218B1">
      <w:pPr>
        <w:tabs>
          <w:tab w:val="left" w:pos="426"/>
        </w:tabs>
        <w:ind w:left="284"/>
        <w:rPr>
          <w:rFonts w:ascii="標楷體" w:eastAsia="標楷體" w:hAnsi="標楷體"/>
        </w:rPr>
      </w:pPr>
      <w:r w:rsidRPr="00C612A3">
        <w:rPr>
          <w:rFonts w:ascii="標楷體" w:eastAsia="標楷體" w:hAnsi="標楷體" w:hint="eastAsia"/>
        </w:rPr>
        <w:t>9.44.2.Azacitidine 口服製劑（如Onureg）：(114/5/1）</w:t>
      </w:r>
    </w:p>
    <w:p w14:paraId="7485A58F" w14:textId="77777777" w:rsidR="008218B1" w:rsidRPr="00C612A3" w:rsidRDefault="008218B1" w:rsidP="008218B1">
      <w:pPr>
        <w:ind w:leftChars="355" w:left="1133" w:hangingChars="117" w:hanging="281"/>
        <w:rPr>
          <w:rFonts w:ascii="標楷體" w:eastAsia="標楷體" w:hAnsi="標楷體"/>
        </w:rPr>
      </w:pPr>
      <w:r w:rsidRPr="00C612A3">
        <w:rPr>
          <w:rFonts w:ascii="標楷體" w:eastAsia="標楷體" w:hAnsi="標楷體" w:hint="eastAsia"/>
        </w:rPr>
        <w:t>1.用於不適合接受造血幹細胞移植(HSCT)之急性骨髓性白血病 (AML)成人病人，作為維持治療，且須同時符合下列條件：</w:t>
      </w:r>
    </w:p>
    <w:p w14:paraId="462D576F"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(1)55歲以上具中度或高度不良風險染色體核型變化(intermediate-risk or poor-risk cytogenetics)之急性骨髓性白血病 (AML)病人。</w:t>
      </w:r>
    </w:p>
    <w:p w14:paraId="54801A29"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(2)在誘導治療後(不論是否接受鞏固治療)，首次達到完全緩解(CR)或完全緩解但血球計數未完全恢復正常 (CRi)。</w:t>
      </w:r>
    </w:p>
    <w:p w14:paraId="517872C2" w14:textId="77777777" w:rsidR="008218B1" w:rsidRPr="00C612A3" w:rsidRDefault="008218B1" w:rsidP="008218B1">
      <w:pPr>
        <w:ind w:left="1134" w:hanging="425"/>
        <w:rPr>
          <w:rFonts w:ascii="標楷體" w:eastAsia="標楷體" w:hAnsi="標楷體"/>
        </w:rPr>
      </w:pPr>
      <w:r w:rsidRPr="00C612A3">
        <w:rPr>
          <w:rFonts w:ascii="標楷體" w:eastAsia="標楷體" w:hAnsi="標楷體" w:hint="eastAsia"/>
        </w:rPr>
        <w:t>(3)之前未曾接受azacitidine或decitabine藥物治療。</w:t>
      </w:r>
    </w:p>
    <w:p w14:paraId="14D74A7B"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2.需經事前審查核准後使用，初次申請為3個療程，需檢附染色體檢測結果報告；每3個療程需再次申請，可治療至疾病復發 (定義為周邊血或骨髓觀察到的芽細胞超過5%或新出現髓外侵犯)或無法耐受藥物毒性為止。</w:t>
      </w:r>
    </w:p>
    <w:p w14:paraId="22510789"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3.每人以24個療程為上限。</w:t>
      </w:r>
    </w:p>
    <w:p w14:paraId="199AC4C0" w14:textId="77777777" w:rsidR="008218B1" w:rsidRPr="00C612A3" w:rsidRDefault="008218B1" w:rsidP="008218B1">
      <w:pPr>
        <w:ind w:left="1134" w:hanging="245"/>
        <w:rPr>
          <w:rFonts w:ascii="標楷體" w:eastAsia="標楷體" w:hAnsi="標楷體"/>
        </w:rPr>
      </w:pPr>
      <w:r w:rsidRPr="00C612A3">
        <w:rPr>
          <w:rFonts w:ascii="標楷體" w:eastAsia="標楷體" w:hAnsi="標楷體" w:hint="eastAsia"/>
        </w:rPr>
        <w:t>4.不得與midostaurin、venetoclax及gilteritinib等標靶藥品併用。</w:t>
      </w:r>
    </w:p>
    <w:p w14:paraId="532C2AC0" w14:textId="617AB325" w:rsidR="00BD776B" w:rsidRPr="00F41829" w:rsidRDefault="008218B1" w:rsidP="008218B1">
      <w:pPr>
        <w:ind w:left="811" w:hanging="245"/>
        <w:rPr>
          <w:rFonts w:ascii="標楷體" w:eastAsia="標楷體" w:hAnsi="標楷體"/>
        </w:rPr>
      </w:pPr>
      <w:r w:rsidRPr="00C612A3">
        <w:rPr>
          <w:rFonts w:ascii="標楷體" w:eastAsia="標楷體" w:hAnsi="標楷體" w:hint="eastAsia"/>
        </w:rPr>
        <w:t>5.病人接受本藥物治療後，不再給付造血幹細胞移植。</w:t>
      </w:r>
    </w:p>
    <w:p w14:paraId="6070DB71" w14:textId="0F50C586" w:rsidR="00BD776B" w:rsidRDefault="00DF0C24">
      <w:pPr>
        <w:ind w:left="600" w:hanging="600"/>
      </w:pPr>
      <w:r>
        <w:rPr>
          <w:rFonts w:ascii="標楷體" w:eastAsia="標楷體" w:hAnsi="標楷體"/>
          <w:color w:val="000000"/>
        </w:rPr>
        <w:t xml:space="preserve">  9.45.</w:t>
      </w:r>
      <w:r>
        <w:rPr>
          <w:rFonts w:ascii="標楷體" w:eastAsia="標楷體" w:hAnsi="標楷體"/>
          <w:kern w:val="0"/>
          <w:szCs w:val="24"/>
        </w:rPr>
        <w:t>Afatinib（如Giotrif）：(103/5/1、106/11/1、108/6/1、108/11/1</w:t>
      </w:r>
      <w:r>
        <w:rPr>
          <w:rFonts w:ascii="標楷體" w:eastAsia="標楷體" w:hAnsi="標楷體"/>
          <w:kern w:val="0"/>
        </w:rPr>
        <w:t>、109/4/1</w:t>
      </w:r>
      <w:r>
        <w:rPr>
          <w:rFonts w:ascii="標楷體" w:eastAsia="標楷體" w:hAnsi="標楷體"/>
        </w:rPr>
        <w:t>、109/6/1、109/10/1</w:t>
      </w:r>
      <w:r>
        <w:rPr>
          <w:rFonts w:ascii="新細明體" w:hAnsi="新細明體"/>
        </w:rPr>
        <w:t>、</w:t>
      </w:r>
      <w:r>
        <w:rPr>
          <w:rFonts w:ascii="標楷體" w:eastAsia="標楷體" w:hAnsi="標楷體"/>
        </w:rPr>
        <w:t>111/4/1</w:t>
      </w:r>
      <w:r>
        <w:rPr>
          <w:rFonts w:ascii="標楷體" w:eastAsia="標楷體" w:hAnsi="標楷體"/>
          <w:color w:val="000000"/>
        </w:rPr>
        <w:t>、113/3/1</w:t>
      </w:r>
      <w:r w:rsidR="0063663A">
        <w:rPr>
          <w:rFonts w:ascii="標楷體" w:eastAsia="標楷體" w:hAnsi="標楷體" w:hint="eastAsia"/>
          <w:color w:val="000000"/>
        </w:rPr>
        <w:t>、113/6/1</w:t>
      </w:r>
      <w:r w:rsidR="00064F38">
        <w:rPr>
          <w:rFonts w:ascii="標楷體" w:eastAsia="標楷體" w:hAnsi="標楷體" w:hint="eastAsia"/>
          <w:color w:val="000000"/>
        </w:rPr>
        <w:t>、113/10/1</w:t>
      </w:r>
      <w:r>
        <w:rPr>
          <w:rFonts w:ascii="標楷體" w:eastAsia="標楷體" w:hAnsi="標楷體"/>
          <w:kern w:val="0"/>
          <w:szCs w:val="24"/>
        </w:rPr>
        <w:t>)</w:t>
      </w:r>
    </w:p>
    <w:p w14:paraId="649F7A21" w14:textId="77777777" w:rsidR="00BD776B" w:rsidRDefault="00DF0C24">
      <w:pPr>
        <w:ind w:left="796" w:hanging="230"/>
      </w:pPr>
      <w:r>
        <w:rPr>
          <w:rFonts w:ascii="標楷體" w:eastAsia="標楷體" w:hAnsi="標楷體"/>
          <w:color w:val="000000"/>
        </w:rPr>
        <w:t>1.</w:t>
      </w:r>
      <w:r>
        <w:t xml:space="preserve"> </w:t>
      </w:r>
      <w:r>
        <w:rPr>
          <w:rFonts w:ascii="標楷體" w:eastAsia="標楷體" w:hAnsi="標楷體"/>
          <w:color w:val="000000"/>
        </w:rPr>
        <w:t>限單獨使用於：</w:t>
      </w:r>
    </w:p>
    <w:p w14:paraId="03F86E7D" w14:textId="77777777" w:rsidR="00154EC5" w:rsidRDefault="00DF0C24" w:rsidP="00154EC5">
      <w:pPr>
        <w:ind w:left="1046" w:hanging="348"/>
        <w:rPr>
          <w:rFonts w:ascii="標楷體" w:eastAsia="標楷體" w:hAnsi="標楷體"/>
          <w:kern w:val="0"/>
          <w:szCs w:val="24"/>
        </w:rPr>
      </w:pPr>
      <w:r>
        <w:rPr>
          <w:rFonts w:ascii="標楷體" w:eastAsia="標楷體" w:hAnsi="標楷體"/>
          <w:kern w:val="0"/>
          <w:szCs w:val="24"/>
        </w:rPr>
        <w:t>(1)具有EGFR-TK基因突變之局部晚期或轉移性(即第ⅢB、ⅢC期或第Ⅳ期)之肺腺癌病患之第一線治療，需檢附</w:t>
      </w:r>
      <w:r w:rsidR="00973F5B" w:rsidRPr="00973F5B">
        <w:rPr>
          <w:rFonts w:ascii="標楷體" w:eastAsia="標楷體" w:hAnsi="標楷體" w:hint="eastAsia"/>
          <w:kern w:val="0"/>
          <w:szCs w:val="24"/>
        </w:rPr>
        <w:t>EGFR基因檢測結果報告，且需符合全民健康保險藥品給付規定之通則十二。(108/6/1、108/11/1、113/6/1)</w:t>
      </w:r>
    </w:p>
    <w:p w14:paraId="5DA2EAEC" w14:textId="57A58552" w:rsidR="00BD776B" w:rsidRDefault="00DF0C24" w:rsidP="00154EC5">
      <w:pPr>
        <w:ind w:left="1046" w:hanging="348"/>
        <w:rPr>
          <w:rFonts w:ascii="標楷體" w:eastAsia="標楷體" w:hAnsi="標楷體"/>
          <w:kern w:val="0"/>
          <w:szCs w:val="24"/>
        </w:rPr>
      </w:pPr>
      <w:r>
        <w:rPr>
          <w:rFonts w:ascii="標楷體" w:eastAsia="標楷體" w:hAnsi="標楷體"/>
          <w:kern w:val="0"/>
          <w:szCs w:val="24"/>
        </w:rPr>
        <w:lastRenderedPageBreak/>
        <w:t>(2)先前已使用過第一線含鉑化學治療，但仍惡化的局部晚期或轉移性之鱗狀組織非小細胞肺癌之第二線治療。(108/6/1)</w:t>
      </w:r>
    </w:p>
    <w:p w14:paraId="4E1B3FB8" w14:textId="77777777" w:rsidR="00BD776B" w:rsidRDefault="00DF0C24">
      <w:pPr>
        <w:ind w:left="796" w:hanging="230"/>
      </w:pPr>
      <w:r>
        <w:rPr>
          <w:rFonts w:ascii="標楷體" w:eastAsia="標楷體" w:hAnsi="標楷體"/>
          <w:color w:val="000000"/>
        </w:rPr>
        <w:t>2.使用注意事項(106/11/1、108/6/1</w:t>
      </w:r>
      <w:r>
        <w:rPr>
          <w:rFonts w:ascii="標楷體" w:eastAsia="標楷體" w:hAnsi="標楷體"/>
          <w:kern w:val="0"/>
          <w:szCs w:val="24"/>
        </w:rPr>
        <w:t>、</w:t>
      </w:r>
      <w:r>
        <w:rPr>
          <w:rFonts w:ascii="標楷體" w:eastAsia="標楷體" w:hAnsi="標楷體"/>
          <w:kern w:val="0"/>
        </w:rPr>
        <w:t>109/4/1、109/10/1</w:t>
      </w:r>
      <w:r>
        <w:rPr>
          <w:rFonts w:ascii="新細明體" w:hAnsi="新細明體"/>
          <w:kern w:val="0"/>
        </w:rPr>
        <w:t>、</w:t>
      </w:r>
      <w:r>
        <w:rPr>
          <w:rFonts w:ascii="標楷體" w:eastAsia="標楷體" w:hAnsi="標楷體"/>
          <w:kern w:val="0"/>
        </w:rPr>
        <w:t>111/4/1</w:t>
      </w:r>
      <w:r>
        <w:rPr>
          <w:rFonts w:ascii="新細明體" w:hAnsi="新細明體"/>
          <w:kern w:val="0"/>
        </w:rPr>
        <w:t>、</w:t>
      </w:r>
      <w:r>
        <w:rPr>
          <w:rFonts w:ascii="標楷體" w:eastAsia="標楷體" w:hAnsi="標楷體"/>
          <w:color w:val="000000"/>
        </w:rPr>
        <w:t>113/3/1）</w:t>
      </w:r>
    </w:p>
    <w:p w14:paraId="06684379" w14:textId="77777777" w:rsidR="00BD776B" w:rsidRDefault="00DF0C24">
      <w:pPr>
        <w:ind w:left="1046" w:hanging="348"/>
        <w:rPr>
          <w:rFonts w:ascii="標楷體" w:eastAsia="標楷體" w:hAnsi="標楷體"/>
          <w:kern w:val="0"/>
          <w:szCs w:val="24"/>
        </w:rPr>
      </w:pPr>
      <w:r>
        <w:rPr>
          <w:rFonts w:ascii="標楷體" w:eastAsia="標楷體" w:hAnsi="標楷體"/>
          <w:kern w:val="0"/>
          <w:szCs w:val="24"/>
        </w:rPr>
        <w:t>(1)用於具有EGFR-TK基因突變之局部晚期或轉移性肺腺癌之第一線治療：病歷應留存確實患有肺腺癌之病理或細胞檢查報告，及EGFR-TK基因突變檢測報告。</w:t>
      </w:r>
    </w:p>
    <w:p w14:paraId="68F13353" w14:textId="77777777" w:rsidR="00BD776B" w:rsidRDefault="00DF0C24">
      <w:pPr>
        <w:ind w:left="1046" w:hanging="348"/>
      </w:pPr>
      <w:r>
        <w:rPr>
          <w:rFonts w:ascii="標楷體" w:eastAsia="標楷體" w:hAnsi="標楷體"/>
          <w:kern w:val="0"/>
          <w:szCs w:val="24"/>
        </w:rPr>
        <w:t xml:space="preserve">(2)用於局部晚期或轉移性之鱗狀組織非小細胞肺癌之第二線治療：病歷應留存曾經接受含鉑類化學治療之證明，及目前又有疾病惡化之影像診斷證明(如胸部X光、電腦斷層或其他可作為評估的影像)，此影像證明以可測量(measurable)的病灶為優先，如沒有可以測量的病灶，則可評估(evaluable)的病灶亦可採用。(108/6/1) </w:t>
      </w:r>
      <w:r>
        <w:rPr>
          <w:rFonts w:ascii="標楷體" w:eastAsia="標楷體" w:hAnsi="標楷體"/>
          <w:color w:val="000000"/>
        </w:rPr>
        <w:t xml:space="preserve"> </w:t>
      </w:r>
    </w:p>
    <w:p w14:paraId="084AE41A" w14:textId="77777777" w:rsidR="00BD776B" w:rsidRDefault="00DF0C24">
      <w:pPr>
        <w:ind w:left="1046" w:hanging="348"/>
        <w:rPr>
          <w:rFonts w:ascii="標楷體" w:eastAsia="標楷體" w:hAnsi="標楷體"/>
          <w:color w:val="000000"/>
        </w:rPr>
      </w:pPr>
      <w:r>
        <w:rPr>
          <w:rFonts w:ascii="標楷體" w:eastAsia="標楷體" w:hAnsi="標楷體"/>
          <w:color w:val="000000"/>
        </w:rPr>
        <w:t>(3)每次處方以4週為限，再次處方時需於病歷記錄治療後相關臨床資料，如每4週需追蹤胸部X光或電腦斷層等影像檢查，每8至12週需進行完整療效評估（如胸部X光或電腦斷層）。(106/11/1）</w:t>
      </w:r>
    </w:p>
    <w:p w14:paraId="3C1D70F8" w14:textId="77777777" w:rsidR="00BD776B" w:rsidRDefault="00DF0C24">
      <w:pPr>
        <w:ind w:left="1046" w:hanging="348"/>
        <w:rPr>
          <w:rFonts w:ascii="標楷體" w:eastAsia="標楷體" w:hAnsi="標楷體"/>
          <w:color w:val="000000"/>
        </w:rPr>
      </w:pPr>
      <w:r>
        <w:rPr>
          <w:rFonts w:ascii="標楷體" w:eastAsia="標楷體" w:hAnsi="標楷體"/>
          <w:color w:val="000000"/>
        </w:rPr>
        <w:t>(4)使用本藥品後，除因耐受性不良，否則不得轉換類似藥理機轉之其他酪胺酸激酶阻斷劑（tyrosine kinase inhibitor, TKI）。</w:t>
      </w:r>
    </w:p>
    <w:p w14:paraId="5083A46C" w14:textId="77777777" w:rsidR="00BD776B" w:rsidRDefault="00DF0C24">
      <w:pPr>
        <w:ind w:left="1046" w:hanging="348"/>
      </w:pPr>
      <w:r>
        <w:rPr>
          <w:rFonts w:ascii="標楷體" w:eastAsia="標楷體" w:hAnsi="標楷體"/>
          <w:color w:val="000000"/>
        </w:rPr>
        <w:t>(5)本藥品與gefitinib及erlotinib不得併用。</w:t>
      </w:r>
      <w:r>
        <w:rPr>
          <w:rFonts w:ascii="標楷體" w:eastAsia="標楷體" w:hAnsi="標楷體"/>
          <w:kern w:val="0"/>
          <w:szCs w:val="24"/>
        </w:rPr>
        <w:t>(</w:t>
      </w:r>
      <w:r>
        <w:rPr>
          <w:rFonts w:ascii="標楷體" w:eastAsia="標楷體" w:hAnsi="標楷體"/>
          <w:kern w:val="0"/>
        </w:rPr>
        <w:t>109/4/1</w:t>
      </w:r>
      <w:r>
        <w:rPr>
          <w:rFonts w:ascii="標楷體" w:eastAsia="標楷體" w:hAnsi="標楷體"/>
          <w:kern w:val="0"/>
          <w:szCs w:val="24"/>
        </w:rPr>
        <w:t>)</w:t>
      </w:r>
    </w:p>
    <w:p w14:paraId="6547A444" w14:textId="7257302B" w:rsidR="00BD776B" w:rsidRDefault="00DF0C24">
      <w:pPr>
        <w:ind w:left="1046" w:hanging="348"/>
      </w:pPr>
      <w:r>
        <w:rPr>
          <w:rFonts w:ascii="標楷體" w:eastAsia="標楷體" w:hAnsi="標楷體"/>
        </w:rPr>
        <w:t>(6)本藥品於第一線使用時，與osimertinib、dacomitinib及bevacizumab併用erlotinib之治療組合僅得擇一使用，除因耐受性不良，不得互換。(109/6/1、109/10/1、111/4/1、113/3/1</w:t>
      </w:r>
      <w:r w:rsidR="00F07D8E">
        <w:rPr>
          <w:rFonts w:ascii="標楷體" w:eastAsia="標楷體" w:hAnsi="標楷體" w:hint="eastAsia"/>
        </w:rPr>
        <w:t>、113/10/1</w:t>
      </w:r>
      <w:r>
        <w:rPr>
          <w:rFonts w:ascii="標楷體" w:eastAsia="標楷體" w:hAnsi="標楷體"/>
        </w:rPr>
        <w:t>)</w:t>
      </w:r>
    </w:p>
    <w:p w14:paraId="0875A72A" w14:textId="0BB7C4A3" w:rsidR="00BD776B" w:rsidRDefault="00DF0C24">
      <w:pPr>
        <w:ind w:left="1414" w:hanging="336"/>
      </w:pPr>
      <w:r>
        <w:rPr>
          <w:rFonts w:ascii="標楷體" w:eastAsia="標楷體" w:hAnsi="標楷體"/>
          <w:color w:val="000000"/>
        </w:rPr>
        <w:t>Ⅰ.</w:t>
      </w:r>
      <w:r w:rsidR="00A25CFE" w:rsidRPr="00A25CFE">
        <w:rPr>
          <w:rFonts w:ascii="標楷體" w:eastAsia="標楷體" w:hAnsi="標楷體" w:hint="eastAsia"/>
          <w:color w:val="000000"/>
        </w:rPr>
        <w:t>如需更換使用osimertinib，必須符合osimertinib第一線使用於具有EGFR Exon 19 Del或Exon 21 L858R基因突變之局部侵犯性或轉移性（即為IIIB、IIIC期或第Ⅳ期）肺腺癌病患之限制。(109/6/1、111/4/1、113/10/1)</w:t>
      </w:r>
    </w:p>
    <w:p w14:paraId="249A9D4C" w14:textId="77777777" w:rsidR="00BD776B" w:rsidRDefault="00DF0C24">
      <w:pPr>
        <w:ind w:left="1414" w:hanging="336"/>
        <w:rPr>
          <w:rFonts w:ascii="標楷體" w:eastAsia="標楷體" w:hAnsi="標楷體"/>
          <w:color w:val="000000"/>
        </w:rPr>
      </w:pPr>
      <w:r>
        <w:rPr>
          <w:rFonts w:ascii="標楷體" w:eastAsia="標楷體" w:hAnsi="標楷體"/>
          <w:color w:val="000000"/>
        </w:rPr>
        <w:t>Ⅱ.如需更換使用dacomitinib，必須符合dacomitinib第一線使用於具有EGFR-TK Exon 19 Del或Exon 21 L858R點突變，且無腦轉移(non-CNS)之局部侵犯性或轉移性肺腺癌之限制。(109/10/1）</w:t>
      </w:r>
    </w:p>
    <w:p w14:paraId="5A91386F" w14:textId="77777777" w:rsidR="00BD776B" w:rsidRDefault="00DF0C24">
      <w:pPr>
        <w:ind w:left="1414" w:hanging="336"/>
        <w:rPr>
          <w:rFonts w:ascii="標楷體" w:eastAsia="標楷體" w:hAnsi="標楷體"/>
          <w:color w:val="000000"/>
        </w:rPr>
      </w:pPr>
      <w:r>
        <w:rPr>
          <w:rFonts w:ascii="標楷體" w:eastAsia="標楷體" w:hAnsi="標楷體"/>
          <w:color w:val="000000"/>
        </w:rPr>
        <w:t>Ⅲ.如需更換使用bevacizumab併用erlotinib之治療組合，必須符合bevacizumab第一線使用於具有EGFR Exon 21 L858R突變且腦轉移之無法手術切除的轉移性（第Ⅳ期）非鱗狀非小細胞肺癌肺腺癌之限制。(113/3/1)</w:t>
      </w:r>
    </w:p>
    <w:p w14:paraId="102EF3A3" w14:textId="77777777" w:rsidR="00BD776B" w:rsidRDefault="00DF0C24">
      <w:pPr>
        <w:ind w:left="600" w:hanging="600"/>
      </w:pPr>
      <w:r>
        <w:rPr>
          <w:rFonts w:ascii="標楷體" w:eastAsia="標楷體" w:hAnsi="標楷體"/>
          <w:color w:val="000000"/>
        </w:rPr>
        <w:t xml:space="preserve">  9.46.Tegafur/gimeracil/oteracil複方製劑(如TS-1）：(103/6/1、105/12/1、109/2/1</w:t>
      </w:r>
      <w:r>
        <w:rPr>
          <w:rFonts w:ascii="標楷體" w:eastAsia="標楷體" w:hAnsi="標楷體"/>
        </w:rPr>
        <w:t>、113/2/1</w:t>
      </w:r>
      <w:r>
        <w:rPr>
          <w:rFonts w:ascii="標楷體" w:eastAsia="標楷體" w:hAnsi="標楷體"/>
          <w:color w:val="000000"/>
        </w:rPr>
        <w:t xml:space="preserve">) </w:t>
      </w:r>
    </w:p>
    <w:p w14:paraId="74456A9C" w14:textId="77777777" w:rsidR="00BD776B" w:rsidRDefault="00DF0C24">
      <w:pPr>
        <w:ind w:left="849" w:hanging="283"/>
        <w:rPr>
          <w:rFonts w:ascii="標楷體" w:eastAsia="標楷體" w:hAnsi="標楷體"/>
          <w:color w:val="000000"/>
        </w:rPr>
      </w:pPr>
      <w:r>
        <w:rPr>
          <w:rFonts w:ascii="標楷體" w:eastAsia="標楷體" w:hAnsi="標楷體"/>
          <w:color w:val="000000"/>
        </w:rPr>
        <w:t>1.治療局部晚期無法手術切除或轉移性胰臟癌病人。</w:t>
      </w:r>
    </w:p>
    <w:p w14:paraId="2617DDEE" w14:textId="77777777" w:rsidR="00BD776B" w:rsidRDefault="00DF0C24">
      <w:pPr>
        <w:ind w:left="849" w:hanging="283"/>
        <w:rPr>
          <w:rFonts w:ascii="標楷體" w:eastAsia="標楷體" w:hAnsi="標楷體"/>
          <w:color w:val="000000"/>
        </w:rPr>
      </w:pPr>
      <w:r>
        <w:rPr>
          <w:rFonts w:ascii="標楷體" w:eastAsia="標楷體" w:hAnsi="標楷體"/>
          <w:color w:val="000000"/>
        </w:rPr>
        <w:t>2.胃癌(105/12/1)</w:t>
      </w:r>
    </w:p>
    <w:p w14:paraId="7CA9C5A7" w14:textId="77777777" w:rsidR="00BD776B" w:rsidRDefault="00DF0C24">
      <w:pPr>
        <w:ind w:left="1092" w:hanging="382"/>
        <w:rPr>
          <w:rFonts w:ascii="標楷體" w:eastAsia="標楷體" w:hAnsi="標楷體"/>
          <w:color w:val="000000"/>
        </w:rPr>
      </w:pPr>
      <w:r>
        <w:rPr>
          <w:rFonts w:ascii="標楷體" w:eastAsia="標楷體" w:hAnsi="標楷體"/>
          <w:color w:val="000000"/>
        </w:rPr>
        <w:t>(1)胃癌術後輔助性化療，用於罹患TNMS tageⅡ(排除T1)、ⅢA或ⅢB胃癌且接受過胃癌根除性手術的成年患者，限用1年。</w:t>
      </w:r>
    </w:p>
    <w:p w14:paraId="1810A1D7" w14:textId="77777777" w:rsidR="00BD776B" w:rsidRDefault="00DF0C24">
      <w:pPr>
        <w:ind w:left="1092" w:hanging="382"/>
        <w:rPr>
          <w:rFonts w:ascii="標楷體" w:eastAsia="標楷體" w:hAnsi="標楷體"/>
          <w:color w:val="000000"/>
        </w:rPr>
      </w:pPr>
      <w:r>
        <w:rPr>
          <w:rFonts w:ascii="標楷體" w:eastAsia="標楷體" w:hAnsi="標楷體"/>
          <w:color w:val="000000"/>
        </w:rPr>
        <w:t>(2)需經事前審查核准後使用。</w:t>
      </w:r>
    </w:p>
    <w:p w14:paraId="511D667C" w14:textId="77777777" w:rsidR="00BD776B" w:rsidRDefault="00DF0C24">
      <w:pPr>
        <w:ind w:left="849" w:hanging="283"/>
        <w:rPr>
          <w:rFonts w:ascii="標楷體" w:eastAsia="標楷體" w:hAnsi="標楷體"/>
          <w:color w:val="000000"/>
        </w:rPr>
      </w:pPr>
      <w:r>
        <w:rPr>
          <w:rFonts w:ascii="標楷體" w:eastAsia="標楷體" w:hAnsi="標楷體"/>
          <w:color w:val="000000"/>
        </w:rPr>
        <w:t>3.非小細胞肺癌(109/2/1)</w:t>
      </w:r>
    </w:p>
    <w:p w14:paraId="6FF1716B" w14:textId="77777777" w:rsidR="00BD776B" w:rsidRDefault="00DF0C24">
      <w:pPr>
        <w:ind w:left="1092" w:hanging="382"/>
        <w:rPr>
          <w:rFonts w:ascii="標楷體" w:eastAsia="標楷體" w:hAnsi="標楷體"/>
          <w:color w:val="000000"/>
        </w:rPr>
      </w:pPr>
      <w:r>
        <w:rPr>
          <w:rFonts w:ascii="標楷體" w:eastAsia="標楷體" w:hAnsi="標楷體"/>
          <w:color w:val="000000"/>
        </w:rPr>
        <w:t>(1)曾使用含鉑之化學藥物治療失敗的局部晚期或轉移性之非小細胞肺癌。</w:t>
      </w:r>
    </w:p>
    <w:p w14:paraId="1C9915ED" w14:textId="77777777" w:rsidR="00BD776B" w:rsidRDefault="00DF0C24">
      <w:pPr>
        <w:ind w:left="1092" w:hanging="382"/>
        <w:rPr>
          <w:rFonts w:ascii="標楷體" w:eastAsia="標楷體" w:hAnsi="標楷體"/>
          <w:color w:val="000000"/>
        </w:rPr>
      </w:pPr>
      <w:r>
        <w:rPr>
          <w:rFonts w:ascii="標楷體" w:eastAsia="標楷體" w:hAnsi="標楷體"/>
          <w:color w:val="000000"/>
        </w:rPr>
        <w:t>(2)不得與標靶治療、其他化療或免疫檢查點抑制劑併用。</w:t>
      </w:r>
    </w:p>
    <w:p w14:paraId="37EAE8E9" w14:textId="77777777" w:rsidR="00BD776B" w:rsidRDefault="00DF0C24">
      <w:pPr>
        <w:ind w:left="1092" w:hanging="525"/>
      </w:pPr>
      <w:r>
        <w:rPr>
          <w:rFonts w:ascii="標楷體" w:eastAsia="標楷體" w:hAnsi="標楷體"/>
          <w:color w:val="000000"/>
          <w:szCs w:val="24"/>
        </w:rPr>
        <w:t>4.與gemcitabine合併使用作為晚期或復發之膽道癌第一線治療。(</w:t>
      </w:r>
      <w:r>
        <w:rPr>
          <w:rFonts w:ascii="標楷體" w:eastAsia="標楷體" w:hAnsi="標楷體"/>
          <w:szCs w:val="24"/>
        </w:rPr>
        <w:t>113/2/1</w:t>
      </w:r>
      <w:r>
        <w:rPr>
          <w:rFonts w:ascii="標楷體" w:eastAsia="標楷體" w:hAnsi="標楷體"/>
          <w:color w:val="000000"/>
          <w:szCs w:val="24"/>
        </w:rPr>
        <w:t>)</w:t>
      </w:r>
    </w:p>
    <w:p w14:paraId="49F5F4E2" w14:textId="6EF6B450" w:rsidR="00BD776B" w:rsidRDefault="00DF0C24">
      <w:pPr>
        <w:ind w:left="530" w:hanging="230"/>
        <w:rPr>
          <w:rFonts w:ascii="標楷體" w:eastAsia="標楷體" w:hAnsi="標楷體"/>
          <w:color w:val="000000"/>
        </w:rPr>
      </w:pPr>
      <w:r>
        <w:rPr>
          <w:rFonts w:ascii="標楷體" w:eastAsia="標楷體" w:hAnsi="標楷體"/>
          <w:color w:val="000000"/>
        </w:rPr>
        <w:t>9.47.</w:t>
      </w:r>
      <w:r w:rsidR="000F5C71">
        <w:rPr>
          <w:rFonts w:ascii="標楷體" w:eastAsia="標楷體" w:hAnsi="標楷體" w:hint="eastAsia"/>
          <w:color w:val="000000"/>
        </w:rPr>
        <w:t>L</w:t>
      </w:r>
      <w:r>
        <w:rPr>
          <w:rFonts w:ascii="標楷體" w:eastAsia="標楷體" w:hAnsi="標楷體"/>
          <w:color w:val="000000"/>
        </w:rPr>
        <w:t>apatinib（如Tykerb）：（103/9/1、106/11/1、110/2/1</w:t>
      </w:r>
      <w:r w:rsidR="000F5C71">
        <w:rPr>
          <w:rFonts w:ascii="標楷體" w:eastAsia="標楷體" w:hAnsi="標楷體" w:hint="eastAsia"/>
          <w:color w:val="000000"/>
        </w:rPr>
        <w:t>、114/2/1</w:t>
      </w:r>
      <w:r>
        <w:rPr>
          <w:rFonts w:ascii="標楷體" w:eastAsia="標楷體" w:hAnsi="標楷體"/>
          <w:color w:val="000000"/>
        </w:rPr>
        <w:t>）</w:t>
      </w:r>
    </w:p>
    <w:p w14:paraId="7BC04B74" w14:textId="62160591" w:rsidR="00BD776B" w:rsidRDefault="00DF0C24">
      <w:pPr>
        <w:ind w:left="796" w:hanging="230"/>
        <w:rPr>
          <w:rFonts w:ascii="標楷體" w:eastAsia="標楷體" w:hAnsi="標楷體"/>
          <w:color w:val="000000"/>
        </w:rPr>
      </w:pPr>
      <w:r>
        <w:rPr>
          <w:rFonts w:ascii="標楷體" w:eastAsia="標楷體" w:hAnsi="標楷體"/>
          <w:color w:val="000000"/>
        </w:rPr>
        <w:lastRenderedPageBreak/>
        <w:t>1.與capecitabine併用，使用於曾接受anthracycline, taxane以及trastuzumab治療後病況惡化之轉移性乳癌併有腦部轉移，且為HER2過度表現(IHC3+或FISH+)</w:t>
      </w:r>
      <w:r w:rsidR="000F5C71">
        <w:rPr>
          <w:rFonts w:ascii="標楷體" w:eastAsia="標楷體" w:hAnsi="標楷體" w:hint="eastAsia"/>
          <w:color w:val="000000"/>
        </w:rPr>
        <w:t>病人</w:t>
      </w:r>
      <w:r>
        <w:rPr>
          <w:rFonts w:ascii="標楷體" w:eastAsia="標楷體" w:hAnsi="標楷體"/>
          <w:color w:val="000000"/>
        </w:rPr>
        <w:t>。</w:t>
      </w:r>
    </w:p>
    <w:p w14:paraId="1B1B9AAD" w14:textId="77777777" w:rsidR="00BD776B" w:rsidRDefault="00DF0C24">
      <w:pPr>
        <w:ind w:left="796" w:hanging="230"/>
        <w:rPr>
          <w:rFonts w:ascii="標楷體" w:eastAsia="標楷體" w:hAnsi="標楷體"/>
          <w:color w:val="000000"/>
        </w:rPr>
      </w:pPr>
      <w:r>
        <w:rPr>
          <w:rFonts w:ascii="標楷體" w:eastAsia="標楷體" w:hAnsi="標楷體"/>
          <w:color w:val="000000"/>
        </w:rPr>
        <w:t>2.每3個月需進行療效評估，病歷應留存評估紀錄，無疾病惡化方可繼續使用。(106/11/1)</w:t>
      </w:r>
    </w:p>
    <w:p w14:paraId="0D09AA4E" w14:textId="7D996AD5" w:rsidR="00BD776B" w:rsidRDefault="00DF0C24">
      <w:pPr>
        <w:ind w:left="796" w:hanging="230"/>
        <w:rPr>
          <w:rFonts w:ascii="標楷體" w:eastAsia="標楷體" w:hAnsi="標楷體"/>
          <w:color w:val="000000"/>
        </w:rPr>
      </w:pPr>
      <w:r>
        <w:rPr>
          <w:rFonts w:ascii="標楷體" w:eastAsia="標楷體" w:hAnsi="標楷體"/>
          <w:color w:val="000000"/>
        </w:rPr>
        <w:t>3.</w:t>
      </w:r>
      <w:r w:rsidR="000F5C71" w:rsidRPr="000F5C71">
        <w:rPr>
          <w:rFonts w:hint="eastAsia"/>
        </w:rPr>
        <w:t xml:space="preserve"> </w:t>
      </w:r>
      <w:r w:rsidR="000F5C71" w:rsidRPr="000F5C71">
        <w:rPr>
          <w:rFonts w:ascii="標楷體" w:eastAsia="標楷體" w:hAnsi="標楷體" w:hint="eastAsia"/>
          <w:color w:val="000000"/>
        </w:rPr>
        <w:t>Lapatinib、trastuzumab emtansine和trastuzumab deruxtecan僅能擇一給付，不得互換。(110/2/1、114/2/1)</w:t>
      </w:r>
    </w:p>
    <w:p w14:paraId="46D72271" w14:textId="77777777" w:rsidR="00BD776B" w:rsidRDefault="00DF0C24">
      <w:pPr>
        <w:ind w:left="566" w:hanging="338"/>
        <w:rPr>
          <w:rFonts w:ascii="標楷體" w:eastAsia="標楷體" w:hAnsi="標楷體"/>
          <w:color w:val="000000"/>
        </w:rPr>
      </w:pPr>
      <w:r>
        <w:rPr>
          <w:rFonts w:ascii="標楷體" w:eastAsia="標楷體" w:hAnsi="標楷體"/>
          <w:color w:val="000000"/>
        </w:rPr>
        <w:t>9.48.Eribulin（如Halaven）：（103/12/1、106/11/1、108/12/1、110/2/1）</w:t>
      </w:r>
    </w:p>
    <w:p w14:paraId="4651140E" w14:textId="77777777" w:rsidR="00BD776B" w:rsidRDefault="00DF0C24">
      <w:pPr>
        <w:ind w:left="849" w:hanging="338"/>
        <w:rPr>
          <w:rFonts w:ascii="標楷體" w:eastAsia="標楷體" w:hAnsi="標楷體"/>
          <w:color w:val="000000"/>
        </w:rPr>
      </w:pPr>
      <w:r>
        <w:rPr>
          <w:rFonts w:ascii="標楷體" w:eastAsia="標楷體" w:hAnsi="標楷體"/>
          <w:color w:val="000000"/>
        </w:rPr>
        <w:t>1.轉移性乳癌：</w:t>
      </w:r>
    </w:p>
    <w:p w14:paraId="2F7B301C" w14:textId="77777777" w:rsidR="00BD776B" w:rsidRDefault="00DF0C24">
      <w:pPr>
        <w:ind w:left="1232" w:hanging="382"/>
        <w:rPr>
          <w:rFonts w:ascii="標楷體" w:eastAsia="標楷體" w:hAnsi="標楷體"/>
          <w:color w:val="000000"/>
        </w:rPr>
      </w:pPr>
      <w:r>
        <w:rPr>
          <w:rFonts w:ascii="標楷體" w:eastAsia="標楷體" w:hAnsi="標楷體"/>
          <w:color w:val="000000"/>
        </w:rPr>
        <w:t>(1)用於治療轉移性乳癌患者且先前曾接受過anthracycline和taxane兩種針對轉移性乳癌之化學治療輔助性治療。</w:t>
      </w:r>
    </w:p>
    <w:p w14:paraId="23F15F8A" w14:textId="77777777" w:rsidR="00BD776B" w:rsidRDefault="00DF0C24">
      <w:pPr>
        <w:ind w:left="1232" w:hanging="382"/>
        <w:rPr>
          <w:rFonts w:ascii="標楷體" w:eastAsia="標楷體" w:hAnsi="標楷體"/>
          <w:color w:val="000000"/>
        </w:rPr>
      </w:pPr>
      <w:r>
        <w:rPr>
          <w:rFonts w:ascii="標楷體" w:eastAsia="標楷體" w:hAnsi="標楷體"/>
          <w:color w:val="000000"/>
        </w:rPr>
        <w:t>(2)每3個療程需進行療效評估，病歷應留存評估紀錄，無疾病惡化方可繼續使用。(106/11/1)</w:t>
      </w:r>
    </w:p>
    <w:p w14:paraId="7DEB01E7" w14:textId="77777777" w:rsidR="00BD776B" w:rsidRDefault="00DF0C24">
      <w:pPr>
        <w:ind w:left="1200" w:hanging="353"/>
        <w:rPr>
          <w:rFonts w:ascii="標楷體" w:eastAsia="標楷體" w:hAnsi="標楷體"/>
          <w:color w:val="000000"/>
        </w:rPr>
      </w:pPr>
      <w:r>
        <w:rPr>
          <w:rFonts w:ascii="標楷體" w:eastAsia="標楷體" w:hAnsi="標楷體"/>
          <w:color w:val="000000"/>
        </w:rPr>
        <w:t>(3)Eribulin與ixabepilone用於治療上述之轉移性乳癌患者時，僅得擇一使用，且不得互換（eribulin限用於未曾使用過ixabepilone之病患）。(110/2/1)</w:t>
      </w:r>
    </w:p>
    <w:p w14:paraId="3BB4F3C7" w14:textId="77777777" w:rsidR="00BD776B" w:rsidRDefault="00DF0C24">
      <w:pPr>
        <w:ind w:left="849" w:hanging="338"/>
        <w:rPr>
          <w:rFonts w:ascii="標楷體" w:eastAsia="標楷體" w:hAnsi="標楷體"/>
          <w:color w:val="000000"/>
        </w:rPr>
      </w:pPr>
      <w:r>
        <w:rPr>
          <w:rFonts w:ascii="標楷體" w:eastAsia="標楷體" w:hAnsi="標楷體"/>
          <w:color w:val="000000"/>
        </w:rPr>
        <w:t>2.脂肪肉瘤：(108/12/1)</w:t>
      </w:r>
    </w:p>
    <w:p w14:paraId="27F8F2AF" w14:textId="77777777" w:rsidR="00BD776B" w:rsidRDefault="00DF0C24">
      <w:pPr>
        <w:ind w:left="1188" w:hanging="338"/>
        <w:rPr>
          <w:rFonts w:ascii="標楷體" w:eastAsia="標楷體" w:hAnsi="標楷體"/>
          <w:color w:val="000000"/>
        </w:rPr>
      </w:pPr>
      <w:r>
        <w:rPr>
          <w:rFonts w:ascii="標楷體" w:eastAsia="標楷體" w:hAnsi="標楷體"/>
          <w:color w:val="000000"/>
        </w:rPr>
        <w:t>(1)限單獨使用於治療無法手術切除或轉移性脂肪肉瘤成人患者，且先前應至少接受一次含anthracycline之全身化療。</w:t>
      </w:r>
    </w:p>
    <w:p w14:paraId="1482F1CD" w14:textId="77777777" w:rsidR="00BD776B" w:rsidRDefault="00DF0C24">
      <w:pPr>
        <w:ind w:left="992" w:hanging="142"/>
        <w:rPr>
          <w:rFonts w:ascii="標楷體" w:eastAsia="標楷體" w:hAnsi="標楷體"/>
          <w:color w:val="000000"/>
        </w:rPr>
      </w:pPr>
      <w:r>
        <w:rPr>
          <w:rFonts w:ascii="標楷體" w:eastAsia="標楷體" w:hAnsi="標楷體"/>
          <w:color w:val="000000"/>
        </w:rPr>
        <w:t>(2)須經事前審查核准後使用，每次申請以3個療程為限，再次申請時應檢附前次治療結果評估資料證實無惡化，才可繼續使用。</w:t>
      </w:r>
    </w:p>
    <w:p w14:paraId="7E831139" w14:textId="760F6E27" w:rsidR="00BD776B" w:rsidRDefault="00DF0C24">
      <w:pPr>
        <w:snapToGrid w:val="0"/>
        <w:ind w:left="600" w:hanging="600"/>
      </w:pPr>
      <w:r>
        <w:rPr>
          <w:rFonts w:ascii="標楷體" w:eastAsia="標楷體" w:hAnsi="標楷體"/>
          <w:color w:val="000000"/>
          <w:szCs w:val="24"/>
        </w:rPr>
        <w:t xml:space="preserve">  9.49.Abiraterone(如Zytiga）：（103/12/1、105/9/1、106/9/1、108/3/1、109/5/1、109/10/1、110/2/1、110/3/1</w:t>
      </w:r>
      <w:r>
        <w:rPr>
          <w:rFonts w:ascii="標楷體" w:eastAsia="標楷體" w:hAnsi="標楷體"/>
          <w:szCs w:val="24"/>
        </w:rPr>
        <w:t>、110/11/1</w:t>
      </w:r>
      <w:r>
        <w:rPr>
          <w:rFonts w:ascii="標楷體" w:eastAsia="標楷體" w:hAnsi="標楷體"/>
          <w:color w:val="000000"/>
          <w:szCs w:val="24"/>
        </w:rPr>
        <w:t>、111/3/1、112/9/1</w:t>
      </w:r>
      <w:r w:rsidR="00100D37">
        <w:rPr>
          <w:rFonts w:ascii="標楷體" w:eastAsia="標楷體" w:hAnsi="標楷體" w:hint="eastAsia"/>
          <w:color w:val="000000"/>
          <w:szCs w:val="24"/>
        </w:rPr>
        <w:t>、113/8/1</w:t>
      </w:r>
      <w:r w:rsidR="00D40C05">
        <w:rPr>
          <w:rFonts w:ascii="標楷體" w:eastAsia="標楷體" w:hAnsi="標楷體" w:hint="eastAsia"/>
          <w:color w:val="000000"/>
          <w:szCs w:val="24"/>
        </w:rPr>
        <w:t>、113/9/1</w:t>
      </w:r>
      <w:r>
        <w:rPr>
          <w:rFonts w:ascii="標楷體" w:eastAsia="標楷體" w:hAnsi="標楷體"/>
          <w:color w:val="000000"/>
          <w:szCs w:val="24"/>
        </w:rPr>
        <w:t>）</w:t>
      </w:r>
    </w:p>
    <w:p w14:paraId="0538AA0D" w14:textId="559F594F" w:rsidR="00BD776B" w:rsidRDefault="00DF0C24">
      <w:pPr>
        <w:snapToGrid w:val="0"/>
        <w:spacing w:line="276" w:lineRule="auto"/>
        <w:ind w:left="851" w:hanging="280"/>
      </w:pPr>
      <w:r>
        <w:rPr>
          <w:rFonts w:ascii="標楷體" w:eastAsia="標楷體" w:hAnsi="標楷體"/>
          <w:color w:val="000000"/>
          <w:szCs w:val="24"/>
        </w:rPr>
        <w:t>1.與雄性素去除療法及prednisone或prednisolone併用，治療新診斷高風險轉移性的去勢敏感性前列腺癌(mCSPC)的成年男性(ECOG分數須</w:t>
      </w:r>
      <w:r>
        <w:rPr>
          <w:rFonts w:ascii="標楷體" w:eastAsia="標楷體" w:hAnsi="標楷體" w:cs="新細明體"/>
          <w:color w:val="000000"/>
          <w:szCs w:val="24"/>
        </w:rPr>
        <w:t>≦</w:t>
      </w:r>
      <w:r>
        <w:rPr>
          <w:rFonts w:ascii="標楷體" w:eastAsia="標楷體" w:hAnsi="標楷體"/>
          <w:color w:val="000000"/>
          <w:szCs w:val="24"/>
        </w:rPr>
        <w:t>1)。高風險需符合下列三項條件中至少兩項：(109/5/1</w:t>
      </w:r>
      <w:r>
        <w:rPr>
          <w:rFonts w:ascii="標楷體" w:eastAsia="標楷體" w:hAnsi="標楷體"/>
          <w:szCs w:val="24"/>
        </w:rPr>
        <w:t>、110/2/1</w:t>
      </w:r>
      <w:r w:rsidR="00C26768">
        <w:rPr>
          <w:rFonts w:ascii="標楷體" w:eastAsia="標楷體" w:hAnsi="標楷體" w:hint="eastAsia"/>
          <w:szCs w:val="24"/>
        </w:rPr>
        <w:t>、113/8/1</w:t>
      </w:r>
      <w:r>
        <w:rPr>
          <w:rFonts w:ascii="標楷體" w:eastAsia="標楷體" w:hAnsi="標楷體"/>
          <w:szCs w:val="24"/>
        </w:rPr>
        <w:t>）</w:t>
      </w:r>
    </w:p>
    <w:p w14:paraId="69E06F64" w14:textId="77777777" w:rsidR="00BD776B" w:rsidRDefault="00DF0C24">
      <w:pPr>
        <w:snapToGrid w:val="0"/>
        <w:spacing w:line="276" w:lineRule="auto"/>
        <w:ind w:left="851"/>
      </w:pPr>
      <w:r>
        <w:rPr>
          <w:rFonts w:ascii="標楷體" w:eastAsia="標楷體" w:hAnsi="標楷體"/>
          <w:color w:val="000000"/>
          <w:szCs w:val="24"/>
        </w:rPr>
        <w:t>(1)葛里森分數(Gleason score)</w:t>
      </w:r>
      <w:r>
        <w:rPr>
          <w:rFonts w:ascii="標楷體" w:eastAsia="標楷體" w:hAnsi="標楷體" w:cs="新細明體"/>
          <w:color w:val="000000"/>
          <w:szCs w:val="24"/>
        </w:rPr>
        <w:t>≧</w:t>
      </w:r>
      <w:r>
        <w:rPr>
          <w:rFonts w:ascii="標楷體" w:eastAsia="標楷體" w:hAnsi="標楷體"/>
          <w:color w:val="000000"/>
          <w:szCs w:val="24"/>
        </w:rPr>
        <w:t>8；</w:t>
      </w:r>
    </w:p>
    <w:p w14:paraId="621E31C8" w14:textId="02D6B16A" w:rsidR="00BD776B" w:rsidRDefault="00DF0C24">
      <w:pPr>
        <w:snapToGrid w:val="0"/>
        <w:spacing w:line="276" w:lineRule="auto"/>
        <w:ind w:left="1276" w:hanging="420"/>
      </w:pPr>
      <w:r>
        <w:rPr>
          <w:rFonts w:ascii="標楷體" w:eastAsia="標楷體" w:hAnsi="標楷體"/>
          <w:color w:val="000000"/>
          <w:szCs w:val="24"/>
        </w:rPr>
        <w:t>(2)</w:t>
      </w:r>
      <w:r w:rsidR="00EC4E85" w:rsidRPr="00EC4E85">
        <w:rPr>
          <w:rFonts w:ascii="標楷體" w:eastAsia="標楷體" w:hAnsi="標楷體" w:hint="eastAsia"/>
          <w:color w:val="000000"/>
          <w:szCs w:val="24"/>
        </w:rPr>
        <w:t>骨骼掃描出現三個(含)以上病灶且至少其中一處以上為非脊柱及非骨盆腔轉移；(109/5/1、113/8/1）</w:t>
      </w:r>
    </w:p>
    <w:p w14:paraId="3B68B96C" w14:textId="77777777" w:rsidR="00BD776B" w:rsidRDefault="00DF0C24">
      <w:pPr>
        <w:snapToGrid w:val="0"/>
        <w:spacing w:line="276" w:lineRule="auto"/>
        <w:ind w:left="851"/>
        <w:rPr>
          <w:rFonts w:ascii="標楷體" w:eastAsia="標楷體" w:hAnsi="標楷體"/>
          <w:color w:val="000000"/>
          <w:szCs w:val="24"/>
        </w:rPr>
      </w:pPr>
      <w:r>
        <w:rPr>
          <w:rFonts w:ascii="標楷體" w:eastAsia="標楷體" w:hAnsi="標楷體"/>
          <w:color w:val="000000"/>
          <w:szCs w:val="24"/>
        </w:rPr>
        <w:t>(3)出現內臟轉移。</w:t>
      </w:r>
    </w:p>
    <w:p w14:paraId="3B9E3010" w14:textId="77777777" w:rsidR="00BD776B" w:rsidRDefault="00DF0C24">
      <w:pPr>
        <w:snapToGrid w:val="0"/>
        <w:spacing w:line="276" w:lineRule="auto"/>
        <w:ind w:left="851" w:hanging="280"/>
        <w:rPr>
          <w:rFonts w:ascii="標楷體" w:eastAsia="標楷體" w:hAnsi="標楷體"/>
          <w:color w:val="000000"/>
          <w:szCs w:val="24"/>
        </w:rPr>
      </w:pPr>
      <w:r>
        <w:rPr>
          <w:rFonts w:ascii="標楷體" w:eastAsia="標楷體" w:hAnsi="標楷體"/>
          <w:color w:val="000000"/>
          <w:szCs w:val="24"/>
        </w:rPr>
        <w:t>2.與prednisone或prednisolone併用，治療藥物或手術去勢抗性的轉移性前列腺癌(mCRPC)，且在雄性素去除療法失敗後屬無症狀或輕度症狀(ECOG分數0或1)，未曾接受化學治療者：（106/9/1）</w:t>
      </w:r>
    </w:p>
    <w:p w14:paraId="3EA6A8C2" w14:textId="77777777" w:rsidR="00BD776B" w:rsidRDefault="00DF0C24">
      <w:pPr>
        <w:snapToGrid w:val="0"/>
        <w:spacing w:line="276" w:lineRule="auto"/>
        <w:ind w:left="1276" w:hanging="420"/>
      </w:pPr>
      <w:r>
        <w:rPr>
          <w:rFonts w:ascii="標楷體" w:eastAsia="標楷體" w:hAnsi="標楷體"/>
          <w:color w:val="000000"/>
          <w:szCs w:val="24"/>
        </w:rPr>
        <w:t>(1)若病患先前接受雄性素去除療法時，在小於12個月的時間內演化成去勢抗性前列腺癌(CRPC)，且葛里森分數(Gleason score)</w:t>
      </w:r>
      <w:r>
        <w:rPr>
          <w:rFonts w:ascii="標楷體" w:eastAsia="標楷體" w:hAnsi="標楷體" w:cs="新細明體"/>
          <w:color w:val="000000"/>
          <w:szCs w:val="24"/>
        </w:rPr>
        <w:t>≧</w:t>
      </w:r>
      <w:r>
        <w:rPr>
          <w:rFonts w:ascii="標楷體" w:eastAsia="標楷體" w:hAnsi="標楷體"/>
          <w:color w:val="000000"/>
          <w:szCs w:val="24"/>
        </w:rPr>
        <w:t>8時，不得於使用化學治療前使用abiraterone。（106/9/1）</w:t>
      </w:r>
    </w:p>
    <w:p w14:paraId="1AA4F73E" w14:textId="77777777" w:rsidR="00BD776B" w:rsidRDefault="00DF0C24">
      <w:pPr>
        <w:snapToGrid w:val="0"/>
        <w:spacing w:line="276" w:lineRule="auto"/>
        <w:ind w:left="851"/>
        <w:rPr>
          <w:rFonts w:ascii="標楷體" w:eastAsia="標楷體" w:hAnsi="標楷體"/>
          <w:color w:val="000000"/>
          <w:szCs w:val="24"/>
        </w:rPr>
      </w:pPr>
      <w:r>
        <w:rPr>
          <w:rFonts w:ascii="標楷體" w:eastAsia="標楷體" w:hAnsi="標楷體"/>
          <w:color w:val="000000"/>
          <w:szCs w:val="24"/>
        </w:rPr>
        <w:t>(2)申請時需另檢附：</w:t>
      </w:r>
    </w:p>
    <w:p w14:paraId="45ADB40E"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I.用藥紀錄(證明未常規使用止痛藥物，屬無症狀或輕度症狀)。</w:t>
      </w:r>
    </w:p>
    <w:p w14:paraId="33E14F35" w14:textId="77777777" w:rsidR="00BD776B" w:rsidRDefault="00DF0C24">
      <w:pPr>
        <w:tabs>
          <w:tab w:val="left" w:pos="1701"/>
        </w:tabs>
        <w:snapToGrid w:val="0"/>
        <w:spacing w:line="276" w:lineRule="auto"/>
        <w:ind w:left="1560" w:hanging="420"/>
        <w:rPr>
          <w:rFonts w:ascii="標楷體" w:eastAsia="標楷體" w:hAnsi="標楷體"/>
          <w:color w:val="000000"/>
          <w:szCs w:val="24"/>
        </w:rPr>
      </w:pPr>
      <w:r>
        <w:rPr>
          <w:rFonts w:ascii="標楷體" w:eastAsia="標楷體" w:hAnsi="標楷體"/>
          <w:color w:val="000000"/>
          <w:szCs w:val="24"/>
        </w:rPr>
        <w:t>II.三個月內影像報告證明無臟器轉移。（106/9/1）</w:t>
      </w:r>
    </w:p>
    <w:p w14:paraId="65A88117" w14:textId="77777777" w:rsidR="00BD776B" w:rsidRDefault="00DF0C24">
      <w:pPr>
        <w:tabs>
          <w:tab w:val="left" w:pos="851"/>
        </w:tabs>
        <w:snapToGrid w:val="0"/>
        <w:spacing w:line="276" w:lineRule="auto"/>
        <w:ind w:left="851" w:hanging="280"/>
      </w:pPr>
      <w:r>
        <w:rPr>
          <w:rFonts w:ascii="標楷體" w:eastAsia="標楷體" w:hAnsi="標楷體"/>
          <w:color w:val="000000"/>
          <w:szCs w:val="24"/>
        </w:rPr>
        <w:t>3.與prednisone或prednisolone併用，治療藥物或手術去勢抗性的轉移性前列腺癌(ECOG分數須</w:t>
      </w:r>
      <w:r>
        <w:rPr>
          <w:rFonts w:ascii="標楷體" w:eastAsia="標楷體" w:hAnsi="標楷體" w:cs="新細明體"/>
          <w:color w:val="000000"/>
          <w:szCs w:val="24"/>
        </w:rPr>
        <w:t>≦</w:t>
      </w:r>
      <w:r>
        <w:rPr>
          <w:rFonts w:ascii="標楷體" w:eastAsia="標楷體" w:hAnsi="標楷體"/>
          <w:color w:val="000000"/>
          <w:szCs w:val="24"/>
        </w:rPr>
        <w:t>2)且已使用過docetaxel 2個療程以上治療無效者。</w:t>
      </w:r>
    </w:p>
    <w:p w14:paraId="0C6D2B39" w14:textId="77777777" w:rsidR="00BD776B" w:rsidRDefault="00DF0C24">
      <w:pPr>
        <w:tabs>
          <w:tab w:val="left" w:pos="851"/>
        </w:tabs>
        <w:snapToGrid w:val="0"/>
        <w:spacing w:line="276" w:lineRule="auto"/>
        <w:ind w:left="851" w:hanging="280"/>
      </w:pPr>
      <w:r>
        <w:rPr>
          <w:rFonts w:ascii="標楷體" w:eastAsia="標楷體" w:hAnsi="標楷體"/>
          <w:color w:val="000000"/>
          <w:szCs w:val="24"/>
        </w:rPr>
        <w:lastRenderedPageBreak/>
        <w:t>4.前述1、2、3項須經事前審查核准後使用，每3個月需再次申請。（111/3/1）</w:t>
      </w:r>
    </w:p>
    <w:p w14:paraId="531FD158" w14:textId="77777777" w:rsidR="00BD776B" w:rsidRDefault="00DF0C24">
      <w:pPr>
        <w:tabs>
          <w:tab w:val="left" w:pos="851"/>
        </w:tabs>
        <w:snapToGrid w:val="0"/>
        <w:spacing w:line="276" w:lineRule="auto"/>
        <w:ind w:left="1276" w:hanging="420"/>
        <w:rPr>
          <w:rFonts w:ascii="標楷體" w:eastAsia="標楷體" w:hAnsi="標楷體"/>
          <w:color w:val="000000"/>
          <w:szCs w:val="24"/>
        </w:rPr>
      </w:pPr>
      <w:r>
        <w:rPr>
          <w:rFonts w:ascii="標楷體" w:eastAsia="標楷體" w:hAnsi="標楷體"/>
          <w:color w:val="000000"/>
          <w:szCs w:val="24"/>
        </w:rPr>
        <w:t>(1)申請時需檢附病理報告、使用雄性素去除療法紀錄及系列PSA和睪固酮數據。（106/9/1）</w:t>
      </w:r>
    </w:p>
    <w:p w14:paraId="06AEFA2F" w14:textId="77777777" w:rsidR="00BD776B" w:rsidRDefault="00DF0C24">
      <w:pPr>
        <w:tabs>
          <w:tab w:val="left" w:pos="851"/>
        </w:tabs>
        <w:snapToGrid w:val="0"/>
        <w:spacing w:line="276" w:lineRule="auto"/>
        <w:ind w:left="1276" w:hanging="420"/>
        <w:rPr>
          <w:rFonts w:ascii="標楷體" w:eastAsia="標楷體" w:hAnsi="標楷體"/>
          <w:color w:val="000000"/>
          <w:szCs w:val="24"/>
        </w:rPr>
      </w:pPr>
      <w:r>
        <w:rPr>
          <w:rFonts w:ascii="標楷體" w:eastAsia="標楷體" w:hAnsi="標楷體"/>
          <w:color w:val="000000"/>
          <w:szCs w:val="24"/>
        </w:rPr>
        <w:t>(2)再申請時若PSA值下降未超過治療前的50%以上，則需停藥。(106/9/1、109/10/1)</w:t>
      </w:r>
    </w:p>
    <w:p w14:paraId="01C08F0E" w14:textId="77777777" w:rsidR="00BD776B" w:rsidRDefault="00DF0C24">
      <w:pPr>
        <w:tabs>
          <w:tab w:val="left" w:pos="851"/>
        </w:tabs>
        <w:snapToGrid w:val="0"/>
        <w:spacing w:line="276" w:lineRule="auto"/>
        <w:ind w:left="1276" w:hanging="420"/>
      </w:pPr>
      <w:r>
        <w:rPr>
          <w:rFonts w:ascii="標楷體" w:eastAsia="標楷體" w:hAnsi="標楷體"/>
          <w:color w:val="000000"/>
          <w:szCs w:val="24"/>
        </w:rPr>
        <w:t>(3)下降達最低值後之持續追蹤出現PSA較最低值上升50%以上且PSA</w:t>
      </w:r>
      <w:r>
        <w:rPr>
          <w:rFonts w:ascii="標楷體" w:eastAsia="標楷體" w:hAnsi="標楷體" w:cs="新細明體"/>
          <w:color w:val="000000"/>
          <w:szCs w:val="24"/>
        </w:rPr>
        <w:t>≧</w:t>
      </w:r>
      <w:r>
        <w:rPr>
          <w:rFonts w:ascii="標楷體" w:eastAsia="標楷體" w:hAnsi="標楷體"/>
          <w:color w:val="000000"/>
          <w:szCs w:val="24"/>
        </w:rPr>
        <w:t>2ng/ml，則需停藥，但影像學證據尚無疾病進展者，可以繼續使用。（106/9/1、109/10/1）</w:t>
      </w:r>
    </w:p>
    <w:p w14:paraId="533CC57B" w14:textId="24A96815" w:rsidR="00BD776B" w:rsidRPr="003F6E90" w:rsidRDefault="00F24146">
      <w:pPr>
        <w:tabs>
          <w:tab w:val="left" w:pos="851"/>
        </w:tabs>
        <w:snapToGrid w:val="0"/>
        <w:spacing w:line="276" w:lineRule="auto"/>
        <w:ind w:left="1276" w:hanging="420"/>
      </w:pPr>
      <w:r w:rsidRPr="003F6E90">
        <w:rPr>
          <w:rFonts w:ascii="標楷體" w:eastAsia="標楷體" w:hAnsi="標楷體"/>
          <w:color w:val="000000"/>
          <w:szCs w:val="24"/>
        </w:rPr>
        <w:t>(4)用於治療新診斷高風險轉移性的去勢敏感性前列腺癌(mCSPC)的成年男性，總療程以</w:t>
      </w:r>
      <w:r w:rsidR="00D7142A">
        <w:rPr>
          <w:rFonts w:ascii="標楷體" w:eastAsia="標楷體" w:hAnsi="標楷體"/>
          <w:color w:val="000000"/>
          <w:szCs w:val="24"/>
        </w:rPr>
        <w:t>36</w:t>
      </w:r>
      <w:r w:rsidRPr="003F6E90">
        <w:rPr>
          <w:rFonts w:ascii="標楷體" w:eastAsia="標楷體" w:hAnsi="標楷體"/>
          <w:color w:val="000000"/>
          <w:szCs w:val="24"/>
        </w:rPr>
        <w:t>個月為上限</w:t>
      </w:r>
      <w:r w:rsidR="00D7142A" w:rsidRPr="00D7142A">
        <w:rPr>
          <w:rFonts w:ascii="標楷體" w:eastAsia="標楷體" w:hAnsi="標楷體" w:hint="eastAsia"/>
          <w:color w:val="000000"/>
          <w:szCs w:val="24"/>
        </w:rPr>
        <w:t>（惟Ateron總療程以24個月為上限）。(109/5/1、110/2/1、113/8/1、113/9/1）</w:t>
      </w:r>
    </w:p>
    <w:p w14:paraId="5D70DEC5" w14:textId="77777777" w:rsidR="00BD776B" w:rsidRDefault="00DF0C24">
      <w:pPr>
        <w:tabs>
          <w:tab w:val="left" w:pos="851"/>
        </w:tabs>
        <w:snapToGrid w:val="0"/>
        <w:spacing w:line="276" w:lineRule="auto"/>
        <w:ind w:left="1276" w:hanging="420"/>
        <w:rPr>
          <w:rFonts w:ascii="標楷體" w:eastAsia="標楷體" w:hAnsi="標楷體"/>
          <w:color w:val="000000"/>
          <w:szCs w:val="24"/>
        </w:rPr>
      </w:pPr>
      <w:r>
        <w:rPr>
          <w:rFonts w:ascii="標楷體" w:eastAsia="標楷體" w:hAnsi="標楷體"/>
          <w:color w:val="000000"/>
          <w:szCs w:val="24"/>
        </w:rPr>
        <w:t>(5)去勢抗性前列腺癌(CRPC)病患若於化學治療前先使用過abiraterone，當化學治療失敗後不得再申請使用abiraterone。（106/9/1）</w:t>
      </w:r>
    </w:p>
    <w:p w14:paraId="4E1F094D" w14:textId="77777777" w:rsidR="00BD776B" w:rsidRDefault="00DF0C24">
      <w:pPr>
        <w:tabs>
          <w:tab w:val="left" w:pos="851"/>
        </w:tabs>
        <w:snapToGrid w:val="0"/>
        <w:spacing w:line="276" w:lineRule="auto"/>
        <w:ind w:left="851" w:hanging="280"/>
      </w:pPr>
      <w:r>
        <w:rPr>
          <w:rFonts w:ascii="標楷體" w:eastAsia="標楷體" w:hAnsi="標楷體"/>
          <w:color w:val="000000"/>
          <w:szCs w:val="24"/>
        </w:rPr>
        <w:t>5.不論病人處於轉移或非轉移的狀態下，終生僅能接受一種治療前列腺癌的新型荷爾蒙藥品(abiraterone、apalutamide、darolutamide和enzalutamide) 且僅能擇一給付，無效後不再給付其他新型荷爾蒙藥品，且除非出現嚴重不耐受反應導致必須永久停止治療的情況，不得互換。(112/9/1)</w:t>
      </w:r>
    </w:p>
    <w:p w14:paraId="17B4B1BB" w14:textId="77777777" w:rsidR="00BD776B" w:rsidRDefault="00DF0C24">
      <w:pPr>
        <w:tabs>
          <w:tab w:val="left" w:pos="851"/>
        </w:tabs>
        <w:snapToGrid w:val="0"/>
        <w:spacing w:line="276" w:lineRule="auto"/>
        <w:ind w:left="851" w:hanging="280"/>
      </w:pPr>
      <w:r>
        <w:rPr>
          <w:rFonts w:ascii="標楷體" w:eastAsia="標楷體" w:hAnsi="標楷體"/>
          <w:color w:val="000000"/>
          <w:szCs w:val="24"/>
        </w:rPr>
        <w:t>6.本品與radium-223 dichloride不得合併使用。(108/3/1)</w:t>
      </w:r>
    </w:p>
    <w:p w14:paraId="0A1315D9" w14:textId="3F52ABFB" w:rsidR="00BD776B" w:rsidRDefault="00DF0C24">
      <w:pPr>
        <w:ind w:left="763" w:hanging="480"/>
        <w:rPr>
          <w:rFonts w:ascii="標楷體" w:eastAsia="標楷體" w:hAnsi="標楷體"/>
        </w:rPr>
      </w:pPr>
      <w:r>
        <w:rPr>
          <w:rFonts w:ascii="標楷體" w:eastAsia="標楷體" w:hAnsi="標楷體"/>
        </w:rPr>
        <w:t>9.50.Crizotinib (如Xalkori)：(104/9/1、106/11/1、107/5/1、108/7/1、108/9/1、108/12/1、110/7/1、111/2/1、111/8/1、112/11/1</w:t>
      </w:r>
      <w:r w:rsidR="001D175E">
        <w:rPr>
          <w:rFonts w:ascii="標楷體" w:eastAsia="標楷體" w:hAnsi="標楷體" w:hint="eastAsia"/>
        </w:rPr>
        <w:t>、113/6/1</w:t>
      </w:r>
      <w:r w:rsidR="00AB4BCE">
        <w:rPr>
          <w:rFonts w:ascii="標楷體" w:eastAsia="標楷體" w:hAnsi="標楷體" w:hint="eastAsia"/>
        </w:rPr>
        <w:t>、113/9/1</w:t>
      </w:r>
      <w:r>
        <w:rPr>
          <w:rFonts w:ascii="標楷體" w:eastAsia="標楷體" w:hAnsi="標楷體"/>
        </w:rPr>
        <w:t>)</w:t>
      </w:r>
    </w:p>
    <w:p w14:paraId="1939E12E" w14:textId="0E7FDFC9" w:rsidR="00BD776B" w:rsidRDefault="00DF0C24" w:rsidP="008A7063">
      <w:pPr>
        <w:pStyle w:val="af"/>
        <w:numPr>
          <w:ilvl w:val="0"/>
          <w:numId w:val="24"/>
        </w:numPr>
        <w:suppressAutoHyphens w:val="0"/>
        <w:ind w:left="991"/>
        <w:textAlignment w:val="auto"/>
        <w:rPr>
          <w:rFonts w:ascii="標楷體" w:eastAsia="標楷體" w:hAnsi="標楷體"/>
        </w:rPr>
      </w:pPr>
      <w:r>
        <w:rPr>
          <w:rFonts w:ascii="標楷體" w:eastAsia="標楷體" w:hAnsi="標楷體"/>
        </w:rPr>
        <w:t>適用於ALK陽性之晚期非小細胞肺癌第一線治療</w:t>
      </w:r>
      <w:r w:rsidR="006F2B5D" w:rsidRPr="006F2B5D">
        <w:rPr>
          <w:rFonts w:ascii="標楷體" w:eastAsia="標楷體" w:hAnsi="標楷體" w:hint="eastAsia"/>
        </w:rPr>
        <w:t>，且於</w:t>
      </w:r>
      <w:r w:rsidR="006F2B5D" w:rsidRPr="006F2B5D">
        <w:rPr>
          <w:rFonts w:ascii="標楷體" w:eastAsia="標楷體" w:hAnsi="標楷體"/>
        </w:rPr>
        <w:t>113</w:t>
      </w:r>
      <w:r w:rsidR="006F2B5D" w:rsidRPr="006F2B5D">
        <w:rPr>
          <w:rFonts w:ascii="標楷體" w:eastAsia="標楷體" w:hAnsi="標楷體" w:hint="eastAsia"/>
        </w:rPr>
        <w:t>年</w:t>
      </w:r>
      <w:r w:rsidR="006F2B5D" w:rsidRPr="006F2B5D">
        <w:rPr>
          <w:rFonts w:ascii="標楷體" w:eastAsia="標楷體" w:hAnsi="標楷體"/>
        </w:rPr>
        <w:t>9</w:t>
      </w:r>
      <w:r w:rsidR="006F2B5D" w:rsidRPr="006F2B5D">
        <w:rPr>
          <w:rFonts w:ascii="標楷體" w:eastAsia="標楷體" w:hAnsi="標楷體" w:hint="eastAsia"/>
        </w:rPr>
        <w:t>月</w:t>
      </w:r>
      <w:r w:rsidR="006F2B5D" w:rsidRPr="006F2B5D">
        <w:rPr>
          <w:rFonts w:ascii="標楷體" w:eastAsia="標楷體" w:hAnsi="標楷體"/>
        </w:rPr>
        <w:t>1</w:t>
      </w:r>
      <w:r w:rsidR="006F2B5D" w:rsidRPr="006F2B5D">
        <w:rPr>
          <w:rFonts w:ascii="標楷體" w:eastAsia="標楷體" w:hAnsi="標楷體" w:hint="eastAsia"/>
        </w:rPr>
        <w:t>日前經審核同意用藥，後續評估符合續用申請條件者。</w:t>
      </w:r>
      <w:r w:rsidR="006F2B5D" w:rsidRPr="006F2B5D">
        <w:rPr>
          <w:rFonts w:ascii="標楷體" w:eastAsia="標楷體" w:hAnsi="標楷體"/>
        </w:rPr>
        <w:t>(106/11/1</w:t>
      </w:r>
      <w:r w:rsidR="006F2B5D" w:rsidRPr="006F2B5D">
        <w:rPr>
          <w:rFonts w:ascii="標楷體" w:eastAsia="標楷體" w:hAnsi="標楷體" w:hint="eastAsia"/>
        </w:rPr>
        <w:t>、</w:t>
      </w:r>
      <w:r w:rsidR="006F2B5D" w:rsidRPr="006F2B5D">
        <w:rPr>
          <w:rFonts w:ascii="標楷體" w:eastAsia="標楷體" w:hAnsi="標楷體"/>
        </w:rPr>
        <w:t>111/8/1</w:t>
      </w:r>
      <w:r w:rsidR="006F2B5D" w:rsidRPr="006F2B5D">
        <w:rPr>
          <w:rFonts w:ascii="標楷體" w:eastAsia="標楷體" w:hAnsi="標楷體" w:hint="eastAsia"/>
        </w:rPr>
        <w:t>、</w:t>
      </w:r>
      <w:r w:rsidR="006F2B5D" w:rsidRPr="006F2B5D">
        <w:rPr>
          <w:rFonts w:ascii="標楷體" w:eastAsia="標楷體" w:hAnsi="標楷體"/>
        </w:rPr>
        <w:t>113/9/1)</w:t>
      </w:r>
    </w:p>
    <w:p w14:paraId="5C804FCA" w14:textId="77777777" w:rsidR="00BD776B" w:rsidRDefault="00DF0C24" w:rsidP="008A7063">
      <w:pPr>
        <w:pStyle w:val="af"/>
        <w:numPr>
          <w:ilvl w:val="0"/>
          <w:numId w:val="24"/>
        </w:numPr>
        <w:suppressAutoHyphens w:val="0"/>
        <w:ind w:left="991"/>
        <w:textAlignment w:val="auto"/>
        <w:rPr>
          <w:rFonts w:ascii="標楷體" w:eastAsia="標楷體" w:hAnsi="標楷體"/>
        </w:rPr>
      </w:pPr>
      <w:r>
        <w:rPr>
          <w:rFonts w:ascii="標楷體" w:eastAsia="標楷體" w:hAnsi="標楷體"/>
        </w:rPr>
        <w:t>單獨使用於ROS-1陽性之晚期非小細胞肺癌患者。(108/9/1)</w:t>
      </w:r>
    </w:p>
    <w:p w14:paraId="4181ED6C" w14:textId="77777777" w:rsidR="00BD776B" w:rsidRDefault="00DF0C24" w:rsidP="008A7063">
      <w:pPr>
        <w:pStyle w:val="af"/>
        <w:numPr>
          <w:ilvl w:val="0"/>
          <w:numId w:val="24"/>
        </w:numPr>
        <w:suppressAutoHyphens w:val="0"/>
        <w:ind w:left="991"/>
        <w:textAlignment w:val="auto"/>
        <w:rPr>
          <w:rFonts w:ascii="標楷體" w:eastAsia="標楷體" w:hAnsi="標楷體"/>
        </w:rPr>
      </w:pPr>
      <w:r>
        <w:rPr>
          <w:rFonts w:ascii="標楷體" w:eastAsia="標楷體" w:hAnsi="標楷體"/>
        </w:rPr>
        <w:t>須經事前審查核准後使用:</w:t>
      </w:r>
    </w:p>
    <w:p w14:paraId="307E176F" w14:textId="77777777" w:rsidR="00BD776B" w:rsidRDefault="00DF0C24" w:rsidP="008A7063">
      <w:pPr>
        <w:pStyle w:val="af"/>
        <w:numPr>
          <w:ilvl w:val="1"/>
          <w:numId w:val="24"/>
        </w:numPr>
        <w:suppressAutoHyphens w:val="0"/>
        <w:ind w:left="991"/>
        <w:textAlignment w:val="auto"/>
        <w:rPr>
          <w:rFonts w:ascii="標楷體" w:eastAsia="標楷體" w:hAnsi="標楷體"/>
        </w:rPr>
      </w:pPr>
      <w:r>
        <w:rPr>
          <w:rFonts w:ascii="標楷體" w:eastAsia="標楷體" w:hAnsi="標楷體"/>
        </w:rPr>
        <w:t>每次申請事前審查之療程以三個月為限，每三個月需再次申請。</w:t>
      </w:r>
    </w:p>
    <w:p w14:paraId="7055D6F0" w14:textId="1B3FB35F" w:rsidR="00BD776B" w:rsidRDefault="00DF0C24" w:rsidP="008A7063">
      <w:pPr>
        <w:pStyle w:val="af"/>
        <w:numPr>
          <w:ilvl w:val="1"/>
          <w:numId w:val="24"/>
        </w:numPr>
        <w:suppressAutoHyphens w:val="0"/>
        <w:ind w:left="991"/>
        <w:textAlignment w:val="auto"/>
        <w:rPr>
          <w:rFonts w:ascii="標楷體" w:eastAsia="標楷體" w:hAnsi="標楷體"/>
        </w:rPr>
      </w:pPr>
      <w:r>
        <w:rPr>
          <w:rFonts w:ascii="標楷體" w:eastAsia="標楷體" w:hAnsi="標楷體"/>
        </w:rPr>
        <w:t>初次申請時需檢具確實患有非小細胞肺癌之病理或細胞檢查報告，</w:t>
      </w:r>
      <w:r w:rsidR="008D00B6" w:rsidRPr="008D00B6">
        <w:rPr>
          <w:rFonts w:ascii="標楷體" w:eastAsia="標楷體" w:hAnsi="標楷體" w:hint="eastAsia"/>
        </w:rPr>
        <w:t>及ALK突變檢測報告，或ROS-1突變檢測報告，且需符合全民健康保險藥品給付規定之通則十二。 (107/5/1、108/9/1、111/2/1、113/6/1)</w:t>
      </w:r>
    </w:p>
    <w:p w14:paraId="28239852" w14:textId="77777777" w:rsidR="00BD776B" w:rsidRDefault="00DF0C24" w:rsidP="008A7063">
      <w:pPr>
        <w:pStyle w:val="af"/>
        <w:numPr>
          <w:ilvl w:val="1"/>
          <w:numId w:val="24"/>
        </w:numPr>
        <w:suppressAutoHyphens w:val="0"/>
        <w:ind w:left="991"/>
        <w:textAlignment w:val="auto"/>
        <w:rPr>
          <w:rFonts w:ascii="標楷體" w:eastAsia="標楷體" w:hAnsi="標楷體"/>
        </w:rPr>
      </w:pPr>
      <w:r>
        <w:rPr>
          <w:rFonts w:ascii="標楷體" w:eastAsia="標楷體" w:hAnsi="標楷體"/>
        </w:rPr>
        <w:t>再次申請時需附上治療後相關臨床資料，如給藥4週後，需追蹤胸部X光或電腦斷層等影像檢查評估療效，往後每4週做胸部X光檢查，每3個月需追蹤其作為評估藥效的影像(如胸部X光或電腦斷層)，若病情惡化即不得再次申請。(108/12/1、112/11/1)</w:t>
      </w:r>
    </w:p>
    <w:p w14:paraId="78974140" w14:textId="77777777" w:rsidR="00BD776B" w:rsidRDefault="00DF0C24" w:rsidP="008A7063">
      <w:pPr>
        <w:pStyle w:val="af"/>
        <w:numPr>
          <w:ilvl w:val="0"/>
          <w:numId w:val="24"/>
        </w:numPr>
        <w:suppressAutoHyphens w:val="0"/>
        <w:ind w:left="991"/>
        <w:textAlignment w:val="auto"/>
        <w:rPr>
          <w:rFonts w:ascii="標楷體" w:eastAsia="標楷體" w:hAnsi="標楷體"/>
        </w:rPr>
      </w:pPr>
      <w:r>
        <w:rPr>
          <w:rFonts w:ascii="標楷體" w:eastAsia="標楷體" w:hAnsi="標楷體"/>
        </w:rPr>
        <w:t>Crizotinib與ceritinib、alectinib、brigatinib、lorlatinib用於ALK陽性之晚期非小細胞肺癌第一線治療時，僅得擇一使用，除因病人使用後，發生嚴重不良反應或耐受不良之情形外，不得互換。(108/7/1、108/12/1、111/8/1、112/11/1)</w:t>
      </w:r>
    </w:p>
    <w:p w14:paraId="5DAF2EAE" w14:textId="77777777" w:rsidR="00BD776B" w:rsidRDefault="00DF0C24" w:rsidP="008A7063">
      <w:pPr>
        <w:pStyle w:val="af"/>
        <w:numPr>
          <w:ilvl w:val="0"/>
          <w:numId w:val="24"/>
        </w:numPr>
        <w:suppressAutoHyphens w:val="0"/>
        <w:ind w:left="991"/>
        <w:textAlignment w:val="auto"/>
        <w:rPr>
          <w:rFonts w:ascii="標楷體" w:eastAsia="標楷體" w:hAnsi="標楷體"/>
        </w:rPr>
      </w:pPr>
      <w:r>
        <w:rPr>
          <w:rFonts w:ascii="標楷體" w:eastAsia="標楷體" w:hAnsi="標楷體"/>
        </w:rPr>
        <w:t>Crizotinib與entrectinib用於ROS-1陽性之晚期非小細胞肺癌時，僅得擇一使用，除因病人使用後，發生嚴重不良反應或耐受不良之情形外，不得互換。(110/7/1)</w:t>
      </w:r>
    </w:p>
    <w:p w14:paraId="249EC1EC" w14:textId="77777777" w:rsidR="00BD776B" w:rsidRDefault="00DF0C24" w:rsidP="008A7063">
      <w:pPr>
        <w:pStyle w:val="af"/>
        <w:numPr>
          <w:ilvl w:val="0"/>
          <w:numId w:val="24"/>
        </w:numPr>
        <w:suppressAutoHyphens w:val="0"/>
        <w:ind w:left="991"/>
        <w:textAlignment w:val="auto"/>
        <w:rPr>
          <w:rFonts w:ascii="標楷體" w:eastAsia="標楷體" w:hAnsi="標楷體"/>
        </w:rPr>
      </w:pPr>
      <w:r>
        <w:rPr>
          <w:rFonts w:ascii="標楷體" w:eastAsia="標楷體" w:hAnsi="標楷體"/>
        </w:rPr>
        <w:t>每日最大劑量限500mg。(108/9/1)</w:t>
      </w:r>
    </w:p>
    <w:p w14:paraId="7982461C" w14:textId="1518EEB2" w:rsidR="00BD776B" w:rsidRDefault="00DF0C24">
      <w:pPr>
        <w:ind w:left="851" w:hanging="635"/>
        <w:rPr>
          <w:rFonts w:ascii="標楷體" w:eastAsia="標楷體" w:hAnsi="標楷體"/>
          <w:color w:val="000000"/>
        </w:rPr>
      </w:pPr>
      <w:r>
        <w:rPr>
          <w:rFonts w:ascii="標楷體" w:eastAsia="標楷體" w:hAnsi="標楷體"/>
          <w:color w:val="000000"/>
        </w:rPr>
        <w:t>9.51.Regorafenib（如Stivarga）：（104/9/1、105/8/1、107/12/1、108/6/1、</w:t>
      </w:r>
      <w:r>
        <w:rPr>
          <w:rFonts w:ascii="標楷體" w:eastAsia="標楷體" w:hAnsi="標楷體"/>
          <w:color w:val="000000"/>
        </w:rPr>
        <w:lastRenderedPageBreak/>
        <w:t>110/5/1、110/6/1</w:t>
      </w:r>
      <w:r w:rsidR="00F56FA4">
        <w:rPr>
          <w:rFonts w:ascii="標楷體" w:eastAsia="標楷體" w:hAnsi="標楷體" w:hint="eastAsia"/>
          <w:color w:val="000000"/>
        </w:rPr>
        <w:t>、113/6/1</w:t>
      </w:r>
      <w:r>
        <w:rPr>
          <w:rFonts w:ascii="標楷體" w:eastAsia="標楷體" w:hAnsi="標楷體"/>
          <w:color w:val="000000"/>
        </w:rPr>
        <w:t>）</w:t>
      </w:r>
    </w:p>
    <w:p w14:paraId="15C89609" w14:textId="77777777" w:rsidR="00BD776B" w:rsidRDefault="00DF0C24">
      <w:pPr>
        <w:ind w:left="966" w:hanging="351"/>
        <w:rPr>
          <w:rFonts w:ascii="標楷體" w:eastAsia="標楷體" w:hAnsi="標楷體"/>
          <w:color w:val="000000"/>
        </w:rPr>
      </w:pPr>
      <w:r>
        <w:rPr>
          <w:rFonts w:ascii="標楷體" w:eastAsia="標楷體" w:hAnsi="標楷體"/>
          <w:color w:val="000000"/>
        </w:rPr>
        <w:t>1.轉移性大腸直腸癌(mCRC)：</w:t>
      </w:r>
    </w:p>
    <w:p w14:paraId="4B30A678" w14:textId="791B59CE" w:rsidR="00BD776B" w:rsidRDefault="00DF0C24">
      <w:pPr>
        <w:ind w:left="1134" w:hanging="351"/>
        <w:rPr>
          <w:rFonts w:ascii="標楷體" w:eastAsia="標楷體" w:hAnsi="標楷體"/>
          <w:color w:val="000000"/>
        </w:rPr>
      </w:pPr>
      <w:r>
        <w:rPr>
          <w:rFonts w:ascii="標楷體" w:eastAsia="標楷體" w:hAnsi="標楷體"/>
          <w:color w:val="000000"/>
        </w:rPr>
        <w:t>(1)用於治療先前曾接受下列療法的轉移性大腸直腸癌(mCRC)患者，療法包括fluoropyrimidine、oxaliplatin、irinotecan為基礎的化療，和抗血管內皮生長因子(anti-VEGF)等療法；若K-ras為原生型(wild type)，則需再加上接受過抗表皮生長因子受體(anti-EGFR)療法。</w:t>
      </w:r>
      <w:r w:rsidR="00F44152" w:rsidRPr="00F44152">
        <w:rPr>
          <w:rFonts w:ascii="標楷體" w:eastAsia="標楷體" w:hAnsi="標楷體" w:hint="eastAsia"/>
          <w:color w:val="000000"/>
        </w:rPr>
        <w:t>需檢附All-RAS基因突變分析檢測結果報告，且需符合全民健康保險藥品給付規定之通則十二。（110/6/1、113/6/1）</w:t>
      </w:r>
    </w:p>
    <w:p w14:paraId="246F2336" w14:textId="77777777" w:rsidR="00BD776B" w:rsidRDefault="00DF0C24">
      <w:pPr>
        <w:ind w:left="1134" w:hanging="351"/>
        <w:rPr>
          <w:rFonts w:ascii="標楷體" w:eastAsia="標楷體" w:hAnsi="標楷體"/>
          <w:color w:val="000000"/>
        </w:rPr>
      </w:pPr>
      <w:r>
        <w:rPr>
          <w:rFonts w:ascii="標楷體" w:eastAsia="標楷體" w:hAnsi="標楷體"/>
          <w:color w:val="000000"/>
        </w:rPr>
        <w:t>(2)須經事前審查核准後使用，每次申請事前審查之療程以8週為限，再次申請必須提出客觀證據（如：影像學）證實無惡化，才可繼續使用。</w:t>
      </w:r>
    </w:p>
    <w:p w14:paraId="56A68B62" w14:textId="77777777" w:rsidR="00BD776B" w:rsidRDefault="00DF0C24">
      <w:pPr>
        <w:ind w:left="966" w:hanging="351"/>
        <w:rPr>
          <w:rFonts w:ascii="標楷體" w:eastAsia="標楷體" w:hAnsi="標楷體"/>
          <w:color w:val="000000"/>
        </w:rPr>
      </w:pPr>
      <w:r>
        <w:rPr>
          <w:rFonts w:ascii="標楷體" w:eastAsia="標楷體" w:hAnsi="標楷體"/>
          <w:color w:val="000000"/>
        </w:rPr>
        <w:t>2.胃腸道間質瘤(GIST) (105/8/1）</w:t>
      </w:r>
    </w:p>
    <w:p w14:paraId="4E3E145B" w14:textId="77777777" w:rsidR="00BD776B" w:rsidRDefault="00DF0C24">
      <w:pPr>
        <w:ind w:left="1134" w:hanging="351"/>
        <w:rPr>
          <w:rFonts w:ascii="標楷體" w:eastAsia="標楷體" w:hAnsi="標楷體"/>
          <w:color w:val="000000"/>
        </w:rPr>
      </w:pPr>
      <w:r>
        <w:rPr>
          <w:rFonts w:ascii="標楷體" w:eastAsia="標楷體" w:hAnsi="標楷體"/>
          <w:color w:val="000000"/>
        </w:rPr>
        <w:t>(1)先前曾接受imatinib與sunitinib治療的局部晚期、無法切除或轉移性的胃腸道間質瘤患者。</w:t>
      </w:r>
    </w:p>
    <w:p w14:paraId="3E9FB429" w14:textId="77777777" w:rsidR="00BD776B" w:rsidRDefault="00DF0C24">
      <w:pPr>
        <w:ind w:left="1134" w:hanging="351"/>
        <w:rPr>
          <w:rFonts w:ascii="標楷體" w:eastAsia="標楷體" w:hAnsi="標楷體"/>
          <w:color w:val="000000"/>
        </w:rPr>
      </w:pPr>
      <w:r>
        <w:rPr>
          <w:rFonts w:ascii="標楷體" w:eastAsia="標楷體" w:hAnsi="標楷體"/>
          <w:color w:val="000000"/>
        </w:rPr>
        <w:t>(2)需經事前審查核准後使用，每次申請之療程以3個月為限，送審時需檢送影像資料，每3個月評估一次。</w:t>
      </w:r>
    </w:p>
    <w:p w14:paraId="0FCF5F37" w14:textId="77777777" w:rsidR="00BD776B" w:rsidRDefault="00DF0C24">
      <w:pPr>
        <w:ind w:left="966" w:hanging="351"/>
        <w:rPr>
          <w:rFonts w:ascii="標楷體" w:eastAsia="標楷體" w:hAnsi="標楷體"/>
          <w:color w:val="000000"/>
        </w:rPr>
      </w:pPr>
      <w:r>
        <w:rPr>
          <w:rFonts w:ascii="標楷體" w:eastAsia="標楷體" w:hAnsi="標楷體"/>
          <w:color w:val="000000"/>
        </w:rPr>
        <w:t>3.肝細胞癌(HCC)：(108/6/1、110/5/1)</w:t>
      </w:r>
    </w:p>
    <w:p w14:paraId="21847E0D" w14:textId="77777777" w:rsidR="00BD776B" w:rsidRDefault="00DF0C24">
      <w:pPr>
        <w:ind w:left="1134" w:hanging="351"/>
        <w:rPr>
          <w:rFonts w:ascii="標楷體" w:eastAsia="標楷體" w:hAnsi="標楷體"/>
          <w:color w:val="000000"/>
        </w:rPr>
      </w:pPr>
      <w:r>
        <w:rPr>
          <w:rFonts w:ascii="標楷體" w:eastAsia="標楷體" w:hAnsi="標楷體"/>
          <w:color w:val="000000"/>
        </w:rPr>
        <w:t>(1)適用於曾接受sorafenib治療失敗後之轉移性或無法手術切除且不適合局部治療或局部治療失敗之Child-Pugh A class晚期肝細胞癌成人患者。</w:t>
      </w:r>
    </w:p>
    <w:p w14:paraId="72E46D9F" w14:textId="77777777" w:rsidR="00BD776B" w:rsidRDefault="00DF0C24">
      <w:pPr>
        <w:ind w:left="1134" w:hanging="351"/>
        <w:rPr>
          <w:rFonts w:ascii="標楷體" w:eastAsia="標楷體" w:hAnsi="標楷體"/>
          <w:color w:val="000000"/>
        </w:rPr>
      </w:pPr>
      <w:r>
        <w:rPr>
          <w:rFonts w:ascii="標楷體" w:eastAsia="標楷體" w:hAnsi="標楷體"/>
          <w:color w:val="000000"/>
        </w:rPr>
        <w:t>(2)需經事前審查核准後使用，初次申請之療程以12週為限，之後每8週評估一次。送審時需檢送影像資料，無疾病惡化方可繼續使用。</w:t>
      </w:r>
    </w:p>
    <w:p w14:paraId="404E4FBE" w14:textId="77777777" w:rsidR="00BD776B" w:rsidRDefault="00DF0C24">
      <w:pPr>
        <w:ind w:left="1134" w:hanging="351"/>
        <w:rPr>
          <w:rFonts w:ascii="標楷體" w:eastAsia="標楷體" w:hAnsi="標楷體"/>
          <w:color w:val="000000"/>
        </w:rPr>
      </w:pPr>
      <w:r>
        <w:rPr>
          <w:rFonts w:ascii="標楷體" w:eastAsia="標楷體" w:hAnsi="標楷體"/>
          <w:color w:val="000000"/>
        </w:rPr>
        <w:t>(3)每日至多處方4粒。</w:t>
      </w:r>
    </w:p>
    <w:p w14:paraId="175603EB" w14:textId="77777777" w:rsidR="00BD776B" w:rsidRDefault="00DF0C24">
      <w:pPr>
        <w:ind w:left="1217" w:hanging="425"/>
        <w:rPr>
          <w:rFonts w:ascii="標楷體" w:eastAsia="標楷體" w:hAnsi="標楷體"/>
          <w:color w:val="000000"/>
        </w:rPr>
      </w:pPr>
      <w:r>
        <w:rPr>
          <w:rFonts w:ascii="標楷體" w:eastAsia="標楷體" w:hAnsi="標楷體"/>
          <w:color w:val="000000"/>
        </w:rPr>
        <w:t>(4)Regorafenib與ramucirumab、nivolumab僅能擇一使用，不得互換。(110/5/1)</w:t>
      </w:r>
    </w:p>
    <w:p w14:paraId="59E10451" w14:textId="33A58DB8" w:rsidR="00BD776B" w:rsidRDefault="00DF0C24">
      <w:pPr>
        <w:tabs>
          <w:tab w:val="left" w:pos="1418"/>
        </w:tabs>
        <w:ind w:left="849" w:hanging="566"/>
        <w:rPr>
          <w:rFonts w:ascii="標楷體" w:eastAsia="標楷體" w:hAnsi="標楷體"/>
          <w:color w:val="000000"/>
        </w:rPr>
      </w:pPr>
      <w:r>
        <w:rPr>
          <w:rFonts w:ascii="標楷體" w:eastAsia="標楷體" w:hAnsi="標楷體"/>
          <w:color w:val="000000"/>
        </w:rPr>
        <w:t>9.52.Vemurafenib(如Zelboraf)：(104/11/1、110/3/1</w:t>
      </w:r>
      <w:r w:rsidR="00BB55E5">
        <w:rPr>
          <w:rFonts w:ascii="標楷體" w:eastAsia="標楷體" w:hAnsi="標楷體" w:hint="eastAsia"/>
          <w:color w:val="000000"/>
        </w:rPr>
        <w:t>、113/6/1</w:t>
      </w:r>
      <w:r>
        <w:rPr>
          <w:rFonts w:ascii="標楷體" w:eastAsia="標楷體" w:hAnsi="標楷體"/>
          <w:color w:val="000000"/>
        </w:rPr>
        <w:t>）</w:t>
      </w:r>
    </w:p>
    <w:p w14:paraId="286F8F3D" w14:textId="31487AE5" w:rsidR="00BD776B" w:rsidRDefault="00DF0C24">
      <w:pPr>
        <w:tabs>
          <w:tab w:val="left" w:pos="1418"/>
        </w:tabs>
        <w:ind w:left="849" w:hanging="283"/>
      </w:pPr>
      <w:r>
        <w:rPr>
          <w:rFonts w:ascii="標楷體" w:eastAsia="標楷體" w:hAnsi="標楷體"/>
          <w:color w:val="000000"/>
        </w:rPr>
        <w:t>1.用於治療BRAF V600突變陽性ECOG</w:t>
      </w:r>
      <w:r>
        <w:rPr>
          <w:rFonts w:ascii="Times New Roman" w:eastAsia="標楷體" w:hAnsi="Times New Roman"/>
          <w:color w:val="000000"/>
        </w:rPr>
        <w:t>≤</w:t>
      </w:r>
      <w:r>
        <w:rPr>
          <w:rFonts w:ascii="標楷體" w:eastAsia="標楷體" w:hAnsi="標楷體"/>
          <w:color w:val="000000"/>
        </w:rPr>
        <w:t>2且罹患無法切除(第ⅢC期)或轉移性(第Ⅳ期)黑色素瘤之病人。</w:t>
      </w:r>
      <w:r w:rsidR="00B80AC5" w:rsidRPr="00B80AC5">
        <w:rPr>
          <w:rFonts w:ascii="標楷體" w:eastAsia="標楷體" w:hAnsi="標楷體" w:hint="eastAsia"/>
          <w:color w:val="000000"/>
        </w:rPr>
        <w:t>需檢附BRAF V600基因突變分析檢測報告，且需符合全民健康保險藥品給付規定之通則十二。(113/6/1)</w:t>
      </w:r>
    </w:p>
    <w:p w14:paraId="5AD6DBA5" w14:textId="77777777" w:rsidR="00BD776B" w:rsidRDefault="00DF0C24">
      <w:pPr>
        <w:tabs>
          <w:tab w:val="left" w:pos="1418"/>
        </w:tabs>
        <w:ind w:left="849" w:hanging="283"/>
        <w:rPr>
          <w:rFonts w:ascii="標楷體" w:eastAsia="標楷體" w:hAnsi="標楷體"/>
          <w:color w:val="000000"/>
        </w:rPr>
      </w:pPr>
      <w:r>
        <w:rPr>
          <w:rFonts w:ascii="標楷體" w:eastAsia="標楷體" w:hAnsi="標楷體"/>
          <w:color w:val="000000"/>
        </w:rPr>
        <w:t>2.需經事前審查核准後使用，每次申請療程以三個月為限，如發現病情惡化應停止使用。再申請應檢附前次治療結果評估資料。</w:t>
      </w:r>
    </w:p>
    <w:p w14:paraId="7FB52387" w14:textId="77777777" w:rsidR="00BD776B" w:rsidRDefault="00DF0C24">
      <w:pPr>
        <w:tabs>
          <w:tab w:val="left" w:pos="1418"/>
        </w:tabs>
        <w:ind w:left="849" w:hanging="283"/>
        <w:rPr>
          <w:rFonts w:ascii="標楷體" w:eastAsia="標楷體" w:hAnsi="標楷體"/>
          <w:color w:val="000000"/>
        </w:rPr>
      </w:pPr>
      <w:r>
        <w:rPr>
          <w:rFonts w:ascii="標楷體" w:eastAsia="標楷體" w:hAnsi="標楷體"/>
          <w:color w:val="000000"/>
        </w:rPr>
        <w:t>3.本品與dabrafenib (併用trametinib) 僅能擇一使用，除因耐受性不良，不得互換。(110/3/1）</w:t>
      </w:r>
    </w:p>
    <w:p w14:paraId="6320E308" w14:textId="04740814" w:rsidR="00BD776B" w:rsidRDefault="00DF0C24">
      <w:pPr>
        <w:ind w:left="283"/>
        <w:rPr>
          <w:rFonts w:ascii="標楷體" w:eastAsia="標楷體" w:hAnsi="標楷體"/>
          <w:color w:val="000000"/>
        </w:rPr>
      </w:pPr>
      <w:r>
        <w:rPr>
          <w:rFonts w:ascii="標楷體" w:eastAsia="標楷體" w:hAnsi="標楷體"/>
          <w:color w:val="000000"/>
        </w:rPr>
        <w:t>9.53.Panitumumab（如Vectibix）：(105/4/1、107/6/1、110/6/1</w:t>
      </w:r>
      <w:r w:rsidR="00A727C8">
        <w:rPr>
          <w:rFonts w:ascii="標楷體" w:eastAsia="標楷體" w:hAnsi="標楷體" w:hint="eastAsia"/>
          <w:color w:val="000000"/>
        </w:rPr>
        <w:t>、113/6/1</w:t>
      </w:r>
      <w:r>
        <w:rPr>
          <w:rFonts w:ascii="標楷體" w:eastAsia="標楷體" w:hAnsi="標楷體"/>
          <w:color w:val="000000"/>
        </w:rPr>
        <w:t>)</w:t>
      </w:r>
    </w:p>
    <w:p w14:paraId="7FB2A6CF" w14:textId="38A87377" w:rsidR="00BD776B" w:rsidRDefault="00DF0C24">
      <w:pPr>
        <w:ind w:left="809" w:hanging="245"/>
        <w:rPr>
          <w:rFonts w:ascii="標楷體" w:eastAsia="標楷體" w:hAnsi="標楷體"/>
          <w:color w:val="000000"/>
        </w:rPr>
      </w:pPr>
      <w:r>
        <w:rPr>
          <w:rFonts w:ascii="標楷體" w:eastAsia="標楷體" w:hAnsi="標楷體"/>
          <w:color w:val="000000"/>
        </w:rPr>
        <w:t>1.與FOLFOX（folinicacid/ 5-fluorouracil/oxaliplatin）或FOLFIRI（folinicacid/ 5-fluorouracil/irinotecan）合併使用於治療K-RAS基因及N-RAS基因沒有突變之轉移性直腸結腸癌病患之第一線治療。</w:t>
      </w:r>
      <w:r w:rsidR="00C61804" w:rsidRPr="00C61804">
        <w:rPr>
          <w:rFonts w:ascii="標楷體" w:eastAsia="標楷體" w:hAnsi="標楷體" w:hint="eastAsia"/>
          <w:color w:val="000000"/>
        </w:rPr>
        <w:t>需檢附All-RAS基因突變分析檢測報告，且需符合全民健康保險藥品給付規定之通則十二。(98/8/1、110/6/1、113/6/1)</w:t>
      </w:r>
    </w:p>
    <w:p w14:paraId="03B64B8A" w14:textId="77777777" w:rsidR="00BD776B" w:rsidRDefault="00DF0C24">
      <w:pPr>
        <w:ind w:left="809" w:hanging="245"/>
        <w:rPr>
          <w:rFonts w:ascii="標楷體" w:eastAsia="標楷體" w:hAnsi="標楷體"/>
          <w:color w:val="000000"/>
        </w:rPr>
      </w:pPr>
      <w:r>
        <w:rPr>
          <w:rFonts w:ascii="標楷體" w:eastAsia="標楷體" w:hAnsi="標楷體"/>
          <w:color w:val="000000"/>
        </w:rPr>
        <w:t>2.本藥品需經事前審查核准後使用，每次申請事前審查之療程以18週為限，再次申請必須提出客觀證據(如：影像學)證實無惡化，才可繼續使用。</w:t>
      </w:r>
    </w:p>
    <w:p w14:paraId="037C95D3" w14:textId="77777777" w:rsidR="00BD776B" w:rsidRDefault="00DF0C24">
      <w:pPr>
        <w:tabs>
          <w:tab w:val="left" w:pos="1418"/>
        </w:tabs>
        <w:ind w:left="809" w:hanging="245"/>
        <w:rPr>
          <w:rFonts w:ascii="標楷體" w:eastAsia="標楷體" w:hAnsi="標楷體"/>
          <w:color w:val="000000"/>
        </w:rPr>
      </w:pPr>
      <w:r>
        <w:rPr>
          <w:rFonts w:ascii="標楷體" w:eastAsia="標楷體" w:hAnsi="標楷體"/>
          <w:color w:val="000000"/>
        </w:rPr>
        <w:t>3.Panitumumab與cetuximab二者僅能擇一使用，唯有在無法忍受化療(其副作用)時方可互換。二者使用總療程合併計算，以全部36週為上限。(107/6/1)</w:t>
      </w:r>
    </w:p>
    <w:p w14:paraId="5D8C64F7" w14:textId="77777777" w:rsidR="00BD776B" w:rsidRDefault="00DF0C24">
      <w:pPr>
        <w:tabs>
          <w:tab w:val="left" w:pos="1418"/>
        </w:tabs>
        <w:ind w:left="809" w:hanging="245"/>
        <w:rPr>
          <w:rFonts w:ascii="標楷體" w:eastAsia="標楷體" w:hAnsi="標楷體"/>
          <w:color w:val="000000"/>
        </w:rPr>
      </w:pPr>
      <w:r>
        <w:rPr>
          <w:rFonts w:ascii="標楷體" w:eastAsia="標楷體" w:hAnsi="標楷體"/>
          <w:color w:val="000000"/>
        </w:rPr>
        <w:t>4.本藥品不得與bevacizumab併用。(107/6/1)</w:t>
      </w:r>
    </w:p>
    <w:p w14:paraId="6E0A431A" w14:textId="325CF8A5" w:rsidR="00BD776B" w:rsidRDefault="00DF0C24">
      <w:pPr>
        <w:tabs>
          <w:tab w:val="left" w:pos="1418"/>
        </w:tabs>
        <w:snapToGrid w:val="0"/>
        <w:ind w:left="720" w:hanging="480"/>
      </w:pPr>
      <w:r>
        <w:rPr>
          <w:rFonts w:ascii="標楷體" w:eastAsia="標楷體" w:hAnsi="標楷體"/>
          <w:color w:val="000000"/>
          <w:szCs w:val="24"/>
        </w:rPr>
        <w:t>9.54.Enzalutamide（如Xtandi）：（105/9/1、106/9/1、108/3/1、109/10/1、110/3/1</w:t>
      </w:r>
      <w:r>
        <w:rPr>
          <w:rFonts w:ascii="標楷體" w:eastAsia="標楷體" w:hAnsi="標楷體"/>
          <w:szCs w:val="24"/>
        </w:rPr>
        <w:t>、110/11/1</w:t>
      </w:r>
      <w:r>
        <w:rPr>
          <w:rFonts w:ascii="標楷體" w:eastAsia="標楷體" w:hAnsi="標楷體"/>
          <w:color w:val="000000"/>
          <w:szCs w:val="24"/>
        </w:rPr>
        <w:t>、111/3/1</w:t>
      </w:r>
      <w:r>
        <w:rPr>
          <w:rFonts w:ascii="標楷體" w:eastAsia="標楷體" w:hAnsi="標楷體"/>
          <w:szCs w:val="24"/>
        </w:rPr>
        <w:t>、112/9/1</w:t>
      </w:r>
      <w:r w:rsidR="00BD03FD">
        <w:rPr>
          <w:rFonts w:ascii="標楷體" w:eastAsia="標楷體" w:hAnsi="標楷體" w:hint="eastAsia"/>
          <w:szCs w:val="24"/>
        </w:rPr>
        <w:t>、113/8/1</w:t>
      </w:r>
      <w:r>
        <w:rPr>
          <w:rFonts w:ascii="標楷體" w:eastAsia="標楷體" w:hAnsi="標楷體"/>
          <w:color w:val="000000"/>
          <w:szCs w:val="24"/>
        </w:rPr>
        <w:t>）</w:t>
      </w:r>
    </w:p>
    <w:p w14:paraId="1ABD2174" w14:textId="77777777" w:rsidR="00BD776B" w:rsidRDefault="00DF0C24">
      <w:pPr>
        <w:snapToGrid w:val="0"/>
        <w:spacing w:line="276" w:lineRule="auto"/>
        <w:ind w:left="851" w:hanging="278"/>
        <w:rPr>
          <w:rFonts w:ascii="標楷體" w:eastAsia="標楷體" w:hAnsi="標楷體"/>
          <w:color w:val="000000"/>
          <w:szCs w:val="24"/>
        </w:rPr>
      </w:pPr>
      <w:r>
        <w:rPr>
          <w:rFonts w:ascii="標楷體" w:eastAsia="標楷體" w:hAnsi="標楷體"/>
          <w:color w:val="000000"/>
          <w:szCs w:val="24"/>
        </w:rPr>
        <w:lastRenderedPageBreak/>
        <w:t>1.治療高風險非轉移性去勢抗性前列腺癌(high risk nmCRPC)的成年男性。(112/9/1)</w:t>
      </w:r>
    </w:p>
    <w:p w14:paraId="64B90CEB" w14:textId="77777777" w:rsidR="00BD776B" w:rsidRDefault="00DF0C24">
      <w:pPr>
        <w:snapToGrid w:val="0"/>
        <w:spacing w:line="276" w:lineRule="auto"/>
        <w:ind w:left="851"/>
        <w:rPr>
          <w:rFonts w:ascii="標楷體" w:eastAsia="標楷體" w:hAnsi="標楷體"/>
          <w:color w:val="000000"/>
          <w:szCs w:val="24"/>
        </w:rPr>
      </w:pPr>
      <w:r>
        <w:rPr>
          <w:rFonts w:ascii="標楷體" w:eastAsia="標楷體" w:hAnsi="標楷體"/>
          <w:color w:val="000000"/>
          <w:szCs w:val="24"/>
        </w:rPr>
        <w:t>(1)須經事前審查核准後使用。</w:t>
      </w:r>
    </w:p>
    <w:p w14:paraId="2A3192E7" w14:textId="77777777" w:rsidR="00BD776B" w:rsidRDefault="00DF0C24">
      <w:pPr>
        <w:snapToGrid w:val="0"/>
        <w:spacing w:line="276" w:lineRule="auto"/>
        <w:ind w:left="1320" w:hanging="480"/>
        <w:rPr>
          <w:rFonts w:ascii="標楷體" w:eastAsia="標楷體" w:hAnsi="標楷體"/>
          <w:color w:val="000000"/>
          <w:szCs w:val="24"/>
        </w:rPr>
      </w:pPr>
      <w:r>
        <w:rPr>
          <w:rFonts w:ascii="標楷體" w:eastAsia="標楷體" w:hAnsi="標楷體"/>
          <w:color w:val="000000"/>
          <w:szCs w:val="24"/>
        </w:rPr>
        <w:t>(2)初次申請時需檢附病理報告、使用雄性素去除療法紀錄，系列PSA和睪固酮數據，三個月內影像報告證明無遠端轉移。</w:t>
      </w:r>
    </w:p>
    <w:p w14:paraId="4ADD613D" w14:textId="77777777" w:rsidR="00BD776B" w:rsidRDefault="00DF0C24">
      <w:pPr>
        <w:snapToGrid w:val="0"/>
        <w:spacing w:line="276" w:lineRule="auto"/>
        <w:ind w:left="851"/>
        <w:rPr>
          <w:rFonts w:ascii="標楷體" w:eastAsia="標楷體" w:hAnsi="標楷體"/>
          <w:color w:val="000000"/>
          <w:szCs w:val="24"/>
        </w:rPr>
      </w:pPr>
      <w:r>
        <w:rPr>
          <w:rFonts w:ascii="標楷體" w:eastAsia="標楷體" w:hAnsi="標楷體"/>
          <w:color w:val="000000"/>
          <w:szCs w:val="24"/>
        </w:rPr>
        <w:t>(3)ECOG分數須≦1。</w:t>
      </w:r>
    </w:p>
    <w:p w14:paraId="29E83947" w14:textId="77777777" w:rsidR="00BD776B" w:rsidRDefault="00DF0C24">
      <w:pPr>
        <w:snapToGrid w:val="0"/>
        <w:spacing w:line="276" w:lineRule="auto"/>
        <w:ind w:left="1200" w:hanging="360"/>
        <w:rPr>
          <w:rFonts w:ascii="標楷體" w:eastAsia="標楷體" w:hAnsi="標楷體"/>
          <w:color w:val="000000"/>
          <w:szCs w:val="24"/>
        </w:rPr>
      </w:pPr>
      <w:r>
        <w:rPr>
          <w:rFonts w:ascii="標楷體" w:eastAsia="標楷體" w:hAnsi="標楷體"/>
          <w:color w:val="000000"/>
          <w:szCs w:val="24"/>
        </w:rPr>
        <w:t>(4)PSA doubling time≦10個月，PSA倍增之時間，應依線性回歸模型計算，且其參數取得需基於下列原則：</w:t>
      </w:r>
    </w:p>
    <w:p w14:paraId="4CEA23A5"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Ⅰ.至少三個連續PSA測量值，且各測量值皆≧0.2 ng/mL（最高的PSA值必須&gt;1.0ng/ml）。</w:t>
      </w:r>
    </w:p>
    <w:p w14:paraId="4D665C63"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Ⅱ.應包含先前ADT治療期間的測量值，且最少一測量值為最近3個月內測得之PSA數值。</w:t>
      </w:r>
    </w:p>
    <w:p w14:paraId="6AF32DEF"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Ⅲ.第一個和最後一個PSA測量值間隔需≧8週，但≦12個月。</w:t>
      </w:r>
    </w:p>
    <w:p w14:paraId="0E362037" w14:textId="77777777" w:rsidR="00BD776B" w:rsidRDefault="00DF0C24">
      <w:pPr>
        <w:snapToGrid w:val="0"/>
        <w:spacing w:line="276" w:lineRule="auto"/>
        <w:ind w:left="1200" w:hanging="360"/>
        <w:rPr>
          <w:rFonts w:ascii="標楷體" w:eastAsia="標楷體" w:hAnsi="標楷體"/>
          <w:color w:val="000000"/>
          <w:szCs w:val="24"/>
        </w:rPr>
      </w:pPr>
      <w:r>
        <w:rPr>
          <w:rFonts w:ascii="標楷體" w:eastAsia="標楷體" w:hAnsi="標楷體"/>
          <w:color w:val="000000"/>
          <w:szCs w:val="24"/>
        </w:rPr>
        <w:t>(5)每3個月需再次申請，申請之療程以3個月為限。再次申請時，有 PSA progression 者，需檢附影像學報告，若影像學報告證實轉移，則需停藥;無PSA progression 者，則每6個月需檢附影像學報告，若影像學報告證實轉移，則需停藥。</w:t>
      </w:r>
    </w:p>
    <w:p w14:paraId="4D7E9128" w14:textId="77777777" w:rsidR="00BD776B" w:rsidRDefault="00DF0C24">
      <w:pPr>
        <w:tabs>
          <w:tab w:val="left" w:leader="underscore" w:pos="567"/>
        </w:tabs>
        <w:snapToGrid w:val="0"/>
        <w:spacing w:line="276" w:lineRule="auto"/>
        <w:ind w:left="960"/>
        <w:rPr>
          <w:rFonts w:ascii="標楷體" w:eastAsia="標楷體" w:hAnsi="標楷體"/>
          <w:szCs w:val="24"/>
        </w:rPr>
      </w:pPr>
      <w:r>
        <w:rPr>
          <w:rFonts w:ascii="標楷體" w:eastAsia="標楷體" w:hAnsi="標楷體"/>
          <w:szCs w:val="24"/>
        </w:rPr>
        <w:t>註：</w:t>
      </w:r>
    </w:p>
    <w:p w14:paraId="0B9387B2" w14:textId="77777777" w:rsidR="00BD776B" w:rsidRDefault="00DF0C24">
      <w:pPr>
        <w:tabs>
          <w:tab w:val="left" w:leader="underscore" w:pos="567"/>
        </w:tabs>
        <w:snapToGrid w:val="0"/>
        <w:spacing w:line="276" w:lineRule="auto"/>
        <w:ind w:left="960"/>
        <w:rPr>
          <w:rFonts w:ascii="標楷體" w:eastAsia="標楷體" w:hAnsi="標楷體"/>
          <w:szCs w:val="24"/>
        </w:rPr>
      </w:pPr>
      <w:r>
        <w:rPr>
          <w:rFonts w:ascii="標楷體" w:eastAsia="標楷體" w:hAnsi="標楷體"/>
          <w:szCs w:val="24"/>
        </w:rPr>
        <w:t>PSA progression 定義為:PSA下降達最低值(nadir)後，出現 PSA 值上升較 nadir≧25%，且PSA≧2 ng/mL，並於至少3週後，再次抽血確認PSA值有上升趨勢。</w:t>
      </w:r>
    </w:p>
    <w:p w14:paraId="35C97B2D" w14:textId="55268F3F" w:rsidR="00BD776B" w:rsidRDefault="00DF0C24">
      <w:pPr>
        <w:tabs>
          <w:tab w:val="left" w:pos="851"/>
        </w:tabs>
        <w:snapToGrid w:val="0"/>
        <w:spacing w:line="276" w:lineRule="auto"/>
        <w:ind w:left="846" w:hanging="280"/>
      </w:pPr>
      <w:r>
        <w:rPr>
          <w:rFonts w:ascii="標楷體" w:eastAsia="標楷體" w:hAnsi="標楷體"/>
          <w:color w:val="000000"/>
          <w:szCs w:val="24"/>
        </w:rPr>
        <w:t>2.治療高風險轉移性的去勢敏感性前列腺癌(mCSPC)，且與雄性素去除療法併用，總療程以</w:t>
      </w:r>
      <w:r w:rsidR="000B55A5">
        <w:rPr>
          <w:rFonts w:ascii="標楷體" w:eastAsia="標楷體" w:hAnsi="標楷體" w:hint="eastAsia"/>
          <w:color w:val="000000"/>
          <w:szCs w:val="24"/>
        </w:rPr>
        <w:t>36</w:t>
      </w:r>
      <w:r>
        <w:rPr>
          <w:rFonts w:ascii="標楷體" w:eastAsia="標楷體" w:hAnsi="標楷體"/>
          <w:color w:val="000000"/>
          <w:szCs w:val="24"/>
        </w:rPr>
        <w:t>個月為上限。高</w:t>
      </w:r>
      <w:r>
        <w:rPr>
          <w:rFonts w:ascii="標楷體" w:eastAsia="標楷體" w:hAnsi="標楷體"/>
          <w:szCs w:val="24"/>
        </w:rPr>
        <w:t>風險需符合下列三項條件中至少兩項（限Xtandi）：（111/3/1</w:t>
      </w:r>
      <w:r w:rsidR="000B55A5">
        <w:rPr>
          <w:rFonts w:ascii="標楷體" w:eastAsia="標楷體" w:hAnsi="標楷體" w:hint="eastAsia"/>
          <w:szCs w:val="24"/>
        </w:rPr>
        <w:t>、113/8/1</w:t>
      </w:r>
      <w:r>
        <w:rPr>
          <w:rFonts w:ascii="標楷體" w:eastAsia="標楷體" w:hAnsi="標楷體"/>
          <w:szCs w:val="24"/>
        </w:rPr>
        <w:t>）</w:t>
      </w:r>
    </w:p>
    <w:p w14:paraId="0D873A14" w14:textId="77777777" w:rsidR="00BD776B" w:rsidRDefault="00DF0C24">
      <w:pPr>
        <w:tabs>
          <w:tab w:val="left" w:pos="567"/>
        </w:tabs>
        <w:snapToGrid w:val="0"/>
        <w:spacing w:line="276" w:lineRule="auto"/>
        <w:ind w:left="1274" w:hanging="420"/>
      </w:pPr>
      <w:r>
        <w:rPr>
          <w:rFonts w:ascii="標楷體" w:eastAsia="標楷體" w:hAnsi="標楷體"/>
          <w:szCs w:val="24"/>
        </w:rPr>
        <w:t>(1)葛里森分數(Gleason score)</w:t>
      </w:r>
      <w:r>
        <w:rPr>
          <w:rFonts w:ascii="標楷體" w:eastAsia="標楷體" w:hAnsi="標楷體" w:cs="新細明體"/>
          <w:szCs w:val="24"/>
        </w:rPr>
        <w:t>≧</w:t>
      </w:r>
      <w:r>
        <w:rPr>
          <w:rFonts w:ascii="標楷體" w:eastAsia="標楷體" w:hAnsi="標楷體"/>
          <w:szCs w:val="24"/>
        </w:rPr>
        <w:t>8。</w:t>
      </w:r>
    </w:p>
    <w:p w14:paraId="17CBC4BF" w14:textId="0E18095B" w:rsidR="00BD776B" w:rsidRDefault="003C04E4">
      <w:pPr>
        <w:tabs>
          <w:tab w:val="left" w:pos="567"/>
        </w:tabs>
        <w:snapToGrid w:val="0"/>
        <w:spacing w:line="276" w:lineRule="auto"/>
        <w:ind w:left="1274" w:hanging="420"/>
      </w:pPr>
      <w:r w:rsidRPr="003C04E4">
        <w:rPr>
          <w:rFonts w:ascii="標楷體" w:eastAsia="標楷體" w:hAnsi="標楷體" w:hint="eastAsia"/>
          <w:szCs w:val="24"/>
        </w:rPr>
        <w:t>(2)骨骼掃描出現三個(含)以上病灶且至少其中一處以上為非脊柱及非骨盆腔轉移。（111/3/1、113/8/1）</w:t>
      </w:r>
    </w:p>
    <w:p w14:paraId="7F477EB1" w14:textId="77777777" w:rsidR="00BD776B" w:rsidRDefault="00DF0C24">
      <w:pPr>
        <w:tabs>
          <w:tab w:val="left" w:pos="567"/>
        </w:tabs>
        <w:snapToGrid w:val="0"/>
        <w:spacing w:line="276" w:lineRule="auto"/>
        <w:ind w:left="1274" w:hanging="420"/>
        <w:rPr>
          <w:rFonts w:ascii="標楷體" w:eastAsia="標楷體" w:hAnsi="標楷體"/>
          <w:color w:val="000000"/>
          <w:szCs w:val="24"/>
        </w:rPr>
      </w:pPr>
      <w:r>
        <w:rPr>
          <w:rFonts w:ascii="標楷體" w:eastAsia="標楷體" w:hAnsi="標楷體"/>
          <w:color w:val="000000"/>
          <w:szCs w:val="24"/>
        </w:rPr>
        <w:t>(3)出現內臟轉移。</w:t>
      </w:r>
    </w:p>
    <w:p w14:paraId="74D44C0D" w14:textId="77777777" w:rsidR="00BD776B" w:rsidRDefault="00DF0C24">
      <w:pPr>
        <w:tabs>
          <w:tab w:val="left" w:pos="851"/>
        </w:tabs>
        <w:snapToGrid w:val="0"/>
        <w:spacing w:line="276" w:lineRule="auto"/>
        <w:ind w:left="846" w:hanging="280"/>
      </w:pPr>
      <w:r>
        <w:rPr>
          <w:rFonts w:ascii="標楷體" w:eastAsia="標楷體" w:hAnsi="標楷體"/>
          <w:color w:val="000000"/>
          <w:szCs w:val="24"/>
        </w:rPr>
        <w:t>3.治療藥物或手術去勢抗性的轉移性前列腺癌(mCRPC)，且在雄性素去除療法失敗後屬無症狀或輕度症狀(ECOG分數0或1)，未曾接受化學治療者：(106/9/1)</w:t>
      </w:r>
    </w:p>
    <w:p w14:paraId="0F768364" w14:textId="77777777" w:rsidR="00BD776B" w:rsidRDefault="00DF0C24">
      <w:pPr>
        <w:tabs>
          <w:tab w:val="left" w:pos="567"/>
        </w:tabs>
        <w:snapToGrid w:val="0"/>
        <w:spacing w:line="276" w:lineRule="auto"/>
        <w:ind w:left="1274" w:hanging="420"/>
      </w:pPr>
      <w:r>
        <w:rPr>
          <w:rFonts w:ascii="標楷體" w:eastAsia="標楷體" w:hAnsi="標楷體"/>
          <w:color w:val="000000"/>
          <w:szCs w:val="24"/>
        </w:rPr>
        <w:t>(1)若病患先前接受雄性素去除療法時，在小於12個月的時間內演化成去勢抗性前列腺癌(CRPC)，且葛里森分數(Gleason score)</w:t>
      </w:r>
      <w:r>
        <w:rPr>
          <w:rFonts w:ascii="標楷體" w:eastAsia="標楷體" w:hAnsi="標楷體" w:cs="新細明體"/>
          <w:color w:val="000000"/>
          <w:szCs w:val="24"/>
        </w:rPr>
        <w:t>≧</w:t>
      </w:r>
      <w:r>
        <w:rPr>
          <w:rFonts w:ascii="標楷體" w:eastAsia="標楷體" w:hAnsi="標楷體"/>
          <w:color w:val="000000"/>
          <w:szCs w:val="24"/>
        </w:rPr>
        <w:t>8時，不得於使用化學治療前使用enzalutamide。(106/9/1)</w:t>
      </w:r>
    </w:p>
    <w:p w14:paraId="509B3FC3" w14:textId="77777777" w:rsidR="00BD776B" w:rsidRDefault="00DF0C24">
      <w:pPr>
        <w:tabs>
          <w:tab w:val="left" w:pos="567"/>
        </w:tabs>
        <w:snapToGrid w:val="0"/>
        <w:spacing w:line="276" w:lineRule="auto"/>
        <w:ind w:left="1274" w:hanging="420"/>
        <w:rPr>
          <w:rFonts w:ascii="標楷體" w:eastAsia="標楷體" w:hAnsi="標楷體"/>
          <w:color w:val="000000"/>
          <w:szCs w:val="24"/>
        </w:rPr>
      </w:pPr>
      <w:r>
        <w:rPr>
          <w:rFonts w:ascii="標楷體" w:eastAsia="標楷體" w:hAnsi="標楷體"/>
          <w:color w:val="000000"/>
          <w:szCs w:val="24"/>
        </w:rPr>
        <w:t>(2)申請時需另檢附：(106/9/1)</w:t>
      </w:r>
    </w:p>
    <w:p w14:paraId="6EE9EAA9" w14:textId="77777777" w:rsidR="00BD776B" w:rsidRDefault="00DF0C24">
      <w:pPr>
        <w:tabs>
          <w:tab w:val="left" w:pos="567"/>
        </w:tabs>
        <w:snapToGrid w:val="0"/>
        <w:spacing w:line="276" w:lineRule="auto"/>
        <w:ind w:left="1559" w:hanging="280"/>
        <w:rPr>
          <w:rFonts w:ascii="標楷體" w:eastAsia="標楷體" w:hAnsi="標楷體"/>
          <w:color w:val="000000"/>
          <w:szCs w:val="24"/>
        </w:rPr>
      </w:pPr>
      <w:r>
        <w:rPr>
          <w:rFonts w:ascii="標楷體" w:eastAsia="標楷體" w:hAnsi="標楷體"/>
          <w:color w:val="000000"/>
          <w:szCs w:val="24"/>
        </w:rPr>
        <w:t>I.用藥紀錄(證明未常規使用止痛藥物，屬無症狀或輕度症狀)。</w:t>
      </w:r>
    </w:p>
    <w:p w14:paraId="1EDC58E5" w14:textId="77777777" w:rsidR="00BD776B" w:rsidRDefault="00DF0C24">
      <w:pPr>
        <w:tabs>
          <w:tab w:val="left" w:pos="567"/>
        </w:tabs>
        <w:snapToGrid w:val="0"/>
        <w:spacing w:line="276" w:lineRule="auto"/>
        <w:ind w:left="1559" w:hanging="280"/>
        <w:rPr>
          <w:rFonts w:ascii="標楷體" w:eastAsia="標楷體" w:hAnsi="標楷體"/>
          <w:color w:val="000000"/>
          <w:szCs w:val="24"/>
        </w:rPr>
      </w:pPr>
      <w:r>
        <w:rPr>
          <w:rFonts w:ascii="標楷體" w:eastAsia="標楷體" w:hAnsi="標楷體"/>
          <w:color w:val="000000"/>
          <w:szCs w:val="24"/>
        </w:rPr>
        <w:t>II.三個月內影像報告證明無臟器轉移。</w:t>
      </w:r>
    </w:p>
    <w:p w14:paraId="064B1AA4" w14:textId="77777777" w:rsidR="00BD776B" w:rsidRDefault="00DF0C24">
      <w:pPr>
        <w:tabs>
          <w:tab w:val="left" w:pos="851"/>
        </w:tabs>
        <w:snapToGrid w:val="0"/>
        <w:spacing w:line="276" w:lineRule="auto"/>
        <w:ind w:left="846" w:hanging="280"/>
      </w:pPr>
      <w:r>
        <w:rPr>
          <w:rFonts w:ascii="標楷體" w:eastAsia="標楷體" w:hAnsi="標楷體"/>
          <w:color w:val="000000"/>
          <w:szCs w:val="24"/>
        </w:rPr>
        <w:t>4.治療藥物或手術去勢抗性的轉移性前列腺癌(ECOG分數須</w:t>
      </w:r>
      <w:r>
        <w:rPr>
          <w:rFonts w:ascii="標楷體" w:eastAsia="標楷體" w:hAnsi="標楷體" w:cs="新細明體"/>
          <w:color w:val="000000"/>
          <w:szCs w:val="24"/>
        </w:rPr>
        <w:t>≦</w:t>
      </w:r>
      <w:r>
        <w:rPr>
          <w:rFonts w:ascii="標楷體" w:eastAsia="標楷體" w:hAnsi="標楷體"/>
          <w:color w:val="000000"/>
          <w:szCs w:val="24"/>
        </w:rPr>
        <w:t>2)且已使用過docetaxel 2個療程以上治療無效者。</w:t>
      </w:r>
    </w:p>
    <w:p w14:paraId="0A49CA11" w14:textId="77777777" w:rsidR="00BD776B" w:rsidRDefault="00DF0C24">
      <w:pPr>
        <w:tabs>
          <w:tab w:val="left" w:pos="851"/>
        </w:tabs>
        <w:snapToGrid w:val="0"/>
        <w:spacing w:line="276" w:lineRule="auto"/>
        <w:ind w:left="846" w:hanging="280"/>
      </w:pPr>
      <w:r>
        <w:rPr>
          <w:rFonts w:ascii="標楷體" w:eastAsia="標楷體" w:hAnsi="標楷體"/>
          <w:color w:val="000000"/>
          <w:szCs w:val="24"/>
        </w:rPr>
        <w:t>5.前述2、3</w:t>
      </w:r>
      <w:r>
        <w:rPr>
          <w:rFonts w:ascii="標楷體" w:eastAsia="標楷體" w:hAnsi="標楷體"/>
          <w:szCs w:val="24"/>
        </w:rPr>
        <w:t>、4</w:t>
      </w:r>
      <w:r>
        <w:rPr>
          <w:rFonts w:ascii="標楷體" w:eastAsia="標楷體" w:hAnsi="標楷體"/>
          <w:color w:val="000000"/>
          <w:szCs w:val="24"/>
        </w:rPr>
        <w:t>項須經事前審查核准後使用，每3個月需再次申請。（111/3/1、</w:t>
      </w:r>
      <w:r>
        <w:rPr>
          <w:rFonts w:ascii="標楷體" w:eastAsia="標楷體" w:hAnsi="標楷體"/>
          <w:color w:val="000000"/>
          <w:szCs w:val="24"/>
        </w:rPr>
        <w:lastRenderedPageBreak/>
        <w:t>112/9/1）</w:t>
      </w:r>
    </w:p>
    <w:p w14:paraId="4BD9A267" w14:textId="77777777" w:rsidR="00BD776B" w:rsidRDefault="00DF0C24">
      <w:pPr>
        <w:tabs>
          <w:tab w:val="left" w:pos="567"/>
        </w:tabs>
        <w:snapToGrid w:val="0"/>
        <w:spacing w:line="276" w:lineRule="auto"/>
        <w:ind w:left="1274" w:hanging="420"/>
        <w:rPr>
          <w:rFonts w:ascii="標楷體" w:eastAsia="標楷體" w:hAnsi="標楷體"/>
          <w:color w:val="000000"/>
          <w:szCs w:val="24"/>
        </w:rPr>
      </w:pPr>
      <w:r>
        <w:rPr>
          <w:rFonts w:ascii="標楷體" w:eastAsia="標楷體" w:hAnsi="標楷體"/>
          <w:color w:val="000000"/>
          <w:szCs w:val="24"/>
        </w:rPr>
        <w:t>(1)申請時需檢附病理報告、使用雄性素去除療法紀錄及系列PSA和睪固酮數據。(106/9/1)</w:t>
      </w:r>
    </w:p>
    <w:p w14:paraId="7738140B" w14:textId="77777777" w:rsidR="00BD776B" w:rsidRDefault="00DF0C24">
      <w:pPr>
        <w:tabs>
          <w:tab w:val="left" w:pos="567"/>
        </w:tabs>
        <w:snapToGrid w:val="0"/>
        <w:spacing w:line="276" w:lineRule="auto"/>
        <w:ind w:left="1274" w:hanging="420"/>
        <w:rPr>
          <w:rFonts w:ascii="標楷體" w:eastAsia="標楷體" w:hAnsi="標楷體"/>
          <w:color w:val="000000"/>
          <w:szCs w:val="24"/>
        </w:rPr>
      </w:pPr>
      <w:r>
        <w:rPr>
          <w:rFonts w:ascii="標楷體" w:eastAsia="標楷體" w:hAnsi="標楷體"/>
          <w:color w:val="000000"/>
          <w:szCs w:val="24"/>
        </w:rPr>
        <w:t>(2)再申請時若PSA值下降未超過治療前的50%以上，則需停藥。(106/9/1、109/10/1)</w:t>
      </w:r>
    </w:p>
    <w:p w14:paraId="3D65E6E7" w14:textId="77777777" w:rsidR="00BD776B" w:rsidRDefault="00DF0C24">
      <w:pPr>
        <w:tabs>
          <w:tab w:val="left" w:pos="567"/>
        </w:tabs>
        <w:snapToGrid w:val="0"/>
        <w:spacing w:line="276" w:lineRule="auto"/>
        <w:ind w:left="1274" w:hanging="420"/>
      </w:pPr>
      <w:r>
        <w:rPr>
          <w:rFonts w:ascii="標楷體" w:eastAsia="標楷體" w:hAnsi="標楷體"/>
          <w:color w:val="000000"/>
          <w:szCs w:val="24"/>
        </w:rPr>
        <w:t>(3)下降達最低值後之持續追蹤出現PSA較最低值上升50%以上且PSA</w:t>
      </w:r>
      <w:r>
        <w:rPr>
          <w:rFonts w:ascii="標楷體" w:eastAsia="標楷體" w:hAnsi="標楷體" w:cs="新細明體"/>
          <w:color w:val="000000"/>
          <w:szCs w:val="24"/>
        </w:rPr>
        <w:t>≧</w:t>
      </w:r>
      <w:r>
        <w:rPr>
          <w:rFonts w:ascii="標楷體" w:eastAsia="標楷體" w:hAnsi="標楷體"/>
          <w:color w:val="000000"/>
          <w:szCs w:val="24"/>
        </w:rPr>
        <w:t>2ng/ml，則需停藥，但影像學證據尚無疾病進展者，可以繼續使用。(106/9/1、109/10/1)</w:t>
      </w:r>
    </w:p>
    <w:p w14:paraId="0957FDF8" w14:textId="77777777" w:rsidR="00BD776B" w:rsidRDefault="00DF0C24">
      <w:pPr>
        <w:tabs>
          <w:tab w:val="left" w:pos="851"/>
        </w:tabs>
        <w:snapToGrid w:val="0"/>
        <w:spacing w:line="276" w:lineRule="auto"/>
        <w:ind w:left="846" w:hanging="280"/>
      </w:pPr>
      <w:r>
        <w:rPr>
          <w:rFonts w:ascii="標楷體" w:eastAsia="標楷體" w:hAnsi="標楷體"/>
          <w:color w:val="000000"/>
          <w:szCs w:val="24"/>
        </w:rPr>
        <w:t>6.去勢抗性前列腺癌(CRPC)病患若於化學治療前先使用過enzalutamide，當化學治療失敗後不得再申請使用enzalutamide。(106/9/1)</w:t>
      </w:r>
    </w:p>
    <w:p w14:paraId="0FB6C29A" w14:textId="77777777" w:rsidR="00BD776B" w:rsidRDefault="00DF0C24">
      <w:pPr>
        <w:tabs>
          <w:tab w:val="left" w:pos="851"/>
        </w:tabs>
        <w:snapToGrid w:val="0"/>
        <w:spacing w:line="276" w:lineRule="auto"/>
        <w:ind w:left="846" w:hanging="280"/>
      </w:pPr>
      <w:r>
        <w:rPr>
          <w:rFonts w:ascii="標楷體" w:eastAsia="標楷體" w:hAnsi="標楷體"/>
          <w:color w:val="000000"/>
          <w:szCs w:val="24"/>
        </w:rPr>
        <w:t>7.不論病人處於轉移或非轉移的狀態下，終生僅能接受一種治療前列腺癌的新型荷爾蒙藥品(abiraterone、apalutamide、darolutamide和enzalutamide) 且僅能擇一給付，無效後不再給付其他新型荷爾蒙藥品，且除非出現嚴重不耐受反應導致必須永久停止治療的情況，不得互換。(112/9/1)</w:t>
      </w:r>
    </w:p>
    <w:p w14:paraId="71544790" w14:textId="77777777" w:rsidR="00BD776B" w:rsidRDefault="00DF0C24">
      <w:pPr>
        <w:tabs>
          <w:tab w:val="left" w:pos="851"/>
        </w:tabs>
        <w:snapToGrid w:val="0"/>
        <w:ind w:left="846" w:hanging="280"/>
      </w:pPr>
      <w:r>
        <w:rPr>
          <w:rFonts w:ascii="標楷體" w:eastAsia="標楷體" w:hAnsi="標楷體"/>
          <w:color w:val="000000"/>
          <w:szCs w:val="24"/>
        </w:rPr>
        <w:t>8.本品與radium-223 dichloride不得合併使用。(108/3/1)</w:t>
      </w:r>
    </w:p>
    <w:p w14:paraId="494A534D" w14:textId="03489748" w:rsidR="00BD776B" w:rsidRDefault="00DF0C24">
      <w:pPr>
        <w:ind w:left="556" w:hanging="316"/>
        <w:rPr>
          <w:rFonts w:ascii="標楷體" w:eastAsia="標楷體" w:hAnsi="標楷體"/>
          <w:color w:val="000000"/>
        </w:rPr>
      </w:pPr>
      <w:r>
        <w:rPr>
          <w:rFonts w:ascii="標楷體" w:eastAsia="標楷體" w:hAnsi="標楷體"/>
          <w:color w:val="000000"/>
        </w:rPr>
        <w:t>9.55.Ruxolitinib(如Jakavi)：(105/10/1、113/3/1</w:t>
      </w:r>
      <w:r w:rsidR="000D5B13">
        <w:rPr>
          <w:rFonts w:ascii="標楷體" w:eastAsia="標楷體" w:hAnsi="標楷體" w:hint="eastAsia"/>
          <w:color w:val="000000"/>
        </w:rPr>
        <w:t>、113/6/1</w:t>
      </w:r>
      <w:r w:rsidR="00C144A9">
        <w:rPr>
          <w:rFonts w:ascii="標楷體" w:eastAsia="標楷體" w:hAnsi="標楷體" w:hint="eastAsia"/>
          <w:color w:val="000000"/>
        </w:rPr>
        <w:t>、114/1/1</w:t>
      </w:r>
      <w:r>
        <w:rPr>
          <w:rFonts w:ascii="標楷體" w:eastAsia="標楷體" w:hAnsi="標楷體"/>
          <w:color w:val="000000"/>
        </w:rPr>
        <w:t>)</w:t>
      </w:r>
    </w:p>
    <w:p w14:paraId="436A91B5" w14:textId="77777777" w:rsidR="00BD776B" w:rsidRDefault="00DF0C24">
      <w:pPr>
        <w:ind w:left="764" w:hanging="284"/>
        <w:rPr>
          <w:rFonts w:ascii="標楷體" w:eastAsia="標楷體" w:hAnsi="標楷體"/>
          <w:color w:val="000000"/>
        </w:rPr>
      </w:pPr>
      <w:r>
        <w:rPr>
          <w:rFonts w:ascii="標楷體" w:eastAsia="標楷體" w:hAnsi="標楷體"/>
          <w:color w:val="000000"/>
        </w:rPr>
        <w:t>1.用於治療International Working Group(IWG) Consensus Criteria中度風險-2或高風險之骨髓纖維化，包括原發性骨髓纖維化、真性紅血球增多症後骨髓纖維化、或血小板增多症後骨髓纖維化等疾病所造成脾臟腫大(symptomatic splenomegaly)及/或其他相關全身症狀且不適於接受幹細胞移植的病人(stem cell transplantation)。</w:t>
      </w:r>
    </w:p>
    <w:p w14:paraId="6A649356" w14:textId="77777777" w:rsidR="00BD776B" w:rsidRDefault="00DF0C24">
      <w:pPr>
        <w:ind w:left="1180" w:hanging="340"/>
        <w:rPr>
          <w:rFonts w:ascii="標楷體" w:eastAsia="標楷體" w:hAnsi="標楷體"/>
          <w:color w:val="000000"/>
        </w:rPr>
      </w:pPr>
      <w:r>
        <w:rPr>
          <w:rFonts w:ascii="標楷體" w:eastAsia="標楷體" w:hAnsi="標楷體"/>
          <w:color w:val="000000"/>
        </w:rPr>
        <w:t>(1)需經事前審查核准後使用，每次申請之療程以6個月為限，送審時需檢送影像資料及症狀改善之病歷紀錄，每6個月評估一次。</w:t>
      </w:r>
    </w:p>
    <w:p w14:paraId="59E44830" w14:textId="77777777" w:rsidR="00257390" w:rsidRPr="00257390" w:rsidRDefault="00DF0C24" w:rsidP="00257390">
      <w:pPr>
        <w:ind w:left="1180" w:hanging="340"/>
        <w:rPr>
          <w:rFonts w:ascii="標楷體" w:eastAsia="標楷體" w:hAnsi="標楷體"/>
          <w:color w:val="000000"/>
        </w:rPr>
      </w:pPr>
      <w:r>
        <w:rPr>
          <w:rFonts w:ascii="標楷體" w:eastAsia="標楷體" w:hAnsi="標楷體"/>
          <w:color w:val="000000"/>
        </w:rPr>
        <w:t>(2)用</w:t>
      </w:r>
      <w:r w:rsidR="00257390" w:rsidRPr="00257390">
        <w:rPr>
          <w:rFonts w:ascii="標楷體" w:eastAsia="標楷體" w:hAnsi="標楷體"/>
          <w:color w:val="000000"/>
        </w:rPr>
        <w:t xml:space="preserve">藥後第一次評估時，需達到症狀反應(symptom response)或脾臟體積無惡化兩者之一，且同時無AML tranformation，方得以繼續使用。分別定義如下：(113/6/1) </w:t>
      </w:r>
    </w:p>
    <w:p w14:paraId="25B233E1" w14:textId="77777777" w:rsidR="00257390" w:rsidRPr="00257390" w:rsidRDefault="00257390" w:rsidP="00257390">
      <w:pPr>
        <w:ind w:left="1531" w:hanging="397"/>
        <w:rPr>
          <w:rFonts w:ascii="標楷體" w:eastAsia="標楷體" w:hAnsi="標楷體"/>
          <w:color w:val="000000"/>
        </w:rPr>
      </w:pPr>
      <w:r w:rsidRPr="00257390">
        <w:rPr>
          <w:rFonts w:ascii="標楷體" w:eastAsia="標楷體" w:hAnsi="標楷體"/>
          <w:color w:val="000000"/>
        </w:rPr>
        <w:t>Ⅰ.症狀反應：MPN-SAF-TSS分數或MPN-10與治療前基準值相比，需下降超過50%。</w:t>
      </w:r>
    </w:p>
    <w:p w14:paraId="407CFB6E" w14:textId="77777777" w:rsidR="00257390" w:rsidRPr="00257390" w:rsidRDefault="00257390" w:rsidP="00257390">
      <w:pPr>
        <w:ind w:left="1531" w:hanging="397"/>
        <w:rPr>
          <w:rFonts w:ascii="標楷體" w:eastAsia="標楷體" w:hAnsi="標楷體"/>
          <w:color w:val="000000"/>
        </w:rPr>
      </w:pPr>
      <w:r w:rsidRPr="00257390">
        <w:rPr>
          <w:rFonts w:ascii="標楷體" w:eastAsia="標楷體" w:hAnsi="標楷體"/>
          <w:color w:val="000000"/>
        </w:rPr>
        <w:t>Ⅱ.脾臟體積無惡化：使用電腦斷層評估，脾臟長度未增加超過治療前基準值之40%以上(或體積增加未達25%以上)。</w:t>
      </w:r>
    </w:p>
    <w:p w14:paraId="15C689C0" w14:textId="1D3E96F6" w:rsidR="00257390" w:rsidRPr="00257390" w:rsidRDefault="00257390" w:rsidP="00257390">
      <w:pPr>
        <w:ind w:left="1531" w:hanging="397"/>
        <w:rPr>
          <w:rFonts w:ascii="標楷體" w:eastAsia="標楷體" w:hAnsi="標楷體"/>
          <w:color w:val="000000"/>
        </w:rPr>
      </w:pPr>
      <w:r w:rsidRPr="00257390">
        <w:rPr>
          <w:rFonts w:ascii="標楷體" w:eastAsia="標楷體" w:hAnsi="標楷體"/>
          <w:color w:val="000000"/>
        </w:rPr>
        <w:t>Ⅲ.AML transformation：骨髓中之芽細胞</w:t>
      </w:r>
      <w:r w:rsidRPr="00257390">
        <w:rPr>
          <w:rFonts w:ascii="Times New Roman" w:eastAsia="標楷體" w:hAnsi="Times New Roman"/>
          <w:color w:val="000000"/>
        </w:rPr>
        <w:t>≥</w:t>
      </w:r>
      <w:r w:rsidRPr="00257390">
        <w:rPr>
          <w:rFonts w:ascii="標楷體" w:eastAsia="標楷體" w:hAnsi="標楷體"/>
          <w:color w:val="000000"/>
        </w:rPr>
        <w:t>20%或血液中之芽細胞</w:t>
      </w:r>
      <w:r w:rsidRPr="00257390">
        <w:rPr>
          <w:rFonts w:ascii="Times New Roman" w:eastAsia="標楷體" w:hAnsi="Times New Roman"/>
          <w:color w:val="000000"/>
        </w:rPr>
        <w:t>≥</w:t>
      </w:r>
      <w:r w:rsidRPr="00257390">
        <w:rPr>
          <w:rFonts w:ascii="標楷體" w:eastAsia="標楷體" w:hAnsi="標楷體"/>
          <w:color w:val="000000"/>
        </w:rPr>
        <w:t>20%合併芽細胞數值</w:t>
      </w:r>
      <w:r w:rsidRPr="00257390">
        <w:rPr>
          <w:rFonts w:ascii="Times New Roman" w:eastAsia="標楷體" w:hAnsi="Times New Roman"/>
          <w:color w:val="000000"/>
        </w:rPr>
        <w:t>≥</w:t>
      </w:r>
      <w:r w:rsidRPr="00257390">
        <w:rPr>
          <w:rFonts w:ascii="標楷體" w:eastAsia="標楷體" w:hAnsi="標楷體"/>
          <w:color w:val="000000"/>
        </w:rPr>
        <w:t>1</w:t>
      </w:r>
      <m:oMath>
        <m:r>
          <m:rPr>
            <m:sty m:val="p"/>
          </m:rPr>
          <w:rPr>
            <w:rFonts w:ascii="Cambria Math" w:eastAsia="標楷體" w:hAnsi="Cambria Math"/>
            <w:color w:val="000000"/>
          </w:rPr>
          <m:t>×</m:t>
        </m:r>
      </m:oMath>
      <w:r w:rsidRPr="00257390">
        <w:rPr>
          <w:rFonts w:ascii="標楷體" w:eastAsia="標楷體" w:hAnsi="標楷體"/>
          <w:color w:val="000000"/>
        </w:rPr>
        <w:t>10</w:t>
      </w:r>
      <w:r w:rsidRPr="00257390">
        <w:rPr>
          <w:rFonts w:ascii="標楷體" w:eastAsia="標楷體" w:hAnsi="標楷體"/>
          <w:color w:val="000000"/>
          <w:vertAlign w:val="superscript"/>
        </w:rPr>
        <w:t>9</w:t>
      </w:r>
      <w:r w:rsidRPr="00257390">
        <w:rPr>
          <w:rFonts w:ascii="標楷體" w:eastAsia="標楷體" w:hAnsi="標楷體"/>
          <w:color w:val="000000"/>
        </w:rPr>
        <w:t>/L。</w:t>
      </w:r>
    </w:p>
    <w:p w14:paraId="7C9F359B" w14:textId="77777777" w:rsidR="00257390" w:rsidRPr="00257390" w:rsidRDefault="00257390" w:rsidP="00257390">
      <w:pPr>
        <w:ind w:left="1180" w:hanging="340"/>
        <w:rPr>
          <w:rFonts w:ascii="標楷體" w:eastAsia="標楷體" w:hAnsi="標楷體"/>
          <w:color w:val="000000"/>
        </w:rPr>
      </w:pPr>
      <w:r w:rsidRPr="00257390">
        <w:rPr>
          <w:rFonts w:ascii="標楷體" w:eastAsia="標楷體" w:hAnsi="標楷體"/>
          <w:color w:val="000000"/>
        </w:rPr>
        <w:t>(3)用藥後第二次及其後的評估，必須顯示無疾病惡化（無症狀惡化且脾臟體積無惡化，並同時無AML transformation），方得以繼續使用。分別定義如下：(113/6/1)</w:t>
      </w:r>
    </w:p>
    <w:p w14:paraId="02D8779E" w14:textId="77777777" w:rsidR="00257390" w:rsidRPr="00257390" w:rsidRDefault="00257390" w:rsidP="00755887">
      <w:pPr>
        <w:ind w:left="1531" w:hanging="397"/>
        <w:rPr>
          <w:rFonts w:ascii="標楷體" w:eastAsia="標楷體" w:hAnsi="標楷體"/>
          <w:color w:val="000000"/>
        </w:rPr>
      </w:pPr>
      <w:r w:rsidRPr="00257390">
        <w:rPr>
          <w:rFonts w:ascii="標楷體" w:eastAsia="標楷體" w:hAnsi="標楷體"/>
          <w:color w:val="000000"/>
        </w:rPr>
        <w:t>Ⅰ.無症狀惡化：未出現新症狀，且MPN-SAF-TSS分數或MPN-10未超過治療前的基準值。</w:t>
      </w:r>
    </w:p>
    <w:p w14:paraId="4571A910" w14:textId="77777777" w:rsidR="00257390" w:rsidRPr="00257390" w:rsidRDefault="00257390" w:rsidP="00755887">
      <w:pPr>
        <w:ind w:left="1531" w:hanging="397"/>
        <w:rPr>
          <w:rFonts w:ascii="標楷體" w:eastAsia="標楷體" w:hAnsi="標楷體"/>
          <w:color w:val="000000"/>
        </w:rPr>
      </w:pPr>
      <w:r w:rsidRPr="00257390">
        <w:rPr>
          <w:rFonts w:ascii="標楷體" w:eastAsia="標楷體" w:hAnsi="標楷體"/>
          <w:color w:val="000000"/>
        </w:rPr>
        <w:t>Ⅱ.脾臟體積無惡化：使用電腦斷層評估，脾臟長度未增加超過最佳反應(best response)時之脾臟長度40%以上(或體積增加未達25%以上)。</w:t>
      </w:r>
    </w:p>
    <w:p w14:paraId="2F752821" w14:textId="10395332" w:rsidR="00BD776B" w:rsidRDefault="00257390" w:rsidP="00755887">
      <w:pPr>
        <w:ind w:left="1531" w:hanging="397"/>
        <w:rPr>
          <w:rFonts w:ascii="標楷體" w:eastAsia="標楷體" w:hAnsi="標楷體"/>
          <w:color w:val="000000"/>
        </w:rPr>
      </w:pPr>
      <w:r w:rsidRPr="00257390">
        <w:rPr>
          <w:rFonts w:ascii="標楷體" w:eastAsia="標楷體" w:hAnsi="標楷體"/>
          <w:color w:val="000000"/>
        </w:rPr>
        <w:t>Ⅲ.AML transformation：骨髓中之芽細胞</w:t>
      </w:r>
      <w:r w:rsidRPr="00755887">
        <w:rPr>
          <w:rFonts w:ascii="Times New Roman" w:eastAsia="標楷體" w:hAnsi="Times New Roman"/>
          <w:color w:val="000000"/>
        </w:rPr>
        <w:t>≥</w:t>
      </w:r>
      <w:r w:rsidRPr="00257390">
        <w:rPr>
          <w:rFonts w:ascii="標楷體" w:eastAsia="標楷體" w:hAnsi="標楷體"/>
          <w:color w:val="000000"/>
        </w:rPr>
        <w:t>20%或血液中之芽細胞</w:t>
      </w:r>
      <w:r w:rsidRPr="00755887">
        <w:rPr>
          <w:rFonts w:ascii="Times New Roman" w:eastAsia="標楷體" w:hAnsi="Times New Roman"/>
          <w:color w:val="000000"/>
        </w:rPr>
        <w:t>≥</w:t>
      </w:r>
      <w:r w:rsidRPr="00257390">
        <w:rPr>
          <w:rFonts w:ascii="標楷體" w:eastAsia="標楷體" w:hAnsi="標楷體"/>
          <w:color w:val="000000"/>
        </w:rPr>
        <w:t>20%合併芽細胞數值</w:t>
      </w:r>
      <w:r w:rsidRPr="00755887">
        <w:rPr>
          <w:rFonts w:ascii="Times New Roman" w:eastAsia="標楷體" w:hAnsi="Times New Roman"/>
          <w:color w:val="000000"/>
        </w:rPr>
        <w:t>≥</w:t>
      </w:r>
      <w:r w:rsidRPr="00257390">
        <w:rPr>
          <w:rFonts w:ascii="標楷體" w:eastAsia="標楷體" w:hAnsi="標楷體"/>
          <w:color w:val="000000"/>
        </w:rPr>
        <w:t>1</w:t>
      </w:r>
      <m:oMath>
        <m:r>
          <m:rPr>
            <m:sty m:val="p"/>
          </m:rPr>
          <w:rPr>
            <w:rFonts w:ascii="Cambria Math" w:eastAsia="標楷體" w:hAnsi="Cambria Math"/>
            <w:color w:val="000000"/>
          </w:rPr>
          <m:t>×</m:t>
        </m:r>
      </m:oMath>
      <w:bookmarkStart w:id="22" w:name="_Hlk167382316"/>
      <w:r w:rsidRPr="00257390">
        <w:rPr>
          <w:rFonts w:ascii="標楷體" w:eastAsia="標楷體" w:hAnsi="標楷體"/>
          <w:color w:val="000000"/>
        </w:rPr>
        <w:t>10</w:t>
      </w:r>
      <w:r w:rsidRPr="00257390">
        <w:rPr>
          <w:rFonts w:ascii="標楷體" w:eastAsia="標楷體" w:hAnsi="標楷體"/>
          <w:color w:val="000000"/>
          <w:vertAlign w:val="superscript"/>
        </w:rPr>
        <w:t>9</w:t>
      </w:r>
      <w:bookmarkEnd w:id="22"/>
      <w:r w:rsidRPr="00257390">
        <w:rPr>
          <w:rFonts w:ascii="標楷體" w:eastAsia="標楷體" w:hAnsi="標楷體"/>
          <w:color w:val="000000"/>
        </w:rPr>
        <w:t>/L</w:t>
      </w:r>
      <w:r>
        <w:rPr>
          <w:rFonts w:ascii="標楷體" w:eastAsia="標楷體" w:hAnsi="標楷體" w:hint="eastAsia"/>
          <w:color w:val="000000"/>
        </w:rPr>
        <w:t>。</w:t>
      </w:r>
    </w:p>
    <w:p w14:paraId="3C914451" w14:textId="4BBC2EDD" w:rsidR="00BD776B" w:rsidRDefault="00DF0C24">
      <w:pPr>
        <w:ind w:left="1180" w:hanging="340"/>
        <w:rPr>
          <w:rFonts w:ascii="標楷體" w:eastAsia="標楷體" w:hAnsi="標楷體"/>
          <w:color w:val="000000"/>
        </w:rPr>
      </w:pPr>
      <w:r>
        <w:rPr>
          <w:rFonts w:ascii="標楷體" w:eastAsia="標楷體" w:hAnsi="標楷體"/>
          <w:color w:val="000000"/>
        </w:rPr>
        <w:t>(</w:t>
      </w:r>
      <w:r w:rsidR="00257390">
        <w:rPr>
          <w:rFonts w:ascii="標楷體" w:eastAsia="標楷體" w:hAnsi="標楷體"/>
          <w:color w:val="000000"/>
        </w:rPr>
        <w:t>4</w:t>
      </w:r>
      <w:r>
        <w:rPr>
          <w:rFonts w:ascii="標楷體" w:eastAsia="標楷體" w:hAnsi="標楷體"/>
          <w:color w:val="000000"/>
        </w:rPr>
        <w:t>)Jakavi 5mg每日限最多使用4粒，Jakavi 15mg或20mg每日限最多使用2</w:t>
      </w:r>
      <w:r>
        <w:rPr>
          <w:rFonts w:ascii="標楷體" w:eastAsia="標楷體" w:hAnsi="標楷體"/>
          <w:color w:val="000000"/>
        </w:rPr>
        <w:lastRenderedPageBreak/>
        <w:t>粒，且其5mg不得與15mg或20mg併用。</w:t>
      </w:r>
    </w:p>
    <w:p w14:paraId="0D5EB15A" w14:textId="169A3918" w:rsidR="00D2792D" w:rsidRDefault="00D2792D">
      <w:pPr>
        <w:ind w:left="1180" w:hanging="340"/>
        <w:rPr>
          <w:rFonts w:ascii="標楷體" w:eastAsia="標楷體" w:hAnsi="標楷體"/>
          <w:color w:val="000000"/>
        </w:rPr>
      </w:pPr>
      <w:r w:rsidRPr="00D2792D">
        <w:rPr>
          <w:rFonts w:ascii="標楷體" w:eastAsia="標楷體" w:hAnsi="標楷體" w:hint="eastAsia"/>
          <w:color w:val="000000"/>
        </w:rPr>
        <w:t>(5)本藥品與fedratinib用於中度風險或高風險之骨髓纖維化治療時，僅得擇一給付。Fedratinib治療後如疾病惡化不得換用本藥品。(114/1/1)</w:t>
      </w:r>
    </w:p>
    <w:p w14:paraId="2BF6B876" w14:textId="77777777" w:rsidR="00BD776B" w:rsidRDefault="00DF0C24">
      <w:pPr>
        <w:ind w:left="764" w:hanging="284"/>
        <w:rPr>
          <w:rFonts w:ascii="標楷體" w:eastAsia="標楷體" w:hAnsi="標楷體"/>
          <w:color w:val="000000"/>
        </w:rPr>
      </w:pPr>
      <w:r>
        <w:rPr>
          <w:rFonts w:ascii="標楷體" w:eastAsia="標楷體" w:hAnsi="標楷體"/>
          <w:color w:val="000000"/>
        </w:rPr>
        <w:t>2.移植物抗宿主疾病，限用Jakavi 5mg，每日最多使用4 粒。(113/3/1)</w:t>
      </w:r>
    </w:p>
    <w:p w14:paraId="330F42F6" w14:textId="77777777" w:rsidR="00BD776B" w:rsidRDefault="00DF0C24">
      <w:pPr>
        <w:ind w:left="1180" w:hanging="340"/>
        <w:rPr>
          <w:rFonts w:ascii="標楷體" w:eastAsia="標楷體" w:hAnsi="標楷體"/>
          <w:color w:val="000000"/>
        </w:rPr>
      </w:pPr>
      <w:r>
        <w:rPr>
          <w:rFonts w:ascii="標楷體" w:eastAsia="標楷體" w:hAnsi="標楷體"/>
          <w:color w:val="000000"/>
        </w:rPr>
        <w:t>(1)用於治療12歲以上之青少年及成人，且先前曾接受皮質類固醇(corticosteroids)後反應不佳的第2級(含)以上急性移植物抗宿主疾病(acute graft-versus-host disease,GvHD)病人。</w:t>
      </w:r>
    </w:p>
    <w:p w14:paraId="6B88A4C4" w14:textId="77777777" w:rsidR="00BD776B" w:rsidRDefault="00DF0C24">
      <w:pPr>
        <w:ind w:left="1540" w:hanging="340"/>
        <w:rPr>
          <w:rFonts w:ascii="標楷體" w:eastAsia="標楷體" w:hAnsi="標楷體"/>
          <w:color w:val="000000"/>
        </w:rPr>
      </w:pPr>
      <w:r>
        <w:rPr>
          <w:rFonts w:ascii="標楷體" w:eastAsia="標楷體" w:hAnsi="標楷體"/>
          <w:color w:val="000000"/>
        </w:rPr>
        <w:t>Ⅰ.首次治療，可免事前審查，以28天為限，但須於病歷記載診斷、嚴重度評估以及先前藥物治療反應評估。若使用後疾病持續進展，即不得再使用。</w:t>
      </w:r>
    </w:p>
    <w:p w14:paraId="7425E564" w14:textId="77777777" w:rsidR="00BD776B" w:rsidRDefault="00DF0C24">
      <w:pPr>
        <w:ind w:left="1540" w:hanging="340"/>
        <w:rPr>
          <w:rFonts w:ascii="標楷體" w:eastAsia="標楷體" w:hAnsi="標楷體"/>
          <w:color w:val="000000"/>
        </w:rPr>
      </w:pPr>
      <w:r>
        <w:rPr>
          <w:rFonts w:ascii="標楷體" w:eastAsia="標楷體" w:hAnsi="標楷體"/>
          <w:color w:val="000000"/>
        </w:rPr>
        <w:t>Ⅱ.續用時需經事前審查核准後使用，限續申請一次並以2個月為限，申請時須檢附先前治療處方紀錄及療效評估。用藥後，若有疾病持續進展，則應停藥。</w:t>
      </w:r>
    </w:p>
    <w:p w14:paraId="6CDE26A2" w14:textId="77777777" w:rsidR="00BD776B" w:rsidRDefault="00DF0C24">
      <w:pPr>
        <w:ind w:left="1540" w:hanging="340"/>
        <w:rPr>
          <w:rFonts w:ascii="標楷體" w:eastAsia="標楷體" w:hAnsi="標楷體"/>
          <w:color w:val="000000"/>
        </w:rPr>
      </w:pPr>
      <w:r>
        <w:rPr>
          <w:rFonts w:ascii="標楷體" w:eastAsia="標楷體" w:hAnsi="標楷體"/>
          <w:color w:val="000000"/>
        </w:rPr>
        <w:t>Ⅲ.使用總療程以3個月為上限。</w:t>
      </w:r>
    </w:p>
    <w:p w14:paraId="217D180E" w14:textId="77777777" w:rsidR="00BD776B" w:rsidRDefault="00DF0C24">
      <w:pPr>
        <w:ind w:left="1540" w:hanging="340"/>
        <w:rPr>
          <w:rFonts w:ascii="標楷體" w:eastAsia="標楷體" w:hAnsi="標楷體"/>
          <w:color w:val="000000"/>
        </w:rPr>
      </w:pPr>
      <w:r>
        <w:rPr>
          <w:rFonts w:ascii="標楷體" w:eastAsia="標楷體" w:hAnsi="標楷體"/>
          <w:color w:val="000000"/>
        </w:rPr>
        <w:t>Ⅳ.若後續轉變為慢性移植物抗宿主疾病（chronic GvHD）時，需依慢性移植物抗宿主疾病之給付規定申請。</w:t>
      </w:r>
    </w:p>
    <w:p w14:paraId="571086A9" w14:textId="77777777" w:rsidR="00BD776B" w:rsidRDefault="00DF0C24">
      <w:pPr>
        <w:ind w:left="1540" w:hanging="340"/>
        <w:rPr>
          <w:rFonts w:ascii="標楷體" w:eastAsia="標楷體" w:hAnsi="標楷體"/>
          <w:color w:val="000000"/>
        </w:rPr>
      </w:pPr>
      <w:r>
        <w:rPr>
          <w:rFonts w:ascii="標楷體" w:eastAsia="標楷體" w:hAnsi="標楷體"/>
          <w:color w:val="000000"/>
        </w:rPr>
        <w:t>Ⅴ.先前曾接受皮質類固醇（corticosteroids）後反應不佳需符合以下任一條件：</w:t>
      </w:r>
    </w:p>
    <w:p w14:paraId="300AD65D" w14:textId="77777777" w:rsidR="00BD776B" w:rsidRDefault="00DF0C24">
      <w:pPr>
        <w:ind w:left="1900" w:hanging="340"/>
      </w:pPr>
      <w:r>
        <w:rPr>
          <w:rFonts w:ascii="新細明體" w:hAnsi="新細明體" w:cs="新細明體"/>
          <w:color w:val="000000"/>
        </w:rPr>
        <w:t>ⅰ</w:t>
      </w:r>
      <w:r>
        <w:rPr>
          <w:rFonts w:ascii="標楷體" w:eastAsia="標楷體" w:hAnsi="標楷體"/>
          <w:color w:val="000000"/>
        </w:rPr>
        <w:t>.≧1mg/kg/day methylprednisolone (or equivalent prednisone dose) 3天後，疾病仍持續進展。</w:t>
      </w:r>
    </w:p>
    <w:p w14:paraId="2ACE86E0" w14:textId="77777777" w:rsidR="00BD776B" w:rsidRDefault="00DF0C24">
      <w:pPr>
        <w:ind w:left="1900" w:hanging="340"/>
      </w:pPr>
      <w:r>
        <w:rPr>
          <w:rFonts w:ascii="新細明體" w:hAnsi="新細明體" w:cs="新細明體"/>
          <w:color w:val="000000"/>
        </w:rPr>
        <w:t>ⅱ</w:t>
      </w:r>
      <w:r>
        <w:rPr>
          <w:rFonts w:ascii="標楷體" w:eastAsia="標楷體" w:hAnsi="標楷體"/>
          <w:color w:val="000000"/>
        </w:rPr>
        <w:t>.≧1mg/kg/day methylprednisolone (or equivalent prednisone dose) 開始的5天後未見改善。</w:t>
      </w:r>
    </w:p>
    <w:p w14:paraId="50191817" w14:textId="77777777" w:rsidR="00BD776B" w:rsidRDefault="00DF0C24">
      <w:pPr>
        <w:ind w:left="1900" w:hanging="340"/>
      </w:pPr>
      <w:r>
        <w:rPr>
          <w:rFonts w:ascii="新細明體" w:hAnsi="新細明體" w:cs="新細明體"/>
          <w:color w:val="000000"/>
        </w:rPr>
        <w:t>ⅲ</w:t>
      </w:r>
      <w:r>
        <w:rPr>
          <w:rFonts w:ascii="標楷體" w:eastAsia="標楷體" w:hAnsi="標楷體"/>
          <w:color w:val="000000"/>
        </w:rPr>
        <w:t>.發生皮質類固醇依賴性：在逐漸調降皮質類固醇期間，無法將methylprednisolone (or equivalent prednisone dose)劑量調降&lt;0.5mg/kg/day維持至少7天。</w:t>
      </w:r>
    </w:p>
    <w:p w14:paraId="6DBE0697" w14:textId="77777777" w:rsidR="00BD776B" w:rsidRDefault="00DF0C24">
      <w:pPr>
        <w:ind w:left="1900" w:hanging="340"/>
      </w:pPr>
      <w:r>
        <w:rPr>
          <w:rFonts w:ascii="新細明體" w:hAnsi="新細明體" w:cs="新細明體"/>
          <w:color w:val="000000"/>
        </w:rPr>
        <w:t>ⅳ</w:t>
      </w:r>
      <w:r>
        <w:rPr>
          <w:rFonts w:ascii="標楷體" w:eastAsia="標楷體" w:hAnsi="標楷體"/>
          <w:color w:val="000000"/>
        </w:rPr>
        <w:t>.發生皮質類固醇不耐受性：初始治療後，發生CTCAE G3之嚴重不良反應情形。</w:t>
      </w:r>
    </w:p>
    <w:p w14:paraId="2E0FBFB3" w14:textId="77777777" w:rsidR="00BD776B" w:rsidRDefault="00DF0C24">
      <w:pPr>
        <w:ind w:left="1180" w:hanging="340"/>
        <w:rPr>
          <w:rFonts w:ascii="標楷體" w:eastAsia="標楷體" w:hAnsi="標楷體"/>
          <w:color w:val="000000"/>
        </w:rPr>
      </w:pPr>
      <w:r>
        <w:rPr>
          <w:rFonts w:ascii="標楷體" w:eastAsia="標楷體" w:hAnsi="標楷體"/>
          <w:color w:val="000000"/>
        </w:rPr>
        <w:t>(2)用於治療12歲以上之青少年及成人，且先前曾接受皮質類固醇(corticosteroids)後反應不佳的慢性移植物抗宿主疾病(chronic graft-versus-host disease,GvHD)病人。</w:t>
      </w:r>
    </w:p>
    <w:p w14:paraId="2D39FEC9" w14:textId="77777777" w:rsidR="00BD776B" w:rsidRDefault="00DF0C24">
      <w:pPr>
        <w:ind w:left="1540" w:hanging="340"/>
        <w:rPr>
          <w:rFonts w:ascii="標楷體" w:eastAsia="標楷體" w:hAnsi="標楷體"/>
          <w:color w:val="000000"/>
        </w:rPr>
      </w:pPr>
      <w:r>
        <w:rPr>
          <w:rFonts w:ascii="標楷體" w:eastAsia="標楷體" w:hAnsi="標楷體"/>
          <w:color w:val="000000"/>
        </w:rPr>
        <w:t>Ⅰ.限用於發生肺部之慢性移植物抗宿主疾病，須同時符合下列條件:</w:t>
      </w:r>
    </w:p>
    <w:p w14:paraId="24F026CF" w14:textId="77777777" w:rsidR="00BD776B" w:rsidRDefault="00DF0C24">
      <w:pPr>
        <w:ind w:left="1900" w:hanging="340"/>
      </w:pPr>
      <w:r>
        <w:rPr>
          <w:rFonts w:ascii="新細明體" w:hAnsi="新細明體" w:cs="新細明體"/>
          <w:color w:val="000000"/>
        </w:rPr>
        <w:t>ⅰ</w:t>
      </w:r>
      <w:r>
        <w:rPr>
          <w:rFonts w:ascii="標楷體" w:eastAsia="標楷體" w:hAnsi="標楷體" w:cs="新細明體"/>
          <w:color w:val="000000"/>
        </w:rPr>
        <w:t>.肺功能檢查之FEV1&lt;80%。</w:t>
      </w:r>
    </w:p>
    <w:p w14:paraId="2C0D991C" w14:textId="77777777" w:rsidR="00BD776B" w:rsidRDefault="00DF0C24">
      <w:pPr>
        <w:ind w:left="1900" w:hanging="340"/>
      </w:pPr>
      <w:r>
        <w:rPr>
          <w:rFonts w:ascii="新細明體" w:hAnsi="新細明體" w:cs="新細明體"/>
          <w:color w:val="000000"/>
        </w:rPr>
        <w:t>ⅱ</w:t>
      </w:r>
      <w:r>
        <w:rPr>
          <w:rFonts w:ascii="標楷體" w:eastAsia="標楷體" w:hAnsi="標楷體" w:cs="新細明體"/>
          <w:color w:val="000000"/>
        </w:rPr>
        <w:t>.檢附CT報告帶有 air trapping, small airway thickening或bronchiectasis 等肺部侵犯的表徵。</w:t>
      </w:r>
    </w:p>
    <w:p w14:paraId="20B78CB5" w14:textId="77777777" w:rsidR="00BD776B" w:rsidRDefault="00DF0C24">
      <w:pPr>
        <w:ind w:left="1540" w:hanging="340"/>
        <w:rPr>
          <w:rFonts w:ascii="標楷體" w:eastAsia="標楷體" w:hAnsi="標楷體"/>
          <w:color w:val="000000"/>
        </w:rPr>
      </w:pPr>
      <w:r>
        <w:rPr>
          <w:rFonts w:ascii="標楷體" w:eastAsia="標楷體" w:hAnsi="標楷體"/>
          <w:color w:val="000000"/>
        </w:rPr>
        <w:t>Ⅱ.需經事前審查核准後使用。</w:t>
      </w:r>
    </w:p>
    <w:p w14:paraId="3C9DC4CF" w14:textId="77777777" w:rsidR="00BD776B" w:rsidRDefault="00DF0C24">
      <w:pPr>
        <w:ind w:left="1540" w:hanging="340"/>
        <w:rPr>
          <w:rFonts w:ascii="標楷體" w:eastAsia="標楷體" w:hAnsi="標楷體"/>
          <w:color w:val="000000"/>
        </w:rPr>
      </w:pPr>
      <w:r>
        <w:rPr>
          <w:rFonts w:ascii="標楷體" w:eastAsia="標楷體" w:hAnsi="標楷體"/>
          <w:color w:val="000000"/>
        </w:rPr>
        <w:t>Ⅲ.第一次療程為3個月，續用申請之療程以3個月為限，送審時需檢送療效評估，每3個月評估一次。用藥後，若有疾病持續進展，則不予同意使用。</w:t>
      </w:r>
    </w:p>
    <w:p w14:paraId="0B9416DD" w14:textId="77777777" w:rsidR="00BD776B" w:rsidRDefault="00DF0C24">
      <w:pPr>
        <w:ind w:left="1540" w:hanging="340"/>
        <w:rPr>
          <w:rFonts w:ascii="標楷體" w:eastAsia="標楷體" w:hAnsi="標楷體"/>
          <w:color w:val="000000"/>
        </w:rPr>
      </w:pPr>
      <w:r>
        <w:rPr>
          <w:rFonts w:ascii="標楷體" w:eastAsia="標楷體" w:hAnsi="標楷體"/>
          <w:color w:val="000000"/>
        </w:rPr>
        <w:t>Ⅳ.使用總療程以24個月為上限。</w:t>
      </w:r>
    </w:p>
    <w:p w14:paraId="4B3DD1B5" w14:textId="77777777" w:rsidR="00BD776B" w:rsidRDefault="00DF0C24">
      <w:pPr>
        <w:ind w:left="1540" w:hanging="340"/>
        <w:rPr>
          <w:rFonts w:ascii="標楷體" w:eastAsia="標楷體" w:hAnsi="標楷體"/>
          <w:color w:val="000000"/>
        </w:rPr>
      </w:pPr>
      <w:r>
        <w:rPr>
          <w:rFonts w:ascii="標楷體" w:eastAsia="標楷體" w:hAnsi="標楷體"/>
          <w:color w:val="000000"/>
        </w:rPr>
        <w:t>Ⅴ.先前曾接受皮質類固醇（corticosteroids）後反應不佳需符合以下任一條件：</w:t>
      </w:r>
    </w:p>
    <w:p w14:paraId="1DA2FA27" w14:textId="77777777" w:rsidR="00BD776B" w:rsidRDefault="00DF0C24">
      <w:pPr>
        <w:ind w:left="1900" w:hanging="340"/>
      </w:pPr>
      <w:r>
        <w:rPr>
          <w:rFonts w:ascii="新細明體" w:hAnsi="新細明體" w:cs="新細明體"/>
          <w:color w:val="000000"/>
        </w:rPr>
        <w:t>ⅰ</w:t>
      </w:r>
      <w:r>
        <w:rPr>
          <w:rFonts w:ascii="標楷體" w:eastAsia="標楷體" w:hAnsi="標楷體" w:cs="新細明體"/>
          <w:color w:val="000000"/>
        </w:rPr>
        <w:t xml:space="preserve">.每日施用 </w:t>
      </w:r>
      <w:r>
        <w:rPr>
          <w:rFonts w:ascii="Times New Roman" w:eastAsia="標楷體" w:hAnsi="Times New Roman"/>
          <w:color w:val="000000"/>
        </w:rPr>
        <w:t>≥</w:t>
      </w:r>
      <w:r>
        <w:rPr>
          <w:rFonts w:ascii="標楷體" w:eastAsia="標楷體" w:hAnsi="標楷體" w:cs="新細明體"/>
          <w:color w:val="000000"/>
        </w:rPr>
        <w:t xml:space="preserve"> 0.5 mg/kg/day prednisone 治療至少7天後，疾病仍持續進展。</w:t>
      </w:r>
    </w:p>
    <w:p w14:paraId="10636524" w14:textId="77777777" w:rsidR="00BD776B" w:rsidRDefault="00DF0C24">
      <w:pPr>
        <w:ind w:left="1900" w:hanging="340"/>
      </w:pPr>
      <w:r>
        <w:rPr>
          <w:rFonts w:ascii="新細明體" w:hAnsi="新細明體" w:cs="新細明體"/>
          <w:color w:val="000000"/>
        </w:rPr>
        <w:t>ⅱ</w:t>
      </w:r>
      <w:r>
        <w:rPr>
          <w:rFonts w:ascii="標楷體" w:eastAsia="標楷體" w:hAnsi="標楷體" w:cs="新細明體"/>
          <w:color w:val="000000"/>
        </w:rPr>
        <w:t xml:space="preserve">.每日平均施用 </w:t>
      </w:r>
      <w:r>
        <w:rPr>
          <w:rFonts w:ascii="Times New Roman" w:eastAsia="標楷體" w:hAnsi="Times New Roman"/>
          <w:color w:val="000000"/>
        </w:rPr>
        <w:t>≥</w:t>
      </w:r>
      <w:r>
        <w:rPr>
          <w:rFonts w:ascii="標楷體" w:eastAsia="標楷體" w:hAnsi="標楷體" w:cs="新細明體"/>
          <w:color w:val="000000"/>
        </w:rPr>
        <w:t xml:space="preserve"> 0.5 mg/kg/day prednisone (或隔日</w:t>
      </w:r>
      <w:r>
        <w:rPr>
          <w:rFonts w:ascii="Times New Roman" w:eastAsia="標楷體" w:hAnsi="Times New Roman"/>
          <w:color w:val="000000"/>
        </w:rPr>
        <w:t>≥</w:t>
      </w:r>
      <w:r>
        <w:rPr>
          <w:rFonts w:ascii="標楷體" w:eastAsia="標楷體" w:hAnsi="標楷體" w:cs="新細明體"/>
          <w:color w:val="000000"/>
        </w:rPr>
        <w:t>1 mg/kg) ，</w:t>
      </w:r>
      <w:r>
        <w:rPr>
          <w:rFonts w:ascii="標楷體" w:eastAsia="標楷體" w:hAnsi="標楷體" w:cs="新細明體"/>
          <w:color w:val="000000"/>
        </w:rPr>
        <w:lastRenderedPageBreak/>
        <w:t>治療至少1個月後，疾病仍未改善。</w:t>
      </w:r>
    </w:p>
    <w:p w14:paraId="502BC7AE" w14:textId="77777777" w:rsidR="00BD776B" w:rsidRDefault="00DF0C24">
      <w:pPr>
        <w:ind w:left="1900" w:hanging="340"/>
      </w:pPr>
      <w:r>
        <w:rPr>
          <w:rFonts w:ascii="新細明體" w:hAnsi="新細明體" w:cs="新細明體"/>
          <w:color w:val="000000"/>
        </w:rPr>
        <w:t>ⅲ</w:t>
      </w:r>
      <w:r>
        <w:rPr>
          <w:rFonts w:ascii="標楷體" w:eastAsia="標楷體" w:hAnsi="標楷體" w:cs="新細明體"/>
          <w:color w:val="000000"/>
        </w:rPr>
        <w:t>.發生皮質類固醇依賴性：在逐漸調降皮質類固醇期間，無法將劑量調降至每日0.25 mg/kg 以下維持至少7 天。</w:t>
      </w:r>
    </w:p>
    <w:p w14:paraId="3A98417E" w14:textId="77777777" w:rsidR="00BD776B" w:rsidRDefault="00DF0C24">
      <w:pPr>
        <w:ind w:left="1900" w:hanging="340"/>
      </w:pPr>
      <w:r>
        <w:rPr>
          <w:rFonts w:ascii="新細明體" w:hAnsi="新細明體" w:cs="新細明體"/>
          <w:color w:val="000000"/>
        </w:rPr>
        <w:t>ⅳ</w:t>
      </w:r>
      <w:r>
        <w:rPr>
          <w:rFonts w:ascii="標楷體" w:eastAsia="標楷體" w:hAnsi="標楷體" w:cs="新細明體"/>
          <w:color w:val="000000"/>
        </w:rPr>
        <w:t>.發生皮質類固醇不耐受性:初始治療後，發生 CTCAE G3 嚴重不良反應之情形。</w:t>
      </w:r>
    </w:p>
    <w:p w14:paraId="7E154C19" w14:textId="77777777" w:rsidR="00BD776B" w:rsidRDefault="00DF0C24">
      <w:pPr>
        <w:tabs>
          <w:tab w:val="left" w:pos="1418"/>
        </w:tabs>
        <w:ind w:left="993" w:hanging="654"/>
        <w:rPr>
          <w:rFonts w:ascii="標楷體" w:eastAsia="標楷體" w:hAnsi="標楷體"/>
          <w:color w:val="000000"/>
        </w:rPr>
      </w:pPr>
      <w:r>
        <w:rPr>
          <w:rFonts w:ascii="標楷體" w:eastAsia="標楷體" w:hAnsi="標楷體"/>
          <w:color w:val="000000"/>
        </w:rPr>
        <w:t xml:space="preserve">9.56.Brentuximab vedotin(如Adcetris)：(105/10/1、106/4/1、109/2/1、111/2/1) </w:t>
      </w:r>
    </w:p>
    <w:p w14:paraId="1215464F" w14:textId="77777777" w:rsidR="00BD776B" w:rsidRDefault="00DF0C24">
      <w:pPr>
        <w:tabs>
          <w:tab w:val="left" w:pos="1418"/>
        </w:tabs>
        <w:ind w:left="1133" w:hanging="228"/>
        <w:rPr>
          <w:rFonts w:ascii="標楷體" w:eastAsia="標楷體" w:hAnsi="標楷體"/>
          <w:color w:val="000000"/>
        </w:rPr>
      </w:pPr>
      <w:r>
        <w:rPr>
          <w:rFonts w:ascii="標楷體" w:eastAsia="標楷體" w:hAnsi="標楷體"/>
          <w:color w:val="000000"/>
        </w:rPr>
        <w:t>限用於成人患者：</w:t>
      </w:r>
    </w:p>
    <w:p w14:paraId="5536F57A" w14:textId="77777777" w:rsidR="00BD776B" w:rsidRDefault="00DF0C24">
      <w:pPr>
        <w:ind w:left="993" w:hanging="370"/>
        <w:rPr>
          <w:rFonts w:ascii="標楷體" w:eastAsia="標楷體" w:hAnsi="標楷體"/>
          <w:color w:val="000000"/>
        </w:rPr>
      </w:pPr>
      <w:r>
        <w:rPr>
          <w:rFonts w:ascii="標楷體" w:eastAsia="標楷體" w:hAnsi="標楷體"/>
          <w:color w:val="000000"/>
        </w:rPr>
        <w:t>1.何杰金氏淋巴瘤(HL)：（111/2/1)</w:t>
      </w:r>
    </w:p>
    <w:p w14:paraId="38742CAD" w14:textId="77777777" w:rsidR="00BD776B" w:rsidRDefault="00DF0C24">
      <w:pPr>
        <w:tabs>
          <w:tab w:val="left" w:pos="1418"/>
        </w:tabs>
        <w:ind w:left="1234" w:hanging="370"/>
        <w:rPr>
          <w:rFonts w:ascii="標楷體" w:eastAsia="標楷體" w:hAnsi="標楷體"/>
          <w:color w:val="000000"/>
        </w:rPr>
      </w:pPr>
      <w:r>
        <w:rPr>
          <w:rFonts w:ascii="標楷體" w:eastAsia="標楷體" w:hAnsi="標楷體"/>
          <w:color w:val="000000"/>
        </w:rPr>
        <w:t>(1)與doxorubicin、vinblastine和dacarbazine併用適用於先前未曾接受治療，且IPS (International Prognostic Score)為4-7 分的CD30+第IV期何杰金氏淋巴瘤(HL)成人病人。（111/2/1）</w:t>
      </w:r>
    </w:p>
    <w:p w14:paraId="5BE2BD24" w14:textId="77777777" w:rsidR="00BD776B" w:rsidRDefault="00DF0C24">
      <w:pPr>
        <w:tabs>
          <w:tab w:val="left" w:pos="1418"/>
        </w:tabs>
        <w:ind w:left="1234" w:hanging="370"/>
        <w:rPr>
          <w:rFonts w:ascii="標楷體" w:eastAsia="標楷體" w:hAnsi="標楷體"/>
          <w:color w:val="000000"/>
        </w:rPr>
      </w:pPr>
      <w:r>
        <w:rPr>
          <w:rFonts w:ascii="標楷體" w:eastAsia="標楷體" w:hAnsi="標楷體"/>
          <w:color w:val="000000"/>
        </w:rPr>
        <w:t>(2)CD30+何杰金氏淋巴瘤(HL)病患接受ASCT後仍具有高復發風險之病患：需先前未曾使用過本品，並於ASCT前具有下列任一危險因子者：(109/2/1)</w:t>
      </w:r>
    </w:p>
    <w:p w14:paraId="247EF52E"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Ⅰ.對於第1線治療未達完全緩解。</w:t>
      </w:r>
    </w:p>
    <w:p w14:paraId="3590BD27"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Ⅱ.第1線治療結束後12個月內復發或惡化。</w:t>
      </w:r>
    </w:p>
    <w:p w14:paraId="0CB55A09"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Ⅲ.ASCT前出現的復發具有淋巴結外侵犯。</w:t>
      </w:r>
    </w:p>
    <w:p w14:paraId="244BCF15" w14:textId="77777777" w:rsidR="00BD776B" w:rsidRDefault="00DF0C24">
      <w:pPr>
        <w:tabs>
          <w:tab w:val="left" w:pos="1418"/>
        </w:tabs>
        <w:ind w:left="1234" w:hanging="370"/>
        <w:rPr>
          <w:rFonts w:ascii="標楷體" w:eastAsia="標楷體" w:hAnsi="標楷體"/>
          <w:color w:val="000000"/>
        </w:rPr>
      </w:pPr>
      <w:r>
        <w:rPr>
          <w:rFonts w:ascii="標楷體" w:eastAsia="標楷體" w:hAnsi="標楷體"/>
          <w:color w:val="000000"/>
        </w:rPr>
        <w:t xml:space="preserve">(3)治療復發或頑固型CD30+何杰金氏淋巴瘤(HL)： </w:t>
      </w:r>
    </w:p>
    <w:p w14:paraId="0B541ADE"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Ⅰ.已接受自體幹細胞移植(ASCT)，或</w:t>
      </w:r>
    </w:p>
    <w:p w14:paraId="34978001"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Ⅱ.無法使用ASCT或多重藥物化療，且先前至少已接受兩種治療。</w:t>
      </w:r>
    </w:p>
    <w:p w14:paraId="33167989" w14:textId="77777777" w:rsidR="00BD776B" w:rsidRDefault="00DF0C24">
      <w:pPr>
        <w:tabs>
          <w:tab w:val="left" w:pos="1418"/>
        </w:tabs>
        <w:ind w:left="1234" w:hanging="370"/>
        <w:rPr>
          <w:rFonts w:ascii="標楷體" w:eastAsia="標楷體" w:hAnsi="標楷體"/>
          <w:color w:val="000000"/>
        </w:rPr>
      </w:pPr>
      <w:r>
        <w:rPr>
          <w:rFonts w:ascii="標楷體" w:eastAsia="標楷體" w:hAnsi="標楷體"/>
          <w:color w:val="000000"/>
        </w:rPr>
        <w:t>(4)須經事前審查核准後使用：</w:t>
      </w:r>
    </w:p>
    <w:p w14:paraId="00414814"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Ⅰ.前述(1)之病患：首次申請療程以4個療程為限，再申請應檢附前次治療結果評估資料。若病人病情已達完全緩解，得再給付2個療程；若病情惡化即須停止使用。健保給付以6個療程為上限。(111/2/1)</w:t>
      </w:r>
    </w:p>
    <w:p w14:paraId="6376C96E"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Ⅱ.前述(2)之病患：每次申請療程以4個療程為限，再申請應檢附疾病無惡化之評估資料，若病情惡化即須停止使用。曾依本項核准使用之病患，若之後疾病惡化或復發後將不再給付本藥品。(109/2/1、111/2/1)</w:t>
      </w:r>
    </w:p>
    <w:p w14:paraId="5F1A7A92"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Ⅲ.前述(3)之病患：每次申請療程以4個療程為限，再申請應檢附前次治療結果評估資料。若病人病情已達完全緩解，得再給付4個療程;若病情惡化即須停止使用。(106/4/1、109/2/1、111/2/1)</w:t>
      </w:r>
    </w:p>
    <w:p w14:paraId="15DD13B3" w14:textId="77777777" w:rsidR="00BD776B" w:rsidRDefault="00DF0C24">
      <w:pPr>
        <w:tabs>
          <w:tab w:val="left" w:pos="1418"/>
        </w:tabs>
        <w:ind w:left="1515" w:hanging="370"/>
        <w:rPr>
          <w:rFonts w:ascii="標楷體" w:eastAsia="標楷體" w:hAnsi="標楷體"/>
          <w:color w:val="000000"/>
        </w:rPr>
      </w:pPr>
      <w:r>
        <w:rPr>
          <w:rFonts w:ascii="標楷體" w:eastAsia="標楷體" w:hAnsi="標楷體"/>
          <w:color w:val="000000"/>
        </w:rPr>
        <w:t>Ⅳ.同一病患於前述（1）、（2）及（3）之終身給付療程數以總共16個療程為上限。(111/2/1)</w:t>
      </w:r>
    </w:p>
    <w:p w14:paraId="5D4979A4" w14:textId="77777777" w:rsidR="00BD776B" w:rsidRDefault="00DF0C24">
      <w:pPr>
        <w:tabs>
          <w:tab w:val="left" w:pos="851"/>
        </w:tabs>
        <w:ind w:left="993" w:hanging="370"/>
        <w:rPr>
          <w:rFonts w:ascii="標楷體" w:eastAsia="標楷體" w:hAnsi="標楷體"/>
          <w:color w:val="000000"/>
        </w:rPr>
      </w:pPr>
      <w:r>
        <w:rPr>
          <w:rFonts w:ascii="標楷體" w:eastAsia="標楷體" w:hAnsi="標楷體"/>
          <w:color w:val="000000"/>
        </w:rPr>
        <w:t>2.全身性退行分化型大細胞淋巴瘤(systemic anaplastic large cell lymphoma；sALCL)：（111/2/1)</w:t>
      </w:r>
    </w:p>
    <w:p w14:paraId="66CC6A95" w14:textId="77777777" w:rsidR="00BD776B" w:rsidRDefault="00DF0C24">
      <w:pPr>
        <w:tabs>
          <w:tab w:val="left" w:pos="1418"/>
        </w:tabs>
        <w:ind w:left="1373" w:hanging="370"/>
        <w:rPr>
          <w:rFonts w:ascii="標楷體" w:eastAsia="標楷體" w:hAnsi="標楷體"/>
          <w:color w:val="000000"/>
        </w:rPr>
      </w:pPr>
      <w:r>
        <w:rPr>
          <w:rFonts w:ascii="標楷體" w:eastAsia="標楷體" w:hAnsi="標楷體"/>
          <w:color w:val="000000"/>
        </w:rPr>
        <w:t>(1)與cyclophosphamide、doxorubicin和prednisone併用適用於先前未曾接受治療且為ALK陰性的全身性退行分化型大細胞淋巴瘤(systemic anaplastic large cell lymphoma；sALCL)成人病人。（111/2/1）</w:t>
      </w:r>
    </w:p>
    <w:p w14:paraId="4B21C672" w14:textId="77777777" w:rsidR="00BD776B" w:rsidRDefault="00DF0C24">
      <w:pPr>
        <w:tabs>
          <w:tab w:val="left" w:pos="1418"/>
        </w:tabs>
        <w:ind w:left="1373" w:hanging="370"/>
        <w:rPr>
          <w:rFonts w:ascii="標楷體" w:eastAsia="標楷體" w:hAnsi="標楷體"/>
          <w:color w:val="000000"/>
        </w:rPr>
      </w:pPr>
      <w:r>
        <w:rPr>
          <w:rFonts w:ascii="標楷體" w:eastAsia="標楷體" w:hAnsi="標楷體"/>
          <w:color w:val="000000"/>
        </w:rPr>
        <w:t>(2)治療復發或頑固型全身性退行分化型大細胞淋巴瘤(systemic anaplastic large cell lymphoma；sALCL)。</w:t>
      </w:r>
    </w:p>
    <w:p w14:paraId="69C6E7F7" w14:textId="77777777" w:rsidR="00BD776B" w:rsidRDefault="00DF0C24">
      <w:pPr>
        <w:tabs>
          <w:tab w:val="left" w:pos="1418"/>
        </w:tabs>
        <w:ind w:left="1373" w:hanging="370"/>
        <w:rPr>
          <w:rFonts w:ascii="標楷體" w:eastAsia="標楷體" w:hAnsi="標楷體"/>
          <w:color w:val="000000"/>
        </w:rPr>
      </w:pPr>
      <w:r>
        <w:rPr>
          <w:rFonts w:ascii="標楷體" w:eastAsia="標楷體" w:hAnsi="標楷體"/>
          <w:color w:val="000000"/>
        </w:rPr>
        <w:t>(3)須經事前審查核准後使用：</w:t>
      </w:r>
    </w:p>
    <w:p w14:paraId="0EBDE5CB" w14:textId="77777777" w:rsidR="00BD776B" w:rsidRDefault="00DF0C24">
      <w:pPr>
        <w:tabs>
          <w:tab w:val="left" w:pos="1418"/>
        </w:tabs>
        <w:ind w:left="1373" w:hanging="370"/>
        <w:rPr>
          <w:rFonts w:ascii="標楷體" w:eastAsia="標楷體" w:hAnsi="標楷體"/>
          <w:color w:val="000000"/>
        </w:rPr>
      </w:pPr>
      <w:r>
        <w:rPr>
          <w:rFonts w:ascii="標楷體" w:eastAsia="標楷體" w:hAnsi="標楷體"/>
          <w:color w:val="000000"/>
        </w:rPr>
        <w:t>Ⅰ.前述(1)之病患：首次申請療程以4個療程為限，再申請應檢附前次治療結果評估資料。若病人病情已達完全緩解，得再給付2個療程；若病情惡化即須停止使用。健保給付以6個療程為上限。(111/2/1)</w:t>
      </w:r>
    </w:p>
    <w:p w14:paraId="26256847" w14:textId="77777777" w:rsidR="00BD776B" w:rsidRDefault="00DF0C24">
      <w:pPr>
        <w:tabs>
          <w:tab w:val="left" w:pos="1418"/>
        </w:tabs>
        <w:ind w:left="1373" w:hanging="370"/>
        <w:rPr>
          <w:rFonts w:ascii="標楷體" w:eastAsia="標楷體" w:hAnsi="標楷體"/>
          <w:color w:val="000000"/>
        </w:rPr>
      </w:pPr>
      <w:r>
        <w:rPr>
          <w:rFonts w:ascii="標楷體" w:eastAsia="標楷體" w:hAnsi="標楷體"/>
          <w:color w:val="000000"/>
        </w:rPr>
        <w:t>Ⅱ.前述(2)之病患：每次申請療程以4個療程為限，再申請應檢附前次治療結</w:t>
      </w:r>
      <w:r>
        <w:rPr>
          <w:rFonts w:ascii="標楷體" w:eastAsia="標楷體" w:hAnsi="標楷體"/>
          <w:color w:val="000000"/>
        </w:rPr>
        <w:lastRenderedPageBreak/>
        <w:t>果評估資料。若病人病情已達完全緩解，得再給付4個療程;若病情惡化即須停止使用。(106/4/1、109/2/1、111/2/1)</w:t>
      </w:r>
    </w:p>
    <w:p w14:paraId="041E22DF" w14:textId="77777777" w:rsidR="00BD776B" w:rsidRDefault="00DF0C24">
      <w:pPr>
        <w:tabs>
          <w:tab w:val="left" w:pos="1418"/>
        </w:tabs>
        <w:ind w:left="1373" w:hanging="370"/>
        <w:rPr>
          <w:rFonts w:ascii="標楷體" w:eastAsia="標楷體" w:hAnsi="標楷體"/>
          <w:color w:val="000000"/>
        </w:rPr>
      </w:pPr>
      <w:r>
        <w:rPr>
          <w:rFonts w:ascii="標楷體" w:eastAsia="標楷體" w:hAnsi="標楷體"/>
          <w:color w:val="000000"/>
        </w:rPr>
        <w:t>Ⅲ.同一病患於前述(1)及(2)之終身給付療程數以總共16個療程為上限。(111/2/1)</w:t>
      </w:r>
    </w:p>
    <w:p w14:paraId="132C6589" w14:textId="77777777" w:rsidR="00BD776B" w:rsidRDefault="00DF0C24">
      <w:pPr>
        <w:ind w:left="993" w:hanging="370"/>
        <w:rPr>
          <w:rFonts w:ascii="標楷體" w:eastAsia="標楷體" w:hAnsi="標楷體"/>
          <w:color w:val="000000"/>
        </w:rPr>
      </w:pPr>
      <w:r>
        <w:rPr>
          <w:rFonts w:ascii="標楷體" w:eastAsia="標楷體" w:hAnsi="標楷體"/>
          <w:color w:val="000000"/>
        </w:rPr>
        <w:t>3.CD30+皮膚T細胞淋巴瘤(CTCL)：（111/2/1）</w:t>
      </w:r>
    </w:p>
    <w:p w14:paraId="293FE5CE" w14:textId="77777777" w:rsidR="00BD776B" w:rsidRDefault="00DF0C24">
      <w:pPr>
        <w:tabs>
          <w:tab w:val="left" w:pos="1418"/>
        </w:tabs>
        <w:ind w:left="1234" w:hanging="370"/>
        <w:rPr>
          <w:rFonts w:ascii="標楷體" w:eastAsia="標楷體" w:hAnsi="標楷體"/>
          <w:color w:val="000000"/>
        </w:rPr>
      </w:pPr>
      <w:r>
        <w:rPr>
          <w:rFonts w:ascii="標楷體" w:eastAsia="標楷體" w:hAnsi="標楷體"/>
          <w:color w:val="000000"/>
        </w:rPr>
        <w:t>(1)單獨用於先前已接受照光療法與至少一種靜脈注射型之全身性化學藥物治療的CD30+皮膚T細胞淋巴瘤(CTCL)成人病人，病人須診斷為蕈狀肉芽腫 (MF，第ⅡB期或以上)、Sezary症候群(SS)或原發性皮膚退行分化型大細胞淋巴瘤（pcALCL），且CD30需於超過10%的腫瘤細胞呈現陽性。</w:t>
      </w:r>
    </w:p>
    <w:p w14:paraId="135FC9AF" w14:textId="77777777" w:rsidR="00BD776B" w:rsidRDefault="00DF0C24">
      <w:pPr>
        <w:tabs>
          <w:tab w:val="left" w:pos="1418"/>
        </w:tabs>
        <w:ind w:left="1232" w:hanging="370"/>
        <w:rPr>
          <w:rFonts w:ascii="標楷體" w:eastAsia="標楷體" w:hAnsi="標楷體"/>
          <w:color w:val="000000"/>
        </w:rPr>
      </w:pPr>
      <w:r>
        <w:rPr>
          <w:rFonts w:ascii="標楷體" w:eastAsia="標楷體" w:hAnsi="標楷體"/>
          <w:color w:val="000000"/>
        </w:rPr>
        <w:t>(2)須經事前審查核准後使用，首次申請療程以4個療程為限，再申請應檢附前次治療結果評估資料。若病人病情已達完全緩解，得再給付2個療程；若病情惡化即須停止使用。健保給付以6個療程為上限。</w:t>
      </w:r>
    </w:p>
    <w:p w14:paraId="5CC8FABD" w14:textId="77777777" w:rsidR="00BD776B" w:rsidRDefault="00DF0C24">
      <w:pPr>
        <w:tabs>
          <w:tab w:val="left" w:pos="1418"/>
        </w:tabs>
        <w:ind w:left="895" w:hanging="612"/>
        <w:rPr>
          <w:rFonts w:ascii="標楷體" w:eastAsia="標楷體" w:hAnsi="標楷體"/>
          <w:color w:val="000000"/>
        </w:rPr>
      </w:pPr>
      <w:r>
        <w:rPr>
          <w:rFonts w:ascii="標楷體" w:eastAsia="標楷體" w:hAnsi="標楷體"/>
          <w:color w:val="000000"/>
        </w:rPr>
        <w:t>9.57.Clofarabine（如Evoltra）：（106/1/1、109/12/1）</w:t>
      </w:r>
    </w:p>
    <w:p w14:paraId="25481F65" w14:textId="77777777" w:rsidR="00BD776B" w:rsidRDefault="00DF0C24">
      <w:pPr>
        <w:tabs>
          <w:tab w:val="left" w:pos="1418"/>
        </w:tabs>
        <w:ind w:left="849" w:hanging="283"/>
        <w:rPr>
          <w:rFonts w:ascii="標楷體" w:eastAsia="標楷體" w:hAnsi="標楷體"/>
          <w:color w:val="000000"/>
        </w:rPr>
      </w:pPr>
      <w:r>
        <w:rPr>
          <w:rFonts w:ascii="標楷體" w:eastAsia="標楷體" w:hAnsi="標楷體"/>
          <w:color w:val="000000"/>
        </w:rPr>
        <w:t>1.使用於先前接受至少兩種化療療程(如TPOG之療程表)治療無效或已復發第二次或以上之急性淋巴母細胞白血病(acute lymphoblastic leukemia)病，且計畫進行造血幹細胞移植的病人(限21歲以下)，每位病人限給付一療程。</w:t>
      </w:r>
    </w:p>
    <w:p w14:paraId="5AE92D65" w14:textId="77777777" w:rsidR="00BD776B" w:rsidRDefault="00DF0C24">
      <w:pPr>
        <w:tabs>
          <w:tab w:val="left" w:pos="1418"/>
        </w:tabs>
        <w:ind w:left="849" w:hanging="283"/>
        <w:rPr>
          <w:rFonts w:ascii="標楷體" w:eastAsia="標楷體" w:hAnsi="標楷體"/>
          <w:color w:val="000000"/>
        </w:rPr>
      </w:pPr>
      <w:r>
        <w:rPr>
          <w:rFonts w:ascii="標楷體" w:eastAsia="標楷體" w:hAnsi="標楷體"/>
          <w:color w:val="000000"/>
        </w:rPr>
        <w:t>2.須事前審查核准後使用，申請時須檢附完整之造血幹細胞移植計畫，並詳細記載確認捐贈者名單、確認移植之執行醫院及移植前調適治療等資料。</w:t>
      </w:r>
    </w:p>
    <w:p w14:paraId="3E7F7560" w14:textId="77777777" w:rsidR="00BD776B" w:rsidRDefault="00DF0C24">
      <w:pPr>
        <w:tabs>
          <w:tab w:val="left" w:pos="1418"/>
        </w:tabs>
        <w:ind w:left="849" w:hanging="283"/>
        <w:rPr>
          <w:rFonts w:ascii="標楷體" w:eastAsia="標楷體" w:hAnsi="標楷體"/>
          <w:color w:val="000000"/>
        </w:rPr>
      </w:pPr>
      <w:r>
        <w:rPr>
          <w:rFonts w:ascii="標楷體" w:eastAsia="標楷體" w:hAnsi="標楷體"/>
          <w:color w:val="000000"/>
        </w:rPr>
        <w:t>3.不得與blinatumomab併用。（109/12/1）</w:t>
      </w:r>
    </w:p>
    <w:p w14:paraId="3AC6BD1E" w14:textId="77777777" w:rsidR="00BD776B" w:rsidRDefault="00DF0C24">
      <w:pPr>
        <w:tabs>
          <w:tab w:val="left" w:pos="1418"/>
        </w:tabs>
        <w:ind w:left="849" w:hanging="566"/>
      </w:pPr>
      <w:r>
        <w:rPr>
          <w:rFonts w:ascii="標楷體" w:eastAsia="標楷體" w:hAnsi="標楷體"/>
          <w:color w:val="000000"/>
        </w:rPr>
        <w:t>9.58.Axitinib(如Inlyta)</w:t>
      </w:r>
      <w:r>
        <w:rPr>
          <w:rFonts w:ascii="新細明體" w:hAnsi="新細明體"/>
          <w:color w:val="000000"/>
        </w:rPr>
        <w:t>：</w:t>
      </w:r>
      <w:r>
        <w:rPr>
          <w:rFonts w:ascii="標楷體" w:eastAsia="標楷體" w:hAnsi="標楷體"/>
          <w:color w:val="000000"/>
        </w:rPr>
        <w:t>（106/1/1、108/12/1）</w:t>
      </w:r>
    </w:p>
    <w:p w14:paraId="7551E82F"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1.治療已接受過sunitinib或cytokine治療失敗的晚期腎細胞癌病患。</w:t>
      </w:r>
    </w:p>
    <w:p w14:paraId="62454D6E"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2.無效後則不給付temsirolimus。(108/12/1)</w:t>
      </w:r>
    </w:p>
    <w:p w14:paraId="17B866A1"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3.需經事前審查核准後使用，每次申請之療程以3個月為限，送審時需檢送影像資料，每3個月評估一次。</w:t>
      </w:r>
    </w:p>
    <w:p w14:paraId="1845F706" w14:textId="2BBA58CB" w:rsidR="00BD776B" w:rsidRDefault="00DF0C24">
      <w:pPr>
        <w:tabs>
          <w:tab w:val="left" w:pos="1418"/>
        </w:tabs>
        <w:ind w:left="567" w:hanging="245"/>
      </w:pPr>
      <w:r>
        <w:rPr>
          <w:rFonts w:ascii="標楷體" w:eastAsia="標楷體" w:hAnsi="標楷體"/>
        </w:rPr>
        <w:t>9.59.Ceritinib(如Zykadia)：(106/9/1、106/11/1、108/7/1、108/12/1、111/2/1、111/8/1、112/11/1</w:t>
      </w:r>
      <w:r w:rsidR="0097588C">
        <w:rPr>
          <w:rFonts w:ascii="標楷體" w:eastAsia="標楷體" w:hAnsi="標楷體" w:hint="eastAsia"/>
        </w:rPr>
        <w:t>、113/6/1</w:t>
      </w:r>
      <w:r>
        <w:rPr>
          <w:rFonts w:ascii="標楷體" w:eastAsia="標楷體" w:hAnsi="標楷體"/>
        </w:rPr>
        <w:t>)</w:t>
      </w:r>
    </w:p>
    <w:p w14:paraId="4F224E10" w14:textId="77777777" w:rsidR="00BD776B" w:rsidRDefault="00DF0C24" w:rsidP="008A7063">
      <w:pPr>
        <w:pStyle w:val="af"/>
        <w:numPr>
          <w:ilvl w:val="0"/>
          <w:numId w:val="25"/>
        </w:numPr>
        <w:suppressAutoHyphens w:val="0"/>
        <w:ind w:left="991"/>
        <w:textAlignment w:val="auto"/>
        <w:rPr>
          <w:rFonts w:ascii="標楷體" w:eastAsia="標楷體" w:hAnsi="標楷體"/>
        </w:rPr>
      </w:pPr>
      <w:r>
        <w:rPr>
          <w:rFonts w:ascii="標楷體" w:eastAsia="標楷體" w:hAnsi="標楷體"/>
        </w:rPr>
        <w:t>適用於ALK陽性之晚期非小細胞肺癌第一線治療。(108/7/1、111/8/1)</w:t>
      </w:r>
    </w:p>
    <w:p w14:paraId="72198E15" w14:textId="77777777" w:rsidR="00BD776B" w:rsidRDefault="00DF0C24" w:rsidP="008A7063">
      <w:pPr>
        <w:pStyle w:val="af"/>
        <w:numPr>
          <w:ilvl w:val="0"/>
          <w:numId w:val="25"/>
        </w:numPr>
        <w:suppressAutoHyphens w:val="0"/>
        <w:ind w:left="991"/>
        <w:textAlignment w:val="auto"/>
        <w:rPr>
          <w:rFonts w:ascii="標楷體" w:eastAsia="標楷體" w:hAnsi="標楷體"/>
        </w:rPr>
      </w:pPr>
      <w:r>
        <w:rPr>
          <w:rFonts w:ascii="標楷體" w:eastAsia="標楷體" w:hAnsi="標楷體"/>
        </w:rPr>
        <w:t>須經事前審查核准後使用：</w:t>
      </w:r>
    </w:p>
    <w:p w14:paraId="596CA667" w14:textId="77777777" w:rsidR="00BD776B" w:rsidRDefault="00DF0C24" w:rsidP="008A7063">
      <w:pPr>
        <w:pStyle w:val="af"/>
        <w:numPr>
          <w:ilvl w:val="1"/>
          <w:numId w:val="25"/>
        </w:numPr>
        <w:suppressAutoHyphens w:val="0"/>
        <w:ind w:left="991"/>
        <w:textAlignment w:val="auto"/>
        <w:rPr>
          <w:rFonts w:ascii="標楷體" w:eastAsia="標楷體" w:hAnsi="標楷體"/>
        </w:rPr>
      </w:pPr>
      <w:r>
        <w:rPr>
          <w:rFonts w:ascii="標楷體" w:eastAsia="標楷體" w:hAnsi="標楷體"/>
        </w:rPr>
        <w:t>每次申請事前審查之療程以三個月為限，每三個月需再次申請。</w:t>
      </w:r>
    </w:p>
    <w:p w14:paraId="3838911D" w14:textId="7832F9C7" w:rsidR="00BD776B" w:rsidRDefault="00DF0C24" w:rsidP="008A7063">
      <w:pPr>
        <w:pStyle w:val="af"/>
        <w:numPr>
          <w:ilvl w:val="1"/>
          <w:numId w:val="25"/>
        </w:numPr>
        <w:suppressAutoHyphens w:val="0"/>
        <w:ind w:left="991"/>
        <w:textAlignment w:val="auto"/>
        <w:rPr>
          <w:rFonts w:ascii="標楷體" w:eastAsia="標楷體" w:hAnsi="標楷體"/>
        </w:rPr>
      </w:pPr>
      <w:r>
        <w:rPr>
          <w:rFonts w:ascii="標楷體" w:eastAsia="標楷體" w:hAnsi="標楷體"/>
        </w:rPr>
        <w:t>初次申請時需檢具確實患有非小細胞肺癌之病理或細胞檢查報告</w:t>
      </w:r>
      <w:r w:rsidR="00CB12D6" w:rsidRPr="00CB12D6">
        <w:rPr>
          <w:rFonts w:ascii="標楷體" w:eastAsia="標楷體" w:hAnsi="標楷體" w:hint="eastAsia"/>
        </w:rPr>
        <w:t>及ALK突變檢測報告，且需符合全民健康保險藥品給付規定之通則十二。(108/12/1、111/2/1、113/6/1)</w:t>
      </w:r>
    </w:p>
    <w:p w14:paraId="6D23DB40" w14:textId="77777777" w:rsidR="00BD776B" w:rsidRDefault="00DF0C24" w:rsidP="008A7063">
      <w:pPr>
        <w:pStyle w:val="af"/>
        <w:numPr>
          <w:ilvl w:val="1"/>
          <w:numId w:val="25"/>
        </w:numPr>
        <w:suppressAutoHyphens w:val="0"/>
        <w:ind w:left="991"/>
        <w:textAlignment w:val="auto"/>
        <w:rPr>
          <w:rFonts w:ascii="標楷體" w:eastAsia="標楷體" w:hAnsi="標楷體"/>
        </w:rPr>
      </w:pPr>
      <w:r>
        <w:rPr>
          <w:rFonts w:ascii="標楷體" w:eastAsia="標楷體" w:hAnsi="標楷體"/>
        </w:rPr>
        <w:t>再次申請時並需附上治療後相關臨床資料，如給藥4週後，需追蹤胸部X光或電腦斷層等影像檢查評估療效，往後每4週做胸部X光檢查，每3個月需追蹤其作為評估藥效的影像（如胸部X光或電腦斷層），若病情惡化即不得再次申請。(108/12/1、112/11/1)</w:t>
      </w:r>
    </w:p>
    <w:p w14:paraId="139F1EAA" w14:textId="77777777" w:rsidR="00BD776B" w:rsidRDefault="00DF0C24" w:rsidP="008A7063">
      <w:pPr>
        <w:pStyle w:val="af"/>
        <w:numPr>
          <w:ilvl w:val="0"/>
          <w:numId w:val="25"/>
        </w:numPr>
        <w:suppressAutoHyphens w:val="0"/>
        <w:ind w:left="991"/>
        <w:textAlignment w:val="auto"/>
        <w:rPr>
          <w:rFonts w:ascii="標楷體" w:eastAsia="標楷體" w:hAnsi="標楷體"/>
        </w:rPr>
      </w:pPr>
      <w:r>
        <w:rPr>
          <w:rFonts w:ascii="標楷體" w:eastAsia="標楷體" w:hAnsi="標楷體"/>
        </w:rPr>
        <w:t>Ceritinib與crizotinib、alectinib、brigatinib、lorlatinib用於ALK陽性之晚期非小細胞肺癌第一線治療時，僅得擇一使用，除因病人使用後，發生嚴重不良反應或耐受不良之情形外，不得互換。(108/7/1、108/12/1、111/8/1、112/11/1)</w:t>
      </w:r>
    </w:p>
    <w:p w14:paraId="5A680F56" w14:textId="77777777" w:rsidR="00BD776B" w:rsidRDefault="00DF0C24" w:rsidP="008A7063">
      <w:pPr>
        <w:pStyle w:val="af"/>
        <w:numPr>
          <w:ilvl w:val="0"/>
          <w:numId w:val="25"/>
        </w:numPr>
        <w:suppressAutoHyphens w:val="0"/>
        <w:ind w:left="991"/>
        <w:textAlignment w:val="auto"/>
        <w:rPr>
          <w:rFonts w:ascii="標楷體" w:eastAsia="標楷體" w:hAnsi="標楷體"/>
        </w:rPr>
      </w:pPr>
      <w:r>
        <w:rPr>
          <w:rFonts w:ascii="標楷體" w:eastAsia="標楷體" w:hAnsi="標楷體"/>
        </w:rPr>
        <w:t>每日最大劑量限450mg。(108/7/1)</w:t>
      </w:r>
    </w:p>
    <w:p w14:paraId="65213D31" w14:textId="655FFADE" w:rsidR="00BD776B" w:rsidRDefault="00DF0C24">
      <w:pPr>
        <w:pStyle w:val="af"/>
        <w:suppressAutoHyphens w:val="0"/>
        <w:ind w:left="883" w:hanging="600"/>
        <w:textAlignment w:val="auto"/>
        <w:rPr>
          <w:rFonts w:ascii="標楷體" w:eastAsia="標楷體" w:hAnsi="標楷體"/>
        </w:rPr>
      </w:pPr>
      <w:r>
        <w:rPr>
          <w:rFonts w:ascii="標楷體" w:eastAsia="標楷體" w:hAnsi="標楷體"/>
        </w:rPr>
        <w:t>9.60.Alectinib(如Alecensa)：(106/11/1、108/12/1、111/2/1、111/8/1、112/11/1</w:t>
      </w:r>
      <w:r w:rsidR="00442987">
        <w:rPr>
          <w:rFonts w:ascii="標楷體" w:eastAsia="標楷體" w:hAnsi="標楷體" w:hint="eastAsia"/>
        </w:rPr>
        <w:t>、113/6/1</w:t>
      </w:r>
      <w:r>
        <w:rPr>
          <w:rFonts w:ascii="標楷體" w:eastAsia="標楷體" w:hAnsi="標楷體"/>
        </w:rPr>
        <w:t>)</w:t>
      </w:r>
    </w:p>
    <w:p w14:paraId="473570AB" w14:textId="77777777" w:rsidR="00BD776B" w:rsidRDefault="00DF0C24" w:rsidP="008A7063">
      <w:pPr>
        <w:pStyle w:val="af"/>
        <w:numPr>
          <w:ilvl w:val="0"/>
          <w:numId w:val="26"/>
        </w:numPr>
        <w:suppressAutoHyphens w:val="0"/>
        <w:ind w:left="884" w:hanging="284"/>
        <w:textAlignment w:val="auto"/>
        <w:rPr>
          <w:rFonts w:ascii="標楷體" w:eastAsia="標楷體" w:hAnsi="標楷體"/>
        </w:rPr>
      </w:pPr>
      <w:r>
        <w:rPr>
          <w:rFonts w:ascii="標楷體" w:eastAsia="標楷體" w:hAnsi="標楷體"/>
        </w:rPr>
        <w:t>適用於ALK陽性之晚期非小細胞肺癌第一線治療。(108/12/1、111/8/1)</w:t>
      </w:r>
    </w:p>
    <w:p w14:paraId="6830313A" w14:textId="77777777" w:rsidR="00BD776B" w:rsidRDefault="00DF0C24" w:rsidP="008A7063">
      <w:pPr>
        <w:pStyle w:val="af"/>
        <w:numPr>
          <w:ilvl w:val="0"/>
          <w:numId w:val="26"/>
        </w:numPr>
        <w:suppressAutoHyphens w:val="0"/>
        <w:ind w:left="884" w:hanging="284"/>
        <w:textAlignment w:val="auto"/>
        <w:rPr>
          <w:rFonts w:ascii="標楷體" w:eastAsia="標楷體" w:hAnsi="標楷體"/>
        </w:rPr>
      </w:pPr>
      <w:r>
        <w:rPr>
          <w:rFonts w:ascii="標楷體" w:eastAsia="標楷體" w:hAnsi="標楷體"/>
        </w:rPr>
        <w:lastRenderedPageBreak/>
        <w:t>須經事前審查核准後使用:</w:t>
      </w:r>
    </w:p>
    <w:p w14:paraId="1BDD677F" w14:textId="77777777" w:rsidR="00BD776B" w:rsidRDefault="00DF0C24" w:rsidP="008A7063">
      <w:pPr>
        <w:pStyle w:val="af"/>
        <w:numPr>
          <w:ilvl w:val="1"/>
          <w:numId w:val="26"/>
        </w:numPr>
        <w:suppressAutoHyphens w:val="0"/>
        <w:ind w:left="1068"/>
        <w:textAlignment w:val="auto"/>
        <w:rPr>
          <w:rFonts w:ascii="標楷體" w:eastAsia="標楷體" w:hAnsi="標楷體"/>
        </w:rPr>
      </w:pPr>
      <w:r>
        <w:rPr>
          <w:rFonts w:ascii="標楷體" w:eastAsia="標楷體" w:hAnsi="標楷體"/>
        </w:rPr>
        <w:t>每次申請事前審查之療程以三個月為限，每三個月需再次申請。</w:t>
      </w:r>
    </w:p>
    <w:p w14:paraId="17D83C6B" w14:textId="79BC99CD" w:rsidR="00BD776B" w:rsidRDefault="00DF0C24" w:rsidP="008A7063">
      <w:pPr>
        <w:pStyle w:val="af"/>
        <w:numPr>
          <w:ilvl w:val="1"/>
          <w:numId w:val="26"/>
        </w:numPr>
        <w:suppressAutoHyphens w:val="0"/>
        <w:ind w:left="1068"/>
        <w:textAlignment w:val="auto"/>
        <w:rPr>
          <w:rFonts w:ascii="標楷體" w:eastAsia="標楷體" w:hAnsi="標楷體"/>
        </w:rPr>
      </w:pPr>
      <w:r>
        <w:rPr>
          <w:rFonts w:ascii="標楷體" w:eastAsia="標楷體" w:hAnsi="標楷體"/>
        </w:rPr>
        <w:t>初次申請時需檢具確實患有非小細胞肺癌之病理或細胞檢查報告</w:t>
      </w:r>
      <w:r w:rsidR="0018357C" w:rsidRPr="0018357C">
        <w:rPr>
          <w:rFonts w:ascii="標楷體" w:eastAsia="標楷體" w:hAnsi="標楷體" w:hint="eastAsia"/>
        </w:rPr>
        <w:t>及ALK突變檢測報告，且需符合全民健康保險藥品給付規定之通則十二。(108/12/1、111/2/1、113/6/1)</w:t>
      </w:r>
    </w:p>
    <w:p w14:paraId="5D92A112" w14:textId="77777777" w:rsidR="00BD776B" w:rsidRDefault="00DF0C24" w:rsidP="008A7063">
      <w:pPr>
        <w:pStyle w:val="af"/>
        <w:numPr>
          <w:ilvl w:val="1"/>
          <w:numId w:val="26"/>
        </w:numPr>
        <w:suppressAutoHyphens w:val="0"/>
        <w:ind w:left="1068"/>
        <w:textAlignment w:val="auto"/>
        <w:rPr>
          <w:rFonts w:ascii="標楷體" w:eastAsia="標楷體" w:hAnsi="標楷體"/>
        </w:rPr>
      </w:pPr>
      <w:r>
        <w:rPr>
          <w:rFonts w:ascii="標楷體" w:eastAsia="標楷體" w:hAnsi="標楷體"/>
        </w:rPr>
        <w:t>再次申請時並需附上治療後相關臨床資料，如給藥4週後，需追蹤胸部X光或電腦斷層等影像檢查評估療效，往後每4週做胸部X光檢查，每3個月需追蹤其作為評估藥效的影像（如胸部X光或電腦斷層），若病情惡化即不得再次申請。(112/11/1)</w:t>
      </w:r>
    </w:p>
    <w:p w14:paraId="5D3A2553" w14:textId="77777777" w:rsidR="00BD776B" w:rsidRDefault="00DF0C24" w:rsidP="008A7063">
      <w:pPr>
        <w:pStyle w:val="af"/>
        <w:numPr>
          <w:ilvl w:val="0"/>
          <w:numId w:val="26"/>
        </w:numPr>
        <w:suppressAutoHyphens w:val="0"/>
        <w:ind w:left="884" w:hanging="284"/>
        <w:textAlignment w:val="auto"/>
        <w:rPr>
          <w:rFonts w:ascii="標楷體" w:eastAsia="標楷體" w:hAnsi="標楷體"/>
        </w:rPr>
      </w:pPr>
      <w:r>
        <w:rPr>
          <w:rFonts w:ascii="標楷體" w:eastAsia="標楷體" w:hAnsi="標楷體"/>
        </w:rPr>
        <w:t>Alectinib與ceritinib、crizotinib、brigatinib、lorlatinib用於ALK陽性之晚期非小細胞肺癌第一線治療時，僅得擇一使用，除因病人使用後，發生嚴重不良反應或耐受不良之情形外，不得互換。(108/12/1、111/8/1、112/11/1)</w:t>
      </w:r>
    </w:p>
    <w:p w14:paraId="1AB6CFAD" w14:textId="77777777" w:rsidR="00BD776B" w:rsidRDefault="00DF0C24" w:rsidP="008A7063">
      <w:pPr>
        <w:pStyle w:val="af"/>
        <w:numPr>
          <w:ilvl w:val="0"/>
          <w:numId w:val="26"/>
        </w:numPr>
        <w:suppressAutoHyphens w:val="0"/>
        <w:ind w:left="600" w:firstLine="0"/>
        <w:textAlignment w:val="auto"/>
        <w:rPr>
          <w:rFonts w:ascii="標楷體" w:eastAsia="標楷體" w:hAnsi="標楷體"/>
        </w:rPr>
      </w:pPr>
      <w:r>
        <w:rPr>
          <w:rFonts w:ascii="標楷體" w:eastAsia="標楷體" w:hAnsi="標楷體"/>
        </w:rPr>
        <w:t>每日最大劑量限1200mg。(108/12/1)</w:t>
      </w:r>
    </w:p>
    <w:p w14:paraId="7249D040" w14:textId="77777777" w:rsidR="00BD776B" w:rsidRDefault="00DF0C24">
      <w:pPr>
        <w:tabs>
          <w:tab w:val="left" w:pos="1418"/>
        </w:tabs>
        <w:ind w:left="851" w:hanging="567"/>
        <w:rPr>
          <w:rFonts w:ascii="標楷體" w:eastAsia="標楷體" w:hAnsi="標楷體"/>
          <w:color w:val="000000"/>
        </w:rPr>
      </w:pPr>
      <w:r>
        <w:rPr>
          <w:rFonts w:ascii="標楷體" w:eastAsia="標楷體" w:hAnsi="標楷體"/>
          <w:color w:val="000000"/>
        </w:rPr>
        <w:t>9.61.Ibrutinib(如Imbruvica)：(106/11/1、108/9/1、111/1/1、112/7/1、112/12/1、113/2/1)</w:t>
      </w:r>
    </w:p>
    <w:p w14:paraId="14C70E21" w14:textId="77777777" w:rsidR="00BD776B" w:rsidRDefault="00DF0C24">
      <w:pPr>
        <w:tabs>
          <w:tab w:val="left" w:pos="1418"/>
        </w:tabs>
        <w:ind w:left="849" w:hanging="283"/>
      </w:pPr>
      <w:r>
        <w:rPr>
          <w:rFonts w:ascii="標楷體" w:eastAsia="標楷體" w:hAnsi="標楷體"/>
          <w:color w:val="000000"/>
        </w:rPr>
        <w:t>1.</w:t>
      </w:r>
      <w:r>
        <w:t xml:space="preserve"> </w:t>
      </w:r>
      <w:r>
        <w:rPr>
          <w:rFonts w:ascii="標楷體" w:eastAsia="標楷體" w:hAnsi="標楷體"/>
          <w:color w:val="000000"/>
        </w:rPr>
        <w:t>單獨使用於先前接受過至少一種化學或標靶治療方式無效或復發的被套細胞淋巴瘤成年病人。（106/11/1、112/7/1、112/12/1)</w:t>
      </w:r>
    </w:p>
    <w:p w14:paraId="3375CA9A" w14:textId="77777777" w:rsidR="00BD776B" w:rsidRDefault="00DF0C24">
      <w:pPr>
        <w:tabs>
          <w:tab w:val="left" w:pos="1418"/>
        </w:tabs>
        <w:ind w:left="1218" w:hanging="367"/>
        <w:rPr>
          <w:rFonts w:ascii="標楷體" w:eastAsia="標楷體" w:hAnsi="標楷體"/>
          <w:color w:val="000000"/>
        </w:rPr>
      </w:pPr>
      <w:r>
        <w:rPr>
          <w:rFonts w:ascii="標楷體" w:eastAsia="標楷體" w:hAnsi="標楷體"/>
          <w:color w:val="000000"/>
        </w:rPr>
        <w:t>(1)需經事前審查核准後使用。首次申請事前審查之療程以4個月為限，之後每3個月需再次申請，再次申請時應檢附前次治療結果評估資料，如影像學檢查報告。</w:t>
      </w:r>
    </w:p>
    <w:p w14:paraId="48EA3BC7" w14:textId="77777777" w:rsidR="00BD776B" w:rsidRDefault="00DF0C24">
      <w:pPr>
        <w:tabs>
          <w:tab w:val="left" w:pos="1418"/>
        </w:tabs>
        <w:ind w:left="1218" w:hanging="367"/>
      </w:pPr>
      <w:r>
        <w:rPr>
          <w:rFonts w:ascii="標楷體" w:eastAsia="標楷體" w:hAnsi="標楷體"/>
          <w:color w:val="000000"/>
        </w:rPr>
        <w:t>(2)</w:t>
      </w:r>
      <w:r>
        <w:t xml:space="preserve"> </w:t>
      </w:r>
      <w:r>
        <w:rPr>
          <w:rFonts w:ascii="標楷體" w:eastAsia="標楷體" w:hAnsi="標楷體"/>
          <w:color w:val="000000"/>
        </w:rPr>
        <w:t xml:space="preserve">若疾病進展，則必須停止使用。（106/11/1、112/7/1) </w:t>
      </w:r>
    </w:p>
    <w:p w14:paraId="5D042638" w14:textId="77777777" w:rsidR="00BD776B" w:rsidRDefault="00DF0C24">
      <w:pPr>
        <w:tabs>
          <w:tab w:val="left" w:pos="1418"/>
        </w:tabs>
        <w:ind w:left="1218" w:hanging="367"/>
        <w:rPr>
          <w:rFonts w:ascii="標楷體" w:eastAsia="標楷體" w:hAnsi="標楷體"/>
          <w:color w:val="000000"/>
        </w:rPr>
      </w:pPr>
      <w:r>
        <w:rPr>
          <w:rFonts w:ascii="標楷體" w:eastAsia="標楷體" w:hAnsi="標楷體"/>
          <w:color w:val="000000"/>
        </w:rPr>
        <w:t>(3)每位病人限給付20個月。(111/1/1)</w:t>
      </w:r>
    </w:p>
    <w:p w14:paraId="033B25E3" w14:textId="77777777" w:rsidR="00BD776B" w:rsidRDefault="00DF0C24">
      <w:pPr>
        <w:tabs>
          <w:tab w:val="left" w:pos="1418"/>
        </w:tabs>
        <w:ind w:left="1218" w:hanging="367"/>
        <w:rPr>
          <w:rFonts w:ascii="標楷體" w:eastAsia="標楷體" w:hAnsi="標楷體"/>
          <w:color w:val="000000"/>
        </w:rPr>
      </w:pPr>
      <w:r>
        <w:rPr>
          <w:rFonts w:ascii="標楷體" w:eastAsia="標楷體" w:hAnsi="標楷體"/>
          <w:color w:val="000000"/>
        </w:rPr>
        <w:t>(4)每日至多處方4粒。(108/9/1)</w:t>
      </w:r>
    </w:p>
    <w:p w14:paraId="0F292C64" w14:textId="77777777" w:rsidR="00BD776B" w:rsidRDefault="00DF0C24">
      <w:pPr>
        <w:tabs>
          <w:tab w:val="left" w:pos="1418"/>
        </w:tabs>
        <w:ind w:left="1218" w:hanging="367"/>
      </w:pPr>
      <w:r>
        <w:rPr>
          <w:rFonts w:ascii="標楷體" w:eastAsia="標楷體" w:hAnsi="標楷體"/>
          <w:color w:val="000000"/>
        </w:rPr>
        <w:t>(5)</w:t>
      </w:r>
      <w:r>
        <w:rPr>
          <w:rFonts w:ascii="標楷體" w:eastAsia="標楷體" w:hAnsi="標楷體"/>
          <w:szCs w:val="24"/>
        </w:rPr>
        <w:t>zanubrutinib、i</w:t>
      </w:r>
      <w:r>
        <w:rPr>
          <w:rFonts w:ascii="標楷體" w:eastAsia="標楷體" w:hAnsi="標楷體"/>
          <w:color w:val="000000"/>
        </w:rPr>
        <w:t>brutinib和acalabrutinib僅能擇一使用，唯有在出現無法忍受其副作用時方可互換。三者使用總療程合併計算，以全部20個月為上限。（112/7/1、112/12/1）</w:t>
      </w:r>
    </w:p>
    <w:p w14:paraId="3998B147" w14:textId="77777777" w:rsidR="00BD776B" w:rsidRDefault="00DF0C24">
      <w:pPr>
        <w:tabs>
          <w:tab w:val="left" w:pos="1418"/>
        </w:tabs>
        <w:ind w:left="849" w:hanging="283"/>
      </w:pPr>
      <w:r>
        <w:rPr>
          <w:rFonts w:ascii="標楷體" w:eastAsia="標楷體" w:hAnsi="標楷體"/>
          <w:color w:val="000000"/>
        </w:rPr>
        <w:t>2.單獨使用於具有17p 缺失的慢性淋巴球性白血病(CLL)</w:t>
      </w:r>
      <w:r>
        <w:t xml:space="preserve"> </w:t>
      </w:r>
      <w:r>
        <w:rPr>
          <w:rFonts w:ascii="標楷體" w:eastAsia="標楷體" w:hAnsi="標楷體"/>
          <w:color w:val="000000"/>
        </w:rPr>
        <w:t>成年患者。(108/9/1、112/7/1、113/2/1)</w:t>
      </w:r>
    </w:p>
    <w:p w14:paraId="31D5BD12" w14:textId="77777777" w:rsidR="00BD776B" w:rsidRDefault="00DF0C24">
      <w:pPr>
        <w:tabs>
          <w:tab w:val="left" w:pos="1418"/>
        </w:tabs>
        <w:ind w:left="1134" w:hanging="283"/>
        <w:rPr>
          <w:rFonts w:ascii="標楷體" w:eastAsia="標楷體" w:hAnsi="標楷體"/>
          <w:color w:val="000000"/>
        </w:rPr>
      </w:pPr>
      <w:r>
        <w:rPr>
          <w:rFonts w:ascii="標楷體" w:eastAsia="標楷體" w:hAnsi="標楷體"/>
          <w:color w:val="000000"/>
        </w:rPr>
        <w:t>(1)開始使用前之疾病狀態需出現下列任一情形：</w:t>
      </w:r>
    </w:p>
    <w:p w14:paraId="6FC331EE" w14:textId="651C088A" w:rsidR="00BD776B" w:rsidRDefault="00DF0C24" w:rsidP="007C436E">
      <w:pPr>
        <w:ind w:left="1418" w:hanging="283"/>
        <w:rPr>
          <w:rFonts w:ascii="標楷體" w:eastAsia="標楷體" w:hAnsi="標楷體"/>
          <w:color w:val="000000"/>
        </w:rPr>
      </w:pPr>
      <w:r>
        <w:rPr>
          <w:rFonts w:ascii="標楷體" w:eastAsia="標楷體" w:hAnsi="標楷體"/>
          <w:color w:val="000000"/>
        </w:rPr>
        <w:t>I.進行性的血液相惡化至Hb &lt; 10.0 gm/dL或PLT &lt; 100 K/uL，且無其他原因可以解釋。</w:t>
      </w:r>
    </w:p>
    <w:p w14:paraId="2E5F61DC" w14:textId="77777777" w:rsidR="00BD776B" w:rsidRDefault="00DF0C24">
      <w:pPr>
        <w:tabs>
          <w:tab w:val="left" w:pos="945"/>
        </w:tabs>
        <w:ind w:left="1418" w:hanging="283"/>
        <w:rPr>
          <w:rFonts w:ascii="標楷體" w:eastAsia="標楷體" w:hAnsi="標楷體"/>
          <w:color w:val="000000"/>
        </w:rPr>
      </w:pPr>
      <w:r>
        <w:rPr>
          <w:rFonts w:ascii="標楷體" w:eastAsia="標楷體" w:hAnsi="標楷體"/>
          <w:color w:val="000000"/>
        </w:rPr>
        <w:t>II.脾臟腫大超過左肋骨下緣6 cm。</w:t>
      </w:r>
    </w:p>
    <w:p w14:paraId="1C3A0C11" w14:textId="77777777" w:rsidR="00BD776B" w:rsidRDefault="00DF0C24">
      <w:pPr>
        <w:ind w:left="1418" w:hanging="283"/>
        <w:rPr>
          <w:rFonts w:ascii="標楷體" w:eastAsia="標楷體" w:hAnsi="標楷體"/>
          <w:color w:val="000000"/>
        </w:rPr>
      </w:pPr>
      <w:r>
        <w:rPr>
          <w:rFonts w:ascii="標楷體" w:eastAsia="標楷體" w:hAnsi="標楷體"/>
          <w:color w:val="000000"/>
        </w:rPr>
        <w:t>III.淋巴結腫大，最長徑超過10 cm。</w:t>
      </w:r>
    </w:p>
    <w:p w14:paraId="79EDA52A" w14:textId="77777777" w:rsidR="00BD776B" w:rsidRDefault="00DF0C24">
      <w:pPr>
        <w:tabs>
          <w:tab w:val="left" w:pos="945"/>
        </w:tabs>
        <w:ind w:left="1418" w:hanging="283"/>
        <w:rPr>
          <w:rFonts w:ascii="標楷體" w:eastAsia="標楷體" w:hAnsi="標楷體"/>
          <w:color w:val="000000"/>
        </w:rPr>
      </w:pPr>
      <w:r>
        <w:rPr>
          <w:rFonts w:ascii="標楷體" w:eastAsia="標楷體" w:hAnsi="標楷體"/>
          <w:color w:val="000000"/>
        </w:rPr>
        <w:t>IV.周邊血液淋巴球在2個月內增加 50%以上，或倍增時間(doubling time)小於6個月。</w:t>
      </w:r>
    </w:p>
    <w:p w14:paraId="2CE636EB" w14:textId="77777777" w:rsidR="00BD776B" w:rsidRDefault="00DF0C24">
      <w:pPr>
        <w:tabs>
          <w:tab w:val="left" w:pos="1418"/>
        </w:tabs>
        <w:ind w:left="1418" w:hanging="283"/>
        <w:rPr>
          <w:rFonts w:ascii="標楷體" w:eastAsia="標楷體" w:hAnsi="標楷體"/>
          <w:color w:val="000000"/>
        </w:rPr>
      </w:pPr>
      <w:r>
        <w:rPr>
          <w:rFonts w:ascii="標楷體" w:eastAsia="標楷體" w:hAnsi="標楷體"/>
          <w:color w:val="000000"/>
        </w:rPr>
        <w:t>V.</w:t>
      </w:r>
      <w:r>
        <w:rPr>
          <w:rFonts w:ascii="標楷體" w:eastAsia="標楷體" w:hAnsi="標楷體"/>
          <w:color w:val="000000"/>
        </w:rPr>
        <w:tab/>
        <w:t>出現自體免疫併發症，且經類固醇治療無效。</w:t>
      </w:r>
    </w:p>
    <w:p w14:paraId="16D59630" w14:textId="77777777" w:rsidR="00BD776B" w:rsidRDefault="00DF0C24">
      <w:pPr>
        <w:tabs>
          <w:tab w:val="left" w:pos="945"/>
        </w:tabs>
        <w:ind w:left="1418" w:hanging="283"/>
        <w:rPr>
          <w:rFonts w:ascii="標楷體" w:eastAsia="標楷體" w:hAnsi="標楷體"/>
          <w:color w:val="000000"/>
        </w:rPr>
      </w:pPr>
      <w:r>
        <w:rPr>
          <w:rFonts w:ascii="標楷體" w:eastAsia="標楷體" w:hAnsi="標楷體"/>
          <w:color w:val="000000"/>
        </w:rPr>
        <w:t>VI.出現具症狀的淋巴結外病灶。</w:t>
      </w:r>
    </w:p>
    <w:p w14:paraId="1AEF677D" w14:textId="77777777" w:rsidR="00BD776B" w:rsidRDefault="00DF0C24">
      <w:pPr>
        <w:tabs>
          <w:tab w:val="left" w:pos="1418"/>
        </w:tabs>
        <w:ind w:left="1246" w:hanging="395"/>
        <w:rPr>
          <w:rFonts w:ascii="標楷體" w:eastAsia="標楷體" w:hAnsi="標楷體"/>
          <w:color w:val="000000"/>
        </w:rPr>
      </w:pPr>
      <w:r>
        <w:rPr>
          <w:rFonts w:ascii="標楷體" w:eastAsia="標楷體" w:hAnsi="標楷體"/>
          <w:color w:val="000000"/>
        </w:rPr>
        <w:t>(2)需經事前審查核准後使用，每3個月需再次申請。再次申請時需檢附療效評估資料，若未達iwCLL (International Workshop on CLL)最新定義之partial remission或complete remission，則不予給付。</w:t>
      </w:r>
    </w:p>
    <w:p w14:paraId="6D61D4CA" w14:textId="77777777" w:rsidR="00BD776B" w:rsidRDefault="00DF0C24">
      <w:pPr>
        <w:tabs>
          <w:tab w:val="left" w:pos="1418"/>
        </w:tabs>
        <w:ind w:left="1190" w:hanging="339"/>
        <w:rPr>
          <w:rFonts w:ascii="標楷體" w:eastAsia="標楷體" w:hAnsi="標楷體"/>
          <w:color w:val="000000"/>
        </w:rPr>
      </w:pPr>
      <w:r>
        <w:rPr>
          <w:rFonts w:ascii="標楷體" w:eastAsia="標楷體" w:hAnsi="標楷體"/>
          <w:color w:val="000000"/>
        </w:rPr>
        <w:t>(3)ibrutinib、acalabrutinib與venetoclax三者僅能擇一使用，唯有在出現無法忍受其副作用時方可互換。三者使用總療程合併計算，以全部24個月為上限。（108/9/1、112/7/1）</w:t>
      </w:r>
    </w:p>
    <w:p w14:paraId="5D2D33EE" w14:textId="77777777" w:rsidR="00BD776B" w:rsidRDefault="00DF0C24">
      <w:pPr>
        <w:tabs>
          <w:tab w:val="left" w:pos="1418"/>
        </w:tabs>
        <w:ind w:left="1190" w:hanging="339"/>
        <w:rPr>
          <w:rFonts w:ascii="標楷體" w:eastAsia="標楷體" w:hAnsi="標楷體"/>
          <w:color w:val="000000"/>
        </w:rPr>
      </w:pPr>
      <w:r>
        <w:rPr>
          <w:rFonts w:ascii="標楷體" w:eastAsia="標楷體" w:hAnsi="標楷體"/>
          <w:color w:val="000000"/>
        </w:rPr>
        <w:lastRenderedPageBreak/>
        <w:t>(4)每日至多處方3粒。</w:t>
      </w:r>
    </w:p>
    <w:p w14:paraId="0CD22649" w14:textId="77777777" w:rsidR="00657E40" w:rsidRPr="006142C0" w:rsidRDefault="00657E40" w:rsidP="00657E40">
      <w:pPr>
        <w:tabs>
          <w:tab w:val="left" w:pos="1418"/>
        </w:tabs>
        <w:ind w:left="851" w:hanging="567"/>
        <w:rPr>
          <w:rFonts w:ascii="標楷體" w:eastAsia="標楷體" w:hAnsi="標楷體"/>
          <w:color w:val="000000"/>
        </w:rPr>
      </w:pPr>
      <w:r w:rsidRPr="006142C0">
        <w:rPr>
          <w:rFonts w:ascii="標楷體" w:eastAsia="標楷體" w:hAnsi="標楷體"/>
          <w:color w:val="000000"/>
        </w:rPr>
        <w:t>9.62.Pomalidomide(如Pomalyst):(107/1/1、109/2/1、112/4/1、113/9/1)</w:t>
      </w:r>
    </w:p>
    <w:p w14:paraId="75136F4C" w14:textId="77777777" w:rsidR="00657E40"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1.與dexamethasone合併使用，核准用於多發性骨髓瘤病人，且先前接受過含lenalidomide和bortezomib在內的至少兩種療法，且確認完成前次治療時或結束治療後六十天內發生疾病惡化(disease progression)。</w:t>
      </w:r>
    </w:p>
    <w:p w14:paraId="05A199F8" w14:textId="77777777" w:rsidR="00657E40"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2.限與elotuzumab及dexamethasone併用，治療之前曾接受過至少兩種療法（包括lenalidomide和蛋白酶體抑制劑）的多發性骨髓瘤成年病人。（113/9/1）</w:t>
      </w:r>
    </w:p>
    <w:p w14:paraId="239C6D2D" w14:textId="77777777" w:rsidR="00657E40"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3.需經事前審查核准後使用：（107/1/1、112/4/1）</w:t>
      </w:r>
    </w:p>
    <w:p w14:paraId="43152606" w14:textId="77777777" w:rsidR="00657E40" w:rsidRPr="006142C0" w:rsidRDefault="00657E40" w:rsidP="007C436E">
      <w:pPr>
        <w:tabs>
          <w:tab w:val="left" w:pos="1418"/>
        </w:tabs>
        <w:ind w:left="1134" w:hanging="283"/>
        <w:rPr>
          <w:rFonts w:ascii="標楷體" w:eastAsia="標楷體" w:hAnsi="標楷體"/>
          <w:color w:val="000000"/>
        </w:rPr>
      </w:pPr>
      <w:r w:rsidRPr="006142C0">
        <w:rPr>
          <w:rFonts w:ascii="標楷體" w:eastAsia="標楷體" w:hAnsi="標楷體"/>
          <w:color w:val="000000"/>
        </w:rPr>
        <w:t>(1)初次申請以3個療程為限，且需同時符合下列Ⅰ.與Ⅱ.的條件：（112/4/1）</w:t>
      </w:r>
    </w:p>
    <w:p w14:paraId="1D608362" w14:textId="77777777" w:rsidR="00657E40" w:rsidRPr="006142C0" w:rsidRDefault="00657E40" w:rsidP="007C436E">
      <w:pPr>
        <w:ind w:left="1418" w:hanging="283"/>
        <w:rPr>
          <w:rFonts w:ascii="標楷體" w:eastAsia="標楷體" w:hAnsi="標楷體"/>
          <w:color w:val="000000"/>
        </w:rPr>
      </w:pPr>
      <w:r w:rsidRPr="006142C0">
        <w:rPr>
          <w:rFonts w:ascii="標楷體" w:eastAsia="標楷體" w:hAnsi="標楷體"/>
          <w:color w:val="000000"/>
        </w:rPr>
        <w:t>Ⅰ.具有下列任一疾病惡化的指標： 病人開始治療前須在連續2次評估中均符合同一指標 (但若為plamacytoma 體積增加，或是新產生的bone lesion(s)或新plasmacytoma，則僅需1次評估)：（112/4/1）</w:t>
      </w:r>
    </w:p>
    <w:p w14:paraId="1A9CF9DB" w14:textId="77777777" w:rsidR="00657E40" w:rsidRPr="006142C0" w:rsidRDefault="00657E40" w:rsidP="007C436E">
      <w:pPr>
        <w:ind w:left="1900" w:hanging="340"/>
        <w:rPr>
          <w:rFonts w:ascii="標楷體" w:eastAsia="標楷體" w:hAnsi="標楷體"/>
          <w:color w:val="000000"/>
        </w:rPr>
      </w:pPr>
      <w:r w:rsidRPr="006142C0">
        <w:rPr>
          <w:rFonts w:ascii="新細明體" w:hAnsi="新細明體" w:cs="新細明體" w:hint="eastAsia"/>
          <w:color w:val="000000"/>
        </w:rPr>
        <w:t>ⅰ</w:t>
      </w:r>
      <w:r w:rsidRPr="006142C0">
        <w:rPr>
          <w:rFonts w:ascii="標楷體" w:eastAsia="標楷體" w:hAnsi="標楷體"/>
          <w:color w:val="000000"/>
        </w:rPr>
        <w:t>.若前一線治療中M component 最低值≧5 g/dL，血清M蛋白需增加≧1 g/dL；若前一線治療中M component最低值＜5 g/dL，血清M蛋白需增加≧0.5g/dL。</w:t>
      </w:r>
    </w:p>
    <w:p w14:paraId="132A0354" w14:textId="77777777" w:rsidR="00657E40" w:rsidRPr="006142C0" w:rsidRDefault="00657E40" w:rsidP="007C436E">
      <w:pPr>
        <w:ind w:left="1900" w:hanging="340"/>
        <w:rPr>
          <w:rFonts w:ascii="標楷體" w:eastAsia="標楷體" w:hAnsi="標楷體"/>
          <w:color w:val="000000"/>
        </w:rPr>
      </w:pPr>
      <w:r w:rsidRPr="006142C0">
        <w:rPr>
          <w:rFonts w:ascii="新細明體" w:hAnsi="新細明體" w:cs="新細明體" w:hint="eastAsia"/>
          <w:color w:val="000000"/>
        </w:rPr>
        <w:t>ⅱ</w:t>
      </w:r>
      <w:r w:rsidRPr="006142C0">
        <w:rPr>
          <w:rFonts w:ascii="標楷體" w:eastAsia="標楷體" w:hAnsi="標楷體"/>
          <w:color w:val="000000"/>
        </w:rPr>
        <w:t>.Urine M-protein需增加≧0.2 gm/24Hr，且需較前一線治療中的最低值增加≧25%。</w:t>
      </w:r>
    </w:p>
    <w:p w14:paraId="4DCE6CE8"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iii.在non-secretary myeloma 病人，骨髓漿細胞 (plasma cells)之比例絕對值增加≧10%，且需較前一線治療中的最低值增加≧25%。</w:t>
      </w:r>
    </w:p>
    <w:p w14:paraId="0334CD63"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iv.新產生的bone lesion(s)或plasmacytoma；且須經病理切片證實。</w:t>
      </w:r>
    </w:p>
    <w:p w14:paraId="1BB7FEEC"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v.Plasmacytoma體積增加≧50%。</w:t>
      </w:r>
    </w:p>
    <w:p w14:paraId="7CBB60CD"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vi.周邊血液中漿細胞比例≧20%或漿細胞絕對值≧2000 cells/μL。</w:t>
      </w:r>
    </w:p>
    <w:p w14:paraId="3B7D8ABD" w14:textId="77777777" w:rsidR="00657E40" w:rsidRPr="006142C0" w:rsidRDefault="00657E40" w:rsidP="007C436E">
      <w:pPr>
        <w:ind w:left="1418" w:hanging="283"/>
        <w:rPr>
          <w:rFonts w:ascii="標楷體" w:eastAsia="標楷體" w:hAnsi="標楷體"/>
          <w:color w:val="000000"/>
        </w:rPr>
      </w:pPr>
      <w:r w:rsidRPr="006142C0">
        <w:rPr>
          <w:rFonts w:ascii="標楷體" w:eastAsia="標楷體" w:hAnsi="標楷體"/>
          <w:color w:val="000000"/>
        </w:rPr>
        <w:t>Ⅱ.出現下列任一臨床症狀：（112/4/1）</w:t>
      </w:r>
    </w:p>
    <w:p w14:paraId="5A404EA6" w14:textId="77777777" w:rsidR="00657E40" w:rsidRPr="006142C0" w:rsidRDefault="00657E40" w:rsidP="007C436E">
      <w:pPr>
        <w:ind w:left="1900" w:hanging="340"/>
        <w:rPr>
          <w:rFonts w:ascii="標楷體" w:eastAsia="標楷體" w:hAnsi="標楷體"/>
          <w:color w:val="000000"/>
        </w:rPr>
      </w:pPr>
      <w:r w:rsidRPr="006142C0">
        <w:rPr>
          <w:rFonts w:ascii="新細明體" w:hAnsi="新細明體" w:cs="新細明體" w:hint="eastAsia"/>
          <w:color w:val="000000"/>
        </w:rPr>
        <w:t>ⅰ</w:t>
      </w:r>
      <w:r w:rsidRPr="006142C0">
        <w:rPr>
          <w:rFonts w:ascii="標楷體" w:eastAsia="標楷體" w:hAnsi="標楷體"/>
          <w:color w:val="000000"/>
        </w:rPr>
        <w:t>.新產生的bone lesion(s)或plasmacytoma；且須經病理切片證實。</w:t>
      </w:r>
    </w:p>
    <w:p w14:paraId="701615E9" w14:textId="77777777" w:rsidR="00657E40" w:rsidRPr="006142C0" w:rsidRDefault="00657E40" w:rsidP="007C436E">
      <w:pPr>
        <w:ind w:left="1900" w:hanging="340"/>
        <w:rPr>
          <w:rFonts w:ascii="標楷體" w:eastAsia="標楷體" w:hAnsi="標楷體"/>
          <w:color w:val="000000"/>
        </w:rPr>
      </w:pPr>
      <w:r w:rsidRPr="006142C0">
        <w:rPr>
          <w:rFonts w:ascii="新細明體" w:hAnsi="新細明體" w:cs="新細明體" w:hint="eastAsia"/>
          <w:color w:val="000000"/>
        </w:rPr>
        <w:t>ⅱ</w:t>
      </w:r>
      <w:r w:rsidRPr="006142C0">
        <w:rPr>
          <w:rFonts w:ascii="標楷體" w:eastAsia="標楷體" w:hAnsi="標楷體"/>
          <w:color w:val="000000"/>
        </w:rPr>
        <w:t>.Plasmacytoma 體積增加≧50%。</w:t>
      </w:r>
    </w:p>
    <w:p w14:paraId="1A538328"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iii.高血鈣(corrected serum calcium＞11.0 mg/dL 或 2.75 mmol/L)。</w:t>
      </w:r>
    </w:p>
    <w:p w14:paraId="10DB6495"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iv.貧血(Hemoglobin 下降幅度≧ 2gm/dL且無其他原因可以解釋)。</w:t>
      </w:r>
    </w:p>
    <w:p w14:paraId="4BAE73CE"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v.腎功能惡化(eGFR需下降幅度≧25%)，且無其他原因可以解釋。</w:t>
      </w:r>
    </w:p>
    <w:p w14:paraId="7E9D9134" w14:textId="77777777" w:rsidR="00657E40" w:rsidRPr="006142C0" w:rsidRDefault="00657E40" w:rsidP="007C436E">
      <w:pPr>
        <w:ind w:left="1900" w:hanging="340"/>
        <w:rPr>
          <w:rFonts w:ascii="標楷體" w:eastAsia="標楷體" w:hAnsi="標楷體"/>
          <w:color w:val="000000"/>
        </w:rPr>
      </w:pPr>
      <w:r w:rsidRPr="006142C0">
        <w:rPr>
          <w:rFonts w:ascii="標楷體" w:eastAsia="標楷體" w:hAnsi="標楷體"/>
          <w:color w:val="000000"/>
        </w:rPr>
        <w:t>vi.出現其他end-organ dysfunctions。</w:t>
      </w:r>
    </w:p>
    <w:p w14:paraId="7DD88341" w14:textId="77777777" w:rsidR="00657E40" w:rsidRPr="006142C0" w:rsidRDefault="00657E40" w:rsidP="00BA6BB7">
      <w:pPr>
        <w:tabs>
          <w:tab w:val="left" w:pos="1418"/>
        </w:tabs>
        <w:ind w:left="1134" w:hanging="283"/>
        <w:rPr>
          <w:rFonts w:ascii="標楷體" w:eastAsia="標楷體" w:hAnsi="標楷體"/>
          <w:color w:val="000000"/>
        </w:rPr>
      </w:pPr>
      <w:r w:rsidRPr="006142C0">
        <w:rPr>
          <w:rFonts w:ascii="標楷體" w:eastAsia="標楷體" w:hAnsi="標楷體"/>
          <w:color w:val="000000"/>
        </w:rPr>
        <w:t>(2)再次申請時必須確定paraprotein (M-protein)未上升(即表示對藥物有反應或為穩定狀態);或對部分non-secretory type 多發性骨髓瘤病人以骨髓檢查plasma cell為療效依據，證明為對藥物有反應或為穩定狀態，方可繼續使用。續用時的申請以3個療程為限。疾病若發生惡化情形應即停止使用。（107/1/1、112/4/1）</w:t>
      </w:r>
    </w:p>
    <w:p w14:paraId="76304F1E" w14:textId="77777777" w:rsidR="00657E40"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4. 每人終生以10個療程為上限，Pomado則每人以6個療程為上限。（107/1/1、112/4/1、113/9/1）</w:t>
      </w:r>
    </w:p>
    <w:p w14:paraId="36583181" w14:textId="77777777" w:rsidR="00657E40"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5.不得與其他蛋白酶體抑制劑(proteasome inhibitor)或免疫調節劑(immunomodulatory drugs)併用。 (109/2/1、112/4/1)</w:t>
      </w:r>
    </w:p>
    <w:p w14:paraId="706FE239" w14:textId="77777777" w:rsidR="00657E40"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6.112年3月31日以前已核定用藥之病人，得經事前審查核准後，使用至總療程上限（即終生10個療程，Pomado則每人6個療程）或使用期間發生疾病惡化為止。（112/4/1、113/9/1）</w:t>
      </w:r>
    </w:p>
    <w:p w14:paraId="7501DE36" w14:textId="06291AB3" w:rsidR="00BD776B" w:rsidRPr="006142C0" w:rsidRDefault="00657E40" w:rsidP="00657E40">
      <w:pPr>
        <w:tabs>
          <w:tab w:val="left" w:pos="1418"/>
        </w:tabs>
        <w:ind w:left="849" w:hanging="283"/>
        <w:rPr>
          <w:rFonts w:ascii="標楷體" w:eastAsia="標楷體" w:hAnsi="標楷體"/>
          <w:color w:val="000000"/>
        </w:rPr>
      </w:pPr>
      <w:r w:rsidRPr="006142C0">
        <w:rPr>
          <w:rFonts w:ascii="標楷體" w:eastAsia="標楷體" w:hAnsi="標楷體"/>
          <w:color w:val="000000"/>
        </w:rPr>
        <w:t>7.每日最多處方1粒(113/9/1)</w:t>
      </w:r>
    </w:p>
    <w:p w14:paraId="63B6A371" w14:textId="33614C4E" w:rsidR="00BD776B" w:rsidRDefault="00DF0C24">
      <w:pPr>
        <w:tabs>
          <w:tab w:val="left" w:pos="1418"/>
        </w:tabs>
        <w:ind w:left="566" w:hanging="283"/>
      </w:pPr>
      <w:r>
        <w:rPr>
          <w:rFonts w:ascii="標楷體" w:eastAsia="標楷體" w:hAnsi="標楷體"/>
          <w:color w:val="000000"/>
        </w:rPr>
        <w:lastRenderedPageBreak/>
        <w:t>9.63</w:t>
      </w:r>
      <w:r w:rsidR="0071481F">
        <w:rPr>
          <w:rFonts w:ascii="標楷體" w:eastAsia="標楷體" w:hAnsi="標楷體"/>
          <w:color w:val="000000"/>
        </w:rPr>
        <w:t>.</w:t>
      </w:r>
      <w:r>
        <w:rPr>
          <w:rFonts w:ascii="標楷體" w:eastAsia="標楷體" w:hAnsi="標楷體"/>
          <w:color w:val="000000"/>
        </w:rPr>
        <w:t>Lenvatinib(如Lenvima)：(107/7/1、109/1/1、109/8/1、112/8/1</w:t>
      </w:r>
      <w:r w:rsidR="0071481F">
        <w:rPr>
          <w:rFonts w:ascii="標楷體" w:eastAsia="標楷體" w:hAnsi="標楷體" w:hint="eastAsia"/>
          <w:color w:val="000000"/>
        </w:rPr>
        <w:t>、114/2/1</w:t>
      </w:r>
      <w:r>
        <w:rPr>
          <w:rFonts w:ascii="標楷體" w:eastAsia="標楷體" w:hAnsi="標楷體"/>
          <w:color w:val="000000"/>
        </w:rPr>
        <w:t>)</w:t>
      </w:r>
      <w:r>
        <w:rPr>
          <w:rFonts w:ascii="標楷體" w:eastAsia="標楷體" w:hAnsi="標楷體"/>
          <w:color w:val="000000"/>
        </w:rPr>
        <w:br/>
        <w:t>1.用於放射性碘治療無效之局部晚期或轉移性的進行性(progressive)分化型甲狀腺癌(RAI-RDTC)：</w:t>
      </w:r>
    </w:p>
    <w:p w14:paraId="70A9208E" w14:textId="77777777" w:rsidR="00BD776B" w:rsidRDefault="00DF0C24">
      <w:pPr>
        <w:tabs>
          <w:tab w:val="left" w:pos="1418"/>
        </w:tabs>
        <w:ind w:left="850"/>
        <w:rPr>
          <w:rFonts w:ascii="標楷體" w:eastAsia="標楷體" w:hAnsi="標楷體"/>
          <w:color w:val="000000"/>
        </w:rPr>
      </w:pPr>
      <w:r>
        <w:rPr>
          <w:rFonts w:ascii="標楷體" w:eastAsia="標楷體" w:hAnsi="標楷體"/>
          <w:color w:val="000000"/>
        </w:rPr>
        <w:t>(1)需經事前審查核准後使用，每次申請之療程以3個月為限，送審時需檢送影像資料，每3個月評估一次。</w:t>
      </w:r>
    </w:p>
    <w:p w14:paraId="2352E71E" w14:textId="77777777" w:rsidR="00BD776B" w:rsidRDefault="00DF0C24">
      <w:pPr>
        <w:tabs>
          <w:tab w:val="left" w:pos="1418"/>
        </w:tabs>
        <w:ind w:left="850"/>
        <w:rPr>
          <w:rFonts w:ascii="標楷體" w:eastAsia="標楷體" w:hAnsi="標楷體"/>
          <w:color w:val="000000"/>
        </w:rPr>
      </w:pPr>
      <w:r>
        <w:rPr>
          <w:rFonts w:ascii="標楷體" w:eastAsia="標楷體" w:hAnsi="標楷體"/>
          <w:color w:val="000000"/>
        </w:rPr>
        <w:t>(2)Lenvatinib與sorafenib不得合併使用。(109/8/1)</w:t>
      </w:r>
    </w:p>
    <w:p w14:paraId="3E79235E" w14:textId="01D7CC31" w:rsidR="00BD776B" w:rsidRDefault="00DF0C24">
      <w:pPr>
        <w:tabs>
          <w:tab w:val="left" w:pos="1418"/>
        </w:tabs>
        <w:ind w:left="610"/>
        <w:rPr>
          <w:rFonts w:ascii="標楷體" w:eastAsia="標楷體" w:hAnsi="標楷體"/>
          <w:color w:val="000000"/>
        </w:rPr>
      </w:pPr>
      <w:r>
        <w:rPr>
          <w:rFonts w:ascii="標楷體" w:eastAsia="標楷體" w:hAnsi="標楷體"/>
          <w:color w:val="000000"/>
        </w:rPr>
        <w:t>2.晚期肝細胞癌部分：(109/1/1、109/8/1、112/8/1</w:t>
      </w:r>
      <w:r w:rsidR="0086140B">
        <w:rPr>
          <w:rFonts w:ascii="標楷體" w:eastAsia="標楷體" w:hAnsi="標楷體" w:hint="eastAsia"/>
          <w:color w:val="000000"/>
        </w:rPr>
        <w:t>、114/2/1</w:t>
      </w:r>
      <w:r>
        <w:rPr>
          <w:rFonts w:ascii="標楷體" w:eastAsia="標楷體" w:hAnsi="標楷體"/>
          <w:color w:val="000000"/>
        </w:rPr>
        <w:t>)</w:t>
      </w:r>
    </w:p>
    <w:p w14:paraId="484EB333" w14:textId="77777777" w:rsidR="00BD776B" w:rsidRDefault="00DF0C24" w:rsidP="004D1555">
      <w:pPr>
        <w:tabs>
          <w:tab w:val="left" w:pos="1418"/>
        </w:tabs>
        <w:ind w:leftChars="353" w:left="1274" w:hangingChars="178" w:hanging="427"/>
        <w:rPr>
          <w:rFonts w:ascii="標楷體" w:eastAsia="標楷體" w:hAnsi="標楷體"/>
          <w:color w:val="000000"/>
        </w:rPr>
      </w:pPr>
      <w:r>
        <w:rPr>
          <w:rFonts w:ascii="標楷體" w:eastAsia="標楷體" w:hAnsi="標楷體"/>
          <w:color w:val="000000"/>
        </w:rPr>
        <w:t>(1)轉移性或無法手術切除且不適合局部治療或局部治療失敗之Child-Pugh A class晚期肝細胞癌成人患者，並符合下列條件之一：</w:t>
      </w:r>
    </w:p>
    <w:p w14:paraId="0E3D9481" w14:textId="77777777" w:rsidR="00BD776B" w:rsidRDefault="00DF0C24" w:rsidP="004D1555">
      <w:pPr>
        <w:tabs>
          <w:tab w:val="left" w:pos="1418"/>
        </w:tabs>
        <w:ind w:leftChars="530" w:left="1841" w:hangingChars="237" w:hanging="569"/>
        <w:rPr>
          <w:rFonts w:ascii="標楷體" w:eastAsia="標楷體" w:hAnsi="標楷體"/>
          <w:color w:val="000000"/>
        </w:rPr>
      </w:pPr>
      <w:r>
        <w:rPr>
          <w:rFonts w:ascii="標楷體" w:eastAsia="標楷體" w:hAnsi="標楷體"/>
          <w:color w:val="000000"/>
        </w:rPr>
        <w:t>I.肝外轉移（遠端轉移或肝外淋巴結侵犯）。</w:t>
      </w:r>
    </w:p>
    <w:p w14:paraId="6B76DEB2" w14:textId="77777777" w:rsidR="00BD776B" w:rsidRDefault="00DF0C24" w:rsidP="004D1555">
      <w:pPr>
        <w:tabs>
          <w:tab w:val="left" w:pos="1418"/>
        </w:tabs>
        <w:ind w:leftChars="530" w:left="1841" w:hangingChars="237" w:hanging="569"/>
        <w:rPr>
          <w:rFonts w:ascii="標楷體" w:eastAsia="標楷體" w:hAnsi="標楷體"/>
          <w:color w:val="000000"/>
        </w:rPr>
      </w:pPr>
      <w:r>
        <w:rPr>
          <w:rFonts w:ascii="標楷體" w:eastAsia="標楷體" w:hAnsi="標楷體"/>
          <w:color w:val="000000"/>
        </w:rPr>
        <w:t>II.大血管侵犯（腫瘤侵犯主門靜脈或侵犯左/右靜脈第一或第二分支）。</w:t>
      </w:r>
    </w:p>
    <w:p w14:paraId="4A4A3798" w14:textId="77777777" w:rsidR="00BD776B" w:rsidRDefault="00DF0C24" w:rsidP="004D1555">
      <w:pPr>
        <w:tabs>
          <w:tab w:val="left" w:pos="1418"/>
        </w:tabs>
        <w:ind w:leftChars="530" w:left="1841" w:hangingChars="237" w:hanging="569"/>
        <w:rPr>
          <w:rFonts w:ascii="標楷體" w:eastAsia="標楷體" w:hAnsi="標楷體"/>
          <w:color w:val="000000"/>
        </w:rPr>
      </w:pPr>
      <w:r>
        <w:rPr>
          <w:rFonts w:ascii="標楷體" w:eastAsia="標楷體" w:hAnsi="標楷體"/>
          <w:color w:val="000000"/>
        </w:rPr>
        <w:t>III.經導管動脈化學藥物栓塞治療（Transcatheter arterial chemo embolization, T.A.C.E.）失敗者，需提供患者於12個月內&gt;=3次局部治療之記錄。</w:t>
      </w:r>
    </w:p>
    <w:p w14:paraId="1C438F79" w14:textId="5936BF24" w:rsidR="00BD776B" w:rsidRDefault="004D1555" w:rsidP="004D1555">
      <w:pPr>
        <w:tabs>
          <w:tab w:val="left" w:pos="1418"/>
        </w:tabs>
        <w:ind w:leftChars="353" w:left="1274" w:hangingChars="178" w:hanging="427"/>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2)</w:t>
      </w:r>
      <w:r w:rsidR="00DF0C24">
        <w:rPr>
          <w:rFonts w:ascii="標楷體" w:eastAsia="標楷體" w:hAnsi="標楷體"/>
          <w:color w:val="000000"/>
        </w:rPr>
        <w:t>需經事前審查核准後使用，初次申請之療程以3個月為限，之後每2個月評估一次。送審時需檢送影像資料，無疾病惡化方可繼續使用。</w:t>
      </w:r>
    </w:p>
    <w:p w14:paraId="66E3D2D9" w14:textId="4AF29138" w:rsidR="00BD776B" w:rsidRDefault="004D1555" w:rsidP="004D1555">
      <w:pPr>
        <w:tabs>
          <w:tab w:val="left" w:pos="1418"/>
        </w:tabs>
        <w:ind w:leftChars="353" w:left="1274" w:hangingChars="178" w:hanging="427"/>
        <w:rPr>
          <w:rFonts w:ascii="標楷體" w:eastAsia="標楷體" w:hAnsi="標楷體"/>
          <w:color w:val="000000"/>
        </w:rPr>
      </w:pPr>
      <w:r>
        <w:rPr>
          <w:rFonts w:ascii="標楷體" w:eastAsia="標楷體" w:hAnsi="標楷體"/>
          <w:color w:val="000000"/>
        </w:rPr>
        <w:t>(3)</w:t>
      </w:r>
      <w:r w:rsidRPr="004D1555">
        <w:rPr>
          <w:rFonts w:hint="eastAsia"/>
        </w:rPr>
        <w:t xml:space="preserve"> </w:t>
      </w:r>
      <w:r w:rsidRPr="004D1555">
        <w:rPr>
          <w:rFonts w:ascii="標楷體" w:eastAsia="標楷體" w:hAnsi="標楷體" w:hint="eastAsia"/>
          <w:color w:val="000000"/>
        </w:rPr>
        <w:t>Lenvatinib、sorafenib、atezolizumab併用bevacizumab、tremelimumab併用durvalumab僅得擇一給付，不得互換；且lenvatinib治療失敗後，不得申請使用regorafenib或ramucirumab。(109/1/1、109/8/1、112/8/1、114/2/1)</w:t>
      </w:r>
    </w:p>
    <w:p w14:paraId="4D1CAA05" w14:textId="77777777" w:rsidR="00BD776B" w:rsidRDefault="00DF0C24">
      <w:pPr>
        <w:tabs>
          <w:tab w:val="left" w:pos="1418"/>
        </w:tabs>
        <w:ind w:left="895" w:hanging="612"/>
        <w:rPr>
          <w:rFonts w:ascii="標楷體" w:eastAsia="標楷體" w:hAnsi="標楷體"/>
          <w:color w:val="000000"/>
        </w:rPr>
      </w:pPr>
      <w:r>
        <w:rPr>
          <w:rFonts w:ascii="標楷體" w:eastAsia="標楷體" w:hAnsi="標楷體"/>
          <w:color w:val="000000"/>
        </w:rPr>
        <w:t>9.64.Blinatumomab(如Blincyto)：(107/9/1、109/12/1、112/12/1)</w:t>
      </w:r>
    </w:p>
    <w:p w14:paraId="5FB35DD4"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適用於治療先前接受至少兩種化療療程(如TPOG之療程表)治療無效或已復發第二次或以上費城染色體陰性復發型或頑固型B細胞前驅因子之急性淋巴芽細胞白血病之(Ph(-) Relapse/Refractory B-cell precursor Acute Lymphoblastic Leukemia；Ph(-) B-cell precursor R/R ALL)成人病人，且計畫進行造血幹細胞移植的病人，每位病人限給付2療程。</w:t>
      </w:r>
    </w:p>
    <w:p w14:paraId="7F2369F3"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2.用於復發型或頑固型B細胞前驅細胞之急性淋巴芽細胞白血病之未滿18歲兒童病人，且計畫進行造血幹細胞移植的病人，每位病人限給付2療程，不得與clofarabine併用。（109/12/1）</w:t>
      </w:r>
    </w:p>
    <w:p w14:paraId="0CA48A9D" w14:textId="77777777" w:rsidR="00BD776B" w:rsidRDefault="00DF0C24">
      <w:pPr>
        <w:ind w:left="720" w:hanging="480"/>
      </w:pPr>
      <w:r>
        <w:rPr>
          <w:rFonts w:ascii="標楷體" w:eastAsia="標楷體" w:hAnsi="標楷體"/>
          <w:szCs w:val="24"/>
        </w:rPr>
        <w:t xml:space="preserve">   3.用於治療</w:t>
      </w:r>
      <w:r>
        <w:rPr>
          <w:rFonts w:ascii="標楷體" w:eastAsia="標楷體" w:hAnsi="標楷體"/>
          <w:bCs/>
          <w:szCs w:val="24"/>
        </w:rPr>
        <w:t>微量殘留病灶(MRD)陽性B細胞前驅細胞之急性淋巴芽細胞白血病：(112/12/1)</w:t>
      </w:r>
    </w:p>
    <w:p w14:paraId="1F665BEA" w14:textId="77777777" w:rsidR="00BD776B" w:rsidRDefault="00DF0C24">
      <w:pPr>
        <w:ind w:left="950" w:hanging="230"/>
        <w:rPr>
          <w:rFonts w:ascii="標楷體" w:eastAsia="標楷體" w:hAnsi="標楷體"/>
          <w:szCs w:val="24"/>
        </w:rPr>
      </w:pPr>
      <w:r>
        <w:rPr>
          <w:rFonts w:ascii="標楷體" w:eastAsia="標楷體" w:hAnsi="標楷體"/>
          <w:szCs w:val="24"/>
        </w:rPr>
        <w:t>(1)符合以下任一條件：</w:t>
      </w:r>
    </w:p>
    <w:p w14:paraId="34E0E04C" w14:textId="77777777" w:rsidR="00BD776B" w:rsidRDefault="00DF0C24">
      <w:pPr>
        <w:ind w:left="1190" w:hanging="230"/>
      </w:pPr>
      <w:r>
        <w:rPr>
          <w:rFonts w:ascii="標楷體" w:eastAsia="標楷體" w:hAnsi="標楷體"/>
          <w:szCs w:val="24"/>
        </w:rPr>
        <w:t>I.初次治療B細胞前驅細胞之急性淋巴芽細胞白血病成人病人，接受過至少三次高強度化學治療療程後，達第一次完全緩解，但仍有大於或等於0.1%微量殘留病灶，且計畫進行造血幹細胞移植，需附上至少三次微量殘留病灶檢驗報告。</w:t>
      </w:r>
    </w:p>
    <w:p w14:paraId="3209979B" w14:textId="77777777" w:rsidR="00BD776B" w:rsidRDefault="00DF0C24">
      <w:pPr>
        <w:ind w:left="1337" w:hanging="377"/>
      </w:pPr>
      <w:r>
        <w:rPr>
          <w:rFonts w:ascii="標楷體" w:eastAsia="標楷體" w:hAnsi="標楷體"/>
          <w:szCs w:val="24"/>
        </w:rPr>
        <w:t>II.第一線治療無效，經第二線治療達到第一次完全緩解之成人病人，但仍有大於或等於0.1%微量殘留病灶，且計劃進行造血幹細胞移植。需附上一次治療無效(骨髓或周邊血芽細胞大於5%)之檢驗報告，及一次經化學治療後微量殘留病灶檢驗報告。</w:t>
      </w:r>
    </w:p>
    <w:p w14:paraId="3509E08A" w14:textId="77777777" w:rsidR="00BD776B" w:rsidRDefault="00DF0C24">
      <w:pPr>
        <w:ind w:left="1073" w:hanging="353"/>
      </w:pPr>
      <w:r>
        <w:rPr>
          <w:rFonts w:ascii="標楷體" w:eastAsia="標楷體" w:hAnsi="標楷體"/>
          <w:szCs w:val="24"/>
        </w:rPr>
        <w:t>(2)需為</w:t>
      </w:r>
      <w:r>
        <w:rPr>
          <w:rFonts w:ascii="標楷體" w:eastAsia="標楷體" w:hAnsi="標楷體"/>
          <w:bCs/>
          <w:szCs w:val="24"/>
        </w:rPr>
        <w:t>計畫進行造血幹細胞移植者</w:t>
      </w:r>
      <w:r>
        <w:rPr>
          <w:rFonts w:ascii="標楷體" w:eastAsia="標楷體" w:hAnsi="標楷體"/>
          <w:szCs w:val="24"/>
        </w:rPr>
        <w:t>。</w:t>
      </w:r>
    </w:p>
    <w:p w14:paraId="56F7CFB2" w14:textId="77777777" w:rsidR="00BD776B" w:rsidRDefault="00DF0C24">
      <w:pPr>
        <w:ind w:left="1073" w:hanging="353"/>
      </w:pPr>
      <w:r>
        <w:rPr>
          <w:rFonts w:ascii="標楷體" w:eastAsia="標楷體" w:hAnsi="標楷體"/>
          <w:bCs/>
          <w:szCs w:val="24"/>
        </w:rPr>
        <w:t>(3)</w:t>
      </w:r>
      <w:r>
        <w:rPr>
          <w:rFonts w:ascii="標楷體" w:eastAsia="標楷體" w:hAnsi="標楷體"/>
          <w:szCs w:val="24"/>
        </w:rPr>
        <w:t>偵測微量殘留病灶之檢測，其敏感度需達10</w:t>
      </w:r>
      <w:r>
        <w:rPr>
          <w:rFonts w:ascii="標楷體" w:eastAsia="標楷體" w:hAnsi="標楷體"/>
          <w:szCs w:val="24"/>
          <w:vertAlign w:val="superscript"/>
        </w:rPr>
        <w:t>-3</w:t>
      </w:r>
      <w:r>
        <w:rPr>
          <w:rFonts w:ascii="標楷體" w:eastAsia="標楷體" w:hAnsi="標楷體"/>
          <w:szCs w:val="24"/>
        </w:rPr>
        <w:t xml:space="preserve">(0.1%)，可用qPCR (real-time quantitative polymerase chain reaction)，或八色流式細胞儀（8-color </w:t>
      </w:r>
      <w:r>
        <w:rPr>
          <w:rFonts w:ascii="標楷體" w:eastAsia="標楷體" w:hAnsi="標楷體"/>
          <w:szCs w:val="24"/>
        </w:rPr>
        <w:lastRenderedPageBreak/>
        <w:t>multiparameter flow cytometry）檢查。</w:t>
      </w:r>
    </w:p>
    <w:p w14:paraId="7BE7B707" w14:textId="77777777" w:rsidR="00BD776B" w:rsidRDefault="00DF0C24">
      <w:pPr>
        <w:ind w:left="1073" w:hanging="353"/>
        <w:rPr>
          <w:rFonts w:ascii="標楷體" w:eastAsia="標楷體" w:hAnsi="標楷體"/>
          <w:szCs w:val="24"/>
        </w:rPr>
      </w:pPr>
      <w:r>
        <w:rPr>
          <w:rFonts w:ascii="標楷體" w:eastAsia="標楷體" w:hAnsi="標楷體"/>
          <w:szCs w:val="24"/>
        </w:rPr>
        <w:t>(4)不得與酪胺酸激酶抑制劑(TKI)（如imatinib、dasatinib、nilotinib、ponatinib）等併用。</w:t>
      </w:r>
    </w:p>
    <w:p w14:paraId="03657FCF" w14:textId="77777777" w:rsidR="00BD776B" w:rsidRDefault="00DF0C24">
      <w:pPr>
        <w:ind w:left="1073" w:hanging="353"/>
        <w:rPr>
          <w:rFonts w:ascii="標楷體" w:eastAsia="標楷體" w:hAnsi="標楷體"/>
          <w:szCs w:val="24"/>
        </w:rPr>
      </w:pPr>
      <w:r>
        <w:rPr>
          <w:rFonts w:ascii="標楷體" w:eastAsia="標楷體" w:hAnsi="標楷體"/>
          <w:szCs w:val="24"/>
        </w:rPr>
        <w:t>(5)若使用blinatumomab後，MRD若未消失但疾病仍在完全緩解時，不得申請給付inotuzumab ozogamicin。</w:t>
      </w:r>
    </w:p>
    <w:p w14:paraId="67E4C9D7" w14:textId="77777777" w:rsidR="00BD776B" w:rsidRDefault="00DF0C24">
      <w:pPr>
        <w:ind w:left="1073" w:hanging="353"/>
      </w:pPr>
      <w:r>
        <w:rPr>
          <w:rFonts w:ascii="標楷體" w:eastAsia="標楷體" w:hAnsi="標楷體"/>
          <w:szCs w:val="24"/>
        </w:rPr>
        <w:t>(6)每位病人限給付2療程</w:t>
      </w:r>
      <w:r>
        <w:rPr>
          <w:rFonts w:ascii="新細明體" w:hAnsi="新細明體"/>
          <w:szCs w:val="24"/>
        </w:rPr>
        <w:t>（</w:t>
      </w:r>
      <w:r>
        <w:rPr>
          <w:rFonts w:ascii="標楷體" w:eastAsia="標楷體" w:hAnsi="標楷體"/>
          <w:szCs w:val="24"/>
        </w:rPr>
        <w:t>56支</w:t>
      </w:r>
      <w:r>
        <w:rPr>
          <w:rFonts w:ascii="新細明體" w:hAnsi="新細明體"/>
          <w:szCs w:val="24"/>
        </w:rPr>
        <w:t>）</w:t>
      </w:r>
      <w:r>
        <w:rPr>
          <w:rFonts w:ascii="標楷體" w:eastAsia="標楷體" w:hAnsi="標楷體"/>
          <w:szCs w:val="24"/>
        </w:rPr>
        <w:t>。</w:t>
      </w:r>
    </w:p>
    <w:p w14:paraId="4F202C4C"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須事前審查核准後使用，申請時須檢附完整之造血幹細胞移植計畫，並詳細記載確認捐贈者名單、確認移植之執行醫院及移植前調適治療等資料。</w:t>
      </w:r>
    </w:p>
    <w:p w14:paraId="20504EBB" w14:textId="77777777" w:rsidR="00BD776B" w:rsidRDefault="00DF0C24">
      <w:pPr>
        <w:tabs>
          <w:tab w:val="left" w:pos="1418"/>
        </w:tabs>
        <w:ind w:left="811" w:hanging="245"/>
      </w:pPr>
      <w:r>
        <w:rPr>
          <w:rFonts w:ascii="標楷體" w:eastAsia="標楷體" w:hAnsi="標楷體"/>
          <w:szCs w:val="24"/>
        </w:rPr>
        <w:t>5.病人已依前述第3項獲得給付治療者，不得再申請前述之第1、2項給付治療。(112</w:t>
      </w:r>
      <w:r>
        <w:rPr>
          <w:rFonts w:ascii="標楷體" w:eastAsia="標楷體" w:hAnsi="標楷體"/>
          <w:bCs/>
          <w:szCs w:val="24"/>
        </w:rPr>
        <w:t>/12/1</w:t>
      </w:r>
      <w:r>
        <w:rPr>
          <w:rFonts w:ascii="標楷體" w:eastAsia="標楷體" w:hAnsi="標楷體"/>
          <w:szCs w:val="24"/>
        </w:rPr>
        <w:t>)</w:t>
      </w:r>
    </w:p>
    <w:p w14:paraId="43E91DB9" w14:textId="77777777" w:rsidR="00BD776B" w:rsidRDefault="00DF0C24">
      <w:pPr>
        <w:tabs>
          <w:tab w:val="left" w:pos="1418"/>
        </w:tabs>
        <w:ind w:left="567" w:hanging="245"/>
        <w:rPr>
          <w:rFonts w:ascii="標楷體" w:eastAsia="標楷體" w:hAnsi="標楷體"/>
          <w:color w:val="000000"/>
        </w:rPr>
      </w:pPr>
      <w:r>
        <w:rPr>
          <w:rFonts w:ascii="標楷體" w:eastAsia="標楷體" w:hAnsi="標楷體"/>
          <w:color w:val="000000"/>
        </w:rPr>
        <w:t>9.65.Pralatrexate(如Folotyn)：(107/10/1、110/5/1)</w:t>
      </w:r>
    </w:p>
    <w:p w14:paraId="6126081D"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1.用於接受化學治療失敗後之復發或頑固性周邊T細胞淋巴瘤(PTCL)病患，作為進行骨髓/造血幹細胞移植期間之銜接治療。</w:t>
      </w:r>
    </w:p>
    <w:p w14:paraId="0B122C6F"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2.需經事前審查核准後使用，初次申請時應檢附移植計劃資料。</w:t>
      </w:r>
    </w:p>
    <w:p w14:paraId="533F6761"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3.每人至多給付3個療程，第1個療程後需進行疾病評估，若病情仍持續惡化，應即停止使用。（110/5/1）</w:t>
      </w:r>
    </w:p>
    <w:p w14:paraId="426DD1E6" w14:textId="73DD4A41" w:rsidR="00BD776B" w:rsidRDefault="00DF0C24">
      <w:pPr>
        <w:tabs>
          <w:tab w:val="left" w:pos="1418"/>
        </w:tabs>
        <w:ind w:left="709" w:hanging="388"/>
        <w:rPr>
          <w:rFonts w:ascii="標楷體" w:eastAsia="標楷體" w:hAnsi="標楷體"/>
          <w:color w:val="000000"/>
        </w:rPr>
      </w:pPr>
      <w:r>
        <w:rPr>
          <w:rFonts w:ascii="標楷體" w:eastAsia="標楷體" w:hAnsi="標楷體"/>
          <w:color w:val="000000"/>
        </w:rPr>
        <w:t>9.66.Trifluridine/tipiracil(如Lonsurf)：(107/12/1、109/12/1、110/6/1</w:t>
      </w:r>
      <w:r w:rsidR="0093558E">
        <w:rPr>
          <w:rFonts w:ascii="標楷體" w:eastAsia="標楷體" w:hAnsi="標楷體" w:hint="eastAsia"/>
          <w:color w:val="000000"/>
        </w:rPr>
        <w:t>、113/6/1</w:t>
      </w:r>
      <w:r>
        <w:rPr>
          <w:rFonts w:ascii="標楷體" w:eastAsia="標楷體" w:hAnsi="標楷體"/>
          <w:color w:val="000000"/>
        </w:rPr>
        <w:t>)</w:t>
      </w:r>
    </w:p>
    <w:p w14:paraId="0A1A4058" w14:textId="77777777" w:rsidR="00BD776B" w:rsidRDefault="00DF0C24">
      <w:pPr>
        <w:tabs>
          <w:tab w:val="left" w:pos="1418"/>
        </w:tabs>
        <w:ind w:left="993" w:hanging="388"/>
        <w:rPr>
          <w:rFonts w:ascii="標楷體" w:eastAsia="標楷體" w:hAnsi="標楷體"/>
          <w:color w:val="000000"/>
        </w:rPr>
      </w:pPr>
      <w:r>
        <w:rPr>
          <w:rFonts w:ascii="標楷體" w:eastAsia="標楷體" w:hAnsi="標楷體"/>
          <w:color w:val="000000"/>
        </w:rPr>
        <w:t>1.轉移性大腸直腸癌：</w:t>
      </w:r>
    </w:p>
    <w:p w14:paraId="2C233701" w14:textId="3E76A288" w:rsidR="00BD776B" w:rsidRDefault="00DF0C24">
      <w:pPr>
        <w:tabs>
          <w:tab w:val="left" w:pos="1418"/>
        </w:tabs>
        <w:ind w:left="1134" w:hanging="388"/>
        <w:rPr>
          <w:rFonts w:ascii="標楷體" w:eastAsia="標楷體" w:hAnsi="標楷體"/>
          <w:color w:val="000000"/>
        </w:rPr>
      </w:pPr>
      <w:r>
        <w:rPr>
          <w:rFonts w:ascii="標楷體" w:eastAsia="標楷體" w:hAnsi="標楷體"/>
          <w:color w:val="000000"/>
        </w:rPr>
        <w:t>(1)用於治療先前曾接受下列療法的轉移性大腸直腸癌之成人患者，包括fluoropyrimidine, oxaliplatin及irinotecan為基礎的化療，和抗血管內皮生長因子(anti-VEGF)等療法；若RAS為原生型(wild type)，則需再加上接受過抗表皮生長因子受體(anti-EGFR)療法。</w:t>
      </w:r>
      <w:r w:rsidR="0093558E" w:rsidRPr="0093558E">
        <w:rPr>
          <w:rFonts w:ascii="標楷體" w:eastAsia="標楷體" w:hAnsi="標楷體" w:hint="eastAsia"/>
          <w:color w:val="000000"/>
        </w:rPr>
        <w:t>需檢附All-RAS基因突變分析檢測結果報告，且需符合全民健康保險藥品給付規定之通則十二。（110/6/1、113/6/1）</w:t>
      </w:r>
    </w:p>
    <w:p w14:paraId="5E01DC55" w14:textId="77777777" w:rsidR="00BD776B" w:rsidRDefault="00DF0C24">
      <w:pPr>
        <w:tabs>
          <w:tab w:val="left" w:pos="1418"/>
        </w:tabs>
        <w:ind w:left="1134" w:hanging="388"/>
        <w:rPr>
          <w:rFonts w:ascii="標楷體" w:eastAsia="標楷體" w:hAnsi="標楷體"/>
          <w:color w:val="000000"/>
        </w:rPr>
      </w:pPr>
      <w:r>
        <w:rPr>
          <w:rFonts w:ascii="標楷體" w:eastAsia="標楷體" w:hAnsi="標楷體"/>
          <w:color w:val="000000"/>
        </w:rPr>
        <w:t>(2)須經事前審查核准後使用，每次申請事前審查之療程以8週為限，再次申請必須提出客觀證據（如：影像學）證實無惡化，才可繼續使用。</w:t>
      </w:r>
    </w:p>
    <w:p w14:paraId="086E80D9" w14:textId="77777777" w:rsidR="00BD776B" w:rsidRDefault="00DF0C24">
      <w:pPr>
        <w:tabs>
          <w:tab w:val="left" w:pos="1418"/>
        </w:tabs>
        <w:ind w:left="1134" w:hanging="388"/>
        <w:rPr>
          <w:rFonts w:ascii="標楷體" w:eastAsia="標楷體" w:hAnsi="標楷體"/>
          <w:color w:val="000000"/>
        </w:rPr>
      </w:pPr>
      <w:r>
        <w:rPr>
          <w:rFonts w:ascii="標楷體" w:eastAsia="標楷體" w:hAnsi="標楷體"/>
          <w:color w:val="000000"/>
        </w:rPr>
        <w:t>(3)本藥品不得與regorafenib併用。</w:t>
      </w:r>
    </w:p>
    <w:p w14:paraId="1251C1C0" w14:textId="77777777" w:rsidR="00BD776B" w:rsidRDefault="00DF0C24">
      <w:pPr>
        <w:tabs>
          <w:tab w:val="left" w:pos="1418"/>
        </w:tabs>
        <w:ind w:left="993" w:hanging="388"/>
        <w:rPr>
          <w:rFonts w:ascii="標楷體" w:eastAsia="標楷體" w:hAnsi="標楷體"/>
          <w:color w:val="000000"/>
        </w:rPr>
      </w:pPr>
      <w:r>
        <w:rPr>
          <w:rFonts w:ascii="標楷體" w:eastAsia="標楷體" w:hAnsi="標楷體"/>
          <w:color w:val="000000"/>
        </w:rPr>
        <w:t>2.轉移性胃癌：(109/12/1)</w:t>
      </w:r>
    </w:p>
    <w:p w14:paraId="6582B013" w14:textId="77777777" w:rsidR="00BD776B" w:rsidRDefault="00DF0C24">
      <w:pPr>
        <w:tabs>
          <w:tab w:val="left" w:pos="1418"/>
        </w:tabs>
        <w:ind w:left="1134" w:hanging="388"/>
        <w:rPr>
          <w:rFonts w:ascii="標楷體" w:eastAsia="標楷體" w:hAnsi="標楷體"/>
          <w:color w:val="000000"/>
        </w:rPr>
      </w:pPr>
      <w:r>
        <w:rPr>
          <w:rFonts w:ascii="標楷體" w:eastAsia="標楷體" w:hAnsi="標楷體"/>
          <w:color w:val="000000"/>
        </w:rPr>
        <w:t>(1)用於治療先前曾接受兩種(含)以上治療（包括含fluoropyrimidine–、platinum–、taxane–或 irinotecan為基礎的化學療法，以及HER2/neu標靶治療[如果適合]）的轉移性胃腺癌或胃食道接合處腺癌病人。</w:t>
      </w:r>
    </w:p>
    <w:p w14:paraId="61A9B41F" w14:textId="77777777" w:rsidR="00BD776B" w:rsidRDefault="00DF0C24">
      <w:pPr>
        <w:tabs>
          <w:tab w:val="left" w:pos="1418"/>
        </w:tabs>
        <w:ind w:left="1132" w:hanging="386"/>
        <w:rPr>
          <w:rFonts w:ascii="標楷體" w:eastAsia="標楷體" w:hAnsi="標楷體"/>
          <w:color w:val="000000"/>
        </w:rPr>
      </w:pPr>
      <w:r>
        <w:rPr>
          <w:rFonts w:ascii="標楷體" w:eastAsia="標楷體" w:hAnsi="標楷體"/>
          <w:color w:val="000000"/>
        </w:rPr>
        <w:t>(2)須經事前審查核准後使用，每次申請事前審查之療程以8週為限，再次申請必須提出客觀證據（如：影像學）證實無惡化，才可繼續使用。</w:t>
      </w:r>
    </w:p>
    <w:p w14:paraId="467006B1" w14:textId="7DC2F561" w:rsidR="00BD776B" w:rsidRDefault="00DF0C24">
      <w:pPr>
        <w:tabs>
          <w:tab w:val="left" w:pos="1418"/>
        </w:tabs>
        <w:ind w:left="895" w:hanging="612"/>
        <w:rPr>
          <w:rFonts w:ascii="標楷體" w:eastAsia="標楷體" w:hAnsi="標楷體"/>
          <w:color w:val="000000"/>
        </w:rPr>
      </w:pPr>
      <w:r>
        <w:rPr>
          <w:rFonts w:ascii="標楷體" w:eastAsia="標楷體" w:hAnsi="標楷體"/>
          <w:color w:val="000000"/>
        </w:rPr>
        <w:t>9.67.Ponatinib(如Iclusig)：(107/12/1</w:t>
      </w:r>
      <w:r w:rsidR="00AD34F4">
        <w:rPr>
          <w:rFonts w:ascii="標楷體" w:eastAsia="標楷體" w:hAnsi="標楷體" w:hint="eastAsia"/>
          <w:color w:val="000000"/>
        </w:rPr>
        <w:t>、113/6/1</w:t>
      </w:r>
      <w:r>
        <w:rPr>
          <w:rFonts w:ascii="標楷體" w:eastAsia="標楷體" w:hAnsi="標楷體"/>
          <w:color w:val="000000"/>
        </w:rPr>
        <w:t>)</w:t>
      </w:r>
    </w:p>
    <w:p w14:paraId="52BD90B0"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1.用於費城染色體陽性或BCR-ABL融合基因陽性之慢性骨髓性白血病(CML)或急性淋巴性白血病(ALL)成人患者，且符合下列條件之一：</w:t>
      </w:r>
    </w:p>
    <w:p w14:paraId="4D64885A"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(1).具有T315I突變者；</w:t>
      </w:r>
    </w:p>
    <w:p w14:paraId="24CFCB6D"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(2).加速期或急性期之慢性骨髓性白血病(CML)患者，先前曾使用imatinib、nilotinib與dasatinib其中兩種(含)以上藥物治療失敗或無法耐受；</w:t>
      </w:r>
    </w:p>
    <w:p w14:paraId="52BBC932"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(3).急性淋巴性白血病(ALL)患者，先前曾使用imatinib與dasatinib兩種藥物治療均失敗或無法耐受。</w:t>
      </w:r>
    </w:p>
    <w:p w14:paraId="092270A3"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2.需經事前審查核准後使用。首次申請事前審查之療程以3個月為限，之後每3個月需再次申請，再次申請時應檢附前次治療結果評估資料，包含BCR-ABL定量</w:t>
      </w:r>
      <w:r>
        <w:rPr>
          <w:rFonts w:ascii="標楷體" w:eastAsia="標楷體" w:hAnsi="標楷體"/>
          <w:color w:val="000000"/>
        </w:rPr>
        <w:lastRenderedPageBreak/>
        <w:t>RT-PCR報告。</w:t>
      </w:r>
    </w:p>
    <w:p w14:paraId="0947DF28" w14:textId="48E8F041"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3.若使用後未出現治療反應、無法耐受藥物副作用或疾病進展，則必須停止使用。</w:t>
      </w:r>
    </w:p>
    <w:p w14:paraId="2B55BBD7" w14:textId="38FCC915" w:rsidR="004934B8" w:rsidRDefault="004934B8">
      <w:pPr>
        <w:tabs>
          <w:tab w:val="left" w:pos="1418"/>
        </w:tabs>
        <w:ind w:left="811" w:hanging="245"/>
        <w:rPr>
          <w:rFonts w:ascii="標楷體" w:eastAsia="標楷體" w:hAnsi="標楷體"/>
          <w:color w:val="000000"/>
        </w:rPr>
      </w:pPr>
      <w:r w:rsidRPr="004934B8">
        <w:rPr>
          <w:rFonts w:ascii="標楷體" w:eastAsia="標楷體" w:hAnsi="標楷體" w:hint="eastAsia"/>
          <w:color w:val="000000"/>
        </w:rPr>
        <w:t>4.1~3項規定內之疾病診斷或追蹤若需依據基因檢測報告，則需符合全民健康保險藥品給付規定之通則十二。(113/6/1)</w:t>
      </w:r>
    </w:p>
    <w:p w14:paraId="2548AF04" w14:textId="77777777" w:rsidR="00BD776B" w:rsidRDefault="00DF0C24">
      <w:pPr>
        <w:tabs>
          <w:tab w:val="left" w:pos="1418"/>
        </w:tabs>
        <w:ind w:left="895" w:hanging="612"/>
      </w:pPr>
      <w:r>
        <w:rPr>
          <w:rFonts w:ascii="標楷體" w:eastAsia="標楷體" w:hAnsi="標楷體"/>
          <w:color w:val="000000"/>
        </w:rPr>
        <w:t>9.68.Radium-223(如Xofigo)</w:t>
      </w:r>
      <w:r>
        <w:rPr>
          <w:rFonts w:ascii="新細明體" w:hAnsi="新細明體"/>
          <w:color w:val="000000"/>
        </w:rPr>
        <w:t>：</w:t>
      </w:r>
      <w:r>
        <w:rPr>
          <w:rFonts w:ascii="標楷體" w:eastAsia="標楷體" w:hAnsi="標楷體"/>
          <w:color w:val="000000"/>
        </w:rPr>
        <w:t>(108/3/1)</w:t>
      </w:r>
    </w:p>
    <w:p w14:paraId="706EE9BE" w14:textId="77777777" w:rsidR="00BD776B" w:rsidRDefault="00DF0C24">
      <w:pPr>
        <w:tabs>
          <w:tab w:val="left" w:pos="1418"/>
        </w:tabs>
        <w:ind w:left="283"/>
        <w:rPr>
          <w:rFonts w:ascii="標楷體" w:eastAsia="標楷體" w:hAnsi="標楷體"/>
          <w:color w:val="000000"/>
        </w:rPr>
      </w:pPr>
      <w:r>
        <w:rPr>
          <w:rFonts w:ascii="標楷體" w:eastAsia="標楷體" w:hAnsi="標楷體"/>
          <w:color w:val="000000"/>
        </w:rPr>
        <w:t>限用於治療去勢抗性攝護腺癌(castration-resistant prostate cancer)病患，其合併有症狀的骨轉移且尚未有臟器轉移者，且病人須符合下列三項條件：</w:t>
      </w:r>
    </w:p>
    <w:p w14:paraId="6A0A0E30"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患者須合併有症狀之骨轉移且骨轉移≧2處</w:t>
      </w:r>
    </w:p>
    <w:p w14:paraId="1ECF447F"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每位患者最高使用六個療程</w:t>
      </w:r>
    </w:p>
    <w:p w14:paraId="108375AF"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須經事前審查核准後使用，申請時需檢附：</w:t>
      </w:r>
    </w:p>
    <w:p w14:paraId="1E46813C" w14:textId="77777777" w:rsidR="00BD776B" w:rsidRDefault="00DF0C24">
      <w:pPr>
        <w:tabs>
          <w:tab w:val="left" w:pos="1185"/>
        </w:tabs>
        <w:ind w:left="105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.用藥紀錄(證明為有症狀的骨轉移、需常規使用止痛藥物)</w:t>
      </w:r>
    </w:p>
    <w:p w14:paraId="11D8994A" w14:textId="77777777" w:rsidR="00BD776B" w:rsidRDefault="00DF0C24">
      <w:pPr>
        <w:tabs>
          <w:tab w:val="left" w:pos="1185"/>
        </w:tabs>
        <w:ind w:left="105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.三個月內影像報告證明骨轉移≧2處</w:t>
      </w:r>
    </w:p>
    <w:p w14:paraId="3D7D7217" w14:textId="77777777" w:rsidR="00BD776B" w:rsidRDefault="00DF0C24">
      <w:pPr>
        <w:tabs>
          <w:tab w:val="left" w:pos="1185"/>
        </w:tabs>
        <w:ind w:left="1051"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.三個月內影像報告證明無臟器轉移</w:t>
      </w:r>
    </w:p>
    <w:p w14:paraId="108EBDC4"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不得合併使用abiraterone、enzalutamide及其他治療因惡性腫瘤伴隨骨骼事件之藥品，如denosumab、bisphosphonates等。</w:t>
      </w:r>
    </w:p>
    <w:p w14:paraId="4F12C0C6" w14:textId="2F707819" w:rsidR="00BD776B" w:rsidRDefault="00DF0C24">
      <w:pPr>
        <w:tabs>
          <w:tab w:val="left" w:pos="1418"/>
        </w:tabs>
        <w:ind w:left="895" w:hanging="612"/>
      </w:pPr>
      <w:r>
        <w:rPr>
          <w:rFonts w:ascii="標楷體" w:eastAsia="標楷體" w:hAnsi="標楷體"/>
          <w:color w:val="000000"/>
        </w:rPr>
        <w:t>9.69.免疫檢查點抑制劑(如atezolizumab；nivolumab；pembrolizumab；avelumab</w:t>
      </w:r>
      <w:r>
        <w:rPr>
          <w:rFonts w:ascii="標楷體" w:eastAsia="標楷體" w:hAnsi="標楷體" w:cs="標楷體.鬁..."/>
          <w:color w:val="000000"/>
          <w:kern w:val="0"/>
          <w:szCs w:val="24"/>
        </w:rPr>
        <w:t>；ipilimumab</w:t>
      </w:r>
      <w:r w:rsidR="00F439EB" w:rsidRPr="00F439EB">
        <w:rPr>
          <w:rFonts w:ascii="標楷體" w:eastAsia="標楷體" w:hAnsi="標楷體" w:hint="eastAsia"/>
          <w:color w:val="000000"/>
        </w:rPr>
        <w:t>；durvalumab；tremelimumab製劑</w:t>
      </w:r>
      <w:r>
        <w:rPr>
          <w:rFonts w:ascii="標楷體" w:eastAsia="標楷體" w:hAnsi="標楷體"/>
          <w:color w:val="000000"/>
        </w:rPr>
        <w:t>)：(108/4/1、108/6/1、109/4/1、109/6/1、109/11/1、110/5/1、110/10/1、111/4/1、111/6/1、112/8/1、112/10/1</w:t>
      </w:r>
      <w:r>
        <w:rPr>
          <w:rFonts w:ascii="標楷體" w:eastAsia="標楷體" w:hAnsi="標楷體"/>
          <w:szCs w:val="24"/>
        </w:rPr>
        <w:t>、112/12/1、113/2/1、113/4/1、113/5/1</w:t>
      </w:r>
      <w:r w:rsidR="001D1A1C">
        <w:rPr>
          <w:rFonts w:ascii="標楷體" w:eastAsia="標楷體" w:hAnsi="標楷體" w:hint="eastAsia"/>
          <w:szCs w:val="24"/>
        </w:rPr>
        <w:t>、113/6/1</w:t>
      </w:r>
      <w:r w:rsidR="003F49A0">
        <w:rPr>
          <w:rFonts w:ascii="標楷體" w:eastAsia="標楷體" w:hAnsi="標楷體" w:hint="eastAsia"/>
          <w:szCs w:val="24"/>
        </w:rPr>
        <w:t>、113/8/1</w:t>
      </w:r>
      <w:r w:rsidR="00D551BC">
        <w:rPr>
          <w:rFonts w:ascii="標楷體" w:eastAsia="標楷體" w:hAnsi="標楷體" w:hint="eastAsia"/>
          <w:szCs w:val="24"/>
        </w:rPr>
        <w:t>、114/1/1</w:t>
      </w:r>
      <w:r w:rsidR="00F439EB">
        <w:rPr>
          <w:rFonts w:ascii="標楷體" w:eastAsia="標楷體" w:hAnsi="標楷體" w:hint="eastAsia"/>
          <w:szCs w:val="24"/>
        </w:rPr>
        <w:t>、114/2/1</w:t>
      </w:r>
      <w:r>
        <w:rPr>
          <w:rFonts w:ascii="標楷體" w:eastAsia="標楷體" w:hAnsi="標楷體"/>
          <w:color w:val="000000"/>
        </w:rPr>
        <w:t>)</w:t>
      </w:r>
    </w:p>
    <w:p w14:paraId="1D7A4B17"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本類藥品得於藥品許可證登載之適應症及藥品仿單內，單獨使用於下列患者：</w:t>
      </w:r>
    </w:p>
    <w:p w14:paraId="779F7F0E" w14:textId="77777777" w:rsidR="00BD776B" w:rsidRDefault="00DF0C24">
      <w:pPr>
        <w:ind w:left="1274" w:hanging="386"/>
        <w:rPr>
          <w:rFonts w:ascii="標楷體" w:eastAsia="標楷體" w:hAnsi="標楷體"/>
          <w:color w:val="000000"/>
        </w:rPr>
      </w:pPr>
      <w:r>
        <w:rPr>
          <w:rFonts w:ascii="標楷體" w:eastAsia="標楷體" w:hAnsi="標楷體"/>
          <w:color w:val="000000"/>
        </w:rPr>
        <w:t>(1)黑色素瘤：腫瘤無法切除或轉移之第三期或第四期黑色素瘤病人，先前曾接受過至少一次全身性治療失敗者。</w:t>
      </w:r>
    </w:p>
    <w:p w14:paraId="3CDA23CA" w14:textId="77777777" w:rsidR="00BD776B" w:rsidRDefault="00DF0C24">
      <w:pPr>
        <w:tabs>
          <w:tab w:val="left" w:pos="1185"/>
        </w:tabs>
        <w:ind w:left="1133" w:hanging="245"/>
        <w:rPr>
          <w:rFonts w:ascii="標楷體" w:eastAsia="標楷體" w:hAnsi="標楷體"/>
          <w:color w:val="000000"/>
        </w:rPr>
      </w:pPr>
      <w:r>
        <w:rPr>
          <w:rFonts w:ascii="標楷體" w:eastAsia="標楷體" w:hAnsi="標楷體"/>
          <w:color w:val="000000"/>
        </w:rPr>
        <w:t>(2)非小細胞肺癌：(109/4/1、109/11/1)</w:t>
      </w:r>
    </w:p>
    <w:p w14:paraId="179BBED9" w14:textId="77777777" w:rsidR="00BD776B" w:rsidRDefault="00DF0C24">
      <w:pPr>
        <w:ind w:left="1558" w:hanging="245"/>
        <w:rPr>
          <w:rFonts w:ascii="標楷體" w:eastAsia="標楷體" w:hAnsi="標楷體"/>
          <w:color w:val="000000"/>
        </w:rPr>
      </w:pPr>
      <w:r>
        <w:rPr>
          <w:rFonts w:ascii="標楷體" w:eastAsia="標楷體" w:hAnsi="標楷體"/>
          <w:color w:val="000000"/>
        </w:rPr>
        <w:t>I.不適合接受化學治療之轉移性非小細胞肺癌成人患者，非鱗狀癌者需為EGFR/ALK/ROS-1腫瘤基因原生型、鱗狀癌者需為EGFR/ALK腫瘤基因原生型，且皆需符合下列條件之一：</w:t>
      </w:r>
    </w:p>
    <w:p w14:paraId="4CF542BA" w14:textId="77777777" w:rsidR="00BD776B" w:rsidRDefault="00DF0C24">
      <w:pPr>
        <w:tabs>
          <w:tab w:val="left" w:pos="1185"/>
        </w:tabs>
        <w:ind w:left="1841" w:hanging="245"/>
        <w:rPr>
          <w:rFonts w:ascii="標楷體" w:eastAsia="標楷體" w:hAnsi="標楷體"/>
          <w:color w:val="000000"/>
        </w:rPr>
      </w:pPr>
      <w:r>
        <w:rPr>
          <w:rFonts w:ascii="標楷體" w:eastAsia="標楷體" w:hAnsi="標楷體"/>
          <w:color w:val="000000"/>
        </w:rPr>
        <w:t>i.CTCAE(the common terminology criteria for adverse events) v4.0 grade≧2 audiometric hearing loss</w:t>
      </w:r>
    </w:p>
    <w:p w14:paraId="780DC6BD" w14:textId="77777777" w:rsidR="00BD776B" w:rsidRDefault="00DF0C24">
      <w:pPr>
        <w:tabs>
          <w:tab w:val="left" w:pos="1185"/>
        </w:tabs>
        <w:ind w:left="1841" w:hanging="245"/>
        <w:rPr>
          <w:rFonts w:ascii="標楷體" w:eastAsia="標楷體" w:hAnsi="標楷體"/>
          <w:color w:val="000000"/>
        </w:rPr>
      </w:pPr>
      <w:r>
        <w:rPr>
          <w:rFonts w:ascii="標楷體" w:eastAsia="標楷體" w:hAnsi="標楷體"/>
          <w:color w:val="000000"/>
        </w:rPr>
        <w:t>ii.CTCAE v4.0 grade≧2 peripheral neuropathy</w:t>
      </w:r>
    </w:p>
    <w:p w14:paraId="438E3373" w14:textId="77777777" w:rsidR="00BD776B" w:rsidRDefault="00DF0C24">
      <w:pPr>
        <w:tabs>
          <w:tab w:val="left" w:pos="1185"/>
        </w:tabs>
        <w:ind w:left="1841" w:hanging="245"/>
        <w:rPr>
          <w:rFonts w:ascii="標楷體" w:eastAsia="標楷體" w:hAnsi="標楷體"/>
          <w:color w:val="000000"/>
        </w:rPr>
      </w:pPr>
      <w:r>
        <w:rPr>
          <w:rFonts w:ascii="標楷體" w:eastAsia="標楷體" w:hAnsi="標楷體"/>
          <w:color w:val="000000"/>
        </w:rPr>
        <w:t xml:space="preserve">iii.CIRS(the cumulative illness rating scale) score &gt;6 </w:t>
      </w:r>
    </w:p>
    <w:p w14:paraId="4158A71B" w14:textId="77777777" w:rsidR="00BD776B" w:rsidRDefault="00DF0C24">
      <w:pPr>
        <w:tabs>
          <w:tab w:val="left" w:pos="888"/>
        </w:tabs>
        <w:ind w:left="1699" w:hanging="386"/>
        <w:rPr>
          <w:rFonts w:ascii="標楷體" w:eastAsia="標楷體" w:hAnsi="標楷體"/>
          <w:color w:val="000000"/>
        </w:rPr>
      </w:pPr>
      <w:r>
        <w:rPr>
          <w:rFonts w:ascii="標楷體" w:eastAsia="標楷體" w:hAnsi="標楷體"/>
          <w:color w:val="000000"/>
        </w:rPr>
        <w:t>II.先前已使用過platinum類化學治療失敗後，又有疾病惡化，且EGFR/ALK腫瘤基因為原生型之晚期鱗狀非小細胞肺癌成人患者。</w:t>
      </w:r>
    </w:p>
    <w:p w14:paraId="010F98F8" w14:textId="77777777" w:rsidR="00BD776B" w:rsidRDefault="00DF0C24">
      <w:pPr>
        <w:ind w:left="1827" w:hanging="514"/>
        <w:rPr>
          <w:rFonts w:ascii="標楷體" w:eastAsia="標楷體" w:hAnsi="標楷體"/>
          <w:color w:val="000000"/>
        </w:rPr>
      </w:pPr>
      <w:r>
        <w:rPr>
          <w:rFonts w:ascii="標楷體" w:eastAsia="標楷體" w:hAnsi="標楷體"/>
          <w:color w:val="000000"/>
        </w:rPr>
        <w:t>III.先前已使用過platinum類及docetaxel/paclitaxel類二線(含)以上化學治療均失敗，又有疾病惡化，且EGFR/ALK/ROS-1腫瘤基因為原生型之晚期非小細胞肺腺癌成人患者。</w:t>
      </w:r>
    </w:p>
    <w:p w14:paraId="4E6C139F" w14:textId="77777777" w:rsidR="00BD776B" w:rsidRDefault="00DF0C24">
      <w:pPr>
        <w:tabs>
          <w:tab w:val="left" w:pos="1046"/>
        </w:tabs>
        <w:ind w:left="1230" w:hanging="340"/>
        <w:rPr>
          <w:rFonts w:ascii="標楷體" w:eastAsia="標楷體" w:hAnsi="標楷體"/>
          <w:color w:val="000000"/>
        </w:rPr>
      </w:pPr>
      <w:r>
        <w:rPr>
          <w:rFonts w:ascii="標楷體" w:eastAsia="標楷體" w:hAnsi="標楷體"/>
          <w:color w:val="000000"/>
        </w:rPr>
        <w:t>(3)典型何杰金氏淋巴瘤：先前已接受自體造血幹細胞移植(HSCT)與移植後brentuximab vedotin (BV)治療，但又復發或惡化的典型何杰金氏淋巴瘤成人患者。</w:t>
      </w:r>
    </w:p>
    <w:p w14:paraId="23399714" w14:textId="255414D7" w:rsidR="00BD776B" w:rsidRDefault="00DF0C24">
      <w:pPr>
        <w:tabs>
          <w:tab w:val="left" w:pos="1046"/>
        </w:tabs>
        <w:ind w:left="1133" w:hanging="245"/>
        <w:rPr>
          <w:rFonts w:ascii="標楷體" w:eastAsia="標楷體" w:hAnsi="標楷體"/>
          <w:color w:val="000000"/>
        </w:rPr>
      </w:pPr>
      <w:r>
        <w:rPr>
          <w:rFonts w:ascii="標楷體" w:eastAsia="標楷體" w:hAnsi="標楷體"/>
          <w:color w:val="000000"/>
        </w:rPr>
        <w:t>(4)泌尿道上皮癌：</w:t>
      </w:r>
      <w:r w:rsidR="000F4020" w:rsidRPr="000F4020">
        <w:rPr>
          <w:rFonts w:ascii="標楷體" w:eastAsia="標楷體" w:hAnsi="標楷體" w:hint="eastAsia"/>
          <w:color w:val="000000"/>
        </w:rPr>
        <w:t>使用含atezolizumab藥品成分須於113年8月1日前審核同意用藥。(109/11/1、112/10/1、113/8/1)</w:t>
      </w:r>
    </w:p>
    <w:p w14:paraId="736590D0" w14:textId="77777777" w:rsidR="00BD776B" w:rsidRDefault="00DF0C24">
      <w:pPr>
        <w:ind w:left="1558" w:hanging="245"/>
        <w:rPr>
          <w:rFonts w:ascii="標楷體" w:eastAsia="標楷體" w:hAnsi="標楷體"/>
          <w:color w:val="000000"/>
        </w:rPr>
      </w:pPr>
      <w:r>
        <w:rPr>
          <w:rFonts w:ascii="標楷體" w:eastAsia="標楷體" w:hAnsi="標楷體"/>
          <w:color w:val="000000"/>
        </w:rPr>
        <w:t>I.不適合接受化學治療之轉移性泌尿道上皮癌成人患者，且需符合下列條件之一：</w:t>
      </w:r>
    </w:p>
    <w:p w14:paraId="1A715E65" w14:textId="77777777" w:rsidR="00BD776B" w:rsidRDefault="00DF0C24">
      <w:pPr>
        <w:tabs>
          <w:tab w:val="left" w:pos="1185"/>
        </w:tabs>
        <w:ind w:left="1843" w:hanging="259"/>
        <w:rPr>
          <w:rFonts w:ascii="標楷體" w:eastAsia="標楷體" w:hAnsi="標楷體"/>
          <w:color w:val="000000"/>
        </w:rPr>
      </w:pPr>
      <w:r>
        <w:rPr>
          <w:rFonts w:ascii="標楷體" w:eastAsia="標楷體" w:hAnsi="標楷體"/>
          <w:color w:val="000000"/>
        </w:rPr>
        <w:lastRenderedPageBreak/>
        <w:t>i.CTCAE(the common terminology criteria for adverse events) v4.0 grade≧2 audiometric hearing loss</w:t>
      </w:r>
    </w:p>
    <w:p w14:paraId="0A3F12A6" w14:textId="77777777" w:rsidR="00BD776B" w:rsidRDefault="00DF0C24">
      <w:pPr>
        <w:tabs>
          <w:tab w:val="left" w:pos="1185"/>
        </w:tabs>
        <w:ind w:left="1584"/>
        <w:rPr>
          <w:rFonts w:ascii="標楷體" w:eastAsia="標楷體" w:hAnsi="標楷體"/>
          <w:color w:val="000000"/>
        </w:rPr>
      </w:pPr>
      <w:r>
        <w:rPr>
          <w:rFonts w:ascii="標楷體" w:eastAsia="標楷體" w:hAnsi="標楷體"/>
          <w:color w:val="000000"/>
        </w:rPr>
        <w:t>ii.CTCAE v4.0 grade≧2 peripheral neuropathy</w:t>
      </w:r>
    </w:p>
    <w:p w14:paraId="30BB287F" w14:textId="77777777" w:rsidR="00BD776B" w:rsidRDefault="00DF0C24">
      <w:pPr>
        <w:tabs>
          <w:tab w:val="left" w:pos="1185"/>
        </w:tabs>
        <w:ind w:left="1584"/>
        <w:rPr>
          <w:rFonts w:ascii="標楷體" w:eastAsia="標楷體" w:hAnsi="標楷體"/>
          <w:color w:val="000000"/>
        </w:rPr>
      </w:pPr>
      <w:r>
        <w:rPr>
          <w:rFonts w:ascii="標楷體" w:eastAsia="標楷體" w:hAnsi="標楷體"/>
          <w:color w:val="000000"/>
        </w:rPr>
        <w:t>iii.CIRS(the cumulative illness rating scale) score &gt;6</w:t>
      </w:r>
    </w:p>
    <w:p w14:paraId="170D60D6" w14:textId="77777777" w:rsidR="00BD776B" w:rsidRDefault="00DF0C24">
      <w:pPr>
        <w:tabs>
          <w:tab w:val="left" w:pos="1185"/>
        </w:tabs>
        <w:ind w:left="1685" w:hanging="372"/>
        <w:rPr>
          <w:rFonts w:ascii="標楷體" w:eastAsia="標楷體" w:hAnsi="標楷體"/>
          <w:color w:val="000000"/>
        </w:rPr>
      </w:pPr>
      <w:r>
        <w:rPr>
          <w:rFonts w:ascii="標楷體" w:eastAsia="標楷體" w:hAnsi="標楷體"/>
          <w:color w:val="000000"/>
        </w:rPr>
        <w:t>II.</w:t>
      </w:r>
      <w:r>
        <w:rPr>
          <w:rFonts w:ascii="標楷體" w:eastAsia="標楷體" w:hAnsi="標楷體"/>
          <w:color w:val="000000"/>
        </w:rPr>
        <w:tab/>
        <w:t>先前已使用過platinum類化學治療失敗後疾病惡化的局部晚期無法切除或轉移性泌尿道上皮癌成人患者。</w:t>
      </w:r>
    </w:p>
    <w:p w14:paraId="7748BD44" w14:textId="77777777" w:rsidR="00BD776B" w:rsidRDefault="00DF0C24">
      <w:pPr>
        <w:tabs>
          <w:tab w:val="left" w:pos="1185"/>
        </w:tabs>
        <w:ind w:left="1712" w:hanging="397"/>
      </w:pPr>
      <w:r>
        <w:rPr>
          <w:rFonts w:ascii="標楷體" w:eastAsia="標楷體" w:hAnsi="標楷體"/>
          <w:color w:val="000000"/>
        </w:rPr>
        <w:t>III.</w:t>
      </w:r>
      <w:r>
        <w:rPr>
          <w:rFonts w:ascii="標楷體" w:eastAsia="標楷體" w:hAnsi="標楷體"/>
          <w:szCs w:val="24"/>
        </w:rPr>
        <w:t>限avelumab用於接受第一線含鉑化學治療4至6個療程後，疾病未惡化，</w:t>
      </w:r>
      <w:r>
        <w:rPr>
          <w:rFonts w:ascii="標楷體" w:eastAsia="標楷體" w:hAnsi="標楷體"/>
          <w:color w:val="000000"/>
          <w:szCs w:val="24"/>
        </w:rPr>
        <w:t>且達部分緩解（PR）或疾病呈穩定狀態者(SD)</w:t>
      </w:r>
      <w:r>
        <w:rPr>
          <w:rFonts w:ascii="標楷體" w:eastAsia="標楷體" w:hAnsi="標楷體"/>
          <w:szCs w:val="24"/>
        </w:rPr>
        <w:t>之無法手術切除局部晚期(stage Ⅲ)或轉移性泌尿上皮癌(stage Ⅳ)成人患者之維持療法。(112/10/1）</w:t>
      </w:r>
    </w:p>
    <w:p w14:paraId="3C91DD81" w14:textId="77777777" w:rsidR="00BD776B" w:rsidRDefault="00DF0C24">
      <w:pPr>
        <w:tabs>
          <w:tab w:val="left" w:pos="1046"/>
        </w:tabs>
        <w:ind w:left="1133" w:hanging="245"/>
        <w:rPr>
          <w:rFonts w:ascii="標楷體" w:eastAsia="標楷體" w:hAnsi="標楷體"/>
          <w:szCs w:val="24"/>
          <w:lang w:val="zh-TW" w:bidi="zh-TW"/>
        </w:rPr>
      </w:pPr>
      <w:r>
        <w:rPr>
          <w:rFonts w:ascii="標楷體" w:eastAsia="標楷體" w:hAnsi="標楷體"/>
          <w:szCs w:val="24"/>
          <w:lang w:val="zh-TW" w:bidi="zh-TW"/>
        </w:rPr>
        <w:t>(5)頭頸部鱗狀細胞癌(不含鼻咽癌)：(108/4/1、109/11/1、112/12/1)</w:t>
      </w:r>
    </w:p>
    <w:p w14:paraId="42EB64D2" w14:textId="77777777" w:rsidR="00BD776B" w:rsidRDefault="00DF0C24">
      <w:pPr>
        <w:tabs>
          <w:tab w:val="left" w:pos="1185"/>
        </w:tabs>
        <w:ind w:left="1560" w:hanging="360"/>
      </w:pPr>
      <w:r>
        <w:rPr>
          <w:rFonts w:ascii="標楷體" w:eastAsia="標楷體" w:hAnsi="標楷體"/>
          <w:szCs w:val="24"/>
          <w:lang w:val="zh-TW" w:bidi="zh-TW"/>
        </w:rPr>
        <w:t>I.先前未曾接受全身性治療</w:t>
      </w:r>
      <w:r>
        <w:rPr>
          <w:rFonts w:ascii="標楷體" w:eastAsia="標楷體" w:hAnsi="標楷體"/>
          <w:szCs w:val="24"/>
          <w:lang w:bidi="zh-TW"/>
        </w:rPr>
        <w:t>且無法手術切除之復發性或</w:t>
      </w:r>
      <w:r>
        <w:rPr>
          <w:rFonts w:ascii="標楷體" w:eastAsia="標楷體" w:hAnsi="標楷體"/>
          <w:szCs w:val="24"/>
          <w:lang w:val="zh-TW" w:bidi="zh-TW"/>
        </w:rPr>
        <w:t>轉移性(第三期或第四期)頭頸部鱗狀細胞癌成人患者。（112/12/1)</w:t>
      </w:r>
    </w:p>
    <w:p w14:paraId="5B87A6A7" w14:textId="77777777" w:rsidR="00BD776B" w:rsidRDefault="00DF0C24">
      <w:pPr>
        <w:tabs>
          <w:tab w:val="left" w:pos="1185"/>
        </w:tabs>
        <w:ind w:left="1560" w:hanging="360"/>
      </w:pPr>
      <w:r>
        <w:rPr>
          <w:rFonts w:ascii="標楷體" w:eastAsia="標楷體" w:hAnsi="標楷體"/>
          <w:szCs w:val="24"/>
          <w:lang w:val="zh-TW" w:bidi="zh-TW"/>
        </w:rPr>
        <w:t>II.先前已使用過platinum類化學治療失敗後，又有疾病惡化的復發</w:t>
      </w:r>
      <w:r>
        <w:rPr>
          <w:rFonts w:ascii="標楷體" w:eastAsia="標楷體" w:hAnsi="標楷體"/>
          <w:szCs w:val="24"/>
          <w:lang w:bidi="zh-TW"/>
        </w:rPr>
        <w:t>性或</w:t>
      </w:r>
      <w:r>
        <w:rPr>
          <w:rFonts w:ascii="標楷體" w:eastAsia="標楷體" w:hAnsi="標楷體"/>
          <w:szCs w:val="24"/>
          <w:lang w:val="zh-TW" w:bidi="zh-TW"/>
        </w:rPr>
        <w:t>轉移性(第三期或第四期)頭頸部鱗狀細胞癌成人患者。(108/4/1、109/11/1、112/12/1）</w:t>
      </w:r>
    </w:p>
    <w:p w14:paraId="7E1130C0" w14:textId="77777777" w:rsidR="00BD776B" w:rsidRDefault="00DF0C24">
      <w:pPr>
        <w:tabs>
          <w:tab w:val="left" w:pos="1046"/>
        </w:tabs>
        <w:ind w:left="1080" w:hanging="360"/>
      </w:pPr>
      <w:r>
        <w:rPr>
          <w:rFonts w:ascii="標楷體" w:eastAsia="標楷體" w:hAnsi="標楷體"/>
          <w:szCs w:val="24"/>
          <w:lang w:val="zh-TW" w:bidi="zh-TW"/>
        </w:rPr>
        <w:tab/>
      </w:r>
      <w:r>
        <w:rPr>
          <w:rFonts w:ascii="標楷體" w:eastAsia="標楷體" w:hAnsi="標楷體"/>
          <w:szCs w:val="24"/>
          <w:lang w:val="zh-TW" w:bidi="zh-TW"/>
        </w:rPr>
        <w:tab/>
        <w:t xml:space="preserve"> III.本類藥品與cetuximab僅能擇一使用，且治療失敗時不可互換。(108/4/1）</w:t>
      </w:r>
    </w:p>
    <w:p w14:paraId="74883F04" w14:textId="77777777" w:rsidR="00BD776B" w:rsidRDefault="00DF0C24">
      <w:pPr>
        <w:ind w:left="1274" w:hanging="386"/>
        <w:rPr>
          <w:rFonts w:ascii="標楷體" w:eastAsia="標楷體" w:hAnsi="標楷體"/>
          <w:color w:val="000000"/>
        </w:rPr>
      </w:pPr>
      <w:r>
        <w:rPr>
          <w:rFonts w:ascii="標楷體" w:eastAsia="標楷體" w:hAnsi="標楷體"/>
          <w:color w:val="000000"/>
        </w:rPr>
        <w:t>(6)轉移性胃癌：先前已使用過二線(含)以上化學治療均失敗，又有疾病惡化的轉移性胃腺癌成人患者，且於109年4月1日前經審核同意用藥，後續評估符合續用申請條件者。(109/4/1)</w:t>
      </w:r>
    </w:p>
    <w:p w14:paraId="29E673AA" w14:textId="77777777" w:rsidR="00BD776B" w:rsidRDefault="00DF0C24">
      <w:pPr>
        <w:ind w:left="1274" w:hanging="386"/>
        <w:rPr>
          <w:rFonts w:ascii="標楷體" w:eastAsia="標楷體" w:hAnsi="標楷體"/>
          <w:color w:val="000000"/>
        </w:rPr>
      </w:pPr>
      <w:r>
        <w:rPr>
          <w:rFonts w:ascii="標楷體" w:eastAsia="標楷體" w:hAnsi="標楷體"/>
          <w:color w:val="000000"/>
        </w:rPr>
        <w:t>(7)晚期腎細胞癌：先前已使用過至少二線標靶藥物治療均失敗，又有疾病惡化之晚期腎細胞癌，其病理上為亮細胞癌(clear cell renal carcinoma)之成人患者。</w:t>
      </w:r>
    </w:p>
    <w:p w14:paraId="08F01A4D" w14:textId="77777777" w:rsidR="00BD776B" w:rsidRDefault="00DF0C24">
      <w:pPr>
        <w:tabs>
          <w:tab w:val="left" w:pos="1185"/>
        </w:tabs>
        <w:ind w:left="1078" w:hanging="245"/>
        <w:rPr>
          <w:rFonts w:ascii="標楷體" w:eastAsia="標楷體" w:hAnsi="標楷體"/>
          <w:color w:val="000000"/>
        </w:rPr>
      </w:pPr>
      <w:r>
        <w:rPr>
          <w:rFonts w:ascii="標楷體" w:eastAsia="標楷體" w:hAnsi="標楷體"/>
          <w:color w:val="000000"/>
        </w:rPr>
        <w:t>(8)晚期肝細胞癌：需同時符合下列所有條件：</w:t>
      </w:r>
    </w:p>
    <w:p w14:paraId="7E2DB1C5" w14:textId="77777777" w:rsidR="00BD776B" w:rsidRDefault="00DF0C24">
      <w:pPr>
        <w:tabs>
          <w:tab w:val="left" w:pos="1185"/>
        </w:tabs>
        <w:ind w:left="1416" w:hanging="245"/>
        <w:rPr>
          <w:rFonts w:ascii="標楷體" w:eastAsia="標楷體" w:hAnsi="標楷體"/>
          <w:color w:val="000000"/>
        </w:rPr>
      </w:pPr>
      <w:r>
        <w:rPr>
          <w:rFonts w:ascii="標楷體" w:eastAsia="標楷體" w:hAnsi="標楷體"/>
          <w:color w:val="000000"/>
        </w:rPr>
        <w:t>Ⅰ.Child-Pugh A class肝細胞癌成人患者。</w:t>
      </w:r>
    </w:p>
    <w:p w14:paraId="3A09BC71" w14:textId="77777777" w:rsidR="00BD776B" w:rsidRDefault="00DF0C24">
      <w:pPr>
        <w:tabs>
          <w:tab w:val="left" w:pos="1185"/>
        </w:tabs>
        <w:ind w:left="1416" w:hanging="245"/>
        <w:rPr>
          <w:rFonts w:ascii="標楷體" w:eastAsia="標楷體" w:hAnsi="標楷體"/>
          <w:color w:val="000000"/>
        </w:rPr>
      </w:pPr>
      <w:r>
        <w:rPr>
          <w:rFonts w:ascii="標楷體" w:eastAsia="標楷體" w:hAnsi="標楷體"/>
          <w:color w:val="000000"/>
        </w:rPr>
        <w:t>Ⅱ.先前經T.A.C.E.於12個月內&gt;=3次局部治療失敗者。</w:t>
      </w:r>
    </w:p>
    <w:p w14:paraId="228F07DB" w14:textId="77777777" w:rsidR="00BD776B" w:rsidRDefault="00DF0C24">
      <w:pPr>
        <w:tabs>
          <w:tab w:val="left" w:pos="1185"/>
        </w:tabs>
        <w:ind w:left="1416" w:hanging="245"/>
        <w:rPr>
          <w:rFonts w:ascii="標楷體" w:eastAsia="標楷體" w:hAnsi="標楷體"/>
          <w:color w:val="000000"/>
        </w:rPr>
      </w:pPr>
      <w:r>
        <w:rPr>
          <w:rFonts w:ascii="標楷體" w:eastAsia="標楷體" w:hAnsi="標楷體"/>
          <w:color w:val="000000"/>
        </w:rPr>
        <w:t>Ⅲ.已使用過至少一線標靶藥物治療失敗，又有疾病惡化者。本類藥品與regorafenib、ramucirumab僅能擇一使用，且治療失敗時不可互換。(108/6/1、110/5/1)</w:t>
      </w:r>
    </w:p>
    <w:p w14:paraId="642D1700" w14:textId="77777777" w:rsidR="00BD776B" w:rsidRDefault="00DF0C24">
      <w:pPr>
        <w:tabs>
          <w:tab w:val="left" w:pos="1185"/>
        </w:tabs>
        <w:ind w:left="1416" w:hanging="245"/>
        <w:rPr>
          <w:rFonts w:ascii="標楷體" w:eastAsia="標楷體" w:hAnsi="標楷體"/>
          <w:color w:val="000000"/>
        </w:rPr>
      </w:pPr>
      <w:r>
        <w:rPr>
          <w:rFonts w:ascii="標楷體" w:eastAsia="標楷體" w:hAnsi="標楷體"/>
          <w:color w:val="000000"/>
        </w:rPr>
        <w:t>Ⅳ.未曾進行肝臟移植。</w:t>
      </w:r>
    </w:p>
    <w:p w14:paraId="30D84EEA" w14:textId="77777777" w:rsidR="00BD776B" w:rsidRDefault="00DF0C24">
      <w:pPr>
        <w:tabs>
          <w:tab w:val="left" w:pos="1185"/>
        </w:tabs>
        <w:ind w:left="1416" w:hanging="245"/>
        <w:rPr>
          <w:rFonts w:ascii="標楷體" w:eastAsia="標楷體" w:hAnsi="標楷體"/>
          <w:color w:val="000000"/>
        </w:rPr>
      </w:pPr>
      <w:r>
        <w:rPr>
          <w:rFonts w:ascii="標楷體" w:eastAsia="標楷體" w:hAnsi="標楷體"/>
          <w:color w:val="000000"/>
        </w:rPr>
        <w:t>Ⅴ.於109年4月1日前經審核同意用藥，後續評估符合續用申請條件者。(109/4/1)</w:t>
      </w:r>
    </w:p>
    <w:p w14:paraId="755840C5" w14:textId="77777777" w:rsidR="00BD776B" w:rsidRDefault="00DF0C24">
      <w:pPr>
        <w:tabs>
          <w:tab w:val="left" w:pos="993"/>
        </w:tabs>
        <w:ind w:left="1272" w:hanging="421"/>
        <w:rPr>
          <w:rFonts w:ascii="標楷體" w:eastAsia="標楷體" w:hAnsi="標楷體"/>
          <w:color w:val="000000"/>
        </w:rPr>
      </w:pPr>
      <w:r>
        <w:rPr>
          <w:rFonts w:ascii="標楷體" w:eastAsia="標楷體" w:hAnsi="標楷體"/>
          <w:color w:val="000000"/>
        </w:rPr>
        <w:t>(9)默克細胞癌：限avelumab用於先前已使用過platinum類化學治療失敗後，又有疾病惡化之轉移性第四期默克細胞癌(Merkel Cell Carcinoma)之成人患者。(109/6/1)</w:t>
      </w:r>
    </w:p>
    <w:p w14:paraId="55B9B6A2" w14:textId="09FA35C9" w:rsidR="00BD776B" w:rsidRDefault="00DF0C24">
      <w:pPr>
        <w:tabs>
          <w:tab w:val="left" w:pos="993"/>
        </w:tabs>
        <w:ind w:left="1272" w:hanging="421"/>
      </w:pPr>
      <w:r>
        <w:rPr>
          <w:rFonts w:ascii="標楷體" w:eastAsia="標楷體" w:hAnsi="標楷體" w:cs="標楷體.鬁..."/>
          <w:color w:val="000000"/>
          <w:kern w:val="0"/>
          <w:szCs w:val="24"/>
        </w:rPr>
        <w:t>(10)食道鱗狀細胞癌：限以nivolumab 120mg</w:t>
      </w:r>
      <w:r w:rsidR="00676FFB" w:rsidRPr="00676FFB">
        <w:rPr>
          <w:rFonts w:ascii="標楷體" w:eastAsia="標楷體" w:hAnsi="標楷體" w:cs="標楷體.鬁..." w:hint="eastAsia"/>
          <w:color w:val="000000"/>
          <w:kern w:val="0"/>
          <w:szCs w:val="24"/>
        </w:rPr>
        <w:t>規格量品項</w:t>
      </w:r>
      <w:r>
        <w:rPr>
          <w:rFonts w:ascii="標楷體" w:eastAsia="標楷體" w:hAnsi="標楷體" w:cs="標楷體.鬁..."/>
          <w:color w:val="000000"/>
          <w:kern w:val="0"/>
          <w:szCs w:val="24"/>
        </w:rPr>
        <w:t>用於曾接受合併含鉑及fluoropyrimidine化學治療之後惡化的無法切除晚期或復發性食道鱗狀細胞癌病人。(113/4/1</w:t>
      </w:r>
      <w:r w:rsidR="00D75A4A">
        <w:rPr>
          <w:rFonts w:ascii="標楷體" w:eastAsia="標楷體" w:hAnsi="標楷體" w:cs="標楷體.鬁..." w:hint="eastAsia"/>
          <w:color w:val="000000"/>
          <w:kern w:val="0"/>
          <w:szCs w:val="24"/>
        </w:rPr>
        <w:t>、113/6/1</w:t>
      </w:r>
      <w:r>
        <w:rPr>
          <w:rFonts w:ascii="標楷體" w:eastAsia="標楷體" w:hAnsi="標楷體" w:cs="標楷體.鬁..."/>
          <w:color w:val="000000"/>
          <w:kern w:val="0"/>
          <w:szCs w:val="24"/>
        </w:rPr>
        <w:t>)</w:t>
      </w:r>
    </w:p>
    <w:p w14:paraId="50A04270" w14:textId="649D0BFD" w:rsidR="00BD776B" w:rsidRDefault="00DF0C24">
      <w:pPr>
        <w:tabs>
          <w:tab w:val="left" w:pos="1418"/>
        </w:tabs>
        <w:ind w:left="811" w:hanging="244"/>
      </w:pPr>
      <w:r>
        <w:rPr>
          <w:rFonts w:ascii="標楷體" w:eastAsia="標楷體" w:hAnsi="標楷體"/>
          <w:color w:val="000000"/>
          <w:szCs w:val="24"/>
        </w:rPr>
        <w:t>2.</w:t>
      </w:r>
      <w:r>
        <w:rPr>
          <w:rFonts w:ascii="標楷體" w:eastAsia="標楷體" w:hAnsi="標楷體"/>
          <w:szCs w:val="24"/>
        </w:rPr>
        <w:t>本類藥品得於藥品許可證登載之適應症及藥品仿單內，併用其他藥品於下列患者：(112/12/1</w:t>
      </w:r>
      <w:r>
        <w:rPr>
          <w:rFonts w:ascii="標楷體" w:eastAsia="標楷體" w:hAnsi="標楷體"/>
          <w:color w:val="000000"/>
        </w:rPr>
        <w:t>、113/4/1</w:t>
      </w:r>
      <w:r w:rsidR="000F4020">
        <w:rPr>
          <w:rFonts w:ascii="標楷體" w:eastAsia="標楷體" w:hAnsi="標楷體" w:hint="eastAsia"/>
          <w:color w:val="000000"/>
        </w:rPr>
        <w:t>、113/6/1、113/8/1</w:t>
      </w:r>
      <w:r w:rsidR="002A0C40">
        <w:rPr>
          <w:rFonts w:ascii="標楷體" w:eastAsia="標楷體" w:hAnsi="標楷體" w:hint="eastAsia"/>
          <w:color w:val="000000"/>
        </w:rPr>
        <w:t>、114/2/1</w:t>
      </w:r>
      <w:r>
        <w:rPr>
          <w:rFonts w:ascii="標楷體" w:eastAsia="標楷體" w:hAnsi="標楷體"/>
          <w:szCs w:val="24"/>
        </w:rPr>
        <w:t>)</w:t>
      </w:r>
    </w:p>
    <w:p w14:paraId="2F219782" w14:textId="0E469BA4" w:rsidR="00BD776B" w:rsidRDefault="00DF0C24">
      <w:pPr>
        <w:tabs>
          <w:tab w:val="left" w:pos="1418"/>
        </w:tabs>
        <w:ind w:left="1051" w:hanging="245"/>
      </w:pPr>
      <w:r>
        <w:rPr>
          <w:rFonts w:ascii="標楷體" w:eastAsia="標楷體" w:hAnsi="標楷體"/>
          <w:szCs w:val="24"/>
        </w:rPr>
        <w:t>(1)晚期肝細胞癌第一線用藥(112/8/1、112/10/1</w:t>
      </w:r>
      <w:r w:rsidR="002A0C40">
        <w:rPr>
          <w:rFonts w:ascii="標楷體" w:eastAsia="標楷體" w:hAnsi="標楷體" w:hint="eastAsia"/>
          <w:szCs w:val="24"/>
        </w:rPr>
        <w:t>、114/2/1</w:t>
      </w:r>
      <w:r>
        <w:rPr>
          <w:rFonts w:ascii="標楷體" w:eastAsia="標楷體" w:hAnsi="標楷體"/>
          <w:szCs w:val="24"/>
        </w:rPr>
        <w:t>):</w:t>
      </w:r>
    </w:p>
    <w:p w14:paraId="36BE2161" w14:textId="6BEB766F" w:rsidR="00BD776B" w:rsidRDefault="00DF0C24">
      <w:pPr>
        <w:ind w:left="1514" w:hanging="386"/>
      </w:pPr>
      <w:r>
        <w:rPr>
          <w:rFonts w:ascii="標楷體" w:eastAsia="標楷體" w:hAnsi="標楷體"/>
          <w:szCs w:val="24"/>
        </w:rPr>
        <w:t>Ⅰ.限atezolizumab與bevacizumab併用</w:t>
      </w:r>
      <w:r w:rsidR="002A0C40" w:rsidRPr="002A0C40">
        <w:rPr>
          <w:rFonts w:ascii="標楷體" w:eastAsia="標楷體" w:hAnsi="標楷體" w:hint="eastAsia"/>
          <w:szCs w:val="24"/>
        </w:rPr>
        <w:t>，或限durvalumab與tremelimumab併用</w:t>
      </w:r>
      <w:r>
        <w:rPr>
          <w:rFonts w:ascii="標楷體" w:eastAsia="標楷體" w:hAnsi="標楷體"/>
          <w:szCs w:val="24"/>
        </w:rPr>
        <w:t>，適用於治療未曾接受全身性療法之轉移性或無法手</w:t>
      </w:r>
      <w:r>
        <w:rPr>
          <w:rFonts w:ascii="標楷體" w:eastAsia="標楷體" w:hAnsi="標楷體"/>
          <w:szCs w:val="24"/>
        </w:rPr>
        <w:lastRenderedPageBreak/>
        <w:t>術切除且不適合局部治療或局部治療失敗之Child-Pugh A class晚期肝細胞癌成人患者，並符合下列條件之一：（112/8/1、112/10/1</w:t>
      </w:r>
      <w:r w:rsidR="002A0C40">
        <w:rPr>
          <w:rFonts w:ascii="標楷體" w:eastAsia="標楷體" w:hAnsi="標楷體" w:hint="eastAsia"/>
          <w:szCs w:val="24"/>
        </w:rPr>
        <w:t>、114/2/1</w:t>
      </w:r>
      <w:r>
        <w:rPr>
          <w:rFonts w:ascii="標楷體" w:eastAsia="標楷體" w:hAnsi="標楷體"/>
          <w:szCs w:val="24"/>
        </w:rPr>
        <w:t>)</w:t>
      </w:r>
    </w:p>
    <w:p w14:paraId="37136732" w14:textId="77777777" w:rsidR="00BD776B" w:rsidRDefault="00DF0C24">
      <w:pPr>
        <w:tabs>
          <w:tab w:val="left" w:pos="1185"/>
        </w:tabs>
        <w:ind w:left="1771" w:hanging="245"/>
        <w:rPr>
          <w:rFonts w:ascii="標楷體" w:eastAsia="標楷體" w:hAnsi="標楷體"/>
          <w:szCs w:val="24"/>
        </w:rPr>
      </w:pPr>
      <w:r>
        <w:rPr>
          <w:rFonts w:ascii="標楷體" w:eastAsia="標楷體" w:hAnsi="標楷體"/>
          <w:szCs w:val="24"/>
        </w:rPr>
        <w:t>i.肝外轉移（遠端轉移或肝外淋巴結侵犯）。</w:t>
      </w:r>
    </w:p>
    <w:p w14:paraId="7E6AC4A6" w14:textId="77777777" w:rsidR="00BD776B" w:rsidRDefault="00DF0C24">
      <w:pPr>
        <w:tabs>
          <w:tab w:val="left" w:pos="1185"/>
        </w:tabs>
        <w:ind w:left="1771" w:hanging="245"/>
        <w:rPr>
          <w:rFonts w:ascii="標楷體" w:eastAsia="標楷體" w:hAnsi="標楷體"/>
          <w:szCs w:val="24"/>
        </w:rPr>
      </w:pPr>
      <w:r>
        <w:rPr>
          <w:rFonts w:ascii="標楷體" w:eastAsia="標楷體" w:hAnsi="標楷體"/>
          <w:szCs w:val="24"/>
        </w:rPr>
        <w:t>ii.大血管侵犯（腫瘤侵犯主門靜脈或侵犯左/右靜脈第一或第二分支）。</w:t>
      </w:r>
    </w:p>
    <w:p w14:paraId="61070C30" w14:textId="77777777" w:rsidR="00BD776B" w:rsidRDefault="00DF0C24">
      <w:pPr>
        <w:tabs>
          <w:tab w:val="left" w:pos="1185"/>
        </w:tabs>
        <w:ind w:left="1980" w:hanging="454"/>
      </w:pPr>
      <w:r>
        <w:rPr>
          <w:rFonts w:ascii="標楷體" w:eastAsia="標楷體" w:hAnsi="標楷體"/>
          <w:szCs w:val="24"/>
        </w:rPr>
        <w:t>iii.經導管動脈化學藥物栓塞治療（Transcatheter arterial chemo embolization, T.A.C.E.）失敗者，需提供患者於12個月內&gt;=3次局部治療之紀錄。</w:t>
      </w:r>
    </w:p>
    <w:p w14:paraId="666B7F40" w14:textId="77777777" w:rsidR="00BD776B" w:rsidRDefault="00DF0C24">
      <w:pPr>
        <w:ind w:left="1514" w:hanging="386"/>
      </w:pPr>
      <w:r>
        <w:rPr>
          <w:rFonts w:ascii="標楷體" w:eastAsia="標楷體" w:hAnsi="標楷體"/>
          <w:color w:val="000000"/>
        </w:rPr>
        <w:t>II.</w:t>
      </w:r>
      <w:r>
        <w:rPr>
          <w:rFonts w:ascii="標楷體" w:eastAsia="標楷體" w:hAnsi="標楷體"/>
          <w:szCs w:val="24"/>
        </w:rPr>
        <w:t>須排除有以下任一情形：</w:t>
      </w:r>
    </w:p>
    <w:p w14:paraId="44FDB715" w14:textId="77777777" w:rsidR="00BD776B" w:rsidRDefault="00DF0C24">
      <w:pPr>
        <w:tabs>
          <w:tab w:val="left" w:pos="1185"/>
        </w:tabs>
        <w:ind w:left="1798" w:hanging="245"/>
        <w:rPr>
          <w:rFonts w:ascii="標楷體" w:eastAsia="標楷體" w:hAnsi="標楷體"/>
          <w:szCs w:val="24"/>
        </w:rPr>
      </w:pPr>
      <w:r>
        <w:rPr>
          <w:rFonts w:ascii="標楷體" w:eastAsia="標楷體" w:hAnsi="標楷體"/>
          <w:szCs w:val="24"/>
        </w:rPr>
        <w:t>i.曾接受器官移植。</w:t>
      </w:r>
    </w:p>
    <w:p w14:paraId="54656BA2" w14:textId="77777777" w:rsidR="00BD776B" w:rsidRDefault="00DF0C24">
      <w:pPr>
        <w:tabs>
          <w:tab w:val="left" w:pos="1185"/>
        </w:tabs>
        <w:ind w:left="1798" w:hanging="245"/>
        <w:rPr>
          <w:rFonts w:ascii="標楷體" w:eastAsia="標楷體" w:hAnsi="標楷體"/>
          <w:szCs w:val="24"/>
        </w:rPr>
      </w:pPr>
      <w:r>
        <w:rPr>
          <w:rFonts w:ascii="標楷體" w:eastAsia="標楷體" w:hAnsi="標楷體"/>
          <w:szCs w:val="24"/>
        </w:rPr>
        <w:t>ii.正在接受免疫抑制藥物治療。</w:t>
      </w:r>
    </w:p>
    <w:p w14:paraId="51DEF8DF" w14:textId="77777777" w:rsidR="00BD776B" w:rsidRDefault="00DF0C24">
      <w:pPr>
        <w:tabs>
          <w:tab w:val="left" w:pos="1185"/>
        </w:tabs>
        <w:ind w:left="2007" w:hanging="454"/>
        <w:rPr>
          <w:rFonts w:ascii="標楷體" w:eastAsia="標楷體" w:hAnsi="標楷體"/>
          <w:szCs w:val="24"/>
        </w:rPr>
      </w:pPr>
      <w:r>
        <w:rPr>
          <w:rFonts w:ascii="標楷體" w:eastAsia="標楷體" w:hAnsi="標楷體"/>
          <w:szCs w:val="24"/>
        </w:rPr>
        <w:t>iii.有上消化道出血之疑慮且未接受完全治療 (須有半年內之內視鏡評估報告)。</w:t>
      </w:r>
    </w:p>
    <w:p w14:paraId="71FE66BD" w14:textId="30C5ED10" w:rsidR="00BD776B" w:rsidRDefault="00DF0C24">
      <w:pPr>
        <w:ind w:left="1514" w:hanging="386"/>
      </w:pPr>
      <w:r>
        <w:rPr>
          <w:rFonts w:ascii="標楷體" w:eastAsia="標楷體" w:hAnsi="標楷體"/>
          <w:color w:val="000000"/>
        </w:rPr>
        <w:t>III.</w:t>
      </w:r>
      <w:r w:rsidR="000F0D40" w:rsidRPr="000F0D40">
        <w:rPr>
          <w:rFonts w:ascii="標楷體" w:eastAsia="標楷體" w:hAnsi="標楷體" w:cs="Liberation Serif" w:hint="eastAsia"/>
          <w:szCs w:val="24"/>
        </w:rPr>
        <w:t>sorafenib、lenvatinib、atezolizumab與bevacizumab併用、durvalumab與tremelimumab併用僅得擇一給付，不得互換。(114/2/1)</w:t>
      </w:r>
    </w:p>
    <w:p w14:paraId="47B857CC" w14:textId="2B4CDB19" w:rsidR="00BD776B" w:rsidRDefault="00DF0C24">
      <w:pPr>
        <w:ind w:left="1514" w:hanging="386"/>
      </w:pPr>
      <w:r>
        <w:rPr>
          <w:rFonts w:ascii="標楷體" w:eastAsia="標楷體" w:hAnsi="標楷體"/>
          <w:color w:val="000000"/>
        </w:rPr>
        <w:t>IV.</w:t>
      </w:r>
      <w:r w:rsidR="00B94E03" w:rsidRPr="00B94E03">
        <w:rPr>
          <w:rFonts w:ascii="標楷體" w:eastAsia="標楷體" w:hAnsi="標楷體" w:hint="eastAsia"/>
          <w:szCs w:val="24"/>
        </w:rPr>
        <w:t>atezolizumab與bevacizumab併用或durvalumab與tremelimumab併用治療失敗後，不得申請使用regorafenib或ramucirumab。(114/2/1)</w:t>
      </w:r>
    </w:p>
    <w:p w14:paraId="060CFFC2" w14:textId="4D462C34" w:rsidR="00BD776B" w:rsidRDefault="00DF0C24">
      <w:pPr>
        <w:tabs>
          <w:tab w:val="left" w:pos="1418"/>
        </w:tabs>
        <w:ind w:left="1166" w:hanging="360"/>
      </w:pPr>
      <w:r>
        <w:rPr>
          <w:rFonts w:ascii="標楷體" w:eastAsia="標楷體" w:hAnsi="標楷體"/>
          <w:szCs w:val="24"/>
        </w:rPr>
        <w:t>(2)</w:t>
      </w:r>
      <w:r>
        <w:rPr>
          <w:rFonts w:ascii="標楷體" w:eastAsia="標楷體" w:hAnsi="標楷體"/>
          <w:color w:val="000000"/>
          <w:kern w:val="0"/>
          <w:szCs w:val="24"/>
        </w:rPr>
        <w:t>轉移性鱗狀非小細胞肺癌</w:t>
      </w:r>
      <w:r w:rsidR="00643119" w:rsidRPr="00643119">
        <w:rPr>
          <w:rFonts w:ascii="標楷體" w:eastAsia="標楷體" w:hAnsi="標楷體" w:hint="eastAsia"/>
          <w:color w:val="000000"/>
          <w:kern w:val="0"/>
          <w:szCs w:val="24"/>
        </w:rPr>
        <w:t>第一線用藥</w:t>
      </w:r>
      <w:r>
        <w:rPr>
          <w:rFonts w:ascii="標楷體" w:eastAsia="標楷體" w:hAnsi="標楷體"/>
          <w:color w:val="000000"/>
          <w:kern w:val="0"/>
          <w:szCs w:val="24"/>
        </w:rPr>
        <w:t>：</w:t>
      </w:r>
      <w:r w:rsidR="00643119" w:rsidRPr="00643119">
        <w:rPr>
          <w:rFonts w:ascii="標楷體" w:eastAsia="標楷體" w:hAnsi="標楷體" w:hint="eastAsia"/>
          <w:szCs w:val="24"/>
        </w:rPr>
        <w:t>限</w:t>
      </w:r>
      <w:r w:rsidR="00643119" w:rsidRPr="00643119">
        <w:rPr>
          <w:rFonts w:ascii="標楷體" w:eastAsia="標楷體" w:hAnsi="標楷體"/>
          <w:szCs w:val="24"/>
        </w:rPr>
        <w:t>pembrolizumab</w:t>
      </w:r>
      <w:r w:rsidR="00643119" w:rsidRPr="00643119">
        <w:rPr>
          <w:rFonts w:ascii="標楷體" w:eastAsia="標楷體" w:hAnsi="標楷體" w:hint="eastAsia"/>
          <w:szCs w:val="24"/>
        </w:rPr>
        <w:t>與</w:t>
      </w:r>
      <w:r w:rsidR="00643119" w:rsidRPr="00643119">
        <w:rPr>
          <w:rFonts w:ascii="標楷體" w:eastAsia="標楷體" w:hAnsi="標楷體"/>
          <w:szCs w:val="24"/>
        </w:rPr>
        <w:t>carboplatin</w:t>
      </w:r>
      <w:r w:rsidR="00643119" w:rsidRPr="00643119">
        <w:rPr>
          <w:rFonts w:ascii="標楷體" w:eastAsia="標楷體" w:hAnsi="標楷體" w:hint="eastAsia"/>
          <w:szCs w:val="24"/>
        </w:rPr>
        <w:t>及</w:t>
      </w:r>
      <w:r w:rsidR="00643119" w:rsidRPr="00643119">
        <w:rPr>
          <w:rFonts w:ascii="標楷體" w:eastAsia="標楷體" w:hAnsi="標楷體"/>
          <w:szCs w:val="24"/>
        </w:rPr>
        <w:t>paclitaxel</w:t>
      </w:r>
      <w:r w:rsidR="00643119" w:rsidRPr="00643119">
        <w:rPr>
          <w:rFonts w:ascii="標楷體" w:eastAsia="標楷體" w:hAnsi="標楷體" w:hint="eastAsia"/>
          <w:szCs w:val="24"/>
        </w:rPr>
        <w:t>併用至多使用</w:t>
      </w:r>
      <w:r w:rsidR="00643119" w:rsidRPr="00643119">
        <w:rPr>
          <w:rFonts w:ascii="標楷體" w:eastAsia="標楷體" w:hAnsi="標楷體"/>
          <w:szCs w:val="24"/>
        </w:rPr>
        <w:t>4</w:t>
      </w:r>
      <w:r w:rsidR="00643119" w:rsidRPr="00643119">
        <w:rPr>
          <w:rFonts w:ascii="標楷體" w:eastAsia="標楷體" w:hAnsi="標楷體" w:hint="eastAsia"/>
          <w:szCs w:val="24"/>
        </w:rPr>
        <w:t>個療程，接續單用</w:t>
      </w:r>
      <w:r w:rsidR="00643119" w:rsidRPr="00643119">
        <w:rPr>
          <w:rFonts w:ascii="標楷體" w:eastAsia="標楷體" w:hAnsi="標楷體"/>
          <w:szCs w:val="24"/>
        </w:rPr>
        <w:t>pembrolizumab</w:t>
      </w:r>
      <w:r w:rsidR="00643119" w:rsidRPr="00643119">
        <w:rPr>
          <w:rFonts w:ascii="標楷體" w:eastAsia="標楷體" w:hAnsi="標楷體" w:hint="eastAsia"/>
          <w:szCs w:val="24"/>
        </w:rPr>
        <w:t>治療。</w:t>
      </w:r>
      <w:r w:rsidR="00643119" w:rsidRPr="00643119">
        <w:rPr>
          <w:rFonts w:ascii="標楷體" w:eastAsia="標楷體" w:hAnsi="標楷體"/>
          <w:szCs w:val="24"/>
        </w:rPr>
        <w:t>(112/12/1</w:t>
      </w:r>
      <w:r w:rsidR="00643119" w:rsidRPr="00643119">
        <w:rPr>
          <w:rFonts w:ascii="標楷體" w:eastAsia="標楷體" w:hAnsi="標楷體" w:hint="eastAsia"/>
          <w:szCs w:val="24"/>
        </w:rPr>
        <w:t>、</w:t>
      </w:r>
      <w:r w:rsidR="00643119" w:rsidRPr="00643119">
        <w:rPr>
          <w:rFonts w:ascii="標楷體" w:eastAsia="標楷體" w:hAnsi="標楷體"/>
          <w:szCs w:val="24"/>
        </w:rPr>
        <w:t>113/4/1</w:t>
      </w:r>
      <w:r w:rsidR="00643119" w:rsidRPr="00643119">
        <w:rPr>
          <w:rFonts w:ascii="標楷體" w:eastAsia="標楷體" w:hAnsi="標楷體" w:hint="eastAsia"/>
          <w:szCs w:val="24"/>
        </w:rPr>
        <w:t>、</w:t>
      </w:r>
      <w:r w:rsidR="00643119" w:rsidRPr="00643119">
        <w:rPr>
          <w:rFonts w:ascii="標楷體" w:eastAsia="標楷體" w:hAnsi="標楷體"/>
          <w:szCs w:val="24"/>
        </w:rPr>
        <w:t>113/8/1)</w:t>
      </w:r>
    </w:p>
    <w:p w14:paraId="3BBC765D" w14:textId="23B0A7E5" w:rsidR="00BD776B" w:rsidRDefault="00DF0C24">
      <w:pPr>
        <w:tabs>
          <w:tab w:val="left" w:pos="1418"/>
        </w:tabs>
        <w:ind w:left="1166" w:hanging="360"/>
      </w:pPr>
      <w:r>
        <w:rPr>
          <w:rFonts w:ascii="標楷體" w:eastAsia="標楷體" w:hAnsi="標楷體"/>
          <w:szCs w:val="24"/>
        </w:rPr>
        <w:t>(3)小細胞肺癌：</w:t>
      </w:r>
      <w:r w:rsidR="00B94E03" w:rsidRPr="00B94E03">
        <w:rPr>
          <w:rFonts w:ascii="標楷體" w:eastAsia="標楷體" w:hAnsi="標楷體" w:hint="eastAsia"/>
          <w:szCs w:val="24"/>
        </w:rPr>
        <w:t>限atezolizumab與carboplatin及etoposide併用，或durvalumab與etoposide及carboplatin或cisplatin兩者之一併用，適用於先前未曾接受化療，且無腦部或無脊髓轉移之擴散期(extensive stage)小細胞肺癌成人患者。(112/12/1、114/2/1)</w:t>
      </w:r>
    </w:p>
    <w:p w14:paraId="4815B32A" w14:textId="7CC52AAF" w:rsidR="00BD776B" w:rsidRDefault="00DF0C24">
      <w:pPr>
        <w:tabs>
          <w:tab w:val="left" w:pos="1418"/>
        </w:tabs>
        <w:ind w:left="1166" w:hanging="360"/>
      </w:pPr>
      <w:r>
        <w:rPr>
          <w:rFonts w:ascii="標楷體" w:eastAsia="標楷體" w:hAnsi="標楷體"/>
          <w:kern w:val="0"/>
          <w:szCs w:val="24"/>
        </w:rPr>
        <w:t>(4)惡性肋膜間皮瘤：限ipilimumab與nivolumab 120mg</w:t>
      </w:r>
      <w:r w:rsidR="00621FE5" w:rsidRPr="00621FE5">
        <w:rPr>
          <w:rFonts w:ascii="標楷體" w:eastAsia="標楷體" w:hAnsi="標楷體" w:hint="eastAsia"/>
          <w:kern w:val="0"/>
          <w:szCs w:val="24"/>
        </w:rPr>
        <w:t>規格量品項</w:t>
      </w:r>
      <w:r>
        <w:rPr>
          <w:rFonts w:ascii="標楷體" w:eastAsia="標楷體" w:hAnsi="標楷體"/>
          <w:kern w:val="0"/>
          <w:szCs w:val="24"/>
        </w:rPr>
        <w:t>併用於無法切除之惡性肋膜間皮瘤且病理組織顯示為非上皮型(Non-epithelioid)成人病人的第一線治療。(</w:t>
      </w:r>
      <w:r>
        <w:rPr>
          <w:rFonts w:ascii="標楷體" w:eastAsia="標楷體" w:hAnsi="標楷體" w:cs="標楷體.鬁..."/>
          <w:color w:val="000000"/>
          <w:kern w:val="0"/>
          <w:szCs w:val="24"/>
        </w:rPr>
        <w:t>113/4/1</w:t>
      </w:r>
      <w:r w:rsidR="00621FE5">
        <w:rPr>
          <w:rFonts w:ascii="標楷體" w:eastAsia="標楷體" w:hAnsi="標楷體" w:cs="標楷體.鬁..." w:hint="eastAsia"/>
          <w:color w:val="000000"/>
          <w:kern w:val="0"/>
          <w:szCs w:val="24"/>
        </w:rPr>
        <w:t>、113/6/1</w:t>
      </w:r>
      <w:r>
        <w:rPr>
          <w:rFonts w:ascii="標楷體" w:eastAsia="標楷體" w:hAnsi="標楷體"/>
          <w:kern w:val="0"/>
          <w:szCs w:val="24"/>
        </w:rPr>
        <w:t>)</w:t>
      </w:r>
    </w:p>
    <w:p w14:paraId="038722E2" w14:textId="35977F09" w:rsidR="00BD776B" w:rsidRDefault="00DF0C24">
      <w:pPr>
        <w:tabs>
          <w:tab w:val="left" w:pos="1418"/>
        </w:tabs>
        <w:ind w:left="1166" w:hanging="360"/>
        <w:rPr>
          <w:rFonts w:ascii="標楷體" w:eastAsia="標楷體" w:hAnsi="標楷體"/>
          <w:kern w:val="0"/>
          <w:szCs w:val="24"/>
        </w:rPr>
      </w:pPr>
      <w:r>
        <w:rPr>
          <w:rFonts w:ascii="標楷體" w:eastAsia="標楷體" w:hAnsi="標楷體"/>
          <w:kern w:val="0"/>
          <w:szCs w:val="24"/>
        </w:rPr>
        <w:t>(5)胃癌（不含胃腸基質瘤及神經內分泌腫瘤/癌）：限以nivolumab 120mg</w:t>
      </w:r>
      <w:r w:rsidR="00621FE5" w:rsidRPr="00621FE5">
        <w:rPr>
          <w:rFonts w:ascii="標楷體" w:eastAsia="標楷體" w:hAnsi="標楷體" w:hint="eastAsia"/>
          <w:kern w:val="0"/>
          <w:szCs w:val="24"/>
        </w:rPr>
        <w:t>規格量品項</w:t>
      </w:r>
      <w:r>
        <w:rPr>
          <w:rFonts w:ascii="標楷體" w:eastAsia="標楷體" w:hAnsi="標楷體"/>
          <w:kern w:val="0"/>
          <w:szCs w:val="24"/>
        </w:rPr>
        <w:t>併用fluoropyrimidine（5-FU或capecitabine）及oxaliplatin，用於第一線治療晚期或轉移性且不具有HER2過度表現的胃癌病人。(</w:t>
      </w:r>
      <w:r>
        <w:rPr>
          <w:rFonts w:ascii="標楷體" w:eastAsia="標楷體" w:hAnsi="標楷體" w:cs="標楷體.鬁..."/>
          <w:color w:val="000000"/>
          <w:kern w:val="0"/>
          <w:szCs w:val="24"/>
        </w:rPr>
        <w:t>113/4/1</w:t>
      </w:r>
      <w:r w:rsidR="00621FE5">
        <w:rPr>
          <w:rFonts w:ascii="標楷體" w:eastAsia="標楷體" w:hAnsi="標楷體" w:cs="標楷體.鬁..." w:hint="eastAsia"/>
          <w:color w:val="000000"/>
          <w:kern w:val="0"/>
          <w:szCs w:val="24"/>
        </w:rPr>
        <w:t>、113/6/1</w:t>
      </w:r>
      <w:r>
        <w:rPr>
          <w:rFonts w:ascii="標楷體" w:eastAsia="標楷體" w:hAnsi="標楷體"/>
          <w:kern w:val="0"/>
          <w:szCs w:val="24"/>
        </w:rPr>
        <w:t>)</w:t>
      </w:r>
    </w:p>
    <w:p w14:paraId="33AC4A79" w14:textId="77777777" w:rsidR="00B94E03" w:rsidRPr="00B94E03" w:rsidRDefault="00B94E03" w:rsidP="00B94E03">
      <w:pPr>
        <w:tabs>
          <w:tab w:val="left" w:pos="1418"/>
        </w:tabs>
        <w:ind w:left="1166" w:hanging="360"/>
        <w:rPr>
          <w:rFonts w:ascii="標楷體" w:eastAsia="標楷體" w:hAnsi="標楷體"/>
          <w:kern w:val="0"/>
          <w:szCs w:val="24"/>
        </w:rPr>
      </w:pPr>
      <w:r w:rsidRPr="00B94E03">
        <w:rPr>
          <w:rFonts w:ascii="標楷體" w:eastAsia="標楷體" w:hAnsi="標楷體" w:hint="eastAsia"/>
          <w:kern w:val="0"/>
          <w:szCs w:val="24"/>
        </w:rPr>
        <w:t>(6)膽道癌第一線用藥：限durvalumab與cisplatin及 gemcitabine併用至多使用8個療程，接續單用durvalumab於先前未接受過治療或不可手術之局部晚期或轉移性膽道癌 (biliary tract cancer)，並須排除以下任一情形：(114/2/1)</w:t>
      </w:r>
    </w:p>
    <w:p w14:paraId="73B1C358" w14:textId="77777777" w:rsidR="00B94E03" w:rsidRPr="00B94E03" w:rsidRDefault="00B94E03" w:rsidP="00B94E03">
      <w:pPr>
        <w:tabs>
          <w:tab w:val="left" w:pos="1418"/>
        </w:tabs>
        <w:ind w:left="1166" w:hanging="32"/>
        <w:rPr>
          <w:rFonts w:ascii="標楷體" w:eastAsia="標楷體" w:hAnsi="標楷體"/>
          <w:kern w:val="0"/>
          <w:szCs w:val="24"/>
        </w:rPr>
      </w:pPr>
      <w:r w:rsidRPr="00B94E03">
        <w:rPr>
          <w:rFonts w:ascii="標楷體" w:eastAsia="標楷體" w:hAnsi="標楷體" w:hint="eastAsia"/>
          <w:kern w:val="0"/>
          <w:szCs w:val="24"/>
        </w:rPr>
        <w:t>Ⅰ.壺腹癌。</w:t>
      </w:r>
    </w:p>
    <w:p w14:paraId="059FFA70" w14:textId="77777777" w:rsidR="00B94E03" w:rsidRPr="00B94E03" w:rsidRDefault="00B94E03" w:rsidP="00B94E03">
      <w:pPr>
        <w:tabs>
          <w:tab w:val="left" w:pos="1418"/>
        </w:tabs>
        <w:ind w:left="1166" w:hanging="32"/>
        <w:rPr>
          <w:rFonts w:ascii="標楷體" w:eastAsia="標楷體" w:hAnsi="標楷體"/>
          <w:kern w:val="0"/>
          <w:szCs w:val="24"/>
        </w:rPr>
      </w:pPr>
      <w:r w:rsidRPr="00B94E03">
        <w:rPr>
          <w:rFonts w:ascii="標楷體" w:eastAsia="標楷體" w:hAnsi="標楷體" w:hint="eastAsia"/>
          <w:kern w:val="0"/>
          <w:szCs w:val="24"/>
        </w:rPr>
        <w:t>Ⅱ.曾接受異體器官移植。</w:t>
      </w:r>
    </w:p>
    <w:p w14:paraId="0FF14361" w14:textId="65574AB7" w:rsidR="00B94E03" w:rsidRDefault="00B94E03" w:rsidP="00B94E03">
      <w:pPr>
        <w:tabs>
          <w:tab w:val="left" w:pos="1418"/>
        </w:tabs>
        <w:ind w:left="1166" w:hanging="32"/>
      </w:pPr>
      <w:r w:rsidRPr="00B94E03">
        <w:rPr>
          <w:rFonts w:ascii="標楷體" w:eastAsia="標楷體" w:hAnsi="標楷體" w:hint="eastAsia"/>
          <w:kern w:val="0"/>
          <w:szCs w:val="24"/>
        </w:rPr>
        <w:t>Ⅲ.具有或曾有活動性自體免疫或發炎性疾病。</w:t>
      </w:r>
    </w:p>
    <w:p w14:paraId="7251FCA9"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3.使用條件：</w:t>
      </w:r>
    </w:p>
    <w:p w14:paraId="4E56C0F3" w14:textId="77777777" w:rsidR="00BD776B" w:rsidRDefault="00DF0C24">
      <w:pPr>
        <w:tabs>
          <w:tab w:val="left" w:pos="1185"/>
        </w:tabs>
        <w:ind w:left="1291"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病人身體狀況良好(ECOG≦1)。</w:t>
      </w:r>
    </w:p>
    <w:p w14:paraId="7135174C" w14:textId="77777777" w:rsidR="00BD776B" w:rsidRDefault="00DF0C24">
      <w:pPr>
        <w:tabs>
          <w:tab w:val="left" w:pos="1185"/>
        </w:tabs>
        <w:ind w:left="1291"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病人之心肺與肝腎功能須符合下列所有條件：</w:t>
      </w:r>
    </w:p>
    <w:p w14:paraId="1CCBA377" w14:textId="77777777" w:rsidR="00BD776B" w:rsidRDefault="00DF0C24">
      <w:pPr>
        <w:tabs>
          <w:tab w:val="left" w:pos="1185"/>
        </w:tabs>
        <w:ind w:left="1531" w:hanging="245"/>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NYHA(the New York Heart Association) Functional Class I或II</w:t>
      </w:r>
    </w:p>
    <w:p w14:paraId="4B4AD296" w14:textId="3B866B6E" w:rsidR="00BD776B" w:rsidRDefault="00DF0C24">
      <w:pPr>
        <w:tabs>
          <w:tab w:val="left" w:pos="1185"/>
        </w:tabs>
        <w:ind w:left="1531" w:hanging="245"/>
        <w:rPr>
          <w:rFonts w:ascii="標楷體" w:eastAsia="標楷體" w:hAnsi="標楷體"/>
          <w:color w:val="000000"/>
        </w:rPr>
      </w:pPr>
      <w:r>
        <w:rPr>
          <w:rFonts w:ascii="標楷體" w:eastAsia="標楷體" w:hAnsi="標楷體"/>
          <w:color w:val="000000"/>
        </w:rPr>
        <w:t>II.</w:t>
      </w:r>
      <w:r w:rsidR="00C96240" w:rsidRPr="00C96240">
        <w:rPr>
          <w:rFonts w:ascii="標楷體" w:eastAsia="標楷體" w:hAnsi="標楷體" w:hint="eastAsia"/>
          <w:color w:val="000000"/>
        </w:rPr>
        <w:t>GOT&lt;60U/L及GPT&lt;60U/L，且T-bilirubin&lt;1.5mg/dL (晚期肝細胞癌以</w:t>
      </w:r>
      <w:r w:rsidR="00C96240" w:rsidRPr="00C96240">
        <w:rPr>
          <w:rFonts w:ascii="標楷體" w:eastAsia="標楷體" w:hAnsi="標楷體" w:hint="eastAsia"/>
          <w:color w:val="000000"/>
        </w:rPr>
        <w:lastRenderedPageBreak/>
        <w:t>及膽道癌病人可免除此條件)(114/2/1)</w:t>
      </w:r>
    </w:p>
    <w:p w14:paraId="107DB3D7" w14:textId="77777777" w:rsidR="00BD776B" w:rsidRDefault="00DF0C24">
      <w:pPr>
        <w:tabs>
          <w:tab w:val="left" w:pos="1185"/>
        </w:tabs>
        <w:ind w:left="1531" w:hanging="245"/>
        <w:rPr>
          <w:rFonts w:ascii="標楷體" w:eastAsia="標楷體" w:hAnsi="標楷體"/>
          <w:color w:val="000000"/>
        </w:rPr>
      </w:pPr>
      <w:r>
        <w:rPr>
          <w:rFonts w:ascii="標楷體" w:eastAsia="標楷體" w:hAnsi="標楷體"/>
          <w:color w:val="000000"/>
        </w:rPr>
        <w:t>III.腎功能：(晚期腎細胞癌病人可免除此條件) (109/4/1、112/10/1)</w:t>
      </w:r>
    </w:p>
    <w:p w14:paraId="4168EF6F" w14:textId="77777777" w:rsidR="00BD776B" w:rsidRDefault="00DF0C24">
      <w:pPr>
        <w:tabs>
          <w:tab w:val="left" w:pos="1185"/>
        </w:tabs>
        <w:ind w:left="1771" w:hanging="245"/>
      </w:pPr>
      <w:r>
        <w:rPr>
          <w:rFonts w:ascii="標楷體" w:eastAsia="標楷體" w:hAnsi="標楷體"/>
          <w:color w:val="000000"/>
        </w:rPr>
        <w:t>i泌尿道上皮癌第一線用藥：eGFR&gt;30mL/min/1.73</w:t>
      </w:r>
      <w:r>
        <w:rPr>
          <w:rFonts w:ascii="標楷體" w:eastAsia="標楷體" w:hAnsi="標楷體"/>
          <w:szCs w:val="24"/>
        </w:rPr>
        <w:t>m</w:t>
      </w:r>
      <w:r>
        <w:rPr>
          <w:rFonts w:ascii="標楷體" w:eastAsia="標楷體" w:hAnsi="標楷體"/>
          <w:szCs w:val="24"/>
          <w:vertAlign w:val="superscript"/>
        </w:rPr>
        <w:t>2</w:t>
      </w:r>
      <w:r>
        <w:rPr>
          <w:rFonts w:ascii="標楷體" w:eastAsia="標楷體" w:hAnsi="標楷體"/>
          <w:color w:val="000000"/>
        </w:rPr>
        <w:t>且&lt;60mL/min/1.73</w:t>
      </w:r>
      <w:r>
        <w:rPr>
          <w:rFonts w:ascii="標楷體" w:eastAsia="標楷體" w:hAnsi="標楷體"/>
          <w:szCs w:val="24"/>
        </w:rPr>
        <w:t>m</w:t>
      </w:r>
      <w:r>
        <w:rPr>
          <w:rFonts w:ascii="標楷體" w:eastAsia="標楷體" w:hAnsi="標楷體"/>
          <w:szCs w:val="24"/>
          <w:vertAlign w:val="superscript"/>
        </w:rPr>
        <w:t>2</w:t>
      </w:r>
      <w:r>
        <w:rPr>
          <w:rFonts w:ascii="標楷體" w:eastAsia="標楷體" w:hAnsi="標楷體"/>
          <w:color w:val="000000"/>
        </w:rPr>
        <w:t>。</w:t>
      </w:r>
    </w:p>
    <w:p w14:paraId="71B6553B" w14:textId="77777777" w:rsidR="00BD776B" w:rsidRDefault="00DF0C24">
      <w:pPr>
        <w:tabs>
          <w:tab w:val="left" w:pos="1185"/>
        </w:tabs>
        <w:ind w:left="1771" w:hanging="245"/>
      </w:pPr>
      <w:r>
        <w:rPr>
          <w:rFonts w:ascii="標楷體" w:eastAsia="標楷體" w:hAnsi="標楷體"/>
          <w:color w:val="000000"/>
        </w:rPr>
        <w:t>ii.泌尿道上皮癌第二線用藥：eGFR&gt;30mL/min/1.73</w:t>
      </w:r>
      <w:r>
        <w:rPr>
          <w:rFonts w:ascii="標楷體" w:eastAsia="標楷體" w:hAnsi="標楷體"/>
          <w:szCs w:val="24"/>
        </w:rPr>
        <w:t>m</w:t>
      </w:r>
      <w:r>
        <w:rPr>
          <w:rFonts w:ascii="標楷體" w:eastAsia="標楷體" w:hAnsi="標楷體"/>
          <w:szCs w:val="24"/>
          <w:vertAlign w:val="superscript"/>
        </w:rPr>
        <w:t>2</w:t>
      </w:r>
      <w:r>
        <w:rPr>
          <w:rFonts w:ascii="標楷體" w:eastAsia="標楷體" w:hAnsi="標楷體"/>
          <w:color w:val="000000"/>
        </w:rPr>
        <w:t>。</w:t>
      </w:r>
    </w:p>
    <w:p w14:paraId="7AF0A573" w14:textId="77777777" w:rsidR="00BD776B" w:rsidRDefault="00DF0C24">
      <w:pPr>
        <w:tabs>
          <w:tab w:val="left" w:pos="1185"/>
        </w:tabs>
        <w:ind w:left="1771" w:hanging="245"/>
      </w:pPr>
      <w:r>
        <w:rPr>
          <w:rFonts w:ascii="標楷體" w:eastAsia="標楷體" w:hAnsi="標楷體"/>
          <w:color w:val="000000"/>
          <w:szCs w:val="24"/>
        </w:rPr>
        <w:t>iii.</w:t>
      </w:r>
      <w:r>
        <w:rPr>
          <w:rFonts w:ascii="標楷體" w:eastAsia="標楷體" w:hAnsi="標楷體"/>
          <w:szCs w:val="24"/>
        </w:rPr>
        <w:t>泌尿道上皮癌維持治療（112/10/1）</w:t>
      </w:r>
      <w:r>
        <w:rPr>
          <w:rFonts w:ascii="標楷體" w:eastAsia="標楷體" w:hAnsi="標楷體"/>
          <w:color w:val="000000"/>
        </w:rPr>
        <w:t>：</w:t>
      </w:r>
      <w:r>
        <w:rPr>
          <w:rFonts w:ascii="標楷體" w:eastAsia="標楷體" w:hAnsi="標楷體"/>
          <w:szCs w:val="24"/>
        </w:rPr>
        <w:t>eGFR&gt;30mL/min/1.73m</w:t>
      </w:r>
      <w:r>
        <w:rPr>
          <w:rFonts w:ascii="標楷體" w:eastAsia="標楷體" w:hAnsi="標楷體"/>
          <w:szCs w:val="24"/>
          <w:vertAlign w:val="superscript"/>
        </w:rPr>
        <w:t>2</w:t>
      </w:r>
      <w:r>
        <w:rPr>
          <w:rFonts w:ascii="標楷體" w:eastAsia="標楷體" w:hAnsi="標楷體"/>
          <w:szCs w:val="24"/>
        </w:rPr>
        <w:t>。</w:t>
      </w:r>
    </w:p>
    <w:p w14:paraId="7D083811" w14:textId="77777777" w:rsidR="00BD776B" w:rsidRDefault="00DF0C24">
      <w:pPr>
        <w:tabs>
          <w:tab w:val="left" w:pos="1185"/>
        </w:tabs>
        <w:ind w:left="1771" w:hanging="245"/>
      </w:pPr>
      <w:r>
        <w:rPr>
          <w:rFonts w:ascii="標楷體" w:eastAsia="標楷體" w:hAnsi="標楷體"/>
          <w:szCs w:val="24"/>
        </w:rPr>
        <w:t>iv.</w:t>
      </w:r>
      <w:r>
        <w:rPr>
          <w:rFonts w:ascii="標楷體" w:eastAsia="標楷體" w:hAnsi="標楷體"/>
          <w:color w:val="000000"/>
        </w:rPr>
        <w:t>其他癌別：Creatinine&lt;1.5mg/dL且eGFR&gt;60mL/min/1.73m</w:t>
      </w:r>
      <w:r>
        <w:rPr>
          <w:rFonts w:ascii="標楷體" w:eastAsia="標楷體" w:hAnsi="標楷體"/>
          <w:color w:val="000000"/>
          <w:vertAlign w:val="superscript"/>
        </w:rPr>
        <w:t>2</w:t>
      </w:r>
      <w:r>
        <w:rPr>
          <w:rFonts w:ascii="標楷體" w:eastAsia="標楷體" w:hAnsi="標楷體"/>
          <w:color w:val="000000"/>
        </w:rPr>
        <w:t>。</w:t>
      </w:r>
    </w:p>
    <w:p w14:paraId="3F5BD7CA" w14:textId="553D0DDE" w:rsidR="00BD776B" w:rsidRDefault="00DF0C24">
      <w:pPr>
        <w:tabs>
          <w:tab w:val="left" w:pos="1418"/>
        </w:tabs>
        <w:ind w:left="1418" w:hanging="372"/>
        <w:rPr>
          <w:rFonts w:ascii="標楷體" w:eastAsia="標楷體" w:hAnsi="標楷體"/>
          <w:szCs w:val="24"/>
        </w:rPr>
      </w:pPr>
      <w:r>
        <w:rPr>
          <w:rFonts w:ascii="標楷體" w:eastAsia="標楷體" w:hAnsi="標楷體"/>
          <w:color w:val="000000"/>
        </w:rPr>
        <w:t xml:space="preserve"> (3)</w:t>
      </w:r>
      <w:r>
        <w:rPr>
          <w:rFonts w:ascii="標楷體" w:eastAsia="標楷體" w:hAnsi="標楷體"/>
          <w:szCs w:val="24"/>
        </w:rPr>
        <w:t>病人之生物標記表現：</w:t>
      </w:r>
      <w:r w:rsidR="00621FE5" w:rsidRPr="00621FE5">
        <w:rPr>
          <w:rFonts w:ascii="標楷體" w:eastAsia="標楷體" w:hAnsi="標楷體" w:hint="eastAsia"/>
          <w:szCs w:val="24"/>
        </w:rPr>
        <w:t>除ipilimumab與nivolumab併用於惡性肋膜間皮瘤外，</w:t>
      </w:r>
      <w:r>
        <w:rPr>
          <w:rFonts w:ascii="標楷體" w:eastAsia="標楷體" w:hAnsi="標楷體"/>
          <w:szCs w:val="24"/>
        </w:rPr>
        <w:t>依個別藥品使用其對應之第三等級體外診斷醫療器材(class III IVD)所檢測之PD-L1表現量需符合下表：(109/4/1、109/6/1、111/4/1、112/8/1、112/10/1、112/12/1、113/2/1、113/4/1</w:t>
      </w:r>
      <w:r w:rsidR="00621FE5">
        <w:rPr>
          <w:rFonts w:ascii="標楷體" w:eastAsia="標楷體" w:hAnsi="標楷體" w:hint="eastAsia"/>
          <w:szCs w:val="24"/>
        </w:rPr>
        <w:t>、113/6/1</w:t>
      </w:r>
      <w:r w:rsidR="00E5651C">
        <w:rPr>
          <w:rFonts w:ascii="標楷體" w:eastAsia="標楷體" w:hAnsi="標楷體" w:hint="eastAsia"/>
          <w:szCs w:val="24"/>
        </w:rPr>
        <w:t>、113/8/1</w:t>
      </w:r>
      <w:r w:rsidR="00C96240">
        <w:rPr>
          <w:rFonts w:ascii="標楷體" w:eastAsia="標楷體" w:hAnsi="標楷體" w:hint="eastAsia"/>
          <w:szCs w:val="24"/>
        </w:rPr>
        <w:t>、114/2/1</w:t>
      </w:r>
      <w:r>
        <w:rPr>
          <w:rFonts w:ascii="標楷體" w:eastAsia="標楷體" w:hAnsi="標楷體"/>
          <w:szCs w:val="24"/>
        </w:rPr>
        <w:t>)</w:t>
      </w:r>
    </w:p>
    <w:tbl>
      <w:tblPr>
        <w:tblW w:w="5397" w:type="pct"/>
        <w:tblInd w:w="-147" w:type="dxa"/>
        <w:tblLayout w:type="fixed"/>
        <w:tblCellMar>
          <w:left w:w="10" w:type="dxa"/>
          <w:right w:w="10" w:type="dxa"/>
        </w:tblCellMar>
        <w:tblLook w:val="04A0" w:firstRow="1" w:lastRow="0" w:firstColumn="1" w:lastColumn="0" w:noHBand="0" w:noVBand="1"/>
      </w:tblPr>
      <w:tblGrid>
        <w:gridCol w:w="1843"/>
        <w:gridCol w:w="1668"/>
        <w:gridCol w:w="1591"/>
        <w:gridCol w:w="1559"/>
        <w:gridCol w:w="1559"/>
        <w:gridCol w:w="1559"/>
      </w:tblGrid>
      <w:tr w:rsidR="00B42C83" w:rsidRPr="00B42C83" w14:paraId="54C10895" w14:textId="77777777" w:rsidTr="00B42C83">
        <w:trPr>
          <w:trHeight w:val="41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1977E8BF" w14:textId="77777777" w:rsidR="00B42C83" w:rsidRPr="00B42C83" w:rsidRDefault="00B42C83" w:rsidP="00B42C83">
            <w:pPr>
              <w:widowControl/>
              <w:spacing w:line="400" w:lineRule="exact"/>
              <w:jc w:val="center"/>
              <w:rPr>
                <w:rFonts w:ascii="標楷體" w:eastAsia="標楷體" w:hAnsi="標楷體"/>
                <w:kern w:val="0"/>
                <w:szCs w:val="24"/>
              </w:rPr>
            </w:pPr>
            <w:r w:rsidRPr="00B42C83">
              <w:rPr>
                <w:rFonts w:ascii="標楷體" w:eastAsia="標楷體" w:hAnsi="標楷體"/>
                <w:kern w:val="0"/>
                <w:szCs w:val="24"/>
              </w:rPr>
              <w:t>給付範圍</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28289DC9"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pembrolizumab</w:t>
            </w:r>
          </w:p>
          <w:p w14:paraId="3939FCEA" w14:textId="77777777" w:rsidR="00B42C83" w:rsidRPr="00B42C83" w:rsidRDefault="00B42C83" w:rsidP="00B42C83">
            <w:pPr>
              <w:spacing w:line="400" w:lineRule="exact"/>
              <w:jc w:val="center"/>
            </w:pPr>
            <w:r w:rsidRPr="00B42C83">
              <w:rPr>
                <w:rFonts w:ascii="標楷體" w:eastAsia="標楷體" w:hAnsi="標楷體"/>
                <w:szCs w:val="24"/>
              </w:rPr>
              <w:t>(Dako 22C3或Ventana SP263*)</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A86F2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nivolumab</w:t>
            </w:r>
          </w:p>
          <w:p w14:paraId="58BC21D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(Dako 28-8或Ventana SP263*)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6A778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atezolizumab</w:t>
            </w:r>
          </w:p>
          <w:p w14:paraId="4377DC6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(Ventana SP142)</w:t>
            </w:r>
          </w:p>
        </w:tc>
        <w:tc>
          <w:tcPr>
            <w:tcW w:w="1559" w:type="dxa"/>
            <w:tcBorders>
              <w:top w:val="single" w:sz="4" w:space="0" w:color="000000"/>
              <w:left w:val="single" w:sz="4" w:space="0" w:color="000000"/>
              <w:bottom w:val="single" w:sz="4" w:space="0" w:color="000000"/>
              <w:right w:val="single" w:sz="4" w:space="0" w:color="000000"/>
            </w:tcBorders>
            <w:vAlign w:val="center"/>
          </w:tcPr>
          <w:p w14:paraId="684FCA10" w14:textId="77777777" w:rsidR="00B42C83" w:rsidRPr="00B42C83" w:rsidRDefault="00B42C83" w:rsidP="00B42C83">
            <w:pPr>
              <w:spacing w:line="400" w:lineRule="exact"/>
              <w:jc w:val="center"/>
              <w:rPr>
                <w:rFonts w:ascii="標楷體" w:eastAsia="標楷體" w:hAnsi="標楷體"/>
              </w:rPr>
            </w:pPr>
            <w:r w:rsidRPr="00B42C83">
              <w:rPr>
                <w:rFonts w:ascii="標楷體" w:eastAsia="標楷體" w:hAnsi="標楷體"/>
              </w:rPr>
              <w:t>avelumab</w:t>
            </w:r>
          </w:p>
          <w:p w14:paraId="5807B5CE"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(Ventana SP263*)</w:t>
            </w:r>
          </w:p>
        </w:tc>
        <w:tc>
          <w:tcPr>
            <w:tcW w:w="1559" w:type="dxa"/>
            <w:tcBorders>
              <w:top w:val="single" w:sz="4" w:space="0" w:color="000000"/>
              <w:left w:val="single" w:sz="4" w:space="0" w:color="000000"/>
              <w:bottom w:val="single" w:sz="4" w:space="0" w:color="000000"/>
              <w:right w:val="single" w:sz="4" w:space="0" w:color="000000"/>
            </w:tcBorders>
            <w:vAlign w:val="center"/>
          </w:tcPr>
          <w:p w14:paraId="3AD6928D" w14:textId="77777777" w:rsidR="00B42C83" w:rsidRPr="00B42C83" w:rsidRDefault="00B42C83" w:rsidP="00B42C83">
            <w:pPr>
              <w:spacing w:line="400" w:lineRule="exact"/>
              <w:jc w:val="center"/>
              <w:rPr>
                <w:rFonts w:ascii="標楷體" w:eastAsia="標楷體" w:hAnsi="標楷體"/>
              </w:rPr>
            </w:pPr>
            <w:r w:rsidRPr="00B42C83">
              <w:rPr>
                <w:rFonts w:ascii="標楷體" w:eastAsia="標楷體" w:hAnsi="標楷體"/>
              </w:rPr>
              <w:t>durvalumab</w:t>
            </w:r>
          </w:p>
        </w:tc>
      </w:tr>
      <w:tr w:rsidR="00B42C83" w:rsidRPr="00B42C83" w14:paraId="3E36471B"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0C732269"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黑色素瘤</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37FBC74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198E71"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7A6B1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5F6BAD6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40E8CE11" w14:textId="77777777" w:rsidR="00B42C83" w:rsidRPr="00B42C83" w:rsidRDefault="00B42C83" w:rsidP="00B42C83">
            <w:pPr>
              <w:spacing w:line="400" w:lineRule="exact"/>
              <w:jc w:val="center"/>
              <w:rPr>
                <w:rFonts w:ascii="標楷體" w:eastAsia="標楷體" w:hAnsi="標楷體" w:cstheme="minorHAnsi"/>
                <w:sz w:val="12"/>
                <w:szCs w:val="12"/>
                <w:u w:val="single"/>
              </w:rPr>
            </w:pPr>
            <w:r w:rsidRPr="00B42C83">
              <w:rPr>
                <w:rFonts w:ascii="標楷體" w:eastAsia="標楷體" w:hAnsi="標楷體"/>
                <w:szCs w:val="24"/>
              </w:rPr>
              <w:t>本藥品尚未給付於此適應症</w:t>
            </w:r>
          </w:p>
        </w:tc>
      </w:tr>
      <w:tr w:rsidR="00B42C83" w:rsidRPr="00B42C83" w14:paraId="2A419831"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4352A3F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非小細胞肺癌第一線用藥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5469D7D5" w14:textId="77777777" w:rsidR="00B42C83" w:rsidRPr="00B42C83" w:rsidRDefault="00B42C83" w:rsidP="00B42C83">
            <w:pPr>
              <w:spacing w:line="400" w:lineRule="exact"/>
              <w:jc w:val="center"/>
            </w:pPr>
            <w:r w:rsidRPr="00B42C83">
              <w:rPr>
                <w:rFonts w:ascii="標楷體" w:eastAsia="標楷體" w:hAnsi="標楷體"/>
                <w:szCs w:val="24"/>
              </w:rPr>
              <w:t>TPS</w:t>
            </w:r>
            <w:r w:rsidRPr="00B42C83">
              <w:rPr>
                <w:rFonts w:ascii="標楷體" w:eastAsia="標楷體" w:hAnsi="標楷體" w:cs="新細明體"/>
                <w:szCs w:val="24"/>
              </w:rPr>
              <w:t>≧</w:t>
            </w:r>
            <w:r w:rsidRPr="00B42C83">
              <w:rPr>
                <w:rFonts w:ascii="標楷體" w:eastAsia="標楷體" w:hAnsi="標楷體"/>
                <w:szCs w:val="24"/>
              </w:rPr>
              <w:t>50%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89E5AF"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3D6C9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TC</w:t>
            </w:r>
            <w:r w:rsidRPr="00B42C83">
              <w:rPr>
                <w:rFonts w:ascii="標楷體" w:eastAsia="標楷體" w:hAnsi="標楷體" w:hint="eastAsia"/>
                <w:szCs w:val="24"/>
              </w:rPr>
              <w:t>≧</w:t>
            </w:r>
            <w:r w:rsidRPr="00B42C83">
              <w:rPr>
                <w:rFonts w:ascii="標楷體" w:eastAsia="標楷體" w:hAnsi="標楷體"/>
                <w:szCs w:val="24"/>
              </w:rPr>
              <w:t>50%或IC</w:t>
            </w:r>
            <w:r w:rsidRPr="00B42C83">
              <w:rPr>
                <w:rFonts w:ascii="標楷體" w:eastAsia="標楷體" w:hAnsi="標楷體" w:hint="eastAsia"/>
                <w:szCs w:val="24"/>
              </w:rPr>
              <w:t>≧</w:t>
            </w:r>
            <w:r w:rsidRPr="00B42C83">
              <w:rPr>
                <w:rFonts w:ascii="標楷體" w:eastAsia="標楷體" w:hAnsi="標楷體"/>
                <w:szCs w:val="24"/>
              </w:rPr>
              <w:t>10%</w:t>
            </w:r>
          </w:p>
        </w:tc>
        <w:tc>
          <w:tcPr>
            <w:tcW w:w="1559" w:type="dxa"/>
            <w:tcBorders>
              <w:top w:val="single" w:sz="4" w:space="0" w:color="000000"/>
              <w:left w:val="single" w:sz="4" w:space="0" w:color="000000"/>
              <w:bottom w:val="single" w:sz="4" w:space="0" w:color="000000"/>
              <w:right w:val="single" w:sz="4" w:space="0" w:color="000000"/>
            </w:tcBorders>
            <w:vAlign w:val="center"/>
          </w:tcPr>
          <w:p w14:paraId="737B22EF"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55F81B71"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3175728B"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317856F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非小細胞肺癌第二線用藥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70ADCA73" w14:textId="77777777" w:rsidR="00B42C83" w:rsidRPr="00B42C83" w:rsidRDefault="00B42C83" w:rsidP="00B42C83">
            <w:pPr>
              <w:spacing w:line="400" w:lineRule="exact"/>
              <w:jc w:val="center"/>
            </w:pPr>
            <w:r w:rsidRPr="00B42C83">
              <w:rPr>
                <w:rFonts w:ascii="標楷體" w:eastAsia="標楷體" w:hAnsi="標楷體"/>
                <w:szCs w:val="24"/>
              </w:rPr>
              <w:t>TPS</w:t>
            </w:r>
            <w:r w:rsidRPr="00B42C83">
              <w:rPr>
                <w:rFonts w:ascii="標楷體" w:eastAsia="標楷體" w:hAnsi="標楷體" w:cs="新細明體"/>
                <w:szCs w:val="24"/>
              </w:rPr>
              <w:t>≧</w:t>
            </w:r>
            <w:r w:rsidRPr="00B42C83">
              <w:rPr>
                <w:rFonts w:ascii="標楷體" w:eastAsia="標楷體" w:hAnsi="標楷體"/>
                <w:szCs w:val="24"/>
              </w:rPr>
              <w:t>50%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3C93DD" w14:textId="77777777" w:rsidR="00B42C83" w:rsidRPr="00B42C83" w:rsidRDefault="00B42C83" w:rsidP="00B42C83">
            <w:pPr>
              <w:spacing w:line="400" w:lineRule="exact"/>
              <w:jc w:val="center"/>
            </w:pPr>
            <w:r w:rsidRPr="00B42C83">
              <w:rPr>
                <w:rFonts w:ascii="標楷體" w:eastAsia="標楷體" w:hAnsi="標楷體"/>
                <w:szCs w:val="24"/>
              </w:rPr>
              <w:t>TC</w:t>
            </w:r>
            <w:r w:rsidRPr="00B42C83">
              <w:rPr>
                <w:rFonts w:ascii="標楷體" w:eastAsia="標楷體" w:hAnsi="標楷體" w:cs="新細明體"/>
                <w:szCs w:val="24"/>
              </w:rPr>
              <w:t>≧</w:t>
            </w:r>
            <w:r w:rsidRPr="00B42C83">
              <w:rPr>
                <w:rFonts w:ascii="標楷體" w:eastAsia="標楷體" w:hAnsi="標楷體"/>
                <w:szCs w:val="24"/>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016950" w14:textId="77777777" w:rsidR="00B42C83" w:rsidRPr="00B42C83" w:rsidRDefault="00B42C83" w:rsidP="00B42C83">
            <w:pPr>
              <w:spacing w:line="400" w:lineRule="exact"/>
              <w:jc w:val="center"/>
            </w:pPr>
            <w:r w:rsidRPr="00B42C83">
              <w:rPr>
                <w:rFonts w:ascii="標楷體" w:eastAsia="標楷體" w:hAnsi="標楷體"/>
                <w:szCs w:val="24"/>
              </w:rPr>
              <w:t>TC</w:t>
            </w:r>
            <w:r w:rsidRPr="00B42C83">
              <w:rPr>
                <w:rFonts w:ascii="標楷體" w:eastAsia="標楷體" w:hAnsi="標楷體" w:cs="新細明體"/>
                <w:szCs w:val="24"/>
              </w:rPr>
              <w:t>≧</w:t>
            </w:r>
            <w:r w:rsidRPr="00B42C83">
              <w:rPr>
                <w:rFonts w:ascii="標楷體" w:eastAsia="標楷體" w:hAnsi="標楷體"/>
                <w:szCs w:val="24"/>
              </w:rPr>
              <w:t>50%或IC</w:t>
            </w:r>
            <w:r w:rsidRPr="00B42C83">
              <w:rPr>
                <w:rFonts w:ascii="標楷體" w:eastAsia="標楷體" w:hAnsi="標楷體" w:cs="新細明體"/>
                <w:szCs w:val="24"/>
              </w:rPr>
              <w:t>≧</w:t>
            </w:r>
            <w:r w:rsidRPr="00B42C83">
              <w:rPr>
                <w:rFonts w:ascii="標楷體" w:eastAsia="標楷體" w:hAnsi="標楷體"/>
                <w:szCs w:val="24"/>
              </w:rPr>
              <w:t>10%</w:t>
            </w:r>
          </w:p>
        </w:tc>
        <w:tc>
          <w:tcPr>
            <w:tcW w:w="1559" w:type="dxa"/>
            <w:tcBorders>
              <w:top w:val="single" w:sz="4" w:space="0" w:color="000000"/>
              <w:left w:val="single" w:sz="4" w:space="0" w:color="000000"/>
              <w:bottom w:val="single" w:sz="4" w:space="0" w:color="000000"/>
              <w:right w:val="single" w:sz="4" w:space="0" w:color="000000"/>
            </w:tcBorders>
            <w:vAlign w:val="center"/>
          </w:tcPr>
          <w:p w14:paraId="6A320EB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1D6B1E48"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3303F1A5"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01B815C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非小細胞肺癌第三線用藥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0E28B151" w14:textId="77777777" w:rsidR="00B42C83" w:rsidRPr="00B42C83" w:rsidRDefault="00B42C83" w:rsidP="00B42C83">
            <w:pPr>
              <w:spacing w:line="400" w:lineRule="exact"/>
              <w:jc w:val="center"/>
            </w:pPr>
            <w:r w:rsidRPr="00B42C83">
              <w:rPr>
                <w:rFonts w:ascii="標楷體" w:eastAsia="標楷體" w:hAnsi="標楷體"/>
                <w:szCs w:val="24"/>
              </w:rPr>
              <w:t>TPS</w:t>
            </w:r>
            <w:r w:rsidRPr="00B42C83">
              <w:rPr>
                <w:rFonts w:ascii="標楷體" w:eastAsia="標楷體" w:hAnsi="標楷體" w:cs="新細明體"/>
                <w:szCs w:val="24"/>
              </w:rPr>
              <w:t>≧</w:t>
            </w:r>
            <w:r w:rsidRPr="00B42C83">
              <w:rPr>
                <w:rFonts w:ascii="標楷體" w:eastAsia="標楷體" w:hAnsi="標楷體"/>
                <w:szCs w:val="24"/>
              </w:rPr>
              <w:t>50%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27161E" w14:textId="77777777" w:rsidR="00B42C83" w:rsidRPr="00B42C83" w:rsidRDefault="00B42C83" w:rsidP="00B42C83">
            <w:pPr>
              <w:spacing w:line="400" w:lineRule="exact"/>
              <w:jc w:val="center"/>
            </w:pPr>
            <w:r w:rsidRPr="00B42C83">
              <w:rPr>
                <w:rFonts w:ascii="標楷體" w:eastAsia="標楷體" w:hAnsi="標楷體"/>
                <w:szCs w:val="24"/>
              </w:rPr>
              <w:t>TC</w:t>
            </w:r>
            <w:r w:rsidRPr="00B42C83">
              <w:rPr>
                <w:rFonts w:ascii="標楷體" w:eastAsia="標楷體" w:hAnsi="標楷體" w:cs="新細明體"/>
                <w:szCs w:val="24"/>
              </w:rPr>
              <w:t>≧</w:t>
            </w:r>
            <w:r w:rsidRPr="00B42C83">
              <w:rPr>
                <w:rFonts w:ascii="標楷體" w:eastAsia="標楷體" w:hAnsi="標楷體"/>
                <w:szCs w:val="24"/>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885563" w14:textId="77777777" w:rsidR="00B42C83" w:rsidRPr="00B42C83" w:rsidRDefault="00B42C83" w:rsidP="00B42C83">
            <w:pPr>
              <w:spacing w:line="400" w:lineRule="exact"/>
              <w:jc w:val="center"/>
            </w:pPr>
            <w:r w:rsidRPr="00B42C83">
              <w:rPr>
                <w:rFonts w:ascii="標楷體" w:eastAsia="標楷體" w:hAnsi="標楷體"/>
                <w:szCs w:val="24"/>
              </w:rPr>
              <w:t>TC</w:t>
            </w:r>
            <w:r w:rsidRPr="00B42C83">
              <w:rPr>
                <w:rFonts w:ascii="標楷體" w:eastAsia="標楷體" w:hAnsi="標楷體" w:cs="新細明體"/>
                <w:szCs w:val="24"/>
              </w:rPr>
              <w:t>≧</w:t>
            </w:r>
            <w:r w:rsidRPr="00B42C83">
              <w:rPr>
                <w:rFonts w:ascii="標楷體" w:eastAsia="標楷體" w:hAnsi="標楷體"/>
                <w:szCs w:val="24"/>
              </w:rPr>
              <w:t>50%或IC</w:t>
            </w:r>
            <w:r w:rsidRPr="00B42C83">
              <w:rPr>
                <w:rFonts w:ascii="標楷體" w:eastAsia="標楷體" w:hAnsi="標楷體" w:cs="新細明體"/>
                <w:szCs w:val="24"/>
              </w:rPr>
              <w:t>≧</w:t>
            </w:r>
            <w:r w:rsidRPr="00B42C83">
              <w:rPr>
                <w:rFonts w:ascii="標楷體" w:eastAsia="標楷體" w:hAnsi="標楷體"/>
                <w:szCs w:val="24"/>
              </w:rPr>
              <w:t>10%</w:t>
            </w:r>
          </w:p>
        </w:tc>
        <w:tc>
          <w:tcPr>
            <w:tcW w:w="1559" w:type="dxa"/>
            <w:tcBorders>
              <w:top w:val="single" w:sz="4" w:space="0" w:color="000000"/>
              <w:left w:val="single" w:sz="4" w:space="0" w:color="000000"/>
              <w:bottom w:val="single" w:sz="4" w:space="0" w:color="000000"/>
              <w:right w:val="single" w:sz="4" w:space="0" w:color="000000"/>
            </w:tcBorders>
            <w:vAlign w:val="center"/>
          </w:tcPr>
          <w:p w14:paraId="0140A4A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27F9BE3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3A20CF45"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395A10D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鱗狀非小細胞肺癌第一線用藥（併用化療）</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4F4595CF"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TPS 1~49%</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910C1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A1C7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3B738F1F"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5B467C71"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38BC56E1"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17BC6A3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典型化杰金氏淋巴瘤</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32430217"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B404D8"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2AC02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2B1AE21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4160C6E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57F42BD9"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2C5DB4F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泌尿道上皮癌第一線用藥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21F4C05A" w14:textId="77777777" w:rsidR="00B42C83" w:rsidRPr="00B42C83" w:rsidRDefault="00B42C83" w:rsidP="00B42C83">
            <w:pPr>
              <w:spacing w:line="400" w:lineRule="exact"/>
              <w:jc w:val="center"/>
            </w:pPr>
            <w:r w:rsidRPr="00B42C83">
              <w:rPr>
                <w:rFonts w:ascii="標楷體" w:eastAsia="標楷體" w:hAnsi="標楷體"/>
                <w:szCs w:val="24"/>
              </w:rPr>
              <w:t>CPS</w:t>
            </w:r>
            <w:r w:rsidRPr="00B42C83">
              <w:rPr>
                <w:rFonts w:ascii="標楷體" w:eastAsia="標楷體" w:hAnsi="標楷體" w:cs="新細明體"/>
                <w:szCs w:val="24"/>
              </w:rPr>
              <w:t>≧</w:t>
            </w:r>
            <w:r w:rsidRPr="00B42C83">
              <w:rPr>
                <w:rFonts w:ascii="標楷體" w:eastAsia="標楷體" w:hAnsi="標楷體"/>
                <w:szCs w:val="24"/>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83F4E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56B18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IC≧5%</w:t>
            </w:r>
          </w:p>
          <w:p w14:paraId="02E4AA89" w14:textId="77777777" w:rsidR="00B42C83" w:rsidRPr="00B42C83" w:rsidRDefault="00B42C83" w:rsidP="00B42C83">
            <w:pPr>
              <w:spacing w:line="400" w:lineRule="exact"/>
              <w:jc w:val="center"/>
            </w:pPr>
            <w:r w:rsidRPr="00B42C83">
              <w:rPr>
                <w:rFonts w:ascii="標楷體" w:eastAsia="標楷體" w:hAnsi="標楷體" w:hint="eastAsia"/>
                <w:szCs w:val="24"/>
              </w:rPr>
              <w:t>(113年8月1日前審核同意符合續用申請條件者)</w:t>
            </w:r>
          </w:p>
        </w:tc>
        <w:tc>
          <w:tcPr>
            <w:tcW w:w="1559" w:type="dxa"/>
            <w:tcBorders>
              <w:top w:val="single" w:sz="4" w:space="0" w:color="000000"/>
              <w:left w:val="single" w:sz="4" w:space="0" w:color="000000"/>
              <w:bottom w:val="single" w:sz="4" w:space="0" w:color="000000"/>
              <w:right w:val="single" w:sz="4" w:space="0" w:color="000000"/>
            </w:tcBorders>
            <w:vAlign w:val="center"/>
          </w:tcPr>
          <w:p w14:paraId="196F093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53C216DE"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31B9957C"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4D42FE9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泌尿道上皮癌第二線用藥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1E2CFF9B" w14:textId="77777777" w:rsidR="00B42C83" w:rsidRPr="00B42C83" w:rsidRDefault="00B42C83" w:rsidP="00B42C83">
            <w:pPr>
              <w:spacing w:line="400" w:lineRule="exact"/>
              <w:jc w:val="center"/>
            </w:pPr>
            <w:r w:rsidRPr="00B42C83">
              <w:rPr>
                <w:rFonts w:ascii="標楷體" w:eastAsia="標楷體" w:hAnsi="標楷體"/>
                <w:szCs w:val="24"/>
              </w:rPr>
              <w:t>CPS</w:t>
            </w:r>
            <w:r w:rsidRPr="00B42C83">
              <w:rPr>
                <w:rFonts w:ascii="標楷體" w:eastAsia="標楷體" w:hAnsi="標楷體" w:cs="新細明體"/>
                <w:szCs w:val="24"/>
              </w:rPr>
              <w:t>≧</w:t>
            </w:r>
            <w:r w:rsidRPr="00B42C83">
              <w:rPr>
                <w:rFonts w:ascii="標楷體" w:eastAsia="標楷體" w:hAnsi="標楷體"/>
                <w:szCs w:val="24"/>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56AB9C" w14:textId="77777777" w:rsidR="00B42C83" w:rsidRPr="00B42C83" w:rsidRDefault="00B42C83" w:rsidP="00B42C83">
            <w:pPr>
              <w:spacing w:line="400" w:lineRule="exact"/>
              <w:jc w:val="center"/>
            </w:pPr>
            <w:r w:rsidRPr="00B42C83">
              <w:rPr>
                <w:rFonts w:ascii="標楷體" w:eastAsia="標楷體" w:hAnsi="標楷體"/>
                <w:szCs w:val="24"/>
              </w:rPr>
              <w:t>TC</w:t>
            </w:r>
            <w:r w:rsidRPr="00B42C83">
              <w:rPr>
                <w:rFonts w:ascii="標楷體" w:eastAsia="標楷體" w:hAnsi="標楷體" w:cs="新細明體"/>
                <w:szCs w:val="24"/>
              </w:rPr>
              <w:t>≧</w:t>
            </w:r>
            <w:r w:rsidRPr="00B42C83">
              <w:rPr>
                <w:rFonts w:ascii="標楷體" w:eastAsia="標楷體" w:hAnsi="標楷體"/>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02526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IC≧5%</w:t>
            </w:r>
          </w:p>
          <w:p w14:paraId="231FB48D" w14:textId="77777777" w:rsidR="00B42C83" w:rsidRPr="00B42C83" w:rsidRDefault="00B42C83" w:rsidP="00B42C83">
            <w:pPr>
              <w:spacing w:line="400" w:lineRule="exact"/>
              <w:jc w:val="center"/>
            </w:pPr>
            <w:r w:rsidRPr="00B42C83">
              <w:rPr>
                <w:rFonts w:ascii="標楷體" w:eastAsia="標楷體" w:hAnsi="標楷體" w:hint="eastAsia"/>
                <w:szCs w:val="24"/>
              </w:rPr>
              <w:t>(113年8月1日</w:t>
            </w:r>
            <w:r w:rsidRPr="00B42C83">
              <w:rPr>
                <w:rFonts w:ascii="標楷體" w:eastAsia="標楷體" w:hAnsi="標楷體" w:hint="eastAsia"/>
                <w:szCs w:val="24"/>
              </w:rPr>
              <w:lastRenderedPageBreak/>
              <w:t>前審核同意符合續用申請條件者)</w:t>
            </w:r>
          </w:p>
        </w:tc>
        <w:tc>
          <w:tcPr>
            <w:tcW w:w="1559" w:type="dxa"/>
            <w:tcBorders>
              <w:top w:val="single" w:sz="4" w:space="0" w:color="000000"/>
              <w:left w:val="single" w:sz="4" w:space="0" w:color="000000"/>
              <w:bottom w:val="single" w:sz="4" w:space="0" w:color="000000"/>
              <w:right w:val="single" w:sz="4" w:space="0" w:color="000000"/>
            </w:tcBorders>
            <w:vAlign w:val="center"/>
          </w:tcPr>
          <w:p w14:paraId="125E403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lastRenderedPageBreak/>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44D16FC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6A972B9E"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37A88360"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泌尿道上皮癌維持療法</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56C4BEB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D6095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32112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45C99D66"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0"/>
              </w:rPr>
              <w:t>TC</w:t>
            </w:r>
            <w:r w:rsidRPr="00B42C83">
              <w:rPr>
                <w:rFonts w:ascii="標楷體" w:eastAsia="標楷體" w:hAnsi="標楷體" w:cs="新細明體"/>
                <w:szCs w:val="20"/>
              </w:rPr>
              <w:t>≧</w:t>
            </w:r>
            <w:r w:rsidRPr="00B42C83">
              <w:rPr>
                <w:rFonts w:ascii="標楷體" w:eastAsia="標楷體" w:hAnsi="標楷體" w:cs="新細明體" w:hint="eastAsia"/>
                <w:szCs w:val="20"/>
              </w:rPr>
              <w:t>25%或IC</w:t>
            </w:r>
            <w:r w:rsidRPr="00B42C83">
              <w:rPr>
                <w:rFonts w:ascii="標楷體" w:eastAsia="標楷體" w:hAnsi="標楷體" w:cs="新細明體"/>
                <w:szCs w:val="20"/>
              </w:rPr>
              <w:t>≧</w:t>
            </w:r>
            <w:r w:rsidRPr="00B42C83">
              <w:rPr>
                <w:rFonts w:ascii="標楷體" w:eastAsia="標楷體" w:hAnsi="標楷體" w:cs="新細明體" w:hint="eastAsia"/>
                <w:szCs w:val="20"/>
              </w:rPr>
              <w:t>25%（如IC占腫瘤區域超過1%）或IC</w:t>
            </w:r>
            <w:r w:rsidRPr="00B42C83">
              <w:rPr>
                <w:rFonts w:ascii="標楷體" w:eastAsia="標楷體" w:hAnsi="標楷體" w:cs="新細明體"/>
                <w:szCs w:val="20"/>
              </w:rPr>
              <w:t>=</w:t>
            </w:r>
            <w:r w:rsidRPr="00B42C83">
              <w:rPr>
                <w:rFonts w:ascii="標楷體" w:eastAsia="標楷體" w:hAnsi="標楷體" w:cs="新細明體" w:hint="eastAsia"/>
                <w:szCs w:val="20"/>
              </w:rPr>
              <w:t>100%（如IC占腫瘤區域等於1%）</w:t>
            </w:r>
          </w:p>
        </w:tc>
        <w:tc>
          <w:tcPr>
            <w:tcW w:w="1559" w:type="dxa"/>
            <w:tcBorders>
              <w:top w:val="single" w:sz="8" w:space="0" w:color="000000"/>
              <w:left w:val="single" w:sz="4" w:space="0" w:color="000000"/>
              <w:bottom w:val="single" w:sz="8" w:space="0" w:color="000000"/>
              <w:right w:val="single" w:sz="8" w:space="0" w:color="000000"/>
            </w:tcBorders>
            <w:vAlign w:val="center"/>
          </w:tcPr>
          <w:p w14:paraId="62A838C8"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3ADEFCAC"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447139DE"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頭頸部鱗狀細胞癌第一線用藥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46C5E1F3" w14:textId="77777777" w:rsidR="00B42C83" w:rsidRPr="00B42C83" w:rsidRDefault="00B42C83" w:rsidP="00B42C83">
            <w:pPr>
              <w:spacing w:line="400" w:lineRule="exact"/>
              <w:jc w:val="center"/>
              <w:rPr>
                <w:szCs w:val="24"/>
              </w:rPr>
            </w:pPr>
            <w:r w:rsidRPr="00B42C83">
              <w:rPr>
                <w:rFonts w:ascii="標楷體" w:eastAsia="標楷體" w:hAnsi="標楷體"/>
                <w:kern w:val="0"/>
                <w:szCs w:val="24"/>
                <w:lang w:val="zh-TW" w:bidi="zh-TW"/>
              </w:rPr>
              <w:t>CPS</w:t>
            </w:r>
            <w:r w:rsidRPr="00B42C83">
              <w:rPr>
                <w:rFonts w:ascii="標楷體" w:eastAsia="標楷體" w:hAnsi="標楷體" w:cs="新細明體" w:hint="eastAsia"/>
                <w:kern w:val="0"/>
                <w:szCs w:val="24"/>
                <w:lang w:val="zh-TW" w:bidi="zh-TW"/>
              </w:rPr>
              <w:t>≧</w:t>
            </w:r>
            <w:r w:rsidRPr="00B42C83">
              <w:rPr>
                <w:rFonts w:ascii="標楷體" w:eastAsia="標楷體" w:hAnsi="標楷體"/>
                <w:kern w:val="0"/>
                <w:szCs w:val="24"/>
                <w:lang w:val="zh-TW" w:bidi="zh-TW"/>
              </w:rPr>
              <w:t>20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79FB20" w14:textId="77777777" w:rsidR="00B42C83" w:rsidRPr="00B42C83" w:rsidRDefault="00B42C83" w:rsidP="00B42C83">
            <w:pPr>
              <w:spacing w:line="400" w:lineRule="exact"/>
              <w:jc w:val="center"/>
              <w:rPr>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A3B7E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6DD37C2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654FA0F6"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24BEED4F"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17901D4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頭頸部鱗狀細胞癌第二線用藥</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0EBF77D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TPS</w:t>
            </w:r>
            <w:r w:rsidRPr="00B42C83">
              <w:rPr>
                <w:rFonts w:ascii="標楷體" w:eastAsia="標楷體" w:hAnsi="標楷體" w:cs="新細明體"/>
                <w:szCs w:val="24"/>
              </w:rPr>
              <w:t>≧</w:t>
            </w:r>
            <w:r w:rsidRPr="00B42C83">
              <w:rPr>
                <w:rFonts w:ascii="標楷體" w:eastAsia="標楷體" w:hAnsi="標楷體"/>
                <w:szCs w:val="24"/>
              </w:rPr>
              <w:t>50%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647D0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TC</w:t>
            </w:r>
            <w:r w:rsidRPr="00B42C83">
              <w:rPr>
                <w:rFonts w:ascii="標楷體" w:eastAsia="標楷體" w:hAnsi="標楷體" w:cs="新細明體"/>
                <w:szCs w:val="24"/>
              </w:rPr>
              <w:t>≧</w:t>
            </w:r>
            <w:r w:rsidRPr="00B42C83">
              <w:rPr>
                <w:rFonts w:ascii="標楷體" w:eastAsia="標楷體" w:hAnsi="標楷體"/>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1CF877"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2674CA4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698169A6"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2E8790E9"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4BA2A7A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胃癌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3A073F43" w14:textId="77777777" w:rsidR="00B42C83" w:rsidRPr="00B42C83" w:rsidRDefault="00B42C83" w:rsidP="00B42C83">
            <w:pPr>
              <w:spacing w:line="400" w:lineRule="exact"/>
              <w:jc w:val="center"/>
            </w:pPr>
            <w:r w:rsidRPr="00B42C83">
              <w:rPr>
                <w:rFonts w:ascii="標楷體" w:eastAsia="標楷體" w:hAnsi="標楷體"/>
                <w:szCs w:val="24"/>
              </w:rPr>
              <w:t>CPS</w:t>
            </w:r>
            <w:r w:rsidRPr="00B42C83">
              <w:rPr>
                <w:rFonts w:ascii="標楷體" w:eastAsia="標楷體" w:hAnsi="標楷體" w:cs="新細明體"/>
                <w:szCs w:val="24"/>
              </w:rPr>
              <w:t>≧</w:t>
            </w:r>
            <w:r w:rsidRPr="00B42C83">
              <w:rPr>
                <w:rFonts w:ascii="標楷體" w:eastAsia="標楷體" w:hAnsi="標楷體"/>
                <w:szCs w:val="24"/>
              </w:rPr>
              <w:t>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12B5A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CF5FA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11951B9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204FC00E"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4742C830"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21CEFA7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晚期腎細胞癌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1C6C3799"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9DA62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FCCBA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7D1DFEF6"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02CB2B2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46AFBB44"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6806B78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晚期肝細胞癌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64BC6C18"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8BC6B0"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不需檢附報告</w:t>
            </w:r>
          </w:p>
          <w:p w14:paraId="2C520BF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(109年4月1日前審核同意符合續用申請條件者)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A25EF1"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0A213DB0"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38483F4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(併用tremelimumab使用於第一線治療)</w:t>
            </w:r>
          </w:p>
        </w:tc>
      </w:tr>
      <w:tr w:rsidR="00B42C83" w:rsidRPr="00B42C83" w14:paraId="3B164F8E"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5EAFF5F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晚期肝細胞癌第一線用藥（併用bevacizumab）</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1F7B2161"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BC3F42"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D3A99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4" w:space="0" w:color="000000"/>
              <w:left w:val="single" w:sz="4" w:space="0" w:color="000000"/>
              <w:bottom w:val="single" w:sz="4" w:space="0" w:color="000000"/>
              <w:right w:val="single" w:sz="4" w:space="0" w:color="000000"/>
            </w:tcBorders>
            <w:vAlign w:val="center"/>
          </w:tcPr>
          <w:p w14:paraId="7C1D9477"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15D5832F"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7DCB6ADD"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61F6DE3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默克細胞癌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56B8BA5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D0FF2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D8944A"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4ABDCC06"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8" w:space="0" w:color="000000"/>
              <w:left w:val="single" w:sz="4" w:space="0" w:color="000000"/>
              <w:bottom w:val="single" w:sz="8" w:space="0" w:color="000000"/>
              <w:right w:val="single" w:sz="8" w:space="0" w:color="000000"/>
            </w:tcBorders>
            <w:vAlign w:val="center"/>
          </w:tcPr>
          <w:p w14:paraId="6E48E6CE"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55B318E9"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7FCF8E34"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小細胞肺癌(併用化療)</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588F4CB6"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7ECAA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30DE5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c>
          <w:tcPr>
            <w:tcW w:w="1559" w:type="dxa"/>
            <w:tcBorders>
              <w:top w:val="single" w:sz="4" w:space="0" w:color="000000"/>
              <w:left w:val="single" w:sz="4" w:space="0" w:color="000000"/>
              <w:bottom w:val="single" w:sz="4" w:space="0" w:color="000000"/>
              <w:right w:val="single" w:sz="4" w:space="0" w:color="000000"/>
            </w:tcBorders>
            <w:vAlign w:val="center"/>
          </w:tcPr>
          <w:p w14:paraId="28CE13CF"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04DAB73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r>
      <w:tr w:rsidR="00B42C83" w:rsidRPr="00B42C83" w14:paraId="4DA654F2"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52CF8660"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胃癌第一線用藥 (併用化療)</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7E62E1A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776FC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CPS</w:t>
            </w:r>
            <w:r w:rsidRPr="00B42C83">
              <w:rPr>
                <w:rFonts w:ascii="標楷體" w:eastAsia="標楷體" w:hAnsi="標楷體" w:cs="新細明體"/>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08E4D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0F40C08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42262D58"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本藥品尚未給付於此適應症</w:t>
            </w:r>
          </w:p>
        </w:tc>
      </w:tr>
      <w:tr w:rsidR="00B42C83" w:rsidRPr="00B42C83" w14:paraId="59DC21A2"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0115A8CD"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食道鱗狀細胞癌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36F96EA1"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w:t>
            </w:r>
            <w:r w:rsidRPr="00B42C83">
              <w:rPr>
                <w:rFonts w:ascii="標楷體" w:eastAsia="標楷體" w:hAnsi="標楷體"/>
                <w:szCs w:val="24"/>
              </w:rPr>
              <w:lastRenderedPageBreak/>
              <w:t>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15EC2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lastRenderedPageBreak/>
              <w:t>TC</w:t>
            </w:r>
            <w:r w:rsidRPr="00B42C83">
              <w:rPr>
                <w:rFonts w:ascii="標楷體" w:eastAsia="標楷體" w:hAnsi="標楷體" w:cs="新細明體"/>
                <w:szCs w:val="24"/>
              </w:rPr>
              <w:t>≧1</w:t>
            </w:r>
            <w:r w:rsidRPr="00B42C83">
              <w:rPr>
                <w:rFonts w:ascii="標楷體" w:eastAsia="標楷體" w:hAnsi="標楷體"/>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0AAE5"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本藥品尚未給</w:t>
            </w:r>
            <w:r w:rsidRPr="00B42C83">
              <w:rPr>
                <w:rFonts w:ascii="標楷體" w:eastAsia="標楷體" w:hAnsi="標楷體"/>
                <w:szCs w:val="24"/>
              </w:rPr>
              <w:lastRenderedPageBreak/>
              <w:t>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5878E529"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lastRenderedPageBreak/>
              <w:t>本藥品尚未給</w:t>
            </w:r>
            <w:r w:rsidRPr="00B42C83">
              <w:rPr>
                <w:rFonts w:ascii="標楷體" w:eastAsia="標楷體" w:hAnsi="標楷體"/>
                <w:szCs w:val="24"/>
              </w:rPr>
              <w:lastRenderedPageBreak/>
              <w:t>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30FC4B29"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lastRenderedPageBreak/>
              <w:t>本藥品尚未給</w:t>
            </w:r>
            <w:r w:rsidRPr="00B42C83">
              <w:rPr>
                <w:rFonts w:ascii="標楷體" w:eastAsia="標楷體" w:hAnsi="標楷體"/>
                <w:szCs w:val="24"/>
              </w:rPr>
              <w:lastRenderedPageBreak/>
              <w:t>付於此適應症</w:t>
            </w:r>
          </w:p>
        </w:tc>
      </w:tr>
      <w:tr w:rsidR="00B42C83" w:rsidRPr="00B42C83" w14:paraId="4359A267" w14:textId="77777777" w:rsidTr="00B42C83">
        <w:trPr>
          <w:trHeight w:val="41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14:paraId="6D033777"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lastRenderedPageBreak/>
              <w:t>膽道癌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15" w:type="dxa"/>
              <w:left w:w="29" w:type="dxa"/>
              <w:bottom w:w="0" w:type="dxa"/>
              <w:right w:w="29" w:type="dxa"/>
            </w:tcMar>
            <w:vAlign w:val="center"/>
          </w:tcPr>
          <w:p w14:paraId="2F73B47C"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本藥品尚未給付於此適應症</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DFD463"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E39D8E"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本藥品尚未給付於此適應症</w:t>
            </w:r>
          </w:p>
        </w:tc>
        <w:tc>
          <w:tcPr>
            <w:tcW w:w="1559" w:type="dxa"/>
            <w:tcBorders>
              <w:top w:val="single" w:sz="4" w:space="0" w:color="000000"/>
              <w:left w:val="single" w:sz="4" w:space="0" w:color="000000"/>
              <w:bottom w:val="single" w:sz="4" w:space="0" w:color="000000"/>
              <w:right w:val="single" w:sz="4" w:space="0" w:color="000000"/>
            </w:tcBorders>
            <w:vAlign w:val="center"/>
          </w:tcPr>
          <w:p w14:paraId="4C1FFDEB"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hint="eastAsia"/>
                <w:szCs w:val="24"/>
              </w:rPr>
              <w:t>本藥品尚未給付於此適應症</w:t>
            </w:r>
          </w:p>
        </w:tc>
        <w:tc>
          <w:tcPr>
            <w:tcW w:w="1559" w:type="dxa"/>
            <w:tcBorders>
              <w:top w:val="single" w:sz="8" w:space="0" w:color="000000"/>
              <w:left w:val="single" w:sz="4" w:space="0" w:color="000000"/>
              <w:bottom w:val="single" w:sz="8" w:space="0" w:color="000000"/>
              <w:right w:val="single" w:sz="8" w:space="0" w:color="000000"/>
            </w:tcBorders>
            <w:vAlign w:val="center"/>
          </w:tcPr>
          <w:p w14:paraId="025CF618" w14:textId="77777777" w:rsidR="00B42C83" w:rsidRPr="00B42C83" w:rsidRDefault="00B42C83" w:rsidP="00B42C83">
            <w:pPr>
              <w:spacing w:line="400" w:lineRule="exact"/>
              <w:jc w:val="center"/>
              <w:rPr>
                <w:rFonts w:ascii="標楷體" w:eastAsia="標楷體" w:hAnsi="標楷體"/>
                <w:szCs w:val="24"/>
              </w:rPr>
            </w:pPr>
            <w:r w:rsidRPr="00B42C83">
              <w:rPr>
                <w:rFonts w:ascii="標楷體" w:eastAsia="標楷體" w:hAnsi="標楷體"/>
                <w:szCs w:val="24"/>
              </w:rPr>
              <w:t>不需檢附報告</w:t>
            </w:r>
          </w:p>
        </w:tc>
      </w:tr>
    </w:tbl>
    <w:p w14:paraId="2571E381" w14:textId="77777777" w:rsidR="00B42C83" w:rsidRDefault="00B42C83">
      <w:pPr>
        <w:tabs>
          <w:tab w:val="left" w:pos="1418"/>
        </w:tabs>
        <w:ind w:left="1418" w:hanging="372"/>
      </w:pPr>
    </w:p>
    <w:p w14:paraId="1D614856" w14:textId="77777777" w:rsidR="00BD776B" w:rsidRDefault="00DF0C24">
      <w:pPr>
        <w:tabs>
          <w:tab w:val="left" w:pos="1185"/>
        </w:tabs>
        <w:ind w:left="1046"/>
      </w:pPr>
      <w:r>
        <w:rPr>
          <w:rFonts w:ascii="標楷體" w:eastAsia="標楷體" w:hAnsi="標楷體"/>
          <w:color w:val="000000"/>
        </w:rPr>
        <w:t>* Ventana SP263僅適用於檢測非小細胞肺癌或</w:t>
      </w:r>
      <w:r>
        <w:rPr>
          <w:rFonts w:ascii="標楷體" w:eastAsia="標楷體" w:hAnsi="標楷體"/>
        </w:rPr>
        <w:t>泌尿道上皮癌維持療法</w:t>
      </w:r>
    </w:p>
    <w:p w14:paraId="3820DA71" w14:textId="77777777" w:rsidR="00BD776B" w:rsidRDefault="00DF0C24" w:rsidP="00D75A4A">
      <w:pPr>
        <w:tabs>
          <w:tab w:val="left" w:pos="1418"/>
        </w:tabs>
        <w:ind w:left="851" w:hanging="284"/>
        <w:rPr>
          <w:rFonts w:ascii="標楷體" w:eastAsia="標楷體" w:hAnsi="標楷體"/>
          <w:color w:val="000000"/>
        </w:rPr>
      </w:pPr>
      <w:r>
        <w:rPr>
          <w:rFonts w:ascii="標楷體" w:eastAsia="標楷體" w:hAnsi="標楷體"/>
          <w:color w:val="000000"/>
        </w:rPr>
        <w:t>(4)每位病人每個適應症限給付一種免疫檢查點抑制劑且不得互換，治療期間亦不可合併申報該適應症之標靶藥物（atezolizumab與bevacizumab併用於晚期肝細胞癌第一線用藥除外），無效後或給付時程期滿後則不再給付該適應症相關之標靶藥物。（enfortumab vedotin用於局部晚期或轉移性泌尿道上皮癌第三線用藥除外 ）。(108/4/1、111/6/1、112/8/1、113/5/1)</w:t>
      </w:r>
    </w:p>
    <w:p w14:paraId="5F68FAAA"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(5)給付時程期限：自初次處方用藥日起算2年。(109/4/1、109/11/1)</w:t>
      </w:r>
    </w:p>
    <w:p w14:paraId="59652EE3"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(6)需經單筆電子申請事前審查核准後使用，申請時需上傳病歷資料(不適用特殊病例事前審查，亦不適用緊急報備，惟已獲核定用藥之病人因轉院可緊急報備申請續用)。(108/4/1、110/10/1、111/6/1)</w:t>
      </w:r>
    </w:p>
    <w:p w14:paraId="19C4A038" w14:textId="3CE190E1"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(7)每次申請以12週為限，初次申請時需檢附以下資料：(108/6/1、109/11/1、111/6/1</w:t>
      </w:r>
      <w:r w:rsidR="00094560">
        <w:rPr>
          <w:rFonts w:ascii="標楷體" w:eastAsia="標楷體" w:hAnsi="標楷體" w:hint="eastAsia"/>
          <w:color w:val="000000"/>
        </w:rPr>
        <w:t>、113/6/1</w:t>
      </w:r>
      <w:r>
        <w:rPr>
          <w:rFonts w:ascii="標楷體" w:eastAsia="標楷體" w:hAnsi="標楷體"/>
          <w:color w:val="000000"/>
        </w:rPr>
        <w:t>)</w:t>
      </w:r>
    </w:p>
    <w:p w14:paraId="27435172" w14:textId="34F33236"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I.確實患有相關癌症之病理或細胞檢查報告，黑色素瘤患者需另檢附BRAF腫瘤基因檢測結果、</w:t>
      </w:r>
      <w:r w:rsidR="00094560" w:rsidRPr="00094560">
        <w:rPr>
          <w:rFonts w:ascii="標楷體" w:eastAsia="標楷體" w:hAnsi="標楷體" w:hint="eastAsia"/>
          <w:color w:val="000000"/>
        </w:rPr>
        <w:t>非小細胞肺癌患者需另檢附符合給付適應症內容規定之腫瘤基因檢測結果報告，上述基因檢測須符合全民健康保險藥品給付規定之通則十二。(113/6/1)</w:t>
      </w:r>
    </w:p>
    <w:p w14:paraId="5C9858BB" w14:textId="50D1438B"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Ⅱ.</w:t>
      </w:r>
      <w:r w:rsidR="0057735D" w:rsidRPr="0057735D">
        <w:rPr>
          <w:rFonts w:ascii="標楷體" w:eastAsia="標楷體" w:hAnsi="標楷體" w:hint="eastAsia"/>
          <w:color w:val="000000"/>
        </w:rPr>
        <w:t>生物標記表現量檢測報告：PD-L1表現量檢測結果需符合全民健康保險藥品給付規定之通則十二。(111/6/1、113/6/1)</w:t>
      </w:r>
    </w:p>
    <w:p w14:paraId="5B90E15D"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Ⅲ.病人身體狀況良好(ECOG≦1)及心肺與肝腎功能之評估資料。</w:t>
      </w:r>
    </w:p>
    <w:p w14:paraId="6022880C"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IV.病人12週內之疾病影像檢查及報告(如胸部X光、電腦斷層或其他可作為評估的影像)，此影像證明以可測量(measurable)的病灶為優先，如沒有可以測量的病灶，則可評估(evaluable)的病灶亦可採用。</w:t>
      </w:r>
    </w:p>
    <w:p w14:paraId="27CA1757"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備註：上述影像檢查之給付範圍不包括正子造影(PET)。</w:t>
      </w:r>
    </w:p>
    <w:p w14:paraId="0EEE3C6D"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V.先前已接受過之治療與完整用藥資料(如化學治療、標靶藥物及自費等用藥之劑量及療程)及其治療結果；典型何杰金氏淋巴瘤患者需另檢附自體造血幹細胞移植之病歷紀錄；肝細胞癌患者需另檢附T.A.C.E.治療紀錄。</w:t>
      </w:r>
    </w:p>
    <w:p w14:paraId="6490D093"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VI.使用免疫檢查點抑制劑之治療計畫(treatment protocol)。</w:t>
      </w:r>
    </w:p>
    <w:p w14:paraId="229E9356"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Ⅶ.使用於非小細胞肺癌及泌尿道上皮癌第一線用藥時，須另檢附下列其中一項佐證資料：</w:t>
      </w:r>
    </w:p>
    <w:p w14:paraId="38870E5A"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i.CTCAE(the common terminology criteria for adverse events) v4.0 grade≧2 audiometric hearing loss</w:t>
      </w:r>
    </w:p>
    <w:p w14:paraId="303E70CE" w14:textId="77777777" w:rsidR="00BD776B" w:rsidRDefault="00DF0C24">
      <w:pPr>
        <w:tabs>
          <w:tab w:val="left" w:pos="1418"/>
        </w:tabs>
        <w:ind w:left="1051" w:hanging="245"/>
      </w:pPr>
      <w:r>
        <w:rPr>
          <w:rFonts w:ascii="新細明體" w:hAnsi="新細明體" w:cs="新細明體"/>
          <w:color w:val="000000"/>
        </w:rPr>
        <w:t>ⅱ</w:t>
      </w:r>
      <w:r>
        <w:rPr>
          <w:rFonts w:ascii="標楷體" w:eastAsia="標楷體" w:hAnsi="標楷體"/>
          <w:color w:val="000000"/>
        </w:rPr>
        <w:t>.CTCAE v4.0 grade≧2 peripheral neuropathy</w:t>
      </w:r>
    </w:p>
    <w:p w14:paraId="667A6E11" w14:textId="77777777" w:rsidR="00BD776B" w:rsidRDefault="00DF0C24">
      <w:pPr>
        <w:tabs>
          <w:tab w:val="left" w:pos="1418"/>
        </w:tabs>
        <w:ind w:left="1051" w:hanging="245"/>
      </w:pPr>
      <w:r>
        <w:rPr>
          <w:rFonts w:ascii="新細明體" w:hAnsi="新細明體" w:cs="新細明體"/>
          <w:color w:val="000000"/>
        </w:rPr>
        <w:t>ⅲ</w:t>
      </w:r>
      <w:r>
        <w:rPr>
          <w:rFonts w:ascii="標楷體" w:eastAsia="標楷體" w:hAnsi="標楷體"/>
          <w:color w:val="000000"/>
        </w:rPr>
        <w:t>.CIRS(the cumulative illness rating scale) score &gt;6</w:t>
      </w:r>
    </w:p>
    <w:p w14:paraId="01DD7D36"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Ⅷ.其他佐證病歷資料。</w:t>
      </w:r>
    </w:p>
    <w:p w14:paraId="29193DD6"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(8)用藥後每12週至少評估一次，以i-RECIST標準(HCC患者以mRECIST標準)評定藥物療效反應，依下列原則申請續用：(109/4/1、109/11/1)</w:t>
      </w:r>
    </w:p>
    <w:p w14:paraId="4865FD95"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I.有療效反應(PR及CR)者得繼續用藥；</w:t>
      </w:r>
    </w:p>
    <w:p w14:paraId="0BBE0883"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II.出現疾病惡化(PD)或出現中、重度或危及生命之藥物不良反應者，應停止用藥；</w:t>
      </w:r>
    </w:p>
    <w:p w14:paraId="145932BA"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lastRenderedPageBreak/>
        <w:t>Ⅲ.出現疾病併發症或輕度藥物不良反應等，暫停用藥超過原事前審查核定日起24週期限者，不得申請續用。</w:t>
      </w:r>
    </w:p>
    <w:p w14:paraId="3CFBD8B2"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IV.用藥後評估疾病呈穩定狀態者(SD)，可持續再用藥12週，並於12週後再次評估；經連續二次評估皆為SD者，不得申請續用。</w:t>
      </w:r>
    </w:p>
    <w:p w14:paraId="24B4F750" w14:textId="77777777"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(9)申請續用時，需檢附病人12週內之評估資料如下：(108/6/1、109/11/1)</w:t>
      </w:r>
    </w:p>
    <w:p w14:paraId="4D8078F3"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I.病人身體狀況良好(ECOG≦1)及心肺與肝腎功能之評估資料。</w:t>
      </w:r>
    </w:p>
    <w:p w14:paraId="54ACE7A8"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I.以i-RECIST標準(HCC患者以mRECIST標準)評定之藥物療效反應(PR、CR、SD)資料、影像檢查及報告(如胸部X光、電腦斷層或其他可作為評估的影像)，此影像證明以可測量(measurable)的病灶為優先，如沒有可以測量的病灶，則可評估(evaluable)的病灶亦可採用。</w:t>
      </w:r>
    </w:p>
    <w:p w14:paraId="083FE8A8"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備註：上述影像檢查之給付範圍不包括正子造影(PET)。</w:t>
      </w:r>
    </w:p>
    <w:p w14:paraId="16CD3998"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Ⅲ.使用於非小細胞肺癌及泌尿道上皮癌第一線用藥時，須另檢附下列其中一項佐證資料：</w:t>
      </w:r>
    </w:p>
    <w:p w14:paraId="5A273769" w14:textId="77777777" w:rsidR="00BD776B" w:rsidRDefault="00DF0C24">
      <w:pPr>
        <w:tabs>
          <w:tab w:val="left" w:pos="1418"/>
        </w:tabs>
        <w:ind w:left="1291" w:hanging="245"/>
        <w:rPr>
          <w:rFonts w:ascii="標楷體" w:eastAsia="標楷體" w:hAnsi="標楷體"/>
          <w:color w:val="000000"/>
        </w:rPr>
      </w:pPr>
      <w:r>
        <w:rPr>
          <w:rFonts w:ascii="標楷體" w:eastAsia="標楷體" w:hAnsi="標楷體"/>
          <w:color w:val="000000"/>
        </w:rPr>
        <w:t>i.CTCAE(the common terminology criteria for adverse events) v4.0 grade≧2 audiometric hearing loss</w:t>
      </w:r>
    </w:p>
    <w:p w14:paraId="2D85A404" w14:textId="77777777" w:rsidR="00BD776B" w:rsidRDefault="00DF0C24">
      <w:pPr>
        <w:tabs>
          <w:tab w:val="left" w:pos="1418"/>
        </w:tabs>
        <w:ind w:left="1291" w:hanging="245"/>
      </w:pPr>
      <w:r>
        <w:rPr>
          <w:rFonts w:ascii="新細明體" w:hAnsi="新細明體" w:cs="新細明體"/>
          <w:color w:val="000000"/>
        </w:rPr>
        <w:t>ⅱ</w:t>
      </w:r>
      <w:r>
        <w:rPr>
          <w:rFonts w:ascii="標楷體" w:eastAsia="標楷體" w:hAnsi="標楷體"/>
          <w:color w:val="000000"/>
        </w:rPr>
        <w:t>.CTCAE v4.0 grade≧2 peripheral neuropathy</w:t>
      </w:r>
    </w:p>
    <w:p w14:paraId="7AF2045E" w14:textId="77777777" w:rsidR="00BD776B" w:rsidRDefault="00DF0C24">
      <w:pPr>
        <w:tabs>
          <w:tab w:val="left" w:pos="1418"/>
        </w:tabs>
        <w:ind w:left="1291" w:hanging="245"/>
      </w:pPr>
      <w:r>
        <w:rPr>
          <w:rFonts w:ascii="新細明體" w:hAnsi="新細明體" w:cs="新細明體"/>
          <w:color w:val="000000"/>
        </w:rPr>
        <w:t>ⅲ</w:t>
      </w:r>
      <w:r>
        <w:rPr>
          <w:rFonts w:ascii="標楷體" w:eastAsia="標楷體" w:hAnsi="標楷體"/>
          <w:color w:val="000000"/>
        </w:rPr>
        <w:t>.CIRS(the cumulative illness rating scale) score &gt;6</w:t>
      </w:r>
    </w:p>
    <w:p w14:paraId="319E7EF6" w14:textId="77777777"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IV.其他佐證病歷資料。</w:t>
      </w:r>
    </w:p>
    <w:p w14:paraId="2879841A" w14:textId="3DF34E4B" w:rsidR="00BD776B" w:rsidRDefault="00DF0C24">
      <w:pPr>
        <w:tabs>
          <w:tab w:val="left" w:pos="1418"/>
        </w:tabs>
        <w:ind w:left="811" w:hanging="245"/>
        <w:rPr>
          <w:rFonts w:ascii="標楷體" w:eastAsia="標楷體" w:hAnsi="標楷體"/>
          <w:color w:val="000000"/>
        </w:rPr>
      </w:pPr>
      <w:r>
        <w:rPr>
          <w:rFonts w:ascii="標楷體" w:eastAsia="標楷體" w:hAnsi="標楷體"/>
          <w:color w:val="000000"/>
        </w:rPr>
        <w:t>4.登錄與結案作業：(109/11/1</w:t>
      </w:r>
      <w:r w:rsidR="00D551BC">
        <w:rPr>
          <w:rFonts w:ascii="標楷體" w:eastAsia="標楷體" w:hAnsi="標楷體" w:hint="eastAsia"/>
          <w:color w:val="000000"/>
        </w:rPr>
        <w:t>、114/1/1</w:t>
      </w:r>
      <w:r>
        <w:rPr>
          <w:rFonts w:ascii="標楷體" w:eastAsia="標楷體" w:hAnsi="標楷體"/>
          <w:color w:val="000000"/>
        </w:rPr>
        <w:t>）</w:t>
      </w:r>
    </w:p>
    <w:p w14:paraId="58CDA007" w14:textId="586ACC0E" w:rsidR="00BD776B" w:rsidRDefault="00DF0C24">
      <w:pPr>
        <w:tabs>
          <w:tab w:val="left" w:pos="1418"/>
        </w:tabs>
        <w:ind w:left="1051" w:hanging="245"/>
        <w:rPr>
          <w:rFonts w:ascii="標楷體" w:eastAsia="標楷體" w:hAnsi="標楷體"/>
          <w:color w:val="000000"/>
        </w:rPr>
      </w:pPr>
      <w:r>
        <w:rPr>
          <w:rFonts w:ascii="標楷體" w:eastAsia="標楷體" w:hAnsi="標楷體"/>
          <w:color w:val="000000"/>
        </w:rPr>
        <w:t>(1)</w:t>
      </w:r>
      <w:r w:rsidR="00D551BC" w:rsidRPr="00C7430B">
        <w:rPr>
          <w:rFonts w:ascii="標楷體" w:eastAsia="標楷體" w:hAnsi="標楷體" w:hint="eastAsia"/>
          <w:color w:val="000000"/>
        </w:rPr>
        <w:t>醫師處方使用本類藥品，倘病人結束治療、停止用藥、未通過續用申請或達給付時程期限時，醫事機構須在28天內於VPN系統登錄結案。逾期未登錄結案者，系統自動結案，且不予支付該個案自前次事前審查核定日後申報之藥費。(109/11/1、114/1/1</w:t>
      </w:r>
      <w:r w:rsidR="00D551BC">
        <w:rPr>
          <w:rFonts w:ascii="標楷體" w:eastAsia="標楷體" w:hAnsi="標楷體" w:hint="eastAsia"/>
          <w:color w:val="000000"/>
        </w:rPr>
        <w:t>)</w:t>
      </w:r>
    </w:p>
    <w:p w14:paraId="6879E84A" w14:textId="6E99D1BB" w:rsidR="00BD776B" w:rsidRDefault="00DF0C24" w:rsidP="00D551BC">
      <w:pPr>
        <w:tabs>
          <w:tab w:val="left" w:pos="1418"/>
        </w:tabs>
        <w:ind w:left="1051" w:hanging="245"/>
        <w:rPr>
          <w:rFonts w:ascii="標楷體" w:eastAsia="標楷體" w:hAnsi="標楷體"/>
          <w:color w:val="000000"/>
        </w:rPr>
      </w:pPr>
      <w:r>
        <w:rPr>
          <w:rFonts w:ascii="標楷體" w:eastAsia="標楷體" w:hAnsi="標楷體"/>
          <w:color w:val="000000"/>
        </w:rPr>
        <w:t>(2)</w:t>
      </w:r>
      <w:r w:rsidR="00D551BC" w:rsidRPr="00C7430B">
        <w:rPr>
          <w:rFonts w:ascii="標楷體" w:eastAsia="標楷體" w:hAnsi="標楷體" w:hint="eastAsia"/>
          <w:color w:val="000000"/>
        </w:rPr>
        <w:t>已結案者自結案日後不予支付藥費。</w:t>
      </w:r>
    </w:p>
    <w:p w14:paraId="16511AA8" w14:textId="77777777" w:rsidR="00F03391" w:rsidRDefault="00F03391" w:rsidP="00F03391">
      <w:pPr>
        <w:ind w:left="283"/>
        <w:rPr>
          <w:rFonts w:ascii="標楷體" w:eastAsia="標楷體" w:hAnsi="標楷體"/>
          <w:color w:val="000000"/>
        </w:rPr>
      </w:pPr>
      <w:r>
        <w:rPr>
          <w:rFonts w:ascii="標楷體" w:eastAsia="標楷體" w:hAnsi="標楷體"/>
          <w:color w:val="000000"/>
        </w:rPr>
        <w:t>9.70.Pertuzumab(如Perjeta)：(108/5/1、108/12/1、112/8/1、113/12/1、114/1/1、114/5/1)</w:t>
      </w:r>
    </w:p>
    <w:p w14:paraId="40785D5F" w14:textId="77777777" w:rsidR="00F03391" w:rsidRDefault="00F03391" w:rsidP="00F03391">
      <w:pPr>
        <w:ind w:left="806" w:hanging="240"/>
        <w:rPr>
          <w:rFonts w:ascii="標楷體" w:eastAsia="標楷體" w:hAnsi="標楷體"/>
          <w:color w:val="000000"/>
        </w:rPr>
      </w:pPr>
      <w:r>
        <w:rPr>
          <w:rFonts w:ascii="標楷體" w:eastAsia="標楷體" w:hAnsi="標楷體"/>
          <w:color w:val="000000"/>
        </w:rPr>
        <w:t>1.本藥品與trastuzumab（限使用Ogivri、Herzuma、Eirgasun、Herceptin）及化學療法併用於具HER2過度表現（IHC3+或FISH+），且具腋下淋巴結轉移但無遠處臟器轉移之早期乳癌病人（113/12/1、114/5/1）</w:t>
      </w:r>
    </w:p>
    <w:p w14:paraId="64A2E425" w14:textId="77777777" w:rsidR="00F03391" w:rsidRDefault="00F03391" w:rsidP="00F03391">
      <w:pPr>
        <w:ind w:left="1166" w:hanging="600"/>
        <w:rPr>
          <w:rFonts w:ascii="標楷體" w:eastAsia="標楷體" w:hAnsi="標楷體"/>
          <w:color w:val="000000"/>
        </w:rPr>
      </w:pPr>
      <w:r>
        <w:rPr>
          <w:rFonts w:ascii="標楷體" w:eastAsia="標楷體" w:hAnsi="標楷體"/>
          <w:color w:val="000000"/>
        </w:rPr>
        <w:t xml:space="preserve">  (1)使用於術前輔助治療，經外科手術後達病理上完全緩解者（pCR），得繼續使用至18個療程為上限。</w:t>
      </w:r>
    </w:p>
    <w:p w14:paraId="58174917" w14:textId="77777777" w:rsidR="00F03391" w:rsidRDefault="00F03391" w:rsidP="00F03391">
      <w:pPr>
        <w:ind w:left="1166" w:hanging="600"/>
        <w:rPr>
          <w:rFonts w:ascii="標楷體" w:eastAsia="標楷體" w:hAnsi="標楷體"/>
          <w:color w:val="000000"/>
        </w:rPr>
      </w:pPr>
      <w:r>
        <w:rPr>
          <w:rFonts w:ascii="標楷體" w:eastAsia="標楷體" w:hAnsi="標楷體"/>
          <w:color w:val="000000"/>
        </w:rPr>
        <w:t xml:space="preserve">  (2)若未接受術前輔助治療，即先行手術者，可給予術後輔助治療，以18個療程為使用上限。</w:t>
      </w:r>
    </w:p>
    <w:p w14:paraId="105BD58B" w14:textId="77777777" w:rsidR="00F03391" w:rsidRDefault="00F03391" w:rsidP="00F03391">
      <w:pPr>
        <w:ind w:left="1260" w:hanging="408"/>
        <w:rPr>
          <w:rFonts w:ascii="標楷體" w:eastAsia="標楷體" w:hAnsi="標楷體"/>
          <w:color w:val="000000"/>
        </w:rPr>
      </w:pPr>
      <w:r>
        <w:rPr>
          <w:rFonts w:ascii="標楷體" w:eastAsia="標楷體" w:hAnsi="標楷體"/>
          <w:color w:val="000000"/>
        </w:rPr>
        <w:t>(3)下列Ｉ~Ⅲ使用於外科手術前後之總療程合併計算，依藥品仿單記載以18個療程為上限：</w:t>
      </w:r>
    </w:p>
    <w:p w14:paraId="2E1BF556" w14:textId="77777777" w:rsidR="00F03391" w:rsidRDefault="00F03391" w:rsidP="00F03391">
      <w:pPr>
        <w:tabs>
          <w:tab w:val="left" w:pos="1418"/>
        </w:tabs>
        <w:ind w:left="1291" w:hanging="245"/>
        <w:rPr>
          <w:rFonts w:ascii="標楷體" w:eastAsia="標楷體" w:hAnsi="標楷體"/>
          <w:color w:val="000000"/>
        </w:rPr>
      </w:pPr>
      <w:r>
        <w:rPr>
          <w:rFonts w:ascii="標楷體" w:eastAsia="標楷體" w:hAnsi="標楷體"/>
          <w:color w:val="000000"/>
        </w:rPr>
        <w:t>Ｉ：pertuzumab與trastuzumab併用</w:t>
      </w:r>
    </w:p>
    <w:p w14:paraId="019FB4CB" w14:textId="77777777" w:rsidR="00F03391" w:rsidRDefault="00F03391" w:rsidP="00F03391">
      <w:pPr>
        <w:tabs>
          <w:tab w:val="left" w:pos="1418"/>
        </w:tabs>
        <w:ind w:left="1291" w:hanging="245"/>
        <w:rPr>
          <w:rFonts w:ascii="標楷體" w:eastAsia="標楷體" w:hAnsi="標楷體"/>
          <w:color w:val="000000"/>
        </w:rPr>
      </w:pPr>
      <w:r>
        <w:rPr>
          <w:rFonts w:ascii="標楷體" w:eastAsia="標楷體" w:hAnsi="標楷體"/>
          <w:color w:val="000000"/>
        </w:rPr>
        <w:t>Ⅱ：trastuzumab</w:t>
      </w:r>
    </w:p>
    <w:p w14:paraId="66E78D56" w14:textId="77777777" w:rsidR="00F03391" w:rsidRDefault="00F03391" w:rsidP="00F03391">
      <w:pPr>
        <w:tabs>
          <w:tab w:val="left" w:pos="1418"/>
        </w:tabs>
        <w:ind w:left="1291" w:hanging="245"/>
        <w:rPr>
          <w:rFonts w:ascii="標楷體" w:eastAsia="標楷體" w:hAnsi="標楷體"/>
          <w:color w:val="000000"/>
        </w:rPr>
      </w:pPr>
      <w:r>
        <w:rPr>
          <w:rFonts w:ascii="標楷體" w:eastAsia="標楷體" w:hAnsi="標楷體"/>
          <w:color w:val="000000"/>
        </w:rPr>
        <w:t>Ⅲ：pertuzumab與trastuzumab皮下注射複方製劑(如Phesgo)</w:t>
      </w:r>
    </w:p>
    <w:p w14:paraId="5C2601EB" w14:textId="77777777" w:rsidR="00F03391" w:rsidRDefault="00F03391" w:rsidP="00F03391">
      <w:pPr>
        <w:ind w:left="1260" w:hanging="408"/>
        <w:rPr>
          <w:rFonts w:ascii="標楷體" w:eastAsia="標楷體" w:hAnsi="標楷體"/>
          <w:color w:val="000000"/>
        </w:rPr>
      </w:pPr>
      <w:r>
        <w:rPr>
          <w:rFonts w:ascii="標楷體" w:eastAsia="標楷體" w:hAnsi="標楷體"/>
          <w:color w:val="000000"/>
        </w:rPr>
        <w:t>(4)須經事前審查核准後使用，核准後每24週須檢附療效評估資料再次申請，若疾病有惡化情形即不應再行申請。（113/12/1、114/5/1）</w:t>
      </w:r>
    </w:p>
    <w:p w14:paraId="39248C55" w14:textId="77777777" w:rsidR="00F03391" w:rsidRDefault="00F03391" w:rsidP="00F03391">
      <w:pPr>
        <w:ind w:left="566"/>
        <w:rPr>
          <w:rFonts w:ascii="標楷體" w:eastAsia="標楷體" w:hAnsi="標楷體"/>
          <w:color w:val="000000"/>
        </w:rPr>
      </w:pPr>
      <w:r>
        <w:rPr>
          <w:rFonts w:ascii="標楷體" w:eastAsia="標楷體" w:hAnsi="標楷體"/>
          <w:color w:val="000000"/>
        </w:rPr>
        <w:t>2.轉移性乳癌(108/5/1、108/12/1、112/8/1、113/12/1)</w:t>
      </w:r>
    </w:p>
    <w:p w14:paraId="4A286B4D" w14:textId="77777777" w:rsidR="00F03391" w:rsidRDefault="00F03391" w:rsidP="00F03391">
      <w:pPr>
        <w:ind w:left="1260" w:hanging="408"/>
        <w:rPr>
          <w:rFonts w:ascii="標楷體" w:eastAsia="標楷體" w:hAnsi="標楷體"/>
          <w:color w:val="000000"/>
        </w:rPr>
      </w:pPr>
      <w:r>
        <w:rPr>
          <w:rFonts w:ascii="標楷體" w:eastAsia="標楷體" w:hAnsi="標楷體"/>
          <w:color w:val="000000"/>
        </w:rPr>
        <w:t>(1)Pertuzumab與trastuzumab及docetaxel併用於治療轉移後未曾以抗HER2或化學療法治療之HER2過度表現(IHC3+或FISH+)轉移性乳癌病人。(108/12/1、112/8/1)</w:t>
      </w:r>
    </w:p>
    <w:p w14:paraId="0BA93B53" w14:textId="77777777" w:rsidR="00F03391" w:rsidRDefault="00F03391" w:rsidP="00F03391">
      <w:pPr>
        <w:ind w:left="1260" w:hanging="408"/>
        <w:rPr>
          <w:rFonts w:ascii="標楷體" w:eastAsia="標楷體" w:hAnsi="標楷體"/>
          <w:color w:val="000000"/>
        </w:rPr>
      </w:pPr>
      <w:r>
        <w:rPr>
          <w:rFonts w:ascii="標楷體" w:eastAsia="標楷體" w:hAnsi="標楷體"/>
          <w:color w:val="000000"/>
        </w:rPr>
        <w:lastRenderedPageBreak/>
        <w:t>(2)須經事前審查核准後使用，核准後每18週須檢附療效評估資料再次申請，若疾病有惡化情形即不應再行申請，每位病人至多給付18個月為限。(108/5/1)</w:t>
      </w:r>
    </w:p>
    <w:p w14:paraId="7655842A" w14:textId="77777777" w:rsidR="00F03391" w:rsidRDefault="00F03391" w:rsidP="00F03391">
      <w:pPr>
        <w:ind w:left="1260" w:hanging="408"/>
        <w:rPr>
          <w:rFonts w:ascii="標楷體" w:eastAsia="標楷體" w:hAnsi="標楷體"/>
          <w:color w:val="000000"/>
        </w:rPr>
      </w:pPr>
      <w:r>
        <w:rPr>
          <w:rFonts w:ascii="標楷體" w:eastAsia="標楷體" w:hAnsi="標楷體"/>
          <w:color w:val="000000"/>
        </w:rPr>
        <w:t>(3)下列Ｉ~Ⅱ使用於轉移性乳癌總療程合併計算，以全部18個月為上限(113/12/1)：</w:t>
      </w:r>
    </w:p>
    <w:p w14:paraId="49BC351F" w14:textId="77777777" w:rsidR="00F03391" w:rsidRDefault="00F03391" w:rsidP="00F03391">
      <w:pPr>
        <w:tabs>
          <w:tab w:val="left" w:pos="1418"/>
        </w:tabs>
        <w:ind w:left="1291" w:hanging="245"/>
        <w:rPr>
          <w:rFonts w:ascii="標楷體" w:eastAsia="標楷體" w:hAnsi="標楷體"/>
          <w:color w:val="000000"/>
        </w:rPr>
      </w:pPr>
      <w:r>
        <w:rPr>
          <w:rFonts w:ascii="標楷體" w:eastAsia="標楷體" w:hAnsi="標楷體"/>
          <w:color w:val="000000"/>
        </w:rPr>
        <w:t>Ｉ：pertuzumab與trastuzumab併用</w:t>
      </w:r>
    </w:p>
    <w:p w14:paraId="544EB576" w14:textId="77777777" w:rsidR="00F03391" w:rsidRDefault="00F03391" w:rsidP="00F03391">
      <w:pPr>
        <w:tabs>
          <w:tab w:val="left" w:pos="1418"/>
        </w:tabs>
        <w:ind w:left="1291" w:hanging="245"/>
        <w:rPr>
          <w:rFonts w:ascii="標楷體" w:eastAsia="標楷體" w:hAnsi="標楷體"/>
          <w:color w:val="000000"/>
        </w:rPr>
      </w:pPr>
      <w:r>
        <w:rPr>
          <w:rFonts w:ascii="標楷體" w:eastAsia="標楷體" w:hAnsi="標楷體"/>
          <w:color w:val="000000"/>
        </w:rPr>
        <w:t>Ⅱ：pertuzumab與trastuzumab皮下注射複方製劑(如Phesgo)</w:t>
      </w:r>
    </w:p>
    <w:p w14:paraId="596960A1" w14:textId="6A94497B" w:rsidR="00BD776B" w:rsidRDefault="00F03391" w:rsidP="00F03391">
      <w:pPr>
        <w:ind w:leftChars="355" w:left="1260" w:hangingChars="170" w:hanging="408"/>
        <w:rPr>
          <w:rFonts w:ascii="標楷體" w:eastAsia="標楷體" w:hAnsi="標楷體"/>
          <w:color w:val="000000"/>
        </w:rPr>
      </w:pPr>
      <w:r>
        <w:rPr>
          <w:rFonts w:ascii="標楷體" w:eastAsia="標楷體" w:hAnsi="標楷體"/>
          <w:color w:val="000000"/>
        </w:rPr>
        <w:t>(4)先前於早期乳癌已使用pertuzumab與trastuzumab併用或使用pertuzumab與trastuzumab皮下注射複方製劑(如Phesgo)者，不得再次申請pertuzumab與trastuzumab併用，惟於早期乳癌治療結束至首次疾病復發轉移時間超過12個月以上者得再次申請。(113/12/1)</w:t>
      </w:r>
    </w:p>
    <w:p w14:paraId="3AACF2AE" w14:textId="77777777" w:rsidR="00BD776B" w:rsidRDefault="00DF0C24">
      <w:pPr>
        <w:ind w:left="283"/>
      </w:pPr>
      <w:bookmarkStart w:id="23" w:name="_Hlk75424822"/>
      <w:r>
        <w:rPr>
          <w:rFonts w:ascii="標楷體" w:eastAsia="標楷體" w:hAnsi="標楷體"/>
          <w:color w:val="000000"/>
        </w:rPr>
        <w:t>9.71.</w:t>
      </w:r>
      <w:bookmarkEnd w:id="23"/>
      <w:r>
        <w:t xml:space="preserve"> </w:t>
      </w:r>
      <w:r>
        <w:rPr>
          <w:rFonts w:ascii="標楷體" w:eastAsia="標楷體" w:hAnsi="標楷體"/>
          <w:color w:val="000000"/>
        </w:rPr>
        <w:t>Venetoclax (如Venclexta)：(108/9/1、110/7/1、112/7/1)</w:t>
      </w:r>
    </w:p>
    <w:p w14:paraId="17E6D029" w14:textId="77777777" w:rsidR="00BD776B" w:rsidRDefault="00DF0C24">
      <w:pPr>
        <w:ind w:left="763" w:hanging="240"/>
        <w:rPr>
          <w:rFonts w:ascii="標楷體" w:eastAsia="標楷體" w:hAnsi="標楷體"/>
          <w:color w:val="000000"/>
        </w:rPr>
      </w:pPr>
      <w:r>
        <w:rPr>
          <w:rFonts w:ascii="標楷體" w:eastAsia="標楷體" w:hAnsi="標楷體"/>
          <w:color w:val="000000"/>
        </w:rPr>
        <w:t>1.單獨使用於具有17p 缺失的慢性淋巴球性白血病(CLL) 成年患者。（108/9/1、112/7/1)</w:t>
      </w:r>
    </w:p>
    <w:p w14:paraId="0CCC6B4C" w14:textId="77777777" w:rsidR="00BD776B" w:rsidRDefault="00DF0C24">
      <w:pPr>
        <w:ind w:left="763"/>
        <w:rPr>
          <w:rFonts w:ascii="標楷體" w:eastAsia="標楷體" w:hAnsi="標楷體"/>
          <w:color w:val="000000"/>
        </w:rPr>
      </w:pPr>
      <w:r>
        <w:rPr>
          <w:rFonts w:ascii="標楷體" w:eastAsia="標楷體" w:hAnsi="標楷體"/>
          <w:color w:val="000000"/>
        </w:rPr>
        <w:t>(1)限先前曾接受至少1種包括alkylating agent與anti-CD20 (如R-CVP、R-CHOP、rituximab加bendamustine等)的治療2個療程以上仍惡化或復發者。</w:t>
      </w:r>
    </w:p>
    <w:p w14:paraId="193CF124" w14:textId="77777777" w:rsidR="00BD776B" w:rsidRDefault="00DF0C24">
      <w:pPr>
        <w:ind w:left="763"/>
        <w:rPr>
          <w:rFonts w:ascii="標楷體" w:eastAsia="標楷體" w:hAnsi="標楷體"/>
          <w:color w:val="000000"/>
        </w:rPr>
      </w:pPr>
      <w:r>
        <w:rPr>
          <w:rFonts w:ascii="標楷體" w:eastAsia="標楷體" w:hAnsi="標楷體"/>
          <w:color w:val="000000"/>
        </w:rPr>
        <w:t>(2)開始使用前之疾病狀態需出現下列任一情形：</w:t>
      </w:r>
    </w:p>
    <w:p w14:paraId="51FBC433" w14:textId="77777777" w:rsidR="00BD776B" w:rsidRDefault="00DF0C24">
      <w:pPr>
        <w:ind w:left="1003"/>
        <w:rPr>
          <w:rFonts w:ascii="標楷體" w:eastAsia="標楷體" w:hAnsi="標楷體"/>
          <w:color w:val="000000"/>
        </w:rPr>
      </w:pPr>
      <w:r>
        <w:rPr>
          <w:rFonts w:ascii="標楷體" w:eastAsia="標楷體" w:hAnsi="標楷體"/>
          <w:color w:val="000000"/>
        </w:rPr>
        <w:t>Ⅰ.進行性的血液相惡化至Hb&lt; 10.0gm/dL或PLT&lt;100K/uL，且無其他原因可以解釋。</w:t>
      </w:r>
    </w:p>
    <w:p w14:paraId="42A2B55D" w14:textId="77777777" w:rsidR="00BD776B" w:rsidRDefault="00DF0C24">
      <w:pPr>
        <w:ind w:left="1003"/>
        <w:rPr>
          <w:rFonts w:ascii="標楷體" w:eastAsia="標楷體" w:hAnsi="標楷體"/>
          <w:color w:val="000000"/>
        </w:rPr>
      </w:pPr>
      <w:r>
        <w:rPr>
          <w:rFonts w:ascii="標楷體" w:eastAsia="標楷體" w:hAnsi="標楷體"/>
          <w:color w:val="000000"/>
        </w:rPr>
        <w:t>Ⅱ.脾臟腫大超過左肋骨下緣6cm。</w:t>
      </w:r>
    </w:p>
    <w:p w14:paraId="77148CA5" w14:textId="77777777" w:rsidR="00BD776B" w:rsidRDefault="00DF0C24">
      <w:pPr>
        <w:ind w:left="1003"/>
        <w:rPr>
          <w:rFonts w:ascii="標楷體" w:eastAsia="標楷體" w:hAnsi="標楷體"/>
          <w:color w:val="000000"/>
        </w:rPr>
      </w:pPr>
      <w:r>
        <w:rPr>
          <w:rFonts w:ascii="標楷體" w:eastAsia="標楷體" w:hAnsi="標楷體"/>
          <w:color w:val="000000"/>
        </w:rPr>
        <w:t>Ⅲ.淋巴結腫大，最長徑超過10cm。</w:t>
      </w:r>
    </w:p>
    <w:p w14:paraId="6A648A4E" w14:textId="77777777" w:rsidR="00BD776B" w:rsidRDefault="00DF0C24">
      <w:pPr>
        <w:ind w:left="1003"/>
        <w:rPr>
          <w:rFonts w:ascii="標楷體" w:eastAsia="標楷體" w:hAnsi="標楷體"/>
          <w:color w:val="000000"/>
        </w:rPr>
      </w:pPr>
      <w:r>
        <w:rPr>
          <w:rFonts w:ascii="標楷體" w:eastAsia="標楷體" w:hAnsi="標楷體"/>
          <w:color w:val="000000"/>
        </w:rPr>
        <w:t>Ⅳ.周邊血液淋巴球在2個月內增加50%以上，或倍增時間(doubling time)小於6個月。</w:t>
      </w:r>
    </w:p>
    <w:p w14:paraId="2E1AAFA0" w14:textId="77777777" w:rsidR="00BD776B" w:rsidRDefault="00DF0C24">
      <w:pPr>
        <w:ind w:left="1003"/>
        <w:rPr>
          <w:rFonts w:ascii="標楷體" w:eastAsia="標楷體" w:hAnsi="標楷體"/>
          <w:color w:val="000000"/>
        </w:rPr>
      </w:pPr>
      <w:r>
        <w:rPr>
          <w:rFonts w:ascii="標楷體" w:eastAsia="標楷體" w:hAnsi="標楷體"/>
          <w:color w:val="000000"/>
        </w:rPr>
        <w:t>Ⅴ.出現自體免疫併發症，且經類固醇治療無效。</w:t>
      </w:r>
    </w:p>
    <w:p w14:paraId="50D04612" w14:textId="77777777" w:rsidR="00BD776B" w:rsidRDefault="00DF0C24">
      <w:pPr>
        <w:ind w:left="1003"/>
        <w:rPr>
          <w:rFonts w:ascii="標楷體" w:eastAsia="標楷體" w:hAnsi="標楷體"/>
          <w:color w:val="000000"/>
        </w:rPr>
      </w:pPr>
      <w:r>
        <w:rPr>
          <w:rFonts w:ascii="標楷體" w:eastAsia="標楷體" w:hAnsi="標楷體"/>
          <w:color w:val="000000"/>
        </w:rPr>
        <w:t>Ⅵ.出現具症狀的淋巴結外病灶。</w:t>
      </w:r>
    </w:p>
    <w:p w14:paraId="611CFC2D" w14:textId="77777777" w:rsidR="00BD776B" w:rsidRDefault="00DF0C24">
      <w:pPr>
        <w:ind w:left="763"/>
        <w:rPr>
          <w:rFonts w:ascii="標楷體" w:eastAsia="標楷體" w:hAnsi="標楷體"/>
          <w:color w:val="000000"/>
        </w:rPr>
      </w:pPr>
      <w:r>
        <w:rPr>
          <w:rFonts w:ascii="標楷體" w:eastAsia="標楷體" w:hAnsi="標楷體"/>
          <w:color w:val="000000"/>
        </w:rPr>
        <w:t>(3)需經事前審查核准後使用，每3個月需再次申請。再次申請時需檢附療效評估資料，若未達iwCLL(International Workshop on CLL)最新定義之partial remission或complete remission，則不予給付。</w:t>
      </w:r>
    </w:p>
    <w:p w14:paraId="300329CF" w14:textId="77777777" w:rsidR="00BD776B" w:rsidRDefault="00DF0C24">
      <w:pPr>
        <w:ind w:left="763"/>
        <w:rPr>
          <w:rFonts w:ascii="標楷體" w:eastAsia="標楷體" w:hAnsi="標楷體"/>
          <w:color w:val="000000"/>
        </w:rPr>
      </w:pPr>
      <w:r>
        <w:rPr>
          <w:rFonts w:ascii="標楷體" w:eastAsia="標楷體" w:hAnsi="標楷體"/>
          <w:color w:val="000000"/>
        </w:rPr>
        <w:t>(4) Venetoclax、acalabrutinib與ibrutinib三者僅能擇一使用，唯有在出現無法忍受其副作用時方可互換。三者使用總療程合併計算，以全部24個月為上限。（108/9/1、112/7/1)</w:t>
      </w:r>
    </w:p>
    <w:p w14:paraId="0467AD6A" w14:textId="77777777" w:rsidR="00BD776B" w:rsidRDefault="00DF0C24">
      <w:pPr>
        <w:ind w:left="763"/>
        <w:rPr>
          <w:rFonts w:ascii="標楷體" w:eastAsia="標楷體" w:hAnsi="標楷體"/>
          <w:color w:val="000000"/>
        </w:rPr>
      </w:pPr>
      <w:r>
        <w:rPr>
          <w:rFonts w:ascii="標楷體" w:eastAsia="標楷體" w:hAnsi="標楷體"/>
          <w:color w:val="000000"/>
        </w:rPr>
        <w:t>(5)每日至多處方4粒。</w:t>
      </w:r>
    </w:p>
    <w:p w14:paraId="18746C5D" w14:textId="77777777" w:rsidR="00BD776B" w:rsidRDefault="00DF0C24">
      <w:pPr>
        <w:ind w:left="763" w:hanging="240"/>
        <w:rPr>
          <w:rFonts w:ascii="標楷體" w:eastAsia="標楷體" w:hAnsi="標楷體"/>
          <w:color w:val="000000"/>
        </w:rPr>
      </w:pPr>
      <w:r>
        <w:rPr>
          <w:rFonts w:ascii="標楷體" w:eastAsia="標楷體" w:hAnsi="標楷體"/>
          <w:color w:val="000000"/>
        </w:rPr>
        <w:t>2.併用低劑量cytarabine，使用於無法接受高強度化學治療之初診斷急性骨髓性白血病(AML)病人：(110/7/1)</w:t>
      </w:r>
    </w:p>
    <w:p w14:paraId="456DEFBF" w14:textId="77777777" w:rsidR="00BD776B" w:rsidRDefault="00DF0C24">
      <w:pPr>
        <w:ind w:left="763"/>
        <w:rPr>
          <w:rFonts w:ascii="標楷體" w:eastAsia="標楷體" w:hAnsi="標楷體"/>
          <w:color w:val="000000"/>
        </w:rPr>
      </w:pPr>
      <w:r>
        <w:rPr>
          <w:rFonts w:ascii="標楷體" w:eastAsia="標楷體" w:hAnsi="標楷體"/>
          <w:color w:val="000000"/>
        </w:rPr>
        <w:t>(1)需具有下列I.或Ⅱ.的條件之一：</w:t>
      </w:r>
    </w:p>
    <w:p w14:paraId="25934290" w14:textId="77777777" w:rsidR="00BD776B" w:rsidRDefault="00DF0C24">
      <w:pPr>
        <w:ind w:left="1003"/>
        <w:rPr>
          <w:rFonts w:ascii="標楷體" w:eastAsia="標楷體" w:hAnsi="標楷體"/>
          <w:color w:val="000000"/>
        </w:rPr>
      </w:pPr>
      <w:r>
        <w:rPr>
          <w:rFonts w:ascii="標楷體" w:eastAsia="標楷體" w:hAnsi="標楷體"/>
          <w:color w:val="000000"/>
        </w:rPr>
        <w:t>I.75歲以上。</w:t>
      </w:r>
    </w:p>
    <w:p w14:paraId="1D6D4F6D" w14:textId="77777777" w:rsidR="00BD776B" w:rsidRDefault="00DF0C24">
      <w:pPr>
        <w:ind w:left="1003"/>
        <w:rPr>
          <w:rFonts w:ascii="標楷體" w:eastAsia="標楷體" w:hAnsi="標楷體"/>
          <w:color w:val="000000"/>
        </w:rPr>
      </w:pPr>
      <w:r>
        <w:rPr>
          <w:rFonts w:ascii="標楷體" w:eastAsia="標楷體" w:hAnsi="標楷體"/>
          <w:color w:val="000000"/>
        </w:rPr>
        <w:t>Ⅱ.18歲以上但未滿75歲時，需ECOG performance status為 2 或 3，且符合下列任一條件者：</w:t>
      </w:r>
    </w:p>
    <w:p w14:paraId="058CDC85" w14:textId="77777777" w:rsidR="00BD776B" w:rsidRDefault="00DF0C24">
      <w:pPr>
        <w:ind w:left="1243"/>
        <w:rPr>
          <w:rFonts w:ascii="標楷體" w:eastAsia="標楷體" w:hAnsi="標楷體"/>
          <w:color w:val="000000"/>
        </w:rPr>
      </w:pPr>
      <w:r>
        <w:rPr>
          <w:rFonts w:ascii="標楷體" w:eastAsia="標楷體" w:hAnsi="標楷體"/>
          <w:color w:val="000000"/>
        </w:rPr>
        <w:t>A.具有心臟衰竭治療病史，且left ventricle ejection fraction (LVEF)＜50%。</w:t>
      </w:r>
    </w:p>
    <w:p w14:paraId="07F49E94" w14:textId="77777777" w:rsidR="00BD776B" w:rsidRDefault="00DF0C24">
      <w:pPr>
        <w:ind w:left="1243"/>
        <w:rPr>
          <w:rFonts w:ascii="標楷體" w:eastAsia="標楷體" w:hAnsi="標楷體"/>
          <w:color w:val="000000"/>
        </w:rPr>
      </w:pPr>
      <w:r>
        <w:rPr>
          <w:rFonts w:ascii="標楷體" w:eastAsia="標楷體" w:hAnsi="標楷體"/>
          <w:color w:val="000000"/>
        </w:rPr>
        <w:t>B.具慢性肺部疾病史，且 DLCO＜65%。</w:t>
      </w:r>
    </w:p>
    <w:p w14:paraId="4E745973" w14:textId="77777777" w:rsidR="00BD776B" w:rsidRDefault="00DF0C24">
      <w:pPr>
        <w:ind w:left="1243"/>
        <w:rPr>
          <w:rFonts w:ascii="標楷體" w:eastAsia="標楷體" w:hAnsi="標楷體"/>
          <w:color w:val="000000"/>
        </w:rPr>
      </w:pPr>
      <w:r>
        <w:rPr>
          <w:rFonts w:ascii="標楷體" w:eastAsia="標楷體" w:hAnsi="標楷體"/>
          <w:color w:val="000000"/>
        </w:rPr>
        <w:t>C.具肝功能異常：Bilirubin level 在1.5-3.0倍正常值間。</w:t>
      </w:r>
    </w:p>
    <w:p w14:paraId="609867C4" w14:textId="77777777" w:rsidR="00BD776B" w:rsidRDefault="00DF0C24">
      <w:pPr>
        <w:ind w:left="763"/>
        <w:rPr>
          <w:rFonts w:ascii="標楷體" w:eastAsia="標楷體" w:hAnsi="標楷體"/>
          <w:color w:val="000000"/>
        </w:rPr>
      </w:pPr>
      <w:r>
        <w:rPr>
          <w:rFonts w:ascii="標楷體" w:eastAsia="標楷體" w:hAnsi="標楷體"/>
          <w:color w:val="000000"/>
        </w:rPr>
        <w:t>(2)需未曾因骨髓化生不良症候群(myelodysplastic syndrome, MDS)接受過azacitidine治療者。</w:t>
      </w:r>
    </w:p>
    <w:p w14:paraId="51D1C5FC" w14:textId="77777777" w:rsidR="00BD776B" w:rsidRDefault="00DF0C24">
      <w:pPr>
        <w:ind w:left="763"/>
        <w:rPr>
          <w:rFonts w:ascii="標楷體" w:eastAsia="標楷體" w:hAnsi="標楷體"/>
          <w:color w:val="000000"/>
        </w:rPr>
      </w:pPr>
      <w:r>
        <w:rPr>
          <w:rFonts w:ascii="標楷體" w:eastAsia="標楷體" w:hAnsi="標楷體"/>
          <w:color w:val="000000"/>
        </w:rPr>
        <w:lastRenderedPageBreak/>
        <w:t>(3)需經事前審查核准後使用，每2個療程需再次申請；再次申請時需檢附療效評估資料，若病情惡化應即停止使用。</w:t>
      </w:r>
    </w:p>
    <w:p w14:paraId="77A53115" w14:textId="77777777" w:rsidR="00BD776B" w:rsidRDefault="00DF0C24">
      <w:pPr>
        <w:ind w:left="763"/>
        <w:rPr>
          <w:rFonts w:ascii="標楷體" w:eastAsia="標楷體" w:hAnsi="標楷體"/>
          <w:color w:val="000000"/>
        </w:rPr>
      </w:pPr>
      <w:r>
        <w:rPr>
          <w:rFonts w:ascii="標楷體" w:eastAsia="標楷體" w:hAnsi="標楷體"/>
          <w:color w:val="000000"/>
        </w:rPr>
        <w:t>(4)每日至多處方6粒，最多給付4個療程。</w:t>
      </w:r>
    </w:p>
    <w:p w14:paraId="1758D8FC" w14:textId="77777777" w:rsidR="00BD776B" w:rsidRDefault="00DF0C24">
      <w:pPr>
        <w:ind w:left="681" w:hanging="397"/>
        <w:rPr>
          <w:rFonts w:ascii="標楷體" w:eastAsia="標楷體" w:hAnsi="標楷體"/>
          <w:color w:val="000000"/>
        </w:rPr>
      </w:pPr>
      <w:r>
        <w:rPr>
          <w:rFonts w:ascii="標楷體" w:eastAsia="標楷體" w:hAnsi="標楷體"/>
          <w:color w:val="000000"/>
        </w:rPr>
        <w:t>9.72.CDK4/6抑制劑 (如ribociclib；palbociclib)：(108/10/1、108/12/1、109/4/1、109/10/1、110/5/1、110/10/1、113/1/1、113/3/1)</w:t>
      </w:r>
    </w:p>
    <w:p w14:paraId="4688F3D1" w14:textId="77777777" w:rsidR="00BD776B" w:rsidRDefault="00DF0C24">
      <w:pPr>
        <w:ind w:left="991" w:hanging="283"/>
      </w:pPr>
      <w:r>
        <w:rPr>
          <w:rFonts w:ascii="標楷體" w:eastAsia="標楷體" w:hAnsi="標楷體"/>
          <w:color w:val="000000"/>
        </w:rPr>
        <w:t>1.</w:t>
      </w:r>
      <w:r>
        <w:t xml:space="preserve"> </w:t>
      </w:r>
      <w:r>
        <w:rPr>
          <w:rFonts w:ascii="標楷體" w:eastAsia="標楷體" w:hAnsi="標楷體"/>
          <w:color w:val="000000"/>
        </w:rPr>
        <w:t>用於停經後乳癌婦女發生遠端轉移後之全身性藥物治療，須完全符合以下條件：(109/10/1、110/5/1、110/10/1、113/1/1)</w:t>
      </w:r>
    </w:p>
    <w:p w14:paraId="0EFE8294" w14:textId="77777777" w:rsidR="00BD776B" w:rsidRDefault="00DF0C24">
      <w:pPr>
        <w:ind w:left="1231" w:hanging="283"/>
      </w:pPr>
      <w:r>
        <w:rPr>
          <w:rFonts w:ascii="標楷體" w:eastAsia="標楷體" w:hAnsi="標楷體"/>
          <w:color w:val="000000"/>
        </w:rPr>
        <w:t>(1)荷爾蒙接受體為：ER或PR &gt;30%。</w:t>
      </w:r>
      <w:r>
        <w:rPr>
          <w:rFonts w:ascii="標楷體" w:eastAsia="標楷體" w:hAnsi="標楷體"/>
          <w:szCs w:val="24"/>
        </w:rPr>
        <w:t>（109/10/1、113/1/1)</w:t>
      </w:r>
    </w:p>
    <w:p w14:paraId="54E41F96" w14:textId="77777777" w:rsidR="00BD776B" w:rsidRDefault="00DF0C24">
      <w:pPr>
        <w:ind w:left="1231" w:hanging="283"/>
        <w:rPr>
          <w:rFonts w:ascii="標楷體" w:eastAsia="標楷體" w:hAnsi="標楷體"/>
          <w:color w:val="000000"/>
        </w:rPr>
      </w:pPr>
      <w:r>
        <w:rPr>
          <w:rFonts w:ascii="標楷體" w:eastAsia="標楷體" w:hAnsi="標楷體"/>
          <w:color w:val="000000"/>
        </w:rPr>
        <w:t>(2)HER-2 檢測為陰性。</w:t>
      </w:r>
    </w:p>
    <w:p w14:paraId="4E9CA3B2" w14:textId="77777777" w:rsidR="00BD776B" w:rsidRDefault="00DF0C24">
      <w:pPr>
        <w:ind w:left="1231" w:hanging="283"/>
        <w:rPr>
          <w:rFonts w:ascii="標楷體" w:eastAsia="標楷體" w:hAnsi="標楷體"/>
          <w:color w:val="000000"/>
        </w:rPr>
      </w:pPr>
      <w:r>
        <w:rPr>
          <w:rFonts w:ascii="標楷體" w:eastAsia="標楷體" w:hAnsi="標楷體"/>
          <w:color w:val="000000"/>
        </w:rPr>
        <w:t>(3)經完整疾病評估後未出現器官轉移危急症狀 (visceral crisis)且無中樞神經系統(CNS)轉移。（110/10/1）</w:t>
      </w:r>
    </w:p>
    <w:p w14:paraId="6A40B436" w14:textId="77777777" w:rsidR="00BD776B" w:rsidRDefault="00DF0C24">
      <w:pPr>
        <w:ind w:left="1231" w:hanging="283"/>
        <w:rPr>
          <w:rFonts w:ascii="標楷體" w:eastAsia="標楷體" w:hAnsi="標楷體"/>
          <w:color w:val="000000"/>
        </w:rPr>
      </w:pPr>
      <w:r>
        <w:rPr>
          <w:rFonts w:ascii="標楷體" w:eastAsia="標楷體" w:hAnsi="標楷體"/>
          <w:color w:val="000000"/>
        </w:rPr>
        <w:t>(4)骨轉移不可為唯一轉移部位。（110/10/1）</w:t>
      </w:r>
    </w:p>
    <w:p w14:paraId="4F4E5F92" w14:textId="77777777" w:rsidR="00BD776B" w:rsidRDefault="00DF0C24">
      <w:pPr>
        <w:ind w:left="1231" w:hanging="283"/>
        <w:rPr>
          <w:rFonts w:ascii="標楷體" w:eastAsia="標楷體" w:hAnsi="標楷體"/>
          <w:color w:val="000000"/>
        </w:rPr>
      </w:pPr>
      <w:r>
        <w:rPr>
          <w:rFonts w:ascii="標楷體" w:eastAsia="標楷體" w:hAnsi="標楷體"/>
          <w:color w:val="000000"/>
        </w:rPr>
        <w:t>(5)病患目前未接受卵巢功能抑制治療 (包含GnRH analogue等) 且滿足下列條件之一：（110/5/1）</w:t>
      </w:r>
    </w:p>
    <w:p w14:paraId="0CB549B8" w14:textId="77777777" w:rsidR="00BD776B" w:rsidRDefault="00DF0C24">
      <w:pPr>
        <w:ind w:left="1517" w:hanging="283"/>
        <w:rPr>
          <w:rFonts w:ascii="標楷體" w:eastAsia="標楷體" w:hAnsi="標楷體"/>
          <w:color w:val="000000"/>
        </w:rPr>
      </w:pPr>
      <w:r>
        <w:rPr>
          <w:rFonts w:ascii="標楷體" w:eastAsia="標楷體" w:hAnsi="標楷體"/>
          <w:color w:val="000000"/>
        </w:rPr>
        <w:t>Ⅰ.年齡滿55歲。</w:t>
      </w:r>
    </w:p>
    <w:p w14:paraId="21D9DDFB" w14:textId="77777777" w:rsidR="00BD776B" w:rsidRDefault="00DF0C24">
      <w:pPr>
        <w:ind w:left="1517" w:hanging="283"/>
        <w:rPr>
          <w:rFonts w:ascii="標楷體" w:eastAsia="標楷體" w:hAnsi="標楷體"/>
          <w:color w:val="000000"/>
        </w:rPr>
      </w:pPr>
      <w:r>
        <w:rPr>
          <w:rFonts w:ascii="標楷體" w:eastAsia="標楷體" w:hAnsi="標楷體"/>
          <w:color w:val="000000"/>
        </w:rPr>
        <w:t>Ⅱ.曾接受雙側卵巢切除術。</w:t>
      </w:r>
    </w:p>
    <w:p w14:paraId="3E259A42" w14:textId="77777777" w:rsidR="00BD776B" w:rsidRDefault="00DF0C24">
      <w:pPr>
        <w:ind w:left="1517" w:hanging="283"/>
        <w:rPr>
          <w:rFonts w:ascii="標楷體" w:eastAsia="標楷體" w:hAnsi="標楷體"/>
          <w:color w:val="000000"/>
        </w:rPr>
      </w:pPr>
      <w:r>
        <w:rPr>
          <w:rFonts w:ascii="標楷體" w:eastAsia="標楷體" w:hAnsi="標楷體"/>
          <w:color w:val="000000"/>
        </w:rPr>
        <w:t>Ⅲ.FSH及estradiol血液檢測值在停經後數值範圍內。</w:t>
      </w:r>
    </w:p>
    <w:p w14:paraId="439BB908" w14:textId="77777777" w:rsidR="00BD776B" w:rsidRDefault="00DF0C24">
      <w:pPr>
        <w:ind w:left="1000" w:hanging="280"/>
      </w:pPr>
      <w:r>
        <w:rPr>
          <w:rFonts w:ascii="標楷體" w:eastAsia="標楷體" w:hAnsi="標楷體"/>
          <w:color w:val="000000"/>
        </w:rPr>
        <w:t>2.</w:t>
      </w:r>
      <w:r>
        <w:rPr>
          <w:rFonts w:ascii="標楷體" w:eastAsia="標楷體" w:hAnsi="標楷體"/>
          <w:color w:val="000000"/>
          <w:szCs w:val="24"/>
        </w:rPr>
        <w:t>用於停經前/正在停經乳癌婦女發生遠端轉移後之全身性藥物治療，須與芳香環轉化酶抑制劑及GnRH analogue併用。（</w:t>
      </w:r>
      <w:r>
        <w:rPr>
          <w:rFonts w:ascii="標楷體" w:eastAsia="標楷體" w:hAnsi="標楷體"/>
          <w:szCs w:val="24"/>
        </w:rPr>
        <w:t>113/1/1</w:t>
      </w:r>
      <w:r>
        <w:rPr>
          <w:rFonts w:ascii="標楷體" w:eastAsia="標楷體" w:hAnsi="標楷體"/>
          <w:color w:val="000000"/>
          <w:szCs w:val="24"/>
        </w:rPr>
        <w:t>）</w:t>
      </w:r>
    </w:p>
    <w:p w14:paraId="481646B1" w14:textId="77777777" w:rsidR="00BD776B" w:rsidRDefault="00DF0C24">
      <w:pPr>
        <w:ind w:left="1388" w:hanging="426"/>
        <w:rPr>
          <w:rFonts w:ascii="標楷體" w:eastAsia="標楷體" w:hAnsi="標楷體"/>
          <w:color w:val="000000"/>
          <w:szCs w:val="24"/>
        </w:rPr>
      </w:pPr>
      <w:r>
        <w:rPr>
          <w:rFonts w:ascii="標楷體" w:eastAsia="標楷體" w:hAnsi="標楷體"/>
          <w:color w:val="000000"/>
          <w:szCs w:val="24"/>
        </w:rPr>
        <w:t>(1)荷爾蒙接受體為：ER或PR &gt;30%。</w:t>
      </w:r>
    </w:p>
    <w:p w14:paraId="19A2C587" w14:textId="77777777" w:rsidR="00BD776B" w:rsidRDefault="00DF0C24">
      <w:pPr>
        <w:ind w:left="1388" w:hanging="426"/>
        <w:rPr>
          <w:rFonts w:ascii="標楷體" w:eastAsia="標楷體" w:hAnsi="標楷體"/>
          <w:color w:val="000000"/>
          <w:szCs w:val="24"/>
        </w:rPr>
      </w:pPr>
      <w:r>
        <w:rPr>
          <w:rFonts w:ascii="標楷體" w:eastAsia="標楷體" w:hAnsi="標楷體"/>
          <w:color w:val="000000"/>
          <w:szCs w:val="24"/>
        </w:rPr>
        <w:t>(2)HER-2 檢測為陰性。</w:t>
      </w:r>
    </w:p>
    <w:p w14:paraId="14807BA0" w14:textId="77777777" w:rsidR="00BD776B" w:rsidRDefault="00DF0C24">
      <w:pPr>
        <w:ind w:left="1388" w:hanging="426"/>
        <w:rPr>
          <w:rFonts w:ascii="標楷體" w:eastAsia="標楷體" w:hAnsi="標楷體"/>
          <w:color w:val="000000"/>
          <w:szCs w:val="24"/>
        </w:rPr>
      </w:pPr>
      <w:r>
        <w:rPr>
          <w:rFonts w:ascii="標楷體" w:eastAsia="標楷體" w:hAnsi="標楷體"/>
          <w:color w:val="000000"/>
          <w:szCs w:val="24"/>
        </w:rPr>
        <w:t>(3)經完整疾病評估後未出現器官轉移危急症狀 (visceral crisis)且無中樞神經系統(CNS)轉移。</w:t>
      </w:r>
    </w:p>
    <w:p w14:paraId="201369B7" w14:textId="77777777" w:rsidR="00BD776B" w:rsidRDefault="00DF0C24">
      <w:pPr>
        <w:ind w:left="1388" w:hanging="426"/>
        <w:rPr>
          <w:rFonts w:ascii="標楷體" w:eastAsia="標楷體" w:hAnsi="標楷體"/>
          <w:color w:val="000000"/>
          <w:szCs w:val="24"/>
        </w:rPr>
      </w:pPr>
      <w:r>
        <w:rPr>
          <w:rFonts w:ascii="標楷體" w:eastAsia="標楷體" w:hAnsi="標楷體"/>
          <w:color w:val="000000"/>
          <w:szCs w:val="24"/>
        </w:rPr>
        <w:t>(4)骨轉移不可為唯一轉移部位。</w:t>
      </w:r>
    </w:p>
    <w:p w14:paraId="23CB5AFD" w14:textId="77777777" w:rsidR="00BD776B" w:rsidRDefault="00DF0C24">
      <w:pPr>
        <w:ind w:left="991" w:hanging="283"/>
        <w:rPr>
          <w:rFonts w:ascii="標楷體" w:eastAsia="標楷體" w:hAnsi="標楷體"/>
          <w:color w:val="000000"/>
        </w:rPr>
      </w:pPr>
      <w:r>
        <w:rPr>
          <w:rFonts w:ascii="標楷體" w:eastAsia="標楷體" w:hAnsi="標楷體"/>
          <w:color w:val="000000"/>
        </w:rPr>
        <w:t>3.經事前審查核准後使用，核准後每24週須檢附療效評估資料再次申請，若疾病惡化即必須停止使用，且後續不得再申請使用本類藥品。（110/10/1）</w:t>
      </w:r>
    </w:p>
    <w:p w14:paraId="4B6E56A7" w14:textId="77777777" w:rsidR="00BD776B" w:rsidRDefault="00DF0C24">
      <w:pPr>
        <w:ind w:left="991" w:hanging="283"/>
        <w:rPr>
          <w:rFonts w:ascii="標楷體" w:eastAsia="標楷體" w:hAnsi="標楷體"/>
          <w:color w:val="000000"/>
        </w:rPr>
      </w:pPr>
      <w:r>
        <w:rPr>
          <w:rFonts w:ascii="標楷體" w:eastAsia="標楷體" w:hAnsi="標楷體"/>
          <w:color w:val="000000"/>
        </w:rPr>
        <w:t>4.使用限制：</w:t>
      </w:r>
    </w:p>
    <w:p w14:paraId="62FF2E17" w14:textId="77777777" w:rsidR="00BD776B" w:rsidRDefault="00DF0C24">
      <w:pPr>
        <w:ind w:left="1231" w:hanging="283"/>
        <w:rPr>
          <w:rFonts w:ascii="標楷體" w:eastAsia="標楷體" w:hAnsi="標楷體"/>
          <w:color w:val="000000"/>
        </w:rPr>
      </w:pPr>
      <w:r>
        <w:rPr>
          <w:rFonts w:ascii="標楷體" w:eastAsia="標楷體" w:hAnsi="標楷體"/>
          <w:color w:val="000000"/>
        </w:rPr>
        <w:t>(1)ribociclib每日最多處方3粒。</w:t>
      </w:r>
    </w:p>
    <w:p w14:paraId="729817FF" w14:textId="77777777" w:rsidR="00BD776B" w:rsidRDefault="00DF0C24">
      <w:pPr>
        <w:ind w:left="1231" w:hanging="283"/>
        <w:rPr>
          <w:rFonts w:ascii="標楷體" w:eastAsia="標楷體" w:hAnsi="標楷體"/>
          <w:color w:val="000000"/>
        </w:rPr>
      </w:pPr>
      <w:r>
        <w:rPr>
          <w:rFonts w:ascii="標楷體" w:eastAsia="標楷體" w:hAnsi="標楷體"/>
          <w:color w:val="000000"/>
        </w:rPr>
        <w:t>(2)palbociclib每日最多處方1粒。</w:t>
      </w:r>
    </w:p>
    <w:p w14:paraId="4FDD8434" w14:textId="77777777" w:rsidR="00BD776B" w:rsidRDefault="00DF0C24">
      <w:pPr>
        <w:ind w:left="1231" w:hanging="283"/>
        <w:rPr>
          <w:rFonts w:ascii="標楷體" w:eastAsia="標楷體" w:hAnsi="標楷體"/>
          <w:color w:val="000000"/>
        </w:rPr>
      </w:pPr>
      <w:r>
        <w:rPr>
          <w:rFonts w:ascii="標楷體" w:eastAsia="標楷體" w:hAnsi="標楷體"/>
          <w:color w:val="000000"/>
        </w:rPr>
        <w:t>(3)本類藥品僅得擇一使用，唯有在耐受不良時方可轉換使用，使用總療程合併計算，以每人終生給付24個月為上限。</w:t>
      </w:r>
    </w:p>
    <w:p w14:paraId="00258E65" w14:textId="77777777" w:rsidR="00BD776B" w:rsidRDefault="00DF0C24">
      <w:pPr>
        <w:ind w:left="991" w:hanging="283"/>
      </w:pPr>
      <w:r>
        <w:rPr>
          <w:rFonts w:ascii="標楷體" w:eastAsia="標楷體" w:hAnsi="標楷體"/>
          <w:color w:val="000000"/>
        </w:rPr>
        <w:t>5.110年9月30日以前已核定用藥之病人，得經事前審查核准後，使用至</w:t>
      </w:r>
      <w:r>
        <w:rPr>
          <w:rFonts w:ascii="標楷體" w:eastAsia="標楷體" w:hAnsi="標楷體"/>
          <w:szCs w:val="24"/>
        </w:rPr>
        <w:t>總療程(即終生24個月)或總療程期間疾病惡化</w:t>
      </w:r>
      <w:r>
        <w:rPr>
          <w:rFonts w:ascii="標楷體" w:eastAsia="標楷體" w:hAnsi="標楷體"/>
          <w:color w:val="000000"/>
        </w:rPr>
        <w:t>為止，且後續不得再申請使用本類藥品。（110/10/1、113/1/1）</w:t>
      </w:r>
    </w:p>
    <w:p w14:paraId="3BD46174" w14:textId="77777777" w:rsidR="00BD776B" w:rsidRDefault="00DF0C24">
      <w:pPr>
        <w:ind w:left="991" w:hanging="283"/>
        <w:rPr>
          <w:rFonts w:ascii="標楷體" w:eastAsia="標楷體" w:hAnsi="標楷體"/>
          <w:color w:val="000000"/>
        </w:rPr>
      </w:pPr>
      <w:r>
        <w:rPr>
          <w:rFonts w:ascii="標楷體" w:eastAsia="標楷體" w:hAnsi="標楷體"/>
          <w:color w:val="000000"/>
        </w:rPr>
        <w:t>6.若先前使用everolimus無效後，不得再申請本類藥品。(109/4/1)</w:t>
      </w:r>
    </w:p>
    <w:p w14:paraId="5DAB71C9" w14:textId="77777777" w:rsidR="00BD776B" w:rsidRDefault="00DF0C24">
      <w:pPr>
        <w:ind w:left="991" w:hanging="283"/>
        <w:rPr>
          <w:rFonts w:ascii="標楷體" w:eastAsia="標楷體" w:hAnsi="標楷體"/>
          <w:color w:val="000000"/>
        </w:rPr>
      </w:pPr>
      <w:r>
        <w:rPr>
          <w:rFonts w:ascii="標楷體" w:eastAsia="標楷體" w:hAnsi="標楷體"/>
          <w:color w:val="000000"/>
        </w:rPr>
        <w:t>7.若先前於早期乳癌使用abemaciclib無效後，不得再申請本類藥品。(113/3/1)</w:t>
      </w:r>
    </w:p>
    <w:p w14:paraId="153921A9" w14:textId="77777777" w:rsidR="00BD776B" w:rsidRDefault="00DF0C24">
      <w:pPr>
        <w:ind w:left="708" w:hanging="425"/>
        <w:rPr>
          <w:rFonts w:ascii="標楷體" w:eastAsia="標楷體" w:hAnsi="標楷體"/>
          <w:color w:val="000000"/>
        </w:rPr>
      </w:pPr>
      <w:r>
        <w:rPr>
          <w:rFonts w:ascii="標楷體" w:eastAsia="標楷體" w:hAnsi="標楷體"/>
          <w:color w:val="000000"/>
        </w:rPr>
        <w:t>9.73.Inotuzumab ozogamicin (如Besponsa)：(108/11/1、112/12/1)</w:t>
      </w:r>
    </w:p>
    <w:p w14:paraId="4BCD0A9D" w14:textId="77777777" w:rsidR="00BD776B" w:rsidRDefault="00DF0C24">
      <w:pPr>
        <w:ind w:left="960" w:hanging="240"/>
        <w:rPr>
          <w:rFonts w:ascii="標楷體" w:eastAsia="標楷體" w:hAnsi="標楷體"/>
          <w:color w:val="000000"/>
        </w:rPr>
      </w:pPr>
      <w:r>
        <w:rPr>
          <w:rFonts w:ascii="標楷體" w:eastAsia="標楷體" w:hAnsi="標楷體"/>
          <w:color w:val="000000"/>
        </w:rPr>
        <w:t>1.適用於治療患有復發型或頑固型且CD22為陽性之B細胞前驅因子之急性淋巴芽細胞白血病(B-ALL)，且計畫進行造血幹細胞移植之成人病患。</w:t>
      </w:r>
    </w:p>
    <w:p w14:paraId="141D080C" w14:textId="77777777" w:rsidR="00BD776B" w:rsidRDefault="00DF0C24">
      <w:pPr>
        <w:ind w:left="960" w:hanging="240"/>
        <w:rPr>
          <w:rFonts w:ascii="標楷體" w:eastAsia="標楷體" w:hAnsi="標楷體"/>
          <w:color w:val="000000"/>
        </w:rPr>
      </w:pPr>
      <w:r>
        <w:rPr>
          <w:rFonts w:ascii="標楷體" w:eastAsia="標楷體" w:hAnsi="標楷體"/>
          <w:color w:val="000000"/>
        </w:rPr>
        <w:t>2.上述成人病患如具費城染色體陽性(Ph+)，應至少使用過兩種酪胺酸激酶抑制劑(TKI)藥物治療無效。</w:t>
      </w:r>
    </w:p>
    <w:p w14:paraId="38CA7420" w14:textId="77777777" w:rsidR="00BD776B" w:rsidRDefault="00DF0C24">
      <w:pPr>
        <w:ind w:left="960" w:hanging="240"/>
        <w:rPr>
          <w:rFonts w:ascii="標楷體" w:eastAsia="標楷體" w:hAnsi="標楷體"/>
          <w:color w:val="000000"/>
        </w:rPr>
      </w:pPr>
      <w:r>
        <w:rPr>
          <w:rFonts w:ascii="標楷體" w:eastAsia="標楷體" w:hAnsi="標楷體"/>
          <w:color w:val="000000"/>
        </w:rPr>
        <w:t>3.每位病人限給付2療程，需事前審查核准後使用。申請時需檢附完整之造血幹細胞移植計畫，並詳細記載確認移植之執行醫院及移植前調適治療等資料。</w:t>
      </w:r>
    </w:p>
    <w:p w14:paraId="49D5B934" w14:textId="77777777" w:rsidR="00BD776B" w:rsidRDefault="00DF0C24">
      <w:pPr>
        <w:ind w:left="960" w:hanging="240"/>
        <w:rPr>
          <w:rFonts w:ascii="標楷體" w:eastAsia="標楷體" w:hAnsi="標楷體"/>
          <w:color w:val="000000"/>
        </w:rPr>
      </w:pPr>
      <w:r>
        <w:rPr>
          <w:rFonts w:ascii="標楷體" w:eastAsia="標楷體" w:hAnsi="標楷體"/>
          <w:color w:val="000000"/>
        </w:rPr>
        <w:lastRenderedPageBreak/>
        <w:t>4.不得與blinatumomab（如Blincyto）或酪胺酸激酶抑制劑(TKI)（如imatinib、dasatinib、ponatinib）等併用。</w:t>
      </w:r>
    </w:p>
    <w:p w14:paraId="272EE7F8" w14:textId="77777777" w:rsidR="00BD776B" w:rsidRDefault="00DF0C24">
      <w:pPr>
        <w:ind w:left="960" w:hanging="240"/>
      </w:pPr>
      <w:r>
        <w:rPr>
          <w:rFonts w:ascii="標楷體" w:eastAsia="標楷體" w:hAnsi="標楷體"/>
          <w:color w:val="000000"/>
        </w:rPr>
        <w:t>5.</w:t>
      </w:r>
      <w:r>
        <w:rPr>
          <w:rFonts w:ascii="標楷體" w:eastAsia="標楷體" w:hAnsi="標楷體"/>
          <w:szCs w:val="24"/>
        </w:rPr>
        <w:t>病人若已依達完全緩解但仍有殘餘疾病(MRD)之條件取得 blinatumomab 給付同意並接受治療後</w:t>
      </w:r>
      <w:r>
        <w:rPr>
          <w:rFonts w:ascii="新細明體" w:hAnsi="新細明體"/>
          <w:szCs w:val="24"/>
        </w:rPr>
        <w:t>，</w:t>
      </w:r>
      <w:r>
        <w:rPr>
          <w:rFonts w:ascii="標楷體" w:eastAsia="標楷體" w:hAnsi="標楷體"/>
          <w:szCs w:val="24"/>
        </w:rPr>
        <w:t>MRD若未消失但疾病仍在完全緩解時</w:t>
      </w:r>
      <w:r>
        <w:rPr>
          <w:rFonts w:ascii="新細明體" w:hAnsi="新細明體"/>
          <w:szCs w:val="24"/>
        </w:rPr>
        <w:t>，</w:t>
      </w:r>
      <w:r>
        <w:rPr>
          <w:rFonts w:ascii="標楷體" w:eastAsia="標楷體" w:hAnsi="標楷體"/>
          <w:szCs w:val="24"/>
        </w:rPr>
        <w:t>不得申請給付inotuzumab ozogamicin。（112</w:t>
      </w:r>
      <w:r>
        <w:rPr>
          <w:rFonts w:ascii="標楷體" w:eastAsia="標楷體" w:hAnsi="標楷體"/>
          <w:bCs/>
          <w:szCs w:val="24"/>
        </w:rPr>
        <w:t>/12/1）</w:t>
      </w:r>
    </w:p>
    <w:p w14:paraId="4D85D408" w14:textId="77777777" w:rsidR="00BD776B" w:rsidRDefault="00DF0C24">
      <w:pPr>
        <w:ind w:left="284"/>
        <w:rPr>
          <w:rFonts w:ascii="標楷體" w:eastAsia="標楷體" w:hAnsi="標楷體"/>
          <w:color w:val="000000"/>
        </w:rPr>
      </w:pPr>
      <w:r>
        <w:rPr>
          <w:rFonts w:ascii="標楷體" w:eastAsia="標楷體" w:hAnsi="標楷體"/>
          <w:color w:val="000000"/>
        </w:rPr>
        <w:t>9.74.Cabozantinib (如Cabometyx)： (108/12/1、110/12/1)</w:t>
      </w:r>
    </w:p>
    <w:p w14:paraId="222426ED" w14:textId="77777777" w:rsidR="00BD776B" w:rsidRDefault="00DF0C24">
      <w:pPr>
        <w:ind w:left="708"/>
        <w:rPr>
          <w:rFonts w:ascii="標楷體" w:eastAsia="標楷體" w:hAnsi="標楷體"/>
          <w:color w:val="000000"/>
        </w:rPr>
      </w:pPr>
      <w:r>
        <w:rPr>
          <w:rFonts w:ascii="標楷體" w:eastAsia="標楷體" w:hAnsi="標楷體"/>
          <w:color w:val="000000"/>
        </w:rPr>
        <w:t>1.適用於未曾接受過治療的中度/重度風險晚期腎細胞癌病人。（110/12/1）</w:t>
      </w:r>
    </w:p>
    <w:p w14:paraId="5FF61AC7" w14:textId="77777777" w:rsidR="00BD776B" w:rsidRDefault="00DF0C24">
      <w:pPr>
        <w:ind w:left="1356" w:hanging="365"/>
        <w:rPr>
          <w:rFonts w:ascii="標楷體" w:eastAsia="標楷體" w:hAnsi="標楷體"/>
          <w:color w:val="000000"/>
        </w:rPr>
      </w:pPr>
      <w:r>
        <w:rPr>
          <w:rFonts w:ascii="標楷體" w:eastAsia="標楷體" w:hAnsi="標楷體"/>
          <w:color w:val="000000"/>
        </w:rPr>
        <w:t>(1)無效後則不給付temsirolimus。</w:t>
      </w:r>
    </w:p>
    <w:p w14:paraId="7F6E2579" w14:textId="77777777" w:rsidR="00BD776B" w:rsidRDefault="00DF0C24">
      <w:pPr>
        <w:ind w:left="1356" w:hanging="365"/>
        <w:rPr>
          <w:rFonts w:ascii="標楷體" w:eastAsia="標楷體" w:hAnsi="標楷體"/>
          <w:color w:val="000000"/>
        </w:rPr>
      </w:pPr>
      <w:r>
        <w:rPr>
          <w:rFonts w:ascii="標楷體" w:eastAsia="標楷體" w:hAnsi="標楷體"/>
          <w:color w:val="000000"/>
        </w:rPr>
        <w:t>(2)病人若對藥物產生耐受性不佳（intolerance），則以原來藥物減量為原則，若嚴重耐受性不佳，可以換其他TKI。</w:t>
      </w:r>
    </w:p>
    <w:p w14:paraId="3FA0835A" w14:textId="77777777" w:rsidR="00BD776B" w:rsidRDefault="00DF0C24">
      <w:pPr>
        <w:ind w:left="992" w:hanging="274"/>
        <w:rPr>
          <w:rFonts w:ascii="標楷體" w:eastAsia="標楷體" w:hAnsi="標楷體"/>
          <w:color w:val="000000"/>
        </w:rPr>
      </w:pPr>
      <w:r>
        <w:rPr>
          <w:rFonts w:ascii="標楷體" w:eastAsia="標楷體" w:hAnsi="標楷體"/>
          <w:color w:val="000000"/>
        </w:rPr>
        <w:t>2.適用於先前經抗血管新生療法 (anti-angiogenic therapy)治療無效的晚期腎細胞癌病人。</w:t>
      </w:r>
    </w:p>
    <w:p w14:paraId="0BDBD8DC" w14:textId="77777777" w:rsidR="00BD776B" w:rsidRDefault="00DF0C24">
      <w:pPr>
        <w:ind w:left="991" w:hanging="283"/>
        <w:rPr>
          <w:rFonts w:ascii="標楷體" w:eastAsia="標楷體" w:hAnsi="標楷體"/>
          <w:color w:val="000000"/>
        </w:rPr>
      </w:pPr>
      <w:r>
        <w:rPr>
          <w:rFonts w:ascii="標楷體" w:eastAsia="標楷體" w:hAnsi="標楷體"/>
          <w:color w:val="000000"/>
        </w:rPr>
        <w:t>3.須經事前審查核准後使用，每次申請療程以3個月為限，送審時需檢送影像資料，每3個月評估一次，無疾病惡化方可繼續使用。（110/12/1）</w:t>
      </w:r>
    </w:p>
    <w:p w14:paraId="0C1B1624" w14:textId="77777777" w:rsidR="00BD776B" w:rsidRDefault="00DF0C24">
      <w:pPr>
        <w:ind w:left="708"/>
        <w:rPr>
          <w:rFonts w:ascii="標楷體" w:eastAsia="標楷體" w:hAnsi="標楷體"/>
          <w:color w:val="000000"/>
        </w:rPr>
      </w:pPr>
      <w:r>
        <w:rPr>
          <w:rFonts w:ascii="標楷體" w:eastAsia="標楷體" w:hAnsi="標楷體"/>
          <w:color w:val="000000"/>
        </w:rPr>
        <w:t>4.病患於第一線使用本藥物後再復發或惡化時，不得再次申請使用。（110/12/1）</w:t>
      </w:r>
    </w:p>
    <w:p w14:paraId="062D089F" w14:textId="77777777" w:rsidR="00BD776B" w:rsidRDefault="00DF0C24">
      <w:pPr>
        <w:ind w:left="708"/>
        <w:rPr>
          <w:rFonts w:ascii="標楷體" w:eastAsia="標楷體" w:hAnsi="標楷體"/>
          <w:color w:val="000000"/>
        </w:rPr>
      </w:pPr>
      <w:r>
        <w:rPr>
          <w:rFonts w:ascii="標楷體" w:eastAsia="標楷體" w:hAnsi="標楷體"/>
          <w:color w:val="000000"/>
        </w:rPr>
        <w:t>5.每日限用1粒。</w:t>
      </w:r>
    </w:p>
    <w:p w14:paraId="08B06F51" w14:textId="77777777" w:rsidR="00BD776B" w:rsidRDefault="00DF0C24">
      <w:pPr>
        <w:ind w:left="283"/>
        <w:rPr>
          <w:rFonts w:ascii="標楷體" w:eastAsia="標楷體" w:hAnsi="標楷體"/>
          <w:color w:val="000000"/>
        </w:rPr>
      </w:pPr>
      <w:r>
        <w:rPr>
          <w:rFonts w:ascii="標楷體" w:eastAsia="標楷體" w:hAnsi="標楷體"/>
          <w:color w:val="000000"/>
        </w:rPr>
        <w:t>9.75. Carfilzomib (如Kyprolis)：(109/2/1、112/4/1、113/4/1)</w:t>
      </w:r>
    </w:p>
    <w:p w14:paraId="73AB28B3" w14:textId="77777777" w:rsidR="00BD776B" w:rsidRDefault="00DF0C24">
      <w:pPr>
        <w:ind w:left="991" w:hanging="283"/>
      </w:pPr>
      <w:r>
        <w:rPr>
          <w:rFonts w:ascii="標楷體" w:eastAsia="標楷體" w:hAnsi="標楷體"/>
          <w:color w:val="000000"/>
        </w:rPr>
        <w:t xml:space="preserve">1.與dexamethasone合併使用於先前曾接受含bortezomib及lenalidomide兩種治療後無法耐受或惡化之病患，且須具有良好日常體能狀態(ECOG &lt; 2)及足夠腎功能(CrCl </w:t>
      </w:r>
      <w:r>
        <w:rPr>
          <w:rFonts w:ascii="Times New Roman" w:eastAsia="標楷體" w:hAnsi="Times New Roman"/>
          <w:sz w:val="28"/>
          <w:szCs w:val="28"/>
        </w:rPr>
        <w:t>≥</w:t>
      </w:r>
      <w:r>
        <w:rPr>
          <w:rFonts w:ascii="標楷體" w:eastAsia="標楷體" w:hAnsi="標楷體"/>
          <w:color w:val="000000"/>
        </w:rPr>
        <w:t>50 ml/minute)的多發性骨髓瘤成年患者。</w:t>
      </w:r>
    </w:p>
    <w:p w14:paraId="084556AA" w14:textId="77777777" w:rsidR="00BD776B" w:rsidRDefault="00DF0C24">
      <w:pPr>
        <w:ind w:left="991" w:hanging="283"/>
        <w:rPr>
          <w:rFonts w:ascii="標楷體" w:eastAsia="標楷體" w:hAnsi="標楷體"/>
          <w:color w:val="000000"/>
        </w:rPr>
      </w:pPr>
      <w:r>
        <w:rPr>
          <w:rFonts w:ascii="標楷體" w:eastAsia="標楷體" w:hAnsi="標楷體"/>
          <w:color w:val="000000"/>
        </w:rPr>
        <w:t>2.與isatuximab/dexamethasone併用，治療先前曾接受至少一種含bortezomib 或 lenalidomide 之療法治療失敗的多發性骨髓瘤成人患者，且須具有良好日常體能狀態 (ECOG &lt; 2) 者。（113/4/1）</w:t>
      </w:r>
    </w:p>
    <w:p w14:paraId="671A6024" w14:textId="77777777" w:rsidR="00BD776B" w:rsidRDefault="00DF0C24">
      <w:pPr>
        <w:ind w:left="708"/>
      </w:pPr>
      <w:r>
        <w:rPr>
          <w:rFonts w:ascii="標楷體" w:eastAsia="標楷體" w:hAnsi="標楷體"/>
          <w:color w:val="000000"/>
        </w:rPr>
        <w:t>3.</w:t>
      </w:r>
      <w:r>
        <w:t xml:space="preserve"> </w:t>
      </w:r>
      <w:r>
        <w:rPr>
          <w:rFonts w:ascii="標楷體" w:eastAsia="標楷體" w:hAnsi="標楷體"/>
          <w:color w:val="000000"/>
        </w:rPr>
        <w:t>需經事前審查核准後使用：（109/2/1、112/4/1）</w:t>
      </w:r>
    </w:p>
    <w:p w14:paraId="79E7419B" w14:textId="77777777" w:rsidR="00BD776B" w:rsidRDefault="00DF0C24">
      <w:pPr>
        <w:ind w:left="948"/>
        <w:rPr>
          <w:rFonts w:ascii="標楷體" w:eastAsia="標楷體" w:hAnsi="標楷體"/>
          <w:color w:val="000000"/>
        </w:rPr>
      </w:pPr>
      <w:r>
        <w:rPr>
          <w:rFonts w:ascii="標楷體" w:eastAsia="標楷體" w:hAnsi="標楷體"/>
          <w:color w:val="000000"/>
        </w:rPr>
        <w:t>(1)初次申請以4個療程(每療程為4週)為限，且需同時符合下列Ⅰ.與Ⅱ.的條件：（109/2/1、112/4/1）</w:t>
      </w:r>
    </w:p>
    <w:p w14:paraId="37CCD32A" w14:textId="77777777" w:rsidR="00BD776B" w:rsidRDefault="00DF0C24">
      <w:pPr>
        <w:ind w:left="1548" w:hanging="360"/>
        <w:rPr>
          <w:rFonts w:ascii="標楷體" w:eastAsia="標楷體" w:hAnsi="標楷體"/>
          <w:color w:val="000000"/>
        </w:rPr>
      </w:pPr>
      <w:r>
        <w:rPr>
          <w:rFonts w:ascii="標楷體" w:eastAsia="標楷體" w:hAnsi="標楷體"/>
          <w:color w:val="000000"/>
        </w:rPr>
        <w:t>Ⅰ.具有下列任一疾病惡化的指標： 病患開始治療前須在連續2次評估中均符合同一指標 (但若為plamacytoma 體積增加，或是新產生的bone lesion(s)或新plasmacytoma，則僅需1次評估)：（112/4/1）</w:t>
      </w:r>
    </w:p>
    <w:p w14:paraId="47CDD5D6" w14:textId="77777777" w:rsidR="00BD776B" w:rsidRDefault="00DF0C24">
      <w:pPr>
        <w:ind w:left="1788" w:hanging="360"/>
      </w:pPr>
      <w:r>
        <w:rPr>
          <w:rFonts w:ascii="新細明體" w:hAnsi="新細明體" w:cs="新細明體"/>
          <w:color w:val="000000"/>
        </w:rPr>
        <w:t>ⅰ</w:t>
      </w:r>
      <w:r>
        <w:rPr>
          <w:rFonts w:ascii="標楷體" w:eastAsia="標楷體" w:hAnsi="標楷體"/>
          <w:color w:val="000000"/>
        </w:rPr>
        <w:t>.若前一線治療中M component 最低值≧5 g/dL，血清M蛋白需增加≧1 g/dL；若前一線治療中M component最低值＜5 g/dL，血清M蛋白需增加≧0.5g/dL。</w:t>
      </w:r>
    </w:p>
    <w:p w14:paraId="3E915BF1" w14:textId="77777777" w:rsidR="00BD776B" w:rsidRDefault="00DF0C24">
      <w:pPr>
        <w:ind w:left="1788" w:hanging="360"/>
      </w:pPr>
      <w:r>
        <w:rPr>
          <w:rFonts w:ascii="新細明體" w:hAnsi="新細明體" w:cs="新細明體"/>
          <w:color w:val="000000"/>
        </w:rPr>
        <w:t>ⅱ</w:t>
      </w:r>
      <w:r>
        <w:rPr>
          <w:rFonts w:ascii="標楷體" w:eastAsia="標楷體" w:hAnsi="標楷體"/>
          <w:color w:val="000000"/>
        </w:rPr>
        <w:t>.Urine M-protein需增加≧0.2 gm/24Hr，且需較前一線治療中的最低值增加≧25%。</w:t>
      </w:r>
    </w:p>
    <w:p w14:paraId="69810749" w14:textId="77777777" w:rsidR="00BD776B" w:rsidRDefault="00DF0C24">
      <w:pPr>
        <w:ind w:left="1788" w:hanging="360"/>
        <w:rPr>
          <w:rFonts w:ascii="標楷體" w:eastAsia="標楷體" w:hAnsi="標楷體"/>
          <w:color w:val="000000"/>
        </w:rPr>
      </w:pPr>
      <w:r>
        <w:rPr>
          <w:rFonts w:ascii="標楷體" w:eastAsia="標楷體" w:hAnsi="標楷體"/>
          <w:color w:val="000000"/>
        </w:rPr>
        <w:t>iii.在non-secretary myeloma 病患，骨髓漿細胞 (plasma cells)之比例絕對值增加≧10%，且需較前一線治療中的最低值增加≧25%。</w:t>
      </w:r>
    </w:p>
    <w:p w14:paraId="16017A73" w14:textId="77777777" w:rsidR="00BD776B" w:rsidRDefault="00DF0C24">
      <w:pPr>
        <w:ind w:left="1788" w:hanging="360"/>
        <w:rPr>
          <w:rFonts w:ascii="標楷體" w:eastAsia="標楷體" w:hAnsi="標楷體"/>
          <w:color w:val="000000"/>
        </w:rPr>
      </w:pPr>
      <w:r>
        <w:rPr>
          <w:rFonts w:ascii="標楷體" w:eastAsia="標楷體" w:hAnsi="標楷體"/>
          <w:color w:val="000000"/>
        </w:rPr>
        <w:t>iv.新產生的bone lesion(s)或plasmacytoma；且須經病理切片證實。</w:t>
      </w:r>
    </w:p>
    <w:p w14:paraId="51C35C14" w14:textId="77777777" w:rsidR="00BD776B" w:rsidRDefault="00DF0C24">
      <w:pPr>
        <w:ind w:left="1788" w:hanging="360"/>
        <w:rPr>
          <w:rFonts w:ascii="標楷體" w:eastAsia="標楷體" w:hAnsi="標楷體"/>
          <w:color w:val="000000"/>
        </w:rPr>
      </w:pPr>
      <w:r>
        <w:rPr>
          <w:rFonts w:ascii="標楷體" w:eastAsia="標楷體" w:hAnsi="標楷體"/>
          <w:color w:val="000000"/>
        </w:rPr>
        <w:t>v. Plasmacytoma體積增加≧50%。</w:t>
      </w:r>
    </w:p>
    <w:p w14:paraId="4EB03DFC" w14:textId="77777777" w:rsidR="00BD776B" w:rsidRDefault="00DF0C24">
      <w:pPr>
        <w:ind w:left="1788" w:hanging="360"/>
        <w:rPr>
          <w:rFonts w:ascii="標楷體" w:eastAsia="標楷體" w:hAnsi="標楷體"/>
          <w:color w:val="000000"/>
        </w:rPr>
      </w:pPr>
      <w:r>
        <w:rPr>
          <w:rFonts w:ascii="標楷體" w:eastAsia="標楷體" w:hAnsi="標楷體"/>
          <w:color w:val="000000"/>
        </w:rPr>
        <w:t>vi.周邊血液中漿細胞比例≧20%或漿細胞絕對值≧2000 cells/μL。</w:t>
      </w:r>
    </w:p>
    <w:p w14:paraId="5A46DAC4" w14:textId="77777777" w:rsidR="00BD776B" w:rsidRDefault="00DF0C24">
      <w:pPr>
        <w:ind w:left="1188"/>
        <w:rPr>
          <w:rFonts w:ascii="標楷體" w:eastAsia="標楷體" w:hAnsi="標楷體"/>
          <w:color w:val="000000"/>
        </w:rPr>
      </w:pPr>
      <w:r>
        <w:rPr>
          <w:rFonts w:ascii="標楷體" w:eastAsia="標楷體" w:hAnsi="標楷體"/>
          <w:color w:val="000000"/>
        </w:rPr>
        <w:t>Ⅱ.出現下列任一臨床症狀：（112/4/1）</w:t>
      </w:r>
    </w:p>
    <w:p w14:paraId="6B437275" w14:textId="77777777" w:rsidR="00BD776B" w:rsidRDefault="00DF0C24">
      <w:pPr>
        <w:ind w:left="1788" w:hanging="360"/>
      </w:pPr>
      <w:r>
        <w:rPr>
          <w:rFonts w:ascii="新細明體" w:hAnsi="新細明體" w:cs="新細明體"/>
          <w:color w:val="000000"/>
        </w:rPr>
        <w:t>ⅰ</w:t>
      </w:r>
      <w:r>
        <w:rPr>
          <w:rFonts w:ascii="標楷體" w:eastAsia="標楷體" w:hAnsi="標楷體"/>
          <w:color w:val="000000"/>
        </w:rPr>
        <w:t>.新產生的bone lesion(s)或plasmacytoma；且須經病理切片證實。</w:t>
      </w:r>
    </w:p>
    <w:p w14:paraId="158AE9DE" w14:textId="77777777" w:rsidR="00BD776B" w:rsidRDefault="00DF0C24">
      <w:pPr>
        <w:ind w:left="1788" w:hanging="360"/>
      </w:pPr>
      <w:r>
        <w:rPr>
          <w:rFonts w:ascii="新細明體" w:hAnsi="新細明體" w:cs="新細明體"/>
          <w:color w:val="000000"/>
        </w:rPr>
        <w:t>ⅱ</w:t>
      </w:r>
      <w:r>
        <w:rPr>
          <w:rFonts w:ascii="標楷體" w:eastAsia="標楷體" w:hAnsi="標楷體"/>
          <w:color w:val="000000"/>
        </w:rPr>
        <w:t>.Plasmacytoma 體積增加≧50%。</w:t>
      </w:r>
    </w:p>
    <w:p w14:paraId="0D3AAAC4" w14:textId="77777777" w:rsidR="00BD776B" w:rsidRDefault="00DF0C24">
      <w:pPr>
        <w:ind w:left="1788" w:hanging="360"/>
        <w:rPr>
          <w:rFonts w:ascii="標楷體" w:eastAsia="標楷體" w:hAnsi="標楷體"/>
          <w:color w:val="000000"/>
        </w:rPr>
      </w:pPr>
      <w:r>
        <w:rPr>
          <w:rFonts w:ascii="標楷體" w:eastAsia="標楷體" w:hAnsi="標楷體"/>
          <w:color w:val="000000"/>
        </w:rPr>
        <w:t xml:space="preserve">iii.高血鈣(corrected serum calcium＞11.0 mg/dL 或 2.75 </w:t>
      </w:r>
      <w:r>
        <w:rPr>
          <w:rFonts w:ascii="標楷體" w:eastAsia="標楷體" w:hAnsi="標楷體"/>
          <w:color w:val="000000"/>
        </w:rPr>
        <w:lastRenderedPageBreak/>
        <w:t>mmol/L)。</w:t>
      </w:r>
    </w:p>
    <w:p w14:paraId="1EB5CEC3" w14:textId="77777777" w:rsidR="00BD776B" w:rsidRDefault="00DF0C24">
      <w:pPr>
        <w:ind w:left="1788" w:hanging="360"/>
        <w:rPr>
          <w:rFonts w:ascii="標楷體" w:eastAsia="標楷體" w:hAnsi="標楷體"/>
          <w:color w:val="000000"/>
        </w:rPr>
      </w:pPr>
      <w:r>
        <w:rPr>
          <w:rFonts w:ascii="標楷體" w:eastAsia="標楷體" w:hAnsi="標楷體"/>
          <w:color w:val="000000"/>
        </w:rPr>
        <w:t>iv.貧血(Hemoglobin 下降幅度≧ 2gm/dL且無其他原因可以解釋)。</w:t>
      </w:r>
    </w:p>
    <w:p w14:paraId="3FC9D31A" w14:textId="77777777" w:rsidR="00BD776B" w:rsidRDefault="00DF0C24">
      <w:pPr>
        <w:ind w:left="1788" w:hanging="360"/>
        <w:rPr>
          <w:rFonts w:ascii="標楷體" w:eastAsia="標楷體" w:hAnsi="標楷體"/>
          <w:color w:val="000000"/>
        </w:rPr>
      </w:pPr>
      <w:r>
        <w:rPr>
          <w:rFonts w:ascii="標楷體" w:eastAsia="標楷體" w:hAnsi="標楷體"/>
          <w:color w:val="000000"/>
        </w:rPr>
        <w:t>v.腎功能惡化(eGFR需下降幅度≧25%)，且無其他原因可以解釋。</w:t>
      </w:r>
    </w:p>
    <w:p w14:paraId="3CB45221" w14:textId="77777777" w:rsidR="00BD776B" w:rsidRDefault="00DF0C24">
      <w:pPr>
        <w:ind w:left="1788" w:hanging="360"/>
        <w:rPr>
          <w:rFonts w:ascii="標楷體" w:eastAsia="標楷體" w:hAnsi="標楷體"/>
          <w:color w:val="000000"/>
        </w:rPr>
      </w:pPr>
      <w:r>
        <w:rPr>
          <w:rFonts w:ascii="標楷體" w:eastAsia="標楷體" w:hAnsi="標楷體"/>
          <w:color w:val="000000"/>
        </w:rPr>
        <w:t>vi.出現其他end-organ dysfunctions。</w:t>
      </w:r>
    </w:p>
    <w:p w14:paraId="6CBF92FA" w14:textId="77777777" w:rsidR="00BD776B" w:rsidRDefault="00DF0C24">
      <w:pPr>
        <w:ind w:left="1428" w:hanging="480"/>
        <w:rPr>
          <w:rFonts w:ascii="標楷體" w:eastAsia="標楷體" w:hAnsi="標楷體"/>
          <w:color w:val="000000"/>
        </w:rPr>
      </w:pPr>
      <w:r>
        <w:rPr>
          <w:rFonts w:ascii="標楷體" w:eastAsia="標楷體" w:hAnsi="標楷體"/>
          <w:color w:val="000000"/>
        </w:rPr>
        <w:t>(2)再次申請時必須確定paraprotein (M-protein)未上升(即表示對藥物有反應或為穩定狀態);或對部分non-secretory type MM病人以骨髓檢查plasma cell為療效依據，證明為對藥物有反應或為穩定狀態，方可繼續使用。續用時的申請每次以3個療程為限。</w:t>
      </w:r>
    </w:p>
    <w:p w14:paraId="0C767C9B" w14:textId="77777777" w:rsidR="00BD776B" w:rsidRDefault="00DF0C24">
      <w:pPr>
        <w:ind w:left="948"/>
        <w:rPr>
          <w:rFonts w:ascii="標楷體" w:eastAsia="標楷體" w:hAnsi="標楷體"/>
          <w:color w:val="000000"/>
        </w:rPr>
      </w:pPr>
      <w:r>
        <w:rPr>
          <w:rFonts w:ascii="標楷體" w:eastAsia="標楷體" w:hAnsi="標楷體"/>
          <w:color w:val="000000"/>
        </w:rPr>
        <w:t xml:space="preserve">(3)每人終生以10個療程為上限。 （109/2/1、112/4/1） </w:t>
      </w:r>
    </w:p>
    <w:p w14:paraId="3896FC7C" w14:textId="77777777" w:rsidR="00BD776B" w:rsidRDefault="00DF0C24">
      <w:pPr>
        <w:ind w:left="991" w:hanging="283"/>
      </w:pPr>
      <w:r>
        <w:rPr>
          <w:rFonts w:ascii="標楷體" w:eastAsia="標楷體" w:hAnsi="標楷體"/>
          <w:color w:val="000000"/>
        </w:rPr>
        <w:t>4.</w:t>
      </w:r>
      <w:r>
        <w:t xml:space="preserve"> </w:t>
      </w:r>
      <w:r>
        <w:rPr>
          <w:rFonts w:ascii="標楷體" w:eastAsia="標楷體" w:hAnsi="標楷體"/>
          <w:color w:val="000000"/>
        </w:rPr>
        <w:t>不得與其他蛋白酶體抑制劑(proteasome inhibitor)或免疫調節劑(immunomodulatory drugs) 或daratumumab併用。（109/2/1、112/4/1、113/4/1）</w:t>
      </w:r>
    </w:p>
    <w:p w14:paraId="1360E10A" w14:textId="77777777" w:rsidR="00BD776B" w:rsidRDefault="00DF0C24">
      <w:pPr>
        <w:ind w:left="991" w:hanging="283"/>
      </w:pPr>
      <w:r>
        <w:rPr>
          <w:rFonts w:ascii="標楷體" w:eastAsia="標楷體" w:hAnsi="標楷體"/>
          <w:color w:val="000000"/>
        </w:rPr>
        <w:t>5.</w:t>
      </w:r>
      <w:r>
        <w:t xml:space="preserve"> </w:t>
      </w:r>
      <w:r>
        <w:rPr>
          <w:rFonts w:ascii="標楷體" w:eastAsia="標楷體" w:hAnsi="標楷體"/>
          <w:color w:val="000000"/>
        </w:rPr>
        <w:t>112年3月31日以前已核定用藥之病人，得經事前審查核准後，使用至總療程上限（即終生10個療程）或使用期間發生疾病惡化為止。（112/4/1）</w:t>
      </w:r>
    </w:p>
    <w:p w14:paraId="06A5F4C2" w14:textId="60C45AE3" w:rsidR="00BD776B" w:rsidRDefault="00DF0C24">
      <w:pPr>
        <w:ind w:left="283"/>
        <w:rPr>
          <w:rFonts w:ascii="標楷體" w:eastAsia="標楷體" w:hAnsi="標楷體"/>
          <w:color w:val="000000"/>
        </w:rPr>
      </w:pPr>
      <w:r>
        <w:rPr>
          <w:rFonts w:ascii="標楷體" w:eastAsia="標楷體" w:hAnsi="標楷體"/>
          <w:color w:val="000000"/>
        </w:rPr>
        <w:t>9.76.Midostaurin (如Rydapt)：(109/2/1</w:t>
      </w:r>
      <w:r w:rsidR="00C04B20">
        <w:rPr>
          <w:rFonts w:ascii="標楷體" w:eastAsia="標楷體" w:hAnsi="標楷體" w:hint="eastAsia"/>
          <w:color w:val="000000"/>
        </w:rPr>
        <w:t>、113/6/1</w:t>
      </w:r>
      <w:r>
        <w:rPr>
          <w:rFonts w:ascii="標楷體" w:eastAsia="標楷體" w:hAnsi="標楷體"/>
          <w:color w:val="000000"/>
        </w:rPr>
        <w:t>)</w:t>
      </w:r>
    </w:p>
    <w:p w14:paraId="27AB6BD4" w14:textId="77777777" w:rsidR="00BD776B" w:rsidRDefault="00DF0C24">
      <w:pPr>
        <w:ind w:left="991" w:hanging="283"/>
        <w:rPr>
          <w:rFonts w:ascii="標楷體" w:eastAsia="標楷體" w:hAnsi="標楷體"/>
          <w:color w:val="000000"/>
        </w:rPr>
      </w:pPr>
      <w:r>
        <w:rPr>
          <w:rFonts w:ascii="標楷體" w:eastAsia="標楷體" w:hAnsi="標楷體"/>
          <w:color w:val="000000"/>
        </w:rPr>
        <w:t xml:space="preserve">1.限用於新確診為FLT3突變陽性的急性骨髓性白血病(AML)成人病患之標準前導與鞏固性化療時合併使用。 </w:t>
      </w:r>
    </w:p>
    <w:p w14:paraId="76546414" w14:textId="77777777" w:rsidR="00BD776B" w:rsidRDefault="00DF0C24">
      <w:pPr>
        <w:ind w:left="991" w:hanging="283"/>
        <w:rPr>
          <w:rFonts w:ascii="標楷體" w:eastAsia="標楷體" w:hAnsi="標楷體"/>
          <w:color w:val="000000"/>
        </w:rPr>
      </w:pPr>
      <w:r>
        <w:rPr>
          <w:rFonts w:ascii="標楷體" w:eastAsia="標楷體" w:hAnsi="標楷體"/>
          <w:color w:val="000000"/>
        </w:rPr>
        <w:t>2.需排除急性前骨髓性細胞白血病（acute promyelocytic leukemia，APL）的患者。</w:t>
      </w:r>
    </w:p>
    <w:p w14:paraId="1E9038B9" w14:textId="77777777" w:rsidR="00BD776B" w:rsidRDefault="00DF0C24">
      <w:pPr>
        <w:ind w:left="991" w:hanging="283"/>
        <w:rPr>
          <w:rFonts w:ascii="標楷體" w:eastAsia="標楷體" w:hAnsi="標楷體"/>
          <w:color w:val="000000"/>
        </w:rPr>
      </w:pPr>
      <w:r>
        <w:rPr>
          <w:rFonts w:ascii="標楷體" w:eastAsia="標楷體" w:hAnsi="標楷體"/>
          <w:color w:val="000000"/>
        </w:rPr>
        <w:t>3.首次用於標準前導期，可免事前審查，以2個療程為限，若2個療程後仍未達完全緩解之病患即不得再使用。</w:t>
      </w:r>
    </w:p>
    <w:p w14:paraId="1DDCC296" w14:textId="6FF76F50" w:rsidR="00BD776B" w:rsidRDefault="00DF0C24">
      <w:pPr>
        <w:ind w:left="991" w:hanging="283"/>
        <w:rPr>
          <w:rFonts w:ascii="標楷體" w:eastAsia="標楷體" w:hAnsi="標楷體"/>
          <w:color w:val="000000"/>
        </w:rPr>
      </w:pPr>
      <w:r>
        <w:rPr>
          <w:rFonts w:ascii="標楷體" w:eastAsia="標楷體" w:hAnsi="標楷體"/>
          <w:color w:val="000000"/>
        </w:rPr>
        <w:t>4.</w:t>
      </w:r>
      <w:r w:rsidR="00DA4B3A" w:rsidRPr="00DA4B3A">
        <w:rPr>
          <w:rFonts w:ascii="標楷體" w:eastAsia="標楷體" w:hAnsi="標楷體" w:hint="eastAsia"/>
          <w:color w:val="000000"/>
        </w:rPr>
        <w:t>續用時需經事前審查核准後使用，申請時須檢附FLT3突變陽性檢測結果報告，且需符合全民健康保險藥品給付規定之通則十二，及日期、化學治療處方紀錄及療效評估，每次續用申請以2個療程為限，並需檢附前次治療結果評估資料證實無疾病進展，才可繼續使用。每人以總共給付6個療程為上限。(113/6/1)</w:t>
      </w:r>
    </w:p>
    <w:p w14:paraId="3921C2DE" w14:textId="77777777" w:rsidR="00BD776B" w:rsidRDefault="00DF0C24">
      <w:pPr>
        <w:ind w:left="991" w:hanging="283"/>
        <w:rPr>
          <w:rFonts w:ascii="標楷體" w:eastAsia="標楷體" w:hAnsi="標楷體"/>
          <w:color w:val="000000"/>
        </w:rPr>
      </w:pPr>
      <w:r>
        <w:rPr>
          <w:rFonts w:ascii="標楷體" w:eastAsia="標楷體" w:hAnsi="標楷體"/>
          <w:color w:val="000000"/>
        </w:rPr>
        <w:t>5.若病患接受造血幹細胞移植後則將不再給付本藥品。</w:t>
      </w:r>
    </w:p>
    <w:p w14:paraId="5F3D9856" w14:textId="77777777" w:rsidR="00BD776B" w:rsidRDefault="00DF0C24">
      <w:pPr>
        <w:ind w:left="283"/>
        <w:rPr>
          <w:rFonts w:ascii="標楷體" w:eastAsia="標楷體" w:hAnsi="標楷體"/>
          <w:color w:val="000000"/>
        </w:rPr>
      </w:pPr>
      <w:r>
        <w:rPr>
          <w:rFonts w:ascii="標楷體" w:eastAsia="標楷體" w:hAnsi="標楷體"/>
          <w:color w:val="000000"/>
        </w:rPr>
        <w:t>9.77. Ixazomib (如Ninlaro)：(109/3/1、112/4/1)</w:t>
      </w:r>
    </w:p>
    <w:p w14:paraId="590A0557" w14:textId="77777777" w:rsidR="00BD776B" w:rsidRDefault="00DF0C24">
      <w:pPr>
        <w:ind w:left="991" w:hanging="283"/>
        <w:rPr>
          <w:rFonts w:ascii="標楷體" w:eastAsia="標楷體" w:hAnsi="標楷體"/>
          <w:color w:val="000000"/>
        </w:rPr>
      </w:pPr>
      <w:r>
        <w:rPr>
          <w:rFonts w:ascii="標楷體" w:eastAsia="標楷體" w:hAnsi="標楷體"/>
          <w:color w:val="000000"/>
        </w:rPr>
        <w:t>1.與lenalidomide及dexamethasone合併使用於先前已接受至少一種治療失敗之多發性骨髓瘤病患，並符合下列條件之一：</w:t>
      </w:r>
    </w:p>
    <w:p w14:paraId="707BBC3C" w14:textId="77777777" w:rsidR="00BD776B" w:rsidRDefault="00DF0C24">
      <w:pPr>
        <w:ind w:left="1231" w:hanging="283"/>
        <w:rPr>
          <w:rFonts w:ascii="標楷體" w:eastAsia="標楷體" w:hAnsi="標楷體"/>
          <w:color w:val="000000"/>
        </w:rPr>
      </w:pPr>
      <w:r>
        <w:rPr>
          <w:rFonts w:ascii="標楷體" w:eastAsia="標楷體" w:hAnsi="標楷體"/>
          <w:color w:val="000000"/>
        </w:rPr>
        <w:t>(1)體能不適合(unfit)化療標靶注射治療者。</w:t>
      </w:r>
    </w:p>
    <w:p w14:paraId="55F13DA3" w14:textId="77777777" w:rsidR="00BD776B" w:rsidRDefault="00DF0C24">
      <w:pPr>
        <w:ind w:left="1231" w:hanging="283"/>
      </w:pPr>
      <w:r>
        <w:rPr>
          <w:rFonts w:ascii="標楷體" w:eastAsia="標楷體" w:hAnsi="標楷體"/>
          <w:color w:val="000000"/>
        </w:rPr>
        <w:t>(2)</w:t>
      </w:r>
      <w:r>
        <w:t xml:space="preserve"> </w:t>
      </w:r>
      <w:r>
        <w:rPr>
          <w:rFonts w:ascii="標楷體" w:eastAsia="標楷體" w:hAnsi="標楷體"/>
          <w:color w:val="000000"/>
        </w:rPr>
        <w:t>曾接受bortezomib治療失敗，但有嚴重心血管共病無法接受carfizomib 治療之病患。（109/3/1、112/4/1）</w:t>
      </w:r>
    </w:p>
    <w:p w14:paraId="22D6692A" w14:textId="77777777" w:rsidR="00BD776B" w:rsidRDefault="00DF0C24">
      <w:pPr>
        <w:ind w:left="991" w:hanging="283"/>
        <w:rPr>
          <w:rFonts w:ascii="標楷體" w:eastAsia="標楷體" w:hAnsi="標楷體"/>
          <w:color w:val="000000"/>
        </w:rPr>
      </w:pPr>
      <w:r>
        <w:rPr>
          <w:rFonts w:ascii="標楷體" w:eastAsia="標楷體" w:hAnsi="標楷體"/>
          <w:color w:val="000000"/>
        </w:rPr>
        <w:t>2.前述病患若於第二線治療使用，則需為具高風險細胞遺傳異常的病人群 (包括具del（17p）、t（4；14）、t(14；16)及1q21 amplification等染色體變化者)；若為第三線以上治療使用，則不需為具高風險遺傳異常者。</w:t>
      </w:r>
    </w:p>
    <w:p w14:paraId="168D26A9" w14:textId="77777777" w:rsidR="00BD776B" w:rsidRDefault="00DF0C24">
      <w:pPr>
        <w:ind w:left="991" w:hanging="283"/>
      </w:pPr>
      <w:r>
        <w:rPr>
          <w:rFonts w:ascii="標楷體" w:eastAsia="標楷體" w:hAnsi="標楷體"/>
          <w:color w:val="000000"/>
        </w:rPr>
        <w:t>3.</w:t>
      </w:r>
      <w:r>
        <w:t xml:space="preserve"> </w:t>
      </w:r>
      <w:r>
        <w:rPr>
          <w:rFonts w:ascii="標楷體" w:eastAsia="標楷體" w:hAnsi="標楷體"/>
          <w:color w:val="000000"/>
        </w:rPr>
        <w:t>需經事前審查核准後使用：（109/3/1、112/4/1）</w:t>
      </w:r>
    </w:p>
    <w:p w14:paraId="4010CFED" w14:textId="77777777" w:rsidR="00BD776B" w:rsidRDefault="00DF0C24">
      <w:pPr>
        <w:ind w:left="1231" w:hanging="283"/>
      </w:pPr>
      <w:r>
        <w:rPr>
          <w:rFonts w:ascii="標楷體" w:eastAsia="標楷體" w:hAnsi="標楷體"/>
          <w:color w:val="000000"/>
        </w:rPr>
        <w:t>(1)</w:t>
      </w:r>
      <w:r>
        <w:t xml:space="preserve"> </w:t>
      </w:r>
      <w:r>
        <w:rPr>
          <w:rFonts w:ascii="標楷體" w:eastAsia="標楷體" w:hAnsi="標楷體"/>
          <w:color w:val="000000"/>
        </w:rPr>
        <w:t>初次申請以4個療程為限，且需同時符合下列Ⅰ.與Ⅱ.的條件：（109/3/1、112/4/1）</w:t>
      </w:r>
    </w:p>
    <w:p w14:paraId="60058938" w14:textId="77777777" w:rsidR="00BD776B" w:rsidRDefault="00DF0C24">
      <w:pPr>
        <w:ind w:left="1231" w:hanging="283"/>
        <w:rPr>
          <w:rFonts w:ascii="標楷體" w:eastAsia="標楷體" w:hAnsi="標楷體"/>
          <w:color w:val="000000"/>
        </w:rPr>
      </w:pPr>
      <w:r>
        <w:rPr>
          <w:rFonts w:ascii="標楷體" w:eastAsia="標楷體" w:hAnsi="標楷體"/>
          <w:color w:val="000000"/>
        </w:rPr>
        <w:t>Ⅰ.具有下列任一疾病惡化的指標： 病患開始治療前須在連續2次評估中均符合同一指標 (但若為plamacytoma 體積增加，或是新產生的bone lesion(s)或新plasmacytoma，則僅需1次評估)：（112/4/1）</w:t>
      </w:r>
    </w:p>
    <w:p w14:paraId="4F6E062E" w14:textId="77777777" w:rsidR="00BD776B" w:rsidRDefault="00DF0C24">
      <w:pPr>
        <w:ind w:left="1231" w:hanging="283"/>
      </w:pPr>
      <w:r>
        <w:rPr>
          <w:rFonts w:ascii="新細明體" w:hAnsi="新細明體" w:cs="新細明體"/>
          <w:color w:val="000000"/>
        </w:rPr>
        <w:t>ⅰ</w:t>
      </w:r>
      <w:r>
        <w:rPr>
          <w:rFonts w:ascii="標楷體" w:eastAsia="標楷體" w:hAnsi="標楷體"/>
          <w:color w:val="000000"/>
        </w:rPr>
        <w:t>.若前一線治療中M component 最低值≧5 g/dL，血清M蛋白需增加≧1 g/dL；若前一線治療中M component最低值＜5 g/dL，血清M蛋白需增加</w:t>
      </w:r>
      <w:r>
        <w:rPr>
          <w:rFonts w:ascii="標楷體" w:eastAsia="標楷體" w:hAnsi="標楷體"/>
          <w:color w:val="000000"/>
        </w:rPr>
        <w:lastRenderedPageBreak/>
        <w:t>≧0.5g/dL。</w:t>
      </w:r>
    </w:p>
    <w:p w14:paraId="4AEFEE93" w14:textId="77777777" w:rsidR="00BD776B" w:rsidRDefault="00DF0C24">
      <w:pPr>
        <w:ind w:left="1231" w:hanging="283"/>
      </w:pPr>
      <w:r>
        <w:rPr>
          <w:rFonts w:ascii="新細明體" w:hAnsi="新細明體" w:cs="新細明體"/>
          <w:color w:val="000000"/>
        </w:rPr>
        <w:t>ⅱ</w:t>
      </w:r>
      <w:r>
        <w:rPr>
          <w:rFonts w:ascii="標楷體" w:eastAsia="標楷體" w:hAnsi="標楷體"/>
          <w:color w:val="000000"/>
        </w:rPr>
        <w:t xml:space="preserve">.Urine M-protein需增加≧0.2 gm/24Hr，且需較前一線治療中的最低值增加≧25%。 </w:t>
      </w:r>
    </w:p>
    <w:p w14:paraId="71A04B66" w14:textId="77777777" w:rsidR="00BD776B" w:rsidRDefault="00DF0C24">
      <w:pPr>
        <w:ind w:left="1231" w:hanging="283"/>
        <w:rPr>
          <w:rFonts w:ascii="標楷體" w:eastAsia="標楷體" w:hAnsi="標楷體"/>
          <w:color w:val="000000"/>
        </w:rPr>
      </w:pPr>
      <w:r>
        <w:rPr>
          <w:rFonts w:ascii="標楷體" w:eastAsia="標楷體" w:hAnsi="標楷體"/>
          <w:color w:val="000000"/>
        </w:rPr>
        <w:t>iii.在non-secretary myeloma 病患，骨髓漿細胞 (plasma cells)之比例絕對值增加≧10%，且需較前一線治療中的最低值增加≧25%。</w:t>
      </w:r>
    </w:p>
    <w:p w14:paraId="2D798BA1" w14:textId="77777777" w:rsidR="00BD776B" w:rsidRDefault="00DF0C24">
      <w:pPr>
        <w:ind w:left="1231" w:hanging="283"/>
        <w:rPr>
          <w:rFonts w:ascii="標楷體" w:eastAsia="標楷體" w:hAnsi="標楷體"/>
          <w:color w:val="000000"/>
        </w:rPr>
      </w:pPr>
      <w:r>
        <w:rPr>
          <w:rFonts w:ascii="標楷體" w:eastAsia="標楷體" w:hAnsi="標楷體"/>
          <w:color w:val="000000"/>
        </w:rPr>
        <w:t>iv.新產生的bone lesion(s)或plasmacytoma；且須經病理切片證實。</w:t>
      </w:r>
    </w:p>
    <w:p w14:paraId="2AEE77D5" w14:textId="77777777" w:rsidR="00BD776B" w:rsidRDefault="00DF0C24">
      <w:pPr>
        <w:ind w:left="1231" w:hanging="283"/>
        <w:rPr>
          <w:rFonts w:ascii="標楷體" w:eastAsia="標楷體" w:hAnsi="標楷體"/>
          <w:color w:val="000000"/>
        </w:rPr>
      </w:pPr>
      <w:r>
        <w:rPr>
          <w:rFonts w:ascii="標楷體" w:eastAsia="標楷體" w:hAnsi="標楷體"/>
          <w:color w:val="000000"/>
        </w:rPr>
        <w:t>v. Plasmacytoma體積增加≧50%。</w:t>
      </w:r>
    </w:p>
    <w:p w14:paraId="1977DFC7" w14:textId="77777777" w:rsidR="00BD776B" w:rsidRDefault="00DF0C24">
      <w:pPr>
        <w:ind w:left="1231" w:hanging="283"/>
        <w:rPr>
          <w:rFonts w:ascii="標楷體" w:eastAsia="標楷體" w:hAnsi="標楷體"/>
          <w:color w:val="000000"/>
        </w:rPr>
      </w:pPr>
      <w:r>
        <w:rPr>
          <w:rFonts w:ascii="標楷體" w:eastAsia="標楷體" w:hAnsi="標楷體"/>
          <w:color w:val="000000"/>
        </w:rPr>
        <w:t>vi.周邊血液中漿細胞比例≧20%或漿細胞絕對值≧2000 cells/μL。</w:t>
      </w:r>
    </w:p>
    <w:p w14:paraId="26D08E04" w14:textId="77777777" w:rsidR="00BD776B" w:rsidRDefault="00DF0C24">
      <w:pPr>
        <w:ind w:left="1231" w:hanging="283"/>
        <w:rPr>
          <w:rFonts w:ascii="標楷體" w:eastAsia="標楷體" w:hAnsi="標楷體"/>
          <w:color w:val="000000"/>
        </w:rPr>
      </w:pPr>
      <w:r>
        <w:rPr>
          <w:rFonts w:ascii="標楷體" w:eastAsia="標楷體" w:hAnsi="標楷體"/>
          <w:color w:val="000000"/>
        </w:rPr>
        <w:t>Ⅱ.出現下列任一臨床症狀：（112/4/1）</w:t>
      </w:r>
    </w:p>
    <w:p w14:paraId="29E4F630" w14:textId="77777777" w:rsidR="00BD776B" w:rsidRDefault="00DF0C24">
      <w:pPr>
        <w:ind w:left="1231" w:hanging="283"/>
      </w:pPr>
      <w:r>
        <w:rPr>
          <w:rFonts w:ascii="新細明體" w:hAnsi="新細明體" w:cs="新細明體"/>
          <w:color w:val="000000"/>
        </w:rPr>
        <w:t>ⅰ</w:t>
      </w:r>
      <w:r>
        <w:rPr>
          <w:rFonts w:ascii="標楷體" w:eastAsia="標楷體" w:hAnsi="標楷體"/>
          <w:color w:val="000000"/>
        </w:rPr>
        <w:t>.新產生的bone lesion(s)或plasmacytoma；且須經病理切片證實。</w:t>
      </w:r>
    </w:p>
    <w:p w14:paraId="4FC554E5" w14:textId="77777777" w:rsidR="00BD776B" w:rsidRDefault="00DF0C24">
      <w:pPr>
        <w:ind w:left="1231" w:hanging="283"/>
      </w:pPr>
      <w:r>
        <w:rPr>
          <w:rFonts w:ascii="新細明體" w:hAnsi="新細明體" w:cs="新細明體"/>
          <w:color w:val="000000"/>
        </w:rPr>
        <w:t>ⅱ</w:t>
      </w:r>
      <w:r>
        <w:rPr>
          <w:rFonts w:ascii="標楷體" w:eastAsia="標楷體" w:hAnsi="標楷體"/>
          <w:color w:val="000000"/>
        </w:rPr>
        <w:t>. Plasmacytoma 體積增加≧50%。</w:t>
      </w:r>
    </w:p>
    <w:p w14:paraId="6056BDA4" w14:textId="77777777" w:rsidR="00BD776B" w:rsidRDefault="00DF0C24">
      <w:pPr>
        <w:ind w:left="1231" w:hanging="283"/>
        <w:rPr>
          <w:rFonts w:ascii="標楷體" w:eastAsia="標楷體" w:hAnsi="標楷體"/>
          <w:color w:val="000000"/>
        </w:rPr>
      </w:pPr>
      <w:r>
        <w:rPr>
          <w:rFonts w:ascii="標楷體" w:eastAsia="標楷體" w:hAnsi="標楷體"/>
          <w:color w:val="000000"/>
        </w:rPr>
        <w:t>iii.高血鈣(corrected serum calcium＞11.0 mg/dL 或 2.75 mmol/L)。</w:t>
      </w:r>
    </w:p>
    <w:p w14:paraId="7AB61E5B" w14:textId="77777777" w:rsidR="00BD776B" w:rsidRDefault="00DF0C24">
      <w:pPr>
        <w:ind w:left="1231" w:hanging="283"/>
        <w:rPr>
          <w:rFonts w:ascii="標楷體" w:eastAsia="標楷體" w:hAnsi="標楷體"/>
          <w:color w:val="000000"/>
        </w:rPr>
      </w:pPr>
      <w:r>
        <w:rPr>
          <w:rFonts w:ascii="標楷體" w:eastAsia="標楷體" w:hAnsi="標楷體"/>
          <w:color w:val="000000"/>
        </w:rPr>
        <w:t>iv.貧血(Hemoglobin 下降幅度≧ 2gm/dL且無其他原因可以解釋)。</w:t>
      </w:r>
    </w:p>
    <w:p w14:paraId="37B78AD6" w14:textId="77777777" w:rsidR="00BD776B" w:rsidRDefault="00DF0C24">
      <w:pPr>
        <w:ind w:left="1231" w:hanging="283"/>
        <w:rPr>
          <w:rFonts w:ascii="標楷體" w:eastAsia="標楷體" w:hAnsi="標楷體"/>
          <w:color w:val="000000"/>
        </w:rPr>
      </w:pPr>
      <w:r>
        <w:rPr>
          <w:rFonts w:ascii="標楷體" w:eastAsia="標楷體" w:hAnsi="標楷體"/>
          <w:color w:val="000000"/>
        </w:rPr>
        <w:t>v.腎功能惡化(eGFR需下降幅度≧25%)，且無其他原因可以解釋。</w:t>
      </w:r>
    </w:p>
    <w:p w14:paraId="1755FE4C" w14:textId="77777777" w:rsidR="00BD776B" w:rsidRDefault="00DF0C24">
      <w:pPr>
        <w:ind w:left="1231" w:hanging="283"/>
        <w:rPr>
          <w:rFonts w:ascii="標楷體" w:eastAsia="標楷體" w:hAnsi="標楷體"/>
          <w:color w:val="000000"/>
        </w:rPr>
      </w:pPr>
      <w:r>
        <w:rPr>
          <w:rFonts w:ascii="標楷體" w:eastAsia="標楷體" w:hAnsi="標楷體"/>
          <w:color w:val="000000"/>
        </w:rPr>
        <w:t>vi.出現其他end-organ dysfunctions。</w:t>
      </w:r>
    </w:p>
    <w:p w14:paraId="5909792F" w14:textId="77777777" w:rsidR="00BD776B" w:rsidRDefault="00DF0C24">
      <w:pPr>
        <w:ind w:left="1231" w:hanging="283"/>
      </w:pPr>
      <w:r>
        <w:rPr>
          <w:rFonts w:ascii="標楷體" w:eastAsia="標楷體" w:hAnsi="標楷體"/>
          <w:color w:val="000000"/>
        </w:rPr>
        <w:t>(2)</w:t>
      </w:r>
      <w:r>
        <w:t xml:space="preserve"> </w:t>
      </w:r>
      <w:r>
        <w:rPr>
          <w:rFonts w:ascii="標楷體" w:eastAsia="標楷體" w:hAnsi="標楷體"/>
          <w:color w:val="000000"/>
        </w:rPr>
        <w:t>後續每次申請以4個療程(每療程為4週)為限，續用申請時必須確定paraprotein (M-protein)未上升(即表示對藥物有反應或為穩定狀態)或對部分non-secretory type MM病人以骨髓檢查plasma cell為療效依據，方可繼續使用。（109/3/1、112/4/1）</w:t>
      </w:r>
    </w:p>
    <w:p w14:paraId="5B7AD62A" w14:textId="77777777" w:rsidR="00BD776B" w:rsidRDefault="00DF0C24">
      <w:pPr>
        <w:ind w:left="1231" w:hanging="283"/>
      </w:pPr>
      <w:r>
        <w:rPr>
          <w:rFonts w:ascii="標楷體" w:eastAsia="標楷體" w:hAnsi="標楷體"/>
          <w:color w:val="000000"/>
        </w:rPr>
        <w:t>(3)</w:t>
      </w:r>
      <w:r>
        <w:t xml:space="preserve"> </w:t>
      </w:r>
      <w:r>
        <w:rPr>
          <w:rFonts w:ascii="標楷體" w:eastAsia="標楷體" w:hAnsi="標楷體"/>
          <w:color w:val="000000"/>
        </w:rPr>
        <w:t xml:space="preserve">每人終生以12個療程為上限。（109/3/1、112/4/1） </w:t>
      </w:r>
    </w:p>
    <w:p w14:paraId="1276FE26" w14:textId="77777777" w:rsidR="00BD776B" w:rsidRDefault="00DF0C24">
      <w:pPr>
        <w:ind w:left="991" w:hanging="283"/>
      </w:pPr>
      <w:r>
        <w:rPr>
          <w:rFonts w:ascii="標楷體" w:eastAsia="標楷體" w:hAnsi="標楷體"/>
          <w:color w:val="000000"/>
        </w:rPr>
        <w:t>4.</w:t>
      </w:r>
      <w:r>
        <w:t xml:space="preserve"> </w:t>
      </w:r>
      <w:r>
        <w:rPr>
          <w:rFonts w:ascii="標楷體" w:eastAsia="標楷體" w:hAnsi="標楷體"/>
          <w:color w:val="000000"/>
        </w:rPr>
        <w:t>除lenalidomide外，本案藥品不得與其他蛋白酶體抑制劑(proteasome inhibitor)或免疫調節劑(immunomodulatory drugs)併用。（109/3/1、112/4/1）</w:t>
      </w:r>
    </w:p>
    <w:p w14:paraId="7A00B910" w14:textId="77777777" w:rsidR="00BD776B" w:rsidRDefault="00DF0C24">
      <w:pPr>
        <w:ind w:left="283"/>
      </w:pPr>
      <w:r>
        <w:rPr>
          <w:rFonts w:ascii="標楷體" w:eastAsia="標楷體" w:hAnsi="標楷體"/>
          <w:color w:val="000000"/>
        </w:rPr>
        <w:t xml:space="preserve">    5.</w:t>
      </w:r>
      <w:r>
        <w:t xml:space="preserve"> </w:t>
      </w:r>
      <w:r>
        <w:rPr>
          <w:rFonts w:ascii="標楷體" w:eastAsia="標楷體" w:hAnsi="標楷體"/>
          <w:color w:val="000000"/>
        </w:rPr>
        <w:t>112年3月31日以前已核定用藥之病人，得經事前審查核准後，使用至總療程</w:t>
      </w:r>
    </w:p>
    <w:p w14:paraId="08C8A309" w14:textId="77777777" w:rsidR="00BD776B" w:rsidRDefault="00DF0C24">
      <w:pPr>
        <w:ind w:left="283"/>
        <w:rPr>
          <w:rFonts w:ascii="標楷體" w:eastAsia="標楷體" w:hAnsi="標楷體"/>
          <w:color w:val="000000"/>
        </w:rPr>
      </w:pPr>
      <w:r>
        <w:rPr>
          <w:rFonts w:ascii="標楷體" w:eastAsia="標楷體" w:hAnsi="標楷體"/>
          <w:color w:val="000000"/>
        </w:rPr>
        <w:t xml:space="preserve">      上限（即終生12個療程）或使用期間發生疾病惡化為止。（112/4/1）</w:t>
      </w:r>
    </w:p>
    <w:p w14:paraId="14234C71" w14:textId="77777777" w:rsidR="00BD776B" w:rsidRDefault="00DF0C24">
      <w:pPr>
        <w:ind w:left="283"/>
      </w:pPr>
      <w:r>
        <w:rPr>
          <w:rFonts w:ascii="標楷體" w:eastAsia="標楷體" w:hAnsi="標楷體"/>
          <w:color w:val="000000"/>
        </w:rPr>
        <w:t>9.78.</w:t>
      </w:r>
      <w:r>
        <w:t xml:space="preserve"> </w:t>
      </w:r>
      <w:r>
        <w:rPr>
          <w:rFonts w:ascii="標楷體" w:eastAsia="標楷體" w:hAnsi="標楷體"/>
          <w:color w:val="000000"/>
        </w:rPr>
        <w:t>Daratumumab(如Darzalex)：(109/4/1、112/4/1、113/4/1)</w:t>
      </w:r>
    </w:p>
    <w:p w14:paraId="2938390F" w14:textId="77777777" w:rsidR="00BD776B" w:rsidRDefault="00DF0C24">
      <w:pPr>
        <w:ind w:left="991" w:hanging="283"/>
        <w:rPr>
          <w:rFonts w:ascii="標楷體" w:eastAsia="標楷體" w:hAnsi="標楷體"/>
          <w:color w:val="000000"/>
        </w:rPr>
      </w:pPr>
      <w:r>
        <w:rPr>
          <w:rFonts w:ascii="標楷體" w:eastAsia="標楷體" w:hAnsi="標楷體"/>
          <w:color w:val="000000"/>
        </w:rPr>
        <w:t>1.限與bortezomib/dexamethasone或lenalidomide/dexamethasone併用，治療先前曾接受至少一種含bortezomib 或 lenalidomide 之療法治療失敗的多發性骨髓瘤成人患者，且須具有良好日常體能狀態(ECOG &lt; 2)者。</w:t>
      </w:r>
    </w:p>
    <w:p w14:paraId="6CF1BC27" w14:textId="77777777" w:rsidR="00BD776B" w:rsidRDefault="00DF0C24">
      <w:pPr>
        <w:ind w:left="991" w:hanging="283"/>
      </w:pPr>
      <w:r>
        <w:rPr>
          <w:rFonts w:ascii="標楷體" w:eastAsia="標楷體" w:hAnsi="標楷體"/>
          <w:color w:val="000000"/>
        </w:rPr>
        <w:t>2.</w:t>
      </w:r>
      <w:r>
        <w:t xml:space="preserve"> </w:t>
      </w:r>
      <w:r>
        <w:rPr>
          <w:rFonts w:ascii="標楷體" w:eastAsia="標楷體" w:hAnsi="標楷體"/>
          <w:color w:val="000000"/>
        </w:rPr>
        <w:t>須經事前審查核准後使用：(109/4/1、112/4/1)</w:t>
      </w:r>
    </w:p>
    <w:p w14:paraId="10CC1DDB" w14:textId="77777777" w:rsidR="00BD776B" w:rsidRDefault="00DF0C24">
      <w:pPr>
        <w:ind w:left="1231" w:hanging="283"/>
        <w:rPr>
          <w:rFonts w:ascii="標楷體" w:eastAsia="標楷體" w:hAnsi="標楷體"/>
          <w:color w:val="000000"/>
        </w:rPr>
      </w:pPr>
      <w:r>
        <w:rPr>
          <w:rFonts w:ascii="標楷體" w:eastAsia="標楷體" w:hAnsi="標楷體"/>
          <w:color w:val="000000"/>
        </w:rPr>
        <w:t>(1)首次申請為10次輸注，且需同時符合下列Ⅰ.與Ⅱ.的條件：(109/4/1、112/4/1)</w:t>
      </w:r>
    </w:p>
    <w:p w14:paraId="01A20D70" w14:textId="77777777" w:rsidR="00BD776B" w:rsidRDefault="00DF0C24">
      <w:pPr>
        <w:ind w:left="1471" w:hanging="283"/>
        <w:rPr>
          <w:rFonts w:ascii="標楷體" w:eastAsia="標楷體" w:hAnsi="標楷體"/>
          <w:color w:val="000000"/>
        </w:rPr>
      </w:pPr>
      <w:r>
        <w:rPr>
          <w:rFonts w:ascii="標楷體" w:eastAsia="標楷體" w:hAnsi="標楷體"/>
          <w:color w:val="000000"/>
        </w:rPr>
        <w:t>Ⅰ.具有下列任一疾病惡化的指標： 病患開始治療前須在連續2次評估中均符合同一指標 (但若為plamacytoma 體積增加，或是新產生的bone lesion(s)或新plasmacytoma，則僅需1次評估)：（112/4/1）</w:t>
      </w:r>
    </w:p>
    <w:p w14:paraId="40EA41FA" w14:textId="77777777" w:rsidR="00BD776B" w:rsidRDefault="00DF0C24">
      <w:pPr>
        <w:ind w:left="1711" w:hanging="283"/>
      </w:pPr>
      <w:r>
        <w:rPr>
          <w:rFonts w:ascii="新細明體" w:hAnsi="新細明體" w:cs="新細明體"/>
          <w:color w:val="000000"/>
        </w:rPr>
        <w:t>ⅰ</w:t>
      </w:r>
      <w:r>
        <w:rPr>
          <w:rFonts w:ascii="標楷體" w:eastAsia="標楷體" w:hAnsi="標楷體"/>
          <w:color w:val="000000"/>
        </w:rPr>
        <w:t>.若前一線治療中M component 最低值≧5 g/dL，血清M蛋白需增加≧1 g/dL；若前一線治療中M component最低值＜5 g/dL，血清M蛋白需增加≧0.5g/dL。</w:t>
      </w:r>
    </w:p>
    <w:p w14:paraId="75F1E7D0" w14:textId="77777777" w:rsidR="00BD776B" w:rsidRDefault="00DF0C24">
      <w:pPr>
        <w:ind w:left="1711" w:hanging="283"/>
      </w:pPr>
      <w:r>
        <w:rPr>
          <w:rFonts w:ascii="新細明體" w:hAnsi="新細明體" w:cs="新細明體"/>
          <w:color w:val="000000"/>
        </w:rPr>
        <w:t>ⅱ</w:t>
      </w:r>
      <w:r>
        <w:rPr>
          <w:rFonts w:ascii="標楷體" w:eastAsia="標楷體" w:hAnsi="標楷體"/>
          <w:color w:val="000000"/>
        </w:rPr>
        <w:t>.Urine M-protein需增加≧0.2 gm/24Hr，且需較前一線治療中的最低值增加≧25%。</w:t>
      </w:r>
    </w:p>
    <w:p w14:paraId="5C57139E" w14:textId="77777777" w:rsidR="00BD776B" w:rsidRDefault="00DF0C24">
      <w:pPr>
        <w:ind w:left="1711" w:hanging="283"/>
        <w:rPr>
          <w:rFonts w:ascii="標楷體" w:eastAsia="標楷體" w:hAnsi="標楷體"/>
          <w:color w:val="000000"/>
        </w:rPr>
      </w:pPr>
      <w:r>
        <w:rPr>
          <w:rFonts w:ascii="標楷體" w:eastAsia="標楷體" w:hAnsi="標楷體"/>
          <w:color w:val="000000"/>
        </w:rPr>
        <w:t>iii.在non-secretary myeloma 病患，骨髓漿細胞 (plasma cells)之比例絕對值增加≧10%，且需較前一線治療中的最低值增加≧25%。</w:t>
      </w:r>
    </w:p>
    <w:p w14:paraId="13987462" w14:textId="77777777" w:rsidR="00BD776B" w:rsidRDefault="00DF0C24">
      <w:pPr>
        <w:ind w:left="1711" w:hanging="283"/>
        <w:rPr>
          <w:rFonts w:ascii="標楷體" w:eastAsia="標楷體" w:hAnsi="標楷體"/>
          <w:color w:val="000000"/>
        </w:rPr>
      </w:pPr>
      <w:r>
        <w:rPr>
          <w:rFonts w:ascii="標楷體" w:eastAsia="標楷體" w:hAnsi="標楷體"/>
          <w:color w:val="000000"/>
        </w:rPr>
        <w:t>iv.新產生的bone lesion(s)或plasmacytoma；且須經病理切片證實。</w:t>
      </w:r>
    </w:p>
    <w:p w14:paraId="5AB5A13A" w14:textId="77777777" w:rsidR="00BD776B" w:rsidRDefault="00DF0C24">
      <w:pPr>
        <w:ind w:left="1711" w:hanging="283"/>
        <w:rPr>
          <w:rFonts w:ascii="標楷體" w:eastAsia="標楷體" w:hAnsi="標楷體"/>
          <w:color w:val="000000"/>
        </w:rPr>
      </w:pPr>
      <w:r>
        <w:rPr>
          <w:rFonts w:ascii="標楷體" w:eastAsia="標楷體" w:hAnsi="標楷體"/>
          <w:color w:val="000000"/>
        </w:rPr>
        <w:t>v.Plasmacytoma體積增加≧50%。</w:t>
      </w:r>
    </w:p>
    <w:p w14:paraId="04F70ECF" w14:textId="77777777" w:rsidR="00BD776B" w:rsidRDefault="00DF0C24">
      <w:pPr>
        <w:ind w:left="1711" w:hanging="283"/>
        <w:rPr>
          <w:rFonts w:ascii="標楷體" w:eastAsia="標楷體" w:hAnsi="標楷體"/>
          <w:color w:val="000000"/>
        </w:rPr>
      </w:pPr>
      <w:r>
        <w:rPr>
          <w:rFonts w:ascii="標楷體" w:eastAsia="標楷體" w:hAnsi="標楷體"/>
          <w:color w:val="000000"/>
        </w:rPr>
        <w:lastRenderedPageBreak/>
        <w:t>vi.周邊血液中漿細胞比例≧20%或漿細胞絕對值≧2000 cells/μL。</w:t>
      </w:r>
    </w:p>
    <w:p w14:paraId="14FFBB6C" w14:textId="77777777" w:rsidR="00BD776B" w:rsidRDefault="00DF0C24">
      <w:pPr>
        <w:ind w:left="1471" w:hanging="283"/>
        <w:rPr>
          <w:rFonts w:ascii="標楷體" w:eastAsia="標楷體" w:hAnsi="標楷體"/>
          <w:color w:val="000000"/>
        </w:rPr>
      </w:pPr>
      <w:r>
        <w:rPr>
          <w:rFonts w:ascii="標楷體" w:eastAsia="標楷體" w:hAnsi="標楷體"/>
          <w:color w:val="000000"/>
        </w:rPr>
        <w:t>Ⅱ.出現下列任一臨床症狀：（112/4/1）</w:t>
      </w:r>
    </w:p>
    <w:p w14:paraId="31C5D5C2" w14:textId="77777777" w:rsidR="00BD776B" w:rsidRDefault="00DF0C24">
      <w:pPr>
        <w:ind w:left="1711" w:hanging="283"/>
      </w:pPr>
      <w:r>
        <w:rPr>
          <w:rFonts w:ascii="新細明體" w:hAnsi="新細明體" w:cs="新細明體"/>
          <w:color w:val="000000"/>
        </w:rPr>
        <w:t>ⅰ</w:t>
      </w:r>
      <w:r>
        <w:rPr>
          <w:rFonts w:ascii="標楷體" w:eastAsia="標楷體" w:hAnsi="標楷體"/>
          <w:color w:val="000000"/>
        </w:rPr>
        <w:t>.新產生的bone lesion(s)或plasmacytoma；且須經病理切片證實。</w:t>
      </w:r>
    </w:p>
    <w:p w14:paraId="0DA63DCF" w14:textId="77777777" w:rsidR="00BD776B" w:rsidRDefault="00DF0C24">
      <w:pPr>
        <w:ind w:left="1711" w:hanging="283"/>
      </w:pPr>
      <w:r>
        <w:rPr>
          <w:rFonts w:ascii="新細明體" w:hAnsi="新細明體" w:cs="新細明體"/>
          <w:color w:val="000000"/>
        </w:rPr>
        <w:t>ⅱ</w:t>
      </w:r>
      <w:r>
        <w:rPr>
          <w:rFonts w:ascii="標楷體" w:eastAsia="標楷體" w:hAnsi="標楷體"/>
          <w:color w:val="000000"/>
        </w:rPr>
        <w:t xml:space="preserve"> Plasmacytoma 體積增加≧50%。</w:t>
      </w:r>
    </w:p>
    <w:p w14:paraId="3D9DE8DE" w14:textId="77777777" w:rsidR="00BD776B" w:rsidRDefault="00DF0C24">
      <w:pPr>
        <w:ind w:left="1711" w:hanging="283"/>
        <w:rPr>
          <w:rFonts w:ascii="標楷體" w:eastAsia="標楷體" w:hAnsi="標楷體"/>
          <w:color w:val="000000"/>
        </w:rPr>
      </w:pPr>
      <w:r>
        <w:rPr>
          <w:rFonts w:ascii="標楷體" w:eastAsia="標楷體" w:hAnsi="標楷體"/>
          <w:color w:val="000000"/>
        </w:rPr>
        <w:t>iii.高血鈣(corrected serum calcium＞11.0 mg/dL 或 2.75 mmol/L)。</w:t>
      </w:r>
    </w:p>
    <w:p w14:paraId="6DFB6F1A" w14:textId="77777777" w:rsidR="00BD776B" w:rsidRDefault="00DF0C24">
      <w:pPr>
        <w:ind w:left="1711" w:hanging="283"/>
        <w:rPr>
          <w:rFonts w:ascii="標楷體" w:eastAsia="標楷體" w:hAnsi="標楷體"/>
          <w:color w:val="000000"/>
        </w:rPr>
      </w:pPr>
      <w:r>
        <w:rPr>
          <w:rFonts w:ascii="標楷體" w:eastAsia="標楷體" w:hAnsi="標楷體"/>
          <w:color w:val="000000"/>
        </w:rPr>
        <w:t>iv.貧血(Hemoglobin 下降幅度≧ 2gm/dL且無其他原因可以解釋)。</w:t>
      </w:r>
    </w:p>
    <w:p w14:paraId="61E22C35" w14:textId="77777777" w:rsidR="00BD776B" w:rsidRDefault="00DF0C24">
      <w:pPr>
        <w:ind w:left="1711" w:hanging="283"/>
        <w:rPr>
          <w:rFonts w:ascii="標楷體" w:eastAsia="標楷體" w:hAnsi="標楷體"/>
          <w:color w:val="000000"/>
        </w:rPr>
      </w:pPr>
      <w:r>
        <w:rPr>
          <w:rFonts w:ascii="標楷體" w:eastAsia="標楷體" w:hAnsi="標楷體"/>
          <w:color w:val="000000"/>
        </w:rPr>
        <w:t>v.腎功能惡化(eGFR需下降幅度≧25%)，且無其他原因可以解釋。</w:t>
      </w:r>
    </w:p>
    <w:p w14:paraId="3CC6DF85" w14:textId="77777777" w:rsidR="00BD776B" w:rsidRDefault="00DF0C24">
      <w:pPr>
        <w:ind w:left="1711" w:hanging="283"/>
        <w:rPr>
          <w:rFonts w:ascii="標楷體" w:eastAsia="標楷體" w:hAnsi="標楷體"/>
          <w:color w:val="000000"/>
        </w:rPr>
      </w:pPr>
      <w:r>
        <w:rPr>
          <w:rFonts w:ascii="標楷體" w:eastAsia="標楷體" w:hAnsi="標楷體"/>
          <w:color w:val="000000"/>
        </w:rPr>
        <w:t>vi.出現其他end-organ dysfunctions。</w:t>
      </w:r>
    </w:p>
    <w:p w14:paraId="3479CB3B" w14:textId="77777777" w:rsidR="00BD776B" w:rsidRDefault="00DF0C24">
      <w:pPr>
        <w:ind w:left="1231" w:hanging="283"/>
        <w:rPr>
          <w:rFonts w:ascii="標楷體" w:eastAsia="標楷體" w:hAnsi="標楷體"/>
          <w:color w:val="000000"/>
        </w:rPr>
      </w:pPr>
      <w:r>
        <w:rPr>
          <w:rFonts w:ascii="標楷體" w:eastAsia="標楷體" w:hAnsi="標楷體"/>
          <w:color w:val="000000"/>
        </w:rPr>
        <w:t>(2)之後申請則為每次4次輸注，申請時必須確定paraprotein (M-protein)未上升(即表示對藥物有反應或為穩定狀態)，或對部分non-secretory type MM病人以骨髓檢查plasma cell為療效依據，方可繼續使用。(109/4/1、112/4/1)</w:t>
      </w:r>
    </w:p>
    <w:p w14:paraId="3F766F13" w14:textId="77777777" w:rsidR="00BD776B" w:rsidRDefault="00DF0C24">
      <w:pPr>
        <w:ind w:left="991" w:hanging="283"/>
      </w:pPr>
      <w:r>
        <w:rPr>
          <w:rFonts w:ascii="標楷體" w:eastAsia="標楷體" w:hAnsi="標楷體"/>
          <w:color w:val="000000"/>
        </w:rPr>
        <w:t>3.</w:t>
      </w:r>
      <w:r>
        <w:t xml:space="preserve"> </w:t>
      </w:r>
      <w:r>
        <w:rPr>
          <w:rFonts w:ascii="標楷體" w:eastAsia="標楷體" w:hAnsi="標楷體"/>
          <w:color w:val="000000"/>
        </w:rPr>
        <w:t>每位病人終生限給付22次輸注。(109/4/1、112/4/1)</w:t>
      </w:r>
    </w:p>
    <w:p w14:paraId="3D90012C" w14:textId="77777777" w:rsidR="00BD776B" w:rsidRDefault="00DF0C24">
      <w:pPr>
        <w:ind w:left="991" w:hanging="283"/>
      </w:pPr>
      <w:r>
        <w:rPr>
          <w:rFonts w:ascii="標楷體" w:eastAsia="標楷體" w:hAnsi="標楷體"/>
          <w:color w:val="000000"/>
        </w:rPr>
        <w:t>4.</w:t>
      </w:r>
      <w:r>
        <w:t xml:space="preserve"> </w:t>
      </w:r>
      <w:r>
        <w:rPr>
          <w:rFonts w:ascii="標楷體" w:eastAsia="標楷體" w:hAnsi="標楷體"/>
          <w:color w:val="000000"/>
        </w:rPr>
        <w:t>除lenalidomide或bortezomib 外，本案藥品不得與其他蛋白酶體抑制劑(proteasome inhibitor)或免疫調節劑(immunomodulatory drugs)併用。(109/4/1、112/4/1)</w:t>
      </w:r>
    </w:p>
    <w:p w14:paraId="5889C395" w14:textId="77777777" w:rsidR="00BD776B" w:rsidRDefault="00DF0C24">
      <w:pPr>
        <w:ind w:left="991" w:hanging="283"/>
      </w:pPr>
      <w:r>
        <w:rPr>
          <w:rFonts w:ascii="標楷體" w:eastAsia="標楷體" w:hAnsi="標楷體"/>
          <w:color w:val="000000"/>
        </w:rPr>
        <w:t>5.</w:t>
      </w:r>
      <w:r>
        <w:t xml:space="preserve"> </w:t>
      </w:r>
      <w:r>
        <w:rPr>
          <w:rFonts w:ascii="標楷體" w:eastAsia="標楷體" w:hAnsi="標楷體"/>
          <w:color w:val="000000"/>
        </w:rPr>
        <w:t>112年3月31日以前已核定用藥之病人，得經事前審查核准後，使用至總療程上限（即終生22次輸注）或使用期間發生疾病惡化為止。（112/4/1）</w:t>
      </w:r>
    </w:p>
    <w:p w14:paraId="382119B9" w14:textId="77777777" w:rsidR="00BD776B" w:rsidRDefault="00DF0C24">
      <w:pPr>
        <w:ind w:left="960" w:hanging="240"/>
        <w:rPr>
          <w:rFonts w:ascii="標楷體" w:eastAsia="標楷體" w:hAnsi="標楷體"/>
          <w:color w:val="000000"/>
        </w:rPr>
      </w:pPr>
      <w:r>
        <w:rPr>
          <w:rFonts w:ascii="標楷體" w:eastAsia="標楷體" w:hAnsi="標楷體"/>
          <w:color w:val="000000"/>
        </w:rPr>
        <w:t>6.Daratumumab與isatuximab二者僅能擇一使用，除因藥物耐受不良以外，不可以其他原因申請互換使用。（113/4/1）</w:t>
      </w:r>
    </w:p>
    <w:p w14:paraId="68E4ABF1" w14:textId="77777777" w:rsidR="00BD776B" w:rsidRDefault="00DF0C24">
      <w:pPr>
        <w:ind w:left="672" w:hanging="386"/>
        <w:rPr>
          <w:rFonts w:ascii="標楷體" w:eastAsia="標楷體" w:hAnsi="標楷體"/>
          <w:color w:val="000000"/>
        </w:rPr>
      </w:pPr>
      <w:r>
        <w:rPr>
          <w:rFonts w:ascii="標楷體" w:eastAsia="標楷體" w:hAnsi="標楷體"/>
          <w:color w:val="000000"/>
        </w:rPr>
        <w:t>9.79.Obinutuzumab(如Gazyva)：（109/4/1、113/2/1）</w:t>
      </w:r>
    </w:p>
    <w:p w14:paraId="27A51F4F" w14:textId="77777777" w:rsidR="00BD776B" w:rsidRDefault="00DF0C24">
      <w:pPr>
        <w:ind w:left="1152" w:hanging="386"/>
        <w:rPr>
          <w:rFonts w:ascii="標楷體" w:eastAsia="標楷體" w:hAnsi="標楷體"/>
          <w:color w:val="000000"/>
        </w:rPr>
      </w:pPr>
      <w:r>
        <w:rPr>
          <w:rFonts w:ascii="標楷體" w:eastAsia="標楷體" w:hAnsi="標楷體"/>
          <w:color w:val="000000"/>
        </w:rPr>
        <w:t>1.限用於第一次接受含rituximab治療後治療無效或治療結束後6個月內復發的濾泡性淋巴瘤(follicular lymphoma)患者。</w:t>
      </w:r>
    </w:p>
    <w:p w14:paraId="04AEDC9D" w14:textId="77777777" w:rsidR="00BD776B" w:rsidRDefault="00DF0C24">
      <w:pPr>
        <w:ind w:left="1392" w:hanging="386"/>
        <w:rPr>
          <w:rFonts w:ascii="標楷體" w:eastAsia="標楷體" w:hAnsi="標楷體"/>
          <w:color w:val="000000"/>
        </w:rPr>
      </w:pPr>
      <w:r>
        <w:rPr>
          <w:rFonts w:ascii="標楷體" w:eastAsia="標楷體" w:hAnsi="標楷體"/>
          <w:color w:val="000000"/>
        </w:rPr>
        <w:t>(1)需經事前審查核准後使用：</w:t>
      </w:r>
    </w:p>
    <w:p w14:paraId="43522E61" w14:textId="77777777" w:rsidR="00BD776B" w:rsidRDefault="00DF0C24">
      <w:pPr>
        <w:ind w:left="1632" w:hanging="386"/>
        <w:rPr>
          <w:rFonts w:ascii="標楷體" w:eastAsia="標楷體" w:hAnsi="標楷體"/>
          <w:color w:val="000000"/>
        </w:rPr>
      </w:pPr>
      <w:r>
        <w:rPr>
          <w:rFonts w:ascii="標楷體" w:eastAsia="標楷體" w:hAnsi="標楷體"/>
          <w:color w:val="000000"/>
        </w:rPr>
        <w:t>Ⅰ.首次申請限6個療程(共8次治療)，且需與bendamustine 併用。</w:t>
      </w:r>
    </w:p>
    <w:p w14:paraId="42CA13AF" w14:textId="77777777" w:rsidR="00BD776B" w:rsidRDefault="00DF0C24">
      <w:pPr>
        <w:ind w:left="1632" w:hanging="386"/>
        <w:rPr>
          <w:rFonts w:ascii="標楷體" w:eastAsia="標楷體" w:hAnsi="標楷體"/>
          <w:color w:val="000000"/>
        </w:rPr>
      </w:pPr>
      <w:r>
        <w:rPr>
          <w:rFonts w:ascii="標楷體" w:eastAsia="標楷體" w:hAnsi="標楷體"/>
          <w:color w:val="000000"/>
        </w:rPr>
        <w:t>Ⅱ.經治療後達partial remission 或complete remission病患可續申請obinutuzumab 單一藥物維持治療，每次申請最多12個月(6個療程)，每12個月須進行疾病評估，若病情惡化應即停止使用。</w:t>
      </w:r>
    </w:p>
    <w:p w14:paraId="5D61EF3F" w14:textId="77777777" w:rsidR="00BD776B" w:rsidRDefault="00DF0C24">
      <w:pPr>
        <w:ind w:left="1632" w:hanging="386"/>
        <w:rPr>
          <w:rFonts w:ascii="標楷體" w:eastAsia="標楷體" w:hAnsi="標楷體"/>
          <w:color w:val="000000"/>
        </w:rPr>
      </w:pPr>
      <w:r>
        <w:rPr>
          <w:rFonts w:ascii="標楷體" w:eastAsia="標楷體" w:hAnsi="標楷體"/>
          <w:color w:val="000000"/>
        </w:rPr>
        <w:t>Ⅲ.每位病人最多給付24個月(12個療程)維持治療。</w:t>
      </w:r>
    </w:p>
    <w:p w14:paraId="11243974" w14:textId="77777777" w:rsidR="00BD776B" w:rsidRDefault="00DF0C24">
      <w:pPr>
        <w:ind w:left="1392" w:hanging="386"/>
        <w:rPr>
          <w:rFonts w:ascii="標楷體" w:eastAsia="標楷體" w:hAnsi="標楷體"/>
          <w:color w:val="000000"/>
        </w:rPr>
      </w:pPr>
      <w:r>
        <w:rPr>
          <w:rFonts w:ascii="標楷體" w:eastAsia="標楷體" w:hAnsi="標楷體"/>
          <w:color w:val="000000"/>
        </w:rPr>
        <w:t>(2)病患曾使用本藥物後再復發或惡化時，不得再申請使用。</w:t>
      </w:r>
    </w:p>
    <w:p w14:paraId="35BCCA64" w14:textId="77777777" w:rsidR="00BD776B" w:rsidRDefault="00DF0C24">
      <w:pPr>
        <w:ind w:left="1152" w:hanging="386"/>
        <w:rPr>
          <w:rFonts w:ascii="標楷體" w:eastAsia="標楷體" w:hAnsi="標楷體"/>
          <w:color w:val="000000"/>
        </w:rPr>
      </w:pPr>
      <w:r>
        <w:rPr>
          <w:rFonts w:ascii="標楷體" w:eastAsia="標楷體" w:hAnsi="標楷體"/>
          <w:color w:val="000000"/>
        </w:rPr>
        <w:t>2.限與chlorambucil併用於治療先前未曾接受過治療，且具有合併症(comorbidities)而不適合接受含 fludarabine治療的CD20陽性慢性淋巴球性白血病（CLL）患者。（113/2/1）</w:t>
      </w:r>
    </w:p>
    <w:p w14:paraId="26AD4176" w14:textId="77777777" w:rsidR="00BD776B" w:rsidRDefault="00DF0C24">
      <w:pPr>
        <w:ind w:left="1392" w:hanging="386"/>
        <w:rPr>
          <w:rFonts w:ascii="標楷體" w:eastAsia="標楷體" w:hAnsi="標楷體"/>
          <w:color w:val="000000"/>
        </w:rPr>
      </w:pPr>
      <w:r>
        <w:rPr>
          <w:rFonts w:ascii="標楷體" w:eastAsia="標楷體" w:hAnsi="標楷體"/>
          <w:color w:val="000000"/>
        </w:rPr>
        <w:t>(1)Rai Stage Ⅲ/Ⅳ(或Binet C級)之CLL病人。若用於Rai StageⅠ/Ⅱ(或Binet A/B級)併有疾病相關免疫性症候(如自體免疫性溶血、免疫性血小板低下紫瘢症等)的病人時，需符合具有CD20陽性。</w:t>
      </w:r>
    </w:p>
    <w:p w14:paraId="5FB50B41" w14:textId="77777777" w:rsidR="00BD776B" w:rsidRDefault="00DF0C24">
      <w:pPr>
        <w:ind w:left="1392" w:hanging="386"/>
        <w:rPr>
          <w:rFonts w:ascii="標楷體" w:eastAsia="標楷體" w:hAnsi="標楷體"/>
          <w:color w:val="000000"/>
        </w:rPr>
      </w:pPr>
      <w:r>
        <w:rPr>
          <w:rFonts w:ascii="標楷體" w:eastAsia="標楷體" w:hAnsi="標楷體"/>
          <w:color w:val="000000"/>
        </w:rPr>
        <w:t>(2)需經事前審查核准後使用，首次申請限6個療程(共8次治療)。</w:t>
      </w:r>
    </w:p>
    <w:p w14:paraId="3F7DB014" w14:textId="77777777" w:rsidR="00BD776B" w:rsidRDefault="00DF0C24">
      <w:pPr>
        <w:ind w:left="1389" w:hanging="386"/>
        <w:rPr>
          <w:rFonts w:ascii="標楷體" w:eastAsia="標楷體" w:hAnsi="標楷體"/>
          <w:color w:val="000000"/>
        </w:rPr>
      </w:pPr>
      <w:r>
        <w:rPr>
          <w:rFonts w:ascii="標楷體" w:eastAsia="標楷體" w:hAnsi="標楷體"/>
          <w:color w:val="000000"/>
        </w:rPr>
        <w:t>(3)病患曾使用本藥物後再復發或惡化時，不得再申請使用。</w:t>
      </w:r>
    </w:p>
    <w:p w14:paraId="53D8C595" w14:textId="687EBF99" w:rsidR="00BD776B" w:rsidRDefault="00DF0C24">
      <w:pPr>
        <w:ind w:left="567" w:hanging="283"/>
        <w:rPr>
          <w:rFonts w:ascii="標楷體" w:eastAsia="標楷體" w:hAnsi="標楷體"/>
          <w:color w:val="000000"/>
        </w:rPr>
      </w:pPr>
      <w:r>
        <w:rPr>
          <w:rFonts w:ascii="標楷體" w:eastAsia="標楷體" w:hAnsi="標楷體"/>
          <w:color w:val="000000"/>
        </w:rPr>
        <w:t>9.80.Osimertinib (如Tagrisso)：(109/4/1、109/6/1、109/10/1、111/4/1</w:t>
      </w:r>
      <w:r w:rsidR="00EE56D0">
        <w:rPr>
          <w:rFonts w:ascii="標楷體" w:eastAsia="標楷體" w:hAnsi="標楷體" w:hint="eastAsia"/>
          <w:color w:val="000000"/>
        </w:rPr>
        <w:t>、113/6/1</w:t>
      </w:r>
      <w:r w:rsidR="00363ED3">
        <w:rPr>
          <w:rFonts w:ascii="標楷體" w:eastAsia="標楷體" w:hAnsi="標楷體" w:hint="eastAsia"/>
          <w:color w:val="000000"/>
        </w:rPr>
        <w:t>、113/10/1</w:t>
      </w:r>
      <w:r>
        <w:rPr>
          <w:rFonts w:ascii="標楷體" w:eastAsia="標楷體" w:hAnsi="標楷體"/>
          <w:color w:val="000000"/>
        </w:rPr>
        <w:t>)</w:t>
      </w:r>
    </w:p>
    <w:p w14:paraId="3E20C88F" w14:textId="77777777" w:rsidR="00BD776B" w:rsidRDefault="00DF0C24">
      <w:pPr>
        <w:ind w:left="993" w:hanging="280"/>
        <w:rPr>
          <w:rFonts w:ascii="標楷體" w:eastAsia="標楷體" w:hAnsi="標楷體"/>
          <w:color w:val="000000"/>
        </w:rPr>
      </w:pPr>
      <w:r>
        <w:rPr>
          <w:rFonts w:ascii="標楷體" w:eastAsia="標楷體" w:hAnsi="標楷體"/>
          <w:color w:val="000000"/>
        </w:rPr>
        <w:t>1.限單獨使用於：</w:t>
      </w:r>
    </w:p>
    <w:p w14:paraId="0ABAF137" w14:textId="5AC20889" w:rsidR="00BD776B" w:rsidRDefault="00DF0C24">
      <w:pPr>
        <w:ind w:left="1418" w:hanging="423"/>
        <w:rPr>
          <w:rFonts w:ascii="標楷體" w:eastAsia="標楷體" w:hAnsi="標楷體"/>
          <w:color w:val="000000"/>
        </w:rPr>
      </w:pPr>
      <w:r>
        <w:rPr>
          <w:rFonts w:ascii="標楷體" w:eastAsia="標楷體" w:hAnsi="標楷體"/>
          <w:color w:val="000000"/>
        </w:rPr>
        <w:t>(1)</w:t>
      </w:r>
      <w:r w:rsidR="00017490" w:rsidRPr="00017490">
        <w:rPr>
          <w:rFonts w:hint="eastAsia"/>
        </w:rPr>
        <w:t xml:space="preserve"> </w:t>
      </w:r>
      <w:r w:rsidR="00017490" w:rsidRPr="00017490">
        <w:rPr>
          <w:rFonts w:ascii="標楷體" w:eastAsia="標楷體" w:hAnsi="標楷體" w:hint="eastAsia"/>
          <w:color w:val="000000"/>
        </w:rPr>
        <w:t xml:space="preserve">具有EGFR Exon 19 Del或Exon 21 L858R基因突變之局部侵犯性或轉移性（即為IIIB、IIIC期或第Ⅳ期）肺腺癌病患之第一線治療。 </w:t>
      </w:r>
      <w:r w:rsidR="00017490" w:rsidRPr="00017490">
        <w:rPr>
          <w:rFonts w:ascii="標楷體" w:eastAsia="標楷體" w:hAnsi="標楷體" w:hint="eastAsia"/>
          <w:color w:val="000000"/>
        </w:rPr>
        <w:lastRenderedPageBreak/>
        <w:t>(111/4/1、113/10/1)</w:t>
      </w:r>
    </w:p>
    <w:p w14:paraId="40C48799" w14:textId="77777777" w:rsidR="00BD776B" w:rsidRDefault="00DF0C24">
      <w:pPr>
        <w:ind w:left="1418" w:hanging="426"/>
        <w:rPr>
          <w:rFonts w:ascii="標楷體" w:eastAsia="標楷體" w:hAnsi="標楷體"/>
          <w:color w:val="000000"/>
        </w:rPr>
      </w:pPr>
      <w:r>
        <w:rPr>
          <w:rFonts w:ascii="標楷體" w:eastAsia="標楷體" w:hAnsi="標楷體"/>
          <w:color w:val="000000"/>
        </w:rPr>
        <w:t>(2)先前已使用過EGFR標靶藥物gefitinib、erlotinib、afatinib或dacomitinib治療失敗，且具有EGFR　T790M基因突變之局部侵犯性或轉移性之非小細胞肺癌之第二線治療。(109/10/1）</w:t>
      </w:r>
    </w:p>
    <w:p w14:paraId="4E92D066" w14:textId="0AF4A6FA" w:rsidR="00BD776B" w:rsidRDefault="00DF0C24">
      <w:pPr>
        <w:ind w:left="709"/>
      </w:pPr>
      <w:r>
        <w:rPr>
          <w:rFonts w:ascii="標楷體" w:eastAsia="標楷體" w:hAnsi="標楷體"/>
          <w:color w:val="000000"/>
        </w:rPr>
        <w:t>2.使用注意事項：(109/10/1</w:t>
      </w:r>
      <w:r>
        <w:rPr>
          <w:rFonts w:ascii="新細明體" w:hAnsi="新細明體"/>
          <w:color w:val="000000"/>
        </w:rPr>
        <w:t>、</w:t>
      </w:r>
      <w:r>
        <w:rPr>
          <w:rFonts w:ascii="標楷體" w:eastAsia="標楷體" w:hAnsi="標楷體"/>
          <w:color w:val="000000"/>
        </w:rPr>
        <w:t>111/4/1</w:t>
      </w:r>
      <w:r w:rsidR="006731F8">
        <w:rPr>
          <w:rFonts w:ascii="標楷體" w:eastAsia="標楷體" w:hAnsi="標楷體" w:hint="eastAsia"/>
          <w:color w:val="000000"/>
        </w:rPr>
        <w:t>、113/6/1</w:t>
      </w:r>
      <w:r w:rsidR="00DB3CC5">
        <w:rPr>
          <w:rFonts w:ascii="標楷體" w:eastAsia="標楷體" w:hAnsi="標楷體" w:hint="eastAsia"/>
          <w:color w:val="000000"/>
        </w:rPr>
        <w:t>、113/10/1</w:t>
      </w:r>
      <w:r>
        <w:rPr>
          <w:rFonts w:ascii="標楷體" w:eastAsia="標楷體" w:hAnsi="標楷體"/>
          <w:color w:val="000000"/>
        </w:rPr>
        <w:t>）</w:t>
      </w:r>
    </w:p>
    <w:p w14:paraId="7151AE65" w14:textId="505CF86B" w:rsidR="00BD776B" w:rsidRDefault="00DF0C24">
      <w:pPr>
        <w:ind w:left="426"/>
        <w:rPr>
          <w:rFonts w:ascii="標楷體" w:eastAsia="標楷體" w:hAnsi="標楷體"/>
          <w:color w:val="000000"/>
        </w:rPr>
      </w:pPr>
      <w:r>
        <w:rPr>
          <w:rFonts w:ascii="標楷體" w:eastAsia="標楷體" w:hAnsi="標楷體"/>
          <w:color w:val="000000"/>
        </w:rPr>
        <w:t>(1)須經事前審查核准後使用：</w:t>
      </w:r>
    </w:p>
    <w:p w14:paraId="659C549F" w14:textId="210490AB" w:rsidR="00BD776B" w:rsidRDefault="00DF0C24">
      <w:pPr>
        <w:tabs>
          <w:tab w:val="left" w:pos="851"/>
        </w:tabs>
        <w:ind w:left="1133" w:hanging="425"/>
        <w:rPr>
          <w:rFonts w:ascii="標楷體" w:eastAsia="標楷體" w:hAnsi="標楷體"/>
          <w:color w:val="000000"/>
        </w:rPr>
      </w:pPr>
      <w:r>
        <w:rPr>
          <w:rFonts w:ascii="標楷體" w:eastAsia="標楷體" w:hAnsi="標楷體"/>
          <w:color w:val="000000"/>
        </w:rPr>
        <w:t>I.</w:t>
      </w:r>
      <w:r w:rsidR="00723C11" w:rsidRPr="00723C11">
        <w:rPr>
          <w:rFonts w:ascii="標楷體" w:eastAsia="標楷體" w:hAnsi="標楷體" w:hint="eastAsia"/>
          <w:color w:val="000000"/>
        </w:rPr>
        <w:t>每次申請事前審查之療程以三個月為限，每三個月需再次申請</w:t>
      </w:r>
      <w:r>
        <w:rPr>
          <w:rFonts w:ascii="標楷體" w:eastAsia="標楷體" w:hAnsi="標楷體"/>
          <w:color w:val="000000"/>
        </w:rPr>
        <w:t>。</w:t>
      </w:r>
    </w:p>
    <w:p w14:paraId="39674263" w14:textId="2BCDD27C" w:rsidR="00BD776B" w:rsidRDefault="00DF0C24">
      <w:pPr>
        <w:tabs>
          <w:tab w:val="left" w:pos="1185"/>
        </w:tabs>
        <w:ind w:left="991" w:hanging="425"/>
        <w:rPr>
          <w:rFonts w:ascii="標楷體" w:eastAsia="標楷體" w:hAnsi="標楷體"/>
          <w:color w:val="000000"/>
        </w:rPr>
      </w:pPr>
      <w:r>
        <w:rPr>
          <w:rFonts w:ascii="標楷體" w:eastAsia="標楷體" w:hAnsi="標楷體"/>
          <w:color w:val="000000"/>
        </w:rPr>
        <w:t>II.</w:t>
      </w:r>
      <w:r w:rsidR="006A4031" w:rsidRPr="006A4031">
        <w:rPr>
          <w:rFonts w:ascii="標楷體" w:eastAsia="標楷體" w:hAnsi="標楷體" w:hint="eastAsia"/>
          <w:color w:val="000000"/>
        </w:rPr>
        <w:t>初次申請時需檢具確實患有肺腺癌或非小細胞肺癌之病理或細胞檢查報告，及檢附EGFR基因檢測結果報告，且需符合全民健康保險藥品給付規定之通則十二。(113/6/1、113/10/1</w:t>
      </w:r>
      <w:r>
        <w:rPr>
          <w:rFonts w:ascii="標楷體" w:eastAsia="標楷體" w:hAnsi="標楷體"/>
          <w:color w:val="000000"/>
        </w:rPr>
        <w:t>)</w:t>
      </w:r>
    </w:p>
    <w:p w14:paraId="18FBD84D" w14:textId="6B809473" w:rsidR="00BD776B" w:rsidRPr="002B4954" w:rsidRDefault="00DF0C24" w:rsidP="002B4954">
      <w:pPr>
        <w:tabs>
          <w:tab w:val="left" w:pos="1185"/>
        </w:tabs>
        <w:ind w:left="991" w:hanging="425"/>
        <w:rPr>
          <w:rFonts w:ascii="標楷體" w:eastAsia="標楷體" w:hAnsi="標楷體"/>
          <w:color w:val="000000"/>
        </w:rPr>
      </w:pPr>
      <w:r>
        <w:rPr>
          <w:rFonts w:ascii="標楷體" w:eastAsia="標楷體" w:hAnsi="標楷體"/>
          <w:color w:val="000000"/>
        </w:rPr>
        <w:t>III.</w:t>
      </w:r>
      <w:r w:rsidR="002B4954" w:rsidRPr="002B4954">
        <w:rPr>
          <w:rFonts w:ascii="標楷體" w:eastAsia="標楷體" w:hAnsi="標楷體" w:hint="eastAsia"/>
          <w:color w:val="000000"/>
        </w:rPr>
        <w:t>再次申請時需附上治療後相關臨床資料（如：影像學）證實無惡化，才可繼續使用。每次處方以4週為限，如給藥4週後需追蹤胸部X光或電腦斷層等影像檢查評估療效，每8至12週需進行完整療效評估(如胸部X光或電腦斷層)，若病情惡化、復發或產生不可接受之毒性，即不得再次申請</w:t>
      </w:r>
      <w:r>
        <w:rPr>
          <w:rFonts w:ascii="標楷體" w:eastAsia="標楷體" w:hAnsi="標楷體"/>
          <w:color w:val="000000"/>
        </w:rPr>
        <w:t>。</w:t>
      </w:r>
    </w:p>
    <w:p w14:paraId="7478839D" w14:textId="32F965B9" w:rsidR="00BD776B" w:rsidRDefault="00DF0C24" w:rsidP="00184C73">
      <w:pPr>
        <w:ind w:left="993" w:hanging="567"/>
      </w:pPr>
      <w:r>
        <w:rPr>
          <w:rFonts w:ascii="標楷體" w:eastAsia="標楷體" w:hAnsi="標楷體"/>
          <w:color w:val="000000"/>
          <w:szCs w:val="28"/>
        </w:rPr>
        <w:t>(2)</w:t>
      </w:r>
      <w:r w:rsidR="006D0DA5" w:rsidRPr="006D0DA5">
        <w:rPr>
          <w:rFonts w:ascii="標楷體" w:eastAsia="標楷體" w:hAnsi="標楷體" w:hint="eastAsia"/>
          <w:color w:val="000000"/>
          <w:szCs w:val="28"/>
        </w:rPr>
        <w:t>用於第一線治療用藥</w:t>
      </w:r>
      <w:r w:rsidR="009954B3">
        <w:rPr>
          <w:rFonts w:ascii="標楷體" w:eastAsia="標楷體" w:hAnsi="標楷體" w:hint="eastAsia"/>
          <w:color w:val="000000"/>
          <w:szCs w:val="28"/>
        </w:rPr>
        <w:t>：</w:t>
      </w:r>
      <w:r w:rsidR="009954B3" w:rsidRPr="009954B3">
        <w:rPr>
          <w:rFonts w:ascii="標楷體" w:eastAsia="標楷體" w:hAnsi="標楷體" w:hint="eastAsia"/>
          <w:color w:val="000000"/>
          <w:szCs w:val="28"/>
        </w:rPr>
        <w:t>與gefitinib、erlotinib、afatinib及dacomitinib僅得擇一使用，除因耐受性不良，不得互換。如需更換使用本藥品，必須符合本藥品具有EGFR Exon 19 Del或Exon 21 L858R基因突變之局部侵犯性或轉移性（即為IIIB、IIIC期或第Ⅳ期）肺腺癌病患。(109/6/1、111/4/1、113/10/1)</w:t>
      </w:r>
    </w:p>
    <w:p w14:paraId="24C037AF" w14:textId="38179A64" w:rsidR="00184C73" w:rsidRPr="00184C73" w:rsidRDefault="00184C73" w:rsidP="00184C73">
      <w:pPr>
        <w:ind w:left="993" w:hanging="567"/>
      </w:pPr>
      <w:r>
        <w:rPr>
          <w:rFonts w:ascii="標楷體" w:eastAsia="標楷體" w:hAnsi="標楷體"/>
          <w:color w:val="000000"/>
          <w:szCs w:val="28"/>
        </w:rPr>
        <w:t>(3)</w:t>
      </w:r>
      <w:r w:rsidRPr="00184C73">
        <w:rPr>
          <w:rFonts w:ascii="標楷體" w:eastAsia="標楷體" w:hAnsi="標楷體" w:hint="eastAsia"/>
          <w:color w:val="000000"/>
          <w:szCs w:val="28"/>
        </w:rPr>
        <w:t>用於第二線治療用藥：須符合本藥品具有EGFR T790M基因突變，及檢附曾經接受gefitinib、erlotinib、afatinib或dacomitinib治療之證明，以及目前又有疾病惡化之影像診斷證明（如胸部X光、電腦斷層或其他可作為評估的影像），此影像證明以可測量（measurable）的病灶為優先，如沒有可以測量的病灶，則可評估（evaluable）的病灶亦可採用。 (109/10/1、113/10/1)</w:t>
      </w:r>
    </w:p>
    <w:p w14:paraId="4E5E22E2" w14:textId="72399648" w:rsidR="00BD776B" w:rsidRDefault="00DF0C24">
      <w:pPr>
        <w:ind w:left="709" w:hanging="283"/>
      </w:pPr>
      <w:r>
        <w:rPr>
          <w:rFonts w:ascii="標楷體" w:eastAsia="標楷體" w:hAnsi="標楷體"/>
          <w:color w:val="000000"/>
          <w:szCs w:val="28"/>
        </w:rPr>
        <w:t>(</w:t>
      </w:r>
      <w:r w:rsidR="00184C73">
        <w:rPr>
          <w:rFonts w:ascii="標楷體" w:eastAsia="標楷體" w:hAnsi="標楷體" w:hint="eastAsia"/>
          <w:color w:val="000000"/>
          <w:szCs w:val="28"/>
        </w:rPr>
        <w:t>4</w:t>
      </w:r>
      <w:r>
        <w:rPr>
          <w:rFonts w:ascii="標楷體" w:eastAsia="標楷體" w:hAnsi="標楷體"/>
          <w:color w:val="000000"/>
          <w:szCs w:val="28"/>
        </w:rPr>
        <w:t>)每日限用1粒。</w:t>
      </w:r>
    </w:p>
    <w:p w14:paraId="0C6D13E4" w14:textId="499D0FBB" w:rsidR="00BD776B" w:rsidRDefault="00DF0C24">
      <w:pPr>
        <w:ind w:left="283"/>
        <w:rPr>
          <w:rFonts w:ascii="標楷體" w:eastAsia="標楷體" w:hAnsi="標楷體"/>
          <w:color w:val="000000"/>
        </w:rPr>
      </w:pPr>
      <w:r>
        <w:rPr>
          <w:rFonts w:ascii="標楷體" w:eastAsia="標楷體" w:hAnsi="標楷體"/>
          <w:color w:val="000000"/>
        </w:rPr>
        <w:t>9.81.Lorlatinib (如Lorviqua)：(109/6/1、112/11/1、113/4/1</w:t>
      </w:r>
      <w:r w:rsidR="00DB2849">
        <w:rPr>
          <w:rFonts w:ascii="標楷體" w:eastAsia="標楷體" w:hAnsi="標楷體" w:hint="eastAsia"/>
          <w:color w:val="000000"/>
        </w:rPr>
        <w:t>、113/6/1</w:t>
      </w:r>
      <w:r>
        <w:rPr>
          <w:rFonts w:ascii="標楷體" w:eastAsia="標楷體" w:hAnsi="標楷體"/>
          <w:color w:val="000000"/>
        </w:rPr>
        <w:t>)</w:t>
      </w:r>
    </w:p>
    <w:p w14:paraId="4FA0D8DC" w14:textId="77777777" w:rsidR="00BD776B" w:rsidRDefault="00DF0C24">
      <w:pPr>
        <w:ind w:left="991" w:hanging="283"/>
        <w:rPr>
          <w:rFonts w:ascii="標楷體" w:eastAsia="標楷體" w:hAnsi="標楷體"/>
          <w:color w:val="000000"/>
        </w:rPr>
      </w:pPr>
      <w:r>
        <w:rPr>
          <w:rFonts w:ascii="標楷體" w:eastAsia="標楷體" w:hAnsi="標楷體"/>
          <w:color w:val="000000"/>
        </w:rPr>
        <w:t>1.適用於ALK陽性的晚期非小細胞肺癌第一線治療。(112/11/1)</w:t>
      </w:r>
    </w:p>
    <w:p w14:paraId="68AC5140" w14:textId="77777777" w:rsidR="00BD776B" w:rsidRDefault="00DF0C24">
      <w:pPr>
        <w:ind w:left="991" w:hanging="283"/>
        <w:rPr>
          <w:rFonts w:ascii="標楷體" w:eastAsia="標楷體" w:hAnsi="標楷體"/>
          <w:color w:val="000000"/>
        </w:rPr>
      </w:pPr>
      <w:r>
        <w:rPr>
          <w:rFonts w:ascii="標楷體" w:eastAsia="標楷體" w:hAnsi="標楷體"/>
          <w:color w:val="000000"/>
        </w:rPr>
        <w:t>(1)須經事前審查核准後使用：</w:t>
      </w:r>
    </w:p>
    <w:p w14:paraId="35B60294" w14:textId="77777777" w:rsidR="00BD776B" w:rsidRDefault="00DF0C24">
      <w:pPr>
        <w:ind w:left="1191" w:hanging="340"/>
        <w:rPr>
          <w:rFonts w:ascii="標楷體" w:eastAsia="標楷體" w:hAnsi="標楷體"/>
          <w:color w:val="000000"/>
        </w:rPr>
      </w:pPr>
      <w:r>
        <w:rPr>
          <w:rFonts w:ascii="標楷體" w:eastAsia="標楷體" w:hAnsi="標楷體"/>
          <w:color w:val="000000"/>
        </w:rPr>
        <w:t>I.每次申請事前審查之療程以三個月為限，每三個月需再次申請。</w:t>
      </w:r>
    </w:p>
    <w:p w14:paraId="228DCB0C" w14:textId="2088591F" w:rsidR="00BD776B" w:rsidRDefault="00DF0C24">
      <w:pPr>
        <w:ind w:left="1191" w:hanging="340"/>
        <w:rPr>
          <w:rFonts w:ascii="標楷體" w:eastAsia="標楷體" w:hAnsi="標楷體"/>
          <w:color w:val="000000"/>
        </w:rPr>
      </w:pPr>
      <w:r>
        <w:rPr>
          <w:rFonts w:ascii="標楷體" w:eastAsia="標楷體" w:hAnsi="標楷體"/>
          <w:color w:val="000000"/>
        </w:rPr>
        <w:t>II.</w:t>
      </w:r>
      <w:r w:rsidR="000158A3" w:rsidRPr="000158A3">
        <w:rPr>
          <w:rFonts w:ascii="標楷體" w:eastAsia="標楷體" w:hAnsi="標楷體" w:hint="eastAsia"/>
          <w:color w:val="000000"/>
        </w:rPr>
        <w:t>初次申請時需檢具確實患有非小細胞肺癌之病理或細胞檢查報告，及ALK突變檢測報告且需符合全民健康保險藥品給付規定之通則十二。</w:t>
      </w:r>
    </w:p>
    <w:p w14:paraId="34B358B0" w14:textId="77777777" w:rsidR="00BD776B" w:rsidRDefault="00DF0C24">
      <w:pPr>
        <w:ind w:left="1191" w:hanging="340"/>
        <w:rPr>
          <w:rFonts w:ascii="標楷體" w:eastAsia="標楷體" w:hAnsi="標楷體"/>
          <w:color w:val="000000"/>
        </w:rPr>
      </w:pPr>
      <w:r>
        <w:rPr>
          <w:rFonts w:ascii="標楷體" w:eastAsia="標楷體" w:hAnsi="標楷體"/>
          <w:color w:val="000000"/>
        </w:rPr>
        <w:t>III.再次申請時並需附上治療後相關臨床資料，如給藥4週後，需追蹤胸部X光或電腦斷層等影像檢查評估療效，往後每4週做胸部X光檢查，每3個月需追蹤其作為評估藥效的影像（如胸部X光或電腦斷層），若病情惡化即不得再次申請。</w:t>
      </w:r>
    </w:p>
    <w:p w14:paraId="5F5E1CCC" w14:textId="77777777" w:rsidR="00BD776B" w:rsidRDefault="00DF0C24">
      <w:pPr>
        <w:ind w:left="991" w:hanging="283"/>
        <w:rPr>
          <w:rFonts w:ascii="標楷體" w:eastAsia="標楷體" w:hAnsi="標楷體"/>
          <w:color w:val="000000"/>
        </w:rPr>
      </w:pPr>
      <w:r>
        <w:rPr>
          <w:rFonts w:ascii="標楷體" w:eastAsia="標楷體" w:hAnsi="標楷體"/>
          <w:color w:val="000000"/>
        </w:rPr>
        <w:t>(2)Lorlatinib與alectinib、ceritinib、crizotinib、brigatinib用於ALK陽性之晚期非小細胞肺癌第一線治療時，僅得擇一使用，除因病人使用後，發生嚴重不良反應或耐受不良之情形外，不得互換。</w:t>
      </w:r>
    </w:p>
    <w:p w14:paraId="3883952D" w14:textId="77777777" w:rsidR="00BD776B" w:rsidRDefault="00DF0C24">
      <w:pPr>
        <w:ind w:left="991" w:hanging="283"/>
        <w:rPr>
          <w:rFonts w:ascii="標楷體" w:eastAsia="標楷體" w:hAnsi="標楷體"/>
          <w:color w:val="000000"/>
        </w:rPr>
      </w:pPr>
      <w:r>
        <w:rPr>
          <w:rFonts w:ascii="標楷體" w:eastAsia="標楷體" w:hAnsi="標楷體"/>
          <w:color w:val="000000"/>
        </w:rPr>
        <w:t>2.適用於在ceritinib、alectinib或brigatinib治療中惡化之ALK陽性的晚期非小細胞肺癌患者。(109/6/1、112/11/1、113/4/1)</w:t>
      </w:r>
    </w:p>
    <w:p w14:paraId="2AFEBBBC" w14:textId="77777777" w:rsidR="00BD776B" w:rsidRDefault="00DF0C24">
      <w:pPr>
        <w:ind w:left="991" w:hanging="283"/>
        <w:rPr>
          <w:rFonts w:ascii="標楷體" w:eastAsia="標楷體" w:hAnsi="標楷體"/>
          <w:color w:val="000000"/>
        </w:rPr>
      </w:pPr>
      <w:r>
        <w:rPr>
          <w:rFonts w:ascii="標楷體" w:eastAsia="標楷體" w:hAnsi="標楷體"/>
          <w:color w:val="000000"/>
        </w:rPr>
        <w:t>(1)須經事前審查核准後使用。</w:t>
      </w:r>
    </w:p>
    <w:p w14:paraId="0974F3B7" w14:textId="77777777" w:rsidR="00BD776B" w:rsidRDefault="00DF0C24">
      <w:pPr>
        <w:ind w:left="991" w:hanging="283"/>
        <w:rPr>
          <w:rFonts w:ascii="標楷體" w:eastAsia="標楷體" w:hAnsi="標楷體"/>
          <w:color w:val="000000"/>
        </w:rPr>
      </w:pPr>
      <w:r>
        <w:rPr>
          <w:rFonts w:ascii="標楷體" w:eastAsia="標楷體" w:hAnsi="標楷體"/>
          <w:color w:val="000000"/>
        </w:rPr>
        <w:t>(2)每次申請事前審查之療程以三個月為限，每三個月需再次申請，再次申請時並需附上治療後相關臨床資料，若病情惡化即不得再次申請。</w:t>
      </w:r>
    </w:p>
    <w:p w14:paraId="66B673D8" w14:textId="01E3CCE3" w:rsidR="00BD776B" w:rsidRDefault="00DF0C24">
      <w:pPr>
        <w:ind w:left="567" w:hanging="283"/>
        <w:rPr>
          <w:rFonts w:ascii="標楷體" w:eastAsia="標楷體" w:hAnsi="標楷體"/>
          <w:color w:val="000000"/>
        </w:rPr>
      </w:pPr>
      <w:r>
        <w:rPr>
          <w:rFonts w:ascii="標楷體" w:eastAsia="標楷體" w:hAnsi="標楷體"/>
          <w:color w:val="000000"/>
        </w:rPr>
        <w:t>9.82.Brigatinib (如Alunbrig)：(109/8/1、111/8/1、112/11/1</w:t>
      </w:r>
      <w:r w:rsidR="00C9033D">
        <w:rPr>
          <w:rFonts w:ascii="標楷體" w:eastAsia="標楷體" w:hAnsi="標楷體" w:hint="eastAsia"/>
          <w:color w:val="000000"/>
        </w:rPr>
        <w:t>、113/6/1</w:t>
      </w:r>
      <w:r>
        <w:rPr>
          <w:rFonts w:ascii="標楷體" w:eastAsia="標楷體" w:hAnsi="標楷體"/>
          <w:color w:val="000000"/>
        </w:rPr>
        <w:t>)</w:t>
      </w:r>
    </w:p>
    <w:p w14:paraId="00870070" w14:textId="67F14726" w:rsidR="00BD776B" w:rsidRDefault="00DF0C24" w:rsidP="008A7063">
      <w:pPr>
        <w:pStyle w:val="af"/>
        <w:numPr>
          <w:ilvl w:val="0"/>
          <w:numId w:val="27"/>
        </w:numPr>
        <w:suppressAutoHyphens w:val="0"/>
        <w:ind w:left="992" w:hanging="284"/>
        <w:textAlignment w:val="auto"/>
      </w:pPr>
      <w:r>
        <w:rPr>
          <w:rFonts w:ascii="標楷體" w:eastAsia="標楷體" w:hAnsi="標楷體"/>
        </w:rPr>
        <w:lastRenderedPageBreak/>
        <w:t>適用</w:t>
      </w:r>
      <w:r>
        <w:rPr>
          <w:rFonts w:ascii="標楷體" w:eastAsia="標楷體" w:hAnsi="標楷體"/>
          <w:color w:val="000000"/>
        </w:rPr>
        <w:t>於ALK陽性的晚期非小細胞肺癌第一線治療。（111/8/1</w:t>
      </w:r>
      <w:r w:rsidR="0098164B">
        <w:rPr>
          <w:rFonts w:ascii="標楷體" w:eastAsia="標楷體" w:hAnsi="標楷體" w:hint="eastAsia"/>
          <w:color w:val="000000"/>
        </w:rPr>
        <w:t>、113/6/1</w:t>
      </w:r>
      <w:r>
        <w:rPr>
          <w:rFonts w:ascii="標楷體" w:eastAsia="標楷體" w:hAnsi="標楷體"/>
          <w:color w:val="000000"/>
        </w:rPr>
        <w:t>)</w:t>
      </w:r>
    </w:p>
    <w:p w14:paraId="5628696E" w14:textId="77777777" w:rsidR="00BD776B" w:rsidRDefault="00DF0C24" w:rsidP="008A7063">
      <w:pPr>
        <w:pStyle w:val="af"/>
        <w:numPr>
          <w:ilvl w:val="1"/>
          <w:numId w:val="26"/>
        </w:numPr>
        <w:suppressAutoHyphens w:val="0"/>
        <w:ind w:left="1068"/>
        <w:textAlignment w:val="auto"/>
      </w:pPr>
      <w:r>
        <w:rPr>
          <w:rFonts w:ascii="標楷體" w:eastAsia="標楷體" w:hAnsi="標楷體"/>
          <w:color w:val="000000"/>
        </w:rPr>
        <w:t>需經</w:t>
      </w:r>
      <w:r>
        <w:rPr>
          <w:rFonts w:ascii="標楷體" w:eastAsia="標楷體" w:hAnsi="標楷體"/>
        </w:rPr>
        <w:t>事前</w:t>
      </w:r>
      <w:r>
        <w:rPr>
          <w:rFonts w:ascii="標楷體" w:eastAsia="標楷體" w:hAnsi="標楷體"/>
          <w:color w:val="000000"/>
        </w:rPr>
        <w:t>審查核准後使用：</w:t>
      </w:r>
    </w:p>
    <w:p w14:paraId="67618943" w14:textId="77777777" w:rsidR="00BD776B" w:rsidRDefault="00DF0C24" w:rsidP="008A7063">
      <w:pPr>
        <w:pStyle w:val="af"/>
        <w:numPr>
          <w:ilvl w:val="2"/>
          <w:numId w:val="27"/>
        </w:numPr>
        <w:suppressAutoHyphens w:val="0"/>
        <w:ind w:left="1440" w:hanging="564"/>
        <w:textAlignment w:val="auto"/>
        <w:rPr>
          <w:rFonts w:ascii="標楷體" w:eastAsia="標楷體" w:hAnsi="標楷體"/>
          <w:color w:val="000000"/>
        </w:rPr>
      </w:pPr>
      <w:r>
        <w:rPr>
          <w:rFonts w:ascii="標楷體" w:eastAsia="標楷體" w:hAnsi="標楷體"/>
          <w:color w:val="000000"/>
        </w:rPr>
        <w:t>每次申請事前審查之療程以3個月為限，每3個月需再次申請。</w:t>
      </w:r>
    </w:p>
    <w:p w14:paraId="23DBAEA7" w14:textId="32E1443A" w:rsidR="00BD776B" w:rsidRDefault="0098164B" w:rsidP="008A7063">
      <w:pPr>
        <w:pStyle w:val="af"/>
        <w:numPr>
          <w:ilvl w:val="2"/>
          <w:numId w:val="27"/>
        </w:numPr>
        <w:suppressAutoHyphens w:val="0"/>
        <w:ind w:left="1440" w:hanging="564"/>
        <w:textAlignment w:val="auto"/>
        <w:rPr>
          <w:rFonts w:ascii="標楷體" w:eastAsia="標楷體" w:hAnsi="標楷體"/>
          <w:color w:val="000000"/>
        </w:rPr>
      </w:pPr>
      <w:r w:rsidRPr="0098164B">
        <w:rPr>
          <w:rFonts w:ascii="標楷體" w:eastAsia="標楷體" w:hAnsi="標楷體" w:hint="eastAsia"/>
          <w:color w:val="000000"/>
        </w:rPr>
        <w:t>初次申請時需檢具確實患有非小細胞肺癌之病理或細胞檢查報告，及ALK突變檢測報告且需符合全民健康保險藥品給付規定之通則十二。</w:t>
      </w:r>
    </w:p>
    <w:p w14:paraId="3DC7F1F1" w14:textId="77777777" w:rsidR="00BD776B" w:rsidRDefault="00DF0C24" w:rsidP="008A7063">
      <w:pPr>
        <w:pStyle w:val="af"/>
        <w:numPr>
          <w:ilvl w:val="2"/>
          <w:numId w:val="27"/>
        </w:numPr>
        <w:suppressAutoHyphens w:val="0"/>
        <w:ind w:left="1440" w:hanging="552"/>
        <w:textAlignment w:val="auto"/>
        <w:rPr>
          <w:rFonts w:ascii="標楷體" w:eastAsia="標楷體" w:hAnsi="標楷體"/>
          <w:color w:val="000000"/>
        </w:rPr>
      </w:pPr>
      <w:r>
        <w:rPr>
          <w:rFonts w:ascii="標楷體" w:eastAsia="標楷體" w:hAnsi="標楷體"/>
          <w:color w:val="000000"/>
        </w:rPr>
        <w:t>再次申請時並需附上治療後相關臨床資料，如給藥4週後，需追蹤胸部X光或電腦斷層等影像檢查評估療效，往後每4週做胸部X光檢查，每3個月需追蹤其作為評估藥效的影像（如胸部X光或電腦斷層），若病情惡化即不得再次申請。(112/11/1)</w:t>
      </w:r>
    </w:p>
    <w:p w14:paraId="3A998A03" w14:textId="77777777" w:rsidR="00BD776B" w:rsidRDefault="00DF0C24" w:rsidP="008A7063">
      <w:pPr>
        <w:pStyle w:val="af"/>
        <w:numPr>
          <w:ilvl w:val="1"/>
          <w:numId w:val="26"/>
        </w:numPr>
        <w:suppressAutoHyphens w:val="0"/>
        <w:ind w:left="1068"/>
        <w:textAlignment w:val="auto"/>
        <w:rPr>
          <w:rFonts w:ascii="標楷體" w:eastAsia="標楷體" w:hAnsi="標楷體"/>
          <w:color w:val="000000"/>
        </w:rPr>
      </w:pPr>
      <w:r>
        <w:rPr>
          <w:rFonts w:ascii="標楷體" w:eastAsia="標楷體" w:hAnsi="標楷體"/>
          <w:color w:val="000000"/>
        </w:rPr>
        <w:t>Brigatinib與alectinib、ceritinib、crizotinib、lorlatinib用於ALK陽性之晚期非小細胞肺癌第一線治療時，僅得擇一使用，除因病人使用後，發生嚴重不良反應或耐受不良之情形外，不得互換。(112/11/1)</w:t>
      </w:r>
    </w:p>
    <w:p w14:paraId="2F50584D" w14:textId="77777777" w:rsidR="00BD776B" w:rsidRDefault="00DF0C24" w:rsidP="008A7063">
      <w:pPr>
        <w:pStyle w:val="af"/>
        <w:numPr>
          <w:ilvl w:val="0"/>
          <w:numId w:val="27"/>
        </w:numPr>
        <w:suppressAutoHyphens w:val="0"/>
        <w:ind w:left="992" w:hanging="284"/>
        <w:textAlignment w:val="auto"/>
        <w:rPr>
          <w:rFonts w:ascii="標楷體" w:eastAsia="標楷體" w:hAnsi="標楷體"/>
          <w:color w:val="000000"/>
        </w:rPr>
      </w:pPr>
      <w:r>
        <w:rPr>
          <w:rFonts w:ascii="標楷體" w:eastAsia="標楷體" w:hAnsi="標楷體"/>
          <w:color w:val="000000"/>
        </w:rPr>
        <w:t>適用於在crizotinib治療中惡化之ALK陽性的晚期非小細胞肺癌患者。</w:t>
      </w:r>
    </w:p>
    <w:p w14:paraId="38585931" w14:textId="77777777" w:rsidR="00BD776B" w:rsidRDefault="00DF0C24" w:rsidP="008A7063">
      <w:pPr>
        <w:pStyle w:val="af"/>
        <w:numPr>
          <w:ilvl w:val="0"/>
          <w:numId w:val="28"/>
        </w:numPr>
        <w:suppressAutoHyphens w:val="0"/>
        <w:ind w:left="1068"/>
        <w:textAlignment w:val="auto"/>
        <w:rPr>
          <w:rFonts w:ascii="標楷體" w:eastAsia="標楷體" w:hAnsi="標楷體"/>
          <w:color w:val="000000"/>
        </w:rPr>
      </w:pPr>
      <w:r>
        <w:rPr>
          <w:rFonts w:ascii="標楷體" w:eastAsia="標楷體" w:hAnsi="標楷體"/>
          <w:color w:val="000000"/>
        </w:rPr>
        <w:t>需經事前審查核准後使用。</w:t>
      </w:r>
    </w:p>
    <w:p w14:paraId="306270C3" w14:textId="77777777" w:rsidR="00BD776B" w:rsidRDefault="00DF0C24" w:rsidP="008A7063">
      <w:pPr>
        <w:pStyle w:val="af"/>
        <w:numPr>
          <w:ilvl w:val="0"/>
          <w:numId w:val="28"/>
        </w:numPr>
        <w:suppressAutoHyphens w:val="0"/>
        <w:ind w:left="1068"/>
        <w:textAlignment w:val="auto"/>
        <w:rPr>
          <w:rFonts w:ascii="標楷體" w:eastAsia="標楷體" w:hAnsi="標楷體"/>
          <w:color w:val="000000"/>
        </w:rPr>
      </w:pPr>
      <w:r>
        <w:rPr>
          <w:rFonts w:ascii="標楷體" w:eastAsia="標楷體" w:hAnsi="標楷體"/>
          <w:color w:val="000000"/>
        </w:rPr>
        <w:t>每次申請事前審查之療程以3個月為限，每3個月需再次申請，再次申請時並需附上治療後相關臨床資料，若病情惡化即不得再次申請。</w:t>
      </w:r>
    </w:p>
    <w:p w14:paraId="4B8CB903" w14:textId="77777777" w:rsidR="00BD776B" w:rsidRDefault="00DF0C24">
      <w:pPr>
        <w:ind w:left="991" w:hanging="283"/>
        <w:rPr>
          <w:rFonts w:ascii="標楷體" w:eastAsia="標楷體" w:hAnsi="標楷體"/>
          <w:color w:val="000000"/>
        </w:rPr>
      </w:pPr>
      <w:r>
        <w:rPr>
          <w:rFonts w:ascii="標楷體" w:eastAsia="標楷體" w:hAnsi="標楷體"/>
          <w:color w:val="000000"/>
        </w:rPr>
        <w:t>3.每日最大劑量限180mg。(111/8/1)。</w:t>
      </w:r>
    </w:p>
    <w:p w14:paraId="70A28F90" w14:textId="029E4765" w:rsidR="00BD776B" w:rsidRDefault="00DF0C24">
      <w:pPr>
        <w:rPr>
          <w:rFonts w:ascii="標楷體" w:eastAsia="標楷體" w:hAnsi="標楷體"/>
        </w:rPr>
      </w:pPr>
      <w:r>
        <w:rPr>
          <w:rFonts w:ascii="標楷體" w:eastAsia="標楷體" w:hAnsi="標楷體"/>
        </w:rPr>
        <w:t xml:space="preserve">  9.83.Dacomitinib (如Vizimpro)：(109/10/1、111/9/1</w:t>
      </w:r>
      <w:r w:rsidR="0035465F">
        <w:rPr>
          <w:rFonts w:ascii="標楷體" w:eastAsia="標楷體" w:hAnsi="標楷體" w:hint="eastAsia"/>
        </w:rPr>
        <w:t>、113/6/1</w:t>
      </w:r>
      <w:r>
        <w:rPr>
          <w:rFonts w:ascii="標楷體" w:eastAsia="標楷體" w:hAnsi="標楷體"/>
        </w:rPr>
        <w:t>)</w:t>
      </w:r>
    </w:p>
    <w:p w14:paraId="0E8C7697" w14:textId="77777777" w:rsidR="005A410D" w:rsidRDefault="00DF0C24" w:rsidP="005A410D">
      <w:pPr>
        <w:suppressAutoHyphens w:val="0"/>
        <w:ind w:leftChars="300" w:left="960" w:hangingChars="100" w:hanging="240"/>
        <w:textAlignment w:val="auto"/>
        <w:rPr>
          <w:rFonts w:ascii="標楷體" w:eastAsia="標楷體" w:hAnsi="標楷體"/>
          <w:color w:val="000000"/>
        </w:rPr>
      </w:pPr>
      <w:r w:rsidRPr="005A410D">
        <w:rPr>
          <w:rFonts w:ascii="標楷體" w:eastAsia="標楷體" w:hAnsi="標楷體"/>
          <w:color w:val="000000"/>
        </w:rPr>
        <w:t>1.</w:t>
      </w:r>
      <w:r w:rsidR="007908E2" w:rsidRPr="005A410D">
        <w:rPr>
          <w:rFonts w:ascii="標楷體" w:eastAsia="標楷體" w:hAnsi="標楷體" w:hint="eastAsia"/>
          <w:color w:val="000000"/>
        </w:rPr>
        <w:t>限單獨使用具有EGFR-TK Exon 19 Del或Exon 21 L858R點突變，且無腦轉移 (non-CNS)之局部侵犯性或轉移性(即第ⅢB、ⅢC或第Ⅳ期)之肺腺癌病患之第一線治療，需檢附EGFR基因檢測結果報告，且需符合全民健康保險藥品給付規定之通則十二。</w:t>
      </w:r>
    </w:p>
    <w:p w14:paraId="2F8237EF" w14:textId="61855941" w:rsidR="00BD776B" w:rsidRDefault="005A410D" w:rsidP="005A410D">
      <w:pPr>
        <w:suppressAutoHyphens w:val="0"/>
        <w:ind w:leftChars="300" w:left="960" w:hangingChars="100" w:hanging="240"/>
        <w:textAlignment w:val="auto"/>
        <w:rPr>
          <w:rFonts w:ascii="標楷體" w:eastAsia="標楷體" w:hAnsi="標楷體"/>
          <w:color w:val="000000"/>
        </w:rPr>
      </w:pPr>
      <w:r>
        <w:rPr>
          <w:rFonts w:ascii="標楷體" w:eastAsia="標楷體" w:hAnsi="標楷體" w:hint="eastAsia"/>
          <w:color w:val="000000"/>
        </w:rPr>
        <w:t>2.</w:t>
      </w:r>
      <w:r w:rsidR="00DF0C24">
        <w:rPr>
          <w:rFonts w:ascii="標楷體" w:eastAsia="標楷體" w:hAnsi="標楷體"/>
          <w:color w:val="000000"/>
        </w:rPr>
        <w:t>使用注意事項</w:t>
      </w:r>
    </w:p>
    <w:p w14:paraId="31A8AA4F" w14:textId="77777777" w:rsidR="00BD776B" w:rsidRDefault="00DF0C24">
      <w:pPr>
        <w:ind w:left="425"/>
        <w:rPr>
          <w:rFonts w:ascii="標楷體" w:eastAsia="標楷體" w:hAnsi="標楷體"/>
          <w:color w:val="000000"/>
        </w:rPr>
      </w:pPr>
      <w:r>
        <w:rPr>
          <w:rFonts w:ascii="標楷體" w:eastAsia="標楷體" w:hAnsi="標楷體"/>
          <w:color w:val="000000"/>
        </w:rPr>
        <w:t xml:space="preserve">     (1)病歷應留存確實患有肺腺癌之病理或細胞檢查報告，及EGFR-TK基因</w:t>
      </w:r>
    </w:p>
    <w:p w14:paraId="2E9A746A" w14:textId="77777777" w:rsidR="00BD776B" w:rsidRDefault="00DF0C24">
      <w:pPr>
        <w:ind w:left="425"/>
        <w:rPr>
          <w:rFonts w:ascii="標楷體" w:eastAsia="標楷體" w:hAnsi="標楷體"/>
          <w:color w:val="000000"/>
        </w:rPr>
      </w:pPr>
      <w:r>
        <w:rPr>
          <w:rFonts w:ascii="標楷體" w:eastAsia="標楷體" w:hAnsi="標楷體"/>
          <w:color w:val="000000"/>
        </w:rPr>
        <w:t xml:space="preserve">        突變檢測報告。</w:t>
      </w:r>
    </w:p>
    <w:p w14:paraId="7670C692" w14:textId="77777777" w:rsidR="00BD776B" w:rsidRDefault="00DF0C24">
      <w:pPr>
        <w:ind w:left="425"/>
        <w:rPr>
          <w:rFonts w:ascii="標楷體" w:eastAsia="標楷體" w:hAnsi="標楷體"/>
          <w:color w:val="000000"/>
        </w:rPr>
      </w:pPr>
      <w:r>
        <w:rPr>
          <w:rFonts w:ascii="標楷體" w:eastAsia="標楷體" w:hAnsi="標楷體"/>
          <w:color w:val="000000"/>
        </w:rPr>
        <w:t xml:space="preserve">     (2)每次處方以4週為限，再次處方時需於病歷記錄治療後相關臨床資 </w:t>
      </w:r>
    </w:p>
    <w:p w14:paraId="5F7EB47E" w14:textId="77777777" w:rsidR="00BD776B" w:rsidRDefault="00DF0C24">
      <w:pPr>
        <w:ind w:left="425"/>
        <w:rPr>
          <w:rFonts w:ascii="標楷體" w:eastAsia="標楷體" w:hAnsi="標楷體"/>
          <w:color w:val="000000"/>
        </w:rPr>
      </w:pPr>
      <w:r>
        <w:rPr>
          <w:rFonts w:ascii="標楷體" w:eastAsia="標楷體" w:hAnsi="標楷體"/>
          <w:color w:val="000000"/>
        </w:rPr>
        <w:t xml:space="preserve">        料，如每4週需追蹤胸部X光或電腦斷層等影像檢查，每8至12週需</w:t>
      </w:r>
    </w:p>
    <w:p w14:paraId="1ADF1D84" w14:textId="77777777" w:rsidR="00BD776B" w:rsidRDefault="00DF0C24">
      <w:pPr>
        <w:ind w:left="425"/>
        <w:rPr>
          <w:rFonts w:ascii="標楷體" w:eastAsia="標楷體" w:hAnsi="標楷體"/>
          <w:color w:val="000000"/>
        </w:rPr>
      </w:pPr>
      <w:r>
        <w:rPr>
          <w:rFonts w:ascii="標楷體" w:eastAsia="標楷體" w:hAnsi="標楷體"/>
          <w:color w:val="000000"/>
        </w:rPr>
        <w:t xml:space="preserve">        進行完整療效評估（如胸部X光或電腦斷層）。</w:t>
      </w:r>
    </w:p>
    <w:p w14:paraId="7C7C1F53" w14:textId="77777777" w:rsidR="00BD776B" w:rsidRDefault="00DF0C24">
      <w:pPr>
        <w:ind w:left="425"/>
        <w:rPr>
          <w:rFonts w:ascii="標楷體" w:eastAsia="標楷體" w:hAnsi="標楷體"/>
          <w:color w:val="000000"/>
        </w:rPr>
      </w:pPr>
      <w:r>
        <w:rPr>
          <w:rFonts w:ascii="標楷體" w:eastAsia="標楷體" w:hAnsi="標楷體"/>
          <w:color w:val="000000"/>
        </w:rPr>
        <w:t xml:space="preserve">     (3)本藥品與gefitinib、erlotinib及afatinib，僅得擇一使用，除因</w:t>
      </w:r>
    </w:p>
    <w:p w14:paraId="40CAB334" w14:textId="77777777" w:rsidR="00BD776B" w:rsidRDefault="00DF0C24">
      <w:pPr>
        <w:ind w:left="425"/>
        <w:rPr>
          <w:rFonts w:ascii="標楷體" w:eastAsia="標楷體" w:hAnsi="標楷體"/>
          <w:color w:val="000000"/>
        </w:rPr>
      </w:pPr>
      <w:r>
        <w:rPr>
          <w:rFonts w:ascii="標楷體" w:eastAsia="標楷體" w:hAnsi="標楷體"/>
          <w:color w:val="000000"/>
        </w:rPr>
        <w:t xml:space="preserve">        耐受性不良，不得互換。如需更換使用本藥品，必須符合本藥品第一</w:t>
      </w:r>
    </w:p>
    <w:p w14:paraId="3B49BC11" w14:textId="77777777" w:rsidR="00BD776B" w:rsidRDefault="00DF0C24">
      <w:pPr>
        <w:ind w:left="425"/>
        <w:rPr>
          <w:rFonts w:ascii="標楷體" w:eastAsia="標楷體" w:hAnsi="標楷體"/>
          <w:color w:val="000000"/>
        </w:rPr>
      </w:pPr>
      <w:r>
        <w:rPr>
          <w:rFonts w:ascii="標楷體" w:eastAsia="標楷體" w:hAnsi="標楷體"/>
          <w:color w:val="000000"/>
        </w:rPr>
        <w:t xml:space="preserve">        線使用於具有EGFR-TK Exon 19 Del或Exon 21 L858R點突變，且無</w:t>
      </w:r>
    </w:p>
    <w:p w14:paraId="16C09A6A" w14:textId="77777777" w:rsidR="00BD776B" w:rsidRDefault="00DF0C24">
      <w:pPr>
        <w:ind w:left="425"/>
        <w:rPr>
          <w:rFonts w:ascii="標楷體" w:eastAsia="標楷體" w:hAnsi="標楷體"/>
          <w:color w:val="000000"/>
        </w:rPr>
      </w:pPr>
      <w:r>
        <w:rPr>
          <w:rFonts w:ascii="標楷體" w:eastAsia="標楷體" w:hAnsi="標楷體"/>
          <w:color w:val="000000"/>
        </w:rPr>
        <w:t xml:space="preserve">        腦轉移(non-CNS)之局部侵犯性或轉移性(即第ⅢB、ⅢC或第Ⅳ期)肺</w:t>
      </w:r>
    </w:p>
    <w:p w14:paraId="75F09DDC" w14:textId="77777777" w:rsidR="00BD776B" w:rsidRDefault="00DF0C24">
      <w:pPr>
        <w:ind w:left="425"/>
        <w:rPr>
          <w:rFonts w:ascii="標楷體" w:eastAsia="標楷體" w:hAnsi="標楷體"/>
          <w:color w:val="000000"/>
        </w:rPr>
      </w:pPr>
      <w:r>
        <w:rPr>
          <w:rFonts w:ascii="標楷體" w:eastAsia="標楷體" w:hAnsi="標楷體"/>
          <w:color w:val="000000"/>
        </w:rPr>
        <w:t xml:space="preserve">        腺癌之限制。(111/9/1)</w:t>
      </w:r>
    </w:p>
    <w:p w14:paraId="2AE4FA75" w14:textId="77777777" w:rsidR="00BD776B" w:rsidRDefault="00DF0C24">
      <w:pPr>
        <w:ind w:left="708" w:hanging="283"/>
        <w:rPr>
          <w:rFonts w:ascii="標楷體" w:eastAsia="標楷體" w:hAnsi="標楷體"/>
          <w:color w:val="000000"/>
        </w:rPr>
      </w:pPr>
      <w:r>
        <w:rPr>
          <w:rFonts w:ascii="標楷體" w:eastAsia="標楷體" w:hAnsi="標楷體"/>
          <w:color w:val="000000"/>
        </w:rPr>
        <w:t xml:space="preserve">     (4)每日限用1粒。</w:t>
      </w:r>
    </w:p>
    <w:p w14:paraId="494FDC70" w14:textId="0E6F781E" w:rsidR="00BD776B" w:rsidRDefault="00DF0C24" w:rsidP="00695991">
      <w:pPr>
        <w:ind w:left="283"/>
        <w:rPr>
          <w:rFonts w:ascii="標楷體" w:eastAsia="標楷體" w:hAnsi="標楷體"/>
          <w:color w:val="000000"/>
        </w:rPr>
      </w:pPr>
      <w:r>
        <w:rPr>
          <w:rFonts w:ascii="標楷體" w:eastAsia="標楷體" w:hAnsi="標楷體"/>
          <w:color w:val="000000"/>
        </w:rPr>
        <w:t>9.84.</w:t>
      </w:r>
      <w:r w:rsidR="00695991" w:rsidRPr="00695991">
        <w:rPr>
          <w:rFonts w:ascii="標楷體" w:eastAsia="標楷體" w:hAnsi="標楷體" w:hint="eastAsia"/>
          <w:color w:val="000000"/>
        </w:rPr>
        <w:t>Copanlisib (如Aliqopa）(刪除)：(109/11/1、113/6/1)</w:t>
      </w:r>
    </w:p>
    <w:p w14:paraId="32B4FD98" w14:textId="77777777" w:rsidR="00290D2F" w:rsidRDefault="00290D2F" w:rsidP="00290D2F">
      <w:pPr>
        <w:ind w:left="849" w:hanging="566"/>
      </w:pPr>
      <w:r>
        <w:rPr>
          <w:rFonts w:ascii="標楷體" w:eastAsia="標楷體" w:hAnsi="標楷體"/>
          <w:color w:val="000000"/>
          <w:szCs w:val="24"/>
        </w:rPr>
        <w:t>9.85.PARP抑制劑(如olaparib、niraparib、talazoparib)：(109/11/1、111/6/1、111/8/1、112</w:t>
      </w:r>
      <w:r>
        <w:rPr>
          <w:rFonts w:ascii="標楷體" w:eastAsia="標楷體" w:hAnsi="標楷體" w:cs="BiauKai"/>
          <w:color w:val="000000"/>
          <w:szCs w:val="24"/>
        </w:rPr>
        <w:t>/1/1</w:t>
      </w:r>
      <w:r>
        <w:rPr>
          <w:rFonts w:ascii="標楷體" w:eastAsia="標楷體" w:hAnsi="標楷體"/>
          <w:color w:val="000000"/>
          <w:szCs w:val="24"/>
        </w:rPr>
        <w:t>、112/11/1</w:t>
      </w:r>
      <w:r>
        <w:rPr>
          <w:rFonts w:ascii="標楷體" w:eastAsia="標楷體" w:hAnsi="標楷體"/>
          <w:color w:val="000000"/>
        </w:rPr>
        <w:t>、113/3/1、113/6/1、113/9/1</w:t>
      </w:r>
      <w:r w:rsidRPr="00F55701">
        <w:rPr>
          <w:rFonts w:ascii="標楷體" w:eastAsia="標楷體" w:hAnsi="標楷體" w:hint="eastAsia"/>
          <w:color w:val="000000"/>
        </w:rPr>
        <w:t>、114/3/1</w:t>
      </w:r>
      <w:r>
        <w:rPr>
          <w:rFonts w:ascii="標楷體" w:eastAsia="標楷體" w:hAnsi="標楷體" w:hint="eastAsia"/>
          <w:color w:val="000000"/>
        </w:rPr>
        <w:t>、114/4/1</w:t>
      </w:r>
      <w:r>
        <w:rPr>
          <w:rFonts w:ascii="標楷體" w:eastAsia="標楷體" w:hAnsi="標楷體"/>
          <w:color w:val="000000"/>
          <w:szCs w:val="24"/>
        </w:rPr>
        <w:t>)</w:t>
      </w:r>
    </w:p>
    <w:p w14:paraId="647190E0" w14:textId="77777777" w:rsidR="00290D2F" w:rsidRDefault="00290D2F" w:rsidP="00290D2F">
      <w:pPr>
        <w:ind w:left="991" w:hanging="283"/>
      </w:pPr>
      <w:r>
        <w:rPr>
          <w:rFonts w:ascii="標楷體" w:eastAsia="標楷體" w:hAnsi="標楷體"/>
          <w:color w:val="000000"/>
          <w:szCs w:val="24"/>
        </w:rPr>
        <w:t>1.卵巢、輸卵管或原發性腹膜癌(olaparib、niraparib)：(109/11/1、 111/6/1、111/8/1、112</w:t>
      </w:r>
      <w:r>
        <w:rPr>
          <w:rFonts w:ascii="標楷體" w:eastAsia="標楷體" w:hAnsi="標楷體" w:cs="BiauKai"/>
          <w:color w:val="000000"/>
          <w:szCs w:val="24"/>
        </w:rPr>
        <w:t>/1/1</w:t>
      </w:r>
      <w:r>
        <w:rPr>
          <w:rFonts w:ascii="標楷體" w:eastAsia="標楷體" w:hAnsi="標楷體"/>
          <w:color w:val="000000"/>
        </w:rPr>
        <w:t>、113/3/1、113/6/1、113/9/1</w:t>
      </w:r>
      <w:r w:rsidRPr="00F55701">
        <w:rPr>
          <w:rFonts w:ascii="標楷體" w:eastAsia="標楷體" w:hAnsi="標楷體" w:hint="eastAsia"/>
          <w:color w:val="000000"/>
        </w:rPr>
        <w:t>、114/3/1</w:t>
      </w:r>
      <w:r>
        <w:rPr>
          <w:rFonts w:ascii="標楷體" w:eastAsia="標楷體" w:hAnsi="標楷體" w:hint="eastAsia"/>
          <w:color w:val="000000"/>
        </w:rPr>
        <w:t>、114/4/1</w:t>
      </w:r>
      <w:r>
        <w:rPr>
          <w:rFonts w:ascii="標楷體" w:eastAsia="標楷體" w:hAnsi="標楷體"/>
          <w:color w:val="000000"/>
          <w:szCs w:val="24"/>
        </w:rPr>
        <w:t>)</w:t>
      </w:r>
    </w:p>
    <w:p w14:paraId="73CFC759" w14:textId="77777777" w:rsidR="00290D2F" w:rsidRDefault="00290D2F" w:rsidP="00290D2F">
      <w:pPr>
        <w:ind w:left="851"/>
        <w:rPr>
          <w:rFonts w:ascii="標楷體" w:eastAsia="標楷體" w:hAnsi="標楷體"/>
          <w:color w:val="000000"/>
        </w:rPr>
      </w:pPr>
      <w:r>
        <w:rPr>
          <w:rFonts w:ascii="標楷體" w:eastAsia="標楷體" w:hAnsi="標楷體"/>
          <w:color w:val="000000"/>
        </w:rPr>
        <w:t xml:space="preserve"> (1)單獨使用於具下列所有條件的病患做為維持治療，限用兩年：</w:t>
      </w:r>
    </w:p>
    <w:p w14:paraId="051FA9B5" w14:textId="77777777" w:rsidR="00290D2F" w:rsidRDefault="00290D2F" w:rsidP="00290D2F">
      <w:pPr>
        <w:tabs>
          <w:tab w:val="left" w:pos="5245"/>
        </w:tabs>
        <w:ind w:left="1276"/>
        <w:rPr>
          <w:rFonts w:ascii="標楷體" w:eastAsia="標楷體" w:hAnsi="標楷體"/>
          <w:color w:val="000000"/>
        </w:rPr>
      </w:pPr>
      <w:r>
        <w:rPr>
          <w:rFonts w:ascii="標楷體" w:eastAsia="標楷體" w:hAnsi="標楷體"/>
          <w:color w:val="000000"/>
        </w:rPr>
        <w:t>I.對第一線含鉑化療有治療反應後使用。</w:t>
      </w:r>
    </w:p>
    <w:p w14:paraId="2ABE2859" w14:textId="77777777" w:rsidR="00290D2F" w:rsidRDefault="00290D2F" w:rsidP="00290D2F">
      <w:pPr>
        <w:ind w:left="1176"/>
        <w:rPr>
          <w:rFonts w:ascii="標楷體" w:eastAsia="標楷體" w:hAnsi="標楷體"/>
          <w:color w:val="000000"/>
        </w:rPr>
      </w:pPr>
      <w:r>
        <w:rPr>
          <w:rFonts w:ascii="標楷體" w:eastAsia="標楷體" w:hAnsi="標楷體"/>
          <w:color w:val="000000"/>
        </w:rPr>
        <w:t xml:space="preserve">Ⅱ.具germline or somatic BRCA 1/2致病性或疑似致病性突變。 </w:t>
      </w:r>
    </w:p>
    <w:p w14:paraId="5C1E9C85" w14:textId="77777777" w:rsidR="00290D2F" w:rsidRDefault="00290D2F" w:rsidP="00290D2F">
      <w:pPr>
        <w:ind w:left="1176"/>
        <w:rPr>
          <w:rFonts w:ascii="標楷體" w:eastAsia="標楷體" w:hAnsi="標楷體"/>
          <w:color w:val="000000"/>
        </w:rPr>
      </w:pPr>
      <w:r>
        <w:rPr>
          <w:rFonts w:ascii="標楷體" w:eastAsia="標楷體" w:hAnsi="標楷體"/>
          <w:color w:val="000000"/>
        </w:rPr>
        <w:lastRenderedPageBreak/>
        <w:t xml:space="preserve">   (109/11/1、111/8/1)</w:t>
      </w:r>
    </w:p>
    <w:p w14:paraId="1D679161" w14:textId="77777777" w:rsidR="00290D2F" w:rsidRDefault="00290D2F" w:rsidP="00290D2F">
      <w:pPr>
        <w:ind w:left="1176"/>
        <w:rPr>
          <w:rFonts w:ascii="標楷體" w:eastAsia="標楷體" w:hAnsi="標楷體"/>
          <w:color w:val="000000"/>
        </w:rPr>
      </w:pPr>
      <w:r>
        <w:rPr>
          <w:rFonts w:ascii="標楷體" w:eastAsia="標楷體" w:hAnsi="標楷體"/>
          <w:color w:val="000000"/>
        </w:rPr>
        <w:t>Ⅲ.FIGO (International Federation of Gynecology and</w:t>
      </w:r>
      <w:r>
        <w:rPr>
          <w:rFonts w:ascii="標楷體" w:eastAsia="標楷體" w:hAnsi="標楷體" w:hint="eastAsia"/>
          <w:color w:val="000000"/>
        </w:rPr>
        <w:t xml:space="preserve"> </w:t>
      </w:r>
    </w:p>
    <w:p w14:paraId="294101C5" w14:textId="77777777" w:rsidR="00290D2F" w:rsidRDefault="00290D2F" w:rsidP="00290D2F">
      <w:pPr>
        <w:ind w:left="1176"/>
        <w:rPr>
          <w:rFonts w:ascii="標楷體" w:eastAsia="標楷體" w:hAnsi="標楷體"/>
          <w:color w:val="000000"/>
        </w:rPr>
      </w:pPr>
      <w:r>
        <w:rPr>
          <w:rFonts w:ascii="標楷體" w:eastAsia="標楷體" w:hAnsi="標楷體" w:hint="eastAsia"/>
          <w:color w:val="000000"/>
        </w:rPr>
        <w:t xml:space="preserve">   </w:t>
      </w:r>
      <w:r>
        <w:rPr>
          <w:rFonts w:ascii="標楷體" w:eastAsia="標楷體" w:hAnsi="標楷體"/>
          <w:color w:val="000000"/>
        </w:rPr>
        <w:t>Obstetrics)Stage III or IV disease。</w:t>
      </w:r>
    </w:p>
    <w:p w14:paraId="3DED99A4" w14:textId="77777777" w:rsidR="00290D2F" w:rsidRDefault="00290D2F" w:rsidP="00290D2F">
      <w:pPr>
        <w:ind w:left="993"/>
        <w:rPr>
          <w:rFonts w:ascii="標楷體" w:eastAsia="標楷體" w:hAnsi="標楷體"/>
          <w:color w:val="000000"/>
        </w:rPr>
      </w:pPr>
      <w:r>
        <w:rPr>
          <w:rFonts w:ascii="標楷體" w:eastAsia="標楷體" w:hAnsi="標楷體"/>
          <w:color w:val="000000"/>
        </w:rPr>
        <w:t>(2)須經事前審查核准後使用：(109/11/1、111/6/1、111/8/1、113/6/1)</w:t>
      </w:r>
    </w:p>
    <w:p w14:paraId="5F2BEF75" w14:textId="77777777" w:rsidR="00290D2F" w:rsidRDefault="00290D2F" w:rsidP="00290D2F">
      <w:pPr>
        <w:ind w:left="1276"/>
        <w:rPr>
          <w:rFonts w:ascii="標楷體" w:eastAsia="標楷體" w:hAnsi="標楷體"/>
          <w:color w:val="000000"/>
        </w:rPr>
      </w:pPr>
      <w:r>
        <w:rPr>
          <w:rFonts w:ascii="標楷體" w:eastAsia="標楷體" w:hAnsi="標楷體"/>
          <w:color w:val="000000"/>
        </w:rPr>
        <w:t>I.每次申請之療程以6個月為限。</w:t>
      </w:r>
    </w:p>
    <w:p w14:paraId="338E5543" w14:textId="77777777" w:rsidR="00290D2F" w:rsidRDefault="00290D2F" w:rsidP="00290D2F">
      <w:pPr>
        <w:ind w:left="1560" w:hanging="362"/>
        <w:rPr>
          <w:rFonts w:ascii="標楷體" w:eastAsia="標楷體" w:hAnsi="標楷體"/>
          <w:color w:val="000000"/>
        </w:rPr>
      </w:pPr>
      <w:r>
        <w:rPr>
          <w:rFonts w:ascii="標楷體" w:eastAsia="標楷體" w:hAnsi="標楷體"/>
          <w:color w:val="000000"/>
        </w:rPr>
        <w:t>Ⅱ.初次申請時需檢附germline or somatic BRCA 1/2突變檢測報告，且需符合全民健康保險藥品給付規定之通則十二。 (111/6/1、111/8/1、113/6/1)</w:t>
      </w:r>
    </w:p>
    <w:p w14:paraId="7669CB8B" w14:textId="77777777" w:rsidR="00290D2F" w:rsidRDefault="00290D2F" w:rsidP="00290D2F">
      <w:pPr>
        <w:ind w:left="1560" w:hanging="360"/>
        <w:rPr>
          <w:rFonts w:ascii="標楷體" w:eastAsia="標楷體" w:hAnsi="標楷體"/>
          <w:color w:val="000000"/>
        </w:rPr>
      </w:pPr>
      <w:r>
        <w:rPr>
          <w:rFonts w:ascii="標楷體" w:eastAsia="標楷體" w:hAnsi="標楷體"/>
          <w:color w:val="000000"/>
        </w:rPr>
        <w:t>Ⅲ.再次申請必須提出客觀證據（如：影像學）證實無惡化，才可繼續使用。</w:t>
      </w:r>
    </w:p>
    <w:p w14:paraId="53B29C64" w14:textId="77777777" w:rsidR="00290D2F" w:rsidRDefault="00290D2F" w:rsidP="00290D2F">
      <w:pPr>
        <w:ind w:left="1320" w:hanging="360"/>
      </w:pPr>
      <w:r>
        <w:rPr>
          <w:rFonts w:ascii="標楷體" w:eastAsia="標楷體" w:hAnsi="標楷體"/>
          <w:color w:val="000000"/>
          <w:szCs w:val="24"/>
        </w:rPr>
        <w:t>(3)olaparib與niraparib僅能擇一使用，除因耐受不良，不得互換。</w:t>
      </w:r>
      <w:r>
        <w:rPr>
          <w:rFonts w:ascii="標楷體" w:eastAsia="標楷體" w:hAnsi="標楷體" w:cs="BiauKai"/>
          <w:color w:val="000000"/>
          <w:szCs w:val="24"/>
        </w:rPr>
        <w:t>(112/1/1)</w:t>
      </w:r>
    </w:p>
    <w:p w14:paraId="06267CC7" w14:textId="77777777" w:rsidR="00290D2F" w:rsidRDefault="00290D2F" w:rsidP="00290D2F">
      <w:pPr>
        <w:ind w:left="1344" w:hanging="480"/>
      </w:pPr>
      <w:r>
        <w:rPr>
          <w:rFonts w:ascii="標楷體" w:eastAsia="標楷體" w:hAnsi="標楷體"/>
          <w:color w:val="000000"/>
          <w:szCs w:val="24"/>
        </w:rPr>
        <w:t xml:space="preserve"> (4)niraparib使用時，</w:t>
      </w:r>
      <w:r>
        <w:rPr>
          <w:rFonts w:ascii="標楷體" w:eastAsia="標楷體" w:hAnsi="標楷體" w:cs="BiauKai"/>
          <w:color w:val="000000"/>
          <w:szCs w:val="24"/>
        </w:rPr>
        <w:t>體重大於(含)77公斤且基期血小板高於(含)15萬/uL，每日最多使用300mg；體重小於77公斤或基期血小板低於15萬/uL，每日最多使用200mg</w:t>
      </w:r>
      <w:r>
        <w:rPr>
          <w:rFonts w:ascii="標楷體" w:eastAsia="標楷體" w:hAnsi="標楷體"/>
          <w:color w:val="000000"/>
          <w:szCs w:val="24"/>
        </w:rPr>
        <w:t>。</w:t>
      </w:r>
      <w:r>
        <w:rPr>
          <w:rFonts w:ascii="標楷體" w:eastAsia="標楷體" w:hAnsi="標楷體" w:cs="BiauKai"/>
          <w:color w:val="000000"/>
          <w:szCs w:val="24"/>
        </w:rPr>
        <w:t>(112/1/1)</w:t>
      </w:r>
    </w:p>
    <w:p w14:paraId="0D8D869C" w14:textId="77777777" w:rsidR="00290D2F" w:rsidRDefault="00290D2F" w:rsidP="00290D2F">
      <w:pPr>
        <w:ind w:left="1289" w:hanging="341"/>
      </w:pPr>
      <w:r>
        <w:rPr>
          <w:rFonts w:ascii="標楷體" w:eastAsia="標楷體" w:hAnsi="標楷體"/>
          <w:kern w:val="0"/>
          <w:szCs w:val="24"/>
        </w:rPr>
        <w:t>(5)FIGO Stage IV disease具germline or somatic BRCA 1/2致病性或疑似致病性突變者，若已經申請olaparib、niraparib用於第一線化學治療後維持性治療時不得另外申請bevacizumab併用，除因olaparib、niraparib耐受性不良，在維持性治療可再換成bevacizumab(</w:t>
      </w:r>
      <w:r w:rsidRPr="00C42351">
        <w:rPr>
          <w:rFonts w:ascii="標楷體" w:eastAsia="標楷體" w:hAnsi="標楷體" w:hint="eastAsia"/>
          <w:kern w:val="0"/>
          <w:szCs w:val="24"/>
        </w:rPr>
        <w:t>除</w:t>
      </w:r>
      <w:r w:rsidRPr="00C42351">
        <w:rPr>
          <w:rFonts w:ascii="標楷體" w:eastAsia="標楷體" w:hAnsi="標楷體"/>
          <w:kern w:val="0"/>
          <w:szCs w:val="24"/>
        </w:rPr>
        <w:t>Zirabev</w:t>
      </w:r>
      <w:r w:rsidRPr="00C42351">
        <w:rPr>
          <w:rFonts w:ascii="標楷體" w:eastAsia="標楷體" w:hAnsi="標楷體" w:hint="eastAsia"/>
          <w:kern w:val="0"/>
          <w:szCs w:val="24"/>
        </w:rPr>
        <w:t>及</w:t>
      </w:r>
      <w:r w:rsidRPr="00C42351">
        <w:rPr>
          <w:rFonts w:ascii="標楷體" w:eastAsia="標楷體" w:hAnsi="標楷體"/>
          <w:kern w:val="0"/>
          <w:szCs w:val="24"/>
        </w:rPr>
        <w:t>Alymsys</w:t>
      </w:r>
      <w:r w:rsidRPr="00C42351">
        <w:rPr>
          <w:rFonts w:ascii="標楷體" w:eastAsia="標楷體" w:hAnsi="標楷體" w:hint="eastAsia"/>
          <w:kern w:val="0"/>
          <w:szCs w:val="24"/>
        </w:rPr>
        <w:t>以外</w:t>
      </w:r>
      <w:r>
        <w:rPr>
          <w:rFonts w:ascii="標楷體" w:eastAsia="標楷體" w:hAnsi="標楷體"/>
          <w:kern w:val="0"/>
          <w:szCs w:val="24"/>
        </w:rPr>
        <w:t>)單獨使用，總申請療程以17個療程為上限。(113/3/1、113/9/1</w:t>
      </w:r>
      <w:r w:rsidRPr="00C6457B">
        <w:rPr>
          <w:rFonts w:ascii="標楷體" w:eastAsia="標楷體" w:hAnsi="標楷體" w:hint="eastAsia"/>
          <w:kern w:val="0"/>
          <w:szCs w:val="24"/>
        </w:rPr>
        <w:t>、114/3/1</w:t>
      </w:r>
      <w:r>
        <w:rPr>
          <w:rFonts w:ascii="標楷體" w:eastAsia="標楷體" w:hAnsi="標楷體" w:hint="eastAsia"/>
          <w:color w:val="000000"/>
        </w:rPr>
        <w:t>、114/4/1</w:t>
      </w:r>
      <w:r>
        <w:rPr>
          <w:rFonts w:ascii="標楷體" w:eastAsia="標楷體" w:hAnsi="標楷體"/>
          <w:kern w:val="0"/>
          <w:szCs w:val="24"/>
        </w:rPr>
        <w:t>)</w:t>
      </w:r>
    </w:p>
    <w:p w14:paraId="0971B783" w14:textId="77777777" w:rsidR="00290D2F" w:rsidRDefault="00290D2F" w:rsidP="00290D2F">
      <w:pPr>
        <w:ind w:left="1133" w:hanging="425"/>
      </w:pPr>
      <w:r>
        <w:rPr>
          <w:rFonts w:ascii="標楷體" w:eastAsia="標楷體" w:hAnsi="標楷體"/>
          <w:color w:val="000000"/>
          <w:szCs w:val="24"/>
        </w:rPr>
        <w:t>2.三陰性乳癌(olaparib、talazoparib)：(109/11/1、111/6/1、111/8/1、112</w:t>
      </w:r>
      <w:r>
        <w:rPr>
          <w:rFonts w:ascii="標楷體" w:eastAsia="標楷體" w:hAnsi="標楷體" w:cs="BiauKai"/>
          <w:color w:val="000000"/>
          <w:szCs w:val="24"/>
        </w:rPr>
        <w:t>/1/1、113/6/1</w:t>
      </w:r>
      <w:r>
        <w:rPr>
          <w:rFonts w:ascii="標楷體" w:eastAsia="標楷體" w:hAnsi="標楷體"/>
          <w:color w:val="000000"/>
          <w:szCs w:val="24"/>
        </w:rPr>
        <w:t>)</w:t>
      </w:r>
    </w:p>
    <w:p w14:paraId="6A99CFD7" w14:textId="77777777" w:rsidR="00290D2F" w:rsidRDefault="00290D2F" w:rsidP="00290D2F">
      <w:pPr>
        <w:pStyle w:val="af"/>
        <w:ind w:left="1517" w:hanging="480"/>
      </w:pPr>
      <w:r>
        <w:rPr>
          <w:rFonts w:ascii="標楷體" w:eastAsia="標楷體" w:hAnsi="標楷體"/>
          <w:color w:val="000000"/>
        </w:rPr>
        <w:t>(1)olaparib單獨使用於曾接受前導性、術後輔助性或轉移性化療，且具germline BRCA 1/2致病性或疑似致病性突變之三陰性(荷爾蒙接受體及 HER2受體皆為陰性)轉移性乳癌病人。(109/11/1、111/8/1、112/1/1)</w:t>
      </w:r>
    </w:p>
    <w:p w14:paraId="29C74E3D" w14:textId="77777777" w:rsidR="00290D2F" w:rsidRDefault="00290D2F" w:rsidP="00290D2F">
      <w:pPr>
        <w:tabs>
          <w:tab w:val="left" w:pos="1418"/>
        </w:tabs>
        <w:ind w:left="1515" w:hanging="425"/>
      </w:pPr>
      <w:r>
        <w:rPr>
          <w:rFonts w:ascii="標楷體" w:eastAsia="標楷體" w:hAnsi="標楷體"/>
          <w:color w:val="000000"/>
        </w:rPr>
        <w:t>(2)</w:t>
      </w:r>
      <w:r>
        <w:rPr>
          <w:rFonts w:ascii="標楷體" w:eastAsia="標楷體" w:hAnsi="標楷體"/>
          <w:color w:val="000000"/>
          <w:szCs w:val="24"/>
        </w:rPr>
        <w:t>talazoparib</w:t>
      </w:r>
      <w:r>
        <w:rPr>
          <w:rFonts w:ascii="標楷體" w:eastAsia="標楷體" w:hAnsi="標楷體" w:cs="BiauKai"/>
          <w:color w:val="000000"/>
          <w:szCs w:val="24"/>
        </w:rPr>
        <w:t>限用於治療同時符合下列條件之18歲以上局部晚期或轉移性乳癌病患：(110/3/1、111/8/1</w:t>
      </w:r>
      <w:r>
        <w:rPr>
          <w:rFonts w:ascii="標楷體" w:eastAsia="標楷體" w:hAnsi="標楷體"/>
          <w:color w:val="000000"/>
          <w:szCs w:val="24"/>
        </w:rPr>
        <w:t>、112</w:t>
      </w:r>
      <w:r>
        <w:rPr>
          <w:rFonts w:ascii="標楷體" w:eastAsia="標楷體" w:hAnsi="標楷體" w:cs="BiauKai"/>
          <w:color w:val="000000"/>
          <w:szCs w:val="24"/>
        </w:rPr>
        <w:t>/1/1)</w:t>
      </w:r>
    </w:p>
    <w:p w14:paraId="5E11398C" w14:textId="77777777" w:rsidR="00290D2F" w:rsidRDefault="00290D2F" w:rsidP="00290D2F">
      <w:pPr>
        <w:ind w:left="1711" w:hanging="240"/>
      </w:pPr>
      <w:r>
        <w:rPr>
          <w:rFonts w:ascii="標楷體" w:eastAsia="標楷體" w:hAnsi="標楷體"/>
          <w:color w:val="000000"/>
          <w:szCs w:val="24"/>
        </w:rPr>
        <w:t>I.</w:t>
      </w:r>
      <w:r>
        <w:rPr>
          <w:rFonts w:ascii="標楷體" w:eastAsia="標楷體" w:hAnsi="標楷體" w:cs="BiauKai"/>
          <w:color w:val="000000"/>
          <w:szCs w:val="24"/>
        </w:rPr>
        <w:t>曾接受前導性、術後輔助性或轉移性化療者，或是無法接受化療者。</w:t>
      </w:r>
    </w:p>
    <w:p w14:paraId="55D9A353" w14:textId="77777777" w:rsidR="00290D2F" w:rsidRDefault="00290D2F" w:rsidP="00290D2F">
      <w:pPr>
        <w:ind w:left="1658" w:hanging="316"/>
      </w:pPr>
      <w:r>
        <w:rPr>
          <w:rFonts w:ascii="標楷體" w:eastAsia="標楷體" w:hAnsi="標楷體"/>
          <w:color w:val="000000"/>
          <w:szCs w:val="24"/>
        </w:rPr>
        <w:t>Ⅱ.</w:t>
      </w:r>
      <w:r>
        <w:rPr>
          <w:rFonts w:ascii="標楷體" w:eastAsia="標楷體" w:hAnsi="標楷體" w:cs="BiauKai"/>
          <w:color w:val="000000"/>
          <w:szCs w:val="24"/>
        </w:rPr>
        <w:t>具germline BRCA 1/2突變(110/3/1、111/8/1)</w:t>
      </w:r>
    </w:p>
    <w:p w14:paraId="195B7D79" w14:textId="77777777" w:rsidR="00290D2F" w:rsidRDefault="00290D2F" w:rsidP="00290D2F">
      <w:pPr>
        <w:ind w:left="1751" w:hanging="426"/>
      </w:pPr>
      <w:r>
        <w:rPr>
          <w:rFonts w:ascii="標楷體" w:eastAsia="標楷體" w:hAnsi="標楷體"/>
          <w:color w:val="000000"/>
          <w:szCs w:val="24"/>
        </w:rPr>
        <w:t>Ⅲ.</w:t>
      </w:r>
      <w:r>
        <w:rPr>
          <w:rFonts w:ascii="標楷體" w:eastAsia="標楷體" w:hAnsi="標楷體" w:cs="BiauKai"/>
          <w:color w:val="000000"/>
          <w:szCs w:val="24"/>
        </w:rPr>
        <w:t>第二型人類表皮生長因子接受體(HER2)、雌激素受體(ER)以及黃體素受體(PR)均呈現陰性。</w:t>
      </w:r>
    </w:p>
    <w:p w14:paraId="65E94806" w14:textId="77777777" w:rsidR="00290D2F" w:rsidRDefault="00290D2F" w:rsidP="00290D2F">
      <w:pPr>
        <w:ind w:leftChars="400" w:left="1440" w:hangingChars="200" w:hanging="480"/>
      </w:pPr>
      <w:r>
        <w:rPr>
          <w:rFonts w:ascii="標楷體" w:eastAsia="標楷體" w:hAnsi="標楷體"/>
          <w:color w:val="000000"/>
          <w:szCs w:val="24"/>
        </w:rPr>
        <w:t>(3)須經事前審查核准後使用：(109/11/1、111/6/1、111/8/1、</w:t>
      </w:r>
      <w:r>
        <w:rPr>
          <w:rFonts w:ascii="標楷體" w:eastAsia="標楷體" w:hAnsi="標楷體" w:cs="BiauKai"/>
          <w:color w:val="000000"/>
          <w:szCs w:val="24"/>
        </w:rPr>
        <w:t>112/1/1、113/6/1</w:t>
      </w:r>
      <w:r>
        <w:rPr>
          <w:rFonts w:ascii="標楷體" w:eastAsia="標楷體" w:hAnsi="標楷體"/>
          <w:color w:val="000000"/>
          <w:szCs w:val="24"/>
        </w:rPr>
        <w:t>)</w:t>
      </w:r>
    </w:p>
    <w:p w14:paraId="417CE971" w14:textId="77777777" w:rsidR="00290D2F" w:rsidRDefault="00290D2F" w:rsidP="00290D2F">
      <w:pPr>
        <w:ind w:left="1092"/>
        <w:rPr>
          <w:rFonts w:ascii="標楷體" w:eastAsia="標楷體" w:hAnsi="標楷體"/>
          <w:color w:val="000000"/>
          <w:szCs w:val="24"/>
        </w:rPr>
      </w:pPr>
      <w:r>
        <w:rPr>
          <w:rFonts w:ascii="標楷體" w:eastAsia="標楷體" w:hAnsi="標楷體"/>
          <w:color w:val="000000"/>
          <w:szCs w:val="24"/>
        </w:rPr>
        <w:t xml:space="preserve">   I.每次申請之療程以3個月為限。</w:t>
      </w:r>
    </w:p>
    <w:p w14:paraId="70147707" w14:textId="77777777" w:rsidR="00290D2F" w:rsidRDefault="00290D2F" w:rsidP="00290D2F">
      <w:pPr>
        <w:ind w:left="1723" w:hanging="480"/>
        <w:rPr>
          <w:rFonts w:ascii="標楷體" w:eastAsia="標楷體" w:hAnsi="標楷體"/>
          <w:color w:val="000000"/>
          <w:szCs w:val="24"/>
        </w:rPr>
      </w:pPr>
      <w:r>
        <w:rPr>
          <w:rFonts w:ascii="標楷體" w:eastAsia="標楷體" w:hAnsi="標楷體"/>
          <w:color w:val="000000"/>
          <w:szCs w:val="24"/>
        </w:rPr>
        <w:t xml:space="preserve"> Ⅱ.初次申請時需檢附ER、PR、HER2皆為陰性之檢測報告，以及germline BRCA 1/2突變之檢測報告，且需符合全民健康保險藥品給付規定之通則十二。 (111/6/1、111/8/1、113/6/1)</w:t>
      </w:r>
    </w:p>
    <w:p w14:paraId="5C2745B9" w14:textId="77777777" w:rsidR="00290D2F" w:rsidRDefault="00290D2F" w:rsidP="00290D2F">
      <w:pPr>
        <w:ind w:left="1667" w:hanging="510"/>
        <w:rPr>
          <w:rFonts w:ascii="標楷體" w:eastAsia="標楷體" w:hAnsi="標楷體"/>
          <w:color w:val="000000"/>
          <w:szCs w:val="24"/>
        </w:rPr>
      </w:pPr>
      <w:r>
        <w:rPr>
          <w:rFonts w:ascii="標楷體" w:eastAsia="標楷體" w:hAnsi="標楷體"/>
          <w:color w:val="000000"/>
          <w:szCs w:val="24"/>
        </w:rPr>
        <w:t xml:space="preserve"> Ⅲ.再次申請必須提出客觀證據（如：影像學）證實無惡化，才可繼續使用。</w:t>
      </w:r>
    </w:p>
    <w:p w14:paraId="69AA9F8C" w14:textId="77777777" w:rsidR="00290D2F" w:rsidRDefault="00290D2F" w:rsidP="00290D2F">
      <w:pPr>
        <w:ind w:left="1373" w:hanging="281"/>
      </w:pPr>
      <w:r>
        <w:rPr>
          <w:rFonts w:ascii="標楷體" w:eastAsia="標楷體" w:hAnsi="標楷體"/>
          <w:color w:val="000000"/>
          <w:szCs w:val="24"/>
        </w:rPr>
        <w:t>(4)</w:t>
      </w:r>
      <w:r>
        <w:rPr>
          <w:rFonts w:ascii="標楷體" w:eastAsia="標楷體" w:hAnsi="標楷體" w:cs="BiauKai"/>
          <w:color w:val="000000"/>
          <w:szCs w:val="24"/>
        </w:rPr>
        <w:t>Olaparib與talazoparib僅得擇一使用，除因耐受性不良，不得互換。（111/8/1</w:t>
      </w:r>
      <w:r>
        <w:rPr>
          <w:rFonts w:ascii="標楷體" w:eastAsia="標楷體" w:hAnsi="標楷體"/>
          <w:color w:val="000000"/>
          <w:szCs w:val="24"/>
        </w:rPr>
        <w:t>、</w:t>
      </w:r>
      <w:r>
        <w:rPr>
          <w:rFonts w:ascii="標楷體" w:eastAsia="標楷體" w:hAnsi="標楷體" w:cs="BiauKai"/>
          <w:color w:val="000000"/>
          <w:szCs w:val="24"/>
        </w:rPr>
        <w:t>112/1/1)</w:t>
      </w:r>
    </w:p>
    <w:p w14:paraId="51B7B9CA" w14:textId="77777777" w:rsidR="00290D2F" w:rsidRDefault="00290D2F" w:rsidP="00290D2F">
      <w:pPr>
        <w:ind w:left="1329" w:hanging="566"/>
        <w:rPr>
          <w:rFonts w:ascii="標楷體" w:eastAsia="標楷體" w:hAnsi="標楷體"/>
          <w:color w:val="000000"/>
        </w:rPr>
      </w:pPr>
      <w:r>
        <w:rPr>
          <w:rFonts w:ascii="標楷體" w:eastAsia="標楷體" w:hAnsi="標楷體"/>
          <w:color w:val="000000"/>
        </w:rPr>
        <w:t>3.去勢療法無效的轉移性攝護腺癌 (mCRPC) (olaparib)：（112/11/1、113/6/1)</w:t>
      </w:r>
    </w:p>
    <w:p w14:paraId="105F64DC" w14:textId="77777777" w:rsidR="00290D2F" w:rsidRDefault="00290D2F" w:rsidP="00290D2F">
      <w:pPr>
        <w:ind w:left="1569" w:hanging="566"/>
        <w:rPr>
          <w:rFonts w:ascii="標楷體" w:eastAsia="標楷體" w:hAnsi="標楷體"/>
          <w:color w:val="000000"/>
        </w:rPr>
      </w:pPr>
      <w:r>
        <w:rPr>
          <w:rFonts w:ascii="標楷體" w:eastAsia="標楷體" w:hAnsi="標楷體"/>
          <w:color w:val="000000"/>
        </w:rPr>
        <w:lastRenderedPageBreak/>
        <w:t xml:space="preserve">(1)用於具germline or somatic BRCA 1/2致病性或疑似致病性突變且先前接受過新荷爾蒙藥物(novel hormonal agents)治療後惡化之成人病人。 </w:t>
      </w:r>
    </w:p>
    <w:p w14:paraId="36AD03AB" w14:textId="77777777" w:rsidR="00290D2F" w:rsidRDefault="00290D2F" w:rsidP="00290D2F">
      <w:pPr>
        <w:ind w:left="1569" w:hanging="566"/>
        <w:rPr>
          <w:rFonts w:ascii="標楷體" w:eastAsia="標楷體" w:hAnsi="標楷體"/>
          <w:color w:val="000000"/>
        </w:rPr>
      </w:pPr>
      <w:r>
        <w:rPr>
          <w:rFonts w:ascii="標楷體" w:eastAsia="標楷體" w:hAnsi="標楷體"/>
          <w:color w:val="000000"/>
        </w:rPr>
        <w:t>(2)經事前審查核准後使用，每3個月需再次申請：(113/6/1)</w:t>
      </w:r>
    </w:p>
    <w:p w14:paraId="2672965B" w14:textId="77777777" w:rsidR="00290D2F" w:rsidRDefault="00290D2F" w:rsidP="00290D2F">
      <w:pPr>
        <w:ind w:left="1639" w:hanging="397"/>
        <w:rPr>
          <w:rFonts w:ascii="標楷體" w:eastAsia="標楷體" w:hAnsi="標楷體"/>
          <w:color w:val="000000"/>
        </w:rPr>
      </w:pPr>
      <w:r>
        <w:rPr>
          <w:rFonts w:ascii="標楷體" w:eastAsia="標楷體" w:hAnsi="標楷體"/>
          <w:color w:val="000000"/>
        </w:rPr>
        <w:t>Ⅰ.初次申請時需檢附germline or somatic BRCA 1/2突變檢測報告，且需符合全民健康保險藥品給付規定之通則十二。</w:t>
      </w:r>
    </w:p>
    <w:p w14:paraId="14FEF5BB" w14:textId="77777777" w:rsidR="00290D2F" w:rsidRDefault="00290D2F" w:rsidP="00290D2F">
      <w:pPr>
        <w:ind w:left="1639" w:hanging="397"/>
        <w:rPr>
          <w:rFonts w:ascii="標楷體" w:eastAsia="標楷體" w:hAnsi="標楷體"/>
          <w:color w:val="000000"/>
        </w:rPr>
      </w:pPr>
      <w:r>
        <w:rPr>
          <w:rFonts w:ascii="標楷體" w:eastAsia="標楷體" w:hAnsi="標楷體"/>
          <w:color w:val="000000"/>
        </w:rPr>
        <w:t>Ⅱ.申請時需檢附病理報告、使用雄性素去除療法紀錄及系列PSA和睪固酮數據。</w:t>
      </w:r>
    </w:p>
    <w:p w14:paraId="1425C427" w14:textId="77777777" w:rsidR="00290D2F" w:rsidRDefault="00290D2F" w:rsidP="00290D2F">
      <w:pPr>
        <w:ind w:left="1809" w:hanging="566"/>
        <w:rPr>
          <w:rFonts w:ascii="標楷體" w:eastAsia="標楷體" w:hAnsi="標楷體"/>
          <w:color w:val="000000"/>
        </w:rPr>
      </w:pPr>
      <w:r>
        <w:rPr>
          <w:rFonts w:ascii="標楷體" w:eastAsia="標楷體" w:hAnsi="標楷體"/>
          <w:color w:val="000000"/>
        </w:rPr>
        <w:t>Ⅲ.再申請時若PSA值下降未超過治療前的50%以上，則需停藥。</w:t>
      </w:r>
    </w:p>
    <w:p w14:paraId="07E2CF02" w14:textId="77777777" w:rsidR="00290D2F" w:rsidRDefault="00290D2F" w:rsidP="00290D2F">
      <w:pPr>
        <w:ind w:left="1639" w:hanging="397"/>
        <w:rPr>
          <w:rFonts w:ascii="標楷體" w:eastAsia="標楷體" w:hAnsi="標楷體"/>
          <w:color w:val="000000"/>
        </w:rPr>
      </w:pPr>
      <w:r>
        <w:rPr>
          <w:rFonts w:ascii="標楷體" w:eastAsia="標楷體" w:hAnsi="標楷體"/>
          <w:color w:val="000000"/>
        </w:rPr>
        <w:t>IV.下降達最低值後之持續追蹤出現PSA較最低值上升50%以上且PSA≧2ng/ml，則需停藥，但影像學證據尚無疾病進展者，可以繼續使用。</w:t>
      </w:r>
    </w:p>
    <w:p w14:paraId="232C341B" w14:textId="77777777" w:rsidR="00290D2F" w:rsidRDefault="00290D2F" w:rsidP="00290D2F">
      <w:pPr>
        <w:ind w:left="1569" w:hanging="566"/>
      </w:pPr>
      <w:r>
        <w:rPr>
          <w:rFonts w:ascii="標楷體" w:eastAsia="標楷體" w:hAnsi="標楷體"/>
          <w:color w:val="000000"/>
        </w:rPr>
        <w:t>(3)不得合併化療使用。</w:t>
      </w:r>
    </w:p>
    <w:p w14:paraId="39A3C19A" w14:textId="786F1B63" w:rsidR="00BD776B" w:rsidRDefault="00290D2F" w:rsidP="00290D2F">
      <w:pPr>
        <w:ind w:left="283"/>
      </w:pPr>
      <w:r>
        <w:rPr>
          <w:rFonts w:ascii="標楷體" w:eastAsia="標楷體" w:hAnsi="標楷體"/>
          <w:color w:val="000000"/>
          <w:szCs w:val="24"/>
        </w:rPr>
        <w:t xml:space="preserve">    4</w:t>
      </w:r>
      <w:r>
        <w:rPr>
          <w:rFonts w:ascii="標楷體" w:eastAsia="標楷體" w:hAnsi="標楷體" w:cs="BiauKai"/>
          <w:color w:val="000000"/>
          <w:szCs w:val="24"/>
        </w:rPr>
        <w:t>.</w:t>
      </w:r>
      <w:r>
        <w:rPr>
          <w:rFonts w:ascii="標楷體" w:eastAsia="標楷體" w:hAnsi="標楷體"/>
          <w:color w:val="000000"/>
          <w:szCs w:val="24"/>
        </w:rPr>
        <w:t>Olaparib每日最多使用4粒</w:t>
      </w:r>
      <w:r>
        <w:rPr>
          <w:rFonts w:ascii="標楷體" w:eastAsia="標楷體" w:hAnsi="標楷體" w:cs="BiauKai"/>
          <w:color w:val="000000"/>
          <w:szCs w:val="24"/>
        </w:rPr>
        <w:t>(112/1/1</w:t>
      </w:r>
      <w:r w:rsidR="00DF0C24">
        <w:rPr>
          <w:rFonts w:ascii="標楷體" w:eastAsia="標楷體" w:hAnsi="標楷體" w:cs="BiauKai"/>
          <w:color w:val="000000"/>
          <w:szCs w:val="24"/>
        </w:rPr>
        <w:t>)</w:t>
      </w:r>
    </w:p>
    <w:p w14:paraId="5A470CBC" w14:textId="77777777" w:rsidR="00BD776B" w:rsidRDefault="00DF0C24">
      <w:pPr>
        <w:tabs>
          <w:tab w:val="left" w:pos="1418"/>
        </w:tabs>
        <w:ind w:left="850" w:hanging="600"/>
        <w:rPr>
          <w:rFonts w:ascii="標楷體" w:eastAsia="標楷體" w:hAnsi="標楷體" w:cs="BiauKai"/>
          <w:szCs w:val="28"/>
        </w:rPr>
      </w:pPr>
      <w:r>
        <w:rPr>
          <w:rFonts w:ascii="標楷體" w:eastAsia="標楷體" w:hAnsi="標楷體" w:cs="BiauKai"/>
          <w:szCs w:val="28"/>
        </w:rPr>
        <w:t>9.86.Vandetanib (如Caprelsa)：(109/11/1)</w:t>
      </w:r>
    </w:p>
    <w:p w14:paraId="72C06654" w14:textId="77777777" w:rsidR="00BD776B" w:rsidRDefault="00DF0C24" w:rsidP="008A7063">
      <w:pPr>
        <w:numPr>
          <w:ilvl w:val="0"/>
          <w:numId w:val="30"/>
        </w:numPr>
        <w:suppressAutoHyphens w:val="0"/>
        <w:ind w:left="924" w:hanging="270"/>
        <w:jc w:val="both"/>
        <w:textAlignment w:val="auto"/>
        <w:rPr>
          <w:rFonts w:ascii="標楷體" w:eastAsia="標楷體" w:hAnsi="標楷體" w:cs="BiauKai"/>
          <w:color w:val="000000"/>
          <w:szCs w:val="28"/>
        </w:rPr>
      </w:pPr>
      <w:r>
        <w:rPr>
          <w:rFonts w:ascii="標楷體" w:eastAsia="標楷體" w:hAnsi="標楷體" w:cs="BiauKai"/>
          <w:color w:val="000000"/>
          <w:szCs w:val="28"/>
        </w:rPr>
        <w:t>適用於無法進行手術切除的局部侵犯或轉移性甲狀腺髓質癌，並且為症狀性及疾病侵襲性的患者。</w:t>
      </w:r>
    </w:p>
    <w:p w14:paraId="5A22A325" w14:textId="77777777" w:rsidR="00BD776B" w:rsidRDefault="00DF0C24" w:rsidP="008A7063">
      <w:pPr>
        <w:numPr>
          <w:ilvl w:val="0"/>
          <w:numId w:val="29"/>
        </w:numPr>
        <w:suppressAutoHyphens w:val="0"/>
        <w:ind w:left="922" w:hanging="284"/>
        <w:jc w:val="both"/>
        <w:textAlignment w:val="auto"/>
      </w:pPr>
      <w:r>
        <w:rPr>
          <w:rFonts w:ascii="標楷體" w:eastAsia="標楷體" w:hAnsi="標楷體"/>
          <w:color w:val="000000"/>
          <w:szCs w:val="28"/>
        </w:rPr>
        <w:t>需經事前審查核准後使用，每次申請之療程以6個月為限，送審時需檢送影像資料，每6個月評估一次。</w:t>
      </w:r>
    </w:p>
    <w:p w14:paraId="7DD99B61" w14:textId="77777777" w:rsidR="00BD776B" w:rsidRDefault="00DF0C24" w:rsidP="008A7063">
      <w:pPr>
        <w:numPr>
          <w:ilvl w:val="0"/>
          <w:numId w:val="29"/>
        </w:numPr>
        <w:suppressAutoHyphens w:val="0"/>
        <w:ind w:left="922" w:hanging="284"/>
        <w:jc w:val="both"/>
        <w:textAlignment w:val="auto"/>
      </w:pPr>
      <w:r>
        <w:rPr>
          <w:rFonts w:ascii="標楷體" w:eastAsia="標楷體" w:hAnsi="標楷體"/>
          <w:color w:val="000000"/>
          <w:szCs w:val="28"/>
        </w:rPr>
        <w:t>出現疾病惡化或無法忍受之藥物不良反應，應立即停用。</w:t>
      </w:r>
    </w:p>
    <w:p w14:paraId="202AC962" w14:textId="77777777" w:rsidR="00BD776B" w:rsidRDefault="00DF0C24">
      <w:pPr>
        <w:ind w:left="644"/>
        <w:jc w:val="both"/>
      </w:pPr>
      <w:r>
        <w:rPr>
          <w:rFonts w:ascii="標楷體" w:eastAsia="標楷體" w:hAnsi="標楷體"/>
          <w:color w:val="000000"/>
          <w:szCs w:val="28"/>
        </w:rPr>
        <w:t>4.每日最大劑量為300毫克。</w:t>
      </w:r>
    </w:p>
    <w:p w14:paraId="00C58DE8" w14:textId="77777777" w:rsidR="005C4867" w:rsidRDefault="005C4867" w:rsidP="005C4867">
      <w:pPr>
        <w:ind w:left="283"/>
        <w:rPr>
          <w:rFonts w:ascii="標楷體" w:eastAsia="標楷體" w:hAnsi="標楷體"/>
          <w:color w:val="000000"/>
        </w:rPr>
      </w:pPr>
      <w:r>
        <w:rPr>
          <w:rFonts w:ascii="標楷體" w:eastAsia="標楷體" w:hAnsi="標楷體"/>
          <w:color w:val="000000"/>
        </w:rPr>
        <w:t>9.87.Trastuzumab emtansine (如Kadcyla)：(110/2/1、113/8/1、114/2/1、114/5/1)</w:t>
      </w:r>
    </w:p>
    <w:p w14:paraId="35E1B8B3" w14:textId="77777777" w:rsidR="005C4867" w:rsidRDefault="005C4867" w:rsidP="005C4867">
      <w:pPr>
        <w:ind w:left="896" w:hanging="238"/>
        <w:rPr>
          <w:rFonts w:ascii="標楷體" w:eastAsia="標楷體" w:hAnsi="標楷體"/>
          <w:color w:val="000000"/>
        </w:rPr>
      </w:pPr>
      <w:r>
        <w:rPr>
          <w:rFonts w:ascii="標楷體" w:eastAsia="標楷體" w:hAnsi="標楷體"/>
          <w:color w:val="000000"/>
        </w:rPr>
        <w:t>1.早期乳癌(113/8/1、114/2/1、114/5/1)</w:t>
      </w:r>
    </w:p>
    <w:p w14:paraId="2F778671" w14:textId="77777777" w:rsidR="005C4867" w:rsidRDefault="005C4867" w:rsidP="005C4867">
      <w:pPr>
        <w:ind w:left="1248" w:hanging="397"/>
        <w:rPr>
          <w:rFonts w:ascii="標楷體" w:eastAsia="標楷體" w:hAnsi="標楷體"/>
          <w:color w:val="000000"/>
        </w:rPr>
      </w:pPr>
      <w:r>
        <w:rPr>
          <w:rFonts w:ascii="標楷體" w:eastAsia="標楷體" w:hAnsi="標楷體"/>
          <w:color w:val="000000"/>
        </w:rPr>
        <w:t>(1)使用於具HER2過度表現(IHC 3+或FISH+)之早期乳癌病人，曾接受過至少6個療程（每3週一療程，至少16週）的化學治療（其中至少3個療程(9週)的taxane藥物）和至少3個療程(9週)的trastuzumab術前輔助治療後，仍有殘留病灶的術後輔助治療，且需符合下列任一條件：</w:t>
      </w:r>
    </w:p>
    <w:p w14:paraId="176D7312"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I.具腋下淋巴結轉移但無遠處臟器轉移之早期乳癌病人。</w:t>
      </w:r>
    </w:p>
    <w:p w14:paraId="5CE44118"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Ⅱ.未發生腋下淋巴結轉移，但雌激素受體(ER)為陰性且腫瘤大於2公分之早期乳癌病人。</w:t>
      </w:r>
    </w:p>
    <w:p w14:paraId="3BA22177" w14:textId="77777777" w:rsidR="005C4867" w:rsidRDefault="005C4867" w:rsidP="005C4867">
      <w:pPr>
        <w:ind w:left="1248" w:hanging="397"/>
        <w:rPr>
          <w:rFonts w:ascii="標楷體" w:eastAsia="標楷體" w:hAnsi="標楷體"/>
          <w:color w:val="000000"/>
        </w:rPr>
      </w:pPr>
      <w:r>
        <w:rPr>
          <w:rFonts w:ascii="標楷體" w:eastAsia="標楷體" w:hAnsi="標楷體"/>
          <w:color w:val="000000"/>
        </w:rPr>
        <w:t>(2)經事前審查核准後使用，核准後每24週須檢附療效評估資料再次申請，若疾病有惡化情形即不應再行申請。每位病人使用本藥品以14個療程為上限。（113/8/1、114/5/1）</w:t>
      </w:r>
    </w:p>
    <w:p w14:paraId="55EAB3B6" w14:textId="77777777" w:rsidR="005C4867" w:rsidRDefault="005C4867" w:rsidP="005C4867">
      <w:pPr>
        <w:ind w:left="1089" w:hanging="238"/>
        <w:rPr>
          <w:rFonts w:ascii="標楷體" w:eastAsia="標楷體" w:hAnsi="標楷體"/>
          <w:color w:val="000000"/>
        </w:rPr>
      </w:pPr>
      <w:r>
        <w:rPr>
          <w:rFonts w:ascii="標楷體" w:eastAsia="標楷體" w:hAnsi="標楷體"/>
          <w:color w:val="000000"/>
        </w:rPr>
        <w:t>(3)排除使用本藥品條件：</w:t>
      </w:r>
    </w:p>
    <w:p w14:paraId="27FD3305"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I.未於術後12週內開始治療或提出治療申請。</w:t>
      </w:r>
    </w:p>
    <w:p w14:paraId="379B21DB"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Ⅱ.左心室射出分率少於45%或有症狀的心衰竭病人。</w:t>
      </w:r>
    </w:p>
    <w:p w14:paraId="556E9CA2"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Ⅲ.不得與其他抗HER2藥物併用。</w:t>
      </w:r>
    </w:p>
    <w:p w14:paraId="0F7BD709" w14:textId="77777777" w:rsidR="005C4867" w:rsidRDefault="005C4867" w:rsidP="005C4867">
      <w:pPr>
        <w:ind w:left="1248" w:hanging="397"/>
        <w:rPr>
          <w:rFonts w:ascii="標楷體" w:eastAsia="標楷體" w:hAnsi="標楷體"/>
          <w:color w:val="000000"/>
        </w:rPr>
      </w:pPr>
      <w:r>
        <w:rPr>
          <w:rFonts w:ascii="標楷體" w:eastAsia="標楷體" w:hAnsi="標楷體"/>
          <w:color w:val="000000"/>
        </w:rPr>
        <w:t>(4)本藥品申請通過後，如轉換成trastuzumab或其他抗HER2藥物後不得再次申請本藥品，且本藥品與trastuzumab使用於早期乳癌手術前後的總療程合併計算，每位病人以全部18個療程為上限。</w:t>
      </w:r>
    </w:p>
    <w:p w14:paraId="1CF52221" w14:textId="77777777" w:rsidR="005C4867" w:rsidRDefault="005C4867" w:rsidP="005C4867">
      <w:pPr>
        <w:ind w:left="896" w:hanging="238"/>
        <w:rPr>
          <w:rFonts w:ascii="標楷體" w:eastAsia="標楷體" w:hAnsi="標楷體"/>
          <w:color w:val="000000"/>
        </w:rPr>
      </w:pPr>
      <w:r>
        <w:rPr>
          <w:rFonts w:ascii="標楷體" w:eastAsia="標楷體" w:hAnsi="標楷體"/>
          <w:color w:val="000000"/>
        </w:rPr>
        <w:t>2.轉移性乳癌(110/2/1、113/8/1、114/2/1)</w:t>
      </w:r>
    </w:p>
    <w:p w14:paraId="032B05C3" w14:textId="77777777" w:rsidR="005C4867" w:rsidRDefault="005C4867" w:rsidP="005C4867">
      <w:pPr>
        <w:ind w:left="1089" w:hanging="238"/>
        <w:rPr>
          <w:rFonts w:ascii="標楷體" w:eastAsia="標楷體" w:hAnsi="標楷體"/>
          <w:color w:val="000000"/>
        </w:rPr>
      </w:pPr>
      <w:r>
        <w:rPr>
          <w:rFonts w:ascii="標楷體" w:eastAsia="標楷體" w:hAnsi="標楷體"/>
          <w:color w:val="000000"/>
        </w:rPr>
        <w:t>(1)限單獨使用於先前未使用過本藥品且HER2過度表現(IHC3+或FISH+)之轉移性乳癌病人作為二線治療，並同時符合下列情形：</w:t>
      </w:r>
    </w:p>
    <w:p w14:paraId="2488BF0A"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lastRenderedPageBreak/>
        <w:t>I.之前分別接受過trastuzumab與一種taxane藥物治療，或其合併療法，或pertuzumab與trastuzumab與一種taxane藥物治療。</w:t>
      </w:r>
    </w:p>
    <w:p w14:paraId="2D15BB20"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Ⅱ.之前已經接受過轉移性癌症治療，或在輔助療法治療期間或完成治療後6個月內癌症復發。</w:t>
      </w:r>
    </w:p>
    <w:p w14:paraId="35B898F6" w14:textId="77777777" w:rsidR="005C4867" w:rsidRDefault="005C4867" w:rsidP="005C4867">
      <w:pPr>
        <w:ind w:left="1372" w:hanging="238"/>
        <w:rPr>
          <w:rFonts w:ascii="標楷體" w:eastAsia="標楷體" w:hAnsi="標楷體"/>
          <w:color w:val="000000"/>
        </w:rPr>
      </w:pPr>
      <w:r>
        <w:rPr>
          <w:rFonts w:ascii="標楷體" w:eastAsia="標楷體" w:hAnsi="標楷體"/>
          <w:color w:val="000000"/>
        </w:rPr>
        <w:t>Ⅲ.合併有主要臟器(不包含骨及軟組織)轉移。</w:t>
      </w:r>
    </w:p>
    <w:p w14:paraId="05D0E326" w14:textId="77777777" w:rsidR="005C4867" w:rsidRDefault="005C4867" w:rsidP="005C4867">
      <w:pPr>
        <w:ind w:left="1276" w:hanging="425"/>
        <w:rPr>
          <w:rFonts w:ascii="標楷體" w:eastAsia="標楷體" w:hAnsi="標楷體"/>
          <w:color w:val="000000"/>
        </w:rPr>
      </w:pPr>
      <w:r>
        <w:rPr>
          <w:rFonts w:ascii="標楷體" w:eastAsia="標楷體" w:hAnsi="標楷體"/>
          <w:color w:val="000000"/>
        </w:rPr>
        <w:t>(2)經事前審查核准後使用，核准後每12週須檢附療效評估資料再次申請，若疾病有惡化情形即不應再行申請，每位病人至多給付10個月(13個療程為上限)。</w:t>
      </w:r>
    </w:p>
    <w:p w14:paraId="0E998872" w14:textId="39A6CABF" w:rsidR="00BD776B" w:rsidRDefault="005C4867" w:rsidP="005C4867">
      <w:pPr>
        <w:ind w:left="1089" w:hanging="238"/>
        <w:rPr>
          <w:rFonts w:ascii="標楷體" w:eastAsia="標楷體" w:hAnsi="標楷體"/>
          <w:color w:val="000000"/>
        </w:rPr>
      </w:pPr>
      <w:r>
        <w:rPr>
          <w:rFonts w:ascii="標楷體" w:eastAsia="標楷體" w:hAnsi="標楷體"/>
          <w:color w:val="000000"/>
        </w:rPr>
        <w:t>(3)Trastuzumab emtansine、lapatinib和trastuzumab deruxtecan僅能擇一給付，不得互換。(114/2/1)</w:t>
      </w:r>
    </w:p>
    <w:p w14:paraId="331427F9" w14:textId="77777777" w:rsidR="00BD776B" w:rsidRDefault="00DF0C24">
      <w:pPr>
        <w:ind w:left="283"/>
        <w:rPr>
          <w:rFonts w:ascii="標楷體" w:eastAsia="標楷體" w:hAnsi="標楷體"/>
          <w:color w:val="000000"/>
        </w:rPr>
      </w:pPr>
      <w:r>
        <w:rPr>
          <w:rFonts w:ascii="標楷體" w:eastAsia="標楷體" w:hAnsi="標楷體"/>
          <w:color w:val="000000"/>
        </w:rPr>
        <w:t>9.88.Ixabepilone (如Ixempra)：(110/2/1)</w:t>
      </w:r>
    </w:p>
    <w:p w14:paraId="274E5BE4" w14:textId="77777777" w:rsidR="00BD776B" w:rsidRDefault="00DF0C24">
      <w:pPr>
        <w:ind w:left="924" w:hanging="240"/>
        <w:rPr>
          <w:rFonts w:ascii="標楷體" w:eastAsia="標楷體" w:hAnsi="標楷體"/>
          <w:color w:val="000000"/>
        </w:rPr>
      </w:pPr>
      <w:r>
        <w:rPr>
          <w:rFonts w:ascii="標楷體" w:eastAsia="標楷體" w:hAnsi="標楷體"/>
          <w:color w:val="000000"/>
        </w:rPr>
        <w:t>1.限Ixabepilone合併capecitabine用於局部晚期或轉移性乳癌患者，需符合以下條件之一：</w:t>
      </w:r>
    </w:p>
    <w:p w14:paraId="04280AE8" w14:textId="77777777" w:rsidR="00BD776B" w:rsidRDefault="00DF0C24">
      <w:pPr>
        <w:ind w:left="991"/>
        <w:rPr>
          <w:rFonts w:ascii="標楷體" w:eastAsia="標楷體" w:hAnsi="標楷體"/>
          <w:color w:val="000000"/>
        </w:rPr>
      </w:pPr>
      <w:r>
        <w:rPr>
          <w:rFonts w:ascii="標楷體" w:eastAsia="標楷體" w:hAnsi="標楷體"/>
          <w:color w:val="000000"/>
        </w:rPr>
        <w:t>(1)對taxane有抗藥性且無法接受anthracycline治療者。</w:t>
      </w:r>
    </w:p>
    <w:p w14:paraId="0F3707ED" w14:textId="77777777" w:rsidR="00BD776B" w:rsidRDefault="00DF0C24">
      <w:pPr>
        <w:ind w:left="991"/>
        <w:rPr>
          <w:rFonts w:ascii="標楷體" w:eastAsia="標楷體" w:hAnsi="標楷體"/>
          <w:color w:val="000000"/>
        </w:rPr>
      </w:pPr>
      <w:r>
        <w:rPr>
          <w:rFonts w:ascii="標楷體" w:eastAsia="標楷體" w:hAnsi="標楷體"/>
          <w:color w:val="000000"/>
        </w:rPr>
        <w:t>(2)對taxane及anthracycline治療無效者。</w:t>
      </w:r>
    </w:p>
    <w:p w14:paraId="4D37D7ED" w14:textId="77777777" w:rsidR="00BD776B" w:rsidRDefault="00DF0C24">
      <w:pPr>
        <w:ind w:left="924" w:hanging="240"/>
        <w:rPr>
          <w:rFonts w:ascii="標楷體" w:eastAsia="標楷體" w:hAnsi="標楷體"/>
          <w:color w:val="000000"/>
        </w:rPr>
      </w:pPr>
      <w:r>
        <w:rPr>
          <w:rFonts w:ascii="標楷體" w:eastAsia="標楷體" w:hAnsi="標楷體"/>
          <w:color w:val="000000"/>
        </w:rPr>
        <w:t>2.每3個療程需進行療效評估，病歷應留存評估紀錄，無疾病惡化方可繼續使用。</w:t>
      </w:r>
    </w:p>
    <w:p w14:paraId="72638E37" w14:textId="77777777" w:rsidR="00BD776B" w:rsidRDefault="00DF0C24">
      <w:pPr>
        <w:widowControl/>
        <w:suppressAutoHyphens w:val="0"/>
        <w:ind w:left="950" w:hanging="242"/>
        <w:rPr>
          <w:rFonts w:ascii="標楷體" w:eastAsia="標楷體" w:hAnsi="標楷體"/>
          <w:color w:val="000000"/>
        </w:rPr>
      </w:pPr>
      <w:r>
        <w:rPr>
          <w:rFonts w:ascii="標楷體" w:eastAsia="標楷體" w:hAnsi="標楷體"/>
          <w:color w:val="000000"/>
        </w:rPr>
        <w:t>3.Ixabepilone與eribulin用於治療上述之轉移性乳癌患者時，僅得擇一使用，且不得互換(ixabepilone限用於未曾使用過eribulin之病患)。</w:t>
      </w:r>
    </w:p>
    <w:p w14:paraId="7053BC21" w14:textId="77777777" w:rsidR="00BD776B" w:rsidRDefault="00DF0C24">
      <w:pPr>
        <w:ind w:left="284"/>
      </w:pPr>
      <w:r>
        <w:rPr>
          <w:rFonts w:ascii="標楷體" w:eastAsia="標楷體" w:hAnsi="標楷體" w:cs="BiauKai"/>
          <w:color w:val="000000"/>
          <w:szCs w:val="24"/>
        </w:rPr>
        <w:t>9.89.(刪除)：(110/3/1、111/6/1、111/8/1</w:t>
      </w:r>
      <w:r>
        <w:rPr>
          <w:rFonts w:ascii="標楷體" w:eastAsia="標楷體" w:hAnsi="標楷體"/>
          <w:color w:val="000000"/>
          <w:szCs w:val="24"/>
        </w:rPr>
        <w:t>、112</w:t>
      </w:r>
      <w:r>
        <w:rPr>
          <w:rFonts w:ascii="標楷體" w:eastAsia="標楷體" w:hAnsi="標楷體" w:cs="BiauKai"/>
          <w:color w:val="000000"/>
          <w:szCs w:val="24"/>
        </w:rPr>
        <w:t>/1/1)</w:t>
      </w:r>
    </w:p>
    <w:p w14:paraId="57652A69" w14:textId="7D8B82BB" w:rsidR="00BD776B" w:rsidRDefault="00DF0C24">
      <w:pPr>
        <w:tabs>
          <w:tab w:val="left" w:pos="1418"/>
        </w:tabs>
        <w:snapToGrid w:val="0"/>
        <w:ind w:left="283"/>
      </w:pPr>
      <w:r>
        <w:rPr>
          <w:rFonts w:ascii="標楷體" w:eastAsia="標楷體" w:hAnsi="標楷體"/>
          <w:szCs w:val="24"/>
        </w:rPr>
        <w:t>9.90.Apalutamide (如Erleada)：(110/3/1、110/11/1、111/3/1</w:t>
      </w:r>
      <w:r>
        <w:rPr>
          <w:rFonts w:ascii="標楷體" w:eastAsia="標楷體" w:hAnsi="標楷體"/>
          <w:color w:val="000000"/>
        </w:rPr>
        <w:t>、112/9/1</w:t>
      </w:r>
      <w:r w:rsidR="00CB08C7">
        <w:rPr>
          <w:rFonts w:ascii="標楷體" w:eastAsia="標楷體" w:hAnsi="標楷體" w:hint="eastAsia"/>
          <w:color w:val="000000"/>
        </w:rPr>
        <w:t>、113/8/1</w:t>
      </w:r>
      <w:r>
        <w:rPr>
          <w:rFonts w:ascii="標楷體" w:eastAsia="標楷體" w:hAnsi="標楷體"/>
          <w:szCs w:val="24"/>
        </w:rPr>
        <w:t>)</w:t>
      </w:r>
    </w:p>
    <w:p w14:paraId="5F18D1B0" w14:textId="77777777" w:rsidR="00BD776B" w:rsidRDefault="00DF0C24">
      <w:pPr>
        <w:pStyle w:val="af"/>
        <w:tabs>
          <w:tab w:val="left" w:leader="underscore" w:pos="567"/>
        </w:tabs>
        <w:snapToGrid w:val="0"/>
        <w:spacing w:line="276" w:lineRule="auto"/>
        <w:ind w:left="851" w:hanging="280"/>
        <w:rPr>
          <w:rFonts w:ascii="標楷體" w:eastAsia="標楷體" w:hAnsi="標楷體"/>
        </w:rPr>
      </w:pPr>
      <w:r>
        <w:rPr>
          <w:rFonts w:ascii="標楷體" w:eastAsia="標楷體" w:hAnsi="標楷體"/>
        </w:rPr>
        <w:t>1.治療高風險非轉移性去勢抗性前列腺癌(high risk nmCRPC)的成年男性。</w:t>
      </w:r>
    </w:p>
    <w:p w14:paraId="56313B15" w14:textId="77777777" w:rsidR="00BD776B" w:rsidRDefault="00DF0C24">
      <w:pPr>
        <w:pStyle w:val="af"/>
        <w:tabs>
          <w:tab w:val="left" w:leader="underscore" w:pos="567"/>
        </w:tabs>
        <w:snapToGrid w:val="0"/>
        <w:spacing w:line="276" w:lineRule="auto"/>
        <w:ind w:left="1418" w:hanging="420"/>
        <w:rPr>
          <w:rFonts w:ascii="標楷體" w:eastAsia="標楷體" w:hAnsi="標楷體"/>
        </w:rPr>
      </w:pPr>
      <w:r>
        <w:rPr>
          <w:rFonts w:ascii="標楷體" w:eastAsia="標楷體" w:hAnsi="標楷體"/>
        </w:rPr>
        <w:t>(1)須經事前審查核准後使用。</w:t>
      </w:r>
    </w:p>
    <w:p w14:paraId="39B46EEB" w14:textId="77777777" w:rsidR="00BD776B" w:rsidRDefault="00DF0C24">
      <w:pPr>
        <w:pStyle w:val="af"/>
        <w:tabs>
          <w:tab w:val="left" w:leader="underscore" w:pos="567"/>
        </w:tabs>
        <w:snapToGrid w:val="0"/>
        <w:spacing w:line="276" w:lineRule="auto"/>
        <w:ind w:left="1418" w:hanging="420"/>
        <w:rPr>
          <w:rFonts w:ascii="標楷體" w:eastAsia="標楷體" w:hAnsi="標楷體"/>
        </w:rPr>
      </w:pPr>
      <w:r>
        <w:rPr>
          <w:rFonts w:ascii="標楷體" w:eastAsia="標楷體" w:hAnsi="標楷體"/>
        </w:rPr>
        <w:t>(2)初次申請時需檢附病理報告、使用雄性素去除療法紀錄，系列PSA和睪固酮數據，三個月內影像報告證明無遠端轉移。</w:t>
      </w:r>
    </w:p>
    <w:p w14:paraId="5A10027D" w14:textId="77777777" w:rsidR="00BD776B" w:rsidRDefault="00DF0C24">
      <w:pPr>
        <w:pStyle w:val="af"/>
        <w:tabs>
          <w:tab w:val="left" w:leader="underscore" w:pos="567"/>
        </w:tabs>
        <w:snapToGrid w:val="0"/>
        <w:spacing w:line="276" w:lineRule="auto"/>
        <w:ind w:left="1418" w:hanging="420"/>
        <w:rPr>
          <w:rFonts w:ascii="標楷體" w:eastAsia="標楷體" w:hAnsi="標楷體"/>
        </w:rPr>
      </w:pPr>
      <w:r>
        <w:rPr>
          <w:rFonts w:ascii="標楷體" w:eastAsia="標楷體" w:hAnsi="標楷體"/>
        </w:rPr>
        <w:t>(3)ECOG分數須≦1。</w:t>
      </w:r>
    </w:p>
    <w:p w14:paraId="333C5C70" w14:textId="77777777" w:rsidR="00BD776B" w:rsidRDefault="00DF0C24">
      <w:pPr>
        <w:pStyle w:val="af"/>
        <w:tabs>
          <w:tab w:val="left" w:leader="underscore" w:pos="567"/>
        </w:tabs>
        <w:snapToGrid w:val="0"/>
        <w:spacing w:line="276" w:lineRule="auto"/>
        <w:ind w:left="1418" w:hanging="420"/>
        <w:rPr>
          <w:rFonts w:ascii="標楷體" w:eastAsia="標楷體" w:hAnsi="標楷體"/>
        </w:rPr>
      </w:pPr>
      <w:r>
        <w:rPr>
          <w:rFonts w:ascii="標楷體" w:eastAsia="標楷體" w:hAnsi="標楷體"/>
        </w:rPr>
        <w:t>(4)PSA doubling time≦10個月，PSA倍增之時間，應依線性回歸模型計算，且其參數取得需基於下列原則：（112/9/1）</w:t>
      </w:r>
    </w:p>
    <w:p w14:paraId="2DB30529"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Ⅰ.至少三個連續PSA測量值，且各測量值皆≧0.2 ng/mL（最高的PSA值必須&gt;1.0ng/ml）。</w:t>
      </w:r>
    </w:p>
    <w:p w14:paraId="47D9D2E1"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Ⅱ.應包含先前ADT治療期間的測量值，且最少一測量值為最近3個月內測得之PSA數值。</w:t>
      </w:r>
    </w:p>
    <w:p w14:paraId="0A7BEB8A" w14:textId="77777777" w:rsidR="00BD776B" w:rsidRDefault="00DF0C24">
      <w:pPr>
        <w:tabs>
          <w:tab w:val="left" w:pos="1701"/>
        </w:tabs>
        <w:snapToGrid w:val="0"/>
        <w:spacing w:line="276" w:lineRule="auto"/>
        <w:ind w:left="1560" w:hanging="280"/>
        <w:rPr>
          <w:rFonts w:ascii="標楷體" w:eastAsia="標楷體" w:hAnsi="標楷體"/>
          <w:color w:val="000000"/>
          <w:szCs w:val="24"/>
        </w:rPr>
      </w:pPr>
      <w:r>
        <w:rPr>
          <w:rFonts w:ascii="標楷體" w:eastAsia="標楷體" w:hAnsi="標楷體"/>
          <w:color w:val="000000"/>
          <w:szCs w:val="24"/>
        </w:rPr>
        <w:t>Ⅲ.第一個和最後一個PSA測量值間隔需≧8週，但≦12個月。</w:t>
      </w:r>
    </w:p>
    <w:p w14:paraId="4F07D2E4" w14:textId="77777777" w:rsidR="00BD776B" w:rsidRDefault="00DF0C24">
      <w:pPr>
        <w:pStyle w:val="af"/>
        <w:tabs>
          <w:tab w:val="left" w:leader="underscore" w:pos="567"/>
        </w:tabs>
        <w:snapToGrid w:val="0"/>
        <w:spacing w:line="276" w:lineRule="auto"/>
        <w:ind w:left="1418" w:hanging="420"/>
        <w:rPr>
          <w:rFonts w:ascii="標楷體" w:eastAsia="標楷體" w:hAnsi="標楷體"/>
        </w:rPr>
      </w:pPr>
      <w:r>
        <w:rPr>
          <w:rFonts w:ascii="標楷體" w:eastAsia="標楷體" w:hAnsi="標楷體"/>
        </w:rPr>
        <w:t xml:space="preserve">(5)每3個月需再次申請，申請之療程以3個月為限。再次申請時，有PSA progression者，需檢附影像學報告，若影像學報告證實轉移，則需停藥;無PSA progression者，則每6個月需檢附影像學報告，若影像學報告證實轉移，則需停藥。（112/9/1） </w:t>
      </w:r>
    </w:p>
    <w:p w14:paraId="7A3252C9" w14:textId="77777777" w:rsidR="00BD776B" w:rsidRDefault="00DF0C24">
      <w:pPr>
        <w:tabs>
          <w:tab w:val="left" w:leader="underscore" w:pos="567"/>
        </w:tabs>
        <w:snapToGrid w:val="0"/>
        <w:spacing w:line="276" w:lineRule="auto"/>
        <w:ind w:left="1200"/>
        <w:rPr>
          <w:rFonts w:ascii="標楷體" w:eastAsia="標楷體" w:hAnsi="標楷體"/>
          <w:szCs w:val="24"/>
        </w:rPr>
      </w:pPr>
      <w:r>
        <w:rPr>
          <w:rFonts w:ascii="標楷體" w:eastAsia="標楷體" w:hAnsi="標楷體"/>
          <w:szCs w:val="24"/>
        </w:rPr>
        <w:t>註：</w:t>
      </w:r>
    </w:p>
    <w:p w14:paraId="779EE0AD" w14:textId="77777777" w:rsidR="00BD776B" w:rsidRDefault="00DF0C24">
      <w:pPr>
        <w:tabs>
          <w:tab w:val="left" w:leader="underscore" w:pos="567"/>
        </w:tabs>
        <w:snapToGrid w:val="0"/>
        <w:spacing w:line="276" w:lineRule="auto"/>
        <w:ind w:left="1200"/>
      </w:pPr>
      <w:r>
        <w:rPr>
          <w:rFonts w:ascii="標楷體" w:eastAsia="標楷體" w:hAnsi="標楷體"/>
          <w:szCs w:val="24"/>
        </w:rPr>
        <w:t>PSA progression 定義為:PSA下降達最低值(nadir)後，出現 PSA值上升較 nadir≧25%，且PSA≧2 ng/mL，並於至少3週後，再次抽血確認PSA值</w:t>
      </w:r>
      <w:r>
        <w:rPr>
          <w:rFonts w:ascii="標楷體" w:eastAsia="標楷體" w:hAnsi="標楷體"/>
          <w:szCs w:val="24"/>
        </w:rPr>
        <w:lastRenderedPageBreak/>
        <w:t>有上升趨勢。</w:t>
      </w:r>
    </w:p>
    <w:p w14:paraId="251E5033" w14:textId="5F650D83" w:rsidR="00BD776B" w:rsidRDefault="00DF0C24">
      <w:pPr>
        <w:tabs>
          <w:tab w:val="left" w:pos="851"/>
        </w:tabs>
        <w:snapToGrid w:val="0"/>
        <w:spacing w:line="276" w:lineRule="auto"/>
        <w:ind w:left="851" w:hanging="280"/>
      </w:pPr>
      <w:r>
        <w:rPr>
          <w:rFonts w:ascii="標楷體" w:eastAsia="標楷體" w:hAnsi="標楷體"/>
          <w:szCs w:val="24"/>
        </w:rPr>
        <w:t>2.治療高風險轉移性的去勢敏感性前列腺癌(mCSPC)，總療程以</w:t>
      </w:r>
      <w:r w:rsidR="00247DBB">
        <w:rPr>
          <w:rFonts w:ascii="標楷體" w:eastAsia="標楷體" w:hAnsi="標楷體" w:hint="eastAsia"/>
          <w:szCs w:val="24"/>
        </w:rPr>
        <w:t>36</w:t>
      </w:r>
      <w:r>
        <w:rPr>
          <w:rFonts w:ascii="標楷體" w:eastAsia="標楷體" w:hAnsi="標楷體"/>
          <w:szCs w:val="24"/>
        </w:rPr>
        <w:t>個月為上限。（110/3/1</w:t>
      </w:r>
      <w:r>
        <w:rPr>
          <w:rFonts w:ascii="標楷體" w:eastAsia="標楷體" w:hAnsi="標楷體" w:cs="BiauKai"/>
          <w:color w:val="000000"/>
          <w:szCs w:val="24"/>
        </w:rPr>
        <w:t>、</w:t>
      </w:r>
      <w:r>
        <w:rPr>
          <w:rFonts w:ascii="標楷體" w:eastAsia="標楷體" w:hAnsi="標楷體"/>
          <w:szCs w:val="24"/>
        </w:rPr>
        <w:t>111</w:t>
      </w:r>
      <w:r>
        <w:rPr>
          <w:rFonts w:ascii="標楷體" w:eastAsia="標楷體" w:hAnsi="標楷體"/>
          <w:color w:val="000000"/>
          <w:szCs w:val="24"/>
        </w:rPr>
        <w:t>/3/1</w:t>
      </w:r>
      <w:r w:rsidR="000852BF">
        <w:rPr>
          <w:rFonts w:ascii="標楷體" w:eastAsia="標楷體" w:hAnsi="標楷體" w:hint="eastAsia"/>
          <w:color w:val="000000"/>
          <w:szCs w:val="24"/>
        </w:rPr>
        <w:t>、113/8/1</w:t>
      </w:r>
      <w:r>
        <w:rPr>
          <w:rFonts w:ascii="標楷體" w:eastAsia="標楷體" w:hAnsi="標楷體"/>
          <w:szCs w:val="24"/>
        </w:rPr>
        <w:t>）</w:t>
      </w:r>
    </w:p>
    <w:p w14:paraId="16F7780A" w14:textId="77777777" w:rsidR="00BD776B" w:rsidRDefault="00DF0C24">
      <w:pPr>
        <w:pStyle w:val="af"/>
        <w:tabs>
          <w:tab w:val="left" w:leader="underscore" w:pos="567"/>
        </w:tabs>
        <w:snapToGrid w:val="0"/>
        <w:spacing w:line="276" w:lineRule="auto"/>
        <w:ind w:left="1418" w:hanging="420"/>
        <w:rPr>
          <w:rFonts w:ascii="標楷體" w:eastAsia="標楷體" w:hAnsi="標楷體"/>
        </w:rPr>
      </w:pPr>
      <w:r>
        <w:rPr>
          <w:rFonts w:ascii="標楷體" w:eastAsia="標楷體" w:hAnsi="標楷體"/>
        </w:rPr>
        <w:t>(1)須經事前審查核准後使用。</w:t>
      </w:r>
    </w:p>
    <w:p w14:paraId="2EC4E45C" w14:textId="77777777" w:rsidR="00BD776B" w:rsidRDefault="00DF0C24">
      <w:pPr>
        <w:pStyle w:val="af"/>
        <w:tabs>
          <w:tab w:val="left" w:leader="underscore" w:pos="567"/>
        </w:tabs>
        <w:snapToGrid w:val="0"/>
        <w:spacing w:line="276" w:lineRule="auto"/>
        <w:ind w:left="1418" w:hanging="420"/>
      </w:pPr>
      <w:r>
        <w:rPr>
          <w:rFonts w:ascii="標楷體" w:eastAsia="標楷體" w:hAnsi="標楷體"/>
        </w:rPr>
        <w:t>(2)每3個月需再次申請，再申請時若</w:t>
      </w:r>
      <w:r>
        <w:rPr>
          <w:rFonts w:ascii="標楷體" w:eastAsia="標楷體" w:hAnsi="標楷體"/>
          <w:color w:val="000000"/>
        </w:rPr>
        <w:t>PSA值下降未超過治療前的50%以上，則需停藥。</w:t>
      </w:r>
    </w:p>
    <w:p w14:paraId="52797743" w14:textId="77777777" w:rsidR="00BD776B" w:rsidRDefault="00DF0C24">
      <w:pPr>
        <w:pStyle w:val="af"/>
        <w:tabs>
          <w:tab w:val="left" w:leader="underscore" w:pos="567"/>
        </w:tabs>
        <w:snapToGrid w:val="0"/>
        <w:spacing w:line="276" w:lineRule="auto"/>
        <w:ind w:left="1418" w:hanging="420"/>
        <w:rPr>
          <w:rFonts w:ascii="標楷體" w:eastAsia="標楷體" w:hAnsi="標楷體"/>
          <w:color w:val="000000"/>
        </w:rPr>
      </w:pPr>
      <w:r>
        <w:rPr>
          <w:rFonts w:ascii="標楷體" w:eastAsia="標楷體" w:hAnsi="標楷體"/>
          <w:color w:val="000000"/>
        </w:rPr>
        <w:t>(3)下降達最低值後之持續追蹤出現PSA較最低值上升50%以上且PSA≧2ng/mL，則需停藥，但影像學證據尚無疾病進展者，可以繼續使用。</w:t>
      </w:r>
    </w:p>
    <w:p w14:paraId="18E11704" w14:textId="1DC628D8" w:rsidR="00BD776B" w:rsidRDefault="00DF0C24">
      <w:pPr>
        <w:pStyle w:val="af"/>
        <w:tabs>
          <w:tab w:val="left" w:leader="underscore" w:pos="567"/>
        </w:tabs>
        <w:snapToGrid w:val="0"/>
        <w:spacing w:line="276" w:lineRule="auto"/>
        <w:ind w:left="1418" w:hanging="420"/>
        <w:rPr>
          <w:rFonts w:ascii="標楷體" w:eastAsia="標楷體" w:hAnsi="標楷體"/>
          <w:color w:val="000000"/>
        </w:rPr>
      </w:pPr>
      <w:r>
        <w:rPr>
          <w:rFonts w:ascii="標楷體" w:eastAsia="標楷體" w:hAnsi="標楷體"/>
          <w:color w:val="000000"/>
        </w:rPr>
        <w:t>(4)前述高風險需符合下列三項條件中至少兩項：（111/3/1</w:t>
      </w:r>
      <w:r w:rsidR="00B3269C">
        <w:rPr>
          <w:rFonts w:ascii="標楷體" w:eastAsia="標楷體" w:hAnsi="標楷體" w:hint="eastAsia"/>
          <w:color w:val="000000"/>
        </w:rPr>
        <w:t>、113/8/1</w:t>
      </w:r>
      <w:r>
        <w:rPr>
          <w:rFonts w:ascii="標楷體" w:eastAsia="標楷體" w:hAnsi="標楷體"/>
          <w:color w:val="000000"/>
        </w:rPr>
        <w:t>）</w:t>
      </w:r>
    </w:p>
    <w:p w14:paraId="0E3CA77C" w14:textId="77777777" w:rsidR="00BD776B" w:rsidRDefault="00DF0C24">
      <w:pPr>
        <w:tabs>
          <w:tab w:val="left" w:pos="945"/>
        </w:tabs>
        <w:snapToGrid w:val="0"/>
        <w:spacing w:line="276" w:lineRule="auto"/>
        <w:ind w:left="1843" w:hanging="420"/>
      </w:pPr>
      <w:r>
        <w:rPr>
          <w:rFonts w:ascii="標楷體" w:eastAsia="標楷體" w:hAnsi="標楷體"/>
          <w:color w:val="000000"/>
          <w:szCs w:val="24"/>
        </w:rPr>
        <w:t>Ⅰ.葛里森分數(Gleason score)</w:t>
      </w:r>
      <w:r>
        <w:rPr>
          <w:rFonts w:ascii="標楷體" w:eastAsia="標楷體" w:hAnsi="標楷體" w:cs="新細明體"/>
          <w:color w:val="000000"/>
          <w:szCs w:val="24"/>
        </w:rPr>
        <w:t>≧</w:t>
      </w:r>
      <w:r>
        <w:rPr>
          <w:rFonts w:ascii="標楷體" w:eastAsia="標楷體" w:hAnsi="標楷體"/>
          <w:color w:val="000000"/>
          <w:szCs w:val="24"/>
        </w:rPr>
        <w:t>8。</w:t>
      </w:r>
    </w:p>
    <w:p w14:paraId="47F1E7E9" w14:textId="3D52B4B4" w:rsidR="00BD776B" w:rsidRDefault="004D3100">
      <w:pPr>
        <w:tabs>
          <w:tab w:val="left" w:pos="945"/>
        </w:tabs>
        <w:snapToGrid w:val="0"/>
        <w:ind w:left="1843" w:hanging="420"/>
      </w:pPr>
      <w:r w:rsidRPr="004D3100">
        <w:rPr>
          <w:rFonts w:ascii="標楷體" w:eastAsia="標楷體" w:hAnsi="標楷體" w:hint="eastAsia"/>
          <w:color w:val="000000"/>
          <w:szCs w:val="24"/>
        </w:rPr>
        <w:t>Ⅱ.骨骼掃描出現三個(含)以上病灶且至少其中一處以上為非脊柱及非骨盆腔轉移。（111/3/1、113/8/1）</w:t>
      </w:r>
    </w:p>
    <w:p w14:paraId="265AA166" w14:textId="77777777" w:rsidR="00BD776B" w:rsidRDefault="00DF0C24">
      <w:pPr>
        <w:tabs>
          <w:tab w:val="left" w:pos="945"/>
        </w:tabs>
        <w:snapToGrid w:val="0"/>
        <w:ind w:left="1843" w:hanging="420"/>
        <w:rPr>
          <w:rFonts w:ascii="標楷體" w:eastAsia="標楷體" w:hAnsi="標楷體"/>
          <w:color w:val="000000"/>
          <w:szCs w:val="24"/>
        </w:rPr>
      </w:pPr>
      <w:r>
        <w:rPr>
          <w:rFonts w:ascii="標楷體" w:eastAsia="標楷體" w:hAnsi="標楷體"/>
          <w:color w:val="000000"/>
          <w:szCs w:val="24"/>
        </w:rPr>
        <w:t>Ⅲ.出現內臟轉移。</w:t>
      </w:r>
    </w:p>
    <w:p w14:paraId="7DEE9207" w14:textId="77777777" w:rsidR="00BD776B" w:rsidRDefault="00DF0C24">
      <w:pPr>
        <w:pStyle w:val="af"/>
        <w:tabs>
          <w:tab w:val="left" w:leader="underscore" w:pos="567"/>
        </w:tabs>
        <w:snapToGrid w:val="0"/>
        <w:ind w:left="993" w:hanging="280"/>
      </w:pPr>
      <w:r>
        <w:rPr>
          <w:rFonts w:ascii="標楷體" w:eastAsia="標楷體" w:hAnsi="標楷體"/>
          <w:color w:val="000000"/>
          <w:szCs w:val="24"/>
        </w:rPr>
        <w:t>3.不論病人處於轉移或非轉移的狀態下，終生僅能接受一種治療前列腺癌的新型荷爾蒙藥品(abiraterone、apalutamide、darolutamide和enzalutamide) 且僅能擇一給付，無效後不再給付其他新型荷爾蒙藥品，且除非出現嚴重不耐受反應導致必須永久停止治療的情況，不得互換。(112/9/1)</w:t>
      </w:r>
    </w:p>
    <w:p w14:paraId="44651DCA" w14:textId="29399407" w:rsidR="00BD776B" w:rsidRDefault="00DF0C24">
      <w:pPr>
        <w:widowControl/>
        <w:suppressAutoHyphens w:val="0"/>
        <w:ind w:left="720" w:hanging="480"/>
        <w:rPr>
          <w:rFonts w:ascii="標楷體" w:eastAsia="標楷體" w:hAnsi="標楷體"/>
          <w:color w:val="000000"/>
        </w:rPr>
      </w:pPr>
      <w:r>
        <w:rPr>
          <w:rFonts w:ascii="標楷體" w:eastAsia="標楷體" w:hAnsi="標楷體"/>
          <w:color w:val="000000"/>
        </w:rPr>
        <w:t>9.91.Dabrafenib (如Tafinlar)、Trametinib (如Mekinist)：(110/3/1、113/3/1</w:t>
      </w:r>
      <w:r w:rsidR="00176071">
        <w:rPr>
          <w:rFonts w:ascii="標楷體" w:eastAsia="標楷體" w:hAnsi="標楷體" w:hint="eastAsia"/>
          <w:color w:val="000000"/>
        </w:rPr>
        <w:t>、113/6/1</w:t>
      </w:r>
      <w:r>
        <w:rPr>
          <w:rFonts w:ascii="標楷體" w:eastAsia="標楷體" w:hAnsi="標楷體"/>
          <w:color w:val="000000"/>
        </w:rPr>
        <w:t>)</w:t>
      </w:r>
    </w:p>
    <w:p w14:paraId="7634A2F9" w14:textId="77777777" w:rsidR="00BD776B" w:rsidRDefault="00DF0C24">
      <w:pPr>
        <w:widowControl/>
        <w:suppressAutoHyphens w:val="0"/>
        <w:ind w:left="910" w:hanging="202"/>
      </w:pPr>
      <w:r>
        <w:rPr>
          <w:rFonts w:ascii="標楷體" w:eastAsia="標楷體" w:hAnsi="標楷體"/>
          <w:color w:val="000000"/>
        </w:rPr>
        <w:t>1.Dabrafenib和trametinib併用於治療BRAF V600突變陽性ECOG</w:t>
      </w:r>
      <w:r>
        <w:rPr>
          <w:rFonts w:ascii="Times New Roman" w:eastAsia="標楷體" w:hAnsi="Times New Roman"/>
          <w:color w:val="000000"/>
        </w:rPr>
        <w:t>≤</w:t>
      </w:r>
      <w:r>
        <w:rPr>
          <w:rFonts w:ascii="標楷體" w:eastAsia="標楷體" w:hAnsi="標楷體"/>
          <w:color w:val="000000"/>
        </w:rPr>
        <w:t xml:space="preserve"> 2且罹患無法切除(第ⅢC期)或轉移性(第Ⅳ期)黑色素瘤之病人：</w:t>
      </w:r>
    </w:p>
    <w:p w14:paraId="5C5D2D6E" w14:textId="77777777" w:rsidR="00BD776B" w:rsidRDefault="00DF0C24">
      <w:pPr>
        <w:widowControl/>
        <w:suppressAutoHyphens w:val="0"/>
        <w:ind w:left="1344" w:hanging="353"/>
        <w:rPr>
          <w:rFonts w:ascii="標楷體" w:eastAsia="標楷體" w:hAnsi="標楷體"/>
          <w:color w:val="000000"/>
        </w:rPr>
      </w:pPr>
      <w:r>
        <w:rPr>
          <w:rFonts w:ascii="標楷體" w:eastAsia="標楷體" w:hAnsi="標楷體"/>
          <w:color w:val="000000"/>
        </w:rPr>
        <w:t>(1)需經事前審查核准後使用，每次申請療程以3個月為限，如發現病情惡化應停止使用。</w:t>
      </w:r>
    </w:p>
    <w:p w14:paraId="7DA4C247" w14:textId="77777777" w:rsidR="00BD776B" w:rsidRDefault="00DF0C24">
      <w:pPr>
        <w:widowControl/>
        <w:suppressAutoHyphens w:val="0"/>
        <w:ind w:left="1344" w:hanging="353"/>
        <w:rPr>
          <w:rFonts w:ascii="標楷體" w:eastAsia="標楷體" w:hAnsi="標楷體"/>
          <w:color w:val="000000"/>
        </w:rPr>
      </w:pPr>
      <w:r>
        <w:rPr>
          <w:rFonts w:ascii="標楷體" w:eastAsia="標楷體" w:hAnsi="標楷體"/>
          <w:color w:val="000000"/>
        </w:rPr>
        <w:t>(2)再申請時應檢附前次治療結果評估資料。</w:t>
      </w:r>
    </w:p>
    <w:p w14:paraId="34BE1E85" w14:textId="77777777" w:rsidR="00BD776B" w:rsidRDefault="00DF0C24">
      <w:pPr>
        <w:widowControl/>
        <w:suppressAutoHyphens w:val="0"/>
        <w:ind w:left="924" w:hanging="216"/>
        <w:rPr>
          <w:rFonts w:ascii="標楷體" w:eastAsia="標楷體" w:hAnsi="標楷體"/>
          <w:color w:val="000000"/>
        </w:rPr>
      </w:pPr>
      <w:r>
        <w:rPr>
          <w:rFonts w:ascii="標楷體" w:eastAsia="標楷體" w:hAnsi="標楷體"/>
          <w:color w:val="000000"/>
        </w:rPr>
        <w:t>2.Dabrafenib和trametinib併用於BRAF V600突變陽性且完全切除之第三期黑色素瘤病人術後輔助治療：</w:t>
      </w:r>
    </w:p>
    <w:p w14:paraId="7CA5B08D" w14:textId="77777777" w:rsidR="00BD776B" w:rsidRDefault="00DF0C24">
      <w:pPr>
        <w:widowControl/>
        <w:suppressAutoHyphens w:val="0"/>
        <w:ind w:left="1370" w:hanging="379"/>
        <w:rPr>
          <w:rFonts w:ascii="標楷體" w:eastAsia="標楷體" w:hAnsi="標楷體"/>
          <w:color w:val="000000"/>
        </w:rPr>
      </w:pPr>
      <w:r>
        <w:rPr>
          <w:rFonts w:ascii="標楷體" w:eastAsia="標楷體" w:hAnsi="標楷體"/>
          <w:color w:val="000000"/>
        </w:rPr>
        <w:t>(1)需經事前審查核准後使用，每次申請療程以6個月為限，如發現病情惡化應停止使用。</w:t>
      </w:r>
    </w:p>
    <w:p w14:paraId="7B730210" w14:textId="77777777" w:rsidR="00BD776B" w:rsidRDefault="00DF0C24">
      <w:pPr>
        <w:widowControl/>
        <w:suppressAutoHyphens w:val="0"/>
        <w:ind w:left="1370" w:hanging="379"/>
        <w:rPr>
          <w:rFonts w:ascii="標楷體" w:eastAsia="標楷體" w:hAnsi="標楷體"/>
          <w:color w:val="000000"/>
        </w:rPr>
      </w:pPr>
      <w:r>
        <w:rPr>
          <w:rFonts w:ascii="標楷體" w:eastAsia="標楷體" w:hAnsi="標楷體"/>
          <w:color w:val="000000"/>
        </w:rPr>
        <w:t>(2)限用1年。</w:t>
      </w:r>
    </w:p>
    <w:p w14:paraId="06230EEF" w14:textId="77777777" w:rsidR="00BD776B" w:rsidRDefault="00DF0C24">
      <w:pPr>
        <w:widowControl/>
        <w:suppressAutoHyphens w:val="0"/>
        <w:ind w:left="979" w:hanging="271"/>
        <w:rPr>
          <w:rFonts w:ascii="標楷體" w:eastAsia="標楷體" w:hAnsi="標楷體"/>
          <w:color w:val="000000"/>
        </w:rPr>
      </w:pPr>
      <w:r>
        <w:rPr>
          <w:rFonts w:ascii="標楷體" w:eastAsia="標楷體" w:hAnsi="標楷體"/>
          <w:color w:val="000000"/>
        </w:rPr>
        <w:t>3.本品(dabrafenib併用trametinib之治療組合)與vemurafenib僅能擇一使用，除因耐受性不良，不得互換。</w:t>
      </w:r>
    </w:p>
    <w:p w14:paraId="0A00A8B1" w14:textId="2F5E0526" w:rsidR="00BD776B" w:rsidRDefault="00DF0C24">
      <w:pPr>
        <w:ind w:left="840" w:hanging="274"/>
      </w:pPr>
      <w:r>
        <w:t xml:space="preserve">  4. </w:t>
      </w:r>
      <w:r>
        <w:rPr>
          <w:rFonts w:ascii="標楷體" w:eastAsia="標楷體" w:hAnsi="標楷體"/>
          <w:color w:val="000000"/>
        </w:rPr>
        <w:t>Dabrafenib與trametinib併用於治療BRAF V600E突變之轉移性(第IV期)非小細胞肺癌成人病人：(113/3/1</w:t>
      </w:r>
      <w:r w:rsidR="00DE289D">
        <w:rPr>
          <w:rFonts w:ascii="標楷體" w:eastAsia="標楷體" w:hAnsi="標楷體" w:hint="eastAsia"/>
          <w:color w:val="000000"/>
        </w:rPr>
        <w:t>、113/6/1</w:t>
      </w:r>
      <w:r>
        <w:rPr>
          <w:rFonts w:ascii="標楷體" w:eastAsia="標楷體" w:hAnsi="標楷體"/>
          <w:color w:val="000000"/>
        </w:rPr>
        <w:t>)</w:t>
      </w:r>
    </w:p>
    <w:p w14:paraId="565434D0" w14:textId="77777777" w:rsidR="00BD776B" w:rsidRDefault="00DF0C24">
      <w:pPr>
        <w:ind w:left="1416" w:hanging="422"/>
        <w:rPr>
          <w:rFonts w:ascii="標楷體" w:eastAsia="標楷體" w:hAnsi="標楷體"/>
          <w:color w:val="000000"/>
        </w:rPr>
      </w:pPr>
      <w:r>
        <w:rPr>
          <w:rFonts w:ascii="標楷體" w:eastAsia="標楷體" w:hAnsi="標楷體"/>
          <w:color w:val="000000"/>
        </w:rPr>
        <w:t>(1)作為先前已接受過第一線含鉑化學治療，但仍惡化的轉移性(第IV期)非小細胞肺癌成人病人第二線治療，使用本品無效後則不再給付該適應症相關之免疫檢查點PD-1、PD-L1抑制劑。</w:t>
      </w:r>
    </w:p>
    <w:p w14:paraId="777AF756" w14:textId="77777777" w:rsidR="00BD776B" w:rsidRDefault="00DF0C24">
      <w:pPr>
        <w:ind w:left="1416" w:hanging="422"/>
        <w:rPr>
          <w:rFonts w:ascii="標楷體" w:eastAsia="標楷體" w:hAnsi="標楷體"/>
          <w:color w:val="000000"/>
        </w:rPr>
      </w:pPr>
      <w:r>
        <w:rPr>
          <w:rFonts w:ascii="標楷體" w:eastAsia="標楷體" w:hAnsi="標楷體"/>
          <w:color w:val="000000"/>
        </w:rPr>
        <w:t>(2)須經事前審查核准後使用:</w:t>
      </w:r>
    </w:p>
    <w:p w14:paraId="436F8E09" w14:textId="363EAC67" w:rsidR="00BD776B" w:rsidRDefault="00DF0C24">
      <w:pPr>
        <w:ind w:left="1699" w:hanging="283"/>
        <w:rPr>
          <w:rFonts w:ascii="標楷體" w:eastAsia="標楷體" w:hAnsi="標楷體"/>
          <w:color w:val="000000"/>
        </w:rPr>
      </w:pPr>
      <w:r>
        <w:rPr>
          <w:rFonts w:ascii="標楷體" w:eastAsia="標楷體" w:hAnsi="標楷體"/>
          <w:color w:val="000000"/>
        </w:rPr>
        <w:t>I.</w:t>
      </w:r>
      <w:r w:rsidR="00876214" w:rsidRPr="00876214">
        <w:rPr>
          <w:rFonts w:ascii="標楷體" w:eastAsia="標楷體" w:hAnsi="標楷體" w:hint="eastAsia"/>
          <w:color w:val="000000"/>
        </w:rPr>
        <w:t>初次申請時需檢附確實患有非小細胞肺癌之病理或細胞檢查報告以及 BRAF V600E 突變檢測報告，且需符合全民健康保險藥品給付規定之通則十二。</w:t>
      </w:r>
    </w:p>
    <w:p w14:paraId="29A8C969" w14:textId="77777777" w:rsidR="00BD776B" w:rsidRDefault="00DF0C24">
      <w:pPr>
        <w:ind w:left="1699" w:hanging="281"/>
        <w:rPr>
          <w:rFonts w:ascii="標楷體" w:eastAsia="標楷體" w:hAnsi="標楷體"/>
          <w:color w:val="000000"/>
        </w:rPr>
      </w:pPr>
      <w:r>
        <w:rPr>
          <w:rFonts w:ascii="標楷體" w:eastAsia="標楷體" w:hAnsi="標楷體"/>
          <w:color w:val="000000"/>
        </w:rPr>
        <w:t>II.每次申請事前審查之療程以3個月為限，每3個月需再次申請，再次申請時並需附上治療後相關臨床資料，若病情惡化即不得再次申請。</w:t>
      </w:r>
    </w:p>
    <w:p w14:paraId="4B438853" w14:textId="77777777" w:rsidR="00BD776B" w:rsidRDefault="00DF0C24">
      <w:pPr>
        <w:ind w:left="283"/>
        <w:rPr>
          <w:rFonts w:ascii="標楷體" w:eastAsia="標楷體" w:hAnsi="標楷體"/>
          <w:color w:val="000000"/>
        </w:rPr>
      </w:pPr>
      <w:r>
        <w:rPr>
          <w:rFonts w:ascii="標楷體" w:eastAsia="標楷體" w:hAnsi="標楷體"/>
          <w:color w:val="000000"/>
        </w:rPr>
        <w:lastRenderedPageBreak/>
        <w:t>9.92. Ramucirumab (如Cyramza)：(110/5/1)</w:t>
      </w:r>
    </w:p>
    <w:p w14:paraId="78D1C76B" w14:textId="77777777" w:rsidR="00BD776B" w:rsidRDefault="00DF0C24">
      <w:pPr>
        <w:ind w:left="814" w:hanging="245"/>
      </w:pPr>
      <w:r>
        <w:rPr>
          <w:rFonts w:ascii="標楷體" w:eastAsia="標楷體" w:hAnsi="標楷體"/>
          <w:color w:val="000000"/>
        </w:rPr>
        <w:t>1.單一療法適用於接受過sorafenib治療失敗後之轉移性或無法手術切除且不適合局部治療或局部治療失敗，且alpha- fetoprotein (AFP)</w:t>
      </w:r>
      <w:r>
        <w:rPr>
          <w:rFonts w:ascii="Times New Roman" w:eastAsia="標楷體" w:hAnsi="Times New Roman"/>
          <w:color w:val="000000"/>
        </w:rPr>
        <w:t>≥</w:t>
      </w:r>
      <w:r>
        <w:rPr>
          <w:rFonts w:ascii="標楷體" w:eastAsia="標楷體" w:hAnsi="標楷體"/>
          <w:color w:val="000000"/>
        </w:rPr>
        <w:t xml:space="preserve"> 400ng/mL之Child-Pugh A class晚期肝細胞癌成人患者。</w:t>
      </w:r>
    </w:p>
    <w:p w14:paraId="22DC49F6" w14:textId="77777777" w:rsidR="00BD776B" w:rsidRDefault="00DF0C24">
      <w:pPr>
        <w:ind w:left="814" w:hanging="245"/>
        <w:rPr>
          <w:rFonts w:ascii="標楷體" w:eastAsia="標楷體" w:hAnsi="標楷體"/>
          <w:color w:val="000000"/>
        </w:rPr>
      </w:pPr>
      <w:r>
        <w:rPr>
          <w:rFonts w:ascii="標楷體" w:eastAsia="標楷體" w:hAnsi="標楷體"/>
          <w:color w:val="000000"/>
        </w:rPr>
        <w:t>2.需經事前審查核准後使用，初次申請之療程以12週為限，之後每8週評估一次。送審時需檢送影像資料，無疾病惡化方可繼續使用。</w:t>
      </w:r>
    </w:p>
    <w:p w14:paraId="780E2008" w14:textId="77777777" w:rsidR="00BD776B" w:rsidRDefault="00DF0C24">
      <w:pPr>
        <w:ind w:left="814" w:hanging="245"/>
        <w:rPr>
          <w:rFonts w:ascii="標楷體" w:eastAsia="標楷體" w:hAnsi="標楷體"/>
          <w:color w:val="000000"/>
        </w:rPr>
      </w:pPr>
      <w:r>
        <w:rPr>
          <w:rFonts w:ascii="標楷體" w:eastAsia="標楷體" w:hAnsi="標楷體"/>
          <w:color w:val="000000"/>
        </w:rPr>
        <w:t>3.Ramucirumab與regorafenib、nivolumab僅能擇一使用，不得互換。</w:t>
      </w:r>
    </w:p>
    <w:p w14:paraId="50EFBF8D" w14:textId="70672011" w:rsidR="00BD776B" w:rsidRDefault="00DF0C24">
      <w:pPr>
        <w:ind w:left="283"/>
        <w:rPr>
          <w:rFonts w:ascii="標楷體" w:eastAsia="標楷體" w:hAnsi="標楷體"/>
          <w:color w:val="000000"/>
        </w:rPr>
      </w:pPr>
      <w:r>
        <w:rPr>
          <w:rFonts w:ascii="標楷體" w:eastAsia="標楷體" w:hAnsi="標楷體"/>
          <w:color w:val="000000"/>
        </w:rPr>
        <w:t>9.93.Entrectinib (如Rozlytrek)：(110/7/1</w:t>
      </w:r>
      <w:r w:rsidR="00D352F9">
        <w:rPr>
          <w:rFonts w:ascii="標楷體" w:eastAsia="標楷體" w:hAnsi="標楷體" w:hint="eastAsia"/>
          <w:color w:val="000000"/>
        </w:rPr>
        <w:t>、113/6/1</w:t>
      </w:r>
      <w:r>
        <w:rPr>
          <w:rFonts w:ascii="標楷體" w:eastAsia="標楷體" w:hAnsi="標楷體"/>
          <w:color w:val="000000"/>
        </w:rPr>
        <w:t>)</w:t>
      </w:r>
    </w:p>
    <w:p w14:paraId="18946CC0" w14:textId="77777777" w:rsidR="00BD776B" w:rsidRDefault="00DF0C24">
      <w:pPr>
        <w:ind w:left="566"/>
        <w:rPr>
          <w:rFonts w:ascii="標楷體" w:eastAsia="標楷體" w:hAnsi="標楷體"/>
          <w:color w:val="000000"/>
        </w:rPr>
      </w:pPr>
      <w:r>
        <w:rPr>
          <w:rFonts w:ascii="標楷體" w:eastAsia="標楷體" w:hAnsi="標楷體"/>
          <w:color w:val="000000"/>
        </w:rPr>
        <w:t>1.單獨使用於ROS-1陽性之局部晚期或轉移性非小細胞肺癌的成人病人。</w:t>
      </w:r>
    </w:p>
    <w:p w14:paraId="111CC424" w14:textId="7EB5EFE9" w:rsidR="00BD776B" w:rsidRDefault="00DF0C24">
      <w:pPr>
        <w:ind w:left="566"/>
        <w:rPr>
          <w:rFonts w:ascii="標楷體" w:eastAsia="標楷體" w:hAnsi="標楷體"/>
          <w:color w:val="000000"/>
        </w:rPr>
      </w:pPr>
      <w:r>
        <w:rPr>
          <w:rFonts w:ascii="標楷體" w:eastAsia="標楷體" w:hAnsi="標楷體"/>
          <w:color w:val="000000"/>
        </w:rPr>
        <w:t>2.須經事前審查核准後使用：</w:t>
      </w:r>
      <w:r w:rsidR="003744B7" w:rsidRPr="003744B7">
        <w:rPr>
          <w:rFonts w:ascii="標楷體" w:eastAsia="標楷體" w:hAnsi="標楷體"/>
          <w:color w:val="000000"/>
        </w:rPr>
        <w:t>(113/6/1)</w:t>
      </w:r>
    </w:p>
    <w:p w14:paraId="179D4A02" w14:textId="1EB583FE" w:rsidR="00BD776B" w:rsidRDefault="00DF0C24">
      <w:pPr>
        <w:ind w:left="1416" w:hanging="425"/>
        <w:rPr>
          <w:rFonts w:ascii="標楷體" w:eastAsia="標楷體" w:hAnsi="標楷體"/>
          <w:color w:val="000000"/>
        </w:rPr>
      </w:pPr>
      <w:r>
        <w:rPr>
          <w:rFonts w:ascii="標楷體" w:eastAsia="標楷體" w:hAnsi="標楷體"/>
          <w:color w:val="000000"/>
        </w:rPr>
        <w:t>(1)</w:t>
      </w:r>
      <w:r w:rsidR="00CA79BC" w:rsidRPr="00CA79BC">
        <w:rPr>
          <w:rFonts w:ascii="標楷體" w:eastAsia="標楷體" w:hAnsi="標楷體" w:hint="eastAsia"/>
          <w:color w:val="000000"/>
        </w:rPr>
        <w:t>需檢具確實患有非小細胞肺癌之病理或細胞檢查報告，以及符合診斷之ROS-1突變檢測報告，且需符合全民健康保險藥品給付規定之通則十二。</w:t>
      </w:r>
    </w:p>
    <w:p w14:paraId="082CF9A9" w14:textId="052CB201" w:rsidR="00BD776B" w:rsidRDefault="00DF0C24">
      <w:pPr>
        <w:ind w:left="1416" w:hanging="425"/>
        <w:rPr>
          <w:rFonts w:ascii="標楷體" w:eastAsia="標楷體" w:hAnsi="標楷體"/>
          <w:color w:val="000000"/>
        </w:rPr>
      </w:pPr>
      <w:r>
        <w:rPr>
          <w:rFonts w:ascii="標楷體" w:eastAsia="標楷體" w:hAnsi="標楷體"/>
          <w:color w:val="000000"/>
        </w:rPr>
        <w:t>(2)每次申請事前審查之療程以三個月為限，每三個月需再次申請，再次申請時並需附上治療後相關臨床資料，如給藥4週後，需追蹤胸部X光或電腦斷層等影像檢查評估療效，往後每4週做胸部X光檢查，每隔8週需追蹤其作為評估藥效的影像(如胸部X光或電腦斷層)，若病情惡化即不得再次申請。</w:t>
      </w:r>
    </w:p>
    <w:p w14:paraId="40726E15" w14:textId="77777777" w:rsidR="00BD776B" w:rsidRDefault="00DF0C24">
      <w:pPr>
        <w:ind w:left="811" w:hanging="245"/>
        <w:rPr>
          <w:rFonts w:ascii="標楷體" w:eastAsia="標楷體" w:hAnsi="標楷體"/>
          <w:color w:val="000000"/>
        </w:rPr>
      </w:pPr>
      <w:r>
        <w:rPr>
          <w:rFonts w:ascii="標楷體" w:eastAsia="標楷體" w:hAnsi="標楷體"/>
          <w:color w:val="000000"/>
        </w:rPr>
        <w:t>3.Entrectinib與crizotinib用於ROS-1陽性之晚期非小細胞肺癌時，僅得擇一使用，除因病人使用後，發生嚴重不良反應或耐受不良之情形外，不得互換。</w:t>
      </w:r>
    </w:p>
    <w:p w14:paraId="00F6037C" w14:textId="77777777" w:rsidR="00BD776B" w:rsidRDefault="00DF0C24">
      <w:pPr>
        <w:widowControl/>
        <w:suppressAutoHyphens w:val="0"/>
        <w:ind w:left="566"/>
        <w:rPr>
          <w:rFonts w:ascii="標楷體" w:eastAsia="標楷體" w:hAnsi="標楷體"/>
          <w:color w:val="000000"/>
        </w:rPr>
      </w:pPr>
      <w:r>
        <w:rPr>
          <w:rFonts w:ascii="標楷體" w:eastAsia="標楷體" w:hAnsi="標楷體"/>
          <w:color w:val="000000"/>
        </w:rPr>
        <w:t>4.每日最大劑量限600mg。</w:t>
      </w:r>
    </w:p>
    <w:p w14:paraId="78F05614" w14:textId="09B41DE2" w:rsidR="00BD776B" w:rsidRDefault="00DF0C24">
      <w:pPr>
        <w:ind w:left="567" w:hanging="245"/>
        <w:rPr>
          <w:rFonts w:ascii="標楷體" w:eastAsia="標楷體" w:hAnsi="標楷體"/>
          <w:color w:val="000000"/>
        </w:rPr>
      </w:pPr>
      <w:bookmarkStart w:id="24" w:name="_Hlk85807933"/>
      <w:r>
        <w:rPr>
          <w:rFonts w:ascii="標楷體" w:eastAsia="標楷體" w:hAnsi="標楷體"/>
          <w:color w:val="000000"/>
        </w:rPr>
        <w:t>9.94.Darolutamide(如Nubeqa)：(110/11/1、112/9/1、113/5/1</w:t>
      </w:r>
      <w:r w:rsidR="00B82487">
        <w:rPr>
          <w:rFonts w:ascii="標楷體" w:eastAsia="標楷體" w:hAnsi="標楷體" w:hint="eastAsia"/>
          <w:color w:val="000000"/>
        </w:rPr>
        <w:t>、113/8/1</w:t>
      </w:r>
      <w:r>
        <w:rPr>
          <w:rFonts w:ascii="標楷體" w:eastAsia="標楷體" w:hAnsi="標楷體"/>
          <w:color w:val="000000"/>
        </w:rPr>
        <w:t>)</w:t>
      </w:r>
    </w:p>
    <w:p w14:paraId="372339A6" w14:textId="77777777" w:rsidR="00BD776B" w:rsidRDefault="00DF0C24">
      <w:pPr>
        <w:ind w:left="811" w:hanging="245"/>
        <w:rPr>
          <w:rFonts w:ascii="標楷體" w:eastAsia="標楷體" w:hAnsi="標楷體"/>
          <w:color w:val="000000"/>
        </w:rPr>
      </w:pPr>
      <w:r>
        <w:rPr>
          <w:rFonts w:ascii="標楷體" w:eastAsia="標楷體" w:hAnsi="標楷體"/>
          <w:color w:val="000000"/>
        </w:rPr>
        <w:t>1.與docetaxel併用於治療高風險轉移性的去勢敏感性前列腺癌(mCSPC)，總療程以24個月為上限。(113/5/1)</w:t>
      </w:r>
    </w:p>
    <w:p w14:paraId="5D676866" w14:textId="77777777" w:rsidR="00BD776B" w:rsidRDefault="00DF0C24">
      <w:pPr>
        <w:ind w:left="1051" w:hanging="245"/>
        <w:rPr>
          <w:rFonts w:ascii="標楷體" w:eastAsia="標楷體" w:hAnsi="標楷體"/>
          <w:color w:val="000000"/>
        </w:rPr>
      </w:pPr>
      <w:r>
        <w:rPr>
          <w:rFonts w:ascii="標楷體" w:eastAsia="標楷體" w:hAnsi="標楷體"/>
          <w:color w:val="000000"/>
        </w:rPr>
        <w:t>(1)須經事前審查核准後使用。</w:t>
      </w:r>
    </w:p>
    <w:p w14:paraId="631CFBC0" w14:textId="77777777" w:rsidR="00BD776B" w:rsidRDefault="00DF0C24">
      <w:pPr>
        <w:ind w:left="1146" w:hanging="340"/>
        <w:rPr>
          <w:rFonts w:ascii="標楷體" w:eastAsia="標楷體" w:hAnsi="標楷體"/>
          <w:color w:val="000000"/>
        </w:rPr>
      </w:pPr>
      <w:r>
        <w:rPr>
          <w:rFonts w:ascii="標楷體" w:eastAsia="標楷體" w:hAnsi="標楷體"/>
          <w:color w:val="000000"/>
        </w:rPr>
        <w:t>(2)每3個月需再次申請，再申請時若PSA值下降未超過治療前的50%以上，則需停藥。</w:t>
      </w:r>
    </w:p>
    <w:p w14:paraId="69F2E7C3" w14:textId="77777777" w:rsidR="00BD776B" w:rsidRDefault="00DF0C24">
      <w:pPr>
        <w:ind w:left="1146" w:hanging="340"/>
        <w:rPr>
          <w:rFonts w:ascii="標楷體" w:eastAsia="標楷體" w:hAnsi="標楷體"/>
          <w:color w:val="000000"/>
        </w:rPr>
      </w:pPr>
      <w:r>
        <w:rPr>
          <w:rFonts w:ascii="標楷體" w:eastAsia="標楷體" w:hAnsi="標楷體"/>
          <w:color w:val="000000"/>
        </w:rPr>
        <w:t>(3)下降達最低值後之持續追蹤出現PSA較最低值上升50%以上且PSA≧2ng/mL，則需停藥，但影像學證據尚無疾病進展者，可以繼續使用。</w:t>
      </w:r>
    </w:p>
    <w:p w14:paraId="26B21D13" w14:textId="0A99E8F2" w:rsidR="00BD776B" w:rsidRDefault="008B1F22">
      <w:pPr>
        <w:ind w:left="1051" w:hanging="245"/>
        <w:rPr>
          <w:rFonts w:ascii="標楷體" w:eastAsia="標楷體" w:hAnsi="標楷體"/>
          <w:color w:val="000000"/>
        </w:rPr>
      </w:pPr>
      <w:r w:rsidRPr="008B1F22">
        <w:rPr>
          <w:rFonts w:ascii="標楷體" w:eastAsia="標楷體" w:hAnsi="標楷體" w:hint="eastAsia"/>
          <w:color w:val="000000"/>
        </w:rPr>
        <w:t>(4)前述高風險需符合下列三項條件中至少兩項(113/5/1、113/8/1)：</w:t>
      </w:r>
    </w:p>
    <w:p w14:paraId="1A1237B3"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Ⅰ.葛里森分數(Gleason score)≧8。</w:t>
      </w:r>
    </w:p>
    <w:p w14:paraId="47EF80AE" w14:textId="34A9876D" w:rsidR="00BD776B" w:rsidRDefault="00DF0C24">
      <w:pPr>
        <w:ind w:left="1373" w:hanging="454"/>
        <w:rPr>
          <w:rFonts w:ascii="標楷體" w:eastAsia="標楷體" w:hAnsi="標楷體"/>
          <w:color w:val="000000"/>
        </w:rPr>
      </w:pPr>
      <w:r>
        <w:rPr>
          <w:rFonts w:ascii="標楷體" w:eastAsia="標楷體" w:hAnsi="標楷體"/>
          <w:color w:val="000000"/>
        </w:rPr>
        <w:t xml:space="preserve"> </w:t>
      </w:r>
      <w:r w:rsidR="00D13B82" w:rsidRPr="00D13B82">
        <w:rPr>
          <w:rFonts w:ascii="標楷體" w:eastAsia="標楷體" w:hAnsi="標楷體" w:hint="eastAsia"/>
          <w:color w:val="000000"/>
        </w:rPr>
        <w:t>Ⅱ.骨骼掃描出現三個(含)以上病灶且至少其中一處以上為非脊柱及非骨盆腔轉移。(113/5/1、113/8/1)</w:t>
      </w:r>
    </w:p>
    <w:p w14:paraId="4A2864F5"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Ⅲ.出現內臟轉移。</w:t>
      </w:r>
    </w:p>
    <w:p w14:paraId="0AB5EB5E" w14:textId="77777777" w:rsidR="00BD776B" w:rsidRDefault="00DF0C24">
      <w:pPr>
        <w:ind w:left="1051" w:hanging="245"/>
        <w:rPr>
          <w:rFonts w:ascii="標楷體" w:eastAsia="標楷體" w:hAnsi="標楷體"/>
          <w:color w:val="000000"/>
        </w:rPr>
      </w:pPr>
      <w:r>
        <w:rPr>
          <w:rFonts w:ascii="標楷體" w:eastAsia="標楷體" w:hAnsi="標楷體"/>
          <w:color w:val="000000"/>
        </w:rPr>
        <w:t xml:space="preserve">(5)與docetaxel併用，docetaxel  </w:t>
      </w:r>
    </w:p>
    <w:p w14:paraId="001318E5" w14:textId="77777777" w:rsidR="00BD776B" w:rsidRDefault="00DF0C24">
      <w:pPr>
        <w:ind w:left="1051" w:hanging="245"/>
        <w:rPr>
          <w:rFonts w:ascii="標楷體" w:eastAsia="標楷體" w:hAnsi="標楷體"/>
          <w:color w:val="000000"/>
        </w:rPr>
      </w:pPr>
      <w:r>
        <w:rPr>
          <w:rFonts w:ascii="標楷體" w:eastAsia="標楷體" w:hAnsi="標楷體"/>
          <w:color w:val="000000"/>
        </w:rPr>
        <w:t xml:space="preserve">   限使用6個療程，且須符合下列所有條件：</w:t>
      </w:r>
    </w:p>
    <w:p w14:paraId="77AEAEF4"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Ⅰ.ECOG≦1。</w:t>
      </w:r>
    </w:p>
    <w:p w14:paraId="037AB577"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Ⅱ.絕對嗜中性球計數≧1500/mm3。</w:t>
      </w:r>
    </w:p>
    <w:p w14:paraId="159049DC"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Ⅲ.血小板計數≧100,000/mm3。</w:t>
      </w:r>
    </w:p>
    <w:p w14:paraId="5B6E362A"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IV.GPT≦2倍之正常值上限。</w:t>
      </w:r>
    </w:p>
    <w:p w14:paraId="2E20E0C5"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V.Total bilirubin≦正常值上限。</w:t>
      </w:r>
    </w:p>
    <w:p w14:paraId="3E5BB48B"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VI.eGFR≧30mL/min/1.73m2 </w:t>
      </w:r>
    </w:p>
    <w:p w14:paraId="5F29FD34" w14:textId="77777777" w:rsidR="00BD776B" w:rsidRDefault="00DF0C24">
      <w:pPr>
        <w:ind w:left="811" w:hanging="245"/>
        <w:rPr>
          <w:rFonts w:ascii="標楷體" w:eastAsia="標楷體" w:hAnsi="標楷體"/>
          <w:color w:val="000000"/>
        </w:rPr>
      </w:pPr>
      <w:r>
        <w:rPr>
          <w:rFonts w:ascii="標楷體" w:eastAsia="標楷體" w:hAnsi="標楷體"/>
          <w:color w:val="000000"/>
        </w:rPr>
        <w:t>2.治療高風險非轉移性去勢抗性前列腺癌(high risk nmCRPC)的成年男性。</w:t>
      </w:r>
    </w:p>
    <w:p w14:paraId="68E3A362" w14:textId="77777777" w:rsidR="00BD776B" w:rsidRDefault="00DF0C24">
      <w:pPr>
        <w:ind w:left="1051" w:hanging="245"/>
        <w:rPr>
          <w:rFonts w:ascii="標楷體" w:eastAsia="標楷體" w:hAnsi="標楷體"/>
          <w:color w:val="000000"/>
        </w:rPr>
      </w:pPr>
      <w:r>
        <w:rPr>
          <w:rFonts w:ascii="標楷體" w:eastAsia="標楷體" w:hAnsi="標楷體"/>
          <w:color w:val="000000"/>
        </w:rPr>
        <w:t>(1)須經事前審查核准後使用。</w:t>
      </w:r>
    </w:p>
    <w:p w14:paraId="7FFFCB3A" w14:textId="77777777" w:rsidR="00BD776B" w:rsidRDefault="00DF0C24">
      <w:pPr>
        <w:ind w:left="1051" w:hanging="245"/>
        <w:rPr>
          <w:rFonts w:ascii="標楷體" w:eastAsia="標楷體" w:hAnsi="標楷體"/>
          <w:color w:val="000000"/>
        </w:rPr>
      </w:pPr>
      <w:r>
        <w:rPr>
          <w:rFonts w:ascii="標楷體" w:eastAsia="標楷體" w:hAnsi="標楷體"/>
          <w:color w:val="000000"/>
        </w:rPr>
        <w:t>(2)初次申請時需檢附病理報告、使用雄性素去除療法紀錄，系列PSA和睪固</w:t>
      </w:r>
      <w:r>
        <w:rPr>
          <w:rFonts w:ascii="標楷體" w:eastAsia="標楷體" w:hAnsi="標楷體"/>
          <w:color w:val="000000"/>
        </w:rPr>
        <w:lastRenderedPageBreak/>
        <w:t>酮數據，三個月內影像報告證明無遠端轉移。</w:t>
      </w:r>
    </w:p>
    <w:p w14:paraId="13246E1A" w14:textId="77777777" w:rsidR="00BD776B" w:rsidRDefault="00DF0C24">
      <w:pPr>
        <w:ind w:left="1051" w:hanging="245"/>
        <w:rPr>
          <w:rFonts w:ascii="標楷體" w:eastAsia="標楷體" w:hAnsi="標楷體"/>
          <w:color w:val="000000"/>
        </w:rPr>
      </w:pPr>
      <w:r>
        <w:rPr>
          <w:rFonts w:ascii="標楷體" w:eastAsia="標楷體" w:hAnsi="標楷體"/>
          <w:color w:val="000000"/>
        </w:rPr>
        <w:t>(3)ECOG分數須≦1。</w:t>
      </w:r>
    </w:p>
    <w:p w14:paraId="77A0A300" w14:textId="77777777" w:rsidR="00BD776B" w:rsidRDefault="00DF0C24">
      <w:pPr>
        <w:ind w:left="1051" w:hanging="245"/>
        <w:rPr>
          <w:rFonts w:ascii="標楷體" w:eastAsia="標楷體" w:hAnsi="標楷體"/>
          <w:color w:val="000000"/>
        </w:rPr>
      </w:pPr>
      <w:r>
        <w:rPr>
          <w:rFonts w:ascii="標楷體" w:eastAsia="標楷體" w:hAnsi="標楷體"/>
          <w:color w:val="000000"/>
        </w:rPr>
        <w:t>(4)PSA doubling time≦10個月，PSA倍增之時間，應依線性回歸模型計算，且其參數取得需基於下列原則：（112/9/1）</w:t>
      </w:r>
    </w:p>
    <w:p w14:paraId="689A22BF" w14:textId="77777777" w:rsidR="00BD776B" w:rsidRDefault="00DF0C24">
      <w:pPr>
        <w:ind w:left="1373" w:hanging="454"/>
        <w:rPr>
          <w:rFonts w:ascii="標楷體" w:eastAsia="標楷體" w:hAnsi="標楷體"/>
          <w:color w:val="000000"/>
        </w:rPr>
      </w:pPr>
      <w:r>
        <w:rPr>
          <w:rFonts w:ascii="標楷體" w:eastAsia="標楷體" w:hAnsi="標楷體"/>
          <w:color w:val="000000"/>
        </w:rPr>
        <w:t xml:space="preserve"> Ⅰ.至少三個連續PSA測量值，且各測量值皆≧0.2 ng/mL（最高的PSA值必須&gt;1.0ng/ml）。</w:t>
      </w:r>
    </w:p>
    <w:p w14:paraId="7C33DB04" w14:textId="77777777" w:rsidR="00BD776B" w:rsidRDefault="00DF0C24">
      <w:pPr>
        <w:ind w:left="1373" w:hanging="454"/>
        <w:rPr>
          <w:rFonts w:ascii="標楷體" w:eastAsia="標楷體" w:hAnsi="標楷體"/>
          <w:color w:val="000000"/>
        </w:rPr>
      </w:pPr>
      <w:r>
        <w:rPr>
          <w:rFonts w:ascii="標楷體" w:eastAsia="標楷體" w:hAnsi="標楷體"/>
          <w:color w:val="000000"/>
        </w:rPr>
        <w:t xml:space="preserve"> Ⅱ.應包含先前ADT治療期間的測量值，且最少一測量值為最近3個月內測得之PSA數值。</w:t>
      </w:r>
    </w:p>
    <w:p w14:paraId="6C661C4A" w14:textId="77777777" w:rsidR="00BD776B" w:rsidRDefault="00DF0C24">
      <w:pPr>
        <w:ind w:left="1163" w:hanging="244"/>
        <w:rPr>
          <w:rFonts w:ascii="標楷體" w:eastAsia="標楷體" w:hAnsi="標楷體"/>
          <w:color w:val="000000"/>
        </w:rPr>
      </w:pPr>
      <w:r>
        <w:rPr>
          <w:rFonts w:ascii="標楷體" w:eastAsia="標楷體" w:hAnsi="標楷體"/>
          <w:color w:val="000000"/>
        </w:rPr>
        <w:t xml:space="preserve"> Ⅲ.第一個和最後一個PSA測量值間隔需≧8週，但≦12個月。</w:t>
      </w:r>
    </w:p>
    <w:p w14:paraId="24583C32" w14:textId="77777777" w:rsidR="00BD776B" w:rsidRDefault="00DF0C24">
      <w:pPr>
        <w:ind w:left="1051" w:hanging="245"/>
        <w:rPr>
          <w:rFonts w:ascii="標楷體" w:eastAsia="標楷體" w:hAnsi="標楷體"/>
          <w:color w:val="000000"/>
        </w:rPr>
      </w:pPr>
      <w:r>
        <w:rPr>
          <w:rFonts w:ascii="標楷體" w:eastAsia="標楷體" w:hAnsi="標楷體"/>
          <w:color w:val="000000"/>
        </w:rPr>
        <w:t xml:space="preserve">(5)每3個月需再次申請，申請之療程以3個月為限。再次申請時，有 PSA progression 者，需檢附影像學報告，若影像學報告證實轉移，則需停藥;無PSA progression 者，則每6個月需檢附影像學報告，若影像學報告證實轉移，則需停藥。（112/9/1） </w:t>
      </w:r>
    </w:p>
    <w:p w14:paraId="680A00A3" w14:textId="77777777" w:rsidR="00BD776B" w:rsidRDefault="00DF0C24">
      <w:pPr>
        <w:ind w:left="1051" w:hanging="245"/>
        <w:rPr>
          <w:rFonts w:ascii="標楷體" w:eastAsia="標楷體" w:hAnsi="標楷體"/>
          <w:color w:val="000000"/>
        </w:rPr>
      </w:pPr>
      <w:r>
        <w:rPr>
          <w:rFonts w:ascii="標楷體" w:eastAsia="標楷體" w:hAnsi="標楷體"/>
          <w:color w:val="000000"/>
        </w:rPr>
        <w:t>註：</w:t>
      </w:r>
    </w:p>
    <w:p w14:paraId="62C74913" w14:textId="77777777" w:rsidR="00BD776B" w:rsidRDefault="00DF0C24">
      <w:pPr>
        <w:ind w:left="806"/>
        <w:rPr>
          <w:rFonts w:ascii="標楷體" w:eastAsia="標楷體" w:hAnsi="標楷體"/>
          <w:color w:val="000000"/>
        </w:rPr>
      </w:pPr>
      <w:r>
        <w:rPr>
          <w:rFonts w:ascii="標楷體" w:eastAsia="標楷體" w:hAnsi="標楷體"/>
          <w:color w:val="000000"/>
        </w:rPr>
        <w:t>PSA progression 定義為:PSA下降 達最低值(nadir)後，出現 PSA 值上升較 nadir≧25%，且PSA≧2 ng/mL，並於至少3週後，再次抽血 確認PSA值有上升趨勢。</w:t>
      </w:r>
    </w:p>
    <w:p w14:paraId="124B5245" w14:textId="77777777" w:rsidR="00BD776B" w:rsidRDefault="00DF0C24">
      <w:pPr>
        <w:ind w:left="811" w:hanging="245"/>
        <w:rPr>
          <w:rFonts w:ascii="標楷體" w:eastAsia="標楷體" w:hAnsi="標楷體"/>
          <w:color w:val="000000"/>
        </w:rPr>
      </w:pPr>
      <w:r>
        <w:rPr>
          <w:rFonts w:ascii="標楷體" w:eastAsia="標楷體" w:hAnsi="標楷體"/>
          <w:color w:val="000000"/>
        </w:rPr>
        <w:t>3.不論病人處於轉移或非轉移的狀態下，終生僅能接受一種治療前列腺癌的新型荷爾蒙藥品(abiraterone、apalutamide、darolutamide和enzalutamide) 且僅能擇一給付，無效後不再給付其他新型荷爾蒙藥品，且除非出現嚴重不耐受反應導致必須永久停止治療的情況，不得互換。(112/9/1)</w:t>
      </w:r>
    </w:p>
    <w:bookmarkEnd w:id="24"/>
    <w:p w14:paraId="6E9FD7E9" w14:textId="494E1528" w:rsidR="00BD776B" w:rsidRDefault="00DF0C24">
      <w:pPr>
        <w:ind w:left="567" w:hanging="245"/>
        <w:rPr>
          <w:rFonts w:ascii="標楷體" w:eastAsia="標楷體" w:hAnsi="標楷體"/>
          <w:color w:val="000000"/>
        </w:rPr>
      </w:pPr>
      <w:r>
        <w:rPr>
          <w:rFonts w:ascii="標楷體" w:eastAsia="標楷體" w:hAnsi="標楷體"/>
          <w:color w:val="000000"/>
        </w:rPr>
        <w:t>9.95.Larotrectinib (如Vitrakvi)：(111/3/1、111/6/1、112/12/1</w:t>
      </w:r>
      <w:r w:rsidR="0074257F">
        <w:rPr>
          <w:rFonts w:ascii="標楷體" w:eastAsia="標楷體" w:hAnsi="標楷體" w:hint="eastAsia"/>
          <w:color w:val="000000"/>
        </w:rPr>
        <w:t>、113/6/1</w:t>
      </w:r>
      <w:r>
        <w:rPr>
          <w:rFonts w:ascii="標楷體" w:eastAsia="標楷體" w:hAnsi="標楷體"/>
          <w:color w:val="000000"/>
        </w:rPr>
        <w:t>)</w:t>
      </w:r>
    </w:p>
    <w:p w14:paraId="052B045A" w14:textId="77777777" w:rsidR="00BD776B" w:rsidRDefault="00DF0C24">
      <w:pPr>
        <w:ind w:left="850"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適用於有NTRK基因融合的實體腫瘤成人和兒童病人，並應符合以下條件：(112/12/1)</w:t>
      </w:r>
    </w:p>
    <w:p w14:paraId="5E52AA2A" w14:textId="77777777" w:rsidR="00BD776B" w:rsidRDefault="00DF0C24">
      <w:pPr>
        <w:ind w:left="1275" w:hanging="245"/>
        <w:rPr>
          <w:rFonts w:ascii="標楷體" w:eastAsia="標楷體" w:hAnsi="標楷體"/>
          <w:color w:val="000000"/>
        </w:rPr>
      </w:pPr>
      <w:r>
        <w:rPr>
          <w:rFonts w:ascii="標楷體" w:eastAsia="標楷體" w:hAnsi="標楷體"/>
          <w:color w:val="000000"/>
        </w:rPr>
        <w:t>(1)具NTRK基因融合且無已知的後天阻抗性突變(acquired resistance mutation)。</w:t>
      </w:r>
    </w:p>
    <w:p w14:paraId="2456F350" w14:textId="77777777" w:rsidR="00BD776B" w:rsidRDefault="00DF0C24">
      <w:pPr>
        <w:ind w:left="1275" w:hanging="245"/>
        <w:rPr>
          <w:rFonts w:ascii="標楷體" w:eastAsia="標楷體" w:hAnsi="標楷體"/>
          <w:color w:val="000000"/>
        </w:rPr>
      </w:pPr>
      <w:r>
        <w:rPr>
          <w:rFonts w:ascii="標楷體" w:eastAsia="標楷體" w:hAnsi="標楷體"/>
          <w:color w:val="000000"/>
        </w:rPr>
        <w:t>(2)為轉移性實體腫瘤，或手術切除極可能造成嚴重病症(severe morbidity)。</w:t>
      </w:r>
    </w:p>
    <w:p w14:paraId="36C106AD" w14:textId="77777777" w:rsidR="00BD776B" w:rsidRDefault="00DF0C24">
      <w:pPr>
        <w:ind w:left="1275" w:hanging="245"/>
        <w:rPr>
          <w:rFonts w:ascii="標楷體" w:eastAsia="標楷體" w:hAnsi="標楷體"/>
          <w:color w:val="000000"/>
        </w:rPr>
      </w:pPr>
      <w:r>
        <w:rPr>
          <w:rFonts w:ascii="標楷體" w:eastAsia="標楷體" w:hAnsi="標楷體"/>
          <w:color w:val="000000"/>
        </w:rPr>
        <w:t>(3)沒有合適的替代治療選項(包含免疫檢查點抑制劑)。</w:t>
      </w:r>
    </w:p>
    <w:p w14:paraId="2629E0AF" w14:textId="77777777" w:rsidR="00BD776B" w:rsidRDefault="00DF0C24">
      <w:pPr>
        <w:ind w:left="807" w:hanging="245"/>
        <w:rPr>
          <w:rFonts w:ascii="標楷體" w:eastAsia="標楷體" w:hAnsi="標楷體"/>
          <w:color w:val="000000"/>
        </w:rPr>
      </w:pPr>
      <w:r>
        <w:rPr>
          <w:rFonts w:ascii="標楷體" w:eastAsia="標楷體" w:hAnsi="標楷體"/>
          <w:color w:val="000000"/>
        </w:rPr>
        <w:t>2.前述1.之兒童(未滿18 歲)病人，除了嬰兒纖維肉瘤可作為(含)一線以上使用外，其餘適應症須為曾接受一線治療後無效或復發的病人。（112/12/1)</w:t>
      </w:r>
    </w:p>
    <w:p w14:paraId="2F9D5824" w14:textId="77777777" w:rsidR="00BD776B" w:rsidRDefault="00DF0C24">
      <w:pPr>
        <w:ind w:left="807" w:hanging="245"/>
        <w:rPr>
          <w:rFonts w:ascii="標楷體" w:eastAsia="標楷體" w:hAnsi="標楷體"/>
          <w:color w:val="000000"/>
        </w:rPr>
      </w:pPr>
      <w:r>
        <w:rPr>
          <w:rFonts w:ascii="標楷體" w:eastAsia="標楷體" w:hAnsi="標楷體"/>
          <w:color w:val="000000"/>
        </w:rPr>
        <w:t>3.前述1.之成人(≧18歲)病人，包括之適應症有:（112/12/1)</w:t>
      </w:r>
    </w:p>
    <w:p w14:paraId="424B2A41" w14:textId="77777777" w:rsidR="00BD776B" w:rsidRDefault="00DF0C24">
      <w:pPr>
        <w:ind w:left="1331" w:hanging="340"/>
        <w:rPr>
          <w:rFonts w:ascii="標楷體" w:eastAsia="標楷體" w:hAnsi="標楷體"/>
          <w:color w:val="000000"/>
        </w:rPr>
      </w:pPr>
      <w:r>
        <w:rPr>
          <w:rFonts w:ascii="標楷體" w:eastAsia="標楷體" w:hAnsi="標楷體"/>
          <w:color w:val="000000"/>
        </w:rPr>
        <w:t>(1)非小細胞肺癌:</w:t>
      </w:r>
    </w:p>
    <w:p w14:paraId="58A0DCE6" w14:textId="77777777" w:rsidR="00BD776B" w:rsidRDefault="00DF0C24">
      <w:pPr>
        <w:ind w:left="1461" w:hanging="244"/>
        <w:rPr>
          <w:rFonts w:ascii="標楷體" w:eastAsia="標楷體" w:hAnsi="標楷體"/>
          <w:color w:val="000000"/>
        </w:rPr>
      </w:pPr>
      <w:r>
        <w:rPr>
          <w:rFonts w:ascii="標楷體" w:eastAsia="標楷體" w:hAnsi="標楷體"/>
          <w:color w:val="000000"/>
        </w:rPr>
        <w:t>I.不適合接受化學治療之晚期非小細胞肺癌成人患者，非鱗狀癌者需為EGFR/ALK/ROS-1 腫瘤基因原生型、鱗狀癌者需為EGFR/ALK 腫瘤基因原生型。</w:t>
      </w:r>
    </w:p>
    <w:p w14:paraId="2E4742DD" w14:textId="77777777" w:rsidR="00BD776B" w:rsidRDefault="00DF0C24">
      <w:pPr>
        <w:ind w:left="1461" w:hanging="244"/>
        <w:rPr>
          <w:rFonts w:ascii="標楷體" w:eastAsia="標楷體" w:hAnsi="標楷體"/>
          <w:color w:val="000000"/>
        </w:rPr>
      </w:pPr>
      <w:r>
        <w:rPr>
          <w:rFonts w:ascii="標楷體" w:eastAsia="標楷體" w:hAnsi="標楷體"/>
          <w:color w:val="000000"/>
        </w:rPr>
        <w:t>Ⅱ.先前已使用過platinum 類化學治療失敗後，又有疾病惡化，且EGFR/ALK 腫瘤基因為原生型之晚期鱗狀非小細胞肺癌患者。</w:t>
      </w:r>
    </w:p>
    <w:p w14:paraId="7EDCF3EB" w14:textId="77777777" w:rsidR="00BD776B" w:rsidRDefault="00DF0C24">
      <w:pPr>
        <w:ind w:left="1461" w:hanging="244"/>
        <w:rPr>
          <w:rFonts w:ascii="標楷體" w:eastAsia="標楷體" w:hAnsi="標楷體"/>
          <w:color w:val="000000"/>
        </w:rPr>
      </w:pPr>
      <w:r>
        <w:rPr>
          <w:rFonts w:ascii="標楷體" w:eastAsia="標楷體" w:hAnsi="標楷體"/>
          <w:color w:val="000000"/>
        </w:rPr>
        <w:t>Ⅲ.先前已使用過platinum 類及docetaxel /paclitaxel 類二線(含)以上化學治療均失敗，又有疾病惡化，且EGFR/ALK/ROS-1 腫瘤基因為原生型之晚期非小細胞肺腺癌患者。</w:t>
      </w:r>
    </w:p>
    <w:p w14:paraId="7D868431" w14:textId="77777777" w:rsidR="00BD776B" w:rsidRDefault="00DF0C24">
      <w:pPr>
        <w:ind w:left="1461" w:hanging="244"/>
        <w:rPr>
          <w:rFonts w:ascii="標楷體" w:eastAsia="標楷體" w:hAnsi="標楷體"/>
          <w:color w:val="000000"/>
        </w:rPr>
      </w:pPr>
      <w:r>
        <w:rPr>
          <w:rFonts w:ascii="標楷體" w:eastAsia="標楷體" w:hAnsi="標楷體"/>
          <w:color w:val="000000"/>
        </w:rPr>
        <w:t>Ⅳ.先前曾接受過至少一線anti-EGFR TKI 治療失敗，且因NTRK 基因融合對anti-EGFR TKI 產生抗性之局部侵犯性或轉移性之EGFR 突變非小細胞肺癌患者。</w:t>
      </w:r>
    </w:p>
    <w:p w14:paraId="2C8A3587" w14:textId="77777777" w:rsidR="00BD776B" w:rsidRDefault="00DF0C24">
      <w:pPr>
        <w:ind w:left="1331" w:hanging="340"/>
        <w:rPr>
          <w:rFonts w:ascii="標楷體" w:eastAsia="標楷體" w:hAnsi="標楷體"/>
          <w:color w:val="000000"/>
        </w:rPr>
      </w:pPr>
      <w:r>
        <w:rPr>
          <w:rFonts w:ascii="標楷體" w:eastAsia="標楷體" w:hAnsi="標楷體"/>
          <w:color w:val="000000"/>
        </w:rPr>
        <w:lastRenderedPageBreak/>
        <w:t>(2)大腸直腸癌:先前已使用過FOLFIRI（folinic acid/5- fluorouracil/irinotecan）或FOLFOX（folinic acid/5- fluorouracil/oxaliplatin）治療失敗，又有疾病惡化之轉移性直腸結腸癌患者。</w:t>
      </w:r>
    </w:p>
    <w:p w14:paraId="4D343AE8" w14:textId="77777777" w:rsidR="00BD776B" w:rsidRDefault="00DF0C24">
      <w:pPr>
        <w:ind w:left="1331" w:hanging="340"/>
        <w:rPr>
          <w:rFonts w:ascii="標楷體" w:eastAsia="標楷體" w:hAnsi="標楷體"/>
          <w:color w:val="000000"/>
        </w:rPr>
      </w:pPr>
      <w:r>
        <w:rPr>
          <w:rFonts w:ascii="標楷體" w:eastAsia="標楷體" w:hAnsi="標楷體"/>
          <w:color w:val="000000"/>
        </w:rPr>
        <w:t>(3)黑色素瘤:先前曾接受過至少一次全身性治療失敗，又有疾病惡化，且BRAF腫瘤基因為原生型之無法手術切除或轉移的第三期或第四期黑色素瘤患者。</w:t>
      </w:r>
    </w:p>
    <w:p w14:paraId="67C4BF54" w14:textId="77777777" w:rsidR="00BD776B" w:rsidRDefault="00DF0C24">
      <w:pPr>
        <w:ind w:left="1331" w:hanging="340"/>
        <w:rPr>
          <w:rFonts w:ascii="標楷體" w:eastAsia="標楷體" w:hAnsi="標楷體"/>
          <w:color w:val="000000"/>
        </w:rPr>
      </w:pPr>
      <w:r>
        <w:rPr>
          <w:rFonts w:ascii="標楷體" w:eastAsia="標楷體" w:hAnsi="標楷體"/>
          <w:color w:val="000000"/>
        </w:rPr>
        <w:t>(4)胰臟癌:先前曾接受過至少一次全身性治療失敗，又有疾病惡化，無法手術切除或轉移性胰臟癌患者。</w:t>
      </w:r>
    </w:p>
    <w:p w14:paraId="01ECECAF" w14:textId="77777777" w:rsidR="00BD776B" w:rsidRDefault="00DF0C24">
      <w:pPr>
        <w:ind w:left="1331" w:hanging="340"/>
        <w:rPr>
          <w:rFonts w:ascii="標楷體" w:eastAsia="標楷體" w:hAnsi="標楷體"/>
          <w:color w:val="000000"/>
        </w:rPr>
      </w:pPr>
      <w:r>
        <w:rPr>
          <w:rFonts w:ascii="標楷體" w:eastAsia="標楷體" w:hAnsi="標楷體"/>
          <w:color w:val="000000"/>
        </w:rPr>
        <w:t>(5)甲狀腺癌:用於放射性碘治療無效之局部晚期或轉移性的進行性 (progressive)甲狀腺癌。</w:t>
      </w:r>
    </w:p>
    <w:p w14:paraId="7940B004" w14:textId="77777777" w:rsidR="00BD776B" w:rsidRDefault="00DF0C24">
      <w:pPr>
        <w:ind w:left="1331" w:hanging="340"/>
        <w:rPr>
          <w:rFonts w:ascii="標楷體" w:eastAsia="標楷體" w:hAnsi="標楷體"/>
          <w:color w:val="000000"/>
        </w:rPr>
      </w:pPr>
      <w:r>
        <w:rPr>
          <w:rFonts w:ascii="標楷體" w:eastAsia="標楷體" w:hAnsi="標楷體"/>
          <w:color w:val="000000"/>
        </w:rPr>
        <w:t>(6)惡性神經膠質瘤或退行性星狀細胞瘤:先前曾接受過標準放射線治療以及化學藥物治療失敗之高度惡性神經膠質瘤(WHO 第4級)或退行性星狀細胞瘤(WHO 第3-4 級)。</w:t>
      </w:r>
    </w:p>
    <w:p w14:paraId="41AD7D5F" w14:textId="77777777" w:rsidR="00BD776B" w:rsidRDefault="00DF0C24">
      <w:pPr>
        <w:ind w:left="1331" w:hanging="340"/>
        <w:rPr>
          <w:rFonts w:ascii="標楷體" w:eastAsia="標楷體" w:hAnsi="標楷體"/>
          <w:color w:val="000000"/>
        </w:rPr>
      </w:pPr>
      <w:r>
        <w:rPr>
          <w:rFonts w:ascii="標楷體" w:eastAsia="標楷體" w:hAnsi="標楷體"/>
          <w:color w:val="000000"/>
        </w:rPr>
        <w:t>(7)肝內膽管癌:先前曾接受過至少一次全身性治療失敗，又有疾病惡化，無法手術切除或晚期或復發之膽道癌(含肝內膽管)病患。</w:t>
      </w:r>
    </w:p>
    <w:p w14:paraId="37AF6FEB" w14:textId="77777777" w:rsidR="00BD776B" w:rsidRDefault="00DF0C24">
      <w:pPr>
        <w:ind w:left="1331" w:hanging="340"/>
        <w:rPr>
          <w:rFonts w:ascii="標楷體" w:eastAsia="標楷體" w:hAnsi="標楷體"/>
          <w:color w:val="000000"/>
        </w:rPr>
      </w:pPr>
      <w:r>
        <w:rPr>
          <w:rFonts w:ascii="標楷體" w:eastAsia="標楷體" w:hAnsi="標楷體"/>
          <w:color w:val="000000"/>
        </w:rPr>
        <w:t>(8)軟組織肉瘤:用於治療先前曾接受化療失敗的晚期軟組織肉瘤(STS)患者。其病情若能接受手術治療者，須先經手術治療。</w:t>
      </w:r>
    </w:p>
    <w:p w14:paraId="60654C02" w14:textId="77777777" w:rsidR="00BD776B" w:rsidRDefault="00DF0C24">
      <w:pPr>
        <w:ind w:left="1331" w:hanging="340"/>
        <w:rPr>
          <w:rFonts w:ascii="標楷體" w:eastAsia="標楷體" w:hAnsi="標楷體"/>
          <w:color w:val="000000"/>
        </w:rPr>
      </w:pPr>
      <w:r>
        <w:rPr>
          <w:rFonts w:ascii="標楷體" w:eastAsia="標楷體" w:hAnsi="標楷體"/>
          <w:color w:val="000000"/>
        </w:rPr>
        <w:t>(9)胃腸道基質瘤:先前曾接受過至少一次全身性治療失敗，又有疾病惡化，無法手術切除或轉移的惡性胃腸道基質瘤。</w:t>
      </w:r>
    </w:p>
    <w:p w14:paraId="2921C710" w14:textId="77777777" w:rsidR="00BD776B" w:rsidRDefault="00DF0C24">
      <w:pPr>
        <w:ind w:left="1331" w:hanging="340"/>
        <w:rPr>
          <w:rFonts w:ascii="標楷體" w:eastAsia="標楷體" w:hAnsi="標楷體"/>
          <w:color w:val="000000"/>
        </w:rPr>
      </w:pPr>
      <w:r>
        <w:rPr>
          <w:rFonts w:ascii="標楷體" w:eastAsia="標楷體" w:hAnsi="標楷體"/>
          <w:color w:val="000000"/>
        </w:rPr>
        <w:t>(10)唾液腺腫瘤:無法手術切除或轉移的唾液腺腫瘤。</w:t>
      </w:r>
    </w:p>
    <w:p w14:paraId="0FDE7E97" w14:textId="77777777" w:rsidR="00BD776B" w:rsidRDefault="00DF0C24">
      <w:pPr>
        <w:ind w:left="1331" w:hanging="340"/>
        <w:rPr>
          <w:rFonts w:ascii="標楷體" w:eastAsia="標楷體" w:hAnsi="標楷體"/>
          <w:color w:val="000000"/>
        </w:rPr>
      </w:pPr>
      <w:r>
        <w:rPr>
          <w:rFonts w:ascii="標楷體" w:eastAsia="標楷體" w:hAnsi="標楷體"/>
          <w:color w:val="000000"/>
        </w:rPr>
        <w:t>(11)骨癌:無法手術切除或轉移的骨癌。</w:t>
      </w:r>
    </w:p>
    <w:p w14:paraId="65AB2F29" w14:textId="77777777" w:rsidR="00BD776B" w:rsidRDefault="00DF0C24">
      <w:pPr>
        <w:ind w:left="1331" w:hanging="340"/>
        <w:rPr>
          <w:rFonts w:ascii="標楷體" w:eastAsia="標楷體" w:hAnsi="標楷體"/>
          <w:color w:val="000000"/>
        </w:rPr>
      </w:pPr>
      <w:r>
        <w:rPr>
          <w:rFonts w:ascii="標楷體" w:eastAsia="標楷體" w:hAnsi="標楷體"/>
          <w:color w:val="000000"/>
        </w:rPr>
        <w:t>(12)闌尾癌:先前曾接受過至少一次全身性治療失敗，又有疾病惡化，無法手術切除或轉移的闌尾癌。</w:t>
      </w:r>
    </w:p>
    <w:p w14:paraId="733D1C98" w14:textId="77777777" w:rsidR="00BD776B" w:rsidRDefault="00DF0C24">
      <w:pPr>
        <w:ind w:left="1331" w:hanging="340"/>
        <w:rPr>
          <w:rFonts w:ascii="標楷體" w:eastAsia="標楷體" w:hAnsi="標楷體"/>
          <w:color w:val="000000"/>
        </w:rPr>
      </w:pPr>
      <w:r>
        <w:rPr>
          <w:rFonts w:ascii="標楷體" w:eastAsia="標楷體" w:hAnsi="標楷體"/>
          <w:color w:val="000000"/>
        </w:rPr>
        <w:t>(13)分泌型乳腺癌:先前曾接受過前導性、術後輔助性或轉移性化學治療的轉移性分泌型乳腺癌。</w:t>
      </w:r>
    </w:p>
    <w:p w14:paraId="0A7EF838" w14:textId="65488BE1" w:rsidR="00BD776B" w:rsidRDefault="00DF0C24">
      <w:pPr>
        <w:ind w:left="850" w:hanging="245"/>
        <w:rPr>
          <w:rFonts w:ascii="標楷體" w:eastAsia="標楷體" w:hAnsi="標楷體"/>
          <w:color w:val="000000"/>
        </w:rPr>
      </w:pPr>
      <w:r>
        <w:rPr>
          <w:rFonts w:ascii="標楷體" w:eastAsia="標楷體" w:hAnsi="標楷體"/>
          <w:color w:val="000000"/>
        </w:rPr>
        <w:t>4.需經事前審查核准後使用：(111/3/1、111/6/1</w:t>
      </w:r>
      <w:r w:rsidR="0074257F">
        <w:rPr>
          <w:rFonts w:ascii="標楷體" w:eastAsia="標楷體" w:hAnsi="標楷體" w:hint="eastAsia"/>
          <w:color w:val="000000"/>
        </w:rPr>
        <w:t>、113/6/1</w:t>
      </w:r>
      <w:r>
        <w:rPr>
          <w:rFonts w:ascii="標楷體" w:eastAsia="標楷體" w:hAnsi="標楷體"/>
          <w:color w:val="000000"/>
        </w:rPr>
        <w:t>)</w:t>
      </w:r>
    </w:p>
    <w:p w14:paraId="44053FB4" w14:textId="77777777" w:rsidR="00BD776B" w:rsidRDefault="00DF0C24">
      <w:pPr>
        <w:ind w:left="1275" w:hanging="245"/>
        <w:rPr>
          <w:rFonts w:ascii="標楷體" w:eastAsia="標楷體" w:hAnsi="標楷體"/>
          <w:color w:val="000000"/>
        </w:rPr>
      </w:pPr>
      <w:r>
        <w:rPr>
          <w:rFonts w:ascii="標楷體" w:eastAsia="標楷體" w:hAnsi="標楷體"/>
          <w:color w:val="000000"/>
        </w:rPr>
        <w:t>(1)每次申請之療程以12週為限。</w:t>
      </w:r>
    </w:p>
    <w:p w14:paraId="6CB2DA95" w14:textId="29271033" w:rsidR="00BD776B" w:rsidRDefault="00DF0C24" w:rsidP="00767451">
      <w:pPr>
        <w:ind w:left="1275" w:hanging="245"/>
        <w:rPr>
          <w:rFonts w:ascii="標楷體" w:eastAsia="標楷體" w:hAnsi="標楷體"/>
          <w:color w:val="000000"/>
        </w:rPr>
      </w:pPr>
      <w:r>
        <w:rPr>
          <w:rFonts w:ascii="標楷體" w:eastAsia="標楷體" w:hAnsi="標楷體"/>
          <w:color w:val="000000"/>
        </w:rPr>
        <w:t>(2)</w:t>
      </w:r>
      <w:r w:rsidR="00767451" w:rsidRPr="00767451">
        <w:rPr>
          <w:rFonts w:ascii="標楷體" w:eastAsia="標楷體" w:hAnsi="標楷體" w:hint="eastAsia"/>
          <w:color w:val="000000"/>
        </w:rPr>
        <w:t>初次申請時需檢附NTRK基因融合檢測報告。NTRK 1/2/3檢測需符合全民健康保險藥品給付規定之通則十二。(111/6/1、113/6/1)</w:t>
      </w:r>
    </w:p>
    <w:p w14:paraId="24787480" w14:textId="77777777" w:rsidR="00BD776B" w:rsidRDefault="00DF0C24">
      <w:pPr>
        <w:ind w:left="567" w:hanging="245"/>
        <w:rPr>
          <w:rFonts w:ascii="標楷體" w:eastAsia="標楷體" w:hAnsi="標楷體"/>
          <w:color w:val="000000"/>
        </w:rPr>
      </w:pPr>
      <w:r>
        <w:rPr>
          <w:rFonts w:ascii="標楷體" w:eastAsia="標楷體" w:hAnsi="標楷體"/>
          <w:color w:val="000000"/>
        </w:rPr>
        <w:tab/>
      </w:r>
      <w:r>
        <w:rPr>
          <w:rFonts w:ascii="標楷體" w:eastAsia="標楷體" w:hAnsi="標楷體"/>
          <w:color w:val="000000"/>
        </w:rPr>
        <w:tab/>
        <w:t>(3)再次申請時需檢附療效評估資料證實無疾病進展，才可繼續使用。</w:t>
      </w:r>
    </w:p>
    <w:p w14:paraId="3C1A1B68" w14:textId="77777777" w:rsidR="00BD776B" w:rsidRDefault="00DF0C24">
      <w:pPr>
        <w:ind w:left="567" w:hanging="245"/>
        <w:rPr>
          <w:rFonts w:ascii="標楷體" w:eastAsia="標楷體" w:hAnsi="標楷體"/>
          <w:color w:val="000000"/>
        </w:rPr>
      </w:pPr>
      <w:r>
        <w:rPr>
          <w:rFonts w:ascii="標楷體" w:eastAsia="標楷體" w:hAnsi="標楷體"/>
          <w:color w:val="000000"/>
        </w:rPr>
        <w:t>9.96.Decitabine：(111/5/1)</w:t>
      </w:r>
    </w:p>
    <w:p w14:paraId="509A3481" w14:textId="77777777" w:rsidR="00BD776B" w:rsidRDefault="00DF0C24">
      <w:pPr>
        <w:ind w:left="811" w:hanging="245"/>
        <w:rPr>
          <w:rFonts w:ascii="標楷體" w:eastAsia="標楷體" w:hAnsi="標楷體"/>
          <w:color w:val="000000"/>
        </w:rPr>
      </w:pPr>
      <w:r>
        <w:rPr>
          <w:rFonts w:ascii="標楷體" w:eastAsia="標楷體" w:hAnsi="標楷體"/>
          <w:color w:val="000000"/>
        </w:rPr>
        <w:t>1.骨髓增生不良症候群高危險性病患：頑固性貧血併有過量芽細胞（RA with excess blasts, RAEB）、轉變中的頑固性貧血併有過量芽細胞（RAEB in transformation, RAEB-T）、及慢性骨髓單核細胞性白血病（chronic myelomonocytic leukemia, CMMoL）。</w:t>
      </w:r>
    </w:p>
    <w:p w14:paraId="46DD1CE4" w14:textId="77777777" w:rsidR="00BD776B" w:rsidRDefault="00DF0C24">
      <w:pPr>
        <w:ind w:left="811" w:hanging="245"/>
        <w:rPr>
          <w:rFonts w:ascii="標楷體" w:eastAsia="標楷體" w:hAnsi="標楷體"/>
          <w:color w:val="000000"/>
        </w:rPr>
      </w:pPr>
      <w:r>
        <w:rPr>
          <w:rFonts w:ascii="標楷體" w:eastAsia="標楷體" w:hAnsi="標楷體"/>
          <w:color w:val="000000"/>
        </w:rPr>
        <w:t>2.初次申請時需經事前審查核准後使用。</w:t>
      </w:r>
    </w:p>
    <w:p w14:paraId="2BAA437A" w14:textId="77777777" w:rsidR="00BD776B" w:rsidRDefault="00DF0C24">
      <w:pPr>
        <w:ind w:left="811" w:hanging="245"/>
        <w:rPr>
          <w:rFonts w:ascii="標楷體" w:eastAsia="標楷體" w:hAnsi="標楷體"/>
          <w:color w:val="000000"/>
        </w:rPr>
      </w:pPr>
      <w:r>
        <w:rPr>
          <w:rFonts w:ascii="標楷體" w:eastAsia="標楷體" w:hAnsi="標楷體"/>
          <w:color w:val="000000"/>
        </w:rPr>
        <w:t>3.續用本藥品不需再事前審查，惟病歷應留存確診之病理或影像診斷證明等報告，並記錄治療相關臨床資料。病患倘病情惡化至急性骨髓性白血病即應停藥。</w:t>
      </w:r>
    </w:p>
    <w:p w14:paraId="3DEB6155" w14:textId="77777777" w:rsidR="00BD776B" w:rsidRDefault="00DF0C24">
      <w:pPr>
        <w:ind w:left="811" w:hanging="245"/>
        <w:rPr>
          <w:rFonts w:ascii="標楷體" w:eastAsia="標楷體" w:hAnsi="標楷體"/>
          <w:color w:val="000000"/>
        </w:rPr>
      </w:pPr>
      <w:r>
        <w:rPr>
          <w:rFonts w:ascii="標楷體" w:eastAsia="標楷體" w:hAnsi="標楷體"/>
          <w:color w:val="000000"/>
        </w:rPr>
        <w:t>4.急性骨髓性白血病之定義：骨髓芽細胞（myeloblast）大於30%。</w:t>
      </w:r>
    </w:p>
    <w:p w14:paraId="0A01D4B2" w14:textId="77777777" w:rsidR="00BD776B" w:rsidRDefault="00DF0C24">
      <w:pPr>
        <w:ind w:left="811" w:hanging="245"/>
        <w:rPr>
          <w:rFonts w:ascii="標楷體" w:eastAsia="標楷體" w:hAnsi="標楷體"/>
          <w:color w:val="000000"/>
        </w:rPr>
      </w:pPr>
      <w:r>
        <w:rPr>
          <w:rFonts w:ascii="標楷體" w:eastAsia="標楷體" w:hAnsi="標楷體"/>
          <w:color w:val="000000"/>
        </w:rPr>
        <w:t>5.本藥品與azacitidine僅能擇一使用，除因耐受性不良，不得互換。使用本藥品無效後，不得再申請azacitidine。</w:t>
      </w:r>
    </w:p>
    <w:p w14:paraId="034969D7" w14:textId="0464AD79" w:rsidR="00BD776B" w:rsidRDefault="00DF0C24">
      <w:pPr>
        <w:ind w:left="567" w:hanging="245"/>
        <w:rPr>
          <w:rFonts w:ascii="標楷體" w:eastAsia="標楷體" w:hAnsi="標楷體"/>
          <w:color w:val="000000"/>
        </w:rPr>
      </w:pPr>
      <w:r>
        <w:rPr>
          <w:rFonts w:ascii="標楷體" w:eastAsia="標楷體" w:hAnsi="標楷體"/>
          <w:color w:val="000000"/>
        </w:rPr>
        <w:t>9.97.Avapritinib (如Ayvakit)：(111/6/1</w:t>
      </w:r>
      <w:r w:rsidR="006757D3">
        <w:rPr>
          <w:rFonts w:ascii="標楷體" w:eastAsia="標楷體" w:hAnsi="標楷體" w:hint="eastAsia"/>
          <w:color w:val="000000"/>
        </w:rPr>
        <w:t>、113/6/1</w:t>
      </w:r>
      <w:r>
        <w:rPr>
          <w:rFonts w:ascii="標楷體" w:eastAsia="標楷體" w:hAnsi="標楷體"/>
          <w:color w:val="000000"/>
        </w:rPr>
        <w:t>)</w:t>
      </w:r>
    </w:p>
    <w:p w14:paraId="326E00EC" w14:textId="77777777" w:rsidR="00BD776B" w:rsidRDefault="00DF0C24">
      <w:pPr>
        <w:ind w:left="850" w:hanging="245"/>
        <w:rPr>
          <w:rFonts w:ascii="標楷體" w:eastAsia="標楷體" w:hAnsi="標楷體"/>
          <w:color w:val="000000"/>
        </w:rPr>
      </w:pPr>
      <w:r>
        <w:rPr>
          <w:rFonts w:ascii="標楷體" w:eastAsia="標楷體" w:hAnsi="標楷體"/>
          <w:color w:val="000000"/>
        </w:rPr>
        <w:lastRenderedPageBreak/>
        <w:t>1.治療具有血小板衍生生長因子α受體(PDGFRA)D842V突變之無法切除或轉移性腸胃道間質瘤的成年病人。</w:t>
      </w:r>
    </w:p>
    <w:p w14:paraId="54C2097D" w14:textId="01A213B4" w:rsidR="00BD776B" w:rsidRDefault="00DF0C24" w:rsidP="00D91EB8">
      <w:pPr>
        <w:ind w:left="850" w:hanging="245"/>
        <w:rPr>
          <w:rFonts w:ascii="標楷體" w:eastAsia="標楷體" w:hAnsi="標楷體"/>
          <w:color w:val="000000"/>
        </w:rPr>
      </w:pPr>
      <w:r>
        <w:rPr>
          <w:rFonts w:ascii="標楷體" w:eastAsia="標楷體" w:hAnsi="標楷體"/>
          <w:color w:val="000000"/>
        </w:rPr>
        <w:t>2.需</w:t>
      </w:r>
      <w:r w:rsidR="00D91EB8" w:rsidRPr="00D91EB8">
        <w:rPr>
          <w:rFonts w:ascii="標楷體" w:eastAsia="標楷體" w:hAnsi="標楷體" w:hint="eastAsia"/>
          <w:color w:val="000000"/>
        </w:rPr>
        <w:t>經事前審查核准後使用，初次申請時需檢附血小板衍生生長因子α受體(PDGFRA)D842V突變檢測報告，且需符合全民健康保險藥品給付規定之通則十二。(111/6/1、113/6/1)</w:t>
      </w:r>
    </w:p>
    <w:p w14:paraId="32F2F094" w14:textId="77777777" w:rsidR="00BD776B" w:rsidRDefault="00DF0C24">
      <w:pPr>
        <w:ind w:left="850" w:hanging="245"/>
        <w:rPr>
          <w:rFonts w:ascii="標楷體" w:eastAsia="標楷體" w:hAnsi="標楷體"/>
          <w:color w:val="000000"/>
        </w:rPr>
      </w:pPr>
      <w:r>
        <w:rPr>
          <w:rFonts w:ascii="標楷體" w:eastAsia="標楷體" w:hAnsi="標楷體"/>
          <w:color w:val="000000"/>
        </w:rPr>
        <w:t>3.每次申請事前審查之療程以6個月為限，再次申請必須提出客觀證據(如：影像學)證實無惡化，才可繼續使用。</w:t>
      </w:r>
    </w:p>
    <w:p w14:paraId="2D043462" w14:textId="77777777" w:rsidR="00BD776B" w:rsidRDefault="00DF0C24">
      <w:pPr>
        <w:ind w:left="600"/>
        <w:rPr>
          <w:rFonts w:ascii="標楷體" w:eastAsia="標楷體" w:hAnsi="標楷體"/>
          <w:color w:val="000000"/>
        </w:rPr>
      </w:pPr>
      <w:r>
        <w:rPr>
          <w:rFonts w:ascii="標楷體" w:eastAsia="標楷體" w:hAnsi="標楷體"/>
          <w:color w:val="000000"/>
        </w:rPr>
        <w:t>4.每日至多處方100mg 2粒或300mg 1粒。</w:t>
      </w:r>
    </w:p>
    <w:p w14:paraId="155A6C8B" w14:textId="5E959A9C" w:rsidR="00BD776B" w:rsidRDefault="00DF0C24">
      <w:pPr>
        <w:rPr>
          <w:rFonts w:ascii="標楷體" w:eastAsia="標楷體" w:hAnsi="標楷體"/>
          <w:color w:val="000000"/>
        </w:rPr>
      </w:pPr>
      <w:r>
        <w:rPr>
          <w:rFonts w:ascii="標楷體" w:eastAsia="標楷體" w:hAnsi="標楷體"/>
          <w:color w:val="000000"/>
        </w:rPr>
        <w:t xml:space="preserve">   9.98. Pemigatinib (如Pemazyre)：(112/5/1</w:t>
      </w:r>
      <w:r w:rsidR="00D73D93">
        <w:rPr>
          <w:rFonts w:ascii="標楷體" w:eastAsia="標楷體" w:hAnsi="標楷體" w:hint="eastAsia"/>
          <w:color w:val="000000"/>
        </w:rPr>
        <w:t>、113/6/1</w:t>
      </w:r>
      <w:r>
        <w:rPr>
          <w:rFonts w:ascii="標楷體" w:eastAsia="標楷體" w:hAnsi="標楷體"/>
          <w:color w:val="000000"/>
        </w:rPr>
        <w:t>)</w:t>
      </w:r>
    </w:p>
    <w:p w14:paraId="4902DB46" w14:textId="77777777" w:rsidR="00BD776B" w:rsidRDefault="00DF0C24">
      <w:pPr>
        <w:ind w:left="850" w:hanging="245"/>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ab/>
        <w:t>適用於成人接受過全身性藥物治療、腫瘤具有FGFR2融合或重排、不可手術切除的局部晚期或轉移性肝內膽管癌。</w:t>
      </w:r>
    </w:p>
    <w:p w14:paraId="5D4F866D" w14:textId="0EEEADDF" w:rsidR="00BD776B" w:rsidRDefault="00DF0C24" w:rsidP="0046330A">
      <w:pPr>
        <w:ind w:left="850" w:hanging="245"/>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ab/>
        <w:t>需經事前審查核准後使用，初次申請需檢附腫瘤組織具有FGFR2基因融合或重排之基因變異檢測報告，</w:t>
      </w:r>
      <w:r w:rsidR="0046330A" w:rsidRPr="0046330A">
        <w:rPr>
          <w:rFonts w:ascii="標楷體" w:eastAsia="標楷體" w:hAnsi="標楷體" w:hint="eastAsia"/>
          <w:color w:val="000000"/>
        </w:rPr>
        <w:t>且需符合全民健康保險藥品給付規定之通則十二。(113/6/1)</w:t>
      </w:r>
    </w:p>
    <w:p w14:paraId="4EE4EB99" w14:textId="77777777" w:rsidR="00BD776B" w:rsidRDefault="00DF0C24">
      <w:pPr>
        <w:ind w:left="850" w:hanging="245"/>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ab/>
        <w:t>核准後每12週需再次申請，再次申請時需檢附療效評估資料證實無疾病惡化，才可繼續使用。</w:t>
      </w:r>
    </w:p>
    <w:p w14:paraId="3F2F2AEB" w14:textId="77777777" w:rsidR="00BD776B" w:rsidRDefault="00DF0C24">
      <w:pPr>
        <w:ind w:left="600"/>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ab/>
        <w:t>每日限處方1粒。</w:t>
      </w:r>
    </w:p>
    <w:p w14:paraId="604C451C" w14:textId="43368891" w:rsidR="00BD776B" w:rsidRDefault="00DF0C24" w:rsidP="00345D7C">
      <w:pPr>
        <w:ind w:left="847" w:hanging="422"/>
        <w:rPr>
          <w:rFonts w:ascii="標楷體" w:eastAsia="標楷體" w:hAnsi="標楷體"/>
          <w:color w:val="000000"/>
        </w:rPr>
      </w:pPr>
      <w:r>
        <w:rPr>
          <w:rFonts w:ascii="標楷體" w:eastAsia="標楷體" w:hAnsi="標楷體"/>
          <w:color w:val="000000"/>
        </w:rPr>
        <w:t>9.99.Gilteritinib(如Xospata)：</w:t>
      </w:r>
      <w:r w:rsidR="00345D7C">
        <w:rPr>
          <w:rFonts w:ascii="標楷體" w:eastAsia="標楷體" w:hAnsi="標楷體" w:hint="eastAsia"/>
          <w:color w:val="000000"/>
        </w:rPr>
        <w:t>(</w:t>
      </w:r>
      <w:r>
        <w:rPr>
          <w:rFonts w:ascii="標楷體" w:eastAsia="標楷體" w:hAnsi="標楷體"/>
          <w:color w:val="000000"/>
        </w:rPr>
        <w:t>112/6/1</w:t>
      </w:r>
      <w:r w:rsidR="00345D7C">
        <w:rPr>
          <w:rFonts w:ascii="標楷體" w:eastAsia="標楷體" w:hAnsi="標楷體" w:hint="eastAsia"/>
          <w:color w:val="000000"/>
        </w:rPr>
        <w:t>、113/6/1</w:t>
      </w:r>
      <w:r>
        <w:rPr>
          <w:rFonts w:ascii="標楷體" w:eastAsia="標楷體" w:hAnsi="標楷體"/>
          <w:color w:val="000000"/>
        </w:rPr>
        <w:t>)</w:t>
      </w:r>
    </w:p>
    <w:p w14:paraId="690427E0" w14:textId="77777777" w:rsidR="00BD776B" w:rsidRDefault="00DF0C24">
      <w:pPr>
        <w:ind w:left="850" w:hanging="245"/>
        <w:rPr>
          <w:rFonts w:ascii="標楷體" w:eastAsia="標楷體" w:hAnsi="標楷體"/>
          <w:color w:val="000000"/>
        </w:rPr>
      </w:pPr>
      <w:r>
        <w:rPr>
          <w:rFonts w:ascii="標楷體" w:eastAsia="標楷體" w:hAnsi="標楷體"/>
          <w:color w:val="000000"/>
        </w:rPr>
        <w:t>1.限單獨使用於具有FLT3突變的復發性或難治性急性骨髓性白血病(R/R AML)且計畫進行造血幹細胞移植的成年病人，限移植前使用，每位病人限給付6療程。病患須至少接受過一次 含anthracycline藥物的化學治療。</w:t>
      </w:r>
    </w:p>
    <w:p w14:paraId="5F7A9B02" w14:textId="77777777" w:rsidR="00BD776B" w:rsidRDefault="00DF0C24">
      <w:pPr>
        <w:ind w:left="850" w:hanging="245"/>
        <w:rPr>
          <w:rFonts w:ascii="標楷體" w:eastAsia="標楷體" w:hAnsi="標楷體"/>
          <w:color w:val="000000"/>
        </w:rPr>
      </w:pPr>
      <w:r>
        <w:rPr>
          <w:rFonts w:ascii="標楷體" w:eastAsia="標楷體" w:hAnsi="標楷體"/>
          <w:color w:val="000000"/>
        </w:rPr>
        <w:t>2.須事前審查核准後使用，初次申請時須檢附：</w:t>
      </w:r>
    </w:p>
    <w:p w14:paraId="7D99855F" w14:textId="77777777" w:rsidR="00BD776B" w:rsidRDefault="00DF0C24">
      <w:pPr>
        <w:ind w:left="850" w:hanging="245"/>
        <w:rPr>
          <w:rFonts w:ascii="標楷體" w:eastAsia="標楷體" w:hAnsi="標楷體"/>
          <w:color w:val="000000"/>
        </w:rPr>
      </w:pPr>
      <w:r>
        <w:rPr>
          <w:rFonts w:ascii="標楷體" w:eastAsia="標楷體" w:hAnsi="標楷體"/>
          <w:color w:val="000000"/>
        </w:rPr>
        <w:t>(1)相關病歷資料。</w:t>
      </w:r>
    </w:p>
    <w:p w14:paraId="059E9210" w14:textId="77777777" w:rsidR="00BD776B" w:rsidRDefault="00DF0C24">
      <w:pPr>
        <w:ind w:left="850" w:hanging="245"/>
        <w:rPr>
          <w:rFonts w:ascii="標楷體" w:eastAsia="標楷體" w:hAnsi="標楷體"/>
          <w:color w:val="000000"/>
        </w:rPr>
      </w:pPr>
      <w:r>
        <w:rPr>
          <w:rFonts w:ascii="標楷體" w:eastAsia="標楷體" w:hAnsi="標楷體"/>
          <w:color w:val="000000"/>
        </w:rPr>
        <w:t>(2)完整之造血幹細胞移植計畫，並詳細記載確認捐贈者名單及移植前調適治療等資料。需由具訓練血液及骨髓移植醫師能力之醫院申請，並由完成血液及骨髓移植訓練之醫師確認移植計畫。</w:t>
      </w:r>
    </w:p>
    <w:p w14:paraId="2F562FBA" w14:textId="2E257AA8" w:rsidR="00BD776B" w:rsidRDefault="00DF0C24">
      <w:pPr>
        <w:ind w:left="850" w:hanging="245"/>
        <w:rPr>
          <w:rFonts w:ascii="標楷體" w:eastAsia="標楷體" w:hAnsi="標楷體"/>
          <w:color w:val="000000"/>
        </w:rPr>
      </w:pPr>
      <w:r>
        <w:rPr>
          <w:rFonts w:ascii="標楷體" w:eastAsia="標楷體" w:hAnsi="標楷體"/>
          <w:color w:val="000000"/>
        </w:rPr>
        <w:t>(3)染色體檢驗報告，若為unfavorable karyotype(包含complex karyotype、-5、-5q、 -7、-7q、除t(9;11)外的11q23 abnormalities、inv(3)、(3;3)、t(6;9)以及t(9;22)等) 則不予給付。</w:t>
      </w:r>
    </w:p>
    <w:p w14:paraId="6EDF5319" w14:textId="14AC83D8" w:rsidR="000726DF" w:rsidRDefault="000726DF">
      <w:pPr>
        <w:ind w:left="850" w:hanging="245"/>
        <w:rPr>
          <w:rFonts w:ascii="標楷體" w:eastAsia="標楷體" w:hAnsi="標楷體"/>
          <w:color w:val="000000"/>
        </w:rPr>
      </w:pPr>
      <w:r w:rsidRPr="000726DF">
        <w:rPr>
          <w:rFonts w:ascii="標楷體" w:eastAsia="標楷體" w:hAnsi="標楷體" w:hint="eastAsia"/>
          <w:color w:val="000000"/>
        </w:rPr>
        <w:t>(4)檢附之FLT3突變檢測結果報告，需符合全民健康保險藥品給付規定之通則十二。(113/6/1)</w:t>
      </w:r>
    </w:p>
    <w:p w14:paraId="1871CA17" w14:textId="77777777" w:rsidR="00BD776B" w:rsidRDefault="00DF0C24">
      <w:pPr>
        <w:ind w:left="600"/>
        <w:rPr>
          <w:rFonts w:ascii="標楷體" w:eastAsia="標楷體" w:hAnsi="標楷體"/>
          <w:color w:val="000000"/>
        </w:rPr>
      </w:pPr>
      <w:r>
        <w:rPr>
          <w:rFonts w:ascii="標楷體" w:eastAsia="標楷體" w:hAnsi="標楷體"/>
          <w:color w:val="000000"/>
        </w:rPr>
        <w:t>3.每次申請為二個療程；續申請次二個療程時須檢附達到PR、CRi 或CR的證明方可續用。申請劑量以每日120mg為上限。</w:t>
      </w:r>
    </w:p>
    <w:p w14:paraId="60628DD3" w14:textId="77777777" w:rsidR="00BD776B" w:rsidRDefault="00DF0C24">
      <w:pPr>
        <w:ind w:left="610" w:hanging="245"/>
        <w:rPr>
          <w:rFonts w:ascii="標楷體" w:eastAsia="標楷體" w:hAnsi="標楷體"/>
          <w:color w:val="000000"/>
        </w:rPr>
      </w:pPr>
      <w:r>
        <w:rPr>
          <w:rFonts w:ascii="標楷體" w:eastAsia="標楷體" w:hAnsi="標楷體"/>
          <w:color w:val="000000"/>
        </w:rPr>
        <w:t>9.100.Acalabrutinib(如Calquence)：(112/7/1、112/12/1)</w:t>
      </w:r>
    </w:p>
    <w:p w14:paraId="3FE7BDB4" w14:textId="77777777" w:rsidR="00BD776B" w:rsidRDefault="00DF0C24">
      <w:pPr>
        <w:ind w:left="850" w:hanging="245"/>
        <w:rPr>
          <w:rFonts w:ascii="標楷體" w:eastAsia="標楷體" w:hAnsi="標楷體"/>
          <w:color w:val="000000"/>
        </w:rPr>
      </w:pPr>
      <w:r>
        <w:rPr>
          <w:rFonts w:ascii="標楷體" w:eastAsia="標楷體" w:hAnsi="標楷體"/>
          <w:color w:val="000000"/>
        </w:rPr>
        <w:t>1.單獨使用於先前接受過至少一種化學或標靶治療方式無效或復發的被套細胞淋巴瘤成年病人。</w:t>
      </w:r>
    </w:p>
    <w:p w14:paraId="38658B5E" w14:textId="77777777" w:rsidR="00BD776B" w:rsidRDefault="00DF0C24">
      <w:pPr>
        <w:ind w:left="1090" w:hanging="245"/>
        <w:rPr>
          <w:rFonts w:ascii="標楷體" w:eastAsia="標楷體" w:hAnsi="標楷體"/>
          <w:color w:val="000000"/>
        </w:rPr>
      </w:pPr>
      <w:r>
        <w:rPr>
          <w:rFonts w:ascii="標楷體" w:eastAsia="標楷體" w:hAnsi="標楷體"/>
          <w:color w:val="000000"/>
        </w:rPr>
        <w:t>(1)需經事前審查核准後使用。首次申請事前審查之療程以4個月為限，之後每3個月需再次申請，再次申請時應檢附前次治療結果評估資料，如影像學檢查報告。</w:t>
      </w:r>
    </w:p>
    <w:p w14:paraId="2AA05AFC" w14:textId="77777777" w:rsidR="00BD776B" w:rsidRDefault="00DF0C24">
      <w:pPr>
        <w:ind w:left="1090" w:hanging="245"/>
        <w:rPr>
          <w:rFonts w:ascii="標楷體" w:eastAsia="標楷體" w:hAnsi="標楷體"/>
          <w:color w:val="000000"/>
        </w:rPr>
      </w:pPr>
      <w:r>
        <w:rPr>
          <w:rFonts w:ascii="標楷體" w:eastAsia="標楷體" w:hAnsi="標楷體"/>
          <w:color w:val="000000"/>
        </w:rPr>
        <w:t>(2)若疾病進展，則必須停止使用。</w:t>
      </w:r>
    </w:p>
    <w:p w14:paraId="64CF341C" w14:textId="77777777" w:rsidR="00BD776B" w:rsidRDefault="00DF0C24">
      <w:pPr>
        <w:ind w:left="1090" w:hanging="245"/>
        <w:rPr>
          <w:rFonts w:ascii="標楷體" w:eastAsia="標楷體" w:hAnsi="標楷體"/>
          <w:color w:val="000000"/>
        </w:rPr>
      </w:pPr>
      <w:r>
        <w:rPr>
          <w:rFonts w:ascii="標楷體" w:eastAsia="標楷體" w:hAnsi="標楷體"/>
          <w:color w:val="000000"/>
        </w:rPr>
        <w:t>(3)每位病人限給付20個月。</w:t>
      </w:r>
    </w:p>
    <w:p w14:paraId="7C0F09B5" w14:textId="77777777" w:rsidR="00BD776B" w:rsidRDefault="00DF0C24">
      <w:pPr>
        <w:ind w:left="1090" w:hanging="245"/>
        <w:rPr>
          <w:rFonts w:ascii="標楷體" w:eastAsia="標楷體" w:hAnsi="標楷體"/>
          <w:color w:val="000000"/>
        </w:rPr>
      </w:pPr>
      <w:r>
        <w:rPr>
          <w:rFonts w:ascii="標楷體" w:eastAsia="標楷體" w:hAnsi="標楷體"/>
          <w:color w:val="000000"/>
        </w:rPr>
        <w:t>(4)每日至多處方2粒。</w:t>
      </w:r>
    </w:p>
    <w:p w14:paraId="67F46867" w14:textId="77777777" w:rsidR="00BD776B" w:rsidRDefault="00DF0C24">
      <w:pPr>
        <w:ind w:left="1090" w:hanging="245"/>
      </w:pPr>
      <w:r>
        <w:rPr>
          <w:rFonts w:ascii="標楷體" w:eastAsia="標楷體" w:hAnsi="標楷體"/>
          <w:color w:val="000000"/>
        </w:rPr>
        <w:t>(5)</w:t>
      </w:r>
      <w:r>
        <w:rPr>
          <w:rFonts w:ascii="標楷體" w:eastAsia="標楷體" w:hAnsi="標楷體"/>
          <w:szCs w:val="24"/>
        </w:rPr>
        <w:t>zanubrutinib、i</w:t>
      </w:r>
      <w:r>
        <w:rPr>
          <w:rFonts w:ascii="標楷體" w:eastAsia="標楷體" w:hAnsi="標楷體"/>
          <w:color w:val="000000"/>
        </w:rPr>
        <w:t>brutinib和acalabrutinib僅能擇一使用，唯有在出現無法忍受其副作用時方可互換。三者使用總療程合併計算，以全部20個月為上</w:t>
      </w:r>
      <w:r>
        <w:rPr>
          <w:rFonts w:ascii="標楷體" w:eastAsia="標楷體" w:hAnsi="標楷體"/>
          <w:color w:val="000000"/>
        </w:rPr>
        <w:lastRenderedPageBreak/>
        <w:t>限。(112/12/1)</w:t>
      </w:r>
    </w:p>
    <w:p w14:paraId="265616CE" w14:textId="77777777" w:rsidR="00BD776B" w:rsidRDefault="00DF0C24">
      <w:pPr>
        <w:ind w:left="850" w:hanging="245"/>
        <w:rPr>
          <w:rFonts w:ascii="標楷體" w:eastAsia="標楷體" w:hAnsi="標楷體"/>
          <w:color w:val="000000"/>
        </w:rPr>
      </w:pPr>
      <w:r>
        <w:rPr>
          <w:rFonts w:ascii="標楷體" w:eastAsia="標楷體" w:hAnsi="標楷體"/>
          <w:color w:val="000000"/>
        </w:rPr>
        <w:t>2.單獨使用於具有17p 缺失的慢性淋巴球性白血病(CLL)成年患者。</w:t>
      </w:r>
    </w:p>
    <w:p w14:paraId="4FB59914" w14:textId="77777777" w:rsidR="00BD776B" w:rsidRDefault="00DF0C24">
      <w:pPr>
        <w:ind w:left="1090" w:hanging="245"/>
        <w:rPr>
          <w:rFonts w:ascii="標楷體" w:eastAsia="標楷體" w:hAnsi="標楷體"/>
          <w:color w:val="000000"/>
        </w:rPr>
      </w:pPr>
      <w:r>
        <w:rPr>
          <w:rFonts w:ascii="標楷體" w:eastAsia="標楷體" w:hAnsi="標楷體"/>
          <w:color w:val="000000"/>
        </w:rPr>
        <w:t>(1)開始使用前之疾病狀態需出現下列任一情形：</w:t>
      </w:r>
    </w:p>
    <w:p w14:paraId="04BE6F9B" w14:textId="77777777" w:rsidR="00BD776B" w:rsidRDefault="00DF0C24">
      <w:pPr>
        <w:ind w:left="1330" w:hanging="245"/>
        <w:rPr>
          <w:rFonts w:ascii="標楷體" w:eastAsia="標楷體" w:hAnsi="標楷體"/>
          <w:color w:val="000000"/>
        </w:rPr>
      </w:pPr>
      <w:r>
        <w:rPr>
          <w:rFonts w:ascii="標楷體" w:eastAsia="標楷體" w:hAnsi="標楷體"/>
          <w:color w:val="000000"/>
        </w:rPr>
        <w:t>I.進行性的血液相惡化至Hb &lt; 10.0 gm/dL或PLT &lt; 100 K/uL，且無其他原因可以解釋。</w:t>
      </w:r>
    </w:p>
    <w:p w14:paraId="18CC50E6" w14:textId="77777777" w:rsidR="00BD776B" w:rsidRDefault="00DF0C24">
      <w:pPr>
        <w:ind w:left="1330" w:hanging="245"/>
        <w:rPr>
          <w:rFonts w:ascii="標楷體" w:eastAsia="標楷體" w:hAnsi="標楷體"/>
          <w:color w:val="000000"/>
        </w:rPr>
      </w:pPr>
      <w:r>
        <w:rPr>
          <w:rFonts w:ascii="標楷體" w:eastAsia="標楷體" w:hAnsi="標楷體"/>
          <w:color w:val="000000"/>
        </w:rPr>
        <w:t>II.脾臟腫大超過左肋骨下緣6 cm。</w:t>
      </w:r>
    </w:p>
    <w:p w14:paraId="714834E2" w14:textId="77777777" w:rsidR="00BD776B" w:rsidRDefault="00DF0C24">
      <w:pPr>
        <w:ind w:left="1330" w:hanging="245"/>
        <w:rPr>
          <w:rFonts w:ascii="標楷體" w:eastAsia="標楷體" w:hAnsi="標楷體"/>
          <w:color w:val="000000"/>
        </w:rPr>
      </w:pPr>
      <w:r>
        <w:rPr>
          <w:rFonts w:ascii="標楷體" w:eastAsia="標楷體" w:hAnsi="標楷體"/>
          <w:color w:val="000000"/>
        </w:rPr>
        <w:t>III.淋巴結腫大，最長徑超過10 cm。</w:t>
      </w:r>
    </w:p>
    <w:p w14:paraId="7A21BE2E" w14:textId="77777777" w:rsidR="00BD776B" w:rsidRDefault="00DF0C24">
      <w:pPr>
        <w:ind w:left="1330" w:hanging="245"/>
        <w:rPr>
          <w:rFonts w:ascii="標楷體" w:eastAsia="標楷體" w:hAnsi="標楷體"/>
          <w:color w:val="000000"/>
        </w:rPr>
      </w:pPr>
      <w:r>
        <w:rPr>
          <w:rFonts w:ascii="標楷體" w:eastAsia="標楷體" w:hAnsi="標楷體"/>
          <w:color w:val="000000"/>
        </w:rPr>
        <w:t>IV.周邊血液淋巴球在2個月內增加 50%以上，或倍增時間(doubling time)小於6個月。</w:t>
      </w:r>
    </w:p>
    <w:p w14:paraId="7B89E31E" w14:textId="77777777" w:rsidR="00BD776B" w:rsidRDefault="00DF0C24">
      <w:pPr>
        <w:ind w:left="1330" w:hanging="245"/>
        <w:rPr>
          <w:rFonts w:ascii="標楷體" w:eastAsia="標楷體" w:hAnsi="標楷體"/>
          <w:color w:val="000000"/>
        </w:rPr>
      </w:pPr>
      <w:r>
        <w:rPr>
          <w:rFonts w:ascii="標楷體" w:eastAsia="標楷體" w:hAnsi="標楷體"/>
          <w:color w:val="000000"/>
        </w:rPr>
        <w:t>V.出現自體免疫併發症，且經類固醇治療無效。</w:t>
      </w:r>
    </w:p>
    <w:p w14:paraId="73DAF234" w14:textId="77777777" w:rsidR="00BD776B" w:rsidRDefault="00DF0C24">
      <w:pPr>
        <w:ind w:left="1330" w:hanging="245"/>
        <w:rPr>
          <w:rFonts w:ascii="標楷體" w:eastAsia="標楷體" w:hAnsi="標楷體"/>
          <w:color w:val="000000"/>
        </w:rPr>
      </w:pPr>
      <w:r>
        <w:rPr>
          <w:rFonts w:ascii="標楷體" w:eastAsia="標楷體" w:hAnsi="標楷體"/>
          <w:color w:val="000000"/>
        </w:rPr>
        <w:t>VI.出現具症狀的淋巴結外病灶。</w:t>
      </w:r>
    </w:p>
    <w:p w14:paraId="318A9BEB" w14:textId="77777777" w:rsidR="00BD776B" w:rsidRDefault="00DF0C24">
      <w:pPr>
        <w:ind w:left="1205" w:hanging="360"/>
        <w:rPr>
          <w:rFonts w:ascii="標楷體" w:eastAsia="標楷體" w:hAnsi="標楷體"/>
          <w:color w:val="000000"/>
        </w:rPr>
      </w:pPr>
      <w:r>
        <w:rPr>
          <w:rFonts w:ascii="標楷體" w:eastAsia="標楷體" w:hAnsi="標楷體"/>
          <w:color w:val="000000"/>
        </w:rPr>
        <w:t>(2)需經事前審查核准後使用，每3個月需再次申請。再次申請時需檢附療效評估資料，若未達iwCLL (International Workshop on CLL)最新定義之partial remission或complete remission，則不予給付。</w:t>
      </w:r>
    </w:p>
    <w:p w14:paraId="2D8C56EC" w14:textId="77777777" w:rsidR="00BD776B" w:rsidRDefault="00DF0C24">
      <w:pPr>
        <w:ind w:left="1205" w:hanging="360"/>
        <w:rPr>
          <w:rFonts w:ascii="標楷體" w:eastAsia="標楷體" w:hAnsi="標楷體"/>
          <w:color w:val="000000"/>
        </w:rPr>
      </w:pPr>
      <w:r>
        <w:rPr>
          <w:rFonts w:ascii="標楷體" w:eastAsia="標楷體" w:hAnsi="標楷體"/>
          <w:color w:val="000000"/>
        </w:rPr>
        <w:t>(3)acalabrutinib、ibrutinib與venetoclax三者僅能擇一使用，唯有在出現無法忍受其副作用時方可互換。三者使用總療程合併計算，以全部24個月為上限。</w:t>
      </w:r>
    </w:p>
    <w:p w14:paraId="7BEF5952" w14:textId="77777777" w:rsidR="00BD776B" w:rsidRDefault="00DF0C24">
      <w:pPr>
        <w:ind w:left="1090" w:hanging="245"/>
        <w:rPr>
          <w:rFonts w:ascii="標楷體" w:eastAsia="標楷體" w:hAnsi="標楷體"/>
          <w:color w:val="000000"/>
        </w:rPr>
      </w:pPr>
      <w:r>
        <w:rPr>
          <w:rFonts w:ascii="標楷體" w:eastAsia="標楷體" w:hAnsi="標楷體"/>
          <w:color w:val="000000"/>
        </w:rPr>
        <w:t>(4)每日至多處方2粒。</w:t>
      </w:r>
    </w:p>
    <w:p w14:paraId="0E0E6746" w14:textId="77777777" w:rsidR="00D814E2" w:rsidRDefault="00DF0C24" w:rsidP="00D814E2">
      <w:pPr>
        <w:ind w:left="600"/>
        <w:rPr>
          <w:rFonts w:ascii="標楷體" w:eastAsia="標楷體" w:hAnsi="標楷體"/>
          <w:color w:val="000000"/>
        </w:rPr>
      </w:pPr>
      <w:r>
        <w:rPr>
          <w:rFonts w:ascii="標楷體" w:eastAsia="標楷體" w:hAnsi="標楷體"/>
          <w:color w:val="000000"/>
        </w:rPr>
        <w:t>9.101.Tepotinib (如Tepmetko):(112/7/1</w:t>
      </w:r>
      <w:r w:rsidR="00761B17">
        <w:rPr>
          <w:rFonts w:ascii="標楷體" w:eastAsia="標楷體" w:hAnsi="標楷體" w:hint="eastAsia"/>
          <w:color w:val="000000"/>
        </w:rPr>
        <w:t>、113/6/1</w:t>
      </w:r>
      <w:r>
        <w:rPr>
          <w:rFonts w:ascii="標楷體" w:eastAsia="標楷體" w:hAnsi="標楷體"/>
          <w:color w:val="000000"/>
        </w:rPr>
        <w:t>)</w:t>
      </w:r>
    </w:p>
    <w:p w14:paraId="3CAAAB44" w14:textId="77777777" w:rsidR="00D814E2" w:rsidRDefault="00DF0C24" w:rsidP="00D814E2">
      <w:pPr>
        <w:ind w:leftChars="350" w:left="1080" w:hangingChars="100" w:hanging="240"/>
        <w:rPr>
          <w:rFonts w:ascii="標楷體" w:eastAsia="標楷體" w:hAnsi="標楷體"/>
          <w:color w:val="000000"/>
        </w:rPr>
      </w:pPr>
      <w:r>
        <w:rPr>
          <w:rFonts w:ascii="標楷體" w:eastAsia="標楷體" w:hAnsi="標楷體"/>
          <w:color w:val="000000"/>
        </w:rPr>
        <w:t>1.適用於治療轉移性非小細胞肺癌的成人病人，其腫瘤帶有導致間質上皮轉化因子外顯子14 跳讀式突變(MET exon 14 skipping mutation)。</w:t>
      </w:r>
    </w:p>
    <w:p w14:paraId="467F22E6" w14:textId="6DA70D00" w:rsidR="00BD776B" w:rsidRDefault="00DF0C24" w:rsidP="00D814E2">
      <w:pPr>
        <w:ind w:leftChars="350" w:left="1080" w:hangingChars="100" w:hanging="240"/>
        <w:rPr>
          <w:rFonts w:ascii="標楷體" w:eastAsia="標楷體" w:hAnsi="標楷體"/>
          <w:color w:val="000000"/>
        </w:rPr>
      </w:pPr>
      <w:r>
        <w:rPr>
          <w:rFonts w:ascii="標楷體" w:eastAsia="標楷體" w:hAnsi="標楷體"/>
          <w:color w:val="000000"/>
        </w:rPr>
        <w:t xml:space="preserve">2.須經事前審查核准後使用: </w:t>
      </w:r>
    </w:p>
    <w:p w14:paraId="5AB4F5E9" w14:textId="77777777" w:rsidR="00511895" w:rsidRDefault="00DF0C24" w:rsidP="00511895">
      <w:pPr>
        <w:ind w:leftChars="400" w:left="1320" w:hangingChars="150" w:hanging="360"/>
        <w:rPr>
          <w:rFonts w:ascii="標楷體" w:eastAsia="標楷體" w:hAnsi="標楷體"/>
          <w:color w:val="000000"/>
        </w:rPr>
      </w:pPr>
      <w:r>
        <w:rPr>
          <w:rFonts w:ascii="標楷體" w:eastAsia="標楷體" w:hAnsi="標楷體"/>
          <w:color w:val="000000"/>
        </w:rPr>
        <w:t>(1)</w:t>
      </w:r>
      <w:r w:rsidR="008423E7" w:rsidRPr="008423E7">
        <w:rPr>
          <w:rFonts w:ascii="標楷體" w:eastAsia="標楷體" w:hAnsi="標楷體" w:hint="eastAsia"/>
          <w:color w:val="000000"/>
        </w:rPr>
        <w:t>初次申請時需檢具確實患有非小細胞肺癌之病理或細胞檢查報告,以及符合診斷之間質上皮轉化因子外顯子14跳讀式突變(MET exon 14 skipping mutation)檢測報告，且需符合全民健康保險藥品給付規定之通則十二。</w:t>
      </w:r>
    </w:p>
    <w:p w14:paraId="52CA9338" w14:textId="6611FA1C" w:rsidR="00BD776B" w:rsidRDefault="00DF0C24" w:rsidP="00511895">
      <w:pPr>
        <w:ind w:leftChars="400" w:left="1320" w:hangingChars="150" w:hanging="360"/>
        <w:rPr>
          <w:rFonts w:ascii="標楷體" w:eastAsia="標楷體" w:hAnsi="標楷體"/>
          <w:color w:val="000000"/>
        </w:rPr>
      </w:pPr>
      <w:r>
        <w:rPr>
          <w:rFonts w:ascii="標楷體" w:eastAsia="標楷體" w:hAnsi="標楷體"/>
          <w:color w:val="000000"/>
        </w:rPr>
        <w:t>(2)每次申請事前審查之療程以3個月為限，每3個月需再次申請，再次申請時並需附上治療後相關臨床資料，若病情惡化即不得再次申請。</w:t>
      </w:r>
    </w:p>
    <w:p w14:paraId="407EBF7C" w14:textId="77777777" w:rsidR="00BD776B" w:rsidRDefault="00DF0C24" w:rsidP="00D814E2">
      <w:pPr>
        <w:ind w:leftChars="350" w:left="1080" w:hangingChars="100" w:hanging="240"/>
        <w:rPr>
          <w:rFonts w:ascii="標楷體" w:eastAsia="標楷體" w:hAnsi="標楷體"/>
          <w:color w:val="000000"/>
        </w:rPr>
      </w:pPr>
      <w:r>
        <w:rPr>
          <w:rFonts w:ascii="標楷體" w:eastAsia="標楷體" w:hAnsi="標楷體"/>
          <w:color w:val="000000"/>
        </w:rPr>
        <w:t>3.使用本品無效後則不再給付該適應症相關之免疫檢查點PD-1、PD-L1抑制劑。</w:t>
      </w:r>
    </w:p>
    <w:p w14:paraId="5984C05A" w14:textId="77777777" w:rsidR="00BD776B" w:rsidRDefault="00DF0C24" w:rsidP="00D814E2">
      <w:pPr>
        <w:ind w:leftChars="350" w:left="1080" w:hangingChars="100" w:hanging="240"/>
        <w:rPr>
          <w:rFonts w:ascii="標楷體" w:eastAsia="標楷體" w:hAnsi="標楷體"/>
          <w:color w:val="000000"/>
        </w:rPr>
      </w:pPr>
      <w:r>
        <w:rPr>
          <w:rFonts w:ascii="標楷體" w:eastAsia="標楷體" w:hAnsi="標楷體"/>
          <w:color w:val="000000"/>
        </w:rPr>
        <w:t>4.每日最多處方2粒。</w:t>
      </w:r>
    </w:p>
    <w:p w14:paraId="54D42166" w14:textId="77777777" w:rsidR="00BD776B" w:rsidRDefault="00DF0C24">
      <w:pPr>
        <w:ind w:left="610" w:hanging="245"/>
        <w:rPr>
          <w:rFonts w:ascii="標楷體" w:eastAsia="標楷體" w:hAnsi="標楷體"/>
          <w:color w:val="000000"/>
        </w:rPr>
      </w:pPr>
      <w:r>
        <w:rPr>
          <w:rFonts w:ascii="標楷體" w:eastAsia="標楷體" w:hAnsi="標楷體"/>
          <w:color w:val="000000"/>
        </w:rPr>
        <w:t>9.102.Dinutuximab beta (如Qarziba)：(112/8/1)</w:t>
      </w:r>
    </w:p>
    <w:p w14:paraId="691224B0" w14:textId="77777777" w:rsidR="00BD776B" w:rsidRDefault="00DF0C24">
      <w:pPr>
        <w:ind w:left="850" w:hanging="245"/>
        <w:rPr>
          <w:rFonts w:ascii="標楷體" w:eastAsia="標楷體" w:hAnsi="標楷體"/>
          <w:color w:val="000000"/>
        </w:rPr>
      </w:pPr>
      <w:r>
        <w:rPr>
          <w:rFonts w:ascii="標楷體" w:eastAsia="標楷體" w:hAnsi="標楷體"/>
          <w:color w:val="000000"/>
        </w:rPr>
        <w:t>1.限用於年齡12個月以上的初診斷高危險神經母細胞瘤病人之初次使用GD2免疫治療；且在接受自體幹細胞移植前至少達到部分緩解，在自體幹細胞移植後，可申請以1次治療所需的5個療程為限。</w:t>
      </w:r>
    </w:p>
    <w:p w14:paraId="78165D95" w14:textId="77777777" w:rsidR="00BD776B" w:rsidRDefault="00DF0C24">
      <w:pPr>
        <w:ind w:left="850" w:hanging="245"/>
        <w:rPr>
          <w:rFonts w:ascii="標楷體" w:eastAsia="標楷體" w:hAnsi="標楷體"/>
          <w:color w:val="000000"/>
        </w:rPr>
      </w:pPr>
      <w:r>
        <w:rPr>
          <w:rFonts w:ascii="標楷體" w:eastAsia="標楷體" w:hAnsi="標楷體"/>
          <w:color w:val="000000"/>
        </w:rPr>
        <w:t>2.限移植後12個月內開始使用。</w:t>
      </w:r>
    </w:p>
    <w:p w14:paraId="0D1121AE" w14:textId="77777777" w:rsidR="00BD776B" w:rsidRDefault="00DF0C24">
      <w:pPr>
        <w:ind w:left="850" w:hanging="245"/>
        <w:rPr>
          <w:rFonts w:ascii="標楷體" w:eastAsia="標楷體" w:hAnsi="標楷體"/>
          <w:color w:val="000000"/>
        </w:rPr>
      </w:pPr>
      <w:r>
        <w:rPr>
          <w:rFonts w:ascii="標楷體" w:eastAsia="標楷體" w:hAnsi="標楷體"/>
          <w:color w:val="000000"/>
        </w:rPr>
        <w:t>3.自初診斷至使用本品前，出現復發、新轉移或疾病惡化者，不得申請給付。</w:t>
      </w:r>
    </w:p>
    <w:p w14:paraId="6545D01F" w14:textId="77777777" w:rsidR="00BD776B" w:rsidRDefault="00DF0C24">
      <w:pPr>
        <w:ind w:left="850" w:hanging="245"/>
        <w:rPr>
          <w:rFonts w:ascii="標楷體" w:eastAsia="標楷體" w:hAnsi="標楷體"/>
          <w:color w:val="000000"/>
        </w:rPr>
      </w:pPr>
      <w:r>
        <w:rPr>
          <w:rFonts w:ascii="標楷體" w:eastAsia="標楷體" w:hAnsi="標楷體"/>
          <w:color w:val="000000"/>
        </w:rPr>
        <w:t>4.經事前審查核准後使用。</w:t>
      </w:r>
    </w:p>
    <w:p w14:paraId="424E3324" w14:textId="77777777" w:rsidR="00BD776B" w:rsidRDefault="00DF0C24">
      <w:pPr>
        <w:ind w:left="992" w:hanging="706"/>
        <w:rPr>
          <w:rFonts w:ascii="標楷體" w:eastAsia="標楷體" w:hAnsi="標楷體"/>
          <w:color w:val="000000"/>
        </w:rPr>
      </w:pPr>
      <w:r>
        <w:rPr>
          <w:rFonts w:ascii="標楷體" w:eastAsia="標楷體" w:hAnsi="標楷體"/>
          <w:color w:val="000000"/>
        </w:rPr>
        <w:t>9.103.Tisagenlecleucel(如Kymriah)：(112/11/1、113/2/1)</w:t>
      </w:r>
    </w:p>
    <w:p w14:paraId="4D0CCBE9" w14:textId="77777777" w:rsidR="00BD776B" w:rsidRDefault="00DF0C24">
      <w:pPr>
        <w:ind w:left="992" w:hanging="706"/>
        <w:rPr>
          <w:rFonts w:ascii="標楷體" w:eastAsia="標楷體" w:hAnsi="標楷體"/>
          <w:color w:val="000000"/>
        </w:rPr>
      </w:pPr>
      <w:r>
        <w:rPr>
          <w:rFonts w:ascii="標楷體" w:eastAsia="標楷體" w:hAnsi="標楷體"/>
          <w:color w:val="000000"/>
        </w:rPr>
        <w:t xml:space="preserve">  1.治療患有難治型、移植後復發、第二次或二次以上復發之B細胞急性淋巴性白血病（ALL），且需符合以下條件:</w:t>
      </w:r>
    </w:p>
    <w:p w14:paraId="7EF78FB1"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(1)年齡25歲以下。</w:t>
      </w:r>
    </w:p>
    <w:p w14:paraId="7A5088A3"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(2)為經過兩線標準治療(包括TPOG protocol、GRAALL、Hyper-CVAD或是造血幹細胞移植後)之復發型B細胞急性淋巴性白血病，或是經需經過具有骨髓移植訓練的骨髓移植專科醫師確認無法進行造血幹細胞移植之難治型B細胞</w:t>
      </w:r>
      <w:r>
        <w:rPr>
          <w:rFonts w:ascii="標楷體" w:eastAsia="標楷體" w:hAnsi="標楷體"/>
          <w:color w:val="000000"/>
        </w:rPr>
        <w:lastRenderedPageBreak/>
        <w:t>急性淋巴性白血病。</w:t>
      </w:r>
    </w:p>
    <w:p w14:paraId="7E96C17C"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(3)病人預期壽命至少3個月以上，且完全符合以下條件:</w:t>
      </w:r>
    </w:p>
    <w:p w14:paraId="78899E04"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I.ECOG &lt; 2 (需有3次以上之醫療紀錄)。</w:t>
      </w:r>
    </w:p>
    <w:p w14:paraId="527FF5EA" w14:textId="77777777" w:rsidR="00BD776B" w:rsidRDefault="00DF0C24">
      <w:pPr>
        <w:spacing w:line="360" w:lineRule="exact"/>
        <w:ind w:left="1272" w:hanging="422"/>
      </w:pPr>
      <w:r>
        <w:rPr>
          <w:rFonts w:ascii="標楷體" w:eastAsia="標楷體" w:hAnsi="標楷體"/>
          <w:color w:val="000000"/>
        </w:rPr>
        <w:t xml:space="preserve">II.腎功能:腎絲球過濾速率Estimated Glomerular Filtration Rate (eGFR) </w:t>
      </w:r>
      <w:r>
        <w:rPr>
          <w:rFonts w:ascii="Times New Roman" w:eastAsia="標楷體" w:hAnsi="Times New Roman"/>
          <w:color w:val="000000"/>
        </w:rPr>
        <w:t>≥</w:t>
      </w:r>
      <w:r>
        <w:rPr>
          <w:rFonts w:ascii="標楷體" w:eastAsia="標楷體" w:hAnsi="標楷體"/>
          <w:color w:val="000000"/>
        </w:rPr>
        <w:t xml:space="preserve"> 60 mL/min/1.73 m2或肌酸酐creatinine </w:t>
      </w:r>
      <w:r>
        <w:rPr>
          <w:rFonts w:ascii="Times New Roman" w:eastAsia="標楷體" w:hAnsi="Times New Roman"/>
          <w:color w:val="000000"/>
        </w:rPr>
        <w:t>≤</w:t>
      </w:r>
      <w:r>
        <w:rPr>
          <w:rFonts w:ascii="標楷體" w:eastAsia="標楷體" w:hAnsi="標楷體"/>
          <w:color w:val="000000"/>
        </w:rPr>
        <w:t>1.5 x ULN。</w:t>
      </w:r>
    </w:p>
    <w:p w14:paraId="1209F298" w14:textId="77777777" w:rsidR="00BD776B" w:rsidRDefault="00DF0C24">
      <w:pPr>
        <w:spacing w:line="360" w:lineRule="exact"/>
        <w:ind w:left="1272" w:hanging="422"/>
      </w:pPr>
      <w:r>
        <w:rPr>
          <w:rFonts w:ascii="標楷體" w:eastAsia="標楷體" w:hAnsi="標楷體"/>
          <w:color w:val="000000"/>
        </w:rPr>
        <w:t xml:space="preserve">III.肝功能: ALT </w:t>
      </w:r>
      <w:r>
        <w:rPr>
          <w:rFonts w:ascii="Times New Roman" w:eastAsia="標楷體" w:hAnsi="Times New Roman"/>
          <w:color w:val="000000"/>
        </w:rPr>
        <w:t>≤</w:t>
      </w:r>
      <w:r>
        <w:rPr>
          <w:rFonts w:ascii="標楷體" w:eastAsia="標楷體" w:hAnsi="標楷體"/>
          <w:color w:val="000000"/>
        </w:rPr>
        <w:t xml:space="preserve"> 5 x ULN且bilirubin &lt;2.5mg；Gilbert-Meulengracht syndrome患者須符合total bilirubin is </w:t>
      </w:r>
      <w:r>
        <w:rPr>
          <w:rFonts w:ascii="Times New Roman" w:eastAsia="標楷體" w:hAnsi="Times New Roman"/>
          <w:color w:val="000000"/>
        </w:rPr>
        <w:t>≤</w:t>
      </w:r>
      <w:r>
        <w:rPr>
          <w:rFonts w:ascii="標楷體" w:eastAsia="標楷體" w:hAnsi="標楷體"/>
          <w:color w:val="000000"/>
        </w:rPr>
        <w:t xml:space="preserve"> 3.0 x ULN 且 direct bilirubin </w:t>
      </w:r>
      <w:r>
        <w:rPr>
          <w:rFonts w:ascii="Times New Roman" w:eastAsia="標楷體" w:hAnsi="Times New Roman"/>
          <w:color w:val="000000"/>
        </w:rPr>
        <w:t>≤</w:t>
      </w:r>
      <w:r>
        <w:rPr>
          <w:rFonts w:ascii="標楷體" w:eastAsia="標楷體" w:hAnsi="標楷體"/>
          <w:color w:val="000000"/>
        </w:rPr>
        <w:t xml:space="preserve"> 1.5 x ULN。</w:t>
      </w:r>
    </w:p>
    <w:p w14:paraId="22AC69DE"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IV.心臟功能: 左心室射出率 &gt; 50%，沒有心包膜積液，且過去一年無任何重大心臟疾病。</w:t>
      </w:r>
    </w:p>
    <w:p w14:paraId="4B662969"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V. 肺功能:血氧 &gt; 92% on room air (需有兩次以上的醫療紀錄)。</w:t>
      </w:r>
    </w:p>
    <w:p w14:paraId="294F9117" w14:textId="77777777" w:rsidR="00BD776B" w:rsidRDefault="00DF0C24">
      <w:pPr>
        <w:ind w:left="992" w:hanging="706"/>
        <w:rPr>
          <w:rFonts w:ascii="標楷體" w:eastAsia="標楷體" w:hAnsi="標楷體"/>
          <w:color w:val="000000"/>
        </w:rPr>
      </w:pPr>
      <w:r>
        <w:rPr>
          <w:rFonts w:ascii="標楷體" w:eastAsia="標楷體" w:hAnsi="標楷體"/>
          <w:color w:val="000000"/>
        </w:rPr>
        <w:t xml:space="preserve">  2.治療經兩線或兩線以上全身治療後之復發性或難治性瀰漫性大B細胞淋巴瘤（DLBCL）的成人病人，且需符合以下條件:</w:t>
      </w:r>
    </w:p>
    <w:p w14:paraId="6C7DE111"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(1)經自體移植治療失敗，或需經過具有骨髓移植訓練的骨髓移植專科醫師確認無法接受造血幹細胞移植者。</w:t>
      </w:r>
    </w:p>
    <w:p w14:paraId="34302E7B"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(2)病人預期壽命至少3個月以上，且符合以下條件:</w:t>
      </w:r>
    </w:p>
    <w:p w14:paraId="3773EE57"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I.</w:t>
      </w:r>
      <w:r>
        <w:rPr>
          <w:rFonts w:ascii="標楷體" w:eastAsia="標楷體" w:hAnsi="標楷體"/>
          <w:color w:val="000000"/>
        </w:rPr>
        <w:tab/>
        <w:t>ECOG&lt;2 (需有3次以上之醫療紀錄)。</w:t>
      </w:r>
    </w:p>
    <w:p w14:paraId="758B4848" w14:textId="77777777" w:rsidR="00BD776B" w:rsidRDefault="00DF0C24">
      <w:pPr>
        <w:spacing w:line="360" w:lineRule="exact"/>
        <w:ind w:left="1272" w:hanging="422"/>
      </w:pPr>
      <w:r>
        <w:rPr>
          <w:rFonts w:ascii="標楷體" w:eastAsia="標楷體" w:hAnsi="標楷體"/>
          <w:color w:val="000000"/>
        </w:rPr>
        <w:t>II.</w:t>
      </w:r>
      <w:r>
        <w:rPr>
          <w:rFonts w:ascii="標楷體" w:eastAsia="標楷體" w:hAnsi="標楷體"/>
          <w:color w:val="000000"/>
        </w:rPr>
        <w:tab/>
        <w:t xml:space="preserve">Extranodal site </w:t>
      </w:r>
      <w:r>
        <w:rPr>
          <w:rFonts w:ascii="Times New Roman" w:eastAsia="標楷體" w:hAnsi="Times New Roman"/>
          <w:color w:val="000000"/>
        </w:rPr>
        <w:t>≤</w:t>
      </w:r>
      <w:r>
        <w:rPr>
          <w:rFonts w:ascii="標楷體" w:eastAsia="標楷體" w:hAnsi="標楷體"/>
          <w:color w:val="000000"/>
        </w:rPr>
        <w:t xml:space="preserve"> 3 (需有 PET或 CT 的影像報告)。</w:t>
      </w:r>
    </w:p>
    <w:p w14:paraId="7B60F9B3" w14:textId="77777777" w:rsidR="00BD776B" w:rsidRDefault="00DF0C24">
      <w:pPr>
        <w:spacing w:line="360" w:lineRule="exact"/>
        <w:ind w:left="1272" w:hanging="422"/>
      </w:pPr>
      <w:r>
        <w:rPr>
          <w:rFonts w:ascii="標楷體" w:eastAsia="標楷體" w:hAnsi="標楷體"/>
          <w:color w:val="000000"/>
        </w:rPr>
        <w:t>III.</w:t>
      </w:r>
      <w:r>
        <w:rPr>
          <w:rFonts w:ascii="標楷體" w:eastAsia="標楷體" w:hAnsi="標楷體"/>
          <w:color w:val="000000"/>
        </w:rPr>
        <w:tab/>
        <w:t xml:space="preserve">腎功能:腎絲球過濾速率Estimated Glomerular Filtration Rate (eGFR) </w:t>
      </w:r>
      <w:r>
        <w:rPr>
          <w:rFonts w:ascii="Times New Roman" w:eastAsia="標楷體" w:hAnsi="Times New Roman"/>
          <w:color w:val="000000"/>
        </w:rPr>
        <w:t>≥</w:t>
      </w:r>
      <w:r>
        <w:rPr>
          <w:rFonts w:ascii="標楷體" w:eastAsia="標楷體" w:hAnsi="標楷體"/>
          <w:color w:val="000000"/>
        </w:rPr>
        <w:t xml:space="preserve"> 60 mL/min/1.73 m2或肌酸酐creatinine </w:t>
      </w:r>
      <w:r>
        <w:rPr>
          <w:rFonts w:ascii="Times New Roman" w:eastAsia="標楷體" w:hAnsi="Times New Roman"/>
          <w:color w:val="000000"/>
        </w:rPr>
        <w:t>≤</w:t>
      </w:r>
      <w:r>
        <w:rPr>
          <w:rFonts w:ascii="標楷體" w:eastAsia="標楷體" w:hAnsi="標楷體"/>
          <w:color w:val="000000"/>
        </w:rPr>
        <w:t>1.5 x ULN。</w:t>
      </w:r>
    </w:p>
    <w:p w14:paraId="5258387E" w14:textId="77777777" w:rsidR="00BD776B" w:rsidRDefault="00DF0C24">
      <w:pPr>
        <w:spacing w:line="360" w:lineRule="exact"/>
        <w:ind w:left="1272" w:hanging="422"/>
      </w:pPr>
      <w:r>
        <w:rPr>
          <w:rFonts w:ascii="標楷體" w:eastAsia="標楷體" w:hAnsi="標楷體"/>
          <w:color w:val="000000"/>
        </w:rPr>
        <w:t>IV.</w:t>
      </w:r>
      <w:r>
        <w:rPr>
          <w:rFonts w:ascii="標楷體" w:eastAsia="標楷體" w:hAnsi="標楷體"/>
          <w:color w:val="000000"/>
        </w:rPr>
        <w:tab/>
        <w:t xml:space="preserve">肝功能: ALT </w:t>
      </w:r>
      <w:r>
        <w:rPr>
          <w:rFonts w:ascii="Times New Roman" w:eastAsia="標楷體" w:hAnsi="Times New Roman"/>
          <w:color w:val="000000"/>
        </w:rPr>
        <w:t>≤</w:t>
      </w:r>
      <w:r>
        <w:rPr>
          <w:rFonts w:ascii="標楷體" w:eastAsia="標楷體" w:hAnsi="標楷體"/>
          <w:color w:val="000000"/>
        </w:rPr>
        <w:t xml:space="preserve"> 5 x ULN且bilirubin &lt;2.5mg；Gilbert-Meulengracht syndrome患者須符合total bilirubin is </w:t>
      </w:r>
      <w:r>
        <w:rPr>
          <w:rFonts w:ascii="Times New Roman" w:eastAsia="標楷體" w:hAnsi="Times New Roman"/>
          <w:color w:val="000000"/>
        </w:rPr>
        <w:t>≤</w:t>
      </w:r>
      <w:r>
        <w:rPr>
          <w:rFonts w:ascii="標楷體" w:eastAsia="標楷體" w:hAnsi="標楷體"/>
          <w:color w:val="000000"/>
        </w:rPr>
        <w:t xml:space="preserve"> 3.0 x ULN 且 direct bilirubin </w:t>
      </w:r>
      <w:r>
        <w:rPr>
          <w:rFonts w:ascii="Times New Roman" w:eastAsia="標楷體" w:hAnsi="Times New Roman"/>
          <w:color w:val="000000"/>
        </w:rPr>
        <w:t>≤</w:t>
      </w:r>
      <w:r>
        <w:rPr>
          <w:rFonts w:ascii="標楷體" w:eastAsia="標楷體" w:hAnsi="標楷體"/>
          <w:color w:val="000000"/>
        </w:rPr>
        <w:t xml:space="preserve"> 1.5 x ULN。</w:t>
      </w:r>
    </w:p>
    <w:p w14:paraId="1D7C2C57"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V.</w:t>
      </w:r>
      <w:r>
        <w:rPr>
          <w:rFonts w:ascii="標楷體" w:eastAsia="標楷體" w:hAnsi="標楷體"/>
          <w:color w:val="000000"/>
        </w:rPr>
        <w:tab/>
        <w:t>心臟功能: 左心室射出率 &gt; 50%且過去一年無任何重大心臟疾病(包含但不限於不穩定心絞痛、心肌梗塞、冠狀動脈繞道手術、中風) 。</w:t>
      </w:r>
    </w:p>
    <w:p w14:paraId="3FBDD508"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VI.</w:t>
      </w:r>
      <w:r>
        <w:rPr>
          <w:rFonts w:ascii="標楷體" w:eastAsia="標楷體" w:hAnsi="標楷體"/>
          <w:color w:val="000000"/>
        </w:rPr>
        <w:tab/>
        <w:t>肺功能:血氧 &gt; 92% on room air (需有兩次以上的醫療紀錄)。</w:t>
      </w:r>
    </w:p>
    <w:p w14:paraId="70A25C0F"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VII.</w:t>
      </w:r>
      <w:r>
        <w:rPr>
          <w:rFonts w:ascii="標楷體" w:eastAsia="標楷體" w:hAnsi="標楷體"/>
          <w:color w:val="000000"/>
        </w:rPr>
        <w:tab/>
        <w:t>淋巴球收集時，患者須符合全血細胞計數標準: ANC≧1000/uL、ALC≧100/uL、Hb≧8.0 g/dL; Plt≧50000/uL。</w:t>
      </w:r>
    </w:p>
    <w:p w14:paraId="1FB2A895"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VIII.於治療前兩年任何無自體免疫疾病。</w:t>
      </w:r>
    </w:p>
    <w:p w14:paraId="23FA1CCB" w14:textId="77777777" w:rsidR="00BD776B" w:rsidRDefault="00DF0C24">
      <w:pPr>
        <w:spacing w:line="360" w:lineRule="exact"/>
        <w:ind w:left="1272" w:hanging="422"/>
        <w:rPr>
          <w:rFonts w:ascii="標楷體" w:eastAsia="標楷體" w:hAnsi="標楷體"/>
          <w:color w:val="000000"/>
        </w:rPr>
      </w:pPr>
      <w:r>
        <w:rPr>
          <w:rFonts w:ascii="標楷體" w:eastAsia="標楷體" w:hAnsi="標楷體"/>
          <w:color w:val="000000"/>
        </w:rPr>
        <w:t>IX.</w:t>
      </w:r>
      <w:r>
        <w:rPr>
          <w:rFonts w:ascii="標楷體" w:eastAsia="標楷體" w:hAnsi="標楷體"/>
          <w:color w:val="000000"/>
        </w:rPr>
        <w:tab/>
        <w:t>無DLBCL之外的併發惡性腫瘤，但充分治療的基底細胞癌或鱗狀細胞癌不在此限（申請時需要充分的傷口癒合）；若為子宮頸或乳腺癌原位癌，在申請前至少 3 年經過治愈性治療且無復發證據；原發惡性腫瘤已完全切除且申請時須處於完全緩解5年以上。</w:t>
      </w:r>
    </w:p>
    <w:p w14:paraId="4D2F6838" w14:textId="77777777" w:rsidR="00BD776B" w:rsidRDefault="00DF0C24">
      <w:pPr>
        <w:ind w:left="993" w:hanging="709"/>
        <w:rPr>
          <w:rFonts w:ascii="標楷體" w:eastAsia="標楷體" w:hAnsi="標楷體"/>
          <w:color w:val="000000"/>
        </w:rPr>
      </w:pPr>
      <w:r>
        <w:rPr>
          <w:rFonts w:ascii="標楷體" w:eastAsia="標楷體" w:hAnsi="標楷體"/>
          <w:color w:val="000000"/>
        </w:rPr>
        <w:t xml:space="preserve">  3.前述1、2項均須符合下列條件：</w:t>
      </w:r>
    </w:p>
    <w:p w14:paraId="2EBE0955"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(1)需證實癌細胞仍帶有CD19。</w:t>
      </w:r>
    </w:p>
    <w:p w14:paraId="4B78C550"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(2)終身限給付1次療程，須於特殊專案審查通過後6個月內完成輸注。</w:t>
      </w:r>
    </w:p>
    <w:p w14:paraId="73367A2E"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(3)病人不得有HIV感染，曾經感染但已控制之病人亦不得接受。</w:t>
      </w:r>
    </w:p>
    <w:p w14:paraId="0BFA3B0A"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(4)病人不得有active hepatitis B virus or hepatitis C virus 感染(評估和輸注 CAR-T時需為viral load undetectable)。</w:t>
      </w:r>
    </w:p>
    <w:p w14:paraId="19B799B8"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lastRenderedPageBreak/>
        <w:t>(5)病人不得有原發性中樞神經系統淋巴瘤(Primary CNS 1ymphoma)。</w:t>
      </w:r>
    </w:p>
    <w:p w14:paraId="3390EC54"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(6)病人不得有活躍的次發性中樞神經系統淋巴癌侵犯。</w:t>
      </w:r>
    </w:p>
    <w:p w14:paraId="59C72D1A"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(7)追蹤方式：依保險人公布要求之檢驗項目與頻率執行。</w:t>
      </w:r>
    </w:p>
    <w:p w14:paraId="491A2F70"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(8)併用藥品規範：不得併用化療藥、免疫抑制劑或標靶藥物。</w:t>
      </w:r>
    </w:p>
    <w:p w14:paraId="0C9AB23C" w14:textId="77777777" w:rsidR="00BD776B" w:rsidRDefault="00DF0C24">
      <w:pPr>
        <w:ind w:left="992" w:hanging="706"/>
        <w:rPr>
          <w:rFonts w:ascii="標楷體" w:eastAsia="標楷體" w:hAnsi="標楷體"/>
          <w:color w:val="000000"/>
        </w:rPr>
      </w:pPr>
      <w:r>
        <w:rPr>
          <w:rFonts w:ascii="標楷體" w:eastAsia="標楷體" w:hAnsi="標楷體"/>
          <w:color w:val="000000"/>
        </w:rPr>
        <w:t xml:space="preserve">  4.執行醫師須完全符合下列資格：</w:t>
      </w:r>
    </w:p>
    <w:p w14:paraId="25B45368"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(1)醫師必須為血液病和造血幹細胞移植專科醫師且須完成血液病和造血幹細胞移植的相關照護訓練。</w:t>
      </w:r>
    </w:p>
    <w:p w14:paraId="11F08BAF"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(2)每年接受至少6小時中華民國血液及骨髓移植學會或中華民國血液病學會舉辦之CAR-T教育訓練。</w:t>
      </w:r>
    </w:p>
    <w:p w14:paraId="542B7650"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(3)由保險人每年委託相關學會定期稽核醫師資格。</w:t>
      </w:r>
    </w:p>
    <w:p w14:paraId="2266CEAE" w14:textId="77777777" w:rsidR="00BD776B" w:rsidRDefault="00DF0C24">
      <w:pPr>
        <w:ind w:left="992" w:hanging="706"/>
        <w:rPr>
          <w:rFonts w:ascii="標楷體" w:eastAsia="標楷體" w:hAnsi="標楷體"/>
          <w:color w:val="000000"/>
        </w:rPr>
      </w:pPr>
      <w:r>
        <w:rPr>
          <w:rFonts w:ascii="標楷體" w:eastAsia="標楷體" w:hAnsi="標楷體"/>
          <w:color w:val="000000"/>
        </w:rPr>
        <w:t xml:space="preserve">  5.執行醫院須完全符合下列條件：</w:t>
      </w:r>
    </w:p>
    <w:p w14:paraId="5D13A71A"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(1)須為血液病和造血幹細胞移植專科醫師的訓練醫院。</w:t>
      </w:r>
    </w:p>
    <w:p w14:paraId="55FE6BA2"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(2)每年平均須進行20例以上造血幹細胞移植，以過去3年平均為準，並每年進行確認。</w:t>
      </w:r>
    </w:p>
    <w:p w14:paraId="1C7401DE"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(3)須建立 CAR-T多專科團隊，包含醫師、護理師、藥師、醫檢師、細胞蒐集專門技術人員，經團隊討論後同意治療，並須於事前審查時，檢附會議紀錄。</w:t>
      </w:r>
    </w:p>
    <w:p w14:paraId="29785739"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(4)CAR-T 多專科團隊成員，包括醫師、護理師、藥師、醫檢師、細胞蒐集專門技術人員各至少一人，須每年接受至少6小時中華民國血液及骨髓移植學會或中華民國血液病學會舉辦之CAR-T教育訓練。</w:t>
      </w:r>
    </w:p>
    <w:p w14:paraId="08B6FAAE"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(5)醫院藥局至少需庫存3支靜脈注射tocilizumab。</w:t>
      </w:r>
    </w:p>
    <w:p w14:paraId="6EBB97EF"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(6)細胞蒐集和處理實驗室須於2029年1月1日前取得相關國際認證(AABB或FACT-JACIE)。</w:t>
      </w:r>
    </w:p>
    <w:p w14:paraId="2DC0AAE7"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(7)由保險人每年委託相關學會定期稽核醫院符合前述條件。</w:t>
      </w:r>
    </w:p>
    <w:p w14:paraId="53693C27" w14:textId="77777777" w:rsidR="00BD776B" w:rsidRDefault="00DF0C24">
      <w:pPr>
        <w:ind w:left="992" w:hanging="706"/>
        <w:rPr>
          <w:rFonts w:ascii="標楷體" w:eastAsia="標楷體" w:hAnsi="標楷體"/>
          <w:color w:val="000000"/>
        </w:rPr>
      </w:pPr>
      <w:r>
        <w:rPr>
          <w:rFonts w:ascii="標楷體" w:eastAsia="標楷體" w:hAnsi="標楷體"/>
          <w:color w:val="000000"/>
        </w:rPr>
        <w:t xml:space="preserve">  6.須經專家小組特殊專案審查核准後使用，並須檢附下列文件：</w:t>
      </w:r>
    </w:p>
    <w:p w14:paraId="07359504"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(1)CAR-T多科團隊會議紀錄。</w:t>
      </w:r>
    </w:p>
    <w:p w14:paraId="2DA25CB2"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(2)符合前述第4、5項之醫院條件及醫師資格之相關文件。</w:t>
      </w:r>
    </w:p>
    <w:p w14:paraId="48CAF2E1" w14:textId="77777777" w:rsidR="00BD776B" w:rsidRDefault="00DF0C24">
      <w:pPr>
        <w:spacing w:line="360" w:lineRule="exact"/>
        <w:ind w:left="1049" w:hanging="341"/>
        <w:rPr>
          <w:rFonts w:ascii="標楷體" w:eastAsia="標楷體" w:hAnsi="標楷體"/>
          <w:color w:val="000000"/>
        </w:rPr>
      </w:pPr>
      <w:r>
        <w:rPr>
          <w:rFonts w:ascii="標楷體" w:eastAsia="標楷體" w:hAnsi="標楷體"/>
          <w:color w:val="000000"/>
        </w:rPr>
        <w:t>(3)經臨床醫師確認無法接受造血幹細胞移植者，須檢附相關文件。</w:t>
      </w:r>
    </w:p>
    <w:p w14:paraId="2CD46FE4" w14:textId="77777777" w:rsidR="00BD776B" w:rsidRDefault="00DF0C24">
      <w:pPr>
        <w:spacing w:line="360" w:lineRule="exact"/>
        <w:ind w:left="809" w:hanging="341"/>
      </w:pPr>
      <w:r>
        <w:rPr>
          <w:rFonts w:ascii="標楷體" w:eastAsia="標楷體" w:hAnsi="標楷體"/>
          <w:szCs w:val="24"/>
        </w:rPr>
        <w:t>7.本藥品用於瀰漫性大B細胞淋巴瘤（DLBCL）與polatuzumab vedotin僅得擇一使用。(113/2/1)</w:t>
      </w:r>
    </w:p>
    <w:p w14:paraId="6CD5429C" w14:textId="77777777" w:rsidR="00BD776B" w:rsidRDefault="00DF0C24">
      <w:pPr>
        <w:snapToGrid w:val="0"/>
        <w:spacing w:line="360" w:lineRule="exact"/>
        <w:ind w:left="240"/>
        <w:rPr>
          <w:rFonts w:ascii="標楷體" w:eastAsia="標楷體" w:hAnsi="標楷體"/>
          <w:szCs w:val="24"/>
        </w:rPr>
      </w:pPr>
      <w:r>
        <w:rPr>
          <w:rFonts w:ascii="標楷體" w:eastAsia="標楷體" w:hAnsi="標楷體"/>
          <w:szCs w:val="24"/>
        </w:rPr>
        <w:t>9.104.Zanubrutinib(如Brukinsa)：(112/12/1)</w:t>
      </w:r>
    </w:p>
    <w:p w14:paraId="4C695122" w14:textId="77777777" w:rsidR="00BD776B" w:rsidRDefault="00DF0C24">
      <w:pPr>
        <w:tabs>
          <w:tab w:val="left" w:pos="1418"/>
        </w:tabs>
        <w:snapToGrid w:val="0"/>
        <w:spacing w:line="360" w:lineRule="exact"/>
        <w:ind w:left="720" w:hanging="240"/>
        <w:rPr>
          <w:rFonts w:ascii="標楷體" w:eastAsia="標楷體" w:hAnsi="標楷體"/>
          <w:szCs w:val="24"/>
        </w:rPr>
      </w:pPr>
      <w:r>
        <w:rPr>
          <w:rFonts w:ascii="標楷體" w:eastAsia="標楷體" w:hAnsi="標楷體"/>
          <w:szCs w:val="24"/>
        </w:rPr>
        <w:t>1.單獨使用於先前接受過至少一種化學或標靶治療方式無效或復發的被套細胞淋巴瘤成年病人。(112/12/1)</w:t>
      </w:r>
    </w:p>
    <w:p w14:paraId="7F5A65EE"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(1)需經事前審查核准後使用。首次申請事前審查之療程以4個月為限，之後每3個月需再次申請，再次申請時應檢附前次治療結果評估資料，如影像學檢查報告。</w:t>
      </w:r>
    </w:p>
    <w:p w14:paraId="4A0560D5"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(2)若疾病進展，則必須停止使用。</w:t>
      </w:r>
    </w:p>
    <w:p w14:paraId="4B60B181"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(3)每位病人限給付20個月。</w:t>
      </w:r>
    </w:p>
    <w:p w14:paraId="578691CE"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(4)每日至多處方4粒。</w:t>
      </w:r>
    </w:p>
    <w:p w14:paraId="609473E9"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(5)zanubrutinib、ibrutinib及acalabrutinib僅能擇一使用，唯有在出現無</w:t>
      </w:r>
      <w:r>
        <w:rPr>
          <w:rFonts w:ascii="標楷體" w:eastAsia="標楷體" w:hAnsi="標楷體"/>
          <w:szCs w:val="24"/>
        </w:rPr>
        <w:lastRenderedPageBreak/>
        <w:t>法忍受其副作用時方可互換。三者使用總療程合併計算，以全部20個月為上限。</w:t>
      </w:r>
    </w:p>
    <w:p w14:paraId="3A2F96F3" w14:textId="77777777" w:rsidR="00BD776B" w:rsidRDefault="00DF0C24">
      <w:pPr>
        <w:snapToGrid w:val="0"/>
        <w:spacing w:line="360" w:lineRule="exact"/>
        <w:ind w:left="751" w:hanging="271"/>
        <w:rPr>
          <w:rFonts w:ascii="標楷體" w:eastAsia="標楷體" w:hAnsi="標楷體"/>
          <w:szCs w:val="24"/>
        </w:rPr>
      </w:pPr>
      <w:r>
        <w:rPr>
          <w:rFonts w:ascii="標楷體" w:eastAsia="標楷體" w:hAnsi="標楷體"/>
          <w:szCs w:val="24"/>
        </w:rPr>
        <w:t>2.單獨使用於曾接受含一種單株抗體及一種靜脈注射之alkylating agent之chemoimmunotherapy至少4個療程以上後復發者的華氏巨球蛋白血症成年病人。(112/12/1)</w:t>
      </w:r>
    </w:p>
    <w:p w14:paraId="4EBEB1EE" w14:textId="77777777" w:rsidR="00BD776B" w:rsidRDefault="00DF0C24">
      <w:pPr>
        <w:pStyle w:val="af"/>
        <w:snapToGrid w:val="0"/>
        <w:spacing w:line="360" w:lineRule="exact"/>
        <w:ind w:left="1260" w:hanging="362"/>
        <w:rPr>
          <w:rFonts w:ascii="標楷體" w:eastAsia="標楷體" w:hAnsi="標楷體"/>
        </w:rPr>
      </w:pPr>
      <w:r>
        <w:rPr>
          <w:rFonts w:ascii="標楷體" w:eastAsia="標楷體" w:hAnsi="標楷體"/>
        </w:rPr>
        <w:t>(1)病患須具下列至少3種條件：</w:t>
      </w:r>
    </w:p>
    <w:p w14:paraId="04BCE682" w14:textId="77777777" w:rsidR="00BD776B" w:rsidRDefault="00DF0C24">
      <w:pPr>
        <w:pStyle w:val="af"/>
        <w:snapToGrid w:val="0"/>
        <w:spacing w:line="360" w:lineRule="exact"/>
        <w:ind w:left="1562" w:hanging="362"/>
      </w:pPr>
      <w:r>
        <w:rPr>
          <w:rFonts w:ascii="標楷體" w:eastAsia="標楷體" w:hAnsi="標楷體"/>
          <w:color w:val="000000"/>
        </w:rPr>
        <w:t>Ⅰ.</w:t>
      </w:r>
      <w:r>
        <w:rPr>
          <w:rFonts w:ascii="標楷體" w:eastAsia="標楷體" w:hAnsi="標楷體"/>
          <w:color w:val="000000"/>
        </w:rPr>
        <w:tab/>
      </w:r>
      <w:r>
        <w:rPr>
          <w:rFonts w:ascii="標楷體" w:eastAsia="標楷體" w:hAnsi="標楷體"/>
        </w:rPr>
        <w:t>年齡＞65歲。</w:t>
      </w:r>
    </w:p>
    <w:p w14:paraId="5DE3C40B" w14:textId="77777777" w:rsidR="00BD776B" w:rsidRDefault="00DF0C24">
      <w:pPr>
        <w:pStyle w:val="af"/>
        <w:snapToGrid w:val="0"/>
        <w:spacing w:line="360" w:lineRule="exact"/>
        <w:ind w:left="1562" w:hanging="362"/>
      </w:pPr>
      <w:r>
        <w:rPr>
          <w:rFonts w:ascii="標楷體" w:eastAsia="標楷體" w:hAnsi="標楷體"/>
          <w:color w:val="000000"/>
        </w:rPr>
        <w:t>Ⅱ.</w:t>
      </w:r>
      <w:r>
        <w:rPr>
          <w:rFonts w:ascii="標楷體" w:eastAsia="標楷體" w:hAnsi="標楷體"/>
        </w:rPr>
        <w:t>血紅素計數≦11g/dL。</w:t>
      </w:r>
    </w:p>
    <w:p w14:paraId="05E4CA64" w14:textId="77777777" w:rsidR="00BD776B" w:rsidRDefault="00DF0C24">
      <w:pPr>
        <w:pStyle w:val="af"/>
        <w:snapToGrid w:val="0"/>
        <w:spacing w:line="360" w:lineRule="exact"/>
        <w:ind w:left="1562" w:hanging="362"/>
      </w:pPr>
      <w:r>
        <w:rPr>
          <w:rFonts w:ascii="標楷體" w:eastAsia="標楷體" w:hAnsi="標楷體"/>
        </w:rPr>
        <w:t>Ⅲ.血小板計數≦100×10</w:t>
      </w:r>
      <w:r>
        <w:rPr>
          <w:rFonts w:ascii="標楷體" w:eastAsia="標楷體" w:hAnsi="標楷體"/>
          <w:vertAlign w:val="superscript"/>
        </w:rPr>
        <w:t>9</w:t>
      </w:r>
      <w:r>
        <w:rPr>
          <w:rFonts w:ascii="標楷體" w:eastAsia="標楷體" w:hAnsi="標楷體"/>
        </w:rPr>
        <w:t>/L。</w:t>
      </w:r>
    </w:p>
    <w:p w14:paraId="3535237D" w14:textId="77777777" w:rsidR="00BD776B" w:rsidRDefault="00DF0C24">
      <w:pPr>
        <w:pStyle w:val="af"/>
        <w:snapToGrid w:val="0"/>
        <w:spacing w:line="360" w:lineRule="exact"/>
        <w:ind w:left="1562" w:hanging="362"/>
      </w:pPr>
      <w:r>
        <w:rPr>
          <w:rFonts w:ascii="標楷體" w:eastAsia="標楷體" w:hAnsi="標楷體"/>
          <w:color w:val="000000"/>
        </w:rPr>
        <w:t>IV.</w:t>
      </w:r>
      <w:r>
        <w:rPr>
          <w:rFonts w:ascii="標楷體" w:eastAsia="標楷體" w:hAnsi="標楷體"/>
        </w:rPr>
        <w:t>β2-microglobulin&gt;3mg/L。</w:t>
      </w:r>
    </w:p>
    <w:p w14:paraId="529F3EFC" w14:textId="77777777" w:rsidR="00BD776B" w:rsidRDefault="00DF0C24">
      <w:pPr>
        <w:pStyle w:val="af"/>
        <w:snapToGrid w:val="0"/>
        <w:spacing w:line="360" w:lineRule="exact"/>
        <w:ind w:left="1562" w:hanging="362"/>
        <w:rPr>
          <w:rFonts w:ascii="標楷體" w:eastAsia="標楷體" w:hAnsi="標楷體"/>
        </w:rPr>
      </w:pPr>
      <w:r>
        <w:rPr>
          <w:rFonts w:ascii="標楷體" w:eastAsia="標楷體" w:hAnsi="標楷體"/>
        </w:rPr>
        <w:t>Ⅴ.免疫球蛋白IgM&gt;7g/dL。</w:t>
      </w:r>
    </w:p>
    <w:p w14:paraId="42403BD0"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(2)需經事前審查核准後使用。首次申請事前審查之療程以4個月為限，之後每3個月需再次申請，再次申請時應檢附前次治療結果評估資料，如影像學檢查報告。</w:t>
      </w:r>
    </w:p>
    <w:p w14:paraId="3543747A"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(3)若疾病進展，則必須停止使用。</w:t>
      </w:r>
    </w:p>
    <w:p w14:paraId="77D844F5"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(4)每位病人限給付20個月。</w:t>
      </w:r>
    </w:p>
    <w:p w14:paraId="3EDA66A3" w14:textId="77777777" w:rsidR="00BD776B" w:rsidRDefault="00DF0C24">
      <w:pPr>
        <w:tabs>
          <w:tab w:val="left" w:pos="1418"/>
        </w:tabs>
        <w:snapToGrid w:val="0"/>
        <w:spacing w:line="360" w:lineRule="exact"/>
        <w:ind w:left="1200" w:hanging="360"/>
        <w:rPr>
          <w:rFonts w:ascii="標楷體" w:eastAsia="標楷體" w:hAnsi="標楷體"/>
          <w:szCs w:val="24"/>
        </w:rPr>
      </w:pPr>
      <w:r>
        <w:rPr>
          <w:rFonts w:ascii="標楷體" w:eastAsia="標楷體" w:hAnsi="標楷體"/>
          <w:szCs w:val="24"/>
        </w:rPr>
        <w:t>(5)每日至多處方4粒。</w:t>
      </w:r>
    </w:p>
    <w:p w14:paraId="5BA049F7" w14:textId="77777777" w:rsidR="00BD776B" w:rsidRDefault="00DF0C24">
      <w:pPr>
        <w:ind w:left="142"/>
        <w:rPr>
          <w:rFonts w:ascii="標楷體" w:eastAsia="標楷體" w:hAnsi="標楷體"/>
          <w:szCs w:val="24"/>
        </w:rPr>
      </w:pPr>
      <w:r>
        <w:rPr>
          <w:rFonts w:ascii="標楷體" w:eastAsia="標楷體" w:hAnsi="標楷體"/>
          <w:szCs w:val="24"/>
        </w:rPr>
        <w:t>9.105.Polatuzumab vedotin (如Polivy)：(113/2/1)</w:t>
      </w:r>
    </w:p>
    <w:p w14:paraId="2F425EE6" w14:textId="77777777" w:rsidR="00BD776B" w:rsidRDefault="00DF0C24">
      <w:pPr>
        <w:pStyle w:val="af"/>
        <w:ind w:left="666" w:hanging="284"/>
        <w:rPr>
          <w:rFonts w:ascii="標楷體" w:eastAsia="標楷體" w:hAnsi="標楷體"/>
          <w:szCs w:val="24"/>
        </w:rPr>
      </w:pPr>
      <w:r>
        <w:rPr>
          <w:rFonts w:ascii="標楷體" w:eastAsia="標楷體" w:hAnsi="標楷體"/>
          <w:szCs w:val="24"/>
        </w:rPr>
        <w:t>1.限與bendamustine和rituximab併用，適用於第三線治療復發型（relapsed）或難治型（refractory）且未曾接受及不適合接受造血幹細胞移植的瀰漫性大型B細胞淋巴瘤（DLBCL）成年病人，並須完全符合下列條件：</w:t>
      </w:r>
    </w:p>
    <w:p w14:paraId="203F730D" w14:textId="77777777" w:rsidR="00BD776B" w:rsidRDefault="00DF0C24">
      <w:pPr>
        <w:pStyle w:val="af"/>
        <w:ind w:left="906" w:hanging="284"/>
        <w:rPr>
          <w:rFonts w:ascii="標楷體" w:eastAsia="標楷體" w:hAnsi="標楷體"/>
          <w:szCs w:val="24"/>
        </w:rPr>
      </w:pPr>
      <w:r>
        <w:rPr>
          <w:rFonts w:ascii="標楷體" w:eastAsia="標楷體" w:hAnsi="標楷體"/>
          <w:szCs w:val="24"/>
        </w:rPr>
        <w:t>(1)ECOG分數≦2。</w:t>
      </w:r>
    </w:p>
    <w:p w14:paraId="3D2D76DD" w14:textId="77777777" w:rsidR="00BD776B" w:rsidRDefault="00DF0C24">
      <w:pPr>
        <w:pStyle w:val="af"/>
        <w:ind w:left="1019" w:hanging="397"/>
        <w:rPr>
          <w:rFonts w:ascii="標楷體" w:eastAsia="標楷體" w:hAnsi="標楷體"/>
          <w:szCs w:val="24"/>
        </w:rPr>
      </w:pPr>
      <w:r>
        <w:rPr>
          <w:rFonts w:ascii="標楷體" w:eastAsia="標楷體" w:hAnsi="標楷體"/>
          <w:szCs w:val="24"/>
        </w:rPr>
        <w:t>(2)未曾接受幹細胞移植且需先經兩位曾接受血液及骨髓移植訓練並合格之醫師評估為不適合接受移植之病人並滿足下列條件之一：</w:t>
      </w:r>
    </w:p>
    <w:p w14:paraId="1435DE85" w14:textId="77777777" w:rsidR="00BD776B" w:rsidRDefault="00DF0C24">
      <w:pPr>
        <w:pStyle w:val="af"/>
        <w:ind w:left="1499" w:hanging="397"/>
        <w:rPr>
          <w:rFonts w:ascii="標楷體" w:eastAsia="標楷體" w:hAnsi="標楷體"/>
          <w:szCs w:val="24"/>
        </w:rPr>
      </w:pPr>
      <w:r>
        <w:rPr>
          <w:rFonts w:ascii="標楷體" w:eastAsia="標楷體" w:hAnsi="標楷體"/>
          <w:szCs w:val="24"/>
        </w:rPr>
        <w:t>Ⅰ.年齡在65歲（含）以上，且使用過的第二線治療含鉑類藥物（cisplatin、oxaliplatin、carboplatin）後，以影像學檢查證實疾病惡化中。</w:t>
      </w:r>
    </w:p>
    <w:p w14:paraId="71A64CCF" w14:textId="77777777" w:rsidR="00BD776B" w:rsidRDefault="00DF0C24">
      <w:pPr>
        <w:pStyle w:val="af"/>
        <w:ind w:left="1499" w:hanging="397"/>
        <w:rPr>
          <w:rFonts w:ascii="標楷體" w:eastAsia="標楷體" w:hAnsi="標楷體"/>
          <w:szCs w:val="24"/>
        </w:rPr>
      </w:pPr>
      <w:r>
        <w:rPr>
          <w:rFonts w:ascii="標楷體" w:eastAsia="標楷體" w:hAnsi="標楷體"/>
          <w:szCs w:val="24"/>
        </w:rPr>
        <w:t>Ⅱ.年齡在65歲以下，符合HCT-CI≧3分，且使用過的第二線治療含鉑類藥物（cisplatin、oxaliplatin、carboplatin）後，以影像學檢查證實疾病惡化中。</w:t>
      </w:r>
    </w:p>
    <w:p w14:paraId="13DD9FC2" w14:textId="77777777" w:rsidR="00BD776B" w:rsidRDefault="00DF0C24">
      <w:pPr>
        <w:pStyle w:val="af"/>
        <w:ind w:left="1499" w:hanging="397"/>
        <w:rPr>
          <w:rFonts w:ascii="標楷體" w:eastAsia="標楷體" w:hAnsi="標楷體"/>
          <w:szCs w:val="24"/>
        </w:rPr>
      </w:pPr>
      <w:r>
        <w:rPr>
          <w:rFonts w:ascii="標楷體" w:eastAsia="標楷體" w:hAnsi="標楷體"/>
          <w:szCs w:val="24"/>
        </w:rPr>
        <w:t>Ⅲ.使用過第二線治療含鉑類藥物（cisplatin、oxaliplatin、carboplatin）後，在收集造血幹細胞時，即使使用plerixafor後收集的CD34陽性原始細胞仍未達每公斤體重200萬顆細胞，且以影像學檢查證實疾病惡化中。</w:t>
      </w:r>
    </w:p>
    <w:p w14:paraId="38468103" w14:textId="77777777" w:rsidR="00BD776B" w:rsidRDefault="00DF0C24">
      <w:pPr>
        <w:pStyle w:val="af"/>
        <w:ind w:left="1019" w:hanging="397"/>
        <w:rPr>
          <w:rFonts w:ascii="標楷體" w:eastAsia="標楷體" w:hAnsi="標楷體"/>
          <w:szCs w:val="24"/>
        </w:rPr>
      </w:pPr>
      <w:r>
        <w:rPr>
          <w:rFonts w:ascii="標楷體" w:eastAsia="標楷體" w:hAnsi="標楷體"/>
          <w:szCs w:val="24"/>
        </w:rPr>
        <w:t>(3)病人須經兩次（含）以上rituximab合併化學治療無效或復發者。</w:t>
      </w:r>
    </w:p>
    <w:p w14:paraId="03D01806" w14:textId="77777777" w:rsidR="00BD776B" w:rsidRDefault="00DF0C24">
      <w:pPr>
        <w:pStyle w:val="af"/>
        <w:ind w:left="666" w:hanging="284"/>
      </w:pPr>
      <w:r>
        <w:rPr>
          <w:rFonts w:ascii="標楷體" w:eastAsia="標楷體" w:hAnsi="標楷體"/>
          <w:szCs w:val="24"/>
        </w:rPr>
        <w:t>2.需經事前審查核准後使用：</w:t>
      </w:r>
    </w:p>
    <w:p w14:paraId="6136600A" w14:textId="77777777" w:rsidR="00BD776B" w:rsidRDefault="00DF0C24">
      <w:pPr>
        <w:pStyle w:val="af"/>
        <w:ind w:left="906" w:hanging="284"/>
      </w:pPr>
      <w:r>
        <w:rPr>
          <w:rFonts w:ascii="標楷體" w:eastAsia="標楷體" w:hAnsi="標楷體"/>
          <w:szCs w:val="24"/>
        </w:rPr>
        <w:t>(1)每次申請事前審查以3個療程為限，再次申請必須提出客觀證據（如：影像學）證實無惡化，若病情惡化即不得再次申請。</w:t>
      </w:r>
    </w:p>
    <w:p w14:paraId="7E0F52DE" w14:textId="77777777" w:rsidR="00BD776B" w:rsidRDefault="00DF0C24">
      <w:pPr>
        <w:pStyle w:val="af"/>
        <w:widowControl/>
        <w:ind w:left="906" w:hanging="284"/>
      </w:pPr>
      <w:r>
        <w:rPr>
          <w:rFonts w:ascii="標楷體" w:eastAsia="標楷體" w:hAnsi="標楷體"/>
        </w:rPr>
        <w:t>(2)</w:t>
      </w:r>
      <w:r>
        <w:rPr>
          <w:rFonts w:ascii="標楷體" w:eastAsia="標楷體" w:hAnsi="標楷體"/>
          <w:szCs w:val="24"/>
        </w:rPr>
        <w:t>每位病人終生限給付6個療程。</w:t>
      </w:r>
    </w:p>
    <w:p w14:paraId="2CEB1CCA" w14:textId="77777777" w:rsidR="00BD776B" w:rsidRDefault="00DF0C24">
      <w:pPr>
        <w:ind w:left="382"/>
        <w:rPr>
          <w:rFonts w:ascii="標楷體" w:eastAsia="標楷體" w:hAnsi="標楷體"/>
          <w:szCs w:val="24"/>
        </w:rPr>
      </w:pPr>
      <w:r>
        <w:rPr>
          <w:rFonts w:ascii="標楷體" w:eastAsia="標楷體" w:hAnsi="標楷體"/>
          <w:szCs w:val="24"/>
        </w:rPr>
        <w:t>3.病人接受本藥物治療後，不給付造血幹細胞移植與tisagenlecleucel。</w:t>
      </w:r>
    </w:p>
    <w:p w14:paraId="52BC3AE3" w14:textId="35C0121B" w:rsidR="00BD776B" w:rsidRDefault="00DF0C24">
      <w:pPr>
        <w:ind w:left="752" w:hanging="706"/>
        <w:rPr>
          <w:rFonts w:ascii="標楷體" w:eastAsia="標楷體" w:hAnsi="標楷體"/>
          <w:color w:val="000000"/>
        </w:rPr>
      </w:pPr>
      <w:r>
        <w:rPr>
          <w:rFonts w:ascii="標楷體" w:eastAsia="標楷體" w:hAnsi="標楷體"/>
          <w:color w:val="000000"/>
        </w:rPr>
        <w:t>9.106.Sacituzumab govitecan (如Trodelvy）：(113/2/1</w:t>
      </w:r>
      <w:r w:rsidR="00BD7D4E">
        <w:rPr>
          <w:rFonts w:ascii="標楷體" w:eastAsia="標楷體" w:hAnsi="標楷體" w:hint="eastAsia"/>
          <w:color w:val="000000"/>
        </w:rPr>
        <w:t>、114/2/1</w:t>
      </w:r>
      <w:r>
        <w:rPr>
          <w:rFonts w:ascii="標楷體" w:eastAsia="標楷體" w:hAnsi="標楷體"/>
          <w:color w:val="000000"/>
        </w:rPr>
        <w:t>)</w:t>
      </w:r>
    </w:p>
    <w:p w14:paraId="1A2BF793" w14:textId="77777777" w:rsidR="00BD776B" w:rsidRDefault="00DF0C24">
      <w:pPr>
        <w:ind w:left="709" w:hanging="284"/>
        <w:rPr>
          <w:rFonts w:ascii="標楷體" w:eastAsia="標楷體" w:hAnsi="標楷體"/>
          <w:color w:val="000000"/>
        </w:rPr>
      </w:pPr>
      <w:r>
        <w:rPr>
          <w:rFonts w:ascii="標楷體" w:eastAsia="標楷體" w:hAnsi="標楷體"/>
          <w:color w:val="000000"/>
        </w:rPr>
        <w:t>1.適用於治療先前已接受兩次以上全身性治療無效(其中一次需為治療晚期疾病)之</w:t>
      </w:r>
      <w:r>
        <w:rPr>
          <w:rFonts w:ascii="標楷體" w:eastAsia="標楷體" w:hAnsi="標楷體"/>
          <w:color w:val="000000"/>
        </w:rPr>
        <w:lastRenderedPageBreak/>
        <w:t>無法切除的局部晚期或轉移性的三陰性乳癌成年病人，且符合下列各項條件：</w:t>
      </w:r>
    </w:p>
    <w:p w14:paraId="23C58577" w14:textId="77777777" w:rsidR="00BD776B" w:rsidRDefault="00DF0C24">
      <w:pPr>
        <w:ind w:left="1332" w:hanging="566"/>
        <w:rPr>
          <w:rFonts w:ascii="標楷體" w:eastAsia="標楷體" w:hAnsi="標楷體"/>
          <w:color w:val="000000"/>
        </w:rPr>
      </w:pPr>
      <w:r>
        <w:rPr>
          <w:rFonts w:ascii="標楷體" w:eastAsia="標楷體" w:hAnsi="標楷體"/>
          <w:color w:val="000000"/>
        </w:rPr>
        <w:t>(1)病人身體狀況良好（ECOG≦1）。</w:t>
      </w:r>
    </w:p>
    <w:p w14:paraId="6B9DEF82" w14:textId="22FC57FB" w:rsidR="00BD776B" w:rsidRDefault="00DF0C24">
      <w:pPr>
        <w:ind w:left="1332" w:hanging="566"/>
        <w:rPr>
          <w:rFonts w:ascii="標楷體" w:eastAsia="標楷體" w:hAnsi="標楷體"/>
          <w:color w:val="000000"/>
        </w:rPr>
      </w:pPr>
      <w:r>
        <w:rPr>
          <w:rFonts w:ascii="標楷體" w:eastAsia="標楷體" w:hAnsi="標楷體"/>
          <w:color w:val="000000"/>
        </w:rPr>
        <w:t>(2)須使用過taxane類藥物至少1個療程。</w:t>
      </w:r>
    </w:p>
    <w:p w14:paraId="45C7F566" w14:textId="2A499400" w:rsidR="00BD7D4E" w:rsidRDefault="00BD7D4E">
      <w:pPr>
        <w:ind w:left="1332" w:hanging="566"/>
        <w:rPr>
          <w:rFonts w:ascii="標楷體" w:eastAsia="標楷體" w:hAnsi="標楷體"/>
          <w:color w:val="000000"/>
        </w:rPr>
      </w:pPr>
      <w:r w:rsidRPr="00BD7D4E">
        <w:rPr>
          <w:rFonts w:ascii="標楷體" w:eastAsia="標楷體" w:hAnsi="標楷體" w:hint="eastAsia"/>
          <w:color w:val="000000"/>
        </w:rPr>
        <w:t>(3)先前未接受過trastuzumab deruxtecan治療。(114/2/1</w:t>
      </w:r>
      <w:r>
        <w:rPr>
          <w:rFonts w:ascii="標楷體" w:eastAsia="標楷體" w:hAnsi="標楷體" w:hint="eastAsia"/>
          <w:color w:val="000000"/>
        </w:rPr>
        <w:t>)</w:t>
      </w:r>
    </w:p>
    <w:p w14:paraId="24FA40CB" w14:textId="77777777" w:rsidR="00BD776B" w:rsidRDefault="00DF0C24">
      <w:pPr>
        <w:ind w:left="709" w:hanging="284"/>
        <w:rPr>
          <w:rFonts w:ascii="標楷體" w:eastAsia="標楷體" w:hAnsi="標楷體"/>
          <w:color w:val="000000"/>
        </w:rPr>
      </w:pPr>
      <w:r>
        <w:rPr>
          <w:rFonts w:ascii="標楷體" w:eastAsia="標楷體" w:hAnsi="標楷體"/>
          <w:color w:val="000000"/>
        </w:rPr>
        <w:t>2.須經事前審查核准後使用，每次申請之療程以3個月為限，初次申請時需檢附ER、PR、HER2皆為陰性之檢測報告。</w:t>
      </w:r>
    </w:p>
    <w:p w14:paraId="2F947B3F" w14:textId="3C8CE78C" w:rsidR="00BD776B" w:rsidRDefault="00DF0C24">
      <w:pPr>
        <w:ind w:left="992" w:hanging="566"/>
        <w:rPr>
          <w:rFonts w:ascii="標楷體" w:eastAsia="標楷體" w:hAnsi="標楷體"/>
          <w:color w:val="000000"/>
        </w:rPr>
      </w:pPr>
      <w:r>
        <w:rPr>
          <w:rFonts w:ascii="標楷體" w:eastAsia="標楷體" w:hAnsi="標楷體"/>
          <w:color w:val="000000"/>
        </w:rPr>
        <w:t>3.再次申請必須提出客觀證據（如：影像學）證實無惡化，才可繼續使用。</w:t>
      </w:r>
    </w:p>
    <w:p w14:paraId="049BCB2B" w14:textId="0B9DB7F8" w:rsidR="00BD7D4E" w:rsidRDefault="00BD7D4E">
      <w:pPr>
        <w:ind w:left="992" w:hanging="566"/>
        <w:rPr>
          <w:rFonts w:ascii="標楷體" w:eastAsia="標楷體" w:hAnsi="標楷體"/>
          <w:color w:val="000000"/>
        </w:rPr>
      </w:pPr>
      <w:r>
        <w:rPr>
          <w:rFonts w:ascii="標楷體" w:eastAsia="標楷體" w:hAnsi="標楷體" w:hint="eastAsia"/>
          <w:color w:val="000000"/>
        </w:rPr>
        <w:t>4.</w:t>
      </w:r>
      <w:r w:rsidRPr="00BD7D4E">
        <w:rPr>
          <w:rFonts w:ascii="標楷體" w:eastAsia="標楷體" w:hAnsi="標楷體" w:hint="eastAsia"/>
          <w:color w:val="000000"/>
        </w:rPr>
        <w:t>Sacituzumab govitecan和trastuzumab deruxtecan僅能擇一給付，不得互換。(114/2/1</w:t>
      </w:r>
      <w:r>
        <w:rPr>
          <w:rFonts w:ascii="標楷體" w:eastAsia="標楷體" w:hAnsi="標楷體" w:hint="eastAsia"/>
          <w:color w:val="000000"/>
        </w:rPr>
        <w:t>)</w:t>
      </w:r>
    </w:p>
    <w:p w14:paraId="6E48EF02" w14:textId="7052A8B9" w:rsidR="00BD776B" w:rsidRDefault="00DF0C24">
      <w:pPr>
        <w:ind w:left="752" w:hanging="706"/>
        <w:rPr>
          <w:rFonts w:ascii="標楷體" w:eastAsia="標楷體" w:hAnsi="標楷體"/>
          <w:color w:val="000000"/>
        </w:rPr>
      </w:pPr>
      <w:r>
        <w:rPr>
          <w:rFonts w:ascii="標楷體" w:eastAsia="標楷體" w:hAnsi="標楷體"/>
          <w:color w:val="000000"/>
        </w:rPr>
        <w:t>9.107.Abemaciclib (如Verzenio)：(113/3/1</w:t>
      </w:r>
      <w:r w:rsidR="002D656F">
        <w:rPr>
          <w:rFonts w:ascii="標楷體" w:eastAsia="標楷體" w:hAnsi="標楷體" w:hint="eastAsia"/>
          <w:color w:val="000000"/>
        </w:rPr>
        <w:t>、113/6/1</w:t>
      </w:r>
      <w:r>
        <w:rPr>
          <w:rFonts w:ascii="標楷體" w:eastAsia="標楷體" w:hAnsi="標楷體"/>
          <w:color w:val="000000"/>
        </w:rPr>
        <w:t>)</w:t>
      </w:r>
    </w:p>
    <w:p w14:paraId="7F0618BB" w14:textId="284C4291" w:rsidR="00BD776B" w:rsidRDefault="00DF0C24">
      <w:pPr>
        <w:ind w:left="709" w:hanging="284"/>
        <w:rPr>
          <w:rFonts w:ascii="標楷體" w:eastAsia="標楷體" w:hAnsi="標楷體"/>
          <w:color w:val="000000"/>
        </w:rPr>
      </w:pPr>
      <w:r>
        <w:rPr>
          <w:rFonts w:ascii="標楷體" w:eastAsia="標楷體" w:hAnsi="標楷體"/>
          <w:color w:val="000000"/>
        </w:rPr>
        <w:t>1.併用內分泌療法</w:t>
      </w:r>
      <w:r w:rsidR="00723245" w:rsidRPr="00723245">
        <w:rPr>
          <w:rFonts w:ascii="標楷體" w:eastAsia="標楷體" w:hAnsi="標楷體"/>
          <w:color w:val="000000"/>
        </w:rPr>
        <w:t>(tamoxifen</w:t>
      </w:r>
      <w:r w:rsidR="00723245" w:rsidRPr="00723245">
        <w:rPr>
          <w:rFonts w:ascii="標楷體" w:eastAsia="標楷體" w:hAnsi="標楷體" w:hint="eastAsia"/>
          <w:color w:val="000000"/>
        </w:rPr>
        <w:t>或芳香環酶抑制劑</w:t>
      </w:r>
      <w:r w:rsidR="00723245" w:rsidRPr="00723245">
        <w:rPr>
          <w:rFonts w:ascii="標楷體" w:eastAsia="標楷體" w:hAnsi="標楷體"/>
          <w:color w:val="000000"/>
        </w:rPr>
        <w:t>)</w:t>
      </w:r>
      <w:r>
        <w:rPr>
          <w:rFonts w:ascii="標楷體" w:eastAsia="標楷體" w:hAnsi="標楷體"/>
          <w:color w:val="000000"/>
        </w:rPr>
        <w:t>，作為荷爾蒙受體(HR)陽性(ER或PR&gt;30%)、第二型人類表皮生長因子受體(HER2)陰性、淋巴結陽性，高復發風險之早期乳癌成年女性病人的輔助療法，須符合下列高復發風險條件之一</w:t>
      </w:r>
      <w:r w:rsidR="00FF3FCB" w:rsidRPr="00FF3FCB">
        <w:rPr>
          <w:rFonts w:ascii="標楷體" w:eastAsia="標楷體" w:hAnsi="標楷體" w:hint="eastAsia"/>
          <w:color w:val="000000"/>
        </w:rPr>
        <w:t>(113/3/1、113/6/1)</w:t>
      </w:r>
      <w:r>
        <w:rPr>
          <w:rFonts w:ascii="標楷體" w:eastAsia="標楷體" w:hAnsi="標楷體"/>
          <w:color w:val="000000"/>
        </w:rPr>
        <w:t>：</w:t>
      </w:r>
    </w:p>
    <w:p w14:paraId="27EFCBA0" w14:textId="77777777" w:rsidR="00BD776B" w:rsidRDefault="00DF0C24">
      <w:pPr>
        <w:ind w:left="1332" w:hanging="566"/>
      </w:pPr>
      <w:r>
        <w:rPr>
          <w:rFonts w:ascii="標楷體" w:eastAsia="標楷體" w:hAnsi="標楷體"/>
          <w:color w:val="000000"/>
        </w:rPr>
        <w:t xml:space="preserve">(1)pALN (positive axillary lymph nodes，陽性腋下淋巴結) </w:t>
      </w:r>
      <w:r>
        <w:rPr>
          <w:rFonts w:eastAsia="標楷體"/>
          <w:color w:val="000000"/>
        </w:rPr>
        <w:t>≥</w:t>
      </w:r>
      <w:r>
        <w:rPr>
          <w:rFonts w:ascii="標楷體" w:eastAsia="標楷體" w:hAnsi="標楷體"/>
          <w:color w:val="000000"/>
        </w:rPr>
        <w:t>4。</w:t>
      </w:r>
    </w:p>
    <w:p w14:paraId="35637F2F" w14:textId="77777777" w:rsidR="00BD776B" w:rsidRDefault="00DF0C24">
      <w:pPr>
        <w:ind w:left="1332" w:hanging="566"/>
      </w:pPr>
      <w:r>
        <w:rPr>
          <w:rFonts w:ascii="標楷體" w:eastAsia="標楷體" w:hAnsi="標楷體"/>
          <w:color w:val="000000"/>
        </w:rPr>
        <w:t>(2)pALN (陽性腋下淋巴結)為1-3 且腫瘤大小</w:t>
      </w:r>
      <w:r>
        <w:rPr>
          <w:rFonts w:eastAsia="標楷體"/>
          <w:color w:val="000000"/>
        </w:rPr>
        <w:t>≥</w:t>
      </w:r>
      <w:r>
        <w:rPr>
          <w:rFonts w:ascii="標楷體" w:eastAsia="標楷體" w:hAnsi="標楷體"/>
          <w:color w:val="000000"/>
        </w:rPr>
        <w:t>5 cm。</w:t>
      </w:r>
    </w:p>
    <w:p w14:paraId="4513018B" w14:textId="77777777" w:rsidR="00BD776B" w:rsidRDefault="00DF0C24">
      <w:pPr>
        <w:ind w:left="1332" w:hanging="566"/>
        <w:rPr>
          <w:rFonts w:ascii="標楷體" w:eastAsia="標楷體" w:hAnsi="標楷體"/>
          <w:color w:val="000000"/>
        </w:rPr>
      </w:pPr>
      <w:r>
        <w:rPr>
          <w:rFonts w:ascii="標楷體" w:eastAsia="標楷體" w:hAnsi="標楷體"/>
          <w:color w:val="000000"/>
        </w:rPr>
        <w:t>(3)pALN (陽性腋下淋巴結)為1-3 且腫瘤細胞分化第3級。</w:t>
      </w:r>
    </w:p>
    <w:p w14:paraId="052F18AD" w14:textId="77777777" w:rsidR="00BD776B" w:rsidRDefault="00DF0C24">
      <w:pPr>
        <w:ind w:left="709" w:hanging="284"/>
        <w:rPr>
          <w:rFonts w:ascii="標楷體" w:eastAsia="標楷體" w:hAnsi="標楷體"/>
          <w:color w:val="000000"/>
        </w:rPr>
      </w:pPr>
      <w:r>
        <w:rPr>
          <w:rFonts w:ascii="標楷體" w:eastAsia="標楷體" w:hAnsi="標楷體"/>
          <w:color w:val="000000"/>
        </w:rPr>
        <w:t>2.使用前，須接受標準之化學及放射輔助治療方可申請使用。使用中，若疾病惡化須停止使用且不得再使用其他CDK4/6抑制劑。</w:t>
      </w:r>
    </w:p>
    <w:p w14:paraId="7AD25CE4" w14:textId="77777777" w:rsidR="00BD776B" w:rsidRDefault="00DF0C24">
      <w:pPr>
        <w:ind w:left="709" w:hanging="284"/>
        <w:rPr>
          <w:rFonts w:ascii="標楷體" w:eastAsia="標楷體" w:hAnsi="標楷體"/>
          <w:color w:val="000000"/>
        </w:rPr>
      </w:pPr>
      <w:r>
        <w:rPr>
          <w:rFonts w:ascii="標楷體" w:eastAsia="標楷體" w:hAnsi="標楷體"/>
          <w:color w:val="000000"/>
        </w:rPr>
        <w:t>3.使用前，僅能接受最多12週的內分泌治療，且應於手術切除後16個月內接受本品治療。</w:t>
      </w:r>
    </w:p>
    <w:p w14:paraId="734291EF" w14:textId="77777777" w:rsidR="00BD776B" w:rsidRDefault="00DF0C24">
      <w:pPr>
        <w:ind w:left="709" w:hanging="284"/>
        <w:rPr>
          <w:rFonts w:ascii="標楷體" w:eastAsia="標楷體" w:hAnsi="標楷體"/>
          <w:color w:val="000000"/>
        </w:rPr>
      </w:pPr>
      <w:r>
        <w:rPr>
          <w:rFonts w:ascii="標楷體" w:eastAsia="標楷體" w:hAnsi="標楷體"/>
          <w:color w:val="000000"/>
        </w:rPr>
        <w:t>4.須經事前審查核准後使用，每24週須再次申請並檢附療效評估資料，若疾病有惡化情形須停止使用。</w:t>
      </w:r>
    </w:p>
    <w:p w14:paraId="5BE56872" w14:textId="77777777" w:rsidR="00BD776B" w:rsidRDefault="00DF0C24">
      <w:pPr>
        <w:ind w:left="709" w:hanging="284"/>
        <w:rPr>
          <w:rFonts w:ascii="標楷體" w:eastAsia="標楷體" w:hAnsi="標楷體"/>
          <w:color w:val="000000"/>
        </w:rPr>
      </w:pPr>
      <w:r>
        <w:rPr>
          <w:rFonts w:ascii="標楷體" w:eastAsia="標楷體" w:hAnsi="標楷體"/>
          <w:color w:val="000000"/>
        </w:rPr>
        <w:t>5.每日至多使用2錠，使用不得超過2年。</w:t>
      </w:r>
    </w:p>
    <w:p w14:paraId="0AE4C98A" w14:textId="77777777" w:rsidR="00BD776B" w:rsidRDefault="00DF0C24">
      <w:pPr>
        <w:rPr>
          <w:rFonts w:ascii="標楷體" w:eastAsia="標楷體" w:hAnsi="標楷體"/>
          <w:szCs w:val="24"/>
        </w:rPr>
      </w:pPr>
      <w:r>
        <w:rPr>
          <w:rFonts w:ascii="標楷體" w:eastAsia="標楷體" w:hAnsi="標楷體"/>
          <w:szCs w:val="24"/>
        </w:rPr>
        <w:t>9.108.Isatuximab(如Sarclisa)：(113/4/1)</w:t>
      </w:r>
    </w:p>
    <w:p w14:paraId="06146ABC" w14:textId="77777777" w:rsidR="00BD776B" w:rsidRDefault="00DF0C24">
      <w:pPr>
        <w:ind w:left="720" w:hanging="240"/>
        <w:rPr>
          <w:rFonts w:ascii="標楷體" w:eastAsia="標楷體" w:hAnsi="標楷體"/>
          <w:szCs w:val="24"/>
        </w:rPr>
      </w:pPr>
      <w:r>
        <w:rPr>
          <w:rFonts w:ascii="標楷體" w:eastAsia="標楷體" w:hAnsi="標楷體"/>
          <w:szCs w:val="24"/>
        </w:rPr>
        <w:t>1.限與carfilzomib/dexamethasone併用，治療先前曾接受至少一種含bortezomib或lenalidomide之療法治療失敗的多發性骨髓瘤成人患者，且須具有良好日常體能狀態(ECOG&lt;2)者。</w:t>
      </w:r>
    </w:p>
    <w:p w14:paraId="584F593B" w14:textId="77777777" w:rsidR="00BD776B" w:rsidRDefault="00DF0C24">
      <w:pPr>
        <w:ind w:left="720" w:hanging="240"/>
        <w:rPr>
          <w:rFonts w:ascii="標楷體" w:eastAsia="標楷體" w:hAnsi="標楷體"/>
          <w:color w:val="000000"/>
          <w:szCs w:val="24"/>
        </w:rPr>
      </w:pPr>
      <w:r>
        <w:rPr>
          <w:rFonts w:ascii="標楷體" w:eastAsia="標楷體" w:hAnsi="標楷體"/>
          <w:color w:val="000000"/>
          <w:szCs w:val="24"/>
        </w:rPr>
        <w:t>2.須經事前審查核准後使用：</w:t>
      </w:r>
    </w:p>
    <w:p w14:paraId="771F0957" w14:textId="77777777" w:rsidR="00BD776B" w:rsidRDefault="00DF0C24">
      <w:pPr>
        <w:ind w:left="1080" w:hanging="360"/>
        <w:rPr>
          <w:rFonts w:ascii="標楷體" w:eastAsia="標楷體" w:hAnsi="標楷體"/>
          <w:color w:val="000000"/>
          <w:szCs w:val="24"/>
        </w:rPr>
      </w:pPr>
      <w:r>
        <w:rPr>
          <w:rFonts w:ascii="標楷體" w:eastAsia="標楷體" w:hAnsi="標楷體"/>
          <w:color w:val="000000"/>
          <w:szCs w:val="24"/>
        </w:rPr>
        <w:t>(1)首次申請為10次輸注，且需同時符合下列Ⅰ.與Ⅱ.的條件：</w:t>
      </w:r>
    </w:p>
    <w:p w14:paraId="7CB657CC" w14:textId="77777777" w:rsidR="00BD776B" w:rsidRDefault="00DF0C24">
      <w:pPr>
        <w:ind w:left="1440" w:hanging="360"/>
        <w:rPr>
          <w:rFonts w:ascii="標楷體" w:eastAsia="標楷體" w:hAnsi="標楷體"/>
          <w:color w:val="000000"/>
          <w:szCs w:val="24"/>
        </w:rPr>
      </w:pPr>
      <w:r>
        <w:rPr>
          <w:rFonts w:ascii="標楷體" w:eastAsia="標楷體" w:hAnsi="標楷體"/>
          <w:color w:val="000000"/>
          <w:szCs w:val="24"/>
        </w:rPr>
        <w:t xml:space="preserve">Ⅰ.具有下列任一疾病惡化的指標： 病患開始治療前須在連續2次評估中均符合同一指標 (但若為plamacytoma 體積增加，或是新產生的bone lesion(s)或新plasmacytoma，則僅需1次評估)： </w:t>
      </w:r>
    </w:p>
    <w:p w14:paraId="7A531D6C" w14:textId="77777777" w:rsidR="00BD776B" w:rsidRDefault="00DF0C24">
      <w:pPr>
        <w:ind w:left="1800" w:hanging="360"/>
      </w:pPr>
      <w:r>
        <w:rPr>
          <w:rFonts w:ascii="新細明體" w:hAnsi="新細明體" w:cs="新細明體"/>
          <w:color w:val="000000"/>
          <w:szCs w:val="24"/>
        </w:rPr>
        <w:t>ⅰ</w:t>
      </w:r>
      <w:r>
        <w:rPr>
          <w:rFonts w:ascii="標楷體" w:eastAsia="標楷體" w:hAnsi="標楷體"/>
          <w:color w:val="000000"/>
          <w:szCs w:val="24"/>
        </w:rPr>
        <w:t>.若前一線治療中M component 最低值≧5 g/dL，血清M蛋白需增加≧1 g/dL；若前一線治療中M component最低值＜5 g/dL，血清M蛋白需增加≧0.5g/dL。</w:t>
      </w:r>
    </w:p>
    <w:p w14:paraId="619CC33A" w14:textId="77777777" w:rsidR="00BD776B" w:rsidRDefault="00DF0C24">
      <w:pPr>
        <w:ind w:left="1800" w:hanging="360"/>
      </w:pPr>
      <w:r>
        <w:rPr>
          <w:rFonts w:ascii="新細明體" w:hAnsi="新細明體" w:cs="新細明體"/>
          <w:color w:val="000000"/>
          <w:szCs w:val="24"/>
        </w:rPr>
        <w:t>ⅱ</w:t>
      </w:r>
      <w:r>
        <w:rPr>
          <w:rFonts w:ascii="標楷體" w:eastAsia="標楷體" w:hAnsi="標楷體"/>
          <w:color w:val="000000"/>
          <w:szCs w:val="24"/>
        </w:rPr>
        <w:t>.Urine M-protein需增加≧0.2 gm/24Hr，且需較前一線治療中的最低值增加≧25%。</w:t>
      </w:r>
    </w:p>
    <w:p w14:paraId="55FA5FCF" w14:textId="77777777" w:rsidR="00BD776B" w:rsidRDefault="00DF0C24">
      <w:pPr>
        <w:ind w:left="1800" w:hanging="360"/>
      </w:pPr>
      <w:r>
        <w:rPr>
          <w:rFonts w:ascii="標楷體" w:eastAsia="標楷體" w:hAnsi="標楷體" w:cs="新細明體"/>
          <w:color w:val="000000"/>
          <w:szCs w:val="24"/>
        </w:rPr>
        <w:t>iii</w:t>
      </w:r>
      <w:r>
        <w:rPr>
          <w:rFonts w:ascii="標楷體" w:eastAsia="標楷體" w:hAnsi="標楷體"/>
          <w:color w:val="000000"/>
          <w:szCs w:val="24"/>
        </w:rPr>
        <w:t>.在non-secretary myeloma 病患，骨髓漿細胞 (plasma cells)之比例絕對值增加≧10%，且需較前一線治療中的最低值增加≧25%。</w:t>
      </w:r>
    </w:p>
    <w:p w14:paraId="013A7CF1" w14:textId="77777777" w:rsidR="00BD776B" w:rsidRDefault="00DF0C24">
      <w:pPr>
        <w:ind w:left="1800" w:hanging="360"/>
        <w:rPr>
          <w:rFonts w:ascii="標楷體" w:eastAsia="標楷體" w:hAnsi="標楷體"/>
          <w:color w:val="000000"/>
          <w:szCs w:val="24"/>
        </w:rPr>
      </w:pPr>
      <w:r>
        <w:rPr>
          <w:rFonts w:ascii="標楷體" w:eastAsia="標楷體" w:hAnsi="標楷體"/>
          <w:color w:val="000000"/>
          <w:szCs w:val="24"/>
        </w:rPr>
        <w:t>iv.新產生的bone lesion(s)或plasmacytoma；且須經病理切片證實。</w:t>
      </w:r>
    </w:p>
    <w:p w14:paraId="3BD7DCE1" w14:textId="77777777" w:rsidR="00BD776B" w:rsidRDefault="00DF0C24">
      <w:pPr>
        <w:ind w:left="1800" w:hanging="360"/>
        <w:rPr>
          <w:rFonts w:ascii="標楷體" w:eastAsia="標楷體" w:hAnsi="標楷體"/>
          <w:color w:val="000000"/>
          <w:szCs w:val="24"/>
        </w:rPr>
      </w:pPr>
      <w:r>
        <w:rPr>
          <w:rFonts w:ascii="標楷體" w:eastAsia="標楷體" w:hAnsi="標楷體"/>
          <w:color w:val="000000"/>
          <w:szCs w:val="24"/>
        </w:rPr>
        <w:t>v.Plasmacytoma體積增加≧50%。</w:t>
      </w:r>
    </w:p>
    <w:p w14:paraId="63416779" w14:textId="77777777" w:rsidR="00BD776B" w:rsidRDefault="00DF0C24">
      <w:pPr>
        <w:ind w:left="1800" w:hanging="360"/>
        <w:rPr>
          <w:rFonts w:ascii="標楷體" w:eastAsia="標楷體" w:hAnsi="標楷體"/>
          <w:color w:val="000000"/>
          <w:szCs w:val="24"/>
        </w:rPr>
      </w:pPr>
      <w:r>
        <w:rPr>
          <w:rFonts w:ascii="標楷體" w:eastAsia="標楷體" w:hAnsi="標楷體"/>
          <w:color w:val="000000"/>
          <w:szCs w:val="24"/>
        </w:rPr>
        <w:t>vi.周邊血液中漿細胞比例≧20%或漿細胞絕對值≧2000 cells/μL。</w:t>
      </w:r>
    </w:p>
    <w:p w14:paraId="5F2B7A0D" w14:textId="77777777" w:rsidR="00BD776B" w:rsidRDefault="00DF0C24">
      <w:pPr>
        <w:ind w:left="1440" w:hanging="360"/>
        <w:rPr>
          <w:rFonts w:ascii="標楷體" w:eastAsia="標楷體" w:hAnsi="標楷體"/>
          <w:color w:val="000000"/>
          <w:szCs w:val="24"/>
        </w:rPr>
      </w:pPr>
      <w:r>
        <w:rPr>
          <w:rFonts w:ascii="標楷體" w:eastAsia="標楷體" w:hAnsi="標楷體"/>
          <w:color w:val="000000"/>
          <w:szCs w:val="24"/>
        </w:rPr>
        <w:t xml:space="preserve">Ⅱ.出現下列任一臨床症狀： </w:t>
      </w:r>
    </w:p>
    <w:p w14:paraId="21F6308C" w14:textId="77777777" w:rsidR="00BD776B" w:rsidRDefault="00DF0C24">
      <w:pPr>
        <w:ind w:left="1800" w:hanging="360"/>
      </w:pPr>
      <w:r>
        <w:rPr>
          <w:rFonts w:ascii="新細明體" w:hAnsi="新細明體" w:cs="新細明體"/>
          <w:color w:val="000000"/>
          <w:szCs w:val="24"/>
        </w:rPr>
        <w:lastRenderedPageBreak/>
        <w:t>ⅰ</w:t>
      </w:r>
      <w:r>
        <w:rPr>
          <w:rFonts w:ascii="標楷體" w:eastAsia="標楷體" w:hAnsi="標楷體"/>
          <w:color w:val="000000"/>
          <w:szCs w:val="24"/>
        </w:rPr>
        <w:t>.新產生的bone lesion(s)或plasmacytoma；且須經病理切片證實。</w:t>
      </w:r>
    </w:p>
    <w:p w14:paraId="7CB12CF1" w14:textId="77777777" w:rsidR="00BD776B" w:rsidRDefault="00DF0C24">
      <w:pPr>
        <w:ind w:left="1800" w:hanging="360"/>
      </w:pPr>
      <w:r>
        <w:rPr>
          <w:rFonts w:ascii="新細明體" w:hAnsi="新細明體" w:cs="新細明體"/>
          <w:color w:val="000000"/>
          <w:szCs w:val="24"/>
        </w:rPr>
        <w:t>ⅱ</w:t>
      </w:r>
      <w:r>
        <w:rPr>
          <w:rFonts w:ascii="標楷體" w:eastAsia="標楷體" w:hAnsi="標楷體"/>
          <w:color w:val="000000"/>
          <w:szCs w:val="24"/>
        </w:rPr>
        <w:t>.Plasmacytoma 體積增加≧50%。</w:t>
      </w:r>
    </w:p>
    <w:p w14:paraId="341621B2" w14:textId="77777777" w:rsidR="00BD776B" w:rsidRDefault="00DF0C24">
      <w:pPr>
        <w:ind w:left="1800" w:hanging="360"/>
      </w:pPr>
      <w:r>
        <w:rPr>
          <w:rFonts w:ascii="標楷體" w:eastAsia="標楷體" w:hAnsi="標楷體" w:cs="新細明體"/>
          <w:color w:val="000000"/>
          <w:szCs w:val="24"/>
        </w:rPr>
        <w:t>iii</w:t>
      </w:r>
      <w:r>
        <w:rPr>
          <w:rFonts w:ascii="標楷體" w:eastAsia="標楷體" w:hAnsi="標楷體"/>
          <w:color w:val="000000"/>
          <w:szCs w:val="24"/>
        </w:rPr>
        <w:t>.高血鈣(corrected serum calcium＞11.0 mg/dL 或 2.75 mmol/L)。</w:t>
      </w:r>
    </w:p>
    <w:p w14:paraId="50178527" w14:textId="77777777" w:rsidR="00BD776B" w:rsidRDefault="00DF0C24">
      <w:pPr>
        <w:ind w:left="1800" w:hanging="360"/>
        <w:rPr>
          <w:rFonts w:ascii="標楷體" w:eastAsia="標楷體" w:hAnsi="標楷體"/>
          <w:color w:val="000000"/>
          <w:szCs w:val="24"/>
        </w:rPr>
      </w:pPr>
      <w:r>
        <w:rPr>
          <w:rFonts w:ascii="標楷體" w:eastAsia="標楷體" w:hAnsi="標楷體"/>
          <w:color w:val="000000"/>
          <w:szCs w:val="24"/>
        </w:rPr>
        <w:t>iv.貧血(Hemoglobin 下降幅度≧ 2gm/dL且無其他原因可以解釋)。</w:t>
      </w:r>
    </w:p>
    <w:p w14:paraId="315BFAB1" w14:textId="77777777" w:rsidR="00BD776B" w:rsidRDefault="00DF0C24">
      <w:pPr>
        <w:ind w:left="1800" w:hanging="360"/>
        <w:rPr>
          <w:rFonts w:ascii="標楷體" w:eastAsia="標楷體" w:hAnsi="標楷體"/>
          <w:color w:val="000000"/>
          <w:szCs w:val="24"/>
        </w:rPr>
      </w:pPr>
      <w:r>
        <w:rPr>
          <w:rFonts w:ascii="標楷體" w:eastAsia="標楷體" w:hAnsi="標楷體"/>
          <w:color w:val="000000"/>
          <w:szCs w:val="24"/>
        </w:rPr>
        <w:t>v.腎功能惡化(eGFR需下降幅度≧25%)，且無其他原因可以解釋。</w:t>
      </w:r>
    </w:p>
    <w:p w14:paraId="30AD23C1" w14:textId="77777777" w:rsidR="00BD776B" w:rsidRDefault="00DF0C24">
      <w:pPr>
        <w:ind w:left="1800" w:hanging="360"/>
        <w:rPr>
          <w:rFonts w:ascii="標楷體" w:eastAsia="標楷體" w:hAnsi="標楷體"/>
          <w:color w:val="000000"/>
          <w:szCs w:val="24"/>
        </w:rPr>
      </w:pPr>
      <w:r>
        <w:rPr>
          <w:rFonts w:ascii="標楷體" w:eastAsia="標楷體" w:hAnsi="標楷體"/>
          <w:color w:val="000000"/>
          <w:szCs w:val="24"/>
        </w:rPr>
        <w:t>vi.出現其他end-organ dysfunctions。</w:t>
      </w:r>
    </w:p>
    <w:p w14:paraId="7D417994" w14:textId="77777777" w:rsidR="00BD776B" w:rsidRDefault="00DF0C24">
      <w:pPr>
        <w:ind w:left="960" w:hanging="240"/>
        <w:rPr>
          <w:rFonts w:ascii="標楷體" w:eastAsia="標楷體" w:hAnsi="標楷體"/>
          <w:color w:val="000000"/>
          <w:szCs w:val="24"/>
        </w:rPr>
      </w:pPr>
      <w:r>
        <w:rPr>
          <w:rFonts w:ascii="標楷體" w:eastAsia="標楷體" w:hAnsi="標楷體"/>
          <w:color w:val="000000"/>
          <w:szCs w:val="24"/>
        </w:rPr>
        <w:t>(2)之後申請則為每次4次輸注，申請時必須確定paraprotein (M-protein)未上升(即表示對藥物有反應或為穩定狀態)，或對部分non-secretory type MM病人以骨髓檢查plasma cell為療效依據，方可繼續使用。</w:t>
      </w:r>
    </w:p>
    <w:p w14:paraId="53E21422" w14:textId="77777777" w:rsidR="00BD776B" w:rsidRDefault="00DF0C24">
      <w:pPr>
        <w:ind w:left="720" w:hanging="240"/>
        <w:rPr>
          <w:rFonts w:ascii="標楷體" w:eastAsia="標楷體" w:hAnsi="標楷體"/>
          <w:szCs w:val="24"/>
        </w:rPr>
      </w:pPr>
      <w:r>
        <w:rPr>
          <w:rFonts w:ascii="標楷體" w:eastAsia="標楷體" w:hAnsi="標楷體"/>
          <w:szCs w:val="24"/>
        </w:rPr>
        <w:t>3.每位病人終生限給付26次輸注。</w:t>
      </w:r>
    </w:p>
    <w:p w14:paraId="232B2F73" w14:textId="77777777" w:rsidR="00BD776B" w:rsidRDefault="00DF0C24">
      <w:pPr>
        <w:ind w:left="720" w:hanging="240"/>
        <w:rPr>
          <w:rFonts w:ascii="標楷體" w:eastAsia="標楷體" w:hAnsi="標楷體"/>
          <w:szCs w:val="24"/>
        </w:rPr>
      </w:pPr>
      <w:r>
        <w:rPr>
          <w:rFonts w:ascii="標楷體" w:eastAsia="標楷體" w:hAnsi="標楷體"/>
          <w:szCs w:val="24"/>
        </w:rPr>
        <w:t>4.除carfilzomib外，本案藥品不得與其他蛋白酶體抑制劑(proteasome inhibitor)或免疫調節劑(immunomodulatory drugs)併用。</w:t>
      </w:r>
    </w:p>
    <w:p w14:paraId="4AC8131D" w14:textId="77777777" w:rsidR="00BD776B" w:rsidRDefault="00DF0C24">
      <w:pPr>
        <w:ind w:left="720" w:hanging="240"/>
      </w:pPr>
      <w:r>
        <w:rPr>
          <w:rFonts w:ascii="標楷體" w:eastAsia="標楷體" w:hAnsi="標楷體"/>
          <w:szCs w:val="24"/>
        </w:rPr>
        <w:t>5.Isatuximab與daratumumab二者僅能擇一使用，除因藥物耐受不良以外，不可以其他原因申請互換使用。</w:t>
      </w:r>
    </w:p>
    <w:p w14:paraId="78920C2F" w14:textId="77777777" w:rsidR="00BD776B" w:rsidRDefault="00DF0C24">
      <w:pPr>
        <w:tabs>
          <w:tab w:val="left" w:pos="1418"/>
        </w:tabs>
        <w:ind w:left="655" w:hanging="612"/>
        <w:rPr>
          <w:rFonts w:ascii="標楷體" w:eastAsia="標楷體" w:hAnsi="標楷體"/>
          <w:color w:val="000000"/>
        </w:rPr>
      </w:pPr>
      <w:r>
        <w:rPr>
          <w:rFonts w:ascii="標楷體" w:eastAsia="標楷體" w:hAnsi="標楷體"/>
          <w:color w:val="000000"/>
        </w:rPr>
        <w:t>9.109.Enfortumab vedotin(如</w:t>
      </w:r>
      <w:bookmarkStart w:id="25" w:name="_Hlk141697711"/>
      <w:r>
        <w:rPr>
          <w:rFonts w:ascii="標楷體" w:eastAsia="標楷體" w:hAnsi="標楷體"/>
          <w:color w:val="000000"/>
        </w:rPr>
        <w:t>Padcev</w:t>
      </w:r>
      <w:bookmarkEnd w:id="25"/>
      <w:r>
        <w:rPr>
          <w:rFonts w:ascii="標楷體" w:eastAsia="標楷體" w:hAnsi="標楷體"/>
          <w:color w:val="000000"/>
        </w:rPr>
        <w:t>）：(113/5/1)</w:t>
      </w:r>
    </w:p>
    <w:p w14:paraId="15EA6050" w14:textId="77777777" w:rsidR="00BD776B" w:rsidRDefault="00DF0C24">
      <w:pPr>
        <w:tabs>
          <w:tab w:val="left" w:pos="1418"/>
        </w:tabs>
        <w:ind w:left="811" w:hanging="245"/>
        <w:jc w:val="both"/>
        <w:rPr>
          <w:rFonts w:ascii="標楷體" w:eastAsia="標楷體" w:hAnsi="標楷體"/>
          <w:color w:val="000000"/>
        </w:rPr>
      </w:pPr>
      <w:r>
        <w:rPr>
          <w:rFonts w:ascii="標楷體" w:eastAsia="標楷體" w:hAnsi="標楷體"/>
          <w:color w:val="000000"/>
        </w:rPr>
        <w:t>1.適用於先前接受過含鉑化學治療，後續接受免疫檢查點抑制劑(如atezolizumab；nivolumab；pembrolizumab；avelumab；ipilimumab製劑)治療失敗後疾病惡化的局部晚期或轉移性泌尿道上皮癌成人病人，須檢附接受過含鉑化學治療之病歷報告。</w:t>
      </w:r>
    </w:p>
    <w:p w14:paraId="5B7D8CA4" w14:textId="77777777" w:rsidR="00BD776B" w:rsidRDefault="00DF0C24">
      <w:pPr>
        <w:tabs>
          <w:tab w:val="left" w:pos="1418"/>
        </w:tabs>
        <w:ind w:left="811" w:hanging="245"/>
        <w:jc w:val="both"/>
        <w:rPr>
          <w:rFonts w:ascii="標楷體" w:eastAsia="標楷體" w:hAnsi="標楷體"/>
          <w:color w:val="000000"/>
        </w:rPr>
      </w:pPr>
      <w:r>
        <w:rPr>
          <w:rFonts w:ascii="標楷體" w:eastAsia="標楷體" w:hAnsi="標楷體"/>
          <w:color w:val="000000"/>
        </w:rPr>
        <w:t>2.使用條件：</w:t>
      </w:r>
    </w:p>
    <w:p w14:paraId="7A895687"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(1)病人身體狀況良好（ECOG≦2）且預期壽命至少3個月以上。</w:t>
      </w:r>
    </w:p>
    <w:p w14:paraId="01C968EA"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(2)病人之心肺與肝腎功能須符合下列所有條件：</w:t>
      </w:r>
    </w:p>
    <w:p w14:paraId="26CA93D4" w14:textId="77777777" w:rsidR="00BD776B" w:rsidRDefault="00DF0C24">
      <w:pPr>
        <w:tabs>
          <w:tab w:val="left" w:pos="1418"/>
        </w:tabs>
        <w:ind w:left="1291" w:hanging="245"/>
        <w:jc w:val="both"/>
        <w:rPr>
          <w:rFonts w:ascii="標楷體" w:eastAsia="標楷體" w:hAnsi="標楷體"/>
          <w:color w:val="000000"/>
        </w:rPr>
      </w:pPr>
      <w:r>
        <w:rPr>
          <w:rFonts w:ascii="標楷體" w:eastAsia="標楷體" w:hAnsi="標楷體"/>
          <w:color w:val="000000"/>
        </w:rPr>
        <w:t>I.NYHA(the New York Heart Association) Functional Class I或II。</w:t>
      </w:r>
    </w:p>
    <w:p w14:paraId="4495F60C" w14:textId="77777777" w:rsidR="00BD776B" w:rsidRDefault="00DF0C24">
      <w:pPr>
        <w:tabs>
          <w:tab w:val="left" w:pos="1418"/>
        </w:tabs>
        <w:ind w:left="1291" w:hanging="245"/>
        <w:jc w:val="both"/>
        <w:rPr>
          <w:rFonts w:ascii="標楷體" w:eastAsia="標楷體" w:hAnsi="標楷體"/>
          <w:color w:val="000000"/>
        </w:rPr>
      </w:pPr>
      <w:r>
        <w:rPr>
          <w:rFonts w:ascii="標楷體" w:eastAsia="標楷體" w:hAnsi="標楷體"/>
          <w:color w:val="000000"/>
        </w:rPr>
        <w:t xml:space="preserve">II.GOT&lt;60U/L及GPT&lt;60U/L，且T-bilirubin&lt;1.5mg/dL。 </w:t>
      </w:r>
    </w:p>
    <w:p w14:paraId="480D0685" w14:textId="77777777" w:rsidR="00BD776B" w:rsidRDefault="00DF0C24">
      <w:pPr>
        <w:tabs>
          <w:tab w:val="left" w:pos="1418"/>
        </w:tabs>
        <w:ind w:left="1291" w:hanging="245"/>
        <w:jc w:val="both"/>
        <w:rPr>
          <w:rFonts w:ascii="標楷體" w:eastAsia="標楷體" w:hAnsi="標楷體"/>
          <w:color w:val="000000"/>
        </w:rPr>
      </w:pPr>
      <w:r>
        <w:rPr>
          <w:rFonts w:ascii="標楷體" w:eastAsia="標楷體" w:hAnsi="標楷體"/>
          <w:color w:val="000000"/>
        </w:rPr>
        <w:t>III.腎功能: eGFR&gt;30mL/min /1.73m</w:t>
      </w:r>
      <w:r w:rsidRPr="00032DE3">
        <w:rPr>
          <w:rFonts w:ascii="標楷體" w:eastAsia="標楷體" w:hAnsi="標楷體"/>
          <w:color w:val="000000"/>
          <w:vertAlign w:val="superscript"/>
        </w:rPr>
        <w:t>2</w:t>
      </w:r>
      <w:r>
        <w:rPr>
          <w:rFonts w:ascii="標楷體" w:eastAsia="標楷體" w:hAnsi="標楷體"/>
          <w:color w:val="000000"/>
        </w:rPr>
        <w:t>。</w:t>
      </w:r>
    </w:p>
    <w:p w14:paraId="36C00631"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(3)無中樞神經系統(CNS)轉移。</w:t>
      </w:r>
    </w:p>
    <w:p w14:paraId="7FBA5286"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(4)需排除病情控制不佳的糖尿病患者（HbA1c≧8%）。</w:t>
      </w:r>
    </w:p>
    <w:p w14:paraId="29FCDEE2" w14:textId="77777777" w:rsidR="00BD776B" w:rsidRDefault="00DF0C24">
      <w:pPr>
        <w:tabs>
          <w:tab w:val="left" w:pos="1418"/>
        </w:tabs>
        <w:ind w:left="811" w:hanging="245"/>
        <w:jc w:val="both"/>
        <w:rPr>
          <w:rFonts w:ascii="標楷體" w:eastAsia="標楷體" w:hAnsi="標楷體"/>
          <w:color w:val="000000"/>
        </w:rPr>
      </w:pPr>
      <w:r>
        <w:rPr>
          <w:rFonts w:ascii="標楷體" w:eastAsia="標楷體" w:hAnsi="標楷體"/>
          <w:color w:val="000000"/>
        </w:rPr>
        <w:t>3.須經事前審查核准後使用。初次申請時需檢附以下資料：</w:t>
      </w:r>
    </w:p>
    <w:p w14:paraId="64FF55D9"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(1)病人身體狀況良好(ECOG≦2)及心肺與肝腎功能之評估資料。</w:t>
      </w:r>
    </w:p>
    <w:p w14:paraId="328D4631"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(2)病人12週內之疾病影像檢查及報告(如胸部X光、電腦斷層或其他可作為評估的影像)，此影像證明以可測量(measurable)的病灶為優先，如沒有可以測量的病灶，則可評估(evaluable)的病灶亦可採用。</w:t>
      </w:r>
    </w:p>
    <w:p w14:paraId="70CA8FE7" w14:textId="77777777" w:rsidR="00BD776B" w:rsidRDefault="00DF0C24">
      <w:pPr>
        <w:tabs>
          <w:tab w:val="left" w:pos="1418"/>
        </w:tabs>
        <w:ind w:left="1051" w:hanging="245"/>
        <w:jc w:val="both"/>
        <w:rPr>
          <w:rFonts w:ascii="標楷體" w:eastAsia="標楷體" w:hAnsi="標楷體"/>
          <w:color w:val="000000"/>
        </w:rPr>
      </w:pPr>
      <w:r>
        <w:rPr>
          <w:rFonts w:ascii="標楷體" w:eastAsia="標楷體" w:hAnsi="標楷體"/>
          <w:color w:val="000000"/>
        </w:rPr>
        <w:t>(3)其他佐證病歷資料。</w:t>
      </w:r>
    </w:p>
    <w:p w14:paraId="25FF8369" w14:textId="77777777" w:rsidR="00BD776B" w:rsidRDefault="00DF0C24">
      <w:pPr>
        <w:tabs>
          <w:tab w:val="left" w:pos="1418"/>
        </w:tabs>
        <w:ind w:left="811" w:hanging="245"/>
        <w:jc w:val="both"/>
        <w:rPr>
          <w:rFonts w:ascii="標楷體" w:eastAsia="標楷體" w:hAnsi="標楷體"/>
          <w:color w:val="000000"/>
        </w:rPr>
      </w:pPr>
      <w:r>
        <w:rPr>
          <w:rFonts w:ascii="標楷體" w:eastAsia="標楷體" w:hAnsi="標楷體"/>
          <w:color w:val="000000"/>
        </w:rPr>
        <w:t>4.每次申請事前審查以3個療程為限，再次申請時需檢附療效評估資料，若病情惡化即不得再次申請，無效後或給付時程期滿後則不再給付該適應症相關之標靶藥物及免疫檢查點抑制劑。</w:t>
      </w:r>
    </w:p>
    <w:p w14:paraId="56611B99" w14:textId="77777777" w:rsidR="00BD776B" w:rsidRDefault="00DF0C24">
      <w:pPr>
        <w:tabs>
          <w:tab w:val="left" w:pos="1418"/>
        </w:tabs>
        <w:ind w:left="811" w:hanging="245"/>
        <w:jc w:val="both"/>
        <w:rPr>
          <w:rFonts w:ascii="標楷體" w:eastAsia="標楷體" w:hAnsi="標楷體"/>
          <w:color w:val="000000"/>
        </w:rPr>
      </w:pPr>
      <w:r>
        <w:rPr>
          <w:rFonts w:ascii="標楷體" w:eastAsia="標楷體" w:hAnsi="標楷體"/>
          <w:color w:val="000000"/>
        </w:rPr>
        <w:t>5.每位病人限給付6個療程。</w:t>
      </w:r>
    </w:p>
    <w:p w14:paraId="18E55922" w14:textId="77777777" w:rsidR="00F701EF" w:rsidRPr="00F701EF" w:rsidRDefault="00F701EF" w:rsidP="00F701EF">
      <w:pPr>
        <w:tabs>
          <w:tab w:val="left" w:pos="1418"/>
        </w:tabs>
        <w:ind w:left="655" w:hanging="612"/>
        <w:rPr>
          <w:rFonts w:ascii="標楷體" w:eastAsia="標楷體" w:hAnsi="標楷體"/>
          <w:color w:val="000000"/>
        </w:rPr>
      </w:pPr>
      <w:r w:rsidRPr="00F701EF">
        <w:rPr>
          <w:rFonts w:ascii="標楷體" w:eastAsia="標楷體" w:hAnsi="標楷體" w:hint="eastAsia"/>
          <w:color w:val="000000"/>
        </w:rPr>
        <w:t>9.110.</w:t>
      </w:r>
      <w:r w:rsidRPr="00F701EF">
        <w:rPr>
          <w:rFonts w:ascii="標楷體" w:eastAsia="標楷體" w:hAnsi="標楷體"/>
          <w:color w:val="000000"/>
        </w:rPr>
        <w:t>Tirabrutinib</w:t>
      </w:r>
      <w:r w:rsidRPr="00F701EF">
        <w:rPr>
          <w:rFonts w:ascii="標楷體" w:eastAsia="標楷體" w:hAnsi="標楷體" w:hint="eastAsia"/>
          <w:color w:val="000000"/>
        </w:rPr>
        <w:t>(如</w:t>
      </w:r>
      <w:r w:rsidRPr="00F701EF">
        <w:rPr>
          <w:rFonts w:ascii="標楷體" w:eastAsia="標楷體" w:hAnsi="標楷體"/>
          <w:color w:val="000000"/>
        </w:rPr>
        <w:t>Velexbru</w:t>
      </w:r>
      <w:r w:rsidRPr="00F701EF">
        <w:rPr>
          <w:rFonts w:ascii="標楷體" w:eastAsia="標楷體" w:hAnsi="標楷體" w:hint="eastAsia"/>
          <w:color w:val="000000"/>
        </w:rPr>
        <w:t>）：(113/6/1)</w:t>
      </w:r>
    </w:p>
    <w:p w14:paraId="31992207" w14:textId="77777777" w:rsidR="00F701EF" w:rsidRPr="00F701EF" w:rsidRDefault="00F701EF" w:rsidP="00F701EF">
      <w:pPr>
        <w:tabs>
          <w:tab w:val="left" w:pos="1418"/>
        </w:tabs>
        <w:ind w:left="811" w:hanging="245"/>
        <w:jc w:val="both"/>
        <w:rPr>
          <w:rFonts w:ascii="標楷體" w:eastAsia="標楷體" w:hAnsi="標楷體"/>
          <w:color w:val="000000"/>
        </w:rPr>
      </w:pPr>
      <w:r w:rsidRPr="00F701EF">
        <w:rPr>
          <w:rFonts w:ascii="標楷體" w:eastAsia="標楷體" w:hAnsi="標楷體" w:hint="eastAsia"/>
          <w:color w:val="000000"/>
        </w:rPr>
        <w:t>1.適用於</w:t>
      </w:r>
      <w:r w:rsidRPr="00F701EF">
        <w:rPr>
          <w:rFonts w:ascii="標楷體" w:eastAsia="標楷體" w:hAnsi="標楷體"/>
          <w:color w:val="000000"/>
        </w:rPr>
        <w:t>治療成人復發或難治型原發性中樞神經系統B細胞淋巴瘤</w:t>
      </w:r>
      <w:r w:rsidRPr="00F701EF">
        <w:rPr>
          <w:rFonts w:ascii="標楷體" w:eastAsia="標楷體" w:hAnsi="標楷體" w:hint="eastAsia"/>
          <w:color w:val="000000"/>
        </w:rPr>
        <w:t>，且符合下列各項條件：</w:t>
      </w:r>
    </w:p>
    <w:p w14:paraId="5ABB349E" w14:textId="77777777" w:rsidR="00F701EF" w:rsidRPr="00F701EF" w:rsidRDefault="00F701EF" w:rsidP="00F701EF">
      <w:pPr>
        <w:tabs>
          <w:tab w:val="left" w:pos="1418"/>
        </w:tabs>
        <w:ind w:left="1051" w:hanging="245"/>
        <w:jc w:val="both"/>
        <w:rPr>
          <w:rFonts w:ascii="標楷體" w:eastAsia="標楷體" w:hAnsi="標楷體"/>
          <w:color w:val="000000"/>
        </w:rPr>
      </w:pPr>
      <w:r w:rsidRPr="00F701EF">
        <w:rPr>
          <w:rFonts w:ascii="標楷體" w:eastAsia="標楷體" w:hAnsi="標楷體" w:hint="eastAsia"/>
          <w:color w:val="000000"/>
        </w:rPr>
        <w:t>(1)復發頑固型，曾接受過至少兩個療程H</w:t>
      </w:r>
      <w:r w:rsidRPr="00F701EF">
        <w:rPr>
          <w:rFonts w:ascii="標楷體" w:eastAsia="標楷體" w:hAnsi="標楷體"/>
          <w:color w:val="000000"/>
        </w:rPr>
        <w:t>D-MTX</w:t>
      </w:r>
      <w:r w:rsidRPr="00F701EF">
        <w:rPr>
          <w:rFonts w:ascii="標楷體" w:eastAsia="標楷體" w:hAnsi="標楷體" w:hint="eastAsia"/>
          <w:color w:val="000000"/>
        </w:rPr>
        <w:t>治療。</w:t>
      </w:r>
    </w:p>
    <w:p w14:paraId="5ADE7594" w14:textId="77777777" w:rsidR="00F701EF" w:rsidRPr="00F701EF" w:rsidRDefault="00F701EF" w:rsidP="00F701EF">
      <w:pPr>
        <w:tabs>
          <w:tab w:val="left" w:pos="1418"/>
        </w:tabs>
        <w:ind w:left="1051" w:hanging="245"/>
        <w:jc w:val="both"/>
        <w:rPr>
          <w:rFonts w:ascii="標楷體" w:eastAsia="標楷體" w:hAnsi="標楷體"/>
          <w:color w:val="000000"/>
        </w:rPr>
      </w:pPr>
      <w:r w:rsidRPr="00F701EF">
        <w:rPr>
          <w:rFonts w:ascii="標楷體" w:eastAsia="標楷體" w:hAnsi="標楷體" w:hint="eastAsia"/>
          <w:color w:val="000000"/>
        </w:rPr>
        <w:t>(2)細胞型態須為L</w:t>
      </w:r>
      <w:r w:rsidRPr="00F701EF">
        <w:rPr>
          <w:rFonts w:ascii="標楷體" w:eastAsia="標楷體" w:hAnsi="標楷體"/>
          <w:color w:val="000000"/>
        </w:rPr>
        <w:t>arge B cell</w:t>
      </w:r>
      <w:r w:rsidRPr="00F701EF">
        <w:rPr>
          <w:rFonts w:ascii="標楷體" w:eastAsia="標楷體" w:hAnsi="標楷體" w:hint="eastAsia"/>
          <w:color w:val="000000"/>
        </w:rPr>
        <w:t>。</w:t>
      </w:r>
    </w:p>
    <w:p w14:paraId="235182FD" w14:textId="77777777" w:rsidR="00F701EF" w:rsidRPr="00F701EF" w:rsidRDefault="00F701EF" w:rsidP="00F701EF">
      <w:pPr>
        <w:tabs>
          <w:tab w:val="left" w:pos="1418"/>
        </w:tabs>
        <w:ind w:left="1051" w:hanging="245"/>
        <w:jc w:val="both"/>
        <w:rPr>
          <w:rFonts w:ascii="標楷體" w:eastAsia="標楷體" w:hAnsi="標楷體"/>
          <w:color w:val="000000"/>
        </w:rPr>
      </w:pPr>
      <w:r w:rsidRPr="00F701EF">
        <w:rPr>
          <w:rFonts w:ascii="標楷體" w:eastAsia="標楷體" w:hAnsi="標楷體" w:hint="eastAsia"/>
          <w:color w:val="000000"/>
        </w:rPr>
        <w:t>(3)須排除H</w:t>
      </w:r>
      <w:r w:rsidRPr="00F701EF">
        <w:rPr>
          <w:rFonts w:ascii="標楷體" w:eastAsia="標楷體" w:hAnsi="標楷體"/>
          <w:color w:val="000000"/>
        </w:rPr>
        <w:t>IV(+)</w:t>
      </w:r>
      <w:r w:rsidRPr="00F701EF">
        <w:rPr>
          <w:rFonts w:ascii="標楷體" w:eastAsia="標楷體" w:hAnsi="標楷體" w:hint="eastAsia"/>
          <w:color w:val="000000"/>
        </w:rPr>
        <w:t>及</w:t>
      </w:r>
      <w:r w:rsidRPr="00F701EF">
        <w:rPr>
          <w:rFonts w:ascii="標楷體" w:eastAsia="標楷體" w:hAnsi="標楷體"/>
          <w:color w:val="000000"/>
        </w:rPr>
        <w:t>Burkitt lymphoma</w:t>
      </w:r>
      <w:r w:rsidRPr="00F701EF">
        <w:rPr>
          <w:rFonts w:ascii="標楷體" w:eastAsia="標楷體" w:hAnsi="標楷體" w:hint="eastAsia"/>
          <w:color w:val="000000"/>
        </w:rPr>
        <w:t xml:space="preserve">患者。 </w:t>
      </w:r>
    </w:p>
    <w:p w14:paraId="091ADDAF" w14:textId="77777777" w:rsidR="00F701EF" w:rsidRPr="00F701EF" w:rsidRDefault="00F701EF" w:rsidP="00F701EF">
      <w:pPr>
        <w:tabs>
          <w:tab w:val="left" w:pos="1418"/>
        </w:tabs>
        <w:ind w:left="811" w:hanging="245"/>
        <w:jc w:val="both"/>
        <w:rPr>
          <w:rFonts w:ascii="標楷體" w:eastAsia="標楷體" w:hAnsi="標楷體"/>
          <w:color w:val="000000"/>
        </w:rPr>
      </w:pPr>
      <w:r w:rsidRPr="00F701EF">
        <w:rPr>
          <w:rFonts w:ascii="標楷體" w:eastAsia="標楷體" w:hAnsi="標楷體" w:hint="eastAsia"/>
          <w:color w:val="000000"/>
        </w:rPr>
        <w:lastRenderedPageBreak/>
        <w:t>2.須經事前審查核准後使用。首次申請事前審查之療程以3個月為限，之後每3個月需再次申請，再次申請時應檢附前次治療結果評估資料，如影像學檢查報告。</w:t>
      </w:r>
    </w:p>
    <w:p w14:paraId="66B737C5" w14:textId="77777777" w:rsidR="00F701EF" w:rsidRPr="00F701EF" w:rsidRDefault="00F701EF" w:rsidP="00F701EF">
      <w:pPr>
        <w:tabs>
          <w:tab w:val="left" w:pos="1418"/>
        </w:tabs>
        <w:ind w:left="811" w:hanging="245"/>
        <w:jc w:val="both"/>
        <w:rPr>
          <w:rFonts w:ascii="標楷體" w:eastAsia="標楷體" w:hAnsi="標楷體"/>
          <w:color w:val="000000"/>
        </w:rPr>
      </w:pPr>
      <w:r w:rsidRPr="00F701EF">
        <w:rPr>
          <w:rFonts w:ascii="標楷體" w:eastAsia="標楷體" w:hAnsi="標楷體" w:hint="eastAsia"/>
          <w:color w:val="000000"/>
        </w:rPr>
        <w:t>3.每日至多處方6粒。</w:t>
      </w:r>
    </w:p>
    <w:p w14:paraId="1DE37F6C" w14:textId="77777777" w:rsidR="00F701EF" w:rsidRPr="00F701EF" w:rsidRDefault="00F701EF" w:rsidP="00F701EF">
      <w:pPr>
        <w:tabs>
          <w:tab w:val="left" w:pos="1418"/>
        </w:tabs>
        <w:ind w:left="811" w:hanging="245"/>
        <w:jc w:val="both"/>
        <w:rPr>
          <w:rFonts w:ascii="標楷體" w:eastAsia="標楷體" w:hAnsi="標楷體"/>
          <w:color w:val="000000"/>
        </w:rPr>
      </w:pPr>
      <w:r w:rsidRPr="00F701EF">
        <w:rPr>
          <w:rFonts w:ascii="標楷體" w:eastAsia="標楷體" w:hAnsi="標楷體" w:hint="eastAsia"/>
          <w:color w:val="000000"/>
        </w:rPr>
        <w:t>4.限給付9個月。</w:t>
      </w:r>
    </w:p>
    <w:p w14:paraId="728AF419" w14:textId="74F037AB" w:rsidR="00BD776B" w:rsidRDefault="00F701EF" w:rsidP="00F701EF">
      <w:pPr>
        <w:tabs>
          <w:tab w:val="left" w:pos="1418"/>
        </w:tabs>
        <w:ind w:left="811" w:hanging="245"/>
        <w:jc w:val="both"/>
        <w:rPr>
          <w:rFonts w:ascii="標楷體" w:eastAsia="標楷體" w:hAnsi="標楷體"/>
          <w:color w:val="000000"/>
        </w:rPr>
      </w:pPr>
      <w:r w:rsidRPr="00F701EF">
        <w:rPr>
          <w:rFonts w:ascii="標楷體" w:eastAsia="標楷體" w:hAnsi="標楷體" w:hint="eastAsia"/>
          <w:color w:val="000000"/>
        </w:rPr>
        <w:t>5.限單獨使用，不得同時使用單株抗體及化療。</w:t>
      </w:r>
    </w:p>
    <w:p w14:paraId="76B31419" w14:textId="2DA2B8F6" w:rsidR="004844CD" w:rsidRPr="004844CD" w:rsidRDefault="004844CD" w:rsidP="004844CD">
      <w:pPr>
        <w:tabs>
          <w:tab w:val="left" w:pos="1418"/>
        </w:tabs>
        <w:ind w:left="655" w:hanging="612"/>
        <w:rPr>
          <w:rFonts w:ascii="標楷體" w:eastAsia="標楷體" w:hAnsi="標楷體"/>
          <w:color w:val="000000"/>
        </w:rPr>
      </w:pPr>
      <w:r w:rsidRPr="004844CD">
        <w:rPr>
          <w:rFonts w:ascii="標楷體" w:eastAsia="標楷體" w:hAnsi="標楷體"/>
          <w:color w:val="000000"/>
        </w:rPr>
        <w:t>9.111.Elotuzumab(如Empliciti)：(113/9/1)</w:t>
      </w:r>
    </w:p>
    <w:p w14:paraId="4F16E743" w14:textId="77777777" w:rsidR="004844CD" w:rsidRPr="004844CD" w:rsidRDefault="004844CD" w:rsidP="004844CD">
      <w:pPr>
        <w:tabs>
          <w:tab w:val="left" w:pos="1418"/>
        </w:tabs>
        <w:ind w:left="811" w:hanging="245"/>
        <w:jc w:val="both"/>
        <w:rPr>
          <w:rFonts w:ascii="標楷體" w:eastAsia="標楷體" w:hAnsi="標楷體"/>
          <w:color w:val="000000"/>
        </w:rPr>
      </w:pPr>
      <w:r w:rsidRPr="004844CD">
        <w:rPr>
          <w:rFonts w:ascii="標楷體" w:eastAsia="標楷體" w:hAnsi="標楷體"/>
          <w:color w:val="000000"/>
        </w:rPr>
        <w:t>1.與pomalidomide及dexamethasone併用，治療之前曾接受過至少兩種療法（包括lenalidomide和蛋白酶體抑制劑）的多發性骨髓瘤成年病人，且完全符合下列條件：</w:t>
      </w:r>
    </w:p>
    <w:p w14:paraId="3CB2C9A2" w14:textId="77777777" w:rsidR="004844CD" w:rsidRPr="004844CD" w:rsidRDefault="004844CD" w:rsidP="004844CD">
      <w:pPr>
        <w:tabs>
          <w:tab w:val="left" w:pos="1418"/>
        </w:tabs>
        <w:ind w:left="1051" w:hanging="245"/>
        <w:jc w:val="both"/>
        <w:rPr>
          <w:rFonts w:ascii="標楷體" w:eastAsia="標楷體" w:hAnsi="標楷體"/>
          <w:color w:val="000000"/>
        </w:rPr>
      </w:pPr>
      <w:r w:rsidRPr="004844CD">
        <w:rPr>
          <w:rFonts w:ascii="標楷體" w:eastAsia="標楷體" w:hAnsi="標楷體"/>
          <w:color w:val="000000"/>
        </w:rPr>
        <w:t>(1)確認完成前次治療時或結束治療後六十天內發生疾病惡化(disease progression)。</w:t>
      </w:r>
    </w:p>
    <w:p w14:paraId="31EE32F4" w14:textId="77777777" w:rsidR="004844CD" w:rsidRPr="004844CD" w:rsidRDefault="004844CD" w:rsidP="004844CD">
      <w:pPr>
        <w:tabs>
          <w:tab w:val="left" w:pos="1418"/>
        </w:tabs>
        <w:ind w:left="1051" w:hanging="245"/>
        <w:jc w:val="both"/>
        <w:rPr>
          <w:rFonts w:ascii="標楷體" w:eastAsia="標楷體" w:hAnsi="標楷體"/>
          <w:color w:val="000000"/>
        </w:rPr>
      </w:pPr>
      <w:r w:rsidRPr="004844CD">
        <w:rPr>
          <w:rFonts w:ascii="標楷體" w:eastAsia="標楷體" w:hAnsi="標楷體"/>
          <w:color w:val="000000"/>
        </w:rPr>
        <w:t>(2)須具有良好日常體能狀態(ECOG &lt; 2)。</w:t>
      </w:r>
    </w:p>
    <w:p w14:paraId="1A259216" w14:textId="77777777" w:rsidR="004844CD" w:rsidRPr="004844CD" w:rsidRDefault="004844CD" w:rsidP="004844CD">
      <w:pPr>
        <w:tabs>
          <w:tab w:val="left" w:pos="1418"/>
        </w:tabs>
        <w:ind w:left="811" w:hanging="245"/>
        <w:jc w:val="both"/>
        <w:rPr>
          <w:rFonts w:ascii="標楷體" w:eastAsia="標楷體" w:hAnsi="標楷體"/>
          <w:color w:val="000000"/>
        </w:rPr>
      </w:pPr>
      <w:r w:rsidRPr="004844CD">
        <w:rPr>
          <w:rFonts w:ascii="標楷體" w:eastAsia="標楷體" w:hAnsi="標楷體"/>
          <w:color w:val="000000"/>
        </w:rPr>
        <w:t>2.需經事前審查核准後使用：</w:t>
      </w:r>
    </w:p>
    <w:p w14:paraId="2E62087F" w14:textId="77777777" w:rsidR="004844CD" w:rsidRPr="004844CD" w:rsidRDefault="004844CD" w:rsidP="004844CD">
      <w:pPr>
        <w:tabs>
          <w:tab w:val="left" w:pos="1418"/>
        </w:tabs>
        <w:ind w:left="1051" w:hanging="245"/>
        <w:jc w:val="both"/>
        <w:rPr>
          <w:rFonts w:ascii="標楷體" w:eastAsia="標楷體" w:hAnsi="標楷體"/>
          <w:color w:val="000000"/>
        </w:rPr>
      </w:pPr>
      <w:r w:rsidRPr="004844CD">
        <w:rPr>
          <w:rFonts w:ascii="標楷體" w:eastAsia="標楷體" w:hAnsi="標楷體"/>
          <w:color w:val="000000"/>
        </w:rPr>
        <w:t>(1)初次申請以3個療程為限，且需同時符合下列Ⅰ.與Ⅱ.的條件：</w:t>
      </w:r>
    </w:p>
    <w:p w14:paraId="01ECB3F3" w14:textId="77777777" w:rsidR="004844CD" w:rsidRPr="004844CD" w:rsidRDefault="004844CD" w:rsidP="004844CD">
      <w:pPr>
        <w:tabs>
          <w:tab w:val="left" w:pos="1418"/>
        </w:tabs>
        <w:ind w:left="1291" w:hanging="245"/>
        <w:jc w:val="both"/>
        <w:rPr>
          <w:rFonts w:ascii="標楷體" w:eastAsia="標楷體" w:hAnsi="標楷體"/>
          <w:color w:val="000000"/>
        </w:rPr>
      </w:pPr>
      <w:r w:rsidRPr="004844CD">
        <w:rPr>
          <w:rFonts w:ascii="標楷體" w:eastAsia="標楷體" w:hAnsi="標楷體"/>
          <w:color w:val="000000"/>
        </w:rPr>
        <w:t xml:space="preserve">Ⅰ.具有下列任一疾病惡化的指標： 病人開始治療前須在連續2次評估中均符合同一指標 (但若為plamacytoma 體積增加，或是新產生的bone lesion(s)或新plasmacytoma，則僅需1次評估)： </w:t>
      </w:r>
    </w:p>
    <w:p w14:paraId="70C03383" w14:textId="77777777" w:rsidR="004844CD" w:rsidRPr="004844CD" w:rsidRDefault="004844CD" w:rsidP="004844CD">
      <w:pPr>
        <w:ind w:left="1800" w:hanging="360"/>
        <w:rPr>
          <w:rFonts w:ascii="標楷體" w:eastAsia="標楷體" w:hAnsi="標楷體"/>
          <w:color w:val="000000"/>
        </w:rPr>
      </w:pPr>
      <w:r w:rsidRPr="004844CD">
        <w:rPr>
          <w:rFonts w:ascii="新細明體" w:hAnsi="新細明體" w:cs="新細明體" w:hint="eastAsia"/>
          <w:color w:val="000000"/>
        </w:rPr>
        <w:t>ⅰ</w:t>
      </w:r>
      <w:r w:rsidRPr="004844CD">
        <w:rPr>
          <w:rFonts w:ascii="標楷體" w:eastAsia="標楷體" w:hAnsi="標楷體"/>
          <w:color w:val="000000"/>
        </w:rPr>
        <w:t>.</w:t>
      </w:r>
      <w:r w:rsidRPr="004844CD">
        <w:rPr>
          <w:rFonts w:ascii="標楷體" w:eastAsia="標楷體" w:hAnsi="標楷體" w:cs="新細明體"/>
          <w:color w:val="000000"/>
          <w:szCs w:val="24"/>
        </w:rPr>
        <w:t>若前</w:t>
      </w:r>
      <w:r w:rsidRPr="004844CD">
        <w:rPr>
          <w:rFonts w:ascii="標楷體" w:eastAsia="標楷體" w:hAnsi="標楷體"/>
          <w:color w:val="000000"/>
        </w:rPr>
        <w:t>一線治療中M component 最低值≧5 g/dL，血清M蛋白需增加≧1 g/dL；若前一線治療中M component最低值＜5 g/dL，血清M蛋白需增加≧0.5g/dL。</w:t>
      </w:r>
    </w:p>
    <w:p w14:paraId="18851850" w14:textId="77777777" w:rsidR="004844CD" w:rsidRPr="004844CD" w:rsidRDefault="004844CD" w:rsidP="004844CD">
      <w:pPr>
        <w:ind w:left="1800" w:hanging="360"/>
        <w:rPr>
          <w:rFonts w:ascii="標楷體" w:eastAsia="標楷體" w:hAnsi="標楷體"/>
          <w:color w:val="000000"/>
        </w:rPr>
      </w:pPr>
      <w:r w:rsidRPr="004844CD">
        <w:rPr>
          <w:rFonts w:ascii="新細明體" w:hAnsi="新細明體" w:cs="新細明體" w:hint="eastAsia"/>
          <w:color w:val="000000"/>
        </w:rPr>
        <w:t>ⅱ</w:t>
      </w:r>
      <w:r w:rsidRPr="004844CD">
        <w:rPr>
          <w:rFonts w:ascii="標楷體" w:eastAsia="標楷體" w:hAnsi="標楷體"/>
          <w:color w:val="000000"/>
        </w:rPr>
        <w:t>.Urine M-protein需增加≧0.2 gm/24Hr，且需較前一線治療中的最低值增加≧25%。</w:t>
      </w:r>
    </w:p>
    <w:p w14:paraId="450278DF"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iii.在non-secretary myeloma 病人，骨髓漿細胞 (plasma cells)之比例絕對值增加≧10%，且需較前一線治療中的最低值增加≧25%。</w:t>
      </w:r>
    </w:p>
    <w:p w14:paraId="0AE3EB9D"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iv.新產生的bone lesion(s)或plasmacytoma；且須經病理切片證實。</w:t>
      </w:r>
    </w:p>
    <w:p w14:paraId="64D2AF63"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v.Plasmacytoma體積增加≧50%。</w:t>
      </w:r>
    </w:p>
    <w:p w14:paraId="019F6281"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vi.周邊血液中漿細胞比例≧20%或漿細胞絕對值≧2000 cells/μL。</w:t>
      </w:r>
    </w:p>
    <w:p w14:paraId="5A9293CD" w14:textId="77777777" w:rsidR="004844CD" w:rsidRPr="004844CD" w:rsidRDefault="004844CD" w:rsidP="004844CD">
      <w:pPr>
        <w:tabs>
          <w:tab w:val="left" w:pos="1418"/>
        </w:tabs>
        <w:ind w:left="1291" w:hanging="245"/>
        <w:jc w:val="both"/>
        <w:rPr>
          <w:rFonts w:ascii="標楷體" w:eastAsia="標楷體" w:hAnsi="標楷體"/>
          <w:color w:val="000000"/>
        </w:rPr>
      </w:pPr>
      <w:r w:rsidRPr="004844CD">
        <w:rPr>
          <w:rFonts w:ascii="標楷體" w:eastAsia="標楷體" w:hAnsi="標楷體"/>
          <w:color w:val="000000"/>
        </w:rPr>
        <w:t xml:space="preserve">Ⅱ.出現下列任一臨床症狀： </w:t>
      </w:r>
    </w:p>
    <w:p w14:paraId="443D0E5E" w14:textId="77777777" w:rsidR="004844CD" w:rsidRPr="004844CD" w:rsidRDefault="004844CD" w:rsidP="004844CD">
      <w:pPr>
        <w:ind w:left="1800" w:hanging="360"/>
        <w:rPr>
          <w:rFonts w:ascii="標楷體" w:eastAsia="標楷體" w:hAnsi="標楷體"/>
          <w:color w:val="000000"/>
        </w:rPr>
      </w:pPr>
      <w:r w:rsidRPr="004844CD">
        <w:rPr>
          <w:rFonts w:ascii="新細明體" w:hAnsi="新細明體" w:cs="新細明體" w:hint="eastAsia"/>
          <w:color w:val="000000"/>
        </w:rPr>
        <w:t>ⅰ</w:t>
      </w:r>
      <w:r w:rsidRPr="004844CD">
        <w:rPr>
          <w:rFonts w:ascii="標楷體" w:eastAsia="標楷體" w:hAnsi="標楷體"/>
          <w:color w:val="000000"/>
        </w:rPr>
        <w:t>.新產生的bone lesion(s)或plasmacytoma；且須經病理切片證實。</w:t>
      </w:r>
    </w:p>
    <w:p w14:paraId="755D0ADB" w14:textId="77777777" w:rsidR="004844CD" w:rsidRPr="004844CD" w:rsidRDefault="004844CD" w:rsidP="004844CD">
      <w:pPr>
        <w:ind w:left="1800" w:hanging="360"/>
        <w:rPr>
          <w:rFonts w:ascii="標楷體" w:eastAsia="標楷體" w:hAnsi="標楷體"/>
          <w:color w:val="000000"/>
        </w:rPr>
      </w:pPr>
      <w:r w:rsidRPr="004844CD">
        <w:rPr>
          <w:rFonts w:ascii="新細明體" w:hAnsi="新細明體" w:cs="新細明體" w:hint="eastAsia"/>
          <w:color w:val="000000"/>
        </w:rPr>
        <w:t>ⅱ</w:t>
      </w:r>
      <w:r w:rsidRPr="004844CD">
        <w:rPr>
          <w:rFonts w:ascii="標楷體" w:eastAsia="標楷體" w:hAnsi="標楷體"/>
          <w:color w:val="000000"/>
        </w:rPr>
        <w:t>.Plasmacytoma 體積增加≧50%。</w:t>
      </w:r>
    </w:p>
    <w:p w14:paraId="0D76642E"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iii.高血鈣(corrected serum calcium＞11.0 mg/dL 或 2.75 mmol/L)。</w:t>
      </w:r>
    </w:p>
    <w:p w14:paraId="11EDEC7D"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iv.貧血(Hemoglobin 下降幅度≧ 2gm/dL且無其他原因可以解釋)。</w:t>
      </w:r>
    </w:p>
    <w:p w14:paraId="6F963E97"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v.腎功能惡化(eGFR需下降幅度≧25%)，且無其他原因可以解釋。</w:t>
      </w:r>
    </w:p>
    <w:p w14:paraId="71EC161F" w14:textId="77777777" w:rsidR="004844CD" w:rsidRPr="004844CD" w:rsidRDefault="004844CD" w:rsidP="004844CD">
      <w:pPr>
        <w:ind w:left="1800" w:hanging="360"/>
        <w:rPr>
          <w:rFonts w:ascii="標楷體" w:eastAsia="標楷體" w:hAnsi="標楷體"/>
          <w:color w:val="000000"/>
        </w:rPr>
      </w:pPr>
      <w:r w:rsidRPr="004844CD">
        <w:rPr>
          <w:rFonts w:ascii="標楷體" w:eastAsia="標楷體" w:hAnsi="標楷體"/>
          <w:color w:val="000000"/>
        </w:rPr>
        <w:t>vi.出現其他end-organ dysfunctions。</w:t>
      </w:r>
    </w:p>
    <w:p w14:paraId="0919996D" w14:textId="77777777" w:rsidR="004844CD" w:rsidRPr="004844CD" w:rsidRDefault="004844CD" w:rsidP="004844CD">
      <w:pPr>
        <w:tabs>
          <w:tab w:val="left" w:pos="1418"/>
        </w:tabs>
        <w:ind w:left="1051" w:hanging="245"/>
        <w:jc w:val="both"/>
        <w:rPr>
          <w:rFonts w:ascii="標楷體" w:eastAsia="標楷體" w:hAnsi="標楷體"/>
          <w:color w:val="000000"/>
        </w:rPr>
      </w:pPr>
      <w:r w:rsidRPr="004844CD">
        <w:rPr>
          <w:rFonts w:ascii="標楷體" w:eastAsia="標楷體" w:hAnsi="標楷體"/>
          <w:color w:val="000000"/>
        </w:rPr>
        <w:t>(2)再次申請時必須確定paraprotein (M-protein)未上升(即表示對藥物有反應或為穩定狀態);或對部分non-secretory type 多發性骨髓瘤病人以骨髓檢查plasma cell為療效依據，證明為對藥物有反應或為穩定狀態，方可繼續使用。續用時的申請以3個療程為限。疾病若發生惡化情形應即停止使用。</w:t>
      </w:r>
    </w:p>
    <w:p w14:paraId="361FAF4F" w14:textId="77777777" w:rsidR="004844CD" w:rsidRPr="004844CD" w:rsidRDefault="004844CD" w:rsidP="004844CD">
      <w:pPr>
        <w:tabs>
          <w:tab w:val="left" w:pos="1418"/>
        </w:tabs>
        <w:ind w:left="1051" w:hanging="245"/>
        <w:jc w:val="both"/>
        <w:rPr>
          <w:rFonts w:ascii="標楷體" w:eastAsia="標楷體" w:hAnsi="標楷體"/>
          <w:color w:val="000000"/>
        </w:rPr>
      </w:pPr>
      <w:r w:rsidRPr="004844CD">
        <w:rPr>
          <w:rFonts w:ascii="標楷體" w:eastAsia="標楷體" w:hAnsi="標楷體"/>
          <w:color w:val="000000"/>
        </w:rPr>
        <w:t>(3)每人以10個療程為上限。</w:t>
      </w:r>
    </w:p>
    <w:p w14:paraId="3E94818C" w14:textId="018F3405" w:rsidR="004844CD" w:rsidRDefault="004844CD" w:rsidP="004844CD">
      <w:pPr>
        <w:tabs>
          <w:tab w:val="left" w:pos="1418"/>
        </w:tabs>
        <w:ind w:left="811" w:hanging="245"/>
        <w:jc w:val="both"/>
        <w:rPr>
          <w:rFonts w:ascii="標楷體" w:eastAsia="標楷體" w:hAnsi="標楷體"/>
          <w:color w:val="000000"/>
        </w:rPr>
      </w:pPr>
      <w:r w:rsidRPr="004844CD">
        <w:rPr>
          <w:rFonts w:ascii="標楷體" w:eastAsia="標楷體" w:hAnsi="標楷體"/>
          <w:color w:val="000000"/>
        </w:rPr>
        <w:t>3.不得與蛋白酶體抑制劑(bortezomib、carfilzomib)或lenalidomide併用。</w:t>
      </w:r>
    </w:p>
    <w:p w14:paraId="48C6C7CA" w14:textId="77777777" w:rsidR="008F5CC7" w:rsidRDefault="008F5CC7" w:rsidP="008F5CC7">
      <w:pPr>
        <w:tabs>
          <w:tab w:val="left" w:pos="1418"/>
        </w:tabs>
        <w:ind w:left="655" w:right="-197" w:hanging="612"/>
        <w:rPr>
          <w:rFonts w:ascii="標楷體" w:eastAsia="標楷體" w:hAnsi="標楷體"/>
          <w:szCs w:val="24"/>
        </w:rPr>
      </w:pPr>
      <w:r>
        <w:rPr>
          <w:rFonts w:ascii="標楷體" w:eastAsia="標楷體" w:hAnsi="標楷體"/>
          <w:szCs w:val="24"/>
        </w:rPr>
        <w:t>9.112.Pertuzumab與trastuzumab皮下注射複方製劑(如Phesgo):(113/12/1、114/5/1)</w:t>
      </w:r>
    </w:p>
    <w:p w14:paraId="0CEB68BA" w14:textId="77777777" w:rsidR="008F5CC7" w:rsidRDefault="008F5CC7" w:rsidP="008F5CC7">
      <w:pPr>
        <w:tabs>
          <w:tab w:val="left" w:pos="1418"/>
        </w:tabs>
        <w:ind w:left="811" w:hanging="245"/>
        <w:jc w:val="both"/>
        <w:rPr>
          <w:rFonts w:ascii="標楷體" w:eastAsia="標楷體" w:hAnsi="標楷體"/>
          <w:szCs w:val="24"/>
        </w:rPr>
      </w:pPr>
      <w:r>
        <w:rPr>
          <w:rFonts w:ascii="標楷體" w:eastAsia="標楷體" w:hAnsi="標楷體"/>
          <w:szCs w:val="24"/>
        </w:rPr>
        <w:t>1.本藥品及化學療法併用於具HER2過度表現（IHC3+或FISH+），且具腋下淋巴結</w:t>
      </w:r>
      <w:r>
        <w:rPr>
          <w:rFonts w:ascii="標楷體" w:eastAsia="標楷體" w:hAnsi="標楷體"/>
          <w:szCs w:val="24"/>
        </w:rPr>
        <w:lastRenderedPageBreak/>
        <w:t>轉移但無遠處臟器轉移之早期乳癌病人（113/12/1、114/5/1）</w:t>
      </w:r>
    </w:p>
    <w:p w14:paraId="3E1D60F7" w14:textId="77777777" w:rsidR="008F5CC7" w:rsidRDefault="008F5CC7" w:rsidP="008F5CC7">
      <w:pPr>
        <w:tabs>
          <w:tab w:val="left" w:pos="1418"/>
        </w:tabs>
        <w:ind w:left="1133" w:hanging="567"/>
        <w:jc w:val="both"/>
        <w:rPr>
          <w:rFonts w:ascii="標楷體" w:eastAsia="標楷體" w:hAnsi="標楷體"/>
          <w:szCs w:val="24"/>
        </w:rPr>
      </w:pPr>
      <w:r>
        <w:rPr>
          <w:rFonts w:ascii="標楷體" w:eastAsia="標楷體" w:hAnsi="標楷體"/>
          <w:szCs w:val="24"/>
        </w:rPr>
        <w:t xml:space="preserve">  (1)使用於術前輔助治療，經外科手術後達病理上完全緩解者（pCR），得繼續使用至18個療程為上限。</w:t>
      </w:r>
    </w:p>
    <w:p w14:paraId="081DC2D1" w14:textId="77777777" w:rsidR="008F5CC7" w:rsidRDefault="008F5CC7" w:rsidP="008F5CC7">
      <w:pPr>
        <w:tabs>
          <w:tab w:val="left" w:pos="1418"/>
        </w:tabs>
        <w:ind w:left="1133" w:hanging="567"/>
        <w:jc w:val="both"/>
        <w:rPr>
          <w:rFonts w:ascii="標楷體" w:eastAsia="標楷體" w:hAnsi="標楷體"/>
          <w:szCs w:val="24"/>
        </w:rPr>
      </w:pPr>
      <w:r>
        <w:rPr>
          <w:rFonts w:ascii="標楷體" w:eastAsia="標楷體" w:hAnsi="標楷體"/>
          <w:szCs w:val="24"/>
        </w:rPr>
        <w:t xml:space="preserve">  (2)若未接受術前輔助治療，即先行手術者，可給予術後輔助治療，以18個療程為使用上限。</w:t>
      </w:r>
    </w:p>
    <w:p w14:paraId="78C792A8" w14:textId="77777777" w:rsidR="008F5CC7" w:rsidRDefault="008F5CC7" w:rsidP="008F5CC7">
      <w:pPr>
        <w:tabs>
          <w:tab w:val="left" w:pos="1185"/>
        </w:tabs>
        <w:ind w:left="1203" w:hanging="397"/>
        <w:jc w:val="both"/>
        <w:rPr>
          <w:rFonts w:ascii="標楷體" w:eastAsia="標楷體" w:hAnsi="標楷體"/>
          <w:szCs w:val="24"/>
        </w:rPr>
      </w:pPr>
      <w:r>
        <w:rPr>
          <w:rFonts w:ascii="標楷體" w:eastAsia="標楷體" w:hAnsi="標楷體"/>
          <w:szCs w:val="24"/>
        </w:rPr>
        <w:t>(3)</w:t>
      </w:r>
      <w:r>
        <w:rPr>
          <w:rFonts w:ascii="標楷體" w:eastAsia="標楷體" w:hAnsi="標楷體"/>
          <w:szCs w:val="24"/>
        </w:rPr>
        <w:tab/>
        <w:t>下列Ｉ~Ⅲ使用於外科手術前後之總療程合併計算，依藥品仿單記載以18個療程為上限：</w:t>
      </w:r>
    </w:p>
    <w:p w14:paraId="1B5222DB" w14:textId="77777777" w:rsidR="008F5CC7" w:rsidRDefault="008F5CC7" w:rsidP="008F5CC7">
      <w:pPr>
        <w:tabs>
          <w:tab w:val="left" w:pos="1418"/>
        </w:tabs>
        <w:ind w:left="1291" w:hanging="245"/>
        <w:jc w:val="both"/>
        <w:rPr>
          <w:rFonts w:ascii="標楷體" w:eastAsia="標楷體" w:hAnsi="標楷體"/>
          <w:szCs w:val="24"/>
        </w:rPr>
      </w:pPr>
      <w:r>
        <w:rPr>
          <w:rFonts w:ascii="標楷體" w:eastAsia="標楷體" w:hAnsi="標楷體"/>
          <w:szCs w:val="24"/>
        </w:rPr>
        <w:t>Ｉ：本藥品</w:t>
      </w:r>
    </w:p>
    <w:p w14:paraId="390FEDB9" w14:textId="77777777" w:rsidR="008F5CC7" w:rsidRDefault="008F5CC7" w:rsidP="008F5CC7">
      <w:pPr>
        <w:tabs>
          <w:tab w:val="left" w:pos="1418"/>
        </w:tabs>
        <w:ind w:left="1291" w:hanging="245"/>
        <w:jc w:val="both"/>
        <w:rPr>
          <w:rFonts w:ascii="標楷體" w:eastAsia="標楷體" w:hAnsi="標楷體"/>
          <w:szCs w:val="24"/>
        </w:rPr>
      </w:pPr>
      <w:r>
        <w:rPr>
          <w:rFonts w:ascii="標楷體" w:eastAsia="標楷體" w:hAnsi="標楷體"/>
          <w:szCs w:val="24"/>
        </w:rPr>
        <w:t>Ⅱ：trastuzumab</w:t>
      </w:r>
    </w:p>
    <w:p w14:paraId="331F9498" w14:textId="77777777" w:rsidR="008F5CC7" w:rsidRDefault="008F5CC7" w:rsidP="008F5CC7">
      <w:pPr>
        <w:tabs>
          <w:tab w:val="left" w:pos="1418"/>
        </w:tabs>
        <w:ind w:left="1291" w:hanging="245"/>
        <w:jc w:val="both"/>
        <w:rPr>
          <w:rFonts w:ascii="標楷體" w:eastAsia="標楷體" w:hAnsi="標楷體"/>
          <w:szCs w:val="24"/>
        </w:rPr>
      </w:pPr>
      <w:r>
        <w:rPr>
          <w:rFonts w:ascii="標楷體" w:eastAsia="標楷體" w:hAnsi="標楷體"/>
          <w:szCs w:val="24"/>
        </w:rPr>
        <w:t>Ⅲ：pertuzumab與trastuzumab併用</w:t>
      </w:r>
    </w:p>
    <w:p w14:paraId="5D946282" w14:textId="77777777" w:rsidR="008F5CC7" w:rsidRDefault="008F5CC7" w:rsidP="008F5CC7">
      <w:pPr>
        <w:tabs>
          <w:tab w:val="left" w:pos="1185"/>
        </w:tabs>
        <w:ind w:left="1203" w:hanging="397"/>
        <w:jc w:val="both"/>
        <w:rPr>
          <w:rFonts w:ascii="標楷體" w:eastAsia="標楷體" w:hAnsi="標楷體"/>
          <w:szCs w:val="24"/>
        </w:rPr>
      </w:pPr>
      <w:r>
        <w:rPr>
          <w:rFonts w:ascii="標楷體" w:eastAsia="標楷體" w:hAnsi="標楷體"/>
          <w:szCs w:val="24"/>
        </w:rPr>
        <w:t>(4)</w:t>
      </w:r>
      <w:r>
        <w:rPr>
          <w:rFonts w:ascii="標楷體" w:eastAsia="標楷體" w:hAnsi="標楷體"/>
          <w:szCs w:val="24"/>
        </w:rPr>
        <w:tab/>
        <w:t>須經事前審查核准後使用，核准後每24週須檢附療效評估資料再次申請，若疾病有惡化情形即不應再行申請。（113/12/1、114/5/1）</w:t>
      </w:r>
    </w:p>
    <w:p w14:paraId="20940685" w14:textId="77777777" w:rsidR="008F5CC7" w:rsidRDefault="008F5CC7" w:rsidP="008F5CC7">
      <w:pPr>
        <w:tabs>
          <w:tab w:val="left" w:pos="1418"/>
        </w:tabs>
        <w:ind w:left="811" w:hanging="245"/>
        <w:jc w:val="both"/>
        <w:rPr>
          <w:rFonts w:ascii="標楷體" w:eastAsia="標楷體" w:hAnsi="標楷體"/>
          <w:szCs w:val="24"/>
        </w:rPr>
      </w:pPr>
      <w:r>
        <w:rPr>
          <w:rFonts w:ascii="標楷體" w:eastAsia="標楷體" w:hAnsi="標楷體"/>
          <w:szCs w:val="24"/>
        </w:rPr>
        <w:t>2.轉移性乳癌</w:t>
      </w:r>
    </w:p>
    <w:p w14:paraId="69CAE85E" w14:textId="77777777" w:rsidR="008F5CC7" w:rsidRDefault="008F5CC7" w:rsidP="008F5CC7">
      <w:pPr>
        <w:tabs>
          <w:tab w:val="left" w:pos="1185"/>
        </w:tabs>
        <w:ind w:left="1146" w:hanging="340"/>
        <w:jc w:val="both"/>
        <w:rPr>
          <w:rFonts w:ascii="標楷體" w:eastAsia="標楷體" w:hAnsi="標楷體"/>
          <w:szCs w:val="24"/>
        </w:rPr>
      </w:pPr>
      <w:r>
        <w:rPr>
          <w:rFonts w:ascii="標楷體" w:eastAsia="標楷體" w:hAnsi="標楷體"/>
          <w:szCs w:val="24"/>
        </w:rPr>
        <w:t>(1)與docetaxel併用於治療轉移後未曾以抗HER2或化學療法治療之HER2過度表現(IHC3+或FISH+)轉移性乳癌病人。</w:t>
      </w:r>
    </w:p>
    <w:p w14:paraId="28414600" w14:textId="77777777" w:rsidR="008F5CC7" w:rsidRDefault="008F5CC7" w:rsidP="008F5CC7">
      <w:pPr>
        <w:tabs>
          <w:tab w:val="left" w:pos="1185"/>
        </w:tabs>
        <w:ind w:left="1146" w:hanging="340"/>
        <w:jc w:val="both"/>
        <w:rPr>
          <w:rFonts w:ascii="標楷體" w:eastAsia="標楷體" w:hAnsi="標楷體"/>
          <w:szCs w:val="24"/>
        </w:rPr>
      </w:pPr>
      <w:r>
        <w:rPr>
          <w:rFonts w:ascii="標楷體" w:eastAsia="標楷體" w:hAnsi="標楷體"/>
          <w:szCs w:val="24"/>
        </w:rPr>
        <w:t>(2)須經事前審查核准後使用，核准後每18週須檢附療效評估資料再次申請，若疾病有惡化情形即不應再行申請，每位病人至多給付18個月為限。</w:t>
      </w:r>
    </w:p>
    <w:p w14:paraId="6B273E65" w14:textId="77777777" w:rsidR="008F5CC7" w:rsidRDefault="008F5CC7" w:rsidP="008F5CC7">
      <w:pPr>
        <w:tabs>
          <w:tab w:val="left" w:pos="1185"/>
        </w:tabs>
        <w:ind w:left="1051" w:hanging="245"/>
        <w:jc w:val="both"/>
        <w:rPr>
          <w:rFonts w:ascii="標楷體" w:eastAsia="標楷體" w:hAnsi="標楷體"/>
          <w:szCs w:val="24"/>
        </w:rPr>
      </w:pPr>
      <w:r>
        <w:rPr>
          <w:rFonts w:ascii="標楷體" w:eastAsia="標楷體" w:hAnsi="標楷體"/>
          <w:szCs w:val="24"/>
        </w:rPr>
        <w:t>(3)下列Ｉ~Ⅱ使用於轉移性乳癌總療程合併計算，以全部18個月為上限：</w:t>
      </w:r>
    </w:p>
    <w:p w14:paraId="5B91A512" w14:textId="77777777" w:rsidR="008F5CC7" w:rsidRDefault="008F5CC7" w:rsidP="008F5CC7">
      <w:pPr>
        <w:tabs>
          <w:tab w:val="left" w:pos="1418"/>
        </w:tabs>
        <w:ind w:left="1291" w:hanging="245"/>
        <w:jc w:val="both"/>
        <w:rPr>
          <w:rFonts w:ascii="標楷體" w:eastAsia="標楷體" w:hAnsi="標楷體"/>
          <w:szCs w:val="24"/>
        </w:rPr>
      </w:pPr>
      <w:r>
        <w:rPr>
          <w:rFonts w:ascii="標楷體" w:eastAsia="標楷體" w:hAnsi="標楷體"/>
          <w:szCs w:val="24"/>
        </w:rPr>
        <w:t>Ｉ：本藥品</w:t>
      </w:r>
    </w:p>
    <w:p w14:paraId="7D769175" w14:textId="77777777" w:rsidR="008F5CC7" w:rsidRDefault="008F5CC7" w:rsidP="008F5CC7">
      <w:pPr>
        <w:tabs>
          <w:tab w:val="left" w:pos="1418"/>
        </w:tabs>
        <w:ind w:left="1291" w:hanging="245"/>
        <w:jc w:val="both"/>
        <w:rPr>
          <w:rFonts w:ascii="標楷體" w:eastAsia="標楷體" w:hAnsi="標楷體"/>
          <w:szCs w:val="24"/>
        </w:rPr>
      </w:pPr>
      <w:r>
        <w:rPr>
          <w:rFonts w:ascii="標楷體" w:eastAsia="標楷體" w:hAnsi="標楷體"/>
          <w:szCs w:val="24"/>
        </w:rPr>
        <w:t>Ⅱ：pertuzumab與trastuzumab併用</w:t>
      </w:r>
    </w:p>
    <w:p w14:paraId="6DCB5125" w14:textId="48B72140" w:rsidR="00176BFD" w:rsidRDefault="008F5CC7" w:rsidP="008F5CC7">
      <w:pPr>
        <w:tabs>
          <w:tab w:val="left" w:pos="1185"/>
        </w:tabs>
        <w:ind w:leftChars="336" w:left="1051" w:hanging="245"/>
        <w:jc w:val="both"/>
        <w:rPr>
          <w:rFonts w:ascii="標楷體" w:eastAsia="標楷體" w:hAnsi="標楷體"/>
          <w:szCs w:val="24"/>
        </w:rPr>
      </w:pPr>
      <w:r>
        <w:rPr>
          <w:rFonts w:ascii="標楷體" w:eastAsia="標楷體" w:hAnsi="標楷體"/>
          <w:szCs w:val="24"/>
        </w:rPr>
        <w:t>(4)先前於早期乳癌已使用過本藥品或pertuzumab與trastuzumab併用者，不得再次申請本藥品，惟於早期乳癌治療結束至首次疾病復發轉移時間超過12個月以上者得再次申請。(113/12/1)</w:t>
      </w:r>
    </w:p>
    <w:p w14:paraId="7EDC4AF2" w14:textId="77777777" w:rsidR="00E67607" w:rsidRDefault="00E67607" w:rsidP="00E67607">
      <w:pPr>
        <w:tabs>
          <w:tab w:val="left" w:pos="1418"/>
        </w:tabs>
        <w:ind w:left="655" w:hanging="612"/>
        <w:rPr>
          <w:rFonts w:ascii="標楷體" w:eastAsia="標楷體" w:hAnsi="標楷體"/>
          <w:color w:val="000000"/>
        </w:rPr>
      </w:pPr>
      <w:r>
        <w:rPr>
          <w:rFonts w:ascii="標楷體" w:eastAsia="標楷體" w:hAnsi="標楷體" w:hint="eastAsia"/>
          <w:color w:val="000000"/>
        </w:rPr>
        <w:t>9.</w:t>
      </w:r>
      <w:r w:rsidRPr="00E67607">
        <w:rPr>
          <w:rFonts w:ascii="標楷體" w:eastAsia="標楷體" w:hAnsi="標楷體" w:hint="eastAsia"/>
          <w:szCs w:val="24"/>
        </w:rPr>
        <w:t>113</w:t>
      </w:r>
      <w:r>
        <w:rPr>
          <w:rFonts w:ascii="標楷體" w:eastAsia="標楷體" w:hAnsi="標楷體" w:hint="eastAsia"/>
          <w:color w:val="000000"/>
        </w:rPr>
        <w:t>.Gemtuzumab ozogamicin(如Mylotarg)：(114/1/1)</w:t>
      </w:r>
    </w:p>
    <w:p w14:paraId="64341255" w14:textId="77777777" w:rsidR="00E67607" w:rsidRDefault="00E67607" w:rsidP="00E67607">
      <w:pPr>
        <w:tabs>
          <w:tab w:val="left" w:pos="1418"/>
        </w:tabs>
        <w:ind w:leftChars="236" w:left="811" w:hanging="245"/>
        <w:jc w:val="both"/>
        <w:rPr>
          <w:rFonts w:ascii="標楷體" w:eastAsia="標楷體" w:hAnsi="標楷體"/>
          <w:color w:val="000000"/>
        </w:rPr>
      </w:pPr>
      <w:r>
        <w:rPr>
          <w:rFonts w:ascii="標楷體" w:eastAsia="標楷體" w:hAnsi="標楷體" w:hint="eastAsia"/>
          <w:color w:val="000000"/>
        </w:rPr>
        <w:t>1.限用於新診斷原發型CD33陽性的急性骨髓性白血病(AML)病人之標準前導與鞏固性化療時合併使用，且完全符合下列條件：</w:t>
      </w:r>
    </w:p>
    <w:p w14:paraId="3CB040CA" w14:textId="77777777" w:rsidR="00E67607" w:rsidRPr="00281E5E" w:rsidRDefault="00E67607" w:rsidP="00E67607">
      <w:pPr>
        <w:tabs>
          <w:tab w:val="left" w:pos="1185"/>
        </w:tabs>
        <w:ind w:leftChars="336" w:left="1051" w:hanging="245"/>
        <w:jc w:val="both"/>
        <w:rPr>
          <w:rFonts w:ascii="標楷體" w:eastAsia="標楷體" w:hAnsi="標楷體"/>
          <w:szCs w:val="24"/>
        </w:rPr>
      </w:pPr>
      <w:r>
        <w:rPr>
          <w:rFonts w:ascii="標楷體" w:eastAsia="標楷體" w:hAnsi="標楷體" w:hint="eastAsia"/>
          <w:color w:val="000000"/>
        </w:rPr>
        <w:t>(1)需</w:t>
      </w:r>
      <w:r w:rsidRPr="00281E5E">
        <w:rPr>
          <w:rFonts w:ascii="標楷體" w:eastAsia="標楷體" w:hAnsi="標楷體" w:hint="eastAsia"/>
          <w:szCs w:val="24"/>
        </w:rPr>
        <w:t>為細胞遺傳學風險等級較佳(favorable)的病人。</w:t>
      </w:r>
    </w:p>
    <w:p w14:paraId="50B24D2A" w14:textId="77777777" w:rsidR="00E67607" w:rsidRDefault="00E67607" w:rsidP="00E67607">
      <w:pPr>
        <w:tabs>
          <w:tab w:val="left" w:pos="1185"/>
        </w:tabs>
        <w:ind w:leftChars="336" w:left="1051" w:hanging="245"/>
        <w:jc w:val="both"/>
        <w:rPr>
          <w:rFonts w:ascii="標楷體" w:eastAsia="標楷體" w:hAnsi="標楷體"/>
          <w:color w:val="000000"/>
        </w:rPr>
      </w:pPr>
      <w:r w:rsidRPr="00281E5E">
        <w:rPr>
          <w:rFonts w:ascii="標楷體" w:eastAsia="標楷體" w:hAnsi="標楷體" w:hint="eastAsia"/>
          <w:szCs w:val="24"/>
        </w:rPr>
        <w:t>(2)排</w:t>
      </w:r>
      <w:r>
        <w:rPr>
          <w:rFonts w:ascii="標楷體" w:eastAsia="標楷體" w:hAnsi="標楷體" w:hint="eastAsia"/>
          <w:color w:val="000000"/>
        </w:rPr>
        <w:t>除急性前骨髓性細胞白血病(acute promyelocytic leukemia,APL)病人。</w:t>
      </w:r>
    </w:p>
    <w:p w14:paraId="63471E8B" w14:textId="77777777" w:rsidR="00E67607" w:rsidRDefault="00E67607" w:rsidP="00E67607">
      <w:pPr>
        <w:tabs>
          <w:tab w:val="left" w:pos="1418"/>
        </w:tabs>
        <w:ind w:leftChars="236" w:left="811" w:hanging="245"/>
        <w:jc w:val="both"/>
        <w:rPr>
          <w:rFonts w:ascii="標楷體" w:eastAsia="標楷體" w:hAnsi="標楷體"/>
          <w:color w:val="000000"/>
        </w:rPr>
      </w:pPr>
      <w:r>
        <w:rPr>
          <w:rFonts w:ascii="標楷體" w:eastAsia="標楷體" w:hAnsi="標楷體" w:hint="eastAsia"/>
          <w:color w:val="000000"/>
        </w:rPr>
        <w:t>2.需經事前審查核准後使用，用於誘導期時，以1個療程(3次輸注)為限，並需合併標準3+7緩解誘導化療使用。</w:t>
      </w:r>
    </w:p>
    <w:p w14:paraId="3A6BB5FB" w14:textId="77777777" w:rsidR="00E67607" w:rsidRDefault="00E67607" w:rsidP="00E67607">
      <w:pPr>
        <w:tabs>
          <w:tab w:val="left" w:pos="1418"/>
        </w:tabs>
        <w:ind w:leftChars="236" w:left="811" w:hanging="245"/>
        <w:jc w:val="both"/>
        <w:rPr>
          <w:rFonts w:ascii="標楷體" w:eastAsia="標楷體" w:hAnsi="標楷體"/>
          <w:color w:val="000000"/>
        </w:rPr>
      </w:pPr>
      <w:r>
        <w:rPr>
          <w:rFonts w:ascii="標楷體" w:eastAsia="標楷體" w:hAnsi="標楷體" w:hint="eastAsia"/>
          <w:color w:val="000000"/>
        </w:rPr>
        <w:t>3.若病患疾病達到完全緩解(即CR 或 CRi)，可續申請使用於鞏固治療期，每次申請以1個療程為限(1次輸注)，並最多給付2個鞏固治療療程(即2次輸注)。申請時需檢附前次治療結果評估資料證實無疾病惡化。</w:t>
      </w:r>
    </w:p>
    <w:p w14:paraId="51311ED9" w14:textId="77777777" w:rsidR="00E67607" w:rsidRDefault="00E67607" w:rsidP="00E67607">
      <w:pPr>
        <w:tabs>
          <w:tab w:val="left" w:pos="1418"/>
        </w:tabs>
        <w:ind w:leftChars="236" w:left="811" w:hanging="245"/>
        <w:jc w:val="both"/>
        <w:rPr>
          <w:rFonts w:ascii="標楷體" w:eastAsia="標楷體" w:hAnsi="標楷體"/>
          <w:color w:val="000000"/>
        </w:rPr>
      </w:pPr>
      <w:r>
        <w:rPr>
          <w:rFonts w:ascii="標楷體" w:eastAsia="標楷體" w:hAnsi="標楷體" w:hint="eastAsia"/>
          <w:color w:val="000000"/>
        </w:rPr>
        <w:t>4.每人以給付5次輸注為上限。</w:t>
      </w:r>
    </w:p>
    <w:p w14:paraId="1E7A4498" w14:textId="77777777" w:rsidR="00E67607" w:rsidRDefault="00E67607" w:rsidP="00E67607">
      <w:pPr>
        <w:rPr>
          <w:rFonts w:ascii="標楷體" w:eastAsia="標楷體" w:hAnsi="標楷體"/>
          <w:color w:val="000000"/>
        </w:rPr>
      </w:pPr>
      <w:r>
        <w:rPr>
          <w:rFonts w:ascii="標楷體" w:eastAsia="標楷體" w:hAnsi="標楷體" w:hint="eastAsia"/>
          <w:color w:val="000000"/>
        </w:rPr>
        <w:t>9.114.Fedratinib (如Inrebic)：(114/1/1)</w:t>
      </w:r>
    </w:p>
    <w:p w14:paraId="53A64A6B" w14:textId="77777777" w:rsidR="00E67607" w:rsidRDefault="00E67607" w:rsidP="00E67607">
      <w:pPr>
        <w:tabs>
          <w:tab w:val="left" w:pos="1418"/>
        </w:tabs>
        <w:ind w:leftChars="236" w:left="811" w:hanging="245"/>
        <w:jc w:val="both"/>
        <w:rPr>
          <w:rFonts w:ascii="標楷體" w:eastAsia="標楷體" w:hAnsi="標楷體"/>
          <w:color w:val="000000"/>
        </w:rPr>
      </w:pPr>
      <w:r>
        <w:rPr>
          <w:rFonts w:ascii="標楷體" w:eastAsia="標楷體" w:hAnsi="標楷體" w:hint="eastAsia"/>
          <w:color w:val="000000"/>
        </w:rPr>
        <w:t>1.用於未曾接受Janus 激酶抑制劑（JAK inhibitor）治療或曾接受ruxolitinib 治療後不耐受或有禁忌症，且為International Working Group（IWG）Consensus Criteria 中度風險或高風險之骨髓纖維化，包括原發性骨髓纖維化、真性紅血球增多症後骨髓纖維化、或血小板增多症後骨髓纖維化等疾病所造成脾臟腫大（symptomatic splenomegaly）及/或其他相關全身症狀且不適於接受幹細胞移植的成人病人（stem cell transplantation）。</w:t>
      </w:r>
    </w:p>
    <w:p w14:paraId="2D81C47D" w14:textId="77777777" w:rsidR="00E67607" w:rsidRDefault="00E67607" w:rsidP="00E67607">
      <w:pPr>
        <w:tabs>
          <w:tab w:val="left" w:pos="1185"/>
        </w:tabs>
        <w:ind w:leftChars="336" w:left="1051" w:hanging="245"/>
        <w:jc w:val="both"/>
        <w:rPr>
          <w:rFonts w:ascii="標楷體" w:eastAsia="標楷體" w:hAnsi="標楷體"/>
          <w:color w:val="000000"/>
        </w:rPr>
      </w:pPr>
      <w:r>
        <w:rPr>
          <w:rFonts w:ascii="標楷體" w:eastAsia="標楷體" w:hAnsi="標楷體" w:hint="eastAsia"/>
          <w:color w:val="000000"/>
        </w:rPr>
        <w:t>(1)需經事前審查核准後使用，每次申請之療程以6個月為限，送審時需檢送影像資料及症狀改善之病歷紀錄，每6個月評估一次。</w:t>
      </w:r>
    </w:p>
    <w:p w14:paraId="665BAC2D" w14:textId="77777777" w:rsidR="00E67607" w:rsidRDefault="00E67607" w:rsidP="00E67607">
      <w:pPr>
        <w:tabs>
          <w:tab w:val="left" w:pos="1185"/>
        </w:tabs>
        <w:ind w:leftChars="336" w:left="1051" w:hanging="245"/>
        <w:jc w:val="both"/>
        <w:rPr>
          <w:rFonts w:ascii="標楷體" w:eastAsia="標楷體" w:hAnsi="標楷體"/>
          <w:color w:val="000000"/>
        </w:rPr>
      </w:pPr>
      <w:r>
        <w:rPr>
          <w:rFonts w:ascii="標楷體" w:eastAsia="標楷體" w:hAnsi="標楷體" w:hint="eastAsia"/>
          <w:color w:val="000000"/>
        </w:rPr>
        <w:t>(2)用藥後第一次評估時，需達到症狀反應(symptom response)或脾臟體積無惡</w:t>
      </w:r>
      <w:r>
        <w:rPr>
          <w:rFonts w:ascii="標楷體" w:eastAsia="標楷體" w:hAnsi="標楷體" w:hint="eastAsia"/>
          <w:color w:val="000000"/>
        </w:rPr>
        <w:lastRenderedPageBreak/>
        <w:t>化兩者之一，且同時無AML tranformation，方得以繼續使用。分別定義如下：</w:t>
      </w:r>
    </w:p>
    <w:p w14:paraId="65E92019" w14:textId="77777777" w:rsidR="00E67607" w:rsidRPr="002D5717" w:rsidRDefault="00E67607" w:rsidP="00E67607">
      <w:pPr>
        <w:tabs>
          <w:tab w:val="left" w:pos="1418"/>
        </w:tabs>
        <w:ind w:leftChars="436" w:left="1291" w:hanging="245"/>
        <w:jc w:val="both"/>
        <w:rPr>
          <w:rFonts w:ascii="標楷體" w:eastAsia="標楷體" w:hAnsi="標楷體"/>
          <w:szCs w:val="24"/>
        </w:rPr>
      </w:pPr>
      <w:r>
        <w:rPr>
          <w:rFonts w:ascii="標楷體" w:eastAsia="標楷體" w:hAnsi="標楷體" w:hint="eastAsia"/>
          <w:color w:val="000000"/>
        </w:rPr>
        <w:t>Ⅰ.症狀</w:t>
      </w:r>
      <w:r w:rsidRPr="002D5717">
        <w:rPr>
          <w:rFonts w:ascii="標楷體" w:eastAsia="標楷體" w:hAnsi="標楷體" w:hint="eastAsia"/>
          <w:szCs w:val="24"/>
        </w:rPr>
        <w:t>反應：MPN-SAF-TSS分數或MPN-10與治療前基準值相比，需下降超過50%。</w:t>
      </w:r>
    </w:p>
    <w:p w14:paraId="3B81528C" w14:textId="77777777" w:rsidR="00E67607" w:rsidRPr="002D5717" w:rsidRDefault="00E67607" w:rsidP="00E67607">
      <w:pPr>
        <w:tabs>
          <w:tab w:val="left" w:pos="1418"/>
        </w:tabs>
        <w:ind w:leftChars="436" w:left="1291" w:hanging="245"/>
        <w:jc w:val="both"/>
        <w:rPr>
          <w:rFonts w:ascii="標楷體" w:eastAsia="標楷體" w:hAnsi="標楷體"/>
          <w:szCs w:val="24"/>
        </w:rPr>
      </w:pPr>
      <w:r w:rsidRPr="002D5717">
        <w:rPr>
          <w:rFonts w:ascii="標楷體" w:eastAsia="標楷體" w:hAnsi="標楷體" w:hint="eastAsia"/>
          <w:szCs w:val="24"/>
        </w:rPr>
        <w:t>Ⅱ.脾臟體積無惡化：使用電腦斷層評估，脾臟長度未增加超過治療前基準值之40%以上(或體積增加未達25%以上)。</w:t>
      </w:r>
    </w:p>
    <w:p w14:paraId="6B489B2D" w14:textId="77777777" w:rsidR="00E67607" w:rsidRDefault="00E67607" w:rsidP="00E67607">
      <w:pPr>
        <w:tabs>
          <w:tab w:val="left" w:pos="1418"/>
        </w:tabs>
        <w:ind w:leftChars="436" w:left="1291" w:hanging="245"/>
        <w:jc w:val="both"/>
        <w:rPr>
          <w:rFonts w:ascii="標楷體" w:eastAsia="標楷體" w:hAnsi="標楷體"/>
          <w:color w:val="000000"/>
        </w:rPr>
      </w:pPr>
      <w:r w:rsidRPr="002D5717">
        <w:rPr>
          <w:rFonts w:ascii="標楷體" w:eastAsia="標楷體" w:hAnsi="標楷體" w:hint="eastAsia"/>
          <w:szCs w:val="24"/>
        </w:rPr>
        <w:t>Ⅲ.AML</w:t>
      </w:r>
      <w:r>
        <w:rPr>
          <w:rFonts w:ascii="標楷體" w:eastAsia="標楷體" w:hAnsi="標楷體" w:hint="eastAsia"/>
          <w:color w:val="000000"/>
        </w:rPr>
        <w:t xml:space="preserve"> transformation：骨髓中之芽細胞</w:t>
      </w:r>
      <w:r>
        <w:rPr>
          <w:rFonts w:ascii="Times New Roman" w:eastAsia="標楷體" w:hAnsi="Times New Roman"/>
          <w:color w:val="000000"/>
        </w:rPr>
        <w:t>≥</w:t>
      </w:r>
      <w:r>
        <w:rPr>
          <w:rFonts w:ascii="標楷體" w:eastAsia="標楷體" w:hAnsi="標楷體" w:hint="eastAsia"/>
          <w:color w:val="000000"/>
        </w:rPr>
        <w:t>20%或血液中之芽細胞</w:t>
      </w:r>
      <w:r>
        <w:rPr>
          <w:rFonts w:ascii="Times New Roman" w:eastAsia="標楷體" w:hAnsi="Times New Roman"/>
          <w:color w:val="000000"/>
        </w:rPr>
        <w:t>≥</w:t>
      </w:r>
      <w:r>
        <w:rPr>
          <w:rFonts w:ascii="標楷體" w:eastAsia="標楷體" w:hAnsi="標楷體" w:hint="eastAsia"/>
          <w:color w:val="000000"/>
        </w:rPr>
        <w:t>20%合併芽細胞數值</w:t>
      </w:r>
      <w:r>
        <w:rPr>
          <w:rFonts w:ascii="Times New Roman" w:eastAsia="標楷體" w:hAnsi="Times New Roman"/>
          <w:color w:val="000000"/>
        </w:rPr>
        <w:t>≥</w:t>
      </w:r>
      <w:r>
        <w:rPr>
          <w:rFonts w:ascii="標楷體" w:eastAsia="標楷體" w:hAnsi="標楷體" w:hint="eastAsia"/>
          <w:color w:val="000000"/>
        </w:rPr>
        <w:t>1</w:t>
      </w:r>
      <w:r>
        <w:rPr>
          <w:rFonts w:ascii="標楷體" w:eastAsia="標楷體" w:hAnsi="標楷體" w:cs="標楷體" w:hint="eastAsia"/>
          <w:color w:val="000000"/>
        </w:rPr>
        <w:t>×</w:t>
      </w:r>
      <w:r>
        <w:rPr>
          <w:rFonts w:ascii="標楷體" w:eastAsia="標楷體" w:hAnsi="標楷體" w:hint="eastAsia"/>
          <w:color w:val="000000"/>
        </w:rPr>
        <w:t>10</w:t>
      </w:r>
      <w:r w:rsidRPr="00663DCD">
        <w:rPr>
          <w:rFonts w:ascii="標楷體" w:eastAsia="標楷體" w:hAnsi="標楷體" w:hint="eastAsia"/>
          <w:color w:val="000000"/>
          <w:vertAlign w:val="superscript"/>
        </w:rPr>
        <w:t>9</w:t>
      </w:r>
      <w:r>
        <w:rPr>
          <w:rFonts w:ascii="標楷體" w:eastAsia="標楷體" w:hAnsi="標楷體" w:hint="eastAsia"/>
          <w:color w:val="000000"/>
        </w:rPr>
        <w:t>/L。</w:t>
      </w:r>
    </w:p>
    <w:p w14:paraId="5B75F0C7" w14:textId="77777777" w:rsidR="00E67607" w:rsidRDefault="00E67607" w:rsidP="00E67607">
      <w:pPr>
        <w:tabs>
          <w:tab w:val="left" w:pos="1185"/>
        </w:tabs>
        <w:ind w:leftChars="336" w:left="1051" w:hanging="245"/>
        <w:jc w:val="both"/>
        <w:rPr>
          <w:rFonts w:ascii="標楷體" w:eastAsia="標楷體" w:hAnsi="標楷體"/>
          <w:color w:val="000000"/>
        </w:rPr>
      </w:pPr>
      <w:r>
        <w:rPr>
          <w:rFonts w:ascii="標楷體" w:eastAsia="標楷體" w:hAnsi="標楷體" w:hint="eastAsia"/>
          <w:color w:val="000000"/>
        </w:rPr>
        <w:t>(3)用藥後第二次及其後的評估，必須顯示無疾病惡化（無症狀惡化且脾臟體積無惡化，並同時無AML transformation），方得以繼續使用。分別定義如下：</w:t>
      </w:r>
    </w:p>
    <w:p w14:paraId="56A2DDA1" w14:textId="77777777" w:rsidR="00E67607" w:rsidRDefault="00E67607" w:rsidP="00E67607">
      <w:pPr>
        <w:tabs>
          <w:tab w:val="left" w:pos="1418"/>
        </w:tabs>
        <w:ind w:leftChars="436" w:left="1291" w:hanging="245"/>
        <w:jc w:val="both"/>
        <w:rPr>
          <w:rFonts w:ascii="標楷體" w:eastAsia="標楷體" w:hAnsi="標楷體"/>
          <w:color w:val="000000"/>
        </w:rPr>
      </w:pPr>
      <w:r>
        <w:rPr>
          <w:rFonts w:ascii="標楷體" w:eastAsia="標楷體" w:hAnsi="標楷體" w:hint="eastAsia"/>
          <w:color w:val="000000"/>
        </w:rPr>
        <w:t>Ⅰ.無症狀惡化：未出現新症狀，且MPN-SAF-TSS分數或MPN-10未超過治療前的基準值。</w:t>
      </w:r>
    </w:p>
    <w:p w14:paraId="411D5370" w14:textId="77777777" w:rsidR="00E67607" w:rsidRDefault="00E67607" w:rsidP="00E67607">
      <w:pPr>
        <w:tabs>
          <w:tab w:val="left" w:pos="1418"/>
        </w:tabs>
        <w:ind w:leftChars="436" w:left="1291" w:hanging="245"/>
        <w:jc w:val="both"/>
        <w:rPr>
          <w:rFonts w:ascii="標楷體" w:eastAsia="標楷體" w:hAnsi="標楷體"/>
          <w:color w:val="000000"/>
        </w:rPr>
      </w:pPr>
      <w:r>
        <w:rPr>
          <w:rFonts w:ascii="標楷體" w:eastAsia="標楷體" w:hAnsi="標楷體" w:hint="eastAsia"/>
          <w:color w:val="000000"/>
        </w:rPr>
        <w:t>Ⅱ.脾臟體積無惡化：使用電腦斷層評估，脾臟長度未增加超過最佳反應(best response)時之脾臟長度40%以上(或體積增加未達25%以上)。</w:t>
      </w:r>
    </w:p>
    <w:p w14:paraId="1D16C363" w14:textId="77777777" w:rsidR="00E67607" w:rsidRDefault="00E67607" w:rsidP="00E67607">
      <w:pPr>
        <w:tabs>
          <w:tab w:val="left" w:pos="1418"/>
        </w:tabs>
        <w:ind w:leftChars="436" w:left="1291" w:hanging="245"/>
        <w:jc w:val="both"/>
        <w:rPr>
          <w:rFonts w:ascii="標楷體" w:eastAsia="標楷體" w:hAnsi="標楷體"/>
          <w:color w:val="000000"/>
        </w:rPr>
      </w:pPr>
      <w:r>
        <w:rPr>
          <w:rFonts w:ascii="標楷體" w:eastAsia="標楷體" w:hAnsi="標楷體" w:hint="eastAsia"/>
          <w:color w:val="000000"/>
        </w:rPr>
        <w:t>Ⅲ.AML transformation：骨髓中之芽細胞</w:t>
      </w:r>
      <w:r>
        <w:rPr>
          <w:rFonts w:ascii="Times New Roman" w:eastAsia="標楷體" w:hAnsi="Times New Roman"/>
          <w:color w:val="000000"/>
        </w:rPr>
        <w:t>≥</w:t>
      </w:r>
      <w:r>
        <w:rPr>
          <w:rFonts w:ascii="標楷體" w:eastAsia="標楷體" w:hAnsi="標楷體" w:hint="eastAsia"/>
          <w:color w:val="000000"/>
        </w:rPr>
        <w:t>20%或血液中之芽細胞</w:t>
      </w:r>
      <w:r>
        <w:rPr>
          <w:rFonts w:ascii="Times New Roman" w:eastAsia="標楷體" w:hAnsi="Times New Roman"/>
          <w:color w:val="000000"/>
        </w:rPr>
        <w:t>≥</w:t>
      </w:r>
      <w:r>
        <w:rPr>
          <w:rFonts w:ascii="標楷體" w:eastAsia="標楷體" w:hAnsi="標楷體" w:hint="eastAsia"/>
          <w:color w:val="000000"/>
        </w:rPr>
        <w:t>20%合併芽細胞數值</w:t>
      </w:r>
      <w:r>
        <w:rPr>
          <w:rFonts w:ascii="Times New Roman" w:eastAsia="標楷體" w:hAnsi="Times New Roman"/>
          <w:color w:val="000000"/>
        </w:rPr>
        <w:t>≥</w:t>
      </w:r>
      <w:r>
        <w:rPr>
          <w:rFonts w:ascii="標楷體" w:eastAsia="標楷體" w:hAnsi="標楷體" w:hint="eastAsia"/>
          <w:color w:val="000000"/>
        </w:rPr>
        <w:t>1</w:t>
      </w:r>
      <w:r>
        <w:rPr>
          <w:rFonts w:ascii="標楷體" w:eastAsia="標楷體" w:hAnsi="標楷體" w:cs="標楷體" w:hint="eastAsia"/>
          <w:color w:val="000000"/>
        </w:rPr>
        <w:t>×</w:t>
      </w:r>
      <w:r>
        <w:rPr>
          <w:rFonts w:ascii="標楷體" w:eastAsia="標楷體" w:hAnsi="標楷體" w:hint="eastAsia"/>
          <w:color w:val="000000"/>
        </w:rPr>
        <w:t>10</w:t>
      </w:r>
      <w:r w:rsidRPr="00663DCD">
        <w:rPr>
          <w:rFonts w:ascii="標楷體" w:eastAsia="標楷體" w:hAnsi="標楷體" w:hint="eastAsia"/>
          <w:color w:val="000000"/>
          <w:vertAlign w:val="superscript"/>
        </w:rPr>
        <w:t>9</w:t>
      </w:r>
      <w:r>
        <w:rPr>
          <w:rFonts w:ascii="標楷體" w:eastAsia="標楷體" w:hAnsi="標楷體" w:hint="eastAsia"/>
          <w:color w:val="000000"/>
        </w:rPr>
        <w:t>/L。</w:t>
      </w:r>
    </w:p>
    <w:p w14:paraId="4D638B1A" w14:textId="19BD2F99" w:rsidR="00E67607" w:rsidRDefault="00E67607" w:rsidP="00E67607">
      <w:pPr>
        <w:tabs>
          <w:tab w:val="left" w:pos="1185"/>
        </w:tabs>
        <w:ind w:leftChars="336" w:left="1051" w:hanging="245"/>
        <w:jc w:val="both"/>
        <w:rPr>
          <w:rFonts w:ascii="標楷體" w:eastAsia="標楷體" w:hAnsi="標楷體"/>
          <w:color w:val="000000"/>
        </w:rPr>
      </w:pPr>
      <w:r>
        <w:rPr>
          <w:rFonts w:ascii="標楷體" w:eastAsia="標楷體" w:hAnsi="標楷體" w:hint="eastAsia"/>
          <w:color w:val="000000"/>
        </w:rPr>
        <w:t>2.本藥品與ruxolitinib用於中度風險或高風險之骨髓纖維化治療時，僅得擇一給付。Ruxolitinib治療後如疾病惡化不得換用本藥品。</w:t>
      </w:r>
    </w:p>
    <w:p w14:paraId="0B8A3A94" w14:textId="77777777" w:rsidR="00FD0DB9" w:rsidRPr="00507E75" w:rsidRDefault="00FD0DB9" w:rsidP="00FD0DB9">
      <w:pPr>
        <w:rPr>
          <w:rFonts w:ascii="標楷體" w:eastAsia="標楷體" w:hAnsi="標楷體"/>
          <w:kern w:val="2"/>
          <w:szCs w:val="28"/>
        </w:rPr>
      </w:pPr>
      <w:r w:rsidRPr="00507E75">
        <w:rPr>
          <w:rFonts w:ascii="標楷體" w:eastAsia="標楷體" w:hAnsi="標楷體"/>
          <w:kern w:val="2"/>
          <w:szCs w:val="28"/>
        </w:rPr>
        <w:t>9.</w:t>
      </w:r>
      <w:r w:rsidRPr="00507E75">
        <w:rPr>
          <w:rFonts w:ascii="標楷體" w:eastAsia="標楷體" w:hAnsi="標楷體" w:hint="eastAsia"/>
          <w:kern w:val="2"/>
          <w:szCs w:val="28"/>
        </w:rPr>
        <w:t>115</w:t>
      </w:r>
      <w:r w:rsidRPr="00507E75">
        <w:rPr>
          <w:rFonts w:ascii="標楷體" w:eastAsia="標楷體" w:hAnsi="標楷體"/>
          <w:kern w:val="2"/>
          <w:szCs w:val="28"/>
        </w:rPr>
        <w:t>.Trastuzumab deruxtecan (如Enhertu)：(</w:t>
      </w:r>
      <w:r w:rsidRPr="00507E75">
        <w:rPr>
          <w:rFonts w:ascii="標楷體" w:eastAsia="標楷體" w:hAnsi="標楷體" w:hint="eastAsia"/>
          <w:kern w:val="2"/>
          <w:szCs w:val="28"/>
        </w:rPr>
        <w:t>114</w:t>
      </w:r>
      <w:r w:rsidRPr="00507E75">
        <w:rPr>
          <w:rFonts w:ascii="標楷體" w:eastAsia="標楷體" w:hAnsi="標楷體"/>
          <w:kern w:val="2"/>
          <w:szCs w:val="28"/>
        </w:rPr>
        <w:t>/</w:t>
      </w:r>
      <w:r w:rsidRPr="00507E75">
        <w:rPr>
          <w:rFonts w:ascii="標楷體" w:eastAsia="標楷體" w:hAnsi="標楷體" w:hint="eastAsia"/>
          <w:kern w:val="2"/>
          <w:szCs w:val="28"/>
        </w:rPr>
        <w:t>2</w:t>
      </w:r>
      <w:r w:rsidRPr="00507E75">
        <w:rPr>
          <w:rFonts w:ascii="標楷體" w:eastAsia="標楷體" w:hAnsi="標楷體"/>
          <w:kern w:val="2"/>
          <w:szCs w:val="28"/>
        </w:rPr>
        <w:t>/1)</w:t>
      </w:r>
    </w:p>
    <w:p w14:paraId="50F603BA" w14:textId="77777777" w:rsidR="00FD0DB9" w:rsidRPr="00507E75" w:rsidRDefault="00FD0DB9" w:rsidP="00FD0DB9">
      <w:pPr>
        <w:tabs>
          <w:tab w:val="left" w:pos="1418"/>
        </w:tabs>
        <w:ind w:leftChars="236" w:left="811" w:hanging="245"/>
        <w:jc w:val="both"/>
        <w:rPr>
          <w:rFonts w:ascii="標楷體" w:eastAsia="標楷體" w:hAnsi="標楷體"/>
          <w:kern w:val="2"/>
          <w:szCs w:val="28"/>
        </w:rPr>
      </w:pPr>
      <w:r w:rsidRPr="00507E75">
        <w:rPr>
          <w:rFonts w:ascii="標楷體" w:eastAsia="標楷體" w:hAnsi="標楷體"/>
          <w:kern w:val="2"/>
          <w:szCs w:val="28"/>
        </w:rPr>
        <w:t>1.</w:t>
      </w:r>
      <w:r w:rsidRPr="00507E75">
        <w:rPr>
          <w:rFonts w:ascii="標楷體" w:eastAsia="標楷體" w:hAnsi="標楷體" w:hint="eastAsia"/>
          <w:kern w:val="2"/>
          <w:szCs w:val="28"/>
        </w:rPr>
        <w:t>單獨</w:t>
      </w:r>
      <w:r w:rsidRPr="00507E75">
        <w:rPr>
          <w:rFonts w:ascii="標楷體" w:eastAsia="標楷體" w:hAnsi="標楷體" w:hint="eastAsia"/>
          <w:color w:val="000000"/>
        </w:rPr>
        <w:t>使用</w:t>
      </w:r>
      <w:r w:rsidRPr="00507E75">
        <w:rPr>
          <w:rFonts w:ascii="標楷體" w:eastAsia="標楷體" w:hAnsi="標楷體" w:hint="eastAsia"/>
          <w:kern w:val="2"/>
          <w:szCs w:val="28"/>
        </w:rPr>
        <w:t>於具HER2過度表現(IHC3+或FISH+)之轉移性乳癌病人作為二線治療，並同時符合下列情形：</w:t>
      </w:r>
    </w:p>
    <w:p w14:paraId="08F9C6BF" w14:textId="77777777" w:rsidR="00FD0DB9" w:rsidRPr="00507E75" w:rsidRDefault="00FD0DB9" w:rsidP="00FD0DB9">
      <w:pPr>
        <w:tabs>
          <w:tab w:val="left" w:pos="1185"/>
        </w:tabs>
        <w:ind w:leftChars="336" w:left="1051" w:hanging="245"/>
        <w:jc w:val="both"/>
        <w:rPr>
          <w:rFonts w:ascii="標楷體" w:eastAsia="標楷體" w:hAnsi="標楷體"/>
          <w:color w:val="000000"/>
        </w:rPr>
      </w:pPr>
      <w:r w:rsidRPr="00507E75">
        <w:rPr>
          <w:rFonts w:ascii="標楷體" w:eastAsia="標楷體" w:hAnsi="標楷體" w:hint="eastAsia"/>
          <w:kern w:val="2"/>
          <w:szCs w:val="28"/>
        </w:rPr>
        <w:t>(1)</w:t>
      </w:r>
      <w:r w:rsidRPr="00507E75">
        <w:rPr>
          <w:rFonts w:ascii="標楷體" w:eastAsia="標楷體" w:hAnsi="標楷體"/>
          <w:kern w:val="2"/>
          <w:szCs w:val="28"/>
        </w:rPr>
        <w:t>之前</w:t>
      </w:r>
      <w:r w:rsidRPr="00507E75">
        <w:rPr>
          <w:rFonts w:ascii="標楷體" w:eastAsia="標楷體" w:hAnsi="標楷體"/>
          <w:color w:val="000000"/>
        </w:rPr>
        <w:t>分別接受過 trastuzumab 與一種taxane 藥物治療，或其合併療法，或pertuzumab 與trastuzumab 與一種taxane藥物治療。</w:t>
      </w:r>
    </w:p>
    <w:p w14:paraId="714A4E7F" w14:textId="77777777" w:rsidR="00FD0DB9" w:rsidRPr="00507E75" w:rsidRDefault="00FD0DB9" w:rsidP="00FD0DB9">
      <w:pPr>
        <w:tabs>
          <w:tab w:val="left" w:pos="1185"/>
        </w:tabs>
        <w:ind w:leftChars="336" w:left="1051" w:hanging="245"/>
        <w:jc w:val="both"/>
        <w:rPr>
          <w:rFonts w:ascii="標楷體" w:eastAsia="標楷體" w:hAnsi="標楷體"/>
          <w:color w:val="000000"/>
        </w:rPr>
      </w:pPr>
      <w:r w:rsidRPr="00507E75">
        <w:rPr>
          <w:rFonts w:ascii="標楷體" w:eastAsia="標楷體" w:hAnsi="標楷體" w:hint="eastAsia"/>
          <w:color w:val="000000"/>
        </w:rPr>
        <w:t>(2)</w:t>
      </w:r>
      <w:r w:rsidRPr="00507E75">
        <w:rPr>
          <w:rFonts w:ascii="標楷體" w:eastAsia="標楷體" w:hAnsi="標楷體"/>
          <w:color w:val="000000"/>
        </w:rPr>
        <w:t>之前已經接受過轉移性癌症治療，或在輔助療法治療期間或完成治療後6 個月內癌症復發。</w:t>
      </w:r>
    </w:p>
    <w:p w14:paraId="4AB2586B" w14:textId="77777777" w:rsidR="00FD0DB9" w:rsidRPr="00507E75" w:rsidRDefault="00FD0DB9" w:rsidP="00FD0DB9">
      <w:pPr>
        <w:tabs>
          <w:tab w:val="left" w:pos="1185"/>
        </w:tabs>
        <w:ind w:leftChars="336" w:left="1051" w:hanging="245"/>
        <w:jc w:val="both"/>
        <w:rPr>
          <w:rFonts w:ascii="標楷體" w:eastAsia="標楷體" w:hAnsi="標楷體"/>
          <w:color w:val="000000"/>
        </w:rPr>
      </w:pPr>
      <w:r w:rsidRPr="00507E75">
        <w:rPr>
          <w:rFonts w:ascii="標楷體" w:eastAsia="標楷體" w:hAnsi="標楷體" w:hint="eastAsia"/>
          <w:color w:val="000000"/>
        </w:rPr>
        <w:t>(3)</w:t>
      </w:r>
      <w:r w:rsidRPr="00507E75">
        <w:rPr>
          <w:rFonts w:ascii="標楷體" w:eastAsia="標楷體" w:hAnsi="標楷體"/>
          <w:color w:val="000000"/>
        </w:rPr>
        <w:t>合併有主要臟器(不包含骨及軟組織)轉移。</w:t>
      </w:r>
    </w:p>
    <w:p w14:paraId="36F6EB7F" w14:textId="77777777" w:rsidR="00FD0DB9" w:rsidRPr="00507E75" w:rsidRDefault="00FD0DB9" w:rsidP="00FD0DB9">
      <w:pPr>
        <w:tabs>
          <w:tab w:val="left" w:pos="1185"/>
        </w:tabs>
        <w:ind w:leftChars="336" w:left="1051" w:hanging="245"/>
        <w:jc w:val="both"/>
        <w:rPr>
          <w:rFonts w:ascii="標楷體" w:eastAsia="標楷體" w:hAnsi="標楷體"/>
          <w:color w:val="000000"/>
        </w:rPr>
      </w:pPr>
      <w:r w:rsidRPr="00507E75">
        <w:rPr>
          <w:rFonts w:ascii="標楷體" w:eastAsia="標楷體" w:hAnsi="標楷體" w:hint="eastAsia"/>
          <w:color w:val="000000"/>
        </w:rPr>
        <w:t>(4)須</w:t>
      </w:r>
      <w:r w:rsidRPr="00507E75">
        <w:rPr>
          <w:rFonts w:ascii="標楷體" w:eastAsia="標楷體" w:hAnsi="標楷體"/>
          <w:color w:val="000000"/>
        </w:rPr>
        <w:t>經事前審查核准後使用，核准後每12週須檢附療效評估資料再次申請，若疾病有惡化情形即不應再行申請，每位病人至多給付18個療程為上限。</w:t>
      </w:r>
    </w:p>
    <w:p w14:paraId="39B52CD2" w14:textId="77777777" w:rsidR="00FD0DB9" w:rsidRPr="00507E75" w:rsidRDefault="00FD0DB9" w:rsidP="00FD0DB9">
      <w:pPr>
        <w:tabs>
          <w:tab w:val="left" w:pos="1185"/>
        </w:tabs>
        <w:ind w:leftChars="336" w:left="1051" w:hanging="245"/>
        <w:jc w:val="both"/>
        <w:rPr>
          <w:rFonts w:ascii="標楷體" w:eastAsia="標楷體" w:hAnsi="標楷體"/>
          <w:color w:val="000000"/>
        </w:rPr>
      </w:pPr>
      <w:r w:rsidRPr="00507E75">
        <w:rPr>
          <w:rFonts w:ascii="標楷體" w:eastAsia="標楷體" w:hAnsi="標楷體" w:hint="eastAsia"/>
          <w:color w:val="000000"/>
        </w:rPr>
        <w:t>(5)</w:t>
      </w:r>
      <w:r w:rsidRPr="00507E75">
        <w:rPr>
          <w:rFonts w:ascii="標楷體" w:eastAsia="標楷體" w:hAnsi="標楷體"/>
          <w:color w:val="000000"/>
        </w:rPr>
        <w:t>Trastuzumab deruxtecan、trastuzumab emtansine 和lapatinib 僅能擇一</w:t>
      </w:r>
      <w:r w:rsidRPr="00507E75">
        <w:rPr>
          <w:rFonts w:ascii="標楷體" w:eastAsia="標楷體" w:hAnsi="標楷體" w:hint="eastAsia"/>
          <w:color w:val="000000"/>
        </w:rPr>
        <w:t>給付</w:t>
      </w:r>
      <w:r w:rsidRPr="00507E75">
        <w:rPr>
          <w:rFonts w:ascii="標楷體" w:eastAsia="標楷體" w:hAnsi="標楷體"/>
          <w:color w:val="000000"/>
        </w:rPr>
        <w:t>，不得互換。</w:t>
      </w:r>
    </w:p>
    <w:p w14:paraId="76854B47" w14:textId="77777777" w:rsidR="00FD0DB9" w:rsidRPr="00507E75" w:rsidRDefault="00FD0DB9" w:rsidP="00FD0DB9">
      <w:pPr>
        <w:tabs>
          <w:tab w:val="left" w:pos="1418"/>
        </w:tabs>
        <w:ind w:leftChars="236" w:left="811" w:hanging="245"/>
        <w:jc w:val="both"/>
        <w:rPr>
          <w:rFonts w:ascii="標楷體" w:eastAsia="標楷體" w:hAnsi="標楷體"/>
          <w:kern w:val="2"/>
          <w:szCs w:val="28"/>
        </w:rPr>
      </w:pPr>
      <w:r w:rsidRPr="00507E75">
        <w:rPr>
          <w:rFonts w:ascii="標楷體" w:eastAsia="標楷體" w:hAnsi="標楷體" w:hint="eastAsia"/>
          <w:kern w:val="2"/>
          <w:szCs w:val="28"/>
        </w:rPr>
        <w:t>2.</w:t>
      </w:r>
      <w:r w:rsidRPr="00507E75">
        <w:rPr>
          <w:rFonts w:ascii="標楷體" w:eastAsia="標楷體" w:hAnsi="標楷體"/>
          <w:kern w:val="2"/>
          <w:szCs w:val="28"/>
        </w:rPr>
        <w:t>單獨使用於ER、PR皆陰性且具 HER2弱陽性(IHC 1+或IHC 2+/ISH-)表現之無法切除的局部晚期或轉移性乳癌</w:t>
      </w:r>
      <w:r w:rsidRPr="00507E75">
        <w:rPr>
          <w:rFonts w:ascii="標楷體" w:eastAsia="標楷體" w:hAnsi="標楷體" w:hint="eastAsia"/>
          <w:kern w:val="2"/>
          <w:szCs w:val="28"/>
        </w:rPr>
        <w:t>病人</w:t>
      </w:r>
      <w:r w:rsidRPr="00507E75">
        <w:rPr>
          <w:rFonts w:ascii="標楷體" w:eastAsia="標楷體" w:hAnsi="標楷體"/>
          <w:kern w:val="2"/>
          <w:szCs w:val="28"/>
        </w:rPr>
        <w:t>，且符合下列各項條件：</w:t>
      </w:r>
    </w:p>
    <w:p w14:paraId="72A5DE92" w14:textId="77777777" w:rsidR="00FD0DB9" w:rsidRPr="00507E75" w:rsidRDefault="00FD0DB9" w:rsidP="00FD0DB9">
      <w:pPr>
        <w:tabs>
          <w:tab w:val="left" w:pos="1185"/>
        </w:tabs>
        <w:ind w:leftChars="336" w:left="1051" w:hanging="245"/>
        <w:jc w:val="both"/>
        <w:rPr>
          <w:rFonts w:ascii="標楷體" w:eastAsia="標楷體" w:hAnsi="標楷體"/>
          <w:kern w:val="2"/>
          <w:szCs w:val="28"/>
        </w:rPr>
      </w:pPr>
      <w:r w:rsidRPr="00507E75">
        <w:rPr>
          <w:rFonts w:ascii="標楷體" w:eastAsia="標楷體" w:hAnsi="標楷體" w:hint="eastAsia"/>
          <w:kern w:val="2"/>
          <w:szCs w:val="28"/>
        </w:rPr>
        <w:t>(1)</w:t>
      </w:r>
      <w:r w:rsidRPr="00507E75">
        <w:rPr>
          <w:rFonts w:ascii="標楷體" w:eastAsia="標楷體" w:hAnsi="標楷體"/>
          <w:kern w:val="2"/>
          <w:szCs w:val="28"/>
        </w:rPr>
        <w:t>病人身體狀況良好（ECOG</w:t>
      </w:r>
      <w:r w:rsidRPr="00507E75">
        <w:rPr>
          <w:rFonts w:ascii="標楷體" w:eastAsia="標楷體" w:hAnsi="標楷體" w:hint="eastAsia"/>
          <w:kern w:val="2"/>
          <w:szCs w:val="28"/>
        </w:rPr>
        <w:t>≦</w:t>
      </w:r>
      <w:r w:rsidRPr="00507E75">
        <w:rPr>
          <w:rFonts w:ascii="標楷體" w:eastAsia="標楷體" w:hAnsi="標楷體"/>
          <w:kern w:val="2"/>
          <w:szCs w:val="28"/>
        </w:rPr>
        <w:t>1）。</w:t>
      </w:r>
    </w:p>
    <w:p w14:paraId="605889F0" w14:textId="77777777" w:rsidR="00FD0DB9" w:rsidRPr="00507E75" w:rsidRDefault="00FD0DB9" w:rsidP="00FD0DB9">
      <w:pPr>
        <w:tabs>
          <w:tab w:val="left" w:pos="1185"/>
        </w:tabs>
        <w:ind w:leftChars="336" w:left="1051" w:hanging="245"/>
        <w:jc w:val="both"/>
        <w:rPr>
          <w:rFonts w:ascii="標楷體" w:eastAsia="標楷體" w:hAnsi="標楷體"/>
          <w:kern w:val="2"/>
          <w:szCs w:val="28"/>
        </w:rPr>
      </w:pPr>
      <w:r w:rsidRPr="00507E75">
        <w:rPr>
          <w:rFonts w:ascii="標楷體" w:eastAsia="標楷體" w:hAnsi="標楷體" w:hint="eastAsia"/>
          <w:kern w:val="2"/>
          <w:szCs w:val="28"/>
        </w:rPr>
        <w:t>(2)</w:t>
      </w:r>
      <w:r w:rsidRPr="00507E75">
        <w:rPr>
          <w:rFonts w:ascii="標楷體" w:eastAsia="標楷體" w:hAnsi="標楷體"/>
          <w:kern w:val="2"/>
          <w:szCs w:val="28"/>
        </w:rPr>
        <w:t>須</w:t>
      </w:r>
      <w:r w:rsidRPr="00507E75">
        <w:rPr>
          <w:rFonts w:ascii="標楷體" w:eastAsia="標楷體" w:hAnsi="標楷體" w:hint="eastAsia"/>
          <w:kern w:val="2"/>
          <w:szCs w:val="28"/>
        </w:rPr>
        <w:t>接受</w:t>
      </w:r>
      <w:r w:rsidRPr="00507E75">
        <w:rPr>
          <w:rFonts w:ascii="標楷體" w:eastAsia="標楷體" w:hAnsi="標楷體"/>
          <w:kern w:val="2"/>
          <w:szCs w:val="28"/>
        </w:rPr>
        <w:t>過至少</w:t>
      </w:r>
      <w:r w:rsidRPr="00507E75">
        <w:rPr>
          <w:rFonts w:ascii="標楷體" w:eastAsia="標楷體" w:hAnsi="標楷體" w:hint="eastAsia"/>
          <w:kern w:val="2"/>
          <w:szCs w:val="28"/>
        </w:rPr>
        <w:t>一種化學療法治</w:t>
      </w:r>
      <w:r w:rsidRPr="00507E75">
        <w:rPr>
          <w:rFonts w:ascii="標楷體" w:eastAsia="標楷體" w:hAnsi="標楷體"/>
          <w:kern w:val="2"/>
          <w:szCs w:val="28"/>
        </w:rPr>
        <w:t>療。</w:t>
      </w:r>
    </w:p>
    <w:p w14:paraId="3FB0A29D" w14:textId="77777777" w:rsidR="00FD0DB9" w:rsidRPr="00507E75" w:rsidRDefault="00FD0DB9" w:rsidP="00FD0DB9">
      <w:pPr>
        <w:tabs>
          <w:tab w:val="left" w:pos="1185"/>
        </w:tabs>
        <w:ind w:leftChars="336" w:left="1051" w:hanging="245"/>
        <w:jc w:val="both"/>
        <w:rPr>
          <w:rFonts w:ascii="標楷體" w:eastAsia="標楷體" w:hAnsi="標楷體"/>
          <w:kern w:val="2"/>
          <w:szCs w:val="28"/>
        </w:rPr>
      </w:pPr>
      <w:r w:rsidRPr="00507E75">
        <w:rPr>
          <w:rFonts w:ascii="標楷體" w:eastAsia="標楷體" w:hAnsi="標楷體" w:hint="eastAsia"/>
          <w:kern w:val="2"/>
          <w:szCs w:val="28"/>
        </w:rPr>
        <w:t>(3)</w:t>
      </w:r>
      <w:r w:rsidRPr="00507E75">
        <w:rPr>
          <w:rFonts w:ascii="標楷體" w:eastAsia="標楷體" w:hAnsi="標楷體"/>
          <w:kern w:val="2"/>
          <w:szCs w:val="28"/>
        </w:rPr>
        <w:t>須經事前審查核准後使用，每次申請之療程以</w:t>
      </w:r>
      <w:r w:rsidRPr="00507E75">
        <w:rPr>
          <w:rFonts w:ascii="標楷體" w:eastAsia="標楷體" w:hAnsi="標楷體" w:hint="eastAsia"/>
          <w:kern w:val="2"/>
          <w:szCs w:val="28"/>
        </w:rPr>
        <w:t>12週</w:t>
      </w:r>
      <w:r w:rsidRPr="00507E75">
        <w:rPr>
          <w:rFonts w:ascii="標楷體" w:eastAsia="標楷體" w:hAnsi="標楷體"/>
          <w:kern w:val="2"/>
          <w:szCs w:val="28"/>
        </w:rPr>
        <w:t>為限，初次申請時需檢附ER、PR皆為陰性且HER2弱陽性(IHC1+或IHC2+/ISH-)之檢測報告。</w:t>
      </w:r>
    </w:p>
    <w:p w14:paraId="765B467C" w14:textId="77777777" w:rsidR="00FD0DB9" w:rsidRPr="00507E75" w:rsidRDefault="00FD0DB9" w:rsidP="00FD0DB9">
      <w:pPr>
        <w:tabs>
          <w:tab w:val="left" w:pos="1185"/>
        </w:tabs>
        <w:ind w:leftChars="336" w:left="1051" w:hanging="245"/>
        <w:jc w:val="both"/>
        <w:rPr>
          <w:rFonts w:ascii="標楷體" w:eastAsia="標楷體" w:hAnsi="標楷體"/>
          <w:kern w:val="2"/>
          <w:szCs w:val="28"/>
        </w:rPr>
      </w:pPr>
      <w:r w:rsidRPr="00507E75">
        <w:rPr>
          <w:rFonts w:ascii="標楷體" w:eastAsia="標楷體" w:hAnsi="標楷體" w:hint="eastAsia"/>
          <w:kern w:val="2"/>
          <w:szCs w:val="28"/>
        </w:rPr>
        <w:t>(4)</w:t>
      </w:r>
      <w:r w:rsidRPr="00507E75">
        <w:rPr>
          <w:rFonts w:ascii="標楷體" w:eastAsia="標楷體" w:hAnsi="標楷體"/>
          <w:kern w:val="2"/>
          <w:szCs w:val="28"/>
        </w:rPr>
        <w:t>再次申請必須提出客觀證據（如：影像學）證實無惡化，才可繼續使用。</w:t>
      </w:r>
    </w:p>
    <w:p w14:paraId="26AC0101" w14:textId="77777777" w:rsidR="00FD0DB9" w:rsidRPr="00507E75" w:rsidRDefault="00FD0DB9" w:rsidP="00FD0DB9">
      <w:pPr>
        <w:tabs>
          <w:tab w:val="left" w:pos="1185"/>
        </w:tabs>
        <w:ind w:leftChars="336" w:left="1051" w:hanging="245"/>
        <w:jc w:val="both"/>
        <w:rPr>
          <w:rFonts w:ascii="標楷體" w:eastAsia="標楷體" w:hAnsi="標楷體"/>
          <w:kern w:val="2"/>
          <w:szCs w:val="28"/>
        </w:rPr>
      </w:pPr>
      <w:r w:rsidRPr="00507E75">
        <w:rPr>
          <w:rFonts w:ascii="標楷體" w:eastAsia="標楷體" w:hAnsi="標楷體" w:hint="eastAsia"/>
          <w:kern w:val="2"/>
          <w:szCs w:val="28"/>
        </w:rPr>
        <w:t>(5)</w:t>
      </w:r>
      <w:r w:rsidRPr="00507E75">
        <w:rPr>
          <w:rFonts w:ascii="標楷體" w:eastAsia="標楷體" w:hAnsi="標楷體"/>
          <w:kern w:val="2"/>
          <w:szCs w:val="28"/>
        </w:rPr>
        <w:t>Trastuzumab deruxtecan和sacituzumab govitecan僅能擇一</w:t>
      </w:r>
      <w:r w:rsidRPr="00507E75">
        <w:rPr>
          <w:rFonts w:ascii="標楷體" w:eastAsia="標楷體" w:hAnsi="標楷體" w:hint="eastAsia"/>
          <w:kern w:val="2"/>
          <w:szCs w:val="28"/>
        </w:rPr>
        <w:t>給付</w:t>
      </w:r>
      <w:r w:rsidRPr="00507E75">
        <w:rPr>
          <w:rFonts w:ascii="標楷體" w:eastAsia="標楷體" w:hAnsi="標楷體"/>
          <w:kern w:val="2"/>
          <w:szCs w:val="28"/>
        </w:rPr>
        <w:t>，不得互換。</w:t>
      </w:r>
    </w:p>
    <w:p w14:paraId="09D7D328" w14:textId="7EFDCFDF" w:rsidR="00FD0DB9" w:rsidRDefault="00FD0DB9" w:rsidP="00FD0DB9">
      <w:pPr>
        <w:tabs>
          <w:tab w:val="left" w:pos="1418"/>
        </w:tabs>
        <w:ind w:leftChars="236" w:left="811" w:hanging="245"/>
        <w:jc w:val="both"/>
        <w:rPr>
          <w:rFonts w:ascii="標楷體" w:eastAsia="標楷體" w:hAnsi="標楷體"/>
          <w:kern w:val="2"/>
          <w:szCs w:val="28"/>
        </w:rPr>
      </w:pPr>
      <w:r w:rsidRPr="00507E75">
        <w:rPr>
          <w:rFonts w:ascii="標楷體" w:eastAsia="標楷體" w:hAnsi="標楷體" w:hint="eastAsia"/>
          <w:kern w:val="2"/>
          <w:szCs w:val="28"/>
        </w:rPr>
        <w:t>3</w:t>
      </w:r>
      <w:r w:rsidRPr="00507E75">
        <w:rPr>
          <w:rFonts w:ascii="標楷體" w:eastAsia="標楷體" w:hAnsi="標楷體"/>
          <w:kern w:val="2"/>
          <w:szCs w:val="28"/>
        </w:rPr>
        <w:t>.</w:t>
      </w:r>
      <w:r w:rsidRPr="00507E75">
        <w:rPr>
          <w:rFonts w:ascii="標楷體" w:eastAsia="標楷體" w:hAnsi="標楷體" w:hint="eastAsia"/>
          <w:kern w:val="2"/>
          <w:szCs w:val="28"/>
        </w:rPr>
        <w:t>申報醫療費用時「總量」應依實際使用量申報，取至小數點第一位，第二位四捨五入。</w:t>
      </w:r>
    </w:p>
    <w:p w14:paraId="649890A0" w14:textId="77777777" w:rsidR="001F37AD" w:rsidRPr="00860BF9" w:rsidRDefault="001F37AD" w:rsidP="001F37AD">
      <w:pPr>
        <w:rPr>
          <w:rFonts w:ascii="標楷體" w:eastAsia="標楷體" w:hAnsi="標楷體"/>
          <w:szCs w:val="28"/>
        </w:rPr>
      </w:pPr>
      <w:r w:rsidRPr="00860BF9">
        <w:rPr>
          <w:rFonts w:ascii="標楷體" w:eastAsia="標楷體" w:hAnsi="標楷體"/>
          <w:szCs w:val="28"/>
        </w:rPr>
        <w:t>9.</w:t>
      </w:r>
      <w:r w:rsidRPr="00860BF9">
        <w:rPr>
          <w:rFonts w:ascii="標楷體" w:eastAsia="標楷體" w:hAnsi="標楷體"/>
          <w:kern w:val="2"/>
          <w:szCs w:val="28"/>
        </w:rPr>
        <w:t>116</w:t>
      </w:r>
      <w:r w:rsidRPr="00860BF9">
        <w:rPr>
          <w:rFonts w:ascii="標楷體" w:eastAsia="標楷體" w:hAnsi="標楷體"/>
          <w:szCs w:val="28"/>
        </w:rPr>
        <w:t>.Selumetinib (如Koselugo)：(114/2/1)</w:t>
      </w:r>
    </w:p>
    <w:p w14:paraId="4BF137AB" w14:textId="77777777" w:rsidR="001F37AD" w:rsidRPr="00860BF9" w:rsidRDefault="001F37AD" w:rsidP="001F37AD">
      <w:pPr>
        <w:tabs>
          <w:tab w:val="left" w:pos="1418"/>
        </w:tabs>
        <w:ind w:leftChars="236" w:left="811" w:hanging="245"/>
        <w:jc w:val="both"/>
        <w:rPr>
          <w:rFonts w:ascii="標楷體" w:eastAsia="標楷體" w:hAnsi="標楷體"/>
          <w:szCs w:val="24"/>
        </w:rPr>
      </w:pPr>
      <w:r w:rsidRPr="00860BF9">
        <w:rPr>
          <w:rFonts w:ascii="標楷體" w:eastAsia="標楷體" w:hAnsi="標楷體"/>
          <w:szCs w:val="24"/>
        </w:rPr>
        <w:t>1.</w:t>
      </w:r>
      <w:r w:rsidRPr="00860BF9">
        <w:rPr>
          <w:rFonts w:ascii="標楷體" w:eastAsia="標楷體" w:hAnsi="標楷體"/>
          <w:kern w:val="2"/>
          <w:szCs w:val="28"/>
        </w:rPr>
        <w:t>治療</w:t>
      </w:r>
      <w:r w:rsidRPr="00860BF9">
        <w:rPr>
          <w:rFonts w:ascii="標楷體" w:eastAsia="標楷體" w:hAnsi="標楷體"/>
          <w:szCs w:val="24"/>
        </w:rPr>
        <w:t>3歲以上至未滿18歲第1型神經纖維瘤(neurofibromatosis type1，NF1) 合</w:t>
      </w:r>
      <w:r w:rsidRPr="00860BF9">
        <w:rPr>
          <w:rFonts w:ascii="標楷體" w:eastAsia="標楷體" w:hAnsi="標楷體"/>
          <w:szCs w:val="24"/>
        </w:rPr>
        <w:lastRenderedPageBreak/>
        <w:t>併有叢狀神經纖維瘤（plexiform neurofibroma，PN）之兒童病人，且同時符合下列情形：</w:t>
      </w:r>
    </w:p>
    <w:p w14:paraId="7FF18A63" w14:textId="77777777" w:rsidR="001F37AD" w:rsidRPr="00860BF9" w:rsidRDefault="001F37AD" w:rsidP="001F37AD">
      <w:pPr>
        <w:tabs>
          <w:tab w:val="left" w:pos="1185"/>
        </w:tabs>
        <w:ind w:leftChars="336" w:left="1051" w:hanging="245"/>
        <w:jc w:val="both"/>
        <w:rPr>
          <w:rFonts w:ascii="標楷體" w:eastAsia="標楷體" w:hAnsi="標楷體"/>
          <w:kern w:val="2"/>
          <w:szCs w:val="28"/>
        </w:rPr>
      </w:pPr>
      <w:r w:rsidRPr="00860BF9">
        <w:rPr>
          <w:rFonts w:ascii="標楷體" w:eastAsia="標楷體" w:hAnsi="標楷體"/>
          <w:szCs w:val="24"/>
        </w:rPr>
        <w:t>(1)無法以</w:t>
      </w:r>
      <w:r w:rsidRPr="00860BF9">
        <w:rPr>
          <w:rFonts w:ascii="標楷體" w:eastAsia="標楷體" w:hAnsi="標楷體"/>
          <w:kern w:val="2"/>
          <w:szCs w:val="28"/>
        </w:rPr>
        <w:t>手術切除。</w:t>
      </w:r>
    </w:p>
    <w:p w14:paraId="7056EE0D" w14:textId="77777777" w:rsidR="001F37AD" w:rsidRPr="00860BF9" w:rsidRDefault="001F37AD" w:rsidP="001F37AD">
      <w:pPr>
        <w:tabs>
          <w:tab w:val="left" w:pos="1185"/>
        </w:tabs>
        <w:ind w:leftChars="336" w:left="1051" w:hanging="245"/>
        <w:jc w:val="both"/>
        <w:rPr>
          <w:rFonts w:ascii="標楷體" w:eastAsia="標楷體" w:hAnsi="標楷體"/>
          <w:szCs w:val="24"/>
        </w:rPr>
      </w:pPr>
      <w:r w:rsidRPr="00860BF9">
        <w:rPr>
          <w:rFonts w:ascii="標楷體" w:eastAsia="標楷體" w:hAnsi="標楷體"/>
          <w:kern w:val="2"/>
          <w:szCs w:val="28"/>
        </w:rPr>
        <w:t>(2)具有症狀</w:t>
      </w:r>
      <w:r w:rsidRPr="00860BF9">
        <w:rPr>
          <w:rFonts w:ascii="標楷體" w:eastAsia="標楷體" w:hAnsi="標楷體"/>
          <w:szCs w:val="24"/>
        </w:rPr>
        <w:t>且嚴重的PN。</w:t>
      </w:r>
    </w:p>
    <w:p w14:paraId="51F74CC0" w14:textId="77777777" w:rsidR="001F37AD" w:rsidRPr="00860BF9" w:rsidRDefault="001F37AD" w:rsidP="001F37AD">
      <w:pPr>
        <w:tabs>
          <w:tab w:val="left" w:pos="1418"/>
        </w:tabs>
        <w:ind w:leftChars="236" w:left="811" w:hanging="245"/>
        <w:jc w:val="both"/>
        <w:rPr>
          <w:rFonts w:ascii="標楷體" w:eastAsia="標楷體" w:hAnsi="標楷體"/>
          <w:szCs w:val="24"/>
        </w:rPr>
      </w:pPr>
      <w:r w:rsidRPr="00860BF9">
        <w:rPr>
          <w:rFonts w:ascii="標楷體" w:eastAsia="標楷體" w:hAnsi="標楷體"/>
          <w:szCs w:val="24"/>
        </w:rPr>
        <w:t>2.無法以手術切除的定義為：</w:t>
      </w:r>
    </w:p>
    <w:p w14:paraId="17484E79" w14:textId="77777777" w:rsidR="001F37AD" w:rsidRPr="00860BF9" w:rsidRDefault="001F37AD" w:rsidP="001F37AD">
      <w:pPr>
        <w:tabs>
          <w:tab w:val="left" w:pos="1185"/>
        </w:tabs>
        <w:ind w:leftChars="336" w:left="1051" w:hanging="245"/>
        <w:jc w:val="both"/>
        <w:rPr>
          <w:rFonts w:ascii="標楷體" w:eastAsia="標楷體" w:hAnsi="標楷體"/>
          <w:szCs w:val="24"/>
        </w:rPr>
      </w:pPr>
      <w:r w:rsidRPr="00860BF9">
        <w:rPr>
          <w:rFonts w:ascii="標楷體" w:eastAsia="標楷體" w:hAnsi="標楷體"/>
          <w:szCs w:val="24"/>
        </w:rPr>
        <w:t>(1)經專科醫師</w:t>
      </w:r>
      <w:r w:rsidRPr="00860BF9">
        <w:rPr>
          <w:rFonts w:ascii="標楷體" w:eastAsia="標楷體" w:hAnsi="標楷體"/>
          <w:kern w:val="2"/>
          <w:szCs w:val="28"/>
        </w:rPr>
        <w:t>評估</w:t>
      </w:r>
      <w:r w:rsidRPr="00860BF9">
        <w:rPr>
          <w:rFonts w:ascii="標楷體" w:eastAsia="標楷體" w:hAnsi="標楷體"/>
          <w:szCs w:val="24"/>
        </w:rPr>
        <w:t>無法以外科手術治療或手術切除者，須包含下列情形其中之一：</w:t>
      </w:r>
    </w:p>
    <w:p w14:paraId="4BF740F0" w14:textId="77777777" w:rsidR="001F37AD" w:rsidRPr="00860BF9" w:rsidRDefault="001F37AD" w:rsidP="001F37AD">
      <w:pPr>
        <w:tabs>
          <w:tab w:val="left" w:pos="1418"/>
        </w:tabs>
        <w:ind w:leftChars="436" w:left="1291" w:hanging="245"/>
        <w:jc w:val="both"/>
        <w:rPr>
          <w:rFonts w:ascii="標楷體" w:eastAsia="標楷體" w:hAnsi="標楷體"/>
          <w:color w:val="000000"/>
        </w:rPr>
      </w:pPr>
      <w:r w:rsidRPr="00860BF9">
        <w:rPr>
          <w:rFonts w:ascii="標楷體" w:eastAsia="標楷體" w:hAnsi="標楷體"/>
          <w:szCs w:val="24"/>
        </w:rPr>
        <w:t>I.PN包</w:t>
      </w:r>
      <w:r w:rsidRPr="00860BF9">
        <w:rPr>
          <w:rFonts w:ascii="標楷體" w:eastAsia="標楷體" w:hAnsi="標楷體"/>
          <w:color w:val="000000"/>
        </w:rPr>
        <w:t>裹住或靠近重要器官。</w:t>
      </w:r>
    </w:p>
    <w:p w14:paraId="67830DE1" w14:textId="77777777" w:rsidR="001F37AD" w:rsidRPr="00860BF9" w:rsidRDefault="001F37AD" w:rsidP="001F37AD">
      <w:pPr>
        <w:tabs>
          <w:tab w:val="left" w:pos="1418"/>
        </w:tabs>
        <w:ind w:leftChars="436" w:left="1291" w:hanging="245"/>
        <w:jc w:val="both"/>
        <w:rPr>
          <w:rFonts w:ascii="標楷體" w:eastAsia="標楷體" w:hAnsi="標楷體"/>
          <w:szCs w:val="24"/>
        </w:rPr>
      </w:pPr>
      <w:r w:rsidRPr="00860BF9">
        <w:rPr>
          <w:rFonts w:ascii="標楷體" w:eastAsia="標楷體" w:hAnsi="標楷體"/>
          <w:color w:val="000000"/>
        </w:rPr>
        <w:t>II.PN具</w:t>
      </w:r>
      <w:r w:rsidRPr="00860BF9">
        <w:rPr>
          <w:rFonts w:ascii="標楷體" w:eastAsia="標楷體" w:hAnsi="標楷體"/>
          <w:szCs w:val="24"/>
        </w:rPr>
        <w:t>侵襲性，或具高度血管分布，易導致術後大量出血、神經損傷或其他嚴重併發症者。</w:t>
      </w:r>
    </w:p>
    <w:p w14:paraId="29B850A6" w14:textId="77777777" w:rsidR="001F37AD" w:rsidRPr="00860BF9" w:rsidRDefault="001F37AD" w:rsidP="001F37AD">
      <w:pPr>
        <w:tabs>
          <w:tab w:val="left" w:pos="1185"/>
        </w:tabs>
        <w:ind w:leftChars="336" w:left="1051" w:hanging="245"/>
        <w:jc w:val="both"/>
        <w:rPr>
          <w:rFonts w:ascii="標楷體" w:eastAsia="標楷體" w:hAnsi="標楷體"/>
          <w:kern w:val="2"/>
          <w:szCs w:val="28"/>
        </w:rPr>
      </w:pPr>
      <w:r w:rsidRPr="00860BF9">
        <w:rPr>
          <w:rFonts w:ascii="標楷體" w:eastAsia="標楷體" w:hAnsi="標楷體"/>
          <w:szCs w:val="24"/>
        </w:rPr>
        <w:t>(2)需</w:t>
      </w:r>
      <w:r w:rsidRPr="00860BF9">
        <w:rPr>
          <w:rFonts w:ascii="標楷體" w:eastAsia="標楷體" w:hAnsi="標楷體"/>
          <w:kern w:val="2"/>
          <w:szCs w:val="28"/>
        </w:rPr>
        <w:t>檢附經專科醫師評估後具名之手術風險評估報告。</w:t>
      </w:r>
    </w:p>
    <w:p w14:paraId="1EFAB6F7" w14:textId="77777777" w:rsidR="001F37AD" w:rsidRPr="00860BF9" w:rsidRDefault="001F37AD" w:rsidP="001F37AD">
      <w:pPr>
        <w:tabs>
          <w:tab w:val="left" w:pos="1185"/>
        </w:tabs>
        <w:ind w:leftChars="336" w:left="1051" w:hanging="245"/>
        <w:jc w:val="both"/>
        <w:rPr>
          <w:rFonts w:ascii="標楷體" w:eastAsia="標楷體" w:hAnsi="標楷體"/>
          <w:szCs w:val="24"/>
        </w:rPr>
      </w:pPr>
      <w:r w:rsidRPr="00860BF9">
        <w:rPr>
          <w:rFonts w:ascii="標楷體" w:eastAsia="標楷體" w:hAnsi="標楷體"/>
          <w:kern w:val="2"/>
          <w:szCs w:val="28"/>
        </w:rPr>
        <w:t>(3)上</w:t>
      </w:r>
      <w:r w:rsidRPr="00860BF9">
        <w:rPr>
          <w:rFonts w:ascii="標楷體" w:eastAsia="標楷體" w:hAnsi="標楷體"/>
          <w:szCs w:val="24"/>
        </w:rPr>
        <w:t>述專科醫師包括：神經內科、神經外科、血液腫瘤科、整形外科、耳鼻喉科、一般外科、泌尿科、眼科、皮膚科、小兒神經科、小兒遺傳科或小兒血液腫瘤科。</w:t>
      </w:r>
    </w:p>
    <w:p w14:paraId="1349E039" w14:textId="77777777" w:rsidR="001F37AD" w:rsidRPr="00860BF9" w:rsidRDefault="001F37AD" w:rsidP="001F37AD">
      <w:pPr>
        <w:tabs>
          <w:tab w:val="left" w:pos="1418"/>
        </w:tabs>
        <w:ind w:leftChars="236" w:left="811" w:hanging="245"/>
        <w:jc w:val="both"/>
        <w:rPr>
          <w:rFonts w:ascii="標楷體" w:eastAsia="標楷體" w:hAnsi="標楷體"/>
          <w:szCs w:val="24"/>
        </w:rPr>
      </w:pPr>
      <w:r w:rsidRPr="00860BF9">
        <w:rPr>
          <w:rFonts w:ascii="標楷體" w:eastAsia="標楷體" w:hAnsi="標楷體"/>
          <w:szCs w:val="24"/>
        </w:rPr>
        <w:t>3.具有症狀且嚴重的PN定義為因PN引起的嚴重症狀，且符合下列情況之一者：</w:t>
      </w:r>
    </w:p>
    <w:p w14:paraId="142BB0EB" w14:textId="77777777" w:rsidR="001F37AD" w:rsidRPr="00860BF9" w:rsidRDefault="001F37AD" w:rsidP="001F37AD">
      <w:pPr>
        <w:tabs>
          <w:tab w:val="left" w:pos="1185"/>
        </w:tabs>
        <w:ind w:leftChars="336" w:left="1051" w:hanging="245"/>
        <w:jc w:val="both"/>
        <w:rPr>
          <w:rFonts w:ascii="標楷體" w:eastAsia="標楷體" w:hAnsi="標楷體"/>
          <w:sz w:val="22"/>
          <w:szCs w:val="24"/>
        </w:rPr>
      </w:pPr>
      <w:r w:rsidRPr="00860BF9">
        <w:rPr>
          <w:rFonts w:ascii="標楷體" w:eastAsia="標楷體" w:hAnsi="標楷體"/>
          <w:szCs w:val="24"/>
        </w:rPr>
        <w:t>(1) 因</w:t>
      </w:r>
      <w:r w:rsidRPr="00860BF9">
        <w:rPr>
          <w:rFonts w:ascii="標楷體" w:eastAsia="標楷體" w:hAnsi="標楷體"/>
          <w:kern w:val="2"/>
          <w:szCs w:val="28"/>
        </w:rPr>
        <w:t>腫瘤</w:t>
      </w:r>
      <w:r w:rsidRPr="00860BF9">
        <w:rPr>
          <w:rFonts w:ascii="標楷體" w:eastAsia="標楷體" w:hAnsi="標楷體"/>
          <w:szCs w:val="24"/>
        </w:rPr>
        <w:t>壓迫導致之中度至嚴重的疼痛，需檢附疼痛評估報告(pain scale score需</w:t>
      </w:r>
      <w:r w:rsidRPr="00860BF9">
        <w:rPr>
          <w:rFonts w:ascii="標楷體" w:eastAsia="標楷體" w:hAnsi="標楷體" w:cs="新細明體" w:hint="eastAsia"/>
          <w:szCs w:val="24"/>
        </w:rPr>
        <w:t>≧</w:t>
      </w:r>
      <w:r w:rsidRPr="00860BF9">
        <w:rPr>
          <w:rFonts w:ascii="標楷體" w:eastAsia="標楷體" w:hAnsi="標楷體"/>
          <w:szCs w:val="24"/>
        </w:rPr>
        <w:t>7)。</w:t>
      </w:r>
    </w:p>
    <w:p w14:paraId="6B2EE26A" w14:textId="77777777" w:rsidR="001F37AD" w:rsidRPr="00860BF9" w:rsidRDefault="001F37AD" w:rsidP="001F37AD">
      <w:pPr>
        <w:tabs>
          <w:tab w:val="left" w:pos="1185"/>
        </w:tabs>
        <w:ind w:leftChars="336" w:left="1051" w:hanging="245"/>
        <w:jc w:val="both"/>
        <w:rPr>
          <w:rFonts w:ascii="標楷體" w:eastAsia="標楷體" w:hAnsi="標楷體"/>
          <w:szCs w:val="24"/>
        </w:rPr>
      </w:pPr>
      <w:r w:rsidRPr="00860BF9">
        <w:rPr>
          <w:rFonts w:ascii="標楷體" w:eastAsia="標楷體" w:hAnsi="標楷體"/>
          <w:szCs w:val="24"/>
        </w:rPr>
        <w:t>(2)PN</w:t>
      </w:r>
      <w:r w:rsidRPr="00860BF9">
        <w:rPr>
          <w:rFonts w:ascii="標楷體" w:eastAsia="標楷體" w:hAnsi="標楷體"/>
          <w:kern w:val="2"/>
          <w:szCs w:val="28"/>
        </w:rPr>
        <w:t>壓迫</w:t>
      </w:r>
      <w:r w:rsidRPr="00860BF9">
        <w:rPr>
          <w:rFonts w:ascii="標楷體" w:eastAsia="標楷體" w:hAnsi="標楷體"/>
          <w:szCs w:val="24"/>
        </w:rPr>
        <w:t>臟器、呼吸道、大血管或顱、脊椎、臂叢、腰叢區域神經等部位，以致影響器官功能或功能受損（如視力受損、聽力受損、下半身偏癱、大小便失禁等）。需檢附相關功能受損之評估檢驗報告。</w:t>
      </w:r>
    </w:p>
    <w:p w14:paraId="00B0DB72" w14:textId="77777777" w:rsidR="001F37AD" w:rsidRPr="00860BF9" w:rsidRDefault="001F37AD" w:rsidP="001F37AD">
      <w:pPr>
        <w:tabs>
          <w:tab w:val="left" w:pos="1418"/>
        </w:tabs>
        <w:ind w:leftChars="236" w:left="811" w:hanging="245"/>
        <w:jc w:val="both"/>
        <w:rPr>
          <w:rFonts w:ascii="標楷體" w:eastAsia="標楷體" w:hAnsi="標楷體"/>
          <w:sz w:val="22"/>
          <w:szCs w:val="24"/>
        </w:rPr>
      </w:pPr>
      <w:r w:rsidRPr="00860BF9">
        <w:rPr>
          <w:rFonts w:ascii="標楷體" w:eastAsia="標楷體" w:hAnsi="標楷體"/>
          <w:szCs w:val="28"/>
        </w:rPr>
        <w:t>4.需經事前審查核准後使用，每次申請以6</w:t>
      </w:r>
      <w:r w:rsidRPr="00860BF9">
        <w:rPr>
          <w:rFonts w:ascii="標楷體" w:eastAsia="標楷體" w:hAnsi="標楷體"/>
          <w:szCs w:val="24"/>
        </w:rPr>
        <w:t>個月為</w:t>
      </w:r>
      <w:r w:rsidRPr="00860BF9">
        <w:rPr>
          <w:rFonts w:ascii="標楷體" w:eastAsia="標楷體" w:hAnsi="標楷體"/>
          <w:szCs w:val="28"/>
        </w:rPr>
        <w:t>限，初次申請時須提供疾病相關檢驗及症狀證據，如照片、檢查影像、病理報告或評估報告；再次申請時應檢附前次治療結果評估資料，以RECIST標準評定藥物療效反應，</w:t>
      </w:r>
      <w:r w:rsidRPr="00860BF9">
        <w:rPr>
          <w:rFonts w:ascii="標楷體" w:eastAsia="標楷體" w:hAnsi="標楷體"/>
          <w:szCs w:val="24"/>
        </w:rPr>
        <w:t>如有下列情況之一，應停止使用</w:t>
      </w:r>
      <w:r w:rsidRPr="00860BF9">
        <w:rPr>
          <w:rFonts w:ascii="標楷體" w:eastAsia="標楷體" w:hAnsi="標楷體"/>
          <w:szCs w:val="28"/>
        </w:rPr>
        <w:t>：</w:t>
      </w:r>
    </w:p>
    <w:p w14:paraId="1BDF5D4A" w14:textId="77777777" w:rsidR="001F37AD" w:rsidRPr="00860BF9" w:rsidRDefault="001F37AD" w:rsidP="001F37AD">
      <w:pPr>
        <w:tabs>
          <w:tab w:val="left" w:pos="1185"/>
        </w:tabs>
        <w:ind w:leftChars="336" w:left="1051" w:hanging="245"/>
        <w:jc w:val="both"/>
        <w:rPr>
          <w:rFonts w:ascii="標楷體" w:eastAsia="標楷體" w:hAnsi="標楷體"/>
          <w:kern w:val="2"/>
          <w:szCs w:val="28"/>
        </w:rPr>
      </w:pPr>
      <w:r w:rsidRPr="00860BF9">
        <w:rPr>
          <w:rFonts w:ascii="標楷體" w:eastAsia="標楷體" w:hAnsi="標楷體"/>
          <w:szCs w:val="24"/>
        </w:rPr>
        <w:t>(1)病情惡化</w:t>
      </w:r>
      <w:r w:rsidRPr="00860BF9">
        <w:rPr>
          <w:rFonts w:ascii="標楷體" w:eastAsia="標楷體" w:hAnsi="標楷體"/>
          <w:kern w:val="2"/>
          <w:szCs w:val="28"/>
        </w:rPr>
        <w:t>(PD，指與基準點或用藥後的最佳反應時相比時，目標PN最大直徑總和增加</w:t>
      </w:r>
      <w:r w:rsidRPr="00860BF9">
        <w:rPr>
          <w:rFonts w:ascii="Times New Roman" w:eastAsia="標楷體" w:hAnsi="Times New Roman"/>
          <w:kern w:val="2"/>
          <w:szCs w:val="28"/>
        </w:rPr>
        <w:t>≥</w:t>
      </w:r>
      <w:r w:rsidRPr="00860BF9">
        <w:rPr>
          <w:rFonts w:ascii="標楷體" w:eastAsia="標楷體" w:hAnsi="標楷體"/>
          <w:kern w:val="2"/>
          <w:szCs w:val="28"/>
        </w:rPr>
        <w:t>20%，或有新PN出現)。</w:t>
      </w:r>
    </w:p>
    <w:p w14:paraId="630A8E30" w14:textId="77777777" w:rsidR="001F37AD" w:rsidRPr="00860BF9" w:rsidRDefault="001F37AD" w:rsidP="001F37AD">
      <w:pPr>
        <w:tabs>
          <w:tab w:val="left" w:pos="1185"/>
        </w:tabs>
        <w:ind w:leftChars="336" w:left="1051" w:hanging="245"/>
        <w:jc w:val="both"/>
        <w:rPr>
          <w:rFonts w:ascii="標楷體" w:eastAsia="標楷體" w:hAnsi="標楷體"/>
          <w:kern w:val="2"/>
          <w:szCs w:val="28"/>
        </w:rPr>
      </w:pPr>
      <w:r w:rsidRPr="00860BF9">
        <w:rPr>
          <w:rFonts w:ascii="標楷體" w:eastAsia="標楷體" w:hAnsi="標楷體"/>
          <w:kern w:val="2"/>
          <w:szCs w:val="28"/>
        </w:rPr>
        <w:t>(2)無法耐受藥品副作用。</w:t>
      </w:r>
    </w:p>
    <w:p w14:paraId="26FDB685" w14:textId="77777777" w:rsidR="001F37AD" w:rsidRPr="00860BF9" w:rsidRDefault="001F37AD" w:rsidP="001F37AD">
      <w:pPr>
        <w:tabs>
          <w:tab w:val="left" w:pos="1185"/>
        </w:tabs>
        <w:ind w:leftChars="336" w:left="1051" w:hanging="245"/>
        <w:jc w:val="both"/>
        <w:rPr>
          <w:rFonts w:ascii="標楷體" w:eastAsia="標楷體" w:hAnsi="標楷體"/>
          <w:kern w:val="2"/>
          <w:szCs w:val="28"/>
        </w:rPr>
      </w:pPr>
      <w:r w:rsidRPr="00860BF9">
        <w:rPr>
          <w:rFonts w:ascii="標楷體" w:eastAsia="標楷體" w:hAnsi="標楷體"/>
          <w:kern w:val="2"/>
          <w:szCs w:val="28"/>
        </w:rPr>
        <w:t>(3)原無法手術切除的PN得以接受完整手術切除。</w:t>
      </w:r>
    </w:p>
    <w:p w14:paraId="6E4FDDD6" w14:textId="77777777" w:rsidR="001F37AD" w:rsidRPr="00860BF9" w:rsidRDefault="001F37AD" w:rsidP="001F37AD">
      <w:pPr>
        <w:tabs>
          <w:tab w:val="left" w:pos="1185"/>
        </w:tabs>
        <w:ind w:leftChars="336" w:left="1051" w:hanging="245"/>
        <w:jc w:val="both"/>
        <w:rPr>
          <w:rFonts w:ascii="標楷體" w:eastAsia="標楷體" w:hAnsi="標楷體"/>
          <w:szCs w:val="28"/>
        </w:rPr>
      </w:pPr>
      <w:r w:rsidRPr="00860BF9">
        <w:rPr>
          <w:rFonts w:ascii="標楷體" w:eastAsia="標楷體" w:hAnsi="標楷體"/>
          <w:kern w:val="2"/>
          <w:szCs w:val="28"/>
        </w:rPr>
        <w:t>(4)經治療18</w:t>
      </w:r>
      <w:r w:rsidRPr="00860BF9">
        <w:rPr>
          <w:rFonts w:ascii="標楷體" w:eastAsia="標楷體" w:hAnsi="標楷體"/>
          <w:szCs w:val="28"/>
        </w:rPr>
        <w:t>個月後，初次申請之目標PN引起之症狀未改善且PN惡化。</w:t>
      </w:r>
    </w:p>
    <w:p w14:paraId="6A1C8EA0" w14:textId="5154D099" w:rsidR="001F37AD" w:rsidRDefault="001F37AD" w:rsidP="001F37AD">
      <w:pPr>
        <w:tabs>
          <w:tab w:val="left" w:pos="1418"/>
        </w:tabs>
        <w:ind w:leftChars="236" w:left="811" w:hanging="245"/>
        <w:jc w:val="both"/>
        <w:rPr>
          <w:rFonts w:ascii="標楷體" w:eastAsia="標楷體" w:hAnsi="標楷體"/>
          <w:szCs w:val="28"/>
        </w:rPr>
      </w:pPr>
      <w:r w:rsidRPr="00860BF9">
        <w:rPr>
          <w:rFonts w:ascii="標楷體" w:eastAsia="標楷體" w:hAnsi="標楷體"/>
          <w:szCs w:val="28"/>
        </w:rPr>
        <w:t>5.每日最高劑量為100 mg。</w:t>
      </w:r>
    </w:p>
    <w:p w14:paraId="7149D3FD" w14:textId="77777777" w:rsidR="004F3D75" w:rsidRPr="004F3D75" w:rsidRDefault="004F3D75" w:rsidP="004F3D75">
      <w:pPr>
        <w:rPr>
          <w:rFonts w:ascii="標楷體" w:eastAsia="標楷體" w:hAnsi="標楷體"/>
          <w:color w:val="000000"/>
        </w:rPr>
      </w:pPr>
      <w:r w:rsidRPr="004F3D75">
        <w:rPr>
          <w:rFonts w:ascii="標楷體" w:eastAsia="標楷體" w:hAnsi="標楷體" w:hint="eastAsia"/>
          <w:color w:val="000000"/>
        </w:rPr>
        <w:t>9.</w:t>
      </w:r>
      <w:r w:rsidRPr="004F3D75">
        <w:rPr>
          <w:rFonts w:ascii="標楷體" w:eastAsia="標楷體" w:hAnsi="標楷體" w:hint="eastAsia"/>
          <w:szCs w:val="28"/>
        </w:rPr>
        <w:t>117</w:t>
      </w:r>
      <w:r w:rsidRPr="004F3D75">
        <w:rPr>
          <w:rFonts w:ascii="標楷體" w:eastAsia="標楷體" w:hAnsi="標楷體" w:hint="eastAsia"/>
          <w:color w:val="000000"/>
        </w:rPr>
        <w:t>.Selinexor(如Xpovio)：(114/3/1)</w:t>
      </w:r>
    </w:p>
    <w:p w14:paraId="38568B58" w14:textId="77777777" w:rsidR="004F3D75" w:rsidRPr="004F3D75" w:rsidRDefault="004F3D75" w:rsidP="004F3D75">
      <w:pPr>
        <w:tabs>
          <w:tab w:val="left" w:pos="1418"/>
        </w:tabs>
        <w:ind w:leftChars="236" w:left="811" w:hanging="245"/>
        <w:jc w:val="both"/>
        <w:rPr>
          <w:rFonts w:ascii="標楷體" w:eastAsia="標楷體" w:hAnsi="標楷體"/>
          <w:kern w:val="2"/>
          <w:szCs w:val="28"/>
        </w:rPr>
      </w:pPr>
      <w:r w:rsidRPr="004F3D75">
        <w:rPr>
          <w:rFonts w:ascii="標楷體" w:eastAsia="標楷體" w:hAnsi="標楷體"/>
          <w:color w:val="000000"/>
        </w:rPr>
        <w:t>1.</w:t>
      </w:r>
      <w:r w:rsidRPr="004F3D75">
        <w:rPr>
          <w:rFonts w:ascii="標楷體" w:eastAsia="標楷體" w:hAnsi="標楷體" w:hint="eastAsia"/>
          <w:kern w:val="2"/>
          <w:szCs w:val="28"/>
        </w:rPr>
        <w:t>與</w:t>
      </w:r>
      <w:r w:rsidRPr="004F3D75">
        <w:rPr>
          <w:rFonts w:ascii="標楷體" w:eastAsia="標楷體" w:hAnsi="標楷體"/>
          <w:kern w:val="2"/>
          <w:szCs w:val="28"/>
        </w:rPr>
        <w:t>bortezomib</w:t>
      </w:r>
      <w:r w:rsidRPr="004F3D75">
        <w:rPr>
          <w:rFonts w:ascii="標楷體" w:eastAsia="標楷體" w:hAnsi="標楷體" w:hint="eastAsia"/>
          <w:kern w:val="2"/>
          <w:szCs w:val="28"/>
        </w:rPr>
        <w:t>及</w:t>
      </w:r>
      <w:r w:rsidRPr="004F3D75">
        <w:rPr>
          <w:rFonts w:ascii="標楷體" w:eastAsia="標楷體" w:hAnsi="標楷體"/>
          <w:kern w:val="2"/>
          <w:szCs w:val="28"/>
        </w:rPr>
        <w:t>dexamethasone</w:t>
      </w:r>
      <w:r w:rsidRPr="004F3D75">
        <w:rPr>
          <w:rFonts w:ascii="標楷體" w:eastAsia="標楷體" w:hAnsi="標楷體" w:hint="eastAsia"/>
          <w:kern w:val="2"/>
          <w:szCs w:val="28"/>
        </w:rPr>
        <w:t>合併使用於先前已接受至少</w:t>
      </w:r>
      <w:r w:rsidRPr="004F3D75">
        <w:rPr>
          <w:rFonts w:ascii="標楷體" w:eastAsia="標楷體" w:hAnsi="標楷體"/>
          <w:kern w:val="2"/>
          <w:szCs w:val="28"/>
        </w:rPr>
        <w:t>2</w:t>
      </w:r>
      <w:r w:rsidRPr="004F3D75">
        <w:rPr>
          <w:rFonts w:ascii="標楷體" w:eastAsia="標楷體" w:hAnsi="標楷體" w:hint="eastAsia"/>
          <w:kern w:val="2"/>
          <w:szCs w:val="28"/>
        </w:rPr>
        <w:t>種治療失敗之多發性骨髓瘤病人，且須具有良好日常體能狀態</w:t>
      </w:r>
      <w:r w:rsidRPr="004F3D75">
        <w:rPr>
          <w:rFonts w:ascii="標楷體" w:eastAsia="標楷體" w:hAnsi="標楷體"/>
          <w:kern w:val="2"/>
          <w:szCs w:val="28"/>
        </w:rPr>
        <w:t>(ECOG&lt;2)</w:t>
      </w:r>
      <w:r w:rsidRPr="004F3D75">
        <w:rPr>
          <w:rFonts w:ascii="標楷體" w:eastAsia="標楷體" w:hAnsi="標楷體" w:hint="eastAsia"/>
          <w:kern w:val="2"/>
          <w:szCs w:val="28"/>
        </w:rPr>
        <w:t>者。</w:t>
      </w:r>
    </w:p>
    <w:p w14:paraId="6B2C8150" w14:textId="77777777" w:rsidR="004F3D75" w:rsidRPr="004F3D75" w:rsidRDefault="004F3D75" w:rsidP="004F3D75">
      <w:pPr>
        <w:tabs>
          <w:tab w:val="left" w:pos="1418"/>
        </w:tabs>
        <w:ind w:leftChars="236" w:left="811" w:hanging="245"/>
        <w:jc w:val="both"/>
        <w:rPr>
          <w:rFonts w:ascii="標楷體" w:eastAsia="標楷體" w:hAnsi="標楷體"/>
          <w:color w:val="000000"/>
        </w:rPr>
      </w:pPr>
      <w:r w:rsidRPr="004F3D75">
        <w:rPr>
          <w:rFonts w:ascii="標楷體" w:eastAsia="標楷體" w:hAnsi="標楷體" w:hint="eastAsia"/>
          <w:kern w:val="2"/>
          <w:szCs w:val="28"/>
        </w:rPr>
        <w:t>2</w:t>
      </w:r>
      <w:r w:rsidRPr="004F3D75">
        <w:rPr>
          <w:rFonts w:ascii="標楷體" w:eastAsia="標楷體" w:hAnsi="標楷體"/>
          <w:kern w:val="2"/>
          <w:szCs w:val="28"/>
        </w:rPr>
        <w:t>.</w:t>
      </w:r>
      <w:r w:rsidRPr="004F3D75">
        <w:rPr>
          <w:rFonts w:ascii="標楷體" w:eastAsia="標楷體" w:hAnsi="標楷體" w:hint="eastAsia"/>
          <w:kern w:val="2"/>
          <w:szCs w:val="28"/>
        </w:rPr>
        <w:t>須</w:t>
      </w:r>
      <w:r w:rsidRPr="004F3D75">
        <w:rPr>
          <w:rFonts w:ascii="標楷體" w:eastAsia="標楷體" w:hAnsi="標楷體" w:hint="eastAsia"/>
          <w:color w:val="000000"/>
        </w:rPr>
        <w:t>經事前審查核准後使用：</w:t>
      </w:r>
    </w:p>
    <w:p w14:paraId="2569CBCE" w14:textId="77777777" w:rsidR="004F3D75" w:rsidRPr="004F3D75" w:rsidRDefault="004F3D75" w:rsidP="004F3D75">
      <w:pPr>
        <w:tabs>
          <w:tab w:val="left" w:pos="1185"/>
        </w:tabs>
        <w:ind w:leftChars="336" w:left="1051" w:hanging="245"/>
        <w:jc w:val="both"/>
        <w:rPr>
          <w:rFonts w:ascii="標楷體" w:eastAsia="標楷體" w:hAnsi="標楷體"/>
          <w:color w:val="000000"/>
        </w:rPr>
      </w:pPr>
      <w:r w:rsidRPr="004F3D75">
        <w:rPr>
          <w:rFonts w:ascii="標楷體" w:eastAsia="標楷體" w:hAnsi="標楷體"/>
          <w:color w:val="000000"/>
        </w:rPr>
        <w:t>(1)</w:t>
      </w:r>
      <w:r w:rsidRPr="004F3D75">
        <w:rPr>
          <w:rFonts w:ascii="標楷體" w:eastAsia="標楷體" w:hAnsi="標楷體" w:hint="eastAsia"/>
          <w:szCs w:val="24"/>
        </w:rPr>
        <w:t>初次</w:t>
      </w:r>
      <w:r w:rsidRPr="004F3D75">
        <w:rPr>
          <w:rFonts w:ascii="標楷體" w:eastAsia="標楷體" w:hAnsi="標楷體" w:hint="eastAsia"/>
          <w:color w:val="000000"/>
        </w:rPr>
        <w:t>申請以</w:t>
      </w:r>
      <w:r w:rsidRPr="004F3D75">
        <w:rPr>
          <w:rFonts w:ascii="標楷體" w:eastAsia="標楷體" w:hAnsi="標楷體"/>
          <w:color w:val="000000"/>
        </w:rPr>
        <w:t>4</w:t>
      </w:r>
      <w:r w:rsidRPr="004F3D75">
        <w:rPr>
          <w:rFonts w:ascii="標楷體" w:eastAsia="標楷體" w:hAnsi="標楷體" w:hint="eastAsia"/>
          <w:color w:val="000000"/>
        </w:rPr>
        <w:t>個療程</w:t>
      </w:r>
      <w:r w:rsidRPr="004F3D75">
        <w:rPr>
          <w:rFonts w:ascii="標楷體" w:eastAsia="標楷體" w:hAnsi="標楷體"/>
          <w:color w:val="000000"/>
        </w:rPr>
        <w:t>(</w:t>
      </w:r>
      <w:r w:rsidRPr="004F3D75">
        <w:rPr>
          <w:rFonts w:ascii="標楷體" w:eastAsia="標楷體" w:hAnsi="標楷體" w:hint="eastAsia"/>
          <w:color w:val="000000"/>
        </w:rPr>
        <w:t>每療程為</w:t>
      </w:r>
      <w:r w:rsidRPr="004F3D75">
        <w:rPr>
          <w:rFonts w:ascii="標楷體" w:eastAsia="標楷體" w:hAnsi="標楷體"/>
          <w:color w:val="000000"/>
        </w:rPr>
        <w:t>5</w:t>
      </w:r>
      <w:r w:rsidRPr="004F3D75">
        <w:rPr>
          <w:rFonts w:ascii="標楷體" w:eastAsia="標楷體" w:hAnsi="標楷體" w:hint="eastAsia"/>
          <w:color w:val="000000"/>
        </w:rPr>
        <w:t>週</w:t>
      </w:r>
      <w:r w:rsidRPr="004F3D75">
        <w:rPr>
          <w:rFonts w:ascii="標楷體" w:eastAsia="標楷體" w:hAnsi="標楷體"/>
          <w:color w:val="000000"/>
        </w:rPr>
        <w:t>)</w:t>
      </w:r>
      <w:r w:rsidRPr="004F3D75">
        <w:rPr>
          <w:rFonts w:ascii="標楷體" w:eastAsia="標楷體" w:hAnsi="標楷體" w:hint="eastAsia"/>
          <w:color w:val="000000"/>
        </w:rPr>
        <w:t>為限，且需同時符合下列Ⅰ</w:t>
      </w:r>
      <w:r w:rsidRPr="004F3D75">
        <w:rPr>
          <w:rFonts w:ascii="標楷體" w:eastAsia="標楷體" w:hAnsi="標楷體"/>
          <w:color w:val="000000"/>
        </w:rPr>
        <w:t>.</w:t>
      </w:r>
      <w:r w:rsidRPr="004F3D75">
        <w:rPr>
          <w:rFonts w:ascii="標楷體" w:eastAsia="標楷體" w:hAnsi="標楷體" w:hint="eastAsia"/>
          <w:color w:val="000000"/>
        </w:rPr>
        <w:t>與Ⅱ</w:t>
      </w:r>
      <w:r w:rsidRPr="004F3D75">
        <w:rPr>
          <w:rFonts w:ascii="標楷體" w:eastAsia="標楷體" w:hAnsi="標楷體"/>
          <w:color w:val="000000"/>
        </w:rPr>
        <w:t>.</w:t>
      </w:r>
      <w:r w:rsidRPr="004F3D75">
        <w:rPr>
          <w:rFonts w:ascii="標楷體" w:eastAsia="標楷體" w:hAnsi="標楷體" w:hint="eastAsia"/>
          <w:color w:val="000000"/>
        </w:rPr>
        <w:t>的條件：</w:t>
      </w:r>
    </w:p>
    <w:p w14:paraId="66BC6D7C" w14:textId="77777777" w:rsidR="004F3D75" w:rsidRPr="004F3D75" w:rsidRDefault="004F3D75" w:rsidP="004F3D75">
      <w:pPr>
        <w:tabs>
          <w:tab w:val="left" w:pos="1418"/>
        </w:tabs>
        <w:ind w:leftChars="436" w:left="1291" w:hanging="245"/>
        <w:jc w:val="both"/>
        <w:rPr>
          <w:rFonts w:ascii="標楷體" w:eastAsia="標楷體" w:hAnsi="標楷體"/>
          <w:color w:val="000000"/>
        </w:rPr>
      </w:pPr>
      <w:r w:rsidRPr="004F3D75">
        <w:rPr>
          <w:rFonts w:ascii="標楷體" w:eastAsia="標楷體" w:hAnsi="標楷體"/>
          <w:color w:val="000000"/>
        </w:rPr>
        <w:t>I.</w:t>
      </w:r>
      <w:r w:rsidRPr="004F3D75">
        <w:rPr>
          <w:rFonts w:ascii="標楷體" w:eastAsia="標楷體" w:hAnsi="標楷體" w:hint="eastAsia"/>
          <w:szCs w:val="24"/>
        </w:rPr>
        <w:t>具有</w:t>
      </w:r>
      <w:r w:rsidRPr="004F3D75">
        <w:rPr>
          <w:rFonts w:ascii="標楷體" w:eastAsia="標楷體" w:hAnsi="標楷體" w:hint="eastAsia"/>
          <w:color w:val="000000"/>
        </w:rPr>
        <w:t>下列任一疾病惡化的指標：病患開始治療前須在連續</w:t>
      </w:r>
      <w:r w:rsidRPr="004F3D75">
        <w:rPr>
          <w:rFonts w:ascii="標楷體" w:eastAsia="標楷體" w:hAnsi="標楷體"/>
          <w:color w:val="000000"/>
        </w:rPr>
        <w:t>2</w:t>
      </w:r>
      <w:r w:rsidRPr="004F3D75">
        <w:rPr>
          <w:rFonts w:ascii="標楷體" w:eastAsia="標楷體" w:hAnsi="標楷體" w:hint="eastAsia"/>
          <w:color w:val="000000"/>
        </w:rPr>
        <w:t>次評估中均符合同一指標</w:t>
      </w:r>
      <w:r w:rsidRPr="004F3D75">
        <w:rPr>
          <w:rFonts w:ascii="標楷體" w:eastAsia="標楷體" w:hAnsi="標楷體"/>
          <w:color w:val="000000"/>
        </w:rPr>
        <w:t>(</w:t>
      </w:r>
      <w:r w:rsidRPr="004F3D75">
        <w:rPr>
          <w:rFonts w:ascii="標楷體" w:eastAsia="標楷體" w:hAnsi="標楷體" w:hint="eastAsia"/>
          <w:color w:val="000000"/>
        </w:rPr>
        <w:t>但若為</w:t>
      </w:r>
      <w:r w:rsidRPr="004F3D75">
        <w:rPr>
          <w:rFonts w:ascii="標楷體" w:eastAsia="標楷體" w:hAnsi="標楷體"/>
          <w:color w:val="000000"/>
        </w:rPr>
        <w:t>plamacytoma</w:t>
      </w:r>
      <w:r w:rsidRPr="004F3D75">
        <w:rPr>
          <w:rFonts w:ascii="標楷體" w:eastAsia="標楷體" w:hAnsi="標楷體" w:hint="eastAsia"/>
          <w:color w:val="000000"/>
        </w:rPr>
        <w:t>體積增加，或是新產生的</w:t>
      </w:r>
      <w:r w:rsidRPr="004F3D75">
        <w:rPr>
          <w:rFonts w:ascii="標楷體" w:eastAsia="標楷體" w:hAnsi="標楷體"/>
          <w:color w:val="000000"/>
        </w:rPr>
        <w:t>bone lesion(s)</w:t>
      </w:r>
      <w:r w:rsidRPr="004F3D75">
        <w:rPr>
          <w:rFonts w:ascii="標楷體" w:eastAsia="標楷體" w:hAnsi="標楷體" w:hint="eastAsia"/>
          <w:color w:val="000000"/>
        </w:rPr>
        <w:t>或新</w:t>
      </w:r>
      <w:r w:rsidRPr="004F3D75">
        <w:rPr>
          <w:rFonts w:ascii="標楷體" w:eastAsia="標楷體" w:hAnsi="標楷體"/>
          <w:color w:val="000000"/>
        </w:rPr>
        <w:t>plasmacytoma</w:t>
      </w:r>
      <w:r w:rsidRPr="004F3D75">
        <w:rPr>
          <w:rFonts w:ascii="標楷體" w:eastAsia="標楷體" w:hAnsi="標楷體" w:hint="eastAsia"/>
          <w:color w:val="000000"/>
        </w:rPr>
        <w:t>，則僅需</w:t>
      </w:r>
      <w:r w:rsidRPr="004F3D75">
        <w:rPr>
          <w:rFonts w:ascii="標楷體" w:eastAsia="標楷體" w:hAnsi="標楷體"/>
          <w:color w:val="000000"/>
        </w:rPr>
        <w:t>1</w:t>
      </w:r>
      <w:r w:rsidRPr="004F3D75">
        <w:rPr>
          <w:rFonts w:ascii="標楷體" w:eastAsia="標楷體" w:hAnsi="標楷體" w:hint="eastAsia"/>
          <w:color w:val="000000"/>
        </w:rPr>
        <w:t>次評估</w:t>
      </w:r>
      <w:r w:rsidRPr="004F3D75">
        <w:rPr>
          <w:rFonts w:ascii="標楷體" w:eastAsia="標楷體" w:hAnsi="標楷體"/>
          <w:color w:val="000000"/>
        </w:rPr>
        <w:t>)</w:t>
      </w:r>
      <w:r w:rsidRPr="004F3D75">
        <w:rPr>
          <w:rFonts w:ascii="標楷體" w:eastAsia="標楷體" w:hAnsi="標楷體" w:hint="eastAsia"/>
          <w:color w:val="000000"/>
        </w:rPr>
        <w:t>：</w:t>
      </w:r>
    </w:p>
    <w:p w14:paraId="65C10B1B"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color w:val="000000"/>
        </w:rPr>
        <w:t>i.</w:t>
      </w:r>
      <w:r w:rsidRPr="004F3D75">
        <w:rPr>
          <w:rFonts w:ascii="標楷體" w:eastAsia="標楷體" w:hAnsi="標楷體" w:hint="eastAsia"/>
          <w:color w:val="000000"/>
        </w:rPr>
        <w:t>若前一線治療中</w:t>
      </w:r>
      <w:r w:rsidRPr="004F3D75">
        <w:rPr>
          <w:rFonts w:ascii="標楷體" w:eastAsia="標楷體" w:hAnsi="標楷體"/>
          <w:color w:val="000000"/>
        </w:rPr>
        <w:t>M component</w:t>
      </w:r>
      <w:r w:rsidRPr="004F3D75">
        <w:rPr>
          <w:rFonts w:ascii="標楷體" w:eastAsia="標楷體" w:hAnsi="標楷體" w:hint="eastAsia"/>
          <w:color w:val="000000"/>
        </w:rPr>
        <w:t>最低值≧</w:t>
      </w:r>
      <w:r w:rsidRPr="004F3D75">
        <w:rPr>
          <w:rFonts w:ascii="標楷體" w:eastAsia="標楷體" w:hAnsi="標楷體"/>
          <w:color w:val="000000"/>
        </w:rPr>
        <w:t>5g/dL</w:t>
      </w:r>
      <w:r w:rsidRPr="004F3D75">
        <w:rPr>
          <w:rFonts w:ascii="標楷體" w:eastAsia="標楷體" w:hAnsi="標楷體" w:hint="eastAsia"/>
          <w:color w:val="000000"/>
        </w:rPr>
        <w:t>，血清</w:t>
      </w:r>
      <w:r w:rsidRPr="004F3D75">
        <w:rPr>
          <w:rFonts w:ascii="標楷體" w:eastAsia="標楷體" w:hAnsi="標楷體"/>
          <w:color w:val="000000"/>
        </w:rPr>
        <w:t>M</w:t>
      </w:r>
      <w:r w:rsidRPr="004F3D75">
        <w:rPr>
          <w:rFonts w:ascii="標楷體" w:eastAsia="標楷體" w:hAnsi="標楷體" w:hint="eastAsia"/>
          <w:color w:val="000000"/>
        </w:rPr>
        <w:t>蛋白需增加≧</w:t>
      </w:r>
      <w:r w:rsidRPr="004F3D75">
        <w:rPr>
          <w:rFonts w:ascii="標楷體" w:eastAsia="標楷體" w:hAnsi="標楷體"/>
          <w:color w:val="000000"/>
        </w:rPr>
        <w:t>1g/dL</w:t>
      </w:r>
      <w:r w:rsidRPr="004F3D75">
        <w:rPr>
          <w:rFonts w:ascii="標楷體" w:eastAsia="標楷體" w:hAnsi="標楷體" w:hint="eastAsia"/>
          <w:color w:val="000000"/>
        </w:rPr>
        <w:t>；若前一線治療中</w:t>
      </w:r>
      <w:r w:rsidRPr="004F3D75">
        <w:rPr>
          <w:rFonts w:ascii="標楷體" w:eastAsia="標楷體" w:hAnsi="標楷體"/>
          <w:color w:val="000000"/>
        </w:rPr>
        <w:t>M component</w:t>
      </w:r>
      <w:r w:rsidRPr="004F3D75">
        <w:rPr>
          <w:rFonts w:ascii="標楷體" w:eastAsia="標楷體" w:hAnsi="標楷體" w:hint="eastAsia"/>
          <w:color w:val="000000"/>
        </w:rPr>
        <w:t>最低值＜</w:t>
      </w:r>
      <w:r w:rsidRPr="004F3D75">
        <w:rPr>
          <w:rFonts w:ascii="標楷體" w:eastAsia="標楷體" w:hAnsi="標楷體"/>
          <w:color w:val="000000"/>
        </w:rPr>
        <w:t>5g/dL</w:t>
      </w:r>
      <w:r w:rsidRPr="004F3D75">
        <w:rPr>
          <w:rFonts w:ascii="標楷體" w:eastAsia="標楷體" w:hAnsi="標楷體" w:hint="eastAsia"/>
          <w:color w:val="000000"/>
        </w:rPr>
        <w:t>，血清</w:t>
      </w:r>
      <w:r w:rsidRPr="004F3D75">
        <w:rPr>
          <w:rFonts w:ascii="標楷體" w:eastAsia="標楷體" w:hAnsi="標楷體"/>
          <w:color w:val="000000"/>
        </w:rPr>
        <w:t>M</w:t>
      </w:r>
      <w:r w:rsidRPr="004F3D75">
        <w:rPr>
          <w:rFonts w:ascii="標楷體" w:eastAsia="標楷體" w:hAnsi="標楷體" w:hint="eastAsia"/>
          <w:color w:val="000000"/>
        </w:rPr>
        <w:t>蛋白需增加≧</w:t>
      </w:r>
      <w:r w:rsidRPr="004F3D75">
        <w:rPr>
          <w:rFonts w:ascii="標楷體" w:eastAsia="標楷體" w:hAnsi="標楷體"/>
          <w:color w:val="000000"/>
        </w:rPr>
        <w:t>0.5g/dL</w:t>
      </w:r>
      <w:r w:rsidRPr="004F3D75">
        <w:rPr>
          <w:rFonts w:ascii="標楷體" w:eastAsia="標楷體" w:hAnsi="標楷體" w:hint="eastAsia"/>
          <w:color w:val="000000"/>
        </w:rPr>
        <w:t>。</w:t>
      </w:r>
    </w:p>
    <w:p w14:paraId="39D3FB94"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color w:val="000000"/>
        </w:rPr>
        <w:t>ii.Urine M-protein</w:t>
      </w:r>
      <w:r w:rsidRPr="004F3D75">
        <w:rPr>
          <w:rFonts w:ascii="標楷體" w:eastAsia="標楷體" w:hAnsi="標楷體" w:hint="eastAsia"/>
          <w:color w:val="000000"/>
        </w:rPr>
        <w:t>需增加≧</w:t>
      </w:r>
      <w:r w:rsidRPr="004F3D75">
        <w:rPr>
          <w:rFonts w:ascii="標楷體" w:eastAsia="標楷體" w:hAnsi="標楷體"/>
          <w:color w:val="000000"/>
        </w:rPr>
        <w:t>0.2gm/24Hr</w:t>
      </w:r>
      <w:r w:rsidRPr="004F3D75">
        <w:rPr>
          <w:rFonts w:ascii="標楷體" w:eastAsia="標楷體" w:hAnsi="標楷體" w:hint="eastAsia"/>
          <w:color w:val="000000"/>
        </w:rPr>
        <w:t>，且需較前一線治療中的最低值增加≧</w:t>
      </w:r>
      <w:r w:rsidRPr="004F3D75">
        <w:rPr>
          <w:rFonts w:ascii="標楷體" w:eastAsia="標楷體" w:hAnsi="標楷體"/>
          <w:color w:val="000000"/>
        </w:rPr>
        <w:t>25%</w:t>
      </w:r>
      <w:r w:rsidRPr="004F3D75">
        <w:rPr>
          <w:rFonts w:ascii="標楷體" w:eastAsia="標楷體" w:hAnsi="標楷體" w:hint="eastAsia"/>
          <w:color w:val="000000"/>
        </w:rPr>
        <w:t>。</w:t>
      </w:r>
    </w:p>
    <w:p w14:paraId="14671E68"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lastRenderedPageBreak/>
        <w:t>iii.在non-secretary myeloma病患，骨髓漿細胞</w:t>
      </w:r>
      <w:r w:rsidRPr="004F3D75">
        <w:rPr>
          <w:rFonts w:ascii="標楷體" w:eastAsia="標楷體" w:hAnsi="標楷體"/>
          <w:color w:val="000000"/>
        </w:rPr>
        <w:t>(plasmacells)</w:t>
      </w:r>
      <w:r w:rsidRPr="004F3D75">
        <w:rPr>
          <w:rFonts w:ascii="標楷體" w:eastAsia="標楷體" w:hAnsi="標楷體" w:hint="eastAsia"/>
          <w:color w:val="000000"/>
        </w:rPr>
        <w:t>之比例絕對值增加≧</w:t>
      </w:r>
      <w:r w:rsidRPr="004F3D75">
        <w:rPr>
          <w:rFonts w:ascii="標楷體" w:eastAsia="標楷體" w:hAnsi="標楷體"/>
          <w:color w:val="000000"/>
        </w:rPr>
        <w:t>10%</w:t>
      </w:r>
      <w:r w:rsidRPr="004F3D75">
        <w:rPr>
          <w:rFonts w:ascii="標楷體" w:eastAsia="標楷體" w:hAnsi="標楷體" w:hint="eastAsia"/>
          <w:color w:val="000000"/>
        </w:rPr>
        <w:t>，且需較前一線治療中的最低值增加≧</w:t>
      </w:r>
      <w:r w:rsidRPr="004F3D75">
        <w:rPr>
          <w:rFonts w:ascii="標楷體" w:eastAsia="標楷體" w:hAnsi="標楷體"/>
          <w:color w:val="000000"/>
        </w:rPr>
        <w:t>25%</w:t>
      </w:r>
      <w:r w:rsidRPr="004F3D75">
        <w:rPr>
          <w:rFonts w:ascii="標楷體" w:eastAsia="標楷體" w:hAnsi="標楷體" w:hint="eastAsia"/>
          <w:color w:val="000000"/>
        </w:rPr>
        <w:t>。</w:t>
      </w:r>
    </w:p>
    <w:p w14:paraId="530633C0"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iv.新產生的bone lesion(s)或plasmacytoma；且須經病理切片證實。</w:t>
      </w:r>
    </w:p>
    <w:p w14:paraId="2FFC40E4"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v.Plasmacytoma體積增加≧50%。</w:t>
      </w:r>
    </w:p>
    <w:p w14:paraId="7B523321"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vi.周邊血液中漿細胞比例≧20%或漿細胞絕對值≧2000 cells/μL。</w:t>
      </w:r>
    </w:p>
    <w:p w14:paraId="1B80840F" w14:textId="77777777" w:rsidR="004F3D75" w:rsidRPr="004F3D75" w:rsidRDefault="004F3D75" w:rsidP="004F3D75">
      <w:pPr>
        <w:tabs>
          <w:tab w:val="left" w:pos="1418"/>
        </w:tabs>
        <w:ind w:leftChars="436" w:left="1291" w:hanging="245"/>
        <w:jc w:val="both"/>
        <w:rPr>
          <w:rFonts w:ascii="標楷體" w:eastAsia="標楷體" w:hAnsi="標楷體"/>
          <w:color w:val="000000"/>
        </w:rPr>
      </w:pPr>
      <w:r w:rsidRPr="004F3D75">
        <w:rPr>
          <w:rFonts w:ascii="標楷體" w:eastAsia="標楷體" w:hAnsi="標楷體" w:hint="eastAsia"/>
          <w:color w:val="000000"/>
        </w:rPr>
        <w:t>II.出現下列任一臨床症狀：</w:t>
      </w:r>
    </w:p>
    <w:p w14:paraId="2C56EBB9"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i.新產生的bone lesion(s)或plasmacytoma；且須經病理切片證實。</w:t>
      </w:r>
    </w:p>
    <w:p w14:paraId="1D9DDB7F"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ii.Plasmacytoma體積增加≧50%。</w:t>
      </w:r>
    </w:p>
    <w:p w14:paraId="4BFA4EF5"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iii.高血鈣(corrected serumcalcium＞11.0mg/dL或2.75mmol/L)。</w:t>
      </w:r>
    </w:p>
    <w:p w14:paraId="5CB3F334"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iv.貧血(Hemoglobin下降幅度≧2gm/dL且無其他原因可以解釋)。</w:t>
      </w:r>
    </w:p>
    <w:p w14:paraId="7E8608CC"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v.腎功能惡化(eGFR需下降幅度≧25%)，且無其他原因可以解釋。</w:t>
      </w:r>
    </w:p>
    <w:p w14:paraId="770C846D" w14:textId="77777777" w:rsidR="004F3D75" w:rsidRPr="004F3D75" w:rsidRDefault="004F3D75" w:rsidP="004F3D75">
      <w:pPr>
        <w:ind w:leftChars="600" w:left="1800" w:hangingChars="150" w:hanging="360"/>
        <w:rPr>
          <w:rFonts w:ascii="標楷體" w:eastAsia="標楷體" w:hAnsi="標楷體"/>
          <w:color w:val="000000"/>
        </w:rPr>
      </w:pPr>
      <w:r w:rsidRPr="004F3D75">
        <w:rPr>
          <w:rFonts w:ascii="標楷體" w:eastAsia="標楷體" w:hAnsi="標楷體" w:hint="eastAsia"/>
          <w:color w:val="000000"/>
        </w:rPr>
        <w:t>vi.出現其他end-organ dysfunctions。</w:t>
      </w:r>
    </w:p>
    <w:p w14:paraId="36412F6D" w14:textId="77777777" w:rsidR="004F3D75" w:rsidRPr="004F3D75" w:rsidRDefault="004F3D75" w:rsidP="004F3D75">
      <w:pPr>
        <w:tabs>
          <w:tab w:val="left" w:pos="1185"/>
        </w:tabs>
        <w:ind w:leftChars="336" w:left="1051" w:hanging="245"/>
        <w:jc w:val="both"/>
        <w:rPr>
          <w:rFonts w:ascii="標楷體" w:eastAsia="標楷體" w:hAnsi="標楷體"/>
          <w:color w:val="000000"/>
        </w:rPr>
      </w:pPr>
      <w:r w:rsidRPr="004F3D75">
        <w:rPr>
          <w:rFonts w:ascii="標楷體" w:eastAsia="標楷體" w:hAnsi="標楷體" w:hint="eastAsia"/>
          <w:color w:val="000000"/>
        </w:rPr>
        <w:t>(2)</w:t>
      </w:r>
      <w:r w:rsidRPr="004F3D75">
        <w:rPr>
          <w:rFonts w:ascii="標楷體" w:eastAsia="標楷體" w:hAnsi="標楷體" w:hint="eastAsia"/>
          <w:szCs w:val="24"/>
        </w:rPr>
        <w:t>再次</w:t>
      </w:r>
      <w:r w:rsidRPr="004F3D75">
        <w:rPr>
          <w:rFonts w:ascii="標楷體" w:eastAsia="標楷體" w:hAnsi="標楷體" w:hint="eastAsia"/>
          <w:color w:val="000000"/>
        </w:rPr>
        <w:t>申請時必須確定</w:t>
      </w:r>
      <w:r w:rsidRPr="004F3D75">
        <w:rPr>
          <w:rFonts w:ascii="標楷體" w:eastAsia="標楷體" w:hAnsi="標楷體"/>
          <w:color w:val="000000"/>
        </w:rPr>
        <w:t>paraprotein(M-protein)</w:t>
      </w:r>
      <w:r w:rsidRPr="004F3D75">
        <w:rPr>
          <w:rFonts w:ascii="標楷體" w:eastAsia="標楷體" w:hAnsi="標楷體" w:hint="eastAsia"/>
          <w:color w:val="000000"/>
        </w:rPr>
        <w:t>未上升</w:t>
      </w:r>
      <w:r w:rsidRPr="004F3D75">
        <w:rPr>
          <w:rFonts w:ascii="標楷體" w:eastAsia="標楷體" w:hAnsi="標楷體"/>
          <w:color w:val="000000"/>
        </w:rPr>
        <w:t>(</w:t>
      </w:r>
      <w:r w:rsidRPr="004F3D75">
        <w:rPr>
          <w:rFonts w:ascii="標楷體" w:eastAsia="標楷體" w:hAnsi="標楷體" w:hint="eastAsia"/>
          <w:color w:val="000000"/>
        </w:rPr>
        <w:t>即表示對藥物有反應或為穩定狀態</w:t>
      </w:r>
      <w:r w:rsidRPr="004F3D75">
        <w:rPr>
          <w:rFonts w:ascii="標楷體" w:eastAsia="標楷體" w:hAnsi="標楷體"/>
          <w:color w:val="000000"/>
        </w:rPr>
        <w:t>)</w:t>
      </w:r>
      <w:r w:rsidRPr="004F3D75">
        <w:rPr>
          <w:rFonts w:ascii="標楷體" w:eastAsia="標楷體" w:hAnsi="標楷體" w:hint="eastAsia"/>
          <w:color w:val="000000"/>
        </w:rPr>
        <w:t>；或對部分</w:t>
      </w:r>
      <w:r w:rsidRPr="004F3D75">
        <w:rPr>
          <w:rFonts w:ascii="標楷體" w:eastAsia="標楷體" w:hAnsi="標楷體"/>
          <w:color w:val="000000"/>
        </w:rPr>
        <w:t>non-secretory type MM</w:t>
      </w:r>
      <w:r w:rsidRPr="004F3D75">
        <w:rPr>
          <w:rFonts w:ascii="標楷體" w:eastAsia="標楷體" w:hAnsi="標楷體" w:hint="eastAsia"/>
          <w:color w:val="000000"/>
        </w:rPr>
        <w:t>病人以骨髓檢查</w:t>
      </w:r>
      <w:r w:rsidRPr="004F3D75">
        <w:rPr>
          <w:rFonts w:ascii="標楷體" w:eastAsia="標楷體" w:hAnsi="標楷體"/>
          <w:color w:val="000000"/>
        </w:rPr>
        <w:t>plasma cell</w:t>
      </w:r>
      <w:r w:rsidRPr="004F3D75">
        <w:rPr>
          <w:rFonts w:ascii="標楷體" w:eastAsia="標楷體" w:hAnsi="標楷體" w:hint="eastAsia"/>
          <w:color w:val="000000"/>
        </w:rPr>
        <w:t>為療效依據，證明為對藥物有反應或為穩定狀態，方可繼續使用。續用時的申請每次以</w:t>
      </w:r>
      <w:r w:rsidRPr="004F3D75">
        <w:rPr>
          <w:rFonts w:ascii="標楷體" w:eastAsia="標楷體" w:hAnsi="標楷體"/>
          <w:color w:val="000000"/>
        </w:rPr>
        <w:t>4</w:t>
      </w:r>
      <w:r w:rsidRPr="004F3D75">
        <w:rPr>
          <w:rFonts w:ascii="標楷體" w:eastAsia="標楷體" w:hAnsi="標楷體" w:hint="eastAsia"/>
          <w:color w:val="000000"/>
        </w:rPr>
        <w:t>個療程為限。</w:t>
      </w:r>
    </w:p>
    <w:p w14:paraId="3DD34CC8" w14:textId="017B39C8" w:rsidR="004F3D75" w:rsidRDefault="004F3D75" w:rsidP="004F3D75">
      <w:pPr>
        <w:tabs>
          <w:tab w:val="left" w:pos="1418"/>
        </w:tabs>
        <w:ind w:leftChars="236" w:left="811" w:hanging="245"/>
        <w:jc w:val="both"/>
        <w:rPr>
          <w:rFonts w:ascii="標楷體" w:eastAsia="標楷體" w:hAnsi="標楷體"/>
          <w:color w:val="000000"/>
        </w:rPr>
      </w:pPr>
      <w:r w:rsidRPr="004F3D75">
        <w:rPr>
          <w:rFonts w:ascii="標楷體" w:eastAsia="標楷體" w:hAnsi="標楷體"/>
          <w:color w:val="000000"/>
        </w:rPr>
        <w:t>(3)</w:t>
      </w:r>
      <w:r w:rsidRPr="004F3D75">
        <w:rPr>
          <w:rFonts w:ascii="標楷體" w:eastAsia="標楷體" w:hAnsi="標楷體" w:hint="eastAsia"/>
          <w:color w:val="000000"/>
        </w:rPr>
        <w:t>每人終生以</w:t>
      </w:r>
      <w:r w:rsidRPr="004F3D75">
        <w:rPr>
          <w:rFonts w:ascii="標楷體" w:eastAsia="標楷體" w:hAnsi="標楷體"/>
          <w:color w:val="000000"/>
        </w:rPr>
        <w:t>8</w:t>
      </w:r>
      <w:r w:rsidRPr="004F3D75">
        <w:rPr>
          <w:rFonts w:ascii="標楷體" w:eastAsia="標楷體" w:hAnsi="標楷體" w:hint="eastAsia"/>
          <w:color w:val="000000"/>
        </w:rPr>
        <w:t>個療程為上限。</w:t>
      </w:r>
    </w:p>
    <w:p w14:paraId="57A9966A" w14:textId="77777777" w:rsidR="00C25C62" w:rsidRPr="00D5404E" w:rsidRDefault="00C25C62" w:rsidP="00C25C62">
      <w:pPr>
        <w:spacing w:line="440" w:lineRule="exact"/>
        <w:ind w:left="280" w:hanging="280"/>
        <w:rPr>
          <w:rFonts w:ascii="標楷體" w:eastAsia="標楷體" w:hAnsi="標楷體"/>
          <w:szCs w:val="24"/>
        </w:rPr>
      </w:pPr>
      <w:r w:rsidRPr="00D5404E">
        <w:rPr>
          <w:rFonts w:ascii="標楷體" w:eastAsia="標楷體" w:hAnsi="標楷體"/>
          <w:szCs w:val="24"/>
        </w:rPr>
        <w:t>9.118.Elranatamab (如Elrexfio)：(114/5/1)</w:t>
      </w:r>
    </w:p>
    <w:p w14:paraId="1FFC399A" w14:textId="77777777" w:rsidR="00C25C62" w:rsidRPr="00D5404E" w:rsidRDefault="00C25C62" w:rsidP="00C25C62">
      <w:pPr>
        <w:spacing w:line="440" w:lineRule="exact"/>
        <w:ind w:left="709" w:hanging="280"/>
        <w:rPr>
          <w:rFonts w:ascii="Times New Roman" w:hAnsi="Times New Roman"/>
          <w:szCs w:val="24"/>
        </w:rPr>
      </w:pPr>
      <w:r w:rsidRPr="00D5404E">
        <w:rPr>
          <w:rFonts w:ascii="標楷體" w:eastAsia="標楷體" w:hAnsi="標楷體"/>
          <w:szCs w:val="24"/>
        </w:rPr>
        <w:t>1.適用於治療先前曾接受至少四線療法(包括一種蛋白酶體抑制劑、一種免疫調節劑和一種抗CD38單株抗體)並在最近治療後顯示為疾病惡化的復發性或難治性多發性骨髓瘤成人病人，且須具有良好日常體能狀態(ECOG</w:t>
      </w:r>
      <w:r w:rsidRPr="00D5404E">
        <w:rPr>
          <w:rFonts w:ascii="Times New Roman" w:eastAsia="標楷體" w:hAnsi="Times New Roman"/>
          <w:szCs w:val="24"/>
        </w:rPr>
        <w:t>≤</w:t>
      </w:r>
      <w:r w:rsidRPr="00D5404E">
        <w:rPr>
          <w:rFonts w:ascii="標楷體" w:eastAsia="標楷體" w:hAnsi="標楷體"/>
          <w:szCs w:val="24"/>
        </w:rPr>
        <w:t>2)。</w:t>
      </w:r>
    </w:p>
    <w:p w14:paraId="2A3A7B4C" w14:textId="77777777" w:rsidR="00C25C62" w:rsidRPr="00D5404E" w:rsidRDefault="00C25C62" w:rsidP="00C25C62">
      <w:pPr>
        <w:spacing w:line="440" w:lineRule="exact"/>
        <w:ind w:left="567" w:hanging="141"/>
        <w:rPr>
          <w:rFonts w:ascii="標楷體" w:eastAsia="標楷體" w:hAnsi="標楷體"/>
          <w:szCs w:val="24"/>
        </w:rPr>
      </w:pPr>
      <w:r w:rsidRPr="00D5404E">
        <w:rPr>
          <w:rFonts w:ascii="標楷體" w:eastAsia="標楷體" w:hAnsi="標楷體"/>
          <w:szCs w:val="24"/>
        </w:rPr>
        <w:t>2.須經事前審查核准後使用：</w:t>
      </w:r>
    </w:p>
    <w:p w14:paraId="2098EED9" w14:textId="77777777" w:rsidR="00C25C62" w:rsidRPr="00D5404E" w:rsidRDefault="00C25C62" w:rsidP="00C25C62">
      <w:pPr>
        <w:spacing w:line="440" w:lineRule="exact"/>
        <w:ind w:left="400" w:firstLine="167"/>
        <w:rPr>
          <w:rFonts w:ascii="標楷體" w:eastAsia="標楷體" w:hAnsi="標楷體"/>
          <w:szCs w:val="24"/>
        </w:rPr>
      </w:pPr>
      <w:r w:rsidRPr="00D5404E">
        <w:rPr>
          <w:rFonts w:ascii="標楷體" w:eastAsia="標楷體" w:hAnsi="標楷體"/>
          <w:szCs w:val="24"/>
        </w:rPr>
        <w:t>(1)首次申請為13次輸注，且需同時符合下列Ⅰ.與Ⅱ.的條件：</w:t>
      </w:r>
    </w:p>
    <w:p w14:paraId="260FC550" w14:textId="77777777" w:rsidR="00C25C62" w:rsidRPr="00D5404E" w:rsidRDefault="00C25C62" w:rsidP="00C25C62">
      <w:pPr>
        <w:spacing w:line="440" w:lineRule="exact"/>
        <w:ind w:left="993" w:hanging="280"/>
        <w:rPr>
          <w:rFonts w:ascii="標楷體" w:eastAsia="標楷體" w:hAnsi="標楷體"/>
          <w:szCs w:val="24"/>
        </w:rPr>
      </w:pPr>
      <w:r w:rsidRPr="00D5404E">
        <w:rPr>
          <w:rFonts w:ascii="標楷體" w:eastAsia="標楷體" w:hAnsi="標楷體"/>
          <w:szCs w:val="24"/>
        </w:rPr>
        <w:t>I.具有下列任一疾病惡化的指標：病人開始治療前須在連續2次評估中均符合同一指標 (但若為plamacytoma 體積增加，或是新產生的bone lesion(s)或新plasmacytoma，則僅需1次評估)：</w:t>
      </w:r>
    </w:p>
    <w:p w14:paraId="461156AB"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i.若前一線治療中M component 最低值≧5 g/dL，血清M蛋白需增加≧1 g/dL；若前一線治療中M component 最低值＜5 g/dL，血清M蛋白需增加≧0.5g/dL。</w:t>
      </w:r>
    </w:p>
    <w:p w14:paraId="2236B856"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ii.Urine M-protein需增加≧0.2 gm/24Hr，且需較前一線治療中的最低值增加≧25%。</w:t>
      </w:r>
    </w:p>
    <w:p w14:paraId="284A8965"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iii.在non-secretary myeloma病人，骨髓漿細胞 (plasma cells)之比例絕對值增加≧10%，且需較前一線治療中的最低值增加≧25%。</w:t>
      </w:r>
    </w:p>
    <w:p w14:paraId="4E85AC7A"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iv.新產生的bone lesion(s)或plasmacytoma，且須經病理切片證實。</w:t>
      </w:r>
    </w:p>
    <w:p w14:paraId="7936946A"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v.Plasmacytoma體積增加≧50%。</w:t>
      </w:r>
    </w:p>
    <w:p w14:paraId="3DE8AD61"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vi.周邊血液中漿細胞比例≧20%或漿細胞絕對值≧2000 cells/μL。</w:t>
      </w:r>
    </w:p>
    <w:p w14:paraId="22503A48" w14:textId="77777777" w:rsidR="00C25C62" w:rsidRPr="00D5404E" w:rsidRDefault="00C25C62" w:rsidP="00C25C62">
      <w:pPr>
        <w:spacing w:line="440" w:lineRule="exact"/>
        <w:ind w:left="851" w:hanging="280"/>
        <w:rPr>
          <w:rFonts w:ascii="標楷體" w:eastAsia="標楷體" w:hAnsi="標楷體"/>
          <w:szCs w:val="24"/>
        </w:rPr>
      </w:pPr>
      <w:r w:rsidRPr="00D5404E">
        <w:rPr>
          <w:rFonts w:ascii="標楷體" w:eastAsia="標楷體" w:hAnsi="標楷體"/>
          <w:szCs w:val="24"/>
        </w:rPr>
        <w:lastRenderedPageBreak/>
        <w:t>II.出現下列任一臨床症狀：</w:t>
      </w:r>
    </w:p>
    <w:p w14:paraId="7AD8A00A"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i.新產生的bone lesion(s)或plasmacytoma，且須經病理切片證實。</w:t>
      </w:r>
    </w:p>
    <w:p w14:paraId="63808F33"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ii.Plasmacytoma 體積增加≧50%。</w:t>
      </w:r>
    </w:p>
    <w:p w14:paraId="56028333" w14:textId="77777777" w:rsidR="00C25C62" w:rsidRPr="00D5404E" w:rsidRDefault="00C25C62" w:rsidP="00C25C62">
      <w:pPr>
        <w:spacing w:line="440" w:lineRule="exact"/>
        <w:ind w:left="1276" w:hanging="280"/>
        <w:rPr>
          <w:rFonts w:ascii="標楷體" w:eastAsia="標楷體" w:hAnsi="標楷體"/>
          <w:szCs w:val="24"/>
        </w:rPr>
      </w:pPr>
      <w:r w:rsidRPr="00D5404E">
        <w:rPr>
          <w:rFonts w:ascii="標楷體" w:eastAsia="標楷體" w:hAnsi="標楷體"/>
          <w:szCs w:val="24"/>
        </w:rPr>
        <w:t>iii.高血鈣(corrected serum calcium＞11.0 mg/dL或2.75 mmol/L)。</w:t>
      </w:r>
    </w:p>
    <w:p w14:paraId="3970160B" w14:textId="77777777" w:rsidR="00C25C62" w:rsidRPr="00D5404E" w:rsidRDefault="00C25C62" w:rsidP="00C25C62">
      <w:pPr>
        <w:spacing w:line="440" w:lineRule="exact"/>
        <w:ind w:left="1134" w:hanging="141"/>
        <w:rPr>
          <w:rFonts w:ascii="標楷體" w:eastAsia="標楷體" w:hAnsi="標楷體"/>
          <w:szCs w:val="24"/>
        </w:rPr>
      </w:pPr>
      <w:r w:rsidRPr="00D5404E">
        <w:rPr>
          <w:rFonts w:ascii="標楷體" w:eastAsia="標楷體" w:hAnsi="標楷體"/>
          <w:szCs w:val="24"/>
        </w:rPr>
        <w:t>iv.貧血(Hemoglobin 下降幅度≧ 2gm/dL 且無其他原因可以解釋)。</w:t>
      </w:r>
    </w:p>
    <w:p w14:paraId="1C0A67A9" w14:textId="77777777" w:rsidR="00C25C62" w:rsidRPr="00D5404E" w:rsidRDefault="00C25C62" w:rsidP="00C25C62">
      <w:pPr>
        <w:spacing w:line="440" w:lineRule="exact"/>
        <w:ind w:left="640" w:firstLine="353"/>
        <w:rPr>
          <w:rFonts w:ascii="標楷體" w:eastAsia="標楷體" w:hAnsi="標楷體"/>
          <w:szCs w:val="24"/>
        </w:rPr>
      </w:pPr>
      <w:r w:rsidRPr="00D5404E">
        <w:rPr>
          <w:rFonts w:ascii="標楷體" w:eastAsia="標楷體" w:hAnsi="標楷體"/>
          <w:szCs w:val="24"/>
        </w:rPr>
        <w:t>v.腎功能惡化(eGFR下降幅度≧25%)，且無其他原因可以解釋。</w:t>
      </w:r>
    </w:p>
    <w:p w14:paraId="563772B2" w14:textId="77777777" w:rsidR="00C25C62" w:rsidRPr="00D5404E" w:rsidRDefault="00C25C62" w:rsidP="00C25C62">
      <w:pPr>
        <w:spacing w:line="440" w:lineRule="exact"/>
        <w:ind w:left="640" w:firstLine="353"/>
        <w:rPr>
          <w:rFonts w:ascii="標楷體" w:eastAsia="標楷體" w:hAnsi="標楷體"/>
          <w:szCs w:val="24"/>
        </w:rPr>
      </w:pPr>
      <w:r w:rsidRPr="00D5404E">
        <w:rPr>
          <w:rFonts w:ascii="標楷體" w:eastAsia="標楷體" w:hAnsi="標楷體"/>
          <w:szCs w:val="24"/>
        </w:rPr>
        <w:t>vi.出現其他end-organ dysfunctions。</w:t>
      </w:r>
    </w:p>
    <w:p w14:paraId="2837E843" w14:textId="77777777" w:rsidR="00C25C62" w:rsidRPr="00D5404E" w:rsidRDefault="00C25C62" w:rsidP="00C25C62">
      <w:pPr>
        <w:spacing w:line="440" w:lineRule="exact"/>
        <w:ind w:left="400" w:firstLine="167"/>
        <w:rPr>
          <w:rFonts w:ascii="標楷體" w:eastAsia="標楷體" w:hAnsi="標楷體"/>
          <w:szCs w:val="24"/>
        </w:rPr>
      </w:pPr>
      <w:r w:rsidRPr="00D5404E">
        <w:rPr>
          <w:rFonts w:ascii="標楷體" w:eastAsia="標楷體" w:hAnsi="標楷體"/>
          <w:szCs w:val="24"/>
        </w:rPr>
        <w:t>(2)再次申請時必須確定paraprotein (M-protein)未上升(即表示對藥物有反應或為穩定狀態)，或對部分non-secretory type MM 病人以骨髓檢查plasma cell 為療效依據，方可繼續使用。續用申請每次以13次輸注為限。</w:t>
      </w:r>
    </w:p>
    <w:p w14:paraId="03D624C4" w14:textId="77777777" w:rsidR="00C25C62" w:rsidRPr="00D5404E" w:rsidRDefault="00C25C62" w:rsidP="00C25C62">
      <w:pPr>
        <w:spacing w:line="440" w:lineRule="exact"/>
        <w:ind w:left="567" w:hanging="280"/>
        <w:rPr>
          <w:rFonts w:ascii="標楷體" w:eastAsia="標楷體" w:hAnsi="標楷體"/>
          <w:szCs w:val="24"/>
        </w:rPr>
      </w:pPr>
      <w:r w:rsidRPr="00D5404E">
        <w:rPr>
          <w:rFonts w:ascii="標楷體" w:eastAsia="標楷體" w:hAnsi="標楷體"/>
          <w:szCs w:val="24"/>
        </w:rPr>
        <w:t>3.每位病人終生限給付39次輸注。</w:t>
      </w:r>
    </w:p>
    <w:p w14:paraId="494D1F30" w14:textId="77777777" w:rsidR="00C25C62" w:rsidRPr="00D5404E" w:rsidRDefault="00C25C62" w:rsidP="00C25C62">
      <w:pPr>
        <w:spacing w:line="440" w:lineRule="exact"/>
        <w:ind w:left="567" w:hanging="280"/>
        <w:rPr>
          <w:rFonts w:ascii="標楷體" w:eastAsia="標楷體" w:hAnsi="標楷體"/>
          <w:szCs w:val="24"/>
        </w:rPr>
      </w:pPr>
      <w:r w:rsidRPr="00D5404E">
        <w:rPr>
          <w:rFonts w:ascii="標楷體" w:eastAsia="標楷體" w:hAnsi="標楷體"/>
          <w:szCs w:val="24"/>
        </w:rPr>
        <w:t>4.執行醫師須完全符合下列資格：</w:t>
      </w:r>
    </w:p>
    <w:p w14:paraId="2EB23FD1" w14:textId="77777777" w:rsidR="00C25C62" w:rsidRPr="00D5404E" w:rsidRDefault="00C25C62" w:rsidP="00C25C62">
      <w:pPr>
        <w:spacing w:line="440" w:lineRule="exact"/>
        <w:ind w:left="851" w:hanging="425"/>
        <w:rPr>
          <w:rFonts w:ascii="標楷體" w:eastAsia="標楷體" w:hAnsi="標楷體"/>
          <w:szCs w:val="24"/>
        </w:rPr>
      </w:pPr>
      <w:r w:rsidRPr="00D5404E">
        <w:rPr>
          <w:rFonts w:ascii="標楷體" w:eastAsia="標楷體" w:hAnsi="標楷體"/>
          <w:szCs w:val="24"/>
        </w:rPr>
        <w:t>(1)醫師必須為血液病和造血幹細胞移植專科醫師且須完成血液病和造血幹細胞移植的相關照護訓練。</w:t>
      </w:r>
    </w:p>
    <w:p w14:paraId="0747046E" w14:textId="77777777" w:rsidR="00C25C62" w:rsidRPr="00D5404E" w:rsidRDefault="00C25C62" w:rsidP="00C25C62">
      <w:pPr>
        <w:spacing w:line="440" w:lineRule="exact"/>
        <w:ind w:left="709" w:hanging="280"/>
        <w:rPr>
          <w:rFonts w:ascii="標楷體" w:eastAsia="標楷體" w:hAnsi="標楷體"/>
          <w:szCs w:val="24"/>
        </w:rPr>
      </w:pPr>
      <w:r w:rsidRPr="00D5404E">
        <w:rPr>
          <w:rFonts w:ascii="標楷體" w:eastAsia="標楷體" w:hAnsi="標楷體"/>
          <w:szCs w:val="24"/>
        </w:rPr>
        <w:t>(2)每兩年接受至少6小時中華民國血液及骨髓移植學會或中華民國血液病學會舉辦之雙特異性抗體相關治療教育訓練。</w:t>
      </w:r>
    </w:p>
    <w:p w14:paraId="4A8198B9" w14:textId="77777777" w:rsidR="00C25C62" w:rsidRPr="00D5404E" w:rsidRDefault="00C25C62" w:rsidP="00C25C62">
      <w:pPr>
        <w:spacing w:line="440" w:lineRule="exact"/>
        <w:ind w:left="567" w:hanging="280"/>
        <w:rPr>
          <w:rFonts w:ascii="Times New Roman" w:hAnsi="Times New Roman"/>
          <w:szCs w:val="24"/>
        </w:rPr>
      </w:pPr>
      <w:r w:rsidRPr="00D5404E">
        <w:rPr>
          <w:rFonts w:ascii="標楷體" w:eastAsia="標楷體" w:hAnsi="標楷體"/>
          <w:szCs w:val="24"/>
        </w:rPr>
        <w:t>5.Elranatamab與teclistamab僅能擇一給付，除因耐受性不良，不得互換。二者使用總療程合併計算，以全部39次輸注為上限。</w:t>
      </w:r>
    </w:p>
    <w:p w14:paraId="68CCC3DA" w14:textId="77777777" w:rsidR="00C25C62" w:rsidRPr="00A24032" w:rsidRDefault="00C25C62" w:rsidP="00C25C62">
      <w:pPr>
        <w:snapToGrid w:val="0"/>
        <w:spacing w:line="400" w:lineRule="exact"/>
        <w:rPr>
          <w:rFonts w:ascii="標楷體" w:eastAsia="標楷體" w:hAnsi="標楷體"/>
          <w:szCs w:val="24"/>
        </w:rPr>
      </w:pPr>
      <w:r w:rsidRPr="00A24032">
        <w:rPr>
          <w:rFonts w:ascii="標楷體" w:eastAsia="標楷體" w:hAnsi="標楷體"/>
          <w:szCs w:val="24"/>
        </w:rPr>
        <w:t>9.</w:t>
      </w:r>
      <w:r w:rsidRPr="00A24032">
        <w:rPr>
          <w:rFonts w:ascii="標楷體" w:eastAsia="標楷體" w:hAnsi="標楷體" w:hint="eastAsia"/>
          <w:szCs w:val="24"/>
        </w:rPr>
        <w:t>119.</w:t>
      </w:r>
      <w:r w:rsidRPr="00A24032">
        <w:rPr>
          <w:rFonts w:ascii="標楷體" w:eastAsia="標楷體" w:hAnsi="標楷體"/>
          <w:szCs w:val="24"/>
        </w:rPr>
        <w:t xml:space="preserve"> </w:t>
      </w:r>
      <w:r w:rsidRPr="00A24032">
        <w:rPr>
          <w:rFonts w:ascii="標楷體" w:eastAsia="標楷體" w:hAnsi="標楷體" w:hint="eastAsia"/>
          <w:szCs w:val="24"/>
        </w:rPr>
        <w:t>Teclistamab (如Tecvayli)</w:t>
      </w:r>
      <w:r w:rsidRPr="00A24032">
        <w:rPr>
          <w:rFonts w:ascii="標楷體" w:eastAsia="標楷體" w:hAnsi="標楷體"/>
          <w:szCs w:val="24"/>
        </w:rPr>
        <w:t xml:space="preserve"> </w:t>
      </w:r>
      <w:r w:rsidRPr="00A24032">
        <w:rPr>
          <w:rFonts w:ascii="標楷體" w:eastAsia="標楷體" w:hAnsi="標楷體" w:hint="eastAsia"/>
          <w:szCs w:val="24"/>
        </w:rPr>
        <w:t>：</w:t>
      </w:r>
      <w:r w:rsidRPr="00A24032">
        <w:rPr>
          <w:rFonts w:ascii="標楷體" w:eastAsia="標楷體" w:hAnsi="標楷體"/>
          <w:szCs w:val="24"/>
        </w:rPr>
        <w:t>(</w:t>
      </w:r>
      <w:r w:rsidRPr="00A24032">
        <w:rPr>
          <w:rFonts w:ascii="標楷體" w:eastAsia="標楷體" w:hAnsi="標楷體" w:hint="eastAsia"/>
          <w:szCs w:val="24"/>
        </w:rPr>
        <w:t>114</w:t>
      </w:r>
      <w:r w:rsidRPr="00A24032">
        <w:rPr>
          <w:rFonts w:ascii="標楷體" w:eastAsia="標楷體" w:hAnsi="標楷體"/>
          <w:szCs w:val="24"/>
        </w:rPr>
        <w:t>/</w:t>
      </w:r>
      <w:r w:rsidRPr="00A24032">
        <w:rPr>
          <w:rFonts w:ascii="標楷體" w:eastAsia="標楷體" w:hAnsi="標楷體" w:hint="eastAsia"/>
          <w:szCs w:val="24"/>
        </w:rPr>
        <w:t>5</w:t>
      </w:r>
      <w:r w:rsidRPr="00A24032">
        <w:rPr>
          <w:rFonts w:ascii="標楷體" w:eastAsia="標楷體" w:hAnsi="標楷體"/>
          <w:szCs w:val="24"/>
        </w:rPr>
        <w:t>/1)</w:t>
      </w:r>
    </w:p>
    <w:p w14:paraId="12826973" w14:textId="77777777" w:rsidR="00C25C62" w:rsidRPr="00A24032" w:rsidRDefault="00C25C62" w:rsidP="008A7063">
      <w:pPr>
        <w:numPr>
          <w:ilvl w:val="0"/>
          <w:numId w:val="146"/>
        </w:numPr>
        <w:suppressAutoHyphens w:val="0"/>
        <w:autoSpaceDN/>
        <w:snapToGrid w:val="0"/>
        <w:spacing w:line="400" w:lineRule="exact"/>
        <w:ind w:left="851" w:hanging="284"/>
        <w:textAlignment w:val="auto"/>
        <w:rPr>
          <w:rFonts w:ascii="標楷體" w:eastAsia="標楷體" w:hAnsi="標楷體"/>
          <w:szCs w:val="24"/>
        </w:rPr>
      </w:pPr>
      <w:r w:rsidRPr="00A24032">
        <w:rPr>
          <w:rFonts w:ascii="標楷體" w:eastAsia="標楷體" w:hAnsi="標楷體"/>
          <w:szCs w:val="24"/>
        </w:rPr>
        <w:t>適用於治療先前曾接受至少四線療法(包括一種蛋白酶體抑制劑、一種免疫調節劑和一種抗CD38單株抗體</w:t>
      </w:r>
      <w:r w:rsidRPr="00A24032">
        <w:rPr>
          <w:rFonts w:ascii="標楷體" w:eastAsia="標楷體" w:hAnsi="標楷體" w:hint="eastAsia"/>
          <w:szCs w:val="24"/>
        </w:rPr>
        <w:t xml:space="preserve">)並在最近治療後顯示疾病惡化的復發性或難治性多發性骨髓瘤成人病人，且須具有良好日常體能狀態(ECOG </w:t>
      </w:r>
      <w:r w:rsidRPr="00A24032">
        <w:rPr>
          <w:rFonts w:ascii="Times New Roman" w:eastAsia="標楷體" w:hAnsi="Times New Roman"/>
          <w:szCs w:val="24"/>
        </w:rPr>
        <w:t>≤</w:t>
      </w:r>
      <w:r w:rsidRPr="00A24032">
        <w:rPr>
          <w:rFonts w:ascii="標楷體" w:eastAsia="標楷體" w:hAnsi="標楷體" w:hint="eastAsia"/>
          <w:szCs w:val="24"/>
        </w:rPr>
        <w:t xml:space="preserve"> 2)。</w:t>
      </w:r>
      <w:r w:rsidRPr="00A24032">
        <w:rPr>
          <w:rFonts w:ascii="標楷體" w:eastAsia="標楷體" w:hAnsi="標楷體"/>
          <w:szCs w:val="24"/>
        </w:rPr>
        <w:t xml:space="preserve"> </w:t>
      </w:r>
    </w:p>
    <w:p w14:paraId="30141FCB" w14:textId="77777777" w:rsidR="00C25C62" w:rsidRPr="00A24032" w:rsidRDefault="00C25C62" w:rsidP="008A7063">
      <w:pPr>
        <w:numPr>
          <w:ilvl w:val="0"/>
          <w:numId w:val="146"/>
        </w:numPr>
        <w:suppressAutoHyphens w:val="0"/>
        <w:autoSpaceDN/>
        <w:snapToGrid w:val="0"/>
        <w:spacing w:line="400" w:lineRule="exact"/>
        <w:ind w:left="851" w:hanging="284"/>
        <w:textAlignment w:val="auto"/>
        <w:rPr>
          <w:rFonts w:ascii="標楷體" w:eastAsia="標楷體" w:hAnsi="標楷體"/>
          <w:szCs w:val="24"/>
        </w:rPr>
      </w:pPr>
      <w:r w:rsidRPr="00A24032">
        <w:rPr>
          <w:rFonts w:ascii="標楷體" w:eastAsia="標楷體" w:hAnsi="標楷體"/>
          <w:szCs w:val="24"/>
        </w:rPr>
        <w:t>須經事前審查核准後使用：</w:t>
      </w:r>
    </w:p>
    <w:p w14:paraId="0F147F5F" w14:textId="77777777" w:rsidR="00C25C62" w:rsidRPr="00A24032" w:rsidRDefault="00C25C62" w:rsidP="008A7063">
      <w:pPr>
        <w:numPr>
          <w:ilvl w:val="1"/>
          <w:numId w:val="146"/>
        </w:numPr>
        <w:suppressAutoHyphens w:val="0"/>
        <w:autoSpaceDN/>
        <w:snapToGrid w:val="0"/>
        <w:spacing w:line="400" w:lineRule="exact"/>
        <w:ind w:left="1134" w:hanging="425"/>
        <w:textAlignment w:val="auto"/>
        <w:rPr>
          <w:rFonts w:ascii="標楷體" w:eastAsia="標楷體" w:hAnsi="標楷體"/>
          <w:szCs w:val="24"/>
        </w:rPr>
      </w:pPr>
      <w:r w:rsidRPr="00A24032">
        <w:rPr>
          <w:rFonts w:ascii="標楷體" w:eastAsia="標楷體" w:hAnsi="標楷體" w:hint="eastAsia"/>
          <w:szCs w:val="24"/>
        </w:rPr>
        <w:t>首次申請為</w:t>
      </w:r>
      <w:r w:rsidRPr="00A24032">
        <w:rPr>
          <w:rFonts w:ascii="標楷體" w:eastAsia="標楷體" w:hAnsi="標楷體"/>
          <w:szCs w:val="24"/>
        </w:rPr>
        <w:t>30mg/3ml</w:t>
      </w:r>
      <w:r w:rsidRPr="00A24032">
        <w:rPr>
          <w:rFonts w:ascii="標楷體" w:eastAsia="標楷體" w:hAnsi="標楷體" w:hint="eastAsia"/>
          <w:szCs w:val="24"/>
        </w:rPr>
        <w:t>規格2次輸注與</w:t>
      </w:r>
      <w:r w:rsidRPr="00A24032">
        <w:rPr>
          <w:rFonts w:ascii="標楷體" w:eastAsia="標楷體" w:hAnsi="標楷體"/>
          <w:szCs w:val="24"/>
        </w:rPr>
        <w:t>153mg/1.7ml</w:t>
      </w:r>
      <w:r w:rsidRPr="00A24032">
        <w:rPr>
          <w:rFonts w:ascii="標楷體" w:eastAsia="標楷體" w:hAnsi="標楷體" w:hint="eastAsia"/>
          <w:szCs w:val="24"/>
        </w:rPr>
        <w:t>規格11次輸注</w:t>
      </w:r>
      <w:r w:rsidRPr="00A24032">
        <w:rPr>
          <w:rFonts w:ascii="標楷體" w:eastAsia="標楷體" w:hAnsi="標楷體"/>
          <w:szCs w:val="24"/>
        </w:rPr>
        <w:t>，且需同時符合下列Ⅰ.與Ⅱ.的條件：</w:t>
      </w:r>
    </w:p>
    <w:p w14:paraId="20672413" w14:textId="77777777" w:rsidR="00C25C62" w:rsidRPr="00A24032" w:rsidRDefault="00C25C62" w:rsidP="008A7063">
      <w:pPr>
        <w:numPr>
          <w:ilvl w:val="2"/>
          <w:numId w:val="146"/>
        </w:numPr>
        <w:suppressAutoHyphens w:val="0"/>
        <w:autoSpaceDN/>
        <w:snapToGrid w:val="0"/>
        <w:spacing w:line="400" w:lineRule="exact"/>
        <w:ind w:left="1276" w:hanging="284"/>
        <w:textAlignment w:val="auto"/>
        <w:rPr>
          <w:rFonts w:ascii="標楷體" w:eastAsia="標楷體" w:hAnsi="標楷體"/>
          <w:szCs w:val="24"/>
        </w:rPr>
      </w:pPr>
      <w:r w:rsidRPr="00A24032">
        <w:rPr>
          <w:rFonts w:ascii="標楷體" w:eastAsia="標楷體" w:hAnsi="標楷體"/>
          <w:szCs w:val="24"/>
        </w:rPr>
        <w:t>具有下列任一疾病惡化的指標：病</w:t>
      </w:r>
      <w:r w:rsidRPr="00A24032">
        <w:rPr>
          <w:rFonts w:ascii="標楷體" w:eastAsia="標楷體" w:hAnsi="標楷體" w:hint="eastAsia"/>
          <w:szCs w:val="24"/>
        </w:rPr>
        <w:t>人</w:t>
      </w:r>
      <w:r w:rsidRPr="00A24032">
        <w:rPr>
          <w:rFonts w:ascii="標楷體" w:eastAsia="標楷體" w:hAnsi="標楷體"/>
          <w:szCs w:val="24"/>
        </w:rPr>
        <w:t>開始治療前須在連續2次評估中均符合同一指標 (但若為plamacytoma 體積增加，或是新產生的bone lesion(s)或新plasmacytoma，則僅需1次評估)：</w:t>
      </w:r>
    </w:p>
    <w:p w14:paraId="2FDFA819" w14:textId="77777777" w:rsidR="00C25C62" w:rsidRPr="00A24032" w:rsidRDefault="00C25C62" w:rsidP="008A7063">
      <w:pPr>
        <w:pStyle w:val="af"/>
        <w:numPr>
          <w:ilvl w:val="3"/>
          <w:numId w:val="146"/>
        </w:numPr>
        <w:suppressAutoHyphens w:val="0"/>
        <w:autoSpaceDN/>
        <w:snapToGrid w:val="0"/>
        <w:spacing w:line="400" w:lineRule="exact"/>
        <w:ind w:left="1276" w:hanging="171"/>
        <w:textAlignment w:val="auto"/>
        <w:rPr>
          <w:rFonts w:ascii="標楷體" w:eastAsia="標楷體" w:hAnsi="標楷體"/>
        </w:rPr>
      </w:pPr>
      <w:r w:rsidRPr="00A24032">
        <w:rPr>
          <w:rFonts w:ascii="標楷體" w:eastAsia="標楷體" w:hAnsi="標楷體"/>
        </w:rPr>
        <w:t>若前一線治療中M component 最低值</w:t>
      </w:r>
      <w:r w:rsidRPr="00A24032">
        <w:rPr>
          <w:rFonts w:ascii="標楷體" w:eastAsia="標楷體" w:hAnsi="標楷體" w:cs="新細明體" w:hint="eastAsia"/>
        </w:rPr>
        <w:t>≧</w:t>
      </w:r>
      <w:r w:rsidRPr="00A24032">
        <w:rPr>
          <w:rFonts w:ascii="標楷體" w:eastAsia="標楷體" w:hAnsi="標楷體"/>
        </w:rPr>
        <w:t>5 g/dL，血清M蛋白需增加</w:t>
      </w:r>
      <w:r w:rsidRPr="00A24032">
        <w:rPr>
          <w:rFonts w:ascii="標楷體" w:eastAsia="標楷體" w:hAnsi="標楷體" w:cs="新細明體" w:hint="eastAsia"/>
        </w:rPr>
        <w:t>≧</w:t>
      </w:r>
      <w:r w:rsidRPr="00A24032">
        <w:rPr>
          <w:rFonts w:ascii="標楷體" w:eastAsia="標楷體" w:hAnsi="標楷體"/>
        </w:rPr>
        <w:t>1 g/dL；若前一線治療中M component 最低值＜5 g/dL，血清M蛋白需增加</w:t>
      </w:r>
      <w:r w:rsidRPr="00A24032">
        <w:rPr>
          <w:rFonts w:ascii="標楷體" w:eastAsia="標楷體" w:hAnsi="標楷體" w:cs="新細明體" w:hint="eastAsia"/>
        </w:rPr>
        <w:t>≧</w:t>
      </w:r>
      <w:r w:rsidRPr="00A24032">
        <w:rPr>
          <w:rFonts w:ascii="標楷體" w:eastAsia="標楷體" w:hAnsi="標楷體"/>
        </w:rPr>
        <w:t>0.5g/dL。</w:t>
      </w:r>
    </w:p>
    <w:p w14:paraId="32408D97"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Urine M-protein需增加</w:t>
      </w:r>
      <w:r w:rsidRPr="00A24032">
        <w:rPr>
          <w:rFonts w:ascii="標楷體" w:eastAsia="標楷體" w:hAnsi="標楷體" w:cs="新細明體" w:hint="eastAsia"/>
        </w:rPr>
        <w:t>≧</w:t>
      </w:r>
      <w:r w:rsidRPr="00A24032">
        <w:rPr>
          <w:rFonts w:ascii="標楷體" w:eastAsia="標楷體" w:hAnsi="標楷體"/>
        </w:rPr>
        <w:t>0.2 gm/24Hr，且需較前一線治療中的最低值增加</w:t>
      </w:r>
      <w:r w:rsidRPr="00A24032">
        <w:rPr>
          <w:rFonts w:ascii="標楷體" w:eastAsia="標楷體" w:hAnsi="標楷體" w:cs="新細明體" w:hint="eastAsia"/>
        </w:rPr>
        <w:t>≧</w:t>
      </w:r>
      <w:r w:rsidRPr="00A24032">
        <w:rPr>
          <w:rFonts w:ascii="標楷體" w:eastAsia="標楷體" w:hAnsi="標楷體"/>
        </w:rPr>
        <w:t>25%。</w:t>
      </w:r>
    </w:p>
    <w:p w14:paraId="7184B0C5" w14:textId="77777777" w:rsidR="00C25C62" w:rsidRPr="00A24032" w:rsidRDefault="00C25C62" w:rsidP="008A7063">
      <w:pPr>
        <w:pStyle w:val="af"/>
        <w:numPr>
          <w:ilvl w:val="3"/>
          <w:numId w:val="146"/>
        </w:numPr>
        <w:suppressAutoHyphens w:val="0"/>
        <w:autoSpaceDN/>
        <w:snapToGrid w:val="0"/>
        <w:spacing w:line="400" w:lineRule="exact"/>
        <w:ind w:left="1701" w:hanging="596"/>
        <w:textAlignment w:val="auto"/>
        <w:rPr>
          <w:rFonts w:ascii="標楷體" w:eastAsia="標楷體" w:hAnsi="標楷體"/>
        </w:rPr>
      </w:pPr>
      <w:r w:rsidRPr="00A24032">
        <w:rPr>
          <w:rFonts w:ascii="標楷體" w:eastAsia="標楷體" w:hAnsi="標楷體"/>
        </w:rPr>
        <w:lastRenderedPageBreak/>
        <w:t>在non-secretary myeloma病</w:t>
      </w:r>
      <w:r w:rsidRPr="00A24032">
        <w:rPr>
          <w:rFonts w:ascii="標楷體" w:eastAsia="標楷體" w:hAnsi="標楷體" w:hint="eastAsia"/>
        </w:rPr>
        <w:t>人</w:t>
      </w:r>
      <w:r w:rsidRPr="00A24032">
        <w:rPr>
          <w:rFonts w:ascii="標楷體" w:eastAsia="標楷體" w:hAnsi="標楷體"/>
        </w:rPr>
        <w:t>，骨髓漿細胞 (plasma cells)之比例絕對值增加</w:t>
      </w:r>
      <w:r w:rsidRPr="00A24032">
        <w:rPr>
          <w:rFonts w:ascii="標楷體" w:eastAsia="標楷體" w:hAnsi="標楷體" w:cs="新細明體" w:hint="eastAsia"/>
        </w:rPr>
        <w:t>≧</w:t>
      </w:r>
      <w:r w:rsidRPr="00A24032">
        <w:rPr>
          <w:rFonts w:ascii="標楷體" w:eastAsia="標楷體" w:hAnsi="標楷體"/>
        </w:rPr>
        <w:t>10%，且需較前一線治療中的最低值增加</w:t>
      </w:r>
      <w:r w:rsidRPr="00A24032">
        <w:rPr>
          <w:rFonts w:ascii="標楷體" w:eastAsia="標楷體" w:hAnsi="標楷體" w:cs="新細明體" w:hint="eastAsia"/>
        </w:rPr>
        <w:t>≧</w:t>
      </w:r>
      <w:r w:rsidRPr="00A24032">
        <w:rPr>
          <w:rFonts w:ascii="標楷體" w:eastAsia="標楷體" w:hAnsi="標楷體"/>
        </w:rPr>
        <w:t>25%。</w:t>
      </w:r>
    </w:p>
    <w:p w14:paraId="0A7E6A62"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新產生的bone lesion(s)或plasmacytoma</w:t>
      </w:r>
      <w:r w:rsidRPr="00A24032">
        <w:rPr>
          <w:rFonts w:ascii="標楷體" w:eastAsia="標楷體" w:hAnsi="標楷體" w:hint="eastAsia"/>
        </w:rPr>
        <w:t>，</w:t>
      </w:r>
      <w:r w:rsidRPr="00A24032">
        <w:rPr>
          <w:rFonts w:ascii="標楷體" w:eastAsia="標楷體" w:hAnsi="標楷體"/>
        </w:rPr>
        <w:t>且須經病理切片證實。</w:t>
      </w:r>
    </w:p>
    <w:p w14:paraId="2EC3EBF9"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Plasmacytoma體積增加</w:t>
      </w:r>
      <w:r w:rsidRPr="00A24032">
        <w:rPr>
          <w:rFonts w:ascii="標楷體" w:eastAsia="標楷體" w:hAnsi="標楷體" w:cs="新細明體" w:hint="eastAsia"/>
        </w:rPr>
        <w:t>≧</w:t>
      </w:r>
      <w:r w:rsidRPr="00A24032">
        <w:rPr>
          <w:rFonts w:ascii="標楷體" w:eastAsia="標楷體" w:hAnsi="標楷體"/>
        </w:rPr>
        <w:t>50%。</w:t>
      </w:r>
    </w:p>
    <w:p w14:paraId="2D40760A"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周邊血液中漿細胞比例</w:t>
      </w:r>
      <w:r w:rsidRPr="00A24032">
        <w:rPr>
          <w:rFonts w:ascii="標楷體" w:eastAsia="標楷體" w:hAnsi="標楷體" w:cs="新細明體" w:hint="eastAsia"/>
        </w:rPr>
        <w:t>≧</w:t>
      </w:r>
      <w:r w:rsidRPr="00A24032">
        <w:rPr>
          <w:rFonts w:ascii="標楷體" w:eastAsia="標楷體" w:hAnsi="標楷體"/>
        </w:rPr>
        <w:t>20%或漿細胞絕對值</w:t>
      </w:r>
      <w:r w:rsidRPr="00A24032">
        <w:rPr>
          <w:rFonts w:ascii="標楷體" w:eastAsia="標楷體" w:hAnsi="標楷體" w:cs="新細明體" w:hint="eastAsia"/>
        </w:rPr>
        <w:t>≧</w:t>
      </w:r>
      <w:r w:rsidRPr="00A24032">
        <w:rPr>
          <w:rFonts w:ascii="標楷體" w:eastAsia="標楷體" w:hAnsi="標楷體"/>
        </w:rPr>
        <w:t>2000 cells/μL。</w:t>
      </w:r>
    </w:p>
    <w:p w14:paraId="1CFD3B85" w14:textId="77777777" w:rsidR="00C25C62" w:rsidRPr="00A24032" w:rsidRDefault="00C25C62" w:rsidP="008A7063">
      <w:pPr>
        <w:numPr>
          <w:ilvl w:val="2"/>
          <w:numId w:val="146"/>
        </w:numPr>
        <w:suppressAutoHyphens w:val="0"/>
        <w:autoSpaceDN/>
        <w:snapToGrid w:val="0"/>
        <w:spacing w:line="400" w:lineRule="exact"/>
        <w:ind w:left="1418" w:hanging="454"/>
        <w:textAlignment w:val="auto"/>
        <w:rPr>
          <w:rFonts w:ascii="標楷體" w:eastAsia="標楷體" w:hAnsi="標楷體"/>
          <w:szCs w:val="24"/>
        </w:rPr>
      </w:pPr>
      <w:r w:rsidRPr="00A24032">
        <w:rPr>
          <w:rFonts w:ascii="標楷體" w:eastAsia="標楷體" w:hAnsi="標楷體"/>
          <w:szCs w:val="24"/>
        </w:rPr>
        <w:t>出現下列任一臨床症狀：</w:t>
      </w:r>
    </w:p>
    <w:p w14:paraId="39E127A5"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新產生的bone lesion(s)或plasmacytoma</w:t>
      </w:r>
      <w:r w:rsidRPr="00A24032">
        <w:rPr>
          <w:rFonts w:ascii="標楷體" w:eastAsia="標楷體" w:hAnsi="標楷體" w:hint="eastAsia"/>
        </w:rPr>
        <w:t>，</w:t>
      </w:r>
      <w:r w:rsidRPr="00A24032">
        <w:rPr>
          <w:rFonts w:ascii="標楷體" w:eastAsia="標楷體" w:hAnsi="標楷體"/>
        </w:rPr>
        <w:t>且須經病理切片證實。</w:t>
      </w:r>
    </w:p>
    <w:p w14:paraId="0DBAC5FA"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Plasmacytoma 體積增加</w:t>
      </w:r>
      <w:r w:rsidRPr="00A24032">
        <w:rPr>
          <w:rFonts w:ascii="標楷體" w:eastAsia="標楷體" w:hAnsi="標楷體" w:cs="新細明體" w:hint="eastAsia"/>
        </w:rPr>
        <w:t>≧</w:t>
      </w:r>
      <w:r w:rsidRPr="00A24032">
        <w:rPr>
          <w:rFonts w:ascii="標楷體" w:eastAsia="標楷體" w:hAnsi="標楷體"/>
        </w:rPr>
        <w:t>50%。</w:t>
      </w:r>
    </w:p>
    <w:p w14:paraId="5149C3E9" w14:textId="77777777" w:rsidR="00C25C62" w:rsidRPr="00A24032" w:rsidRDefault="00C25C62" w:rsidP="008A7063">
      <w:pPr>
        <w:pStyle w:val="af"/>
        <w:numPr>
          <w:ilvl w:val="3"/>
          <w:numId w:val="146"/>
        </w:numPr>
        <w:suppressAutoHyphens w:val="0"/>
        <w:autoSpaceDN/>
        <w:snapToGrid w:val="0"/>
        <w:spacing w:line="400" w:lineRule="exact"/>
        <w:ind w:left="1560" w:hanging="596"/>
        <w:textAlignment w:val="auto"/>
        <w:rPr>
          <w:rFonts w:ascii="標楷體" w:eastAsia="標楷體" w:hAnsi="標楷體"/>
        </w:rPr>
      </w:pPr>
      <w:r w:rsidRPr="00A24032">
        <w:rPr>
          <w:rFonts w:ascii="標楷體" w:eastAsia="標楷體" w:hAnsi="標楷體"/>
        </w:rPr>
        <w:t>高血鈣(corrected serum calcium＞11.0 mg/dL 或2.75 mmol/L)。</w:t>
      </w:r>
    </w:p>
    <w:p w14:paraId="15EDB569"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貧血(Hemoglobin 下降幅度</w:t>
      </w:r>
      <w:r w:rsidRPr="00A24032">
        <w:rPr>
          <w:rFonts w:ascii="標楷體" w:eastAsia="標楷體" w:hAnsi="標楷體" w:cs="新細明體" w:hint="eastAsia"/>
        </w:rPr>
        <w:t>≧</w:t>
      </w:r>
      <w:r w:rsidRPr="00A24032">
        <w:rPr>
          <w:rFonts w:ascii="標楷體" w:eastAsia="標楷體" w:hAnsi="標楷體"/>
        </w:rPr>
        <w:t xml:space="preserve"> 2gm/dL 且無其他原因可以解釋)。</w:t>
      </w:r>
    </w:p>
    <w:p w14:paraId="5B5548F8"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腎功能惡化(eGFR下降幅度</w:t>
      </w:r>
      <w:r w:rsidRPr="00A24032">
        <w:rPr>
          <w:rFonts w:ascii="標楷體" w:eastAsia="標楷體" w:hAnsi="標楷體" w:cs="新細明體" w:hint="eastAsia"/>
        </w:rPr>
        <w:t>≧</w:t>
      </w:r>
      <w:r w:rsidRPr="00A24032">
        <w:rPr>
          <w:rFonts w:ascii="標楷體" w:eastAsia="標楷體" w:hAnsi="標楷體"/>
        </w:rPr>
        <w:t>25%)，且無其他原因可以解釋。</w:t>
      </w:r>
    </w:p>
    <w:p w14:paraId="71DD4B66" w14:textId="77777777" w:rsidR="00C25C62" w:rsidRPr="00A24032" w:rsidRDefault="00C25C62" w:rsidP="008A7063">
      <w:pPr>
        <w:pStyle w:val="af"/>
        <w:numPr>
          <w:ilvl w:val="3"/>
          <w:numId w:val="146"/>
        </w:numPr>
        <w:suppressAutoHyphens w:val="0"/>
        <w:autoSpaceDN/>
        <w:snapToGrid w:val="0"/>
        <w:spacing w:line="400" w:lineRule="exact"/>
        <w:ind w:left="1560" w:hanging="454"/>
        <w:textAlignment w:val="auto"/>
        <w:rPr>
          <w:rFonts w:ascii="標楷體" w:eastAsia="標楷體" w:hAnsi="標楷體"/>
        </w:rPr>
      </w:pPr>
      <w:r w:rsidRPr="00A24032">
        <w:rPr>
          <w:rFonts w:ascii="標楷體" w:eastAsia="標楷體" w:hAnsi="標楷體"/>
        </w:rPr>
        <w:t>出現其他end-organ dysfunctions。</w:t>
      </w:r>
    </w:p>
    <w:p w14:paraId="51A28B2E" w14:textId="77777777" w:rsidR="00C25C62" w:rsidRPr="00A24032" w:rsidRDefault="00C25C62" w:rsidP="008A7063">
      <w:pPr>
        <w:numPr>
          <w:ilvl w:val="1"/>
          <w:numId w:val="146"/>
        </w:numPr>
        <w:suppressAutoHyphens w:val="0"/>
        <w:autoSpaceDN/>
        <w:snapToGrid w:val="0"/>
        <w:spacing w:line="400" w:lineRule="exact"/>
        <w:ind w:leftChars="355" w:left="1274" w:hangingChars="176" w:hanging="422"/>
        <w:textAlignment w:val="auto"/>
        <w:rPr>
          <w:rFonts w:ascii="標楷體" w:eastAsia="標楷體" w:hAnsi="標楷體"/>
          <w:szCs w:val="24"/>
        </w:rPr>
      </w:pPr>
      <w:r w:rsidRPr="00A24032">
        <w:rPr>
          <w:rFonts w:ascii="標楷體" w:eastAsia="標楷體" w:hAnsi="標楷體"/>
          <w:szCs w:val="24"/>
        </w:rPr>
        <w:t>再次申請時必須確定paraprotein (M-protein)未上升(即表示對藥物有反應或為穩定狀態)，或對部分non-secretory type MM 病人以骨髓檢查plasma cell 為療效依據，方可繼續使用。</w:t>
      </w:r>
      <w:r w:rsidRPr="00A24032">
        <w:rPr>
          <w:rFonts w:ascii="標楷體" w:eastAsia="標楷體" w:hAnsi="標楷體" w:hint="eastAsia"/>
          <w:szCs w:val="24"/>
        </w:rPr>
        <w:t>續用時的申請每次以153mg/1.7ml規格13次輸注為限。</w:t>
      </w:r>
    </w:p>
    <w:p w14:paraId="63C238C1" w14:textId="77777777" w:rsidR="00C25C62" w:rsidRPr="00A24032" w:rsidRDefault="00C25C62" w:rsidP="008A7063">
      <w:pPr>
        <w:numPr>
          <w:ilvl w:val="0"/>
          <w:numId w:val="146"/>
        </w:numPr>
        <w:suppressAutoHyphens w:val="0"/>
        <w:autoSpaceDN/>
        <w:snapToGrid w:val="0"/>
        <w:spacing w:line="400" w:lineRule="exact"/>
        <w:ind w:left="993" w:hanging="284"/>
        <w:textAlignment w:val="auto"/>
        <w:rPr>
          <w:rFonts w:ascii="標楷體" w:eastAsia="標楷體" w:hAnsi="標楷體"/>
          <w:szCs w:val="24"/>
        </w:rPr>
      </w:pPr>
      <w:r w:rsidRPr="00A24032">
        <w:rPr>
          <w:rFonts w:ascii="標楷體" w:eastAsia="標楷體" w:hAnsi="標楷體" w:hint="eastAsia"/>
          <w:szCs w:val="24"/>
        </w:rPr>
        <w:t>每位病人終生限給付39次輸注(含30mg/3ml規格共2次輸注、153mg/1.7ml規格共37次輸注</w:t>
      </w:r>
      <w:r w:rsidRPr="00A24032">
        <w:rPr>
          <w:rFonts w:ascii="標楷體" w:eastAsia="標楷體" w:hAnsi="標楷體"/>
          <w:szCs w:val="24"/>
        </w:rPr>
        <w:t>)</w:t>
      </w:r>
      <w:r w:rsidRPr="00A24032">
        <w:rPr>
          <w:rFonts w:ascii="標楷體" w:eastAsia="標楷體" w:hAnsi="標楷體" w:hint="eastAsia"/>
          <w:szCs w:val="24"/>
        </w:rPr>
        <w:t>。</w:t>
      </w:r>
    </w:p>
    <w:p w14:paraId="2D08242C" w14:textId="77777777" w:rsidR="00C25C62" w:rsidRPr="00A24032" w:rsidRDefault="00C25C62" w:rsidP="008A7063">
      <w:pPr>
        <w:numPr>
          <w:ilvl w:val="0"/>
          <w:numId w:val="146"/>
        </w:numPr>
        <w:suppressAutoHyphens w:val="0"/>
        <w:autoSpaceDN/>
        <w:snapToGrid w:val="0"/>
        <w:spacing w:line="400" w:lineRule="exact"/>
        <w:ind w:left="993" w:hanging="284"/>
        <w:textAlignment w:val="auto"/>
        <w:rPr>
          <w:rFonts w:ascii="標楷體" w:eastAsia="標楷體" w:hAnsi="標楷體"/>
          <w:szCs w:val="24"/>
        </w:rPr>
      </w:pPr>
      <w:r w:rsidRPr="00A24032">
        <w:rPr>
          <w:rFonts w:ascii="標楷體" w:eastAsia="標楷體" w:hAnsi="標楷體" w:hint="eastAsia"/>
          <w:szCs w:val="24"/>
        </w:rPr>
        <w:t>執行醫師須完全符合下列資格：</w:t>
      </w:r>
    </w:p>
    <w:p w14:paraId="2C608094" w14:textId="77777777" w:rsidR="00C25C62" w:rsidRPr="00A24032" w:rsidRDefault="00C25C62" w:rsidP="008A7063">
      <w:pPr>
        <w:pStyle w:val="af3"/>
        <w:numPr>
          <w:ilvl w:val="1"/>
          <w:numId w:val="146"/>
        </w:numPr>
        <w:suppressAutoHyphens w:val="0"/>
        <w:autoSpaceDN/>
        <w:snapToGrid w:val="0"/>
        <w:spacing w:line="400" w:lineRule="exact"/>
        <w:ind w:leftChars="355" w:left="1274" w:hangingChars="176" w:hanging="422"/>
        <w:textAlignment w:val="auto"/>
        <w:rPr>
          <w:rFonts w:ascii="標楷體" w:eastAsia="標楷體" w:hAnsi="標楷體"/>
          <w:szCs w:val="24"/>
        </w:rPr>
      </w:pPr>
      <w:r w:rsidRPr="00A24032">
        <w:rPr>
          <w:rFonts w:ascii="標楷體" w:eastAsia="標楷體" w:hAnsi="標楷體" w:hint="eastAsia"/>
          <w:szCs w:val="24"/>
        </w:rPr>
        <w:t>醫師必須為血液病和造血幹細胞移植專科醫師且須完成血液病和造血幹細胞移植的相關照護訓練。</w:t>
      </w:r>
    </w:p>
    <w:p w14:paraId="0D318A61" w14:textId="77777777" w:rsidR="00C25C62" w:rsidRPr="00A24032" w:rsidRDefault="00C25C62" w:rsidP="008A7063">
      <w:pPr>
        <w:pStyle w:val="af3"/>
        <w:numPr>
          <w:ilvl w:val="1"/>
          <w:numId w:val="146"/>
        </w:numPr>
        <w:suppressAutoHyphens w:val="0"/>
        <w:autoSpaceDN/>
        <w:snapToGrid w:val="0"/>
        <w:spacing w:line="400" w:lineRule="exact"/>
        <w:ind w:leftChars="355" w:left="1274" w:hangingChars="176" w:hanging="422"/>
        <w:textAlignment w:val="auto"/>
        <w:rPr>
          <w:rFonts w:ascii="標楷體" w:eastAsia="標楷體" w:hAnsi="標楷體"/>
          <w:szCs w:val="24"/>
        </w:rPr>
      </w:pPr>
      <w:r w:rsidRPr="00A24032">
        <w:rPr>
          <w:rFonts w:ascii="標楷體" w:eastAsia="標楷體" w:hAnsi="標楷體" w:hint="eastAsia"/>
          <w:szCs w:val="24"/>
        </w:rPr>
        <w:t>每兩年接受至少6小時中華民國血液及骨髓移植學會或中華民國血液病學會舉辦之雙特異性抗體相關治療教育訓練。</w:t>
      </w:r>
    </w:p>
    <w:p w14:paraId="2D3B4D7F" w14:textId="40967232" w:rsidR="00C25C62" w:rsidRPr="00C25C62" w:rsidRDefault="00C25C62" w:rsidP="00C25C62">
      <w:pPr>
        <w:tabs>
          <w:tab w:val="left" w:pos="1418"/>
        </w:tabs>
        <w:ind w:leftChars="531" w:left="1274" w:firstLine="2"/>
        <w:jc w:val="both"/>
        <w:rPr>
          <w:rFonts w:ascii="標楷體" w:eastAsia="標楷體" w:hAnsi="標楷體"/>
          <w:sz w:val="20"/>
        </w:rPr>
      </w:pPr>
      <w:r w:rsidRPr="00A24032">
        <w:rPr>
          <w:rFonts w:ascii="標楷體" w:eastAsia="標楷體" w:hAnsi="標楷體"/>
          <w:szCs w:val="24"/>
        </w:rPr>
        <w:t>Teclistamab</w:t>
      </w:r>
      <w:r w:rsidRPr="00A24032">
        <w:rPr>
          <w:rFonts w:ascii="標楷體" w:eastAsia="標楷體" w:hAnsi="標楷體" w:hint="eastAsia"/>
          <w:szCs w:val="24"/>
        </w:rPr>
        <w:t>與e</w:t>
      </w:r>
      <w:r w:rsidRPr="00A24032">
        <w:rPr>
          <w:rFonts w:ascii="標楷體" w:eastAsia="標楷體" w:hAnsi="標楷體"/>
          <w:szCs w:val="24"/>
        </w:rPr>
        <w:t>lranatamab</w:t>
      </w:r>
      <w:r w:rsidRPr="00A24032">
        <w:rPr>
          <w:rFonts w:ascii="標楷體" w:eastAsia="標楷體" w:hAnsi="標楷體" w:hint="eastAsia"/>
          <w:szCs w:val="24"/>
        </w:rPr>
        <w:t>僅能擇一給付，除因耐受性不良，不得互換。二者使用總療程合併計算，以全部39次輸注為上限。</w:t>
      </w:r>
    </w:p>
    <w:p w14:paraId="57C34D7B" w14:textId="77777777" w:rsidR="00BD776B" w:rsidRDefault="00BD776B">
      <w:pPr>
        <w:pageBreakBefore/>
        <w:widowControl/>
        <w:suppressAutoHyphens w:val="0"/>
        <w:rPr>
          <w:rFonts w:ascii="標楷體" w:eastAsia="標楷體" w:hAnsi="標楷體"/>
          <w:color w:val="000000"/>
        </w:rPr>
      </w:pPr>
    </w:p>
    <w:p w14:paraId="7A803ED2" w14:textId="77777777" w:rsidR="00BD776B" w:rsidRDefault="00DF0C24">
      <w:pPr>
        <w:pStyle w:val="2"/>
      </w:pPr>
      <w:r>
        <w:t>第10節 抗微生物劑 Antimicrobial agents</w:t>
      </w:r>
    </w:p>
    <w:p w14:paraId="24F70802" w14:textId="77777777" w:rsidR="00BD776B" w:rsidRDefault="00BD776B">
      <w:pPr>
        <w:snapToGrid w:val="0"/>
        <w:spacing w:line="400" w:lineRule="exact"/>
        <w:jc w:val="center"/>
        <w:rPr>
          <w:rFonts w:ascii="標楷體" w:eastAsia="標楷體" w:hAnsi="標楷體"/>
          <w:b/>
          <w:bCs/>
          <w:color w:val="000000"/>
          <w:sz w:val="32"/>
          <w:szCs w:val="32"/>
        </w:rPr>
      </w:pPr>
    </w:p>
    <w:p w14:paraId="33FB092C" w14:textId="77777777" w:rsidR="00BD776B" w:rsidRDefault="00DF0C24">
      <w:pPr>
        <w:ind w:left="672" w:hanging="386"/>
        <w:rPr>
          <w:rFonts w:ascii="標楷體" w:eastAsia="標楷體" w:hAnsi="標楷體"/>
        </w:rPr>
      </w:pPr>
      <w:r>
        <w:rPr>
          <w:rFonts w:ascii="標楷體" w:eastAsia="標楷體" w:hAnsi="標楷體"/>
        </w:rPr>
        <w:t>10.1.抗微生物劑用藥給付規定通則：</w:t>
      </w:r>
    </w:p>
    <w:p w14:paraId="409BABA9" w14:textId="77777777" w:rsidR="00BD776B" w:rsidRDefault="00DF0C24">
      <w:pPr>
        <w:ind w:left="811" w:hanging="245"/>
        <w:rPr>
          <w:rFonts w:ascii="標楷體" w:eastAsia="標楷體" w:hAnsi="標楷體"/>
        </w:rPr>
      </w:pPr>
      <w:r>
        <w:rPr>
          <w:rFonts w:ascii="標楷體" w:eastAsia="標楷體" w:hAnsi="標楷體"/>
        </w:rPr>
        <w:t>1.凡醫師診斷為感染症，確有臨床需要者得適當使用抗微生物製劑。</w:t>
      </w:r>
    </w:p>
    <w:p w14:paraId="2F154198" w14:textId="77777777" w:rsidR="00BD776B" w:rsidRDefault="00DF0C24">
      <w:pPr>
        <w:ind w:left="811" w:hanging="245"/>
        <w:rPr>
          <w:rFonts w:ascii="標楷體" w:eastAsia="標楷體" w:hAnsi="標楷體"/>
        </w:rPr>
      </w:pPr>
      <w:r>
        <w:rPr>
          <w:rFonts w:ascii="標楷體" w:eastAsia="標楷體" w:hAnsi="標楷體"/>
        </w:rPr>
        <w:t>2.門診使用抗微生物製劑以不超過三日份用量為原則。如有必要，每次以七日為限；慢性骨髓炎病患得視病情需要延長抗微生物製劑給藥日數，惟每次門診處方仍以兩週為上限(87/7/1)。</w:t>
      </w:r>
    </w:p>
    <w:p w14:paraId="5D823DD5" w14:textId="77777777" w:rsidR="00BD776B" w:rsidRDefault="00DF0C24">
      <w:pPr>
        <w:ind w:left="811" w:hanging="245"/>
        <w:rPr>
          <w:rFonts w:ascii="標楷體" w:eastAsia="標楷體" w:hAnsi="標楷體"/>
        </w:rPr>
      </w:pPr>
      <w:r>
        <w:rPr>
          <w:rFonts w:ascii="標楷體" w:eastAsia="標楷體" w:hAnsi="標楷體"/>
        </w:rPr>
        <w:t>3.「上呼吸道感染病患」如屬一般感冒（common cold）或病毒性感染者，不應使用抗生素。如需使用，應有細菌性感染之臨床佐證，例如診斷為細菌性中耳炎、細菌性鼻竇炎、細菌性咽喉炎，始得使用抗生素治療（90/2/1）。</w:t>
      </w:r>
    </w:p>
    <w:p w14:paraId="688AF782" w14:textId="77777777" w:rsidR="00BD776B" w:rsidRDefault="00DF0C24">
      <w:pPr>
        <w:ind w:left="811" w:hanging="245"/>
        <w:rPr>
          <w:rFonts w:ascii="標楷體" w:eastAsia="標楷體" w:hAnsi="標楷體"/>
        </w:rPr>
      </w:pPr>
      <w:r>
        <w:rPr>
          <w:rFonts w:ascii="標楷體" w:eastAsia="標楷體" w:hAnsi="標楷體"/>
        </w:rPr>
        <w:t>4.使用抗微生物製劑，宜以同療效、價廉為原則。使用三種抗微生物製劑(含)以上，需附微生物培養及藥物敏感試驗報告，藥物敏感試驗報告應包括第一線及第二線抗微生物製劑及各類常用藥物；同類同抗菌範疇之抗微生物製劑，若未能都進行藥物敏感性試驗時，得以其中之一種藥物的敏感性試驗結果做為使用其他同類同抗菌範疇藥物合理性之判定參考。（87/4/1）</w:t>
      </w:r>
    </w:p>
    <w:p w14:paraId="36461BFB" w14:textId="77777777" w:rsidR="00BD776B" w:rsidRDefault="00DF0C24">
      <w:pPr>
        <w:ind w:left="811" w:hanging="245"/>
        <w:rPr>
          <w:rFonts w:ascii="標楷體" w:eastAsia="標楷體" w:hAnsi="標楷體"/>
        </w:rPr>
      </w:pPr>
      <w:r>
        <w:rPr>
          <w:rFonts w:ascii="標楷體" w:eastAsia="標楷體" w:hAnsi="標楷體"/>
        </w:rPr>
        <w:t>5.使用抗微生物製劑應以本保險規定之第一線抗微生物製劑優先使用，如欲使用第一線以外之抗微生物製劑，需依規定第6、7項辦理。</w:t>
      </w:r>
    </w:p>
    <w:p w14:paraId="3AAC3949" w14:textId="77777777" w:rsidR="00BD776B" w:rsidRDefault="00DF0C24">
      <w:pPr>
        <w:ind w:left="811" w:hanging="245"/>
        <w:rPr>
          <w:rFonts w:ascii="標楷體" w:eastAsia="標楷體" w:hAnsi="標楷體"/>
        </w:rPr>
      </w:pPr>
      <w:r>
        <w:rPr>
          <w:rFonts w:ascii="標楷體" w:eastAsia="標楷體" w:hAnsi="標楷體"/>
        </w:rPr>
        <w:t>6.醫師得按下列病情及診斷於進行微生物培養及藥物敏感試驗後直接使用第一線以外抗微生物製劑，惟若微生物培養證明第一線抗微生物製劑有效，應考慮改用第一線抗微生物製劑。(91/4/1)</w:t>
      </w:r>
    </w:p>
    <w:p w14:paraId="7C1E7BD5" w14:textId="77777777" w:rsidR="00BD776B" w:rsidRDefault="00DF0C24">
      <w:pPr>
        <w:ind w:left="1049" w:hanging="341"/>
        <w:rPr>
          <w:rFonts w:ascii="標楷體" w:eastAsia="標楷體" w:hAnsi="標楷體"/>
        </w:rPr>
      </w:pPr>
      <w:r>
        <w:rPr>
          <w:rFonts w:ascii="標楷體" w:eastAsia="標楷體" w:hAnsi="標楷體"/>
        </w:rPr>
        <w:t>(1)感染病情嚴重者，包括：</w:t>
      </w:r>
    </w:p>
    <w:p w14:paraId="3881A42C" w14:textId="77777777" w:rsidR="00BD776B" w:rsidRDefault="00DF0C24">
      <w:pPr>
        <w:ind w:left="1414" w:hanging="336"/>
        <w:rPr>
          <w:rFonts w:ascii="標楷體" w:eastAsia="標楷體" w:hAnsi="標楷體"/>
        </w:rPr>
      </w:pPr>
      <w:r>
        <w:rPr>
          <w:rFonts w:ascii="標楷體" w:eastAsia="標楷體" w:hAnsi="標楷體"/>
        </w:rPr>
        <w:t>Ⅰ.敗血症(sepsis)或敗血性休克(septic shock)</w:t>
      </w:r>
    </w:p>
    <w:p w14:paraId="60840752" w14:textId="77777777" w:rsidR="00BD776B" w:rsidRDefault="00DF0C24">
      <w:pPr>
        <w:ind w:left="1414" w:hanging="336"/>
        <w:rPr>
          <w:rFonts w:ascii="標楷體" w:eastAsia="標楷體" w:hAnsi="標楷體"/>
        </w:rPr>
      </w:pPr>
      <w:r>
        <w:rPr>
          <w:rFonts w:ascii="標楷體" w:eastAsia="標楷體" w:hAnsi="標楷體"/>
        </w:rPr>
        <w:t>Ⅱ.中樞神經感染</w:t>
      </w:r>
    </w:p>
    <w:p w14:paraId="4419BEBD" w14:textId="77777777" w:rsidR="00BD776B" w:rsidRDefault="00DF0C24">
      <w:pPr>
        <w:ind w:left="1414" w:hanging="336"/>
        <w:rPr>
          <w:rFonts w:ascii="標楷體" w:eastAsia="標楷體" w:hAnsi="標楷體"/>
        </w:rPr>
      </w:pPr>
      <w:r>
        <w:rPr>
          <w:rFonts w:ascii="標楷體" w:eastAsia="標楷體" w:hAnsi="標楷體"/>
        </w:rPr>
        <w:t>Ⅲ.使用呼吸器者。</w:t>
      </w:r>
    </w:p>
    <w:p w14:paraId="2AB72C5B" w14:textId="77777777" w:rsidR="00BD776B" w:rsidRDefault="00DF0C24">
      <w:pPr>
        <w:ind w:left="1049" w:hanging="341"/>
        <w:rPr>
          <w:rFonts w:ascii="標楷體" w:eastAsia="標楷體" w:hAnsi="標楷體"/>
        </w:rPr>
      </w:pPr>
      <w:r>
        <w:rPr>
          <w:rFonts w:ascii="標楷體" w:eastAsia="標楷體" w:hAnsi="標楷體"/>
        </w:rPr>
        <w:t>(2)免疫狀態不良併發感染者：</w:t>
      </w:r>
    </w:p>
    <w:p w14:paraId="502D74C7" w14:textId="77777777" w:rsidR="00BD776B" w:rsidRDefault="00DF0C24">
      <w:pPr>
        <w:ind w:left="1414" w:hanging="336"/>
        <w:rPr>
          <w:rFonts w:ascii="標楷體" w:eastAsia="標楷體" w:hAnsi="標楷體"/>
        </w:rPr>
      </w:pPr>
      <w:r>
        <w:rPr>
          <w:rFonts w:ascii="標楷體" w:eastAsia="標楷體" w:hAnsi="標楷體"/>
        </w:rPr>
        <w:t>Ⅰ.接受免疫抑制劑。</w:t>
      </w:r>
    </w:p>
    <w:p w14:paraId="7AE5C856" w14:textId="77777777" w:rsidR="00BD776B" w:rsidRDefault="00DF0C24">
      <w:pPr>
        <w:ind w:left="1414" w:hanging="336"/>
        <w:rPr>
          <w:rFonts w:ascii="標楷體" w:eastAsia="標楷體" w:hAnsi="標楷體"/>
        </w:rPr>
      </w:pPr>
      <w:r>
        <w:rPr>
          <w:rFonts w:ascii="標楷體" w:eastAsia="標楷體" w:hAnsi="標楷體"/>
        </w:rPr>
        <w:t>Ⅱ.接受抗癌化學療法。</w:t>
      </w:r>
    </w:p>
    <w:p w14:paraId="5C438779" w14:textId="77777777" w:rsidR="00BD776B" w:rsidRDefault="00DF0C24">
      <w:pPr>
        <w:ind w:left="1414" w:hanging="336"/>
        <w:rPr>
          <w:rFonts w:ascii="標楷體" w:eastAsia="標楷體" w:hAnsi="標楷體"/>
        </w:rPr>
      </w:pPr>
      <w:r>
        <w:rPr>
          <w:rFonts w:ascii="標楷體" w:eastAsia="標楷體" w:hAnsi="標楷體"/>
        </w:rPr>
        <w:t>Ⅲ.白血球數在1000/cumm以下或多核白血球數在500/cumm以下。</w:t>
      </w:r>
    </w:p>
    <w:p w14:paraId="25B10D18" w14:textId="77777777" w:rsidR="00BD776B" w:rsidRDefault="00DF0C24">
      <w:pPr>
        <w:ind w:left="1049" w:hanging="341"/>
        <w:rPr>
          <w:rFonts w:ascii="標楷體" w:eastAsia="標楷體" w:hAnsi="標楷體"/>
        </w:rPr>
      </w:pPr>
      <w:r>
        <w:rPr>
          <w:rFonts w:ascii="標楷體" w:eastAsia="標楷體" w:hAnsi="標楷體"/>
        </w:rPr>
        <w:t>(3)經感染症專科醫師會診，確認有感染症需使用者 (申報費用時需檢附會診紀錄及相關之病歷資料)（86/10/1、92/9/1)。</w:t>
      </w:r>
    </w:p>
    <w:p w14:paraId="145006EC" w14:textId="77777777" w:rsidR="00BD776B" w:rsidRDefault="00DF0C24">
      <w:pPr>
        <w:ind w:left="1049" w:hanging="341"/>
        <w:rPr>
          <w:rFonts w:ascii="標楷體" w:eastAsia="標楷體" w:hAnsi="標楷體"/>
        </w:rPr>
      </w:pPr>
      <w:r>
        <w:rPr>
          <w:rFonts w:ascii="標楷體" w:eastAsia="標楷體" w:hAnsi="標楷體"/>
        </w:rPr>
        <w:t>(4)手術中發現有明顯感染病灶者。</w:t>
      </w:r>
    </w:p>
    <w:p w14:paraId="5D263DDC" w14:textId="77777777" w:rsidR="00BD776B" w:rsidRDefault="00DF0C24">
      <w:pPr>
        <w:ind w:left="1049" w:hanging="341"/>
        <w:rPr>
          <w:rFonts w:ascii="標楷體" w:eastAsia="標楷體" w:hAnsi="標楷體"/>
        </w:rPr>
      </w:pPr>
      <w:r>
        <w:rPr>
          <w:rFonts w:ascii="標楷體" w:eastAsia="標楷體" w:hAnsi="標楷體"/>
        </w:rPr>
        <w:t>(5)脾臟切除病人有不明原因發熱者。</w:t>
      </w:r>
    </w:p>
    <w:p w14:paraId="1F200E9F" w14:textId="77777777" w:rsidR="00BD776B" w:rsidRDefault="00DF0C24">
      <w:pPr>
        <w:ind w:left="1049" w:hanging="341"/>
        <w:rPr>
          <w:rFonts w:ascii="標楷體" w:eastAsia="標楷體" w:hAnsi="標楷體"/>
        </w:rPr>
      </w:pPr>
      <w:r>
        <w:rPr>
          <w:rFonts w:ascii="標楷體" w:eastAsia="標楷體" w:hAnsi="標楷體"/>
        </w:rPr>
        <w:t>(6)臟器穿孔。</w:t>
      </w:r>
    </w:p>
    <w:p w14:paraId="2BDD9A3E" w14:textId="77777777" w:rsidR="00BD776B" w:rsidRDefault="00DF0C24">
      <w:pPr>
        <w:ind w:left="1049" w:hanging="341"/>
        <w:rPr>
          <w:rFonts w:ascii="標楷體" w:eastAsia="標楷體" w:hAnsi="標楷體"/>
        </w:rPr>
      </w:pPr>
      <w:r>
        <w:rPr>
          <w:rFonts w:ascii="標楷體" w:eastAsia="標楷體" w:hAnsi="標楷體"/>
        </w:rPr>
        <w:t>(7)嚴重污染傷口病人。</w:t>
      </w:r>
    </w:p>
    <w:p w14:paraId="6F730401" w14:textId="77777777" w:rsidR="00BD776B" w:rsidRDefault="00DF0C24">
      <w:pPr>
        <w:ind w:left="1049" w:hanging="341"/>
        <w:rPr>
          <w:rFonts w:ascii="標楷體" w:eastAsia="標楷體" w:hAnsi="標楷體"/>
        </w:rPr>
      </w:pPr>
      <w:r>
        <w:rPr>
          <w:rFonts w:ascii="標楷體" w:eastAsia="標楷體" w:hAnsi="標楷體"/>
        </w:rPr>
        <w:t>(8)患疑似感染之早產兒及新生兒（出生二個月以內）。</w:t>
      </w:r>
    </w:p>
    <w:p w14:paraId="2A6D7F25" w14:textId="77777777" w:rsidR="00BD776B" w:rsidRDefault="00DF0C24">
      <w:pPr>
        <w:ind w:left="1049" w:hanging="341"/>
        <w:rPr>
          <w:rFonts w:ascii="標楷體" w:eastAsia="標楷體" w:hAnsi="標楷體"/>
        </w:rPr>
      </w:pPr>
      <w:r>
        <w:rPr>
          <w:rFonts w:ascii="標楷體" w:eastAsia="標楷體" w:hAnsi="標楷體"/>
        </w:rPr>
        <w:t>(9)發生明確嚴重院內感染症者。</w:t>
      </w:r>
    </w:p>
    <w:p w14:paraId="45B36DC1" w14:textId="77777777" w:rsidR="00BD776B" w:rsidRDefault="00DF0C24">
      <w:pPr>
        <w:ind w:left="1049" w:hanging="341"/>
        <w:rPr>
          <w:rFonts w:ascii="標楷體" w:eastAsia="標楷體" w:hAnsi="標楷體"/>
        </w:rPr>
      </w:pPr>
      <w:r>
        <w:rPr>
          <w:rFonts w:ascii="標楷體" w:eastAsia="標楷體" w:hAnsi="標楷體"/>
        </w:rPr>
        <w:t>(10)常有厭氧菌與非厭氧菌混合感染之組織部位感染時(如糖尿病足部壞疽併感染、骨盆腔內感染)，得直接使用可同時治療厭氧菌與非厭氧菌多重感染之單一非第一線抗微生物製劑。</w:t>
      </w:r>
    </w:p>
    <w:p w14:paraId="0F86719D" w14:textId="77777777" w:rsidR="00BD776B" w:rsidRDefault="00DF0C24">
      <w:pPr>
        <w:ind w:left="811" w:hanging="245"/>
        <w:rPr>
          <w:rFonts w:ascii="標楷體" w:eastAsia="標楷體" w:hAnsi="標楷體"/>
        </w:rPr>
      </w:pPr>
      <w:r>
        <w:rPr>
          <w:rFonts w:ascii="標楷體" w:eastAsia="標楷體" w:hAnsi="標楷體"/>
        </w:rPr>
        <w:t>7.醫師得按下列病情改用第一線以外抗微生物製劑：</w:t>
      </w:r>
    </w:p>
    <w:p w14:paraId="33C1481D" w14:textId="77777777" w:rsidR="00BD776B" w:rsidRDefault="00DF0C24">
      <w:pPr>
        <w:ind w:left="1049" w:hanging="341"/>
        <w:rPr>
          <w:rFonts w:ascii="標楷體" w:eastAsia="標楷體" w:hAnsi="標楷體"/>
        </w:rPr>
      </w:pPr>
      <w:r>
        <w:rPr>
          <w:rFonts w:ascii="標楷體" w:eastAsia="標楷體" w:hAnsi="標楷體"/>
        </w:rPr>
        <w:t>(1)使用第一線抗微生物製劑超過72小時，經微生物培養及藥物敏感試驗證實對第一線抗微生物製劑具抗藥性，確有需要使用者，並請檢附該檢驗報告。</w:t>
      </w:r>
    </w:p>
    <w:p w14:paraId="18F83D3B" w14:textId="77777777" w:rsidR="00BD776B" w:rsidRDefault="00DF0C24">
      <w:pPr>
        <w:ind w:left="1049" w:hanging="341"/>
        <w:rPr>
          <w:rFonts w:ascii="標楷體" w:eastAsia="標楷體" w:hAnsi="標楷體"/>
        </w:rPr>
      </w:pPr>
      <w:r>
        <w:rPr>
          <w:rFonts w:ascii="標楷體" w:eastAsia="標楷體" w:hAnsi="標楷體"/>
        </w:rPr>
        <w:t>(2)每72小時更換第一線抗微生物製劑一次，歷經 7日以上仍無效，由其他醫療</w:t>
      </w:r>
      <w:r>
        <w:rPr>
          <w:rFonts w:ascii="標楷體" w:eastAsia="標楷體" w:hAnsi="標楷體"/>
        </w:rPr>
        <w:lastRenderedPageBreak/>
        <w:t>機構轉送至有微生物培養室醫院病人者。</w:t>
      </w:r>
    </w:p>
    <w:p w14:paraId="0651B8DC" w14:textId="77777777" w:rsidR="00BD776B" w:rsidRDefault="00DF0C24">
      <w:pPr>
        <w:ind w:left="1049" w:hanging="341"/>
        <w:rPr>
          <w:rFonts w:ascii="標楷體" w:eastAsia="標楷體" w:hAnsi="標楷體"/>
        </w:rPr>
      </w:pPr>
      <w:r>
        <w:rPr>
          <w:rFonts w:ascii="標楷體" w:eastAsia="標楷體" w:hAnsi="標楷體"/>
        </w:rPr>
        <w:t>(3)嬰幼兒（出生二個月以上至滿五足歲）患疑似感染疾病，在使用第一線抗微生物製劑72小時仍無明顯療效者。</w:t>
      </w:r>
    </w:p>
    <w:p w14:paraId="082D7AC9" w14:textId="77777777" w:rsidR="00BD776B" w:rsidRDefault="00DF0C24">
      <w:pPr>
        <w:ind w:left="811" w:hanging="245"/>
        <w:rPr>
          <w:rFonts w:ascii="標楷體" w:eastAsia="標楷體" w:hAnsi="標楷體"/>
        </w:rPr>
      </w:pPr>
      <w:r>
        <w:rPr>
          <w:rFonts w:ascii="標楷體" w:eastAsia="標楷體" w:hAnsi="標楷體"/>
        </w:rPr>
        <w:t>8.預防性的使用抗微生物製劑：（105/2/1）。</w:t>
      </w:r>
    </w:p>
    <w:p w14:paraId="53CC2099" w14:textId="77777777" w:rsidR="00BD776B" w:rsidRDefault="00DF0C24">
      <w:pPr>
        <w:ind w:left="1049" w:hanging="341"/>
        <w:rPr>
          <w:rFonts w:ascii="標楷體" w:eastAsia="標楷體" w:hAnsi="標楷體"/>
        </w:rPr>
      </w:pPr>
      <w:r>
        <w:rPr>
          <w:rFonts w:ascii="標楷體" w:eastAsia="標楷體" w:hAnsi="標楷體"/>
        </w:rPr>
        <w:t>(1)清淨的手術：大致可分甲、乙兩類。</w:t>
      </w:r>
    </w:p>
    <w:p w14:paraId="590B7488" w14:textId="77777777" w:rsidR="00BD776B" w:rsidRDefault="00DF0C24">
      <w:pPr>
        <w:ind w:left="1750" w:hanging="701"/>
        <w:rPr>
          <w:rFonts w:ascii="標楷體" w:eastAsia="標楷體" w:hAnsi="標楷體"/>
        </w:rPr>
      </w:pPr>
      <w:r>
        <w:rPr>
          <w:rFonts w:ascii="標楷體" w:eastAsia="標楷體" w:hAnsi="標楷體"/>
        </w:rPr>
        <w:t>甲類：如單純性疝氣手術、精索靜脈曲張手術、甲狀腺手術、乳房切除手術…等，原則上可「免用」抗微生物製劑，如需使用，可術前一劑量，手術時間超過二小時者得於術中追加一劑，使用之抗微生物製劑應以本表之第一線抗微生物製劑為限（90/2/1）。</w:t>
      </w:r>
    </w:p>
    <w:p w14:paraId="27827547" w14:textId="77777777" w:rsidR="00BD776B" w:rsidRDefault="00DF0C24">
      <w:pPr>
        <w:ind w:left="1750" w:hanging="701"/>
        <w:rPr>
          <w:rFonts w:ascii="標楷體" w:eastAsia="標楷體" w:hAnsi="標楷體"/>
        </w:rPr>
      </w:pPr>
      <w:r>
        <w:rPr>
          <w:rFonts w:ascii="標楷體" w:eastAsia="標楷體" w:hAnsi="標楷體"/>
        </w:rPr>
        <w:t>乙類：如心臟手術、腦部手術、臟器移植手術及放置人工植入物之手術，原則上使用不可超過24小時，以本表之第一線抗微生物製劑為主；如需使用第一線以外之抗微生物製劑或超過48小時，請詳敘理由，俾利審查（90/2/1、95/6/1）</w:t>
      </w:r>
    </w:p>
    <w:p w14:paraId="52D9DF89" w14:textId="77777777" w:rsidR="00BD776B" w:rsidRDefault="00DF0C24">
      <w:pPr>
        <w:ind w:left="1049" w:hanging="341"/>
        <w:rPr>
          <w:rFonts w:ascii="標楷體" w:eastAsia="標楷體" w:hAnsi="標楷體"/>
        </w:rPr>
      </w:pPr>
      <w:r>
        <w:rPr>
          <w:rFonts w:ascii="標楷體" w:eastAsia="標楷體" w:hAnsi="標楷體"/>
        </w:rPr>
        <w:t>(2)清淨但易受污染的手術。</w:t>
      </w:r>
    </w:p>
    <w:p w14:paraId="0B617432" w14:textId="77777777" w:rsidR="00BD776B" w:rsidRDefault="00DF0C24">
      <w:pPr>
        <w:ind w:left="1078"/>
        <w:rPr>
          <w:rFonts w:ascii="標楷體" w:eastAsia="標楷體" w:hAnsi="標楷體"/>
        </w:rPr>
      </w:pPr>
      <w:r>
        <w:rPr>
          <w:rFonts w:ascii="標楷體" w:eastAsia="標楷體" w:hAnsi="標楷體"/>
        </w:rPr>
        <w:t>術野是清淨但術中易受污染，如肝膽胃腸手術、泌尿道手術、肺部手術、婦科手術、耳鼻喉科手術、牙科手術…等手術。原則上抗微生物製劑使用24小時，以本表之第一線抗微生物製劑為主，若有厭氧菌與嗜氧菌混合污染之可能時，得使用Cephamycin（cefoxitin,cefmetazole）或ampicillin類合併β-lactamase inhibitor（ampicillin/sulbactam,amoxicillin/clavulanic acid）之藥物；如需使用第一線以外之抗微生物製劑或超過48小時，請詳敘理由，俾利審查（90/2/1、95/6/1)。</w:t>
      </w:r>
    </w:p>
    <w:p w14:paraId="34B36B72" w14:textId="77777777" w:rsidR="00BD776B" w:rsidRDefault="00DF0C24">
      <w:pPr>
        <w:ind w:left="1090" w:hanging="384"/>
        <w:rPr>
          <w:rFonts w:ascii="標楷體" w:eastAsia="標楷體" w:hAnsi="標楷體"/>
        </w:rPr>
      </w:pPr>
      <w:r>
        <w:rPr>
          <w:rFonts w:ascii="標楷體" w:eastAsia="標楷體" w:hAnsi="標楷體"/>
        </w:rPr>
        <w:t>(3)免疫不全病人經醫師判斷感染風險高，依實證及流行病學資料及相關治療指引等，經感染症專科醫師認定需使用者，得適當使用預防性抗微生物製劑。申報費用時需檢附會診紀錄及相關之病歷資料。（105/2/1）。</w:t>
      </w:r>
    </w:p>
    <w:p w14:paraId="622DC09D" w14:textId="77777777" w:rsidR="00BD776B" w:rsidRDefault="00DF0C24">
      <w:pPr>
        <w:ind w:left="811" w:hanging="245"/>
        <w:rPr>
          <w:rFonts w:ascii="標楷體" w:eastAsia="標楷體" w:hAnsi="標楷體"/>
        </w:rPr>
      </w:pPr>
      <w:r>
        <w:rPr>
          <w:rFonts w:ascii="標楷體" w:eastAsia="標楷體" w:hAnsi="標楷體"/>
        </w:rPr>
        <w:t>9.污染性傷口之手術及手術後發生感染併發症，依本保險規定之抗微生物製劑使用原則用藥（90/2/1）。</w:t>
      </w:r>
    </w:p>
    <w:p w14:paraId="10433CD3" w14:textId="77777777" w:rsidR="00BD776B" w:rsidRDefault="00DF0C24">
      <w:pPr>
        <w:ind w:left="811" w:hanging="245"/>
        <w:rPr>
          <w:rFonts w:ascii="標楷體" w:eastAsia="標楷體" w:hAnsi="標楷體"/>
        </w:rPr>
      </w:pPr>
      <w:r>
        <w:rPr>
          <w:rFonts w:ascii="標楷體" w:eastAsia="標楷體" w:hAnsi="標楷體"/>
        </w:rPr>
        <w:t>10.本保險第一線抗微生物製劑範圍暫訂如附表一，並得視實際需要予以增減。</w:t>
      </w:r>
    </w:p>
    <w:p w14:paraId="7E8132CE" w14:textId="77777777" w:rsidR="00BD776B" w:rsidRDefault="00DF0C24">
      <w:pPr>
        <w:ind w:left="811" w:hanging="245"/>
        <w:rPr>
          <w:rFonts w:ascii="標楷體" w:eastAsia="標楷體" w:hAnsi="標楷體"/>
        </w:rPr>
      </w:pPr>
      <w:r>
        <w:rPr>
          <w:rFonts w:ascii="標楷體" w:eastAsia="標楷體" w:hAnsi="標楷體"/>
        </w:rPr>
        <w:t>11.使用本表以外之抗微生物製劑超過七日時，除需附微生物培養與敏感試驗報告外，尚需附相關檢驗報告（如血、尿…等）與 TPR chart影本並註明使用抗微生物製劑之規格、劑量、使用日期以利審核。</w:t>
      </w:r>
    </w:p>
    <w:p w14:paraId="3D8705F7" w14:textId="77777777" w:rsidR="00BD776B" w:rsidRDefault="00DF0C24">
      <w:pPr>
        <w:ind w:left="811" w:hanging="245"/>
        <w:rPr>
          <w:rFonts w:ascii="標楷體" w:eastAsia="標楷體" w:hAnsi="標楷體"/>
        </w:rPr>
      </w:pPr>
      <w:r>
        <w:rPr>
          <w:rFonts w:ascii="標楷體" w:eastAsia="標楷體" w:hAnsi="標楷體"/>
        </w:rPr>
        <w:t>12.非第一線抗微生物製劑其於本藥品給付規定中另訂有規定者，依各該規定給付之。</w:t>
      </w:r>
    </w:p>
    <w:p w14:paraId="7FFCBBC1" w14:textId="77777777" w:rsidR="00BD776B" w:rsidRDefault="00DF0C24">
      <w:pPr>
        <w:ind w:left="811" w:hanging="245"/>
        <w:rPr>
          <w:rFonts w:ascii="標楷體" w:eastAsia="標楷體" w:hAnsi="標楷體"/>
        </w:rPr>
      </w:pPr>
      <w:r>
        <w:rPr>
          <w:rFonts w:ascii="標楷體" w:eastAsia="標楷體" w:hAnsi="標楷體"/>
        </w:rPr>
        <w:t>13.有關結核病治療選擇的藥物種類、使用的劑量與治療的時程，應依衛生福利部疾病管制署最新版「結核病診治指引」辦理。(99/11/1、102/7/23、108/12/1)</w:t>
      </w:r>
    </w:p>
    <w:p w14:paraId="1DBBD1F4" w14:textId="77777777" w:rsidR="00BD776B" w:rsidRDefault="00DF0C24">
      <w:pPr>
        <w:ind w:left="672" w:hanging="386"/>
        <w:rPr>
          <w:rFonts w:ascii="標楷體" w:eastAsia="標楷體" w:hAnsi="標楷體"/>
        </w:rPr>
      </w:pPr>
      <w:r>
        <w:rPr>
          <w:rFonts w:ascii="標楷體" w:eastAsia="標楷體" w:hAnsi="標楷體"/>
        </w:rPr>
        <w:t>10.2.盤尼西林類  Penicillins</w:t>
      </w:r>
    </w:p>
    <w:p w14:paraId="4972346A" w14:textId="77777777" w:rsidR="00BD776B" w:rsidRDefault="00DF0C24">
      <w:pPr>
        <w:ind w:left="672" w:hanging="386"/>
        <w:rPr>
          <w:rFonts w:ascii="標楷體" w:eastAsia="標楷體" w:hAnsi="標楷體"/>
        </w:rPr>
      </w:pPr>
      <w:r>
        <w:rPr>
          <w:rFonts w:ascii="標楷體" w:eastAsia="標楷體" w:hAnsi="標楷體"/>
        </w:rPr>
        <w:t>10.2.1.Amoxicillin + clavulanic acid（如Augmentin tab）：(85/1/1、109/10/1)</w:t>
      </w:r>
    </w:p>
    <w:p w14:paraId="3D5197E1" w14:textId="77777777" w:rsidR="00BD776B" w:rsidRDefault="00DF0C24">
      <w:pPr>
        <w:ind w:left="798" w:hanging="1"/>
        <w:rPr>
          <w:rFonts w:ascii="標楷體" w:eastAsia="標楷體" w:hAnsi="標楷體"/>
        </w:rPr>
      </w:pPr>
      <w:r>
        <w:rPr>
          <w:rFonts w:ascii="標楷體" w:eastAsia="標楷體" w:hAnsi="標楷體"/>
        </w:rPr>
        <w:t>用於急性化膿性中耳炎或急性化膿性鼻竇炎、急性下呼吸道感染、厭氧性細菌感染、菌血症等適應症，得免附細菌敏感試驗報告，惟以十日為限。</w:t>
      </w:r>
    </w:p>
    <w:p w14:paraId="7E3C769D" w14:textId="77777777" w:rsidR="00BD776B" w:rsidRDefault="00DF0C24">
      <w:pPr>
        <w:ind w:left="672" w:hanging="386"/>
        <w:rPr>
          <w:rFonts w:ascii="標楷體" w:eastAsia="標楷體" w:hAnsi="標楷體"/>
        </w:rPr>
      </w:pPr>
      <w:r>
        <w:rPr>
          <w:rFonts w:ascii="標楷體" w:eastAsia="標楷體" w:hAnsi="標楷體"/>
        </w:rPr>
        <w:t>10.2.2.Ampicillin + sulbactam 注射劑（如Unasyn注射劑、Ansullina注射劑）：(91/7/1)</w:t>
      </w:r>
    </w:p>
    <w:p w14:paraId="709F6A1B" w14:textId="77777777" w:rsidR="00BD776B" w:rsidRDefault="00DF0C24">
      <w:pPr>
        <w:ind w:left="798" w:hanging="1"/>
        <w:rPr>
          <w:rFonts w:ascii="標楷體" w:eastAsia="標楷體" w:hAnsi="標楷體"/>
        </w:rPr>
      </w:pPr>
      <w:r>
        <w:rPr>
          <w:rFonts w:ascii="標楷體" w:eastAsia="標楷體" w:hAnsi="標楷體"/>
        </w:rPr>
        <w:t>單次處方劑量為1.5公克時，不得以0.75公克兩瓶申報。</w:t>
      </w:r>
    </w:p>
    <w:p w14:paraId="2EB67E6D" w14:textId="77777777" w:rsidR="00BD776B" w:rsidRDefault="00DF0C24">
      <w:pPr>
        <w:ind w:left="672" w:hanging="386"/>
        <w:rPr>
          <w:rFonts w:ascii="標楷體" w:eastAsia="標楷體" w:hAnsi="標楷體"/>
        </w:rPr>
      </w:pPr>
      <w:r>
        <w:rPr>
          <w:rFonts w:ascii="標楷體" w:eastAsia="標楷體" w:hAnsi="標楷體"/>
        </w:rPr>
        <w:lastRenderedPageBreak/>
        <w:t>10.3.頭孢子菌素  Cephalosporins</w:t>
      </w:r>
    </w:p>
    <w:p w14:paraId="2A1CF5BD" w14:textId="77777777" w:rsidR="00BD776B" w:rsidRDefault="00DF0C24">
      <w:pPr>
        <w:ind w:left="672" w:hanging="386"/>
        <w:rPr>
          <w:rFonts w:ascii="標楷體" w:eastAsia="標楷體" w:hAnsi="標楷體"/>
        </w:rPr>
      </w:pPr>
      <w:r>
        <w:rPr>
          <w:rFonts w:ascii="標楷體" w:eastAsia="標楷體" w:hAnsi="標楷體"/>
        </w:rPr>
        <w:t>10.3.1.Cefaclor：（85/1/1、89/7/1、109/10/1）</w:t>
      </w:r>
    </w:p>
    <w:p w14:paraId="340C1AD8" w14:textId="77777777" w:rsidR="00BD776B" w:rsidRDefault="00DF0C24">
      <w:pPr>
        <w:ind w:left="798" w:hanging="1"/>
        <w:rPr>
          <w:rFonts w:ascii="標楷體" w:eastAsia="標楷體" w:hAnsi="標楷體"/>
        </w:rPr>
      </w:pPr>
      <w:r>
        <w:rPr>
          <w:rFonts w:ascii="標楷體" w:eastAsia="標楷體" w:hAnsi="標楷體"/>
        </w:rPr>
        <w:t>用於急性化膿性中耳炎或急性化膿性鼻竇炎、急性下呼吸道感染、敗血症等適應症，得免附細菌敏感試驗報告，惟以十日為限。</w:t>
      </w:r>
    </w:p>
    <w:p w14:paraId="4F6E9960" w14:textId="77777777" w:rsidR="00BD776B" w:rsidRDefault="00DF0C24">
      <w:pPr>
        <w:ind w:left="672" w:hanging="386"/>
        <w:rPr>
          <w:rFonts w:ascii="標楷體" w:eastAsia="標楷體" w:hAnsi="標楷體"/>
        </w:rPr>
      </w:pPr>
      <w:r>
        <w:rPr>
          <w:rFonts w:ascii="標楷體" w:eastAsia="標楷體" w:hAnsi="標楷體"/>
        </w:rPr>
        <w:t>10.3.2.Cefuroxime tab：（87/4/1、109/10/1）</w:t>
      </w:r>
    </w:p>
    <w:p w14:paraId="60FEC799" w14:textId="77777777" w:rsidR="00BD776B" w:rsidRDefault="00DF0C24">
      <w:pPr>
        <w:ind w:left="798" w:hanging="1"/>
        <w:rPr>
          <w:rFonts w:ascii="標楷體" w:eastAsia="標楷體" w:hAnsi="標楷體"/>
        </w:rPr>
      </w:pPr>
      <w:r>
        <w:rPr>
          <w:rFonts w:ascii="標楷體" w:eastAsia="標楷體" w:hAnsi="標楷體"/>
        </w:rPr>
        <w:t>用於急性化膿性中耳炎或急性化膿性鼻竇炎、急性下呼吸道感染、敗血症等適應症，得免附細菌敏感試驗報告，惟以十日為限。</w:t>
      </w:r>
    </w:p>
    <w:p w14:paraId="293C1C9D" w14:textId="77777777" w:rsidR="00BD776B" w:rsidRDefault="00DF0C24">
      <w:pPr>
        <w:ind w:left="672" w:hanging="386"/>
        <w:rPr>
          <w:rFonts w:ascii="標楷體" w:eastAsia="標楷體" w:hAnsi="標楷體"/>
        </w:rPr>
      </w:pPr>
      <w:r>
        <w:rPr>
          <w:rFonts w:ascii="標楷體" w:eastAsia="標楷體" w:hAnsi="標楷體"/>
        </w:rPr>
        <w:t>10.3.3.Ceftriaxone：（95/6/1）</w:t>
      </w:r>
    </w:p>
    <w:p w14:paraId="02227952" w14:textId="77777777" w:rsidR="00BD776B" w:rsidRDefault="00DF0C24">
      <w:pPr>
        <w:ind w:left="798" w:hanging="1"/>
        <w:rPr>
          <w:rFonts w:ascii="標楷體" w:eastAsia="標楷體" w:hAnsi="標楷體"/>
        </w:rPr>
      </w:pPr>
      <w:r>
        <w:rPr>
          <w:rFonts w:ascii="標楷體" w:eastAsia="標楷體" w:hAnsi="標楷體"/>
        </w:rPr>
        <w:t>用於疑似或證實為淋病尿道炎、子宮頸炎、軟性下疳時，可第一線單一劑量使用。</w:t>
      </w:r>
    </w:p>
    <w:p w14:paraId="7F9500CC" w14:textId="77777777" w:rsidR="00BD776B" w:rsidRDefault="00DF0C24">
      <w:pPr>
        <w:ind w:left="672" w:hanging="386"/>
        <w:rPr>
          <w:rFonts w:ascii="標楷體" w:eastAsia="標楷體" w:hAnsi="標楷體"/>
        </w:rPr>
      </w:pPr>
      <w:r>
        <w:rPr>
          <w:rFonts w:ascii="標楷體" w:eastAsia="標楷體" w:hAnsi="標楷體"/>
        </w:rPr>
        <w:t>10.3.4.Cefixime：（95/6/1）</w:t>
      </w:r>
    </w:p>
    <w:p w14:paraId="124C934B" w14:textId="77777777" w:rsidR="00BD776B" w:rsidRDefault="00DF0C24">
      <w:pPr>
        <w:ind w:left="798" w:hanging="1"/>
        <w:rPr>
          <w:rFonts w:ascii="標楷體" w:eastAsia="標楷體" w:hAnsi="標楷體"/>
        </w:rPr>
      </w:pPr>
      <w:r>
        <w:rPr>
          <w:rFonts w:ascii="標楷體" w:eastAsia="標楷體" w:hAnsi="標楷體"/>
        </w:rPr>
        <w:t>用於疑似或證實為淋病尿道炎、子宮頸炎、軟性下疳時，可第一線單一劑量使用。</w:t>
      </w:r>
    </w:p>
    <w:p w14:paraId="1EBB4E22" w14:textId="77777777" w:rsidR="00BD776B" w:rsidRDefault="00DF0C24">
      <w:pPr>
        <w:ind w:left="567" w:hanging="245"/>
        <w:rPr>
          <w:rFonts w:ascii="標楷體" w:eastAsia="標楷體" w:hAnsi="標楷體"/>
        </w:rPr>
      </w:pPr>
      <w:r>
        <w:rPr>
          <w:rFonts w:ascii="標楷體" w:eastAsia="標楷體" w:hAnsi="標楷體"/>
        </w:rPr>
        <w:t>10.3.5.Ceftaroline fosamil (如Zinforo)：(108/2/1、108/12/1、110/11/1）</w:t>
      </w:r>
    </w:p>
    <w:p w14:paraId="12B13670" w14:textId="77777777" w:rsidR="00BD776B" w:rsidRDefault="00DF0C24">
      <w:pPr>
        <w:ind w:left="809" w:hanging="245"/>
        <w:rPr>
          <w:rFonts w:ascii="標楷體" w:eastAsia="標楷體" w:hAnsi="標楷體"/>
        </w:rPr>
      </w:pPr>
      <w:r>
        <w:rPr>
          <w:rFonts w:ascii="標楷體" w:eastAsia="標楷體" w:hAnsi="標楷體"/>
        </w:rPr>
        <w:t>1.限下列條件之一且經感染症專科醫師會診確認需使用者:</w:t>
      </w:r>
    </w:p>
    <w:p w14:paraId="33821020" w14:textId="77777777" w:rsidR="00BD776B" w:rsidRDefault="00DF0C24">
      <w:pPr>
        <w:ind w:left="1132" w:hanging="386"/>
        <w:rPr>
          <w:rFonts w:ascii="標楷體" w:eastAsia="標楷體" w:hAnsi="標楷體"/>
        </w:rPr>
      </w:pPr>
      <w:r>
        <w:rPr>
          <w:rFonts w:ascii="標楷體" w:eastAsia="標楷體" w:hAnsi="標楷體"/>
        </w:rPr>
        <w:t>(1)社區性肺炎，經使用第一線社區性肺炎抗生素(如盤尼西林類抗生素、第三代頭孢子菌素、quinolone類抗生素)治療失敗或致病菌對第一線抗生素不具感受性。</w:t>
      </w:r>
    </w:p>
    <w:p w14:paraId="1FB16043" w14:textId="77777777" w:rsidR="00BD776B" w:rsidRDefault="00DF0C24">
      <w:pPr>
        <w:ind w:left="1132" w:hanging="386"/>
        <w:rPr>
          <w:rFonts w:ascii="標楷體" w:eastAsia="標楷體" w:hAnsi="標楷體"/>
        </w:rPr>
      </w:pPr>
      <w:r>
        <w:rPr>
          <w:rFonts w:ascii="標楷體" w:eastAsia="標楷體" w:hAnsi="標楷體"/>
        </w:rPr>
        <w:t>(2)證實或高度懷疑MRSA複雜性皮膚和皮膚構造感染，並符合下列條件之一：</w:t>
      </w:r>
    </w:p>
    <w:p w14:paraId="72C6AC80" w14:textId="77777777" w:rsidR="00BD776B" w:rsidRDefault="00DF0C24">
      <w:pPr>
        <w:ind w:left="1418" w:hanging="386"/>
        <w:rPr>
          <w:rFonts w:ascii="標楷體" w:eastAsia="標楷體" w:hAnsi="標楷體"/>
        </w:rPr>
      </w:pPr>
      <w:r>
        <w:rPr>
          <w:rFonts w:ascii="標楷體" w:eastAsia="標楷體" w:hAnsi="標楷體"/>
        </w:rPr>
        <w:t>Ⅰ.有全身性感染徵兆且白血球數異常(&gt;12,000或&lt;4,000 cells /mcL)。</w:t>
      </w:r>
    </w:p>
    <w:p w14:paraId="4AD49340" w14:textId="77777777" w:rsidR="00BD776B" w:rsidRDefault="00DF0C24">
      <w:pPr>
        <w:ind w:left="1418" w:hanging="386"/>
        <w:rPr>
          <w:rFonts w:ascii="標楷體" w:eastAsia="標楷體" w:hAnsi="標楷體"/>
        </w:rPr>
      </w:pPr>
      <w:r>
        <w:rPr>
          <w:rFonts w:ascii="標楷體" w:eastAsia="標楷體" w:hAnsi="標楷體"/>
        </w:rPr>
        <w:t>Ⅱ.免疫功能不全。</w:t>
      </w:r>
    </w:p>
    <w:p w14:paraId="5821D5B1" w14:textId="77777777" w:rsidR="00BD776B" w:rsidRDefault="00DF0C24">
      <w:pPr>
        <w:ind w:left="811" w:hanging="245"/>
        <w:rPr>
          <w:rFonts w:ascii="標楷體" w:eastAsia="標楷體" w:hAnsi="標楷體"/>
        </w:rPr>
      </w:pPr>
      <w:r>
        <w:rPr>
          <w:rFonts w:ascii="標楷體" w:eastAsia="標楷體" w:hAnsi="標楷體"/>
        </w:rPr>
        <w:t>2.申報費用時須檢附會診紀錄及相關之病歷資料。</w:t>
      </w:r>
    </w:p>
    <w:p w14:paraId="250FC02B" w14:textId="77777777" w:rsidR="00BD776B" w:rsidRDefault="00DF0C24">
      <w:pPr>
        <w:ind w:left="672" w:hanging="386"/>
        <w:rPr>
          <w:rFonts w:ascii="標楷體" w:eastAsia="標楷體" w:hAnsi="標楷體"/>
        </w:rPr>
      </w:pPr>
      <w:r>
        <w:rPr>
          <w:rFonts w:ascii="標楷體" w:eastAsia="標楷體" w:hAnsi="標楷體"/>
        </w:rPr>
        <w:t>10.3.6.Ceftazidime+avibactam sodium(如Zavicefta): (109/6/1、113/4/1）</w:t>
      </w:r>
    </w:p>
    <w:p w14:paraId="684BF56E" w14:textId="77777777" w:rsidR="00BD776B" w:rsidRDefault="00DF0C24">
      <w:pPr>
        <w:ind w:left="811" w:hanging="245"/>
        <w:rPr>
          <w:rFonts w:ascii="標楷體" w:eastAsia="標楷體" w:hAnsi="標楷體"/>
        </w:rPr>
      </w:pPr>
      <w:r>
        <w:rPr>
          <w:rFonts w:ascii="標楷體" w:eastAsia="標楷體" w:hAnsi="標楷體"/>
        </w:rPr>
        <w:t>1.限使用於病人有下列條件之一，且經感染症專科醫師會診，確認有carbapenem抗藥性革蘭氏陰性菌感染之可能或明確證據而需使用者；申報費用時需檢附會診紀錄及相關之病歷資料：(109/6/1、113/4/1）</w:t>
      </w:r>
    </w:p>
    <w:p w14:paraId="45136590" w14:textId="77777777" w:rsidR="00BD776B" w:rsidRDefault="00DF0C24">
      <w:pPr>
        <w:ind w:left="809" w:hanging="101"/>
        <w:rPr>
          <w:rFonts w:ascii="標楷體" w:eastAsia="標楷體" w:hAnsi="標楷體"/>
        </w:rPr>
      </w:pPr>
      <w:r>
        <w:rPr>
          <w:rFonts w:ascii="標楷體" w:eastAsia="標楷體" w:hAnsi="標楷體"/>
        </w:rPr>
        <w:t>(1)複雜性腹腔內感染</w:t>
      </w:r>
    </w:p>
    <w:p w14:paraId="142C0EAC" w14:textId="77777777" w:rsidR="00BD776B" w:rsidRDefault="00DF0C24">
      <w:pPr>
        <w:ind w:left="809" w:hanging="101"/>
        <w:rPr>
          <w:rFonts w:ascii="標楷體" w:eastAsia="標楷體" w:hAnsi="標楷體"/>
        </w:rPr>
      </w:pPr>
      <w:r>
        <w:rPr>
          <w:rFonts w:ascii="標楷體" w:eastAsia="標楷體" w:hAnsi="標楷體"/>
        </w:rPr>
        <w:t>(2)複雜性泌尿道感染</w:t>
      </w:r>
    </w:p>
    <w:p w14:paraId="793B894A" w14:textId="77777777" w:rsidR="00BD776B" w:rsidRDefault="00DF0C24">
      <w:pPr>
        <w:ind w:left="809" w:hanging="101"/>
        <w:rPr>
          <w:rFonts w:ascii="標楷體" w:eastAsia="標楷體" w:hAnsi="標楷體"/>
        </w:rPr>
      </w:pPr>
      <w:r>
        <w:rPr>
          <w:rFonts w:ascii="標楷體" w:eastAsia="標楷體" w:hAnsi="標楷體"/>
        </w:rPr>
        <w:t>(3)院內感染型肺炎</w:t>
      </w:r>
    </w:p>
    <w:p w14:paraId="7C0ECD8C" w14:textId="77777777" w:rsidR="00BD776B" w:rsidRDefault="00DF0C24">
      <w:pPr>
        <w:ind w:left="809" w:hanging="101"/>
        <w:rPr>
          <w:rFonts w:ascii="標楷體" w:eastAsia="標楷體" w:hAnsi="標楷體"/>
        </w:rPr>
      </w:pPr>
      <w:r>
        <w:rPr>
          <w:rFonts w:ascii="標楷體" w:eastAsia="標楷體" w:hAnsi="標楷體"/>
        </w:rPr>
        <w:t>(4)其他臨床感染症懷疑為對carbapenem具抗藥性之感染。(113/4/1）</w:t>
      </w:r>
    </w:p>
    <w:p w14:paraId="5EF062D4" w14:textId="77777777" w:rsidR="00BD776B" w:rsidRDefault="00DF0C24">
      <w:pPr>
        <w:ind w:left="811" w:hanging="245"/>
        <w:rPr>
          <w:rFonts w:ascii="標楷體" w:eastAsia="標楷體" w:hAnsi="標楷體"/>
        </w:rPr>
      </w:pPr>
      <w:r>
        <w:rPr>
          <w:rFonts w:ascii="標楷體" w:eastAsia="標楷體" w:hAnsi="標楷體"/>
        </w:rPr>
        <w:t>2.在經感染症專科醫師會診確認使用者，以經驗療法使用後細菌培養結果，若非對carbapenem具抗藥性，則限定使用7天。(113/4/1）</w:t>
      </w:r>
    </w:p>
    <w:p w14:paraId="470C394E" w14:textId="77777777" w:rsidR="00BD776B" w:rsidRDefault="00DF0C24">
      <w:pPr>
        <w:ind w:left="811" w:hanging="245"/>
        <w:rPr>
          <w:rFonts w:ascii="標楷體" w:eastAsia="標楷體" w:hAnsi="標楷體"/>
        </w:rPr>
      </w:pPr>
      <w:r>
        <w:rPr>
          <w:rFonts w:ascii="標楷體" w:eastAsia="標楷體" w:hAnsi="標楷體"/>
        </w:rPr>
        <w:t>3.使用不得超過14天，如因臨床需要而確有延長治療之必要，需經感染科醫師再照會評估認可，且照會紀錄應留存病歷備查。(113/4/1）</w:t>
      </w:r>
    </w:p>
    <w:p w14:paraId="3AFF3A75" w14:textId="77777777" w:rsidR="00BD776B" w:rsidRDefault="00DF0C24">
      <w:pPr>
        <w:ind w:left="283"/>
        <w:rPr>
          <w:rFonts w:ascii="標楷體" w:eastAsia="標楷體" w:hAnsi="標楷體"/>
        </w:rPr>
      </w:pPr>
      <w:r>
        <w:rPr>
          <w:rFonts w:ascii="標楷體" w:eastAsia="標楷體" w:hAnsi="標楷體"/>
        </w:rPr>
        <w:t>10.3.7.ceftolozane+tazobactam (如Zerbaxa):(110/3/1)</w:t>
      </w:r>
    </w:p>
    <w:p w14:paraId="6C725B2A" w14:textId="77777777" w:rsidR="00BD776B" w:rsidRDefault="00DF0C24">
      <w:pPr>
        <w:ind w:left="825" w:hanging="259"/>
        <w:rPr>
          <w:rFonts w:ascii="標楷體" w:eastAsia="標楷體" w:hAnsi="標楷體"/>
        </w:rPr>
      </w:pPr>
      <w:r>
        <w:rPr>
          <w:rFonts w:ascii="標楷體" w:eastAsia="標楷體" w:hAnsi="標楷體"/>
        </w:rPr>
        <w:t>1.治療18歲以上成人，患有對ceftolozane/tazobactam有感受性的致病菌引起的以下感染症:</w:t>
      </w:r>
    </w:p>
    <w:p w14:paraId="7A205117" w14:textId="77777777" w:rsidR="00BD776B" w:rsidRDefault="00DF0C24">
      <w:pPr>
        <w:ind w:left="991" w:hanging="259"/>
        <w:rPr>
          <w:rFonts w:ascii="標楷體" w:eastAsia="標楷體" w:hAnsi="標楷體"/>
        </w:rPr>
      </w:pPr>
      <w:r>
        <w:rPr>
          <w:rFonts w:ascii="標楷體" w:eastAsia="標楷體" w:hAnsi="標楷體"/>
        </w:rPr>
        <w:t>(1)複雜性腹內感染，需與metronidazole併用。</w:t>
      </w:r>
    </w:p>
    <w:p w14:paraId="44D3E2DB" w14:textId="77777777" w:rsidR="00BD776B" w:rsidRDefault="00DF0C24">
      <w:pPr>
        <w:ind w:left="991" w:hanging="259"/>
        <w:rPr>
          <w:rFonts w:ascii="標楷體" w:eastAsia="標楷體" w:hAnsi="標楷體"/>
        </w:rPr>
      </w:pPr>
      <w:r>
        <w:rPr>
          <w:rFonts w:ascii="標楷體" w:eastAsia="標楷體" w:hAnsi="標楷體"/>
        </w:rPr>
        <w:t>(2)複雜性泌尿道感染，包括腎盂腎炎。</w:t>
      </w:r>
    </w:p>
    <w:p w14:paraId="0FB2BD02" w14:textId="77777777" w:rsidR="00BD776B" w:rsidRDefault="00DF0C24">
      <w:pPr>
        <w:ind w:left="991" w:hanging="259"/>
        <w:rPr>
          <w:rFonts w:ascii="標楷體" w:eastAsia="標楷體" w:hAnsi="標楷體"/>
        </w:rPr>
      </w:pPr>
      <w:r>
        <w:rPr>
          <w:rFonts w:ascii="標楷體" w:eastAsia="標楷體" w:hAnsi="標楷體"/>
        </w:rPr>
        <w:t>(3)院內感染性肺炎，包括呼吸器相關肺炎。</w:t>
      </w:r>
    </w:p>
    <w:p w14:paraId="5709BA36" w14:textId="77777777" w:rsidR="00BD776B" w:rsidRDefault="00DF0C24">
      <w:pPr>
        <w:ind w:left="825" w:hanging="259"/>
        <w:rPr>
          <w:rFonts w:ascii="標楷體" w:eastAsia="標楷體" w:hAnsi="標楷體"/>
        </w:rPr>
      </w:pPr>
      <w:r>
        <w:rPr>
          <w:rFonts w:ascii="標楷體" w:eastAsia="標楷體" w:hAnsi="標楷體"/>
        </w:rPr>
        <w:t>2.需經會診感染科醫師同意後使用。申報費用時，需檢附感染科醫師會診報告。</w:t>
      </w:r>
    </w:p>
    <w:p w14:paraId="2B398435" w14:textId="77777777" w:rsidR="00BD776B" w:rsidRDefault="00DF0C24">
      <w:pPr>
        <w:ind w:left="567" w:hanging="280"/>
      </w:pPr>
      <w:r>
        <w:rPr>
          <w:rFonts w:ascii="標楷體" w:eastAsia="標楷體" w:hAnsi="標楷體"/>
          <w:szCs w:val="24"/>
        </w:rPr>
        <w:t>10.4.巨環類Macrolides（如erythromycin、azithromycin、clarithromycin、roxithromycin）：(90/11/1、93/9/1、97/12/1、98/10/1、100/5/1、108/1/1、110/4/1、111/3/1)</w:t>
      </w:r>
    </w:p>
    <w:p w14:paraId="5891AFE2" w14:textId="77777777" w:rsidR="00BD776B" w:rsidRDefault="00DF0C24">
      <w:pPr>
        <w:ind w:left="851" w:hanging="286"/>
        <w:rPr>
          <w:rFonts w:ascii="標楷體" w:eastAsia="標楷體" w:hAnsi="標楷體"/>
          <w:szCs w:val="24"/>
          <w:lang w:val="it-IT"/>
        </w:rPr>
      </w:pPr>
      <w:r>
        <w:rPr>
          <w:rFonts w:ascii="標楷體" w:eastAsia="標楷體" w:hAnsi="標楷體"/>
          <w:szCs w:val="24"/>
          <w:lang w:val="it-IT"/>
        </w:rPr>
        <w:lastRenderedPageBreak/>
        <w:t>1.限用於經臨床診斷或實驗室診斷為黴漿菌(mycoplasma)或披衣菌(chlamydia)或退伍軍人桿菌(legionella)引起之感染、或經培養證實為macrolides有效之致病菌感染（需於病歷記載診斷依據，俾利審查）。</w:t>
      </w:r>
    </w:p>
    <w:p w14:paraId="681547A4" w14:textId="77777777" w:rsidR="00BD776B" w:rsidRDefault="00DF0C24">
      <w:pPr>
        <w:ind w:left="851" w:hanging="286"/>
      </w:pPr>
      <w:r>
        <w:rPr>
          <w:rFonts w:ascii="標楷體" w:eastAsia="標楷體" w:hAnsi="標楷體"/>
          <w:szCs w:val="24"/>
          <w:lang w:val="it-IT"/>
        </w:rPr>
        <w:t>2.</w:t>
      </w:r>
      <w:r>
        <w:rPr>
          <w:szCs w:val="24"/>
        </w:rPr>
        <w:t xml:space="preserve"> </w:t>
      </w:r>
      <w:r>
        <w:rPr>
          <w:rFonts w:ascii="標楷體" w:eastAsia="標楷體" w:hAnsi="標楷體"/>
          <w:szCs w:val="24"/>
          <w:lang w:val="it-IT"/>
        </w:rPr>
        <w:t>Erythromycin lactobionate(如Erythrocin lactobionate-I.V.)</w:t>
      </w:r>
    </w:p>
    <w:p w14:paraId="136A56EA" w14:textId="77777777" w:rsidR="00BD776B" w:rsidRDefault="00DF0C24">
      <w:pPr>
        <w:ind w:left="993" w:hanging="286"/>
        <w:rPr>
          <w:rFonts w:ascii="標楷體" w:eastAsia="標楷體" w:hAnsi="標楷體"/>
          <w:szCs w:val="24"/>
          <w:lang w:val="it-IT"/>
        </w:rPr>
      </w:pPr>
      <w:r>
        <w:rPr>
          <w:rFonts w:ascii="標楷體" w:eastAsia="標楷體" w:hAnsi="標楷體"/>
          <w:szCs w:val="24"/>
          <w:lang w:val="it-IT"/>
        </w:rPr>
        <w:t>(1)限用於無法口服之病患。</w:t>
      </w:r>
    </w:p>
    <w:p w14:paraId="71951DE8" w14:textId="77777777" w:rsidR="00BD776B" w:rsidRDefault="00DF0C24">
      <w:pPr>
        <w:ind w:left="993" w:hanging="286"/>
        <w:rPr>
          <w:rFonts w:ascii="標楷體" w:eastAsia="標楷體" w:hAnsi="標楷體"/>
          <w:szCs w:val="24"/>
          <w:lang w:val="it-IT"/>
        </w:rPr>
      </w:pPr>
      <w:r>
        <w:rPr>
          <w:rFonts w:ascii="標楷體" w:eastAsia="標楷體" w:hAnsi="標楷體"/>
          <w:szCs w:val="24"/>
          <w:lang w:val="it-IT"/>
        </w:rPr>
        <w:t>(2)使用期間不得超過10日。</w:t>
      </w:r>
    </w:p>
    <w:p w14:paraId="00A93164" w14:textId="77777777" w:rsidR="00BD776B" w:rsidRDefault="00DF0C24">
      <w:pPr>
        <w:ind w:left="993" w:hanging="286"/>
        <w:rPr>
          <w:rFonts w:ascii="標楷體" w:eastAsia="標楷體" w:hAnsi="標楷體"/>
          <w:szCs w:val="24"/>
          <w:lang w:val="it-IT"/>
        </w:rPr>
      </w:pPr>
      <w:r>
        <w:rPr>
          <w:rFonts w:ascii="標楷體" w:eastAsia="標楷體" w:hAnsi="標楷體"/>
          <w:szCs w:val="24"/>
          <w:lang w:val="it-IT"/>
        </w:rPr>
        <w:t>(3)若需使用高劑量（成人每日劑量大於2g）或延長治療者，需經感染症專科醫師會診確認需要使用。(110/4/1)</w:t>
      </w:r>
    </w:p>
    <w:p w14:paraId="75D87037" w14:textId="77777777" w:rsidR="00BD776B" w:rsidRDefault="00DF0C24">
      <w:pPr>
        <w:ind w:left="851" w:hanging="286"/>
      </w:pPr>
      <w:r>
        <w:rPr>
          <w:rFonts w:ascii="標楷體" w:eastAsia="標楷體" w:hAnsi="標楷體"/>
          <w:szCs w:val="24"/>
          <w:lang w:val="it-IT"/>
        </w:rPr>
        <w:t>3.</w:t>
      </w:r>
      <w:r>
        <w:rPr>
          <w:szCs w:val="24"/>
        </w:rPr>
        <w:t xml:space="preserve"> </w:t>
      </w:r>
      <w:r>
        <w:rPr>
          <w:rFonts w:ascii="標楷體" w:eastAsia="標楷體" w:hAnsi="標楷體"/>
          <w:szCs w:val="24"/>
          <w:lang w:val="it-IT"/>
        </w:rPr>
        <w:t>(1)Azithromycin</w:t>
      </w:r>
    </w:p>
    <w:p w14:paraId="0B55D23D" w14:textId="77777777" w:rsidR="00BD776B" w:rsidRDefault="00DF0C24">
      <w:pPr>
        <w:ind w:left="1276" w:hanging="286"/>
        <w:rPr>
          <w:rFonts w:ascii="標楷體" w:eastAsia="標楷體" w:hAnsi="標楷體"/>
          <w:szCs w:val="24"/>
          <w:lang w:val="it-IT"/>
        </w:rPr>
      </w:pPr>
      <w:r>
        <w:rPr>
          <w:rFonts w:ascii="標楷體" w:eastAsia="標楷體" w:hAnsi="標楷體"/>
          <w:szCs w:val="24"/>
          <w:lang w:val="it-IT"/>
        </w:rPr>
        <w:t>a.錠劑膠囊劑(如Zithromax capsules)使用期間不得超過3日，每日最大劑量500mg。對於「禽結核桿菌(Mycobacterium avium‐ intracellulare complex, MAC)」感染患者，使用期限及劑量則不受上述之限制。(100/5/1)</w:t>
      </w:r>
    </w:p>
    <w:p w14:paraId="766F2E85" w14:textId="77777777" w:rsidR="00BD776B" w:rsidRDefault="00DF0C24">
      <w:pPr>
        <w:ind w:left="1276" w:hanging="286"/>
        <w:rPr>
          <w:rFonts w:ascii="標楷體" w:eastAsia="標楷體" w:hAnsi="標楷體"/>
          <w:szCs w:val="24"/>
          <w:lang w:val="it-IT"/>
        </w:rPr>
      </w:pPr>
      <w:r>
        <w:rPr>
          <w:rFonts w:ascii="標楷體" w:eastAsia="標楷體" w:hAnsi="標楷體"/>
          <w:szCs w:val="24"/>
          <w:lang w:val="it-IT"/>
        </w:rPr>
        <w:t>b.口服液劑(如Zithromax Powder for Oral Suspension)使用期間不得超過3日，每日最大劑量500mg。(100/5/1)</w:t>
      </w:r>
    </w:p>
    <w:p w14:paraId="2258A5A5" w14:textId="77777777" w:rsidR="00BD776B" w:rsidRDefault="00DF0C24">
      <w:pPr>
        <w:ind w:left="1134" w:hanging="286"/>
      </w:pPr>
      <w:r>
        <w:rPr>
          <w:rFonts w:ascii="標楷體" w:eastAsia="標楷體" w:hAnsi="標楷體"/>
          <w:szCs w:val="24"/>
          <w:lang w:val="it-IT"/>
        </w:rPr>
        <w:t>(2)Azithromycin長效製劑(如Zmax extended release powder for oral suspension)限單次投予，每次最大劑量為2g；不受全民健康保險藥品給付規定通則八之限制。(97/12/1、100/5/1)</w:t>
      </w:r>
    </w:p>
    <w:p w14:paraId="3DD77233" w14:textId="77777777" w:rsidR="00BD776B" w:rsidRDefault="00DF0C24">
      <w:pPr>
        <w:ind w:left="1134" w:hanging="567"/>
      </w:pPr>
      <w:r>
        <w:rPr>
          <w:rFonts w:ascii="標楷體" w:eastAsia="標楷體" w:hAnsi="標楷體"/>
          <w:szCs w:val="24"/>
          <w:lang w:val="it-IT"/>
        </w:rPr>
        <w:t>4.(1)Clarithromycin (</w:t>
      </w:r>
      <w:r>
        <w:rPr>
          <w:rFonts w:ascii="標楷體" w:eastAsia="標楷體" w:hAnsi="標楷體"/>
          <w:szCs w:val="24"/>
        </w:rPr>
        <w:t>如</w:t>
      </w:r>
      <w:r>
        <w:rPr>
          <w:rFonts w:ascii="標楷體" w:eastAsia="標楷體" w:hAnsi="標楷體"/>
          <w:szCs w:val="24"/>
          <w:lang w:val="it-IT"/>
        </w:rPr>
        <w:t>Klaricid Tab</w:t>
      </w:r>
      <w:r>
        <w:rPr>
          <w:rFonts w:ascii="標楷體" w:eastAsia="標楷體" w:hAnsi="標楷體"/>
          <w:szCs w:val="24"/>
        </w:rPr>
        <w:t>、</w:t>
      </w:r>
      <w:r>
        <w:rPr>
          <w:rFonts w:ascii="標楷體" w:eastAsia="標楷體" w:hAnsi="標楷體"/>
          <w:szCs w:val="24"/>
          <w:lang w:val="it-IT"/>
        </w:rPr>
        <w:t>Klaricid Paediatric Suspension)</w:t>
      </w:r>
      <w:r>
        <w:rPr>
          <w:rFonts w:ascii="標楷體" w:eastAsia="標楷體" w:hAnsi="標楷體"/>
          <w:szCs w:val="24"/>
        </w:rPr>
        <w:t>使用期間不得超過</w:t>
      </w:r>
      <w:r>
        <w:rPr>
          <w:rFonts w:ascii="標楷體" w:eastAsia="標楷體" w:hAnsi="標楷體"/>
          <w:szCs w:val="24"/>
          <w:lang w:val="it-IT"/>
        </w:rPr>
        <w:t>10</w:t>
      </w:r>
      <w:r>
        <w:rPr>
          <w:rFonts w:ascii="標楷體" w:eastAsia="標楷體" w:hAnsi="標楷體"/>
          <w:szCs w:val="24"/>
        </w:rPr>
        <w:t>日</w:t>
      </w:r>
      <w:r>
        <w:rPr>
          <w:rFonts w:ascii="標楷體" w:eastAsia="標楷體" w:hAnsi="標楷體"/>
          <w:szCs w:val="24"/>
          <w:lang w:val="it-IT"/>
        </w:rPr>
        <w:t>，</w:t>
      </w:r>
      <w:r>
        <w:rPr>
          <w:rFonts w:ascii="標楷體" w:eastAsia="標楷體" w:hAnsi="標楷體"/>
          <w:szCs w:val="24"/>
        </w:rPr>
        <w:t>每日最大劑量</w:t>
      </w:r>
      <w:r>
        <w:rPr>
          <w:rFonts w:ascii="標楷體" w:eastAsia="標楷體" w:hAnsi="標楷體"/>
          <w:szCs w:val="24"/>
          <w:lang w:val="it-IT"/>
        </w:rPr>
        <w:t>500mg</w:t>
      </w:r>
      <w:r>
        <w:rPr>
          <w:rFonts w:ascii="標楷體" w:eastAsia="標楷體" w:hAnsi="標楷體"/>
          <w:szCs w:val="24"/>
        </w:rPr>
        <w:t>。對於「非結核分枝</w:t>
      </w:r>
      <w:r>
        <w:rPr>
          <w:rFonts w:ascii="標楷體" w:eastAsia="標楷體" w:hAnsi="標楷體"/>
          <w:szCs w:val="24"/>
          <w:lang w:val="it-IT"/>
        </w:rPr>
        <w:t>(</w:t>
      </w:r>
      <w:r>
        <w:rPr>
          <w:rFonts w:ascii="標楷體" w:eastAsia="標楷體" w:hAnsi="標楷體"/>
          <w:szCs w:val="24"/>
        </w:rPr>
        <w:t>耐酸</w:t>
      </w:r>
      <w:r>
        <w:rPr>
          <w:rFonts w:ascii="標楷體" w:eastAsia="標楷體" w:hAnsi="標楷體"/>
          <w:szCs w:val="24"/>
          <w:lang w:val="it-IT"/>
        </w:rPr>
        <w:t>)</w:t>
      </w:r>
      <w:r>
        <w:rPr>
          <w:rFonts w:ascii="標楷體" w:eastAsia="標楷體" w:hAnsi="標楷體"/>
          <w:szCs w:val="24"/>
        </w:rPr>
        <w:t>桿菌</w:t>
      </w:r>
      <w:r>
        <w:rPr>
          <w:rFonts w:ascii="標楷體" w:eastAsia="標楷體" w:hAnsi="標楷體"/>
          <w:szCs w:val="24"/>
          <w:lang w:val="it-IT"/>
        </w:rPr>
        <w:t xml:space="preserve"> (NTM) </w:t>
      </w:r>
      <w:r>
        <w:rPr>
          <w:rFonts w:ascii="標楷體" w:eastAsia="標楷體" w:hAnsi="標楷體"/>
          <w:szCs w:val="24"/>
        </w:rPr>
        <w:t>」感染患者</w:t>
      </w:r>
      <w:r>
        <w:rPr>
          <w:rFonts w:ascii="標楷體" w:eastAsia="標楷體" w:hAnsi="標楷體"/>
          <w:szCs w:val="24"/>
          <w:lang w:val="it-IT"/>
        </w:rPr>
        <w:t>，</w:t>
      </w:r>
      <w:r>
        <w:rPr>
          <w:rFonts w:ascii="標楷體" w:eastAsia="標楷體" w:hAnsi="標楷體"/>
          <w:szCs w:val="24"/>
        </w:rPr>
        <w:t>每日得使用</w:t>
      </w:r>
      <w:r>
        <w:rPr>
          <w:rFonts w:ascii="標楷體" w:eastAsia="標楷體" w:hAnsi="標楷體"/>
          <w:szCs w:val="24"/>
          <w:lang w:val="it-IT"/>
        </w:rPr>
        <w:t>1000mg，</w:t>
      </w:r>
      <w:r>
        <w:rPr>
          <w:rFonts w:ascii="標楷體" w:eastAsia="標楷體" w:hAnsi="標楷體"/>
          <w:szCs w:val="24"/>
        </w:rPr>
        <w:t>且得持續使用</w:t>
      </w:r>
      <w:r>
        <w:rPr>
          <w:rFonts w:ascii="標楷體" w:eastAsia="標楷體" w:hAnsi="標楷體"/>
          <w:szCs w:val="24"/>
          <w:lang w:val="it-IT"/>
        </w:rPr>
        <w:t>6</w:t>
      </w:r>
      <w:r>
        <w:rPr>
          <w:rFonts w:ascii="標楷體" w:eastAsia="標楷體" w:hAnsi="標楷體"/>
          <w:szCs w:val="24"/>
        </w:rPr>
        <w:t>個月以上。(93/9/1、100/5/1)</w:t>
      </w:r>
    </w:p>
    <w:p w14:paraId="0D44DE68" w14:textId="77777777" w:rsidR="00BD776B" w:rsidRDefault="00DF0C24">
      <w:pPr>
        <w:ind w:left="1134" w:hanging="333"/>
      </w:pPr>
      <w:r>
        <w:rPr>
          <w:rFonts w:ascii="標楷體" w:eastAsia="標楷體" w:hAnsi="標楷體"/>
          <w:szCs w:val="24"/>
        </w:rPr>
        <w:t>(2)Clarithromycin (如Klaricid Tab) 用於消化性潰瘍之胃幽門桿菌消除治療，使用期間不得超過14日。使用總量以56顆(每顆250mg)為限；依比例換算使用clarithromycin 500mg者，則使用總量以28顆為限。(98/10/1、100/5/1、111/3/1)</w:t>
      </w:r>
    </w:p>
    <w:p w14:paraId="2614E106" w14:textId="77777777" w:rsidR="00BD776B" w:rsidRDefault="00DF0C24">
      <w:pPr>
        <w:ind w:left="1134" w:hanging="333"/>
      </w:pPr>
      <w:r>
        <w:rPr>
          <w:rFonts w:ascii="標楷體" w:eastAsia="標楷體" w:hAnsi="標楷體"/>
          <w:szCs w:val="24"/>
        </w:rPr>
        <w:t>(3)</w:t>
      </w:r>
      <w:r>
        <w:rPr>
          <w:szCs w:val="24"/>
        </w:rPr>
        <w:t xml:space="preserve"> </w:t>
      </w:r>
      <w:r>
        <w:rPr>
          <w:rFonts w:ascii="標楷體" w:eastAsia="標楷體" w:hAnsi="標楷體"/>
          <w:szCs w:val="24"/>
        </w:rPr>
        <w:t>Clarithromycin (如Klaricid IV)(108/1/1）</w:t>
      </w:r>
    </w:p>
    <w:p w14:paraId="0A096139" w14:textId="77777777" w:rsidR="00BD776B" w:rsidRDefault="00DF0C24">
      <w:pPr>
        <w:ind w:left="1050" w:hanging="83"/>
        <w:rPr>
          <w:rFonts w:ascii="標楷體" w:eastAsia="標楷體" w:hAnsi="標楷體"/>
          <w:szCs w:val="24"/>
        </w:rPr>
      </w:pPr>
      <w:r>
        <w:rPr>
          <w:rFonts w:ascii="標楷體" w:eastAsia="標楷體" w:hAnsi="標楷體"/>
          <w:szCs w:val="24"/>
        </w:rPr>
        <w:t>Ⅰ.限用於無法口服之病患。</w:t>
      </w:r>
    </w:p>
    <w:p w14:paraId="24E38A78" w14:textId="77777777" w:rsidR="00BD776B" w:rsidRDefault="00DF0C24">
      <w:pPr>
        <w:ind w:left="1372" w:hanging="380"/>
        <w:rPr>
          <w:rFonts w:ascii="標楷體" w:eastAsia="標楷體" w:hAnsi="標楷體"/>
          <w:szCs w:val="24"/>
        </w:rPr>
      </w:pPr>
      <w:r>
        <w:rPr>
          <w:rFonts w:ascii="標楷體" w:eastAsia="標楷體" w:hAnsi="標楷體"/>
          <w:szCs w:val="24"/>
        </w:rPr>
        <w:t>Ⅱ.若需使用高劑量（成人每日劑量大於1g）或延長治療者，需經感染症專科醫師會診確認需要使用。</w:t>
      </w:r>
    </w:p>
    <w:p w14:paraId="4843F15D" w14:textId="77777777" w:rsidR="00BD776B" w:rsidRDefault="00DF0C24">
      <w:pPr>
        <w:ind w:left="849" w:hanging="242"/>
      </w:pPr>
      <w:r>
        <w:rPr>
          <w:rFonts w:ascii="標楷體" w:eastAsia="標楷體" w:hAnsi="標楷體"/>
          <w:szCs w:val="24"/>
        </w:rPr>
        <w:t>5.</w:t>
      </w:r>
      <w:r>
        <w:rPr>
          <w:szCs w:val="24"/>
        </w:rPr>
        <w:t xml:space="preserve"> </w:t>
      </w:r>
      <w:r>
        <w:rPr>
          <w:rFonts w:ascii="標楷體" w:eastAsia="標楷體" w:hAnsi="標楷體"/>
          <w:szCs w:val="24"/>
        </w:rPr>
        <w:t>Roxithromycin (如Rulid)使用期間不得超過10日，每日最大劑量500mg。(100/5/1)</w:t>
      </w:r>
    </w:p>
    <w:p w14:paraId="718F5978" w14:textId="77777777" w:rsidR="00BD776B" w:rsidRDefault="00DF0C24">
      <w:pPr>
        <w:ind w:left="850" w:hanging="245"/>
      </w:pPr>
      <w:r>
        <w:rPr>
          <w:rFonts w:ascii="標楷體" w:eastAsia="標楷體" w:hAnsi="標楷體"/>
          <w:szCs w:val="24"/>
        </w:rPr>
        <w:t>6.本類製劑應儘量避免合併使用其他抗生素，用於治療「非結核分枝(耐酸)桿菌 (NTM)」者不在此限。(100/5/1)</w:t>
      </w:r>
    </w:p>
    <w:p w14:paraId="236844E2" w14:textId="77777777" w:rsidR="00BD776B" w:rsidRDefault="00DF0C24">
      <w:pPr>
        <w:ind w:left="672" w:hanging="386"/>
        <w:rPr>
          <w:rFonts w:ascii="標楷體" w:eastAsia="標楷體" w:hAnsi="標楷體"/>
        </w:rPr>
      </w:pPr>
      <w:r>
        <w:rPr>
          <w:rFonts w:ascii="標楷體" w:eastAsia="標楷體" w:hAnsi="標楷體"/>
        </w:rPr>
        <w:t>10.5.Carbapenem類抗微生物製劑：</w:t>
      </w:r>
    </w:p>
    <w:p w14:paraId="72276857" w14:textId="77777777" w:rsidR="00BD776B" w:rsidRDefault="00DF0C24">
      <w:pPr>
        <w:ind w:left="672" w:hanging="386"/>
        <w:rPr>
          <w:rFonts w:ascii="標楷體" w:eastAsia="標楷體" w:hAnsi="標楷體"/>
        </w:rPr>
      </w:pPr>
      <w:r>
        <w:rPr>
          <w:rFonts w:ascii="標楷體" w:eastAsia="標楷體" w:hAnsi="標楷體"/>
        </w:rPr>
        <w:t>10.5.1.Imipenem + cilastatin（如Tienam）；meropenem（如Mepem）：(87/11/1、93/2/1、93/5/1、99/5/1、99/8/1)</w:t>
      </w:r>
    </w:p>
    <w:p w14:paraId="6CDAD46E" w14:textId="77777777" w:rsidR="00BD776B" w:rsidRDefault="00DF0C24">
      <w:pPr>
        <w:ind w:left="811" w:hanging="245"/>
        <w:rPr>
          <w:rFonts w:ascii="標楷體" w:eastAsia="標楷體" w:hAnsi="標楷體"/>
        </w:rPr>
      </w:pPr>
      <w:r>
        <w:rPr>
          <w:rFonts w:ascii="標楷體" w:eastAsia="標楷體" w:hAnsi="標楷體"/>
        </w:rPr>
        <w:t>1.經細菌培養證實有意義之致病菌且對其他抗微生物製劑均具抗藥性，而對carbapenem具有感受性 (sensitivity)。</w:t>
      </w:r>
    </w:p>
    <w:p w14:paraId="22145F7F" w14:textId="77777777" w:rsidR="00BD776B" w:rsidRDefault="00DF0C24">
      <w:pPr>
        <w:ind w:left="811" w:hanging="245"/>
        <w:rPr>
          <w:rFonts w:ascii="標楷體" w:eastAsia="標楷體" w:hAnsi="標楷體"/>
        </w:rPr>
      </w:pPr>
      <w:r>
        <w:rPr>
          <w:rFonts w:ascii="標楷體" w:eastAsia="標楷體" w:hAnsi="標楷體"/>
        </w:rPr>
        <w:t>2.經細菌培養，發現有意義之致病菌對carbapenem及其他抗微生物製劑具有感受性，但病患對其他抗微生物製劑過敏無其他藥物可供選用時。</w:t>
      </w:r>
    </w:p>
    <w:p w14:paraId="02A05565" w14:textId="77777777" w:rsidR="00BD776B" w:rsidRDefault="00DF0C24">
      <w:pPr>
        <w:ind w:left="811" w:hanging="245"/>
        <w:rPr>
          <w:rFonts w:ascii="標楷體" w:eastAsia="標楷體" w:hAnsi="標楷體"/>
        </w:rPr>
      </w:pPr>
      <w:r>
        <w:rPr>
          <w:rFonts w:ascii="標楷體" w:eastAsia="標楷體" w:hAnsi="標楷體"/>
        </w:rPr>
        <w:t>3.臨床上為嚴重之細菌感染，且經其他廣效性的非第一線抗微生物製劑治療仍無法控制病情者。</w:t>
      </w:r>
    </w:p>
    <w:p w14:paraId="5BF8B764" w14:textId="77777777" w:rsidR="00BD776B" w:rsidRDefault="00DF0C24">
      <w:pPr>
        <w:ind w:left="811" w:hanging="245"/>
        <w:rPr>
          <w:rFonts w:ascii="標楷體" w:eastAsia="標楷體" w:hAnsi="標楷體"/>
        </w:rPr>
      </w:pPr>
      <w:r>
        <w:rPr>
          <w:rFonts w:ascii="標楷體" w:eastAsia="標楷體" w:hAnsi="標楷體"/>
        </w:rPr>
        <w:t>4.經感染症專科醫師會診，確認有感染症需使用者 (申報費用時需檢附會診紀錄</w:t>
      </w:r>
      <w:r>
        <w:rPr>
          <w:rFonts w:ascii="標楷體" w:eastAsia="標楷體" w:hAnsi="標楷體"/>
        </w:rPr>
        <w:lastRenderedPageBreak/>
        <w:t>及相關之病歷資料)。(93/5/1)</w:t>
      </w:r>
    </w:p>
    <w:p w14:paraId="6FA05DE8" w14:textId="77777777" w:rsidR="00BD776B" w:rsidRDefault="00DF0C24">
      <w:pPr>
        <w:ind w:left="672" w:hanging="386"/>
        <w:rPr>
          <w:rFonts w:ascii="標楷體" w:eastAsia="標楷體" w:hAnsi="標楷體"/>
        </w:rPr>
      </w:pPr>
      <w:r>
        <w:rPr>
          <w:rFonts w:ascii="標楷體" w:eastAsia="標楷體" w:hAnsi="標楷體"/>
        </w:rPr>
        <w:t>10.5.2.Ertapenem（如Invanz inj.）：(93/5/1、96/12/1)</w:t>
      </w:r>
    </w:p>
    <w:p w14:paraId="763F714F" w14:textId="77777777" w:rsidR="00BD776B" w:rsidRDefault="00DF0C24">
      <w:pPr>
        <w:ind w:left="811" w:hanging="245"/>
        <w:rPr>
          <w:rFonts w:ascii="標楷體" w:eastAsia="標楷體" w:hAnsi="標楷體"/>
        </w:rPr>
      </w:pPr>
      <w:r>
        <w:rPr>
          <w:rFonts w:ascii="標楷體" w:eastAsia="標楷體" w:hAnsi="標楷體"/>
        </w:rPr>
        <w:t>1.臨床上為中、重度細菌感染，且經其他抗微生物製劑治療仍無法控制病情者，但限用於：</w:t>
      </w:r>
    </w:p>
    <w:p w14:paraId="7AEAD06B" w14:textId="77777777" w:rsidR="00BD776B" w:rsidRDefault="00DF0C24">
      <w:pPr>
        <w:ind w:left="1133" w:hanging="322"/>
        <w:rPr>
          <w:rFonts w:ascii="標楷體" w:eastAsia="標楷體" w:hAnsi="標楷體"/>
        </w:rPr>
      </w:pPr>
      <w:r>
        <w:rPr>
          <w:rFonts w:ascii="標楷體" w:eastAsia="標楷體" w:hAnsi="標楷體"/>
        </w:rPr>
        <w:t>(1)複雜的腹腔內感染</w:t>
      </w:r>
    </w:p>
    <w:p w14:paraId="1D4A884B" w14:textId="77777777" w:rsidR="00BD776B" w:rsidRDefault="00DF0C24">
      <w:pPr>
        <w:ind w:left="1133" w:hanging="322"/>
        <w:rPr>
          <w:rFonts w:ascii="標楷體" w:eastAsia="標楷體" w:hAnsi="標楷體"/>
        </w:rPr>
      </w:pPr>
      <w:r>
        <w:rPr>
          <w:rFonts w:ascii="標楷體" w:eastAsia="標楷體" w:hAnsi="標楷體"/>
        </w:rPr>
        <w:t>(2)感染性肺炎</w:t>
      </w:r>
    </w:p>
    <w:p w14:paraId="4F5B5C9E" w14:textId="77777777" w:rsidR="00BD776B" w:rsidRDefault="00DF0C24">
      <w:pPr>
        <w:ind w:left="1133" w:hanging="322"/>
        <w:rPr>
          <w:rFonts w:ascii="標楷體" w:eastAsia="標楷體" w:hAnsi="標楷體"/>
        </w:rPr>
      </w:pPr>
      <w:r>
        <w:rPr>
          <w:rFonts w:ascii="標楷體" w:eastAsia="標楷體" w:hAnsi="標楷體"/>
        </w:rPr>
        <w:t>(3)急性骨盆感染</w:t>
      </w:r>
    </w:p>
    <w:p w14:paraId="7EFCFC27" w14:textId="77777777" w:rsidR="00BD776B" w:rsidRDefault="00DF0C24">
      <w:pPr>
        <w:ind w:left="811" w:hanging="245"/>
        <w:rPr>
          <w:rFonts w:ascii="標楷體" w:eastAsia="標楷體" w:hAnsi="標楷體"/>
        </w:rPr>
      </w:pPr>
      <w:r>
        <w:rPr>
          <w:rFonts w:ascii="標楷體" w:eastAsia="標楷體" w:hAnsi="標楷體"/>
        </w:rPr>
        <w:t>2.經感染症專科醫師會診，確認有感染症需使用者（申報費用時需檢附會診紀錄及相關之病歷資料）。</w:t>
      </w:r>
    </w:p>
    <w:p w14:paraId="4A624D71" w14:textId="77777777" w:rsidR="00BD776B" w:rsidRDefault="00DF0C24">
      <w:pPr>
        <w:ind w:left="672" w:hanging="386"/>
        <w:rPr>
          <w:rFonts w:ascii="標楷體" w:eastAsia="標楷體" w:hAnsi="標楷體"/>
        </w:rPr>
      </w:pPr>
      <w:r>
        <w:rPr>
          <w:rFonts w:ascii="標楷體" w:eastAsia="標楷體" w:hAnsi="標楷體"/>
        </w:rPr>
        <w:t>10.5.3.Doripenem (如Finibax)：(99/8/1)</w:t>
      </w:r>
    </w:p>
    <w:p w14:paraId="3841C9D5" w14:textId="77777777" w:rsidR="00BD776B" w:rsidRDefault="00DF0C24">
      <w:pPr>
        <w:ind w:left="811" w:hanging="245"/>
        <w:rPr>
          <w:rFonts w:ascii="標楷體" w:eastAsia="標楷體" w:hAnsi="標楷體"/>
        </w:rPr>
      </w:pPr>
      <w:r>
        <w:rPr>
          <w:rFonts w:ascii="標楷體" w:eastAsia="標楷體" w:hAnsi="標楷體"/>
        </w:rPr>
        <w:t>1.經細菌培養證實有意義之致病菌且對其他抗微生物製劑均具抗藥性或對其他具有感受性抗微生物製劑過敏，而對carbapenem具有感受性(sensitivity)之複雜性泌尿道感染(包括腎盂腎炎)及複雜性腹腔內感染。</w:t>
      </w:r>
    </w:p>
    <w:p w14:paraId="4EE8CBCA" w14:textId="77777777" w:rsidR="00BD776B" w:rsidRDefault="00DF0C24">
      <w:pPr>
        <w:ind w:left="811" w:hanging="245"/>
        <w:rPr>
          <w:rFonts w:ascii="標楷體" w:eastAsia="標楷體" w:hAnsi="標楷體"/>
        </w:rPr>
      </w:pPr>
      <w:r>
        <w:rPr>
          <w:rFonts w:ascii="標楷體" w:eastAsia="標楷體" w:hAnsi="標楷體"/>
        </w:rPr>
        <w:t>2.臨床上為嚴重之複雜性泌尿道感染(包括腎盂腎炎)及複雜性腹腔內感染，且經其他廣效性的非第一線抗微生物製劑治療仍無法控制病情者。</w:t>
      </w:r>
    </w:p>
    <w:p w14:paraId="53DEF54D" w14:textId="732D1A2D" w:rsidR="00BD776B" w:rsidRDefault="00DF0C24">
      <w:pPr>
        <w:ind w:left="811" w:hanging="245"/>
        <w:rPr>
          <w:rFonts w:ascii="標楷體" w:eastAsia="標楷體" w:hAnsi="標楷體"/>
        </w:rPr>
      </w:pPr>
      <w:r>
        <w:rPr>
          <w:rFonts w:ascii="標楷體" w:eastAsia="標楷體" w:hAnsi="標楷體"/>
        </w:rPr>
        <w:t>3.經感染症專科醫師會診，確認有感染症需使用者(申報費用時需檢附會診紀錄及相關之病歷資料)。</w:t>
      </w:r>
    </w:p>
    <w:p w14:paraId="008D7E01" w14:textId="77777777" w:rsidR="007C481E" w:rsidRPr="007C481E" w:rsidRDefault="007C481E" w:rsidP="007C481E">
      <w:pPr>
        <w:ind w:left="672" w:hanging="386"/>
        <w:rPr>
          <w:rFonts w:ascii="標楷體" w:eastAsia="標楷體" w:hAnsi="標楷體"/>
          <w:color w:val="000000" w:themeColor="text1"/>
          <w:kern w:val="2"/>
        </w:rPr>
      </w:pPr>
      <w:r w:rsidRPr="007C481E">
        <w:rPr>
          <w:rFonts w:ascii="標楷體" w:eastAsia="標楷體" w:hAnsi="標楷體" w:hint="eastAsia"/>
          <w:color w:val="000000" w:themeColor="text1"/>
          <w:kern w:val="2"/>
        </w:rPr>
        <w:t>10.5.4.Imipenem＋cilastatin＋relebactam (如Recarbrio)：(114/1/1）</w:t>
      </w:r>
    </w:p>
    <w:p w14:paraId="4F27A60F" w14:textId="77777777" w:rsidR="007C481E" w:rsidRPr="007C481E" w:rsidRDefault="007C481E" w:rsidP="007C481E">
      <w:pPr>
        <w:ind w:left="811" w:hanging="245"/>
        <w:rPr>
          <w:rFonts w:ascii="標楷體" w:eastAsia="標楷體" w:hAnsi="標楷體"/>
          <w:color w:val="000000" w:themeColor="text1"/>
          <w:kern w:val="2"/>
        </w:rPr>
      </w:pPr>
      <w:r w:rsidRPr="007C481E">
        <w:rPr>
          <w:rFonts w:ascii="標楷體" w:eastAsia="標楷體" w:hAnsi="標楷體" w:hint="eastAsia"/>
          <w:color w:val="000000" w:themeColor="text1"/>
          <w:kern w:val="2"/>
        </w:rPr>
        <w:t>1.治療18歲以上成人，患有對carbapenem有抗藥性且對imipenem/cilastatin/relebactam有感受性的致病菌引起的以下感染症：</w:t>
      </w:r>
    </w:p>
    <w:p w14:paraId="3F1A620B" w14:textId="77777777" w:rsidR="007C481E" w:rsidRPr="007C481E" w:rsidRDefault="007C481E" w:rsidP="007C481E">
      <w:pPr>
        <w:ind w:left="1133" w:hanging="322"/>
        <w:rPr>
          <w:rFonts w:ascii="標楷體" w:eastAsia="標楷體" w:hAnsi="標楷體"/>
        </w:rPr>
      </w:pPr>
      <w:r w:rsidRPr="007C481E">
        <w:rPr>
          <w:rFonts w:ascii="標楷體" w:eastAsia="標楷體" w:hAnsi="標楷體" w:hint="eastAsia"/>
          <w:color w:val="000000" w:themeColor="text1"/>
          <w:kern w:val="2"/>
        </w:rPr>
        <w:t>(1)複雜性</w:t>
      </w:r>
      <w:r w:rsidRPr="007C481E">
        <w:rPr>
          <w:rFonts w:ascii="標楷體" w:eastAsia="標楷體" w:hAnsi="標楷體" w:hint="eastAsia"/>
        </w:rPr>
        <w:t>腹腔內感染。</w:t>
      </w:r>
    </w:p>
    <w:p w14:paraId="72302812" w14:textId="77777777" w:rsidR="007C481E" w:rsidRPr="007C481E" w:rsidRDefault="007C481E" w:rsidP="007C481E">
      <w:pPr>
        <w:ind w:left="1133" w:hanging="322"/>
        <w:rPr>
          <w:rFonts w:ascii="標楷體" w:eastAsia="標楷體" w:hAnsi="標楷體"/>
        </w:rPr>
      </w:pPr>
      <w:r w:rsidRPr="007C481E">
        <w:rPr>
          <w:rFonts w:ascii="標楷體" w:eastAsia="標楷體" w:hAnsi="標楷體" w:hint="eastAsia"/>
        </w:rPr>
        <w:t>(2)複雜性泌尿道感染。</w:t>
      </w:r>
    </w:p>
    <w:p w14:paraId="3C7E1FD8" w14:textId="77777777" w:rsidR="007C481E" w:rsidRPr="007C481E" w:rsidRDefault="007C481E" w:rsidP="007C481E">
      <w:pPr>
        <w:ind w:left="1133" w:hanging="322"/>
        <w:rPr>
          <w:rFonts w:ascii="標楷體" w:eastAsia="標楷體" w:hAnsi="標楷體"/>
          <w:color w:val="000000" w:themeColor="text1"/>
          <w:kern w:val="2"/>
        </w:rPr>
      </w:pPr>
      <w:r w:rsidRPr="007C481E">
        <w:rPr>
          <w:rFonts w:ascii="標楷體" w:eastAsia="標楷體" w:hAnsi="標楷體" w:hint="eastAsia"/>
        </w:rPr>
        <w:t>(3)院內感</w:t>
      </w:r>
      <w:r w:rsidRPr="007C481E">
        <w:rPr>
          <w:rFonts w:ascii="標楷體" w:eastAsia="標楷體" w:hAnsi="標楷體" w:hint="eastAsia"/>
          <w:color w:val="000000" w:themeColor="text1"/>
          <w:kern w:val="2"/>
        </w:rPr>
        <w:t>染型肺炎。</w:t>
      </w:r>
    </w:p>
    <w:p w14:paraId="24523379" w14:textId="4D986B1F" w:rsidR="007C481E" w:rsidRDefault="007C481E" w:rsidP="007C481E">
      <w:pPr>
        <w:ind w:left="811" w:hanging="245"/>
        <w:rPr>
          <w:rFonts w:ascii="標楷體" w:eastAsia="標楷體" w:hAnsi="標楷體"/>
        </w:rPr>
      </w:pPr>
      <w:r w:rsidRPr="007C481E">
        <w:rPr>
          <w:rFonts w:ascii="標楷體" w:eastAsia="標楷體" w:hAnsi="標楷體" w:hint="eastAsia"/>
          <w:color w:val="000000" w:themeColor="text1"/>
          <w:kern w:val="2"/>
        </w:rPr>
        <w:t>2.需經會診感染科醫師同意後使用，申報費用時需檢附會診紀錄及相關之病歷資料。</w:t>
      </w:r>
    </w:p>
    <w:p w14:paraId="2B755A8C" w14:textId="77777777" w:rsidR="00BD776B" w:rsidRDefault="00DF0C24">
      <w:pPr>
        <w:ind w:left="672" w:hanging="386"/>
        <w:rPr>
          <w:rFonts w:ascii="標楷體" w:eastAsia="標楷體" w:hAnsi="標楷體"/>
        </w:rPr>
      </w:pPr>
      <w:r>
        <w:rPr>
          <w:rFonts w:ascii="標楷體" w:eastAsia="標楷體" w:hAnsi="標楷體"/>
        </w:rPr>
        <w:t>10.6.抗黴菌劑  Antifungal drugs</w:t>
      </w:r>
    </w:p>
    <w:p w14:paraId="501F82F4" w14:textId="77777777" w:rsidR="00BD776B" w:rsidRDefault="00DF0C24">
      <w:pPr>
        <w:ind w:left="672" w:hanging="386"/>
        <w:rPr>
          <w:rFonts w:ascii="標楷體" w:eastAsia="標楷體" w:hAnsi="標楷體"/>
        </w:rPr>
      </w:pPr>
      <w:r>
        <w:rPr>
          <w:rFonts w:ascii="標楷體" w:eastAsia="標楷體" w:hAnsi="標楷體"/>
        </w:rPr>
        <w:t>10.6.1. Fluconazole</w:t>
      </w:r>
    </w:p>
    <w:p w14:paraId="63EF992A" w14:textId="77777777" w:rsidR="00BD776B" w:rsidRDefault="00DF0C24">
      <w:pPr>
        <w:ind w:left="672" w:hanging="386"/>
        <w:rPr>
          <w:rFonts w:ascii="標楷體" w:eastAsia="標楷體" w:hAnsi="標楷體"/>
        </w:rPr>
      </w:pPr>
      <w:r>
        <w:rPr>
          <w:rFonts w:ascii="標楷體" w:eastAsia="標楷體" w:hAnsi="標楷體"/>
        </w:rPr>
        <w:t>10.6.1.1.Fluconazole錠劑膠囊劑（如Diflucan oral）：（85/10/1、87/4/1、108/12/1）</w:t>
      </w:r>
    </w:p>
    <w:p w14:paraId="79D3C7E1" w14:textId="77777777" w:rsidR="00BD776B" w:rsidRDefault="00DF0C24">
      <w:pPr>
        <w:ind w:left="798" w:hanging="1"/>
        <w:rPr>
          <w:rFonts w:ascii="標楷體" w:eastAsia="標楷體" w:hAnsi="標楷體"/>
        </w:rPr>
      </w:pPr>
      <w:r>
        <w:rPr>
          <w:rFonts w:ascii="標楷體" w:eastAsia="標楷體" w:hAnsi="標楷體"/>
        </w:rPr>
        <w:t>限</w:t>
      </w:r>
    </w:p>
    <w:p w14:paraId="4CA80AF5" w14:textId="77777777" w:rsidR="00BD776B" w:rsidRDefault="00DF0C24">
      <w:pPr>
        <w:ind w:left="811" w:hanging="245"/>
        <w:rPr>
          <w:rFonts w:ascii="標楷體" w:eastAsia="標楷體" w:hAnsi="標楷體"/>
        </w:rPr>
      </w:pPr>
      <w:r>
        <w:rPr>
          <w:rFonts w:ascii="標楷體" w:eastAsia="標楷體" w:hAnsi="標楷體"/>
        </w:rPr>
        <w:t>1.全身黴菌感染之治療。</w:t>
      </w:r>
    </w:p>
    <w:p w14:paraId="65B93B88" w14:textId="77777777" w:rsidR="00BD776B" w:rsidRDefault="00DF0C24">
      <w:pPr>
        <w:ind w:left="811" w:hanging="245"/>
        <w:rPr>
          <w:rFonts w:ascii="標楷體" w:eastAsia="標楷體" w:hAnsi="標楷體"/>
        </w:rPr>
      </w:pPr>
      <w:r>
        <w:rPr>
          <w:rFonts w:ascii="標楷體" w:eastAsia="標楷體" w:hAnsi="標楷體"/>
        </w:rPr>
        <w:t>2.免疫不全病例，治療或預防黴菌感染時使用。</w:t>
      </w:r>
    </w:p>
    <w:p w14:paraId="0E2DCB24" w14:textId="77777777" w:rsidR="00BD776B" w:rsidRDefault="00DF0C24">
      <w:pPr>
        <w:ind w:left="811" w:hanging="245"/>
        <w:rPr>
          <w:rFonts w:ascii="標楷體" w:eastAsia="標楷體" w:hAnsi="標楷體"/>
        </w:rPr>
      </w:pPr>
      <w:r>
        <w:rPr>
          <w:rFonts w:ascii="標楷體" w:eastAsia="標楷體" w:hAnsi="標楷體"/>
        </w:rPr>
        <w:t>3.非愛滋病隱球菌腦膜炎患者使用，原則上使用6到8週，視病人臨床反應，抗原效價及培養結果調整療期，而治黴菌藥物之終止以效價下降四倍及兩次培養陰性為原則。</w:t>
      </w:r>
    </w:p>
    <w:p w14:paraId="0DD6EBCA" w14:textId="77777777" w:rsidR="00BD776B" w:rsidRDefault="00DF0C24">
      <w:pPr>
        <w:ind w:left="811" w:hanging="245"/>
        <w:rPr>
          <w:rFonts w:ascii="標楷體" w:eastAsia="標楷體" w:hAnsi="標楷體"/>
        </w:rPr>
      </w:pPr>
      <w:r>
        <w:rPr>
          <w:rFonts w:ascii="標楷體" w:eastAsia="標楷體" w:hAnsi="標楷體"/>
        </w:rPr>
        <w:t>4.用於念珠性陰道炎，限頑固性疾病或無性經驗病人無法使用塞劑治療者單一劑量使用。</w:t>
      </w:r>
    </w:p>
    <w:p w14:paraId="09205158" w14:textId="77777777" w:rsidR="00BD776B" w:rsidRDefault="00DF0C24">
      <w:pPr>
        <w:ind w:left="672" w:hanging="386"/>
        <w:rPr>
          <w:rFonts w:ascii="標楷體" w:eastAsia="標楷體" w:hAnsi="標楷體"/>
        </w:rPr>
      </w:pPr>
      <w:r>
        <w:rPr>
          <w:rFonts w:ascii="標楷體" w:eastAsia="標楷體" w:hAnsi="標楷體"/>
        </w:rPr>
        <w:t>10.6.1.2.Fluconazole注射劑（如Diflucan inj）：（85/10/1、108/12/1）</w:t>
      </w:r>
    </w:p>
    <w:p w14:paraId="37DD4FD9" w14:textId="77777777" w:rsidR="00BD776B" w:rsidRDefault="00DF0C24">
      <w:pPr>
        <w:ind w:left="798" w:hanging="1"/>
        <w:rPr>
          <w:rFonts w:ascii="標楷體" w:eastAsia="標楷體" w:hAnsi="標楷體"/>
        </w:rPr>
      </w:pPr>
      <w:r>
        <w:rPr>
          <w:rFonts w:ascii="標楷體" w:eastAsia="標楷體" w:hAnsi="標楷體"/>
        </w:rPr>
        <w:t>限</w:t>
      </w:r>
    </w:p>
    <w:p w14:paraId="404CF81F" w14:textId="77777777" w:rsidR="00BD776B" w:rsidRDefault="00DF0C24">
      <w:pPr>
        <w:ind w:left="811" w:hanging="245"/>
        <w:rPr>
          <w:rFonts w:ascii="標楷體" w:eastAsia="標楷體" w:hAnsi="標楷體"/>
        </w:rPr>
      </w:pPr>
      <w:r>
        <w:rPr>
          <w:rFonts w:ascii="標楷體" w:eastAsia="標楷體" w:hAnsi="標楷體"/>
        </w:rPr>
        <w:t>1.已證實為全身性黴菌感染(經組織或培養證實)病例使用。</w:t>
      </w:r>
    </w:p>
    <w:p w14:paraId="63D79141" w14:textId="77777777" w:rsidR="00BD776B" w:rsidRDefault="00DF0C24">
      <w:pPr>
        <w:ind w:left="811" w:hanging="245"/>
        <w:rPr>
          <w:rFonts w:ascii="標楷體" w:eastAsia="標楷體" w:hAnsi="標楷體"/>
        </w:rPr>
      </w:pPr>
      <w:r>
        <w:rPr>
          <w:rFonts w:ascii="標楷體" w:eastAsia="標楷體" w:hAnsi="標楷體"/>
        </w:rPr>
        <w:t>2.非愛滋病隱球菌腦膜炎患者使用，原則上使用6到8週，視病人臨床反應，抗原效價及培養結果調整療期，而治黴菌藥物之終止以效價下降四倍及兩次培養陰性為原則。</w:t>
      </w:r>
    </w:p>
    <w:p w14:paraId="5FEC5C34" w14:textId="77777777" w:rsidR="00BD776B" w:rsidRDefault="00DF0C24">
      <w:pPr>
        <w:ind w:left="672" w:hanging="386"/>
        <w:rPr>
          <w:rFonts w:ascii="標楷體" w:eastAsia="標楷體" w:hAnsi="標楷體"/>
        </w:rPr>
      </w:pPr>
      <w:r>
        <w:rPr>
          <w:rFonts w:ascii="標楷體" w:eastAsia="標楷體" w:hAnsi="標楷體"/>
        </w:rPr>
        <w:t>10.6.1.3. Fluconazole口服液劑（如Fluzole powder for oral suspension）：</w:t>
      </w:r>
      <w:r>
        <w:rPr>
          <w:rFonts w:ascii="標楷體" w:eastAsia="標楷體" w:hAnsi="標楷體"/>
        </w:rPr>
        <w:lastRenderedPageBreak/>
        <w:t>（108/12/1、111/2/1）</w:t>
      </w:r>
    </w:p>
    <w:p w14:paraId="099A1ED2" w14:textId="77777777" w:rsidR="00BD776B" w:rsidRDefault="00DF0C24">
      <w:pPr>
        <w:ind w:left="912" w:hanging="386"/>
      </w:pPr>
      <w:r>
        <w:rPr>
          <w:rFonts w:ascii="標楷體" w:eastAsia="標楷體" w:hAnsi="標楷體"/>
        </w:rPr>
        <w:t>1.</w:t>
      </w:r>
      <w:r>
        <w:t xml:space="preserve"> </w:t>
      </w:r>
      <w:r>
        <w:rPr>
          <w:rFonts w:ascii="標楷體" w:eastAsia="標楷體" w:hAnsi="標楷體"/>
        </w:rPr>
        <w:t>限用於12歲以下或吞嚥困難患者，併下列條件之一使用(111/2/1）：</w:t>
      </w:r>
    </w:p>
    <w:p w14:paraId="789D0F4A" w14:textId="77777777" w:rsidR="00BD776B" w:rsidRDefault="00DF0C24">
      <w:pPr>
        <w:ind w:left="1152" w:hanging="386"/>
        <w:rPr>
          <w:rFonts w:ascii="標楷體" w:eastAsia="標楷體" w:hAnsi="標楷體"/>
        </w:rPr>
      </w:pPr>
      <w:r>
        <w:rPr>
          <w:rFonts w:ascii="標楷體" w:eastAsia="標楷體" w:hAnsi="標楷體"/>
        </w:rPr>
        <w:t>念珠球菌局部或全身感染、囊珠菌感染。</w:t>
      </w:r>
    </w:p>
    <w:p w14:paraId="3C608225" w14:textId="77777777" w:rsidR="00BD776B" w:rsidRDefault="00DF0C24">
      <w:pPr>
        <w:ind w:left="1152" w:hanging="386"/>
        <w:rPr>
          <w:rFonts w:ascii="標楷體" w:eastAsia="標楷體" w:hAnsi="標楷體"/>
        </w:rPr>
      </w:pPr>
      <w:r>
        <w:rPr>
          <w:rFonts w:ascii="標楷體" w:eastAsia="標楷體" w:hAnsi="標楷體"/>
        </w:rPr>
        <w:t>預防後天免疫缺乏症候群病人的黴菌感染。</w:t>
      </w:r>
    </w:p>
    <w:p w14:paraId="5D6D8D72" w14:textId="77777777" w:rsidR="00BD776B" w:rsidRDefault="00DF0C24">
      <w:pPr>
        <w:ind w:left="912" w:hanging="386"/>
        <w:rPr>
          <w:rFonts w:ascii="標楷體" w:eastAsia="標楷體" w:hAnsi="標楷體"/>
        </w:rPr>
      </w:pPr>
      <w:r>
        <w:rPr>
          <w:rFonts w:ascii="標楷體" w:eastAsia="標楷體" w:hAnsi="標楷體"/>
        </w:rPr>
        <w:t>2.病人接受本品治療期間，不得併用其他同類藥品。</w:t>
      </w:r>
    </w:p>
    <w:p w14:paraId="4ED83D9B" w14:textId="77777777" w:rsidR="00BD776B" w:rsidRDefault="00DF0C24">
      <w:pPr>
        <w:ind w:left="672" w:hanging="386"/>
        <w:rPr>
          <w:rFonts w:ascii="標楷體" w:eastAsia="標楷體" w:hAnsi="標楷體"/>
        </w:rPr>
      </w:pPr>
      <w:r>
        <w:rPr>
          <w:rFonts w:ascii="標楷體" w:eastAsia="標楷體" w:hAnsi="標楷體"/>
        </w:rPr>
        <w:t>10.6.2.刪除(108/12/1)</w:t>
      </w:r>
    </w:p>
    <w:p w14:paraId="58C0526D" w14:textId="77777777" w:rsidR="00BD776B" w:rsidRDefault="00DF0C24">
      <w:pPr>
        <w:ind w:left="672" w:hanging="386"/>
        <w:rPr>
          <w:rFonts w:ascii="標楷體" w:eastAsia="標楷體" w:hAnsi="標楷體"/>
        </w:rPr>
      </w:pPr>
      <w:r>
        <w:rPr>
          <w:rFonts w:ascii="標楷體" w:eastAsia="標楷體" w:hAnsi="標楷體"/>
        </w:rPr>
        <w:t xml:space="preserve">10.6.3.Itraconazole：（85/1/1、91/4/1、91/8/1、96/6/1、96/8/1、96/10/1、98/8/1） </w:t>
      </w:r>
    </w:p>
    <w:p w14:paraId="652707BF" w14:textId="77777777" w:rsidR="00BD776B" w:rsidRDefault="00DF0C24">
      <w:pPr>
        <w:ind w:left="672" w:hanging="386"/>
        <w:rPr>
          <w:rFonts w:ascii="標楷體" w:eastAsia="標楷體" w:hAnsi="標楷體"/>
        </w:rPr>
      </w:pPr>
      <w:r>
        <w:rPr>
          <w:rFonts w:ascii="標楷體" w:eastAsia="標楷體" w:hAnsi="標楷體"/>
        </w:rPr>
        <w:t>10.6.3.1.Itraconazole膠囊劑 (如Sporanox cap)：（85/1/1、91/4/1、91/8/1、98/8/1、104/1/1）</w:t>
      </w:r>
    </w:p>
    <w:p w14:paraId="256116A9" w14:textId="77777777" w:rsidR="00BD776B" w:rsidRDefault="00DF0C24">
      <w:pPr>
        <w:ind w:left="798" w:hanging="1"/>
        <w:rPr>
          <w:rFonts w:ascii="標楷體" w:eastAsia="標楷體" w:hAnsi="標楷體"/>
        </w:rPr>
      </w:pPr>
      <w:r>
        <w:rPr>
          <w:rFonts w:ascii="標楷體" w:eastAsia="標楷體" w:hAnsi="標楷體"/>
        </w:rPr>
        <w:t>限</w:t>
      </w:r>
    </w:p>
    <w:p w14:paraId="18AF16EE" w14:textId="77777777" w:rsidR="00BD776B" w:rsidRDefault="00DF0C24">
      <w:pPr>
        <w:ind w:left="811" w:hanging="245"/>
        <w:rPr>
          <w:rFonts w:ascii="標楷體" w:eastAsia="標楷體" w:hAnsi="標楷體"/>
        </w:rPr>
      </w:pPr>
      <w:r>
        <w:rPr>
          <w:rFonts w:ascii="標楷體" w:eastAsia="標楷體" w:hAnsi="標楷體"/>
        </w:rPr>
        <w:t>1.甲癬病人使用。使用時，手指甲癬限用84顆，每顆100mg (以 itraconazole 100mg計算，每日服用2顆)，需於9週內使用完畢。足趾甲癬限用168顆，需於17週內使用完畢。治療結束日起算，並各在6及12個月內不得重複使用本品或其他同類口服藥品。(91/4/1、98/8/1)</w:t>
      </w:r>
    </w:p>
    <w:p w14:paraId="100F7185" w14:textId="77777777" w:rsidR="00BD776B" w:rsidRDefault="00DF0C24">
      <w:pPr>
        <w:ind w:left="811" w:hanging="245"/>
        <w:rPr>
          <w:rFonts w:ascii="標楷體" w:eastAsia="標楷體" w:hAnsi="標楷體"/>
        </w:rPr>
      </w:pPr>
      <w:r>
        <w:rPr>
          <w:rFonts w:ascii="標楷體" w:eastAsia="標楷體" w:hAnsi="標楷體"/>
        </w:rPr>
        <w:t>2.念珠性陰道炎(限頑固性疾病或無性經驗病人無法使用塞劑治療病人)。</w:t>
      </w:r>
    </w:p>
    <w:p w14:paraId="3B82B29D" w14:textId="77777777" w:rsidR="00BD776B" w:rsidRDefault="00DF0C24">
      <w:pPr>
        <w:ind w:left="811" w:hanging="245"/>
        <w:rPr>
          <w:rFonts w:ascii="標楷體" w:eastAsia="標楷體" w:hAnsi="標楷體"/>
        </w:rPr>
      </w:pPr>
      <w:r>
        <w:rPr>
          <w:rFonts w:ascii="標楷體" w:eastAsia="標楷體" w:hAnsi="標楷體"/>
        </w:rPr>
        <w:t>3.其他頑固性體癬。</w:t>
      </w:r>
    </w:p>
    <w:p w14:paraId="200B0CD3" w14:textId="77777777" w:rsidR="00BD776B" w:rsidRDefault="00DF0C24">
      <w:pPr>
        <w:ind w:left="811" w:hanging="245"/>
        <w:rPr>
          <w:rFonts w:ascii="標楷體" w:eastAsia="標楷體" w:hAnsi="標楷體"/>
        </w:rPr>
      </w:pPr>
      <w:r>
        <w:rPr>
          <w:rFonts w:ascii="標楷體" w:eastAsia="標楷體" w:hAnsi="標楷體"/>
        </w:rPr>
        <w:t>4.全身性或侵入性黴菌感染(經組織切片、微生物或抗原檢測確定之全身性或侵入性黴菌感染，且經感染症專科醫師或皮膚科專科醫師判定需使用本劑者，以12週至24週為原則)。(91/8/1、98/8/1)</w:t>
      </w:r>
    </w:p>
    <w:p w14:paraId="62F7C1AF" w14:textId="77777777" w:rsidR="00BD776B" w:rsidRDefault="00DF0C24">
      <w:pPr>
        <w:ind w:left="811" w:hanging="245"/>
        <w:rPr>
          <w:rFonts w:ascii="標楷體" w:eastAsia="標楷體" w:hAnsi="標楷體"/>
        </w:rPr>
      </w:pPr>
      <w:r>
        <w:rPr>
          <w:rFonts w:ascii="標楷體" w:eastAsia="標楷體" w:hAnsi="標楷體"/>
        </w:rPr>
        <w:t>5.用於復發性汗斑之治療，每日使用200mg治療7天為一療程，每月以一療程為限。(104/1/1)</w:t>
      </w:r>
    </w:p>
    <w:p w14:paraId="55CE37E8" w14:textId="77777777" w:rsidR="00BD776B" w:rsidRDefault="00DF0C24">
      <w:pPr>
        <w:ind w:left="811" w:hanging="245"/>
        <w:rPr>
          <w:rFonts w:ascii="標楷體" w:eastAsia="標楷體" w:hAnsi="標楷體"/>
        </w:rPr>
      </w:pPr>
      <w:r>
        <w:rPr>
          <w:rFonts w:ascii="標楷體" w:eastAsia="標楷體" w:hAnsi="標楷體"/>
        </w:rPr>
        <w:t>6.每次門診時，應註明使用日期，目前已使用週數及預定停藥日期。</w:t>
      </w:r>
    </w:p>
    <w:p w14:paraId="6343973F" w14:textId="77777777" w:rsidR="00BD776B" w:rsidRDefault="00DF0C24">
      <w:pPr>
        <w:ind w:left="811" w:hanging="245"/>
        <w:rPr>
          <w:rFonts w:ascii="標楷體" w:eastAsia="標楷體" w:hAnsi="標楷體"/>
        </w:rPr>
      </w:pPr>
      <w:r>
        <w:rPr>
          <w:rFonts w:ascii="標楷體" w:eastAsia="標楷體" w:hAnsi="標楷體"/>
        </w:rPr>
        <w:t>7.病人接受本品治療期間，不得併用其他同類藥品。</w:t>
      </w:r>
    </w:p>
    <w:p w14:paraId="330E2F2B" w14:textId="77777777" w:rsidR="00BD776B" w:rsidRDefault="00DF0C24">
      <w:pPr>
        <w:ind w:left="672" w:hanging="386"/>
        <w:rPr>
          <w:rFonts w:ascii="標楷體" w:eastAsia="標楷體" w:hAnsi="標楷體"/>
        </w:rPr>
      </w:pPr>
      <w:r>
        <w:rPr>
          <w:rFonts w:ascii="標楷體" w:eastAsia="標楷體" w:hAnsi="標楷體"/>
        </w:rPr>
        <w:t>10.6.3.2.Itraconazole注射劑 (如Sporanox inj.)：（96/6/1、96/8/1、99/10/1）</w:t>
      </w:r>
    </w:p>
    <w:p w14:paraId="423451F3" w14:textId="77777777" w:rsidR="00BD776B" w:rsidRDefault="00DF0C24">
      <w:pPr>
        <w:ind w:left="811" w:hanging="245"/>
        <w:rPr>
          <w:rFonts w:ascii="標楷體" w:eastAsia="標楷體" w:hAnsi="標楷體"/>
        </w:rPr>
      </w:pPr>
      <w:r>
        <w:rPr>
          <w:rFonts w:ascii="標楷體" w:eastAsia="標楷體" w:hAnsi="標楷體"/>
        </w:rPr>
        <w:t>1.限用於第一線治療藥物amphotericin B治療無效或有嚴重副作用之侵入性麴菌症、侵入性念珠菌感染症、組織漿病菌之第二線用藥使用，以14日為限。</w:t>
      </w:r>
    </w:p>
    <w:p w14:paraId="6C389C22" w14:textId="77777777" w:rsidR="00BD776B" w:rsidRDefault="00DF0C24">
      <w:pPr>
        <w:ind w:left="811" w:hanging="245"/>
        <w:rPr>
          <w:rFonts w:ascii="標楷體" w:eastAsia="標楷體" w:hAnsi="標楷體"/>
        </w:rPr>
      </w:pPr>
      <w:r>
        <w:rPr>
          <w:rFonts w:ascii="標楷體" w:eastAsia="標楷體" w:hAnsi="標楷體"/>
        </w:rPr>
        <w:t>2.限用於第一線治療藥物無法使用或無效的免疫功能不全及中樞神經系統罹患隱球菌病(包括隱球菌腦膜炎)的病人，並以14日為限。</w:t>
      </w:r>
    </w:p>
    <w:p w14:paraId="52CAC1C8" w14:textId="77777777" w:rsidR="00BD776B" w:rsidRDefault="00DF0C24">
      <w:pPr>
        <w:ind w:left="811" w:hanging="245"/>
        <w:rPr>
          <w:rFonts w:ascii="標楷體" w:eastAsia="標楷體" w:hAnsi="標楷體"/>
        </w:rPr>
      </w:pPr>
      <w:r>
        <w:rPr>
          <w:rFonts w:ascii="標楷體" w:eastAsia="標楷體" w:hAnsi="標楷體"/>
        </w:rPr>
        <w:t>3.因病情需要，經感染症專科醫師會診確認需要使用者(申報費用時需檢附會診紀錄及相關之病歷資料)。(96/8/1、99/10/1)</w:t>
      </w:r>
    </w:p>
    <w:p w14:paraId="4778F231" w14:textId="77777777" w:rsidR="00BD776B" w:rsidRDefault="00DF0C24">
      <w:pPr>
        <w:ind w:left="672" w:hanging="386"/>
        <w:rPr>
          <w:rFonts w:ascii="標楷體" w:eastAsia="標楷體" w:hAnsi="標楷體"/>
        </w:rPr>
      </w:pPr>
      <w:r>
        <w:rPr>
          <w:rFonts w:ascii="標楷體" w:eastAsia="標楷體" w:hAnsi="標楷體"/>
        </w:rPr>
        <w:t>10.6.3.3.Itraconazole 內服液劑 (如Itrazole oral solution)：（96/10/1）</w:t>
      </w:r>
    </w:p>
    <w:p w14:paraId="05F02828" w14:textId="77777777" w:rsidR="00BD776B" w:rsidRDefault="00DF0C24">
      <w:pPr>
        <w:ind w:left="798" w:hanging="1"/>
        <w:rPr>
          <w:rFonts w:ascii="標楷體" w:eastAsia="標楷體" w:hAnsi="標楷體"/>
        </w:rPr>
      </w:pPr>
      <w:r>
        <w:rPr>
          <w:rFonts w:ascii="標楷體" w:eastAsia="標楷體" w:hAnsi="標楷體"/>
        </w:rPr>
        <w:t>限用於HIV陽性反應及其它免疫功能不全病人的口腔念珠菌感染及食道念珠菌感染者。</w:t>
      </w:r>
    </w:p>
    <w:p w14:paraId="69413EA6" w14:textId="77777777" w:rsidR="00BD776B" w:rsidRDefault="00DF0C24">
      <w:pPr>
        <w:ind w:left="672" w:hanging="386"/>
        <w:rPr>
          <w:rFonts w:ascii="標楷體" w:eastAsia="標楷體" w:hAnsi="標楷體"/>
        </w:rPr>
      </w:pPr>
      <w:r>
        <w:rPr>
          <w:rFonts w:ascii="標楷體" w:eastAsia="標楷體" w:hAnsi="標楷體"/>
        </w:rPr>
        <w:t>10.6.4.Terbinafine (如Lamisil tab)：(85/1/1、91/4/1、98/8/1)</w:t>
      </w:r>
    </w:p>
    <w:p w14:paraId="070D6862" w14:textId="77777777" w:rsidR="00BD776B" w:rsidRDefault="00DF0C24">
      <w:pPr>
        <w:ind w:left="798" w:hanging="1"/>
        <w:rPr>
          <w:rFonts w:ascii="標楷體" w:eastAsia="標楷體" w:hAnsi="標楷體"/>
        </w:rPr>
      </w:pPr>
      <w:r>
        <w:rPr>
          <w:rFonts w:ascii="標楷體" w:eastAsia="標楷體" w:hAnsi="標楷體"/>
        </w:rPr>
        <w:t>限</w:t>
      </w:r>
    </w:p>
    <w:p w14:paraId="286A37AB" w14:textId="77777777" w:rsidR="00BD776B" w:rsidRDefault="00DF0C24">
      <w:pPr>
        <w:ind w:left="811" w:hanging="245"/>
        <w:rPr>
          <w:rFonts w:ascii="標楷體" w:eastAsia="標楷體" w:hAnsi="標楷體"/>
        </w:rPr>
      </w:pPr>
      <w:r>
        <w:rPr>
          <w:rFonts w:ascii="標楷體" w:eastAsia="標楷體" w:hAnsi="標楷體"/>
        </w:rPr>
        <w:t>1.手指甲癬及足趾甲癬病例使用，每日250 mg，手指甲癬限用42顆，需於8週內使用完畢。足趾甲癬限用84顆，需於16週內使用完畢。治療結束日起算，各在6及12個月內不得重複使用本品或其他同類口服藥品。(98/8/1)</w:t>
      </w:r>
    </w:p>
    <w:p w14:paraId="0DE65A37" w14:textId="77777777" w:rsidR="00BD776B" w:rsidRDefault="00DF0C24">
      <w:pPr>
        <w:ind w:left="811" w:hanging="245"/>
        <w:rPr>
          <w:rFonts w:ascii="標楷體" w:eastAsia="標楷體" w:hAnsi="標楷體"/>
        </w:rPr>
      </w:pPr>
      <w:r>
        <w:rPr>
          <w:rFonts w:ascii="標楷體" w:eastAsia="標楷體" w:hAnsi="標楷體"/>
        </w:rPr>
        <w:t>2.其他頑固性體癬及股癬病例使用，每日一次，最長使用2週，治療期間不得併用其他同類藥品。</w:t>
      </w:r>
    </w:p>
    <w:p w14:paraId="591FA135" w14:textId="77777777" w:rsidR="00BD776B" w:rsidRDefault="00DF0C24">
      <w:pPr>
        <w:ind w:left="811" w:hanging="245"/>
        <w:rPr>
          <w:rFonts w:ascii="標楷體" w:eastAsia="標楷體" w:hAnsi="標楷體"/>
        </w:rPr>
      </w:pPr>
      <w:r>
        <w:rPr>
          <w:rFonts w:ascii="標楷體" w:eastAsia="標楷體" w:hAnsi="標楷體"/>
        </w:rPr>
        <w:t>3.頭癬病例使用，每日一次，最長使用4週，若確需延長治療時間，需於病歷詳細載明備查。(98/8/1)</w:t>
      </w:r>
    </w:p>
    <w:p w14:paraId="2D78550F" w14:textId="77777777" w:rsidR="00BD776B" w:rsidRDefault="00DF0C24">
      <w:pPr>
        <w:ind w:left="672" w:hanging="386"/>
        <w:rPr>
          <w:rFonts w:ascii="標楷體" w:eastAsia="標楷體" w:hAnsi="標楷體"/>
        </w:rPr>
      </w:pPr>
      <w:r>
        <w:rPr>
          <w:rFonts w:ascii="標楷體" w:eastAsia="標楷體" w:hAnsi="標楷體"/>
        </w:rPr>
        <w:lastRenderedPageBreak/>
        <w:t>10.6.5.Amphotericin B Injection colloidal dispersion及liposomal complex劑型（如Amphocil Injection、AmBisome for Injection）：(91/8/1、93/2/1)</w:t>
      </w:r>
    </w:p>
    <w:p w14:paraId="7C63DC04" w14:textId="77777777" w:rsidR="00BD776B" w:rsidRDefault="00DF0C24">
      <w:pPr>
        <w:ind w:left="798" w:hanging="1"/>
        <w:rPr>
          <w:rFonts w:ascii="標楷體" w:eastAsia="標楷體" w:hAnsi="標楷體"/>
        </w:rPr>
      </w:pPr>
      <w:r>
        <w:rPr>
          <w:rFonts w:ascii="標楷體" w:eastAsia="標楷體" w:hAnsi="標楷體"/>
        </w:rPr>
        <w:t>限用於侵入性黴菌感染（invasive fungal infection），且腎功能不全患者</w:t>
      </w:r>
    </w:p>
    <w:p w14:paraId="1DFC6ECE" w14:textId="77777777" w:rsidR="00BD776B" w:rsidRDefault="00DF0C24">
      <w:pPr>
        <w:ind w:left="672" w:hanging="386"/>
        <w:rPr>
          <w:rFonts w:ascii="標楷體" w:eastAsia="標楷體" w:hAnsi="標楷體"/>
        </w:rPr>
      </w:pPr>
      <w:r>
        <w:rPr>
          <w:rFonts w:ascii="標楷體" w:eastAsia="標楷體" w:hAnsi="標楷體"/>
        </w:rPr>
        <w:t xml:space="preserve">10.6.6.Caspofungin Injection劑型 (如Cancidas Injection 50mg)：(92/8/1、94/1/1、96/7/1、99/10/1) </w:t>
      </w:r>
    </w:p>
    <w:p w14:paraId="7833974B" w14:textId="77777777" w:rsidR="00BD776B" w:rsidRDefault="00DF0C24">
      <w:pPr>
        <w:ind w:left="798" w:hanging="1"/>
        <w:rPr>
          <w:rFonts w:ascii="標楷體" w:eastAsia="標楷體" w:hAnsi="標楷體"/>
        </w:rPr>
      </w:pPr>
      <w:r>
        <w:rPr>
          <w:rFonts w:ascii="標楷體" w:eastAsia="標楷體" w:hAnsi="標楷體"/>
        </w:rPr>
        <w:t>限符合下列規定之一：</w:t>
      </w:r>
    </w:p>
    <w:p w14:paraId="6E401CDE" w14:textId="77777777" w:rsidR="00BD776B" w:rsidRDefault="00DF0C24">
      <w:pPr>
        <w:ind w:left="811" w:hanging="245"/>
        <w:rPr>
          <w:rFonts w:ascii="標楷體" w:eastAsia="標楷體" w:hAnsi="標楷體"/>
        </w:rPr>
      </w:pPr>
      <w:r>
        <w:rPr>
          <w:rFonts w:ascii="標楷體" w:eastAsia="標楷體" w:hAnsi="標楷體"/>
        </w:rPr>
        <w:t>1.限用於其他黴菌藥物治療無效或有嚴重副作用之侵入性麴菌症、侵入性念珠菌感染症之第二線用藥。</w:t>
      </w:r>
    </w:p>
    <w:p w14:paraId="2CA05DF8" w14:textId="77777777" w:rsidR="00BD776B" w:rsidRDefault="00DF0C24">
      <w:pPr>
        <w:ind w:left="811" w:hanging="245"/>
        <w:rPr>
          <w:rFonts w:ascii="標楷體" w:eastAsia="標楷體" w:hAnsi="標楷體"/>
        </w:rPr>
      </w:pPr>
      <w:r>
        <w:rPr>
          <w:rFonts w:ascii="標楷體" w:eastAsia="標楷體" w:hAnsi="標楷體"/>
        </w:rPr>
        <w:t>2.經感染症專科醫師認定需使用者，惟治療食道念珠菌感染限用於fluconazole無效或有嚴重副作用者。(99/10/1)</w:t>
      </w:r>
    </w:p>
    <w:p w14:paraId="1F41CD89" w14:textId="77777777" w:rsidR="00BD776B" w:rsidRDefault="00DF0C24">
      <w:pPr>
        <w:ind w:left="672" w:hanging="386"/>
        <w:rPr>
          <w:rFonts w:ascii="標楷體" w:eastAsia="標楷體" w:hAnsi="標楷體"/>
        </w:rPr>
      </w:pPr>
      <w:r>
        <w:rPr>
          <w:rFonts w:ascii="標楷體" w:eastAsia="標楷體" w:hAnsi="標楷體"/>
        </w:rPr>
        <w:t>10.6.7.Micafungin Injection劑型(如Mycamine for Injection)：(96/4/1、97/10/1、111/2/1)</w:t>
      </w:r>
    </w:p>
    <w:p w14:paraId="3A76BD76" w14:textId="77777777" w:rsidR="00BD776B" w:rsidRDefault="00DF0C24">
      <w:pPr>
        <w:ind w:left="798" w:hanging="1"/>
        <w:rPr>
          <w:rFonts w:ascii="標楷體" w:eastAsia="標楷體" w:hAnsi="標楷體"/>
        </w:rPr>
      </w:pPr>
      <w:r>
        <w:rPr>
          <w:rFonts w:ascii="標楷體" w:eastAsia="標楷體" w:hAnsi="標楷體"/>
        </w:rPr>
        <w:t>限用於</w:t>
      </w:r>
    </w:p>
    <w:p w14:paraId="784F36A6" w14:textId="77777777" w:rsidR="00BD776B" w:rsidRDefault="00DF0C24">
      <w:pPr>
        <w:ind w:left="811" w:hanging="245"/>
        <w:rPr>
          <w:rFonts w:ascii="標楷體" w:eastAsia="標楷體" w:hAnsi="標楷體"/>
        </w:rPr>
      </w:pPr>
      <w:r>
        <w:rPr>
          <w:rFonts w:ascii="標楷體" w:eastAsia="標楷體" w:hAnsi="標楷體"/>
        </w:rPr>
        <w:t>1.治療16歲以上的食道念珠菌感染(111/2/1)。</w:t>
      </w:r>
    </w:p>
    <w:p w14:paraId="11F075E5" w14:textId="77777777" w:rsidR="00BD776B" w:rsidRDefault="00DF0C24">
      <w:pPr>
        <w:ind w:left="811" w:hanging="245"/>
        <w:rPr>
          <w:rFonts w:ascii="標楷體" w:eastAsia="標楷體" w:hAnsi="標楷體"/>
        </w:rPr>
      </w:pPr>
      <w:r>
        <w:rPr>
          <w:rFonts w:ascii="標楷體" w:eastAsia="標楷體" w:hAnsi="標楷體"/>
        </w:rPr>
        <w:t>2.預防接受造血幹細胞移植病患的念珠菌感染。</w:t>
      </w:r>
    </w:p>
    <w:p w14:paraId="50E781C5" w14:textId="77777777" w:rsidR="00BD776B" w:rsidRDefault="00DF0C24">
      <w:pPr>
        <w:ind w:left="811" w:hanging="245"/>
        <w:rPr>
          <w:rFonts w:ascii="標楷體" w:eastAsia="標楷體" w:hAnsi="標楷體"/>
        </w:rPr>
      </w:pPr>
      <w:r>
        <w:rPr>
          <w:rFonts w:ascii="標楷體" w:eastAsia="標楷體" w:hAnsi="標楷體"/>
        </w:rPr>
        <w:t>3.治療念珠菌血症與其他侵襲性之念珠菌感染。(97/10/1)</w:t>
      </w:r>
    </w:p>
    <w:p w14:paraId="5C6A4984" w14:textId="77777777" w:rsidR="00BD776B" w:rsidRDefault="00DF0C24">
      <w:pPr>
        <w:ind w:left="672" w:hanging="386"/>
        <w:rPr>
          <w:rFonts w:ascii="標楷體" w:eastAsia="標楷體" w:hAnsi="標楷體"/>
        </w:rPr>
      </w:pPr>
      <w:r>
        <w:rPr>
          <w:rFonts w:ascii="標楷體" w:eastAsia="標楷體" w:hAnsi="標楷體"/>
        </w:rPr>
        <w:t>10.6.8.Flucytosine (如Flusine Tablets)(96/6/1)</w:t>
      </w:r>
    </w:p>
    <w:p w14:paraId="74933CD1" w14:textId="77777777" w:rsidR="00BD776B" w:rsidRDefault="00DF0C24">
      <w:pPr>
        <w:ind w:left="798" w:hanging="1"/>
        <w:rPr>
          <w:rFonts w:ascii="標楷體" w:eastAsia="標楷體" w:hAnsi="標楷體"/>
        </w:rPr>
      </w:pPr>
      <w:r>
        <w:rPr>
          <w:rFonts w:ascii="標楷體" w:eastAsia="標楷體" w:hAnsi="標楷體"/>
        </w:rPr>
        <w:t xml:space="preserve">限用於Cryptococcus infection的病患。 </w:t>
      </w:r>
    </w:p>
    <w:p w14:paraId="4F912565" w14:textId="77777777" w:rsidR="00BD776B" w:rsidRDefault="00DF0C24">
      <w:pPr>
        <w:ind w:left="672" w:hanging="386"/>
        <w:rPr>
          <w:rFonts w:ascii="標楷體" w:eastAsia="標楷體" w:hAnsi="標楷體"/>
        </w:rPr>
      </w:pPr>
      <w:r>
        <w:rPr>
          <w:rFonts w:ascii="標楷體" w:eastAsia="標楷體" w:hAnsi="標楷體"/>
        </w:rPr>
        <w:t>10.6.9.Anidulafungin注射劑 (如Eraxis for Injection) (97/10/1、105/8/1、111/5/1)</w:t>
      </w:r>
    </w:p>
    <w:p w14:paraId="0E547D1E" w14:textId="77777777" w:rsidR="00BD776B" w:rsidRDefault="00DF0C24">
      <w:pPr>
        <w:ind w:firstLine="960"/>
      </w:pPr>
      <w:r>
        <w:rPr>
          <w:rFonts w:ascii="標楷體" w:eastAsia="標楷體" w:hAnsi="標楷體"/>
        </w:rPr>
        <w:t>限用於治療一個月以上患者之侵襲性念珠菌感染。</w:t>
      </w:r>
    </w:p>
    <w:p w14:paraId="5A50B12D" w14:textId="77777777" w:rsidR="00BD776B" w:rsidRDefault="00DF0C24">
      <w:pPr>
        <w:ind w:left="672" w:hanging="386"/>
        <w:rPr>
          <w:rFonts w:ascii="標楷體" w:eastAsia="標楷體" w:hAnsi="標楷體"/>
        </w:rPr>
      </w:pPr>
      <w:r>
        <w:rPr>
          <w:rFonts w:ascii="標楷體" w:eastAsia="標楷體" w:hAnsi="標楷體"/>
        </w:rPr>
        <w:t>10.6.10.Posaconazole (如Posanol)：(101/1/1、104/7/1、106/5/1、111/2/1)</w:t>
      </w:r>
    </w:p>
    <w:p w14:paraId="64A9FDE9" w14:textId="77777777" w:rsidR="00BD776B" w:rsidRDefault="00DF0C24">
      <w:pPr>
        <w:ind w:left="811" w:hanging="245"/>
        <w:rPr>
          <w:rFonts w:ascii="標楷體" w:eastAsia="標楷體" w:hAnsi="標楷體"/>
        </w:rPr>
      </w:pPr>
      <w:r>
        <w:rPr>
          <w:rFonts w:ascii="標楷體" w:eastAsia="標楷體" w:hAnsi="標楷體"/>
        </w:rPr>
        <w:t>1.限下列條件之一使用：</w:t>
      </w:r>
    </w:p>
    <w:p w14:paraId="687EC96E" w14:textId="77777777" w:rsidR="00BD776B" w:rsidRDefault="00DF0C24">
      <w:pPr>
        <w:ind w:left="1049" w:hanging="341"/>
        <w:rPr>
          <w:rFonts w:ascii="標楷體" w:eastAsia="標楷體" w:hAnsi="標楷體"/>
        </w:rPr>
      </w:pPr>
      <w:r>
        <w:rPr>
          <w:rFonts w:ascii="標楷體" w:eastAsia="標楷體" w:hAnsi="標楷體"/>
        </w:rPr>
        <w:t>(1)對amphotericin B或itraconazole或voriconazole治療無效或不能忍受之成人侵入性麴菌病（invasive aspergillosis）的第二線用藥。（無效的定義是先前用有效抗黴菌劑的治療劑量至少7天，感染惡化或未改善）。</w:t>
      </w:r>
    </w:p>
    <w:p w14:paraId="63026F7A" w14:textId="77777777" w:rsidR="00BD776B" w:rsidRDefault="00DF0C24">
      <w:pPr>
        <w:ind w:left="1049" w:hanging="341"/>
        <w:rPr>
          <w:rFonts w:ascii="標楷體" w:eastAsia="標楷體" w:hAnsi="標楷體"/>
        </w:rPr>
      </w:pPr>
      <w:r>
        <w:rPr>
          <w:rFonts w:ascii="標楷體" w:eastAsia="標楷體" w:hAnsi="標楷體"/>
        </w:rPr>
        <w:t>(2)對itraconazole或fluconazole治療無效或不能忍受之成人口咽念珠菌感染（oropharyngeal candidiasis）的第二線用藥。（無效的定義是先前用有效抗黴菌劑的治療劑量至少治療一段時間：持續性黴菌血症3天，非黴菌血症型感染7天，食道念珠菌病14天，感染惡化或未改善）限使用口服懸液劑劑型。(104/7/1)</w:t>
      </w:r>
    </w:p>
    <w:p w14:paraId="6F7B9873" w14:textId="77777777" w:rsidR="00BD776B" w:rsidRDefault="00DF0C24">
      <w:pPr>
        <w:ind w:left="1049" w:hanging="341"/>
        <w:rPr>
          <w:rFonts w:ascii="標楷體" w:eastAsia="標楷體" w:hAnsi="標楷體"/>
        </w:rPr>
      </w:pPr>
      <w:r>
        <w:rPr>
          <w:rFonts w:ascii="標楷體" w:eastAsia="標楷體" w:hAnsi="標楷體"/>
        </w:rPr>
        <w:t>(3)用於造血幹細胞移植接受者因發生嚴重(grade Ⅲ、Ⅳ)急性植體宿主反應(acute graft versus host reaction, GVHD)，而接受高劑量免疫抑制劑(prednisolone使用劑量超過0.8mg/kg/day)治療之高危險病人(口服劑型限用於13歲以上病人、注射劑限用於18歲以上病人)，做為預防侵入性黴菌感染，使用期間以3個月為限。(106/5/1)</w:t>
      </w:r>
    </w:p>
    <w:p w14:paraId="73945AA7" w14:textId="77777777" w:rsidR="00BD776B" w:rsidRDefault="00DF0C24">
      <w:pPr>
        <w:ind w:left="1049" w:hanging="341"/>
        <w:rPr>
          <w:rFonts w:ascii="標楷體" w:eastAsia="標楷體" w:hAnsi="標楷體"/>
        </w:rPr>
      </w:pPr>
      <w:r>
        <w:rPr>
          <w:rFonts w:ascii="標楷體" w:eastAsia="標楷體" w:hAnsi="標楷體"/>
        </w:rPr>
        <w:t>(4)急性骨髓性白血病 (acute myelogenous leukemia)或高危險骨髓化生不良症候群(myelodysplastic syndrome) 病人接受誘導性化學治療者，給付條件如下：(104/7/1、111/2/1)</w:t>
      </w:r>
    </w:p>
    <w:p w14:paraId="1D66A1A5" w14:textId="77777777" w:rsidR="00BD776B" w:rsidRDefault="00DF0C24">
      <w:pPr>
        <w:ind w:left="1416" w:hanging="341"/>
        <w:rPr>
          <w:rFonts w:ascii="標楷體" w:eastAsia="標楷體" w:hAnsi="標楷體"/>
        </w:rPr>
      </w:pPr>
      <w:r>
        <w:rPr>
          <w:rFonts w:ascii="標楷體" w:eastAsia="標楷體" w:hAnsi="標楷體"/>
        </w:rPr>
        <w:t>Ⅰ.用於初診斷之誘導性化學治療、誘導失敗進行第二次誘導性化學治療，或復發病患進行復發後第一次誘導性化學治療者。</w:t>
      </w:r>
    </w:p>
    <w:p w14:paraId="0553FCDA" w14:textId="77777777" w:rsidR="00BD776B" w:rsidRDefault="00DF0C24">
      <w:pPr>
        <w:ind w:left="1416" w:hanging="341"/>
        <w:rPr>
          <w:rFonts w:ascii="標楷體" w:eastAsia="標楷體" w:hAnsi="標楷體"/>
        </w:rPr>
      </w:pPr>
      <w:r>
        <w:rPr>
          <w:rFonts w:ascii="標楷體" w:eastAsia="標楷體" w:hAnsi="標楷體"/>
        </w:rPr>
        <w:t>Ⅱ.誘導性化學治療需使用「cytarabine(Ara-C)7天及anthracycline類藥物3天」、或「高劑量Ara-C」、或「老年人(60歲以上)使用cytarabine (Ara-C)5天及anthracycline類藥物2天」、或較上述療法更強的化學治</w:t>
      </w:r>
      <w:r>
        <w:rPr>
          <w:rFonts w:ascii="標楷體" w:eastAsia="標楷體" w:hAnsi="標楷體"/>
        </w:rPr>
        <w:lastRenderedPageBreak/>
        <w:t>療(111/2/1)。</w:t>
      </w:r>
    </w:p>
    <w:p w14:paraId="0217FCBC" w14:textId="77777777" w:rsidR="00BD776B" w:rsidRDefault="00DF0C24">
      <w:pPr>
        <w:ind w:left="1416" w:hanging="341"/>
        <w:rPr>
          <w:rFonts w:ascii="標楷體" w:eastAsia="標楷體" w:hAnsi="標楷體"/>
        </w:rPr>
      </w:pPr>
      <w:r>
        <w:rPr>
          <w:rFonts w:ascii="標楷體" w:eastAsia="標楷體" w:hAnsi="標楷體"/>
        </w:rPr>
        <w:t>Ⅲ.自化學治療第一天開始使用，當絕對嗜中性白血球數(absolute neutrophil count,ANC)大於500/mm3，或出現侵入性黴菌感染時應停止使用。每次療程投予posaconazole預防以一個月為限，最多給付2次誘導性化學治療療程。</w:t>
      </w:r>
    </w:p>
    <w:p w14:paraId="6D475AFC" w14:textId="77777777" w:rsidR="00BD776B" w:rsidRDefault="00DF0C24">
      <w:pPr>
        <w:ind w:left="1416" w:hanging="341"/>
        <w:rPr>
          <w:rFonts w:ascii="標楷體" w:eastAsia="標楷體" w:hAnsi="標楷體"/>
        </w:rPr>
      </w:pPr>
      <w:r>
        <w:rPr>
          <w:rFonts w:ascii="標楷體" w:eastAsia="標楷體" w:hAnsi="標楷體"/>
        </w:rPr>
        <w:t>Ⅳ.口服劑型限用於13歲以上病人、注射劑限用於18歲以上病人。(106/5/1)</w:t>
      </w:r>
    </w:p>
    <w:p w14:paraId="657A7992" w14:textId="77777777" w:rsidR="00BD776B" w:rsidRDefault="00DF0C24">
      <w:pPr>
        <w:ind w:left="811" w:hanging="245"/>
        <w:rPr>
          <w:rFonts w:ascii="標楷體" w:eastAsia="標楷體" w:hAnsi="標楷體"/>
        </w:rPr>
      </w:pPr>
      <w:r>
        <w:rPr>
          <w:rFonts w:ascii="標楷體" w:eastAsia="標楷體" w:hAnsi="標楷體"/>
        </w:rPr>
        <w:t>2.使用本藥須經感染症專科醫師會診確認需要使用，申報費用時需檢附會診紀錄及相關之病歷資料。</w:t>
      </w:r>
    </w:p>
    <w:p w14:paraId="2696C8E8" w14:textId="77777777" w:rsidR="00BD776B" w:rsidRDefault="00DF0C24">
      <w:pPr>
        <w:ind w:left="811" w:hanging="245"/>
        <w:rPr>
          <w:rFonts w:ascii="標楷體" w:eastAsia="標楷體" w:hAnsi="標楷體"/>
        </w:rPr>
      </w:pPr>
      <w:r>
        <w:rPr>
          <w:rFonts w:ascii="標楷體" w:eastAsia="標楷體" w:hAnsi="標楷體"/>
        </w:rPr>
        <w:t>3.注射劑限用於無法口服之病人。(106/5/1)</w:t>
      </w:r>
    </w:p>
    <w:p w14:paraId="01A63138" w14:textId="77777777" w:rsidR="00BD776B" w:rsidRDefault="00DF0C24">
      <w:pPr>
        <w:ind w:left="283"/>
        <w:rPr>
          <w:rFonts w:ascii="標楷體" w:eastAsia="標楷體" w:hAnsi="標楷體"/>
        </w:rPr>
      </w:pPr>
      <w:r>
        <w:rPr>
          <w:rFonts w:ascii="標楷體" w:eastAsia="標楷體" w:hAnsi="標楷體"/>
        </w:rPr>
        <w:t>10.6.11.Isavuconazole (如Cresemba)：(110/2/1)</w:t>
      </w:r>
    </w:p>
    <w:p w14:paraId="5FBAE904" w14:textId="77777777" w:rsidR="00BD776B" w:rsidRDefault="00DF0C24">
      <w:pPr>
        <w:ind w:left="425"/>
        <w:rPr>
          <w:rFonts w:ascii="標楷體" w:eastAsia="標楷體" w:hAnsi="標楷體"/>
        </w:rPr>
      </w:pPr>
      <w:r>
        <w:rPr>
          <w:rFonts w:ascii="標楷體" w:eastAsia="標楷體" w:hAnsi="標楷體"/>
        </w:rPr>
        <w:t>1.限用於:</w:t>
      </w:r>
    </w:p>
    <w:p w14:paraId="208A16B9" w14:textId="77777777" w:rsidR="00BD776B" w:rsidRDefault="00DF0C24">
      <w:pPr>
        <w:ind w:left="708"/>
        <w:rPr>
          <w:rFonts w:ascii="標楷體" w:eastAsia="標楷體" w:hAnsi="標楷體"/>
        </w:rPr>
      </w:pPr>
      <w:r>
        <w:rPr>
          <w:rFonts w:ascii="標楷體" w:eastAsia="標楷體" w:hAnsi="標楷體"/>
        </w:rPr>
        <w:t>(1)侵犯性麴菌症（invasive aspergillosis）</w:t>
      </w:r>
    </w:p>
    <w:p w14:paraId="6C967518" w14:textId="77777777" w:rsidR="00BD776B" w:rsidRDefault="00DF0C24">
      <w:pPr>
        <w:ind w:left="708"/>
        <w:rPr>
          <w:rFonts w:ascii="標楷體" w:eastAsia="標楷體" w:hAnsi="標楷體"/>
        </w:rPr>
      </w:pPr>
      <w:r>
        <w:rPr>
          <w:rFonts w:ascii="標楷體" w:eastAsia="標楷體" w:hAnsi="標楷體"/>
        </w:rPr>
        <w:t>(2)使用於不適合接受 amphotericin B 的病人治療白黴菌病（mucormycosis）</w:t>
      </w:r>
    </w:p>
    <w:p w14:paraId="63171B45" w14:textId="77777777" w:rsidR="00BD776B" w:rsidRDefault="00DF0C24">
      <w:pPr>
        <w:ind w:left="672" w:hanging="245"/>
        <w:rPr>
          <w:rFonts w:ascii="標楷體" w:eastAsia="標楷體" w:hAnsi="標楷體"/>
        </w:rPr>
      </w:pPr>
      <w:r>
        <w:rPr>
          <w:rFonts w:ascii="標楷體" w:eastAsia="標楷體" w:hAnsi="標楷體"/>
        </w:rPr>
        <w:t>2.使用本藥須經感染症專科醫師會診確認需要使用，申報費用時需檢附會診紀錄及相關之病歷資料。</w:t>
      </w:r>
    </w:p>
    <w:p w14:paraId="087E0228" w14:textId="77777777" w:rsidR="00BD776B" w:rsidRDefault="00DF0C24">
      <w:pPr>
        <w:ind w:left="425"/>
        <w:rPr>
          <w:rFonts w:ascii="標楷體" w:eastAsia="標楷體" w:hAnsi="標楷體"/>
        </w:rPr>
      </w:pPr>
      <w:r>
        <w:rPr>
          <w:rFonts w:ascii="標楷體" w:eastAsia="標楷體" w:hAnsi="標楷體"/>
        </w:rPr>
        <w:t>3.注射劑限用於無法口服之病人。</w:t>
      </w:r>
    </w:p>
    <w:p w14:paraId="65257512" w14:textId="77777777" w:rsidR="00BD776B" w:rsidRDefault="00DF0C24">
      <w:pPr>
        <w:ind w:left="672" w:hanging="386"/>
        <w:rPr>
          <w:rFonts w:ascii="標楷體" w:eastAsia="標楷體" w:hAnsi="標楷體"/>
        </w:rPr>
      </w:pPr>
      <w:r>
        <w:rPr>
          <w:rFonts w:ascii="標楷體" w:eastAsia="標楷體" w:hAnsi="標楷體"/>
        </w:rPr>
        <w:t>10.7.抗病毒劑 Antiviral drugs（98/11/1）</w:t>
      </w:r>
    </w:p>
    <w:p w14:paraId="69092ABF" w14:textId="77777777" w:rsidR="00BD776B" w:rsidRDefault="00DF0C24">
      <w:pPr>
        <w:ind w:left="672" w:hanging="386"/>
        <w:rPr>
          <w:rFonts w:ascii="標楷體" w:eastAsia="標楷體" w:hAnsi="標楷體"/>
        </w:rPr>
      </w:pPr>
      <w:r>
        <w:rPr>
          <w:rFonts w:ascii="標楷體" w:eastAsia="標楷體" w:hAnsi="標楷體"/>
        </w:rPr>
        <w:t>10.7.1.抗疱疹病毒劑(98/11/1）</w:t>
      </w:r>
    </w:p>
    <w:p w14:paraId="1FB9E137" w14:textId="77777777" w:rsidR="00BD776B" w:rsidRDefault="00DF0C24">
      <w:pPr>
        <w:ind w:left="672" w:hanging="386"/>
        <w:rPr>
          <w:rFonts w:ascii="標楷體" w:eastAsia="標楷體" w:hAnsi="標楷體"/>
        </w:rPr>
      </w:pPr>
      <w:r>
        <w:rPr>
          <w:rFonts w:ascii="標楷體" w:eastAsia="標楷體" w:hAnsi="標楷體"/>
        </w:rPr>
        <w:t>10.7.1.1.全身性抗疱疹病毒劑</w:t>
      </w:r>
    </w:p>
    <w:p w14:paraId="3901D02D" w14:textId="77777777" w:rsidR="00BD776B" w:rsidRDefault="00DF0C24">
      <w:pPr>
        <w:ind w:left="811" w:hanging="245"/>
        <w:rPr>
          <w:rFonts w:ascii="標楷體" w:eastAsia="標楷體" w:hAnsi="標楷體"/>
        </w:rPr>
      </w:pPr>
      <w:r>
        <w:rPr>
          <w:rFonts w:ascii="標楷體" w:eastAsia="標楷體" w:hAnsi="標楷體"/>
        </w:rPr>
        <w:t>1.Acyclovir：(98/11/1、100/7/1、107/12/1、108/3/1、108/6/1)</w:t>
      </w:r>
    </w:p>
    <w:p w14:paraId="159C15FB" w14:textId="77777777" w:rsidR="00BD776B" w:rsidRDefault="00DF0C24">
      <w:pPr>
        <w:ind w:left="1049" w:hanging="341"/>
        <w:rPr>
          <w:rFonts w:ascii="標楷體" w:eastAsia="標楷體" w:hAnsi="標楷體"/>
        </w:rPr>
      </w:pPr>
      <w:r>
        <w:rPr>
          <w:rFonts w:ascii="標楷體" w:eastAsia="標楷體" w:hAnsi="標楷體"/>
        </w:rPr>
        <w:t>(1)使用本類製劑，除200mg(限Deherp)、400mg及800mg(限Virless)規格量口服錠劑外，應以下列條件為限：(107/12/1、108/3/1、108/6/1)</w:t>
      </w:r>
    </w:p>
    <w:p w14:paraId="20040A8A" w14:textId="77777777" w:rsidR="00BD776B" w:rsidRDefault="00DF0C24">
      <w:pPr>
        <w:ind w:left="1416" w:hanging="341"/>
        <w:rPr>
          <w:rFonts w:ascii="標楷體" w:eastAsia="標楷體" w:hAnsi="標楷體"/>
        </w:rPr>
      </w:pPr>
      <w:r>
        <w:rPr>
          <w:rFonts w:ascii="標楷體" w:eastAsia="標楷體" w:hAnsi="標楷體"/>
        </w:rPr>
        <w:t>I.疱疹性腦炎。</w:t>
      </w:r>
    </w:p>
    <w:p w14:paraId="56150721" w14:textId="77777777" w:rsidR="00BD776B" w:rsidRDefault="00DF0C24">
      <w:pPr>
        <w:ind w:left="1416" w:hanging="341"/>
        <w:rPr>
          <w:rFonts w:ascii="標楷體" w:eastAsia="標楷體" w:hAnsi="標楷體"/>
        </w:rPr>
      </w:pPr>
      <w:r>
        <w:rPr>
          <w:rFonts w:ascii="標楷體" w:eastAsia="標楷體" w:hAnsi="標楷體"/>
        </w:rPr>
        <w:t>Ⅱ.帶狀疱疹或單純性疱疹侵犯三叉神經第一分枝VI皮節，可能危及眼角膜者。</w:t>
      </w:r>
    </w:p>
    <w:p w14:paraId="7FBF6343" w14:textId="77777777" w:rsidR="00BD776B" w:rsidRDefault="00DF0C24">
      <w:pPr>
        <w:ind w:left="1416" w:hanging="341"/>
        <w:rPr>
          <w:rFonts w:ascii="標楷體" w:eastAsia="標楷體" w:hAnsi="標楷體"/>
        </w:rPr>
      </w:pPr>
      <w:r>
        <w:rPr>
          <w:rFonts w:ascii="標楷體" w:eastAsia="標楷體" w:hAnsi="標楷體"/>
        </w:rPr>
        <w:t>Ⅲ.帶狀疱疹或單純性疱疹侵犯薦椎S2皮節，將影響排泄功能者。</w:t>
      </w:r>
    </w:p>
    <w:p w14:paraId="6C4FFF38" w14:textId="77777777" w:rsidR="00BD776B" w:rsidRDefault="00DF0C24">
      <w:pPr>
        <w:ind w:left="1416" w:hanging="341"/>
        <w:rPr>
          <w:rFonts w:ascii="標楷體" w:eastAsia="標楷體" w:hAnsi="標楷體"/>
        </w:rPr>
      </w:pPr>
      <w:r>
        <w:rPr>
          <w:rFonts w:ascii="標楷體" w:eastAsia="標楷體" w:hAnsi="標楷體"/>
        </w:rPr>
        <w:t>Ⅳ.免疫機能不全、癌症、器官移植等病患之感染帶狀疱疹或單純性疱疹者。</w:t>
      </w:r>
    </w:p>
    <w:p w14:paraId="53FEE72D" w14:textId="77777777" w:rsidR="00BD776B" w:rsidRDefault="00DF0C24">
      <w:pPr>
        <w:ind w:left="1416" w:hanging="341"/>
        <w:rPr>
          <w:rFonts w:ascii="標楷體" w:eastAsia="標楷體" w:hAnsi="標楷體"/>
        </w:rPr>
      </w:pPr>
      <w:r>
        <w:rPr>
          <w:rFonts w:ascii="標楷體" w:eastAsia="標楷體" w:hAnsi="標楷體"/>
        </w:rPr>
        <w:t>Ⅴ.新生兒或免疫機能不全患者的水痘感染。</w:t>
      </w:r>
    </w:p>
    <w:p w14:paraId="74F78F79" w14:textId="77777777" w:rsidR="00BD776B" w:rsidRDefault="00DF0C24">
      <w:pPr>
        <w:ind w:left="1416" w:hanging="341"/>
        <w:rPr>
          <w:rFonts w:ascii="標楷體" w:eastAsia="標楷體" w:hAnsi="標楷體"/>
        </w:rPr>
      </w:pPr>
      <w:r>
        <w:rPr>
          <w:rFonts w:ascii="標楷體" w:eastAsia="標楷體" w:hAnsi="標楷體"/>
        </w:rPr>
        <w:t>Ⅵ.罹患水痘，合併高燒(口溫38℃以上)及肺炎(需Ｘ光顯示)或腦膜炎，並需住院者。（85/1/1）</w:t>
      </w:r>
    </w:p>
    <w:p w14:paraId="584804E6" w14:textId="77777777" w:rsidR="00BD776B" w:rsidRDefault="00DF0C24">
      <w:pPr>
        <w:ind w:left="1416" w:hanging="341"/>
        <w:rPr>
          <w:rFonts w:ascii="標楷體" w:eastAsia="標楷體" w:hAnsi="標楷體"/>
        </w:rPr>
      </w:pPr>
      <w:r>
        <w:rPr>
          <w:rFonts w:ascii="標楷體" w:eastAsia="標楷體" w:hAnsi="標楷體"/>
        </w:rPr>
        <w:t>Ⅶ.帶狀疱疹或單純性疱疹所引起之角膜炎或角膜潰瘍者。</w:t>
      </w:r>
    </w:p>
    <w:p w14:paraId="5DF0D3C7" w14:textId="77777777" w:rsidR="00BD776B" w:rsidRDefault="00DF0C24">
      <w:pPr>
        <w:ind w:left="1416" w:hanging="341"/>
        <w:rPr>
          <w:rFonts w:ascii="標楷體" w:eastAsia="標楷體" w:hAnsi="標楷體"/>
        </w:rPr>
      </w:pPr>
      <w:r>
        <w:rPr>
          <w:rFonts w:ascii="標楷體" w:eastAsia="標楷體" w:hAnsi="標楷體"/>
        </w:rPr>
        <w:t>Ⅷ.急性視網膜壞死症(acute retina necrosis)。</w:t>
      </w:r>
    </w:p>
    <w:p w14:paraId="7AF96C88" w14:textId="77777777" w:rsidR="00BD776B" w:rsidRDefault="00DF0C24">
      <w:pPr>
        <w:ind w:left="1416" w:hanging="341"/>
        <w:rPr>
          <w:rFonts w:ascii="標楷體" w:eastAsia="標楷體" w:hAnsi="標楷體"/>
        </w:rPr>
      </w:pPr>
      <w:r>
        <w:rPr>
          <w:rFonts w:ascii="標楷體" w:eastAsia="標楷體" w:hAnsi="標楷體"/>
        </w:rPr>
        <w:t>Ⅸ.帶狀疱疹發疹三日內且感染部位在頭頸部、生殖器周圍之病人，可給予五日內之口服或外用藥品。(86/1/1、87/4/1)</w:t>
      </w:r>
    </w:p>
    <w:p w14:paraId="4DC5852E" w14:textId="77777777" w:rsidR="00BD776B" w:rsidRDefault="00DF0C24">
      <w:pPr>
        <w:ind w:left="1416" w:hanging="341"/>
        <w:rPr>
          <w:rFonts w:ascii="標楷體" w:eastAsia="標楷體" w:hAnsi="標楷體"/>
        </w:rPr>
      </w:pPr>
      <w:r>
        <w:rPr>
          <w:rFonts w:ascii="標楷體" w:eastAsia="標楷體" w:hAnsi="標楷體"/>
        </w:rPr>
        <w:t>Ⅹ.骨髓移植術後病患得依下列規定預防性使用acyclovir：（87/11/1）</w:t>
      </w:r>
    </w:p>
    <w:p w14:paraId="2D932595" w14:textId="77777777" w:rsidR="00BD776B" w:rsidRDefault="00DF0C24">
      <w:pPr>
        <w:ind w:left="1656" w:hanging="341"/>
        <w:rPr>
          <w:rFonts w:ascii="標楷體" w:eastAsia="標楷體" w:hAnsi="標楷體"/>
        </w:rPr>
      </w:pPr>
      <w:r>
        <w:rPr>
          <w:rFonts w:ascii="標楷體" w:eastAsia="標楷體" w:hAnsi="標楷體"/>
        </w:rPr>
        <w:t>A.限接受異體骨髓移植病患。</w:t>
      </w:r>
    </w:p>
    <w:p w14:paraId="01157FE0" w14:textId="77777777" w:rsidR="00BD776B" w:rsidRDefault="00DF0C24">
      <w:pPr>
        <w:ind w:left="1656" w:hanging="341"/>
        <w:rPr>
          <w:rFonts w:ascii="標楷體" w:eastAsia="標楷體" w:hAnsi="標楷體"/>
        </w:rPr>
      </w:pPr>
      <w:r>
        <w:rPr>
          <w:rFonts w:ascii="標楷體" w:eastAsia="標楷體" w:hAnsi="標楷體"/>
        </w:rPr>
        <w:t>B.接受高劑量化療或全身放射治療 (TBI) 前一天至移植術後第三十天為止。</w:t>
      </w:r>
    </w:p>
    <w:p w14:paraId="30D77770" w14:textId="77777777" w:rsidR="00BD776B" w:rsidRDefault="00DF0C24">
      <w:pPr>
        <w:ind w:left="1049" w:hanging="341"/>
        <w:rPr>
          <w:rFonts w:ascii="標楷體" w:eastAsia="標楷體" w:hAnsi="標楷體"/>
        </w:rPr>
      </w:pPr>
      <w:r>
        <w:rPr>
          <w:rFonts w:ascii="標楷體" w:eastAsia="標楷體" w:hAnsi="標楷體"/>
        </w:rPr>
        <w:t>(2)其中Ⅰ與Ⅵ應優先考慮注射劑型的acyclovir。疱疹性腦炎得使用14至21天。（95/6/1、100/7/1）</w:t>
      </w:r>
    </w:p>
    <w:p w14:paraId="550DCCF8" w14:textId="77777777" w:rsidR="00BD776B" w:rsidRDefault="00DF0C24">
      <w:pPr>
        <w:ind w:left="1049" w:hanging="341"/>
      </w:pPr>
      <w:r>
        <w:rPr>
          <w:rFonts w:ascii="標楷體" w:eastAsia="標楷體" w:hAnsi="標楷體"/>
        </w:rPr>
        <w:t>(3)使用acyclovir 200mg(限Deherp)、400mg及800mg(限Virless)規格量口服錠劑除用於前述(1)外，療程以7天為限。(107/12/1、108/3/1、108/6/1)</w:t>
      </w:r>
    </w:p>
    <w:p w14:paraId="0D7D1DCD" w14:textId="77777777" w:rsidR="00BD776B" w:rsidRDefault="00DF0C24">
      <w:pPr>
        <w:ind w:left="811" w:hanging="245"/>
        <w:rPr>
          <w:rFonts w:ascii="標楷體" w:eastAsia="標楷體" w:hAnsi="標楷體"/>
        </w:rPr>
      </w:pPr>
      <w:r>
        <w:rPr>
          <w:rFonts w:ascii="標楷體" w:eastAsia="標楷體" w:hAnsi="標楷體"/>
        </w:rPr>
        <w:t xml:space="preserve">2.Famciclovir；valaciclovir：(100/7/1、101/5/1) </w:t>
      </w:r>
    </w:p>
    <w:p w14:paraId="13ECF939" w14:textId="77777777" w:rsidR="00BD776B" w:rsidRDefault="00DF0C24">
      <w:pPr>
        <w:spacing w:line="400" w:lineRule="exact"/>
        <w:ind w:left="798" w:hanging="1"/>
        <w:rPr>
          <w:rFonts w:ascii="標楷體" w:eastAsia="標楷體" w:hAnsi="標楷體"/>
        </w:rPr>
      </w:pPr>
      <w:r>
        <w:rPr>
          <w:rFonts w:ascii="標楷體" w:eastAsia="標楷體" w:hAnsi="標楷體"/>
        </w:rPr>
        <w:lastRenderedPageBreak/>
        <w:t>使用本類製劑應以下列條件為限：</w:t>
      </w:r>
    </w:p>
    <w:p w14:paraId="0521B895" w14:textId="77777777" w:rsidR="00BD776B" w:rsidRDefault="00DF0C24">
      <w:pPr>
        <w:spacing w:line="400" w:lineRule="exact"/>
        <w:ind w:left="1049" w:hanging="341"/>
        <w:rPr>
          <w:rFonts w:ascii="標楷體" w:eastAsia="標楷體" w:hAnsi="標楷體"/>
        </w:rPr>
      </w:pPr>
      <w:r>
        <w:rPr>
          <w:rFonts w:ascii="標楷體" w:eastAsia="標楷體" w:hAnsi="標楷體"/>
        </w:rPr>
        <w:t>(1)帶狀疱疹或單純性疱疹侵犯三叉神經第一分枝VI皮節，可能危及眼角膜者。</w:t>
      </w:r>
    </w:p>
    <w:p w14:paraId="79B2DA6E" w14:textId="77777777" w:rsidR="00BD776B" w:rsidRDefault="00DF0C24">
      <w:pPr>
        <w:spacing w:line="400" w:lineRule="exact"/>
        <w:ind w:left="1049" w:hanging="341"/>
        <w:rPr>
          <w:rFonts w:ascii="標楷體" w:eastAsia="標楷體" w:hAnsi="標楷體"/>
        </w:rPr>
      </w:pPr>
      <w:r>
        <w:rPr>
          <w:rFonts w:ascii="標楷體" w:eastAsia="標楷體" w:hAnsi="標楷體"/>
        </w:rPr>
        <w:t>(2)帶狀疱疹或單純性疱疹侵犯薦椎S2皮節，將影響排泄功能者。</w:t>
      </w:r>
    </w:p>
    <w:p w14:paraId="5D72B7E7" w14:textId="77777777" w:rsidR="00BD776B" w:rsidRDefault="00DF0C24">
      <w:pPr>
        <w:spacing w:line="400" w:lineRule="exact"/>
        <w:ind w:left="1049" w:hanging="341"/>
        <w:rPr>
          <w:rFonts w:ascii="標楷體" w:eastAsia="標楷體" w:hAnsi="標楷體"/>
        </w:rPr>
      </w:pPr>
      <w:r>
        <w:rPr>
          <w:rFonts w:ascii="標楷體" w:eastAsia="標楷體" w:hAnsi="標楷體"/>
        </w:rPr>
        <w:t>(3)免疫機能不全、癌症、器官移植等病患之感染帶狀疱疹或單純性疱疹者。</w:t>
      </w:r>
    </w:p>
    <w:p w14:paraId="15060232" w14:textId="77777777" w:rsidR="00BD776B" w:rsidRDefault="00DF0C24">
      <w:pPr>
        <w:spacing w:line="400" w:lineRule="exact"/>
        <w:ind w:left="1049" w:hanging="341"/>
        <w:rPr>
          <w:rFonts w:ascii="標楷體" w:eastAsia="標楷體" w:hAnsi="標楷體"/>
        </w:rPr>
      </w:pPr>
      <w:r>
        <w:rPr>
          <w:rFonts w:ascii="標楷體" w:eastAsia="標楷體" w:hAnsi="標楷體"/>
        </w:rPr>
        <w:t>(4)帶狀疱疹或單純性疱疹所引起之角膜炎或角膜潰瘍者。</w:t>
      </w:r>
    </w:p>
    <w:p w14:paraId="228EF382" w14:textId="77777777" w:rsidR="00BD776B" w:rsidRDefault="00DF0C24">
      <w:pPr>
        <w:spacing w:line="400" w:lineRule="exact"/>
        <w:ind w:left="1049" w:hanging="341"/>
        <w:rPr>
          <w:rFonts w:ascii="標楷體" w:eastAsia="標楷體" w:hAnsi="標楷體"/>
        </w:rPr>
      </w:pPr>
      <w:r>
        <w:rPr>
          <w:rFonts w:ascii="標楷體" w:eastAsia="標楷體" w:hAnsi="標楷體"/>
        </w:rPr>
        <w:t>(5)急性視網膜壞死症 (acute retina necrosis)。</w:t>
      </w:r>
    </w:p>
    <w:p w14:paraId="612096AB" w14:textId="77777777" w:rsidR="00BD776B" w:rsidRDefault="00DF0C24">
      <w:pPr>
        <w:spacing w:line="400" w:lineRule="exact"/>
        <w:ind w:left="1049" w:hanging="341"/>
        <w:rPr>
          <w:rFonts w:ascii="標楷體" w:eastAsia="標楷體" w:hAnsi="標楷體"/>
        </w:rPr>
      </w:pPr>
      <w:r>
        <w:rPr>
          <w:rFonts w:ascii="標楷體" w:eastAsia="標楷體" w:hAnsi="標楷體"/>
        </w:rPr>
        <w:t>(6)帶狀疱疹發疹3日內且感染部位在頭頸部、生殖器周圍之病人，可給予5日內之口服或外用藥品。</w:t>
      </w:r>
    </w:p>
    <w:p w14:paraId="3A411329" w14:textId="77777777" w:rsidR="00BD776B" w:rsidRDefault="00DF0C24">
      <w:pPr>
        <w:spacing w:line="400" w:lineRule="exact"/>
        <w:ind w:left="1049" w:hanging="341"/>
        <w:rPr>
          <w:rFonts w:ascii="標楷體" w:eastAsia="標楷體" w:hAnsi="標楷體"/>
        </w:rPr>
      </w:pPr>
      <w:r>
        <w:rPr>
          <w:rFonts w:ascii="標楷體" w:eastAsia="標楷體" w:hAnsi="標楷體"/>
        </w:rPr>
        <w:t>(7)骨髓移植術後病患得依下列規定用於預防復發性生殖器疱疹：(101/5/1)</w:t>
      </w:r>
    </w:p>
    <w:p w14:paraId="6D88DB17" w14:textId="77777777" w:rsidR="00BD776B" w:rsidRDefault="00DF0C24">
      <w:pPr>
        <w:spacing w:line="400" w:lineRule="exact"/>
        <w:ind w:left="1524" w:hanging="264"/>
        <w:rPr>
          <w:rFonts w:ascii="標楷體" w:eastAsia="標楷體" w:hAnsi="標楷體"/>
        </w:rPr>
      </w:pPr>
      <w:r>
        <w:rPr>
          <w:rFonts w:ascii="標楷體" w:eastAsia="標楷體" w:hAnsi="標楷體"/>
        </w:rPr>
        <w:t>A.限接受異體骨髓移植病患。</w:t>
      </w:r>
    </w:p>
    <w:p w14:paraId="364A0155" w14:textId="77777777" w:rsidR="00BD776B" w:rsidRDefault="00DF0C24">
      <w:pPr>
        <w:spacing w:line="400" w:lineRule="exact"/>
        <w:ind w:left="1524" w:hanging="264"/>
        <w:rPr>
          <w:rFonts w:ascii="標楷體" w:eastAsia="標楷體" w:hAnsi="標楷體"/>
        </w:rPr>
      </w:pPr>
      <w:r>
        <w:rPr>
          <w:rFonts w:ascii="標楷體" w:eastAsia="標楷體" w:hAnsi="標楷體"/>
        </w:rPr>
        <w:t>B.接受高劑量化療或全身放射治療 (TBI) 前一天至移植術後第30天為止。</w:t>
      </w:r>
    </w:p>
    <w:p w14:paraId="5021FD02" w14:textId="77777777" w:rsidR="00BD776B" w:rsidRDefault="00DF0C24">
      <w:pPr>
        <w:ind w:left="849" w:hanging="283"/>
        <w:rPr>
          <w:rFonts w:ascii="標楷體" w:eastAsia="標楷體" w:hAnsi="標楷體"/>
        </w:rPr>
      </w:pPr>
      <w:r>
        <w:rPr>
          <w:rFonts w:ascii="標楷體" w:eastAsia="標楷體" w:hAnsi="標楷體"/>
        </w:rPr>
        <w:t>3.Acyclovir、famciclovir及valaciclovir除上述特別規定外，使用療程原則以10天為限，口服、注射劑及外用藥膏擇一使用，不得合併使用。（95/6/1、100/7/1、101/5/1）</w:t>
      </w:r>
    </w:p>
    <w:p w14:paraId="42F41B7B" w14:textId="77777777" w:rsidR="00BD776B" w:rsidRDefault="00DF0C24">
      <w:pPr>
        <w:ind w:left="672" w:hanging="386"/>
        <w:rPr>
          <w:rFonts w:ascii="標楷體" w:eastAsia="標楷體" w:hAnsi="標楷體"/>
        </w:rPr>
      </w:pPr>
      <w:r>
        <w:rPr>
          <w:rFonts w:ascii="標楷體" w:eastAsia="標楷體" w:hAnsi="標楷體"/>
        </w:rPr>
        <w:t>10.7.1.2.局部抗疱疹病毒劑（如Acyclovir外用製劑；tromantadine外用製劑；penciclovir外用製劑）：(97/12/1、98/11/1、100/7/1、102/7/1）</w:t>
      </w:r>
    </w:p>
    <w:p w14:paraId="29CF0AC9" w14:textId="77777777" w:rsidR="00BD776B" w:rsidRDefault="00DF0C24">
      <w:pPr>
        <w:ind w:left="811" w:hanging="245"/>
        <w:rPr>
          <w:rFonts w:ascii="標楷體" w:eastAsia="標楷體" w:hAnsi="標楷體"/>
        </w:rPr>
      </w:pPr>
      <w:r>
        <w:rPr>
          <w:rFonts w:ascii="標楷體" w:eastAsia="標楷體" w:hAnsi="標楷體"/>
        </w:rPr>
        <w:t>1.單純性疱疹(感染部位在頭頸部、生殖器周圍、嘴唇、口腔、陰部)3日內可使用acyclovir或tromantadine藥膏，每次給予藥量限5公克以內(100/7/1）。</w:t>
      </w:r>
    </w:p>
    <w:p w14:paraId="06DD9757" w14:textId="77777777" w:rsidR="00BD776B" w:rsidRDefault="00DF0C24">
      <w:pPr>
        <w:ind w:left="811" w:hanging="245"/>
        <w:rPr>
          <w:rFonts w:ascii="標楷體" w:eastAsia="標楷體" w:hAnsi="標楷體"/>
        </w:rPr>
      </w:pPr>
      <w:r>
        <w:rPr>
          <w:rFonts w:ascii="標楷體" w:eastAsia="標楷體" w:hAnsi="標楷體"/>
        </w:rPr>
        <w:t>2.Penciclovir藥膏用於治療由單純皰疹病毒引起之復發性唇皰疹，每次處方以1支(2公克)為原則。(102/7/1)</w:t>
      </w:r>
    </w:p>
    <w:p w14:paraId="7E03A1AB" w14:textId="77777777" w:rsidR="00BD776B" w:rsidRDefault="00DF0C24">
      <w:pPr>
        <w:ind w:left="811" w:hanging="245"/>
        <w:rPr>
          <w:rFonts w:ascii="標楷體" w:eastAsia="標楷體" w:hAnsi="標楷體"/>
        </w:rPr>
      </w:pPr>
      <w:r>
        <w:rPr>
          <w:rFonts w:ascii="標楷體" w:eastAsia="標楷體" w:hAnsi="標楷體"/>
        </w:rPr>
        <w:t>3.口服、注射劑及外用藥膏擇一使用，不得合併使用。</w:t>
      </w:r>
    </w:p>
    <w:p w14:paraId="6C5E1EBF" w14:textId="77777777" w:rsidR="00BD776B" w:rsidRDefault="00DF0C24">
      <w:pPr>
        <w:ind w:left="672" w:hanging="386"/>
        <w:rPr>
          <w:rFonts w:ascii="標楷體" w:eastAsia="標楷體" w:hAnsi="標楷體"/>
        </w:rPr>
      </w:pPr>
      <w:r>
        <w:rPr>
          <w:rFonts w:ascii="標楷體" w:eastAsia="標楷體" w:hAnsi="標楷體"/>
        </w:rPr>
        <w:t>10.7.2. Ribavirin 膠囊劑（如Robatrol、Rebetol）(93/2/1、93/7/1、93/8/1、95/11/1、98/11/1、100/4/1、109/7/1）：</w:t>
      </w:r>
    </w:p>
    <w:p w14:paraId="71CE6884" w14:textId="77777777" w:rsidR="00BD776B" w:rsidRDefault="00DF0C24">
      <w:pPr>
        <w:ind w:left="811" w:hanging="245"/>
        <w:rPr>
          <w:rFonts w:ascii="標楷體" w:eastAsia="標楷體" w:hAnsi="標楷體"/>
        </w:rPr>
      </w:pPr>
      <w:r>
        <w:rPr>
          <w:rFonts w:ascii="標楷體" w:eastAsia="標楷體" w:hAnsi="標楷體"/>
        </w:rPr>
        <w:t>1.限用於下列慢性病毒性C型肝炎患者且應與interferon-alfa 2a或interferon-alfa 2b或interferon alfacon-1或peginterferon alfa-2b或peginterferon alfa-2a合併治療：</w:t>
      </w:r>
    </w:p>
    <w:p w14:paraId="168C75C9" w14:textId="77777777" w:rsidR="00BD776B" w:rsidRDefault="00DF0C24">
      <w:pPr>
        <w:ind w:left="1049" w:hanging="341"/>
        <w:rPr>
          <w:rFonts w:ascii="標楷體" w:eastAsia="標楷體" w:hAnsi="標楷體"/>
        </w:rPr>
      </w:pPr>
      <w:r>
        <w:rPr>
          <w:rFonts w:ascii="標楷體" w:eastAsia="標楷體" w:hAnsi="標楷體"/>
        </w:rPr>
        <w:t>(1)限ALT值異常者，且Anti-HCV 與HCV RNA 均為陽性，或經由肝組織切片（血友病患及類血友病患經照會消化系專科醫師同意後，得不作切片），以METAVIR system證實輕度纖維化大於或等於F1及肝炎變化，且無肝功能代償不全者。（98/11/1）</w:t>
      </w:r>
    </w:p>
    <w:p w14:paraId="258F4DCD" w14:textId="77777777" w:rsidR="00BD776B" w:rsidRDefault="00DF0C24">
      <w:pPr>
        <w:ind w:left="1049" w:hanging="341"/>
        <w:rPr>
          <w:rFonts w:ascii="標楷體" w:eastAsia="標楷體" w:hAnsi="標楷體"/>
        </w:rPr>
      </w:pPr>
      <w:r>
        <w:rPr>
          <w:rFonts w:ascii="標楷體" w:eastAsia="標楷體" w:hAnsi="標楷體"/>
        </w:rPr>
        <w:t>(2)療程依Viral Kinetics區分如下:（98/11/1）</w:t>
      </w:r>
    </w:p>
    <w:p w14:paraId="05A88AA4" w14:textId="77777777" w:rsidR="00BD776B" w:rsidRDefault="00DF0C24">
      <w:pPr>
        <w:ind w:left="1421" w:hanging="341"/>
        <w:rPr>
          <w:rFonts w:ascii="標楷體" w:eastAsia="標楷體" w:hAnsi="標楷體"/>
        </w:rPr>
      </w:pPr>
      <w:r>
        <w:rPr>
          <w:rFonts w:ascii="標楷體" w:eastAsia="標楷體" w:hAnsi="標楷體"/>
        </w:rPr>
        <w:t>Ⅰ.有RVR (rapid virological response, 快速病毒反應)者，給付治療不超過24週。</w:t>
      </w:r>
    </w:p>
    <w:p w14:paraId="2DDB6EE6" w14:textId="77777777" w:rsidR="00BD776B" w:rsidRDefault="00DF0C24">
      <w:pPr>
        <w:ind w:left="1421" w:hanging="341"/>
        <w:rPr>
          <w:rFonts w:ascii="標楷體" w:eastAsia="標楷體" w:hAnsi="標楷體"/>
        </w:rPr>
      </w:pPr>
      <w:r>
        <w:rPr>
          <w:rFonts w:ascii="標楷體" w:eastAsia="標楷體" w:hAnsi="標楷體"/>
        </w:rPr>
        <w:t>Ⅱ.無RVR，但有EVR (early virologic response)者，給付治療48週。</w:t>
      </w:r>
    </w:p>
    <w:p w14:paraId="563A45AB" w14:textId="77777777" w:rsidR="00BD776B" w:rsidRDefault="00DF0C24">
      <w:pPr>
        <w:ind w:left="1421" w:hanging="341"/>
        <w:rPr>
          <w:rFonts w:ascii="標楷體" w:eastAsia="標楷體" w:hAnsi="標楷體"/>
        </w:rPr>
      </w:pPr>
      <w:r>
        <w:rPr>
          <w:rFonts w:ascii="標楷體" w:eastAsia="標楷體" w:hAnsi="標楷體"/>
        </w:rPr>
        <w:t>Ⅲ.到第12週未到EVR者，應中止治療，治療期間不超過16週。</w:t>
      </w:r>
    </w:p>
    <w:p w14:paraId="148FA257" w14:textId="77777777" w:rsidR="00BD776B" w:rsidRDefault="00DF0C24">
      <w:pPr>
        <w:ind w:left="1421" w:hanging="341"/>
        <w:rPr>
          <w:rFonts w:ascii="標楷體" w:eastAsia="標楷體" w:hAnsi="標楷體"/>
        </w:rPr>
      </w:pPr>
      <w:r>
        <w:rPr>
          <w:rFonts w:ascii="標楷體" w:eastAsia="標楷體" w:hAnsi="標楷體"/>
        </w:rPr>
        <w:t>Ⅳ.第一次治療24週後復發者，可以給予第二次治療，給付不超過48週。</w:t>
      </w:r>
    </w:p>
    <w:p w14:paraId="6553A8B0" w14:textId="77777777" w:rsidR="00BD776B" w:rsidRDefault="00DF0C24">
      <w:pPr>
        <w:ind w:left="811" w:hanging="245"/>
        <w:rPr>
          <w:rFonts w:ascii="標楷體" w:eastAsia="標楷體" w:hAnsi="標楷體"/>
        </w:rPr>
      </w:pPr>
      <w:r>
        <w:rPr>
          <w:rFonts w:ascii="標楷體" w:eastAsia="標楷體" w:hAnsi="標楷體"/>
        </w:rPr>
        <w:t>2.醫事服務機構及醫師資格：(109/7/1、111/9/1)</w:t>
      </w:r>
    </w:p>
    <w:p w14:paraId="557B53E8" w14:textId="77777777" w:rsidR="00BD776B" w:rsidRDefault="00DF0C24">
      <w:pPr>
        <w:ind w:left="1049" w:hanging="341"/>
        <w:rPr>
          <w:rFonts w:ascii="標楷體" w:eastAsia="標楷體" w:hAnsi="標楷體"/>
        </w:rPr>
      </w:pPr>
      <w:r>
        <w:rPr>
          <w:rFonts w:ascii="標楷體" w:eastAsia="標楷體" w:hAnsi="標楷體"/>
        </w:rPr>
        <w:t>(1)醫院：</w:t>
      </w:r>
    </w:p>
    <w:p w14:paraId="774EE1AA" w14:textId="77777777" w:rsidR="00BD776B" w:rsidRDefault="00DF0C24">
      <w:pPr>
        <w:ind w:left="1421" w:hanging="341"/>
        <w:rPr>
          <w:rFonts w:ascii="標楷體" w:eastAsia="標楷體" w:hAnsi="標楷體"/>
        </w:rPr>
      </w:pPr>
      <w:r>
        <w:rPr>
          <w:rFonts w:ascii="標楷體" w:eastAsia="標楷體" w:hAnsi="標楷體"/>
        </w:rPr>
        <w:t>Ⅰ.有消化系內科或消化系兒科專科醫師之醫院。</w:t>
      </w:r>
    </w:p>
    <w:p w14:paraId="283436AA" w14:textId="77777777" w:rsidR="00BD776B" w:rsidRDefault="00DF0C24">
      <w:pPr>
        <w:ind w:left="1440" w:hanging="360"/>
        <w:rPr>
          <w:rFonts w:ascii="標楷體" w:eastAsia="標楷體" w:hAnsi="標楷體"/>
        </w:rPr>
      </w:pPr>
      <w:r>
        <w:rPr>
          <w:rFonts w:ascii="標楷體" w:eastAsia="標楷體" w:hAnsi="標楷體"/>
        </w:rPr>
        <w:t>Ⅱ.醫師資格為前開醫院之消化系內科專科醫師、消化系兒科專科醫師、血</w:t>
      </w:r>
      <w:r>
        <w:rPr>
          <w:rFonts w:ascii="標楷體" w:eastAsia="標楷體" w:hAnsi="標楷體"/>
        </w:rPr>
        <w:lastRenderedPageBreak/>
        <w:t>液病專科醫師、腫瘤內科專科醫師、癌症相關科醫師及符合器官移植手術資格之專任或兼任專科醫師。</w:t>
      </w:r>
    </w:p>
    <w:p w14:paraId="7621CDA1" w14:textId="77777777" w:rsidR="00BD776B" w:rsidRDefault="00DF0C24">
      <w:pPr>
        <w:ind w:left="1440" w:hanging="360"/>
        <w:rPr>
          <w:rFonts w:ascii="標楷體" w:eastAsia="標楷體" w:hAnsi="標楷體"/>
        </w:rPr>
      </w:pPr>
      <w:r>
        <w:rPr>
          <w:rFonts w:ascii="標楷體" w:eastAsia="標楷體" w:hAnsi="標楷體"/>
        </w:rPr>
        <w:t>Ⅲ.前開非消化系專科醫師，需先照會消化系專科醫師，惟愛滋病毒感染患者併有B型或C肝炎感染者，得由其照護之感染症內科專科醫師開立處方。</w:t>
      </w:r>
    </w:p>
    <w:p w14:paraId="09DA8A55" w14:textId="77777777" w:rsidR="00BD776B" w:rsidRDefault="00DF0C24">
      <w:pPr>
        <w:ind w:left="1049" w:hanging="341"/>
        <w:rPr>
          <w:rFonts w:ascii="標楷體" w:eastAsia="標楷體" w:hAnsi="標楷體"/>
        </w:rPr>
      </w:pPr>
      <w:r>
        <w:rPr>
          <w:rFonts w:ascii="標楷體" w:eastAsia="標楷體" w:hAnsi="標楷體"/>
        </w:rPr>
        <w:t>(2)基層院所：</w:t>
      </w:r>
    </w:p>
    <w:p w14:paraId="1FF9A7A3" w14:textId="77777777" w:rsidR="00BD776B" w:rsidRDefault="00DF0C24">
      <w:pPr>
        <w:ind w:left="1421" w:hanging="341"/>
        <w:rPr>
          <w:rFonts w:ascii="標楷體" w:eastAsia="標楷體" w:hAnsi="標楷體"/>
        </w:rPr>
      </w:pPr>
      <w:r>
        <w:rPr>
          <w:rFonts w:ascii="標楷體" w:eastAsia="標楷體" w:hAnsi="標楷體"/>
        </w:rPr>
        <w:t>Ⅰ.須具有消化系內科或消化系兒科專任專科醫師之基層院所。</w:t>
      </w:r>
    </w:p>
    <w:p w14:paraId="47A0DA00" w14:textId="77777777" w:rsidR="00BD776B" w:rsidRDefault="00DF0C24">
      <w:pPr>
        <w:ind w:left="1440" w:hanging="360"/>
        <w:rPr>
          <w:rFonts w:ascii="標楷體" w:eastAsia="標楷體" w:hAnsi="標楷體"/>
        </w:rPr>
      </w:pPr>
      <w:r>
        <w:rPr>
          <w:rFonts w:ascii="標楷體" w:eastAsia="標楷體" w:hAnsi="標楷體"/>
        </w:rPr>
        <w:t>Ⅱ.肝炎治療醫療資源不足地區及山地離島地區，具有消化系內科或消化系兒科兼任專科醫師之基層院所，亦得開立處方，惟離島地區(如金門縣、連江縣、澎湖縣、台東縣蘭嶼鄉、台東縣綠島鄉)內科醫師之基層院所，亦得開立處方。</w:t>
      </w:r>
    </w:p>
    <w:p w14:paraId="00D81E47" w14:textId="77777777" w:rsidR="00BD776B" w:rsidRDefault="00DF0C24">
      <w:pPr>
        <w:ind w:left="811" w:hanging="245"/>
        <w:rPr>
          <w:rFonts w:ascii="標楷體" w:eastAsia="標楷體" w:hAnsi="標楷體"/>
        </w:rPr>
      </w:pPr>
      <w:r>
        <w:rPr>
          <w:rFonts w:ascii="標楷體" w:eastAsia="標楷體" w:hAnsi="標楷體"/>
        </w:rPr>
        <w:t>◎附表三十四：肝炎治療醫療資源不足地區及山地離島地區一覽表</w:t>
      </w:r>
    </w:p>
    <w:p w14:paraId="7E0E28F6" w14:textId="77777777" w:rsidR="00BD776B" w:rsidRDefault="00DF0C24">
      <w:pPr>
        <w:ind w:left="672" w:hanging="386"/>
      </w:pPr>
      <w:r>
        <w:rPr>
          <w:rFonts w:ascii="標楷體" w:eastAsia="標楷體" w:hAnsi="標楷體"/>
          <w:bCs/>
        </w:rPr>
        <w:t>10.7.3.Lamivudine 100mg(如Zeffix)；entecavir (如Baraclude)；telbivudine (如Sebivo)；tenofovir disoproxil (如Viread)；tenofovir alafenamide (如Vemlidy)：（92/10/1、93/2/1、93/8/1、94/10/1、95/10/1、95/11/1、97/8/1、98/11/1、99/5/1、99/7/1、100/6/1、102/2/1、104/12/1、106/1/1、106/4/1、107/2/1、108/2/1、108/5/1、109/1/1、109/7/1、110/3/1、111/3/1、111/9/1、112/10/1、113/1/1、113/4/1)</w:t>
      </w:r>
    </w:p>
    <w:p w14:paraId="004654CA" w14:textId="77777777" w:rsidR="00BD776B" w:rsidRDefault="00DF0C24">
      <w:pPr>
        <w:ind w:left="798" w:hanging="1"/>
        <w:rPr>
          <w:rFonts w:ascii="標楷體" w:eastAsia="標楷體" w:hAnsi="標楷體"/>
        </w:rPr>
      </w:pPr>
      <w:r>
        <w:rPr>
          <w:rFonts w:ascii="標楷體" w:eastAsia="標楷體" w:hAnsi="標楷體"/>
        </w:rPr>
        <w:t>用於慢性病毒性B型肝炎患者之條件如下：</w:t>
      </w:r>
    </w:p>
    <w:p w14:paraId="252F8C4C" w14:textId="77777777" w:rsidR="00BD776B" w:rsidRDefault="00DF0C24">
      <w:pPr>
        <w:ind w:left="811" w:hanging="245"/>
        <w:rPr>
          <w:rFonts w:ascii="標楷體" w:eastAsia="標楷體" w:hAnsi="標楷體"/>
          <w:bCs/>
        </w:rPr>
      </w:pPr>
      <w:r>
        <w:rPr>
          <w:rFonts w:ascii="標楷體" w:eastAsia="標楷體" w:hAnsi="標楷體"/>
          <w:bCs/>
        </w:rPr>
        <w:t>1.HBsAg(+)且已發生肝代償不全者，以lamivudine 100mg、entecavir 1.0mg、telbivudine、tenofovir disoproxil或tenofovir alafenamide治療，其給付療程如下：（98/11/1、100/6/1、102/2/1、104/12/1、106/1/1、106/4/1、108/5/1、111/3/1）</w:t>
      </w:r>
    </w:p>
    <w:p w14:paraId="2C25FAF5" w14:textId="77777777" w:rsidR="00BD776B" w:rsidRDefault="00DF0C24">
      <w:pPr>
        <w:ind w:left="1049" w:hanging="341"/>
      </w:pPr>
      <w:r>
        <w:rPr>
          <w:rFonts w:ascii="標楷體" w:eastAsia="標楷體" w:hAnsi="標楷體"/>
          <w:bCs/>
        </w:rPr>
        <w:t>(1)HBeAg陽性病患治療至e抗原轉陰並再給付最多12個月治療。</w:t>
      </w:r>
    </w:p>
    <w:p w14:paraId="48194579" w14:textId="77777777" w:rsidR="00BD776B" w:rsidRDefault="00DF0C24">
      <w:pPr>
        <w:ind w:left="1049" w:hanging="341"/>
        <w:rPr>
          <w:rFonts w:ascii="標楷體" w:eastAsia="標楷體" w:hAnsi="標楷體"/>
        </w:rPr>
      </w:pPr>
      <w:r>
        <w:rPr>
          <w:rFonts w:ascii="標楷體" w:eastAsia="標楷體" w:hAnsi="標楷體"/>
        </w:rPr>
        <w:t>(2)HBeAg陰性病患治療至少二年，治療期間需檢驗血清HBV DNA，並於檢驗血清HBV DNA連續三次，每次間隔6個月，均檢驗不出HBV DNA時停藥，每次療程至多給付36個月。</w:t>
      </w:r>
    </w:p>
    <w:p w14:paraId="0C8AFCD7" w14:textId="77777777" w:rsidR="00BD776B" w:rsidRDefault="00DF0C24">
      <w:pPr>
        <w:ind w:left="1032" w:hanging="324"/>
        <w:rPr>
          <w:rFonts w:ascii="標楷體" w:eastAsia="標楷體" w:hAnsi="標楷體"/>
        </w:rPr>
      </w:pPr>
      <w:r>
        <w:rPr>
          <w:rFonts w:ascii="標楷體" w:eastAsia="標楷體" w:hAnsi="標楷體"/>
        </w:rPr>
        <w:t>註：</w:t>
      </w:r>
    </w:p>
    <w:p w14:paraId="4B127B54" w14:textId="77777777" w:rsidR="00BD776B" w:rsidRDefault="00DF0C24">
      <w:pPr>
        <w:ind w:left="1415" w:hanging="378"/>
        <w:rPr>
          <w:rFonts w:ascii="標楷體" w:eastAsia="標楷體" w:hAnsi="標楷體"/>
        </w:rPr>
      </w:pPr>
      <w:r>
        <w:rPr>
          <w:rFonts w:ascii="標楷體" w:eastAsia="標楷體" w:hAnsi="標楷體"/>
        </w:rPr>
        <w:t>Ⅰ.肝代償不全條件為prothrombin time延長≧3秒或bilirubin (total)≧2.0mg/dL，prothrombin time延長係以該次檢驗control值為準。</w:t>
      </w:r>
    </w:p>
    <w:p w14:paraId="1F121A56" w14:textId="77777777" w:rsidR="00BD776B" w:rsidRDefault="00DF0C24">
      <w:pPr>
        <w:ind w:left="1790" w:hanging="756"/>
        <w:rPr>
          <w:rFonts w:ascii="標楷體" w:eastAsia="標楷體" w:hAnsi="標楷體"/>
        </w:rPr>
      </w:pPr>
      <w:r>
        <w:rPr>
          <w:rFonts w:ascii="標楷體" w:eastAsia="標楷體" w:hAnsi="標楷體"/>
        </w:rPr>
        <w:t>Ⅱ.Entecavir每日限使用1粒。</w:t>
      </w:r>
    </w:p>
    <w:p w14:paraId="14892066" w14:textId="77777777" w:rsidR="00BD776B" w:rsidRDefault="00DF0C24">
      <w:pPr>
        <w:ind w:left="811" w:hanging="245"/>
        <w:rPr>
          <w:rFonts w:ascii="標楷體" w:eastAsia="標楷體" w:hAnsi="標楷體"/>
        </w:rPr>
      </w:pPr>
      <w:r>
        <w:rPr>
          <w:rFonts w:ascii="標楷體" w:eastAsia="標楷體" w:hAnsi="標楷體"/>
        </w:rPr>
        <w:t>2.慢性Ｂ型肝炎病毒帶原者HBsAg(+)，或HBsAg(-)但B型肝炎核心抗體(anti-HBc)陽性者：（98/11/1、110/3/1）</w:t>
      </w:r>
    </w:p>
    <w:p w14:paraId="6BACA3A5" w14:textId="77777777" w:rsidR="00BD776B" w:rsidRDefault="00DF0C24">
      <w:pPr>
        <w:ind w:left="1049" w:hanging="341"/>
        <w:rPr>
          <w:rFonts w:ascii="標楷體" w:eastAsia="標楷體" w:hAnsi="標楷體"/>
        </w:rPr>
      </w:pPr>
      <w:r>
        <w:rPr>
          <w:rFonts w:ascii="標楷體" w:eastAsia="標楷體" w:hAnsi="標楷體"/>
        </w:rPr>
        <w:t>(1)接受非肝臟之器官移植者，自移植前7天內可開始預防性使用，或接受非肝臟之器官移植後，B型肝炎發作者，可長期使用。(98/11/1、110/3/1)</w:t>
      </w:r>
    </w:p>
    <w:p w14:paraId="590EF2CA" w14:textId="77777777" w:rsidR="00BD776B" w:rsidRDefault="00DF0C24">
      <w:pPr>
        <w:ind w:left="1049" w:hanging="341"/>
        <w:rPr>
          <w:rFonts w:ascii="標楷體" w:eastAsia="標楷體" w:hAnsi="標楷體"/>
        </w:rPr>
      </w:pPr>
      <w:r>
        <w:rPr>
          <w:rFonts w:ascii="標楷體" w:eastAsia="標楷體" w:hAnsi="標楷體"/>
        </w:rPr>
        <w:t>(2)接受癌症化學療法中，B型肝炎發作者，經照會消化系專科醫師同意後，可長期使用。(93/2/1、94/10/1、98/11/1)</w:t>
      </w:r>
    </w:p>
    <w:p w14:paraId="2D852758" w14:textId="77777777" w:rsidR="00BD776B" w:rsidRDefault="00DF0C24">
      <w:pPr>
        <w:ind w:left="1049" w:hanging="341"/>
        <w:rPr>
          <w:rFonts w:ascii="標楷體" w:eastAsia="標楷體" w:hAnsi="標楷體"/>
        </w:rPr>
      </w:pPr>
      <w:r>
        <w:rPr>
          <w:rFonts w:ascii="標楷體" w:eastAsia="標楷體" w:hAnsi="標楷體"/>
        </w:rPr>
        <w:t>(3)接受肝臟移植者，可預防性使用。(95/10/1、98/11/1)</w:t>
      </w:r>
    </w:p>
    <w:p w14:paraId="68432D63" w14:textId="77777777" w:rsidR="00BD776B" w:rsidRDefault="00DF0C24">
      <w:pPr>
        <w:ind w:left="1049" w:hanging="341"/>
        <w:rPr>
          <w:rFonts w:ascii="標楷體" w:eastAsia="標楷體" w:hAnsi="標楷體"/>
        </w:rPr>
      </w:pPr>
      <w:r>
        <w:rPr>
          <w:rFonts w:ascii="標楷體" w:eastAsia="標楷體" w:hAnsi="標楷體"/>
        </w:rPr>
        <w:t>(4)接受癌症化學療法，經照會消化系專科醫師同意後，可於化學療法前1週開始給付使用，直至化學療法結束後6個月，以預防Ｂ型肝炎發作。（98/11/1）</w:t>
      </w:r>
    </w:p>
    <w:p w14:paraId="743127AC" w14:textId="77777777" w:rsidR="00BD776B" w:rsidRDefault="00DF0C24">
      <w:pPr>
        <w:ind w:left="1049" w:hanging="341"/>
        <w:rPr>
          <w:rFonts w:ascii="標楷體" w:eastAsia="標楷體" w:hAnsi="標楷體"/>
        </w:rPr>
      </w:pPr>
      <w:r>
        <w:rPr>
          <w:rFonts w:ascii="標楷體" w:eastAsia="標楷體" w:hAnsi="標楷體"/>
        </w:rPr>
        <w:t>(5)肝硬化病患，可長期使用。(99/7/1、110/3/1)</w:t>
      </w:r>
    </w:p>
    <w:p w14:paraId="1CCBE33A" w14:textId="77777777" w:rsidR="00BD776B" w:rsidRDefault="00DF0C24">
      <w:pPr>
        <w:ind w:left="1188" w:hanging="468"/>
        <w:rPr>
          <w:rFonts w:ascii="標楷體" w:eastAsia="標楷體" w:hAnsi="標楷體"/>
        </w:rPr>
      </w:pPr>
      <w:r>
        <w:rPr>
          <w:rFonts w:ascii="標楷體" w:eastAsia="標楷體" w:hAnsi="標楷體"/>
        </w:rPr>
        <w:t>註：肝硬化條件為需同時符合下列二項條件: (99/7/1)</w:t>
      </w:r>
    </w:p>
    <w:p w14:paraId="54D8F7B8" w14:textId="77777777" w:rsidR="00BD776B" w:rsidRDefault="00DF0C24">
      <w:pPr>
        <w:ind w:left="1414" w:hanging="336"/>
        <w:rPr>
          <w:rFonts w:ascii="標楷體" w:eastAsia="標楷體" w:hAnsi="標楷體"/>
        </w:rPr>
      </w:pPr>
      <w:r>
        <w:rPr>
          <w:rFonts w:ascii="標楷體" w:eastAsia="標楷體" w:hAnsi="標楷體"/>
        </w:rPr>
        <w:lastRenderedPageBreak/>
        <w:t>I.HBsAg(+)且可檢驗到血清HBV DNA。(110/3/1)</w:t>
      </w:r>
    </w:p>
    <w:p w14:paraId="22A42AE8" w14:textId="77777777" w:rsidR="00BD776B" w:rsidRDefault="00DF0C24">
      <w:pPr>
        <w:ind w:left="1414" w:hanging="420"/>
        <w:rPr>
          <w:rFonts w:ascii="標楷體" w:eastAsia="標楷體" w:hAnsi="標楷體"/>
        </w:rPr>
      </w:pPr>
      <w:r>
        <w:rPr>
          <w:rFonts w:ascii="標楷體" w:eastAsia="標楷體" w:hAnsi="標楷體"/>
        </w:rPr>
        <w:t>Ⅱ.診斷標準：</w:t>
      </w:r>
    </w:p>
    <w:p w14:paraId="0F0ED0B0" w14:textId="77777777" w:rsidR="00BD776B" w:rsidRDefault="00DF0C24">
      <w:pPr>
        <w:ind w:left="1483" w:hanging="223"/>
        <w:rPr>
          <w:rFonts w:ascii="標楷體" w:eastAsia="標楷體" w:hAnsi="標楷體"/>
        </w:rPr>
      </w:pPr>
      <w:r>
        <w:rPr>
          <w:rFonts w:ascii="標楷體" w:eastAsia="標楷體" w:hAnsi="標楷體"/>
        </w:rPr>
        <w:t>a.肝組織切片（Metavir F4或Ishak F5以上，血友病患及類血友病患經照會消化系專科醫師同意後，得不作切片）；或</w:t>
      </w:r>
    </w:p>
    <w:p w14:paraId="4668B193" w14:textId="77777777" w:rsidR="00BD776B" w:rsidRDefault="00DF0C24">
      <w:pPr>
        <w:ind w:left="1483" w:hanging="223"/>
        <w:rPr>
          <w:rFonts w:ascii="標楷體" w:eastAsia="標楷體" w:hAnsi="標楷體"/>
        </w:rPr>
      </w:pPr>
      <w:r>
        <w:rPr>
          <w:rFonts w:ascii="標楷體" w:eastAsia="標楷體" w:hAnsi="標楷體"/>
        </w:rPr>
        <w:t>b.超音波診斷為肝硬化併食道或胃靜脈曲張，或超音波診斷為肝硬化併脾腫大、超音波診斷為肝硬化且血小板&lt; 120,000/μL，或肝硬度超音波診斷為肝硬化。若患者因其他臨床適應症接受電腦斷層或核磁共振檢查而被診斷為肝硬化時，可做為診斷依據。(110/3/1)</w:t>
      </w:r>
    </w:p>
    <w:p w14:paraId="397132BD" w14:textId="77777777" w:rsidR="00BD776B" w:rsidRDefault="00DF0C24">
      <w:pPr>
        <w:ind w:left="1711" w:hanging="223"/>
        <w:rPr>
          <w:rFonts w:ascii="標楷體" w:eastAsia="標楷體" w:hAnsi="標楷體"/>
        </w:rPr>
      </w:pPr>
      <w:r>
        <w:rPr>
          <w:rFonts w:ascii="標楷體" w:eastAsia="標楷體" w:hAnsi="標楷體"/>
        </w:rPr>
        <w:t>註：以肝硬度超音波證實等同METAVIR system纖維化等於F4之定義：transient elastography (Fibroscan)≧ 12 Kpa或Acoustic Radiation Force Impulse elastography (ARFI)≧ 1.98。(110/3/1)</w:t>
      </w:r>
    </w:p>
    <w:p w14:paraId="46B44A70" w14:textId="77777777" w:rsidR="00BD776B" w:rsidRDefault="00DF0C24">
      <w:pPr>
        <w:ind w:left="1133" w:hanging="425"/>
        <w:rPr>
          <w:rFonts w:ascii="標楷體" w:eastAsia="標楷體" w:hAnsi="標楷體"/>
        </w:rPr>
      </w:pPr>
      <w:r>
        <w:rPr>
          <w:rFonts w:ascii="標楷體" w:eastAsia="標楷體" w:hAnsi="標楷體"/>
        </w:rPr>
        <w:t>(6)在異體造血幹細胞移植時：(104/12/1)</w:t>
      </w:r>
    </w:p>
    <w:p w14:paraId="0D9872FF" w14:textId="77777777" w:rsidR="00BD776B" w:rsidRDefault="00DF0C24">
      <w:pPr>
        <w:ind w:left="1385" w:hanging="348"/>
        <w:rPr>
          <w:rFonts w:ascii="標楷體" w:eastAsia="標楷體" w:hAnsi="標楷體"/>
        </w:rPr>
      </w:pPr>
      <w:r>
        <w:rPr>
          <w:rFonts w:ascii="標楷體" w:eastAsia="標楷體" w:hAnsi="標楷體"/>
        </w:rPr>
        <w:t>Ⅰ.捐贈者之HBsAg為陽性反應，則捐贈者可自其確認為移植捐贈者後開始使用預防性抗病毒藥物治療，原則上治療到血液中偵測不到HBV DNA；若捐贈者符合10.7.3之3至5項治療條件，則依其規範給付。</w:t>
      </w:r>
    </w:p>
    <w:p w14:paraId="2C805EFB" w14:textId="77777777" w:rsidR="00BD776B" w:rsidRDefault="00DF0C24">
      <w:pPr>
        <w:ind w:left="1385" w:hanging="348"/>
        <w:rPr>
          <w:rFonts w:ascii="標楷體" w:eastAsia="標楷體" w:hAnsi="標楷體"/>
        </w:rPr>
      </w:pPr>
      <w:r>
        <w:rPr>
          <w:rFonts w:ascii="標楷體" w:eastAsia="標楷體" w:hAnsi="標楷體"/>
        </w:rPr>
        <w:t>Ⅱ.</w:t>
      </w:r>
      <w:r>
        <w:rPr>
          <w:rFonts w:ascii="標楷體" w:eastAsia="標楷體" w:hAnsi="標楷體"/>
        </w:rPr>
        <w:tab/>
        <w:t>受贈者之HBsAg為陽性反應，或捐贈來源之HBsAg為陽性反應，則受贈者可在經照會消化系專科醫師同意後，於移植前一週起至移植後免疫抑制藥物停用後6個月內，給付使用抗B型肝炎病毒藥物以預防發作。</w:t>
      </w:r>
    </w:p>
    <w:p w14:paraId="53C87B74" w14:textId="77777777" w:rsidR="00BD776B" w:rsidRDefault="00DF0C24">
      <w:pPr>
        <w:ind w:left="1133" w:hanging="425"/>
      </w:pPr>
      <w:r>
        <w:rPr>
          <w:rFonts w:ascii="標楷體" w:eastAsia="標楷體" w:hAnsi="標楷體"/>
        </w:rPr>
        <w:t>(7)血清HBV DNA≧ 10</w:t>
      </w:r>
      <w:r>
        <w:rPr>
          <w:rFonts w:ascii="標楷體" w:eastAsia="標楷體" w:hAnsi="標楷體"/>
          <w:vertAlign w:val="superscript"/>
        </w:rPr>
        <w:t>6</w:t>
      </w:r>
      <w:r>
        <w:rPr>
          <w:rFonts w:ascii="標楷體" w:eastAsia="標楷體" w:hAnsi="標楷體"/>
        </w:rPr>
        <w:t xml:space="preserve"> IU/mL之懷孕者，可於懷孕滿27週後開始給付使用telbivudine或tenofovir disoproxil，直至產後4週。（107/2/1、108/5/1）</w:t>
      </w:r>
    </w:p>
    <w:p w14:paraId="4D34FACA" w14:textId="77777777" w:rsidR="00BD776B" w:rsidRDefault="00DF0C24">
      <w:pPr>
        <w:ind w:left="1133" w:hanging="425"/>
        <w:rPr>
          <w:rFonts w:ascii="標楷體" w:eastAsia="標楷體" w:hAnsi="標楷體"/>
        </w:rPr>
      </w:pPr>
      <w:r>
        <w:rPr>
          <w:rFonts w:ascii="標楷體" w:eastAsia="標楷體" w:hAnsi="標楷體"/>
        </w:rPr>
        <w:t>(8)確診為肝癌並接受根除性治療且可檢驗到血清HBV DNA，可長期使用，直至肝癌復發且未能再次接受根除性治療止。（108/2/1、110/3/1）</w:t>
      </w:r>
    </w:p>
    <w:p w14:paraId="0485F592" w14:textId="77777777" w:rsidR="00BD776B" w:rsidRDefault="00DF0C24">
      <w:pPr>
        <w:ind w:left="1133" w:hanging="425"/>
        <w:rPr>
          <w:rFonts w:ascii="標楷體" w:eastAsia="標楷體" w:hAnsi="標楷體"/>
        </w:rPr>
      </w:pPr>
      <w:r>
        <w:rPr>
          <w:rFonts w:ascii="標楷體" w:eastAsia="標楷體" w:hAnsi="標楷體"/>
        </w:rPr>
        <w:t>註：</w:t>
      </w:r>
    </w:p>
    <w:p w14:paraId="222AA1E1" w14:textId="77777777" w:rsidR="00BD776B" w:rsidRDefault="00DF0C24">
      <w:pPr>
        <w:ind w:left="1224" w:hanging="264"/>
        <w:rPr>
          <w:rFonts w:ascii="標楷體" w:eastAsia="標楷體" w:hAnsi="標楷體"/>
        </w:rPr>
      </w:pPr>
      <w:r>
        <w:rPr>
          <w:rFonts w:ascii="標楷體" w:eastAsia="標楷體" w:hAnsi="標楷體"/>
        </w:rPr>
        <w:t>a.根除性治療包括手術切除、肝臟移植、射頻燒灼(radiofrequency ablation) 、局部酒精注射及微波消融(microwave ablation)、冷凍治療(cryotherapy)。(109/1/1)</w:t>
      </w:r>
    </w:p>
    <w:p w14:paraId="58910549" w14:textId="77777777" w:rsidR="00BD776B" w:rsidRDefault="00DF0C24">
      <w:pPr>
        <w:ind w:left="1224" w:hanging="264"/>
        <w:rPr>
          <w:rFonts w:ascii="標楷體" w:eastAsia="標楷體" w:hAnsi="標楷體"/>
        </w:rPr>
      </w:pPr>
      <w:r>
        <w:rPr>
          <w:rFonts w:ascii="標楷體" w:eastAsia="標楷體" w:hAnsi="標楷體"/>
        </w:rPr>
        <w:t>b.已符合肝硬化給付條件可長期使用者，不在此限。</w:t>
      </w:r>
    </w:p>
    <w:p w14:paraId="4E84A579" w14:textId="77777777" w:rsidR="00BD776B" w:rsidRDefault="00DF0C24">
      <w:pPr>
        <w:ind w:left="1133" w:hanging="425"/>
        <w:rPr>
          <w:rFonts w:ascii="標楷體" w:eastAsia="標楷體" w:hAnsi="標楷體"/>
        </w:rPr>
      </w:pPr>
      <w:r>
        <w:rPr>
          <w:rFonts w:ascii="標楷體" w:eastAsia="標楷體" w:hAnsi="標楷體"/>
        </w:rPr>
        <w:t>(9)接受免疫抑制劑治療者：(110/3/1)</w:t>
      </w:r>
    </w:p>
    <w:p w14:paraId="51CCF8A2" w14:textId="77777777" w:rsidR="00BD776B" w:rsidRDefault="00DF0C24">
      <w:pPr>
        <w:ind w:left="1385" w:hanging="348"/>
        <w:rPr>
          <w:rFonts w:ascii="標楷體" w:eastAsia="標楷體" w:hAnsi="標楷體"/>
        </w:rPr>
      </w:pPr>
      <w:r>
        <w:rPr>
          <w:rFonts w:ascii="標楷體" w:eastAsia="標楷體" w:hAnsi="標楷體"/>
        </w:rPr>
        <w:t>Ⅰ.預防使用：HBsAg(+)者，於接受下列免疫抑制藥物治療前一週起，至免疫抑制藥物停用後6個月內，免疫抑制藥物如下列:</w:t>
      </w:r>
    </w:p>
    <w:p w14:paraId="3F6B4B59" w14:textId="77777777" w:rsidR="00BD776B" w:rsidRDefault="00DF0C24">
      <w:pPr>
        <w:ind w:left="1704" w:hanging="264"/>
        <w:rPr>
          <w:rFonts w:ascii="標楷體" w:eastAsia="標楷體" w:hAnsi="標楷體"/>
        </w:rPr>
      </w:pPr>
      <w:r>
        <w:rPr>
          <w:rFonts w:ascii="標楷體" w:eastAsia="標楷體" w:hAnsi="標楷體"/>
        </w:rPr>
        <w:t>i.Rituximab。</w:t>
      </w:r>
    </w:p>
    <w:p w14:paraId="12366FC6" w14:textId="77777777" w:rsidR="00BD776B" w:rsidRDefault="00DF0C24">
      <w:pPr>
        <w:ind w:left="1704" w:hanging="264"/>
        <w:rPr>
          <w:rFonts w:ascii="標楷體" w:eastAsia="標楷體" w:hAnsi="標楷體"/>
        </w:rPr>
      </w:pPr>
      <w:r>
        <w:rPr>
          <w:rFonts w:ascii="標楷體" w:eastAsia="標楷體" w:hAnsi="標楷體"/>
        </w:rPr>
        <w:t>ii.Anthracycline類衍生物。</w:t>
      </w:r>
    </w:p>
    <w:p w14:paraId="4D6ABB9F" w14:textId="77777777" w:rsidR="00BD776B" w:rsidRDefault="00DF0C24">
      <w:pPr>
        <w:ind w:left="1920" w:hanging="480"/>
        <w:rPr>
          <w:rFonts w:ascii="標楷體" w:eastAsia="標楷體" w:hAnsi="標楷體"/>
        </w:rPr>
      </w:pPr>
      <w:r>
        <w:rPr>
          <w:rFonts w:ascii="標楷體" w:eastAsia="標楷體" w:hAnsi="標楷體"/>
        </w:rPr>
        <w:t>iii.中高劑量類固醇（指prednisolone≧ 20mg/day或相當之劑量，使用時問超過4週。）</w:t>
      </w:r>
    </w:p>
    <w:p w14:paraId="12ACA18D" w14:textId="77777777" w:rsidR="00BD776B" w:rsidRDefault="00DF0C24">
      <w:pPr>
        <w:ind w:left="1385" w:hanging="348"/>
        <w:rPr>
          <w:rFonts w:ascii="標楷體" w:eastAsia="標楷體" w:hAnsi="標楷體"/>
        </w:rPr>
      </w:pPr>
      <w:r>
        <w:rPr>
          <w:rFonts w:ascii="標楷體" w:eastAsia="標楷體" w:hAnsi="標楷體"/>
        </w:rPr>
        <w:t>Ⅱ.HBsAg(+)者，或HBsAg(-)但B型肝炎核心抗體陽性者，於接受免疫抑制藥物治療後B型肝炎發作，開始給付使用抗病毒藥物治療，給付至免疫抑制劑停用後6個月。</w:t>
      </w:r>
    </w:p>
    <w:p w14:paraId="03BE4916" w14:textId="77777777" w:rsidR="00BD776B" w:rsidRDefault="00DF0C24">
      <w:pPr>
        <w:ind w:left="811" w:hanging="245"/>
        <w:rPr>
          <w:rFonts w:ascii="標楷體" w:eastAsia="標楷體" w:hAnsi="標楷體"/>
        </w:rPr>
      </w:pPr>
      <w:r>
        <w:rPr>
          <w:rFonts w:ascii="標楷體" w:eastAsia="標楷體" w:hAnsi="標楷體"/>
        </w:rPr>
        <w:t>3.HBsAg(+)超過6個月(或IgM anti-HBc為陰性)及HBeAg(+)，且符合以下條件之一者，其給付療程為治療至e抗原轉陰並再給付最多12個月：（93/8/1、95/11/1、98/11/1、99/5/1、106/1/1、110/3/1）</w:t>
      </w:r>
    </w:p>
    <w:p w14:paraId="36068093" w14:textId="77777777" w:rsidR="00BD776B" w:rsidRDefault="00DF0C24">
      <w:pPr>
        <w:ind w:left="1133" w:hanging="425"/>
        <w:rPr>
          <w:rFonts w:ascii="標楷體" w:eastAsia="標楷體" w:hAnsi="標楷體"/>
        </w:rPr>
      </w:pPr>
      <w:r>
        <w:rPr>
          <w:rFonts w:ascii="標楷體" w:eastAsia="標楷體" w:hAnsi="標楷體"/>
        </w:rPr>
        <w:t>(1)ALT值大於(或等於)正常值上限5倍以上(ALT≧5X)。</w:t>
      </w:r>
    </w:p>
    <w:p w14:paraId="327F47FE" w14:textId="77777777" w:rsidR="00BD776B" w:rsidRDefault="00DF0C24">
      <w:pPr>
        <w:ind w:left="1133" w:hanging="425"/>
        <w:rPr>
          <w:rFonts w:ascii="標楷體" w:eastAsia="標楷體" w:hAnsi="標楷體"/>
        </w:rPr>
      </w:pPr>
      <w:r>
        <w:rPr>
          <w:rFonts w:ascii="標楷體" w:eastAsia="標楷體" w:hAnsi="標楷體"/>
        </w:rPr>
        <w:t>(2)ALT值介於正常值上限2至5倍之間(2X≦ALT&lt;5X)，且血清HBV DNA≧20,000 IU/mL，或經由肝組織切片（血友病患及類血友病患經照會消化系專科醫師</w:t>
      </w:r>
      <w:r>
        <w:rPr>
          <w:rFonts w:ascii="標楷體" w:eastAsia="標楷體" w:hAnsi="標楷體"/>
        </w:rPr>
        <w:lastRenderedPageBreak/>
        <w:t>同意後，得不作切片）證實HBcAg陽性。（93/8/1、98/11/1）</w:t>
      </w:r>
    </w:p>
    <w:p w14:paraId="57F9A4C7" w14:textId="77777777" w:rsidR="00BD776B" w:rsidRDefault="00DF0C24">
      <w:pPr>
        <w:ind w:left="1133" w:hanging="425"/>
        <w:rPr>
          <w:rFonts w:ascii="標楷體" w:eastAsia="標楷體" w:hAnsi="標楷體"/>
        </w:rPr>
      </w:pPr>
      <w:r>
        <w:rPr>
          <w:rFonts w:ascii="標楷體" w:eastAsia="標楷體" w:hAnsi="標楷體"/>
        </w:rPr>
        <w:t>(3)經由肝組織切片或肝臟纖維化掃描或Fibrosis-4 (FIB-4)證實，等同METAVIR system纖維化大於或等於F3者，其ALT值半年有兩次以上（間隔大於3個月）大於正常值上限(ALT&gt;X)，且血清HBV DNA≧ 20,000 IU/mL或經由肝組織切片（血友病患及類血友病患經照會消化系專科醫師同意後，得不作切片）證實HBcAg陽性之患者。(110/3/1)</w:t>
      </w:r>
    </w:p>
    <w:p w14:paraId="1F334767" w14:textId="77777777" w:rsidR="00BD776B" w:rsidRDefault="00DF0C24">
      <w:pPr>
        <w:ind w:left="1625" w:hanging="425"/>
        <w:rPr>
          <w:rFonts w:ascii="標楷體" w:eastAsia="標楷體" w:hAnsi="標楷體"/>
        </w:rPr>
      </w:pPr>
      <w:r>
        <w:rPr>
          <w:rFonts w:ascii="標楷體" w:eastAsia="標楷體" w:hAnsi="標楷體"/>
        </w:rPr>
        <w:t>註：以肝臟纖維化掃描或Fibrosis-4 (FIB-4)證實等同METAVIR system纖維化大於或等於F3之定義為：</w:t>
      </w:r>
    </w:p>
    <w:p w14:paraId="0D46FD7B" w14:textId="77777777" w:rsidR="00BD776B" w:rsidRDefault="00DF0C24">
      <w:pPr>
        <w:ind w:left="1908" w:hanging="348"/>
        <w:rPr>
          <w:rFonts w:ascii="標楷體" w:eastAsia="標楷體" w:hAnsi="標楷體"/>
        </w:rPr>
      </w:pPr>
      <w:r>
        <w:rPr>
          <w:rFonts w:ascii="標楷體" w:eastAsia="標楷體" w:hAnsi="標楷體"/>
        </w:rPr>
        <w:t>Ⅰ.肝臟纖維化掃描transient elastography (Fibroscan)≧9.5Kpa或Acoustic Radiation Force Impulse elastography (ARFI)≧1.81。</w:t>
      </w:r>
    </w:p>
    <w:p w14:paraId="777720F6" w14:textId="77777777" w:rsidR="00BD776B" w:rsidRDefault="00DF0C24">
      <w:pPr>
        <w:ind w:left="1908" w:hanging="348"/>
        <w:rPr>
          <w:rFonts w:ascii="標楷體" w:eastAsia="標楷體" w:hAnsi="標楷體"/>
        </w:rPr>
      </w:pPr>
      <w:r>
        <w:rPr>
          <w:rFonts w:ascii="標楷體" w:eastAsia="標楷體" w:hAnsi="標楷體"/>
        </w:rPr>
        <w:t>Ⅱ.Fibrosis-4 (FIB-4)≧3.25，計算公式為[Age(years) × AST(U/L)] / [Platelet count(109/L) × √ALT(U/L)]。</w:t>
      </w:r>
    </w:p>
    <w:p w14:paraId="30386FEF" w14:textId="77777777" w:rsidR="00BD776B" w:rsidRDefault="00DF0C24">
      <w:pPr>
        <w:ind w:left="811" w:hanging="245"/>
      </w:pPr>
      <w:r>
        <w:rPr>
          <w:rFonts w:ascii="標楷體" w:eastAsia="標楷體" w:hAnsi="標楷體"/>
        </w:rPr>
        <w:t>4.HBsAg(+)超過6個月(或IgM anti-HBc為陰性)及HBeAg(-)，且符合以下條件之一者，其療程至少二年，治療期間需檢驗血清HBV DNA，並於檢驗血清HBV DNA連續三次，每次間隔6個月，均檢驗不出HBV DNA時停藥，每次療程至多給付36個月：（93/8/1、95/11/1、98/11/1、106/1/1、106/4/1、110/3/1、112/10/1、113/1/1</w:t>
      </w:r>
      <w:r>
        <w:rPr>
          <w:rFonts w:ascii="標楷體" w:eastAsia="標楷體" w:hAnsi="標楷體"/>
          <w:color w:val="000000"/>
        </w:rPr>
        <w:t>、113/4/1</w:t>
      </w:r>
      <w:r>
        <w:rPr>
          <w:rFonts w:ascii="標楷體" w:eastAsia="標楷體" w:hAnsi="標楷體"/>
        </w:rPr>
        <w:t>）</w:t>
      </w:r>
    </w:p>
    <w:p w14:paraId="002AF354" w14:textId="77777777" w:rsidR="00BD776B" w:rsidRDefault="00DF0C24">
      <w:pPr>
        <w:ind w:left="1133" w:hanging="425"/>
      </w:pPr>
      <w:r>
        <w:rPr>
          <w:rFonts w:ascii="標楷體" w:eastAsia="標楷體" w:hAnsi="標楷體"/>
        </w:rPr>
        <w:t>(1)</w:t>
      </w:r>
      <w:r>
        <w:t xml:space="preserve"> </w:t>
      </w:r>
      <w:r>
        <w:rPr>
          <w:rFonts w:ascii="標楷體" w:eastAsia="標楷體" w:hAnsi="標楷體"/>
        </w:rPr>
        <w:t>ALT值大於或等於正常值上限 2 倍以上(ALT≧ 2</w:t>
      </w:r>
      <w:r>
        <w:rPr>
          <w:rFonts w:ascii="標楷體" w:eastAsia="標楷體" w:hAnsi="標楷體"/>
          <w:color w:val="000000"/>
        </w:rPr>
        <w:t>X)，且血清 HBV DNA≧2,000 IU/mL，或經由肝組織切片（血友病患及類血友病患經照會消化系專科醫師同意後，得不作切片）證實 HBcAg 陽性。惟Fofnir、Hepwin、Sebivo、Ricovir、Hepuri、Virclean、Teno B、Tenof、Viread、Livepro、Lamidine、Hepar-Pro、Hepato-Ease、Barazer、Becavir等除上述條件外，應符合ALT值半年有兩次以上(每次間隔 3 個月)大於或等於正常值上限 2 倍以上(ALT≧ 2X)。（93/8/1、 95/11/1、98/11/1、112/10/1、113/1/1、113/4/1）</w:t>
      </w:r>
    </w:p>
    <w:p w14:paraId="0AC58648" w14:textId="77777777" w:rsidR="00BD776B" w:rsidRDefault="00DF0C24">
      <w:pPr>
        <w:ind w:left="1133" w:hanging="425"/>
      </w:pPr>
      <w:r>
        <w:rPr>
          <w:rFonts w:ascii="標楷體" w:eastAsia="標楷體" w:hAnsi="標楷體"/>
          <w:color w:val="000000"/>
        </w:rPr>
        <w:t>(2)</w:t>
      </w:r>
      <w:r>
        <w:rPr>
          <w:color w:val="000000"/>
        </w:rPr>
        <w:t xml:space="preserve"> </w:t>
      </w:r>
      <w:r>
        <w:rPr>
          <w:rFonts w:ascii="標楷體" w:eastAsia="標楷體" w:hAnsi="標楷體"/>
          <w:color w:val="000000"/>
        </w:rPr>
        <w:t>肝纖維化程度大於或等於 F2，其 ALT 值半年有兩次以上（間隔大於 3 個月）大於正常</w:t>
      </w:r>
      <w:r>
        <w:rPr>
          <w:rFonts w:ascii="標楷體" w:eastAsia="標楷體" w:hAnsi="標楷體"/>
        </w:rPr>
        <w:t>值上限(ALT&gt;X)，且血清HBV DNA≧ 20,000 IU/mL或經由肝組織切片（血友病患及類血友病患經照會消化系專科醫師同意後，得不作切片）證實 HBcAg陽性。</w:t>
      </w:r>
      <w:r>
        <w:rPr>
          <w:rFonts w:ascii="標楷體" w:eastAsia="標楷體" w:hAnsi="標楷體"/>
          <w:color w:val="000000"/>
        </w:rPr>
        <w:t>惟Fofnir、Hepwin、Sebivo、Ricovir、Hepuri、Virclean、Teno B、Tenof、Viread、Livepro、Lamidine、Hepar-Pro、Hepato-Ease、Barazer、Becavir等除上述條件外，應符合肝纖維化程度大於或等於F3。</w:t>
      </w:r>
      <w:r>
        <w:rPr>
          <w:rFonts w:ascii="標楷體" w:eastAsia="標楷體" w:hAnsi="標楷體"/>
        </w:rPr>
        <w:t>(110/3/1、112/10/1、113/1/1</w:t>
      </w:r>
      <w:r>
        <w:rPr>
          <w:rFonts w:ascii="標楷體" w:eastAsia="標楷體" w:hAnsi="標楷體"/>
          <w:color w:val="000000"/>
        </w:rPr>
        <w:t>、113/4/1</w:t>
      </w:r>
      <w:r>
        <w:rPr>
          <w:rFonts w:ascii="標楷體" w:eastAsia="標楷體" w:hAnsi="標楷體"/>
        </w:rPr>
        <w:t>)</w:t>
      </w:r>
    </w:p>
    <w:p w14:paraId="56BD2470" w14:textId="77777777" w:rsidR="00BD776B" w:rsidRDefault="00DF0C24">
      <w:pPr>
        <w:ind w:left="1623" w:hanging="490"/>
        <w:rPr>
          <w:rFonts w:ascii="標楷體" w:eastAsia="標楷體" w:hAnsi="標楷體"/>
        </w:rPr>
      </w:pPr>
      <w:r>
        <w:rPr>
          <w:rFonts w:ascii="標楷體" w:eastAsia="標楷體" w:hAnsi="標楷體"/>
        </w:rPr>
        <w:t>註：以肝臟纖維化掃描或Fibrosis-4(FIB-4)證實等同METAVIR system纖維化大於或等於F2之定義為：(112/10/1)</w:t>
      </w:r>
    </w:p>
    <w:p w14:paraId="312BD251" w14:textId="77777777" w:rsidR="00BD776B" w:rsidRDefault="00DF0C24">
      <w:pPr>
        <w:ind w:left="1620" w:hanging="346"/>
        <w:rPr>
          <w:rFonts w:ascii="標楷體" w:eastAsia="標楷體" w:hAnsi="標楷體"/>
        </w:rPr>
      </w:pPr>
      <w:r>
        <w:rPr>
          <w:rFonts w:ascii="標楷體" w:eastAsia="標楷體" w:hAnsi="標楷體"/>
        </w:rPr>
        <w:t>Ⅰ.肝臟纖維化掃描transient elastography (Fibroscan)≧8Kpa或Acoustic Radiation Force Impulse elastography (ARFI)≧1.5。</w:t>
      </w:r>
    </w:p>
    <w:p w14:paraId="79303EB8" w14:textId="77777777" w:rsidR="00BD776B" w:rsidRDefault="00DF0C24">
      <w:pPr>
        <w:ind w:left="1620" w:hanging="346"/>
        <w:rPr>
          <w:rFonts w:ascii="標楷體" w:eastAsia="標楷體" w:hAnsi="標楷體"/>
        </w:rPr>
      </w:pPr>
      <w:r>
        <w:rPr>
          <w:rFonts w:ascii="標楷體" w:eastAsia="標楷體" w:hAnsi="標楷體"/>
        </w:rPr>
        <w:t>Ⅱ.Fibrosis-4 (FIB-4) ≧2.1，計算公式為[Age(years) × AST(U/L)] / [Platelet count(109/L) × √ALT(U/L)]。</w:t>
      </w:r>
    </w:p>
    <w:p w14:paraId="4AE31C1E" w14:textId="77777777" w:rsidR="00BD776B" w:rsidRDefault="00DF0C24">
      <w:pPr>
        <w:ind w:left="811" w:hanging="245"/>
        <w:rPr>
          <w:rFonts w:ascii="標楷體" w:eastAsia="標楷體" w:hAnsi="標楷體"/>
        </w:rPr>
      </w:pPr>
      <w:r>
        <w:rPr>
          <w:rFonts w:ascii="標楷體" w:eastAsia="標楷體" w:hAnsi="標楷體"/>
        </w:rPr>
        <w:t>5.若上述治療中出現lamivudine 100mg、entecavir、telbivudine抗藥性病毒株，可改換對於抗藥株有效之B型肝炎抗病毒藥劑治療，治療藥物及療程之規定詳如10.7.4.之 1至4項。（98/11/1、99/5/1、99/7/1、102/2/1、104/12/1）</w:t>
      </w:r>
    </w:p>
    <w:p w14:paraId="05BA8DBC" w14:textId="77777777" w:rsidR="00BD776B" w:rsidRDefault="00DF0C24">
      <w:pPr>
        <w:ind w:left="811" w:hanging="245"/>
        <w:rPr>
          <w:rFonts w:ascii="標楷體" w:eastAsia="標楷體" w:hAnsi="標楷體"/>
        </w:rPr>
      </w:pPr>
      <w:r>
        <w:rPr>
          <w:rFonts w:ascii="標楷體" w:eastAsia="標楷體" w:hAnsi="標楷體"/>
        </w:rPr>
        <w:t>6.符合第3至4項條件者，若使用entecavir，劑量為每日0.5mg。(104/12/1、</w:t>
      </w:r>
      <w:r>
        <w:rPr>
          <w:rFonts w:ascii="標楷體" w:eastAsia="標楷體" w:hAnsi="標楷體"/>
        </w:rPr>
        <w:lastRenderedPageBreak/>
        <w:t>110/3/1)</w:t>
      </w:r>
    </w:p>
    <w:p w14:paraId="60DC08D0" w14:textId="77777777" w:rsidR="00BD776B" w:rsidRDefault="00DF0C24">
      <w:pPr>
        <w:ind w:left="811" w:hanging="245"/>
      </w:pPr>
      <w:r>
        <w:rPr>
          <w:rFonts w:ascii="標楷體" w:eastAsia="標楷體" w:hAnsi="標楷體"/>
        </w:rPr>
        <w:t>7.醫事服務機構及醫師資格：(109/7/1</w:t>
      </w:r>
      <w:r>
        <w:rPr>
          <w:rFonts w:ascii="標楷體" w:eastAsia="標楷體" w:hAnsi="標楷體"/>
          <w:bCs/>
        </w:rPr>
        <w:t>、111/9/1</w:t>
      </w:r>
      <w:r>
        <w:rPr>
          <w:rFonts w:ascii="標楷體" w:eastAsia="標楷體" w:hAnsi="標楷體"/>
        </w:rPr>
        <w:t>)</w:t>
      </w:r>
    </w:p>
    <w:p w14:paraId="744AF125" w14:textId="77777777" w:rsidR="00BD776B" w:rsidRDefault="00DF0C24">
      <w:pPr>
        <w:ind w:left="1049" w:hanging="341"/>
        <w:rPr>
          <w:rFonts w:ascii="標楷體" w:eastAsia="標楷體" w:hAnsi="標楷體"/>
        </w:rPr>
      </w:pPr>
      <w:r>
        <w:rPr>
          <w:rFonts w:ascii="標楷體" w:eastAsia="標楷體" w:hAnsi="標楷體"/>
        </w:rPr>
        <w:t>(1)醫院：</w:t>
      </w:r>
    </w:p>
    <w:p w14:paraId="7A12139F" w14:textId="77777777" w:rsidR="00BD776B" w:rsidRDefault="00DF0C24">
      <w:pPr>
        <w:ind w:left="1440" w:hanging="360"/>
        <w:rPr>
          <w:rFonts w:ascii="標楷體" w:eastAsia="標楷體" w:hAnsi="標楷體"/>
        </w:rPr>
      </w:pPr>
      <w:r>
        <w:rPr>
          <w:rFonts w:ascii="標楷體" w:eastAsia="標楷體" w:hAnsi="標楷體"/>
        </w:rPr>
        <w:t>Ⅰ.有消化系內科或消化系兒科專科醫師之醫院。</w:t>
      </w:r>
    </w:p>
    <w:p w14:paraId="2287AC48" w14:textId="77777777" w:rsidR="00BD776B" w:rsidRDefault="00DF0C24">
      <w:pPr>
        <w:ind w:left="1440" w:hanging="360"/>
      </w:pPr>
      <w:r>
        <w:rPr>
          <w:rFonts w:ascii="標楷體" w:eastAsia="標楷體" w:hAnsi="標楷體"/>
        </w:rPr>
        <w:t>Ⅱ.醫師資格為前開醫院之消化系內科專科醫師、消化系兒科專科醫師、血液病專科醫師、腫瘤內科專科醫師、癌症相關科醫師</w:t>
      </w:r>
      <w:r>
        <w:rPr>
          <w:rFonts w:ascii="新細明體" w:hAnsi="新細明體"/>
        </w:rPr>
        <w:t>、</w:t>
      </w:r>
      <w:r>
        <w:rPr>
          <w:rFonts w:ascii="標楷體" w:eastAsia="標楷體" w:hAnsi="標楷體"/>
        </w:rPr>
        <w:t>符合器官移植手術資格及</w:t>
      </w:r>
      <w:bookmarkStart w:id="26" w:name="_Hlk119486112"/>
      <w:r>
        <w:rPr>
          <w:rFonts w:ascii="標楷體" w:eastAsia="標楷體" w:hAnsi="標楷體"/>
        </w:rPr>
        <w:t>風濕免疫科專科醫師</w:t>
      </w:r>
      <w:bookmarkEnd w:id="26"/>
      <w:r>
        <w:rPr>
          <w:rFonts w:ascii="標楷體" w:eastAsia="標楷體" w:hAnsi="標楷體"/>
        </w:rPr>
        <w:t>之專任或兼任專科醫師。</w:t>
      </w:r>
      <w:r>
        <w:rPr>
          <w:rFonts w:ascii="標楷體" w:eastAsia="標楷體" w:hAnsi="標楷體"/>
          <w:bCs/>
        </w:rPr>
        <w:t>(111/9/1)</w:t>
      </w:r>
    </w:p>
    <w:p w14:paraId="49E900D3" w14:textId="77777777" w:rsidR="00BD776B" w:rsidRDefault="00DF0C24">
      <w:pPr>
        <w:ind w:left="1440" w:hanging="360"/>
        <w:rPr>
          <w:rFonts w:ascii="標楷體" w:eastAsia="標楷體" w:hAnsi="標楷體"/>
        </w:rPr>
      </w:pPr>
      <w:r>
        <w:rPr>
          <w:rFonts w:ascii="標楷體" w:eastAsia="標楷體" w:hAnsi="標楷體"/>
        </w:rPr>
        <w:t>Ⅲ.前開非消化系專科醫師，需先照會消化系專科醫師，惟愛滋病毒感染患者併有B型或C肝炎感染者，得由其照護之感染症內科專科醫師開立處方。</w:t>
      </w:r>
    </w:p>
    <w:p w14:paraId="0AD1811D" w14:textId="77777777" w:rsidR="00BD776B" w:rsidRDefault="00DF0C24">
      <w:pPr>
        <w:ind w:left="1049" w:hanging="341"/>
        <w:rPr>
          <w:rFonts w:ascii="標楷體" w:eastAsia="標楷體" w:hAnsi="標楷體"/>
        </w:rPr>
      </w:pPr>
      <w:r>
        <w:rPr>
          <w:rFonts w:ascii="標楷體" w:eastAsia="標楷體" w:hAnsi="標楷體"/>
        </w:rPr>
        <w:t>(2)基層院所：</w:t>
      </w:r>
    </w:p>
    <w:p w14:paraId="2252DC93" w14:textId="77777777" w:rsidR="00BD776B" w:rsidRDefault="00DF0C24">
      <w:pPr>
        <w:ind w:left="1440" w:hanging="360"/>
        <w:rPr>
          <w:rFonts w:ascii="標楷體" w:eastAsia="標楷體" w:hAnsi="標楷體"/>
        </w:rPr>
      </w:pPr>
      <w:r>
        <w:rPr>
          <w:rFonts w:ascii="標楷體" w:eastAsia="標楷體" w:hAnsi="標楷體"/>
        </w:rPr>
        <w:t>Ⅰ.須具有消化系內科或消化系兒科專任專科醫師之基層院所。</w:t>
      </w:r>
    </w:p>
    <w:p w14:paraId="5FE4BF3A" w14:textId="77777777" w:rsidR="00BD776B" w:rsidRDefault="00DF0C24">
      <w:pPr>
        <w:ind w:left="1440" w:hanging="360"/>
        <w:rPr>
          <w:rFonts w:ascii="標楷體" w:eastAsia="標楷體" w:hAnsi="標楷體"/>
        </w:rPr>
      </w:pPr>
      <w:r>
        <w:rPr>
          <w:rFonts w:ascii="標楷體" w:eastAsia="標楷體" w:hAnsi="標楷體"/>
        </w:rPr>
        <w:t>Ⅱ.肝炎治療醫療資源不足地區及山地離島地區，具有消化系內科或消化系兒科兼任專科醫師之基層院所，亦得開立處方，惟離島地區(如金門縣、連江縣、澎湖縣、台東縣蘭嶼鄉、台東縣綠島鄉)內科醫師之基層院所，亦得開立處方。</w:t>
      </w:r>
    </w:p>
    <w:p w14:paraId="65890D61" w14:textId="77777777" w:rsidR="00BD776B" w:rsidRDefault="00DF0C24">
      <w:pPr>
        <w:ind w:left="811" w:hanging="245"/>
        <w:rPr>
          <w:rFonts w:ascii="標楷體" w:eastAsia="標楷體" w:hAnsi="標楷體"/>
        </w:rPr>
      </w:pPr>
      <w:r>
        <w:rPr>
          <w:rFonts w:ascii="標楷體" w:eastAsia="標楷體" w:hAnsi="標楷體"/>
        </w:rPr>
        <w:t>◎附表三十四：肝炎治療醫療資源不足地區及山地離島地區一覽表</w:t>
      </w:r>
    </w:p>
    <w:p w14:paraId="55D31F00" w14:textId="77777777" w:rsidR="00BD776B" w:rsidRDefault="00DF0C24">
      <w:pPr>
        <w:ind w:left="672" w:hanging="386"/>
      </w:pPr>
      <w:r>
        <w:rPr>
          <w:rFonts w:ascii="標楷體" w:eastAsia="標楷體" w:hAnsi="標楷體"/>
        </w:rPr>
        <w:t>10.7.4.Adefovir dipivoxil (如Hepsera Tablets 10mg) ；Entecavir (如Baraclude 1.0mg)；tenofovir disoproxil (如Viread)；tenofovir alafenamide (如Vemlidy)：(95/9/1、95/10/1、97/8/1、98/11/1、99/5/1、99/7/1、102/2/1、104/12/1、106/1/1、106/4/1、108/5/1、109/7/1</w:t>
      </w:r>
      <w:r>
        <w:rPr>
          <w:rFonts w:ascii="標楷體" w:eastAsia="標楷體" w:hAnsi="標楷體"/>
          <w:bCs/>
        </w:rPr>
        <w:t>、111/9/1</w:t>
      </w:r>
      <w:r>
        <w:rPr>
          <w:rFonts w:ascii="標楷體" w:eastAsia="標楷體" w:hAnsi="標楷體"/>
        </w:rPr>
        <w:t>）</w:t>
      </w:r>
    </w:p>
    <w:p w14:paraId="1F5917E5" w14:textId="77777777" w:rsidR="00BD776B" w:rsidRDefault="00DF0C24">
      <w:pPr>
        <w:ind w:left="798" w:hanging="1"/>
        <w:rPr>
          <w:rFonts w:ascii="標楷體" w:eastAsia="標楷體" w:hAnsi="標楷體"/>
        </w:rPr>
      </w:pPr>
      <w:r>
        <w:rPr>
          <w:rFonts w:ascii="標楷體" w:eastAsia="標楷體" w:hAnsi="標楷體"/>
        </w:rPr>
        <w:t>用於慢性病毒性B型肝炎患者之條件如下：</w:t>
      </w:r>
    </w:p>
    <w:p w14:paraId="37F67E50" w14:textId="77777777" w:rsidR="00BD776B" w:rsidRDefault="00DF0C24">
      <w:pPr>
        <w:ind w:left="811" w:hanging="245"/>
        <w:rPr>
          <w:rFonts w:ascii="標楷體" w:eastAsia="標楷體" w:hAnsi="標楷體"/>
        </w:rPr>
      </w:pPr>
      <w:r>
        <w:rPr>
          <w:rFonts w:ascii="標楷體" w:eastAsia="標楷體" w:hAnsi="標楷體"/>
        </w:rPr>
        <w:t>1.經使用lamivudine 100mg、entecavir 0.5mg或1.0mg、telbivudine治療或預防B型肝炎發作出現抗藥株(指於治療中一旦HBV DNA從治療期間之最低值上升超過一個對數值（1 log IU/mL），以下條件擇一給付：（98/11/1、99/5/1、102/2/1、104/12/1、106/4/1）</w:t>
      </w:r>
    </w:p>
    <w:p w14:paraId="06589FE7" w14:textId="77777777" w:rsidR="00BD776B" w:rsidRDefault="00DF0C24">
      <w:pPr>
        <w:ind w:left="1049" w:hanging="341"/>
        <w:rPr>
          <w:rFonts w:ascii="標楷體" w:eastAsia="標楷體" w:hAnsi="標楷體"/>
        </w:rPr>
      </w:pPr>
      <w:r>
        <w:rPr>
          <w:rFonts w:ascii="標楷體" w:eastAsia="標楷體" w:hAnsi="標楷體"/>
        </w:rPr>
        <w:t>(1)得以原治療藥物再加上adefovir進行合併救援治療（rescue therapy）；(95/9/1、95/10/1、97/8/1、98/11/1、99/5/1、99/7/1、106/4/1)</w:t>
      </w:r>
    </w:p>
    <w:p w14:paraId="10FB166C" w14:textId="77777777" w:rsidR="00BD776B" w:rsidRDefault="00DF0C24">
      <w:pPr>
        <w:ind w:left="1049" w:hanging="341"/>
        <w:rPr>
          <w:rFonts w:ascii="標楷體" w:eastAsia="標楷體" w:hAnsi="標楷體"/>
        </w:rPr>
      </w:pPr>
      <w:r>
        <w:rPr>
          <w:rFonts w:ascii="標楷體" w:eastAsia="標楷體" w:hAnsi="標楷體"/>
        </w:rPr>
        <w:t>(2)改用entecavir 1.0mg(僅限於lamivudine產生抗藥性之病人)單一藥物治療；（98/11/1、99/5/1、99/7/1、106/4/1）</w:t>
      </w:r>
    </w:p>
    <w:p w14:paraId="0B97D4E0" w14:textId="77777777" w:rsidR="00BD776B" w:rsidRDefault="00DF0C24">
      <w:pPr>
        <w:ind w:left="1049" w:hanging="341"/>
        <w:rPr>
          <w:rFonts w:ascii="標楷體" w:eastAsia="標楷體" w:hAnsi="標楷體"/>
        </w:rPr>
      </w:pPr>
      <w:r>
        <w:rPr>
          <w:rFonts w:ascii="標楷體" w:eastAsia="標楷體" w:hAnsi="標楷體"/>
        </w:rPr>
        <w:t>(3)以Interferon alpha-2a（如Roferon-A）或interferon alpha-2b（如Intron A）或 peginterferon alfa-2a（如Pegasys）治療1年。（98/11/1、99/5/1、99/7/1）</w:t>
      </w:r>
    </w:p>
    <w:p w14:paraId="5ACE4C39" w14:textId="77777777" w:rsidR="00BD776B" w:rsidRDefault="00DF0C24">
      <w:pPr>
        <w:ind w:left="1049" w:hanging="341"/>
        <w:rPr>
          <w:rFonts w:ascii="標楷體" w:eastAsia="標楷體" w:hAnsi="標楷體"/>
        </w:rPr>
      </w:pPr>
      <w:r>
        <w:rPr>
          <w:rFonts w:ascii="標楷體" w:eastAsia="標楷體" w:hAnsi="標楷體"/>
        </w:rPr>
        <w:t>(4)改用tenofovir disoproxil或tenofovir alafenamide單一藥物治療。(104/12/1、106/4/1、108/5/1)</w:t>
      </w:r>
    </w:p>
    <w:p w14:paraId="374EFF0C" w14:textId="77777777" w:rsidR="00BD776B" w:rsidRDefault="00DF0C24">
      <w:pPr>
        <w:ind w:left="1049" w:hanging="341"/>
        <w:rPr>
          <w:rFonts w:ascii="標楷體" w:eastAsia="標楷體" w:hAnsi="標楷體"/>
        </w:rPr>
      </w:pPr>
      <w:r>
        <w:rPr>
          <w:rFonts w:ascii="標楷體" w:eastAsia="標楷體" w:hAnsi="標楷體"/>
        </w:rPr>
        <w:t>(5)原已接受其他口服抗病毒藥物救援治療，治療期間出現抗藥株，或治療未達預期之病毒學反應，得改以tenofovir disoproxil或tenofovir alafenamide單一藥物救援治療。(104/12/1、106/4/1、108/5/1)</w:t>
      </w:r>
    </w:p>
    <w:p w14:paraId="6C9B4F1E" w14:textId="77777777" w:rsidR="00BD776B" w:rsidRDefault="00DF0C24">
      <w:pPr>
        <w:ind w:left="811" w:hanging="245"/>
        <w:rPr>
          <w:rFonts w:ascii="標楷體" w:eastAsia="標楷體" w:hAnsi="標楷體"/>
        </w:rPr>
      </w:pPr>
      <w:r>
        <w:rPr>
          <w:rFonts w:ascii="標楷體" w:eastAsia="標楷體" w:hAnsi="標楷體"/>
        </w:rPr>
        <w:t>2.若停藥後復發，得以合併療法，或tenofovir disoproxil或tenofovir alafenamide單一藥物再治療，或以干擾素再治療1年。(99/7/1、104/12/1、106/1/1、106/4/1、108/5/1)</w:t>
      </w:r>
    </w:p>
    <w:p w14:paraId="1D3710FC" w14:textId="77777777" w:rsidR="00BD776B" w:rsidRDefault="00DF0C24">
      <w:pPr>
        <w:ind w:left="811" w:hanging="245"/>
        <w:rPr>
          <w:rFonts w:ascii="標楷體" w:eastAsia="標楷體" w:hAnsi="標楷體"/>
        </w:rPr>
      </w:pPr>
      <w:r>
        <w:rPr>
          <w:rFonts w:ascii="標楷體" w:eastAsia="標楷體" w:hAnsi="標楷體"/>
        </w:rPr>
        <w:t>3.慢性B型肝炎表面抗原（HBsAg）帶原者：</w:t>
      </w:r>
    </w:p>
    <w:p w14:paraId="64935A5A" w14:textId="77777777" w:rsidR="00BD776B" w:rsidRDefault="00DF0C24">
      <w:pPr>
        <w:ind w:left="1049" w:hanging="341"/>
        <w:rPr>
          <w:rFonts w:ascii="標楷體" w:eastAsia="標楷體" w:hAnsi="標楷體"/>
        </w:rPr>
      </w:pPr>
      <w:r>
        <w:rPr>
          <w:rFonts w:ascii="標楷體" w:eastAsia="標楷體" w:hAnsi="標楷體"/>
        </w:rPr>
        <w:t>(1)肝硬化之病患。(99/7/1)</w:t>
      </w:r>
    </w:p>
    <w:p w14:paraId="03FE217D" w14:textId="77777777" w:rsidR="00BD776B" w:rsidRDefault="00DF0C24">
      <w:pPr>
        <w:ind w:left="1049" w:hanging="341"/>
        <w:rPr>
          <w:rFonts w:ascii="標楷體" w:eastAsia="標楷體" w:hAnsi="標楷體"/>
        </w:rPr>
      </w:pPr>
      <w:r>
        <w:rPr>
          <w:rFonts w:ascii="標楷體" w:eastAsia="標楷體" w:hAnsi="標楷體"/>
        </w:rPr>
        <w:lastRenderedPageBreak/>
        <w:t>(2)接受非肝臟之器官移植後發作或接受肝臟移植，須持續接受免疫抑制劑時。（95/10/1、97/8/1、99/5/1）上述病患長期使用lamivudine 100mg、entecavir 0.5mg、telbivudine，以治療或預防B型肝炎發作，若出現抗藥性病毒株者，治療藥物及療程之規定詳如10.7.4.之1項。（95/10/1、97/8/1、99/5/1、 99/7/1、102/2/1）</w:t>
      </w:r>
    </w:p>
    <w:p w14:paraId="47577660" w14:textId="77777777" w:rsidR="00BD776B" w:rsidRDefault="00DF0C24">
      <w:pPr>
        <w:ind w:left="847" w:hanging="283"/>
        <w:rPr>
          <w:rFonts w:ascii="標楷體" w:eastAsia="標楷體" w:hAnsi="標楷體"/>
        </w:rPr>
      </w:pPr>
      <w:r>
        <w:rPr>
          <w:rFonts w:ascii="標楷體" w:eastAsia="標楷體" w:hAnsi="標楷體"/>
        </w:rPr>
        <w:t>4.臨床上若產生多重抗藥病毒株時可給予tenofovir disoproxil或tenofovir alafenamide單一藥物治療，或合併entecavir 1.0mg及tenofovir disoproxil治療，或合併entecavir 1.0mg及tenofovir alafenamide治療。(104/12/1、106/4/1、108/5/1)</w:t>
      </w:r>
    </w:p>
    <w:p w14:paraId="01652309" w14:textId="77777777" w:rsidR="00BD776B" w:rsidRDefault="00DF0C24">
      <w:pPr>
        <w:ind w:left="989" w:hanging="425"/>
        <w:rPr>
          <w:rFonts w:ascii="標楷體" w:eastAsia="標楷體" w:hAnsi="標楷體"/>
        </w:rPr>
      </w:pPr>
      <w:r>
        <w:rPr>
          <w:rFonts w:ascii="標楷體" w:eastAsia="標楷體" w:hAnsi="標楷體"/>
        </w:rPr>
        <w:t>註：多重抗藥病毒株指病毒對lamivudine、telbivudine、entecavir或adefovir產生二種(含)藥物以上之抗藥性。(104/12/1)</w:t>
      </w:r>
    </w:p>
    <w:p w14:paraId="1FFDC1CD" w14:textId="77777777" w:rsidR="00BD776B" w:rsidRDefault="00DF0C24">
      <w:pPr>
        <w:ind w:left="796" w:hanging="230"/>
        <w:rPr>
          <w:rFonts w:ascii="標楷體" w:eastAsia="標楷體" w:hAnsi="標楷體"/>
        </w:rPr>
      </w:pPr>
      <w:r>
        <w:rPr>
          <w:rFonts w:ascii="標楷體" w:eastAsia="標楷體" w:hAnsi="標楷體"/>
        </w:rPr>
        <w:t>5.前述以口服抗病毒藥物治療之給付療程依HBeAg(+)或HBeAg(-)而定：HBeAg(+)病患治療至e抗原轉陰並再給付最多12個月；HBeAg(-)病患治療至少二年，治療期間需檢驗血清HBV DNA，並於檢驗血清HBV DNA連續三次，每次間隔6個月，均檢驗不出HBV DNA時停藥，每次療程至多給付36個月。再次復發時得再接受治療，不限治療次數。(106/4/1)</w:t>
      </w:r>
    </w:p>
    <w:p w14:paraId="65008B6C" w14:textId="77777777" w:rsidR="00BD776B" w:rsidRDefault="00DF0C24">
      <w:pPr>
        <w:ind w:left="796" w:hanging="230"/>
        <w:rPr>
          <w:rFonts w:ascii="標楷體" w:eastAsia="標楷體" w:hAnsi="標楷體"/>
        </w:rPr>
      </w:pPr>
      <w:bookmarkStart w:id="27" w:name="_Hlk120894158"/>
      <w:r>
        <w:rPr>
          <w:rFonts w:ascii="標楷體" w:eastAsia="標楷體" w:hAnsi="標楷體"/>
        </w:rPr>
        <w:t>6.醫事服務機構及醫師資格：(109/7/1、111/9/1)</w:t>
      </w:r>
    </w:p>
    <w:p w14:paraId="60F18B2E" w14:textId="77777777" w:rsidR="00BD776B" w:rsidRDefault="00DF0C24">
      <w:pPr>
        <w:ind w:left="1049" w:hanging="341"/>
        <w:rPr>
          <w:rFonts w:ascii="標楷體" w:eastAsia="標楷體" w:hAnsi="標楷體"/>
        </w:rPr>
      </w:pPr>
      <w:r>
        <w:rPr>
          <w:rFonts w:ascii="標楷體" w:eastAsia="標楷體" w:hAnsi="標楷體"/>
        </w:rPr>
        <w:t>(1)醫院：</w:t>
      </w:r>
    </w:p>
    <w:p w14:paraId="2D755D3F" w14:textId="77777777" w:rsidR="00BD776B" w:rsidRDefault="00DF0C24">
      <w:pPr>
        <w:ind w:left="1440" w:hanging="360"/>
        <w:rPr>
          <w:rFonts w:ascii="標楷體" w:eastAsia="標楷體" w:hAnsi="標楷體"/>
        </w:rPr>
      </w:pPr>
      <w:r>
        <w:rPr>
          <w:rFonts w:ascii="標楷體" w:eastAsia="標楷體" w:hAnsi="標楷體"/>
        </w:rPr>
        <w:t>Ⅰ.有消化系內科或消化系兒科專科醫師之醫院。</w:t>
      </w:r>
    </w:p>
    <w:p w14:paraId="0A870531" w14:textId="77777777" w:rsidR="00BD776B" w:rsidRDefault="00DF0C24">
      <w:pPr>
        <w:ind w:left="1440" w:hanging="360"/>
      </w:pPr>
      <w:r>
        <w:rPr>
          <w:rFonts w:ascii="標楷體" w:eastAsia="標楷體" w:hAnsi="標楷體"/>
        </w:rPr>
        <w:t>Ⅱ.醫師資格為前開醫院之消化系內科專科醫師、消化系兒科專科醫師、血液病專科醫師、腫瘤內科專科醫師、癌症相關科醫師</w:t>
      </w:r>
      <w:r>
        <w:rPr>
          <w:rFonts w:ascii="新細明體" w:hAnsi="新細明體"/>
        </w:rPr>
        <w:t>、</w:t>
      </w:r>
      <w:r>
        <w:rPr>
          <w:rFonts w:ascii="標楷體" w:eastAsia="標楷體" w:hAnsi="標楷體"/>
        </w:rPr>
        <w:t>符合器官移植手術資格及風濕免疫科專科醫師之專任或兼任專科醫師。(</w:t>
      </w:r>
      <w:r>
        <w:rPr>
          <w:rFonts w:ascii="標楷體" w:eastAsia="標楷體" w:hAnsi="標楷體"/>
          <w:bCs/>
        </w:rPr>
        <w:t>111/9/1)</w:t>
      </w:r>
    </w:p>
    <w:p w14:paraId="78DEF154" w14:textId="77777777" w:rsidR="00BD776B" w:rsidRDefault="00DF0C24">
      <w:pPr>
        <w:ind w:left="1440" w:hanging="360"/>
        <w:rPr>
          <w:rFonts w:ascii="標楷體" w:eastAsia="標楷體" w:hAnsi="標楷體"/>
        </w:rPr>
      </w:pPr>
      <w:r>
        <w:rPr>
          <w:rFonts w:ascii="標楷體" w:eastAsia="標楷體" w:hAnsi="標楷體"/>
        </w:rPr>
        <w:t>Ⅲ.前開非消化系專科醫師，需先照會消化系專科醫師，惟愛滋病毒感染患者併有B型或C肝炎感染者，得由其照護之感染症內科專科醫師開立處方。</w:t>
      </w:r>
    </w:p>
    <w:p w14:paraId="1BDD1D20" w14:textId="77777777" w:rsidR="00BD776B" w:rsidRDefault="00DF0C24">
      <w:pPr>
        <w:ind w:left="1049" w:hanging="341"/>
        <w:rPr>
          <w:rFonts w:ascii="標楷體" w:eastAsia="標楷體" w:hAnsi="標楷體"/>
        </w:rPr>
      </w:pPr>
      <w:r>
        <w:rPr>
          <w:rFonts w:ascii="標楷體" w:eastAsia="標楷體" w:hAnsi="標楷體"/>
        </w:rPr>
        <w:t>(2)基層院所：</w:t>
      </w:r>
    </w:p>
    <w:p w14:paraId="0CB326FA" w14:textId="77777777" w:rsidR="00BD776B" w:rsidRDefault="00DF0C24">
      <w:pPr>
        <w:ind w:left="1440" w:hanging="360"/>
        <w:rPr>
          <w:rFonts w:ascii="標楷體" w:eastAsia="標楷體" w:hAnsi="標楷體"/>
        </w:rPr>
      </w:pPr>
      <w:r>
        <w:rPr>
          <w:rFonts w:ascii="標楷體" w:eastAsia="標楷體" w:hAnsi="標楷體"/>
        </w:rPr>
        <w:t>Ⅰ.須具有消化系內科或消化系兒科專任專科醫師之基層院所。</w:t>
      </w:r>
    </w:p>
    <w:p w14:paraId="4FEAE9D6" w14:textId="77777777" w:rsidR="00BD776B" w:rsidRDefault="00DF0C24">
      <w:pPr>
        <w:ind w:left="1440" w:hanging="360"/>
        <w:rPr>
          <w:rFonts w:ascii="標楷體" w:eastAsia="標楷體" w:hAnsi="標楷體"/>
        </w:rPr>
      </w:pPr>
      <w:r>
        <w:rPr>
          <w:rFonts w:ascii="標楷體" w:eastAsia="標楷體" w:hAnsi="標楷體"/>
        </w:rPr>
        <w:t>Ⅱ.肝炎治療醫療資源不足地區及山地離島地區，具有消化系內科或消化系兒科兼任專科醫師之基層院所，亦得開立處方，惟離島地區(如金門縣、連江縣、澎湖縣、台東縣蘭嶼鄉、台東縣綠島鄉)內科醫師之基層院所，亦得開立處方。</w:t>
      </w:r>
      <w:bookmarkEnd w:id="27"/>
    </w:p>
    <w:p w14:paraId="0219863F" w14:textId="77777777" w:rsidR="00BD776B" w:rsidRDefault="00DF0C24">
      <w:pPr>
        <w:ind w:left="796" w:hanging="230"/>
        <w:rPr>
          <w:rFonts w:ascii="標楷體" w:eastAsia="標楷體" w:hAnsi="標楷體"/>
        </w:rPr>
      </w:pPr>
      <w:r>
        <w:rPr>
          <w:rFonts w:ascii="標楷體" w:eastAsia="標楷體" w:hAnsi="標楷體"/>
        </w:rPr>
        <w:t>◎附表三十四：肝炎治療醫療資源不足地區及山地離島地區一覽表</w:t>
      </w:r>
    </w:p>
    <w:p w14:paraId="283FC7A6" w14:textId="77777777" w:rsidR="00BD776B" w:rsidRDefault="00DF0C24">
      <w:pPr>
        <w:ind w:left="708" w:hanging="425"/>
      </w:pPr>
      <w:r>
        <w:rPr>
          <w:rFonts w:ascii="標楷體" w:eastAsia="標楷體" w:hAnsi="標楷體"/>
        </w:rPr>
        <w:t>10.7.5.</w:t>
      </w:r>
      <w:r>
        <w:t xml:space="preserve"> </w:t>
      </w:r>
      <w:r>
        <w:rPr>
          <w:rFonts w:ascii="標楷體" w:eastAsia="標楷體" w:hAnsi="標楷體"/>
        </w:rPr>
        <w:t>Daclatasvir（如Daklinza）及asunaprevir（如Sunvepra）(106/1/24、106/5/15、107/6/1、108/1/1、108/6/1、109/1/1）：(刪除)</w:t>
      </w:r>
    </w:p>
    <w:p w14:paraId="31DAFDF4" w14:textId="77777777" w:rsidR="00BD776B" w:rsidRDefault="00DF0C24">
      <w:pPr>
        <w:ind w:left="708" w:hanging="425"/>
      </w:pPr>
      <w:r>
        <w:rPr>
          <w:rFonts w:ascii="標楷體" w:eastAsia="標楷體" w:hAnsi="標楷體"/>
        </w:rPr>
        <w:t>10.7.6.</w:t>
      </w:r>
      <w:r>
        <w:t xml:space="preserve"> </w:t>
      </w:r>
      <w:r>
        <w:rPr>
          <w:rFonts w:ascii="標楷體" w:eastAsia="標楷體" w:hAnsi="標楷體"/>
        </w:rPr>
        <w:t>Ombitasvir/paritaprevir/ ritonavir（如Viekirax）及dasabuvir (如Exviera) (106/1/24、106/5/15、107/6/1、108/1/1、108/6/1、109/1/1、109/7/1、110/6/1）：（刪除）</w:t>
      </w:r>
    </w:p>
    <w:p w14:paraId="394D5188" w14:textId="77777777" w:rsidR="00BD776B" w:rsidRDefault="00DF0C24">
      <w:pPr>
        <w:ind w:left="672" w:hanging="386"/>
        <w:rPr>
          <w:rFonts w:ascii="標楷體" w:eastAsia="標楷體" w:hAnsi="標楷體"/>
        </w:rPr>
      </w:pPr>
      <w:r>
        <w:rPr>
          <w:rFonts w:ascii="標楷體" w:eastAsia="標楷體" w:hAnsi="標楷體"/>
        </w:rPr>
        <w:t>10.7.7.Elbasvir/grazoprevir（如Zepatier）(106/8/1、107/6/1、108/1/1、108/6/1、109/1/1、109/7/1、110/6/1）：</w:t>
      </w:r>
    </w:p>
    <w:p w14:paraId="663DAAB7" w14:textId="77777777" w:rsidR="00BD776B" w:rsidRDefault="00DF0C24">
      <w:pPr>
        <w:ind w:left="845" w:hanging="245"/>
        <w:rPr>
          <w:rFonts w:ascii="標楷體" w:eastAsia="標楷體" w:hAnsi="標楷體"/>
        </w:rPr>
      </w:pPr>
      <w:r>
        <w:rPr>
          <w:rFonts w:ascii="標楷體" w:eastAsia="標楷體" w:hAnsi="標楷體"/>
        </w:rPr>
        <w:t>1.限用於成人慢性病毒性C型肝炎患者，並依據「C型肝炎全口服新藥健保給付執行計畫」辦理。(109/1/1、109/7/1）</w:t>
      </w:r>
    </w:p>
    <w:p w14:paraId="66CB264A" w14:textId="77777777" w:rsidR="00BD776B" w:rsidRDefault="00DF0C24">
      <w:pPr>
        <w:ind w:left="845" w:hanging="245"/>
        <w:rPr>
          <w:rFonts w:ascii="標楷體" w:eastAsia="標楷體" w:hAnsi="標楷體"/>
        </w:rPr>
      </w:pPr>
      <w:r>
        <w:rPr>
          <w:rFonts w:ascii="標楷體" w:eastAsia="標楷體" w:hAnsi="標楷體"/>
        </w:rPr>
        <w:t>2.限使用於HCV RNA為陽性及無肝功能代償不全之病毒基因型第1型或第4型成人病患。(107/6/1、108/1/1、108/6/1)</w:t>
      </w:r>
    </w:p>
    <w:p w14:paraId="1A88CFBC" w14:textId="77777777" w:rsidR="00BD776B" w:rsidRDefault="00DF0C24">
      <w:pPr>
        <w:ind w:left="986" w:hanging="386"/>
        <w:rPr>
          <w:rFonts w:ascii="標楷體" w:eastAsia="標楷體" w:hAnsi="標楷體"/>
        </w:rPr>
      </w:pPr>
      <w:r>
        <w:rPr>
          <w:rFonts w:ascii="標楷體" w:eastAsia="標楷體" w:hAnsi="標楷體"/>
        </w:rPr>
        <w:t>3.給付療程如下，醫師每次開藥以4週為限。(108/1/1）</w:t>
      </w:r>
    </w:p>
    <w:p w14:paraId="0D961386" w14:textId="77777777" w:rsidR="00BD776B" w:rsidRDefault="00DF0C24">
      <w:pPr>
        <w:ind w:left="1132" w:hanging="386"/>
        <w:rPr>
          <w:rFonts w:ascii="標楷體" w:eastAsia="標楷體" w:hAnsi="標楷體"/>
        </w:rPr>
      </w:pPr>
      <w:r>
        <w:rPr>
          <w:rFonts w:ascii="標楷體" w:eastAsia="標楷體" w:hAnsi="標楷體"/>
        </w:rPr>
        <w:lastRenderedPageBreak/>
        <w:t>(1)基因型第1a型且治療前未帶有NS5A抗藥性相關多形性病毒株：</w:t>
      </w:r>
    </w:p>
    <w:p w14:paraId="5177C64F" w14:textId="77777777" w:rsidR="00BD776B" w:rsidRDefault="00DF0C24">
      <w:pPr>
        <w:ind w:left="1418" w:hanging="386"/>
        <w:rPr>
          <w:rFonts w:ascii="標楷體" w:eastAsia="標楷體" w:hAnsi="標楷體"/>
        </w:rPr>
      </w:pPr>
      <w:r>
        <w:rPr>
          <w:rFonts w:ascii="標楷體" w:eastAsia="標楷體" w:hAnsi="標楷體"/>
        </w:rPr>
        <w:t>Ⅰ.給付12週。</w:t>
      </w:r>
    </w:p>
    <w:p w14:paraId="7AFF9B3D" w14:textId="77777777" w:rsidR="00BD776B" w:rsidRDefault="00DF0C24">
      <w:pPr>
        <w:ind w:left="1418" w:hanging="386"/>
        <w:rPr>
          <w:rFonts w:ascii="標楷體" w:eastAsia="標楷體" w:hAnsi="標楷體"/>
        </w:rPr>
      </w:pPr>
      <w:r>
        <w:rPr>
          <w:rFonts w:ascii="標楷體" w:eastAsia="標楷體" w:hAnsi="標楷體"/>
        </w:rPr>
        <w:t>Ⅱ.若為先前使用interferon/ ribavirin/蛋白酶抑制劑(protease inhibitor)合併治療失敗者，需合併ribavirin治療，給付12週。</w:t>
      </w:r>
    </w:p>
    <w:p w14:paraId="3AF36B7F" w14:textId="77777777" w:rsidR="00BD776B" w:rsidRDefault="00DF0C24">
      <w:pPr>
        <w:ind w:left="1132" w:hanging="386"/>
        <w:rPr>
          <w:rFonts w:ascii="標楷體" w:eastAsia="標楷體" w:hAnsi="標楷體"/>
        </w:rPr>
      </w:pPr>
      <w:r>
        <w:rPr>
          <w:rFonts w:ascii="標楷體" w:eastAsia="標楷體" w:hAnsi="標楷體"/>
        </w:rPr>
        <w:t>(2)基因型第1a型且治療前帶有NS5A抗藥性相關多形性病毒株，需合併ribavirin治療，給付16週。</w:t>
      </w:r>
    </w:p>
    <w:p w14:paraId="276FB630" w14:textId="77777777" w:rsidR="00BD776B" w:rsidRDefault="00DF0C24">
      <w:pPr>
        <w:ind w:left="1132" w:hanging="386"/>
        <w:rPr>
          <w:rFonts w:ascii="標楷體" w:eastAsia="標楷體" w:hAnsi="標楷體"/>
        </w:rPr>
      </w:pPr>
      <w:r>
        <w:rPr>
          <w:rFonts w:ascii="標楷體" w:eastAsia="標楷體" w:hAnsi="標楷體"/>
        </w:rPr>
        <w:t>(3)基因型第1b型：</w:t>
      </w:r>
    </w:p>
    <w:p w14:paraId="03AD1B1E" w14:textId="77777777" w:rsidR="00BD776B" w:rsidRDefault="00DF0C24">
      <w:pPr>
        <w:ind w:left="1418" w:hanging="386"/>
        <w:rPr>
          <w:rFonts w:ascii="標楷體" w:eastAsia="標楷體" w:hAnsi="標楷體"/>
        </w:rPr>
      </w:pPr>
      <w:r>
        <w:rPr>
          <w:rFonts w:ascii="標楷體" w:eastAsia="標楷體" w:hAnsi="標楷體"/>
        </w:rPr>
        <w:t>Ⅰ.給付12週。</w:t>
      </w:r>
    </w:p>
    <w:p w14:paraId="22F612E9" w14:textId="77777777" w:rsidR="00BD776B" w:rsidRDefault="00DF0C24">
      <w:pPr>
        <w:ind w:left="1418" w:hanging="386"/>
        <w:rPr>
          <w:rFonts w:ascii="標楷體" w:eastAsia="標楷體" w:hAnsi="標楷體"/>
        </w:rPr>
      </w:pPr>
      <w:r>
        <w:rPr>
          <w:rFonts w:ascii="標楷體" w:eastAsia="標楷體" w:hAnsi="標楷體"/>
        </w:rPr>
        <w:t>Ⅱ.若為先前使用interferon/ ribavirin/蛋白酶抑制劑合併治療失敗者，需合併ribavirin治療，給付12週。</w:t>
      </w:r>
    </w:p>
    <w:p w14:paraId="55403349" w14:textId="77777777" w:rsidR="00BD776B" w:rsidRDefault="00DF0C24">
      <w:pPr>
        <w:ind w:left="1132" w:hanging="386"/>
        <w:rPr>
          <w:rFonts w:ascii="標楷體" w:eastAsia="標楷體" w:hAnsi="標楷體"/>
        </w:rPr>
      </w:pPr>
      <w:r>
        <w:rPr>
          <w:rFonts w:ascii="標楷體" w:eastAsia="標楷體" w:hAnsi="標楷體"/>
        </w:rPr>
        <w:t>(4)基因型第4型：</w:t>
      </w:r>
    </w:p>
    <w:p w14:paraId="1AFC4BAB" w14:textId="77777777" w:rsidR="00BD776B" w:rsidRDefault="00DF0C24">
      <w:pPr>
        <w:ind w:left="1418" w:hanging="386"/>
        <w:rPr>
          <w:rFonts w:ascii="標楷體" w:eastAsia="標楷體" w:hAnsi="標楷體"/>
        </w:rPr>
      </w:pPr>
      <w:r>
        <w:rPr>
          <w:rFonts w:ascii="標楷體" w:eastAsia="標楷體" w:hAnsi="標楷體"/>
        </w:rPr>
        <w:t>Ⅰ.給付12週。</w:t>
      </w:r>
    </w:p>
    <w:p w14:paraId="5BEF91EC" w14:textId="77777777" w:rsidR="00BD776B" w:rsidRDefault="00DF0C24">
      <w:pPr>
        <w:ind w:left="1418" w:hanging="386"/>
        <w:rPr>
          <w:rFonts w:ascii="標楷體" w:eastAsia="標楷體" w:hAnsi="標楷體"/>
        </w:rPr>
      </w:pPr>
      <w:r>
        <w:rPr>
          <w:rFonts w:ascii="標楷體" w:eastAsia="標楷體" w:hAnsi="標楷體"/>
        </w:rPr>
        <w:t>Ⅱ.若為先前使用interferon/ ribavirin合併治療中發生病毒學失敗者，需合併ribavirin治療，給付16週。</w:t>
      </w:r>
    </w:p>
    <w:p w14:paraId="10BDEA6C" w14:textId="77777777" w:rsidR="00BD776B" w:rsidRDefault="00DF0C24">
      <w:pPr>
        <w:ind w:left="991" w:hanging="386"/>
        <w:rPr>
          <w:rFonts w:ascii="標楷體" w:eastAsia="標楷體" w:hAnsi="標楷體"/>
        </w:rPr>
      </w:pPr>
      <w:r>
        <w:rPr>
          <w:rFonts w:ascii="標楷體" w:eastAsia="標楷體" w:hAnsi="標楷體"/>
        </w:rPr>
        <w:t>4.限未曾申請給付其他同類全口服直接抗病毒藥物(direct-acting anti-viral, DAAs)，且不得併用其他DAAs，惟若曾接受本項藥品或其他DAAs第一次治療並符合下列情形之一者，可再治療一次（一個療程）：(110/6/1）</w:t>
      </w:r>
    </w:p>
    <w:p w14:paraId="60D6E2FC" w14:textId="77777777" w:rsidR="00BD776B" w:rsidRDefault="00DF0C24">
      <w:pPr>
        <w:ind w:left="1132" w:hanging="386"/>
        <w:rPr>
          <w:rFonts w:ascii="標楷體" w:eastAsia="標楷體" w:hAnsi="標楷體"/>
        </w:rPr>
      </w:pPr>
      <w:r>
        <w:rPr>
          <w:rFonts w:ascii="標楷體" w:eastAsia="標楷體" w:hAnsi="標楷體"/>
        </w:rPr>
        <w:t>(1)接受第一次治療時中斷療程，且中斷原因屬專業醫療評估必須停藥者。</w:t>
      </w:r>
    </w:p>
    <w:p w14:paraId="2ECECEC4" w14:textId="77777777" w:rsidR="00BD776B" w:rsidRDefault="00DF0C24">
      <w:pPr>
        <w:ind w:left="976" w:hanging="230"/>
        <w:rPr>
          <w:rFonts w:ascii="標楷體" w:eastAsia="標楷體" w:hAnsi="標楷體"/>
        </w:rPr>
      </w:pPr>
      <w:r>
        <w:rPr>
          <w:rFonts w:ascii="標楷體" w:eastAsia="標楷體" w:hAnsi="標楷體"/>
        </w:rPr>
        <w:t>(2)接受第一次治療結束後第12週，血中偵測不到病毒，目前血中又再次偵測到病毒者。</w:t>
      </w:r>
    </w:p>
    <w:p w14:paraId="4EDEFA49" w14:textId="77777777" w:rsidR="00BD776B" w:rsidRDefault="00DF0C24">
      <w:pPr>
        <w:ind w:left="574" w:hanging="245"/>
        <w:rPr>
          <w:rFonts w:ascii="標楷體" w:eastAsia="標楷體" w:hAnsi="標楷體"/>
        </w:rPr>
      </w:pPr>
      <w:r>
        <w:rPr>
          <w:rFonts w:ascii="標楷體" w:eastAsia="標楷體" w:hAnsi="標楷體"/>
        </w:rPr>
        <w:t>10.7.8.Sofosbuvir/ledipasvir（如Harvoni）(107/1/1、107/6/1、107/10/1、108/1/1、108/6/1、109/1/1、109/7/1、110/6/1、111/2/1）：</w:t>
      </w:r>
    </w:p>
    <w:p w14:paraId="5B34AE7D" w14:textId="77777777" w:rsidR="00BD776B" w:rsidRDefault="00DF0C24">
      <w:pPr>
        <w:ind w:left="809" w:hanging="245"/>
        <w:rPr>
          <w:rFonts w:ascii="標楷體" w:eastAsia="標楷體" w:hAnsi="標楷體"/>
        </w:rPr>
      </w:pPr>
      <w:r>
        <w:rPr>
          <w:rFonts w:ascii="標楷體" w:eastAsia="標楷體" w:hAnsi="標楷體"/>
        </w:rPr>
        <w:t>1.限用於慢性病毒性C型肝炎患者，並依據「C型肝炎全口服新藥健保給付執行計畫」辦理。(109/1/1、109/7/1）</w:t>
      </w:r>
    </w:p>
    <w:p w14:paraId="0F16E7CD" w14:textId="77777777" w:rsidR="00BD776B" w:rsidRDefault="00DF0C24">
      <w:pPr>
        <w:ind w:left="809" w:hanging="245"/>
        <w:rPr>
          <w:rFonts w:ascii="標楷體" w:eastAsia="標楷體" w:hAnsi="標楷體"/>
        </w:rPr>
      </w:pPr>
      <w:r>
        <w:rPr>
          <w:rFonts w:ascii="標楷體" w:eastAsia="標楷體" w:hAnsi="標楷體"/>
        </w:rPr>
        <w:t>2.限使用於HCV RNA為陽性之下列病患：(107/6/1、107/10/1、108/1/1、108/6/1)</w:t>
      </w:r>
    </w:p>
    <w:p w14:paraId="7CC756A5" w14:textId="77777777" w:rsidR="00BD776B" w:rsidRDefault="00DF0C24">
      <w:pPr>
        <w:ind w:left="991" w:hanging="245"/>
        <w:rPr>
          <w:rFonts w:ascii="標楷體" w:eastAsia="標楷體" w:hAnsi="標楷體"/>
        </w:rPr>
      </w:pPr>
      <w:r>
        <w:rPr>
          <w:rFonts w:ascii="標楷體" w:eastAsia="標楷體" w:hAnsi="標楷體"/>
        </w:rPr>
        <w:t>(1)病毒基因型第1型、第2型、第4型、第5型或第6型成人病患。</w:t>
      </w:r>
    </w:p>
    <w:p w14:paraId="0653FA78" w14:textId="77777777" w:rsidR="00BD776B" w:rsidRDefault="00DF0C24">
      <w:pPr>
        <w:ind w:left="991" w:hanging="245"/>
        <w:rPr>
          <w:rFonts w:ascii="標楷體" w:eastAsia="標楷體" w:hAnsi="標楷體"/>
        </w:rPr>
      </w:pPr>
      <w:r>
        <w:rPr>
          <w:rFonts w:ascii="標楷體" w:eastAsia="標楷體" w:hAnsi="標楷體"/>
        </w:rPr>
        <w:t>(2)12歲以上且未併有失代償性肝硬化之病毒基因型第1型兒童患者(111/2/1）。</w:t>
      </w:r>
    </w:p>
    <w:p w14:paraId="5EBC9141" w14:textId="77777777" w:rsidR="00BD776B" w:rsidRDefault="00DF0C24">
      <w:pPr>
        <w:ind w:left="809" w:hanging="245"/>
        <w:rPr>
          <w:rFonts w:ascii="標楷體" w:eastAsia="標楷體" w:hAnsi="標楷體"/>
        </w:rPr>
      </w:pPr>
      <w:r>
        <w:rPr>
          <w:rFonts w:ascii="標楷體" w:eastAsia="標楷體" w:hAnsi="標楷體"/>
        </w:rPr>
        <w:t>3.給付療程如下，醫師每次開藥以4週為限。(108/1/1）</w:t>
      </w:r>
    </w:p>
    <w:p w14:paraId="031D4548" w14:textId="77777777" w:rsidR="00BD776B" w:rsidRDefault="00DF0C24">
      <w:pPr>
        <w:ind w:left="1132" w:hanging="386"/>
        <w:rPr>
          <w:rFonts w:ascii="標楷體" w:eastAsia="標楷體" w:hAnsi="標楷體"/>
        </w:rPr>
      </w:pPr>
      <w:r>
        <w:rPr>
          <w:rFonts w:ascii="標楷體" w:eastAsia="標楷體" w:hAnsi="標楷體"/>
        </w:rPr>
        <w:t>(1)給付12週。</w:t>
      </w:r>
    </w:p>
    <w:p w14:paraId="14F78665" w14:textId="77777777" w:rsidR="00BD776B" w:rsidRDefault="00DF0C24">
      <w:pPr>
        <w:ind w:left="1132" w:hanging="386"/>
        <w:rPr>
          <w:rFonts w:ascii="標楷體" w:eastAsia="標楷體" w:hAnsi="標楷體"/>
        </w:rPr>
      </w:pPr>
      <w:r>
        <w:rPr>
          <w:rFonts w:ascii="標楷體" w:eastAsia="標楷體" w:hAnsi="標楷體"/>
        </w:rPr>
        <w:t>(2)下列情況需合併ribavirin治療，給付12週：</w:t>
      </w:r>
    </w:p>
    <w:p w14:paraId="76EB7CC0" w14:textId="77777777" w:rsidR="00BD776B" w:rsidRDefault="00DF0C24">
      <w:pPr>
        <w:ind w:left="1418" w:hanging="386"/>
        <w:rPr>
          <w:rFonts w:ascii="標楷體" w:eastAsia="標楷體" w:hAnsi="標楷體"/>
        </w:rPr>
      </w:pPr>
      <w:r>
        <w:rPr>
          <w:rFonts w:ascii="標楷體" w:eastAsia="標楷體" w:hAnsi="標楷體"/>
        </w:rPr>
        <w:t>Ⅰ.若為先前使用interferon、ribavirin且合併或未合併蛋白酶抑制劑治療失敗，且具代償性肝硬化(Child-Pugh score A)者。</w:t>
      </w:r>
    </w:p>
    <w:p w14:paraId="431DBB19" w14:textId="77777777" w:rsidR="00BD776B" w:rsidRDefault="00DF0C24">
      <w:pPr>
        <w:ind w:left="1418" w:hanging="386"/>
        <w:rPr>
          <w:rFonts w:ascii="標楷體" w:eastAsia="標楷體" w:hAnsi="標楷體"/>
        </w:rPr>
      </w:pPr>
      <w:r>
        <w:rPr>
          <w:rFonts w:ascii="標楷體" w:eastAsia="標楷體" w:hAnsi="標楷體"/>
        </w:rPr>
        <w:t>Ⅱ.肝功能代償不全(Child-Pugh score B或C)者。</w:t>
      </w:r>
    </w:p>
    <w:p w14:paraId="669F96E8" w14:textId="77777777" w:rsidR="00BD776B" w:rsidRDefault="00DF0C24">
      <w:pPr>
        <w:ind w:left="1418" w:hanging="386"/>
        <w:rPr>
          <w:rFonts w:ascii="標楷體" w:eastAsia="標楷體" w:hAnsi="標楷體"/>
        </w:rPr>
      </w:pPr>
      <w:r>
        <w:rPr>
          <w:rFonts w:ascii="標楷體" w:eastAsia="標楷體" w:hAnsi="標楷體"/>
        </w:rPr>
        <w:t>Ⅲ.無肝功能代償不全之基因型第1型或第4型肝臟移植者。</w:t>
      </w:r>
    </w:p>
    <w:p w14:paraId="136D208B" w14:textId="77777777" w:rsidR="00BD776B" w:rsidRDefault="00DF0C24">
      <w:pPr>
        <w:ind w:left="809" w:hanging="245"/>
        <w:rPr>
          <w:rFonts w:ascii="標楷體" w:eastAsia="標楷體" w:hAnsi="標楷體"/>
        </w:rPr>
      </w:pPr>
      <w:r>
        <w:rPr>
          <w:rFonts w:ascii="標楷體" w:eastAsia="標楷體" w:hAnsi="標楷體"/>
        </w:rPr>
        <w:t>4.限未曾申請給付其他同類全口服直接抗病毒藥物(direct-acting anti-viral, DAAs)，且不得併用其他DAAs，惟若曾接受本項藥品或其他DAAs第一次治療且符合下列情形之一者，可再治療一次（一個療程）：(110/6/1）</w:t>
      </w:r>
    </w:p>
    <w:p w14:paraId="5C863B4D" w14:textId="77777777" w:rsidR="00BD776B" w:rsidRDefault="00DF0C24">
      <w:pPr>
        <w:ind w:left="1132" w:hanging="386"/>
        <w:rPr>
          <w:rFonts w:ascii="標楷體" w:eastAsia="標楷體" w:hAnsi="標楷體"/>
        </w:rPr>
      </w:pPr>
      <w:r>
        <w:rPr>
          <w:rFonts w:ascii="標楷體" w:eastAsia="標楷體" w:hAnsi="標楷體"/>
        </w:rPr>
        <w:t>(1)接受第一次治療時中斷療程，且中斷原因屬專業醫療評估必須停藥者。</w:t>
      </w:r>
    </w:p>
    <w:p w14:paraId="249DEBC4" w14:textId="77777777" w:rsidR="00BD776B" w:rsidRDefault="00DF0C24">
      <w:pPr>
        <w:ind w:left="991" w:hanging="245"/>
        <w:rPr>
          <w:rFonts w:ascii="標楷體" w:eastAsia="標楷體" w:hAnsi="標楷體"/>
        </w:rPr>
      </w:pPr>
      <w:r>
        <w:rPr>
          <w:rFonts w:ascii="標楷體" w:eastAsia="標楷體" w:hAnsi="標楷體"/>
        </w:rPr>
        <w:t>(2)接受第一次治療結束後第12週，血中偵測不到病毒，目前血中又再次偵測到病毒者。</w:t>
      </w:r>
    </w:p>
    <w:p w14:paraId="596A7C2B" w14:textId="77777777" w:rsidR="00BD776B" w:rsidRDefault="00DF0C24">
      <w:pPr>
        <w:ind w:left="672" w:hanging="386"/>
        <w:rPr>
          <w:rFonts w:ascii="標楷體" w:eastAsia="標楷體" w:hAnsi="標楷體"/>
        </w:rPr>
      </w:pPr>
      <w:r>
        <w:rPr>
          <w:rFonts w:ascii="標楷體" w:eastAsia="標楷體" w:hAnsi="標楷體"/>
        </w:rPr>
        <w:t>10.7.9.Sofosbuvir（如Sovaldi）(107/1/1、107/6/1、108/1/1、108/6/1、109/1/1、109/7/1）：</w:t>
      </w:r>
    </w:p>
    <w:p w14:paraId="652A5FC6" w14:textId="77777777" w:rsidR="00BD776B" w:rsidRDefault="00DF0C24">
      <w:pPr>
        <w:ind w:left="811" w:hanging="245"/>
        <w:rPr>
          <w:rFonts w:ascii="標楷體" w:eastAsia="標楷體" w:hAnsi="標楷體"/>
        </w:rPr>
      </w:pPr>
      <w:r>
        <w:rPr>
          <w:rFonts w:ascii="標楷體" w:eastAsia="標楷體" w:hAnsi="標楷體"/>
        </w:rPr>
        <w:t>1.限用於成人慢性病毒性C型肝炎患者，並依據「C型肝炎全口服新藥健保給付</w:t>
      </w:r>
      <w:r>
        <w:rPr>
          <w:rFonts w:ascii="標楷體" w:eastAsia="標楷體" w:hAnsi="標楷體"/>
        </w:rPr>
        <w:lastRenderedPageBreak/>
        <w:t>執行計畫」辦理。(109/1/1、109/7/1）</w:t>
      </w:r>
    </w:p>
    <w:p w14:paraId="25A92D30" w14:textId="77777777" w:rsidR="00BD776B" w:rsidRDefault="00DF0C24">
      <w:pPr>
        <w:ind w:left="811" w:hanging="245"/>
        <w:rPr>
          <w:rFonts w:ascii="標楷體" w:eastAsia="標楷體" w:hAnsi="標楷體"/>
        </w:rPr>
      </w:pPr>
      <w:r>
        <w:rPr>
          <w:rFonts w:ascii="標楷體" w:eastAsia="標楷體" w:hAnsi="標楷體"/>
        </w:rPr>
        <w:t>2.限使用於HCV RNA為陽性及無肝功能代償不全之病毒基因型第2型成人病患。(107/6/1、108/1/1、108/6/1)</w:t>
      </w:r>
    </w:p>
    <w:p w14:paraId="66374062" w14:textId="77777777" w:rsidR="00BD776B" w:rsidRDefault="00DF0C24">
      <w:pPr>
        <w:ind w:left="811" w:hanging="245"/>
        <w:rPr>
          <w:rFonts w:ascii="標楷體" w:eastAsia="標楷體" w:hAnsi="標楷體"/>
        </w:rPr>
      </w:pPr>
      <w:r>
        <w:rPr>
          <w:rFonts w:ascii="標楷體" w:eastAsia="標楷體" w:hAnsi="標楷體"/>
        </w:rPr>
        <w:t>3.需合併ribavirin治療，每人給付療程12週，醫師每次開藥以4週為限。(108/1/1）</w:t>
      </w:r>
    </w:p>
    <w:p w14:paraId="70ADE769" w14:textId="77777777" w:rsidR="00BD776B" w:rsidRDefault="00DF0C24">
      <w:pPr>
        <w:ind w:left="811" w:hanging="245"/>
        <w:rPr>
          <w:rFonts w:ascii="標楷體" w:eastAsia="標楷體" w:hAnsi="標楷體"/>
        </w:rPr>
      </w:pPr>
      <w:r>
        <w:rPr>
          <w:rFonts w:ascii="標楷體" w:eastAsia="標楷體" w:hAnsi="標楷體"/>
        </w:rPr>
        <w:t>4.限未曾申請給付其他同類全口服直接抗病毒藥物(direct-acting anti-viral, DAAs)，且不得併用其他DAAs。</w:t>
      </w:r>
    </w:p>
    <w:p w14:paraId="5A9391FE" w14:textId="77777777" w:rsidR="00BD776B" w:rsidRDefault="00DF0C24">
      <w:pPr>
        <w:ind w:left="567" w:hanging="245"/>
        <w:rPr>
          <w:rFonts w:ascii="標楷體" w:eastAsia="標楷體" w:hAnsi="標楷體"/>
        </w:rPr>
      </w:pPr>
      <w:r>
        <w:rPr>
          <w:rFonts w:ascii="標楷體" w:eastAsia="標楷體" w:hAnsi="標楷體"/>
        </w:rPr>
        <w:t>10.7.10.Glecaprevir/pibrentasvir（如Maviret）(107/8/1、108/1/1、108/6/1、109/1/1、109/4/1、109/7/1、109/8/1、110/6/1、111/2/1）：</w:t>
      </w:r>
    </w:p>
    <w:p w14:paraId="6A549802" w14:textId="77777777" w:rsidR="00BD776B" w:rsidRDefault="00DF0C24">
      <w:pPr>
        <w:ind w:left="811" w:hanging="245"/>
        <w:rPr>
          <w:rFonts w:ascii="標楷體" w:eastAsia="標楷體" w:hAnsi="標楷體"/>
        </w:rPr>
      </w:pPr>
      <w:r>
        <w:rPr>
          <w:rFonts w:ascii="標楷體" w:eastAsia="標楷體" w:hAnsi="標楷體"/>
        </w:rPr>
        <w:t>1.限用於成人慢性病毒性C型肝炎患者，並依據「C型肝炎全口服新藥健保給付執行計畫」辦理。(109/1/1、109/7/1）</w:t>
      </w:r>
    </w:p>
    <w:p w14:paraId="4A5883A8" w14:textId="77777777" w:rsidR="00BD776B" w:rsidRDefault="00DF0C24">
      <w:pPr>
        <w:ind w:left="811" w:hanging="245"/>
        <w:rPr>
          <w:rFonts w:ascii="標楷體" w:eastAsia="標楷體" w:hAnsi="標楷體"/>
        </w:rPr>
      </w:pPr>
      <w:r>
        <w:rPr>
          <w:rFonts w:ascii="標楷體" w:eastAsia="標楷體" w:hAnsi="標楷體"/>
        </w:rPr>
        <w:t>2.限使用於HCV RNA為陽性及無肝功能代償不全之病毒基因型第1型、第2型、第3型、第4型、第5型或第6型12歲以上病患。（108/1/1、108/6/1、109/8/1、111/2/1）</w:t>
      </w:r>
    </w:p>
    <w:p w14:paraId="40BF9255" w14:textId="77777777" w:rsidR="00BD776B" w:rsidRDefault="00DF0C24">
      <w:pPr>
        <w:ind w:left="811" w:hanging="245"/>
        <w:rPr>
          <w:rFonts w:ascii="標楷體" w:eastAsia="標楷體" w:hAnsi="標楷體"/>
        </w:rPr>
      </w:pPr>
      <w:r>
        <w:rPr>
          <w:rFonts w:ascii="標楷體" w:eastAsia="標楷體" w:hAnsi="標楷體"/>
        </w:rPr>
        <w:t>3.給付療程如下，醫師每次開藥以4週為限。（108/1/1、109/4/1、110/6/1）</w:t>
      </w:r>
    </w:p>
    <w:p w14:paraId="105D999A" w14:textId="77777777" w:rsidR="00BD776B" w:rsidRDefault="00DF0C24">
      <w:pPr>
        <w:ind w:left="1132" w:hanging="386"/>
        <w:rPr>
          <w:rFonts w:ascii="標楷體" w:eastAsia="標楷體" w:hAnsi="標楷體"/>
        </w:rPr>
      </w:pPr>
      <w:r>
        <w:rPr>
          <w:rFonts w:ascii="標楷體" w:eastAsia="標楷體" w:hAnsi="標楷體"/>
        </w:rPr>
        <w:t>(1)未曾接受治療之患者，給付8週。（109/4/1、109/8/1）</w:t>
      </w:r>
    </w:p>
    <w:p w14:paraId="71DA70CD" w14:textId="77777777" w:rsidR="00BD776B" w:rsidRDefault="00DF0C24">
      <w:pPr>
        <w:ind w:left="1132" w:hanging="386"/>
        <w:rPr>
          <w:rFonts w:ascii="標楷體" w:eastAsia="標楷體" w:hAnsi="標楷體"/>
        </w:rPr>
      </w:pPr>
      <w:r>
        <w:rPr>
          <w:rFonts w:ascii="標楷體" w:eastAsia="標楷體" w:hAnsi="標楷體"/>
        </w:rPr>
        <w:t>(2)曾接受含(peg)interferon及ribavirin及合併或不合併sofosbuvir治療組合之患者：（110/6/1）</w:t>
      </w:r>
    </w:p>
    <w:p w14:paraId="642649BA" w14:textId="77777777" w:rsidR="00BD776B" w:rsidRDefault="00DF0C24">
      <w:pPr>
        <w:ind w:left="1275" w:hanging="245"/>
        <w:rPr>
          <w:rFonts w:ascii="標楷體" w:eastAsia="標楷體" w:hAnsi="標楷體"/>
        </w:rPr>
      </w:pPr>
      <w:r>
        <w:rPr>
          <w:rFonts w:ascii="標楷體" w:eastAsia="標楷體" w:hAnsi="標楷體"/>
        </w:rPr>
        <w:t>Ⅰ.基因型第1、2、4、5或6型：</w:t>
      </w:r>
    </w:p>
    <w:p w14:paraId="2BE75C15" w14:textId="77777777" w:rsidR="00BD776B" w:rsidRDefault="00DF0C24">
      <w:pPr>
        <w:ind w:left="1558" w:hanging="245"/>
        <w:rPr>
          <w:rFonts w:ascii="標楷體" w:eastAsia="標楷體" w:hAnsi="標楷體"/>
        </w:rPr>
      </w:pPr>
      <w:r>
        <w:rPr>
          <w:rFonts w:ascii="標楷體" w:eastAsia="標楷體" w:hAnsi="標楷體"/>
        </w:rPr>
        <w:t>i.無肝硬化者，給付8週。</w:t>
      </w:r>
    </w:p>
    <w:p w14:paraId="65C4609A" w14:textId="77777777" w:rsidR="00BD776B" w:rsidRDefault="00DF0C24">
      <w:pPr>
        <w:ind w:left="1558" w:hanging="245"/>
        <w:rPr>
          <w:rFonts w:ascii="標楷體" w:eastAsia="標楷體" w:hAnsi="標楷體"/>
        </w:rPr>
      </w:pPr>
      <w:r>
        <w:rPr>
          <w:rFonts w:ascii="標楷體" w:eastAsia="標楷體" w:hAnsi="標楷體"/>
        </w:rPr>
        <w:t>ii.具代償性肝硬化(Child-Pugh score A)者，給付12週。</w:t>
      </w:r>
    </w:p>
    <w:p w14:paraId="39BADF05" w14:textId="77777777" w:rsidR="00BD776B" w:rsidRDefault="00DF0C24">
      <w:pPr>
        <w:ind w:left="1418" w:hanging="386"/>
        <w:rPr>
          <w:rFonts w:ascii="標楷體" w:eastAsia="標楷體" w:hAnsi="標楷體"/>
        </w:rPr>
      </w:pPr>
      <w:r>
        <w:rPr>
          <w:rFonts w:ascii="標楷體" w:eastAsia="標楷體" w:hAnsi="標楷體"/>
        </w:rPr>
        <w:t>Ⅱ.基因型第3型，且無肝硬化或具代償性肝硬化(Child-Pugh score A)者，給付16週。</w:t>
      </w:r>
    </w:p>
    <w:p w14:paraId="510A8BF2" w14:textId="77777777" w:rsidR="00BD776B" w:rsidRDefault="00DF0C24">
      <w:pPr>
        <w:ind w:left="991" w:hanging="245"/>
        <w:rPr>
          <w:rFonts w:ascii="標楷體" w:eastAsia="標楷體" w:hAnsi="標楷體"/>
        </w:rPr>
      </w:pPr>
      <w:r>
        <w:rPr>
          <w:rFonts w:ascii="標楷體" w:eastAsia="標楷體" w:hAnsi="標楷體"/>
        </w:rPr>
        <w:t>(3)曾接受含NS5A抑制劑或NS3/4A蛋白酶抑制劑治療之基因型第1型患者：</w:t>
      </w:r>
    </w:p>
    <w:p w14:paraId="1CA7A78C" w14:textId="77777777" w:rsidR="00BD776B" w:rsidRDefault="00DF0C24">
      <w:pPr>
        <w:ind w:left="1416" w:hanging="386"/>
        <w:rPr>
          <w:rFonts w:ascii="標楷體" w:eastAsia="標楷體" w:hAnsi="標楷體"/>
        </w:rPr>
      </w:pPr>
      <w:r>
        <w:rPr>
          <w:rFonts w:ascii="標楷體" w:eastAsia="標楷體" w:hAnsi="標楷體"/>
        </w:rPr>
        <w:t>Ⅰ.若曾接受NS3/4A蛋白酶抑制劑治療，但未曾接受NS5A抑制劑治療者，給付12週。</w:t>
      </w:r>
    </w:p>
    <w:p w14:paraId="66D35729" w14:textId="77777777" w:rsidR="00BD776B" w:rsidRDefault="00DF0C24">
      <w:pPr>
        <w:ind w:left="1416" w:hanging="386"/>
        <w:rPr>
          <w:rFonts w:ascii="標楷體" w:eastAsia="標楷體" w:hAnsi="標楷體"/>
        </w:rPr>
      </w:pPr>
      <w:r>
        <w:rPr>
          <w:rFonts w:ascii="標楷體" w:eastAsia="標楷體" w:hAnsi="標楷體"/>
        </w:rPr>
        <w:t>Ⅱ.若曾接受NS5A抑制劑治療，但未曾接受NS3/4A蛋白酶抑制劑治療者，給付16週。</w:t>
      </w:r>
    </w:p>
    <w:p w14:paraId="54C3ADAA" w14:textId="77777777" w:rsidR="00BD776B" w:rsidRDefault="00DF0C24">
      <w:pPr>
        <w:ind w:left="850" w:hanging="245"/>
        <w:rPr>
          <w:rFonts w:ascii="標楷體" w:eastAsia="標楷體" w:hAnsi="標楷體"/>
        </w:rPr>
      </w:pPr>
      <w:r>
        <w:rPr>
          <w:rFonts w:ascii="標楷體" w:eastAsia="標楷體" w:hAnsi="標楷體"/>
        </w:rPr>
        <w:t>4.限未曾申請給付其他同類全口服直接抗病毒藥物(direct-acting anti-viral, DAAs)，且不得併用其他DAAs，惟若符合下列情形之一者，可再治療一次（一個療程）：（110/6/1）</w:t>
      </w:r>
    </w:p>
    <w:p w14:paraId="71EA3091" w14:textId="77777777" w:rsidR="00BD776B" w:rsidRDefault="00DF0C24">
      <w:pPr>
        <w:ind w:left="1132" w:hanging="386"/>
        <w:rPr>
          <w:rFonts w:ascii="標楷體" w:eastAsia="標楷體" w:hAnsi="標楷體"/>
        </w:rPr>
      </w:pPr>
      <w:r>
        <w:rPr>
          <w:rFonts w:ascii="標楷體" w:eastAsia="標楷體" w:hAnsi="標楷體"/>
        </w:rPr>
        <w:t>(1)接受本項藥品或其他DAAs第一次治療時中斷療程，且中斷原因屬專業醫療評估必須停藥者。</w:t>
      </w:r>
    </w:p>
    <w:p w14:paraId="40561466" w14:textId="77777777" w:rsidR="00BD776B" w:rsidRDefault="00DF0C24">
      <w:pPr>
        <w:ind w:left="1132" w:hanging="386"/>
        <w:rPr>
          <w:rFonts w:ascii="標楷體" w:eastAsia="標楷體" w:hAnsi="標楷體"/>
        </w:rPr>
      </w:pPr>
      <w:r>
        <w:rPr>
          <w:rFonts w:ascii="標楷體" w:eastAsia="標楷體" w:hAnsi="標楷體"/>
        </w:rPr>
        <w:t>(2)接受本項藥品或其他DAAs第一次治療結束後第12週，血中偵測不到病毒，目前血中又再次偵測到病毒者。</w:t>
      </w:r>
    </w:p>
    <w:p w14:paraId="41597248" w14:textId="77777777" w:rsidR="00BD776B" w:rsidRDefault="00DF0C24">
      <w:pPr>
        <w:ind w:left="1132" w:hanging="386"/>
        <w:rPr>
          <w:rFonts w:ascii="標楷體" w:eastAsia="標楷體" w:hAnsi="標楷體"/>
        </w:rPr>
      </w:pPr>
      <w:r>
        <w:rPr>
          <w:rFonts w:ascii="標楷體" w:eastAsia="標楷體" w:hAnsi="標楷體"/>
        </w:rPr>
        <w:t>(3)接受其他DAAs第一次治療，於治療完成時或治療結束後第12週，血中仍偵測到病毒者，或治療4週後之病毒量未能下降超過二個對數值(即下降未達100倍)發生在108年1月1日前者。</w:t>
      </w:r>
    </w:p>
    <w:p w14:paraId="1F821D35" w14:textId="77777777" w:rsidR="00BD776B" w:rsidRDefault="00DF0C24">
      <w:pPr>
        <w:ind w:left="567" w:hanging="245"/>
        <w:rPr>
          <w:rFonts w:ascii="標楷體" w:eastAsia="標楷體" w:hAnsi="標楷體"/>
        </w:rPr>
      </w:pPr>
      <w:r>
        <w:rPr>
          <w:rFonts w:ascii="標楷體" w:eastAsia="標楷體" w:hAnsi="標楷體"/>
        </w:rPr>
        <w:t>10.7.11. Sofosbuvir/velpatasvir（如Epclusa）(108/6/1、109/1/1、109/7/1、110/6/1、112/5/1）：</w:t>
      </w:r>
    </w:p>
    <w:p w14:paraId="5DA7470E" w14:textId="77777777" w:rsidR="00BD776B" w:rsidRDefault="00DF0C24">
      <w:pPr>
        <w:ind w:left="811" w:hanging="245"/>
        <w:rPr>
          <w:rFonts w:ascii="標楷體" w:eastAsia="標楷體" w:hAnsi="標楷體"/>
        </w:rPr>
      </w:pPr>
      <w:r>
        <w:rPr>
          <w:rFonts w:ascii="標楷體" w:eastAsia="標楷體" w:hAnsi="標楷體"/>
        </w:rPr>
        <w:t>1.限用於慢性病毒性C型肝炎患者，並依據「C型肝炎全口服新藥健保給付執行計畫」辦理。(109/1/1、109/7/1、112/5/1)</w:t>
      </w:r>
    </w:p>
    <w:p w14:paraId="755DC4E4" w14:textId="77777777" w:rsidR="00BD776B" w:rsidRDefault="00DF0C24">
      <w:pPr>
        <w:ind w:left="811" w:hanging="245"/>
        <w:rPr>
          <w:rFonts w:ascii="標楷體" w:eastAsia="標楷體" w:hAnsi="標楷體"/>
        </w:rPr>
      </w:pPr>
      <w:r>
        <w:rPr>
          <w:rFonts w:ascii="標楷體" w:eastAsia="標楷體" w:hAnsi="標楷體"/>
        </w:rPr>
        <w:t>2.限使用於HCV RNA為陽性之病毒基因型第1型、第2型、第3型、第4型、第5型或第6型12歲以上且體重至少30公斤之兒童與成人病患。(112/5/1)</w:t>
      </w:r>
    </w:p>
    <w:p w14:paraId="295752BE" w14:textId="77777777" w:rsidR="00BD776B" w:rsidRDefault="00DF0C24">
      <w:pPr>
        <w:ind w:left="811" w:hanging="245"/>
        <w:rPr>
          <w:rFonts w:ascii="標楷體" w:eastAsia="標楷體" w:hAnsi="標楷體"/>
        </w:rPr>
      </w:pPr>
      <w:r>
        <w:rPr>
          <w:rFonts w:ascii="標楷體" w:eastAsia="標楷體" w:hAnsi="標楷體"/>
        </w:rPr>
        <w:lastRenderedPageBreak/>
        <w:t>3.給付療程如下，醫師每次開藥以4週為限。（110/6/1、112/5/1)</w:t>
      </w:r>
    </w:p>
    <w:p w14:paraId="160E1CDE" w14:textId="77777777" w:rsidR="00BD776B" w:rsidRDefault="00DF0C24">
      <w:pPr>
        <w:ind w:left="950" w:hanging="384"/>
        <w:rPr>
          <w:rFonts w:ascii="標楷體" w:eastAsia="標楷體" w:hAnsi="標楷體"/>
        </w:rPr>
      </w:pPr>
      <w:r>
        <w:rPr>
          <w:rFonts w:ascii="標楷體" w:eastAsia="標楷體" w:hAnsi="標楷體"/>
        </w:rPr>
        <w:t>(1)未曾接受全口服直接抗病毒藥物(direct-acting anti-viral, DAAs)或曾接受DAAs治療，未併有或併有代償性肝硬化(Child-Pugh score A)者，給付12週。</w:t>
      </w:r>
    </w:p>
    <w:p w14:paraId="36761BF5" w14:textId="77777777" w:rsidR="00BD776B" w:rsidRDefault="00DF0C24">
      <w:pPr>
        <w:ind w:left="950" w:hanging="384"/>
        <w:rPr>
          <w:rFonts w:ascii="標楷體" w:eastAsia="標楷體" w:hAnsi="標楷體"/>
        </w:rPr>
      </w:pPr>
      <w:r>
        <w:rPr>
          <w:rFonts w:ascii="標楷體" w:eastAsia="標楷體" w:hAnsi="標楷體"/>
        </w:rPr>
        <w:t>(2)未曾接受DAAs或曾接受DAAs治療（含NS5A抑制劑之DAAs治療失敗者除外)，併有失代償性肝硬化(Child-Pugh score B或C)者，需合併ribavirin治療，給付12週。(112/5/1)</w:t>
      </w:r>
    </w:p>
    <w:p w14:paraId="6C1B5F64" w14:textId="77777777" w:rsidR="00BD776B" w:rsidRDefault="00DF0C24">
      <w:pPr>
        <w:ind w:left="950" w:hanging="384"/>
        <w:rPr>
          <w:rFonts w:ascii="標楷體" w:eastAsia="標楷體" w:hAnsi="標楷體"/>
        </w:rPr>
      </w:pPr>
      <w:r>
        <w:rPr>
          <w:rFonts w:ascii="標楷體" w:eastAsia="標楷體" w:hAnsi="標楷體"/>
        </w:rPr>
        <w:t>(3)曾接受含NS5A抑制劑之DAAs治療失敗，併有失代償性肝硬化(Child-Pugh score B或C)者，需合併ribavirin治療，給付24週。(112/5/1)</w:t>
      </w:r>
    </w:p>
    <w:p w14:paraId="712773EA" w14:textId="77777777" w:rsidR="00BD776B" w:rsidRDefault="00DF0C24">
      <w:pPr>
        <w:ind w:left="811" w:hanging="245"/>
        <w:rPr>
          <w:rFonts w:ascii="標楷體" w:eastAsia="標楷體" w:hAnsi="標楷體"/>
        </w:rPr>
      </w:pPr>
      <w:r>
        <w:rPr>
          <w:rFonts w:ascii="標楷體" w:eastAsia="標楷體" w:hAnsi="標楷體"/>
        </w:rPr>
        <w:t>4.限未曾申請給付其他同類全口服直接抗病毒藥物(direct-acting anti-viral, DAAs)，且不得併用其他DAAs，惟若符合下列情形之一者，可再治療一次（一個療程）：（110/6/1、112/5/1）。</w:t>
      </w:r>
    </w:p>
    <w:p w14:paraId="1196CA20" w14:textId="77777777" w:rsidR="00BD776B" w:rsidRDefault="00DF0C24">
      <w:pPr>
        <w:ind w:left="965" w:hanging="360"/>
        <w:rPr>
          <w:rFonts w:ascii="標楷體" w:eastAsia="標楷體" w:hAnsi="標楷體"/>
        </w:rPr>
      </w:pPr>
      <w:r>
        <w:rPr>
          <w:rFonts w:ascii="標楷體" w:eastAsia="標楷體" w:hAnsi="標楷體"/>
        </w:rPr>
        <w:t>(1)接受本項藥品或其他DAAs第一次治療時中斷療程，且中斷原因屬專業醫療評估必須停藥者。</w:t>
      </w:r>
    </w:p>
    <w:p w14:paraId="60D4F9AD" w14:textId="77777777" w:rsidR="00BD776B" w:rsidRDefault="00DF0C24">
      <w:pPr>
        <w:ind w:left="965" w:hanging="360"/>
        <w:rPr>
          <w:rFonts w:ascii="標楷體" w:eastAsia="標楷體" w:hAnsi="標楷體"/>
        </w:rPr>
      </w:pPr>
      <w:r>
        <w:rPr>
          <w:rFonts w:ascii="標楷體" w:eastAsia="標楷體" w:hAnsi="標楷體"/>
        </w:rPr>
        <w:t>(2)接受本項藥品或其他DAAs第一次治療結束後第12週，血中偵測不到病毒，目前血中又再次偵測到病毒者。</w:t>
      </w:r>
    </w:p>
    <w:p w14:paraId="657B49B2" w14:textId="77777777" w:rsidR="00BD776B" w:rsidRDefault="00DF0C24">
      <w:pPr>
        <w:ind w:left="965" w:hanging="360"/>
        <w:rPr>
          <w:rFonts w:ascii="標楷體" w:eastAsia="標楷體" w:hAnsi="標楷體"/>
        </w:rPr>
      </w:pPr>
      <w:r>
        <w:rPr>
          <w:rFonts w:ascii="標楷體" w:eastAsia="標楷體" w:hAnsi="標楷體"/>
        </w:rPr>
        <w:t>(3)接受未含NS5A抑制劑之DAAs第一次治療，於治療完成時或治療結束後第12週，血中仍偵測到病毒者，或治療4週後之病毒量未能下降超過二個對數值(即下降未達100倍)發生在108年1月1日前者。</w:t>
      </w:r>
    </w:p>
    <w:p w14:paraId="45C7286D" w14:textId="77777777" w:rsidR="00BD776B" w:rsidRDefault="00DF0C24">
      <w:pPr>
        <w:ind w:left="965" w:hanging="360"/>
        <w:rPr>
          <w:rFonts w:ascii="標楷體" w:eastAsia="標楷體" w:hAnsi="標楷體"/>
        </w:rPr>
      </w:pPr>
      <w:r>
        <w:rPr>
          <w:rFonts w:ascii="標楷體" w:eastAsia="標楷體" w:hAnsi="標楷體"/>
        </w:rPr>
        <w:t>(4)失代償性肝硬化（Child-Pugh B或C）病患，先前接受含NS5A抑制劑之DAAs第一次治療失敗者(治療完成時或治療結束後第12週，血中仍偵測到病毒者)。(112/5/1)</w:t>
      </w:r>
    </w:p>
    <w:p w14:paraId="0466B39F" w14:textId="77777777" w:rsidR="00BD776B" w:rsidRDefault="00DF0C24">
      <w:pPr>
        <w:ind w:left="672" w:hanging="386"/>
        <w:rPr>
          <w:rFonts w:ascii="標楷體" w:eastAsia="標楷體" w:hAnsi="標楷體"/>
        </w:rPr>
      </w:pPr>
      <w:r>
        <w:rPr>
          <w:rFonts w:ascii="標楷體" w:eastAsia="標楷體" w:hAnsi="標楷體"/>
        </w:rPr>
        <w:t>10.7.12.Letermovir（如Prevymis）：（109/6/1）</w:t>
      </w:r>
    </w:p>
    <w:p w14:paraId="73057BF4" w14:textId="77777777" w:rsidR="00BD776B" w:rsidRDefault="00DF0C24">
      <w:pPr>
        <w:ind w:left="811" w:hanging="245"/>
        <w:rPr>
          <w:rFonts w:ascii="標楷體" w:eastAsia="標楷體" w:hAnsi="標楷體"/>
        </w:rPr>
      </w:pPr>
      <w:r>
        <w:rPr>
          <w:rFonts w:ascii="標楷體" w:eastAsia="標楷體" w:hAnsi="標楷體"/>
        </w:rPr>
        <w:t>1.</w:t>
      </w:r>
      <w:r>
        <w:rPr>
          <w:rFonts w:ascii="標楷體" w:eastAsia="標楷體" w:hAnsi="標楷體"/>
        </w:rPr>
        <w:tab/>
        <w:t>經事前審查核准後使用。</w:t>
      </w:r>
    </w:p>
    <w:p w14:paraId="34712B63" w14:textId="77777777" w:rsidR="00BD776B" w:rsidRDefault="00DF0C24">
      <w:pPr>
        <w:ind w:left="811" w:hanging="245"/>
        <w:rPr>
          <w:rFonts w:ascii="標楷體" w:eastAsia="標楷體" w:hAnsi="標楷體"/>
        </w:rPr>
      </w:pPr>
      <w:r>
        <w:rPr>
          <w:rFonts w:ascii="標楷體" w:eastAsia="標楷體" w:hAnsi="標楷體"/>
        </w:rPr>
        <w:t>2.</w:t>
      </w:r>
      <w:r>
        <w:rPr>
          <w:rFonts w:ascii="標楷體" w:eastAsia="標楷體" w:hAnsi="標楷體"/>
        </w:rPr>
        <w:tab/>
        <w:t>適用於接受異體造血幹細胞移植(allogeneic HSCT)的18歲以上且受贈者為CMV血清抗體陽性之病患，藉以預防巨細胞病毒(CMV)感染及相關疾病。</w:t>
      </w:r>
    </w:p>
    <w:p w14:paraId="749A5698" w14:textId="77777777" w:rsidR="00BD776B" w:rsidRDefault="00DF0C24">
      <w:pPr>
        <w:ind w:left="811" w:hanging="245"/>
        <w:rPr>
          <w:rFonts w:ascii="標楷體" w:eastAsia="標楷體" w:hAnsi="標楷體"/>
        </w:rPr>
      </w:pPr>
      <w:r>
        <w:rPr>
          <w:rFonts w:ascii="標楷體" w:eastAsia="標楷體" w:hAnsi="標楷體"/>
        </w:rPr>
        <w:t>3.</w:t>
      </w:r>
      <w:r>
        <w:rPr>
          <w:rFonts w:ascii="標楷體" w:eastAsia="標楷體" w:hAnsi="標楷體"/>
        </w:rPr>
        <w:tab/>
        <w:t>僅限於第一次接受異體造血幹細胞移植時可使用。</w:t>
      </w:r>
    </w:p>
    <w:p w14:paraId="5FF8F90E" w14:textId="77777777" w:rsidR="00BD776B" w:rsidRDefault="00DF0C24">
      <w:pPr>
        <w:ind w:left="811" w:hanging="245"/>
        <w:rPr>
          <w:rFonts w:ascii="標楷體" w:eastAsia="標楷體" w:hAnsi="標楷體"/>
        </w:rPr>
      </w:pPr>
      <w:r>
        <w:rPr>
          <w:rFonts w:ascii="標楷體" w:eastAsia="標楷體" w:hAnsi="標楷體"/>
        </w:rPr>
        <w:t>4.</w:t>
      </w:r>
      <w:r>
        <w:rPr>
          <w:rFonts w:ascii="標楷體" w:eastAsia="標楷體" w:hAnsi="標楷體"/>
        </w:rPr>
        <w:tab/>
        <w:t>限用於移植術後至第84天為止。</w:t>
      </w:r>
    </w:p>
    <w:p w14:paraId="6D778764" w14:textId="77777777" w:rsidR="00BD776B" w:rsidRDefault="00DF0C24">
      <w:pPr>
        <w:ind w:left="811" w:hanging="245"/>
        <w:rPr>
          <w:rFonts w:ascii="標楷體" w:eastAsia="標楷體" w:hAnsi="標楷體"/>
        </w:rPr>
      </w:pPr>
      <w:r>
        <w:rPr>
          <w:rFonts w:ascii="標楷體" w:eastAsia="標楷體" w:hAnsi="標楷體"/>
        </w:rPr>
        <w:t>5.</w:t>
      </w:r>
      <w:r>
        <w:rPr>
          <w:rFonts w:ascii="標楷體" w:eastAsia="標楷體" w:hAnsi="標楷體"/>
        </w:rPr>
        <w:tab/>
        <w:t>具下列條件之一的CMV 感染之高風險病患方得使用：</w:t>
      </w:r>
    </w:p>
    <w:p w14:paraId="1D920A74" w14:textId="77777777" w:rsidR="00BD776B" w:rsidRDefault="00DF0C24">
      <w:pPr>
        <w:ind w:left="1077" w:hanging="367"/>
        <w:rPr>
          <w:rFonts w:ascii="標楷體" w:eastAsia="標楷體" w:hAnsi="標楷體"/>
        </w:rPr>
      </w:pPr>
      <w:r>
        <w:rPr>
          <w:rFonts w:ascii="標楷體" w:eastAsia="標楷體" w:hAnsi="標楷體"/>
        </w:rPr>
        <w:t>(1)親屬間捐贈：其HLA-A/B/C/DR 具有2個或以上之位點不相符者。</w:t>
      </w:r>
    </w:p>
    <w:p w14:paraId="06A7D930" w14:textId="77777777" w:rsidR="00BD776B" w:rsidRDefault="00DF0C24">
      <w:pPr>
        <w:ind w:left="1077" w:hanging="367"/>
        <w:rPr>
          <w:rFonts w:ascii="標楷體" w:eastAsia="標楷體" w:hAnsi="標楷體"/>
        </w:rPr>
      </w:pPr>
      <w:r>
        <w:rPr>
          <w:rFonts w:ascii="標楷體" w:eastAsia="標楷體" w:hAnsi="標楷體"/>
        </w:rPr>
        <w:t>(2)非親屬間捐贈：其HLA-A/B/C/DR 具有1個或以上之位點不相符者。</w:t>
      </w:r>
    </w:p>
    <w:p w14:paraId="7043C021" w14:textId="77777777" w:rsidR="00BD776B" w:rsidRDefault="00DF0C24">
      <w:pPr>
        <w:ind w:left="1077" w:hanging="367"/>
        <w:rPr>
          <w:rFonts w:ascii="標楷體" w:eastAsia="標楷體" w:hAnsi="標楷體"/>
        </w:rPr>
      </w:pPr>
      <w:r>
        <w:rPr>
          <w:rFonts w:ascii="標楷體" w:eastAsia="標楷體" w:hAnsi="標楷體"/>
        </w:rPr>
        <w:t>(3)接受臍帶血移植者。</w:t>
      </w:r>
    </w:p>
    <w:p w14:paraId="722EACF1" w14:textId="77777777" w:rsidR="00BD776B" w:rsidRDefault="00DF0C24">
      <w:pPr>
        <w:ind w:left="708" w:hanging="367"/>
        <w:rPr>
          <w:rFonts w:ascii="標楷體" w:eastAsia="標楷體" w:hAnsi="標楷體"/>
        </w:rPr>
      </w:pPr>
      <w:r>
        <w:rPr>
          <w:rFonts w:ascii="標楷體" w:eastAsia="標楷體" w:hAnsi="標楷體"/>
        </w:rPr>
        <w:t>10.7.13.Sofosbuvir/ velpatasvir/ voxilaprevir（如Vosevi）：（110/9/1）</w:t>
      </w:r>
    </w:p>
    <w:p w14:paraId="03AD9C9B" w14:textId="77777777" w:rsidR="00BD776B" w:rsidRDefault="00DF0C24">
      <w:pPr>
        <w:ind w:left="848" w:hanging="226"/>
        <w:rPr>
          <w:rFonts w:ascii="標楷體" w:eastAsia="標楷體" w:hAnsi="標楷體"/>
        </w:rPr>
      </w:pPr>
      <w:r>
        <w:rPr>
          <w:rFonts w:ascii="標楷體" w:eastAsia="標楷體" w:hAnsi="標楷體"/>
        </w:rPr>
        <w:t>1.限用於成人慢性病毒性C型肝炎患者，並依據「C型肝炎全口服新藥健保給付執行計畫」辦理。</w:t>
      </w:r>
    </w:p>
    <w:p w14:paraId="365D8DF2" w14:textId="77777777" w:rsidR="00BD776B" w:rsidRDefault="00DF0C24">
      <w:pPr>
        <w:ind w:left="848" w:hanging="226"/>
        <w:rPr>
          <w:rFonts w:ascii="標楷體" w:eastAsia="標楷體" w:hAnsi="標楷體"/>
        </w:rPr>
      </w:pPr>
      <w:r>
        <w:rPr>
          <w:rFonts w:ascii="標楷體" w:eastAsia="標楷體" w:hAnsi="標楷體"/>
        </w:rPr>
        <w:t>2.限使用於HCV RNA為陽性，且未併有肝硬化或併有代償性肝硬化（Child-Pugh A級）之病毒基因型第1型、第2型、第3型、第4型、第5型或第6型病患。</w:t>
      </w:r>
    </w:p>
    <w:p w14:paraId="3E1B5A20" w14:textId="77777777" w:rsidR="00BD776B" w:rsidRDefault="00DF0C24">
      <w:pPr>
        <w:ind w:left="848" w:hanging="226"/>
        <w:rPr>
          <w:rFonts w:ascii="標楷體" w:eastAsia="標楷體" w:hAnsi="標楷體"/>
        </w:rPr>
      </w:pPr>
      <w:r>
        <w:rPr>
          <w:rFonts w:ascii="標楷體" w:eastAsia="標楷體" w:hAnsi="標楷體"/>
        </w:rPr>
        <w:t>3.給付療程如下，醫師每次開藥以4週為限。</w:t>
      </w:r>
    </w:p>
    <w:p w14:paraId="3A5D55F7" w14:textId="77777777" w:rsidR="00BD776B" w:rsidRDefault="00DF0C24">
      <w:pPr>
        <w:ind w:left="1077" w:hanging="367"/>
        <w:rPr>
          <w:rFonts w:ascii="標楷體" w:eastAsia="標楷體" w:hAnsi="標楷體"/>
        </w:rPr>
      </w:pPr>
      <w:r>
        <w:rPr>
          <w:rFonts w:ascii="標楷體" w:eastAsia="標楷體" w:hAnsi="標楷體"/>
        </w:rPr>
        <w:t>(1)基因型1、2、3、4、5、6，且曾接受含NS5A抑制劑治療失敗者，給付12週。</w:t>
      </w:r>
    </w:p>
    <w:p w14:paraId="29B7C47E" w14:textId="77777777" w:rsidR="00BD776B" w:rsidRDefault="00DF0C24">
      <w:pPr>
        <w:ind w:left="1077" w:hanging="367"/>
        <w:rPr>
          <w:rFonts w:ascii="標楷體" w:eastAsia="標楷體" w:hAnsi="標楷體"/>
        </w:rPr>
      </w:pPr>
      <w:r>
        <w:rPr>
          <w:rFonts w:ascii="標楷體" w:eastAsia="標楷體" w:hAnsi="標楷體"/>
        </w:rPr>
        <w:t>(2)基因型1a或3，且曾經接受含sofosbuvir但無NS5A抑制劑治療失敗者，給付12週。</w:t>
      </w:r>
    </w:p>
    <w:p w14:paraId="09F9CE7F" w14:textId="77777777" w:rsidR="00BD776B" w:rsidRDefault="00DF0C24">
      <w:pPr>
        <w:ind w:left="991" w:hanging="367"/>
        <w:rPr>
          <w:rFonts w:ascii="標楷體" w:eastAsia="標楷體" w:hAnsi="標楷體"/>
        </w:rPr>
      </w:pPr>
      <w:r>
        <w:rPr>
          <w:rFonts w:ascii="標楷體" w:eastAsia="標楷體" w:hAnsi="標楷體"/>
        </w:rPr>
        <w:t>4.限未曾申請給付本藥品且曾接受其他全口服直接抗病毒藥物（direct-acting anti-viral, DAAs）第一次治療並符合下列情形之一者：</w:t>
      </w:r>
    </w:p>
    <w:p w14:paraId="4F73A4DE" w14:textId="77777777" w:rsidR="00BD776B" w:rsidRDefault="00DF0C24">
      <w:pPr>
        <w:ind w:left="1077" w:hanging="367"/>
        <w:rPr>
          <w:rFonts w:ascii="標楷體" w:eastAsia="標楷體" w:hAnsi="標楷體"/>
        </w:rPr>
      </w:pPr>
      <w:r>
        <w:rPr>
          <w:rFonts w:ascii="標楷體" w:eastAsia="標楷體" w:hAnsi="標楷體"/>
        </w:rPr>
        <w:lastRenderedPageBreak/>
        <w:t>(1)接受第一次治療時中斷療程，且中斷原因屬專業醫療評估必須停藥者。</w:t>
      </w:r>
    </w:p>
    <w:p w14:paraId="2288C479" w14:textId="28D6769F" w:rsidR="00BD776B" w:rsidRDefault="00DF0C24">
      <w:pPr>
        <w:ind w:left="1078" w:hanging="370"/>
        <w:rPr>
          <w:rFonts w:ascii="標楷體" w:eastAsia="標楷體" w:hAnsi="標楷體"/>
        </w:rPr>
      </w:pPr>
      <w:r>
        <w:rPr>
          <w:rFonts w:ascii="標楷體" w:eastAsia="標楷體" w:hAnsi="標楷體"/>
        </w:rPr>
        <w:t>(2)接受第一次治療完成時或治療結束後第12週，血中仍偵測到病毒者，或治療4週後之病毒量未能下降超過二個對數值（即下降未達100倍）發生在108年1月1日前者。</w:t>
      </w:r>
    </w:p>
    <w:p w14:paraId="01A09415" w14:textId="77777777" w:rsidR="00CE4739" w:rsidRPr="00CE4739" w:rsidRDefault="00CE4739" w:rsidP="00CE4739">
      <w:pPr>
        <w:ind w:left="708" w:hanging="367"/>
        <w:rPr>
          <w:rFonts w:ascii="標楷體" w:eastAsia="標楷體" w:hAnsi="標楷體"/>
          <w:color w:val="000000" w:themeColor="text1"/>
          <w:kern w:val="2"/>
        </w:rPr>
      </w:pPr>
      <w:r w:rsidRPr="00CE4739">
        <w:rPr>
          <w:rFonts w:ascii="標楷體" w:eastAsia="標楷體" w:hAnsi="標楷體" w:hint="eastAsia"/>
          <w:color w:val="000000" w:themeColor="text1"/>
          <w:kern w:val="2"/>
        </w:rPr>
        <w:t>10.7.14.Maribavir（如Livtencity）：（113/11/1）</w:t>
      </w:r>
    </w:p>
    <w:p w14:paraId="085D94F1" w14:textId="77777777" w:rsidR="00CE4739" w:rsidRPr="00CE4739" w:rsidRDefault="00CE4739" w:rsidP="00CE4739">
      <w:pPr>
        <w:ind w:left="848" w:hanging="226"/>
        <w:rPr>
          <w:rFonts w:ascii="標楷體" w:eastAsia="標楷體" w:hAnsi="標楷體"/>
        </w:rPr>
      </w:pPr>
      <w:r w:rsidRPr="00CE4739">
        <w:rPr>
          <w:rFonts w:ascii="標楷體" w:eastAsia="標楷體" w:hAnsi="標楷體" w:hint="eastAsia"/>
          <w:color w:val="000000" w:themeColor="text1"/>
          <w:kern w:val="2"/>
        </w:rPr>
        <w:t>1.</w:t>
      </w:r>
      <w:r w:rsidRPr="00CE4739">
        <w:rPr>
          <w:rFonts w:ascii="標楷體" w:eastAsia="標楷體" w:hAnsi="標楷體" w:hint="eastAsia"/>
        </w:rPr>
        <w:t>適用於對一種或多種先前療法，具抗藥性、難治或耐受度不佳的成人病人，治療接受造血幹細胞移植(Haematopoietic Stem Cell Transplant，HSCT)或固體器官移植(Solid Organ Transplant，SOT)後發生巨細胞病毒(cytomegalovirus，CMV)感染或疾病。</w:t>
      </w:r>
    </w:p>
    <w:p w14:paraId="09279495" w14:textId="77777777" w:rsidR="00CE4739" w:rsidRPr="00CE4739" w:rsidRDefault="00CE4739" w:rsidP="00CE4739">
      <w:pPr>
        <w:ind w:left="848" w:hanging="226"/>
        <w:rPr>
          <w:rFonts w:ascii="標楷體" w:eastAsia="標楷體" w:hAnsi="標楷體"/>
          <w:color w:val="000000" w:themeColor="text1"/>
          <w:kern w:val="2"/>
        </w:rPr>
      </w:pPr>
      <w:r w:rsidRPr="00CE4739">
        <w:rPr>
          <w:rFonts w:ascii="標楷體" w:eastAsia="標楷體" w:hAnsi="標楷體" w:hint="eastAsia"/>
        </w:rPr>
        <w:t>2.開始</w:t>
      </w:r>
      <w:r w:rsidRPr="00CE4739">
        <w:rPr>
          <w:rFonts w:ascii="標楷體" w:eastAsia="標楷體" w:hAnsi="標楷體" w:hint="eastAsia"/>
          <w:color w:val="000000" w:themeColor="text1"/>
          <w:kern w:val="2"/>
        </w:rPr>
        <w:t>治療需符合下列任一臨床條件：</w:t>
      </w:r>
    </w:p>
    <w:p w14:paraId="4E7BCB7E" w14:textId="77777777" w:rsidR="00CE4739" w:rsidRPr="00CE4739" w:rsidRDefault="00CE4739" w:rsidP="004019EF">
      <w:pPr>
        <w:ind w:left="1077" w:hanging="367"/>
        <w:rPr>
          <w:rFonts w:ascii="標楷體" w:eastAsia="標楷體" w:hAnsi="標楷體"/>
        </w:rPr>
      </w:pPr>
      <w:r w:rsidRPr="00CE4739">
        <w:rPr>
          <w:rFonts w:ascii="標楷體" w:eastAsia="標楷體" w:hAnsi="標楷體" w:hint="eastAsia"/>
          <w:color w:val="000000" w:themeColor="text1"/>
          <w:kern w:val="2"/>
        </w:rPr>
        <w:t>(1)</w:t>
      </w:r>
      <w:r w:rsidRPr="00CE4739">
        <w:rPr>
          <w:rFonts w:ascii="標楷體" w:eastAsia="標楷體" w:hAnsi="標楷體" w:hint="eastAsia"/>
        </w:rPr>
        <w:t>偵測到先前其他抗巨細胞病毒療法抗性突變，或</w:t>
      </w:r>
    </w:p>
    <w:p w14:paraId="7E3A7B2C" w14:textId="77777777" w:rsidR="00CE4739" w:rsidRPr="00CE4739" w:rsidRDefault="00CE4739" w:rsidP="004019EF">
      <w:pPr>
        <w:ind w:left="1077" w:hanging="367"/>
        <w:rPr>
          <w:rFonts w:ascii="標楷體" w:eastAsia="標楷體" w:hAnsi="標楷體"/>
        </w:rPr>
      </w:pPr>
      <w:r w:rsidRPr="00CE4739">
        <w:rPr>
          <w:rFonts w:ascii="標楷體" w:eastAsia="標楷體" w:hAnsi="標楷體" w:hint="eastAsia"/>
        </w:rPr>
        <w:t>(2)先前接受其他抗巨細胞病毒療法至少2週，當巨細胞病毒(CMV)DNA濃度未下降或甚至上升，或</w:t>
      </w:r>
    </w:p>
    <w:p w14:paraId="249439C7" w14:textId="77777777" w:rsidR="00CE4739" w:rsidRPr="00CE4739" w:rsidRDefault="00CE4739" w:rsidP="004019EF">
      <w:pPr>
        <w:ind w:left="1077" w:hanging="367"/>
        <w:rPr>
          <w:rFonts w:ascii="標楷體" w:eastAsia="標楷體" w:hAnsi="標楷體"/>
          <w:color w:val="000000" w:themeColor="text1"/>
          <w:kern w:val="2"/>
        </w:rPr>
      </w:pPr>
      <w:r w:rsidRPr="00CE4739">
        <w:rPr>
          <w:rFonts w:ascii="標楷體" w:eastAsia="標楷體" w:hAnsi="標楷體" w:hint="eastAsia"/>
        </w:rPr>
        <w:t>(3)</w:t>
      </w:r>
      <w:r w:rsidRPr="00CE4739">
        <w:rPr>
          <w:rFonts w:ascii="標楷體" w:eastAsia="標楷體" w:hAnsi="標楷體" w:hint="eastAsia"/>
          <w:color w:val="000000" w:themeColor="text1"/>
          <w:kern w:val="2"/>
        </w:rPr>
        <w:t>先前接受其他抗巨細胞病毒療法且無法耐受。</w:t>
      </w:r>
    </w:p>
    <w:p w14:paraId="65794542" w14:textId="77777777" w:rsidR="00CE4739" w:rsidRPr="00CE4739" w:rsidRDefault="00CE4739" w:rsidP="004019EF">
      <w:pPr>
        <w:ind w:left="848" w:hanging="226"/>
        <w:rPr>
          <w:rFonts w:ascii="標楷體" w:eastAsia="標楷體" w:hAnsi="標楷體"/>
        </w:rPr>
      </w:pPr>
      <w:r w:rsidRPr="00CE4739">
        <w:rPr>
          <w:rFonts w:ascii="標楷體" w:eastAsia="標楷體" w:hAnsi="標楷體" w:hint="eastAsia"/>
          <w:color w:val="000000" w:themeColor="text1"/>
          <w:kern w:val="2"/>
        </w:rPr>
        <w:t>3.經</w:t>
      </w:r>
      <w:r w:rsidRPr="00CE4739">
        <w:rPr>
          <w:rFonts w:ascii="標楷體" w:eastAsia="標楷體" w:hAnsi="標楷體" w:hint="eastAsia"/>
        </w:rPr>
        <w:t>事前審查核准後使用。</w:t>
      </w:r>
    </w:p>
    <w:p w14:paraId="7862D721" w14:textId="77777777" w:rsidR="00CE4739" w:rsidRPr="00CE4739" w:rsidRDefault="00CE4739" w:rsidP="004019EF">
      <w:pPr>
        <w:ind w:left="848" w:hanging="226"/>
        <w:rPr>
          <w:rFonts w:ascii="標楷體" w:eastAsia="標楷體" w:hAnsi="標楷體"/>
          <w:color w:val="000000" w:themeColor="text1"/>
          <w:kern w:val="2"/>
        </w:rPr>
      </w:pPr>
      <w:r w:rsidRPr="00CE4739">
        <w:rPr>
          <w:rFonts w:ascii="標楷體" w:eastAsia="標楷體" w:hAnsi="標楷體" w:hint="eastAsia"/>
        </w:rPr>
        <w:t>4.本</w:t>
      </w:r>
      <w:r w:rsidRPr="00CE4739">
        <w:rPr>
          <w:rFonts w:ascii="標楷體" w:eastAsia="標楷體" w:hAnsi="標楷體" w:hint="eastAsia"/>
          <w:color w:val="000000" w:themeColor="text1"/>
          <w:kern w:val="2"/>
        </w:rPr>
        <w:t>品首次申請治療療程限8週，療程期間有下列任一情況應停藥：</w:t>
      </w:r>
    </w:p>
    <w:p w14:paraId="02E40B3F" w14:textId="77777777" w:rsidR="00CE4739" w:rsidRPr="00CE4739" w:rsidRDefault="00CE4739" w:rsidP="004019EF">
      <w:pPr>
        <w:ind w:left="1077" w:hanging="367"/>
        <w:rPr>
          <w:rFonts w:ascii="標楷體" w:eastAsia="標楷體" w:hAnsi="標楷體"/>
        </w:rPr>
      </w:pPr>
      <w:r w:rsidRPr="00CE4739">
        <w:rPr>
          <w:rFonts w:ascii="標楷體" w:eastAsia="標楷體" w:hAnsi="標楷體" w:hint="eastAsia"/>
          <w:color w:val="000000" w:themeColor="text1"/>
          <w:kern w:val="2"/>
        </w:rPr>
        <w:t>(1)開始治</w:t>
      </w:r>
      <w:r w:rsidRPr="00CE4739">
        <w:rPr>
          <w:rFonts w:ascii="標楷體" w:eastAsia="標楷體" w:hAnsi="標楷體" w:hint="eastAsia"/>
        </w:rPr>
        <w:t>療療程4週後，巨細胞病毒(CMV)DNA濃度並未下降或甚至上升時。</w:t>
      </w:r>
    </w:p>
    <w:p w14:paraId="019025EA" w14:textId="77777777" w:rsidR="00CE4739" w:rsidRPr="00CE4739" w:rsidRDefault="00CE4739" w:rsidP="004019EF">
      <w:pPr>
        <w:ind w:left="1077" w:hanging="367"/>
        <w:rPr>
          <w:rFonts w:ascii="標楷體" w:eastAsia="標楷體" w:hAnsi="標楷體"/>
          <w:color w:val="000000" w:themeColor="text1"/>
          <w:kern w:val="2"/>
        </w:rPr>
      </w:pPr>
      <w:r w:rsidRPr="00CE4739">
        <w:rPr>
          <w:rFonts w:ascii="標楷體" w:eastAsia="標楷體" w:hAnsi="標楷體" w:hint="eastAsia"/>
        </w:rPr>
        <w:t>(2)療程期</w:t>
      </w:r>
      <w:r w:rsidRPr="00CE4739">
        <w:rPr>
          <w:rFonts w:ascii="標楷體" w:eastAsia="標楷體" w:hAnsi="標楷體" w:hint="eastAsia"/>
          <w:color w:val="000000" w:themeColor="text1"/>
          <w:kern w:val="2"/>
        </w:rPr>
        <w:t>間，偵測到抗性突變。</w:t>
      </w:r>
    </w:p>
    <w:p w14:paraId="4691678F" w14:textId="043F508F" w:rsidR="00CE4739" w:rsidRPr="004019EF" w:rsidRDefault="00CE4739" w:rsidP="004019EF">
      <w:pPr>
        <w:ind w:left="848" w:hanging="226"/>
        <w:rPr>
          <w:rFonts w:ascii="標楷體" w:eastAsia="標楷體" w:hAnsi="標楷體"/>
          <w:color w:val="000000" w:themeColor="text1"/>
          <w:kern w:val="2"/>
        </w:rPr>
      </w:pPr>
      <w:r w:rsidRPr="00CE4739">
        <w:rPr>
          <w:rFonts w:ascii="標楷體" w:eastAsia="標楷體" w:hAnsi="標楷體" w:hint="eastAsia"/>
          <w:color w:val="000000" w:themeColor="text1"/>
          <w:kern w:val="2"/>
        </w:rPr>
        <w:t>5.首次申請治療療程後，若未達清除巨細胞病毒(CMV)治療目的或仍有治療需求，且不符合前述停藥條件者，可經事前審查核准後續用4週。事前申請時需檢附巨細胞病毒(CMV)DNA濃度或相關檢測報告，且總療程以12週為上限。</w:t>
      </w:r>
    </w:p>
    <w:p w14:paraId="73E6180A" w14:textId="77777777" w:rsidR="00BD776B" w:rsidRDefault="00DF0C24">
      <w:pPr>
        <w:ind w:left="672" w:hanging="386"/>
        <w:rPr>
          <w:rFonts w:ascii="標楷體" w:eastAsia="標楷體" w:hAnsi="標楷體"/>
        </w:rPr>
      </w:pPr>
      <w:r>
        <w:rPr>
          <w:rFonts w:ascii="標楷體" w:eastAsia="標楷體" w:hAnsi="標楷體"/>
        </w:rPr>
        <w:t>10.8.其他  Miscellaneous</w:t>
      </w:r>
    </w:p>
    <w:p w14:paraId="5D353FC7" w14:textId="77777777" w:rsidR="00BD776B" w:rsidRDefault="00DF0C24">
      <w:pPr>
        <w:ind w:left="567" w:hanging="245"/>
      </w:pPr>
      <w:r>
        <w:rPr>
          <w:rFonts w:ascii="標楷體" w:eastAsia="標楷體" w:hAnsi="標楷體"/>
        </w:rPr>
        <w:t>10.8.1.Teicoplanin及vancomycin：（88/3/1、110/7/1）</w:t>
      </w:r>
    </w:p>
    <w:p w14:paraId="5EDC90C7" w14:textId="77777777" w:rsidR="00BD776B" w:rsidRDefault="00DF0C24">
      <w:pPr>
        <w:ind w:left="567" w:hanging="245"/>
        <w:rPr>
          <w:rFonts w:ascii="標楷體" w:eastAsia="標楷體" w:hAnsi="標楷體"/>
        </w:rPr>
      </w:pPr>
      <w:r>
        <w:rPr>
          <w:rFonts w:ascii="標楷體" w:eastAsia="標楷體" w:hAnsi="標楷體"/>
        </w:rPr>
        <w:t>10.8.1.1.Teicoplanin及vancomycin注射劑：(88/3/1、110/7/1)</w:t>
      </w:r>
    </w:p>
    <w:p w14:paraId="4EAB1A2D" w14:textId="77777777" w:rsidR="00BD776B" w:rsidRDefault="00DF0C24">
      <w:pPr>
        <w:ind w:left="811" w:hanging="245"/>
        <w:rPr>
          <w:rFonts w:ascii="標楷體" w:eastAsia="標楷體" w:hAnsi="標楷體"/>
        </w:rPr>
      </w:pPr>
      <w:r>
        <w:rPr>
          <w:rFonts w:ascii="標楷體" w:eastAsia="標楷體" w:hAnsi="標楷體"/>
        </w:rPr>
        <w:t>1.對其他抗生素有抗藥性之革蘭氏陽性菌感染。</w:t>
      </w:r>
    </w:p>
    <w:p w14:paraId="1518222B" w14:textId="77777777" w:rsidR="00BD776B" w:rsidRDefault="00DF0C24">
      <w:pPr>
        <w:ind w:left="811" w:hanging="245"/>
        <w:rPr>
          <w:rFonts w:ascii="標楷體" w:eastAsia="標楷體" w:hAnsi="標楷體"/>
        </w:rPr>
      </w:pPr>
      <w:r>
        <w:rPr>
          <w:rFonts w:ascii="標楷體" w:eastAsia="標楷體" w:hAnsi="標楷體"/>
        </w:rPr>
        <w:t>2.病患對其他抗生素有嚴重過敏反應之革蘭氏陽性菌感染。</w:t>
      </w:r>
    </w:p>
    <w:p w14:paraId="59E37BB9" w14:textId="77777777" w:rsidR="00BD776B" w:rsidRDefault="00DF0C24">
      <w:pPr>
        <w:ind w:left="811" w:hanging="245"/>
        <w:rPr>
          <w:rFonts w:ascii="標楷體" w:eastAsia="標楷體" w:hAnsi="標楷體"/>
        </w:rPr>
      </w:pPr>
      <w:r>
        <w:rPr>
          <w:rFonts w:ascii="標楷體" w:eastAsia="標楷體" w:hAnsi="標楷體"/>
        </w:rPr>
        <w:t>3.治療抗生素引起之腸炎(antibiotics-associated colitis)，經使用metronidazole無效者始可使用口服vancomycin。</w:t>
      </w:r>
    </w:p>
    <w:p w14:paraId="070E5994" w14:textId="77777777" w:rsidR="00BD776B" w:rsidRDefault="00DF0C24">
      <w:pPr>
        <w:ind w:left="811" w:hanging="245"/>
        <w:rPr>
          <w:rFonts w:ascii="標楷體" w:eastAsia="標楷體" w:hAnsi="標楷體"/>
        </w:rPr>
      </w:pPr>
      <w:r>
        <w:rPr>
          <w:rFonts w:ascii="標楷體" w:eastAsia="標楷體" w:hAnsi="標楷體"/>
        </w:rPr>
        <w:t>4.vancomycin 10 gm(溶液用粉劑)限骨髓移植病例使用。</w:t>
      </w:r>
    </w:p>
    <w:p w14:paraId="4C8F2F6C" w14:textId="77777777" w:rsidR="00BD776B" w:rsidRDefault="00DF0C24">
      <w:pPr>
        <w:ind w:left="811" w:hanging="245"/>
        <w:rPr>
          <w:rFonts w:ascii="標楷體" w:eastAsia="標楷體" w:hAnsi="標楷體"/>
        </w:rPr>
      </w:pPr>
      <w:r>
        <w:rPr>
          <w:rFonts w:ascii="標楷體" w:eastAsia="標楷體" w:hAnsi="標楷體"/>
        </w:rPr>
        <w:t>5.其他經感染症專科醫師認定需使用者。</w:t>
      </w:r>
    </w:p>
    <w:p w14:paraId="2C1B25F7" w14:textId="77777777" w:rsidR="00BD776B" w:rsidRDefault="00DF0C24">
      <w:pPr>
        <w:ind w:left="567" w:hanging="245"/>
        <w:rPr>
          <w:rFonts w:ascii="標楷體" w:eastAsia="標楷體" w:hAnsi="標楷體"/>
        </w:rPr>
      </w:pPr>
      <w:r>
        <w:rPr>
          <w:rFonts w:ascii="標楷體" w:eastAsia="標楷體" w:hAnsi="標楷體"/>
        </w:rPr>
        <w:t>10.8.1.2.Vancomycin口服製劑(110/7/1)</w:t>
      </w:r>
    </w:p>
    <w:p w14:paraId="288C4581" w14:textId="77777777" w:rsidR="00BD776B" w:rsidRDefault="00DF0C24">
      <w:pPr>
        <w:ind w:left="811" w:hanging="245"/>
        <w:rPr>
          <w:rFonts w:ascii="標楷體" w:eastAsia="標楷體" w:hAnsi="標楷體"/>
        </w:rPr>
      </w:pPr>
      <w:r>
        <w:rPr>
          <w:rFonts w:ascii="標楷體" w:eastAsia="標楷體" w:hAnsi="標楷體"/>
        </w:rPr>
        <w:t>1.</w:t>
      </w:r>
      <w:r>
        <w:rPr>
          <w:rFonts w:ascii="標楷體" w:eastAsia="標楷體" w:hAnsi="標楷體"/>
        </w:rPr>
        <w:tab/>
        <w:t>限用於梭狀桿菌引起之假膜性結腸炎，且需符合下列診斷方法之一：</w:t>
      </w:r>
    </w:p>
    <w:p w14:paraId="2853385C" w14:textId="77777777" w:rsidR="00BD776B" w:rsidRDefault="00DF0C24">
      <w:pPr>
        <w:ind w:left="991" w:hanging="245"/>
        <w:rPr>
          <w:rFonts w:ascii="標楷體" w:eastAsia="標楷體" w:hAnsi="標楷體"/>
        </w:rPr>
      </w:pPr>
      <w:r>
        <w:rPr>
          <w:rFonts w:ascii="標楷體" w:eastAsia="標楷體" w:hAnsi="標楷體"/>
        </w:rPr>
        <w:t>(1)內視鏡檢查證實有假膜性結腸炎之病理變化。</w:t>
      </w:r>
    </w:p>
    <w:p w14:paraId="1BA5FABD" w14:textId="77777777" w:rsidR="00BD776B" w:rsidRDefault="00DF0C24">
      <w:pPr>
        <w:ind w:left="1132" w:hanging="386"/>
        <w:rPr>
          <w:rFonts w:ascii="標楷體" w:eastAsia="標楷體" w:hAnsi="標楷體"/>
        </w:rPr>
      </w:pPr>
      <w:r>
        <w:rPr>
          <w:rFonts w:ascii="標楷體" w:eastAsia="標楷體" w:hAnsi="標楷體"/>
        </w:rPr>
        <w:t>(2)臨床上有腸炎、結腸炎之相關症狀，如腹瀉、腹痛、腸阻塞(ileus)等，加上下列任一種條件：</w:t>
      </w:r>
    </w:p>
    <w:p w14:paraId="4990EBEB" w14:textId="77777777" w:rsidR="00BD776B" w:rsidRDefault="00DF0C24">
      <w:pPr>
        <w:ind w:left="1275" w:hanging="245"/>
        <w:rPr>
          <w:rFonts w:ascii="標楷體" w:eastAsia="標楷體" w:hAnsi="標楷體"/>
        </w:rPr>
      </w:pPr>
      <w:r>
        <w:rPr>
          <w:rFonts w:ascii="標楷體" w:eastAsia="標楷體" w:hAnsi="標楷體"/>
        </w:rPr>
        <w:t>I.糞便檢驗證實有梭狀桿菌之toxin A或toxin B存在、或其毒素基因存在。</w:t>
      </w:r>
    </w:p>
    <w:p w14:paraId="57B7663E" w14:textId="77777777" w:rsidR="00BD776B" w:rsidRDefault="00DF0C24">
      <w:pPr>
        <w:ind w:left="1275" w:hanging="245"/>
        <w:rPr>
          <w:rFonts w:ascii="標楷體" w:eastAsia="標楷體" w:hAnsi="標楷體"/>
        </w:rPr>
      </w:pPr>
      <w:r>
        <w:rPr>
          <w:rFonts w:ascii="標楷體" w:eastAsia="標楷體" w:hAnsi="標楷體"/>
        </w:rPr>
        <w:t>II.糞便細菌培養證實有梭狀桿菌或糞便之抗原檢測證實有GDH(glutamate dehydrogenase)存在。</w:t>
      </w:r>
    </w:p>
    <w:p w14:paraId="31DA4A7E" w14:textId="77777777" w:rsidR="00BD776B" w:rsidRDefault="00DF0C24">
      <w:pPr>
        <w:ind w:left="811" w:hanging="245"/>
        <w:rPr>
          <w:rFonts w:ascii="標楷體" w:eastAsia="標楷體" w:hAnsi="標楷體"/>
        </w:rPr>
      </w:pPr>
      <w:r>
        <w:rPr>
          <w:rFonts w:ascii="標楷體" w:eastAsia="標楷體" w:hAnsi="標楷體"/>
        </w:rPr>
        <w:t>2.</w:t>
      </w:r>
      <w:r>
        <w:rPr>
          <w:rFonts w:ascii="標楷體" w:eastAsia="標楷體" w:hAnsi="標楷體"/>
        </w:rPr>
        <w:tab/>
        <w:t>申報時應檢附下列報告之一：</w:t>
      </w:r>
    </w:p>
    <w:p w14:paraId="1E6881D1" w14:textId="77777777" w:rsidR="00BD776B" w:rsidRDefault="00DF0C24">
      <w:pPr>
        <w:ind w:left="991" w:hanging="245"/>
        <w:rPr>
          <w:rFonts w:ascii="標楷體" w:eastAsia="標楷體" w:hAnsi="標楷體"/>
        </w:rPr>
      </w:pPr>
      <w:r>
        <w:rPr>
          <w:rFonts w:ascii="標楷體" w:eastAsia="標楷體" w:hAnsi="標楷體"/>
        </w:rPr>
        <w:t>(1)內視鏡檢查報告。</w:t>
      </w:r>
    </w:p>
    <w:p w14:paraId="2A48F1B0" w14:textId="77777777" w:rsidR="00BD776B" w:rsidRDefault="00DF0C24">
      <w:pPr>
        <w:ind w:left="1077" w:hanging="331"/>
        <w:rPr>
          <w:rFonts w:ascii="標楷體" w:eastAsia="標楷體" w:hAnsi="標楷體"/>
        </w:rPr>
      </w:pPr>
      <w:r>
        <w:rPr>
          <w:rFonts w:ascii="標楷體" w:eastAsia="標楷體" w:hAnsi="標楷體"/>
        </w:rPr>
        <w:t>(2)臨床症狀敘述，加上Toxin A+B檢測報告、糞便細菌培養結果、糞便細菌抗原檢測(GDH)結果或PCR基因檢測結果。</w:t>
      </w:r>
    </w:p>
    <w:p w14:paraId="4B6CC0B5" w14:textId="77777777" w:rsidR="00BD776B" w:rsidRDefault="00DF0C24">
      <w:pPr>
        <w:ind w:left="672" w:hanging="386"/>
      </w:pPr>
      <w:r>
        <w:rPr>
          <w:rFonts w:ascii="標楷體" w:eastAsia="標楷體" w:hAnsi="標楷體"/>
        </w:rPr>
        <w:t>10.8.2.</w:t>
      </w:r>
      <w:r>
        <w:t xml:space="preserve"> </w:t>
      </w:r>
      <w:r>
        <w:rPr>
          <w:rFonts w:ascii="標楷體" w:eastAsia="標楷體" w:hAnsi="標楷體"/>
        </w:rPr>
        <w:t>Quinolone類：（96/9/1、97/9/1、107/1/1、108/12/1）</w:t>
      </w:r>
    </w:p>
    <w:p w14:paraId="2629BC71" w14:textId="77777777" w:rsidR="00BD776B" w:rsidRDefault="00DF0C24">
      <w:pPr>
        <w:ind w:left="798" w:hanging="1"/>
        <w:rPr>
          <w:rFonts w:ascii="標楷體" w:eastAsia="標楷體" w:hAnsi="標楷體"/>
        </w:rPr>
      </w:pPr>
      <w:r>
        <w:rPr>
          <w:rFonts w:ascii="標楷體" w:eastAsia="標楷體" w:hAnsi="標楷體"/>
        </w:rPr>
        <w:lastRenderedPageBreak/>
        <w:t>限使用於下列疾病，若使用於結核病不予給付，請向衛生福利部疾病管制署申請並依最新版「結核病診治指引」辦理。(96/9/1、108/12/1)</w:t>
      </w:r>
    </w:p>
    <w:p w14:paraId="2A2F08FA" w14:textId="77777777" w:rsidR="00BD776B" w:rsidRDefault="00DF0C24">
      <w:pPr>
        <w:ind w:left="672" w:hanging="386"/>
        <w:rPr>
          <w:rFonts w:ascii="標楷體" w:eastAsia="標楷體" w:hAnsi="標楷體"/>
        </w:rPr>
      </w:pPr>
      <w:r>
        <w:rPr>
          <w:rFonts w:ascii="標楷體" w:eastAsia="標楷體" w:hAnsi="標楷體"/>
        </w:rPr>
        <w:t>10.8.2.1.Moxifloxacin (如Avelox)：(91/2/1、92/11/1、94/3/1、97/9/1、105/8/1)</w:t>
      </w:r>
    </w:p>
    <w:p w14:paraId="69783510" w14:textId="77777777" w:rsidR="00BD776B" w:rsidRDefault="00DF0C24">
      <w:pPr>
        <w:ind w:left="798" w:hanging="1"/>
        <w:rPr>
          <w:rFonts w:ascii="標楷體" w:eastAsia="標楷體" w:hAnsi="標楷體"/>
        </w:rPr>
      </w:pPr>
      <w:r>
        <w:rPr>
          <w:rFonts w:ascii="標楷體" w:eastAsia="標楷體" w:hAnsi="標楷體"/>
        </w:rPr>
        <w:t>限用於成人(18歲以上)之下列感染症：</w:t>
      </w:r>
    </w:p>
    <w:p w14:paraId="43988346" w14:textId="77777777" w:rsidR="00BD776B" w:rsidRDefault="00DF0C24">
      <w:pPr>
        <w:ind w:left="851" w:hanging="285"/>
        <w:rPr>
          <w:rFonts w:ascii="標楷體" w:eastAsia="標楷體" w:hAnsi="標楷體"/>
        </w:rPr>
      </w:pPr>
      <w:r>
        <w:rPr>
          <w:rFonts w:ascii="標楷體" w:eastAsia="標楷體" w:hAnsi="標楷體"/>
        </w:rPr>
        <w:t>1.慢性支氣管炎的急性惡化、社區性肺炎、複雜性腹腔內感染。</w:t>
      </w:r>
    </w:p>
    <w:p w14:paraId="4CF0F3D0" w14:textId="77777777" w:rsidR="00BD776B" w:rsidRDefault="00DF0C24">
      <w:pPr>
        <w:ind w:left="849" w:hanging="283"/>
        <w:rPr>
          <w:rFonts w:ascii="標楷體" w:eastAsia="標楷體" w:hAnsi="標楷體"/>
        </w:rPr>
      </w:pPr>
      <w:r>
        <w:rPr>
          <w:rFonts w:ascii="標楷體" w:eastAsia="標楷體" w:hAnsi="標楷體"/>
        </w:rPr>
        <w:t>2.急性鼻竇炎或複雜性皮膚和軟組織感染，因抗藥性細菌感染及病情需要，經感染科醫師會診確認需要使用者。</w:t>
      </w:r>
    </w:p>
    <w:p w14:paraId="52C6552B" w14:textId="77777777" w:rsidR="00BD776B" w:rsidRDefault="00DF0C24">
      <w:pPr>
        <w:ind w:left="672" w:hanging="386"/>
        <w:rPr>
          <w:rFonts w:ascii="標楷體" w:eastAsia="標楷體" w:hAnsi="標楷體"/>
        </w:rPr>
      </w:pPr>
      <w:r>
        <w:rPr>
          <w:rFonts w:ascii="標楷體" w:eastAsia="標楷體" w:hAnsi="標楷體"/>
        </w:rPr>
        <w:t>10.8.2.2.Gemifloxacin (如Factive)：(96/6/1、97/9/1)</w:t>
      </w:r>
    </w:p>
    <w:p w14:paraId="1DBE2DF6" w14:textId="77777777" w:rsidR="00BD776B" w:rsidRDefault="00DF0C24">
      <w:pPr>
        <w:ind w:left="798" w:hanging="1"/>
        <w:rPr>
          <w:rFonts w:ascii="標楷體" w:eastAsia="標楷體" w:hAnsi="標楷體"/>
        </w:rPr>
      </w:pPr>
      <w:r>
        <w:rPr>
          <w:rFonts w:ascii="標楷體" w:eastAsia="標楷體" w:hAnsi="標楷體"/>
        </w:rPr>
        <w:t>限用於成人(18歲以上)之慢性支氣管炎的急性惡化、社區性肺炎。</w:t>
      </w:r>
    </w:p>
    <w:p w14:paraId="23F5F9F4" w14:textId="77777777" w:rsidR="00BD776B" w:rsidRDefault="00DF0C24">
      <w:pPr>
        <w:ind w:left="672" w:hanging="386"/>
        <w:rPr>
          <w:rFonts w:ascii="標楷體" w:eastAsia="標楷體" w:hAnsi="標楷體"/>
        </w:rPr>
      </w:pPr>
      <w:r>
        <w:rPr>
          <w:rFonts w:ascii="標楷體" w:eastAsia="標楷體" w:hAnsi="標楷體"/>
        </w:rPr>
        <w:t>10.8.2.3.Levofloxacin（如Cravit）（97/9/1）</w:t>
      </w:r>
    </w:p>
    <w:p w14:paraId="2E82D956" w14:textId="77777777" w:rsidR="00BD776B" w:rsidRDefault="00DF0C24">
      <w:pPr>
        <w:ind w:left="798" w:hanging="1"/>
        <w:rPr>
          <w:rFonts w:ascii="標楷體" w:eastAsia="標楷體" w:hAnsi="標楷體"/>
        </w:rPr>
      </w:pPr>
      <w:r>
        <w:rPr>
          <w:rFonts w:ascii="標楷體" w:eastAsia="標楷體" w:hAnsi="標楷體"/>
        </w:rPr>
        <w:t>限用於成人(18歲以上)之慢性支氣管炎的急性惡化、社區性肺炎、複雜性泌尿道感染。</w:t>
      </w:r>
    </w:p>
    <w:p w14:paraId="6CD88DF5" w14:textId="77777777" w:rsidR="00BD776B" w:rsidRDefault="00DF0C24">
      <w:pPr>
        <w:ind w:left="282" w:hanging="1"/>
        <w:rPr>
          <w:rFonts w:ascii="標楷體" w:eastAsia="標楷體" w:hAnsi="標楷體"/>
        </w:rPr>
      </w:pPr>
      <w:r>
        <w:rPr>
          <w:rFonts w:ascii="標楷體" w:eastAsia="標楷體" w:hAnsi="標楷體"/>
        </w:rPr>
        <w:t>10.8.2.4.Nemonoxacin膠囊劑及注射劑(如Taigexyn)：(107/1/1、111/3/1)</w:t>
      </w:r>
    </w:p>
    <w:p w14:paraId="4ACAE86A" w14:textId="77777777" w:rsidR="00BD776B" w:rsidRDefault="00DF0C24">
      <w:pPr>
        <w:ind w:left="798" w:hanging="1"/>
        <w:rPr>
          <w:rFonts w:ascii="標楷體" w:eastAsia="標楷體" w:hAnsi="標楷體"/>
        </w:rPr>
      </w:pPr>
      <w:r>
        <w:rPr>
          <w:rFonts w:ascii="標楷體" w:eastAsia="標楷體" w:hAnsi="標楷體"/>
        </w:rPr>
        <w:t>1.膠囊劑限用於18歲以上適合於門診治療之輕度社區性肺炎。</w:t>
      </w:r>
    </w:p>
    <w:p w14:paraId="65430073" w14:textId="77777777" w:rsidR="00BD776B" w:rsidRDefault="00DF0C24">
      <w:pPr>
        <w:ind w:left="798" w:hanging="1"/>
        <w:rPr>
          <w:rFonts w:ascii="標楷體" w:eastAsia="標楷體" w:hAnsi="標楷體"/>
        </w:rPr>
      </w:pPr>
      <w:r>
        <w:rPr>
          <w:rFonts w:ascii="標楷體" w:eastAsia="標楷體" w:hAnsi="標楷體"/>
        </w:rPr>
        <w:t>2.注射劑限用治療對Nemonoxacin 有感受性的致病菌所引起之18歲以上社區型肺炎。(111/3/1)</w:t>
      </w:r>
    </w:p>
    <w:p w14:paraId="567522BA" w14:textId="77777777" w:rsidR="00BD776B" w:rsidRDefault="00DF0C24">
      <w:pPr>
        <w:ind w:left="672" w:hanging="386"/>
        <w:rPr>
          <w:rFonts w:ascii="標楷體" w:eastAsia="標楷體" w:hAnsi="標楷體"/>
        </w:rPr>
      </w:pPr>
      <w:r>
        <w:rPr>
          <w:rFonts w:ascii="標楷體" w:eastAsia="標楷體" w:hAnsi="標楷體"/>
        </w:rPr>
        <w:t>10.8.3.Linezolid（如Zyvox Injection及Tablets）：（91/4/1、100/7/1、105/2/1、108/4/1）</w:t>
      </w:r>
    </w:p>
    <w:p w14:paraId="66C22970" w14:textId="77777777" w:rsidR="00BD776B" w:rsidRDefault="00DF0C24">
      <w:pPr>
        <w:ind w:left="811" w:hanging="245"/>
        <w:rPr>
          <w:rFonts w:ascii="標楷體" w:eastAsia="標楷體" w:hAnsi="標楷體"/>
        </w:rPr>
      </w:pPr>
      <w:r>
        <w:rPr>
          <w:rFonts w:ascii="標楷體" w:eastAsia="標楷體" w:hAnsi="標楷體"/>
        </w:rPr>
        <w:t>1.限下列條件之一使用：</w:t>
      </w:r>
    </w:p>
    <w:p w14:paraId="41BC8ECB" w14:textId="77777777" w:rsidR="00BD776B" w:rsidRDefault="00DF0C24">
      <w:pPr>
        <w:ind w:left="1049" w:hanging="341"/>
        <w:rPr>
          <w:rFonts w:ascii="標楷體" w:eastAsia="標楷體" w:hAnsi="標楷體"/>
        </w:rPr>
      </w:pPr>
      <w:r>
        <w:rPr>
          <w:rFonts w:ascii="標楷體" w:eastAsia="標楷體" w:hAnsi="標楷體"/>
        </w:rPr>
        <w:t>(1)確定或高度懷疑為MRSA肺炎（痰液培養出MRSA，伴隨全身發炎反應，且CXR出現新的浸潤或痰液性狀改變或氧氣需求增加），並符合下列危險因子之一：（105/2/1、108/4/1）</w:t>
      </w:r>
    </w:p>
    <w:p w14:paraId="79BEEB2B" w14:textId="77777777" w:rsidR="00BD776B" w:rsidRDefault="00DF0C24">
      <w:pPr>
        <w:ind w:left="1469" w:hanging="377"/>
        <w:rPr>
          <w:rFonts w:ascii="標楷體" w:eastAsia="標楷體" w:hAnsi="標楷體"/>
        </w:rPr>
      </w:pPr>
      <w:r>
        <w:rPr>
          <w:rFonts w:ascii="標楷體" w:eastAsia="標楷體" w:hAnsi="標楷體"/>
        </w:rPr>
        <w:t>Ⅰ.65歲以上。</w:t>
      </w:r>
    </w:p>
    <w:p w14:paraId="2C50C044" w14:textId="77777777" w:rsidR="00BD776B" w:rsidRDefault="00DF0C24">
      <w:pPr>
        <w:ind w:left="1469" w:hanging="377"/>
        <w:rPr>
          <w:rFonts w:ascii="標楷體" w:eastAsia="標楷體" w:hAnsi="標楷體"/>
        </w:rPr>
      </w:pPr>
      <w:r>
        <w:rPr>
          <w:rFonts w:ascii="標楷體" w:eastAsia="標楷體" w:hAnsi="標楷體"/>
        </w:rPr>
        <w:t>Ⅱ.BMI≧30。</w:t>
      </w:r>
    </w:p>
    <w:p w14:paraId="30ECBD0E" w14:textId="77777777" w:rsidR="00BD776B" w:rsidRDefault="00DF0C24">
      <w:pPr>
        <w:ind w:left="1469" w:hanging="377"/>
        <w:rPr>
          <w:rFonts w:ascii="標楷體" w:eastAsia="標楷體" w:hAnsi="標楷體"/>
        </w:rPr>
      </w:pPr>
      <w:r>
        <w:rPr>
          <w:rFonts w:ascii="標楷體" w:eastAsia="標楷體" w:hAnsi="標楷體"/>
        </w:rPr>
        <w:t>Ⅲ.急性腎衰竭、腎功能不穩定時。</w:t>
      </w:r>
    </w:p>
    <w:p w14:paraId="051D9F73" w14:textId="77777777" w:rsidR="00BD776B" w:rsidRDefault="00DF0C24">
      <w:pPr>
        <w:ind w:left="1469" w:hanging="377"/>
        <w:rPr>
          <w:rFonts w:ascii="標楷體" w:eastAsia="標楷體" w:hAnsi="標楷體"/>
        </w:rPr>
      </w:pPr>
      <w:r>
        <w:rPr>
          <w:rFonts w:ascii="標楷體" w:eastAsia="標楷體" w:hAnsi="標楷體"/>
        </w:rPr>
        <w:t>Ⅳ.過去90天內曾使用glycopeptides者。（108/4/1）</w:t>
      </w:r>
    </w:p>
    <w:p w14:paraId="5C7ABEB1" w14:textId="77777777" w:rsidR="00BD776B" w:rsidRDefault="00DF0C24">
      <w:pPr>
        <w:ind w:left="1049" w:hanging="341"/>
        <w:rPr>
          <w:rFonts w:ascii="標楷體" w:eastAsia="標楷體" w:hAnsi="標楷體"/>
        </w:rPr>
      </w:pPr>
      <w:r>
        <w:rPr>
          <w:rFonts w:ascii="標楷體" w:eastAsia="標楷體" w:hAnsi="標楷體"/>
        </w:rPr>
        <w:t>(2)因嚴重肺炎致呼吸衰竭或合併嚴重敗血症之患者，同時有其他部位懷疑或證實為MRSA感染，得以經驗性使用；惟後續呼吸道微生物學檢查結果無MRSA呼吸道感染證據時，應停止使用。（108/4/1）</w:t>
      </w:r>
    </w:p>
    <w:p w14:paraId="6BF263D1" w14:textId="77777777" w:rsidR="00BD776B" w:rsidRDefault="00DF0C24">
      <w:pPr>
        <w:ind w:left="1049" w:hanging="341"/>
        <w:rPr>
          <w:rFonts w:ascii="標楷體" w:eastAsia="標楷體" w:hAnsi="標楷體"/>
        </w:rPr>
      </w:pPr>
      <w:r>
        <w:rPr>
          <w:rFonts w:ascii="標楷體" w:eastAsia="標楷體" w:hAnsi="標楷體"/>
        </w:rPr>
        <w:t>(3)證實為MRSA複雜性皮膚和皮膚構造感染，並符合下列條件之一：（108/4/1）</w:t>
      </w:r>
    </w:p>
    <w:p w14:paraId="4CEC28C2" w14:textId="77777777" w:rsidR="00BD776B" w:rsidRDefault="00DF0C24">
      <w:pPr>
        <w:ind w:left="1469" w:hanging="377"/>
        <w:rPr>
          <w:rFonts w:ascii="標楷體" w:eastAsia="標楷體" w:hAnsi="標楷體"/>
        </w:rPr>
      </w:pPr>
      <w:r>
        <w:rPr>
          <w:rFonts w:ascii="標楷體" w:eastAsia="標楷體" w:hAnsi="標楷體"/>
        </w:rPr>
        <w:t>Ⅰ.有全身性感染徵兆且白血球數異常（&gt;12,000或&lt;4,000 cells/mcL）。</w:t>
      </w:r>
    </w:p>
    <w:p w14:paraId="1AE4809B" w14:textId="77777777" w:rsidR="00BD776B" w:rsidRDefault="00DF0C24">
      <w:pPr>
        <w:ind w:left="1469" w:hanging="377"/>
        <w:rPr>
          <w:rFonts w:ascii="標楷體" w:eastAsia="標楷體" w:hAnsi="標楷體"/>
        </w:rPr>
      </w:pPr>
      <w:r>
        <w:rPr>
          <w:rFonts w:ascii="標楷體" w:eastAsia="標楷體" w:hAnsi="標楷體"/>
        </w:rPr>
        <w:t>Ⅱ.免疫功能不全。</w:t>
      </w:r>
    </w:p>
    <w:p w14:paraId="4B2683E3" w14:textId="77777777" w:rsidR="00BD776B" w:rsidRDefault="00DF0C24">
      <w:pPr>
        <w:ind w:left="1049" w:hanging="341"/>
        <w:rPr>
          <w:rFonts w:ascii="標楷體" w:eastAsia="標楷體" w:hAnsi="標楷體"/>
        </w:rPr>
      </w:pPr>
      <w:r>
        <w:rPr>
          <w:rFonts w:ascii="標楷體" w:eastAsia="標楷體" w:hAnsi="標楷體"/>
        </w:rPr>
        <w:t>(4)證實為VRE（vancomycin-resistant enterococci)感染，且其VRE菌株對ampicillin為抗藥者。（108/4/1）</w:t>
      </w:r>
    </w:p>
    <w:p w14:paraId="1F9E838B" w14:textId="77777777" w:rsidR="00BD776B" w:rsidRDefault="00DF0C24">
      <w:pPr>
        <w:ind w:left="1049" w:hanging="341"/>
        <w:rPr>
          <w:rFonts w:ascii="標楷體" w:eastAsia="標楷體" w:hAnsi="標楷體"/>
        </w:rPr>
      </w:pPr>
      <w:r>
        <w:rPr>
          <w:rFonts w:ascii="標楷體" w:eastAsia="標楷體" w:hAnsi="標楷體"/>
        </w:rPr>
        <w:t>(5)其他抗藥性革蘭氏陽性球菌感染，因病情需要，經感染症專科醫師會診確認需要使用者。</w:t>
      </w:r>
    </w:p>
    <w:p w14:paraId="1F292A70" w14:textId="77777777" w:rsidR="00BD776B" w:rsidRDefault="00DF0C24">
      <w:pPr>
        <w:ind w:left="811" w:hanging="245"/>
        <w:rPr>
          <w:rFonts w:ascii="標楷體" w:eastAsia="標楷體" w:hAnsi="標楷體"/>
        </w:rPr>
      </w:pPr>
      <w:r>
        <w:rPr>
          <w:rFonts w:ascii="標楷體" w:eastAsia="標楷體" w:hAnsi="標楷體"/>
        </w:rPr>
        <w:t>2.心內膜炎（endocarditis）病患不建議使用。（108/4/1）</w:t>
      </w:r>
    </w:p>
    <w:p w14:paraId="094DD458" w14:textId="77777777" w:rsidR="00BD776B" w:rsidRDefault="00DF0C24">
      <w:pPr>
        <w:ind w:left="811" w:hanging="245"/>
        <w:rPr>
          <w:rFonts w:ascii="標楷體" w:eastAsia="標楷體" w:hAnsi="標楷體"/>
        </w:rPr>
      </w:pPr>
      <w:r>
        <w:rPr>
          <w:rFonts w:ascii="標楷體" w:eastAsia="標楷體" w:hAnsi="標楷體"/>
        </w:rPr>
        <w:t>3.申報費用時需檢附會診紀錄或相關之病歷資料。</w:t>
      </w:r>
    </w:p>
    <w:p w14:paraId="09D7FCA7" w14:textId="77777777" w:rsidR="00BD776B" w:rsidRDefault="00DF0C24">
      <w:pPr>
        <w:ind w:left="672" w:hanging="386"/>
      </w:pPr>
      <w:r>
        <w:rPr>
          <w:rFonts w:ascii="標楷體" w:eastAsia="標楷體" w:hAnsi="標楷體"/>
        </w:rPr>
        <w:t>10.8.4.</w:t>
      </w:r>
      <w:r>
        <w:t xml:space="preserve"> </w:t>
      </w:r>
      <w:r>
        <w:rPr>
          <w:rFonts w:ascii="標楷體" w:eastAsia="標楷體" w:hAnsi="標楷體"/>
        </w:rPr>
        <w:t>(本項刪除)。</w:t>
      </w:r>
    </w:p>
    <w:p w14:paraId="3E044D7D" w14:textId="77777777" w:rsidR="00BD776B" w:rsidRDefault="00DF0C24">
      <w:pPr>
        <w:ind w:left="672" w:hanging="386"/>
        <w:rPr>
          <w:rFonts w:ascii="標楷體" w:eastAsia="標楷體" w:hAnsi="標楷體"/>
        </w:rPr>
      </w:pPr>
      <w:r>
        <w:rPr>
          <w:rFonts w:ascii="標楷體" w:eastAsia="標楷體" w:hAnsi="標楷體"/>
        </w:rPr>
        <w:t xml:space="preserve">10.8.5.Tigecycline（如Tygacil）：(95/12/1、100/7/1) </w:t>
      </w:r>
    </w:p>
    <w:p w14:paraId="461D7E70" w14:textId="77777777" w:rsidR="00BD776B" w:rsidRDefault="00DF0C24">
      <w:pPr>
        <w:ind w:left="811" w:hanging="245"/>
        <w:rPr>
          <w:rFonts w:ascii="標楷體" w:eastAsia="標楷體" w:hAnsi="標楷體"/>
        </w:rPr>
      </w:pPr>
      <w:r>
        <w:rPr>
          <w:rFonts w:ascii="標楷體" w:eastAsia="標楷體" w:hAnsi="標楷體"/>
        </w:rPr>
        <w:t>1.限下列條件之一使用：</w:t>
      </w:r>
    </w:p>
    <w:p w14:paraId="74887A35" w14:textId="77777777" w:rsidR="00BD776B" w:rsidRDefault="00DF0C24">
      <w:pPr>
        <w:ind w:left="1049" w:hanging="341"/>
        <w:rPr>
          <w:rFonts w:ascii="標楷體" w:eastAsia="標楷體" w:hAnsi="標楷體"/>
        </w:rPr>
      </w:pPr>
      <w:r>
        <w:rPr>
          <w:rFonts w:ascii="標楷體" w:eastAsia="標楷體" w:hAnsi="標楷體"/>
        </w:rPr>
        <w:t>(1)經細菌培養證實有意義之致病菌且對其他抗微生物製劑均具抗藥性或對其他</w:t>
      </w:r>
      <w:r>
        <w:rPr>
          <w:rFonts w:ascii="標楷體" w:eastAsia="標楷體" w:hAnsi="標楷體"/>
        </w:rPr>
        <w:lastRenderedPageBreak/>
        <w:t>具有感受性抗微生物製劑過敏，而對tigecycline具有感受性(sensitivity)之複雜性皮膚及皮膚結構感染或複雜性腹腔內感染症使用。</w:t>
      </w:r>
    </w:p>
    <w:p w14:paraId="32C53632" w14:textId="77777777" w:rsidR="00BD776B" w:rsidRDefault="00DF0C24">
      <w:pPr>
        <w:ind w:left="1049" w:hanging="341"/>
        <w:rPr>
          <w:rFonts w:ascii="標楷體" w:eastAsia="標楷體" w:hAnsi="標楷體"/>
        </w:rPr>
      </w:pPr>
      <w:r>
        <w:rPr>
          <w:rFonts w:ascii="標楷體" w:eastAsia="標楷體" w:hAnsi="標楷體"/>
        </w:rPr>
        <w:t>(2)其他經感染症專科醫師會診，認定需使用之下列感染症：複雜性皮膚及皮膚結構感染、複雜性腹腔內感染、社區感染性肺炎。(100/7/1)</w:t>
      </w:r>
    </w:p>
    <w:p w14:paraId="52BCE837" w14:textId="77777777" w:rsidR="00BD776B" w:rsidRDefault="00DF0C24">
      <w:pPr>
        <w:ind w:left="811" w:hanging="245"/>
        <w:rPr>
          <w:rFonts w:ascii="標楷體" w:eastAsia="標楷體" w:hAnsi="標楷體"/>
        </w:rPr>
      </w:pPr>
      <w:r>
        <w:rPr>
          <w:rFonts w:ascii="標楷體" w:eastAsia="標楷體" w:hAnsi="標楷體"/>
        </w:rPr>
        <w:t>2.申報費用時需檢附會診紀錄或相關之病歷資料。</w:t>
      </w:r>
    </w:p>
    <w:p w14:paraId="34256DD5" w14:textId="61567A19" w:rsidR="00BD776B" w:rsidRDefault="00DF0C24">
      <w:pPr>
        <w:ind w:left="672" w:hanging="386"/>
        <w:rPr>
          <w:rFonts w:ascii="標楷體" w:eastAsia="標楷體" w:hAnsi="標楷體"/>
        </w:rPr>
      </w:pPr>
      <w:r>
        <w:rPr>
          <w:rFonts w:ascii="標楷體" w:eastAsia="標楷體" w:hAnsi="標楷體"/>
        </w:rPr>
        <w:t>10.8.6</w:t>
      </w:r>
      <w:r w:rsidR="00A57593">
        <w:rPr>
          <w:rFonts w:ascii="標楷體" w:eastAsia="標楷體" w:hAnsi="標楷體"/>
        </w:rPr>
        <w:t>.</w:t>
      </w:r>
      <w:r>
        <w:rPr>
          <w:rFonts w:ascii="標楷體" w:eastAsia="標楷體" w:hAnsi="標楷體"/>
        </w:rPr>
        <w:t>Colistin可用於靜脈注射劑(97/9/1、98/9/1、99/2/1)</w:t>
      </w:r>
    </w:p>
    <w:p w14:paraId="1AF354C8" w14:textId="77777777" w:rsidR="00BD776B" w:rsidRDefault="00DF0C24">
      <w:pPr>
        <w:ind w:left="798" w:hanging="1"/>
        <w:rPr>
          <w:rFonts w:ascii="標楷體" w:eastAsia="標楷體" w:hAnsi="標楷體"/>
        </w:rPr>
      </w:pPr>
      <w:r>
        <w:rPr>
          <w:rFonts w:ascii="標楷體" w:eastAsia="標楷體" w:hAnsi="標楷體"/>
        </w:rPr>
        <w:t>限經感染症專科醫師會診，確定使用於一般抗生素無效，且具多重抗藥性之革蘭氏陰性菌之嚴重感染。</w:t>
      </w:r>
    </w:p>
    <w:p w14:paraId="04082C51" w14:textId="77777777" w:rsidR="00BD776B" w:rsidRDefault="00DF0C24">
      <w:pPr>
        <w:ind w:left="672" w:hanging="386"/>
        <w:rPr>
          <w:rFonts w:ascii="標楷體" w:eastAsia="標楷體" w:hAnsi="標楷體"/>
        </w:rPr>
      </w:pPr>
      <w:r>
        <w:rPr>
          <w:rFonts w:ascii="標楷體" w:eastAsia="標楷體" w:hAnsi="標楷體"/>
        </w:rPr>
        <w:t>10.8.7.Daptomycin注射劑：(98/1/1)</w:t>
      </w:r>
    </w:p>
    <w:p w14:paraId="4898C09E" w14:textId="77777777" w:rsidR="00BD776B" w:rsidRDefault="00DF0C24">
      <w:pPr>
        <w:ind w:left="811" w:hanging="245"/>
        <w:rPr>
          <w:rFonts w:ascii="標楷體" w:eastAsia="標楷體" w:hAnsi="標楷體"/>
        </w:rPr>
      </w:pPr>
      <w:r>
        <w:rPr>
          <w:rFonts w:ascii="標楷體" w:eastAsia="標楷體" w:hAnsi="標楷體"/>
        </w:rPr>
        <w:t>1.證實為MRSA (methicillin-resistant staphylococcus aureus)複雜皮膚和皮膚組織感染，且證明為vancomycin抗藥菌株或使用vancomycin、teicoplanin治療失敗者或對vancomycin、teicoplanin治療無法耐受者。</w:t>
      </w:r>
    </w:p>
    <w:p w14:paraId="27225926" w14:textId="77777777" w:rsidR="00BD776B" w:rsidRDefault="00DF0C24">
      <w:pPr>
        <w:ind w:left="811" w:hanging="245"/>
        <w:rPr>
          <w:rFonts w:ascii="標楷體" w:eastAsia="標楷體" w:hAnsi="標楷體"/>
        </w:rPr>
      </w:pPr>
      <w:r>
        <w:rPr>
          <w:rFonts w:ascii="標楷體" w:eastAsia="標楷體" w:hAnsi="標楷體"/>
        </w:rPr>
        <w:t>2.其他抗藥性革蘭氏陽性菌引起的複雜皮膚和皮膚組織感染或MRSA菌血症(含右側感染性心內膜炎)，因病情需要經感染症專科醫師會診確認需要使用者(申報費用時需檢附會診及相關之病歷資料)。</w:t>
      </w:r>
    </w:p>
    <w:p w14:paraId="6BC2C1EC" w14:textId="316F0C9A" w:rsidR="00BD776B" w:rsidRDefault="00DF0C24">
      <w:pPr>
        <w:ind w:left="283"/>
        <w:rPr>
          <w:rFonts w:ascii="標楷體" w:eastAsia="標楷體" w:hAnsi="標楷體"/>
        </w:rPr>
      </w:pPr>
      <w:r>
        <w:rPr>
          <w:rFonts w:ascii="標楷體" w:eastAsia="標楷體" w:hAnsi="標楷體"/>
        </w:rPr>
        <w:t>10.8.8.Fidaxomicin(如Dificid)：(103/9/1)</w:t>
      </w:r>
    </w:p>
    <w:p w14:paraId="299660A3" w14:textId="77777777" w:rsidR="00BD776B" w:rsidRDefault="00DF0C24" w:rsidP="00A57593">
      <w:pPr>
        <w:ind w:left="811" w:hanging="245"/>
        <w:rPr>
          <w:rFonts w:ascii="標楷體" w:eastAsia="標楷體" w:hAnsi="標楷體"/>
        </w:rPr>
      </w:pPr>
      <w:r>
        <w:rPr>
          <w:rFonts w:ascii="標楷體" w:eastAsia="標楷體" w:hAnsi="標楷體"/>
        </w:rPr>
        <w:t>1.限用於經第一線藥物metronidazole及vancomycin治療無效或復發，且細菌培養或毒素分析(toxin assay)報告證實為困難梭狀桿菌相關腹瀉(C. difficile-associated diarrhoea, CDAD)，並經感染症專科醫師會診，確認有感染症需使用者。</w:t>
      </w:r>
    </w:p>
    <w:p w14:paraId="49333987" w14:textId="77777777" w:rsidR="00A57593" w:rsidRDefault="00DF0C24" w:rsidP="00A57593">
      <w:pPr>
        <w:ind w:left="814" w:hanging="245"/>
        <w:rPr>
          <w:rFonts w:ascii="標楷體" w:eastAsia="標楷體" w:hAnsi="標楷體"/>
        </w:rPr>
      </w:pPr>
      <w:r>
        <w:rPr>
          <w:rFonts w:ascii="標楷體" w:eastAsia="標楷體" w:hAnsi="標楷體"/>
        </w:rPr>
        <w:t>2.申報費用時需檢附會診紀錄及相關之病歷資料。</w:t>
      </w:r>
    </w:p>
    <w:p w14:paraId="7410A039" w14:textId="0FC01F94" w:rsidR="00357D2A" w:rsidRPr="00357D2A" w:rsidRDefault="00357D2A" w:rsidP="00357D2A">
      <w:pPr>
        <w:ind w:left="283"/>
        <w:rPr>
          <w:rFonts w:ascii="標楷體" w:eastAsia="標楷體" w:hAnsi="標楷體"/>
        </w:rPr>
      </w:pPr>
      <w:bookmarkStart w:id="28" w:name="_Hlk185945241"/>
      <w:r w:rsidRPr="00357D2A">
        <w:rPr>
          <w:rFonts w:ascii="標楷體" w:eastAsia="標楷體" w:hAnsi="標楷體" w:hint="eastAsia"/>
        </w:rPr>
        <w:t>10.8.9.Minocycline注射劑：(112/4/1、114/1/1)</w:t>
      </w:r>
    </w:p>
    <w:p w14:paraId="3CDFA657" w14:textId="77777777" w:rsidR="00357D2A" w:rsidRPr="00357D2A" w:rsidRDefault="00357D2A" w:rsidP="006E2DAF">
      <w:pPr>
        <w:suppressAutoHyphens w:val="0"/>
        <w:autoSpaceDN/>
        <w:ind w:leftChars="237" w:left="814" w:hangingChars="102" w:hanging="245"/>
        <w:textAlignment w:val="auto"/>
        <w:rPr>
          <w:rFonts w:ascii="標楷體" w:eastAsia="標楷體" w:hAnsi="標楷體"/>
        </w:rPr>
      </w:pPr>
      <w:r w:rsidRPr="00357D2A">
        <w:rPr>
          <w:rFonts w:ascii="標楷體" w:eastAsia="標楷體" w:hAnsi="標楷體" w:hint="eastAsia"/>
        </w:rPr>
        <w:t>限經感染症專科醫師會診，且符合下列條件之一使用:</w:t>
      </w:r>
    </w:p>
    <w:p w14:paraId="6AFD31BE" w14:textId="77777777" w:rsidR="00357D2A" w:rsidRPr="00357D2A" w:rsidRDefault="00357D2A" w:rsidP="006E2DAF">
      <w:pPr>
        <w:ind w:left="811" w:hanging="245"/>
        <w:rPr>
          <w:rFonts w:ascii="標楷體" w:eastAsia="標楷體" w:hAnsi="標楷體"/>
        </w:rPr>
      </w:pPr>
      <w:r w:rsidRPr="00357D2A">
        <w:rPr>
          <w:rFonts w:ascii="標楷體" w:eastAsia="標楷體" w:hAnsi="標楷體" w:hint="eastAsia"/>
        </w:rPr>
        <w:t>1.</w:t>
      </w:r>
      <w:r w:rsidRPr="00357D2A">
        <w:rPr>
          <w:rFonts w:ascii="標楷體" w:eastAsia="標楷體" w:hAnsi="標楷體" w:hint="eastAsia"/>
        </w:rPr>
        <w:tab/>
        <w:t>對Carbapenem具抗藥性之Acinetobacter baumannii感染(CRAB)。</w:t>
      </w:r>
    </w:p>
    <w:p w14:paraId="0E6A3392" w14:textId="77777777" w:rsidR="00357D2A" w:rsidRPr="00357D2A" w:rsidRDefault="00357D2A" w:rsidP="006E2DAF">
      <w:pPr>
        <w:ind w:left="811" w:hanging="245"/>
        <w:rPr>
          <w:rFonts w:ascii="標楷體" w:eastAsia="標楷體" w:hAnsi="標楷體"/>
        </w:rPr>
      </w:pPr>
      <w:r w:rsidRPr="00357D2A">
        <w:rPr>
          <w:rFonts w:ascii="標楷體" w:eastAsia="標楷體" w:hAnsi="標楷體" w:hint="eastAsia"/>
        </w:rPr>
        <w:t>2.</w:t>
      </w:r>
      <w:r w:rsidRPr="00357D2A">
        <w:rPr>
          <w:rFonts w:ascii="標楷體" w:eastAsia="標楷體" w:hAnsi="標楷體" w:hint="eastAsia"/>
        </w:rPr>
        <w:tab/>
        <w:t>CRAB以外具敏感性之抗藥性菌株。(114/1/1)</w:t>
      </w:r>
    </w:p>
    <w:p w14:paraId="30BA3B16" w14:textId="1B493119" w:rsidR="00BD776B" w:rsidRDefault="00357D2A" w:rsidP="006E2DAF">
      <w:pPr>
        <w:ind w:left="811" w:hanging="245"/>
        <w:rPr>
          <w:rFonts w:ascii="標楷體" w:eastAsia="標楷體" w:hAnsi="標楷體"/>
        </w:rPr>
      </w:pPr>
      <w:r w:rsidRPr="00357D2A">
        <w:rPr>
          <w:rFonts w:ascii="標楷體" w:eastAsia="標楷體" w:hAnsi="標楷體" w:hint="eastAsia"/>
        </w:rPr>
        <w:t>3.其他臨床上懷疑或確定由立克次氏體、披衣菌等引起之感染。(114/1/1)</w:t>
      </w:r>
    </w:p>
    <w:bookmarkEnd w:id="28"/>
    <w:p w14:paraId="14F30ECA" w14:textId="320BA7C2" w:rsidR="00A57593" w:rsidRPr="00A57593" w:rsidRDefault="00A57593" w:rsidP="00A57593">
      <w:pPr>
        <w:ind w:left="283"/>
        <w:rPr>
          <w:rFonts w:ascii="標楷體" w:eastAsia="標楷體" w:hAnsi="標楷體"/>
        </w:rPr>
      </w:pPr>
      <w:r w:rsidRPr="00A57593">
        <w:rPr>
          <w:rFonts w:ascii="標楷體" w:eastAsia="標楷體" w:hAnsi="標楷體" w:hint="eastAsia"/>
        </w:rPr>
        <w:t>10.8.10.Polymyxin B sulfate靜脈注射劑：(113/12/1)</w:t>
      </w:r>
    </w:p>
    <w:p w14:paraId="4B8B21BD" w14:textId="77777777" w:rsidR="00A57593" w:rsidRPr="00A57593" w:rsidRDefault="00A57593" w:rsidP="00A57593">
      <w:pPr>
        <w:ind w:left="811" w:hanging="245"/>
        <w:rPr>
          <w:rFonts w:ascii="標楷體" w:eastAsia="標楷體" w:hAnsi="標楷體"/>
        </w:rPr>
      </w:pPr>
      <w:r w:rsidRPr="00A57593">
        <w:rPr>
          <w:rFonts w:ascii="標楷體" w:eastAsia="標楷體" w:hAnsi="標楷體" w:hint="eastAsia"/>
        </w:rPr>
        <w:t>1.</w:t>
      </w:r>
      <w:r w:rsidRPr="00A57593">
        <w:rPr>
          <w:rFonts w:ascii="標楷體" w:eastAsia="標楷體" w:hAnsi="標楷體" w:hint="eastAsia"/>
        </w:rPr>
        <w:tab/>
        <w:t>確定使用於一般抗生素無效，用於患有對Polymyxin B 具感受性且具多重抗藥性之革蘭氏陰性菌引起之嚴重感染成人病人，不適合用於治療泌尿道感染。</w:t>
      </w:r>
    </w:p>
    <w:p w14:paraId="6D7F3412" w14:textId="339A3F01" w:rsidR="00A57593" w:rsidRDefault="00A57593" w:rsidP="00A57593">
      <w:pPr>
        <w:ind w:left="811" w:hanging="245"/>
        <w:rPr>
          <w:rFonts w:ascii="標楷體" w:eastAsia="標楷體" w:hAnsi="標楷體"/>
        </w:rPr>
      </w:pPr>
      <w:r w:rsidRPr="00A57593">
        <w:rPr>
          <w:rFonts w:ascii="標楷體" w:eastAsia="標楷體" w:hAnsi="標楷體" w:hint="eastAsia"/>
        </w:rPr>
        <w:t>2.</w:t>
      </w:r>
      <w:r w:rsidRPr="00A57593">
        <w:rPr>
          <w:rFonts w:ascii="標楷體" w:eastAsia="標楷體" w:hAnsi="標楷體" w:hint="eastAsia"/>
        </w:rPr>
        <w:tab/>
        <w:t>需經會診感染科醫師同意後使用，申報費用時需檢附會診紀錄及相關之病歷資料。</w:t>
      </w:r>
    </w:p>
    <w:p w14:paraId="73798252" w14:textId="77777777" w:rsidR="00BD776B" w:rsidRDefault="00DF0C24" w:rsidP="00A57593">
      <w:pPr>
        <w:ind w:left="283"/>
        <w:rPr>
          <w:rFonts w:ascii="標楷體" w:eastAsia="標楷體" w:hAnsi="標楷體"/>
        </w:rPr>
      </w:pPr>
      <w:r>
        <w:rPr>
          <w:rFonts w:ascii="標楷體" w:eastAsia="標楷體" w:hAnsi="標楷體"/>
        </w:rPr>
        <w:t>10.9.抗人類免疫缺乏病毒藥品使用規定(106/2/4)</w:t>
      </w:r>
    </w:p>
    <w:p w14:paraId="178980FF" w14:textId="77777777" w:rsidR="00BD776B" w:rsidRDefault="00DF0C24">
      <w:pPr>
        <w:ind w:left="811" w:hanging="245"/>
        <w:rPr>
          <w:rFonts w:ascii="標楷體" w:eastAsia="標楷體" w:hAnsi="標楷體"/>
        </w:rPr>
      </w:pPr>
      <w:r>
        <w:rPr>
          <w:rFonts w:ascii="標楷體" w:eastAsia="標楷體" w:hAnsi="標楷體"/>
        </w:rPr>
        <w:t>1.限在台灣地區確診且服藥兩年以上之病患使用。</w:t>
      </w:r>
    </w:p>
    <w:p w14:paraId="11267E32" w14:textId="77777777" w:rsidR="00BD776B" w:rsidRDefault="00DF0C24">
      <w:pPr>
        <w:ind w:left="811" w:hanging="245"/>
        <w:rPr>
          <w:rFonts w:ascii="標楷體" w:eastAsia="標楷體" w:hAnsi="標楷體"/>
        </w:rPr>
      </w:pPr>
      <w:r>
        <w:rPr>
          <w:rFonts w:ascii="標楷體" w:eastAsia="標楷體" w:hAnsi="標楷體"/>
        </w:rPr>
        <w:t>2.依衛生福利部疾病管制署最新版「抗人類免疫缺乏病毒藥品處方使用規範」之建議辦理。</w:t>
      </w:r>
    </w:p>
    <w:p w14:paraId="0CC4098D" w14:textId="77777777" w:rsidR="00BD776B" w:rsidRDefault="00BD776B">
      <w:pPr>
        <w:pageBreakBefore/>
        <w:widowControl/>
        <w:suppressAutoHyphens w:val="0"/>
        <w:rPr>
          <w:rFonts w:ascii="標楷體" w:eastAsia="標楷體" w:hAnsi="標楷體"/>
        </w:rPr>
        <w:sectPr w:rsidR="00BD776B" w:rsidSect="007E1772">
          <w:pgSz w:w="11906" w:h="16838"/>
          <w:pgMar w:top="1418" w:right="1418" w:bottom="1418" w:left="1418" w:header="720" w:footer="720" w:gutter="0"/>
          <w:cols w:space="720"/>
          <w:docGrid w:type="lines"/>
        </w:sectPr>
      </w:pPr>
    </w:p>
    <w:p w14:paraId="57AF2157" w14:textId="77777777" w:rsidR="00BD776B" w:rsidRDefault="00DF0C24">
      <w:pPr>
        <w:pStyle w:val="2"/>
      </w:pPr>
      <w:r>
        <w:lastRenderedPageBreak/>
        <w:t>第11節 解毒劑 Antidotes in poisoning</w:t>
      </w:r>
    </w:p>
    <w:p w14:paraId="749EEC81" w14:textId="77777777" w:rsidR="00BD776B" w:rsidRDefault="00BD776B">
      <w:pPr>
        <w:snapToGrid w:val="0"/>
        <w:spacing w:line="400" w:lineRule="exact"/>
        <w:jc w:val="center"/>
        <w:rPr>
          <w:rFonts w:ascii="標楷體" w:eastAsia="標楷體" w:hAnsi="標楷體"/>
          <w:b/>
          <w:bCs/>
          <w:color w:val="000000"/>
          <w:sz w:val="32"/>
          <w:szCs w:val="32"/>
        </w:rPr>
      </w:pPr>
    </w:p>
    <w:p w14:paraId="0FE41245"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 xml:space="preserve">11.1.一般解毒劑  General antidotes </w:t>
      </w:r>
    </w:p>
    <w:p w14:paraId="3B9D88DB"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11.1.1.Carbomix限藥物中毒急救使用。</w:t>
      </w:r>
    </w:p>
    <w:p w14:paraId="2597FE58"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11.2.特定解毒劑  Specific antidotes</w:t>
      </w:r>
    </w:p>
    <w:p w14:paraId="53054611"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11.2.1.Flumazenil (如Anexate inj )限使用於：</w:t>
      </w:r>
    </w:p>
    <w:p w14:paraId="0C5DDAB0"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1.全身麻醉病例</w:t>
      </w:r>
    </w:p>
    <w:p w14:paraId="079B439E"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2.Benzodiazepine類藥物中毒之鑑別診斷與治療病例。</w:t>
      </w:r>
    </w:p>
    <w:p w14:paraId="6A7DC848"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11.2.2.Edrophonium chloride（如Enlon）：</w:t>
      </w:r>
    </w:p>
    <w:p w14:paraId="767961B9"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限使用於手術麻醉病例，作為神經肌肉阻斷劑之拮抗劑。</w:t>
      </w:r>
    </w:p>
    <w:p w14:paraId="29A6E1CE"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11.2.3.Mesna（如Uromitexan inj）：</w:t>
      </w:r>
    </w:p>
    <w:p w14:paraId="02316F63"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限癌症或骨髓移植病例使用大量Endoxan；Ifosphamide類藥物時使用。</w:t>
      </w:r>
    </w:p>
    <w:p w14:paraId="3D8ACA62" w14:textId="77777777" w:rsidR="00BD776B" w:rsidRDefault="00DF0C24">
      <w:pPr>
        <w:snapToGrid w:val="0"/>
        <w:ind w:left="283"/>
        <w:rPr>
          <w:rFonts w:ascii="標楷體" w:eastAsia="標楷體" w:hAnsi="標楷體"/>
          <w:color w:val="000000"/>
        </w:rPr>
      </w:pPr>
      <w:r>
        <w:rPr>
          <w:rFonts w:ascii="標楷體" w:eastAsia="標楷體" w:hAnsi="標楷體"/>
          <w:color w:val="000000"/>
        </w:rPr>
        <w:t>11.2.4.Trientine dihydrochloride (104/1/1）</w:t>
      </w:r>
    </w:p>
    <w:p w14:paraId="1082EBE5" w14:textId="77777777" w:rsidR="00BD776B" w:rsidRDefault="00DF0C24">
      <w:pPr>
        <w:snapToGrid w:val="0"/>
        <w:ind w:left="566"/>
        <w:rPr>
          <w:rFonts w:ascii="標楷體" w:eastAsia="標楷體" w:hAnsi="標楷體"/>
          <w:color w:val="000000"/>
        </w:rPr>
      </w:pPr>
      <w:r>
        <w:rPr>
          <w:rFonts w:ascii="標楷體" w:eastAsia="標楷體" w:hAnsi="標楷體"/>
          <w:color w:val="000000"/>
        </w:rPr>
        <w:t>1.使用於經d-penicillamine治療耐受不佳之威爾森氏患者。</w:t>
      </w:r>
    </w:p>
    <w:p w14:paraId="09A075F4" w14:textId="77777777" w:rsidR="00BD776B" w:rsidRDefault="00DF0C24">
      <w:pPr>
        <w:snapToGrid w:val="0"/>
        <w:ind w:left="566"/>
        <w:rPr>
          <w:rFonts w:ascii="標楷體" w:eastAsia="標楷體" w:hAnsi="標楷體"/>
          <w:color w:val="000000"/>
        </w:rPr>
      </w:pPr>
      <w:r>
        <w:rPr>
          <w:rFonts w:ascii="標楷體" w:eastAsia="標楷體" w:hAnsi="標楷體"/>
          <w:color w:val="000000"/>
        </w:rPr>
        <w:t>2.需經事前審查核准後使用。</w:t>
      </w:r>
    </w:p>
    <w:p w14:paraId="6BD9C93C" w14:textId="77777777" w:rsidR="00BD776B" w:rsidRDefault="00DF0C24">
      <w:pPr>
        <w:snapToGrid w:val="0"/>
        <w:ind w:left="283"/>
        <w:rPr>
          <w:rFonts w:ascii="標楷體" w:eastAsia="標楷體" w:hAnsi="標楷體"/>
          <w:color w:val="000000"/>
        </w:rPr>
      </w:pPr>
      <w:r>
        <w:rPr>
          <w:rFonts w:ascii="標楷體" w:eastAsia="標楷體" w:hAnsi="標楷體"/>
          <w:color w:val="000000"/>
        </w:rPr>
        <w:t>11.2.5.Fomepizole (如Fomeject)：（107/11/1）</w:t>
      </w:r>
    </w:p>
    <w:p w14:paraId="1D09FA76" w14:textId="77777777" w:rsidR="00BD776B" w:rsidRDefault="00DF0C24">
      <w:pPr>
        <w:snapToGrid w:val="0"/>
        <w:ind w:left="566"/>
        <w:rPr>
          <w:rFonts w:ascii="標楷體" w:eastAsia="標楷體" w:hAnsi="標楷體"/>
          <w:color w:val="000000"/>
        </w:rPr>
      </w:pPr>
      <w:r>
        <w:rPr>
          <w:rFonts w:ascii="標楷體" w:eastAsia="標楷體" w:hAnsi="標楷體"/>
          <w:color w:val="000000"/>
        </w:rPr>
        <w:t>1.限下列病例使用：</w:t>
      </w:r>
    </w:p>
    <w:p w14:paraId="22DA377E" w14:textId="77777777" w:rsidR="00BD776B" w:rsidRDefault="00DF0C24">
      <w:pPr>
        <w:snapToGrid w:val="0"/>
        <w:ind w:left="806"/>
        <w:rPr>
          <w:rFonts w:ascii="標楷體" w:eastAsia="標楷體" w:hAnsi="標楷體"/>
          <w:color w:val="000000"/>
        </w:rPr>
      </w:pPr>
      <w:r>
        <w:rPr>
          <w:rFonts w:ascii="標楷體" w:eastAsia="標楷體" w:hAnsi="標楷體"/>
          <w:color w:val="000000"/>
        </w:rPr>
        <w:t>(1)甲醇中毒：</w:t>
      </w:r>
    </w:p>
    <w:p w14:paraId="288FA036"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Ⅰ.</w:t>
      </w:r>
      <w:r>
        <w:rPr>
          <w:rFonts w:ascii="標楷體" w:eastAsia="標楷體" w:hAnsi="標楷體"/>
          <w:color w:val="000000"/>
        </w:rPr>
        <w:tab/>
        <w:t>確認甲醇服用病史。</w:t>
      </w:r>
    </w:p>
    <w:p w14:paraId="2901FD61"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Ⅱ.</w:t>
      </w:r>
      <w:r>
        <w:rPr>
          <w:rFonts w:ascii="標楷體" w:eastAsia="標楷體" w:hAnsi="標楷體"/>
          <w:color w:val="000000"/>
        </w:rPr>
        <w:tab/>
        <w:t>血中甲醇濃度&gt;20mg/dL。</w:t>
      </w:r>
    </w:p>
    <w:p w14:paraId="4C6229D6"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Ⅲ.</w:t>
      </w:r>
      <w:r>
        <w:rPr>
          <w:rFonts w:ascii="標楷體" w:eastAsia="標楷體" w:hAnsi="標楷體"/>
          <w:color w:val="000000"/>
        </w:rPr>
        <w:tab/>
        <w:t>食入已達中毒劑量的甲醇且osmolal gap (OG) &gt;10mOsm/L。</w:t>
      </w:r>
    </w:p>
    <w:p w14:paraId="6CEBC809"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Ⅳ.</w:t>
      </w:r>
      <w:r>
        <w:rPr>
          <w:rFonts w:ascii="標楷體" w:eastAsia="標楷體" w:hAnsi="標楷體"/>
          <w:color w:val="000000"/>
        </w:rPr>
        <w:tab/>
        <w:t>臨床高度懷疑為甲醇中毒且下面三項指標中至少符合兩項：</w:t>
      </w:r>
    </w:p>
    <w:p w14:paraId="2C66048C" w14:textId="77777777" w:rsidR="00BD776B" w:rsidRDefault="00DF0C24">
      <w:pPr>
        <w:snapToGrid w:val="0"/>
        <w:ind w:left="1286"/>
        <w:rPr>
          <w:rFonts w:ascii="標楷體" w:eastAsia="標楷體" w:hAnsi="標楷體"/>
          <w:color w:val="000000"/>
        </w:rPr>
      </w:pPr>
      <w:r>
        <w:rPr>
          <w:rFonts w:ascii="標楷體" w:eastAsia="標楷體" w:hAnsi="標楷體"/>
          <w:color w:val="000000"/>
        </w:rPr>
        <w:t>i.血液pH &lt;7.3；</w:t>
      </w:r>
    </w:p>
    <w:p w14:paraId="60C92B53" w14:textId="77777777" w:rsidR="00BD776B" w:rsidRDefault="00DF0C24">
      <w:pPr>
        <w:snapToGrid w:val="0"/>
        <w:ind w:left="1286"/>
        <w:rPr>
          <w:rFonts w:ascii="標楷體" w:eastAsia="標楷體" w:hAnsi="標楷體"/>
          <w:color w:val="000000"/>
        </w:rPr>
      </w:pPr>
      <w:r>
        <w:rPr>
          <w:rFonts w:ascii="標楷體" w:eastAsia="標楷體" w:hAnsi="標楷體"/>
          <w:color w:val="000000"/>
        </w:rPr>
        <w:t>ii.血中bicarbonate &lt;20meq/L；</w:t>
      </w:r>
    </w:p>
    <w:p w14:paraId="208FFF66" w14:textId="77777777" w:rsidR="00BD776B" w:rsidRDefault="00DF0C24">
      <w:pPr>
        <w:snapToGrid w:val="0"/>
        <w:ind w:left="1286"/>
        <w:rPr>
          <w:rFonts w:ascii="標楷體" w:eastAsia="標楷體" w:hAnsi="標楷體"/>
          <w:color w:val="000000"/>
        </w:rPr>
      </w:pPr>
      <w:r>
        <w:rPr>
          <w:rFonts w:ascii="標楷體" w:eastAsia="標楷體" w:hAnsi="標楷體"/>
          <w:color w:val="000000"/>
        </w:rPr>
        <w:t>iii. Osmolal gap (OG) &gt;10mOsm/L。</w:t>
      </w:r>
    </w:p>
    <w:p w14:paraId="4F45A347" w14:textId="77777777" w:rsidR="00BD776B" w:rsidRDefault="00DF0C24">
      <w:pPr>
        <w:snapToGrid w:val="0"/>
        <w:ind w:left="806"/>
        <w:rPr>
          <w:rFonts w:ascii="標楷體" w:eastAsia="標楷體" w:hAnsi="標楷體"/>
          <w:color w:val="000000"/>
        </w:rPr>
      </w:pPr>
      <w:r>
        <w:rPr>
          <w:rFonts w:ascii="標楷體" w:eastAsia="標楷體" w:hAnsi="標楷體"/>
          <w:color w:val="000000"/>
        </w:rPr>
        <w:t>(2)乙二醇中毒：</w:t>
      </w:r>
    </w:p>
    <w:p w14:paraId="3D95AF9D"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Ⅰ.</w:t>
      </w:r>
      <w:r>
        <w:rPr>
          <w:rFonts w:ascii="標楷體" w:eastAsia="標楷體" w:hAnsi="標楷體"/>
          <w:color w:val="000000"/>
        </w:rPr>
        <w:tab/>
        <w:t>確認乙二醇服用病史。</w:t>
      </w:r>
    </w:p>
    <w:p w14:paraId="327EE530"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Ⅱ.</w:t>
      </w:r>
      <w:r>
        <w:rPr>
          <w:rFonts w:ascii="標楷體" w:eastAsia="標楷體" w:hAnsi="標楷體"/>
          <w:color w:val="000000"/>
        </w:rPr>
        <w:tab/>
        <w:t>血中乙二醇濃度&gt;20mg/dL。</w:t>
      </w:r>
    </w:p>
    <w:p w14:paraId="492B4365"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Ⅲ.</w:t>
      </w:r>
      <w:r>
        <w:rPr>
          <w:rFonts w:ascii="標楷體" w:eastAsia="標楷體" w:hAnsi="標楷體"/>
          <w:color w:val="000000"/>
        </w:rPr>
        <w:tab/>
        <w:t>食入已達中毒劑量的乙二醇且osmolal gap (OG) &gt;10mOsm/L。</w:t>
      </w:r>
    </w:p>
    <w:p w14:paraId="1BC5552E" w14:textId="77777777" w:rsidR="00BD776B" w:rsidRDefault="00DF0C24">
      <w:pPr>
        <w:snapToGrid w:val="0"/>
        <w:ind w:left="1046"/>
        <w:rPr>
          <w:rFonts w:ascii="標楷體" w:eastAsia="標楷體" w:hAnsi="標楷體"/>
          <w:color w:val="000000"/>
        </w:rPr>
      </w:pPr>
      <w:r>
        <w:rPr>
          <w:rFonts w:ascii="標楷體" w:eastAsia="標楷體" w:hAnsi="標楷體"/>
          <w:color w:val="000000"/>
        </w:rPr>
        <w:t>Ⅳ.</w:t>
      </w:r>
      <w:r>
        <w:rPr>
          <w:rFonts w:ascii="標楷體" w:eastAsia="標楷體" w:hAnsi="標楷體"/>
          <w:color w:val="000000"/>
        </w:rPr>
        <w:tab/>
        <w:t>臨床高度懷疑食入乙二醇且造成下列四項表徵中之三項：</w:t>
      </w:r>
    </w:p>
    <w:p w14:paraId="7C61973B" w14:textId="77777777" w:rsidR="00BD776B" w:rsidRDefault="00DF0C24">
      <w:pPr>
        <w:snapToGrid w:val="0"/>
        <w:ind w:left="1286"/>
        <w:rPr>
          <w:rFonts w:ascii="標楷體" w:eastAsia="標楷體" w:hAnsi="標楷體"/>
          <w:color w:val="000000"/>
        </w:rPr>
      </w:pPr>
      <w:r>
        <w:rPr>
          <w:rFonts w:ascii="標楷體" w:eastAsia="標楷體" w:hAnsi="標楷體"/>
          <w:color w:val="000000"/>
        </w:rPr>
        <w:t>i.血液pH &lt;7.3；</w:t>
      </w:r>
    </w:p>
    <w:p w14:paraId="46F3A440" w14:textId="77777777" w:rsidR="00BD776B" w:rsidRDefault="00DF0C24">
      <w:pPr>
        <w:snapToGrid w:val="0"/>
        <w:ind w:left="1286"/>
        <w:rPr>
          <w:rFonts w:ascii="標楷體" w:eastAsia="標楷體" w:hAnsi="標楷體"/>
          <w:color w:val="000000"/>
        </w:rPr>
      </w:pPr>
      <w:r>
        <w:rPr>
          <w:rFonts w:ascii="標楷體" w:eastAsia="標楷體" w:hAnsi="標楷體"/>
          <w:color w:val="000000"/>
        </w:rPr>
        <w:t>ii.血中 bicarbonate &lt;20meq/L；</w:t>
      </w:r>
    </w:p>
    <w:p w14:paraId="0BF101CC" w14:textId="77777777" w:rsidR="00BD776B" w:rsidRDefault="00DF0C24">
      <w:pPr>
        <w:snapToGrid w:val="0"/>
        <w:ind w:left="1286"/>
        <w:rPr>
          <w:rFonts w:ascii="標楷體" w:eastAsia="標楷體" w:hAnsi="標楷體"/>
          <w:color w:val="000000"/>
        </w:rPr>
      </w:pPr>
      <w:r>
        <w:rPr>
          <w:rFonts w:ascii="標楷體" w:eastAsia="標楷體" w:hAnsi="標楷體"/>
          <w:color w:val="000000"/>
        </w:rPr>
        <w:t>iii. Osmolal gap (OG) &gt;10mOsm/L；</w:t>
      </w:r>
    </w:p>
    <w:p w14:paraId="37DE9AB8" w14:textId="77777777" w:rsidR="00BD776B" w:rsidRDefault="00DF0C24">
      <w:pPr>
        <w:snapToGrid w:val="0"/>
        <w:ind w:left="1286"/>
        <w:rPr>
          <w:rFonts w:ascii="標楷體" w:eastAsia="標楷體" w:hAnsi="標楷體"/>
          <w:color w:val="000000"/>
        </w:rPr>
      </w:pPr>
      <w:r>
        <w:rPr>
          <w:rFonts w:ascii="標楷體" w:eastAsia="標楷體" w:hAnsi="標楷體"/>
          <w:color w:val="000000"/>
        </w:rPr>
        <w:t>iv.尿液檢查結果有草酸結晶。</w:t>
      </w:r>
    </w:p>
    <w:p w14:paraId="71E253BE" w14:textId="77777777" w:rsidR="00BD776B" w:rsidRDefault="00DF0C24">
      <w:pPr>
        <w:snapToGrid w:val="0"/>
        <w:ind w:left="806"/>
        <w:rPr>
          <w:rFonts w:ascii="標楷體" w:eastAsia="標楷體" w:hAnsi="標楷體"/>
          <w:color w:val="000000"/>
        </w:rPr>
      </w:pPr>
      <w:r>
        <w:rPr>
          <w:rFonts w:ascii="標楷體" w:eastAsia="標楷體" w:hAnsi="標楷體"/>
          <w:color w:val="000000"/>
        </w:rPr>
        <w:t>(3)上述檢驗資料應於病歷詳細記載。</w:t>
      </w:r>
    </w:p>
    <w:p w14:paraId="12B38421" w14:textId="77777777" w:rsidR="00BD776B" w:rsidRDefault="00DF0C24">
      <w:pPr>
        <w:snapToGrid w:val="0"/>
        <w:ind w:left="566"/>
        <w:rPr>
          <w:rFonts w:ascii="標楷體" w:eastAsia="標楷體" w:hAnsi="標楷體"/>
          <w:color w:val="000000"/>
        </w:rPr>
      </w:pPr>
      <w:r>
        <w:rPr>
          <w:rFonts w:ascii="標楷體" w:eastAsia="標楷體" w:hAnsi="標楷體"/>
          <w:color w:val="000000"/>
        </w:rPr>
        <w:t>2.需排除或停止使用之情形如下：</w:t>
      </w:r>
    </w:p>
    <w:p w14:paraId="0BE0B33E" w14:textId="77777777" w:rsidR="00BD776B" w:rsidRDefault="00DF0C24">
      <w:pPr>
        <w:snapToGrid w:val="0"/>
        <w:ind w:left="806"/>
        <w:rPr>
          <w:rFonts w:ascii="標楷體" w:eastAsia="標楷體" w:hAnsi="標楷體"/>
          <w:color w:val="000000"/>
        </w:rPr>
      </w:pPr>
      <w:r>
        <w:rPr>
          <w:rFonts w:ascii="標楷體" w:eastAsia="標楷體" w:hAnsi="標楷體"/>
          <w:color w:val="000000"/>
        </w:rPr>
        <w:t>(1)血中甲醇或乙二醇濃度濃度低於20mg/dL；</w:t>
      </w:r>
    </w:p>
    <w:p w14:paraId="46490F6A" w14:textId="77777777" w:rsidR="00BD776B" w:rsidRDefault="00DF0C24">
      <w:pPr>
        <w:snapToGrid w:val="0"/>
        <w:ind w:left="806"/>
        <w:rPr>
          <w:rFonts w:ascii="標楷體" w:eastAsia="標楷體" w:hAnsi="標楷體"/>
          <w:color w:val="000000"/>
        </w:rPr>
      </w:pPr>
      <w:r>
        <w:rPr>
          <w:rFonts w:ascii="標楷體" w:eastAsia="標楷體" w:hAnsi="標楷體"/>
          <w:color w:val="000000"/>
        </w:rPr>
        <w:t>(2)已知對fomepizole或其他pyrazoles過敏。</w:t>
      </w:r>
    </w:p>
    <w:p w14:paraId="7BE130B1" w14:textId="77777777" w:rsidR="00BD776B" w:rsidRDefault="00BD776B">
      <w:pPr>
        <w:pageBreakBefore/>
        <w:widowControl/>
        <w:suppressAutoHyphens w:val="0"/>
        <w:rPr>
          <w:rFonts w:ascii="標楷體" w:eastAsia="標楷體" w:hAnsi="標楷體"/>
          <w:color w:val="000000"/>
        </w:rPr>
        <w:sectPr w:rsidR="00BD776B" w:rsidSect="007E1772">
          <w:footerReference w:type="default" r:id="rId11"/>
          <w:pgSz w:w="11906" w:h="16838"/>
          <w:pgMar w:top="1418" w:right="1418" w:bottom="1418" w:left="1418" w:header="720" w:footer="720" w:gutter="0"/>
          <w:cols w:space="720"/>
          <w:docGrid w:type="lines"/>
        </w:sectPr>
      </w:pPr>
    </w:p>
    <w:p w14:paraId="0915F8AE" w14:textId="77777777" w:rsidR="00BD776B" w:rsidRDefault="00DF0C24">
      <w:pPr>
        <w:pStyle w:val="2"/>
      </w:pPr>
      <w:r>
        <w:lastRenderedPageBreak/>
        <w:t>第12節 耳鼻喉科製劑 ENT and dental preparations</w:t>
      </w:r>
    </w:p>
    <w:p w14:paraId="2AF1E0C9" w14:textId="77777777" w:rsidR="00BD776B" w:rsidRDefault="00BD776B">
      <w:pPr>
        <w:snapToGrid w:val="0"/>
        <w:spacing w:line="400" w:lineRule="exact"/>
        <w:rPr>
          <w:rFonts w:ascii="標楷體" w:eastAsia="標楷體" w:hAnsi="標楷體"/>
          <w:b/>
          <w:bCs/>
          <w:color w:val="000000"/>
          <w:sz w:val="32"/>
          <w:szCs w:val="32"/>
        </w:rPr>
      </w:pPr>
    </w:p>
    <w:p w14:paraId="1C4953FE"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12.1.Beclomethasone cap. for spray (如Salcoat)（87/10/1）：</w:t>
      </w:r>
    </w:p>
    <w:p w14:paraId="4427EA00"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限因口腔放射線治療或化學治療產生大面積口腔潰爛之病人使用。</w:t>
      </w:r>
    </w:p>
    <w:p w14:paraId="4A48DAB7"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12.2.Sod. monofluorophosphate, sod. fluoride gel (如Fluocaril gel)：</w:t>
      </w:r>
    </w:p>
    <w:p w14:paraId="67FB7AB7"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限住院治療及門診追蹤複查之口腔癌病例，以及放射治療之鼻咽癌或骨髓移植病例使用。</w:t>
      </w:r>
    </w:p>
    <w:p w14:paraId="359FAF53"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12.3.Ofloxacin (如Tarivid Otic Solution)：(88/8/1)</w:t>
      </w:r>
    </w:p>
    <w:p w14:paraId="4A15CBC2"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1.有耳膜穿孔之急慢性中耳炎病患，每次處方以一瓶(十日)為原則。</w:t>
      </w:r>
    </w:p>
    <w:p w14:paraId="4136ABB1"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2.其他耳部感染症如外耳炎等，若經使用第一線抗微生物製劑無效，且有病歷詳細記載者方得使用。</w:t>
      </w:r>
    </w:p>
    <w:p w14:paraId="69657373"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12.4.Ciprofloxacin +hydrocortisone (如Siproxan Otic Drops)(97/4/1)</w:t>
      </w:r>
    </w:p>
    <w:p w14:paraId="740AEDEC"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1.耳部感染症如外耳炎等，若經使用第一線抗微生物製劑無效，且有病歷詳細記載者方得使用</w:t>
      </w:r>
    </w:p>
    <w:p w14:paraId="62566D32" w14:textId="77777777" w:rsidR="00BD776B" w:rsidRDefault="00DF0C24">
      <w:pPr>
        <w:snapToGrid w:val="0"/>
        <w:ind w:left="811" w:hanging="245"/>
        <w:rPr>
          <w:rFonts w:ascii="標楷體" w:eastAsia="標楷體" w:hAnsi="標楷體"/>
          <w:color w:val="000000"/>
        </w:rPr>
      </w:pPr>
      <w:r>
        <w:rPr>
          <w:rFonts w:ascii="標楷體" w:eastAsia="標楷體" w:hAnsi="標楷體"/>
          <w:color w:val="000000"/>
        </w:rPr>
        <w:t>2.每次處方以一瓶為原則。</w:t>
      </w:r>
    </w:p>
    <w:p w14:paraId="28A7F7C0" w14:textId="77777777" w:rsidR="00BD776B" w:rsidRDefault="00BD776B">
      <w:pPr>
        <w:pageBreakBefore/>
        <w:widowControl/>
        <w:suppressAutoHyphens w:val="0"/>
        <w:rPr>
          <w:rFonts w:ascii="標楷體" w:eastAsia="標楷體" w:hAnsi="標楷體"/>
          <w:color w:val="000000"/>
        </w:rPr>
      </w:pPr>
    </w:p>
    <w:p w14:paraId="4ED83965" w14:textId="56513A22" w:rsidR="00BD776B" w:rsidRPr="007F053F" w:rsidRDefault="007F053F" w:rsidP="007F053F">
      <w:pPr>
        <w:pStyle w:val="2"/>
      </w:pPr>
      <w:r w:rsidRPr="00E26F17">
        <w:t>第13節 皮膚科製劑 Dermatological preparations</w:t>
      </w:r>
    </w:p>
    <w:p w14:paraId="581EBDD1" w14:textId="77777777" w:rsidR="00BD776B" w:rsidRDefault="00BD776B">
      <w:pPr>
        <w:spacing w:line="400" w:lineRule="exact"/>
        <w:jc w:val="center"/>
        <w:rPr>
          <w:rFonts w:ascii="標楷體" w:eastAsia="標楷體" w:hAnsi="標楷體"/>
          <w:b/>
          <w:bCs/>
          <w:color w:val="000000"/>
          <w:sz w:val="32"/>
          <w:szCs w:val="32"/>
        </w:rPr>
      </w:pPr>
    </w:p>
    <w:p w14:paraId="2E64EADF" w14:textId="77777777" w:rsidR="00BD776B" w:rsidRDefault="00DF0C24">
      <w:pPr>
        <w:ind w:left="432" w:hanging="386"/>
        <w:rPr>
          <w:rFonts w:ascii="標楷體" w:eastAsia="標楷體" w:hAnsi="標楷體"/>
          <w:color w:val="000000"/>
        </w:rPr>
      </w:pPr>
      <w:r>
        <w:rPr>
          <w:rFonts w:ascii="標楷體" w:eastAsia="標楷體" w:hAnsi="標楷體"/>
          <w:color w:val="000000"/>
        </w:rPr>
        <w:t>13.1.(刪除)(104/6/1)</w:t>
      </w:r>
    </w:p>
    <w:p w14:paraId="70932EB9" w14:textId="77777777" w:rsidR="00BD776B" w:rsidRDefault="00DF0C24">
      <w:pPr>
        <w:ind w:left="432" w:hanging="386"/>
        <w:rPr>
          <w:rFonts w:ascii="標楷體" w:eastAsia="標楷體" w:hAnsi="標楷體"/>
          <w:color w:val="000000"/>
        </w:rPr>
      </w:pPr>
      <w:r>
        <w:rPr>
          <w:rFonts w:ascii="標楷體" w:eastAsia="標楷體" w:hAnsi="標楷體"/>
          <w:color w:val="000000"/>
        </w:rPr>
        <w:t>13.2.Cadexomer iodine（如Iodosorb powder）：（87/4/1）</w:t>
      </w:r>
    </w:p>
    <w:p w14:paraId="59745482" w14:textId="77777777" w:rsidR="00BD776B" w:rsidRDefault="00DF0C24">
      <w:pPr>
        <w:ind w:left="798" w:hanging="1"/>
        <w:rPr>
          <w:rFonts w:ascii="標楷體" w:eastAsia="標楷體" w:hAnsi="標楷體"/>
          <w:color w:val="000000"/>
        </w:rPr>
      </w:pPr>
      <w:r>
        <w:rPr>
          <w:rFonts w:ascii="標楷體" w:eastAsia="標楷體" w:hAnsi="標楷體"/>
          <w:color w:val="000000"/>
        </w:rPr>
        <w:t>限慢性腿部潰瘍病例及慢性感染性潰瘍傷口使用，每日用量超過一包時，需檢附傷口照片以利審查。</w:t>
      </w:r>
    </w:p>
    <w:p w14:paraId="5EDAEF3E" w14:textId="77777777" w:rsidR="00BD776B" w:rsidRDefault="00DF0C24">
      <w:pPr>
        <w:ind w:left="432" w:hanging="386"/>
        <w:rPr>
          <w:rFonts w:ascii="標楷體" w:eastAsia="標楷體" w:hAnsi="標楷體"/>
          <w:color w:val="000000"/>
        </w:rPr>
      </w:pPr>
      <w:r>
        <w:rPr>
          <w:rFonts w:ascii="標楷體" w:eastAsia="標楷體" w:hAnsi="標楷體"/>
          <w:color w:val="000000"/>
        </w:rPr>
        <w:t>13.3.Calcipotriol外用製劑：（87/4/1、89/2/1、94/3/1、94/5/1、99/12/1、109/10/1）</w:t>
      </w:r>
    </w:p>
    <w:p w14:paraId="10190C92" w14:textId="77777777" w:rsidR="00BD776B" w:rsidRDefault="00DF0C24">
      <w:pPr>
        <w:ind w:left="432" w:hanging="386"/>
        <w:rPr>
          <w:rFonts w:ascii="標楷體" w:eastAsia="標楷體" w:hAnsi="標楷體"/>
          <w:color w:val="000000"/>
        </w:rPr>
      </w:pPr>
      <w:r>
        <w:rPr>
          <w:rFonts w:ascii="標楷體" w:eastAsia="標楷體" w:hAnsi="標楷體"/>
          <w:color w:val="000000"/>
        </w:rPr>
        <w:t>13.3.1.Calcipotriol外用單方製劑（87/4/1、89/2/1、94/3/1、99/12/1）</w:t>
      </w:r>
    </w:p>
    <w:p w14:paraId="2C03F7DC" w14:textId="77777777" w:rsidR="00BD776B" w:rsidRDefault="00DF0C24">
      <w:pPr>
        <w:ind w:left="798" w:hanging="1"/>
        <w:rPr>
          <w:rFonts w:ascii="標楷體" w:eastAsia="標楷體" w:hAnsi="標楷體"/>
          <w:color w:val="000000"/>
        </w:rPr>
      </w:pPr>
      <w:r>
        <w:rPr>
          <w:rFonts w:ascii="標楷體" w:eastAsia="標楷體" w:hAnsi="標楷體"/>
          <w:color w:val="000000"/>
        </w:rPr>
        <w:t>限確經診斷為尋常性牛皮癬（psoriasis）之病例使用，使用量以每星期不高於30gm或30mL為原則，若因病情需要使用量需超過每星期 30gm或30mL者，應於病歷詳細記錄理由。</w:t>
      </w:r>
    </w:p>
    <w:p w14:paraId="2F487CF4" w14:textId="77777777" w:rsidR="00BD776B" w:rsidRDefault="00DF0C24">
      <w:pPr>
        <w:ind w:left="526" w:hanging="480"/>
        <w:rPr>
          <w:rFonts w:ascii="標楷體" w:eastAsia="標楷體" w:hAnsi="標楷體"/>
          <w:color w:val="000000"/>
        </w:rPr>
      </w:pPr>
      <w:r>
        <w:rPr>
          <w:rFonts w:ascii="標楷體" w:eastAsia="標楷體" w:hAnsi="標楷體"/>
          <w:color w:val="000000"/>
        </w:rPr>
        <w:t>13.3.2.含calcipotriol 及類固醇之外用複方製劑（如Daivobet）（94/5/1、99/12/1、109/10/1）</w:t>
      </w:r>
    </w:p>
    <w:p w14:paraId="0AEE61CE" w14:textId="77777777" w:rsidR="00BD776B" w:rsidRDefault="00DF0C24">
      <w:pPr>
        <w:ind w:left="811" w:hanging="245"/>
        <w:rPr>
          <w:rFonts w:ascii="標楷體" w:eastAsia="標楷體" w:hAnsi="標楷體"/>
          <w:color w:val="000000"/>
        </w:rPr>
      </w:pPr>
      <w:r>
        <w:rPr>
          <w:rFonts w:ascii="標楷體" w:eastAsia="標楷體" w:hAnsi="標楷體"/>
          <w:color w:val="000000"/>
        </w:rPr>
        <w:t>1.限確經診斷為尋常性牛皮癬（psoriasis）之病例使用，使用量以每星期不高於30gm為原則，若因病情需要使用量需超過每星期30gm 者，應於病歷詳細記錄理由。</w:t>
      </w:r>
    </w:p>
    <w:p w14:paraId="762AC20C" w14:textId="77777777" w:rsidR="00BD776B" w:rsidRDefault="00DF0C24">
      <w:pPr>
        <w:ind w:left="811" w:hanging="245"/>
        <w:rPr>
          <w:rFonts w:ascii="標楷體" w:eastAsia="標楷體" w:hAnsi="標楷體"/>
          <w:color w:val="000000"/>
        </w:rPr>
      </w:pPr>
      <w:r>
        <w:rPr>
          <w:rFonts w:ascii="標楷體" w:eastAsia="標楷體" w:hAnsi="標楷體"/>
          <w:color w:val="000000"/>
        </w:rPr>
        <w:t>2.若因病情需要需連續使用超過8週者，應於病歷詳細記錄理由。（109/10/1）</w:t>
      </w:r>
    </w:p>
    <w:p w14:paraId="616338A0" w14:textId="77777777" w:rsidR="00BD776B" w:rsidRDefault="00DF0C24">
      <w:pPr>
        <w:ind w:left="432" w:hanging="386"/>
        <w:rPr>
          <w:rFonts w:ascii="標楷體" w:eastAsia="標楷體" w:hAnsi="標楷體"/>
          <w:color w:val="000000"/>
        </w:rPr>
      </w:pPr>
      <w:r>
        <w:rPr>
          <w:rFonts w:ascii="標楷體" w:eastAsia="標楷體" w:hAnsi="標楷體"/>
          <w:color w:val="000000"/>
        </w:rPr>
        <w:t>13.3.3與tazarotene併用，兩者合計總量每星期不超過30gm或30mL，若因病情需要兩者合併使用量需超過每星期30gm 者，應於病歷詳細記錄理由。(99/12/1)</w:t>
      </w:r>
    </w:p>
    <w:p w14:paraId="36802C1D" w14:textId="77777777" w:rsidR="00BD776B" w:rsidRDefault="00DF0C24">
      <w:pPr>
        <w:ind w:left="432" w:hanging="386"/>
        <w:rPr>
          <w:rFonts w:ascii="標楷體" w:eastAsia="標楷體" w:hAnsi="標楷體"/>
          <w:color w:val="000000"/>
        </w:rPr>
      </w:pPr>
      <w:r>
        <w:rPr>
          <w:rFonts w:ascii="標楷體" w:eastAsia="標楷體" w:hAnsi="標楷體"/>
          <w:color w:val="000000"/>
        </w:rPr>
        <w:t>13.4.Isotretinoin口服製劑 (如Roaccutane)：（86/9/1、87/4/1、94/3/1）</w:t>
      </w:r>
    </w:p>
    <w:p w14:paraId="6E293424" w14:textId="77777777" w:rsidR="00BD776B" w:rsidRDefault="00DF0C24">
      <w:pPr>
        <w:ind w:left="811" w:hanging="245"/>
        <w:rPr>
          <w:rFonts w:ascii="標楷體" w:eastAsia="標楷體" w:hAnsi="標楷體"/>
          <w:color w:val="000000"/>
        </w:rPr>
      </w:pPr>
      <w:r>
        <w:rPr>
          <w:rFonts w:ascii="標楷體" w:eastAsia="標楷體" w:hAnsi="標楷體"/>
          <w:color w:val="000000"/>
        </w:rPr>
        <w:t>1.限皮膚科專科醫師使用。</w:t>
      </w:r>
    </w:p>
    <w:p w14:paraId="3DC24097" w14:textId="77777777" w:rsidR="00BD776B" w:rsidRDefault="00DF0C24">
      <w:pPr>
        <w:ind w:left="811" w:hanging="245"/>
        <w:rPr>
          <w:rFonts w:ascii="標楷體" w:eastAsia="標楷體" w:hAnsi="標楷體"/>
          <w:color w:val="000000"/>
        </w:rPr>
      </w:pPr>
      <w:r>
        <w:rPr>
          <w:rFonts w:ascii="標楷體" w:eastAsia="標楷體" w:hAnsi="標楷體"/>
          <w:color w:val="000000"/>
        </w:rPr>
        <w:t>2.需檢附病人之服藥同意書 (詳附表十)，以及經傳統治療無效之病歷資料或治療前之照片，經事前審查核准後使用。</w:t>
      </w:r>
    </w:p>
    <w:p w14:paraId="6034AFE7" w14:textId="77777777" w:rsidR="00BD776B" w:rsidRDefault="00DF0C24">
      <w:pPr>
        <w:ind w:left="811" w:hanging="245"/>
        <w:rPr>
          <w:rFonts w:ascii="標楷體" w:eastAsia="標楷體" w:hAnsi="標楷體"/>
          <w:color w:val="000000"/>
        </w:rPr>
      </w:pPr>
      <w:r>
        <w:rPr>
          <w:rFonts w:ascii="標楷體" w:eastAsia="標楷體" w:hAnsi="標楷體"/>
          <w:color w:val="000000"/>
        </w:rPr>
        <w:t>3.每次申請以一療程為限，若需再次療程，請檢附原來照片與最近照片再次申請事前審查核准後使用（每一療程最高總劑量為100 mg –120 mg/kg，於四至六個月完成)。</w:t>
      </w:r>
    </w:p>
    <w:p w14:paraId="604D22F5" w14:textId="77777777" w:rsidR="00BD776B" w:rsidRDefault="00DF0C24">
      <w:pPr>
        <w:ind w:left="432" w:hanging="386"/>
        <w:rPr>
          <w:rFonts w:ascii="標楷體" w:eastAsia="標楷體" w:hAnsi="標楷體"/>
          <w:color w:val="000000"/>
        </w:rPr>
      </w:pPr>
      <w:r>
        <w:rPr>
          <w:rFonts w:ascii="標楷體" w:eastAsia="標楷體" w:hAnsi="標楷體"/>
          <w:color w:val="000000"/>
        </w:rPr>
        <w:t>13.5.Acitretin（如Neotigason）：(87/11/1)</w:t>
      </w:r>
    </w:p>
    <w:p w14:paraId="0A42FC61" w14:textId="77777777" w:rsidR="00BD776B" w:rsidRDefault="00DF0C24">
      <w:pPr>
        <w:ind w:left="798" w:hanging="1"/>
        <w:rPr>
          <w:rFonts w:ascii="標楷體" w:eastAsia="標楷體" w:hAnsi="標楷體"/>
          <w:color w:val="000000"/>
        </w:rPr>
      </w:pPr>
      <w:r>
        <w:rPr>
          <w:rFonts w:ascii="標楷體" w:eastAsia="標楷體" w:hAnsi="標楷體"/>
          <w:color w:val="000000"/>
        </w:rPr>
        <w:t>申報費用時需檢具病患同意書 (附表十一)，並檢送含確定診斷之詳細病歷資料，俾利審查。</w:t>
      </w:r>
    </w:p>
    <w:p w14:paraId="46D8D3E1" w14:textId="77777777" w:rsidR="00BD776B" w:rsidRDefault="00DF0C24">
      <w:pPr>
        <w:ind w:left="432" w:hanging="386"/>
        <w:rPr>
          <w:rFonts w:ascii="標楷體" w:eastAsia="標楷體" w:hAnsi="標楷體"/>
          <w:color w:val="000000"/>
        </w:rPr>
      </w:pPr>
      <w:r>
        <w:rPr>
          <w:rFonts w:ascii="標楷體" w:eastAsia="標楷體" w:hAnsi="標楷體"/>
          <w:color w:val="000000"/>
        </w:rPr>
        <w:t>13.6.Methoxsalen製劑：(87/11/1)</w:t>
      </w:r>
    </w:p>
    <w:p w14:paraId="074532E3" w14:textId="77777777" w:rsidR="00BD776B" w:rsidRDefault="00DF0C24">
      <w:pPr>
        <w:ind w:left="798" w:hanging="1"/>
        <w:rPr>
          <w:rFonts w:ascii="標楷體" w:eastAsia="標楷體" w:hAnsi="標楷體"/>
          <w:color w:val="000000"/>
        </w:rPr>
      </w:pPr>
      <w:r>
        <w:rPr>
          <w:rFonts w:ascii="標楷體" w:eastAsia="標楷體" w:hAnsi="標楷體"/>
          <w:color w:val="000000"/>
        </w:rPr>
        <w:t>限皮膚科專科醫師使用於PUVA治療 (配合紫外線照射)，申報費用時需檢送含確定診斷之詳細病歷資料，俾利審查。</w:t>
      </w:r>
    </w:p>
    <w:p w14:paraId="04BDE145" w14:textId="77777777" w:rsidR="00BD776B" w:rsidRDefault="00DF0C24">
      <w:pPr>
        <w:ind w:left="432" w:hanging="386"/>
        <w:rPr>
          <w:rFonts w:ascii="標楷體" w:eastAsia="標楷體" w:hAnsi="標楷體"/>
          <w:color w:val="000000"/>
        </w:rPr>
      </w:pPr>
      <w:r>
        <w:rPr>
          <w:rFonts w:ascii="標楷體" w:eastAsia="標楷體" w:hAnsi="標楷體"/>
          <w:color w:val="000000"/>
        </w:rPr>
        <w:t>13.7.Doxepin HCl cream (如Ichderm)：(88/6/1)</w:t>
      </w:r>
    </w:p>
    <w:p w14:paraId="0377CD64" w14:textId="77777777" w:rsidR="00BD776B" w:rsidRDefault="00DF0C24">
      <w:pPr>
        <w:ind w:left="798" w:hanging="1"/>
        <w:rPr>
          <w:rFonts w:ascii="標楷體" w:eastAsia="標楷體" w:hAnsi="標楷體"/>
          <w:color w:val="000000"/>
        </w:rPr>
      </w:pPr>
      <w:r>
        <w:rPr>
          <w:rFonts w:ascii="標楷體" w:eastAsia="標楷體" w:hAnsi="標楷體"/>
          <w:color w:val="000000"/>
        </w:rPr>
        <w:t>限成人使用，每次處方不超過七天。</w:t>
      </w:r>
    </w:p>
    <w:p w14:paraId="260F2715" w14:textId="77777777" w:rsidR="00BD776B" w:rsidRDefault="00DF0C24">
      <w:pPr>
        <w:ind w:left="432" w:hanging="386"/>
        <w:rPr>
          <w:rFonts w:ascii="標楷體" w:eastAsia="標楷體" w:hAnsi="標楷體"/>
          <w:color w:val="000000"/>
        </w:rPr>
      </w:pPr>
      <w:r>
        <w:rPr>
          <w:rFonts w:ascii="標楷體" w:eastAsia="標楷體" w:hAnsi="標楷體"/>
          <w:color w:val="000000"/>
        </w:rPr>
        <w:t>13.8.Tazarotene外用製劑：(91/4/1、99/12/1、101/2/1)</w:t>
      </w:r>
    </w:p>
    <w:p w14:paraId="2E5B1B7C" w14:textId="77777777" w:rsidR="00BD776B" w:rsidRDefault="00DF0C24">
      <w:pPr>
        <w:ind w:left="811" w:hanging="245"/>
        <w:rPr>
          <w:rFonts w:ascii="標楷體" w:eastAsia="標楷體" w:hAnsi="標楷體"/>
          <w:color w:val="000000"/>
        </w:rPr>
      </w:pPr>
      <w:r>
        <w:rPr>
          <w:rFonts w:ascii="標楷體" w:eastAsia="標楷體" w:hAnsi="標楷體"/>
          <w:color w:val="000000"/>
        </w:rPr>
        <w:t>1.限乾癬之病例使用。</w:t>
      </w:r>
    </w:p>
    <w:p w14:paraId="783A2921" w14:textId="77777777" w:rsidR="00BD776B" w:rsidRDefault="00DF0C24">
      <w:pPr>
        <w:ind w:left="811" w:hanging="245"/>
        <w:rPr>
          <w:rFonts w:ascii="標楷體" w:eastAsia="標楷體" w:hAnsi="標楷體"/>
          <w:color w:val="000000"/>
        </w:rPr>
      </w:pPr>
      <w:r>
        <w:rPr>
          <w:rFonts w:ascii="標楷體" w:eastAsia="標楷體" w:hAnsi="標楷體"/>
          <w:color w:val="000000"/>
        </w:rPr>
        <w:t>2.使用量以每星期不高於30gm為原則。若因病情需要，使用量需超過每星期30gm者，應於病歷詳細記載理由。(99/12/1)</w:t>
      </w:r>
    </w:p>
    <w:p w14:paraId="6A48C2F5" w14:textId="77777777" w:rsidR="00BD776B" w:rsidRDefault="00DF0C24">
      <w:pPr>
        <w:ind w:left="811" w:hanging="245"/>
        <w:rPr>
          <w:rFonts w:ascii="標楷體" w:eastAsia="標楷體" w:hAnsi="標楷體"/>
          <w:color w:val="000000"/>
        </w:rPr>
      </w:pPr>
      <w:r>
        <w:rPr>
          <w:rFonts w:ascii="標楷體" w:eastAsia="標楷體" w:hAnsi="標楷體"/>
          <w:color w:val="000000"/>
        </w:rPr>
        <w:t>3.與calcitriol (或calcipotriol)併用，兩者合計總量每星期不超過30gm或30mL，若因病情需要兩者合併使用量需超過每星期30gm 者，應於病歷詳細記載理由。(99/12/1)</w:t>
      </w:r>
    </w:p>
    <w:p w14:paraId="046C2778" w14:textId="77777777" w:rsidR="00BD776B" w:rsidRDefault="00DF0C24">
      <w:pPr>
        <w:ind w:left="432" w:hanging="386"/>
        <w:rPr>
          <w:rFonts w:ascii="標楷體" w:eastAsia="標楷體" w:hAnsi="標楷體"/>
          <w:color w:val="000000"/>
        </w:rPr>
      </w:pPr>
      <w:r>
        <w:rPr>
          <w:rFonts w:ascii="標楷體" w:eastAsia="標楷體" w:hAnsi="標楷體"/>
          <w:color w:val="000000"/>
        </w:rPr>
        <w:t>13.9.Calcitriol (如Silkis ointment)：(92/11/1、93/9/1、99/12/1)</w:t>
      </w:r>
    </w:p>
    <w:p w14:paraId="4432E0BD"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1.限用於小於35%體表面積之輕度至中重度乾癬之病例，使用量以每星期不高於30gm為原則，若因病情需要使用量需超過每星期30gm者，應於病歷詳細記錄理由。其面積計算:依照rule of nines計算法。（同13.10備註1）</w:t>
      </w:r>
    </w:p>
    <w:p w14:paraId="6EE48AB3" w14:textId="77777777" w:rsidR="00BD776B" w:rsidRDefault="00DF0C24">
      <w:pPr>
        <w:ind w:left="811" w:hanging="245"/>
        <w:rPr>
          <w:rFonts w:ascii="標楷體" w:eastAsia="標楷體" w:hAnsi="標楷體"/>
          <w:color w:val="000000"/>
        </w:rPr>
      </w:pPr>
      <w:r>
        <w:rPr>
          <w:rFonts w:ascii="標楷體" w:eastAsia="標楷體" w:hAnsi="標楷體"/>
          <w:color w:val="000000"/>
        </w:rPr>
        <w:lastRenderedPageBreak/>
        <w:t>2.與tazarotene併用，兩者合計總量每星期不超過30gm或30mL，若因病情需要兩者合併使用量需超過每星期30gm者，應於病歷詳細記錄理由。</w:t>
      </w:r>
    </w:p>
    <w:p w14:paraId="50A9DF46" w14:textId="77777777" w:rsidR="00BD776B" w:rsidRDefault="00DF0C24">
      <w:pPr>
        <w:ind w:left="811" w:hanging="245"/>
        <w:rPr>
          <w:rFonts w:ascii="標楷體" w:eastAsia="標楷體" w:hAnsi="標楷體"/>
          <w:color w:val="000000"/>
        </w:rPr>
      </w:pPr>
      <w:r>
        <w:rPr>
          <w:rFonts w:ascii="標楷體" w:eastAsia="標楷體" w:hAnsi="標楷體"/>
          <w:color w:val="000000"/>
        </w:rPr>
        <w:t>(99/12/1)</w:t>
      </w:r>
    </w:p>
    <w:p w14:paraId="1FE77026" w14:textId="77777777" w:rsidR="00BD776B" w:rsidRDefault="00DF0C24">
      <w:pPr>
        <w:ind w:left="432" w:hanging="386"/>
        <w:rPr>
          <w:rFonts w:ascii="標楷體" w:eastAsia="標楷體" w:hAnsi="標楷體"/>
          <w:color w:val="000000"/>
        </w:rPr>
      </w:pPr>
      <w:r>
        <w:rPr>
          <w:rFonts w:ascii="標楷體" w:eastAsia="標楷體" w:hAnsi="標楷體"/>
          <w:color w:val="000000"/>
        </w:rPr>
        <w:t xml:space="preserve">13.10.Tacrolimus (如Protopic Ointment )：(91/12/1、93/8/1、95/7/1、99/12/1、111/2/1) </w:t>
      </w:r>
    </w:p>
    <w:p w14:paraId="0CC634FB" w14:textId="77777777" w:rsidR="00BD776B" w:rsidRDefault="00DF0C24">
      <w:pPr>
        <w:ind w:left="558" w:hanging="1"/>
        <w:rPr>
          <w:rFonts w:ascii="標楷體" w:eastAsia="標楷體" w:hAnsi="標楷體"/>
          <w:color w:val="000000"/>
        </w:rPr>
      </w:pPr>
      <w:r>
        <w:rPr>
          <w:rFonts w:ascii="標楷體" w:eastAsia="標楷體" w:hAnsi="標楷體"/>
          <w:color w:val="000000"/>
        </w:rPr>
        <w:t>限2歲以上因為潛在危險而不宜使用其他傳統治療、或對其他傳統治療反應不充分、或無法耐受其他傳統治療且患部面積&gt;30%之中、重度異位性皮膚炎之下列病患第二線使用(95/7/1、111/2/1)</w:t>
      </w:r>
    </w:p>
    <w:p w14:paraId="2AEB2620" w14:textId="77777777" w:rsidR="00BD776B" w:rsidRDefault="00DF0C24">
      <w:pPr>
        <w:ind w:left="811" w:hanging="245"/>
        <w:rPr>
          <w:rFonts w:ascii="標楷體" w:eastAsia="標楷體" w:hAnsi="標楷體"/>
          <w:color w:val="000000"/>
        </w:rPr>
      </w:pPr>
      <w:r>
        <w:rPr>
          <w:rFonts w:ascii="標楷體" w:eastAsia="標楷體" w:hAnsi="標楷體"/>
          <w:color w:val="000000"/>
        </w:rPr>
        <w:t>1.成人患部面積30%~50%，每星期不超過30gm；患部面積&gt;50%，每星期不超過60gm。(99/12/1)</w:t>
      </w:r>
    </w:p>
    <w:p w14:paraId="1A226229" w14:textId="77777777" w:rsidR="00BD776B" w:rsidRDefault="00DF0C24">
      <w:pPr>
        <w:ind w:left="811" w:hanging="245"/>
        <w:rPr>
          <w:rFonts w:ascii="標楷體" w:eastAsia="標楷體" w:hAnsi="標楷體"/>
          <w:color w:val="000000"/>
        </w:rPr>
      </w:pPr>
      <w:r>
        <w:rPr>
          <w:rFonts w:ascii="標楷體" w:eastAsia="標楷體" w:hAnsi="標楷體"/>
          <w:color w:val="000000"/>
        </w:rPr>
        <w:t>2.孩童患部面積30%~50%，每兩星期不超過30gm；患部面積&gt;50%，每星期不超過30gm。(99/12/1)</w:t>
      </w:r>
    </w:p>
    <w:p w14:paraId="341C6BC7" w14:textId="77777777" w:rsidR="00BD776B" w:rsidRDefault="00DF0C24">
      <w:pPr>
        <w:ind w:left="811" w:hanging="245"/>
        <w:rPr>
          <w:rFonts w:ascii="標楷體" w:eastAsia="標楷體" w:hAnsi="標楷體"/>
          <w:color w:val="000000"/>
        </w:rPr>
      </w:pPr>
      <w:r>
        <w:rPr>
          <w:rFonts w:ascii="標楷體" w:eastAsia="標楷體" w:hAnsi="標楷體"/>
          <w:color w:val="000000"/>
        </w:rPr>
        <w:t>3.面積計算：成人依照 rule of nines(詳備註1)，由部位乘予大約比例之總和，兒童依比例 (備註2，Barkin公式) 修訂。</w:t>
      </w:r>
    </w:p>
    <w:p w14:paraId="415F8391" w14:textId="77777777" w:rsidR="00BD776B" w:rsidRDefault="00DF0C24">
      <w:pPr>
        <w:ind w:left="811" w:hanging="245"/>
        <w:rPr>
          <w:rFonts w:ascii="標楷體" w:eastAsia="標楷體" w:hAnsi="標楷體"/>
          <w:color w:val="000000"/>
        </w:rPr>
      </w:pPr>
      <w:r>
        <w:rPr>
          <w:rFonts w:ascii="標楷體" w:eastAsia="標楷體" w:hAnsi="標楷體"/>
          <w:color w:val="000000"/>
        </w:rPr>
        <w:t>4.使用一個月後，症狀若無改善，應改用其他藥物治療。</w:t>
      </w:r>
    </w:p>
    <w:p w14:paraId="08471617" w14:textId="77777777" w:rsidR="00BD776B" w:rsidRDefault="00DF0C24">
      <w:pPr>
        <w:ind w:left="811" w:hanging="245"/>
        <w:rPr>
          <w:rFonts w:ascii="標楷體" w:eastAsia="標楷體" w:hAnsi="標楷體"/>
          <w:color w:val="000000"/>
        </w:rPr>
      </w:pPr>
      <w:r>
        <w:rPr>
          <w:rFonts w:ascii="標楷體" w:eastAsia="標楷體" w:hAnsi="標楷體"/>
          <w:color w:val="000000"/>
        </w:rPr>
        <w:t>5.以三個月為一個療程，作間歇性長期治療者，若需繼續治療，每月限使用30公克。（93/8 /1）</w:t>
      </w:r>
    </w:p>
    <w:p w14:paraId="2A271D9D" w14:textId="77777777" w:rsidR="00BD776B" w:rsidRDefault="00DF0C24">
      <w:pPr>
        <w:ind w:left="811" w:hanging="245"/>
        <w:rPr>
          <w:rFonts w:ascii="標楷體" w:eastAsia="標楷體" w:hAnsi="標楷體"/>
          <w:color w:val="000000"/>
        </w:rPr>
      </w:pPr>
      <w:r>
        <w:rPr>
          <w:rFonts w:ascii="標楷體" w:eastAsia="標楷體" w:hAnsi="標楷體"/>
          <w:color w:val="000000"/>
        </w:rPr>
        <w:t>6.不可合併紫外線治療。（93/8 /1）</w:t>
      </w:r>
    </w:p>
    <w:p w14:paraId="39A7DEC9" w14:textId="77777777" w:rsidR="00BD776B" w:rsidRDefault="00DF0C24">
      <w:pPr>
        <w:ind w:left="811" w:hanging="245"/>
        <w:rPr>
          <w:rFonts w:ascii="標楷體" w:eastAsia="標楷體" w:hAnsi="標楷體"/>
          <w:color w:val="000000"/>
        </w:rPr>
      </w:pPr>
      <w:r>
        <w:rPr>
          <w:rFonts w:ascii="標楷體" w:eastAsia="標楷體" w:hAnsi="標楷體"/>
          <w:color w:val="000000"/>
        </w:rPr>
        <w:t>7.與pimecrolimus併用時 (99/12/1)：</w:t>
      </w:r>
    </w:p>
    <w:p w14:paraId="781A9B2F" w14:textId="77777777" w:rsidR="00BD776B" w:rsidRDefault="00DF0C24">
      <w:pPr>
        <w:ind w:left="1049" w:hanging="341"/>
        <w:rPr>
          <w:rFonts w:ascii="標楷體" w:eastAsia="標楷體" w:hAnsi="標楷體"/>
          <w:color w:val="000000"/>
        </w:rPr>
      </w:pPr>
      <w:r>
        <w:rPr>
          <w:rFonts w:ascii="標楷體" w:eastAsia="標楷體" w:hAnsi="標楷體"/>
          <w:color w:val="000000"/>
        </w:rPr>
        <w:t>(1)成人：患部面積30%~50%，每星期兩者合併用量不超過30gm；患部面積&gt;50%，兩者每星期合併用量不超過60gm。</w:t>
      </w:r>
    </w:p>
    <w:p w14:paraId="2FC055EF" w14:textId="77777777" w:rsidR="00BD776B" w:rsidRDefault="00DF0C24">
      <w:pPr>
        <w:ind w:left="1049" w:hanging="341"/>
        <w:rPr>
          <w:rFonts w:ascii="標楷體" w:eastAsia="標楷體" w:hAnsi="標楷體"/>
          <w:color w:val="000000"/>
        </w:rPr>
      </w:pPr>
      <w:r>
        <w:rPr>
          <w:rFonts w:ascii="標楷體" w:eastAsia="標楷體" w:hAnsi="標楷體"/>
          <w:color w:val="000000"/>
        </w:rPr>
        <w:t>(2)孩童：患部面積30%~50%，每兩星期兩者合併用量不超過30gm；患部面積&gt;50%，每星期兩者合併用量不超過30gm。</w:t>
      </w:r>
    </w:p>
    <w:p w14:paraId="00AD6F0B" w14:textId="77777777" w:rsidR="00BD776B" w:rsidRDefault="00DF0C24">
      <w:pPr>
        <w:ind w:left="1049" w:hanging="341"/>
        <w:rPr>
          <w:rFonts w:ascii="標楷體" w:eastAsia="標楷體" w:hAnsi="標楷體"/>
          <w:color w:val="000000"/>
        </w:rPr>
      </w:pPr>
      <w:r>
        <w:rPr>
          <w:rFonts w:ascii="標楷體" w:eastAsia="標楷體" w:hAnsi="標楷體"/>
          <w:color w:val="000000"/>
        </w:rPr>
        <w:t>(3)若因病情需要兩者合併使用量需超過限制者，應於病歷詳細記錄理由。</w:t>
      </w:r>
    </w:p>
    <w:p w14:paraId="1889BBD6" w14:textId="77777777" w:rsidR="00BD776B" w:rsidRDefault="00DF0C24">
      <w:pPr>
        <w:ind w:left="1438" w:hanging="874"/>
        <w:rPr>
          <w:rFonts w:ascii="標楷體" w:eastAsia="標楷體" w:hAnsi="標楷體"/>
          <w:color w:val="000000"/>
        </w:rPr>
      </w:pPr>
      <w:r>
        <w:rPr>
          <w:rFonts w:ascii="標楷體" w:eastAsia="標楷體" w:hAnsi="標楷體"/>
          <w:color w:val="000000"/>
        </w:rPr>
        <w:t>備註1：Rule of nines計算法：頭頸9%，兩上肢18%，軀幹18%，背18%，兩下肢36%，陰部1%。</w:t>
      </w:r>
    </w:p>
    <w:p w14:paraId="76F7B51D" w14:textId="77777777" w:rsidR="00BD776B" w:rsidRDefault="00DF0C24">
      <w:pPr>
        <w:ind w:left="811" w:hanging="245"/>
        <w:rPr>
          <w:rFonts w:ascii="標楷體" w:eastAsia="標楷體" w:hAnsi="標楷體"/>
          <w:color w:val="000000"/>
        </w:rPr>
      </w:pPr>
      <w:r>
        <w:rPr>
          <w:rFonts w:ascii="標楷體" w:eastAsia="標楷體" w:hAnsi="標楷體"/>
          <w:color w:val="000000"/>
        </w:rPr>
        <w:t>備註2：兒童患部面積計算如附表十七 (From Roger M. Barkin)</w:t>
      </w:r>
    </w:p>
    <w:p w14:paraId="17EC23F8" w14:textId="77777777" w:rsidR="00BD776B" w:rsidRDefault="00DF0C24">
      <w:pPr>
        <w:ind w:left="682" w:hanging="600"/>
        <w:rPr>
          <w:rFonts w:ascii="標楷體" w:eastAsia="標楷體" w:hAnsi="標楷體"/>
          <w:color w:val="000000"/>
        </w:rPr>
      </w:pPr>
      <w:r>
        <w:rPr>
          <w:rFonts w:ascii="標楷體" w:eastAsia="標楷體" w:hAnsi="標楷體"/>
          <w:color w:val="000000"/>
        </w:rPr>
        <w:t>13.11.Pimecrolimus (Elidel 1% )：(92/11/1、93/8/1、94/3/1、95/7/1、99/12/1、110/12/1、111/2/1)</w:t>
      </w:r>
    </w:p>
    <w:p w14:paraId="592C97B7" w14:textId="77777777" w:rsidR="00BD776B" w:rsidRDefault="00DF0C24">
      <w:pPr>
        <w:ind w:left="809" w:hanging="101"/>
        <w:rPr>
          <w:rFonts w:ascii="標楷體" w:eastAsia="標楷體" w:hAnsi="標楷體"/>
          <w:color w:val="000000"/>
        </w:rPr>
      </w:pPr>
      <w:r>
        <w:rPr>
          <w:rFonts w:ascii="標楷體" w:eastAsia="標楷體" w:hAnsi="標楷體"/>
          <w:color w:val="000000"/>
        </w:rPr>
        <w:t>限2歲以上且患部面積&gt;30%之中、重度異位性皮膚炎，或敏感性皮膚部位(頭頸部、眼瞼、耳後區、生殖器、皮膚彎曲處、腋下、鼠蹊部)異位性皮膚炎之下列病患第二線使用：(94/3/1、95/7/1、110/12/1、111/2/1)</w:t>
      </w:r>
    </w:p>
    <w:p w14:paraId="1EC53148" w14:textId="77777777" w:rsidR="00BD776B" w:rsidRDefault="00DF0C24">
      <w:pPr>
        <w:ind w:left="811" w:hanging="245"/>
        <w:rPr>
          <w:rFonts w:ascii="標楷體" w:eastAsia="標楷體" w:hAnsi="標楷體"/>
          <w:color w:val="000000"/>
        </w:rPr>
      </w:pPr>
      <w:r>
        <w:rPr>
          <w:rFonts w:ascii="標楷體" w:eastAsia="標楷體" w:hAnsi="標楷體"/>
          <w:color w:val="000000"/>
        </w:rPr>
        <w:t>1.成人患部面積30%~50%，每星期不超過30gm；患部面積&gt;50%，每星期不超過60gm。(94/3/1、99/12/1)</w:t>
      </w:r>
    </w:p>
    <w:p w14:paraId="0E005CEB" w14:textId="77777777" w:rsidR="00BD776B" w:rsidRDefault="00DF0C24">
      <w:pPr>
        <w:ind w:left="811" w:hanging="245"/>
        <w:rPr>
          <w:rFonts w:ascii="標楷體" w:eastAsia="標楷體" w:hAnsi="標楷體"/>
          <w:color w:val="000000"/>
        </w:rPr>
      </w:pPr>
      <w:r>
        <w:rPr>
          <w:rFonts w:ascii="標楷體" w:eastAsia="標楷體" w:hAnsi="標楷體"/>
          <w:color w:val="000000"/>
        </w:rPr>
        <w:t>2.孩童患部面積30%~50%，每兩星期不超過30gm；患部面積&gt;50%，每星期不超過30gm。(99/12/1)</w:t>
      </w:r>
    </w:p>
    <w:p w14:paraId="3EF95AF8" w14:textId="77777777" w:rsidR="00BD776B" w:rsidRDefault="00DF0C24">
      <w:pPr>
        <w:ind w:left="811" w:hanging="245"/>
        <w:rPr>
          <w:rFonts w:ascii="標楷體" w:eastAsia="標楷體" w:hAnsi="標楷體"/>
          <w:color w:val="000000"/>
        </w:rPr>
      </w:pPr>
      <w:r>
        <w:rPr>
          <w:rFonts w:ascii="標楷體" w:eastAsia="標楷體" w:hAnsi="標楷體"/>
          <w:color w:val="000000"/>
        </w:rPr>
        <w:t>3.敏感性皮膚部位(頭頸部、眼瞼、耳後區、生殖器、皮膚彎曲處、腋下、鼠蹊部)異位性皮膚炎部分：成人每月不超過30gm，孩童每月不超過不超過20gm，且不得與全身用藥分開計算。(110/12/1)</w:t>
      </w:r>
    </w:p>
    <w:p w14:paraId="7F23AD63" w14:textId="77777777" w:rsidR="00BD776B" w:rsidRDefault="00DF0C24">
      <w:pPr>
        <w:ind w:left="811" w:hanging="245"/>
        <w:rPr>
          <w:rFonts w:ascii="標楷體" w:eastAsia="標楷體" w:hAnsi="標楷體"/>
          <w:color w:val="000000"/>
        </w:rPr>
      </w:pPr>
      <w:r>
        <w:rPr>
          <w:rFonts w:ascii="標楷體" w:eastAsia="標楷體" w:hAnsi="標楷體"/>
          <w:color w:val="000000"/>
        </w:rPr>
        <w:t>4.使用一個月後，症狀若無改善，應改用其他藥物治療。</w:t>
      </w:r>
    </w:p>
    <w:p w14:paraId="16BFB23E" w14:textId="77777777" w:rsidR="00BD776B" w:rsidRDefault="00DF0C24">
      <w:pPr>
        <w:ind w:left="811" w:hanging="245"/>
        <w:rPr>
          <w:rFonts w:ascii="標楷體" w:eastAsia="標楷體" w:hAnsi="標楷體"/>
          <w:color w:val="000000"/>
        </w:rPr>
      </w:pPr>
      <w:r>
        <w:rPr>
          <w:rFonts w:ascii="標楷體" w:eastAsia="標楷體" w:hAnsi="標楷體"/>
          <w:color w:val="000000"/>
        </w:rPr>
        <w:t>5.以三個月為一個療程，作間歇性長期治療者，若需繼續治療，每月限使用30公克。（93/8/1）</w:t>
      </w:r>
    </w:p>
    <w:p w14:paraId="5325B0FD" w14:textId="77777777" w:rsidR="00BD776B" w:rsidRDefault="00DF0C24">
      <w:pPr>
        <w:ind w:left="811" w:hanging="245"/>
        <w:rPr>
          <w:rFonts w:ascii="標楷體" w:eastAsia="標楷體" w:hAnsi="標楷體"/>
          <w:color w:val="000000"/>
        </w:rPr>
      </w:pPr>
      <w:r>
        <w:rPr>
          <w:rFonts w:ascii="標楷體" w:eastAsia="標楷體" w:hAnsi="標楷體"/>
          <w:color w:val="000000"/>
        </w:rPr>
        <w:t>6.不可合併紫外線治療。（93/8/1）</w:t>
      </w:r>
    </w:p>
    <w:p w14:paraId="6803CA27" w14:textId="77777777" w:rsidR="00BD776B" w:rsidRDefault="00DF0C24">
      <w:pPr>
        <w:ind w:left="811" w:hanging="245"/>
        <w:rPr>
          <w:rFonts w:ascii="標楷體" w:eastAsia="標楷體" w:hAnsi="標楷體"/>
          <w:color w:val="000000"/>
        </w:rPr>
      </w:pPr>
      <w:r>
        <w:rPr>
          <w:rFonts w:ascii="標楷體" w:eastAsia="標楷體" w:hAnsi="標楷體"/>
          <w:color w:val="000000"/>
        </w:rPr>
        <w:t>7.與tacrolimus併用時(99/12/1)：</w:t>
      </w:r>
    </w:p>
    <w:p w14:paraId="746F17C0" w14:textId="77777777" w:rsidR="00BD776B" w:rsidRDefault="00DF0C24">
      <w:pPr>
        <w:ind w:left="1049" w:hanging="341"/>
        <w:rPr>
          <w:rFonts w:ascii="標楷體" w:eastAsia="標楷體" w:hAnsi="標楷體"/>
          <w:color w:val="000000"/>
        </w:rPr>
      </w:pPr>
      <w:r>
        <w:rPr>
          <w:rFonts w:ascii="標楷體" w:eastAsia="標楷體" w:hAnsi="標楷體"/>
          <w:color w:val="000000"/>
        </w:rPr>
        <w:t>(1)成人：患部面積30%~50%，每星期兩者合併用量不超過30gm；患部面積&gt;50%，兩者每星期合併用量不超過60gm。</w:t>
      </w:r>
    </w:p>
    <w:p w14:paraId="64EF1BEE" w14:textId="77777777" w:rsidR="00BD776B" w:rsidRDefault="00DF0C24">
      <w:pPr>
        <w:ind w:left="1049" w:hanging="341"/>
        <w:rPr>
          <w:rFonts w:ascii="標楷體" w:eastAsia="標楷體" w:hAnsi="標楷體"/>
          <w:color w:val="000000"/>
        </w:rPr>
      </w:pPr>
      <w:r>
        <w:rPr>
          <w:rFonts w:ascii="標楷體" w:eastAsia="標楷體" w:hAnsi="標楷體"/>
          <w:color w:val="000000"/>
        </w:rPr>
        <w:lastRenderedPageBreak/>
        <w:t>(2)孩童：患部面積30%~50%，每兩星期兩者合併用量不超過30gm；患部面積&gt;50%，每星期兩者合併用量不超過30gm。</w:t>
      </w:r>
    </w:p>
    <w:p w14:paraId="440F6AFA" w14:textId="77777777" w:rsidR="00BD776B" w:rsidRDefault="00DF0C24">
      <w:pPr>
        <w:ind w:left="1049" w:hanging="341"/>
        <w:rPr>
          <w:rFonts w:ascii="標楷體" w:eastAsia="標楷體" w:hAnsi="標楷體"/>
          <w:color w:val="000000"/>
        </w:rPr>
      </w:pPr>
      <w:r>
        <w:rPr>
          <w:rFonts w:ascii="標楷體" w:eastAsia="標楷體" w:hAnsi="標楷體"/>
          <w:color w:val="000000"/>
        </w:rPr>
        <w:t>(3)若因病情需要兩者合併使用量需超過限制者，應於病歷詳細記錄理由。</w:t>
      </w:r>
    </w:p>
    <w:p w14:paraId="1E87D9C8" w14:textId="77777777" w:rsidR="00BD776B" w:rsidRDefault="00DF0C24">
      <w:pPr>
        <w:ind w:left="432" w:hanging="386"/>
        <w:rPr>
          <w:rFonts w:ascii="標楷體" w:eastAsia="標楷體" w:hAnsi="標楷體"/>
          <w:color w:val="000000"/>
        </w:rPr>
      </w:pPr>
      <w:r>
        <w:rPr>
          <w:rFonts w:ascii="標楷體" w:eastAsia="標楷體" w:hAnsi="標楷體"/>
          <w:color w:val="000000"/>
        </w:rPr>
        <w:t>13.12.Amorolfine (如Amocoat)：(99/4/1)</w:t>
      </w:r>
    </w:p>
    <w:p w14:paraId="5CBA82C7"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1.限用於皮真菌、酵母菌及黴菌引起之甲癬。</w:t>
      </w:r>
    </w:p>
    <w:p w14:paraId="7A38042D" w14:textId="77777777" w:rsidR="00BD776B" w:rsidRDefault="00DF0C24">
      <w:pPr>
        <w:ind w:left="811" w:hanging="245"/>
        <w:rPr>
          <w:rFonts w:ascii="標楷體" w:eastAsia="標楷體" w:hAnsi="標楷體"/>
          <w:color w:val="000000"/>
        </w:rPr>
      </w:pPr>
      <w:r>
        <w:rPr>
          <w:rFonts w:ascii="標楷體" w:eastAsia="標楷體" w:hAnsi="標楷體"/>
          <w:color w:val="000000"/>
        </w:rPr>
        <w:t>2.每年限使用一瓶5mL。</w:t>
      </w:r>
    </w:p>
    <w:p w14:paraId="5205242A" w14:textId="77777777" w:rsidR="00BD776B" w:rsidRDefault="00DF0C24">
      <w:pPr>
        <w:ind w:left="811" w:hanging="245"/>
        <w:rPr>
          <w:rFonts w:ascii="標楷體" w:eastAsia="標楷體" w:hAnsi="標楷體"/>
          <w:color w:val="000000"/>
        </w:rPr>
      </w:pPr>
      <w:r>
        <w:rPr>
          <w:rFonts w:ascii="標楷體" w:eastAsia="標楷體" w:hAnsi="標楷體"/>
          <w:color w:val="000000"/>
        </w:rPr>
        <w:t>3.許可證類別若變更為指示用藥，將不予給付。</w:t>
      </w:r>
    </w:p>
    <w:p w14:paraId="2A4935CD" w14:textId="77777777" w:rsidR="00BD776B" w:rsidRDefault="00DF0C24">
      <w:pPr>
        <w:ind w:left="43"/>
        <w:rPr>
          <w:rFonts w:ascii="標楷體" w:eastAsia="標楷體" w:hAnsi="標楷體"/>
          <w:color w:val="000000"/>
        </w:rPr>
      </w:pPr>
      <w:r>
        <w:rPr>
          <w:rFonts w:ascii="標楷體" w:eastAsia="標楷體" w:hAnsi="標楷體"/>
          <w:color w:val="000000"/>
        </w:rPr>
        <w:t xml:space="preserve">13.13.Podophyllotoxin (如Wart Del Cream)：(102/9/1) </w:t>
      </w:r>
    </w:p>
    <w:p w14:paraId="55A1CB71" w14:textId="77777777" w:rsidR="00BD776B" w:rsidRDefault="00DF0C24">
      <w:pPr>
        <w:ind w:left="811" w:hanging="245"/>
        <w:rPr>
          <w:rFonts w:ascii="標楷體" w:eastAsia="標楷體" w:hAnsi="標楷體"/>
          <w:color w:val="000000"/>
        </w:rPr>
      </w:pPr>
      <w:r>
        <w:rPr>
          <w:rFonts w:ascii="標楷體" w:eastAsia="標楷體" w:hAnsi="標楷體"/>
          <w:color w:val="000000"/>
        </w:rPr>
        <w:t>1.限皮膚、泌尿、婦產專科醫師或經病理診斷確認，使用於生殖器疣 (包括外生殖器及肛門附近)之治療。</w:t>
      </w:r>
    </w:p>
    <w:p w14:paraId="3B06A350" w14:textId="77777777" w:rsidR="00BD776B" w:rsidRDefault="00DF0C24">
      <w:pPr>
        <w:ind w:left="782" w:hanging="216"/>
        <w:rPr>
          <w:rFonts w:ascii="標楷體" w:eastAsia="標楷體" w:hAnsi="標楷體"/>
          <w:color w:val="000000"/>
        </w:rPr>
      </w:pPr>
      <w:r>
        <w:rPr>
          <w:rFonts w:ascii="標楷體" w:eastAsia="標楷體" w:hAnsi="標楷體"/>
          <w:color w:val="000000"/>
        </w:rPr>
        <w:t>2.每次限給付乙支(5gm)，一個月內不得重複處方，每次療程間應相隔至少3個月，治療期間不得與其它冷凍、電燒、雷射治療合併申報。</w:t>
      </w:r>
    </w:p>
    <w:p w14:paraId="08B4182C" w14:textId="77777777" w:rsidR="00BD776B" w:rsidRDefault="00DF0C24">
      <w:pPr>
        <w:ind w:left="780" w:hanging="216"/>
        <w:rPr>
          <w:rFonts w:ascii="標楷體" w:eastAsia="標楷體" w:hAnsi="標楷體"/>
          <w:color w:val="000000"/>
        </w:rPr>
      </w:pPr>
      <w:r>
        <w:rPr>
          <w:rFonts w:ascii="標楷體" w:eastAsia="標楷體" w:hAnsi="標楷體"/>
          <w:color w:val="000000"/>
        </w:rPr>
        <w:t>3.若病灶侵犯生殖器部位超過50%，每療程處方之總劑量以10gm為上限，並且需於病歷上詳載，併得合併申報冷凍、電燒或雷射治療。</w:t>
      </w:r>
    </w:p>
    <w:p w14:paraId="000FF6E0" w14:textId="77777777" w:rsidR="00BD776B" w:rsidRDefault="00DF0C24">
      <w:pPr>
        <w:ind w:left="43"/>
        <w:rPr>
          <w:rFonts w:ascii="標楷體" w:eastAsia="標楷體" w:hAnsi="標楷體"/>
          <w:color w:val="000000"/>
        </w:rPr>
      </w:pPr>
      <w:r>
        <w:rPr>
          <w:rFonts w:ascii="標楷體" w:eastAsia="標楷體" w:hAnsi="標楷體"/>
          <w:color w:val="000000"/>
        </w:rPr>
        <w:t>13.14.Ingenol (如Picato) ：(105/11/1)</w:t>
      </w:r>
    </w:p>
    <w:p w14:paraId="7F7EAD43" w14:textId="77777777" w:rsidR="00BD776B" w:rsidRDefault="00DF0C24">
      <w:pPr>
        <w:ind w:left="848" w:hanging="1"/>
        <w:rPr>
          <w:rFonts w:ascii="標楷體" w:eastAsia="標楷體" w:hAnsi="標楷體"/>
          <w:color w:val="000000"/>
        </w:rPr>
      </w:pPr>
      <w:r>
        <w:rPr>
          <w:rFonts w:ascii="標楷體" w:eastAsia="標楷體" w:hAnsi="標楷體"/>
          <w:color w:val="000000"/>
        </w:rPr>
        <w:t>限用於治療局部性、非過度角化 (non-hyperkeratotic)、非肥厚型(non-hypertrophic)光化性角化症</w:t>
      </w:r>
    </w:p>
    <w:p w14:paraId="39C9E4E5" w14:textId="77777777" w:rsidR="00BD776B" w:rsidRDefault="00DF0C24">
      <w:pPr>
        <w:ind w:left="796" w:hanging="230"/>
      </w:pPr>
      <w:r>
        <w:rPr>
          <w:rFonts w:ascii="標楷體" w:eastAsia="標楷體" w:hAnsi="標楷體"/>
          <w:color w:val="000000"/>
        </w:rPr>
        <w:t>1.限用於局部性治療25cm</w:t>
      </w:r>
      <w:r>
        <w:rPr>
          <w:rFonts w:ascii="標楷體" w:eastAsia="標楷體" w:hAnsi="標楷體"/>
          <w:color w:val="000000"/>
          <w:vertAlign w:val="superscript"/>
        </w:rPr>
        <w:t>2</w:t>
      </w:r>
      <w:r>
        <w:rPr>
          <w:rFonts w:ascii="標楷體" w:eastAsia="標楷體" w:hAnsi="標楷體"/>
          <w:color w:val="000000"/>
        </w:rPr>
        <w:t xml:space="preserve">的連續治療面積內，4個(含)以上病灶數量。 </w:t>
      </w:r>
    </w:p>
    <w:p w14:paraId="115EE88E" w14:textId="77777777" w:rsidR="00BD776B" w:rsidRDefault="00DF0C24">
      <w:pPr>
        <w:ind w:left="796" w:hanging="230"/>
        <w:rPr>
          <w:rFonts w:ascii="標楷體" w:eastAsia="標楷體" w:hAnsi="標楷體"/>
          <w:color w:val="000000"/>
        </w:rPr>
      </w:pPr>
      <w:r>
        <w:rPr>
          <w:rFonts w:ascii="標楷體" w:eastAsia="標楷體" w:hAnsi="標楷體"/>
          <w:color w:val="000000"/>
        </w:rPr>
        <w:t>2.須經皮膚科醫師診斷為光化性角化症，並附照片備查。</w:t>
      </w:r>
    </w:p>
    <w:p w14:paraId="010C4E61" w14:textId="77777777" w:rsidR="00BD776B" w:rsidRDefault="00DF0C24">
      <w:pPr>
        <w:ind w:left="796" w:hanging="230"/>
        <w:rPr>
          <w:rFonts w:ascii="標楷體" w:eastAsia="標楷體" w:hAnsi="標楷體"/>
          <w:color w:val="000000"/>
        </w:rPr>
      </w:pPr>
      <w:r>
        <w:rPr>
          <w:rFonts w:ascii="標楷體" w:eastAsia="標楷體" w:hAnsi="標楷體"/>
          <w:color w:val="000000"/>
        </w:rPr>
        <w:t xml:space="preserve">3.療程: </w:t>
      </w:r>
    </w:p>
    <w:p w14:paraId="50279AF5" w14:textId="77777777" w:rsidR="00BD776B" w:rsidRDefault="00DF0C24">
      <w:pPr>
        <w:ind w:left="1077" w:hanging="367"/>
        <w:rPr>
          <w:rFonts w:ascii="標楷體" w:eastAsia="標楷體" w:hAnsi="標楷體"/>
          <w:color w:val="000000"/>
        </w:rPr>
      </w:pPr>
      <w:r>
        <w:rPr>
          <w:rFonts w:ascii="標楷體" w:eastAsia="標楷體" w:hAnsi="標楷體"/>
          <w:color w:val="000000"/>
        </w:rPr>
        <w:t>(1)150微克/克(0.015%)用於臉部或頭皮，每天一次、連續塗抹3天，每部位每一次療程限處方3支； 500微克/克(0.05%)用於身軀或四肢，每天一次，連續塗抹2天，每部位每一次療程限處方2支。</w:t>
      </w:r>
    </w:p>
    <w:p w14:paraId="1A7079EE" w14:textId="77777777" w:rsidR="00BD776B" w:rsidRDefault="00DF0C24">
      <w:pPr>
        <w:ind w:left="1077" w:hanging="367"/>
        <w:rPr>
          <w:rFonts w:ascii="標楷體" w:eastAsia="標楷體" w:hAnsi="標楷體"/>
          <w:color w:val="000000"/>
        </w:rPr>
      </w:pPr>
      <w:r>
        <w:rPr>
          <w:rFonts w:ascii="標楷體" w:eastAsia="標楷體" w:hAnsi="標楷體"/>
          <w:color w:val="000000"/>
        </w:rPr>
        <w:t>(2)若未達完全清除、或病灶復發或出現新病灶，須進行第二次療程，須距第一次療程八週以上，一年內以兩療程為限。</w:t>
      </w:r>
    </w:p>
    <w:p w14:paraId="680264FE" w14:textId="77777777" w:rsidR="00BD776B" w:rsidRDefault="00DF0C24">
      <w:pPr>
        <w:ind w:left="1077" w:hanging="367"/>
        <w:rPr>
          <w:rFonts w:ascii="標楷體" w:eastAsia="標楷體" w:hAnsi="標楷體"/>
          <w:color w:val="000000"/>
        </w:rPr>
      </w:pPr>
      <w:r>
        <w:rPr>
          <w:rFonts w:ascii="標楷體" w:eastAsia="標楷體" w:hAnsi="標楷體"/>
          <w:color w:val="000000"/>
        </w:rPr>
        <w:t>(3)於局部治療範圍處，八週內不得同時併用其他光化性角化症治療，如冷凍治療、雷射、電燒等。</w:t>
      </w:r>
    </w:p>
    <w:p w14:paraId="3EE953B1" w14:textId="6A477AC0" w:rsidR="00BD776B" w:rsidRDefault="00DF0C24">
      <w:pPr>
        <w:ind w:left="43"/>
        <w:rPr>
          <w:rFonts w:ascii="標楷體" w:eastAsia="標楷體" w:hAnsi="標楷體"/>
          <w:color w:val="000000"/>
        </w:rPr>
      </w:pPr>
      <w:r>
        <w:rPr>
          <w:rFonts w:ascii="標楷體" w:eastAsia="標楷體" w:hAnsi="標楷體"/>
          <w:color w:val="000000"/>
        </w:rPr>
        <w:t>13.15.Permethrin外用製劑：（106/9/1、111/6/1</w:t>
      </w:r>
      <w:r w:rsidR="00C07BBE">
        <w:rPr>
          <w:rFonts w:ascii="標楷體" w:eastAsia="標楷體" w:hAnsi="標楷體" w:hint="eastAsia"/>
          <w:color w:val="000000"/>
        </w:rPr>
        <w:t>、113/12/1</w:t>
      </w:r>
      <w:r>
        <w:rPr>
          <w:rFonts w:ascii="標楷體" w:eastAsia="標楷體" w:hAnsi="標楷體"/>
          <w:color w:val="000000"/>
        </w:rPr>
        <w:t>）</w:t>
      </w:r>
    </w:p>
    <w:p w14:paraId="183C8AF7" w14:textId="5C5F5C3B" w:rsidR="00BD776B" w:rsidRDefault="00DF0C24">
      <w:pPr>
        <w:ind w:left="796" w:hanging="230"/>
        <w:rPr>
          <w:rFonts w:ascii="標楷體" w:eastAsia="標楷體" w:hAnsi="標楷體"/>
          <w:color w:val="000000"/>
        </w:rPr>
      </w:pPr>
      <w:r>
        <w:rPr>
          <w:rFonts w:ascii="標楷體" w:eastAsia="標楷體" w:hAnsi="標楷體"/>
          <w:color w:val="000000"/>
        </w:rPr>
        <w:t>1.每人每次處方使用30gm一支，需要時得於7天後再處方使用一支(限30gm)；若第1次處方使用60gm一支，則7天後之第2次治療不得再處方一支(30gm或60gm)。</w:t>
      </w:r>
      <w:r w:rsidR="000B4671">
        <w:rPr>
          <w:rFonts w:ascii="標楷體" w:eastAsia="標楷體" w:hAnsi="標楷體"/>
          <w:color w:val="000000"/>
        </w:rPr>
        <w:t>（106/9/1、111/6/1</w:t>
      </w:r>
      <w:r w:rsidR="000B4671">
        <w:rPr>
          <w:rFonts w:ascii="標楷體" w:eastAsia="標楷體" w:hAnsi="標楷體" w:hint="eastAsia"/>
          <w:color w:val="000000"/>
        </w:rPr>
        <w:t>、113/12/1</w:t>
      </w:r>
      <w:r w:rsidR="000B4671">
        <w:rPr>
          <w:rFonts w:ascii="標楷體" w:eastAsia="標楷體" w:hAnsi="標楷體"/>
          <w:color w:val="000000"/>
        </w:rPr>
        <w:t>）</w:t>
      </w:r>
    </w:p>
    <w:p w14:paraId="65ABDB27" w14:textId="77777777" w:rsidR="00BD776B" w:rsidRDefault="00DF0C24">
      <w:pPr>
        <w:ind w:left="796" w:hanging="230"/>
        <w:rPr>
          <w:rFonts w:ascii="標楷體" w:eastAsia="標楷體" w:hAnsi="標楷體"/>
          <w:color w:val="000000"/>
        </w:rPr>
      </w:pPr>
      <w:r>
        <w:rPr>
          <w:rFonts w:ascii="標楷體" w:eastAsia="標楷體" w:hAnsi="標楷體"/>
          <w:color w:val="000000"/>
        </w:rPr>
        <w:t>2.半年內需使用第3次時，須經皮膚科醫師確診處方。</w:t>
      </w:r>
    </w:p>
    <w:p w14:paraId="0D035491" w14:textId="77777777" w:rsidR="00BD776B" w:rsidRDefault="00DF0C24">
      <w:pPr>
        <w:ind w:left="43"/>
      </w:pPr>
      <w:r>
        <w:rPr>
          <w:rFonts w:ascii="標楷體" w:eastAsia="標楷體" w:hAnsi="標楷體"/>
          <w:color w:val="000000"/>
        </w:rPr>
        <w:t>13.16.Ivermectin (如Stromectol)：（107/8/1</w:t>
      </w:r>
      <w:r>
        <w:rPr>
          <w:rFonts w:ascii="標楷體" w:eastAsia="標楷體" w:hAnsi="標楷體"/>
          <w:color w:val="000000"/>
          <w:szCs w:val="24"/>
        </w:rPr>
        <w:t>、112/12/1</w:t>
      </w:r>
      <w:r>
        <w:rPr>
          <w:rFonts w:ascii="標楷體" w:eastAsia="標楷體" w:hAnsi="標楷體"/>
          <w:color w:val="000000"/>
        </w:rPr>
        <w:t>、113/4/1）</w:t>
      </w:r>
    </w:p>
    <w:p w14:paraId="53CFF9A5" w14:textId="77777777" w:rsidR="00BD776B" w:rsidRDefault="00DF0C24">
      <w:pPr>
        <w:ind w:left="796" w:hanging="230"/>
        <w:rPr>
          <w:rFonts w:ascii="標楷體" w:eastAsia="標楷體" w:hAnsi="標楷體"/>
          <w:color w:val="000000"/>
        </w:rPr>
      </w:pPr>
      <w:r>
        <w:rPr>
          <w:rFonts w:ascii="標楷體" w:eastAsia="標楷體" w:hAnsi="標楷體"/>
          <w:color w:val="000000"/>
        </w:rPr>
        <w:t>1.限鏡檢呈陽性之確診的疥瘡病患使用，須附照片備查。</w:t>
      </w:r>
    </w:p>
    <w:p w14:paraId="6CA906E8" w14:textId="77777777" w:rsidR="00BD776B" w:rsidRDefault="00DF0C24">
      <w:pPr>
        <w:ind w:left="796" w:hanging="230"/>
        <w:rPr>
          <w:rFonts w:ascii="標楷體" w:eastAsia="標楷體" w:hAnsi="標楷體"/>
          <w:color w:val="000000"/>
        </w:rPr>
      </w:pPr>
      <w:r>
        <w:rPr>
          <w:rFonts w:ascii="標楷體" w:eastAsia="標楷體" w:hAnsi="標楷體"/>
          <w:color w:val="000000"/>
        </w:rPr>
        <w:t>2.結痂性疥瘡患者，可合併外用疥瘡藥物治療，但需附照片備查，且每次處方時，限仍有新典型臨床病灶及鏡檢呈陽性者。</w:t>
      </w:r>
    </w:p>
    <w:p w14:paraId="2B7AD590" w14:textId="77777777" w:rsidR="00BD776B" w:rsidRDefault="00DF0C24">
      <w:pPr>
        <w:ind w:left="796" w:hanging="230"/>
        <w:rPr>
          <w:rFonts w:ascii="標楷體" w:eastAsia="標楷體" w:hAnsi="標楷體"/>
          <w:color w:val="000000"/>
          <w:kern w:val="0"/>
          <w:szCs w:val="24"/>
        </w:rPr>
      </w:pPr>
      <w:r>
        <w:rPr>
          <w:rFonts w:ascii="標楷體" w:eastAsia="標楷體" w:hAnsi="標楷體"/>
          <w:color w:val="000000"/>
          <w:kern w:val="0"/>
          <w:szCs w:val="24"/>
        </w:rPr>
        <w:t>3.保險對象收容於矯正機關者，依據「全民健康保險提供保險對象收容於矯正機關者醫療服務計畫」辦理。（112/12/1）</w:t>
      </w:r>
    </w:p>
    <w:p w14:paraId="225FC2B7" w14:textId="77777777" w:rsidR="00BD776B" w:rsidRDefault="00DF0C24">
      <w:pPr>
        <w:ind w:left="796" w:hanging="230"/>
      </w:pPr>
      <w:r>
        <w:rPr>
          <w:rFonts w:ascii="標楷體" w:eastAsia="標楷體" w:hAnsi="標楷體"/>
          <w:color w:val="000000"/>
          <w:kern w:val="0"/>
        </w:rPr>
        <w:t>4.醫師於住宿型長期照顧機構為住民處方時，不限鏡檢確診者使用，惟須附照片備查。（113/4/1）</w:t>
      </w:r>
    </w:p>
    <w:p w14:paraId="4EBDB24F" w14:textId="18E35CCC" w:rsidR="00BD776B" w:rsidRDefault="00681305">
      <w:pPr>
        <w:ind w:left="480" w:hanging="480"/>
      </w:pPr>
      <w:r w:rsidRPr="00681305">
        <w:rPr>
          <w:rFonts w:ascii="標楷體" w:eastAsia="標楷體" w:hAnsi="標楷體" w:hint="eastAsia"/>
          <w:color w:val="000000"/>
          <w:szCs w:val="24"/>
        </w:rPr>
        <w:t>13.17.Dupilumab (如Dupixent) ; upadacitinib(如Rinvoq) ; abrocitinib (如Cibinqo)：（108/12/1、109/8/1、111/8/1、112/4/1、112/6/1、112/8/1、113/2/1、113/8/1</w:t>
      </w:r>
      <w:r w:rsidR="00DF0C24">
        <w:rPr>
          <w:rFonts w:ascii="標楷體" w:eastAsia="標楷體" w:hAnsi="標楷體"/>
          <w:color w:val="000000"/>
          <w:szCs w:val="24"/>
        </w:rPr>
        <w:t>）</w:t>
      </w:r>
    </w:p>
    <w:p w14:paraId="690D5954" w14:textId="77777777" w:rsidR="00681305" w:rsidRPr="00681305" w:rsidRDefault="00681305" w:rsidP="00681305">
      <w:pPr>
        <w:suppressAutoHyphens w:val="0"/>
        <w:autoSpaceDN/>
        <w:snapToGrid w:val="0"/>
        <w:ind w:leftChars="105" w:left="535" w:hanging="283"/>
        <w:contextualSpacing/>
        <w:textAlignment w:val="auto"/>
        <w:rPr>
          <w:rFonts w:ascii="標楷體" w:eastAsia="標楷體" w:hAnsi="標楷體"/>
          <w:kern w:val="2"/>
          <w:szCs w:val="24"/>
        </w:rPr>
      </w:pPr>
      <w:r w:rsidRPr="00681305">
        <w:rPr>
          <w:rFonts w:ascii="標楷體" w:eastAsia="標楷體" w:hAnsi="標楷體" w:hint="eastAsia"/>
          <w:kern w:val="2"/>
          <w:szCs w:val="24"/>
        </w:rPr>
        <w:t>13.17.1.Dupilumab(如Dupixent) ; upadacitinib(如Rinvoq) ; abrocitinib(如Cibinqo)（113/2/1、113/8/1）(12歲以上病人治療部分)</w:t>
      </w:r>
    </w:p>
    <w:p w14:paraId="4028DADC"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1.處方科別如下：(111/8/1)</w:t>
      </w:r>
    </w:p>
    <w:p w14:paraId="7A61009C"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lastRenderedPageBreak/>
        <w:t>(1)18歲以上患者：限皮膚科及風濕免疫科專科醫師處方。</w:t>
      </w:r>
    </w:p>
    <w:p w14:paraId="766166F1"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(2)12歲以上至未滿18歲患者：限皮膚科專科醫師，或具兒童過敏免疫風濕專長之兒科專科醫師處方。</w:t>
      </w:r>
    </w:p>
    <w:p w14:paraId="11B71893"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2.限用於經照光治療及其他系統性(全身性)治療無效(治療需6個月的完整療程，得合併它院就診病歷)，或因醫療因素而無法接受照光治療及其他系統性(全身性)治療之全身慢性中重度之異位性皮膚炎患者。(111/8/1)</w:t>
      </w:r>
    </w:p>
    <w:p w14:paraId="38367DF8"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(1)所稱慢性中重度之異位性皮膚炎，指病灶持續至少6個月，且Eczema area severity index (EASI) ≧16且異位性皮膚炎皮膚紅腫體表面積需≧30%且Investigator's  Global Assessment (IGA):3~4。(111/8/1)</w:t>
      </w:r>
    </w:p>
    <w:p w14:paraId="1D8B6046" w14:textId="77777777" w:rsidR="00681305" w:rsidRPr="00681305" w:rsidRDefault="00681305" w:rsidP="00681305">
      <w:pPr>
        <w:suppressAutoHyphens w:val="0"/>
        <w:autoSpaceDN/>
        <w:ind w:leftChars="295" w:left="1133" w:hangingChars="177" w:hanging="425"/>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註：Eczema area severity index (EASI)之異位性皮膚炎面積計算，只含皮膚紅腫濕疹部位，單純的皮膚乾燥、脫皮、抓痕，不可列入計算。</w:t>
      </w:r>
    </w:p>
    <w:p w14:paraId="06F9145B"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(2)所稱治療無效，指經完整療程後，3個月內連續兩次評估，嚴重度均符合上列第(1)點情況，且兩次評估之間相隔至少4週。。</w:t>
      </w:r>
    </w:p>
    <w:p w14:paraId="1C8EA002"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Ⅰ.治療必須包括足量之照光治療及包括以下三種系統性(全身性)治療之至少二種，包括methotrexate、azathioprine、cyclosporin。</w:t>
      </w:r>
    </w:p>
    <w:p w14:paraId="269D2201"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Ⅱ.照光治療應依學理，如光化療法(PUVA)及窄頻UVB(nb-UVB)必須每週至少2次，療程達12週。申請時必須附病歷影印及詳細照光劑量紀錄。</w:t>
      </w:r>
    </w:p>
    <w:p w14:paraId="752E3975"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Ⅲ.前開免疫抑制劑之劑量：</w:t>
      </w:r>
    </w:p>
    <w:p w14:paraId="095F2715" w14:textId="77777777" w:rsidR="00681305" w:rsidRPr="00681305" w:rsidRDefault="00681305" w:rsidP="00681305">
      <w:pPr>
        <w:ind w:left="1560" w:hanging="383"/>
        <w:rPr>
          <w:rFonts w:ascii="標楷體" w:eastAsia="標楷體" w:hAnsi="標楷體"/>
          <w:color w:val="000000"/>
          <w:kern w:val="2"/>
          <w:szCs w:val="24"/>
        </w:rPr>
      </w:pPr>
      <w:r w:rsidRPr="00681305">
        <w:rPr>
          <w:rFonts w:ascii="標楷體" w:eastAsia="標楷體" w:hAnsi="標楷體" w:hint="eastAsia"/>
          <w:color w:val="000000"/>
          <w:kern w:val="2"/>
          <w:szCs w:val="24"/>
        </w:rPr>
        <w:t>i.18歲以上患者：Methotrexate合理劑量需達每週15mg、azathioprine為2mg/kg/d、cyclosporin為5mg/kg/d，足量治療至少各分別使用12週無效或是有客觀證據產生不良反應(如相隔至少4週，兩次肝功能AST/ALT &gt;2.5 UNL，白血球低於4000/μL，高血壓或腎功能異常，或是至少兩次經培養確診之皰疹性皮膚炎)或有禁忌症後，且不應同時合併使用兩種或以上傳統用藥。</w:t>
      </w:r>
    </w:p>
    <w:p w14:paraId="226B018F" w14:textId="77777777" w:rsidR="00681305" w:rsidRPr="00681305" w:rsidRDefault="00681305" w:rsidP="00681305">
      <w:pPr>
        <w:ind w:left="1560" w:hanging="383"/>
        <w:rPr>
          <w:rFonts w:ascii="標楷體" w:eastAsia="標楷體" w:hAnsi="標楷體"/>
          <w:color w:val="000000"/>
          <w:kern w:val="2"/>
          <w:szCs w:val="24"/>
        </w:rPr>
      </w:pPr>
      <w:r w:rsidRPr="00681305">
        <w:rPr>
          <w:rFonts w:ascii="標楷體" w:eastAsia="標楷體" w:hAnsi="標楷體" w:hint="eastAsia"/>
          <w:color w:val="000000"/>
          <w:kern w:val="2"/>
          <w:szCs w:val="24"/>
        </w:rPr>
        <w:t>ii.12歲以上至未滿18歲患者：Methotrexate合理劑量需達每週10mg、azathioprine為1.0mg/kg/d、cyclosporin為2.5mg/kg/d，足量治療至少各分別使用12週治療無效或是有客觀證據產生不良反應(如肝功能AST/ALT &gt;2.5 UNL，白血球低於4000/μL，高血壓或腎功能異常，或是經培養確診之皰疹性皮膚炎)或有禁忌症後，且不應同時合併使用兩種或以上傳統用藥。</w:t>
      </w:r>
    </w:p>
    <w:p w14:paraId="7E2795E0" w14:textId="77777777" w:rsidR="00681305" w:rsidRPr="00681305" w:rsidRDefault="00681305" w:rsidP="00681305">
      <w:pPr>
        <w:ind w:left="1560" w:hanging="383"/>
        <w:rPr>
          <w:rFonts w:ascii="標楷體" w:eastAsia="標楷體" w:hAnsi="標楷體"/>
          <w:color w:val="000000"/>
          <w:kern w:val="2"/>
          <w:szCs w:val="24"/>
        </w:rPr>
      </w:pPr>
      <w:r w:rsidRPr="00681305">
        <w:rPr>
          <w:rFonts w:ascii="標楷體" w:eastAsia="標楷體" w:hAnsi="標楷體" w:hint="eastAsia"/>
          <w:color w:val="000000"/>
          <w:kern w:val="2"/>
          <w:szCs w:val="24"/>
        </w:rPr>
        <w:t>iii.若臨床上發生無法耐受或特殊體質者(例如NUDT15或TPMT代謝不良基因變異型、肝腎功能不佳、或曾因服用上述藥物發生嚴重感染)，得降低前述系統性治療藥物之合理劑量(病歷中須詳述說明及紀載)。</w:t>
      </w:r>
    </w:p>
    <w:p w14:paraId="4FADA4CA"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 xml:space="preserve">(3)所稱醫療因素，係指如光過敏(經photo patch test)、白化症（Albinism）及多形性日光疹(PMLE)，或光照會使原有疾病惡化者(如紅斑性狼瘡(LE)、皮肌炎(DM)、著色性乾皮症(XP)、紫質症(PCT)及基底細胞母斑症候群(NBCCS))，或經皮膚科醫師確診之光敏感性疾病〔慢性光激性皮炎(chronic actinic dermatitis)、日光性蕁麻疹(solar urticaria)〕、皮膚癌(skin cancer) 或有皮膚癌家族史。 </w:t>
      </w:r>
    </w:p>
    <w:p w14:paraId="5397C14F"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3.需經事前審查核准後使用。</w:t>
      </w:r>
    </w:p>
    <w:p w14:paraId="7FDFCB10"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(1)初次申請時，以6個月為1個療程。經評估需續用者，每6個月需再次提出事前審查申請續用評估，且應於期滿前1個月提出，並於申請時檢附照片。</w:t>
      </w:r>
    </w:p>
    <w:p w14:paraId="477E1D13"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 xml:space="preserve">(2)初次申請經核准，於治療滿6個月後，經評估需續用者，申請續用時，需檢附照片證明初次申請治療6個月後，與初次治療前之療效達EASI 50方可申請使用。停藥超過3個月再申請者，視同新申請案件，否則視為續用案件。 </w:t>
      </w:r>
    </w:p>
    <w:p w14:paraId="4C2E29E8"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(3)使用劑量：(112/4/1、112/6/1、112/8/1、113/8/1)</w:t>
      </w:r>
    </w:p>
    <w:p w14:paraId="220A987A"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I.dupilumab：</w:t>
      </w:r>
    </w:p>
    <w:p w14:paraId="0B884914" w14:textId="77777777" w:rsidR="00681305" w:rsidRPr="00681305" w:rsidRDefault="00681305" w:rsidP="00681305">
      <w:pPr>
        <w:ind w:left="1560" w:hanging="383"/>
        <w:rPr>
          <w:rFonts w:ascii="標楷體" w:eastAsia="標楷體" w:hAnsi="標楷體"/>
          <w:color w:val="000000"/>
          <w:kern w:val="2"/>
          <w:szCs w:val="24"/>
        </w:rPr>
      </w:pPr>
      <w:r w:rsidRPr="00681305">
        <w:rPr>
          <w:rFonts w:ascii="標楷體" w:eastAsia="標楷體" w:hAnsi="標楷體" w:hint="eastAsia"/>
          <w:color w:val="000000"/>
          <w:kern w:val="2"/>
          <w:szCs w:val="24"/>
        </w:rPr>
        <w:t>i.18歲以上:起始劑量600mg (限300mg注射2劑)，接著以300mg隔週注射一次，</w:t>
      </w:r>
      <w:r w:rsidRPr="00681305">
        <w:rPr>
          <w:rFonts w:ascii="標楷體" w:eastAsia="標楷體" w:hAnsi="標楷體" w:hint="eastAsia"/>
          <w:color w:val="000000"/>
          <w:kern w:val="2"/>
          <w:szCs w:val="24"/>
        </w:rPr>
        <w:lastRenderedPageBreak/>
        <w:t>且於16週時，須先行評估，至少有EASI 50療效方可使用。</w:t>
      </w:r>
    </w:p>
    <w:p w14:paraId="0668460E" w14:textId="77777777" w:rsidR="00681305" w:rsidRPr="00681305" w:rsidRDefault="00681305" w:rsidP="00681305">
      <w:pPr>
        <w:ind w:left="1560" w:hanging="383"/>
        <w:rPr>
          <w:rFonts w:ascii="標楷體" w:eastAsia="標楷體" w:hAnsi="標楷體"/>
          <w:color w:val="000000"/>
          <w:kern w:val="2"/>
          <w:szCs w:val="24"/>
        </w:rPr>
      </w:pPr>
      <w:r w:rsidRPr="00681305">
        <w:rPr>
          <w:rFonts w:ascii="標楷體" w:eastAsia="標楷體" w:hAnsi="標楷體" w:hint="eastAsia"/>
          <w:color w:val="000000"/>
          <w:kern w:val="2"/>
          <w:szCs w:val="24"/>
        </w:rPr>
        <w:t>ii.12歲以上至未滿18歲：</w:t>
      </w:r>
    </w:p>
    <w:p w14:paraId="69544CFE" w14:textId="77777777" w:rsidR="00681305" w:rsidRPr="00681305" w:rsidRDefault="00681305" w:rsidP="00681305">
      <w:pPr>
        <w:ind w:left="1701" w:hanging="513"/>
        <w:rPr>
          <w:rFonts w:ascii="標楷體" w:eastAsia="標楷體" w:hAnsi="標楷體"/>
          <w:color w:val="000000"/>
          <w:kern w:val="2"/>
          <w:szCs w:val="24"/>
        </w:rPr>
      </w:pPr>
      <w:r w:rsidRPr="00681305">
        <w:rPr>
          <w:rFonts w:ascii="標楷體" w:eastAsia="標楷體" w:hAnsi="標楷體"/>
          <w:color w:val="000000"/>
          <w:kern w:val="2"/>
          <w:szCs w:val="24"/>
        </w:rPr>
        <w:t>(</w:t>
      </w:r>
      <w:r w:rsidRPr="00681305">
        <w:rPr>
          <w:rFonts w:ascii="新細明體" w:hAnsi="新細明體" w:cs="新細明體" w:hint="eastAsia"/>
          <w:color w:val="000000"/>
          <w:kern w:val="2"/>
          <w:szCs w:val="24"/>
        </w:rPr>
        <w:t>ⅰ</w:t>
      </w:r>
      <w:r w:rsidRPr="00681305">
        <w:rPr>
          <w:rFonts w:ascii="標楷體" w:eastAsia="標楷體" w:hAnsi="標楷體"/>
          <w:color w:val="000000"/>
          <w:kern w:val="2"/>
          <w:szCs w:val="24"/>
        </w:rPr>
        <w:t>)</w:t>
      </w:r>
      <w:r w:rsidRPr="00681305">
        <w:rPr>
          <w:rFonts w:ascii="標楷體" w:eastAsia="標楷體" w:hAnsi="標楷體" w:hint="eastAsia"/>
          <w:szCs w:val="24"/>
        </w:rPr>
        <w:t>體重</w:t>
      </w:r>
      <w:r w:rsidRPr="00681305">
        <w:rPr>
          <w:rFonts w:ascii="標楷體" w:eastAsia="標楷體" w:hAnsi="標楷體"/>
          <w:color w:val="000000"/>
          <w:kern w:val="2"/>
          <w:szCs w:val="24"/>
        </w:rPr>
        <w:t>15</w:t>
      </w:r>
      <w:r w:rsidRPr="00681305">
        <w:rPr>
          <w:rFonts w:ascii="標楷體" w:eastAsia="標楷體" w:hAnsi="標楷體" w:hint="eastAsia"/>
          <w:color w:val="000000"/>
          <w:kern w:val="2"/>
          <w:szCs w:val="24"/>
        </w:rPr>
        <w:t>公斤以上至未滿</w:t>
      </w:r>
      <w:r w:rsidRPr="00681305">
        <w:rPr>
          <w:rFonts w:ascii="標楷體" w:eastAsia="標楷體" w:hAnsi="標楷體"/>
          <w:color w:val="000000"/>
          <w:kern w:val="2"/>
          <w:szCs w:val="24"/>
        </w:rPr>
        <w:t>30</w:t>
      </w:r>
      <w:r w:rsidRPr="00681305">
        <w:rPr>
          <w:rFonts w:ascii="標楷體" w:eastAsia="標楷體" w:hAnsi="標楷體" w:hint="eastAsia"/>
          <w:color w:val="000000"/>
          <w:kern w:val="2"/>
          <w:szCs w:val="24"/>
        </w:rPr>
        <w:t>公斤：起始劑量</w:t>
      </w:r>
      <w:r w:rsidRPr="00681305">
        <w:rPr>
          <w:rFonts w:ascii="標楷體" w:eastAsia="標楷體" w:hAnsi="標楷體"/>
          <w:color w:val="000000"/>
          <w:kern w:val="2"/>
          <w:szCs w:val="24"/>
        </w:rPr>
        <w:t>600mg (</w:t>
      </w:r>
      <w:r w:rsidRPr="00681305">
        <w:rPr>
          <w:rFonts w:ascii="標楷體" w:eastAsia="標楷體" w:hAnsi="標楷體" w:hint="eastAsia"/>
          <w:color w:val="000000"/>
          <w:kern w:val="2"/>
          <w:szCs w:val="24"/>
        </w:rPr>
        <w:t>限</w:t>
      </w:r>
      <w:r w:rsidRPr="00681305">
        <w:rPr>
          <w:rFonts w:ascii="標楷體" w:eastAsia="標楷體" w:hAnsi="標楷體"/>
          <w:color w:val="000000"/>
          <w:kern w:val="2"/>
          <w:szCs w:val="24"/>
        </w:rPr>
        <w:t>300mg</w:t>
      </w:r>
      <w:r w:rsidRPr="00681305">
        <w:rPr>
          <w:rFonts w:ascii="標楷體" w:eastAsia="標楷體" w:hAnsi="標楷體" w:hint="eastAsia"/>
          <w:color w:val="000000"/>
          <w:kern w:val="2"/>
          <w:szCs w:val="24"/>
        </w:rPr>
        <w:t>注射兩劑</w:t>
      </w:r>
      <w:r w:rsidRPr="00681305">
        <w:rPr>
          <w:rFonts w:ascii="標楷體" w:eastAsia="標楷體" w:hAnsi="標楷體"/>
          <w:color w:val="000000"/>
          <w:kern w:val="2"/>
          <w:szCs w:val="24"/>
        </w:rPr>
        <w:t xml:space="preserve">) </w:t>
      </w:r>
      <w:r w:rsidRPr="00681305">
        <w:rPr>
          <w:rFonts w:ascii="標楷體" w:eastAsia="標楷體" w:hAnsi="標楷體" w:hint="eastAsia"/>
          <w:color w:val="000000"/>
          <w:kern w:val="2"/>
          <w:szCs w:val="24"/>
        </w:rPr>
        <w:t>，接著以</w:t>
      </w:r>
      <w:r w:rsidRPr="00681305">
        <w:rPr>
          <w:rFonts w:ascii="標楷體" w:eastAsia="標楷體" w:hAnsi="標楷體"/>
          <w:color w:val="000000"/>
          <w:kern w:val="2"/>
          <w:szCs w:val="24"/>
        </w:rPr>
        <w:t>300mg</w:t>
      </w:r>
      <w:r w:rsidRPr="00681305">
        <w:rPr>
          <w:rFonts w:ascii="標楷體" w:eastAsia="標楷體" w:hAnsi="標楷體" w:hint="eastAsia"/>
          <w:color w:val="000000"/>
          <w:kern w:val="2"/>
          <w:szCs w:val="24"/>
        </w:rPr>
        <w:t>隔</w:t>
      </w:r>
      <w:r w:rsidRPr="00681305">
        <w:rPr>
          <w:rFonts w:ascii="標楷體" w:eastAsia="標楷體" w:hAnsi="標楷體"/>
          <w:color w:val="000000"/>
          <w:kern w:val="2"/>
          <w:szCs w:val="24"/>
        </w:rPr>
        <w:t>4</w:t>
      </w:r>
      <w:r w:rsidRPr="00681305">
        <w:rPr>
          <w:rFonts w:ascii="標楷體" w:eastAsia="標楷體" w:hAnsi="標楷體" w:hint="eastAsia"/>
          <w:color w:val="000000"/>
          <w:kern w:val="2"/>
          <w:szCs w:val="24"/>
        </w:rPr>
        <w:t>週注射一次，且於</w:t>
      </w:r>
      <w:r w:rsidRPr="00681305">
        <w:rPr>
          <w:rFonts w:ascii="標楷體" w:eastAsia="標楷體" w:hAnsi="標楷體"/>
          <w:color w:val="000000"/>
          <w:kern w:val="2"/>
          <w:szCs w:val="24"/>
        </w:rPr>
        <w:t>16</w:t>
      </w:r>
      <w:r w:rsidRPr="00681305">
        <w:rPr>
          <w:rFonts w:ascii="標楷體" w:eastAsia="標楷體" w:hAnsi="標楷體" w:hint="eastAsia"/>
          <w:color w:val="000000"/>
          <w:kern w:val="2"/>
          <w:szCs w:val="24"/>
        </w:rPr>
        <w:t>週時，須先行評估，至少有</w:t>
      </w:r>
      <w:r w:rsidRPr="00681305">
        <w:rPr>
          <w:rFonts w:ascii="標楷體" w:eastAsia="標楷體" w:hAnsi="標楷體"/>
          <w:color w:val="000000"/>
          <w:kern w:val="2"/>
          <w:szCs w:val="24"/>
        </w:rPr>
        <w:t>EASI 50</w:t>
      </w:r>
      <w:r w:rsidRPr="00681305">
        <w:rPr>
          <w:rFonts w:ascii="標楷體" w:eastAsia="標楷體" w:hAnsi="標楷體" w:hint="eastAsia"/>
          <w:color w:val="000000"/>
          <w:kern w:val="2"/>
          <w:szCs w:val="24"/>
        </w:rPr>
        <w:t>療效方可使用。</w:t>
      </w:r>
    </w:p>
    <w:p w14:paraId="621A982B" w14:textId="77777777" w:rsidR="00681305" w:rsidRPr="00681305" w:rsidRDefault="00681305" w:rsidP="00681305">
      <w:pPr>
        <w:ind w:left="1701" w:hanging="513"/>
        <w:rPr>
          <w:rFonts w:ascii="標楷體" w:eastAsia="標楷體" w:hAnsi="標楷體"/>
          <w:szCs w:val="24"/>
        </w:rPr>
      </w:pPr>
      <w:r w:rsidRPr="00681305">
        <w:rPr>
          <w:rFonts w:ascii="標楷體" w:eastAsia="標楷體" w:hAnsi="標楷體"/>
          <w:color w:val="000000"/>
          <w:kern w:val="2"/>
          <w:szCs w:val="24"/>
        </w:rPr>
        <w:t>(</w:t>
      </w:r>
      <w:r w:rsidRPr="00681305">
        <w:rPr>
          <w:rFonts w:ascii="新細明體" w:hAnsi="新細明體" w:cs="新細明體" w:hint="eastAsia"/>
          <w:color w:val="000000"/>
          <w:kern w:val="2"/>
          <w:szCs w:val="24"/>
        </w:rPr>
        <w:t>ⅱ</w:t>
      </w:r>
      <w:r w:rsidRPr="00681305">
        <w:rPr>
          <w:rFonts w:ascii="標楷體" w:eastAsia="標楷體" w:hAnsi="標楷體"/>
          <w:color w:val="000000"/>
          <w:kern w:val="2"/>
          <w:szCs w:val="24"/>
        </w:rPr>
        <w:t>)</w:t>
      </w:r>
      <w:r w:rsidRPr="00681305">
        <w:rPr>
          <w:rFonts w:ascii="標楷體" w:eastAsia="標楷體" w:hAnsi="標楷體" w:hint="eastAsia"/>
          <w:color w:val="000000"/>
          <w:kern w:val="2"/>
          <w:szCs w:val="24"/>
        </w:rPr>
        <w:t>體重</w:t>
      </w:r>
      <w:r w:rsidRPr="00681305">
        <w:rPr>
          <w:rFonts w:ascii="標楷體" w:eastAsia="標楷體" w:hAnsi="標楷體"/>
          <w:szCs w:val="24"/>
        </w:rPr>
        <w:t>30</w:t>
      </w:r>
      <w:r w:rsidRPr="00681305">
        <w:rPr>
          <w:rFonts w:ascii="標楷體" w:eastAsia="標楷體" w:hAnsi="標楷體" w:hint="eastAsia"/>
          <w:szCs w:val="24"/>
        </w:rPr>
        <w:t>公斤以上至未滿</w:t>
      </w:r>
      <w:r w:rsidRPr="00681305">
        <w:rPr>
          <w:rFonts w:ascii="標楷體" w:eastAsia="標楷體" w:hAnsi="標楷體"/>
          <w:szCs w:val="24"/>
        </w:rPr>
        <w:t>60</w:t>
      </w:r>
      <w:r w:rsidRPr="00681305">
        <w:rPr>
          <w:rFonts w:ascii="標楷體" w:eastAsia="標楷體" w:hAnsi="標楷體" w:hint="eastAsia"/>
          <w:szCs w:val="24"/>
        </w:rPr>
        <w:t>公斤：起始劑量</w:t>
      </w:r>
      <w:r w:rsidRPr="00681305">
        <w:rPr>
          <w:rFonts w:ascii="標楷體" w:eastAsia="標楷體" w:hAnsi="標楷體"/>
          <w:szCs w:val="24"/>
        </w:rPr>
        <w:t>400mg (</w:t>
      </w:r>
      <w:r w:rsidRPr="00681305">
        <w:rPr>
          <w:rFonts w:ascii="標楷體" w:eastAsia="標楷體" w:hAnsi="標楷體" w:hint="eastAsia"/>
          <w:szCs w:val="24"/>
        </w:rPr>
        <w:t>限</w:t>
      </w:r>
      <w:r w:rsidRPr="00681305">
        <w:rPr>
          <w:rFonts w:ascii="標楷體" w:eastAsia="標楷體" w:hAnsi="標楷體"/>
          <w:szCs w:val="24"/>
        </w:rPr>
        <w:t>200mg</w:t>
      </w:r>
      <w:r w:rsidRPr="00681305">
        <w:rPr>
          <w:rFonts w:ascii="標楷體" w:eastAsia="標楷體" w:hAnsi="標楷體" w:hint="eastAsia"/>
          <w:szCs w:val="24"/>
        </w:rPr>
        <w:t>注射兩劑</w:t>
      </w:r>
      <w:r w:rsidRPr="00681305">
        <w:rPr>
          <w:rFonts w:ascii="標楷體" w:eastAsia="標楷體" w:hAnsi="標楷體"/>
          <w:szCs w:val="24"/>
        </w:rPr>
        <w:t xml:space="preserve">) </w:t>
      </w:r>
      <w:r w:rsidRPr="00681305">
        <w:rPr>
          <w:rFonts w:ascii="標楷體" w:eastAsia="標楷體" w:hAnsi="標楷體" w:hint="eastAsia"/>
          <w:szCs w:val="24"/>
        </w:rPr>
        <w:t>，接著以</w:t>
      </w:r>
      <w:r w:rsidRPr="00681305">
        <w:rPr>
          <w:rFonts w:ascii="標楷體" w:eastAsia="標楷體" w:hAnsi="標楷體"/>
          <w:szCs w:val="24"/>
        </w:rPr>
        <w:t>200mg</w:t>
      </w:r>
      <w:r w:rsidRPr="00681305">
        <w:rPr>
          <w:rFonts w:ascii="標楷體" w:eastAsia="標楷體" w:hAnsi="標楷體" w:hint="eastAsia"/>
          <w:szCs w:val="24"/>
        </w:rPr>
        <w:t>隔週注射一次，且於</w:t>
      </w:r>
      <w:r w:rsidRPr="00681305">
        <w:rPr>
          <w:rFonts w:ascii="標楷體" w:eastAsia="標楷體" w:hAnsi="標楷體"/>
          <w:szCs w:val="24"/>
        </w:rPr>
        <w:t>16</w:t>
      </w:r>
      <w:r w:rsidRPr="00681305">
        <w:rPr>
          <w:rFonts w:ascii="標楷體" w:eastAsia="標楷體" w:hAnsi="標楷體" w:hint="eastAsia"/>
          <w:szCs w:val="24"/>
        </w:rPr>
        <w:t>週時，須先行評估，至少有</w:t>
      </w:r>
      <w:r w:rsidRPr="00681305">
        <w:rPr>
          <w:rFonts w:ascii="標楷體" w:eastAsia="標楷體" w:hAnsi="標楷體"/>
          <w:szCs w:val="24"/>
        </w:rPr>
        <w:t>EASI 50</w:t>
      </w:r>
      <w:r w:rsidRPr="00681305">
        <w:rPr>
          <w:rFonts w:ascii="標楷體" w:eastAsia="標楷體" w:hAnsi="標楷體" w:hint="eastAsia"/>
          <w:szCs w:val="24"/>
        </w:rPr>
        <w:t>療效方可使用。</w:t>
      </w:r>
    </w:p>
    <w:p w14:paraId="314C990A" w14:textId="77777777" w:rsidR="00681305" w:rsidRPr="00681305" w:rsidRDefault="00681305" w:rsidP="00681305">
      <w:pPr>
        <w:ind w:left="1701" w:hanging="513"/>
        <w:rPr>
          <w:rFonts w:ascii="標楷體" w:eastAsia="標楷體" w:hAnsi="標楷體"/>
          <w:color w:val="000000"/>
          <w:kern w:val="2"/>
          <w:szCs w:val="24"/>
        </w:rPr>
      </w:pPr>
      <w:r w:rsidRPr="00681305">
        <w:rPr>
          <w:rFonts w:ascii="標楷體" w:eastAsia="標楷體" w:hAnsi="標楷體"/>
          <w:szCs w:val="24"/>
        </w:rPr>
        <w:t>(</w:t>
      </w:r>
      <w:r w:rsidRPr="00681305">
        <w:rPr>
          <w:rFonts w:ascii="新細明體" w:hAnsi="新細明體" w:cs="新細明體" w:hint="eastAsia"/>
          <w:szCs w:val="24"/>
        </w:rPr>
        <w:t>ⅲ</w:t>
      </w:r>
      <w:r w:rsidRPr="00681305">
        <w:rPr>
          <w:rFonts w:ascii="標楷體" w:eastAsia="標楷體" w:hAnsi="標楷體"/>
          <w:szCs w:val="24"/>
        </w:rPr>
        <w:t>)</w:t>
      </w:r>
      <w:r w:rsidRPr="00681305">
        <w:rPr>
          <w:rFonts w:ascii="標楷體" w:eastAsia="標楷體" w:hAnsi="標楷體" w:hint="eastAsia"/>
          <w:szCs w:val="24"/>
        </w:rPr>
        <w:t>體重</w:t>
      </w:r>
      <w:r w:rsidRPr="00681305">
        <w:rPr>
          <w:rFonts w:ascii="標楷體" w:eastAsia="標楷體" w:hAnsi="標楷體"/>
          <w:szCs w:val="24"/>
        </w:rPr>
        <w:t>6</w:t>
      </w:r>
      <w:r w:rsidRPr="00681305">
        <w:rPr>
          <w:rFonts w:ascii="標楷體" w:eastAsia="標楷體" w:hAnsi="標楷體"/>
          <w:color w:val="000000"/>
          <w:kern w:val="2"/>
          <w:szCs w:val="24"/>
        </w:rPr>
        <w:t>0</w:t>
      </w:r>
      <w:r w:rsidRPr="00681305">
        <w:rPr>
          <w:rFonts w:ascii="標楷體" w:eastAsia="標楷體" w:hAnsi="標楷體" w:hint="eastAsia"/>
          <w:color w:val="000000"/>
          <w:kern w:val="2"/>
          <w:szCs w:val="24"/>
        </w:rPr>
        <w:t>公斤以上：起始劑量</w:t>
      </w:r>
      <w:r w:rsidRPr="00681305">
        <w:rPr>
          <w:rFonts w:ascii="標楷體" w:eastAsia="標楷體" w:hAnsi="標楷體"/>
          <w:color w:val="000000"/>
          <w:kern w:val="2"/>
          <w:szCs w:val="24"/>
        </w:rPr>
        <w:t>600mg (</w:t>
      </w:r>
      <w:r w:rsidRPr="00681305">
        <w:rPr>
          <w:rFonts w:ascii="標楷體" w:eastAsia="標楷體" w:hAnsi="標楷體" w:hint="eastAsia"/>
          <w:color w:val="000000"/>
          <w:kern w:val="2"/>
          <w:szCs w:val="24"/>
        </w:rPr>
        <w:t>限</w:t>
      </w:r>
      <w:r w:rsidRPr="00681305">
        <w:rPr>
          <w:rFonts w:ascii="標楷體" w:eastAsia="標楷體" w:hAnsi="標楷體"/>
          <w:color w:val="000000"/>
          <w:kern w:val="2"/>
          <w:szCs w:val="24"/>
        </w:rPr>
        <w:t>300mg</w:t>
      </w:r>
      <w:r w:rsidRPr="00681305">
        <w:rPr>
          <w:rFonts w:ascii="標楷體" w:eastAsia="標楷體" w:hAnsi="標楷體" w:hint="eastAsia"/>
          <w:color w:val="000000"/>
          <w:kern w:val="2"/>
          <w:szCs w:val="24"/>
        </w:rPr>
        <w:t>注射兩劑</w:t>
      </w:r>
      <w:r w:rsidRPr="00681305">
        <w:rPr>
          <w:rFonts w:ascii="標楷體" w:eastAsia="標楷體" w:hAnsi="標楷體"/>
          <w:color w:val="000000"/>
          <w:kern w:val="2"/>
          <w:szCs w:val="24"/>
        </w:rPr>
        <w:t xml:space="preserve">) </w:t>
      </w:r>
      <w:r w:rsidRPr="00681305">
        <w:rPr>
          <w:rFonts w:ascii="標楷體" w:eastAsia="標楷體" w:hAnsi="標楷體" w:hint="eastAsia"/>
          <w:color w:val="000000"/>
          <w:kern w:val="2"/>
          <w:szCs w:val="24"/>
        </w:rPr>
        <w:t>，接著以</w:t>
      </w:r>
      <w:r w:rsidRPr="00681305">
        <w:rPr>
          <w:rFonts w:ascii="標楷體" w:eastAsia="標楷體" w:hAnsi="標楷體"/>
          <w:color w:val="000000"/>
          <w:kern w:val="2"/>
          <w:szCs w:val="24"/>
        </w:rPr>
        <w:t>300mg</w:t>
      </w:r>
      <w:r w:rsidRPr="00681305">
        <w:rPr>
          <w:rFonts w:ascii="標楷體" w:eastAsia="標楷體" w:hAnsi="標楷體" w:hint="eastAsia"/>
          <w:color w:val="000000"/>
          <w:kern w:val="2"/>
          <w:szCs w:val="24"/>
        </w:rPr>
        <w:t>隔週注射一次，且於</w:t>
      </w:r>
      <w:r w:rsidRPr="00681305">
        <w:rPr>
          <w:rFonts w:ascii="標楷體" w:eastAsia="標楷體" w:hAnsi="標楷體"/>
          <w:color w:val="000000"/>
          <w:kern w:val="2"/>
          <w:szCs w:val="24"/>
        </w:rPr>
        <w:t>16</w:t>
      </w:r>
      <w:r w:rsidRPr="00681305">
        <w:rPr>
          <w:rFonts w:ascii="標楷體" w:eastAsia="標楷體" w:hAnsi="標楷體" w:hint="eastAsia"/>
          <w:color w:val="000000"/>
          <w:kern w:val="2"/>
          <w:szCs w:val="24"/>
        </w:rPr>
        <w:t>週時，須先行評估，至少有</w:t>
      </w:r>
      <w:r w:rsidRPr="00681305">
        <w:rPr>
          <w:rFonts w:ascii="標楷體" w:eastAsia="標楷體" w:hAnsi="標楷體"/>
          <w:color w:val="000000"/>
          <w:kern w:val="2"/>
          <w:szCs w:val="24"/>
        </w:rPr>
        <w:t>EASI 50</w:t>
      </w:r>
      <w:r w:rsidRPr="00681305">
        <w:rPr>
          <w:rFonts w:ascii="標楷體" w:eastAsia="標楷體" w:hAnsi="標楷體" w:hint="eastAsia"/>
          <w:color w:val="000000"/>
          <w:kern w:val="2"/>
          <w:szCs w:val="24"/>
        </w:rPr>
        <w:t>療效方可使用。</w:t>
      </w:r>
    </w:p>
    <w:p w14:paraId="6297F24B"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Ⅱ.upadacitinib：每日1次15mg或30mg。(112/4/1)</w:t>
      </w:r>
    </w:p>
    <w:p w14:paraId="7A370308" w14:textId="77777777" w:rsidR="00681305" w:rsidRPr="00681305" w:rsidRDefault="00681305" w:rsidP="00681305">
      <w:pPr>
        <w:ind w:left="1560" w:hanging="383"/>
        <w:rPr>
          <w:rFonts w:ascii="標楷體" w:eastAsia="標楷體" w:hAnsi="標楷體"/>
          <w:color w:val="000000"/>
          <w:kern w:val="2"/>
          <w:szCs w:val="24"/>
        </w:rPr>
      </w:pPr>
      <w:r w:rsidRPr="00681305">
        <w:rPr>
          <w:rFonts w:ascii="新細明體" w:hAnsi="新細明體" w:cs="新細明體" w:hint="eastAsia"/>
          <w:color w:val="000000"/>
          <w:kern w:val="2"/>
          <w:szCs w:val="24"/>
        </w:rPr>
        <w:t>ⅰ</w:t>
      </w:r>
      <w:r w:rsidRPr="00681305">
        <w:rPr>
          <w:rFonts w:ascii="標楷體" w:eastAsia="標楷體" w:hAnsi="標楷體"/>
          <w:color w:val="000000"/>
          <w:kern w:val="2"/>
          <w:szCs w:val="24"/>
        </w:rPr>
        <w:t>.EASI 16~20</w:t>
      </w:r>
      <w:r w:rsidRPr="00681305">
        <w:rPr>
          <w:rFonts w:ascii="標楷體" w:eastAsia="標楷體" w:hAnsi="標楷體" w:hint="eastAsia"/>
          <w:color w:val="000000"/>
          <w:kern w:val="2"/>
          <w:szCs w:val="24"/>
        </w:rPr>
        <w:t>者：限每日使用</w:t>
      </w:r>
      <w:r w:rsidRPr="00681305">
        <w:rPr>
          <w:rFonts w:ascii="標楷體" w:eastAsia="標楷體" w:hAnsi="標楷體"/>
          <w:color w:val="000000"/>
          <w:kern w:val="2"/>
          <w:szCs w:val="24"/>
        </w:rPr>
        <w:t>15mg</w:t>
      </w:r>
      <w:r w:rsidRPr="00681305">
        <w:rPr>
          <w:rFonts w:ascii="標楷體" w:eastAsia="標楷體" w:hAnsi="標楷體" w:hint="eastAsia"/>
          <w:color w:val="000000"/>
          <w:kern w:val="2"/>
          <w:szCs w:val="24"/>
        </w:rPr>
        <w:t>。</w:t>
      </w:r>
    </w:p>
    <w:p w14:paraId="2B7C374E" w14:textId="77777777" w:rsidR="00681305" w:rsidRPr="00681305" w:rsidRDefault="00681305" w:rsidP="00681305">
      <w:pPr>
        <w:ind w:left="1560" w:hanging="383"/>
        <w:rPr>
          <w:rFonts w:ascii="標楷體" w:eastAsia="標楷體" w:hAnsi="標楷體"/>
          <w:color w:val="000000"/>
          <w:kern w:val="2"/>
          <w:szCs w:val="24"/>
        </w:rPr>
      </w:pPr>
      <w:r w:rsidRPr="00681305">
        <w:rPr>
          <w:rFonts w:ascii="新細明體" w:hAnsi="新細明體" w:cs="新細明體" w:hint="eastAsia"/>
          <w:color w:val="000000"/>
          <w:kern w:val="2"/>
          <w:szCs w:val="24"/>
        </w:rPr>
        <w:t>ⅱ</w:t>
      </w:r>
      <w:r w:rsidRPr="00681305">
        <w:rPr>
          <w:rFonts w:ascii="標楷體" w:eastAsia="標楷體" w:hAnsi="標楷體"/>
          <w:color w:val="000000"/>
          <w:kern w:val="2"/>
          <w:szCs w:val="24"/>
        </w:rPr>
        <w:t>.18</w:t>
      </w:r>
      <w:r w:rsidRPr="00681305">
        <w:rPr>
          <w:rFonts w:ascii="標楷體" w:eastAsia="標楷體" w:hAnsi="標楷體" w:hint="eastAsia"/>
          <w:color w:val="000000"/>
          <w:kern w:val="2"/>
          <w:szCs w:val="24"/>
        </w:rPr>
        <w:t>歲以上，且</w:t>
      </w:r>
      <w:r w:rsidRPr="00681305">
        <w:rPr>
          <w:rFonts w:ascii="標楷體" w:eastAsia="標楷體" w:hAnsi="標楷體"/>
          <w:color w:val="000000"/>
          <w:kern w:val="2"/>
          <w:szCs w:val="24"/>
        </w:rPr>
        <w:t>EASI 20</w:t>
      </w:r>
      <w:r w:rsidRPr="00681305">
        <w:rPr>
          <w:rFonts w:ascii="標楷體" w:eastAsia="標楷體" w:hAnsi="標楷體" w:hint="eastAsia"/>
          <w:color w:val="000000"/>
          <w:kern w:val="2"/>
          <w:szCs w:val="24"/>
        </w:rPr>
        <w:t>以上者：每日得使用</w:t>
      </w:r>
      <w:r w:rsidRPr="00681305">
        <w:rPr>
          <w:rFonts w:ascii="標楷體" w:eastAsia="標楷體" w:hAnsi="標楷體"/>
          <w:color w:val="000000"/>
          <w:kern w:val="2"/>
          <w:szCs w:val="24"/>
        </w:rPr>
        <w:t>30mg</w:t>
      </w:r>
      <w:r w:rsidRPr="00681305">
        <w:rPr>
          <w:rFonts w:ascii="標楷體" w:eastAsia="標楷體" w:hAnsi="標楷體" w:hint="eastAsia"/>
          <w:color w:val="000000"/>
          <w:kern w:val="2"/>
          <w:szCs w:val="24"/>
        </w:rPr>
        <w:t>。</w:t>
      </w:r>
    </w:p>
    <w:p w14:paraId="5762664E"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Ⅲ.abrocitinib：(112/6/1、113/8/1)</w:t>
      </w:r>
    </w:p>
    <w:p w14:paraId="74FB964D" w14:textId="77777777" w:rsidR="00681305" w:rsidRPr="00681305" w:rsidRDefault="00681305" w:rsidP="00681305">
      <w:pPr>
        <w:ind w:left="1560" w:hanging="383"/>
        <w:rPr>
          <w:rFonts w:ascii="標楷體" w:eastAsia="標楷體" w:hAnsi="標楷體"/>
          <w:color w:val="000000"/>
          <w:kern w:val="2"/>
          <w:szCs w:val="24"/>
        </w:rPr>
      </w:pPr>
      <w:r w:rsidRPr="00681305">
        <w:rPr>
          <w:rFonts w:ascii="新細明體" w:hAnsi="新細明體" w:cs="新細明體" w:hint="eastAsia"/>
          <w:color w:val="000000"/>
          <w:kern w:val="2"/>
          <w:szCs w:val="24"/>
        </w:rPr>
        <w:t>ⅰ</w:t>
      </w:r>
      <w:r w:rsidRPr="00681305">
        <w:rPr>
          <w:rFonts w:ascii="標楷體" w:eastAsia="標楷體" w:hAnsi="標楷體"/>
          <w:color w:val="000000"/>
          <w:kern w:val="2"/>
          <w:szCs w:val="24"/>
        </w:rPr>
        <w:t>.</w:t>
      </w:r>
      <w:r w:rsidRPr="00681305">
        <w:rPr>
          <w:rFonts w:ascii="標楷體" w:eastAsia="標楷體" w:hAnsi="標楷體" w:hint="eastAsia"/>
          <w:color w:val="000000"/>
          <w:kern w:val="2"/>
          <w:szCs w:val="24"/>
        </w:rPr>
        <w:t>限使用於</w:t>
      </w:r>
      <w:r w:rsidRPr="00681305">
        <w:rPr>
          <w:rFonts w:ascii="標楷體" w:eastAsia="標楷體" w:hAnsi="標楷體"/>
          <w:color w:val="000000"/>
          <w:kern w:val="2"/>
          <w:szCs w:val="24"/>
        </w:rPr>
        <w:t>12</w:t>
      </w:r>
      <w:r w:rsidRPr="00681305">
        <w:rPr>
          <w:rFonts w:ascii="標楷體" w:eastAsia="標楷體" w:hAnsi="標楷體" w:hint="eastAsia"/>
          <w:color w:val="000000"/>
          <w:kern w:val="2"/>
          <w:szCs w:val="24"/>
        </w:rPr>
        <w:t>歲以上，每日</w:t>
      </w:r>
      <w:r w:rsidRPr="00681305">
        <w:rPr>
          <w:rFonts w:ascii="標楷體" w:eastAsia="標楷體" w:hAnsi="標楷體"/>
          <w:color w:val="000000"/>
          <w:kern w:val="2"/>
          <w:szCs w:val="24"/>
        </w:rPr>
        <w:t>1</w:t>
      </w:r>
      <w:r w:rsidRPr="00681305">
        <w:rPr>
          <w:rFonts w:ascii="標楷體" w:eastAsia="標楷體" w:hAnsi="標楷體" w:hint="eastAsia"/>
          <w:color w:val="000000"/>
          <w:kern w:val="2"/>
          <w:szCs w:val="24"/>
        </w:rPr>
        <w:t>次</w:t>
      </w:r>
      <w:r w:rsidRPr="00681305">
        <w:rPr>
          <w:rFonts w:ascii="標楷體" w:eastAsia="標楷體" w:hAnsi="標楷體"/>
          <w:color w:val="000000"/>
          <w:kern w:val="2"/>
          <w:szCs w:val="24"/>
        </w:rPr>
        <w:t>100mg</w:t>
      </w:r>
      <w:r w:rsidRPr="00681305">
        <w:rPr>
          <w:rFonts w:ascii="標楷體" w:eastAsia="標楷體" w:hAnsi="標楷體" w:hint="eastAsia"/>
          <w:color w:val="000000"/>
          <w:kern w:val="2"/>
          <w:szCs w:val="24"/>
        </w:rPr>
        <w:t>或</w:t>
      </w:r>
      <w:r w:rsidRPr="00681305">
        <w:rPr>
          <w:rFonts w:ascii="標楷體" w:eastAsia="標楷體" w:hAnsi="標楷體"/>
          <w:color w:val="000000"/>
          <w:kern w:val="2"/>
          <w:szCs w:val="24"/>
        </w:rPr>
        <w:t>200mg</w:t>
      </w:r>
      <w:r w:rsidRPr="00681305">
        <w:rPr>
          <w:rFonts w:ascii="標楷體" w:eastAsia="標楷體" w:hAnsi="標楷體" w:hint="eastAsia"/>
          <w:color w:val="000000"/>
          <w:kern w:val="2"/>
          <w:szCs w:val="24"/>
        </w:rPr>
        <w:t>。</w:t>
      </w:r>
    </w:p>
    <w:p w14:paraId="72C1EB40" w14:textId="77777777" w:rsidR="00681305" w:rsidRPr="00681305" w:rsidRDefault="00681305" w:rsidP="00681305">
      <w:pPr>
        <w:ind w:left="1560" w:hanging="383"/>
        <w:rPr>
          <w:rFonts w:ascii="標楷體" w:eastAsia="標楷體" w:hAnsi="標楷體"/>
          <w:color w:val="000000"/>
          <w:kern w:val="2"/>
          <w:szCs w:val="24"/>
        </w:rPr>
      </w:pPr>
      <w:r w:rsidRPr="00681305">
        <w:rPr>
          <w:rFonts w:ascii="新細明體" w:hAnsi="新細明體" w:cs="新細明體" w:hint="eastAsia"/>
          <w:color w:val="000000"/>
          <w:kern w:val="2"/>
          <w:szCs w:val="24"/>
        </w:rPr>
        <w:t>ⅱ</w:t>
      </w:r>
      <w:r w:rsidRPr="00681305">
        <w:rPr>
          <w:rFonts w:ascii="標楷體" w:eastAsia="標楷體" w:hAnsi="標楷體"/>
          <w:color w:val="000000"/>
          <w:kern w:val="2"/>
          <w:szCs w:val="24"/>
        </w:rPr>
        <w:t>.</w:t>
      </w:r>
      <w:r w:rsidRPr="00681305">
        <w:rPr>
          <w:rFonts w:ascii="標楷體" w:eastAsia="標楷體" w:hAnsi="標楷體" w:hint="eastAsia"/>
          <w:color w:val="000000"/>
          <w:kern w:val="2"/>
          <w:szCs w:val="24"/>
        </w:rPr>
        <w:t>於</w:t>
      </w:r>
      <w:r w:rsidRPr="00681305">
        <w:rPr>
          <w:rFonts w:ascii="標楷體" w:eastAsia="標楷體" w:hAnsi="標楷體"/>
          <w:color w:val="000000"/>
          <w:kern w:val="2"/>
          <w:szCs w:val="24"/>
        </w:rPr>
        <w:t>16</w:t>
      </w:r>
      <w:r w:rsidRPr="00681305">
        <w:rPr>
          <w:rFonts w:ascii="標楷體" w:eastAsia="標楷體" w:hAnsi="標楷體" w:hint="eastAsia"/>
          <w:color w:val="000000"/>
          <w:kern w:val="2"/>
          <w:szCs w:val="24"/>
        </w:rPr>
        <w:t>週時，須先行評估，至少有</w:t>
      </w:r>
      <w:r w:rsidRPr="00681305">
        <w:rPr>
          <w:rFonts w:ascii="標楷體" w:eastAsia="標楷體" w:hAnsi="標楷體"/>
          <w:color w:val="000000"/>
          <w:kern w:val="2"/>
          <w:szCs w:val="24"/>
        </w:rPr>
        <w:t>EASI 50</w:t>
      </w:r>
      <w:r w:rsidRPr="00681305">
        <w:rPr>
          <w:rFonts w:ascii="標楷體" w:eastAsia="標楷體" w:hAnsi="標楷體" w:hint="eastAsia"/>
          <w:color w:val="000000"/>
          <w:kern w:val="2"/>
          <w:szCs w:val="24"/>
        </w:rPr>
        <w:t>療效方可使用。</w:t>
      </w:r>
    </w:p>
    <w:p w14:paraId="146AEA04"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(4)若患者曾核准使用治療乾癬之生物製劑，需等到乾癬症狀消失後，至少兩年才能提出申請。或申請前須切片確定排除乾癬診斷並經皮膚科專科醫師確立診斷。</w:t>
      </w:r>
    </w:p>
    <w:p w14:paraId="64A0675B"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(5)使用abrocitinib時，宜紀錄患者HBsAg、B型肝炎核心抗體 （anti-HBc Ab）及anti-HCV資料（若HBsAg 檢驗為陽性，宜加作HBV DNA）。(112/6/1)</w:t>
      </w:r>
    </w:p>
    <w:p w14:paraId="78A9E7F8"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(6)Upadacitinib及abrocitinib僅能擇一使用。唯有在出現無法忍受其副作用時方可互換。（113/8/1)。</w:t>
      </w:r>
    </w:p>
    <w:p w14:paraId="29351419"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4.需排除使用的情形應參照藥物仿單資訊，重要之排除使用狀況包括：</w:t>
      </w:r>
    </w:p>
    <w:p w14:paraId="7450D86C"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(1)懷孕或正在授乳的婦女。</w:t>
      </w:r>
    </w:p>
    <w:p w14:paraId="5C8BA32A"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(2)寄生蟲 (蠕蟲) 感染。</w:t>
      </w:r>
    </w:p>
    <w:p w14:paraId="73FF6CE1"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(3)活動性嚴重全身性感染(使用abrocitnib者)。(112/6/1)</w:t>
      </w:r>
    </w:p>
    <w:p w14:paraId="2900DFC9"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5.需停止治療應參照藥物仿單之禁忌情形，如果發生下列現象應停止治療：</w:t>
      </w:r>
    </w:p>
    <w:p w14:paraId="2195F92A"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(1)不良事件，包括：</w:t>
      </w:r>
    </w:p>
    <w:p w14:paraId="11847D41"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Ⅰ.惡性腫瘤。</w:t>
      </w:r>
    </w:p>
    <w:p w14:paraId="22C5D48C"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Ⅱ.懷孕與授乳期間。</w:t>
      </w:r>
    </w:p>
    <w:p w14:paraId="1A77BF9A"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Ⅲ.寄生蟲 (蠕蟲) 感染。</w:t>
      </w:r>
    </w:p>
    <w:p w14:paraId="7EFE2805" w14:textId="77777777" w:rsidR="00681305" w:rsidRPr="00681305" w:rsidRDefault="00681305" w:rsidP="00681305">
      <w:pPr>
        <w:ind w:left="1276" w:hanging="383"/>
        <w:rPr>
          <w:rFonts w:ascii="標楷體" w:eastAsia="標楷體" w:hAnsi="標楷體"/>
          <w:color w:val="000000"/>
          <w:kern w:val="2"/>
          <w:szCs w:val="24"/>
        </w:rPr>
      </w:pPr>
      <w:r w:rsidRPr="00681305">
        <w:rPr>
          <w:rFonts w:ascii="標楷體" w:eastAsia="標楷體" w:hAnsi="標楷體" w:hint="eastAsia"/>
          <w:color w:val="000000"/>
          <w:kern w:val="2"/>
          <w:szCs w:val="24"/>
        </w:rPr>
        <w:t>Ⅳ.使用abrocitnib者發生嚴重的間發性感染症(帶狀皰疹) (暫時停藥即可)。(112/6/1)</w:t>
      </w:r>
    </w:p>
    <w:p w14:paraId="7752470B"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(2)療效不彰：患者經過6個月治療（初次療程）後未達療效者，療效定義指EASI改善未達50%。</w:t>
      </w:r>
    </w:p>
    <w:p w14:paraId="2A7C5B52"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6.暫緩續用之相關規定：</w:t>
      </w:r>
    </w:p>
    <w:p w14:paraId="7FC82909"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(1)暫緩續用時機：使用生物製劑治療1年後符合EASI≦16者。(111/8/1)</w:t>
      </w:r>
    </w:p>
    <w:p w14:paraId="3CDB2CB7" w14:textId="77777777" w:rsidR="00681305" w:rsidRPr="00681305" w:rsidRDefault="00681305" w:rsidP="00681305">
      <w:pPr>
        <w:suppressAutoHyphens w:val="0"/>
        <w:autoSpaceDN/>
        <w:ind w:leftChars="296" w:left="1077" w:hangingChars="153" w:hanging="367"/>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(2)暫緩續用後若疾病再復發，可重新申請使用，須符合至少有50%復發或EASI≧16 (需附上次療程治療前、後，及本次照片)。(111/8/1)</w:t>
      </w:r>
    </w:p>
    <w:p w14:paraId="3F4F386E" w14:textId="77777777" w:rsidR="00681305" w:rsidRPr="00681305" w:rsidRDefault="00681305" w:rsidP="00681305">
      <w:pPr>
        <w:suppressAutoHyphens w:val="0"/>
        <w:autoSpaceDN/>
        <w:ind w:leftChars="236" w:left="796" w:hangingChars="96" w:hanging="23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 xml:space="preserve">7.Dupilumab、upadacitinib及abrocitinib不得併用；upadacitinib及abrocitinib    </w:t>
      </w:r>
    </w:p>
    <w:p w14:paraId="5D34A688" w14:textId="77777777" w:rsidR="00681305" w:rsidRPr="00681305" w:rsidRDefault="00681305" w:rsidP="00681305">
      <w:pPr>
        <w:suppressAutoHyphens w:val="0"/>
        <w:autoSpaceDN/>
        <w:ind w:leftChars="218" w:left="763" w:hangingChars="100" w:hanging="24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 xml:space="preserve">  不得併用cyclosporin。</w:t>
      </w:r>
    </w:p>
    <w:p w14:paraId="47E58FB0" w14:textId="77777777" w:rsidR="00681305" w:rsidRPr="00681305" w:rsidRDefault="00681305" w:rsidP="00681305">
      <w:pPr>
        <w:suppressAutoHyphens w:val="0"/>
        <w:autoSpaceDN/>
        <w:ind w:leftChars="313" w:left="991" w:hangingChars="100" w:hanging="240"/>
        <w:textAlignment w:val="auto"/>
        <w:rPr>
          <w:rFonts w:ascii="標楷體" w:eastAsia="標楷體" w:hAnsi="標楷體"/>
          <w:color w:val="000000"/>
          <w:kern w:val="2"/>
          <w:szCs w:val="24"/>
        </w:rPr>
      </w:pPr>
      <w:r w:rsidRPr="00681305">
        <w:rPr>
          <w:rFonts w:ascii="標楷體" w:eastAsia="標楷體" w:hAnsi="標楷體" w:hint="eastAsia"/>
          <w:color w:val="000000"/>
          <w:kern w:val="2"/>
          <w:szCs w:val="24"/>
        </w:rPr>
        <w:t>◎附表三十二：異位性皮膚炎面積暨嚴重度指數【Eczema Area and Severity Index (EASI)】(108/12/1)</w:t>
      </w:r>
    </w:p>
    <w:p w14:paraId="402D5243" w14:textId="4CC63C70" w:rsidR="00BD776B" w:rsidRDefault="00681305" w:rsidP="00681305">
      <w:pPr>
        <w:ind w:left="763" w:hanging="240"/>
      </w:pPr>
      <w:r w:rsidRPr="00681305">
        <w:rPr>
          <w:rFonts w:ascii="標楷體" w:eastAsia="標楷體" w:hAnsi="標楷體" w:hint="eastAsia"/>
          <w:color w:val="000000"/>
          <w:kern w:val="2"/>
          <w:szCs w:val="24"/>
        </w:rPr>
        <w:t>◎附表三十二之一：全民健康保險12歲以上病人異位性皮膚炎使用生物製劑申請表(109/8/1、111/8/1、113/2/1</w:t>
      </w:r>
      <w:r w:rsidR="00DF0C24">
        <w:rPr>
          <w:rFonts w:ascii="標楷體" w:eastAsia="標楷體" w:hAnsi="標楷體"/>
          <w:szCs w:val="24"/>
        </w:rPr>
        <w:t>)</w:t>
      </w:r>
    </w:p>
    <w:p w14:paraId="25B9B825" w14:textId="77777777" w:rsidR="00BD776B" w:rsidRDefault="00DF0C24">
      <w:pPr>
        <w:snapToGrid w:val="0"/>
        <w:ind w:left="535" w:hanging="283"/>
        <w:rPr>
          <w:rFonts w:ascii="標楷體" w:eastAsia="標楷體" w:hAnsi="標楷體"/>
        </w:rPr>
      </w:pPr>
      <w:r>
        <w:rPr>
          <w:rFonts w:ascii="標楷體" w:eastAsia="標楷體" w:hAnsi="標楷體"/>
        </w:rPr>
        <w:t>13.17.2. Dupilumab (如Dupixent)：（113/2/1）(6歲以上未滿12歲兒童治療部分)</w:t>
      </w:r>
    </w:p>
    <w:p w14:paraId="60DA3B2E" w14:textId="77777777" w:rsidR="00BD776B" w:rsidRDefault="00DF0C24" w:rsidP="008A7063">
      <w:pPr>
        <w:pStyle w:val="af"/>
        <w:widowControl/>
        <w:numPr>
          <w:ilvl w:val="0"/>
          <w:numId w:val="31"/>
        </w:numPr>
        <w:snapToGrid w:val="0"/>
        <w:ind w:left="850" w:hanging="284"/>
        <w:rPr>
          <w:rFonts w:ascii="標楷體" w:eastAsia="標楷體" w:hAnsi="標楷體"/>
        </w:rPr>
      </w:pPr>
      <w:r>
        <w:rPr>
          <w:rFonts w:ascii="標楷體" w:eastAsia="標楷體" w:hAnsi="標楷體"/>
        </w:rPr>
        <w:lastRenderedPageBreak/>
        <w:t>限皮膚科專科醫師，或具兒童過敏免疫風濕專長之兒科專科醫師處方。</w:t>
      </w:r>
    </w:p>
    <w:p w14:paraId="2F1D4873" w14:textId="77777777" w:rsidR="00BD776B" w:rsidRDefault="00DF0C24" w:rsidP="008A7063">
      <w:pPr>
        <w:pStyle w:val="af"/>
        <w:widowControl/>
        <w:numPr>
          <w:ilvl w:val="0"/>
          <w:numId w:val="31"/>
        </w:numPr>
        <w:snapToGrid w:val="0"/>
        <w:ind w:left="850" w:hanging="284"/>
        <w:rPr>
          <w:rFonts w:ascii="標楷體" w:eastAsia="標楷體" w:hAnsi="標楷體"/>
        </w:rPr>
      </w:pPr>
      <w:r>
        <w:rPr>
          <w:rFonts w:ascii="標楷體" w:eastAsia="標楷體" w:hAnsi="標楷體"/>
        </w:rPr>
        <w:t>限用於經外用藥物及一種全身性免疫抑制劑治療無效(需治療3個月完整療程，得合併他院就診病歷)，且適合以全身性療法治療之全身慢性中重度之異位性皮膚炎患者。</w:t>
      </w:r>
    </w:p>
    <w:p w14:paraId="11713D78" w14:textId="77777777" w:rsidR="00BD776B" w:rsidRDefault="00DF0C24" w:rsidP="008A7063">
      <w:pPr>
        <w:pStyle w:val="af"/>
        <w:widowControl/>
        <w:numPr>
          <w:ilvl w:val="0"/>
          <w:numId w:val="32"/>
        </w:numPr>
        <w:snapToGrid w:val="0"/>
        <w:ind w:left="991" w:hanging="425"/>
        <w:rPr>
          <w:rFonts w:ascii="標楷體" w:eastAsia="標楷體" w:hAnsi="標楷體"/>
        </w:rPr>
      </w:pPr>
      <w:r>
        <w:rPr>
          <w:rFonts w:ascii="標楷體" w:eastAsia="標楷體" w:hAnsi="標楷體"/>
        </w:rPr>
        <w:t>所稱慢性中重度之異位性皮膚炎，指病灶持續至少6個月，且符合Eczema area severity index (EASI) ≧16及Investigator’s Global Assessment (IGA)≧3。</w:t>
      </w:r>
    </w:p>
    <w:p w14:paraId="404FE854" w14:textId="77777777" w:rsidR="00BD776B" w:rsidRDefault="00DF0C24">
      <w:pPr>
        <w:snapToGrid w:val="0"/>
        <w:ind w:left="1544" w:hanging="498"/>
        <w:rPr>
          <w:rFonts w:ascii="標楷體" w:eastAsia="標楷體" w:hAnsi="標楷體"/>
        </w:rPr>
      </w:pPr>
      <w:r>
        <w:rPr>
          <w:rFonts w:ascii="標楷體" w:eastAsia="標楷體" w:hAnsi="標楷體"/>
        </w:rPr>
        <w:t>註：Eczema area severity index (EASI)之異位性皮膚炎面積計算，只含皮膚紅腫濕疹部位，單純的皮膚乾燥、脫皮、抓痕，不可列入計算。</w:t>
      </w:r>
    </w:p>
    <w:p w14:paraId="5490C025" w14:textId="77777777" w:rsidR="00BD776B" w:rsidRDefault="00DF0C24" w:rsidP="008A7063">
      <w:pPr>
        <w:pStyle w:val="af"/>
        <w:widowControl/>
        <w:numPr>
          <w:ilvl w:val="0"/>
          <w:numId w:val="32"/>
        </w:numPr>
        <w:snapToGrid w:val="0"/>
        <w:ind w:left="991" w:hanging="425"/>
        <w:rPr>
          <w:rFonts w:ascii="標楷體" w:eastAsia="標楷體" w:hAnsi="標楷體"/>
        </w:rPr>
      </w:pPr>
      <w:r>
        <w:rPr>
          <w:rFonts w:ascii="標楷體" w:eastAsia="標楷體" w:hAnsi="標楷體"/>
        </w:rPr>
        <w:t>所稱治療無效，指經完整療程後，3個月內連續兩次評估，嚴重度均符合上列第(1)點情況，且兩次評估之間相隔至少4週。</w:t>
      </w:r>
    </w:p>
    <w:p w14:paraId="50283F48" w14:textId="77777777" w:rsidR="00BD776B" w:rsidRDefault="00DF0C24">
      <w:pPr>
        <w:snapToGrid w:val="0"/>
        <w:ind w:left="1196" w:hanging="390"/>
      </w:pPr>
      <w:r>
        <w:rPr>
          <w:rFonts w:ascii="標楷體" w:eastAsia="標楷體" w:hAnsi="標楷體"/>
          <w:color w:val="000000"/>
        </w:rPr>
        <w:t>Ⅰ.</w:t>
      </w:r>
      <w:r>
        <w:rPr>
          <w:rFonts w:ascii="標楷體" w:eastAsia="標楷體" w:hAnsi="標楷體"/>
        </w:rPr>
        <w:t>治療必須包括中效強度 (medium potency)或中效強度以上之外用類固醇(topical corticosteroid)，及外用鈣調磷酸酶抑制劑(topical calcineurin inhibitor)，規律使用達12週。</w:t>
      </w:r>
    </w:p>
    <w:p w14:paraId="33107FF4" w14:textId="77777777" w:rsidR="00BD776B" w:rsidRDefault="00DF0C24">
      <w:pPr>
        <w:snapToGrid w:val="0"/>
        <w:ind w:left="1268" w:hanging="462"/>
      </w:pPr>
      <w:r>
        <w:rPr>
          <w:rFonts w:ascii="標楷體" w:eastAsia="標楷體" w:hAnsi="標楷體"/>
          <w:color w:val="000000"/>
        </w:rPr>
        <w:t>Ⅱ.</w:t>
      </w:r>
      <w:r>
        <w:rPr>
          <w:rFonts w:ascii="標楷體" w:eastAsia="標楷體" w:hAnsi="標楷體"/>
        </w:rPr>
        <w:t>治療必須包括以下三種系統性(全身性)治療至少一種，包括methotrexate、azathioprine、cyclosporin，且可與前開外用藥物合併使用。</w:t>
      </w:r>
    </w:p>
    <w:p w14:paraId="1B098278" w14:textId="77777777" w:rsidR="00BD776B" w:rsidRDefault="00DF0C24">
      <w:pPr>
        <w:snapToGrid w:val="0"/>
        <w:ind w:left="1167" w:hanging="361"/>
      </w:pPr>
      <w:r>
        <w:rPr>
          <w:rFonts w:ascii="標楷體" w:eastAsia="標楷體" w:hAnsi="標楷體"/>
          <w:color w:val="000000"/>
        </w:rPr>
        <w:t>Ⅲ.</w:t>
      </w:r>
      <w:r>
        <w:rPr>
          <w:rFonts w:ascii="標楷體" w:eastAsia="標楷體" w:hAnsi="標楷體"/>
        </w:rPr>
        <w:t>若臨床上使用上述外用藥物發生皮膚萎縮或感染，得停止使用外用藥物，惟須於病歷中詳述說明。</w:t>
      </w:r>
    </w:p>
    <w:p w14:paraId="56DEEC5E" w14:textId="77777777" w:rsidR="00BD776B" w:rsidRDefault="00DF0C24">
      <w:pPr>
        <w:snapToGrid w:val="0"/>
        <w:ind w:left="1089" w:hanging="283"/>
        <w:rPr>
          <w:rFonts w:ascii="標楷體" w:eastAsia="標楷體" w:hAnsi="標楷體"/>
        </w:rPr>
      </w:pPr>
      <w:r>
        <w:rPr>
          <w:rFonts w:ascii="標楷體" w:eastAsia="標楷體" w:hAnsi="標楷體"/>
        </w:rPr>
        <w:t>Ⅳ.前開免疫抑制劑之劑量：Methotrexate合理劑量需達每週10mg、azathioprine為1.0mg/kg/d、cyclosporin為2.5mg/kg/d，足量治療至少使用12週無效或是有客觀證據產生不良反應(如肝功能異常、白血球低下、高血壓或腎功能異常，或是經培養確診之皰疹性皮膚炎)或有禁忌症。</w:t>
      </w:r>
    </w:p>
    <w:p w14:paraId="411EA385" w14:textId="77777777" w:rsidR="00BD776B" w:rsidRDefault="00DF0C24">
      <w:pPr>
        <w:snapToGrid w:val="0"/>
        <w:ind w:left="1194" w:hanging="388"/>
        <w:rPr>
          <w:rFonts w:ascii="標楷體" w:eastAsia="標楷體" w:hAnsi="標楷體"/>
        </w:rPr>
      </w:pPr>
      <w:r>
        <w:rPr>
          <w:rFonts w:ascii="標楷體" w:eastAsia="標楷體" w:hAnsi="標楷體"/>
        </w:rPr>
        <w:t>V.若臨床上發生無法耐受或特殊體質者(例如NUDT15或TPMT代謝不良基因變異型、肝腎功能不佳、或曾因服用上述藥物發生嚴重感染)，得降低前述系統性治療藥物之合理劑量(病歷中須詳述說明及記載)。</w:t>
      </w:r>
    </w:p>
    <w:p w14:paraId="4F740932" w14:textId="77777777" w:rsidR="00BD776B" w:rsidRDefault="00DF0C24" w:rsidP="008A7063">
      <w:pPr>
        <w:pStyle w:val="af"/>
        <w:widowControl/>
        <w:numPr>
          <w:ilvl w:val="0"/>
          <w:numId w:val="31"/>
        </w:numPr>
        <w:snapToGrid w:val="0"/>
        <w:ind w:left="850" w:hanging="284"/>
        <w:rPr>
          <w:rFonts w:ascii="標楷體" w:eastAsia="標楷體" w:hAnsi="標楷體"/>
        </w:rPr>
      </w:pPr>
      <w:r>
        <w:rPr>
          <w:rFonts w:ascii="標楷體" w:eastAsia="標楷體" w:hAnsi="標楷體"/>
        </w:rPr>
        <w:t>需經事前審查核准後使用。</w:t>
      </w:r>
    </w:p>
    <w:p w14:paraId="3191A1E0" w14:textId="77777777" w:rsidR="00BD776B" w:rsidRDefault="00DF0C24" w:rsidP="008A7063">
      <w:pPr>
        <w:pStyle w:val="af"/>
        <w:widowControl/>
        <w:numPr>
          <w:ilvl w:val="0"/>
          <w:numId w:val="33"/>
        </w:numPr>
        <w:snapToGrid w:val="0"/>
        <w:ind w:left="991" w:hanging="425"/>
        <w:rPr>
          <w:rFonts w:ascii="標楷體" w:eastAsia="標楷體" w:hAnsi="標楷體"/>
        </w:rPr>
      </w:pPr>
      <w:r>
        <w:rPr>
          <w:rFonts w:ascii="標楷體" w:eastAsia="標楷體" w:hAnsi="標楷體"/>
        </w:rPr>
        <w:t>初次申請時，以6個月為1個療程。經評估需續用者，每6個月需再次提出事前審查申請續用評估，且應於期滿前1個月提出，並於申請時檢附照片。</w:t>
      </w:r>
    </w:p>
    <w:p w14:paraId="3AFBD8A1" w14:textId="77777777" w:rsidR="00BD776B" w:rsidRDefault="00DF0C24" w:rsidP="008A7063">
      <w:pPr>
        <w:pStyle w:val="af"/>
        <w:widowControl/>
        <w:numPr>
          <w:ilvl w:val="0"/>
          <w:numId w:val="33"/>
        </w:numPr>
        <w:snapToGrid w:val="0"/>
        <w:ind w:left="991" w:hanging="425"/>
        <w:rPr>
          <w:rFonts w:ascii="標楷體" w:eastAsia="標楷體" w:hAnsi="標楷體"/>
        </w:rPr>
      </w:pPr>
      <w:r>
        <w:rPr>
          <w:rFonts w:ascii="標楷體" w:eastAsia="標楷體" w:hAnsi="標楷體"/>
        </w:rPr>
        <w:t xml:space="preserve">初次申請經核准，於治療滿6個月後，經評估需續用者，申請續用時，需檢附照片證明初次申請治療6個月後，與初次治療前之療效達EASI 50方可申請使用。停藥超過3個月再申請者，視同新申請案件，否則視為續用案件。 </w:t>
      </w:r>
    </w:p>
    <w:p w14:paraId="6AB2728D" w14:textId="77777777" w:rsidR="00BD776B" w:rsidRDefault="00DF0C24" w:rsidP="008A7063">
      <w:pPr>
        <w:pStyle w:val="af"/>
        <w:widowControl/>
        <w:numPr>
          <w:ilvl w:val="0"/>
          <w:numId w:val="33"/>
        </w:numPr>
        <w:snapToGrid w:val="0"/>
        <w:ind w:left="991" w:hanging="425"/>
        <w:rPr>
          <w:rFonts w:ascii="標楷體" w:eastAsia="標楷體" w:hAnsi="標楷體"/>
        </w:rPr>
      </w:pPr>
      <w:r>
        <w:rPr>
          <w:rFonts w:ascii="標楷體" w:eastAsia="標楷體" w:hAnsi="標楷體"/>
        </w:rPr>
        <w:t>使用劑量：</w:t>
      </w:r>
    </w:p>
    <w:p w14:paraId="5AE171CC" w14:textId="77777777" w:rsidR="00BD776B" w:rsidRDefault="00DF0C24">
      <w:pPr>
        <w:snapToGrid w:val="0"/>
        <w:ind w:left="1241" w:hanging="435"/>
        <w:rPr>
          <w:rFonts w:ascii="標楷體" w:eastAsia="標楷體" w:hAnsi="標楷體"/>
        </w:rPr>
      </w:pPr>
      <w:r>
        <w:rPr>
          <w:rFonts w:ascii="標楷體" w:eastAsia="標楷體" w:hAnsi="標楷體"/>
        </w:rPr>
        <w:t>Ⅰ.體重15公斤以上至未滿30公斤：起始劑量600mg (限300mg注射兩劑) ，接著以300mg隔4週注射一次，且於16週時，須先行評估，至少有EASI 50療效方可使用。</w:t>
      </w:r>
    </w:p>
    <w:p w14:paraId="15D79280" w14:textId="77777777" w:rsidR="00BD776B" w:rsidRDefault="00DF0C24">
      <w:pPr>
        <w:snapToGrid w:val="0"/>
        <w:ind w:left="1265" w:hanging="459"/>
        <w:rPr>
          <w:rFonts w:ascii="標楷體" w:eastAsia="標楷體" w:hAnsi="標楷體"/>
        </w:rPr>
      </w:pPr>
      <w:r>
        <w:rPr>
          <w:rFonts w:ascii="標楷體" w:eastAsia="標楷體" w:hAnsi="標楷體"/>
        </w:rPr>
        <w:t>Ⅱ.體重30公斤以上至未滿60公斤：起始劑量400mg (限200mg注射兩劑) ，接著以200mg隔週注射一次，且於16週時，須先行評估，至少有EASI 50療效方可使用。</w:t>
      </w:r>
    </w:p>
    <w:p w14:paraId="0A1C07DA" w14:textId="77777777" w:rsidR="00BD776B" w:rsidRDefault="00DF0C24">
      <w:pPr>
        <w:snapToGrid w:val="0"/>
        <w:ind w:left="1125" w:hanging="319"/>
        <w:rPr>
          <w:rFonts w:ascii="標楷體" w:eastAsia="標楷體" w:hAnsi="標楷體"/>
        </w:rPr>
      </w:pPr>
      <w:r>
        <w:rPr>
          <w:rFonts w:ascii="標楷體" w:eastAsia="標楷體" w:hAnsi="標楷體"/>
        </w:rPr>
        <w:t>Ⅲ.體重60公斤以上：起始劑量600mg (限300mg注射兩劑) ，接著以300mg隔週注射一次，且於16週時，須先行評估，至少有EASI 50療效方可使用。</w:t>
      </w:r>
    </w:p>
    <w:p w14:paraId="7065F761" w14:textId="77777777" w:rsidR="00BD776B" w:rsidRDefault="00DF0C24" w:rsidP="008A7063">
      <w:pPr>
        <w:pStyle w:val="af"/>
        <w:widowControl/>
        <w:numPr>
          <w:ilvl w:val="0"/>
          <w:numId w:val="33"/>
        </w:numPr>
        <w:snapToGrid w:val="0"/>
        <w:ind w:left="991" w:hanging="425"/>
        <w:rPr>
          <w:rFonts w:ascii="標楷體" w:eastAsia="標楷體" w:hAnsi="標楷體"/>
        </w:rPr>
      </w:pPr>
      <w:r>
        <w:rPr>
          <w:rFonts w:ascii="標楷體" w:eastAsia="標楷體" w:hAnsi="標楷體"/>
        </w:rPr>
        <w:t>若患者曾核准使用治療乾癬之生物製劑，需等到乾癬症狀消失後，至少兩年才能提出申請。或申請前須切片確定排除乾癬診斷並經皮膚科專科醫師確立診斷。</w:t>
      </w:r>
    </w:p>
    <w:p w14:paraId="12D0457E" w14:textId="77777777" w:rsidR="00BD776B" w:rsidRDefault="00DF0C24" w:rsidP="008A7063">
      <w:pPr>
        <w:pStyle w:val="af"/>
        <w:widowControl/>
        <w:numPr>
          <w:ilvl w:val="0"/>
          <w:numId w:val="31"/>
        </w:numPr>
        <w:snapToGrid w:val="0"/>
        <w:ind w:left="850" w:hanging="284"/>
        <w:rPr>
          <w:rFonts w:ascii="標楷體" w:eastAsia="標楷體" w:hAnsi="標楷體"/>
        </w:rPr>
      </w:pPr>
      <w:r>
        <w:rPr>
          <w:rFonts w:ascii="標楷體" w:eastAsia="標楷體" w:hAnsi="標楷體"/>
        </w:rPr>
        <w:t>需排除使用的情形應參照藥物仿單資訊，重要之排除使用狀況包括：寄生蟲 (蠕蟲) 感染。</w:t>
      </w:r>
    </w:p>
    <w:p w14:paraId="5B06B2FC" w14:textId="77777777" w:rsidR="00BD776B" w:rsidRDefault="00DF0C24" w:rsidP="008A7063">
      <w:pPr>
        <w:pStyle w:val="af"/>
        <w:widowControl/>
        <w:numPr>
          <w:ilvl w:val="0"/>
          <w:numId w:val="31"/>
        </w:numPr>
        <w:snapToGrid w:val="0"/>
        <w:ind w:left="850" w:hanging="284"/>
        <w:rPr>
          <w:rFonts w:ascii="標楷體" w:eastAsia="標楷體" w:hAnsi="標楷體"/>
        </w:rPr>
      </w:pPr>
      <w:r>
        <w:rPr>
          <w:rFonts w:ascii="標楷體" w:eastAsia="標楷體" w:hAnsi="標楷體"/>
        </w:rPr>
        <w:t>如果發生下列現象應停止治療：</w:t>
      </w:r>
    </w:p>
    <w:p w14:paraId="2B0D60F0" w14:textId="77777777" w:rsidR="00BD776B" w:rsidRDefault="00DF0C24" w:rsidP="008A7063">
      <w:pPr>
        <w:pStyle w:val="af"/>
        <w:widowControl/>
        <w:numPr>
          <w:ilvl w:val="0"/>
          <w:numId w:val="34"/>
        </w:numPr>
        <w:snapToGrid w:val="0"/>
        <w:ind w:left="991" w:hanging="425"/>
        <w:rPr>
          <w:rFonts w:ascii="標楷體" w:eastAsia="標楷體" w:hAnsi="標楷體"/>
        </w:rPr>
      </w:pPr>
      <w:r>
        <w:rPr>
          <w:rFonts w:ascii="標楷體" w:eastAsia="標楷體" w:hAnsi="標楷體"/>
        </w:rPr>
        <w:t>不良事件，包括：</w:t>
      </w:r>
    </w:p>
    <w:p w14:paraId="3B4CA68A" w14:textId="77777777" w:rsidR="00BD776B" w:rsidRDefault="00DF0C24">
      <w:pPr>
        <w:snapToGrid w:val="0"/>
        <w:ind w:left="566" w:firstLine="427"/>
      </w:pPr>
      <w:bookmarkStart w:id="29" w:name="_Hlk156320877"/>
      <w:r>
        <w:rPr>
          <w:rFonts w:ascii="標楷體" w:eastAsia="標楷體" w:hAnsi="標楷體"/>
          <w:color w:val="000000"/>
        </w:rPr>
        <w:lastRenderedPageBreak/>
        <w:t>Ⅰ.</w:t>
      </w:r>
      <w:bookmarkEnd w:id="29"/>
      <w:r>
        <w:rPr>
          <w:rFonts w:ascii="標楷體" w:eastAsia="標楷體" w:hAnsi="標楷體"/>
        </w:rPr>
        <w:t>惡性腫瘤。</w:t>
      </w:r>
    </w:p>
    <w:p w14:paraId="069DBD53" w14:textId="77777777" w:rsidR="00BD776B" w:rsidRDefault="00DF0C24">
      <w:pPr>
        <w:snapToGrid w:val="0"/>
        <w:ind w:left="566" w:firstLine="484"/>
        <w:rPr>
          <w:rFonts w:ascii="標楷體" w:eastAsia="標楷體" w:hAnsi="標楷體"/>
        </w:rPr>
      </w:pPr>
      <w:r>
        <w:rPr>
          <w:rFonts w:ascii="標楷體" w:eastAsia="標楷體" w:hAnsi="標楷體"/>
        </w:rPr>
        <w:t>Ⅱ.寄生蟲 (蠕蟲) 感染。</w:t>
      </w:r>
    </w:p>
    <w:p w14:paraId="6C74CDAD" w14:textId="77777777" w:rsidR="00BD776B" w:rsidRDefault="00DF0C24" w:rsidP="008A7063">
      <w:pPr>
        <w:pStyle w:val="af"/>
        <w:widowControl/>
        <w:numPr>
          <w:ilvl w:val="0"/>
          <w:numId w:val="34"/>
        </w:numPr>
        <w:snapToGrid w:val="0"/>
        <w:ind w:left="991" w:hanging="425"/>
        <w:rPr>
          <w:rFonts w:ascii="標楷體" w:eastAsia="標楷體" w:hAnsi="標楷體"/>
        </w:rPr>
      </w:pPr>
      <w:r>
        <w:rPr>
          <w:rFonts w:ascii="標楷體" w:eastAsia="標楷體" w:hAnsi="標楷體"/>
        </w:rPr>
        <w:t>療效不彰：患者經過6個月治療（初次療程）後未達療效者，療效定義指EASI改善未達50%。</w:t>
      </w:r>
    </w:p>
    <w:p w14:paraId="58034C59" w14:textId="77777777" w:rsidR="00BD776B" w:rsidRDefault="00DF0C24" w:rsidP="008A7063">
      <w:pPr>
        <w:pStyle w:val="af"/>
        <w:widowControl/>
        <w:numPr>
          <w:ilvl w:val="0"/>
          <w:numId w:val="31"/>
        </w:numPr>
        <w:snapToGrid w:val="0"/>
        <w:ind w:left="850" w:hanging="284"/>
        <w:rPr>
          <w:rFonts w:ascii="標楷體" w:eastAsia="標楷體" w:hAnsi="標楷體"/>
        </w:rPr>
      </w:pPr>
      <w:r>
        <w:rPr>
          <w:rFonts w:ascii="標楷體" w:eastAsia="標楷體" w:hAnsi="標楷體"/>
        </w:rPr>
        <w:t>暫緩續用之相關規定：</w:t>
      </w:r>
    </w:p>
    <w:p w14:paraId="1194DEC2" w14:textId="77777777" w:rsidR="00BD776B" w:rsidRDefault="00DF0C24" w:rsidP="008A7063">
      <w:pPr>
        <w:pStyle w:val="af"/>
        <w:widowControl/>
        <w:numPr>
          <w:ilvl w:val="0"/>
          <w:numId w:val="35"/>
        </w:numPr>
        <w:snapToGrid w:val="0"/>
        <w:ind w:left="991" w:hanging="425"/>
        <w:rPr>
          <w:rFonts w:ascii="標楷體" w:eastAsia="標楷體" w:hAnsi="標楷體"/>
        </w:rPr>
      </w:pPr>
      <w:r>
        <w:rPr>
          <w:rFonts w:ascii="標楷體" w:eastAsia="標楷體" w:hAnsi="標楷體"/>
        </w:rPr>
        <w:t>暫緩續用時機：使用生物製劑治療1年後符合EASI≦16者。</w:t>
      </w:r>
    </w:p>
    <w:p w14:paraId="17326596" w14:textId="77777777" w:rsidR="00BD776B" w:rsidRDefault="00DF0C24" w:rsidP="008A7063">
      <w:pPr>
        <w:pStyle w:val="af"/>
        <w:widowControl/>
        <w:numPr>
          <w:ilvl w:val="0"/>
          <w:numId w:val="35"/>
        </w:numPr>
        <w:snapToGrid w:val="0"/>
        <w:ind w:left="991" w:hanging="425"/>
        <w:rPr>
          <w:rFonts w:ascii="標楷體" w:eastAsia="標楷體" w:hAnsi="標楷體"/>
        </w:rPr>
      </w:pPr>
      <w:r>
        <w:rPr>
          <w:rFonts w:ascii="標楷體" w:eastAsia="標楷體" w:hAnsi="標楷體"/>
        </w:rPr>
        <w:t>暫緩續用後若疾病再復發，可重新申請使用，須符合至少有50%復發或EASI≧16 (需附上次療程治療前、後，及本次照片)。</w:t>
      </w:r>
    </w:p>
    <w:p w14:paraId="036FEC4F" w14:textId="77777777" w:rsidR="00BD776B" w:rsidRDefault="00DF0C24">
      <w:pPr>
        <w:snapToGrid w:val="0"/>
        <w:ind w:left="835" w:hanging="269"/>
        <w:rPr>
          <w:rFonts w:ascii="標楷體" w:eastAsia="標楷體" w:hAnsi="標楷體"/>
        </w:rPr>
      </w:pPr>
      <w:r>
        <w:rPr>
          <w:rFonts w:ascii="標楷體" w:eastAsia="標楷體" w:hAnsi="標楷體"/>
        </w:rPr>
        <w:t>◎附表三十二：異位性皮膚炎面積暨嚴重度指數【Eczema Area and Severity Index (EASI)】(108/12/1、113/2/1)</w:t>
      </w:r>
    </w:p>
    <w:p w14:paraId="77C94ABE" w14:textId="77777777" w:rsidR="00BD776B" w:rsidRDefault="00DF0C24">
      <w:pPr>
        <w:snapToGrid w:val="0"/>
        <w:ind w:left="874" w:hanging="308"/>
      </w:pPr>
      <w:r>
        <w:rPr>
          <w:rFonts w:ascii="標楷體" w:eastAsia="標楷體" w:hAnsi="標楷體"/>
        </w:rPr>
        <w:t>◎附表三十二之一：全民健康保險</w:t>
      </w:r>
      <w:r>
        <w:rPr>
          <w:rFonts w:ascii="標楷體" w:eastAsia="標楷體" w:hAnsi="標楷體"/>
          <w:bCs/>
          <w:szCs w:val="24"/>
        </w:rPr>
        <w:t>12歲以上病人</w:t>
      </w:r>
      <w:r>
        <w:rPr>
          <w:rFonts w:ascii="標楷體" w:eastAsia="標楷體" w:hAnsi="標楷體"/>
        </w:rPr>
        <w:t>異位性皮膚炎使用生物製劑申請表(109/8/1、111/8/1、113/2/1)</w:t>
      </w:r>
    </w:p>
    <w:p w14:paraId="00455623" w14:textId="77777777" w:rsidR="00BD776B" w:rsidRDefault="00DF0C24">
      <w:pPr>
        <w:snapToGrid w:val="0"/>
        <w:ind w:left="861" w:hanging="295"/>
        <w:rPr>
          <w:rFonts w:ascii="標楷體" w:eastAsia="標楷體" w:hAnsi="標楷體"/>
        </w:rPr>
      </w:pPr>
      <w:r>
        <w:rPr>
          <w:rFonts w:ascii="標楷體" w:eastAsia="標楷體" w:hAnsi="標楷體"/>
        </w:rPr>
        <w:t>◎附表三十二之二：全民健康保險6歲以上未滿12歲兒童異位性皮膚炎使用生物製劑申請表(113/2/1)</w:t>
      </w:r>
    </w:p>
    <w:p w14:paraId="7F061A9C" w14:textId="77777777" w:rsidR="00BD776B" w:rsidRDefault="00DF0C24">
      <w:pPr>
        <w:ind w:left="43"/>
        <w:rPr>
          <w:rFonts w:ascii="標楷體" w:eastAsia="標楷體" w:hAnsi="標楷體"/>
          <w:color w:val="000000"/>
        </w:rPr>
      </w:pPr>
      <w:r>
        <w:rPr>
          <w:rFonts w:ascii="標楷體" w:eastAsia="標楷體" w:hAnsi="標楷體"/>
          <w:color w:val="000000"/>
        </w:rPr>
        <w:t>13.18.Nadifloxacin外用製劑(如Nadixa) (110/6/1)</w:t>
      </w:r>
    </w:p>
    <w:p w14:paraId="2837BEB9" w14:textId="77777777" w:rsidR="00BD776B" w:rsidRDefault="00DF0C24">
      <w:pPr>
        <w:ind w:left="796" w:hanging="230"/>
        <w:rPr>
          <w:rFonts w:ascii="標楷體" w:eastAsia="標楷體" w:hAnsi="標楷體"/>
          <w:color w:val="000000"/>
        </w:rPr>
      </w:pPr>
      <w:r>
        <w:rPr>
          <w:rFonts w:ascii="標楷體" w:eastAsia="標楷體" w:hAnsi="標楷體"/>
          <w:color w:val="000000"/>
        </w:rPr>
        <w:t>1.限用於傳統外用抗生素治療無效之毛囊炎及尋常性鬚瘡，不得合併其他局部抗生素藥膏使用。</w:t>
      </w:r>
    </w:p>
    <w:p w14:paraId="7D9C7E38" w14:textId="77777777" w:rsidR="00BD776B" w:rsidRDefault="00DF0C24">
      <w:pPr>
        <w:ind w:left="566"/>
        <w:rPr>
          <w:rFonts w:ascii="標楷體" w:eastAsia="標楷體" w:hAnsi="標楷體"/>
          <w:color w:val="000000"/>
        </w:rPr>
      </w:pPr>
      <w:r>
        <w:rPr>
          <w:rFonts w:ascii="標楷體" w:eastAsia="標楷體" w:hAnsi="標楷體"/>
          <w:color w:val="000000"/>
        </w:rPr>
        <w:t>2.臉部每個月限用一條（25gm）。</w:t>
      </w:r>
    </w:p>
    <w:p w14:paraId="77A32154" w14:textId="77777777" w:rsidR="00BD776B" w:rsidRDefault="00DF0C24">
      <w:pPr>
        <w:ind w:left="566" w:hanging="480"/>
        <w:rPr>
          <w:rFonts w:ascii="標楷體" w:eastAsia="標楷體" w:hAnsi="標楷體"/>
          <w:color w:val="000000"/>
        </w:rPr>
      </w:pPr>
      <w:r>
        <w:rPr>
          <w:rFonts w:ascii="標楷體" w:eastAsia="標楷體" w:hAnsi="標楷體"/>
          <w:color w:val="000000"/>
        </w:rPr>
        <w:t>13.19.Centella asiatica extract, plectranthus amboinicus extract外用製劑(如Fespixon cream)：(112/8/1)</w:t>
      </w:r>
    </w:p>
    <w:p w14:paraId="48427E70" w14:textId="77777777" w:rsidR="00BD776B" w:rsidRDefault="00DF0C24">
      <w:pPr>
        <w:ind w:left="566"/>
        <w:rPr>
          <w:rFonts w:ascii="標楷體" w:eastAsia="標楷體" w:hAnsi="標楷體"/>
          <w:color w:val="000000"/>
        </w:rPr>
      </w:pPr>
      <w:r>
        <w:rPr>
          <w:rFonts w:ascii="標楷體" w:eastAsia="標楷體" w:hAnsi="標楷體"/>
          <w:color w:val="000000"/>
        </w:rPr>
        <w:t>1.限整形外科或皮膚科專科醫師使用。</w:t>
      </w:r>
    </w:p>
    <w:p w14:paraId="39F97052" w14:textId="77777777" w:rsidR="00BD776B" w:rsidRDefault="00DF0C24">
      <w:pPr>
        <w:ind w:left="806" w:hanging="240"/>
        <w:rPr>
          <w:rFonts w:ascii="標楷體" w:eastAsia="標楷體" w:hAnsi="標楷體"/>
          <w:color w:val="000000"/>
        </w:rPr>
      </w:pPr>
      <w:r>
        <w:rPr>
          <w:rFonts w:ascii="標楷體" w:eastAsia="標楷體" w:hAnsi="標楷體"/>
          <w:color w:val="000000"/>
        </w:rPr>
        <w:t>2.限用於糖尿病足部傷口潰瘍(Wagner grade 2級)，接受積極血糖控制及清創手術後，其治療最大傷口面積不超過5cm2，且應符合下列所有條件：</w:t>
      </w:r>
    </w:p>
    <w:p w14:paraId="3156C744" w14:textId="77777777" w:rsidR="00BD776B" w:rsidRDefault="00DF0C24">
      <w:pPr>
        <w:ind w:left="1046" w:hanging="240"/>
        <w:rPr>
          <w:rFonts w:ascii="標楷體" w:eastAsia="標楷體" w:hAnsi="標楷體"/>
          <w:color w:val="000000"/>
        </w:rPr>
      </w:pPr>
      <w:r>
        <w:rPr>
          <w:rFonts w:ascii="標楷體" w:eastAsia="標楷體" w:hAnsi="標楷體"/>
          <w:color w:val="000000"/>
        </w:rPr>
        <w:t>(1)糖尿病足部傷口潰瘍，傷口深及肌肉層且經抗生素藥膏或燙傷藥膏治療及使用傷口敷料12週後，該傷口癒合面積小於50%。</w:t>
      </w:r>
    </w:p>
    <w:p w14:paraId="69274E7F" w14:textId="77777777" w:rsidR="00BD776B" w:rsidRDefault="00DF0C24">
      <w:pPr>
        <w:ind w:left="806"/>
        <w:rPr>
          <w:rFonts w:ascii="標楷體" w:eastAsia="標楷體" w:hAnsi="標楷體"/>
          <w:color w:val="000000"/>
        </w:rPr>
      </w:pPr>
      <w:r>
        <w:rPr>
          <w:rFonts w:ascii="標楷體" w:eastAsia="標楷體" w:hAnsi="標楷體"/>
          <w:color w:val="000000"/>
        </w:rPr>
        <w:t>(2)HbA1c&lt;8.5%、albumin ≧ 3.0 g/dL。</w:t>
      </w:r>
    </w:p>
    <w:p w14:paraId="23FB5354" w14:textId="77777777" w:rsidR="00BD776B" w:rsidRDefault="00DF0C24">
      <w:pPr>
        <w:ind w:left="806"/>
        <w:rPr>
          <w:rFonts w:ascii="標楷體" w:eastAsia="標楷體" w:hAnsi="標楷體"/>
          <w:color w:val="000000"/>
        </w:rPr>
      </w:pPr>
      <w:r>
        <w:rPr>
          <w:rFonts w:ascii="標楷體" w:eastAsia="標楷體" w:hAnsi="標楷體"/>
          <w:color w:val="000000"/>
        </w:rPr>
        <w:t>(3)治療前ABI（Ankle Brachial Index）≧0.9。</w:t>
      </w:r>
    </w:p>
    <w:p w14:paraId="7BB87449" w14:textId="77777777" w:rsidR="00BD776B" w:rsidRDefault="00DF0C24">
      <w:pPr>
        <w:ind w:left="566"/>
        <w:rPr>
          <w:rFonts w:ascii="標楷體" w:eastAsia="標楷體" w:hAnsi="標楷體"/>
          <w:color w:val="000000"/>
        </w:rPr>
      </w:pPr>
      <w:r>
        <w:rPr>
          <w:rFonts w:ascii="標楷體" w:eastAsia="標楷體" w:hAnsi="標楷體"/>
          <w:color w:val="000000"/>
        </w:rPr>
        <w:t>3.每年限申請1次，每次申請為2支，每次處方限1支。</w:t>
      </w:r>
    </w:p>
    <w:p w14:paraId="6E520C41" w14:textId="77777777" w:rsidR="00BD776B" w:rsidRDefault="00DF0C24">
      <w:pPr>
        <w:ind w:left="566"/>
        <w:rPr>
          <w:rFonts w:ascii="標楷體" w:eastAsia="標楷體" w:hAnsi="標楷體"/>
          <w:color w:val="000000"/>
        </w:rPr>
      </w:pPr>
      <w:r>
        <w:rPr>
          <w:rFonts w:ascii="標楷體" w:eastAsia="標楷體" w:hAnsi="標楷體"/>
          <w:color w:val="000000"/>
        </w:rPr>
        <w:t>4.排除條件:</w:t>
      </w:r>
    </w:p>
    <w:p w14:paraId="5CACFDA4" w14:textId="77777777" w:rsidR="00BD776B" w:rsidRDefault="00DF0C24">
      <w:pPr>
        <w:ind w:left="806"/>
        <w:rPr>
          <w:rFonts w:ascii="標楷體" w:eastAsia="標楷體" w:hAnsi="標楷體"/>
          <w:color w:val="000000"/>
        </w:rPr>
      </w:pPr>
      <w:r>
        <w:rPr>
          <w:rFonts w:ascii="標楷體" w:eastAsia="標楷體" w:hAnsi="標楷體"/>
          <w:color w:val="000000"/>
        </w:rPr>
        <w:t>(1)急性發炎感染不穩定之傷口。</w:t>
      </w:r>
    </w:p>
    <w:p w14:paraId="738B694C" w14:textId="77777777" w:rsidR="00BD776B" w:rsidRDefault="00DF0C24">
      <w:pPr>
        <w:ind w:left="1166" w:hanging="360"/>
        <w:rPr>
          <w:rFonts w:ascii="標楷體" w:eastAsia="標楷體" w:hAnsi="標楷體"/>
          <w:color w:val="000000"/>
        </w:rPr>
      </w:pPr>
      <w:r>
        <w:rPr>
          <w:rFonts w:ascii="標楷體" w:eastAsia="標楷體" w:hAnsi="標楷體"/>
          <w:color w:val="000000"/>
        </w:rPr>
        <w:t>(2)周邊動脈阻塞(peripheral artery disease,PAD)病人未施行經皮血管擴張術 (percutaneous transluminal angioplasty,PTA)治療者。</w:t>
      </w:r>
    </w:p>
    <w:p w14:paraId="465377F4" w14:textId="77777777" w:rsidR="00BD776B" w:rsidRDefault="00DF0C24">
      <w:pPr>
        <w:ind w:left="806" w:hanging="240"/>
        <w:rPr>
          <w:rFonts w:ascii="標楷體" w:eastAsia="標楷體" w:hAnsi="標楷體"/>
          <w:color w:val="000000"/>
        </w:rPr>
      </w:pPr>
      <w:r>
        <w:rPr>
          <w:rFonts w:ascii="標楷體" w:eastAsia="標楷體" w:hAnsi="標楷體"/>
          <w:color w:val="000000"/>
        </w:rPr>
        <w:t>5.需經事前審查核准後使用；應附有HbA1c、albumin、ABI資料及相隔12週以上清創前後照片。</w:t>
      </w:r>
    </w:p>
    <w:p w14:paraId="0B2DA27C" w14:textId="77777777" w:rsidR="00BD776B" w:rsidRDefault="00DF0C24">
      <w:pPr>
        <w:ind w:left="566"/>
        <w:rPr>
          <w:rFonts w:ascii="標楷體" w:eastAsia="標楷體" w:hAnsi="標楷體"/>
          <w:color w:val="000000"/>
        </w:rPr>
      </w:pPr>
      <w:r>
        <w:rPr>
          <w:rFonts w:ascii="標楷體" w:eastAsia="標楷體" w:hAnsi="標楷體"/>
          <w:color w:val="000000"/>
        </w:rPr>
        <w:t>6.再次申請時除前條所需資料外，需加附前次治療後該傷口完全癒合之照片。</w:t>
      </w:r>
    </w:p>
    <w:p w14:paraId="70BF3687" w14:textId="77777777" w:rsidR="00BD776B" w:rsidRDefault="00DF0C24">
      <w:pPr>
        <w:ind w:left="566"/>
        <w:rPr>
          <w:rFonts w:ascii="標楷體" w:eastAsia="標楷體" w:hAnsi="標楷體"/>
          <w:color w:val="000000"/>
        </w:rPr>
      </w:pPr>
      <w:r>
        <w:rPr>
          <w:rFonts w:ascii="標楷體" w:eastAsia="標楷體" w:hAnsi="標楷體"/>
          <w:color w:val="000000"/>
        </w:rPr>
        <w:t>備註:積極血糖控制，係指糖化血色素不高於個別目標值1.5%以上，惟一般病人的糖化血色素目標值為7.0%以下，因此8.5%為指標。</w:t>
      </w:r>
    </w:p>
    <w:p w14:paraId="729BBDD2" w14:textId="77777777" w:rsidR="00BD776B" w:rsidRDefault="00BD776B">
      <w:pPr>
        <w:pageBreakBefore/>
        <w:widowControl/>
        <w:suppressAutoHyphens w:val="0"/>
        <w:rPr>
          <w:rFonts w:ascii="標楷體" w:eastAsia="標楷體" w:hAnsi="標楷體"/>
          <w:b/>
          <w:sz w:val="32"/>
          <w:szCs w:val="32"/>
        </w:rPr>
      </w:pPr>
    </w:p>
    <w:p w14:paraId="5BCE06F7" w14:textId="77777777" w:rsidR="00BD776B" w:rsidRDefault="00DF0C24" w:rsidP="007F053F">
      <w:pPr>
        <w:pStyle w:val="2"/>
      </w:pPr>
      <w:r>
        <w:t>第14節 眼科製劑 Ophthalmic preparations</w:t>
      </w:r>
    </w:p>
    <w:p w14:paraId="09EE1E4E" w14:textId="77777777" w:rsidR="00BD776B" w:rsidRDefault="00BD776B">
      <w:pPr>
        <w:snapToGrid w:val="0"/>
        <w:spacing w:line="400" w:lineRule="exact"/>
        <w:jc w:val="center"/>
        <w:rPr>
          <w:rFonts w:ascii="標楷體" w:eastAsia="標楷體" w:hAnsi="標楷體"/>
          <w:b/>
          <w:bCs/>
          <w:color w:val="000000"/>
          <w:sz w:val="32"/>
          <w:szCs w:val="32"/>
        </w:rPr>
      </w:pPr>
    </w:p>
    <w:p w14:paraId="0F0D5162" w14:textId="77777777" w:rsidR="00BD776B" w:rsidRDefault="00DF0C24">
      <w:pPr>
        <w:ind w:left="851" w:hanging="606"/>
      </w:pPr>
      <w:r>
        <w:rPr>
          <w:rFonts w:ascii="標楷體" w:eastAsia="標楷體" w:hAnsi="標楷體"/>
          <w:bCs/>
          <w:color w:val="000000"/>
        </w:rPr>
        <w:t>14.1.</w:t>
      </w:r>
      <w:r>
        <w:rPr>
          <w:rFonts w:ascii="標楷體" w:eastAsia="標楷體" w:hAnsi="標楷體"/>
          <w:bCs/>
          <w:color w:val="000000"/>
          <w:szCs w:val="24"/>
        </w:rPr>
        <w:t>高眼壓及青光眼眼用製劑(101/12/1、102/8/1、104/4/1、106/2/1、110/5/1、111/7/1)</w:t>
      </w:r>
    </w:p>
    <w:p w14:paraId="0CF7D52D" w14:textId="77777777" w:rsidR="00BD776B" w:rsidRDefault="00DF0C24">
      <w:pPr>
        <w:ind w:left="1078" w:hanging="370"/>
        <w:rPr>
          <w:rFonts w:ascii="標楷體" w:eastAsia="標楷體" w:hAnsi="標楷體"/>
          <w:bCs/>
          <w:color w:val="000000"/>
          <w:szCs w:val="24"/>
        </w:rPr>
      </w:pPr>
      <w:r>
        <w:rPr>
          <w:rFonts w:ascii="標楷體" w:eastAsia="標楷體" w:hAnsi="標楷體"/>
          <w:bCs/>
          <w:color w:val="000000"/>
          <w:szCs w:val="24"/>
        </w:rPr>
        <w:t>本類藥物療程劑量如下：(106/2/1、111/7/1)</w:t>
      </w:r>
    </w:p>
    <w:p w14:paraId="1AB9D825" w14:textId="77777777" w:rsidR="00BD776B" w:rsidRDefault="00DF0C24">
      <w:pPr>
        <w:ind w:left="1133" w:hanging="509"/>
        <w:rPr>
          <w:rFonts w:ascii="標楷體" w:eastAsia="標楷體" w:hAnsi="標楷體"/>
          <w:bCs/>
          <w:color w:val="000000"/>
          <w:szCs w:val="24"/>
        </w:rPr>
      </w:pPr>
      <w:r>
        <w:rPr>
          <w:rFonts w:ascii="標楷體" w:eastAsia="標楷體" w:hAnsi="標楷體"/>
          <w:bCs/>
          <w:color w:val="000000"/>
          <w:szCs w:val="24"/>
        </w:rPr>
        <w:t>1.多次使用包裝(規格量≧2.5mL):</w:t>
      </w:r>
    </w:p>
    <w:p w14:paraId="66A5D124" w14:textId="77777777" w:rsidR="00BD776B" w:rsidRDefault="00DF0C24">
      <w:pPr>
        <w:ind w:left="1275" w:hanging="370"/>
      </w:pPr>
      <w:r>
        <w:rPr>
          <w:rFonts w:ascii="標楷體" w:eastAsia="標楷體" w:hAnsi="標楷體"/>
          <w:bCs/>
          <w:color w:val="000000"/>
          <w:szCs w:val="24"/>
        </w:rPr>
        <w:t>(1)</w:t>
      </w:r>
      <w:r>
        <w:rPr>
          <w:rFonts w:ascii="標楷體" w:eastAsia="標楷體" w:hAnsi="標楷體"/>
          <w:bCs/>
          <w:color w:val="000000"/>
          <w:szCs w:val="24"/>
        </w:rPr>
        <w:tab/>
      </w:r>
      <w:bookmarkStart w:id="30" w:name="_Hlk90375412"/>
      <w:r>
        <w:rPr>
          <w:rFonts w:ascii="標楷體" w:eastAsia="標楷體" w:hAnsi="標楷體"/>
          <w:bCs/>
          <w:color w:val="000000"/>
          <w:szCs w:val="24"/>
        </w:rPr>
        <w:t>規格量≦3mL：一天點一次者(如</w:t>
      </w:r>
      <w:r>
        <w:rPr>
          <w:rFonts w:ascii="標楷體" w:eastAsia="標楷體" w:hAnsi="標楷體"/>
          <w:bCs/>
          <w:color w:val="000000"/>
          <w:kern w:val="0"/>
          <w:szCs w:val="24"/>
        </w:rPr>
        <w:t>Mikelan、</w:t>
      </w:r>
      <w:r>
        <w:rPr>
          <w:rFonts w:ascii="標楷體" w:eastAsia="標楷體" w:hAnsi="標楷體"/>
          <w:bCs/>
          <w:color w:val="000000"/>
          <w:szCs w:val="24"/>
        </w:rPr>
        <w:t>Xalatan、Travatan、Lumigan，Taflotan、Eybelis等)，</w:t>
      </w:r>
      <w:bookmarkEnd w:id="30"/>
      <w:r>
        <w:rPr>
          <w:rFonts w:ascii="標楷體" w:eastAsia="標楷體" w:hAnsi="標楷體"/>
          <w:bCs/>
          <w:color w:val="000000"/>
          <w:szCs w:val="24"/>
        </w:rPr>
        <w:t>單眼每4週處方為1瓶；雙眼得每3週處方1瓶，3個月處方4瓶。(101/12/1、102/8/1、104/4/1、111/7/1)</w:t>
      </w:r>
    </w:p>
    <w:p w14:paraId="025539C8" w14:textId="77777777" w:rsidR="00BD776B" w:rsidRDefault="00DF0C24">
      <w:pPr>
        <w:ind w:left="1275" w:hanging="370"/>
        <w:rPr>
          <w:rFonts w:ascii="標楷體" w:eastAsia="標楷體" w:hAnsi="標楷體"/>
          <w:bCs/>
          <w:color w:val="000000"/>
          <w:szCs w:val="24"/>
        </w:rPr>
      </w:pPr>
      <w:r>
        <w:rPr>
          <w:rFonts w:ascii="標楷體" w:eastAsia="標楷體" w:hAnsi="標楷體"/>
          <w:bCs/>
          <w:color w:val="000000"/>
          <w:szCs w:val="24"/>
        </w:rPr>
        <w:t>(2)</w:t>
      </w:r>
      <w:r>
        <w:rPr>
          <w:rFonts w:ascii="標楷體" w:eastAsia="標楷體" w:hAnsi="標楷體"/>
          <w:bCs/>
          <w:color w:val="000000"/>
          <w:szCs w:val="24"/>
        </w:rPr>
        <w:tab/>
        <w:t>規格量≧5mL：</w:t>
      </w:r>
    </w:p>
    <w:p w14:paraId="1A96701F" w14:textId="77777777" w:rsidR="00BD776B" w:rsidRDefault="00DF0C24">
      <w:pPr>
        <w:ind w:left="1275" w:hanging="370"/>
      </w:pPr>
      <w:bookmarkStart w:id="31" w:name="_Hlk90375461"/>
      <w:r>
        <w:rPr>
          <w:rFonts w:ascii="標楷體" w:eastAsia="標楷體" w:hAnsi="標楷體"/>
          <w:color w:val="000000"/>
          <w:szCs w:val="24"/>
        </w:rPr>
        <w:t>Ⅰ.</w:t>
      </w:r>
      <w:r>
        <w:rPr>
          <w:rFonts w:ascii="標楷體" w:eastAsia="標楷體" w:hAnsi="標楷體"/>
          <w:bCs/>
          <w:color w:val="000000"/>
          <w:szCs w:val="24"/>
        </w:rPr>
        <w:t>一天點一次者</w:t>
      </w:r>
      <w:bookmarkEnd w:id="31"/>
      <w:r>
        <w:rPr>
          <w:rFonts w:ascii="標楷體" w:eastAsia="標楷體" w:hAnsi="標楷體"/>
          <w:bCs/>
          <w:color w:val="000000"/>
          <w:szCs w:val="24"/>
        </w:rPr>
        <w:t>(如Vyzulta)，單眼每8週處方為1瓶；雙眼得每6週處方為1瓶，3個月處方2瓶。(110/5/1、111/7/1)</w:t>
      </w:r>
    </w:p>
    <w:p w14:paraId="18580D2A" w14:textId="77777777" w:rsidR="00BD776B" w:rsidRDefault="00DF0C24">
      <w:pPr>
        <w:ind w:left="1275" w:hanging="370"/>
      </w:pPr>
      <w:bookmarkStart w:id="32" w:name="_Hlk90375592"/>
      <w:r>
        <w:rPr>
          <w:rFonts w:ascii="標楷體" w:eastAsia="標楷體" w:hAnsi="標楷體"/>
          <w:color w:val="000000"/>
          <w:szCs w:val="24"/>
        </w:rPr>
        <w:t>Ⅱ.</w:t>
      </w:r>
      <w:bookmarkStart w:id="33" w:name="_Hlk90375581"/>
      <w:bookmarkEnd w:id="32"/>
      <w:r>
        <w:rPr>
          <w:rFonts w:ascii="標楷體" w:eastAsia="標楷體" w:hAnsi="標楷體"/>
          <w:bCs/>
          <w:color w:val="000000"/>
          <w:szCs w:val="24"/>
        </w:rPr>
        <w:t>一天點兩次者(如Timolol、Cosopt、Alphagan、Combigan等)，</w:t>
      </w:r>
      <w:bookmarkEnd w:id="33"/>
      <w:r>
        <w:rPr>
          <w:rFonts w:ascii="標楷體" w:eastAsia="標楷體" w:hAnsi="標楷體"/>
          <w:bCs/>
          <w:color w:val="000000"/>
          <w:szCs w:val="24"/>
        </w:rPr>
        <w:t>單眼每4週處方為1瓶。雙眼得每3週處方1瓶，3個月處方4瓶。(111/7/1)</w:t>
      </w:r>
    </w:p>
    <w:p w14:paraId="04FDBBB5" w14:textId="77777777" w:rsidR="00BD776B" w:rsidRDefault="00DF0C24">
      <w:pPr>
        <w:ind w:left="1078" w:hanging="370"/>
        <w:rPr>
          <w:rFonts w:ascii="標楷體" w:eastAsia="標楷體" w:hAnsi="標楷體"/>
          <w:bCs/>
          <w:color w:val="000000"/>
          <w:szCs w:val="24"/>
        </w:rPr>
      </w:pPr>
      <w:r>
        <w:rPr>
          <w:rFonts w:ascii="標楷體" w:eastAsia="標楷體" w:hAnsi="標楷體"/>
          <w:bCs/>
          <w:color w:val="000000"/>
          <w:szCs w:val="24"/>
        </w:rPr>
        <w:t>2.單次使用包裝(不含防腐劑)，單眼或雙眼每4週限處方支數如下(106/2/1)：</w:t>
      </w:r>
    </w:p>
    <w:p w14:paraId="1516D21E" w14:textId="77777777" w:rsidR="00BD776B" w:rsidRDefault="00DF0C24">
      <w:pPr>
        <w:ind w:left="1275" w:hanging="370"/>
        <w:rPr>
          <w:rFonts w:ascii="標楷體" w:eastAsia="標楷體" w:hAnsi="標楷體"/>
          <w:bCs/>
          <w:color w:val="000000"/>
          <w:szCs w:val="24"/>
        </w:rPr>
      </w:pPr>
      <w:r>
        <w:rPr>
          <w:rFonts w:ascii="標楷體" w:eastAsia="標楷體" w:hAnsi="標楷體"/>
          <w:bCs/>
          <w:color w:val="000000"/>
          <w:szCs w:val="24"/>
        </w:rPr>
        <w:t>(1)</w:t>
      </w:r>
      <w:r>
        <w:rPr>
          <w:rFonts w:ascii="標楷體" w:eastAsia="標楷體" w:hAnsi="標楷體"/>
          <w:bCs/>
          <w:color w:val="000000"/>
          <w:szCs w:val="24"/>
        </w:rPr>
        <w:tab/>
        <w:t>每日使用1次者，限30支(含)以下。</w:t>
      </w:r>
    </w:p>
    <w:p w14:paraId="278787B1" w14:textId="77777777" w:rsidR="00BD776B" w:rsidRDefault="00DF0C24">
      <w:pPr>
        <w:ind w:left="1275" w:hanging="370"/>
        <w:rPr>
          <w:rFonts w:ascii="標楷體" w:eastAsia="標楷體" w:hAnsi="標楷體"/>
          <w:bCs/>
          <w:color w:val="000000"/>
          <w:szCs w:val="24"/>
        </w:rPr>
      </w:pPr>
      <w:r>
        <w:rPr>
          <w:rFonts w:ascii="標楷體" w:eastAsia="標楷體" w:hAnsi="標楷體"/>
          <w:bCs/>
          <w:color w:val="000000"/>
          <w:szCs w:val="24"/>
        </w:rPr>
        <w:t>(2)</w:t>
      </w:r>
      <w:r>
        <w:rPr>
          <w:rFonts w:ascii="標楷體" w:eastAsia="標楷體" w:hAnsi="標楷體"/>
          <w:bCs/>
          <w:color w:val="000000"/>
          <w:szCs w:val="24"/>
        </w:rPr>
        <w:tab/>
        <w:t>每日使用2次者，限60支(含)以下。</w:t>
      </w:r>
    </w:p>
    <w:p w14:paraId="156D4D06" w14:textId="77777777" w:rsidR="00BD776B" w:rsidRDefault="00DF0C24">
      <w:pPr>
        <w:ind w:left="1275" w:hanging="370"/>
        <w:rPr>
          <w:rFonts w:ascii="標楷體" w:eastAsia="標楷體" w:hAnsi="標楷體"/>
          <w:bCs/>
          <w:color w:val="000000"/>
          <w:szCs w:val="24"/>
        </w:rPr>
      </w:pPr>
      <w:r>
        <w:rPr>
          <w:rFonts w:ascii="標楷體" w:eastAsia="標楷體" w:hAnsi="標楷體"/>
          <w:bCs/>
          <w:color w:val="000000"/>
          <w:szCs w:val="24"/>
        </w:rPr>
        <w:t>(3)</w:t>
      </w:r>
      <w:r>
        <w:rPr>
          <w:rFonts w:ascii="標楷體" w:eastAsia="標楷體" w:hAnsi="標楷體"/>
          <w:bCs/>
          <w:color w:val="000000"/>
          <w:szCs w:val="24"/>
        </w:rPr>
        <w:tab/>
        <w:t>每日使用3次者，限90(含)支以下。</w:t>
      </w:r>
    </w:p>
    <w:p w14:paraId="1D3089BE" w14:textId="77777777" w:rsidR="00BD776B" w:rsidRDefault="00DF0C24">
      <w:pPr>
        <w:ind w:left="1275" w:hanging="370"/>
        <w:rPr>
          <w:rFonts w:ascii="標楷體" w:eastAsia="標楷體" w:hAnsi="標楷體"/>
          <w:bCs/>
          <w:color w:val="000000"/>
          <w:szCs w:val="24"/>
        </w:rPr>
      </w:pPr>
      <w:r>
        <w:rPr>
          <w:rFonts w:ascii="標楷體" w:eastAsia="標楷體" w:hAnsi="標楷體"/>
          <w:bCs/>
          <w:color w:val="000000"/>
          <w:szCs w:val="24"/>
        </w:rPr>
        <w:t>(4)</w:t>
      </w:r>
      <w:r>
        <w:rPr>
          <w:rFonts w:ascii="標楷體" w:eastAsia="標楷體" w:hAnsi="標楷體"/>
          <w:bCs/>
          <w:color w:val="000000"/>
          <w:szCs w:val="24"/>
        </w:rPr>
        <w:tab/>
        <w:t>每日使用4次者，限120(含)支以下。</w:t>
      </w:r>
    </w:p>
    <w:p w14:paraId="6A20F817" w14:textId="77777777" w:rsidR="00BD776B" w:rsidRDefault="00DF0C24">
      <w:pPr>
        <w:ind w:left="993" w:hanging="285"/>
      </w:pPr>
      <w:r>
        <w:rPr>
          <w:rFonts w:ascii="標楷體" w:eastAsia="標楷體" w:hAnsi="標楷體"/>
          <w:bCs/>
          <w:color w:val="000000"/>
          <w:szCs w:val="24"/>
        </w:rPr>
        <w:t>3.治療時，不得併用其他同類藥品。另</w:t>
      </w:r>
      <w:r>
        <w:rPr>
          <w:rFonts w:ascii="標楷體" w:eastAsia="標楷體" w:hAnsi="標楷體"/>
          <w:color w:val="000000"/>
          <w:szCs w:val="24"/>
        </w:rPr>
        <w:t>Omidenepag(如Eybelis)不得併用前列腺素衍生物類。(111/7/1)</w:t>
      </w:r>
    </w:p>
    <w:p w14:paraId="0DDA81CB" w14:textId="77777777" w:rsidR="00BD776B" w:rsidRDefault="00DF0C24">
      <w:pPr>
        <w:ind w:left="672" w:hanging="386"/>
        <w:rPr>
          <w:rFonts w:ascii="標楷體" w:eastAsia="標楷體" w:hAnsi="標楷體"/>
          <w:bCs/>
          <w:color w:val="000000"/>
          <w:szCs w:val="24"/>
        </w:rPr>
      </w:pPr>
      <w:r>
        <w:rPr>
          <w:rFonts w:ascii="標楷體" w:eastAsia="標楷體" w:hAnsi="標楷體"/>
          <w:bCs/>
          <w:color w:val="000000"/>
          <w:szCs w:val="24"/>
        </w:rPr>
        <w:t>14.1.1.單方製劑(90/10/1、101/12/1、104/4/1、106/2/1、111/7/1):</w:t>
      </w:r>
    </w:p>
    <w:p w14:paraId="12B210C1"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1.β-交感神經阻斷劑(β-blockers )</w:t>
      </w:r>
    </w:p>
    <w:p w14:paraId="543984F1"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2.碳酸酐酶抑制劑(Carbonic anhydrase inhibitor) :</w:t>
      </w:r>
    </w:p>
    <w:p w14:paraId="3DAE00AB"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 xml:space="preserve">  限對β-blockers有禁忌、不適或使用效果不佳之病患使用。</w:t>
      </w:r>
    </w:p>
    <w:p w14:paraId="575C8845" w14:textId="77777777" w:rsidR="00BD776B" w:rsidRDefault="00DF0C24">
      <w:pPr>
        <w:ind w:left="811" w:hanging="245"/>
        <w:rPr>
          <w:rFonts w:ascii="標楷體" w:eastAsia="標楷體" w:hAnsi="標楷體"/>
          <w:bCs/>
          <w:color w:val="000000"/>
          <w:szCs w:val="24"/>
        </w:rPr>
      </w:pPr>
      <w:r>
        <w:rPr>
          <w:rFonts w:ascii="標楷體" w:eastAsia="標楷體" w:hAnsi="標楷體"/>
          <w:bCs/>
          <w:color w:val="000000"/>
          <w:szCs w:val="24"/>
        </w:rPr>
        <w:t>3.前列腺素衍生物類：(Prostaglandin analogues)：(93/2/1、101/12/1)</w:t>
      </w:r>
    </w:p>
    <w:p w14:paraId="13E4AB57" w14:textId="77777777" w:rsidR="00BD776B" w:rsidRDefault="00DF0C24">
      <w:pPr>
        <w:ind w:left="1231" w:hanging="379"/>
        <w:rPr>
          <w:rFonts w:ascii="標楷體" w:eastAsia="標楷體" w:hAnsi="標楷體"/>
          <w:bCs/>
          <w:color w:val="000000"/>
          <w:szCs w:val="24"/>
        </w:rPr>
      </w:pPr>
      <w:r>
        <w:rPr>
          <w:rFonts w:ascii="標楷體" w:eastAsia="標楷體" w:hAnsi="標楷體"/>
          <w:bCs/>
          <w:color w:val="000000"/>
          <w:szCs w:val="24"/>
        </w:rPr>
        <w:t>(1)限對β-blockers使用效果不佳或不適用之病患使用。宜先以單獨使用為原則。</w:t>
      </w:r>
    </w:p>
    <w:p w14:paraId="468DEE24" w14:textId="77777777" w:rsidR="00BD776B" w:rsidRDefault="00DF0C24">
      <w:pPr>
        <w:ind w:left="1231" w:hanging="379"/>
        <w:rPr>
          <w:rFonts w:ascii="標楷體" w:eastAsia="標楷體" w:hAnsi="標楷體"/>
          <w:bCs/>
          <w:color w:val="000000"/>
          <w:szCs w:val="24"/>
        </w:rPr>
      </w:pPr>
      <w:r>
        <w:rPr>
          <w:rFonts w:ascii="標楷體" w:eastAsia="標楷體" w:hAnsi="標楷體"/>
          <w:bCs/>
          <w:color w:val="000000"/>
          <w:szCs w:val="24"/>
        </w:rPr>
        <w:t>(2)療效仍不足時，得併用其他降眼壓用藥(含複方製劑)。</w:t>
      </w:r>
    </w:p>
    <w:p w14:paraId="4DF5A422" w14:textId="77777777" w:rsidR="00BD776B" w:rsidRDefault="00DF0C24">
      <w:pPr>
        <w:ind w:left="811" w:hanging="245"/>
      </w:pPr>
      <w:r>
        <w:rPr>
          <w:rFonts w:ascii="標楷體" w:eastAsia="標楷體" w:hAnsi="標楷體"/>
          <w:color w:val="000000"/>
          <w:szCs w:val="24"/>
        </w:rPr>
        <w:t>4.</w:t>
      </w:r>
      <w:r>
        <w:rPr>
          <w:rFonts w:ascii="標楷體" w:eastAsia="標楷體" w:hAnsi="標楷體"/>
          <w:bCs/>
          <w:color w:val="000000"/>
          <w:szCs w:val="24"/>
        </w:rPr>
        <w:t>腎上腺激性作用劑(α-2    adrenergic agonist)：限對β-blockers有禁忌、不適或使用效果不佳之病患使用。</w:t>
      </w:r>
      <w:r>
        <w:rPr>
          <w:rFonts w:ascii="標楷體" w:eastAsia="標楷體" w:hAnsi="標楷體"/>
          <w:color w:val="000000"/>
          <w:szCs w:val="24"/>
        </w:rPr>
        <w:t>(111/7/1)</w:t>
      </w:r>
    </w:p>
    <w:p w14:paraId="63A68A03" w14:textId="77777777" w:rsidR="00BD776B" w:rsidRDefault="00DF0C24">
      <w:pPr>
        <w:ind w:left="811" w:hanging="245"/>
        <w:rPr>
          <w:rFonts w:ascii="標楷體" w:eastAsia="標楷體" w:hAnsi="標楷體"/>
          <w:color w:val="000000"/>
          <w:szCs w:val="24"/>
        </w:rPr>
      </w:pPr>
      <w:r>
        <w:rPr>
          <w:rFonts w:ascii="標楷體" w:eastAsia="標楷體" w:hAnsi="標楷體"/>
          <w:color w:val="000000"/>
          <w:szCs w:val="24"/>
        </w:rPr>
        <w:t>5.Omidenepag(如Eybelis)：(111/7/1)</w:t>
      </w:r>
    </w:p>
    <w:p w14:paraId="070970E1" w14:textId="77777777" w:rsidR="00BD776B" w:rsidRDefault="00DF0C24">
      <w:pPr>
        <w:ind w:left="1231" w:hanging="379"/>
        <w:rPr>
          <w:rFonts w:ascii="標楷體" w:eastAsia="標楷體" w:hAnsi="標楷體"/>
          <w:bCs/>
          <w:color w:val="000000"/>
          <w:szCs w:val="24"/>
        </w:rPr>
      </w:pPr>
      <w:r>
        <w:rPr>
          <w:rFonts w:ascii="標楷體" w:eastAsia="標楷體" w:hAnsi="標楷體"/>
          <w:bCs/>
          <w:color w:val="000000"/>
          <w:szCs w:val="24"/>
        </w:rPr>
        <w:t>(1)限對β-blockers有禁忌、不適或使用效果不佳之病患使用。宜先以單獨使用為原則。</w:t>
      </w:r>
    </w:p>
    <w:p w14:paraId="103C2EC6" w14:textId="77777777" w:rsidR="00BD776B" w:rsidRDefault="00DF0C24">
      <w:pPr>
        <w:ind w:left="1231" w:hanging="379"/>
      </w:pPr>
      <w:r>
        <w:rPr>
          <w:rFonts w:ascii="標楷體" w:eastAsia="標楷體" w:hAnsi="標楷體"/>
          <w:bCs/>
          <w:color w:val="000000"/>
          <w:szCs w:val="24"/>
        </w:rPr>
        <w:t>(2)療效仍不足時，得併用其他降眼壓用藥(含複方製劑)</w:t>
      </w:r>
      <w:r>
        <w:rPr>
          <w:rFonts w:ascii="標楷體" w:eastAsia="標楷體" w:hAnsi="標楷體"/>
          <w:color w:val="000000"/>
          <w:szCs w:val="24"/>
        </w:rPr>
        <w:t>，但不得併用前列腺素衍生物類。</w:t>
      </w:r>
    </w:p>
    <w:p w14:paraId="6FDB1CE5" w14:textId="77777777" w:rsidR="00BD776B" w:rsidRDefault="00DF0C24">
      <w:pPr>
        <w:ind w:left="672" w:hanging="386"/>
        <w:rPr>
          <w:rFonts w:ascii="標楷體" w:eastAsia="標楷體" w:hAnsi="標楷體"/>
          <w:bCs/>
        </w:rPr>
      </w:pPr>
      <w:r>
        <w:rPr>
          <w:rFonts w:ascii="標楷體" w:eastAsia="標楷體" w:hAnsi="標楷體"/>
          <w:bCs/>
        </w:rPr>
        <w:t>14.1.2.複方製劑：(92/2/1、101/12/1、104/4/1、106/2/1)</w:t>
      </w:r>
    </w:p>
    <w:p w14:paraId="43F07B85" w14:textId="77777777" w:rsidR="00BD776B" w:rsidRDefault="00DF0C24">
      <w:pPr>
        <w:ind w:left="566"/>
        <w:rPr>
          <w:rFonts w:ascii="標楷體" w:eastAsia="標楷體" w:hAnsi="標楷體"/>
          <w:bCs/>
        </w:rPr>
      </w:pPr>
      <w:r>
        <w:rPr>
          <w:rFonts w:ascii="標楷體" w:eastAsia="標楷體" w:hAnsi="標楷體"/>
          <w:bCs/>
        </w:rPr>
        <w:t>限經單一降眼壓藥物治療後，眼壓仍控制不良之患者第二線(含)以上用藥。(91/12/1、97/8/1、97/9/1、101/12/1)</w:t>
      </w:r>
    </w:p>
    <w:p w14:paraId="7BBF80BE" w14:textId="77777777" w:rsidR="00BD776B" w:rsidRDefault="00DF0C24">
      <w:pPr>
        <w:ind w:left="672" w:hanging="386"/>
        <w:rPr>
          <w:rFonts w:ascii="標楷體" w:eastAsia="標楷體" w:hAnsi="標楷體"/>
          <w:color w:val="000000"/>
        </w:rPr>
      </w:pPr>
      <w:r>
        <w:rPr>
          <w:rFonts w:ascii="標楷體" w:eastAsia="標楷體" w:hAnsi="標楷體"/>
          <w:color w:val="000000"/>
        </w:rPr>
        <w:t>14.2.Acyclovir眼用製劑：限下列病例使用</w:t>
      </w:r>
    </w:p>
    <w:p w14:paraId="7CBAFAA5" w14:textId="77777777" w:rsidR="00BD776B" w:rsidRDefault="00DF0C24">
      <w:pPr>
        <w:ind w:left="811" w:hanging="245"/>
        <w:rPr>
          <w:rFonts w:ascii="標楷體" w:eastAsia="標楷體" w:hAnsi="標楷體"/>
          <w:color w:val="000000"/>
        </w:rPr>
      </w:pPr>
      <w:r>
        <w:rPr>
          <w:rFonts w:ascii="標楷體" w:eastAsia="標楷體" w:hAnsi="標楷體"/>
          <w:color w:val="000000"/>
        </w:rPr>
        <w:t>1.帶狀疱疹或單純性疱疹侵犯三叉神經第一分枝V1皮節，可能危及眼角膜者。</w:t>
      </w:r>
    </w:p>
    <w:p w14:paraId="2C2E9570" w14:textId="77777777" w:rsidR="00BD776B" w:rsidRDefault="00DF0C24">
      <w:pPr>
        <w:ind w:left="811" w:hanging="245"/>
        <w:rPr>
          <w:rFonts w:ascii="標楷體" w:eastAsia="標楷體" w:hAnsi="標楷體"/>
          <w:color w:val="000000"/>
        </w:rPr>
      </w:pPr>
      <w:r>
        <w:rPr>
          <w:rFonts w:ascii="標楷體" w:eastAsia="標楷體" w:hAnsi="標楷體"/>
          <w:color w:val="000000"/>
        </w:rPr>
        <w:t>2.帶狀疱疹或單純性疱疹所引起之角膜炎或角膜潰瘍者。</w:t>
      </w:r>
    </w:p>
    <w:p w14:paraId="1227A928" w14:textId="77777777" w:rsidR="00BD776B" w:rsidRDefault="00DF0C24">
      <w:pPr>
        <w:ind w:left="811" w:hanging="245"/>
        <w:rPr>
          <w:rFonts w:ascii="標楷體" w:eastAsia="標楷體" w:hAnsi="標楷體"/>
          <w:color w:val="000000"/>
        </w:rPr>
      </w:pPr>
      <w:r>
        <w:rPr>
          <w:rFonts w:ascii="標楷體" w:eastAsia="標楷體" w:hAnsi="標楷體"/>
          <w:color w:val="000000"/>
        </w:rPr>
        <w:t>3.急性視網膜壞死症 (acute retina necrosis)。</w:t>
      </w:r>
    </w:p>
    <w:p w14:paraId="1691113E" w14:textId="77777777" w:rsidR="00BD776B" w:rsidRDefault="00DF0C24">
      <w:pPr>
        <w:ind w:left="811" w:hanging="245"/>
        <w:rPr>
          <w:rFonts w:ascii="標楷體" w:eastAsia="標楷體" w:hAnsi="標楷體"/>
          <w:color w:val="000000"/>
        </w:rPr>
      </w:pPr>
      <w:r>
        <w:rPr>
          <w:rFonts w:ascii="標楷體" w:eastAsia="標楷體" w:hAnsi="標楷體"/>
          <w:color w:val="000000"/>
        </w:rPr>
        <w:t>4.本品不宜與口服、外用或注射製劑合併使用。</w:t>
      </w:r>
    </w:p>
    <w:p w14:paraId="564F235B" w14:textId="77777777" w:rsidR="00BD776B" w:rsidRDefault="00DF0C24">
      <w:pPr>
        <w:ind w:left="672" w:hanging="386"/>
        <w:rPr>
          <w:rFonts w:ascii="標楷體" w:eastAsia="標楷體" w:hAnsi="標楷體"/>
          <w:color w:val="000000"/>
        </w:rPr>
      </w:pPr>
      <w:r>
        <w:rPr>
          <w:rFonts w:ascii="標楷體" w:eastAsia="標楷體" w:hAnsi="標楷體"/>
          <w:color w:val="000000"/>
        </w:rPr>
        <w:t>14.3.Maxitrol oph oint；pimafucin oint：</w:t>
      </w:r>
    </w:p>
    <w:p w14:paraId="350C3DDD" w14:textId="77777777" w:rsidR="00BD776B" w:rsidRDefault="00DF0C24">
      <w:pPr>
        <w:ind w:left="798" w:hanging="1"/>
        <w:rPr>
          <w:rFonts w:ascii="標楷體" w:eastAsia="標楷體" w:hAnsi="標楷體"/>
          <w:color w:val="000000"/>
        </w:rPr>
      </w:pPr>
      <w:r>
        <w:rPr>
          <w:rFonts w:ascii="標楷體" w:eastAsia="標楷體" w:hAnsi="標楷體"/>
          <w:color w:val="000000"/>
        </w:rPr>
        <w:lastRenderedPageBreak/>
        <w:t>門診處方限一支。</w:t>
      </w:r>
    </w:p>
    <w:p w14:paraId="31AE1F07" w14:textId="77777777" w:rsidR="00BD776B" w:rsidRDefault="00DF0C24">
      <w:pPr>
        <w:ind w:left="672" w:hanging="386"/>
        <w:rPr>
          <w:rFonts w:ascii="標楷體" w:eastAsia="標楷體" w:hAnsi="標楷體"/>
          <w:color w:val="000000"/>
        </w:rPr>
      </w:pPr>
      <w:r>
        <w:rPr>
          <w:rFonts w:ascii="標楷體" w:eastAsia="標楷體" w:hAnsi="標楷體"/>
          <w:color w:val="000000"/>
        </w:rPr>
        <w:t>14.4.Quinolone類眼用製劑：（87/4/1、90/12/1、93/2/1、94/7/1）</w:t>
      </w:r>
    </w:p>
    <w:p w14:paraId="7FE91DEA" w14:textId="77777777" w:rsidR="00BD776B" w:rsidRDefault="00DF0C24">
      <w:pPr>
        <w:ind w:left="672" w:hanging="386"/>
        <w:rPr>
          <w:rFonts w:ascii="標楷體" w:eastAsia="標楷體" w:hAnsi="標楷體"/>
          <w:color w:val="000000"/>
        </w:rPr>
      </w:pPr>
      <w:r>
        <w:rPr>
          <w:rFonts w:ascii="標楷體" w:eastAsia="標楷體" w:hAnsi="標楷體"/>
          <w:color w:val="000000"/>
        </w:rPr>
        <w:t>14.4.1.Ofloxacin, norfloxacin, ciprofloxacin, moxifloxacin, levofloxacin眼用製劑：（87/4/1、93/2/1、94/7/1、96/5/1）</w:t>
      </w:r>
    </w:p>
    <w:p w14:paraId="2D2D9A10" w14:textId="77777777" w:rsidR="00BD776B" w:rsidRDefault="00DF0C24">
      <w:pPr>
        <w:ind w:left="811" w:hanging="245"/>
        <w:rPr>
          <w:rFonts w:ascii="標楷體" w:eastAsia="標楷體" w:hAnsi="標楷體"/>
          <w:color w:val="000000"/>
        </w:rPr>
      </w:pPr>
      <w:r>
        <w:rPr>
          <w:rFonts w:ascii="標楷體" w:eastAsia="標楷體" w:hAnsi="標楷體"/>
          <w:color w:val="000000"/>
        </w:rPr>
        <w:t>1.限用於角膜潰瘍或嚴重角膜炎病例。</w:t>
      </w:r>
    </w:p>
    <w:p w14:paraId="497C1B9F" w14:textId="77777777" w:rsidR="00BD776B" w:rsidRDefault="00DF0C24">
      <w:pPr>
        <w:ind w:left="811" w:hanging="245"/>
        <w:rPr>
          <w:rFonts w:ascii="標楷體" w:eastAsia="標楷體" w:hAnsi="標楷體"/>
          <w:color w:val="000000"/>
        </w:rPr>
      </w:pPr>
      <w:r>
        <w:rPr>
          <w:rFonts w:ascii="標楷體" w:eastAsia="標楷體" w:hAnsi="標楷體"/>
          <w:color w:val="000000"/>
        </w:rPr>
        <w:t>2.其餘眼科疾患，則列為第二線用藥，申報費用時需檢附細菌敏感試驗報告。</w:t>
      </w:r>
    </w:p>
    <w:p w14:paraId="393C8B5D" w14:textId="77777777" w:rsidR="00BD776B" w:rsidRDefault="00DF0C24">
      <w:pPr>
        <w:ind w:left="672" w:hanging="386"/>
        <w:rPr>
          <w:rFonts w:ascii="標楷體" w:eastAsia="標楷體" w:hAnsi="標楷體"/>
          <w:color w:val="000000"/>
        </w:rPr>
      </w:pPr>
      <w:r>
        <w:rPr>
          <w:rFonts w:ascii="標楷體" w:eastAsia="標楷體" w:hAnsi="標楷體"/>
          <w:color w:val="000000"/>
        </w:rPr>
        <w:t>14.4.2.Lomefloxacin (Okacin)：(90/12/1、93/2/1）</w:t>
      </w:r>
    </w:p>
    <w:p w14:paraId="62BB3823" w14:textId="77777777" w:rsidR="00BD776B" w:rsidRDefault="00DF0C24">
      <w:pPr>
        <w:ind w:left="811" w:hanging="245"/>
        <w:rPr>
          <w:rFonts w:ascii="標楷體" w:eastAsia="標楷體" w:hAnsi="標楷體"/>
          <w:color w:val="000000"/>
        </w:rPr>
      </w:pPr>
      <w:r>
        <w:rPr>
          <w:rFonts w:ascii="標楷體" w:eastAsia="標楷體" w:hAnsi="標楷體"/>
          <w:color w:val="000000"/>
        </w:rPr>
        <w:t>1.對lomefloxacin hydrochloride易感性細菌所造成之結膜炎、眼瞼炎等之第二線用藥。</w:t>
      </w:r>
    </w:p>
    <w:p w14:paraId="43659040" w14:textId="77777777" w:rsidR="00BD776B" w:rsidRDefault="00DF0C24">
      <w:pPr>
        <w:ind w:left="811" w:hanging="245"/>
        <w:rPr>
          <w:rFonts w:ascii="標楷體" w:eastAsia="標楷體" w:hAnsi="標楷體"/>
          <w:color w:val="000000"/>
        </w:rPr>
      </w:pPr>
      <w:r>
        <w:rPr>
          <w:rFonts w:ascii="標楷體" w:eastAsia="標楷體" w:hAnsi="標楷體"/>
          <w:color w:val="000000"/>
        </w:rPr>
        <w:t>2.申報費用時需檢附細菌敏感試驗報告。</w:t>
      </w:r>
    </w:p>
    <w:p w14:paraId="2A5BB28E" w14:textId="585F58E1" w:rsidR="00BD776B" w:rsidRDefault="00DF0C24">
      <w:pPr>
        <w:ind w:left="672" w:hanging="386"/>
        <w:rPr>
          <w:rFonts w:ascii="標楷體" w:eastAsia="標楷體" w:hAnsi="標楷體"/>
          <w:color w:val="000000"/>
        </w:rPr>
      </w:pPr>
      <w:r>
        <w:rPr>
          <w:rFonts w:ascii="標楷體" w:eastAsia="標楷體" w:hAnsi="標楷體"/>
          <w:color w:val="000000"/>
        </w:rPr>
        <w:t>14.5.人工淚液：（87/7/1、93/2/1</w:t>
      </w:r>
      <w:r w:rsidR="000A143F">
        <w:rPr>
          <w:rFonts w:ascii="標楷體" w:eastAsia="標楷體" w:hAnsi="標楷體" w:hint="eastAsia"/>
          <w:color w:val="000000"/>
        </w:rPr>
        <w:t>、</w:t>
      </w:r>
      <w:r w:rsidR="000A143F" w:rsidRPr="000A143F">
        <w:rPr>
          <w:rFonts w:ascii="標楷體" w:eastAsia="標楷體" w:hAnsi="標楷體"/>
          <w:color w:val="000000"/>
        </w:rPr>
        <w:t>113/7/1</w:t>
      </w:r>
      <w:r>
        <w:rPr>
          <w:rFonts w:ascii="標楷體" w:eastAsia="標楷體" w:hAnsi="標楷體"/>
          <w:color w:val="000000"/>
        </w:rPr>
        <w:t>）</w:t>
      </w:r>
    </w:p>
    <w:p w14:paraId="1ADDBA1E" w14:textId="7870BA9A" w:rsidR="00BD776B" w:rsidRDefault="00DF0C24">
      <w:pPr>
        <w:ind w:left="811" w:hanging="245"/>
        <w:rPr>
          <w:rFonts w:ascii="標楷體" w:eastAsia="標楷體" w:hAnsi="標楷體"/>
          <w:color w:val="000000"/>
        </w:rPr>
      </w:pPr>
      <w:r>
        <w:rPr>
          <w:rFonts w:ascii="標楷體" w:eastAsia="標楷體" w:hAnsi="標楷體"/>
          <w:color w:val="000000"/>
        </w:rPr>
        <w:t>1.</w:t>
      </w:r>
      <w:r w:rsidR="000A143F" w:rsidRPr="000A143F">
        <w:rPr>
          <w:rFonts w:hint="eastAsia"/>
        </w:rPr>
        <w:t xml:space="preserve"> </w:t>
      </w:r>
      <w:r w:rsidR="000A143F" w:rsidRPr="000A143F">
        <w:rPr>
          <w:rFonts w:ascii="標楷體" w:eastAsia="標楷體" w:hAnsi="標楷體" w:hint="eastAsia"/>
          <w:color w:val="000000"/>
        </w:rPr>
        <w:t>初次使用限經眼科醫師診斷且符合下列條件之一者使用，病歷上應附相關紀錄、照片或影片備查：(113/7/1）</w:t>
      </w:r>
    </w:p>
    <w:p w14:paraId="29D9ECBD" w14:textId="77777777" w:rsidR="000A143F" w:rsidRPr="000A143F" w:rsidRDefault="000A143F" w:rsidP="000A143F">
      <w:pPr>
        <w:ind w:left="1231" w:hanging="380"/>
        <w:rPr>
          <w:rFonts w:ascii="標楷體" w:eastAsia="標楷體" w:hAnsi="標楷體"/>
          <w:bCs/>
          <w:color w:val="000000"/>
          <w:szCs w:val="24"/>
        </w:rPr>
      </w:pPr>
      <w:r w:rsidRPr="000A143F">
        <w:rPr>
          <w:rFonts w:ascii="標楷體" w:eastAsia="標楷體" w:hAnsi="標楷體" w:hint="eastAsia"/>
          <w:color w:val="000000"/>
        </w:rPr>
        <w:t>(</w:t>
      </w:r>
      <w:r w:rsidRPr="000A143F">
        <w:rPr>
          <w:rFonts w:ascii="標楷體" w:eastAsia="標楷體" w:hAnsi="標楷體" w:hint="eastAsia"/>
          <w:bCs/>
          <w:color w:val="000000"/>
          <w:szCs w:val="24"/>
        </w:rPr>
        <w:t>1)乾眼症病患經淚液分泌機能檢查(basal Schirmer test)至少單眼淚液分泌＜5 mm者或淚膜檢查淚膜破裂時間(TBUT)＜5秒。（87/7/1、93/2/1、113/7/1）</w:t>
      </w:r>
    </w:p>
    <w:p w14:paraId="17B38BC7" w14:textId="285BD252" w:rsidR="000A143F" w:rsidRDefault="000A143F" w:rsidP="000A143F">
      <w:pPr>
        <w:ind w:left="1231" w:hanging="380"/>
        <w:rPr>
          <w:rFonts w:ascii="標楷體" w:eastAsia="標楷體" w:hAnsi="標楷體"/>
          <w:color w:val="000000"/>
        </w:rPr>
      </w:pPr>
      <w:r w:rsidRPr="000A143F">
        <w:rPr>
          <w:rFonts w:ascii="標楷體" w:eastAsia="標楷體" w:hAnsi="標楷體" w:hint="eastAsia"/>
          <w:bCs/>
          <w:color w:val="000000"/>
          <w:szCs w:val="24"/>
        </w:rPr>
        <w:t>(2)因乾眼</w:t>
      </w:r>
      <w:r w:rsidRPr="000A143F">
        <w:rPr>
          <w:rFonts w:ascii="標楷體" w:eastAsia="標楷體" w:hAnsi="標楷體" w:hint="eastAsia"/>
          <w:color w:val="000000"/>
        </w:rPr>
        <w:t>症導致角膜病變、暴露性角膜病變或其它相關之角膜病變必須時之使用。(93/2/1)</w:t>
      </w:r>
    </w:p>
    <w:p w14:paraId="4739E425" w14:textId="048AC778" w:rsidR="00BD776B" w:rsidRDefault="00DF0C24">
      <w:pPr>
        <w:ind w:left="811" w:hanging="245"/>
        <w:rPr>
          <w:rFonts w:ascii="標楷體" w:eastAsia="標楷體" w:hAnsi="標楷體"/>
          <w:color w:val="000000"/>
        </w:rPr>
      </w:pPr>
      <w:r>
        <w:rPr>
          <w:rFonts w:ascii="標楷體" w:eastAsia="標楷體" w:hAnsi="標楷體"/>
          <w:color w:val="000000"/>
        </w:rPr>
        <w:t>2.</w:t>
      </w:r>
      <w:r w:rsidR="000A143F" w:rsidRPr="000A143F">
        <w:rPr>
          <w:rFonts w:hint="eastAsia"/>
        </w:rPr>
        <w:t xml:space="preserve"> </w:t>
      </w:r>
      <w:r w:rsidR="000A143F" w:rsidRPr="000A143F">
        <w:rPr>
          <w:rFonts w:ascii="標楷體" w:eastAsia="標楷體" w:hAnsi="標楷體" w:hint="eastAsia"/>
          <w:color w:val="000000"/>
        </w:rPr>
        <w:t>規格量15mL者，每個月限處方1瓶；規格量≦10mL者，3個月限處方4瓶。(113/7/1）</w:t>
      </w:r>
    </w:p>
    <w:p w14:paraId="12F231B7" w14:textId="77777777" w:rsidR="00BD776B" w:rsidRDefault="00DF0C24">
      <w:pPr>
        <w:ind w:left="672" w:hanging="386"/>
        <w:rPr>
          <w:rFonts w:ascii="標楷體" w:eastAsia="標楷體" w:hAnsi="標楷體"/>
          <w:bCs/>
        </w:rPr>
      </w:pPr>
      <w:r>
        <w:rPr>
          <w:rFonts w:ascii="標楷體" w:eastAsia="標楷體" w:hAnsi="標楷體"/>
          <w:bCs/>
        </w:rPr>
        <w:t>14.6.(刪除)(101/12/1)</w:t>
      </w:r>
    </w:p>
    <w:p w14:paraId="7069FDE3" w14:textId="77777777" w:rsidR="00BD776B" w:rsidRDefault="00DF0C24">
      <w:pPr>
        <w:ind w:left="672" w:hanging="386"/>
      </w:pPr>
      <w:r>
        <w:rPr>
          <w:rFonts w:ascii="標楷體" w:eastAsia="標楷體" w:hAnsi="標楷體"/>
          <w:bCs/>
        </w:rPr>
        <w:t>14.7.(刪除)(101/12/1)</w:t>
      </w:r>
    </w:p>
    <w:p w14:paraId="2D3DE773" w14:textId="77777777" w:rsidR="00BD776B" w:rsidRDefault="00DF0C24">
      <w:pPr>
        <w:ind w:left="672" w:hanging="386"/>
        <w:rPr>
          <w:rFonts w:ascii="標楷體" w:eastAsia="標楷體" w:hAnsi="標楷體"/>
          <w:color w:val="000000"/>
        </w:rPr>
      </w:pPr>
      <w:r>
        <w:rPr>
          <w:rFonts w:ascii="標楷體" w:eastAsia="標楷體" w:hAnsi="標楷體"/>
          <w:color w:val="000000"/>
        </w:rPr>
        <w:t>14.8.Ketorolac tromethamine（如Acular Ophthalmic Solution）：(89/11/1)</w:t>
      </w:r>
    </w:p>
    <w:p w14:paraId="3AE4F587" w14:textId="77777777" w:rsidR="00BD776B" w:rsidRDefault="00DF0C24">
      <w:pPr>
        <w:ind w:left="798" w:hanging="1"/>
        <w:rPr>
          <w:rFonts w:ascii="標楷體" w:eastAsia="標楷體" w:hAnsi="標楷體"/>
          <w:color w:val="000000"/>
        </w:rPr>
      </w:pPr>
      <w:r>
        <w:rPr>
          <w:rFonts w:ascii="標楷體" w:eastAsia="標楷體" w:hAnsi="標楷體"/>
          <w:color w:val="000000"/>
        </w:rPr>
        <w:t>限白內障手術後之眼部發炎使用。</w:t>
      </w:r>
    </w:p>
    <w:p w14:paraId="7CAC1235" w14:textId="77777777" w:rsidR="00BD776B" w:rsidRDefault="00DF0C24">
      <w:pPr>
        <w:ind w:left="672" w:hanging="386"/>
        <w:rPr>
          <w:rFonts w:ascii="標楷體" w:eastAsia="標楷體" w:hAnsi="標楷體"/>
          <w:color w:val="000000"/>
        </w:rPr>
      </w:pPr>
      <w:r>
        <w:rPr>
          <w:rFonts w:ascii="標楷體" w:eastAsia="標楷體" w:hAnsi="標楷體"/>
          <w:color w:val="000000"/>
        </w:rPr>
        <w:t>14.9.其他  Miscellaneous</w:t>
      </w:r>
    </w:p>
    <w:p w14:paraId="7043771C" w14:textId="77777777" w:rsidR="00BD776B" w:rsidRDefault="00DF0C24">
      <w:pPr>
        <w:ind w:left="283"/>
        <w:rPr>
          <w:rFonts w:ascii="標楷體" w:eastAsia="標楷體" w:hAnsi="標楷體"/>
          <w:color w:val="000000"/>
        </w:rPr>
      </w:pPr>
      <w:r>
        <w:rPr>
          <w:rFonts w:ascii="標楷體" w:eastAsia="標楷體" w:hAnsi="標楷體"/>
          <w:color w:val="000000"/>
        </w:rPr>
        <w:t>14.9.1.(刪除) (95/6/1、104/5/1)</w:t>
      </w:r>
    </w:p>
    <w:p w14:paraId="673D50C0" w14:textId="5980F0DC" w:rsidR="00BD776B" w:rsidRDefault="00CE6EC5">
      <w:pPr>
        <w:ind w:left="643" w:hanging="360"/>
        <w:rPr>
          <w:rFonts w:ascii="標楷體" w:eastAsia="標楷體" w:hAnsi="標楷體"/>
          <w:color w:val="000000"/>
        </w:rPr>
      </w:pPr>
      <w:r w:rsidRPr="00B33F07">
        <w:rPr>
          <w:rFonts w:ascii="標楷體" w:eastAsia="標楷體" w:hAnsi="標楷體" w:hint="eastAsia"/>
          <w:color w:val="000000"/>
        </w:rPr>
        <w:t>14.9.2.新生血管抑制劑 (Anti-angiogenic agents) : ranibizumab (如Lucentis)、aflibercept (如Eylea)、faricimab (如Vabysmo) (100/1/1、 101/5/1、102/2/1、103/8/1、104/5/1、105/2/1、105/7/1、105/11/1、105/12/1、106/4/1、106/12/1、108/4/1、109/2/1、109/3/1、109/6/1、109/12/1、112/2/1、112/3/1、113/1/1、114/5/1)</w:t>
      </w:r>
    </w:p>
    <w:p w14:paraId="364FBF06" w14:textId="77777777" w:rsidR="00BD776B" w:rsidRDefault="00DF0C24">
      <w:pPr>
        <w:ind w:left="811" w:hanging="245"/>
        <w:rPr>
          <w:rFonts w:ascii="標楷體" w:eastAsia="標楷體" w:hAnsi="標楷體"/>
          <w:color w:val="000000"/>
        </w:rPr>
      </w:pPr>
      <w:r>
        <w:rPr>
          <w:rFonts w:ascii="標楷體" w:eastAsia="標楷體" w:hAnsi="標楷體"/>
          <w:color w:val="000000"/>
        </w:rPr>
        <w:t>本類藥品使用須符合下列條件:</w:t>
      </w:r>
    </w:p>
    <w:p w14:paraId="2C602AE3" w14:textId="77777777" w:rsidR="00BD776B" w:rsidRDefault="00DF0C24">
      <w:pPr>
        <w:ind w:left="811" w:hanging="245"/>
        <w:rPr>
          <w:rFonts w:ascii="標楷體" w:eastAsia="標楷體" w:hAnsi="標楷體"/>
          <w:color w:val="000000"/>
        </w:rPr>
      </w:pPr>
      <w:r>
        <w:rPr>
          <w:rFonts w:ascii="標楷體" w:eastAsia="標楷體" w:hAnsi="標楷體"/>
          <w:color w:val="000000"/>
        </w:rPr>
        <w:t>1.未曾申請給付本類藥品者。</w:t>
      </w:r>
    </w:p>
    <w:p w14:paraId="005A1AEA" w14:textId="77777777" w:rsidR="00BD776B" w:rsidRDefault="00DF0C24">
      <w:pPr>
        <w:ind w:left="811" w:hanging="245"/>
        <w:rPr>
          <w:rFonts w:ascii="標楷體" w:eastAsia="標楷體" w:hAnsi="標楷體"/>
          <w:color w:val="000000"/>
        </w:rPr>
      </w:pPr>
      <w:r>
        <w:rPr>
          <w:rFonts w:ascii="標楷體" w:eastAsia="標楷體" w:hAnsi="標楷體"/>
          <w:color w:val="000000"/>
        </w:rPr>
        <w:t>2.須經事前審查核准後使用。</w:t>
      </w:r>
    </w:p>
    <w:p w14:paraId="1BC72B52" w14:textId="77777777" w:rsidR="00BD776B" w:rsidRDefault="00DF0C24">
      <w:pPr>
        <w:ind w:left="1051" w:hanging="245"/>
        <w:rPr>
          <w:rFonts w:ascii="標楷體" w:eastAsia="標楷體" w:hAnsi="標楷體"/>
          <w:color w:val="000000"/>
        </w:rPr>
      </w:pPr>
      <w:r>
        <w:rPr>
          <w:rFonts w:ascii="標楷體" w:eastAsia="標楷體" w:hAnsi="標楷體"/>
          <w:color w:val="000000"/>
        </w:rPr>
        <w:t>(1)第一次申請時需檢附一個月內之病眼最佳矯正視力(介於0.05~0.5(含)之間)、眼底彩色照片、FAG (fluorescein angiography)、OCT (optical coherence tomography)、及相關病歷紀錄資料。</w:t>
      </w:r>
    </w:p>
    <w:p w14:paraId="42D5B7FD" w14:textId="77777777" w:rsidR="00BD776B" w:rsidRDefault="00DF0C24">
      <w:pPr>
        <w:ind w:left="1051" w:hanging="245"/>
        <w:rPr>
          <w:rFonts w:ascii="標楷體" w:eastAsia="標楷體" w:hAnsi="標楷體"/>
          <w:color w:val="000000"/>
        </w:rPr>
      </w:pPr>
      <w:r>
        <w:rPr>
          <w:rFonts w:ascii="標楷體" w:eastAsia="標楷體" w:hAnsi="標楷體"/>
          <w:color w:val="000000"/>
        </w:rPr>
        <w:t>(2)經評估需續用者，再次申請時需檢附第一次申請資料及再次申請前一個月內有改善證明之相關資料。</w:t>
      </w:r>
    </w:p>
    <w:p w14:paraId="1C004CEA" w14:textId="77777777" w:rsidR="00BD776B" w:rsidRDefault="00DF0C24">
      <w:pPr>
        <w:ind w:left="811" w:hanging="245"/>
        <w:rPr>
          <w:rFonts w:ascii="標楷體" w:eastAsia="標楷體" w:hAnsi="標楷體"/>
          <w:color w:val="000000"/>
        </w:rPr>
      </w:pPr>
      <w:r>
        <w:rPr>
          <w:rFonts w:ascii="標楷體" w:eastAsia="標楷體" w:hAnsi="標楷體"/>
          <w:color w:val="000000"/>
        </w:rPr>
        <w:t>3.限眼科專科醫師施行。</w:t>
      </w:r>
    </w:p>
    <w:p w14:paraId="529364FA" w14:textId="77777777" w:rsidR="00BD776B" w:rsidRDefault="00DF0C24">
      <w:pPr>
        <w:ind w:left="811" w:hanging="245"/>
        <w:rPr>
          <w:rFonts w:ascii="標楷體" w:eastAsia="標楷體" w:hAnsi="標楷體"/>
          <w:color w:val="000000"/>
        </w:rPr>
      </w:pPr>
      <w:r>
        <w:rPr>
          <w:rFonts w:ascii="標楷體" w:eastAsia="標楷體" w:hAnsi="標楷體"/>
          <w:color w:val="000000"/>
        </w:rPr>
        <w:t>4.已產生中央窩下(subfoveal)結痂者不得申請使用。</w:t>
      </w:r>
    </w:p>
    <w:p w14:paraId="7B95BEF5" w14:textId="199CF1AB" w:rsidR="00BD776B" w:rsidRDefault="00323215">
      <w:pPr>
        <w:ind w:left="811" w:hanging="245"/>
      </w:pPr>
      <w:r w:rsidRPr="00B33F07">
        <w:rPr>
          <w:rFonts w:ascii="標楷體" w:eastAsia="標楷體" w:hAnsi="標楷體" w:hint="eastAsia"/>
          <w:color w:val="000000"/>
        </w:rPr>
        <w:t>5.限ranibizumab、aflibercept及faricimab擇一申請，且未曾申請給付dexamethasone眼後段植入劑者(DME及CRVO除外)、或verteporfin(PCV)。另faricimab僅限用於wAMD、DME及PCV疾病；aflibercept 8mg僅限用於wAMD、DME及PCV疾病。(109/2/1、109/3/1、113/1/1、114/5/1)</w:t>
      </w:r>
    </w:p>
    <w:p w14:paraId="3ACBABAC" w14:textId="77777777" w:rsidR="00BD776B" w:rsidRDefault="00DF0C24">
      <w:pPr>
        <w:ind w:left="811" w:hanging="245"/>
        <w:rPr>
          <w:rFonts w:ascii="標楷體" w:eastAsia="標楷體" w:hAnsi="標楷體"/>
          <w:color w:val="000000"/>
        </w:rPr>
      </w:pPr>
      <w:r>
        <w:rPr>
          <w:rFonts w:ascii="標楷體" w:eastAsia="標楷體" w:hAnsi="標楷體"/>
          <w:color w:val="000000"/>
        </w:rPr>
        <w:t>6.須於第一次申請核准後5年內使用完畢。(109/2/1)</w:t>
      </w:r>
    </w:p>
    <w:p w14:paraId="3285CA44" w14:textId="77777777" w:rsidR="00BD776B" w:rsidRDefault="00DF0C24">
      <w:pPr>
        <w:ind w:left="811" w:hanging="245"/>
        <w:rPr>
          <w:rFonts w:ascii="標楷體" w:eastAsia="標楷體" w:hAnsi="標楷體"/>
          <w:color w:val="000000"/>
        </w:rPr>
      </w:pPr>
      <w:r>
        <w:rPr>
          <w:rFonts w:ascii="標楷體" w:eastAsia="標楷體" w:hAnsi="標楷體"/>
          <w:color w:val="000000"/>
        </w:rPr>
        <w:t>7.依疾病別另規定如下:</w:t>
      </w:r>
    </w:p>
    <w:p w14:paraId="51AD51F1" w14:textId="77777777" w:rsidR="00BD776B" w:rsidRDefault="00DF0C24">
      <w:pPr>
        <w:ind w:left="1051" w:hanging="245"/>
        <w:rPr>
          <w:rFonts w:ascii="標楷體" w:eastAsia="標楷體" w:hAnsi="標楷體"/>
          <w:color w:val="000000"/>
        </w:rPr>
      </w:pPr>
      <w:r>
        <w:rPr>
          <w:rFonts w:ascii="標楷體" w:eastAsia="標楷體" w:hAnsi="標楷體"/>
          <w:color w:val="000000"/>
        </w:rPr>
        <w:lastRenderedPageBreak/>
        <w:t>(1) 50歲以上血管新生型(濕性)年齡相關性黃斑部退化病變(wAMD)： (101/5/1、105/12/1、109/2/1、109/6/1、109/12/1)</w:t>
      </w:r>
    </w:p>
    <w:p w14:paraId="012D7015" w14:textId="77777777" w:rsidR="00BD776B" w:rsidRDefault="00DF0C24">
      <w:pPr>
        <w:ind w:left="1291" w:hanging="245"/>
        <w:rPr>
          <w:rFonts w:ascii="標楷體" w:eastAsia="標楷體" w:hAnsi="標楷體"/>
          <w:color w:val="000000"/>
        </w:rPr>
      </w:pPr>
      <w:r>
        <w:rPr>
          <w:rFonts w:ascii="標楷體" w:eastAsia="標楷體" w:hAnsi="標楷體"/>
          <w:color w:val="000000"/>
        </w:rPr>
        <w:t>Ⅰ.第一次申請時以8支為限，第二次申請為3支，第三次申請3支，每眼給付以14支為限。(105/12/1、109/2/1、109/6/1)</w:t>
      </w:r>
    </w:p>
    <w:p w14:paraId="47318DD3" w14:textId="77777777" w:rsidR="00BD776B" w:rsidRDefault="00DF0C24">
      <w:pPr>
        <w:ind w:left="1291" w:hanging="245"/>
        <w:rPr>
          <w:rFonts w:ascii="標楷體" w:eastAsia="標楷體" w:hAnsi="標楷體"/>
          <w:color w:val="000000"/>
        </w:rPr>
      </w:pPr>
      <w:r>
        <w:rPr>
          <w:rFonts w:ascii="標楷體" w:eastAsia="標楷體" w:hAnsi="標楷體"/>
          <w:color w:val="000000"/>
        </w:rPr>
        <w:t>Ⅱ.必須排除下列情況：(109/2/1)</w:t>
      </w:r>
    </w:p>
    <w:p w14:paraId="531ABA55" w14:textId="77777777" w:rsidR="00BD776B" w:rsidRDefault="00DF0C24">
      <w:pPr>
        <w:ind w:left="1531" w:hanging="245"/>
        <w:rPr>
          <w:rFonts w:ascii="標楷體" w:eastAsia="標楷體" w:hAnsi="標楷體"/>
          <w:color w:val="000000"/>
        </w:rPr>
      </w:pPr>
      <w:r>
        <w:rPr>
          <w:rFonts w:ascii="標楷體" w:eastAsia="標楷體" w:hAnsi="標楷體"/>
          <w:color w:val="000000"/>
        </w:rPr>
        <w:t>i.血管新生型wAMD進展至視網膜下纖維化或advanced geographic atrophy者反應不佳。</w:t>
      </w:r>
    </w:p>
    <w:p w14:paraId="436B3CA6" w14:textId="77777777" w:rsidR="00BD776B" w:rsidRDefault="00DF0C24">
      <w:pPr>
        <w:ind w:left="1531" w:hanging="245"/>
        <w:rPr>
          <w:rFonts w:ascii="標楷體" w:eastAsia="標楷體" w:hAnsi="標楷體"/>
          <w:color w:val="000000"/>
        </w:rPr>
      </w:pPr>
      <w:r>
        <w:rPr>
          <w:rFonts w:ascii="標楷體" w:eastAsia="標楷體" w:hAnsi="標楷體"/>
          <w:color w:val="000000"/>
        </w:rPr>
        <w:t>ii.高度近視，類血管狀破裂症(angioid streaks)，或其他非wAMD所造成視網膜中央窩（fovea）下之脈絡膜新生血管（Choroidal neovascularization；CNV）(101/5/1)。</w:t>
      </w:r>
    </w:p>
    <w:p w14:paraId="04028A1E" w14:textId="77777777" w:rsidR="00BD776B" w:rsidRDefault="00DF0C24">
      <w:pPr>
        <w:ind w:left="1291" w:hanging="245"/>
        <w:rPr>
          <w:rFonts w:ascii="標楷體" w:eastAsia="標楷體" w:hAnsi="標楷體"/>
          <w:color w:val="000000"/>
        </w:rPr>
      </w:pPr>
      <w:r>
        <w:rPr>
          <w:rFonts w:ascii="標楷體" w:eastAsia="標楷體" w:hAnsi="標楷體"/>
          <w:color w:val="000000"/>
        </w:rPr>
        <w:t>Ⅲ.第二次及第三次申請時，需檢附與第一次申請項目相同之各項最近檢查紀錄外，並檢附有改善證明及須持續治療需求之相關資料。且符合下列情況者方得以繼續治療：(109/12/1、112/2/1)</w:t>
      </w:r>
    </w:p>
    <w:p w14:paraId="70796442" w14:textId="77777777" w:rsidR="00BD776B" w:rsidRDefault="00DF0C24">
      <w:pPr>
        <w:ind w:left="1531" w:hanging="245"/>
        <w:rPr>
          <w:rFonts w:ascii="標楷體" w:eastAsia="標楷體" w:hAnsi="標楷體"/>
          <w:color w:val="000000"/>
        </w:rPr>
      </w:pPr>
      <w:r>
        <w:rPr>
          <w:rFonts w:ascii="標楷體" w:eastAsia="標楷體" w:hAnsi="標楷體"/>
          <w:color w:val="000000"/>
        </w:rPr>
        <w:t>i.患眼最佳矯正視力與前次申請之治療期間比較有進步至少一行。(109/12/1、112/2/1)</w:t>
      </w:r>
    </w:p>
    <w:p w14:paraId="7C081D20" w14:textId="77777777" w:rsidR="00BD776B" w:rsidRDefault="00DF0C24">
      <w:pPr>
        <w:ind w:left="1531" w:hanging="245"/>
        <w:rPr>
          <w:rFonts w:ascii="標楷體" w:eastAsia="標楷體" w:hAnsi="標楷體"/>
          <w:color w:val="000000"/>
        </w:rPr>
      </w:pPr>
      <w:r>
        <w:rPr>
          <w:rFonts w:ascii="標楷體" w:eastAsia="標楷體" w:hAnsi="標楷體"/>
          <w:color w:val="000000"/>
        </w:rPr>
        <w:t>ii.彩色眼底照片及OCT(或OCTA)檢查呈現視網膜內積液、視網膜下積液、視網膜色素上皮層下積液，黃斑部出血或黃班新生血管等病灶與第一次申請之治療期間比較有改善。(112/2/1)</w:t>
      </w:r>
    </w:p>
    <w:p w14:paraId="5E525D38" w14:textId="77777777" w:rsidR="00BD776B" w:rsidRDefault="00DF0C24">
      <w:pPr>
        <w:ind w:left="1531" w:hanging="245"/>
        <w:rPr>
          <w:rFonts w:ascii="標楷體" w:eastAsia="標楷體" w:hAnsi="標楷體"/>
          <w:color w:val="000000"/>
        </w:rPr>
      </w:pPr>
      <w:r>
        <w:rPr>
          <w:rFonts w:ascii="標楷體" w:eastAsia="標楷體" w:hAnsi="標楷體"/>
          <w:color w:val="000000"/>
        </w:rPr>
        <w:t>iii.解剖學上仍有疾病活性者(如視網膜內積液、視網膜下積液、視網膜色素上皮層下積液、黃斑部出血，或黃班新生血管等病灶)。(109/12/1、112/2/1)</w:t>
      </w:r>
    </w:p>
    <w:p w14:paraId="18CF0C48" w14:textId="77777777" w:rsidR="00BD776B" w:rsidRDefault="00DF0C24">
      <w:pPr>
        <w:ind w:left="1531" w:hanging="245"/>
        <w:rPr>
          <w:rFonts w:ascii="標楷體" w:eastAsia="標楷體" w:hAnsi="標楷體"/>
          <w:color w:val="000000"/>
        </w:rPr>
      </w:pPr>
      <w:r>
        <w:rPr>
          <w:rFonts w:ascii="標楷體" w:eastAsia="標楷體" w:hAnsi="標楷體"/>
          <w:color w:val="000000"/>
        </w:rPr>
        <w:t xml:space="preserve">iv.FAG事前審查時要求補附才需檢附。(109/12/1) </w:t>
      </w:r>
    </w:p>
    <w:p w14:paraId="5A16DEF3" w14:textId="77777777" w:rsidR="00BD776B" w:rsidRDefault="00DF0C24">
      <w:pPr>
        <w:ind w:left="1051" w:hanging="245"/>
        <w:rPr>
          <w:rFonts w:ascii="標楷體" w:eastAsia="標楷體" w:hAnsi="標楷體"/>
          <w:color w:val="000000"/>
        </w:rPr>
      </w:pPr>
      <w:r>
        <w:rPr>
          <w:rFonts w:ascii="標楷體" w:eastAsia="標楷體" w:hAnsi="標楷體"/>
          <w:color w:val="000000"/>
        </w:rPr>
        <w:t>(2)糖尿病引起黃斑部水腫 (diabetic macular edema, DME)之病變：(102/2/1、103/8/1、105/2/1、105/11/1、105/12/1、106/4/1、108/4/1、109/2/1、109/3/1、112/2/1、112/3/1)</w:t>
      </w:r>
    </w:p>
    <w:p w14:paraId="3A740458" w14:textId="77777777" w:rsidR="00BD776B" w:rsidRDefault="00DF0C24">
      <w:pPr>
        <w:ind w:left="1291" w:hanging="245"/>
        <w:rPr>
          <w:rFonts w:ascii="標楷體" w:eastAsia="標楷體" w:hAnsi="標楷體"/>
          <w:color w:val="000000"/>
        </w:rPr>
      </w:pPr>
      <w:r>
        <w:rPr>
          <w:rFonts w:ascii="標楷體" w:eastAsia="標楷體" w:hAnsi="標楷體"/>
          <w:color w:val="000000"/>
        </w:rPr>
        <w:t>Ⅰ.第一次申請以5支為限，第二次申請5支，第三次申請4支，每眼給付以14支為限。 (105/2/1、105/12/1、109/2/1、112/2/1)</w:t>
      </w:r>
    </w:p>
    <w:p w14:paraId="0FD7654F" w14:textId="77777777" w:rsidR="00BD776B" w:rsidRDefault="00DF0C24">
      <w:pPr>
        <w:ind w:left="1291" w:hanging="245"/>
        <w:rPr>
          <w:rFonts w:ascii="標楷體" w:eastAsia="標楷體" w:hAnsi="標楷體"/>
          <w:color w:val="000000"/>
        </w:rPr>
      </w:pPr>
      <w:r>
        <w:rPr>
          <w:rFonts w:ascii="標楷體" w:eastAsia="標楷體" w:hAnsi="標楷體"/>
          <w:color w:val="000000"/>
        </w:rPr>
        <w:t>Ⅱ.中央視網膜厚度(central retinal thickness,CRT)≧ 300μm。</w:t>
      </w:r>
    </w:p>
    <w:p w14:paraId="55564A29" w14:textId="77777777" w:rsidR="00BD776B" w:rsidRDefault="00DF0C24">
      <w:pPr>
        <w:ind w:left="1291" w:hanging="245"/>
        <w:rPr>
          <w:rFonts w:ascii="標楷體" w:eastAsia="標楷體" w:hAnsi="標楷體"/>
          <w:color w:val="000000"/>
        </w:rPr>
      </w:pPr>
      <w:r>
        <w:rPr>
          <w:rFonts w:ascii="標楷體" w:eastAsia="標楷體" w:hAnsi="標楷體"/>
          <w:color w:val="000000"/>
        </w:rPr>
        <w:t>Ⅲ.第一次申請時，需檢附近三個月內之糖化血色素(HbA1c)數值低於10%。</w:t>
      </w:r>
    </w:p>
    <w:p w14:paraId="6A67E527" w14:textId="77777777" w:rsidR="00BD776B" w:rsidRDefault="00DF0C24">
      <w:pPr>
        <w:ind w:left="1291" w:hanging="245"/>
        <w:rPr>
          <w:rFonts w:ascii="標楷體" w:eastAsia="標楷體" w:hAnsi="標楷體"/>
          <w:color w:val="000000"/>
        </w:rPr>
      </w:pPr>
      <w:r>
        <w:rPr>
          <w:rFonts w:ascii="標楷體" w:eastAsia="標楷體" w:hAnsi="標楷體"/>
          <w:color w:val="000000"/>
        </w:rPr>
        <w:t>Ⅳ.第二次及第三次申請時，需檢附與第一次申請項目相同之各項最近檢查紀錄外，並檢附有改善證明或須持續治療需求之相關資料。符合下列情況者方得以繼續治療：(112/2/1)</w:t>
      </w:r>
    </w:p>
    <w:p w14:paraId="2ECEF657" w14:textId="77777777" w:rsidR="00BD776B" w:rsidRDefault="00DF0C24">
      <w:pPr>
        <w:ind w:left="1291" w:hanging="245"/>
        <w:rPr>
          <w:rFonts w:ascii="標楷體" w:eastAsia="標楷體" w:hAnsi="標楷體"/>
          <w:color w:val="000000"/>
        </w:rPr>
      </w:pPr>
      <w:r>
        <w:rPr>
          <w:rFonts w:ascii="標楷體" w:eastAsia="標楷體" w:hAnsi="標楷體"/>
          <w:color w:val="000000"/>
        </w:rPr>
        <w:t>i.最佳矯正視力低於0.8(不含)。(112/2/1)</w:t>
      </w:r>
    </w:p>
    <w:p w14:paraId="54CD3408" w14:textId="77777777" w:rsidR="00BD776B" w:rsidRDefault="00DF0C24">
      <w:pPr>
        <w:ind w:left="1291" w:hanging="245"/>
        <w:rPr>
          <w:rFonts w:ascii="標楷體" w:eastAsia="標楷體" w:hAnsi="標楷體"/>
          <w:color w:val="000000"/>
        </w:rPr>
      </w:pPr>
      <w:r>
        <w:rPr>
          <w:rFonts w:ascii="標楷體" w:eastAsia="標楷體" w:hAnsi="標楷體"/>
          <w:color w:val="000000"/>
        </w:rPr>
        <w:t>ii.OCT檢查仍有黃斑部水腫(central retinal thickness, CRT)≧ 300μm)，且OCT所測得黃斑中心厚度在治療期間，曾比前一次申請所測厚度至少減少10%。(112/2/1)</w:t>
      </w:r>
    </w:p>
    <w:p w14:paraId="5F51FB3C" w14:textId="77777777" w:rsidR="00BD776B" w:rsidRDefault="00DF0C24">
      <w:pPr>
        <w:ind w:left="1291" w:hanging="245"/>
        <w:rPr>
          <w:rFonts w:ascii="標楷體" w:eastAsia="標楷體" w:hAnsi="標楷體"/>
          <w:color w:val="000000"/>
        </w:rPr>
      </w:pPr>
      <w:r>
        <w:rPr>
          <w:rFonts w:ascii="標楷體" w:eastAsia="標楷體" w:hAnsi="標楷體"/>
          <w:color w:val="000000"/>
        </w:rPr>
        <w:t>iii.近三個月內之糖化血色素(HbA1c)數值應≦8.0%。(112/2/1)</w:t>
      </w:r>
    </w:p>
    <w:p w14:paraId="67200EF3" w14:textId="77777777" w:rsidR="00BD776B" w:rsidRDefault="00DF0C24">
      <w:pPr>
        <w:ind w:left="1291" w:hanging="245"/>
      </w:pPr>
      <w:r>
        <w:rPr>
          <w:rFonts w:ascii="標楷體" w:eastAsia="標楷體" w:hAnsi="標楷體"/>
          <w:color w:val="000000"/>
        </w:rPr>
        <w:t>Ⅴ.第一次申請治療後，患者治療成果不彰或對原申請藥物產生不良反應者，得申請更換給付不同作用機轉藥物</w:t>
      </w:r>
      <w:r>
        <w:rPr>
          <w:rFonts w:ascii="標楷體" w:eastAsia="標楷體" w:hAnsi="標楷體"/>
        </w:rPr>
        <w:t>(faricimab、ranibizumab、aflibercept僅能擇一使用，不得申請互為轉換)，申請時需檢送第一次申請資料及再次申請前一個月內有黃斑水腫仍具臨床活性且中央視網膜厚度(central retinal thickness, CRT)≧ 300μm之相關資料。(109/3/1、113/1/1)</w:t>
      </w:r>
    </w:p>
    <w:p w14:paraId="53EA7E88" w14:textId="77777777" w:rsidR="00BD776B" w:rsidRDefault="00DF0C24">
      <w:pPr>
        <w:ind w:left="1291" w:hanging="245"/>
        <w:rPr>
          <w:rFonts w:ascii="標楷體" w:eastAsia="標楷體" w:hAnsi="標楷體"/>
          <w:color w:val="000000"/>
        </w:rPr>
      </w:pPr>
      <w:r>
        <w:rPr>
          <w:rFonts w:ascii="標楷體" w:eastAsia="標楷體" w:hAnsi="標楷體"/>
          <w:color w:val="000000"/>
        </w:rPr>
        <w:t>Ⅵ.每人每眼申請更換給付不同作用機轉藥物以一次為限。(109/3/1)</w:t>
      </w:r>
    </w:p>
    <w:p w14:paraId="660503B7" w14:textId="77777777" w:rsidR="00BD776B" w:rsidRDefault="00DF0C24">
      <w:pPr>
        <w:ind w:left="1291" w:hanging="245"/>
        <w:rPr>
          <w:rFonts w:ascii="標楷體" w:eastAsia="標楷體" w:hAnsi="標楷體"/>
          <w:color w:val="000000"/>
        </w:rPr>
      </w:pPr>
      <w:r>
        <w:rPr>
          <w:rFonts w:ascii="標楷體" w:eastAsia="標楷體" w:hAnsi="標楷體"/>
          <w:color w:val="000000"/>
        </w:rPr>
        <w:t>Ⅶ.申請更換給付dexamethasone眼後段植入劑者，以2支為限。(109/3/1)</w:t>
      </w:r>
    </w:p>
    <w:p w14:paraId="696C7B4A" w14:textId="77777777" w:rsidR="00BD776B" w:rsidRDefault="00DF0C24">
      <w:pPr>
        <w:ind w:left="1291" w:hanging="245"/>
        <w:rPr>
          <w:rFonts w:ascii="標楷體" w:eastAsia="標楷體" w:hAnsi="標楷體"/>
          <w:color w:val="000000"/>
        </w:rPr>
      </w:pPr>
      <w:r>
        <w:rPr>
          <w:rFonts w:ascii="標楷體" w:eastAsia="標楷體" w:hAnsi="標楷體"/>
          <w:color w:val="000000"/>
        </w:rPr>
        <w:t xml:space="preserve">Ⅷ.因其他因素(如玻璃體牽引)所造成之黃斑部水腫不得申請使用。(108/4/1) </w:t>
      </w:r>
    </w:p>
    <w:p w14:paraId="01C2B0BC" w14:textId="77777777" w:rsidR="00BD776B" w:rsidRDefault="00DF0C24">
      <w:pPr>
        <w:ind w:left="1291" w:hanging="245"/>
        <w:rPr>
          <w:rFonts w:ascii="標楷體" w:eastAsia="標楷體" w:hAnsi="標楷體"/>
          <w:color w:val="000000"/>
        </w:rPr>
      </w:pPr>
      <w:r>
        <w:rPr>
          <w:rFonts w:ascii="標楷體" w:eastAsia="標楷體" w:hAnsi="標楷體"/>
          <w:color w:val="000000"/>
        </w:rPr>
        <w:t>Ⅸ.若患者腎功能不全(eGFR＜45mL/min/1.73m2或serum creatinine≧1.5mg/dL)或腎臟移植患者(但排除已洗腎個案)，或具有藥物過敏史者，需檢附近三個月</w:t>
      </w:r>
      <w:r>
        <w:rPr>
          <w:rFonts w:ascii="標楷體" w:eastAsia="標楷體" w:hAnsi="標楷體"/>
          <w:color w:val="000000"/>
        </w:rPr>
        <w:lastRenderedPageBreak/>
        <w:t>內有關腎功能檢查(如BUN, creatinine)報告及彩色眼底照片可看出典型糖尿病視網膜病變及OCT呈現網膜水腫等相關資料，並檢附足以證明其罹患疾病之光學共軛斷層血管掃描儀(optical coherence tomography angiography,OCTA)檢查結果［例如OCTA檢查結果須顯示血管灌流不全區域、中央微血管灌流缺損 (Dropout)、中央無血管區域(Avascular zone)變大等變化］，則得以OCTA檢查結果代替FAG資料。(112/3/1)</w:t>
      </w:r>
    </w:p>
    <w:p w14:paraId="2502D086" w14:textId="77777777" w:rsidR="00BD776B" w:rsidRDefault="00DF0C24">
      <w:pPr>
        <w:ind w:left="1051" w:hanging="245"/>
        <w:rPr>
          <w:rFonts w:ascii="標楷體" w:eastAsia="標楷體" w:hAnsi="標楷體"/>
          <w:color w:val="000000"/>
        </w:rPr>
      </w:pPr>
      <w:r>
        <w:rPr>
          <w:rFonts w:ascii="標楷體" w:eastAsia="標楷體" w:hAnsi="標楷體"/>
          <w:color w:val="000000"/>
        </w:rPr>
        <w:t>(3)多足型脈絡膜血管病變型黃斑部病變(polypoidal choroidal vasculopathy, PCV)之用藥：(104/5/1、105/11/1、105/12/1、106/12/1、109/2/1、109/6/1、109/12/1、112/2/1)</w:t>
      </w:r>
    </w:p>
    <w:p w14:paraId="78066F4F" w14:textId="77777777" w:rsidR="00BD776B" w:rsidRDefault="00DF0C24">
      <w:pPr>
        <w:ind w:left="1291" w:hanging="245"/>
        <w:rPr>
          <w:rFonts w:ascii="標楷體" w:eastAsia="標楷體" w:hAnsi="標楷體"/>
          <w:color w:val="000000"/>
        </w:rPr>
      </w:pPr>
      <w:r>
        <w:rPr>
          <w:rFonts w:ascii="標楷體" w:eastAsia="標楷體" w:hAnsi="標楷體"/>
          <w:color w:val="000000"/>
        </w:rPr>
        <w:t>I.第一次申請時以8支為限，第二次申請為3支，第三次申請3支，每眼給付以14支為限。 (106/12/1、109/2/1、109/6/1)</w:t>
      </w:r>
    </w:p>
    <w:p w14:paraId="29E9173F" w14:textId="77777777" w:rsidR="00BD776B" w:rsidRDefault="00DF0C24">
      <w:pPr>
        <w:ind w:left="1291" w:hanging="245"/>
        <w:rPr>
          <w:rFonts w:ascii="標楷體" w:eastAsia="標楷體" w:hAnsi="標楷體"/>
          <w:color w:val="000000"/>
        </w:rPr>
      </w:pPr>
      <w:r>
        <w:rPr>
          <w:rFonts w:ascii="標楷體" w:eastAsia="標楷體" w:hAnsi="標楷體"/>
          <w:color w:val="000000"/>
        </w:rPr>
        <w:t>Ⅱ.必須排除PCV進展至視網膜下纖維化或者反應不佳。(109/12/1)</w:t>
      </w:r>
    </w:p>
    <w:p w14:paraId="6E2D94F0" w14:textId="77777777" w:rsidR="00BD776B" w:rsidRDefault="00DF0C24">
      <w:pPr>
        <w:ind w:left="1291" w:hanging="245"/>
        <w:rPr>
          <w:rFonts w:ascii="標楷體" w:eastAsia="標楷體" w:hAnsi="標楷體"/>
          <w:color w:val="000000"/>
        </w:rPr>
      </w:pPr>
      <w:r>
        <w:rPr>
          <w:rFonts w:ascii="標楷體" w:eastAsia="標楷體" w:hAnsi="標楷體"/>
          <w:color w:val="000000"/>
        </w:rPr>
        <w:t>Ⅲ.第二次及第三次申請時，需檢附與第一次申請項目相同之各項最近檢查紀錄外，並檢附有改善證明及須持續治療需求之相關資料。且符合下列情況者方得以繼續治療：(109/12/1、112/2/1)</w:t>
      </w:r>
    </w:p>
    <w:p w14:paraId="65B7BF36" w14:textId="77777777" w:rsidR="00BD776B" w:rsidRDefault="00DF0C24">
      <w:pPr>
        <w:ind w:left="1291" w:hanging="245"/>
        <w:rPr>
          <w:rFonts w:ascii="標楷體" w:eastAsia="標楷體" w:hAnsi="標楷體"/>
          <w:color w:val="000000"/>
        </w:rPr>
      </w:pPr>
      <w:r>
        <w:rPr>
          <w:rFonts w:ascii="標楷體" w:eastAsia="標楷體" w:hAnsi="標楷體"/>
          <w:color w:val="000000"/>
        </w:rPr>
        <w:t>i.患眼最佳矯正視力與前次申請之治療期間比較有進步至少一行。(109/12/1、112/2/1)</w:t>
      </w:r>
    </w:p>
    <w:p w14:paraId="552F568E" w14:textId="77777777" w:rsidR="00BD776B" w:rsidRDefault="00DF0C24">
      <w:pPr>
        <w:ind w:left="1291" w:hanging="245"/>
        <w:rPr>
          <w:rFonts w:ascii="標楷體" w:eastAsia="標楷體" w:hAnsi="標楷體"/>
          <w:color w:val="000000"/>
        </w:rPr>
      </w:pPr>
      <w:r>
        <w:rPr>
          <w:rFonts w:ascii="標楷體" w:eastAsia="標楷體" w:hAnsi="標楷體"/>
          <w:color w:val="000000"/>
        </w:rPr>
        <w:t>ii.彩色眼底照片及OCT(或OCTA)檢查呈現視網膜內積液、視網膜下積液、視網膜色素上皮層下積液，黃斑部出血或黃班新生血管等病灶與第一次申請之治療期間比較有改善。(112/2/1)</w:t>
      </w:r>
    </w:p>
    <w:p w14:paraId="14185A8F" w14:textId="77777777" w:rsidR="00BD776B" w:rsidRDefault="00DF0C24">
      <w:pPr>
        <w:ind w:left="1291" w:hanging="245"/>
        <w:rPr>
          <w:rFonts w:ascii="標楷體" w:eastAsia="標楷體" w:hAnsi="標楷體"/>
          <w:color w:val="000000"/>
        </w:rPr>
      </w:pPr>
      <w:r>
        <w:rPr>
          <w:rFonts w:ascii="標楷體" w:eastAsia="標楷體" w:hAnsi="標楷體"/>
          <w:color w:val="000000"/>
        </w:rPr>
        <w:t>iii.解剖學上仍有疾病活性者(如視網膜內積液、視網膜下積液、視網膜色素上皮層下積液、黃斑部出血，或黃班新生血管等病灶)。(109/12/1、112/2/1)</w:t>
      </w:r>
    </w:p>
    <w:p w14:paraId="0556D2AE" w14:textId="77777777" w:rsidR="00BD776B" w:rsidRDefault="00DF0C24">
      <w:pPr>
        <w:ind w:left="1291" w:hanging="245"/>
        <w:rPr>
          <w:rFonts w:ascii="標楷體" w:eastAsia="標楷體" w:hAnsi="標楷體"/>
          <w:color w:val="000000"/>
        </w:rPr>
      </w:pPr>
      <w:r>
        <w:rPr>
          <w:rFonts w:ascii="標楷體" w:eastAsia="標楷體" w:hAnsi="標楷體"/>
          <w:color w:val="000000"/>
        </w:rPr>
        <w:t>iv.ICGA、FAG事前審查時要求補附才需檢附。</w:t>
      </w:r>
    </w:p>
    <w:p w14:paraId="6EDD0F8F" w14:textId="77777777" w:rsidR="00BD776B" w:rsidRDefault="00DF0C24">
      <w:pPr>
        <w:ind w:left="1051" w:hanging="245"/>
        <w:rPr>
          <w:rFonts w:ascii="標楷體" w:eastAsia="標楷體" w:hAnsi="標楷體"/>
          <w:color w:val="000000"/>
        </w:rPr>
      </w:pPr>
      <w:r>
        <w:rPr>
          <w:rFonts w:ascii="標楷體" w:eastAsia="標楷體" w:hAnsi="標楷體"/>
          <w:color w:val="000000"/>
        </w:rPr>
        <w:t>(4)中央視網膜靜脈阻塞(CRVO)續發黃斑部水腫所導致的視力損害：(105/7/1、105/11/1、105/12/1、108/4/1、109/2/1、109/3/1、112/2/1)</w:t>
      </w:r>
    </w:p>
    <w:p w14:paraId="31AAE38D" w14:textId="77777777" w:rsidR="00BD776B" w:rsidRDefault="00DF0C24">
      <w:pPr>
        <w:ind w:left="1291" w:hanging="245"/>
        <w:rPr>
          <w:rFonts w:ascii="標楷體" w:eastAsia="標楷體" w:hAnsi="標楷體"/>
          <w:color w:val="000000"/>
        </w:rPr>
      </w:pPr>
      <w:r>
        <w:rPr>
          <w:rFonts w:ascii="標楷體" w:eastAsia="標楷體" w:hAnsi="標楷體"/>
          <w:color w:val="000000"/>
        </w:rPr>
        <w:t>I.限18歲以上患者。</w:t>
      </w:r>
    </w:p>
    <w:p w14:paraId="03E862C8" w14:textId="77777777" w:rsidR="00BD776B" w:rsidRDefault="00DF0C24">
      <w:pPr>
        <w:ind w:left="1291" w:hanging="245"/>
        <w:rPr>
          <w:rFonts w:ascii="標楷體" w:eastAsia="標楷體" w:hAnsi="標楷體"/>
          <w:color w:val="000000"/>
        </w:rPr>
      </w:pPr>
      <w:r>
        <w:rPr>
          <w:rFonts w:ascii="標楷體" w:eastAsia="標楷體" w:hAnsi="標楷體"/>
          <w:color w:val="000000"/>
        </w:rPr>
        <w:t>Ⅱ.中央視網膜厚度(central retinal thickness,CRT)≧ 300μm。</w:t>
      </w:r>
    </w:p>
    <w:p w14:paraId="05223BDF" w14:textId="77777777" w:rsidR="00BD776B" w:rsidRDefault="00DF0C24">
      <w:pPr>
        <w:ind w:left="1291" w:hanging="245"/>
        <w:rPr>
          <w:rFonts w:ascii="標楷體" w:eastAsia="標楷體" w:hAnsi="標楷體"/>
          <w:color w:val="000000"/>
        </w:rPr>
      </w:pPr>
      <w:r>
        <w:rPr>
          <w:rFonts w:ascii="標楷體" w:eastAsia="標楷體" w:hAnsi="標楷體"/>
          <w:color w:val="000000"/>
        </w:rPr>
        <w:t>Ⅲ.第一次申請以5支為限，第二次申請5支，第三次申請4支，每眼給付以14支為限。(105/12/1、112/2/1)</w:t>
      </w:r>
    </w:p>
    <w:p w14:paraId="0D5F89BF" w14:textId="77777777" w:rsidR="00BD776B" w:rsidRDefault="00DF0C24">
      <w:pPr>
        <w:ind w:left="1291" w:hanging="245"/>
        <w:rPr>
          <w:rFonts w:ascii="標楷體" w:eastAsia="標楷體" w:hAnsi="標楷體"/>
          <w:color w:val="000000"/>
        </w:rPr>
      </w:pPr>
      <w:r>
        <w:rPr>
          <w:rFonts w:ascii="標楷體" w:eastAsia="標楷體" w:hAnsi="標楷體"/>
          <w:color w:val="000000"/>
        </w:rPr>
        <w:t xml:space="preserve">IV.第一次申請治療後，患者治療成果不彰或對原申請藥物產生不良反應者，得申請更換給付不同作用機轉藥物，申請時需檢送第一次申請資料及再次申請前一個月內有黃斑水腫仍具臨床活性且中央視網膜厚度(central retinal thickness, CRT)≧ 300μm之相關資料。(109/3/1) </w:t>
      </w:r>
    </w:p>
    <w:p w14:paraId="25340C8D" w14:textId="77777777" w:rsidR="00BD776B" w:rsidRDefault="00DF0C24">
      <w:pPr>
        <w:ind w:left="1291" w:hanging="245"/>
        <w:rPr>
          <w:rFonts w:ascii="標楷體" w:eastAsia="標楷體" w:hAnsi="標楷體"/>
          <w:color w:val="000000"/>
        </w:rPr>
      </w:pPr>
      <w:r>
        <w:rPr>
          <w:rFonts w:ascii="標楷體" w:eastAsia="標楷體" w:hAnsi="標楷體"/>
          <w:color w:val="000000"/>
        </w:rPr>
        <w:t>V.若患者腎功能不全(eGFR＜45mL/min/1.73m2或serum creatinine≧1.5mg/dL)，或具有藥物過敏史者需檢附相關資料，得檢附足以證明其罹患疾病之光學共軛斷層血管掃描儀(optical coherence tomography angiography,OCTA)檢查結果代替FAG資料。(108/4/1)</w:t>
      </w:r>
    </w:p>
    <w:p w14:paraId="58D23E7C" w14:textId="77777777" w:rsidR="00BD776B" w:rsidRDefault="00DF0C24">
      <w:pPr>
        <w:ind w:left="1291" w:hanging="245"/>
        <w:rPr>
          <w:rFonts w:ascii="標楷體" w:eastAsia="標楷體" w:hAnsi="標楷體"/>
          <w:color w:val="000000"/>
        </w:rPr>
      </w:pPr>
      <w:r>
        <w:rPr>
          <w:rFonts w:ascii="標楷體" w:eastAsia="標楷體" w:hAnsi="標楷體"/>
          <w:color w:val="000000"/>
        </w:rPr>
        <w:t>Ⅵ.每人每眼申請更換給付不同作用機轉藥物以一次為限。(109/3/1)</w:t>
      </w:r>
    </w:p>
    <w:p w14:paraId="14B3FCE8" w14:textId="77777777" w:rsidR="00BD776B" w:rsidRDefault="00DF0C24">
      <w:pPr>
        <w:ind w:left="1291" w:hanging="245"/>
        <w:rPr>
          <w:rFonts w:ascii="標楷體" w:eastAsia="標楷體" w:hAnsi="標楷體"/>
          <w:color w:val="000000"/>
        </w:rPr>
      </w:pPr>
      <w:r>
        <w:rPr>
          <w:rFonts w:ascii="標楷體" w:eastAsia="標楷體" w:hAnsi="標楷體"/>
          <w:color w:val="000000"/>
        </w:rPr>
        <w:t>Ⅶ.申請更換給付dexamethasone眼後段植入劑者，以2支為限。(109/3/1)</w:t>
      </w:r>
    </w:p>
    <w:p w14:paraId="57FA0C4C" w14:textId="77777777" w:rsidR="00BD776B" w:rsidRDefault="00DF0C24">
      <w:pPr>
        <w:ind w:left="1291" w:hanging="245"/>
        <w:rPr>
          <w:rFonts w:ascii="標楷體" w:eastAsia="標楷體" w:hAnsi="標楷體"/>
          <w:color w:val="000000"/>
        </w:rPr>
      </w:pPr>
      <w:r>
        <w:rPr>
          <w:rFonts w:ascii="標楷體" w:eastAsia="標楷體" w:hAnsi="標楷體"/>
          <w:color w:val="000000"/>
        </w:rPr>
        <w:t>Ⅷ.第二次及第三次申請時，需檢附與第一次申請項目相同之各項最近檢查紀錄外，並檢附有改善證明或須持續治療需求之相關資料。符合下列情況者方得以繼續治療：(112/2/1)</w:t>
      </w:r>
    </w:p>
    <w:p w14:paraId="2EB6AC68" w14:textId="77777777" w:rsidR="00BD776B" w:rsidRDefault="00DF0C24">
      <w:pPr>
        <w:ind w:left="1291" w:hanging="245"/>
        <w:rPr>
          <w:rFonts w:ascii="標楷體" w:eastAsia="標楷體" w:hAnsi="標楷體"/>
          <w:color w:val="000000"/>
        </w:rPr>
      </w:pPr>
      <w:r>
        <w:rPr>
          <w:rFonts w:ascii="標楷體" w:eastAsia="標楷體" w:hAnsi="標楷體"/>
          <w:color w:val="000000"/>
        </w:rPr>
        <w:t>i.最佳矯正視力低於0.8(不含)。(112/2/1)</w:t>
      </w:r>
    </w:p>
    <w:p w14:paraId="3100E1BB" w14:textId="77777777" w:rsidR="00BD776B" w:rsidRDefault="00DF0C24">
      <w:pPr>
        <w:ind w:left="1291" w:hanging="245"/>
        <w:rPr>
          <w:rFonts w:ascii="標楷體" w:eastAsia="標楷體" w:hAnsi="標楷體"/>
          <w:color w:val="000000"/>
        </w:rPr>
      </w:pPr>
      <w:r>
        <w:rPr>
          <w:rFonts w:ascii="標楷體" w:eastAsia="標楷體" w:hAnsi="標楷體"/>
          <w:color w:val="000000"/>
        </w:rPr>
        <w:t>ii.OCT檢查仍有黃斑部水腫(central retinal thickness, CRT)≧ 300μm)，且OCT所測得黃斑中心厚度在治療期間，曾比前一次申請所測厚度至少減少10%。(112/2/1)</w:t>
      </w:r>
    </w:p>
    <w:p w14:paraId="09E09582" w14:textId="77777777" w:rsidR="00BD776B" w:rsidRDefault="00DF0C24">
      <w:pPr>
        <w:ind w:left="1051" w:hanging="245"/>
        <w:rPr>
          <w:rFonts w:ascii="標楷體" w:eastAsia="標楷體" w:hAnsi="標楷體"/>
          <w:color w:val="000000"/>
        </w:rPr>
      </w:pPr>
      <w:r>
        <w:rPr>
          <w:rFonts w:ascii="標楷體" w:eastAsia="標楷體" w:hAnsi="標楷體"/>
          <w:color w:val="000000"/>
        </w:rPr>
        <w:lastRenderedPageBreak/>
        <w:t>(5)病理性近視續發的脈絡膜血管新生所導致的視力損害：(105/7/1、105/12/1、106/12/1、109/2/1)</w:t>
      </w:r>
    </w:p>
    <w:p w14:paraId="07D45626" w14:textId="77777777" w:rsidR="00BD776B" w:rsidRDefault="00DF0C24">
      <w:pPr>
        <w:ind w:left="1291" w:hanging="245"/>
        <w:rPr>
          <w:rFonts w:ascii="標楷體" w:eastAsia="標楷體" w:hAnsi="標楷體"/>
          <w:color w:val="000000"/>
        </w:rPr>
      </w:pPr>
      <w:r>
        <w:rPr>
          <w:rFonts w:ascii="標楷體" w:eastAsia="標楷體" w:hAnsi="標楷體"/>
          <w:color w:val="000000"/>
        </w:rPr>
        <w:t>Ⅰ.限超過600度近視。</w:t>
      </w:r>
    </w:p>
    <w:p w14:paraId="77F9B2F0" w14:textId="77777777" w:rsidR="00BD776B" w:rsidRDefault="00DF0C24">
      <w:pPr>
        <w:ind w:left="1291" w:hanging="245"/>
        <w:rPr>
          <w:rFonts w:ascii="標楷體" w:eastAsia="標楷體" w:hAnsi="標楷體"/>
          <w:color w:val="000000"/>
        </w:rPr>
      </w:pPr>
      <w:r>
        <w:rPr>
          <w:rFonts w:ascii="標楷體" w:eastAsia="標楷體" w:hAnsi="標楷體"/>
          <w:color w:val="000000"/>
        </w:rPr>
        <w:t>Ⅱ.眼軸長大於26mm。</w:t>
      </w:r>
    </w:p>
    <w:p w14:paraId="415297CD" w14:textId="77777777" w:rsidR="00BD776B" w:rsidRDefault="00DF0C24">
      <w:pPr>
        <w:ind w:left="1291" w:hanging="245"/>
        <w:rPr>
          <w:rFonts w:ascii="標楷體" w:eastAsia="標楷體" w:hAnsi="標楷體"/>
          <w:color w:val="000000"/>
        </w:rPr>
      </w:pPr>
      <w:r>
        <w:rPr>
          <w:rFonts w:ascii="標楷體" w:eastAsia="標楷體" w:hAnsi="標楷體"/>
          <w:color w:val="000000"/>
        </w:rPr>
        <w:t>Ⅲ.因CNV病變而導致動態滲漏或中央視網膜內或視網膜下液。</w:t>
      </w:r>
    </w:p>
    <w:p w14:paraId="18965BA2" w14:textId="77777777" w:rsidR="00BD776B" w:rsidRDefault="00DF0C24">
      <w:pPr>
        <w:ind w:left="1291" w:hanging="245"/>
        <w:rPr>
          <w:rFonts w:ascii="標楷體" w:eastAsia="標楷體" w:hAnsi="標楷體"/>
          <w:color w:val="000000"/>
        </w:rPr>
      </w:pPr>
      <w:r>
        <w:rPr>
          <w:rFonts w:ascii="標楷體" w:eastAsia="標楷體" w:hAnsi="標楷體"/>
          <w:color w:val="000000"/>
        </w:rPr>
        <w:t>IV.申請以一次為限，每眼最多給付3支。(109/2/1)</w:t>
      </w:r>
    </w:p>
    <w:p w14:paraId="5B460641" w14:textId="77777777" w:rsidR="00BD776B" w:rsidRDefault="00DF0C24">
      <w:pPr>
        <w:ind w:left="1291" w:hanging="245"/>
        <w:rPr>
          <w:rFonts w:ascii="標楷體" w:eastAsia="標楷體" w:hAnsi="標楷體"/>
          <w:color w:val="000000"/>
        </w:rPr>
      </w:pPr>
      <w:r>
        <w:rPr>
          <w:rFonts w:ascii="標楷體" w:eastAsia="標楷體" w:hAnsi="標楷體"/>
          <w:color w:val="000000"/>
        </w:rPr>
        <w:t>V.有下列情況者不得申請使用：</w:t>
      </w:r>
    </w:p>
    <w:p w14:paraId="286AD27E" w14:textId="77777777" w:rsidR="00BD776B" w:rsidRDefault="00DF0C24">
      <w:pPr>
        <w:ind w:left="1291" w:hanging="245"/>
        <w:rPr>
          <w:rFonts w:ascii="標楷體" w:eastAsia="標楷體" w:hAnsi="標楷體"/>
          <w:color w:val="000000"/>
        </w:rPr>
      </w:pPr>
      <w:r>
        <w:rPr>
          <w:rFonts w:ascii="標楷體" w:eastAsia="標楷體" w:hAnsi="標楷體"/>
          <w:color w:val="000000"/>
        </w:rPr>
        <w:t>i.有中風病史。</w:t>
      </w:r>
    </w:p>
    <w:p w14:paraId="2519EE50" w14:textId="77777777" w:rsidR="00BD776B" w:rsidRDefault="00DF0C24">
      <w:pPr>
        <w:ind w:left="1291" w:hanging="245"/>
        <w:rPr>
          <w:rFonts w:ascii="標楷體" w:eastAsia="標楷體" w:hAnsi="標楷體"/>
          <w:color w:val="000000"/>
        </w:rPr>
      </w:pPr>
      <w:r>
        <w:rPr>
          <w:rFonts w:ascii="標楷體" w:eastAsia="標楷體" w:hAnsi="標楷體"/>
          <w:color w:val="000000"/>
        </w:rPr>
        <w:t>ii.三個月內曾使用過類固醇眼內治療者。</w:t>
      </w:r>
    </w:p>
    <w:p w14:paraId="6ED831ED" w14:textId="77777777" w:rsidR="00BD776B" w:rsidRDefault="00DF0C24">
      <w:pPr>
        <w:ind w:left="1051" w:hanging="245"/>
        <w:rPr>
          <w:rFonts w:ascii="標楷體" w:eastAsia="標楷體" w:hAnsi="標楷體"/>
          <w:color w:val="000000"/>
        </w:rPr>
      </w:pPr>
      <w:r>
        <w:rPr>
          <w:rFonts w:ascii="標楷體" w:eastAsia="標楷體" w:hAnsi="標楷體"/>
          <w:color w:val="000000"/>
        </w:rPr>
        <w:t>(6)分支視網膜靜脈阻塞(BRVO)續發黃斑部水腫所導致的視力損害：(106/12/1、108/4/1、109/2/1、112/2/1)</w:t>
      </w:r>
    </w:p>
    <w:p w14:paraId="77003A25" w14:textId="77777777" w:rsidR="00BD776B" w:rsidRDefault="00DF0C24">
      <w:pPr>
        <w:ind w:left="1291" w:hanging="245"/>
        <w:rPr>
          <w:rFonts w:ascii="標楷體" w:eastAsia="標楷體" w:hAnsi="標楷體"/>
          <w:color w:val="000000"/>
        </w:rPr>
      </w:pPr>
      <w:r>
        <w:rPr>
          <w:rFonts w:ascii="標楷體" w:eastAsia="標楷體" w:hAnsi="標楷體"/>
          <w:color w:val="000000"/>
        </w:rPr>
        <w:t>Ⅰ.限18歲以上患者。</w:t>
      </w:r>
    </w:p>
    <w:p w14:paraId="5EC390C1" w14:textId="77777777" w:rsidR="00BD776B" w:rsidRDefault="00DF0C24">
      <w:pPr>
        <w:ind w:left="1291" w:hanging="245"/>
        <w:rPr>
          <w:rFonts w:ascii="標楷體" w:eastAsia="標楷體" w:hAnsi="標楷體"/>
          <w:color w:val="000000"/>
        </w:rPr>
      </w:pPr>
      <w:r>
        <w:rPr>
          <w:rFonts w:ascii="標楷體" w:eastAsia="標楷體" w:hAnsi="標楷體"/>
          <w:color w:val="000000"/>
        </w:rPr>
        <w:t>Ⅱ.第一次申請以3支為限，第二次申請4支，第三次申請2支，每眼給付以9支為限。 (109/2/1、112/2/1)</w:t>
      </w:r>
    </w:p>
    <w:p w14:paraId="0F952AEF" w14:textId="77777777" w:rsidR="00BD776B" w:rsidRDefault="00DF0C24">
      <w:pPr>
        <w:ind w:left="1291" w:hanging="245"/>
        <w:rPr>
          <w:rFonts w:ascii="標楷體" w:eastAsia="標楷體" w:hAnsi="標楷體"/>
          <w:color w:val="000000"/>
        </w:rPr>
      </w:pPr>
      <w:r>
        <w:rPr>
          <w:rFonts w:ascii="標楷體" w:eastAsia="標楷體" w:hAnsi="標楷體"/>
          <w:color w:val="000000"/>
        </w:rPr>
        <w:t>Ⅲ.中央視網膜厚度(central retinal thickness,CRT)≧ 300μm。</w:t>
      </w:r>
    </w:p>
    <w:p w14:paraId="689CDF19" w14:textId="77777777" w:rsidR="00BD776B" w:rsidRDefault="00DF0C24">
      <w:pPr>
        <w:ind w:left="1291" w:hanging="245"/>
        <w:rPr>
          <w:rFonts w:ascii="標楷體" w:eastAsia="標楷體" w:hAnsi="標楷體"/>
          <w:color w:val="000000"/>
        </w:rPr>
      </w:pPr>
      <w:r>
        <w:rPr>
          <w:rFonts w:ascii="標楷體" w:eastAsia="標楷體" w:hAnsi="標楷體"/>
          <w:color w:val="000000"/>
        </w:rPr>
        <w:t>IV.若患者腎功能不全(eGFR＜45mL/min/1.73m2或serumcreatinine≧1.5mg/dL)，或具有藥物過敏史者需檢附相關資料，得檢附足以證明其罹患疾病之光學共軛斷層血管掃描儀(optical coherence tomography angiography, OCTA)檢查結果代替FAG資料。(108/4/1)</w:t>
      </w:r>
    </w:p>
    <w:p w14:paraId="6527BED6" w14:textId="77777777" w:rsidR="00BD776B" w:rsidRDefault="00DF0C24">
      <w:pPr>
        <w:ind w:left="1291" w:hanging="245"/>
        <w:rPr>
          <w:rFonts w:ascii="標楷體" w:eastAsia="標楷體" w:hAnsi="標楷體"/>
          <w:color w:val="000000"/>
        </w:rPr>
      </w:pPr>
      <w:r>
        <w:rPr>
          <w:rFonts w:ascii="標楷體" w:eastAsia="標楷體" w:hAnsi="標楷體"/>
          <w:color w:val="000000"/>
        </w:rPr>
        <w:t>Ⅴ.第二次及第三次申請時，需檢附與第一次申請項目相同之各項最近檢查紀錄外，並檢送使用後有改善證明之相關資料。符合下列情況者方得以繼續治療：(112/2/1)</w:t>
      </w:r>
    </w:p>
    <w:p w14:paraId="40D10224" w14:textId="77777777" w:rsidR="00BD776B" w:rsidRDefault="00DF0C24">
      <w:pPr>
        <w:ind w:left="1291" w:hanging="245"/>
        <w:rPr>
          <w:rFonts w:ascii="標楷體" w:eastAsia="標楷體" w:hAnsi="標楷體"/>
          <w:color w:val="000000"/>
        </w:rPr>
      </w:pPr>
      <w:r>
        <w:rPr>
          <w:rFonts w:ascii="標楷體" w:eastAsia="標楷體" w:hAnsi="標楷體"/>
          <w:color w:val="000000"/>
        </w:rPr>
        <w:t>i.最佳矯正視力低於0.8(不含)。(112/2/1)</w:t>
      </w:r>
    </w:p>
    <w:p w14:paraId="2D4BF639" w14:textId="77777777" w:rsidR="00BD776B" w:rsidRDefault="00DF0C24">
      <w:pPr>
        <w:ind w:left="1291" w:hanging="245"/>
        <w:rPr>
          <w:rFonts w:ascii="標楷體" w:eastAsia="標楷體" w:hAnsi="標楷體"/>
          <w:color w:val="000000"/>
        </w:rPr>
      </w:pPr>
      <w:r>
        <w:rPr>
          <w:rFonts w:ascii="標楷體" w:eastAsia="標楷體" w:hAnsi="標楷體"/>
          <w:color w:val="000000"/>
        </w:rPr>
        <w:t>ii.OCT檢查仍有黃斑部水腫(central retinal thickness, CRT)≧ 300μm)，且OCT所測得黃斑中心厚度在治療期間，曾比前一次申請所測厚度至少減少10%。(112/2/1)</w:t>
      </w:r>
    </w:p>
    <w:p w14:paraId="5631A5B3" w14:textId="77777777" w:rsidR="00BD776B" w:rsidRDefault="00DF0C24">
      <w:pPr>
        <w:ind w:left="1291" w:hanging="245"/>
        <w:rPr>
          <w:rFonts w:ascii="標楷體" w:eastAsia="標楷體" w:hAnsi="標楷體"/>
          <w:color w:val="000000"/>
        </w:rPr>
      </w:pPr>
      <w:r>
        <w:rPr>
          <w:rFonts w:ascii="標楷體" w:eastAsia="標楷體" w:hAnsi="標楷體"/>
          <w:color w:val="000000"/>
        </w:rPr>
        <w:t>備註1:DME、CRVO、CNV及BRVO事前審查申請表以附表二十九之一。(109/12/1)</w:t>
      </w:r>
    </w:p>
    <w:p w14:paraId="49AE9852" w14:textId="77777777" w:rsidR="00BD776B" w:rsidRDefault="00DF0C24">
      <w:pPr>
        <w:ind w:left="1291" w:hanging="245"/>
        <w:rPr>
          <w:rFonts w:ascii="標楷體" w:eastAsia="標楷體" w:hAnsi="標楷體"/>
          <w:color w:val="000000"/>
        </w:rPr>
      </w:pPr>
      <w:r>
        <w:rPr>
          <w:rFonts w:ascii="標楷體" w:eastAsia="標楷體" w:hAnsi="標楷體"/>
          <w:color w:val="000000"/>
        </w:rPr>
        <w:t>備註2:wAMD及PCV事前審查申請表以附表二十九之二。(109/12/1)</w:t>
      </w:r>
    </w:p>
    <w:p w14:paraId="4A1668E4" w14:textId="77777777" w:rsidR="00BD776B" w:rsidRDefault="00DF0C24">
      <w:pPr>
        <w:ind w:left="672" w:hanging="386"/>
        <w:rPr>
          <w:rFonts w:ascii="標楷體" w:eastAsia="標楷體" w:hAnsi="標楷體"/>
          <w:color w:val="000000"/>
        </w:rPr>
      </w:pPr>
      <w:r>
        <w:rPr>
          <w:rFonts w:ascii="標楷體" w:eastAsia="標楷體" w:hAnsi="標楷體"/>
          <w:color w:val="000000"/>
        </w:rPr>
        <w:t>14.9.3.Cyclosporine眼用製劑 (如Restasis)  (100/08/1、103/4/1、105/5/1) (附表二十七)</w:t>
      </w:r>
    </w:p>
    <w:p w14:paraId="58C2CA45" w14:textId="77777777" w:rsidR="00BD776B" w:rsidRDefault="00DF0C24">
      <w:pPr>
        <w:ind w:left="798" w:hanging="1"/>
        <w:rPr>
          <w:rFonts w:ascii="標楷體" w:eastAsia="標楷體" w:hAnsi="標楷體"/>
          <w:color w:val="000000"/>
        </w:rPr>
      </w:pPr>
      <w:r>
        <w:rPr>
          <w:rFonts w:ascii="標楷體" w:eastAsia="標楷體" w:hAnsi="標楷體"/>
          <w:color w:val="000000"/>
        </w:rPr>
        <w:t>限乾眼症嚴重程度為Level 3以上且符合下列各項條件之病患使用：(103/4/1、105/5/1)</w:t>
      </w:r>
    </w:p>
    <w:p w14:paraId="43D691EE" w14:textId="77777777" w:rsidR="00BD776B" w:rsidRDefault="00DF0C24">
      <w:pPr>
        <w:ind w:left="811" w:hanging="245"/>
        <w:rPr>
          <w:rFonts w:ascii="標楷體" w:eastAsia="標楷體" w:hAnsi="標楷體"/>
          <w:color w:val="000000"/>
        </w:rPr>
      </w:pPr>
      <w:r>
        <w:rPr>
          <w:rFonts w:ascii="標楷體" w:eastAsia="標楷體" w:hAnsi="標楷體"/>
          <w:color w:val="000000"/>
        </w:rPr>
        <w:t>1.淚液分泌測試（Schirmer’s test without anesthesia）少於5mm/5min，需附檢查試紙。(103/4/1、105/5/1)</w:t>
      </w:r>
    </w:p>
    <w:p w14:paraId="19A941A3" w14:textId="77777777" w:rsidR="00BD776B" w:rsidRDefault="00DF0C24">
      <w:pPr>
        <w:ind w:left="811" w:hanging="245"/>
        <w:rPr>
          <w:rFonts w:ascii="標楷體" w:eastAsia="標楷體" w:hAnsi="標楷體"/>
          <w:color w:val="000000"/>
        </w:rPr>
      </w:pPr>
      <w:r>
        <w:rPr>
          <w:rFonts w:ascii="標楷體" w:eastAsia="標楷體" w:hAnsi="標楷體"/>
          <w:color w:val="000000"/>
        </w:rPr>
        <w:t>2.淚膜崩裂時間（Tear Film Break-Up Time）小於或等於5秒。(103/4/1、105/5/1)</w:t>
      </w:r>
    </w:p>
    <w:p w14:paraId="0D47CC74" w14:textId="77777777" w:rsidR="00BD776B" w:rsidRDefault="00DF0C24">
      <w:pPr>
        <w:ind w:left="811" w:hanging="245"/>
        <w:rPr>
          <w:rFonts w:ascii="標楷體" w:eastAsia="標楷體" w:hAnsi="標楷體"/>
          <w:color w:val="000000"/>
        </w:rPr>
      </w:pPr>
      <w:r>
        <w:rPr>
          <w:rFonts w:ascii="標楷體" w:eastAsia="標楷體" w:hAnsi="標楷體"/>
          <w:color w:val="000000"/>
        </w:rPr>
        <w:t>3.送審時需檢附彩色外眼照片及螢光染色之照片(顯示有嚴重角膜點狀上皮缺損，結膜充血染色且有絲狀角膜炎，角膜潰瘍，或眼瞼結膜粘連，角膜結膜角質化之情形)。</w:t>
      </w:r>
    </w:p>
    <w:p w14:paraId="167B4780" w14:textId="77777777" w:rsidR="00BD776B" w:rsidRDefault="00DF0C24">
      <w:pPr>
        <w:ind w:left="811" w:hanging="245"/>
        <w:rPr>
          <w:rFonts w:ascii="標楷體" w:eastAsia="標楷體" w:hAnsi="標楷體"/>
          <w:color w:val="000000"/>
        </w:rPr>
      </w:pPr>
      <w:r>
        <w:rPr>
          <w:rFonts w:ascii="標楷體" w:eastAsia="標楷體" w:hAnsi="標楷體"/>
          <w:color w:val="000000"/>
        </w:rPr>
        <w:t>4.曾使用局部抗發炎藥物或淚點塞或人工淚液未見改善。(105/5/1)</w:t>
      </w:r>
    </w:p>
    <w:p w14:paraId="1272A64F" w14:textId="77777777" w:rsidR="00BD776B" w:rsidRDefault="00DF0C24">
      <w:pPr>
        <w:ind w:left="811" w:hanging="245"/>
        <w:rPr>
          <w:rFonts w:ascii="標楷體" w:eastAsia="標楷體" w:hAnsi="標楷體"/>
          <w:color w:val="000000"/>
        </w:rPr>
      </w:pPr>
      <w:r>
        <w:rPr>
          <w:rFonts w:ascii="標楷體" w:eastAsia="標楷體" w:hAnsi="標楷體"/>
          <w:color w:val="000000"/>
        </w:rPr>
        <w:t>5.須經事前審查核准後使用，六個月審查一次。病人必須符合下列條件，方能續用：(105/5/1)</w:t>
      </w:r>
    </w:p>
    <w:p w14:paraId="5362F000" w14:textId="77777777" w:rsidR="00BD776B" w:rsidRDefault="00DF0C24">
      <w:pPr>
        <w:ind w:left="1133" w:hanging="425"/>
        <w:rPr>
          <w:rFonts w:ascii="標楷體" w:eastAsia="標楷體" w:hAnsi="標楷體"/>
          <w:color w:val="000000"/>
        </w:rPr>
      </w:pPr>
      <w:r>
        <w:rPr>
          <w:rFonts w:ascii="標楷體" w:eastAsia="標楷體" w:hAnsi="標楷體"/>
          <w:color w:val="000000"/>
        </w:rPr>
        <w:t>(1)主述症狀改善：乾澀、畏光或產生眼睛分泌物。</w:t>
      </w:r>
    </w:p>
    <w:p w14:paraId="159E1EE6" w14:textId="77777777" w:rsidR="00BD776B" w:rsidRDefault="00DF0C24">
      <w:pPr>
        <w:ind w:left="1133" w:hanging="425"/>
        <w:rPr>
          <w:rFonts w:ascii="標楷體" w:eastAsia="標楷體" w:hAnsi="標楷體"/>
          <w:color w:val="000000"/>
        </w:rPr>
      </w:pPr>
      <w:r>
        <w:rPr>
          <w:rFonts w:ascii="標楷體" w:eastAsia="標楷體" w:hAnsi="標楷體"/>
          <w:color w:val="000000"/>
        </w:rPr>
        <w:t>(2)合併以下任一條件改善：</w:t>
      </w:r>
    </w:p>
    <w:p w14:paraId="6E140A6F" w14:textId="77777777" w:rsidR="00BD776B" w:rsidRDefault="00DF0C24">
      <w:pPr>
        <w:ind w:left="1416" w:hanging="283"/>
        <w:rPr>
          <w:rFonts w:ascii="標楷體" w:eastAsia="標楷體" w:hAnsi="標楷體"/>
          <w:color w:val="000000"/>
        </w:rPr>
      </w:pPr>
      <w:r>
        <w:rPr>
          <w:rFonts w:ascii="標楷體" w:eastAsia="標楷體" w:hAnsi="標楷體"/>
          <w:color w:val="000000"/>
        </w:rPr>
        <w:t>Ⅰ淚液分泌測試。</w:t>
      </w:r>
    </w:p>
    <w:p w14:paraId="11E13CF6" w14:textId="77777777" w:rsidR="00BD776B" w:rsidRDefault="00DF0C24">
      <w:pPr>
        <w:ind w:left="1416" w:hanging="283"/>
        <w:rPr>
          <w:rFonts w:ascii="標楷體" w:eastAsia="標楷體" w:hAnsi="標楷體"/>
          <w:color w:val="000000"/>
        </w:rPr>
      </w:pPr>
      <w:r>
        <w:rPr>
          <w:rFonts w:ascii="標楷體" w:eastAsia="標楷體" w:hAnsi="標楷體"/>
          <w:color w:val="000000"/>
        </w:rPr>
        <w:t>Ⅱ淚膜崩裂時間。</w:t>
      </w:r>
    </w:p>
    <w:p w14:paraId="08EC6DEE" w14:textId="77777777" w:rsidR="00BD776B" w:rsidRDefault="00DF0C24">
      <w:pPr>
        <w:ind w:left="1416" w:hanging="283"/>
        <w:rPr>
          <w:rFonts w:ascii="標楷體" w:eastAsia="標楷體" w:hAnsi="標楷體"/>
          <w:color w:val="000000"/>
        </w:rPr>
      </w:pPr>
      <w:r>
        <w:rPr>
          <w:rFonts w:ascii="標楷體" w:eastAsia="標楷體" w:hAnsi="標楷體"/>
          <w:color w:val="000000"/>
        </w:rPr>
        <w:t>Ⅲ角膜病變-螢光染色照片。</w:t>
      </w:r>
    </w:p>
    <w:p w14:paraId="7141FEA7" w14:textId="77777777" w:rsidR="00BD776B" w:rsidRDefault="00DF0C24">
      <w:pPr>
        <w:ind w:left="1416" w:hanging="283"/>
        <w:rPr>
          <w:rFonts w:ascii="標楷體" w:eastAsia="標楷體" w:hAnsi="標楷體"/>
          <w:color w:val="000000"/>
        </w:rPr>
      </w:pPr>
      <w:r>
        <w:rPr>
          <w:rFonts w:ascii="標楷體" w:eastAsia="標楷體" w:hAnsi="標楷體"/>
          <w:color w:val="000000"/>
        </w:rPr>
        <w:t>Ⅳ結膜充血或結膜染色-症狀改善。</w:t>
      </w:r>
    </w:p>
    <w:p w14:paraId="0BD3398B" w14:textId="77777777" w:rsidR="00BD776B" w:rsidRDefault="00DF0C24">
      <w:pPr>
        <w:ind w:left="283"/>
        <w:rPr>
          <w:rFonts w:ascii="標楷體" w:eastAsia="標楷體" w:hAnsi="標楷體"/>
          <w:color w:val="000000"/>
        </w:rPr>
      </w:pPr>
      <w:r>
        <w:rPr>
          <w:rFonts w:ascii="標楷體" w:eastAsia="標楷體" w:hAnsi="標楷體"/>
          <w:color w:val="000000"/>
        </w:rPr>
        <w:lastRenderedPageBreak/>
        <w:t>14.9.4.Dexamethasone intravitreal implant (如Ozurdex) (104/05/1、105/8/1、106/4/1、108/4/1、109/2/1、109/3/1)</w:t>
      </w:r>
    </w:p>
    <w:p w14:paraId="41533A20" w14:textId="77777777" w:rsidR="00BD776B" w:rsidRDefault="00DF0C24">
      <w:pPr>
        <w:ind w:left="849" w:hanging="283"/>
        <w:rPr>
          <w:rFonts w:ascii="標楷體" w:eastAsia="標楷體" w:hAnsi="標楷體"/>
          <w:color w:val="000000"/>
        </w:rPr>
      </w:pPr>
      <w:r>
        <w:rPr>
          <w:rFonts w:ascii="標楷體" w:eastAsia="標楷體" w:hAnsi="標楷體"/>
          <w:color w:val="000000"/>
        </w:rPr>
        <w:t>1.限眼科專科醫師施行。(109/2/1)</w:t>
      </w:r>
    </w:p>
    <w:p w14:paraId="30E9B30B" w14:textId="77777777" w:rsidR="00BD776B" w:rsidRDefault="00DF0C24">
      <w:pPr>
        <w:ind w:left="849" w:hanging="283"/>
        <w:rPr>
          <w:rFonts w:ascii="標楷體" w:eastAsia="標楷體" w:hAnsi="標楷體"/>
          <w:color w:val="000000"/>
        </w:rPr>
      </w:pPr>
      <w:r>
        <w:rPr>
          <w:rFonts w:ascii="標楷體" w:eastAsia="標楷體" w:hAnsi="標楷體"/>
          <w:color w:val="000000"/>
        </w:rPr>
        <w:t>2.須於第一次申請核准後5年內使用完畢。(109/2/1)</w:t>
      </w:r>
    </w:p>
    <w:p w14:paraId="10868989" w14:textId="77777777" w:rsidR="00BD776B" w:rsidRDefault="00DF0C24">
      <w:pPr>
        <w:ind w:left="849" w:hanging="283"/>
        <w:rPr>
          <w:rFonts w:ascii="標楷體" w:eastAsia="標楷體" w:hAnsi="標楷體"/>
          <w:color w:val="000000"/>
        </w:rPr>
      </w:pPr>
      <w:r>
        <w:rPr>
          <w:rFonts w:ascii="標楷體" w:eastAsia="標楷體" w:hAnsi="標楷體"/>
          <w:color w:val="000000"/>
        </w:rPr>
        <w:t>3.用於非感染性眼後房葡萄膜炎病人，需符合下列條件：</w:t>
      </w:r>
    </w:p>
    <w:p w14:paraId="14570CC3" w14:textId="77777777" w:rsidR="00BD776B" w:rsidRDefault="00DF0C24">
      <w:pPr>
        <w:ind w:left="1133" w:hanging="425"/>
        <w:rPr>
          <w:rFonts w:ascii="標楷體" w:eastAsia="標楷體" w:hAnsi="標楷體"/>
          <w:color w:val="000000"/>
        </w:rPr>
      </w:pPr>
      <w:r>
        <w:rPr>
          <w:rFonts w:ascii="標楷體" w:eastAsia="標楷體" w:hAnsi="標楷體"/>
          <w:color w:val="000000"/>
        </w:rPr>
        <w:t>(1)限地區醫院以上層級(含)施行。(109/2/1)</w:t>
      </w:r>
    </w:p>
    <w:p w14:paraId="6A914CF5" w14:textId="77777777" w:rsidR="00BD776B" w:rsidRDefault="00DF0C24">
      <w:pPr>
        <w:ind w:left="1133" w:hanging="425"/>
        <w:rPr>
          <w:rFonts w:ascii="標楷體" w:eastAsia="標楷體" w:hAnsi="標楷體"/>
          <w:color w:val="000000"/>
        </w:rPr>
      </w:pPr>
      <w:r>
        <w:rPr>
          <w:rFonts w:ascii="標楷體" w:eastAsia="標楷體" w:hAnsi="標楷體"/>
          <w:color w:val="000000"/>
        </w:rPr>
        <w:t>(2)需排除因感染性引起之眼後房葡萄膜炎如肺結核、梅毒、弓漿蟲等之感染。</w:t>
      </w:r>
    </w:p>
    <w:p w14:paraId="63425514" w14:textId="77777777" w:rsidR="00BD776B" w:rsidRDefault="00DF0C24">
      <w:pPr>
        <w:ind w:left="1133" w:hanging="425"/>
        <w:rPr>
          <w:rFonts w:ascii="標楷體" w:eastAsia="標楷體" w:hAnsi="標楷體"/>
          <w:color w:val="000000"/>
        </w:rPr>
      </w:pPr>
      <w:r>
        <w:rPr>
          <w:rFonts w:ascii="標楷體" w:eastAsia="標楷體" w:hAnsi="標楷體"/>
          <w:color w:val="000000"/>
        </w:rPr>
        <w:t>(3)矯正後視力介於0.05和0.5之間。</w:t>
      </w:r>
    </w:p>
    <w:p w14:paraId="02C6C6B2" w14:textId="77777777" w:rsidR="00BD776B" w:rsidRDefault="00DF0C24">
      <w:pPr>
        <w:ind w:left="1133" w:hanging="425"/>
        <w:rPr>
          <w:rFonts w:ascii="標楷體" w:eastAsia="標楷體" w:hAnsi="標楷體"/>
          <w:color w:val="000000"/>
        </w:rPr>
      </w:pPr>
      <w:r>
        <w:rPr>
          <w:rFonts w:ascii="標楷體" w:eastAsia="標楷體" w:hAnsi="標楷體"/>
          <w:color w:val="000000"/>
        </w:rPr>
        <w:t>(4)需符合下列治療方式之一：</w:t>
      </w:r>
    </w:p>
    <w:p w14:paraId="1EC159C2" w14:textId="77777777" w:rsidR="00BD776B" w:rsidRDefault="00DF0C24">
      <w:pPr>
        <w:ind w:left="1522" w:hanging="389"/>
        <w:rPr>
          <w:rFonts w:ascii="標楷體" w:eastAsia="標楷體" w:hAnsi="標楷體"/>
          <w:color w:val="000000"/>
        </w:rPr>
      </w:pPr>
      <w:r>
        <w:rPr>
          <w:rFonts w:ascii="標楷體" w:eastAsia="標楷體" w:hAnsi="標楷體"/>
          <w:color w:val="000000"/>
        </w:rPr>
        <w:t>Ⅰ.葡萄膜炎之患者以口服類固醇控制病情，反應不良或仍有發炎與黃斑部水腫者，需輔以cyclosporin或其他全身性免疫抑制劑，經前述治療眼睛發炎仍無法控制者。</w:t>
      </w:r>
    </w:p>
    <w:p w14:paraId="7A9D18B4" w14:textId="77777777" w:rsidR="00BD776B" w:rsidRDefault="00DF0C24">
      <w:pPr>
        <w:ind w:left="1522" w:hanging="389"/>
        <w:rPr>
          <w:rFonts w:ascii="標楷體" w:eastAsia="標楷體" w:hAnsi="標楷體"/>
          <w:color w:val="000000"/>
        </w:rPr>
      </w:pPr>
      <w:r>
        <w:rPr>
          <w:rFonts w:ascii="標楷體" w:eastAsia="標楷體" w:hAnsi="標楷體"/>
          <w:color w:val="000000"/>
        </w:rPr>
        <w:t>Ⅱ.無法口服全身性藥物(類固醇或cyclosporin)控制者：</w:t>
      </w:r>
    </w:p>
    <w:p w14:paraId="77C9AF31" w14:textId="77777777" w:rsidR="00BD776B" w:rsidRDefault="00DF0C24">
      <w:pPr>
        <w:ind w:left="1274"/>
        <w:rPr>
          <w:rFonts w:ascii="標楷體" w:eastAsia="標楷體" w:hAnsi="標楷體"/>
          <w:color w:val="000000"/>
        </w:rPr>
      </w:pPr>
      <w:r>
        <w:rPr>
          <w:rFonts w:ascii="標楷體" w:eastAsia="標楷體" w:hAnsi="標楷體"/>
          <w:color w:val="000000"/>
        </w:rPr>
        <w:t>i.懷孕或正在授乳的婦女。</w:t>
      </w:r>
    </w:p>
    <w:p w14:paraId="0F52EA1B" w14:textId="77777777" w:rsidR="00BD776B" w:rsidRDefault="00DF0C24">
      <w:pPr>
        <w:ind w:left="1274"/>
        <w:rPr>
          <w:rFonts w:ascii="標楷體" w:eastAsia="標楷體" w:hAnsi="標楷體"/>
          <w:color w:val="000000"/>
        </w:rPr>
      </w:pPr>
      <w:r>
        <w:rPr>
          <w:rFonts w:ascii="標楷體" w:eastAsia="標楷體" w:hAnsi="標楷體"/>
          <w:color w:val="000000"/>
        </w:rPr>
        <w:t>ii.罹患活動性的感染症的病患。</w:t>
      </w:r>
    </w:p>
    <w:p w14:paraId="7AEBD8A9" w14:textId="77777777" w:rsidR="00BD776B" w:rsidRDefault="00DF0C24">
      <w:pPr>
        <w:ind w:left="1274"/>
        <w:rPr>
          <w:rFonts w:ascii="標楷體" w:eastAsia="標楷體" w:hAnsi="標楷體"/>
          <w:color w:val="000000"/>
        </w:rPr>
      </w:pPr>
      <w:r>
        <w:rPr>
          <w:rFonts w:ascii="標楷體" w:eastAsia="標楷體" w:hAnsi="標楷體"/>
          <w:color w:val="000000"/>
        </w:rPr>
        <w:t>iii.身上帶有人工關節者，罹患或先前曾罹患過嚴重的敗血症(sepsis)者。</w:t>
      </w:r>
    </w:p>
    <w:p w14:paraId="44E3B6D7" w14:textId="77777777" w:rsidR="00BD776B" w:rsidRDefault="00DF0C24">
      <w:pPr>
        <w:ind w:left="1274"/>
        <w:rPr>
          <w:rFonts w:ascii="標楷體" w:eastAsia="標楷體" w:hAnsi="標楷體"/>
          <w:color w:val="000000"/>
        </w:rPr>
      </w:pPr>
      <w:r>
        <w:rPr>
          <w:rFonts w:ascii="標楷體" w:eastAsia="標楷體" w:hAnsi="標楷體"/>
          <w:color w:val="000000"/>
        </w:rPr>
        <w:t>iv.惡性腫瘤或具有癌症前兆(pre-malignancy)的病患。</w:t>
      </w:r>
    </w:p>
    <w:p w14:paraId="6EEA4239" w14:textId="77777777" w:rsidR="00BD776B" w:rsidRDefault="00DF0C24">
      <w:pPr>
        <w:ind w:left="1274"/>
        <w:rPr>
          <w:rFonts w:ascii="標楷體" w:eastAsia="標楷體" w:hAnsi="標楷體"/>
          <w:color w:val="000000"/>
        </w:rPr>
      </w:pPr>
      <w:r>
        <w:rPr>
          <w:rFonts w:ascii="標楷體" w:eastAsia="標楷體" w:hAnsi="標楷體"/>
          <w:color w:val="000000"/>
        </w:rPr>
        <w:t>v.免疫功能不全者(Immunodeficiency)。</w:t>
      </w:r>
    </w:p>
    <w:p w14:paraId="2BFB8908" w14:textId="77777777" w:rsidR="00BD776B" w:rsidRDefault="00DF0C24">
      <w:pPr>
        <w:ind w:left="1274"/>
        <w:rPr>
          <w:rFonts w:ascii="標楷體" w:eastAsia="標楷體" w:hAnsi="標楷體"/>
          <w:color w:val="000000"/>
        </w:rPr>
      </w:pPr>
      <w:r>
        <w:rPr>
          <w:rFonts w:ascii="標楷體" w:eastAsia="標楷體" w:hAnsi="標楷體"/>
          <w:color w:val="000000"/>
        </w:rPr>
        <w:t>vi.曾因其他疾病服用上述口服全身性藥物，有嚴重併發症或後遺症者。</w:t>
      </w:r>
    </w:p>
    <w:p w14:paraId="6BC4C95A" w14:textId="77777777" w:rsidR="00BD776B" w:rsidRDefault="00DF0C24">
      <w:pPr>
        <w:ind w:left="1133" w:hanging="425"/>
        <w:rPr>
          <w:rFonts w:ascii="標楷體" w:eastAsia="標楷體" w:hAnsi="標楷體"/>
          <w:color w:val="000000"/>
        </w:rPr>
      </w:pPr>
      <w:r>
        <w:rPr>
          <w:rFonts w:ascii="標楷體" w:eastAsia="標楷體" w:hAnsi="標楷體"/>
          <w:color w:val="000000"/>
        </w:rPr>
        <w:t>(5)每眼限給付1支。</w:t>
      </w:r>
    </w:p>
    <w:p w14:paraId="776D6C8A" w14:textId="77777777" w:rsidR="00BD776B" w:rsidRDefault="00DF0C24">
      <w:pPr>
        <w:ind w:left="1133" w:hanging="425"/>
        <w:rPr>
          <w:rFonts w:ascii="標楷體" w:eastAsia="標楷體" w:hAnsi="標楷體"/>
          <w:color w:val="000000"/>
        </w:rPr>
      </w:pPr>
      <w:r>
        <w:rPr>
          <w:rFonts w:ascii="標楷體" w:eastAsia="標楷體" w:hAnsi="標楷體"/>
          <w:color w:val="000000"/>
        </w:rPr>
        <w:t>(6)給付後六個月內不得使用cyclosporin藥品。</w:t>
      </w:r>
    </w:p>
    <w:p w14:paraId="3BE9EB3C" w14:textId="77777777" w:rsidR="00BD776B" w:rsidRDefault="00DF0C24">
      <w:pPr>
        <w:ind w:left="1133" w:hanging="425"/>
        <w:rPr>
          <w:rFonts w:ascii="標楷體" w:eastAsia="標楷體" w:hAnsi="標楷體"/>
          <w:color w:val="000000"/>
        </w:rPr>
      </w:pPr>
      <w:r>
        <w:rPr>
          <w:rFonts w:ascii="標楷體" w:eastAsia="標楷體" w:hAnsi="標楷體"/>
          <w:color w:val="000000"/>
        </w:rPr>
        <w:t>(7)需事前審查，並檢附病歷摘要及符合下列條件之一之診斷依據。</w:t>
      </w:r>
    </w:p>
    <w:p w14:paraId="17F23571" w14:textId="77777777" w:rsidR="00BD776B" w:rsidRDefault="00DF0C24">
      <w:pPr>
        <w:ind w:left="1521" w:hanging="391"/>
        <w:rPr>
          <w:rFonts w:ascii="標楷體" w:eastAsia="標楷體" w:hAnsi="標楷體"/>
          <w:color w:val="000000"/>
        </w:rPr>
      </w:pPr>
      <w:r>
        <w:rPr>
          <w:rFonts w:ascii="標楷體" w:eastAsia="標楷體" w:hAnsi="標楷體"/>
          <w:color w:val="000000"/>
        </w:rPr>
        <w:t>Ⅰ.一個月內有效之OCT 顯示中央視網膜厚度(central retinal thickness, CRT)≧300μm。</w:t>
      </w:r>
    </w:p>
    <w:p w14:paraId="41F8DEF5" w14:textId="77777777" w:rsidR="00BD776B" w:rsidRDefault="00DF0C24">
      <w:pPr>
        <w:ind w:left="1521" w:hanging="391"/>
        <w:rPr>
          <w:rFonts w:ascii="標楷體" w:eastAsia="標楷體" w:hAnsi="標楷體"/>
          <w:color w:val="000000"/>
        </w:rPr>
      </w:pPr>
      <w:r>
        <w:rPr>
          <w:rFonts w:ascii="標楷體" w:eastAsia="標楷體" w:hAnsi="標楷體"/>
          <w:color w:val="000000"/>
        </w:rPr>
        <w:t>Ⅱ.一個月內有效之FAG (fluorescein angiography)看到血管明顯滲漏現象或黃斑部囊狀水腫。</w:t>
      </w:r>
    </w:p>
    <w:p w14:paraId="038E2B9C" w14:textId="77777777" w:rsidR="00BD776B" w:rsidRDefault="00DF0C24">
      <w:pPr>
        <w:ind w:left="849" w:hanging="283"/>
        <w:rPr>
          <w:rFonts w:ascii="標楷體" w:eastAsia="標楷體" w:hAnsi="標楷體"/>
          <w:color w:val="000000"/>
        </w:rPr>
      </w:pPr>
      <w:r>
        <w:rPr>
          <w:rFonts w:ascii="標楷體" w:eastAsia="標楷體" w:hAnsi="標楷體"/>
          <w:color w:val="000000"/>
        </w:rPr>
        <w:t>4.用於中央視網膜靜脈阻塞(CRVO)導致黃斑部水腫，需符合下列條件：(105/8/1、106/4/1、108/4/1、109/2/1、109/3/1)</w:t>
      </w:r>
    </w:p>
    <w:p w14:paraId="002BA18B" w14:textId="77777777" w:rsidR="00BD776B" w:rsidRDefault="00DF0C24">
      <w:pPr>
        <w:ind w:left="1133" w:hanging="425"/>
        <w:rPr>
          <w:rFonts w:ascii="標楷體" w:eastAsia="標楷體" w:hAnsi="標楷體"/>
          <w:color w:val="000000"/>
        </w:rPr>
      </w:pPr>
      <w:r>
        <w:rPr>
          <w:rFonts w:ascii="標楷體" w:eastAsia="標楷體" w:hAnsi="標楷體"/>
          <w:color w:val="000000"/>
        </w:rPr>
        <w:t>(1) 限18歲以上患者。</w:t>
      </w:r>
    </w:p>
    <w:p w14:paraId="24E108DF" w14:textId="77777777" w:rsidR="00BD776B" w:rsidRDefault="00DF0C24">
      <w:pPr>
        <w:ind w:left="1133" w:hanging="425"/>
        <w:rPr>
          <w:rFonts w:ascii="標楷體" w:eastAsia="標楷體" w:hAnsi="標楷體"/>
          <w:color w:val="000000"/>
        </w:rPr>
      </w:pPr>
      <w:r>
        <w:rPr>
          <w:rFonts w:ascii="標楷體" w:eastAsia="標楷體" w:hAnsi="標楷體"/>
          <w:color w:val="000000"/>
        </w:rPr>
        <w:t>(2) 中央視網膜厚度(central retinal thickness, CRT)≧300μm。</w:t>
      </w:r>
    </w:p>
    <w:p w14:paraId="681E0F67" w14:textId="77777777" w:rsidR="00BD776B" w:rsidRDefault="00DF0C24">
      <w:pPr>
        <w:ind w:left="1133" w:hanging="425"/>
        <w:rPr>
          <w:rFonts w:ascii="標楷體" w:eastAsia="標楷體" w:hAnsi="標楷體"/>
          <w:color w:val="000000"/>
        </w:rPr>
      </w:pPr>
      <w:r>
        <w:rPr>
          <w:rFonts w:ascii="標楷體" w:eastAsia="標楷體" w:hAnsi="標楷體"/>
          <w:color w:val="000000"/>
        </w:rPr>
        <w:t>(3) 已產生中央窩下(subfoveal)結痂者不得申請使用。</w:t>
      </w:r>
    </w:p>
    <w:p w14:paraId="6441DA14" w14:textId="77777777" w:rsidR="00BD776B" w:rsidRDefault="00DF0C24">
      <w:pPr>
        <w:ind w:left="1133" w:hanging="425"/>
        <w:rPr>
          <w:rFonts w:ascii="標楷體" w:eastAsia="標楷體" w:hAnsi="標楷體"/>
          <w:color w:val="000000"/>
        </w:rPr>
      </w:pPr>
      <w:r>
        <w:rPr>
          <w:rFonts w:ascii="標楷體" w:eastAsia="標楷體" w:hAnsi="標楷體"/>
          <w:color w:val="000000"/>
        </w:rPr>
        <w:t>(4) 須經事前審查核准後使用。</w:t>
      </w:r>
    </w:p>
    <w:p w14:paraId="4D580E2D" w14:textId="77777777" w:rsidR="00BD776B" w:rsidRDefault="00DF0C24">
      <w:pPr>
        <w:ind w:left="1522" w:hanging="389"/>
        <w:rPr>
          <w:rFonts w:ascii="標楷體" w:eastAsia="標楷體" w:hAnsi="標楷體"/>
          <w:color w:val="000000"/>
        </w:rPr>
      </w:pPr>
      <w:r>
        <w:rPr>
          <w:rFonts w:ascii="標楷體" w:eastAsia="標楷體" w:hAnsi="標楷體"/>
          <w:color w:val="000000"/>
        </w:rPr>
        <w:t>Ⅰ.第一次申請以2支為限，第一次申請時需檢附一個月內之病眼最佳矯正視力(介於0.05~0.5(含)之間)、眼底彩色照片、FAG (fluorescein angiography)、OCT (optical coherence tomography)及相關病歷紀錄資料。若患者腎功能不全(eGFR＜45mL/min/1.73m2或serum creatinine≧1.5mg/dL)，或具有藥物過敏史者需檢附相關資料，得檢附足以證明其罹患疾病之光學共軛斷層血管掃描儀(optical coherence tomography angiography, OCTA)檢查結果代替FAG資料。(108/4/1、109/2/1)</w:t>
      </w:r>
    </w:p>
    <w:p w14:paraId="4624B72E" w14:textId="77777777" w:rsidR="00BD776B" w:rsidRDefault="00DF0C24">
      <w:pPr>
        <w:ind w:left="1522" w:hanging="389"/>
        <w:rPr>
          <w:rFonts w:ascii="標楷體" w:eastAsia="標楷體" w:hAnsi="標楷體"/>
          <w:color w:val="000000"/>
        </w:rPr>
      </w:pPr>
      <w:r>
        <w:rPr>
          <w:rFonts w:ascii="標楷體" w:eastAsia="標楷體" w:hAnsi="標楷體"/>
          <w:color w:val="000000"/>
        </w:rPr>
        <w:t>Ⅱ.經評估需續用者，再次申請時需檢附第一次申請資料及再次申請前一個月內有改善證明之相關資料，每眼給付以 4支為限 。(109/2/1)</w:t>
      </w:r>
    </w:p>
    <w:p w14:paraId="09942998" w14:textId="77777777" w:rsidR="00BD776B" w:rsidRDefault="00DF0C24">
      <w:pPr>
        <w:ind w:left="1522" w:hanging="389"/>
        <w:rPr>
          <w:rFonts w:ascii="標楷體" w:eastAsia="標楷體" w:hAnsi="標楷體"/>
          <w:color w:val="000000"/>
        </w:rPr>
      </w:pPr>
      <w:r>
        <w:rPr>
          <w:rFonts w:ascii="標楷體" w:eastAsia="標楷體" w:hAnsi="標楷體"/>
          <w:color w:val="000000"/>
        </w:rPr>
        <w:t>Ⅲ.第一次申請治療後，患者治療成果不彰或對原申請藥物產生不良反應者，得申請更換給付新生血管抑制劑(限ranibizumab及aflibercept擇一申請)，申請時需檢送第一次申請資料及再次申請前一個月內有黃斑水腫仍具臨床活性且中央視網膜厚度(central retinal thickness,CRT)≧ 300μm之相關資料。(109/3/1)</w:t>
      </w:r>
    </w:p>
    <w:p w14:paraId="140C6372" w14:textId="77777777" w:rsidR="00BD776B" w:rsidRDefault="00DF0C24">
      <w:pPr>
        <w:ind w:left="1522" w:hanging="389"/>
        <w:rPr>
          <w:rFonts w:ascii="標楷體" w:eastAsia="標楷體" w:hAnsi="標楷體"/>
          <w:color w:val="000000"/>
        </w:rPr>
      </w:pPr>
      <w:r>
        <w:rPr>
          <w:rFonts w:ascii="標楷體" w:eastAsia="標楷體" w:hAnsi="標楷體"/>
          <w:color w:val="000000"/>
        </w:rPr>
        <w:lastRenderedPageBreak/>
        <w:t>Ⅳ.每人每眼申請更換給付不同作用機轉藥物以一次為限，申請更換給付新生血管抑制劑(如aflibercept或ranibizumab)者，以4支為限。(109/3/1)</w:t>
      </w:r>
    </w:p>
    <w:p w14:paraId="3A4FBADF" w14:textId="77777777" w:rsidR="00BD776B" w:rsidRDefault="00DF0C24">
      <w:pPr>
        <w:ind w:left="794" w:hanging="230"/>
        <w:rPr>
          <w:rFonts w:ascii="標楷體" w:eastAsia="標楷體" w:hAnsi="標楷體"/>
          <w:color w:val="000000"/>
        </w:rPr>
      </w:pPr>
      <w:r>
        <w:rPr>
          <w:rFonts w:ascii="標楷體" w:eastAsia="標楷體" w:hAnsi="標楷體"/>
          <w:color w:val="000000"/>
        </w:rPr>
        <w:t>5.用於糖尿病引起黃斑部水腫 (diabetic macular edema, DME)之病變，需符合下列條件：(106/4/1、108/4/1、109/2/1、109/3/1)</w:t>
      </w:r>
    </w:p>
    <w:p w14:paraId="1FC0C82B" w14:textId="77777777" w:rsidR="00BD776B" w:rsidRDefault="00DF0C24">
      <w:pPr>
        <w:ind w:left="1092" w:hanging="382"/>
        <w:rPr>
          <w:rFonts w:ascii="標楷體" w:eastAsia="標楷體" w:hAnsi="標楷體"/>
          <w:color w:val="000000"/>
        </w:rPr>
      </w:pPr>
      <w:r>
        <w:rPr>
          <w:rFonts w:ascii="標楷體" w:eastAsia="標楷體" w:hAnsi="標楷體"/>
          <w:color w:val="000000"/>
        </w:rPr>
        <w:t>(1)中央視網膜厚度(central retinal thickness, CRT)≧300μm。</w:t>
      </w:r>
    </w:p>
    <w:p w14:paraId="41CBD437" w14:textId="77777777" w:rsidR="00BD776B" w:rsidRDefault="00DF0C24">
      <w:pPr>
        <w:ind w:left="1092" w:hanging="382"/>
        <w:rPr>
          <w:rFonts w:ascii="標楷體" w:eastAsia="標楷體" w:hAnsi="標楷體"/>
          <w:color w:val="000000"/>
        </w:rPr>
      </w:pPr>
      <w:r>
        <w:rPr>
          <w:rFonts w:ascii="標楷體" w:eastAsia="標楷體" w:hAnsi="標楷體"/>
          <w:color w:val="000000"/>
        </w:rPr>
        <w:t>(2)已產生中央窩下(subfoveal)結痂者不得申請使用。</w:t>
      </w:r>
    </w:p>
    <w:p w14:paraId="43991D78" w14:textId="77777777" w:rsidR="00BD776B" w:rsidRDefault="00DF0C24">
      <w:pPr>
        <w:ind w:left="1092" w:hanging="382"/>
        <w:rPr>
          <w:rFonts w:ascii="標楷體" w:eastAsia="標楷體" w:hAnsi="標楷體"/>
          <w:color w:val="000000"/>
        </w:rPr>
      </w:pPr>
      <w:r>
        <w:rPr>
          <w:rFonts w:ascii="標楷體" w:eastAsia="標楷體" w:hAnsi="標楷體"/>
          <w:color w:val="000000"/>
        </w:rPr>
        <w:t>(3)近三個月內之糖化血色素(HbA1c)數值低於10%，並於每次申請時檢附近三個月內之檢查結果。</w:t>
      </w:r>
    </w:p>
    <w:p w14:paraId="640C561D" w14:textId="77777777" w:rsidR="00BD776B" w:rsidRDefault="00DF0C24">
      <w:pPr>
        <w:ind w:left="1092" w:hanging="382"/>
        <w:rPr>
          <w:rFonts w:ascii="標楷體" w:eastAsia="標楷體" w:hAnsi="標楷體"/>
          <w:color w:val="000000"/>
        </w:rPr>
      </w:pPr>
      <w:r>
        <w:rPr>
          <w:rFonts w:ascii="標楷體" w:eastAsia="標楷體" w:hAnsi="標楷體"/>
          <w:color w:val="000000"/>
        </w:rPr>
        <w:t>(4)須經事前審查核准後使用。</w:t>
      </w:r>
    </w:p>
    <w:p w14:paraId="4850885A" w14:textId="77777777" w:rsidR="00BD776B" w:rsidRDefault="00DF0C24">
      <w:pPr>
        <w:ind w:left="1512" w:hanging="377"/>
        <w:rPr>
          <w:rFonts w:ascii="標楷體" w:eastAsia="標楷體" w:hAnsi="標楷體"/>
          <w:color w:val="000000"/>
        </w:rPr>
      </w:pPr>
      <w:r>
        <w:rPr>
          <w:rFonts w:ascii="標楷體" w:eastAsia="標楷體" w:hAnsi="標楷體"/>
          <w:color w:val="000000"/>
        </w:rPr>
        <w:t>Ⅰ.未曾申請給付新生血管抑制劑(anti-angiogenic agents)者，第一次申請以3支為限，第一次申請時需檢附一個月內之病眼最佳矯正視力(介於0.05~0.5(含)之間)、眼底彩色照片、FAG (fluorescein angiography)、OCT (optical coherence tomography)、及相關病歷紀錄資料。(109/2/1)</w:t>
      </w:r>
    </w:p>
    <w:p w14:paraId="548BBB29" w14:textId="77777777" w:rsidR="00BD776B" w:rsidRDefault="00DF0C24">
      <w:pPr>
        <w:ind w:left="1512" w:hanging="377"/>
        <w:rPr>
          <w:rFonts w:ascii="標楷體" w:eastAsia="標楷體" w:hAnsi="標楷體"/>
          <w:color w:val="000000"/>
        </w:rPr>
      </w:pPr>
      <w:r>
        <w:rPr>
          <w:rFonts w:ascii="標楷體" w:eastAsia="標楷體" w:hAnsi="標楷體"/>
          <w:color w:val="000000"/>
        </w:rPr>
        <w:t>Ⅱ.經評估需續用者，再次申請時需檢附與第一次申請項目相同之各項最近檢查紀錄外，並檢送使用後有改善證明之相關資料，每眼給付以5支為限。(109/2/1)</w:t>
      </w:r>
    </w:p>
    <w:p w14:paraId="0F980544" w14:textId="77777777" w:rsidR="00BD776B" w:rsidRDefault="00DF0C24">
      <w:pPr>
        <w:ind w:left="1512" w:hanging="377"/>
        <w:rPr>
          <w:rFonts w:ascii="標楷體" w:eastAsia="標楷體" w:hAnsi="標楷體"/>
          <w:color w:val="000000"/>
        </w:rPr>
      </w:pPr>
      <w:r>
        <w:rPr>
          <w:rFonts w:ascii="標楷體" w:eastAsia="標楷體" w:hAnsi="標楷體"/>
          <w:color w:val="000000"/>
        </w:rPr>
        <w:t>Ⅲ.第一次申請治療後，患者治療成果不彰或對原申請藥物產生不良反應者，得申請更換給付新生血管抑制劑(限ranibizumab及aflibercept擇一申請)，申請時需檢送第一次申請資料及再次申請前一個月內有黃斑水腫仍具臨床活性且中央視網膜厚度(central retinal thickness,CRT)≧ 300μm之相關資料。(109/3/1)</w:t>
      </w:r>
    </w:p>
    <w:p w14:paraId="560EAE5C" w14:textId="77777777" w:rsidR="00BD776B" w:rsidRDefault="00DF0C24">
      <w:pPr>
        <w:ind w:left="1512" w:hanging="377"/>
        <w:rPr>
          <w:rFonts w:ascii="標楷體" w:eastAsia="標楷體" w:hAnsi="標楷體"/>
          <w:color w:val="000000"/>
        </w:rPr>
      </w:pPr>
      <w:r>
        <w:rPr>
          <w:rFonts w:ascii="標楷體" w:eastAsia="標楷體" w:hAnsi="標楷體"/>
          <w:color w:val="000000"/>
        </w:rPr>
        <w:t>Ⅳ.每人每眼申請更換給付不同作用機轉藥物以一次為限，申請更換給付新生血管抑制劑者，以3支為限。(109/3/1)</w:t>
      </w:r>
    </w:p>
    <w:p w14:paraId="0C43E328" w14:textId="77777777" w:rsidR="00BD776B" w:rsidRDefault="00DF0C24">
      <w:pPr>
        <w:ind w:left="1133" w:hanging="425"/>
        <w:rPr>
          <w:rFonts w:ascii="標楷體" w:eastAsia="標楷體" w:hAnsi="標楷體"/>
          <w:color w:val="000000"/>
        </w:rPr>
      </w:pPr>
      <w:r>
        <w:rPr>
          <w:rFonts w:ascii="標楷體" w:eastAsia="標楷體" w:hAnsi="標楷體"/>
          <w:color w:val="000000"/>
        </w:rPr>
        <w:t>(5)有下列情況不得申請使用：</w:t>
      </w:r>
    </w:p>
    <w:p w14:paraId="236E1FF1" w14:textId="77777777" w:rsidR="00BD776B" w:rsidRDefault="00DF0C24">
      <w:pPr>
        <w:ind w:left="1483" w:hanging="348"/>
        <w:rPr>
          <w:rFonts w:ascii="標楷體" w:eastAsia="標楷體" w:hAnsi="標楷體"/>
          <w:color w:val="000000"/>
        </w:rPr>
      </w:pPr>
      <w:r>
        <w:rPr>
          <w:rFonts w:ascii="標楷體" w:eastAsia="標楷體" w:hAnsi="標楷體"/>
          <w:color w:val="000000"/>
        </w:rPr>
        <w:t>Ⅰ.因其他因素(如玻璃體牽引)所造成之黃斑部水腫。(108/4/1)</w:t>
      </w:r>
    </w:p>
    <w:p w14:paraId="52CC330C" w14:textId="77777777" w:rsidR="00BD776B" w:rsidRDefault="00DF0C24">
      <w:pPr>
        <w:ind w:left="1483" w:hanging="348"/>
        <w:rPr>
          <w:rFonts w:ascii="標楷體" w:eastAsia="標楷體" w:hAnsi="標楷體"/>
          <w:color w:val="000000"/>
        </w:rPr>
      </w:pPr>
      <w:r>
        <w:rPr>
          <w:rFonts w:ascii="標楷體" w:eastAsia="標楷體" w:hAnsi="標楷體"/>
          <w:color w:val="000000"/>
        </w:rPr>
        <w:t>Ⅱ.青光眼。</w:t>
      </w:r>
    </w:p>
    <w:p w14:paraId="7ECF2CAC" w14:textId="77777777" w:rsidR="00BD776B" w:rsidRDefault="00DF0C24">
      <w:pPr>
        <w:ind w:left="283"/>
        <w:rPr>
          <w:rFonts w:ascii="標楷體" w:eastAsia="標楷體" w:hAnsi="標楷體"/>
          <w:color w:val="000000"/>
        </w:rPr>
      </w:pPr>
      <w:r>
        <w:rPr>
          <w:rFonts w:ascii="標楷體" w:eastAsia="標楷體" w:hAnsi="標楷體"/>
          <w:color w:val="000000"/>
        </w:rPr>
        <w:t>14.9.5.Verteporfin(如Visudyne)(109/2/1)</w:t>
      </w:r>
    </w:p>
    <w:p w14:paraId="6CF1B01A" w14:textId="77777777" w:rsidR="00BD776B" w:rsidRDefault="00DF0C24">
      <w:pPr>
        <w:ind w:left="849" w:hanging="283"/>
        <w:rPr>
          <w:rFonts w:ascii="標楷體" w:eastAsia="標楷體" w:hAnsi="標楷體"/>
          <w:color w:val="000000"/>
        </w:rPr>
      </w:pPr>
      <w:r>
        <w:rPr>
          <w:rFonts w:ascii="標楷體" w:eastAsia="標楷體" w:hAnsi="標楷體"/>
          <w:color w:val="000000"/>
        </w:rPr>
        <w:t>使用於多足型脈絡膜血管病變型黃斑部病變(polypoidal choroidal vasculopathy,PCV)，並符合下列條件:</w:t>
      </w:r>
    </w:p>
    <w:p w14:paraId="0EFDCBC3" w14:textId="77777777" w:rsidR="00BD776B" w:rsidRDefault="00DF0C24">
      <w:pPr>
        <w:ind w:left="849" w:hanging="283"/>
        <w:rPr>
          <w:rFonts w:ascii="標楷體" w:eastAsia="標楷體" w:hAnsi="標楷體"/>
          <w:color w:val="000000"/>
        </w:rPr>
      </w:pPr>
      <w:r>
        <w:rPr>
          <w:rFonts w:ascii="標楷體" w:eastAsia="標楷體" w:hAnsi="標楷體"/>
          <w:color w:val="000000"/>
        </w:rPr>
        <w:t>1.未曾申請給付新生血管抑制劑(anti-angiogenic agents)者。</w:t>
      </w:r>
    </w:p>
    <w:p w14:paraId="397EA420" w14:textId="77777777" w:rsidR="00BD776B" w:rsidRDefault="00DF0C24">
      <w:pPr>
        <w:ind w:left="849" w:hanging="283"/>
        <w:rPr>
          <w:rFonts w:ascii="標楷體" w:eastAsia="標楷體" w:hAnsi="標楷體"/>
          <w:color w:val="000000"/>
        </w:rPr>
      </w:pPr>
      <w:r>
        <w:rPr>
          <w:rFonts w:ascii="標楷體" w:eastAsia="標楷體" w:hAnsi="標楷體"/>
          <w:color w:val="000000"/>
        </w:rPr>
        <w:t>2.須經事前審查核准後使用。</w:t>
      </w:r>
    </w:p>
    <w:p w14:paraId="4A6B2083" w14:textId="77777777" w:rsidR="00BD776B" w:rsidRDefault="00DF0C24">
      <w:pPr>
        <w:ind w:left="1092" w:hanging="382"/>
        <w:rPr>
          <w:rFonts w:ascii="標楷體" w:eastAsia="標楷體" w:hAnsi="標楷體"/>
          <w:color w:val="000000"/>
        </w:rPr>
      </w:pPr>
      <w:r>
        <w:rPr>
          <w:rFonts w:ascii="標楷體" w:eastAsia="標楷體" w:hAnsi="標楷體"/>
          <w:color w:val="000000"/>
        </w:rPr>
        <w:t>(1)第一次申請時需檢附一個月內之病眼最佳矯正視力(介於0.05~0.5(含)之間)、眼底彩色照片、FAG (fluorescein angiography)、OCT (optical coherence tomography)及相關病歷紀錄資料。</w:t>
      </w:r>
    </w:p>
    <w:p w14:paraId="0ACB26F9" w14:textId="77777777" w:rsidR="00BD776B" w:rsidRDefault="00DF0C24">
      <w:pPr>
        <w:ind w:left="1092" w:hanging="382"/>
        <w:rPr>
          <w:rFonts w:ascii="標楷體" w:eastAsia="標楷體" w:hAnsi="標楷體"/>
          <w:color w:val="000000"/>
        </w:rPr>
      </w:pPr>
      <w:r>
        <w:rPr>
          <w:rFonts w:ascii="標楷體" w:eastAsia="標楷體" w:hAnsi="標楷體"/>
          <w:color w:val="000000"/>
        </w:rPr>
        <w:t>(2)經評估需續用者，再次申請時需檢附第一次申請資料及再次申請前一個月內有改善證明之相關資料。</w:t>
      </w:r>
    </w:p>
    <w:p w14:paraId="2EA2C8B8" w14:textId="77777777" w:rsidR="00BD776B" w:rsidRDefault="00DF0C24">
      <w:pPr>
        <w:ind w:left="849" w:hanging="283"/>
        <w:rPr>
          <w:rFonts w:ascii="標楷體" w:eastAsia="標楷體" w:hAnsi="標楷體"/>
          <w:color w:val="000000"/>
        </w:rPr>
      </w:pPr>
      <w:r>
        <w:rPr>
          <w:rFonts w:ascii="標楷體" w:eastAsia="標楷體" w:hAnsi="標楷體"/>
          <w:color w:val="000000"/>
        </w:rPr>
        <w:t>3.限眼科專科醫師施行。</w:t>
      </w:r>
    </w:p>
    <w:p w14:paraId="35FAFF67" w14:textId="77777777" w:rsidR="00BD776B" w:rsidRDefault="00DF0C24">
      <w:pPr>
        <w:ind w:left="849" w:hanging="283"/>
        <w:rPr>
          <w:rFonts w:ascii="標楷體" w:eastAsia="標楷體" w:hAnsi="標楷體"/>
          <w:color w:val="000000"/>
        </w:rPr>
      </w:pPr>
      <w:r>
        <w:rPr>
          <w:rFonts w:ascii="標楷體" w:eastAsia="標楷體" w:hAnsi="標楷體"/>
          <w:color w:val="000000"/>
        </w:rPr>
        <w:t>4.已產生中央窩下(subfoveal)結痂者不得申請使用。</w:t>
      </w:r>
    </w:p>
    <w:p w14:paraId="7924F3F9" w14:textId="77777777" w:rsidR="00BD776B" w:rsidRDefault="00DF0C24">
      <w:pPr>
        <w:ind w:left="849" w:hanging="283"/>
        <w:rPr>
          <w:rFonts w:ascii="標楷體" w:eastAsia="標楷體" w:hAnsi="標楷體"/>
          <w:color w:val="000000"/>
        </w:rPr>
      </w:pPr>
      <w:r>
        <w:rPr>
          <w:rFonts w:ascii="標楷體" w:eastAsia="標楷體" w:hAnsi="標楷體"/>
          <w:color w:val="000000"/>
        </w:rPr>
        <w:t>5.須於第一次申請核准後5年內使用。</w:t>
      </w:r>
    </w:p>
    <w:p w14:paraId="19B08455" w14:textId="77777777" w:rsidR="00BD776B" w:rsidRDefault="00DF0C24">
      <w:pPr>
        <w:ind w:left="849" w:hanging="283"/>
        <w:rPr>
          <w:rFonts w:ascii="標楷體" w:eastAsia="標楷體" w:hAnsi="標楷體"/>
          <w:color w:val="000000"/>
        </w:rPr>
      </w:pPr>
      <w:r>
        <w:rPr>
          <w:rFonts w:ascii="標楷體" w:eastAsia="標楷體" w:hAnsi="標楷體"/>
          <w:color w:val="000000"/>
        </w:rPr>
        <w:t>6.病灶限位於大血管弓內(major vessels archade)。</w:t>
      </w:r>
    </w:p>
    <w:p w14:paraId="23D16182" w14:textId="77777777" w:rsidR="00BD776B" w:rsidRDefault="00DF0C24">
      <w:pPr>
        <w:ind w:left="849" w:hanging="283"/>
        <w:rPr>
          <w:rFonts w:ascii="標楷體" w:eastAsia="標楷體" w:hAnsi="標楷體"/>
          <w:color w:val="000000"/>
        </w:rPr>
      </w:pPr>
      <w:r>
        <w:rPr>
          <w:rFonts w:ascii="標楷體" w:eastAsia="標楷體" w:hAnsi="標楷體"/>
          <w:color w:val="000000"/>
        </w:rPr>
        <w:t>7.每次申請給付1支，每次治療間隔至少3個月，每人每眼給付以3次為上限。</w:t>
      </w:r>
    </w:p>
    <w:p w14:paraId="32968DA5" w14:textId="77777777" w:rsidR="00BD776B" w:rsidRDefault="00DF0C24">
      <w:pPr>
        <w:ind w:left="849" w:hanging="283"/>
        <w:rPr>
          <w:rFonts w:ascii="標楷體" w:eastAsia="標楷體" w:hAnsi="標楷體"/>
          <w:color w:val="000000"/>
        </w:rPr>
      </w:pPr>
      <w:r>
        <w:rPr>
          <w:rFonts w:ascii="標楷體" w:eastAsia="標楷體" w:hAnsi="標楷體"/>
          <w:color w:val="000000"/>
        </w:rPr>
        <w:t>8.每次申請時需另檢附一個月內有效之ICGA照片、治療紀錄及病歷等資料。</w:t>
      </w:r>
    </w:p>
    <w:p w14:paraId="54C4CF7A" w14:textId="0FDED382" w:rsidR="00BD776B" w:rsidRDefault="00DF0C24">
      <w:pPr>
        <w:rPr>
          <w:rFonts w:ascii="標楷體" w:eastAsia="標楷體" w:hAnsi="標楷體"/>
          <w:color w:val="000000"/>
        </w:rPr>
      </w:pPr>
      <w:r>
        <w:rPr>
          <w:rFonts w:ascii="標楷體" w:eastAsia="標楷體" w:hAnsi="標楷體"/>
          <w:color w:val="000000"/>
        </w:rPr>
        <w:t xml:space="preserve">   14.9.6.Atropine sulfate  0.1 mg/mL眼用製劑：(112/5/1</w:t>
      </w:r>
      <w:r w:rsidR="00B55949">
        <w:rPr>
          <w:rFonts w:ascii="標楷體" w:eastAsia="標楷體" w:hAnsi="標楷體" w:hint="eastAsia"/>
          <w:color w:val="000000"/>
        </w:rPr>
        <w:t>、113/10/1</w:t>
      </w:r>
      <w:r>
        <w:rPr>
          <w:rFonts w:ascii="標楷體" w:eastAsia="標楷體" w:hAnsi="標楷體"/>
          <w:color w:val="000000"/>
        </w:rPr>
        <w:t>)</w:t>
      </w:r>
    </w:p>
    <w:p w14:paraId="0BA26817" w14:textId="2FEFFA47" w:rsidR="00541C45" w:rsidRDefault="009F23F8" w:rsidP="00541C45">
      <w:pPr>
        <w:ind w:left="849" w:hanging="283"/>
        <w:rPr>
          <w:rFonts w:ascii="標楷體" w:eastAsia="標楷體" w:hAnsi="標楷體"/>
          <w:color w:val="000000"/>
        </w:rPr>
      </w:pPr>
      <w:r w:rsidRPr="009F23F8">
        <w:rPr>
          <w:rFonts w:ascii="標楷體" w:eastAsia="標楷體" w:hAnsi="標楷體" w:hint="eastAsia"/>
          <w:color w:val="000000"/>
        </w:rPr>
        <w:t>限用於18歲以下兒童及青少年，規格量≧ 3.5 mL品項，每4週處方為1瓶</w:t>
      </w:r>
      <w:r w:rsidR="00DF0C24">
        <w:rPr>
          <w:rFonts w:ascii="標楷體" w:eastAsia="標楷體" w:hAnsi="標楷體"/>
          <w:color w:val="000000"/>
        </w:rPr>
        <w:t>。</w:t>
      </w:r>
    </w:p>
    <w:p w14:paraId="41B7C85D" w14:textId="77777777" w:rsidR="00541C45" w:rsidRPr="00541C45" w:rsidRDefault="00541C45" w:rsidP="00682B6B">
      <w:pPr>
        <w:suppressAutoHyphens w:val="0"/>
        <w:autoSpaceDN/>
        <w:ind w:leftChars="118" w:left="566" w:hangingChars="118" w:hanging="283"/>
        <w:textAlignment w:val="auto"/>
        <w:rPr>
          <w:rFonts w:ascii="標楷體" w:eastAsia="標楷體" w:hAnsi="標楷體"/>
          <w:color w:val="000000"/>
          <w:kern w:val="2"/>
        </w:rPr>
      </w:pPr>
      <w:r w:rsidRPr="00541C45">
        <w:rPr>
          <w:rFonts w:ascii="標楷體" w:eastAsia="標楷體" w:hAnsi="標楷體"/>
          <w:color w:val="000000"/>
          <w:kern w:val="2"/>
        </w:rPr>
        <w:t xml:space="preserve">14.9.7.新生血管抑制劑 (Anti-angiogenic agents) : ranibizumab (如Lucentis)、aflibercept (如Eylea)、bevacizumab (如Avastin) (114/3/1)： </w:t>
      </w:r>
    </w:p>
    <w:p w14:paraId="428E6F74"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lastRenderedPageBreak/>
        <w:t>本類藥品使用早產兒視網膜病變(Retinopathy of prematurity, ROP)須符合下列條件：</w:t>
      </w:r>
    </w:p>
    <w:p w14:paraId="6D567C8B"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t>1.限曾接受過訓練之眼科專科醫師施行。</w:t>
      </w:r>
    </w:p>
    <w:p w14:paraId="29F4E4AC"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t>2.早產兒視網膜病變，病人應在小兒科新生兒病房(含新生兒加護病房)照護。且病人早產兒視網膜病變之嚴重程度需符合以下條件之一：</w:t>
      </w:r>
    </w:p>
    <w:p w14:paraId="32F55DD9"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(1)第一區，疾病為第一期+、第二期+、第三期、第三期+(zone I stage 1+, 2+, 3, or 3+)。</w:t>
      </w:r>
    </w:p>
    <w:p w14:paraId="0A1E0CA0"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(2)第二區，疾病為第二期+、第三期+ (ZoneⅡ stage 2+, zoneⅡ stage 3+)。</w:t>
      </w:r>
    </w:p>
    <w:p w14:paraId="3DD711D8"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(3)急進型早產兒視網膜病變(aggressive posterior ROP， AP-ROP)。</w:t>
      </w:r>
    </w:p>
    <w:p w14:paraId="7ED45C63"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t xml:space="preserve">3.可選用藥物及給藥劑量： </w:t>
      </w:r>
    </w:p>
    <w:p w14:paraId="33E948C3"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(1)給藥劑量：</w:t>
      </w:r>
    </w:p>
    <w:p w14:paraId="179931FD" w14:textId="77777777" w:rsidR="00541C45" w:rsidRPr="00541C45" w:rsidRDefault="00541C45" w:rsidP="00541C45">
      <w:pPr>
        <w:suppressAutoHyphens w:val="0"/>
        <w:autoSpaceDN/>
        <w:ind w:leftChars="473" w:left="1483" w:hangingChars="145" w:hanging="348"/>
        <w:textAlignment w:val="auto"/>
        <w:rPr>
          <w:rFonts w:ascii="標楷體" w:eastAsia="標楷體" w:hAnsi="標楷體"/>
          <w:color w:val="000000"/>
          <w:kern w:val="2"/>
        </w:rPr>
      </w:pPr>
      <w:r w:rsidRPr="00541C45">
        <w:rPr>
          <w:rFonts w:ascii="標楷體" w:eastAsia="標楷體" w:hAnsi="標楷體"/>
          <w:color w:val="000000"/>
          <w:kern w:val="2"/>
        </w:rPr>
        <w:t xml:space="preserve">Ⅰ.Bevacizumab (如Avastin，但Mvasi除外): 0.625 mg in 0.025mL。 </w:t>
      </w:r>
    </w:p>
    <w:p w14:paraId="6B1F85E2" w14:textId="77777777" w:rsidR="00541C45" w:rsidRPr="00541C45" w:rsidRDefault="00541C45" w:rsidP="00541C45">
      <w:pPr>
        <w:suppressAutoHyphens w:val="0"/>
        <w:autoSpaceDN/>
        <w:ind w:leftChars="473" w:left="1483" w:hangingChars="145" w:hanging="348"/>
        <w:textAlignment w:val="auto"/>
        <w:rPr>
          <w:rFonts w:ascii="標楷體" w:eastAsia="標楷體" w:hAnsi="標楷體"/>
          <w:color w:val="000000"/>
          <w:kern w:val="2"/>
        </w:rPr>
      </w:pPr>
      <w:r w:rsidRPr="00541C45">
        <w:rPr>
          <w:rFonts w:ascii="標楷體" w:eastAsia="標楷體" w:hAnsi="標楷體"/>
          <w:color w:val="000000"/>
          <w:kern w:val="2"/>
        </w:rPr>
        <w:t>Ⅱ.Ranibizumab (如Lucentis): 0.25mg in 0.025mL。</w:t>
      </w:r>
    </w:p>
    <w:p w14:paraId="33601A2D" w14:textId="77777777" w:rsidR="00541C45" w:rsidRPr="00541C45" w:rsidRDefault="00541C45" w:rsidP="00541C45">
      <w:pPr>
        <w:suppressAutoHyphens w:val="0"/>
        <w:autoSpaceDN/>
        <w:ind w:leftChars="473" w:left="1483" w:hangingChars="145" w:hanging="348"/>
        <w:textAlignment w:val="auto"/>
        <w:rPr>
          <w:rFonts w:ascii="標楷體" w:eastAsia="標楷體" w:hAnsi="標楷體"/>
          <w:color w:val="000000"/>
          <w:kern w:val="2"/>
        </w:rPr>
      </w:pPr>
      <w:r w:rsidRPr="00541C45">
        <w:rPr>
          <w:rFonts w:ascii="標楷體" w:eastAsia="標楷體" w:hAnsi="標楷體"/>
          <w:color w:val="000000"/>
          <w:kern w:val="2"/>
        </w:rPr>
        <w:t>Ⅲ.Aflibercept (如Eylea): 1 mg in 0.025 mL。</w:t>
      </w:r>
    </w:p>
    <w:p w14:paraId="08D8F98E"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(2)每1小瓶(支)只限單一病人，若同時施打兩眼，僅限申報1小瓶(支)。</w:t>
      </w:r>
    </w:p>
    <w:p w14:paraId="06EA81D3"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t>4.每人以3小瓶(支)為限，第一小瓶(支)得由眼科專科醫師專業判斷後先行注射治療及事後報備。申請第二小瓶(支)或第三瓶(支)時，須檢附詳細病歷資料與事前審查申請表(或專用申請表)，經事前審查核准後使用。</w:t>
      </w:r>
    </w:p>
    <w:p w14:paraId="6D8328D5"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t>5.給藥方式全程採無菌操作，並於無菌空間的地方執行且在注射操作期間須執行生命徵象監測。</w:t>
      </w:r>
    </w:p>
    <w:p w14:paraId="5BC26186" w14:textId="77777777" w:rsidR="00541C45" w:rsidRPr="00541C45" w:rsidRDefault="00541C45" w:rsidP="00541C45">
      <w:pPr>
        <w:suppressAutoHyphens w:val="0"/>
        <w:autoSpaceDN/>
        <w:ind w:leftChars="236" w:left="849" w:hangingChars="118" w:hanging="283"/>
        <w:textAlignment w:val="auto"/>
        <w:rPr>
          <w:rFonts w:ascii="標楷體" w:eastAsia="標楷體" w:hAnsi="標楷體"/>
          <w:color w:val="000000"/>
          <w:kern w:val="2"/>
        </w:rPr>
      </w:pPr>
      <w:r w:rsidRPr="00541C45">
        <w:rPr>
          <w:rFonts w:ascii="標楷體" w:eastAsia="標楷體" w:hAnsi="標楷體"/>
          <w:color w:val="000000"/>
          <w:kern w:val="2"/>
        </w:rPr>
        <w:t>6.具下列情況之一者，不應使用：</w:t>
      </w:r>
    </w:p>
    <w:p w14:paraId="4B242C1E"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(1)早產兒患有活動性嚴重眼內發炎，或者是打針時受孕後週數(postmenstrual age,PMA)太大。</w:t>
      </w:r>
    </w:p>
    <w:p w14:paraId="45BD5DF4"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(2)早產兒患活動性或疑似眼部或眼周感染者。</w:t>
      </w:r>
    </w:p>
    <w:p w14:paraId="0CCA386E" w14:textId="77777777" w:rsidR="00541C45" w:rsidRPr="00541C45" w:rsidRDefault="00541C45" w:rsidP="00541C45">
      <w:pPr>
        <w:suppressAutoHyphens w:val="0"/>
        <w:autoSpaceDN/>
        <w:ind w:leftChars="296" w:left="1092" w:hangingChars="159" w:hanging="382"/>
        <w:textAlignment w:val="auto"/>
        <w:rPr>
          <w:rFonts w:ascii="標楷體" w:eastAsia="標楷體" w:hAnsi="標楷體"/>
          <w:color w:val="000000"/>
          <w:kern w:val="2"/>
        </w:rPr>
      </w:pPr>
      <w:r w:rsidRPr="00541C45">
        <w:rPr>
          <w:rFonts w:ascii="標楷體" w:eastAsia="標楷體" w:hAnsi="標楷體"/>
          <w:color w:val="000000"/>
          <w:kern w:val="2"/>
        </w:rPr>
        <w:t>(3)早產兒對任何賦形劑過敏。</w:t>
      </w:r>
    </w:p>
    <w:p w14:paraId="44E37ED2" w14:textId="77777777" w:rsidR="00541C45" w:rsidRPr="00541C45" w:rsidRDefault="00541C45" w:rsidP="00541C45">
      <w:pPr>
        <w:ind w:left="849" w:hanging="283"/>
        <w:rPr>
          <w:rFonts w:ascii="標楷體" w:eastAsia="標楷體" w:hAnsi="標楷體"/>
          <w:color w:val="000000"/>
          <w:kern w:val="2"/>
        </w:rPr>
      </w:pPr>
      <w:r w:rsidRPr="00541C45">
        <w:rPr>
          <w:rFonts w:ascii="標楷體" w:eastAsia="標楷體" w:hAnsi="標楷體"/>
          <w:color w:val="000000"/>
          <w:kern w:val="2"/>
        </w:rPr>
        <w:t>7.使用本藥品需填具病人藥物使用同意書，以示瞭解藥品之潛在益處及風險。</w:t>
      </w:r>
    </w:p>
    <w:p w14:paraId="24613EED" w14:textId="6685143B" w:rsidR="00541C45" w:rsidRDefault="00541C45" w:rsidP="00541C45">
      <w:pPr>
        <w:ind w:left="849" w:hanging="283"/>
        <w:rPr>
          <w:rFonts w:ascii="標楷體" w:eastAsia="標楷體" w:hAnsi="標楷體"/>
          <w:color w:val="000000"/>
        </w:rPr>
      </w:pPr>
      <w:r w:rsidRPr="00541C45">
        <w:rPr>
          <w:rFonts w:ascii="標楷體" w:eastAsia="標楷體" w:hAnsi="標楷體"/>
          <w:color w:val="000000"/>
          <w:kern w:val="2"/>
        </w:rPr>
        <w:t>8.早產兒視網膜病變眼內注射anti-VEGF治療，須依臺灣兒科醫學會最新版治療指引內容。</w:t>
      </w:r>
    </w:p>
    <w:p w14:paraId="62A7E1F8" w14:textId="77777777" w:rsidR="00BD776B" w:rsidRDefault="00BD776B">
      <w:pPr>
        <w:pageBreakBefore/>
        <w:widowControl/>
        <w:suppressAutoHyphens w:val="0"/>
        <w:rPr>
          <w:rFonts w:ascii="標楷體" w:eastAsia="標楷體" w:hAnsi="標楷體"/>
          <w:color w:val="000000"/>
        </w:rPr>
        <w:sectPr w:rsidR="00BD776B" w:rsidSect="007E1772">
          <w:footerReference w:type="default" r:id="rId12"/>
          <w:pgSz w:w="11906" w:h="16838"/>
          <w:pgMar w:top="1134" w:right="1134" w:bottom="1134" w:left="1134" w:header="851" w:footer="992" w:gutter="0"/>
          <w:cols w:space="720"/>
          <w:docGrid w:type="lines"/>
        </w:sectPr>
      </w:pPr>
    </w:p>
    <w:p w14:paraId="5D94C2CE" w14:textId="77777777" w:rsidR="00BD776B" w:rsidRDefault="00DF0C24">
      <w:pPr>
        <w:pStyle w:val="2"/>
      </w:pPr>
      <w:r>
        <w:lastRenderedPageBreak/>
        <w:t>第15節 婦科製劑 Gynecological preparations</w:t>
      </w:r>
    </w:p>
    <w:p w14:paraId="2F023F44" w14:textId="77777777" w:rsidR="00BD776B" w:rsidRDefault="00BD776B">
      <w:pPr>
        <w:snapToGrid w:val="0"/>
        <w:spacing w:line="400" w:lineRule="exact"/>
        <w:jc w:val="center"/>
        <w:rPr>
          <w:rFonts w:ascii="標楷體" w:eastAsia="標楷體" w:hAnsi="標楷體"/>
          <w:b/>
          <w:bCs/>
          <w:color w:val="000000"/>
          <w:sz w:val="32"/>
          <w:szCs w:val="32"/>
        </w:rPr>
      </w:pPr>
    </w:p>
    <w:p w14:paraId="0441D2CC" w14:textId="77777777" w:rsidR="00BD776B" w:rsidRDefault="00DF0C24">
      <w:pPr>
        <w:snapToGrid w:val="0"/>
        <w:ind w:left="672" w:hanging="386"/>
        <w:rPr>
          <w:rFonts w:ascii="標楷體" w:eastAsia="標楷體" w:hAnsi="標楷體"/>
          <w:color w:val="000000"/>
        </w:rPr>
      </w:pPr>
      <w:r>
        <w:rPr>
          <w:rFonts w:ascii="標楷體" w:eastAsia="標楷體" w:hAnsi="標楷體"/>
          <w:color w:val="000000"/>
        </w:rPr>
        <w:t>15.1.Prostaglandin E 栓劑 (如Prostin E VT )：</w:t>
      </w:r>
    </w:p>
    <w:p w14:paraId="6C408D56" w14:textId="77777777" w:rsidR="00BD776B" w:rsidRDefault="00DF0C24">
      <w:pPr>
        <w:snapToGrid w:val="0"/>
        <w:ind w:left="798" w:hanging="1"/>
        <w:rPr>
          <w:rFonts w:ascii="標楷體" w:eastAsia="標楷體" w:hAnsi="標楷體"/>
          <w:color w:val="000000"/>
        </w:rPr>
      </w:pPr>
      <w:r>
        <w:rPr>
          <w:rFonts w:ascii="標楷體" w:eastAsia="標楷體" w:hAnsi="標楷體"/>
          <w:color w:val="000000"/>
        </w:rPr>
        <w:t>限產科引產時使用。</w:t>
      </w:r>
    </w:p>
    <w:p w14:paraId="1974CDAC" w14:textId="11686FC6" w:rsidR="00DB6225" w:rsidRDefault="00DB6225" w:rsidP="00DB6225">
      <w:pPr>
        <w:ind w:left="283"/>
        <w:rPr>
          <w:rFonts w:ascii="標楷體" w:eastAsia="標楷體" w:hAnsi="標楷體"/>
          <w:color w:val="000000"/>
        </w:rPr>
      </w:pPr>
      <w:r>
        <w:rPr>
          <w:rFonts w:ascii="標楷體" w:eastAsia="標楷體" w:hAnsi="標楷體"/>
          <w:color w:val="000000"/>
        </w:rPr>
        <w:t>15.2.Atosiban(如Betosiban、Tractocile)</w:t>
      </w:r>
      <w:r w:rsidR="00F840E7">
        <w:rPr>
          <w:rFonts w:ascii="標楷體" w:eastAsia="標楷體" w:hAnsi="標楷體" w:hint="eastAsia"/>
          <w:color w:val="000000"/>
        </w:rPr>
        <w:t>：</w:t>
      </w:r>
      <w:r>
        <w:rPr>
          <w:rFonts w:ascii="標楷體" w:eastAsia="標楷體" w:hAnsi="標楷體"/>
          <w:color w:val="000000"/>
        </w:rPr>
        <w:t>(111/9/1</w:t>
      </w:r>
      <w:r w:rsidRPr="002D23CF">
        <w:rPr>
          <w:rFonts w:ascii="標楷體" w:eastAsia="標楷體" w:hAnsi="標楷體"/>
          <w:color w:val="000000"/>
        </w:rPr>
        <w:t>、114/2/1</w:t>
      </w:r>
      <w:r>
        <w:rPr>
          <w:rFonts w:ascii="標楷體" w:eastAsia="標楷體" w:hAnsi="標楷體"/>
          <w:color w:val="000000"/>
        </w:rPr>
        <w:t>)</w:t>
      </w:r>
    </w:p>
    <w:p w14:paraId="31030731" w14:textId="77777777" w:rsidR="00DB6225" w:rsidRDefault="00DB6225" w:rsidP="00DB6225">
      <w:pPr>
        <w:ind w:left="566"/>
        <w:rPr>
          <w:rFonts w:ascii="標楷體" w:eastAsia="標楷體" w:hAnsi="標楷體"/>
          <w:color w:val="000000"/>
        </w:rPr>
      </w:pPr>
      <w:r>
        <w:rPr>
          <w:rFonts w:ascii="標楷體" w:eastAsia="標楷體" w:hAnsi="標楷體"/>
          <w:color w:val="000000"/>
        </w:rPr>
        <w:t>1.限用於延遲妊娠婦女迫切的早產，並符合下列所有條件者：</w:t>
      </w:r>
    </w:p>
    <w:p w14:paraId="5C37B61F" w14:textId="77777777" w:rsidR="00DB6225" w:rsidRDefault="00DB6225" w:rsidP="00DB6225">
      <w:pPr>
        <w:ind w:left="850"/>
        <w:rPr>
          <w:rFonts w:ascii="標楷體" w:eastAsia="標楷體" w:hAnsi="標楷體"/>
          <w:color w:val="000000"/>
        </w:rPr>
      </w:pPr>
      <w:r>
        <w:rPr>
          <w:rFonts w:ascii="標楷體" w:eastAsia="標楷體" w:hAnsi="標楷體"/>
          <w:color w:val="000000"/>
        </w:rPr>
        <w:t>(1)18歲以上之婦女且妊娠週數在24週至33週。</w:t>
      </w:r>
    </w:p>
    <w:p w14:paraId="60529C80" w14:textId="77777777" w:rsidR="00DB6225" w:rsidRDefault="00DB6225" w:rsidP="00DB6225">
      <w:pPr>
        <w:ind w:left="850"/>
        <w:rPr>
          <w:rFonts w:ascii="標楷體" w:eastAsia="標楷體" w:hAnsi="標楷體"/>
          <w:color w:val="000000"/>
        </w:rPr>
      </w:pPr>
      <w:r>
        <w:rPr>
          <w:rFonts w:ascii="標楷體" w:eastAsia="標楷體" w:hAnsi="標楷體"/>
          <w:color w:val="000000"/>
        </w:rPr>
        <w:t>(2)規律宮縮至少持續30秒，頻率大於等於每30分鐘4次。</w:t>
      </w:r>
    </w:p>
    <w:p w14:paraId="5C4AC126" w14:textId="77777777" w:rsidR="00DB6225" w:rsidRDefault="00DB6225" w:rsidP="00F840E7">
      <w:pPr>
        <w:ind w:leftChars="352" w:left="1131" w:hangingChars="119" w:hanging="286"/>
      </w:pPr>
      <w:r>
        <w:rPr>
          <w:rFonts w:ascii="標楷體" w:eastAsia="標楷體" w:hAnsi="標楷體"/>
          <w:color w:val="000000"/>
        </w:rPr>
        <w:t xml:space="preserve">(3)子宮頸擴張1至3公分（初產婦0至3公分）和子宮頸展平(cervical effacement) </w:t>
      </w:r>
      <w:r>
        <w:rPr>
          <w:rFonts w:ascii="Times New Roman" w:eastAsia="標楷體" w:hAnsi="Times New Roman"/>
          <w:color w:val="000000"/>
        </w:rPr>
        <w:t>≥</w:t>
      </w:r>
      <w:r>
        <w:rPr>
          <w:rFonts w:ascii="標楷體" w:eastAsia="標楷體" w:hAnsi="標楷體"/>
          <w:color w:val="000000"/>
        </w:rPr>
        <w:t>50%。</w:t>
      </w:r>
    </w:p>
    <w:p w14:paraId="3AE0C92A" w14:textId="77777777" w:rsidR="00DB6225" w:rsidRDefault="00DB6225" w:rsidP="00DB6225">
      <w:pPr>
        <w:ind w:left="850"/>
        <w:rPr>
          <w:rFonts w:ascii="標楷體" w:eastAsia="標楷體" w:hAnsi="標楷體"/>
          <w:color w:val="000000"/>
        </w:rPr>
      </w:pPr>
      <w:r>
        <w:rPr>
          <w:rFonts w:ascii="標楷體" w:eastAsia="標楷體" w:hAnsi="標楷體"/>
          <w:color w:val="000000"/>
        </w:rPr>
        <w:t>(4)胎兒心律正常。</w:t>
      </w:r>
    </w:p>
    <w:p w14:paraId="5C921B7C" w14:textId="77777777" w:rsidR="00DB6225" w:rsidRDefault="00DB6225" w:rsidP="00F840E7">
      <w:pPr>
        <w:ind w:leftChars="352" w:left="1131" w:hangingChars="119" w:hanging="286"/>
        <w:rPr>
          <w:rFonts w:ascii="標楷體" w:eastAsia="標楷體" w:hAnsi="標楷體"/>
          <w:color w:val="000000"/>
        </w:rPr>
      </w:pPr>
      <w:r>
        <w:rPr>
          <w:rFonts w:ascii="標楷體" w:eastAsia="標楷體" w:hAnsi="標楷體"/>
          <w:color w:val="000000"/>
        </w:rPr>
        <w:t>(5)經使用ritodrine療效不彰</w:t>
      </w:r>
      <w:r>
        <w:rPr>
          <w:rFonts w:ascii="標楷體" w:eastAsia="標楷體" w:hAnsi="標楷體" w:hint="eastAsia"/>
          <w:color w:val="000000"/>
        </w:rPr>
        <w:t>或</w:t>
      </w:r>
      <w:r>
        <w:rPr>
          <w:rFonts w:ascii="標楷體" w:eastAsia="標楷體" w:hAnsi="標楷體"/>
          <w:color w:val="000000"/>
        </w:rPr>
        <w:t>無法耐受其副作用、或是屬易出現嚴重副作用的高危險群孕婦，無安胎禁忌症者。「易出現嚴重副作用的高危險群孕婦」，指符合下列任1項高風險條件者：</w:t>
      </w:r>
      <w:r w:rsidRPr="007C3D57">
        <w:rPr>
          <w:rFonts w:ascii="標楷體" w:eastAsia="標楷體" w:hAnsi="標楷體"/>
          <w:color w:val="000000"/>
        </w:rPr>
        <w:t>(114/2/1)</w:t>
      </w:r>
    </w:p>
    <w:p w14:paraId="6C354BF8"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Ⅰ.多胞胎妊娠。</w:t>
      </w:r>
    </w:p>
    <w:p w14:paraId="53B066D3"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Ⅱ.心血管疾病(如心臟衰竭、缺血性心臟病、心律不整、心搏過速)。</w:t>
      </w:r>
    </w:p>
    <w:p w14:paraId="31657EB3"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Ⅲ.高血壓疾患（如慢性高血壓、妊娠高血壓、子癲前症）。</w:t>
      </w:r>
    </w:p>
    <w:p w14:paraId="1DBA6EE6"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Ⅳ.</w:t>
      </w:r>
      <w:r w:rsidRPr="00D1111F">
        <w:rPr>
          <w:rFonts w:ascii="標楷體" w:eastAsia="標楷體" w:hAnsi="標楷體"/>
          <w:color w:val="000000"/>
        </w:rPr>
        <w:t>糖尿病(包括孕前糖尿病及妊娠糖尿病)。(114/2/1)</w:t>
      </w:r>
    </w:p>
    <w:p w14:paraId="143D272D"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Ⅴ.甲狀腺功能異常。</w:t>
      </w:r>
    </w:p>
    <w:p w14:paraId="0914B6FA"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Ⅵ.肺部功能異常、或氣喘。</w:t>
      </w:r>
    </w:p>
    <w:p w14:paraId="7ABC4F30"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Ⅶ.腎功能異常(eGFR&lt;60mL/min/1.73m</w:t>
      </w:r>
      <w:r w:rsidRPr="004F09CE">
        <w:rPr>
          <w:rFonts w:ascii="標楷體" w:eastAsia="標楷體" w:hAnsi="標楷體"/>
          <w:color w:val="000000"/>
          <w:vertAlign w:val="superscript"/>
        </w:rPr>
        <w:t>2</w:t>
      </w:r>
      <w:r>
        <w:rPr>
          <w:rFonts w:ascii="標楷體" w:eastAsia="標楷體" w:hAnsi="標楷體"/>
          <w:color w:val="000000"/>
        </w:rPr>
        <w:t>)。</w:t>
      </w:r>
    </w:p>
    <w:p w14:paraId="2536D163"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Ⅷ.自體免疫疾病。</w:t>
      </w:r>
    </w:p>
    <w:p w14:paraId="430B7AA3" w14:textId="77777777" w:rsidR="00DB6225" w:rsidRDefault="00DB6225" w:rsidP="00DB6225">
      <w:pPr>
        <w:ind w:left="850"/>
        <w:rPr>
          <w:rFonts w:ascii="標楷體" w:eastAsia="標楷體" w:hAnsi="標楷體"/>
          <w:color w:val="000000"/>
        </w:rPr>
      </w:pPr>
      <w:r>
        <w:rPr>
          <w:rFonts w:ascii="標楷體" w:eastAsia="標楷體" w:hAnsi="標楷體"/>
          <w:color w:val="000000"/>
        </w:rPr>
        <w:t xml:space="preserve">  Ⅸ.孕前肥胖(BMI≧30)。</w:t>
      </w:r>
    </w:p>
    <w:p w14:paraId="2A6C977B" w14:textId="77777777" w:rsidR="00DB6225" w:rsidRDefault="00DB6225" w:rsidP="00DB6225">
      <w:pPr>
        <w:ind w:left="1486" w:hanging="636"/>
        <w:rPr>
          <w:rFonts w:ascii="標楷體" w:eastAsia="標楷體" w:hAnsi="標楷體"/>
          <w:color w:val="000000"/>
        </w:rPr>
      </w:pPr>
      <w:r>
        <w:rPr>
          <w:rFonts w:ascii="標楷體" w:eastAsia="標楷體" w:hAnsi="標楷體"/>
          <w:color w:val="000000"/>
        </w:rPr>
        <w:t xml:space="preserve">  Ⅹ.電解質失調(包含低血鉀：血漿鉀離子濃度低於&lt;3.5mEq/L、低血鎂：血漿鎂離子濃度低於&lt;1.7 mEq/L)。  </w:t>
      </w:r>
    </w:p>
    <w:p w14:paraId="22FC227A" w14:textId="77777777" w:rsidR="00DB6225" w:rsidRDefault="00DB6225" w:rsidP="00F840E7">
      <w:pPr>
        <w:ind w:leftChars="236" w:left="849" w:hangingChars="118" w:hanging="283"/>
        <w:rPr>
          <w:rFonts w:ascii="標楷體" w:eastAsia="標楷體" w:hAnsi="標楷體"/>
          <w:color w:val="000000"/>
        </w:rPr>
      </w:pPr>
      <w:r>
        <w:rPr>
          <w:rFonts w:ascii="標楷體" w:eastAsia="標楷體" w:hAnsi="標楷體"/>
          <w:color w:val="000000"/>
        </w:rPr>
        <w:t>2.</w:t>
      </w:r>
      <w:r w:rsidRPr="0017021E">
        <w:rPr>
          <w:rFonts w:ascii="標楷體" w:eastAsia="標楷體" w:hAnsi="標楷體"/>
          <w:color w:val="000000"/>
        </w:rPr>
        <w:t>符合延遲妊娠婦女迫切的早產第(1)至(4)項，且妊娠週數介於24-28週之極度早產者，得使用至28週。(114/2/1)</w:t>
      </w:r>
    </w:p>
    <w:p w14:paraId="3DC35F2A" w14:textId="77777777" w:rsidR="00DB6225" w:rsidRDefault="00DB6225" w:rsidP="00DB6225">
      <w:pPr>
        <w:ind w:left="566"/>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療程劑量：</w:t>
      </w:r>
    </w:p>
    <w:p w14:paraId="0B26949E" w14:textId="77777777" w:rsidR="00DB6225" w:rsidRDefault="00DB6225" w:rsidP="00DB6225">
      <w:pPr>
        <w:ind w:left="850"/>
        <w:rPr>
          <w:rFonts w:ascii="標楷體" w:eastAsia="標楷體" w:hAnsi="標楷體"/>
          <w:color w:val="000000"/>
        </w:rPr>
      </w:pPr>
      <w:r>
        <w:rPr>
          <w:rFonts w:ascii="標楷體" w:eastAsia="標楷體" w:hAnsi="標楷體"/>
          <w:color w:val="000000"/>
        </w:rPr>
        <w:t>(1)一次療程時間以48小時為上限，總劑量上限為330mg。</w:t>
      </w:r>
    </w:p>
    <w:p w14:paraId="62203A60" w14:textId="0BD411E5" w:rsidR="00DB6225" w:rsidRDefault="00DB6225" w:rsidP="00F840E7">
      <w:pPr>
        <w:ind w:left="850"/>
      </w:pPr>
      <w:r>
        <w:rPr>
          <w:rFonts w:ascii="標楷體" w:eastAsia="標楷體" w:hAnsi="標楷體"/>
          <w:color w:val="000000"/>
        </w:rPr>
        <w:t>(2)每次懷孕以一次療程為限。</w:t>
      </w:r>
    </w:p>
    <w:p w14:paraId="2282A81E" w14:textId="77777777" w:rsidR="00BD776B" w:rsidRPr="00DB6225" w:rsidRDefault="00BD776B">
      <w:pPr>
        <w:pageBreakBefore/>
        <w:widowControl/>
        <w:suppressAutoHyphens w:val="0"/>
        <w:rPr>
          <w:rFonts w:ascii="標楷體" w:eastAsia="標楷體" w:hAnsi="標楷體"/>
          <w:color w:val="000000"/>
        </w:rPr>
        <w:sectPr w:rsidR="00BD776B" w:rsidRPr="00DB6225" w:rsidSect="007E1772">
          <w:footerReference w:type="default" r:id="rId13"/>
          <w:pgSz w:w="11906" w:h="16838"/>
          <w:pgMar w:top="1134" w:right="1134" w:bottom="1134" w:left="1134" w:header="720" w:footer="720" w:gutter="0"/>
          <w:cols w:space="720"/>
          <w:docGrid w:type="lines"/>
        </w:sectPr>
      </w:pPr>
    </w:p>
    <w:p w14:paraId="09784AF0" w14:textId="77777777" w:rsidR="00BD776B" w:rsidRPr="001F13B2" w:rsidRDefault="00DF0C24" w:rsidP="001F13B2">
      <w:pPr>
        <w:pStyle w:val="2"/>
        <w:rPr>
          <w:b w:val="0"/>
        </w:rPr>
      </w:pPr>
      <w:r w:rsidRPr="001F13B2">
        <w:rPr>
          <w:b w:val="0"/>
        </w:rPr>
        <w:lastRenderedPageBreak/>
        <w:t>附表一全民健康保險醫療常用第一線抗微生物製劑品名表</w:t>
      </w:r>
    </w:p>
    <w:p w14:paraId="66DF89F7" w14:textId="77777777" w:rsidR="00BD776B" w:rsidRDefault="00BD776B">
      <w:pPr>
        <w:snapToGrid w:val="0"/>
        <w:spacing w:line="380" w:lineRule="exact"/>
        <w:ind w:right="-106"/>
        <w:jc w:val="both"/>
        <w:rPr>
          <w:rFonts w:ascii="標楷體" w:eastAsia="標楷體" w:hAnsi="標楷體"/>
          <w:color w:val="000000"/>
        </w:rPr>
      </w:pPr>
    </w:p>
    <w:tbl>
      <w:tblPr>
        <w:tblW w:w="9463" w:type="dxa"/>
        <w:tblLayout w:type="fixed"/>
        <w:tblCellMar>
          <w:left w:w="10" w:type="dxa"/>
          <w:right w:w="10" w:type="dxa"/>
        </w:tblCellMar>
        <w:tblLook w:val="0000" w:firstRow="0" w:lastRow="0" w:firstColumn="0" w:lastColumn="0" w:noHBand="0" w:noVBand="0"/>
      </w:tblPr>
      <w:tblGrid>
        <w:gridCol w:w="4731"/>
        <w:gridCol w:w="4732"/>
      </w:tblGrid>
      <w:tr w:rsidR="00BD776B" w14:paraId="6FD2839E" w14:textId="77777777">
        <w:tc>
          <w:tcPr>
            <w:tcW w:w="4731"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28BCAC16" w14:textId="77777777" w:rsidR="00BD776B" w:rsidRDefault="00DF0C24">
            <w:pPr>
              <w:snapToGrid w:val="0"/>
              <w:spacing w:line="380" w:lineRule="exact"/>
              <w:jc w:val="center"/>
            </w:pPr>
            <w:r>
              <w:rPr>
                <w:rFonts w:ascii="標楷體" w:eastAsia="標楷體" w:hAnsi="標楷體"/>
                <w:color w:val="000000"/>
              </w:rPr>
              <w:t>口服</w:t>
            </w:r>
          </w:p>
        </w:tc>
        <w:tc>
          <w:tcPr>
            <w:tcW w:w="473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69229C49" w14:textId="77777777" w:rsidR="00BD776B" w:rsidRDefault="00DF0C24">
            <w:pPr>
              <w:snapToGrid w:val="0"/>
              <w:spacing w:line="380" w:lineRule="exact"/>
              <w:jc w:val="center"/>
            </w:pPr>
            <w:r>
              <w:rPr>
                <w:rFonts w:ascii="標楷體" w:eastAsia="標楷體" w:hAnsi="標楷體"/>
                <w:color w:val="000000"/>
              </w:rPr>
              <w:t>注射</w:t>
            </w:r>
          </w:p>
        </w:tc>
      </w:tr>
      <w:tr w:rsidR="00BD776B" w14:paraId="175BBF3C"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7A10423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Amoxicillin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5CC89DD4"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AmphotericinB</w:t>
            </w:r>
          </w:p>
        </w:tc>
      </w:tr>
      <w:tr w:rsidR="00BD776B" w14:paraId="089D5A25"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35C425E2"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Ampicillin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40EE14B6"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Ampicillin</w:t>
            </w:r>
          </w:p>
        </w:tc>
      </w:tr>
      <w:tr w:rsidR="00BD776B" w14:paraId="26398CD3"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1797F09F"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Bacampicillin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3AF6B990"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Benzathinepenicillin</w:t>
            </w:r>
          </w:p>
        </w:tc>
      </w:tr>
      <w:tr w:rsidR="00BD776B" w14:paraId="131386F1"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08DC4762"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Cefadroxil</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05AB2E15"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Cefazolin</w:t>
            </w:r>
          </w:p>
        </w:tc>
      </w:tr>
      <w:tr w:rsidR="00BD776B" w14:paraId="4D1EF907"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6F2C7E9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Cephalexin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1900C1FE" w14:textId="77777777" w:rsidR="00BD776B" w:rsidRDefault="00DF0C24">
            <w:pPr>
              <w:snapToGrid w:val="0"/>
              <w:spacing w:line="380" w:lineRule="exact"/>
            </w:pPr>
            <w:r>
              <w:rPr>
                <w:rFonts w:ascii="標楷體" w:eastAsia="標楷體" w:hAnsi="標楷體"/>
                <w:color w:val="000000"/>
              </w:rPr>
              <w:t>Cephalexin（87/7/1）</w:t>
            </w:r>
          </w:p>
        </w:tc>
      </w:tr>
      <w:tr w:rsidR="00BD776B" w14:paraId="6233210B"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38444D85"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Cephradine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2F5EC83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Cephaloridine</w:t>
            </w:r>
          </w:p>
        </w:tc>
      </w:tr>
      <w:tr w:rsidR="00BD776B" w14:paraId="54762D0A"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5E879F00"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Clindamycin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13EBB472"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Cephalothin</w:t>
            </w:r>
          </w:p>
        </w:tc>
      </w:tr>
      <w:tr w:rsidR="00BD776B" w14:paraId="0612DC76"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54AAB83E"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Cloxacillin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346AF3AC"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Cephapirin</w:t>
            </w:r>
          </w:p>
        </w:tc>
      </w:tr>
      <w:tr w:rsidR="00BD776B" w14:paraId="68742AD1"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1CA05F94"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Colistin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4F7F79E5"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Cephradine</w:t>
            </w:r>
          </w:p>
        </w:tc>
      </w:tr>
      <w:tr w:rsidR="00BD776B" w14:paraId="3AFD38F5"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4B9B91F4"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Dicloxacillin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2A3B2B6A"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Clindamycin</w:t>
            </w:r>
          </w:p>
        </w:tc>
      </w:tr>
      <w:tr w:rsidR="00BD776B" w14:paraId="7904BF44"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1F7ED25E"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Doxycyclin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5F591EF0"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Cloxacillin</w:t>
            </w:r>
          </w:p>
        </w:tc>
      </w:tr>
      <w:tr w:rsidR="00BD776B" w14:paraId="7BD1BD0A"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462A8AFD" w14:textId="77777777" w:rsidR="00BD776B" w:rsidRDefault="00DF0C24">
            <w:pPr>
              <w:snapToGrid w:val="0"/>
              <w:spacing w:line="380" w:lineRule="exact"/>
            </w:pPr>
            <w:r>
              <w:rPr>
                <w:rFonts w:ascii="標楷體" w:eastAsia="標楷體" w:hAnsi="標楷體"/>
                <w:color w:val="000000"/>
              </w:rPr>
              <w:t>Ethambutol（EMB）</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6922EC57"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Doxycycline</w:t>
            </w:r>
          </w:p>
        </w:tc>
      </w:tr>
      <w:tr w:rsidR="00BD776B" w14:paraId="5F8F08CA"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384E1701"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Flucloxacillin（102/10/1）</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26D54A45"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Gentamicin</w:t>
            </w:r>
          </w:p>
        </w:tc>
      </w:tr>
      <w:tr w:rsidR="00BD776B" w14:paraId="32B78EC2"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0D51116A"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Griseofulvin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7A15D5CA"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Hetacillin</w:t>
            </w:r>
          </w:p>
        </w:tc>
      </w:tr>
      <w:tr w:rsidR="00BD776B" w14:paraId="790575F0"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46EC835D"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Hetacillin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7A786D49"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Kanamycin</w:t>
            </w:r>
          </w:p>
        </w:tc>
      </w:tr>
      <w:tr w:rsidR="00BD776B" w14:paraId="3DF30872"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618A7218"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Isoniazid(INH)</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1747F0F1" w14:textId="77777777" w:rsidR="00BD776B" w:rsidRDefault="00DF0C24">
            <w:pPr>
              <w:snapToGrid w:val="0"/>
              <w:spacing w:line="380" w:lineRule="exact"/>
            </w:pPr>
            <w:r>
              <w:rPr>
                <w:rFonts w:ascii="標楷體" w:eastAsia="標楷體" w:hAnsi="標楷體"/>
                <w:color w:val="000000"/>
              </w:rPr>
              <w:t>Lincomycin（限用10mL包裝）</w:t>
            </w:r>
          </w:p>
        </w:tc>
      </w:tr>
      <w:tr w:rsidR="00BD776B" w14:paraId="5801BCCF"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2F97CE6A" w14:textId="77777777" w:rsidR="00BD776B" w:rsidRDefault="00DF0C24">
            <w:pPr>
              <w:snapToGrid w:val="0"/>
              <w:spacing w:line="380" w:lineRule="exact"/>
            </w:pPr>
            <w:r>
              <w:rPr>
                <w:rFonts w:ascii="標楷體" w:eastAsia="標楷體" w:hAnsi="標楷體"/>
                <w:strike/>
                <w:color w:val="000000"/>
              </w:rPr>
              <w:t>Ketoconazole</w:t>
            </w:r>
            <w:r>
              <w:rPr>
                <w:rFonts w:ascii="標楷體" w:eastAsia="標楷體" w:hAnsi="標楷體"/>
                <w:color w:val="000000"/>
              </w:rPr>
              <w:t>(104/1/1刪除)</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6DD6798B"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Metronidazole</w:t>
            </w:r>
          </w:p>
        </w:tc>
      </w:tr>
      <w:tr w:rsidR="00BD776B" w14:paraId="4D538B1C"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55B54004"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Methacycline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2565CC18"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Oxacillin</w:t>
            </w:r>
          </w:p>
        </w:tc>
      </w:tr>
      <w:tr w:rsidR="00BD776B" w14:paraId="3C555311"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190C9B9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Metronidazole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13B9072F"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Oxytetracycline</w:t>
            </w:r>
          </w:p>
        </w:tc>
      </w:tr>
      <w:tr w:rsidR="00BD776B" w14:paraId="03609D1C"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30608779"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Minocycline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0239EDB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Penicillin</w:t>
            </w:r>
          </w:p>
        </w:tc>
      </w:tr>
      <w:tr w:rsidR="00BD776B" w14:paraId="00E836F5"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2C77EDAD"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Mycostatin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0FE5E0A8" w14:textId="77777777" w:rsidR="00BD776B" w:rsidRDefault="00DF0C24">
            <w:pPr>
              <w:snapToGrid w:val="0"/>
              <w:spacing w:line="380" w:lineRule="exact"/>
            </w:pPr>
            <w:r>
              <w:rPr>
                <w:rFonts w:ascii="標楷體" w:eastAsia="標楷體" w:hAnsi="標楷體"/>
                <w:color w:val="000000"/>
              </w:rPr>
              <w:t>Rifamycinsvinj(限用於結核菌感染症)</w:t>
            </w:r>
          </w:p>
        </w:tc>
      </w:tr>
      <w:tr w:rsidR="00BD776B" w14:paraId="2BC027CA"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67910D6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Nalidixicacid</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42BB6FE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Rolitetracycline</w:t>
            </w:r>
          </w:p>
        </w:tc>
      </w:tr>
      <w:tr w:rsidR="00BD776B" w14:paraId="7FE1585E"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05C33F70"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Neomycin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2E655101"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Streptomycin</w:t>
            </w:r>
          </w:p>
        </w:tc>
      </w:tr>
      <w:tr w:rsidR="00BD776B" w14:paraId="4FE1E540"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03081985"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Nitrofurantoin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68C7B118" w14:textId="77777777" w:rsidR="00BD776B" w:rsidRDefault="00DF0C24">
            <w:pPr>
              <w:snapToGrid w:val="0"/>
              <w:spacing w:line="380" w:lineRule="exact"/>
            </w:pPr>
            <w:r>
              <w:rPr>
                <w:rFonts w:ascii="標楷體" w:eastAsia="標楷體" w:hAnsi="標楷體"/>
                <w:color w:val="000000"/>
              </w:rPr>
              <w:t>Flucloxacillin（94/3/1）</w:t>
            </w:r>
          </w:p>
        </w:tc>
      </w:tr>
      <w:tr w:rsidR="00BD776B" w14:paraId="137D43D2"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28249893"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Nitroxoline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1EFE0E74" w14:textId="77777777" w:rsidR="00BD776B" w:rsidRDefault="00BD776B">
            <w:pPr>
              <w:snapToGrid w:val="0"/>
              <w:spacing w:line="380" w:lineRule="exact"/>
              <w:rPr>
                <w:rFonts w:ascii="標楷體" w:eastAsia="標楷體" w:hAnsi="標楷體"/>
                <w:color w:val="000000"/>
              </w:rPr>
            </w:pPr>
          </w:p>
        </w:tc>
      </w:tr>
      <w:tr w:rsidR="00BD776B" w14:paraId="0635B72F"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479F944C"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Oxytetracycline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50090C9D" w14:textId="77777777" w:rsidR="00BD776B" w:rsidRDefault="00BD776B">
            <w:pPr>
              <w:snapToGrid w:val="0"/>
              <w:spacing w:line="380" w:lineRule="exact"/>
              <w:rPr>
                <w:rFonts w:ascii="標楷體" w:eastAsia="標楷體" w:hAnsi="標楷體"/>
                <w:color w:val="000000"/>
              </w:rPr>
            </w:pPr>
          </w:p>
        </w:tc>
      </w:tr>
      <w:tr w:rsidR="00BD776B" w14:paraId="22C11C91"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55C138E0"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Penicillin</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70AFC90E" w14:textId="77777777" w:rsidR="00BD776B" w:rsidRDefault="00BD776B">
            <w:pPr>
              <w:snapToGrid w:val="0"/>
              <w:spacing w:line="380" w:lineRule="exact"/>
              <w:rPr>
                <w:rFonts w:ascii="標楷體" w:eastAsia="標楷體" w:hAnsi="標楷體"/>
                <w:color w:val="000000"/>
              </w:rPr>
            </w:pPr>
          </w:p>
        </w:tc>
      </w:tr>
      <w:tr w:rsidR="00BD776B" w14:paraId="06BF6E63"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6571B187" w14:textId="77777777" w:rsidR="00BD776B" w:rsidRDefault="00DF0C24">
            <w:pPr>
              <w:snapToGrid w:val="0"/>
              <w:spacing w:line="380" w:lineRule="exact"/>
            </w:pPr>
            <w:r>
              <w:rPr>
                <w:rFonts w:ascii="標楷體" w:eastAsia="標楷體" w:hAnsi="標楷體"/>
                <w:color w:val="000000"/>
              </w:rPr>
              <w:t>Pyrazinamide（PZA）</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55B4737D" w14:textId="77777777" w:rsidR="00BD776B" w:rsidRDefault="00BD776B">
            <w:pPr>
              <w:snapToGrid w:val="0"/>
              <w:spacing w:line="380" w:lineRule="exact"/>
              <w:rPr>
                <w:rFonts w:ascii="標楷體" w:eastAsia="標楷體" w:hAnsi="標楷體"/>
                <w:color w:val="000000"/>
              </w:rPr>
            </w:pPr>
          </w:p>
        </w:tc>
      </w:tr>
      <w:tr w:rsidR="00BD776B" w14:paraId="1EDFD9FF"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78FA759F" w14:textId="77777777" w:rsidR="00BD776B" w:rsidRDefault="00DF0C24">
            <w:pPr>
              <w:snapToGrid w:val="0"/>
              <w:spacing w:line="380" w:lineRule="exact"/>
            </w:pPr>
            <w:r>
              <w:rPr>
                <w:rFonts w:ascii="標楷體" w:eastAsia="標楷體" w:hAnsi="標楷體"/>
                <w:color w:val="000000"/>
              </w:rPr>
              <w:t>Rifampicin(限用於結核菌感染症)</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3B7F54AA" w14:textId="77777777" w:rsidR="00BD776B" w:rsidRDefault="00BD776B">
            <w:pPr>
              <w:snapToGrid w:val="0"/>
              <w:spacing w:line="380" w:lineRule="exact"/>
              <w:rPr>
                <w:rFonts w:ascii="標楷體" w:eastAsia="標楷體" w:hAnsi="標楷體"/>
                <w:color w:val="000000"/>
              </w:rPr>
            </w:pPr>
          </w:p>
        </w:tc>
      </w:tr>
      <w:tr w:rsidR="00BD776B" w14:paraId="19A10014"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0CBAD61E"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Tetracycline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76B50580" w14:textId="77777777" w:rsidR="00BD776B" w:rsidRDefault="00BD776B">
            <w:pPr>
              <w:snapToGrid w:val="0"/>
              <w:spacing w:line="380" w:lineRule="exact"/>
              <w:rPr>
                <w:rFonts w:ascii="標楷體" w:eastAsia="標楷體" w:hAnsi="標楷體"/>
                <w:color w:val="000000"/>
              </w:rPr>
            </w:pPr>
          </w:p>
        </w:tc>
      </w:tr>
      <w:tr w:rsidR="00BD776B" w14:paraId="5FF06B21" w14:textId="77777777">
        <w:tc>
          <w:tcPr>
            <w:tcW w:w="4731" w:type="dxa"/>
            <w:tcBorders>
              <w:left w:val="single" w:sz="6" w:space="0" w:color="000000"/>
              <w:right w:val="single" w:sz="6" w:space="0" w:color="000000"/>
            </w:tcBorders>
            <w:shd w:val="clear" w:color="auto" w:fill="auto"/>
            <w:tcMar>
              <w:top w:w="0" w:type="dxa"/>
              <w:left w:w="28" w:type="dxa"/>
              <w:bottom w:w="0" w:type="dxa"/>
              <w:right w:w="28" w:type="dxa"/>
            </w:tcMar>
          </w:tcPr>
          <w:p w14:paraId="508CCD6A"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Trimethoprime/sulfamethoxazole</w:t>
            </w:r>
          </w:p>
        </w:tc>
        <w:tc>
          <w:tcPr>
            <w:tcW w:w="4732" w:type="dxa"/>
            <w:tcBorders>
              <w:left w:val="single" w:sz="6" w:space="0" w:color="000000"/>
              <w:right w:val="single" w:sz="6" w:space="0" w:color="000000"/>
            </w:tcBorders>
            <w:shd w:val="clear" w:color="auto" w:fill="auto"/>
            <w:tcMar>
              <w:top w:w="0" w:type="dxa"/>
              <w:left w:w="28" w:type="dxa"/>
              <w:bottom w:w="0" w:type="dxa"/>
              <w:right w:w="28" w:type="dxa"/>
            </w:tcMar>
          </w:tcPr>
          <w:p w14:paraId="44B146A8" w14:textId="77777777" w:rsidR="00BD776B" w:rsidRDefault="00BD776B">
            <w:pPr>
              <w:snapToGrid w:val="0"/>
              <w:spacing w:line="380" w:lineRule="exact"/>
              <w:rPr>
                <w:rFonts w:ascii="標楷體" w:eastAsia="標楷體" w:hAnsi="標楷體"/>
                <w:color w:val="000000"/>
              </w:rPr>
            </w:pPr>
          </w:p>
        </w:tc>
      </w:tr>
      <w:tr w:rsidR="00BD776B" w14:paraId="2C3A0199" w14:textId="77777777">
        <w:tc>
          <w:tcPr>
            <w:tcW w:w="4731"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4AB17F" w14:textId="77777777" w:rsidR="00BD776B" w:rsidRDefault="00DF0C24">
            <w:pPr>
              <w:snapToGrid w:val="0"/>
              <w:spacing w:line="380" w:lineRule="exact"/>
            </w:pPr>
            <w:r>
              <w:rPr>
                <w:rFonts w:ascii="標楷體" w:eastAsia="標楷體" w:hAnsi="標楷體"/>
                <w:color w:val="000000"/>
              </w:rPr>
              <w:t>Cefatrizine（97/9/1）</w:t>
            </w:r>
          </w:p>
        </w:tc>
        <w:tc>
          <w:tcPr>
            <w:tcW w:w="4732"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882D2E" w14:textId="77777777" w:rsidR="00BD776B" w:rsidRDefault="00BD776B">
            <w:pPr>
              <w:snapToGrid w:val="0"/>
              <w:spacing w:line="380" w:lineRule="exact"/>
              <w:rPr>
                <w:rFonts w:ascii="標楷體" w:eastAsia="標楷體" w:hAnsi="標楷體"/>
                <w:color w:val="000000"/>
              </w:rPr>
            </w:pPr>
          </w:p>
        </w:tc>
      </w:tr>
    </w:tbl>
    <w:p w14:paraId="485C13C9" w14:textId="77777777" w:rsidR="00BD776B" w:rsidRDefault="00BD776B">
      <w:pPr>
        <w:snapToGrid w:val="0"/>
        <w:rPr>
          <w:rFonts w:ascii="標楷體" w:eastAsia="標楷體" w:hAnsi="標楷體"/>
        </w:rPr>
      </w:pPr>
    </w:p>
    <w:p w14:paraId="0F6FF19F" w14:textId="77777777" w:rsidR="00BD776B" w:rsidRDefault="00BD776B">
      <w:pPr>
        <w:pageBreakBefore/>
        <w:widowControl/>
        <w:suppressAutoHyphens w:val="0"/>
        <w:rPr>
          <w:rFonts w:eastAsia="標楷體"/>
          <w:color w:val="000000"/>
        </w:rPr>
      </w:pPr>
    </w:p>
    <w:p w14:paraId="54950DF1" w14:textId="77777777" w:rsidR="00BD776B" w:rsidRDefault="00DF0C24">
      <w:pPr>
        <w:tabs>
          <w:tab w:val="left" w:pos="720"/>
          <w:tab w:val="left" w:pos="960"/>
        </w:tabs>
        <w:snapToGrid w:val="0"/>
        <w:spacing w:line="380" w:lineRule="exact"/>
        <w:ind w:left="840" w:hanging="840"/>
        <w:jc w:val="both"/>
      </w:pPr>
      <w:r>
        <w:rPr>
          <w:rFonts w:eastAsia="標楷體"/>
          <w:color w:val="000000"/>
        </w:rPr>
        <w:t>附表二</w:t>
      </w:r>
      <w:r>
        <w:rPr>
          <w:rFonts w:eastAsia="標楷體"/>
          <w:color w:val="000000"/>
        </w:rPr>
        <w:t>-A</w:t>
      </w:r>
      <w:r>
        <w:rPr>
          <w:rFonts w:eastAsia="標楷體"/>
          <w:color w:val="000000"/>
        </w:rPr>
        <w:t xml:space="preserve">　全民健康保險使用</w:t>
      </w:r>
      <w:r>
        <w:rPr>
          <w:rFonts w:eastAsia="標楷體"/>
          <w:color w:val="000000"/>
        </w:rPr>
        <w:t>rt-PA(Actilyse)</w:t>
      </w:r>
      <w:r>
        <w:rPr>
          <w:rFonts w:eastAsia="標楷體"/>
          <w:color w:val="000000"/>
        </w:rPr>
        <w:t>或</w:t>
      </w:r>
      <w:r>
        <w:rPr>
          <w:rFonts w:eastAsia="標楷體"/>
          <w:color w:val="000000"/>
        </w:rPr>
        <w:t>Tenecteplase (Metalyse)</w:t>
      </w:r>
      <w:r>
        <w:rPr>
          <w:rFonts w:eastAsia="標楷體"/>
          <w:color w:val="000000"/>
        </w:rPr>
        <w:t>申報表（血管（不含腦血管）血栓病患用）</w:t>
      </w:r>
    </w:p>
    <w:p w14:paraId="7544C4B1" w14:textId="77777777" w:rsidR="00BD776B" w:rsidRDefault="00BD776B">
      <w:pPr>
        <w:snapToGrid w:val="0"/>
        <w:spacing w:line="380" w:lineRule="exact"/>
        <w:rPr>
          <w:rFonts w:ascii="標楷體" w:eastAsia="標楷體" w:hAnsi="標楷體"/>
          <w:color w:val="000000"/>
        </w:rPr>
      </w:pPr>
    </w:p>
    <w:tbl>
      <w:tblPr>
        <w:tblW w:w="9028" w:type="dxa"/>
        <w:tblLayout w:type="fixed"/>
        <w:tblCellMar>
          <w:left w:w="10" w:type="dxa"/>
          <w:right w:w="10" w:type="dxa"/>
        </w:tblCellMar>
        <w:tblLook w:val="0000" w:firstRow="0" w:lastRow="0" w:firstColumn="0" w:lastColumn="0" w:noHBand="0" w:noVBand="0"/>
      </w:tblPr>
      <w:tblGrid>
        <w:gridCol w:w="1393"/>
        <w:gridCol w:w="1695"/>
        <w:gridCol w:w="720"/>
        <w:gridCol w:w="540"/>
        <w:gridCol w:w="720"/>
        <w:gridCol w:w="900"/>
        <w:gridCol w:w="1393"/>
        <w:gridCol w:w="1667"/>
      </w:tblGrid>
      <w:tr w:rsidR="00BD776B" w14:paraId="1EFFD2AE" w14:textId="77777777">
        <w:trPr>
          <w:cantSplit/>
        </w:trPr>
        <w:tc>
          <w:tcPr>
            <w:tcW w:w="1393"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A3ABAF3" w14:textId="77777777" w:rsidR="00BD776B" w:rsidRDefault="00DF0C24">
            <w:pPr>
              <w:snapToGrid w:val="0"/>
              <w:spacing w:line="380" w:lineRule="exact"/>
            </w:pPr>
            <w:r>
              <w:rPr>
                <w:rFonts w:ascii="標楷體" w:eastAsia="標楷體" w:hAnsi="標楷體" w:cs="標楷體"/>
                <w:color w:val="000000"/>
              </w:rPr>
              <w:t>醫院代號</w:t>
            </w:r>
          </w:p>
        </w:tc>
        <w:tc>
          <w:tcPr>
            <w:tcW w:w="1695" w:type="dxa"/>
            <w:tcBorders>
              <w:top w:val="double" w:sz="6" w:space="0" w:color="000000"/>
              <w:left w:val="single" w:sz="6" w:space="0" w:color="000000"/>
              <w:bottom w:val="single" w:sz="6" w:space="0" w:color="000000"/>
            </w:tcBorders>
            <w:shd w:val="clear" w:color="auto" w:fill="auto"/>
            <w:tcMar>
              <w:top w:w="0" w:type="dxa"/>
              <w:left w:w="28" w:type="dxa"/>
              <w:bottom w:w="0" w:type="dxa"/>
              <w:right w:w="28" w:type="dxa"/>
            </w:tcMar>
          </w:tcPr>
          <w:p w14:paraId="6A22F7D5" w14:textId="77777777" w:rsidR="00BD776B" w:rsidRDefault="00BD776B">
            <w:pPr>
              <w:snapToGrid w:val="0"/>
              <w:spacing w:line="380" w:lineRule="exact"/>
              <w:rPr>
                <w:rFonts w:ascii="標楷體" w:eastAsia="標楷體" w:hAnsi="標楷體"/>
                <w:color w:val="000000"/>
              </w:rPr>
            </w:pPr>
          </w:p>
        </w:tc>
        <w:tc>
          <w:tcPr>
            <w:tcW w:w="1260" w:type="dxa"/>
            <w:gridSpan w:val="2"/>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A8A945F" w14:textId="77777777" w:rsidR="00BD776B" w:rsidRDefault="00DF0C24">
            <w:pPr>
              <w:snapToGrid w:val="0"/>
              <w:spacing w:line="380" w:lineRule="exact"/>
            </w:pPr>
            <w:r>
              <w:rPr>
                <w:rFonts w:ascii="標楷體" w:eastAsia="標楷體" w:hAnsi="標楷體" w:cs="標楷體"/>
                <w:color w:val="000000"/>
              </w:rPr>
              <w:t>醫院名稱</w:t>
            </w:r>
          </w:p>
        </w:tc>
        <w:tc>
          <w:tcPr>
            <w:tcW w:w="1620" w:type="dxa"/>
            <w:gridSpan w:val="2"/>
            <w:tcBorders>
              <w:top w:val="double" w:sz="6" w:space="0" w:color="000000"/>
              <w:left w:val="single" w:sz="6" w:space="0" w:color="000000"/>
              <w:bottom w:val="single" w:sz="6" w:space="0" w:color="000000"/>
            </w:tcBorders>
            <w:shd w:val="clear" w:color="auto" w:fill="auto"/>
            <w:tcMar>
              <w:top w:w="0" w:type="dxa"/>
              <w:left w:w="28" w:type="dxa"/>
              <w:bottom w:w="0" w:type="dxa"/>
              <w:right w:w="28" w:type="dxa"/>
            </w:tcMar>
          </w:tcPr>
          <w:p w14:paraId="116AF33B" w14:textId="77777777" w:rsidR="00BD776B" w:rsidRDefault="00BD776B">
            <w:pPr>
              <w:snapToGrid w:val="0"/>
              <w:spacing w:line="380" w:lineRule="exact"/>
              <w:rPr>
                <w:rFonts w:ascii="標楷體" w:eastAsia="標楷體" w:hAnsi="標楷體"/>
                <w:color w:val="000000"/>
              </w:rPr>
            </w:pPr>
          </w:p>
        </w:tc>
        <w:tc>
          <w:tcPr>
            <w:tcW w:w="1393"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F01D56E" w14:textId="77777777" w:rsidR="00BD776B" w:rsidRDefault="00DF0C24">
            <w:pPr>
              <w:snapToGrid w:val="0"/>
              <w:spacing w:line="380" w:lineRule="exact"/>
            </w:pPr>
            <w:r>
              <w:rPr>
                <w:rFonts w:ascii="標楷體" w:eastAsia="標楷體" w:hAnsi="標楷體" w:cs="標楷體"/>
                <w:color w:val="000000"/>
              </w:rPr>
              <w:t>申請日期</w:t>
            </w:r>
          </w:p>
        </w:tc>
        <w:tc>
          <w:tcPr>
            <w:tcW w:w="1667"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465C33E" w14:textId="77777777" w:rsidR="00BD776B" w:rsidRDefault="00BD776B">
            <w:pPr>
              <w:snapToGrid w:val="0"/>
              <w:spacing w:line="380" w:lineRule="exact"/>
              <w:rPr>
                <w:rFonts w:ascii="標楷體" w:eastAsia="標楷體" w:hAnsi="標楷體"/>
                <w:color w:val="000000"/>
              </w:rPr>
            </w:pPr>
          </w:p>
        </w:tc>
      </w:tr>
      <w:tr w:rsidR="00BD776B" w14:paraId="237066B9"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74216AE" w14:textId="77777777" w:rsidR="00BD776B" w:rsidRDefault="00DF0C24">
            <w:pPr>
              <w:snapToGrid w:val="0"/>
              <w:spacing w:line="380" w:lineRule="exact"/>
            </w:pPr>
            <w:r>
              <w:rPr>
                <w:rFonts w:ascii="標楷體" w:eastAsia="標楷體" w:hAnsi="標楷體" w:cs="標楷體"/>
                <w:color w:val="000000"/>
              </w:rPr>
              <w:t>病人姓名</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1D6CF744" w14:textId="77777777" w:rsidR="00BD776B" w:rsidRDefault="00BD776B">
            <w:pPr>
              <w:snapToGrid w:val="0"/>
              <w:spacing w:line="380" w:lineRule="exact"/>
              <w:rPr>
                <w:rFonts w:ascii="標楷體" w:eastAsia="標楷體" w:hAnsi="標楷體"/>
                <w:color w:val="000000"/>
              </w:rPr>
            </w:pPr>
          </w:p>
        </w:tc>
        <w:tc>
          <w:tcPr>
            <w:tcW w:w="720"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856AE50" w14:textId="77777777" w:rsidR="00BD776B" w:rsidRDefault="00DF0C24">
            <w:pPr>
              <w:snapToGrid w:val="0"/>
              <w:spacing w:line="380" w:lineRule="exact"/>
            </w:pPr>
            <w:r>
              <w:rPr>
                <w:rFonts w:ascii="標楷體" w:eastAsia="標楷體" w:hAnsi="標楷體" w:cs="標楷體"/>
                <w:color w:val="000000"/>
              </w:rPr>
              <w:t>性別</w:t>
            </w:r>
          </w:p>
        </w:tc>
        <w:tc>
          <w:tcPr>
            <w:tcW w:w="5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306A1F43" w14:textId="77777777" w:rsidR="00BD776B" w:rsidRDefault="00BD776B">
            <w:pPr>
              <w:snapToGrid w:val="0"/>
              <w:spacing w:line="380" w:lineRule="exact"/>
              <w:rPr>
                <w:rFonts w:ascii="標楷體" w:eastAsia="標楷體" w:hAnsi="標楷體"/>
                <w:color w:val="000000"/>
              </w:rPr>
            </w:pPr>
          </w:p>
        </w:tc>
        <w:tc>
          <w:tcPr>
            <w:tcW w:w="720"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23E0BE7" w14:textId="77777777" w:rsidR="00BD776B" w:rsidRDefault="00DF0C24">
            <w:pPr>
              <w:snapToGrid w:val="0"/>
              <w:spacing w:line="380" w:lineRule="exact"/>
            </w:pPr>
            <w:r>
              <w:rPr>
                <w:rFonts w:ascii="標楷體" w:eastAsia="標楷體" w:hAnsi="標楷體" w:cs="標楷體"/>
                <w:color w:val="000000"/>
              </w:rPr>
              <w:t>年齡</w:t>
            </w:r>
          </w:p>
        </w:tc>
        <w:tc>
          <w:tcPr>
            <w:tcW w:w="9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515B9075" w14:textId="77777777" w:rsidR="00BD776B" w:rsidRDefault="00BD776B">
            <w:pPr>
              <w:snapToGrid w:val="0"/>
              <w:spacing w:line="380" w:lineRule="exact"/>
              <w:rPr>
                <w:rFonts w:ascii="標楷體" w:eastAsia="標楷體" w:hAnsi="標楷體"/>
                <w:color w:val="000000"/>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0C1B5F1" w14:textId="77777777" w:rsidR="00BD776B" w:rsidRDefault="00DF0C24">
            <w:pPr>
              <w:snapToGrid w:val="0"/>
              <w:spacing w:line="380" w:lineRule="exact"/>
            </w:pPr>
            <w:r>
              <w:rPr>
                <w:rFonts w:ascii="標楷體" w:eastAsia="標楷體" w:hAnsi="標楷體" w:cs="標楷體"/>
                <w:color w:val="000000"/>
              </w:rPr>
              <w:t>出生日期</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26DA56E" w14:textId="77777777" w:rsidR="00BD776B" w:rsidRDefault="00BD776B">
            <w:pPr>
              <w:snapToGrid w:val="0"/>
              <w:spacing w:line="380" w:lineRule="exact"/>
              <w:rPr>
                <w:rFonts w:ascii="標楷體" w:eastAsia="標楷體" w:hAnsi="標楷體"/>
                <w:color w:val="000000"/>
              </w:rPr>
            </w:pPr>
          </w:p>
        </w:tc>
      </w:tr>
      <w:tr w:rsidR="00BD776B" w14:paraId="0B950078"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A21810E" w14:textId="77777777" w:rsidR="00BD776B" w:rsidRDefault="00DF0C24">
            <w:pPr>
              <w:snapToGrid w:val="0"/>
              <w:spacing w:line="380" w:lineRule="exact"/>
            </w:pPr>
            <w:r>
              <w:rPr>
                <w:rFonts w:ascii="標楷體" w:eastAsia="標楷體" w:hAnsi="標楷體" w:cs="標楷體"/>
                <w:color w:val="000000"/>
              </w:rPr>
              <w:t>身份證號</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6260B240" w14:textId="77777777" w:rsidR="00BD776B" w:rsidRDefault="00BD776B">
            <w:pPr>
              <w:snapToGrid w:val="0"/>
              <w:spacing w:line="380" w:lineRule="exact"/>
              <w:rPr>
                <w:rFonts w:ascii="標楷體" w:eastAsia="標楷體" w:hAnsi="標楷體"/>
                <w:color w:val="000000"/>
              </w:rPr>
            </w:pPr>
          </w:p>
        </w:tc>
        <w:tc>
          <w:tcPr>
            <w:tcW w:w="1260"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2A33BFC" w14:textId="77777777" w:rsidR="00BD776B" w:rsidRDefault="00DF0C24">
            <w:pPr>
              <w:snapToGrid w:val="0"/>
              <w:spacing w:line="380" w:lineRule="exact"/>
            </w:pPr>
            <w:r>
              <w:rPr>
                <w:rFonts w:ascii="標楷體" w:eastAsia="標楷體" w:hAnsi="標楷體" w:cs="標楷體"/>
                <w:color w:val="000000"/>
              </w:rPr>
              <w:t>病歷號碼</w:t>
            </w:r>
          </w:p>
        </w:tc>
        <w:tc>
          <w:tcPr>
            <w:tcW w:w="162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3B40FA41" w14:textId="77777777" w:rsidR="00BD776B" w:rsidRDefault="00BD776B">
            <w:pPr>
              <w:snapToGrid w:val="0"/>
              <w:spacing w:line="380" w:lineRule="exact"/>
              <w:rPr>
                <w:rFonts w:ascii="標楷體" w:eastAsia="標楷體" w:hAnsi="標楷體"/>
                <w:color w:val="000000"/>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6CD62EF" w14:textId="77777777" w:rsidR="00BD776B" w:rsidRDefault="00DF0C24">
            <w:pPr>
              <w:snapToGrid w:val="0"/>
              <w:spacing w:line="380" w:lineRule="exact"/>
            </w:pPr>
            <w:r>
              <w:rPr>
                <w:rFonts w:ascii="標楷體" w:eastAsia="標楷體" w:hAnsi="標楷體" w:cs="標楷體"/>
                <w:color w:val="000000"/>
              </w:rPr>
              <w:t>體重</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0594410" w14:textId="77777777" w:rsidR="00BD776B" w:rsidRDefault="00BD776B">
            <w:pPr>
              <w:snapToGrid w:val="0"/>
              <w:spacing w:line="380" w:lineRule="exact"/>
              <w:rPr>
                <w:rFonts w:ascii="標楷體" w:eastAsia="標楷體" w:hAnsi="標楷體"/>
                <w:color w:val="000000"/>
              </w:rPr>
            </w:pPr>
          </w:p>
        </w:tc>
      </w:tr>
      <w:tr w:rsidR="00BD776B" w14:paraId="7A5134F4"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E3FA939" w14:textId="77777777" w:rsidR="00BD776B" w:rsidRDefault="00DF0C24">
            <w:pPr>
              <w:snapToGrid w:val="0"/>
              <w:spacing w:line="380" w:lineRule="exact"/>
            </w:pPr>
            <w:r>
              <w:rPr>
                <w:rFonts w:ascii="標楷體" w:eastAsia="標楷體" w:hAnsi="標楷體" w:cs="標楷體"/>
                <w:color w:val="000000"/>
              </w:rPr>
              <w:t>藥品名稱</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1B4BE14D" w14:textId="77777777" w:rsidR="00BD776B" w:rsidRDefault="00BD776B">
            <w:pPr>
              <w:snapToGrid w:val="0"/>
              <w:spacing w:line="380" w:lineRule="exact"/>
              <w:rPr>
                <w:rFonts w:ascii="標楷體" w:eastAsia="標楷體" w:hAnsi="標楷體"/>
                <w:color w:val="000000"/>
              </w:rPr>
            </w:pPr>
          </w:p>
        </w:tc>
        <w:tc>
          <w:tcPr>
            <w:tcW w:w="1260"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90F0889" w14:textId="77777777" w:rsidR="00BD776B" w:rsidRDefault="00DF0C24">
            <w:pPr>
              <w:snapToGrid w:val="0"/>
              <w:spacing w:line="380" w:lineRule="exact"/>
            </w:pPr>
            <w:r>
              <w:rPr>
                <w:rFonts w:ascii="標楷體" w:eastAsia="標楷體" w:hAnsi="標楷體" w:cs="標楷體"/>
                <w:color w:val="000000"/>
              </w:rPr>
              <w:t>藥品代碼</w:t>
            </w:r>
          </w:p>
        </w:tc>
        <w:tc>
          <w:tcPr>
            <w:tcW w:w="162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60C74722" w14:textId="77777777" w:rsidR="00BD776B" w:rsidRDefault="00BD776B">
            <w:pPr>
              <w:snapToGrid w:val="0"/>
              <w:spacing w:line="380" w:lineRule="exact"/>
              <w:rPr>
                <w:rFonts w:ascii="標楷體" w:eastAsia="標楷體" w:hAnsi="標楷體"/>
                <w:color w:val="000000"/>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800DB9C" w14:textId="77777777" w:rsidR="00BD776B" w:rsidRDefault="00DF0C24">
            <w:pPr>
              <w:snapToGrid w:val="0"/>
              <w:spacing w:line="380" w:lineRule="exact"/>
            </w:pPr>
            <w:r>
              <w:rPr>
                <w:rFonts w:ascii="標楷體" w:eastAsia="標楷體" w:hAnsi="標楷體" w:cs="標楷體"/>
                <w:color w:val="000000"/>
              </w:rPr>
              <w:t>申請數量</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3F5DDF8" w14:textId="77777777" w:rsidR="00BD776B" w:rsidRDefault="00BD776B">
            <w:pPr>
              <w:snapToGrid w:val="0"/>
              <w:spacing w:line="380" w:lineRule="exact"/>
              <w:rPr>
                <w:rFonts w:ascii="標楷體" w:eastAsia="標楷體" w:hAnsi="標楷體"/>
                <w:color w:val="000000"/>
              </w:rPr>
            </w:pPr>
          </w:p>
        </w:tc>
      </w:tr>
      <w:tr w:rsidR="00BD776B" w14:paraId="4F56B09C" w14:textId="77777777">
        <w:trPr>
          <w:cantSplit/>
        </w:trPr>
        <w:tc>
          <w:tcPr>
            <w:tcW w:w="1393" w:type="dxa"/>
            <w:tcBorders>
              <w:top w:val="single" w:sz="6" w:space="0" w:color="000000"/>
              <w:left w:val="double" w:sz="6" w:space="0" w:color="000000"/>
              <w:bottom w:val="double" w:sz="6" w:space="0" w:color="000000"/>
            </w:tcBorders>
            <w:shd w:val="clear" w:color="auto" w:fill="auto"/>
            <w:tcMar>
              <w:top w:w="0" w:type="dxa"/>
              <w:left w:w="28" w:type="dxa"/>
              <w:bottom w:w="0" w:type="dxa"/>
              <w:right w:w="28" w:type="dxa"/>
            </w:tcMar>
          </w:tcPr>
          <w:p w14:paraId="186967E2" w14:textId="77777777" w:rsidR="00BD776B" w:rsidRDefault="00DF0C24">
            <w:pPr>
              <w:snapToGrid w:val="0"/>
              <w:spacing w:line="380" w:lineRule="exact"/>
            </w:pPr>
            <w:r>
              <w:rPr>
                <w:rFonts w:ascii="標楷體" w:eastAsia="標楷體" w:hAnsi="標楷體" w:cs="標楷體"/>
                <w:color w:val="000000"/>
              </w:rPr>
              <w:t>使用期間</w:t>
            </w:r>
          </w:p>
        </w:tc>
        <w:tc>
          <w:tcPr>
            <w:tcW w:w="4575" w:type="dxa"/>
            <w:gridSpan w:val="5"/>
            <w:tcBorders>
              <w:top w:val="single" w:sz="6" w:space="0" w:color="000000"/>
              <w:left w:val="single" w:sz="6" w:space="0" w:color="000000"/>
              <w:bottom w:val="double" w:sz="6" w:space="0" w:color="000000"/>
            </w:tcBorders>
            <w:shd w:val="clear" w:color="auto" w:fill="auto"/>
            <w:tcMar>
              <w:top w:w="0" w:type="dxa"/>
              <w:left w:w="28" w:type="dxa"/>
              <w:bottom w:w="0" w:type="dxa"/>
              <w:right w:w="28" w:type="dxa"/>
            </w:tcMar>
          </w:tcPr>
          <w:p w14:paraId="1EC30AAB" w14:textId="77777777" w:rsidR="00BD776B" w:rsidRDefault="00DF0C24">
            <w:pPr>
              <w:snapToGrid w:val="0"/>
              <w:spacing w:line="380" w:lineRule="exact"/>
            </w:pPr>
            <w:r>
              <w:rPr>
                <w:rFonts w:ascii="標楷體" w:eastAsia="標楷體" w:hAnsi="標楷體" w:cs="標楷體"/>
                <w:color w:val="000000"/>
              </w:rPr>
              <w:t>自　年　月　日　至　年　月　日</w:t>
            </w:r>
          </w:p>
        </w:tc>
        <w:tc>
          <w:tcPr>
            <w:tcW w:w="1393"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3B7CF320" w14:textId="77777777" w:rsidR="00BD776B" w:rsidRDefault="00DF0C24">
            <w:pPr>
              <w:snapToGrid w:val="0"/>
              <w:spacing w:line="380" w:lineRule="exact"/>
            </w:pPr>
            <w:r>
              <w:rPr>
                <w:rFonts w:ascii="標楷體" w:eastAsia="標楷體" w:hAnsi="標楷體" w:cs="標楷體"/>
                <w:color w:val="000000"/>
              </w:rPr>
              <w:t>用法用量</w:t>
            </w:r>
          </w:p>
        </w:tc>
        <w:tc>
          <w:tcPr>
            <w:tcW w:w="1667"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4387E486" w14:textId="77777777" w:rsidR="00BD776B" w:rsidRDefault="00BD776B">
            <w:pPr>
              <w:snapToGrid w:val="0"/>
              <w:spacing w:line="380" w:lineRule="exact"/>
              <w:rPr>
                <w:rFonts w:ascii="標楷體" w:eastAsia="標楷體" w:hAnsi="標楷體"/>
                <w:color w:val="000000"/>
              </w:rPr>
            </w:pPr>
          </w:p>
        </w:tc>
      </w:tr>
    </w:tbl>
    <w:p w14:paraId="4BC238E6" w14:textId="77777777" w:rsidR="00BD776B" w:rsidRDefault="00BD776B">
      <w:pPr>
        <w:snapToGrid w:val="0"/>
        <w:spacing w:line="380" w:lineRule="exact"/>
        <w:rPr>
          <w:rFonts w:ascii="標楷體" w:eastAsia="標楷體" w:hAnsi="標楷體"/>
          <w:color w:val="000000"/>
        </w:rPr>
      </w:pPr>
    </w:p>
    <w:tbl>
      <w:tblPr>
        <w:tblW w:w="8974" w:type="dxa"/>
        <w:tblInd w:w="54" w:type="dxa"/>
        <w:tblLayout w:type="fixed"/>
        <w:tblCellMar>
          <w:left w:w="10" w:type="dxa"/>
          <w:right w:w="10" w:type="dxa"/>
        </w:tblCellMar>
        <w:tblLook w:val="0000" w:firstRow="0" w:lastRow="0" w:firstColumn="0" w:lastColumn="0" w:noHBand="0" w:noVBand="0"/>
      </w:tblPr>
      <w:tblGrid>
        <w:gridCol w:w="8974"/>
      </w:tblGrid>
      <w:tr w:rsidR="00BD776B" w14:paraId="6B781F5D" w14:textId="77777777">
        <w:trPr>
          <w:trHeight w:val="1084"/>
        </w:trPr>
        <w:tc>
          <w:tcPr>
            <w:tcW w:w="8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D9C6E" w14:textId="77777777" w:rsidR="00BD776B" w:rsidRDefault="00DF0C24" w:rsidP="008A7063">
            <w:pPr>
              <w:numPr>
                <w:ilvl w:val="0"/>
                <w:numId w:val="36"/>
              </w:numPr>
              <w:suppressAutoHyphens w:val="0"/>
              <w:snapToGrid w:val="0"/>
              <w:spacing w:line="380" w:lineRule="exact"/>
              <w:textAlignment w:val="auto"/>
            </w:pPr>
            <w:r>
              <w:rPr>
                <w:rFonts w:ascii="標楷體" w:eastAsia="標楷體" w:hAnsi="標楷體" w:cs="標楷體"/>
                <w:color w:val="000000"/>
              </w:rPr>
              <w:t>急性心肌梗塞</w:t>
            </w:r>
          </w:p>
          <w:p w14:paraId="26370FBD" w14:textId="77777777" w:rsidR="00BD776B" w:rsidRDefault="00DF0C24" w:rsidP="008A7063">
            <w:pPr>
              <w:numPr>
                <w:ilvl w:val="0"/>
                <w:numId w:val="36"/>
              </w:numPr>
              <w:suppressAutoHyphens w:val="0"/>
              <w:snapToGrid w:val="0"/>
              <w:spacing w:line="380" w:lineRule="exact"/>
              <w:textAlignment w:val="auto"/>
            </w:pPr>
            <w:r>
              <w:rPr>
                <w:rFonts w:ascii="標楷體" w:eastAsia="標楷體" w:hAnsi="標楷體" w:cs="標楷體"/>
                <w:color w:val="000000"/>
              </w:rPr>
              <w:t>懷疑有急性肺動脈栓塞</w:t>
            </w:r>
          </w:p>
          <w:p w14:paraId="29638F2B" w14:textId="77777777" w:rsidR="00BD776B" w:rsidRDefault="00DF0C24" w:rsidP="008A7063">
            <w:pPr>
              <w:numPr>
                <w:ilvl w:val="0"/>
                <w:numId w:val="36"/>
              </w:numPr>
              <w:suppressAutoHyphens w:val="0"/>
              <w:snapToGrid w:val="0"/>
              <w:spacing w:line="380" w:lineRule="exact"/>
              <w:textAlignment w:val="auto"/>
            </w:pPr>
            <w:r>
              <w:rPr>
                <w:rFonts w:ascii="標楷體" w:eastAsia="標楷體" w:hAnsi="標楷體" w:cs="標楷體"/>
                <w:color w:val="000000"/>
              </w:rPr>
              <w:t>周邊血管血栓</w:t>
            </w:r>
          </w:p>
        </w:tc>
      </w:tr>
    </w:tbl>
    <w:p w14:paraId="7A581C35" w14:textId="77777777" w:rsidR="00BD776B" w:rsidRDefault="00BD776B">
      <w:pPr>
        <w:snapToGrid w:val="0"/>
        <w:spacing w:line="380" w:lineRule="exact"/>
        <w:rPr>
          <w:rFonts w:ascii="標楷體" w:eastAsia="標楷體" w:hAnsi="標楷體"/>
          <w:color w:val="000000"/>
        </w:rPr>
      </w:pPr>
    </w:p>
    <w:tbl>
      <w:tblPr>
        <w:tblW w:w="9124" w:type="dxa"/>
        <w:tblLayout w:type="fixed"/>
        <w:tblCellMar>
          <w:left w:w="10" w:type="dxa"/>
          <w:right w:w="10" w:type="dxa"/>
        </w:tblCellMar>
        <w:tblLook w:val="0000" w:firstRow="0" w:lastRow="0" w:firstColumn="0" w:lastColumn="0" w:noHBand="0" w:noVBand="0"/>
      </w:tblPr>
      <w:tblGrid>
        <w:gridCol w:w="568"/>
        <w:gridCol w:w="5760"/>
        <w:gridCol w:w="2796"/>
      </w:tblGrid>
      <w:tr w:rsidR="00BD776B" w14:paraId="7F3BA5C7" w14:textId="77777777">
        <w:trPr>
          <w:cantSplit/>
          <w:trHeight w:val="371"/>
        </w:trPr>
        <w:tc>
          <w:tcPr>
            <w:tcW w:w="568"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213F0CF9" w14:textId="77777777" w:rsidR="00BD776B" w:rsidRDefault="00BD776B">
            <w:pPr>
              <w:snapToGrid w:val="0"/>
              <w:spacing w:line="380" w:lineRule="exact"/>
              <w:jc w:val="center"/>
              <w:rPr>
                <w:rFonts w:ascii="標楷體" w:eastAsia="標楷體" w:hAnsi="標楷體"/>
                <w:color w:val="000000"/>
              </w:rPr>
            </w:pPr>
          </w:p>
          <w:p w14:paraId="0AE17FB5" w14:textId="77777777" w:rsidR="00BD776B" w:rsidRDefault="00BD776B">
            <w:pPr>
              <w:snapToGrid w:val="0"/>
              <w:spacing w:line="380" w:lineRule="exact"/>
              <w:jc w:val="center"/>
              <w:rPr>
                <w:rFonts w:ascii="標楷體" w:eastAsia="標楷體" w:hAnsi="標楷體"/>
                <w:color w:val="000000"/>
              </w:rPr>
            </w:pPr>
          </w:p>
          <w:p w14:paraId="07ECEEAA" w14:textId="77777777" w:rsidR="00BD776B" w:rsidRDefault="00BD776B">
            <w:pPr>
              <w:snapToGrid w:val="0"/>
              <w:spacing w:line="380" w:lineRule="exact"/>
              <w:jc w:val="center"/>
              <w:rPr>
                <w:rFonts w:ascii="標楷體" w:eastAsia="標楷體" w:hAnsi="標楷體"/>
                <w:color w:val="000000"/>
              </w:rPr>
            </w:pPr>
          </w:p>
          <w:p w14:paraId="278CB42B" w14:textId="77777777" w:rsidR="00BD776B" w:rsidRDefault="00DF0C24">
            <w:pPr>
              <w:snapToGrid w:val="0"/>
              <w:spacing w:line="380" w:lineRule="exact"/>
              <w:jc w:val="center"/>
            </w:pPr>
            <w:r>
              <w:rPr>
                <w:rFonts w:ascii="標楷體" w:eastAsia="標楷體" w:hAnsi="標楷體" w:cs="標楷體"/>
                <w:color w:val="000000"/>
              </w:rPr>
              <w:t>診</w:t>
            </w:r>
          </w:p>
          <w:p w14:paraId="5BE8A93D" w14:textId="77777777" w:rsidR="00BD776B" w:rsidRDefault="00BD776B">
            <w:pPr>
              <w:snapToGrid w:val="0"/>
              <w:spacing w:line="380" w:lineRule="exact"/>
              <w:jc w:val="center"/>
              <w:rPr>
                <w:rFonts w:ascii="標楷體" w:eastAsia="標楷體" w:hAnsi="標楷體"/>
                <w:color w:val="000000"/>
              </w:rPr>
            </w:pPr>
          </w:p>
          <w:p w14:paraId="07B17E47" w14:textId="77777777" w:rsidR="00BD776B" w:rsidRDefault="00BD776B">
            <w:pPr>
              <w:snapToGrid w:val="0"/>
              <w:spacing w:line="380" w:lineRule="exact"/>
              <w:jc w:val="center"/>
              <w:rPr>
                <w:rFonts w:ascii="標楷體" w:eastAsia="標楷體" w:hAnsi="標楷體"/>
                <w:color w:val="000000"/>
              </w:rPr>
            </w:pPr>
          </w:p>
          <w:p w14:paraId="3F461999" w14:textId="77777777" w:rsidR="00BD776B" w:rsidRDefault="00BD776B">
            <w:pPr>
              <w:snapToGrid w:val="0"/>
              <w:spacing w:line="380" w:lineRule="exact"/>
              <w:jc w:val="center"/>
              <w:rPr>
                <w:rFonts w:ascii="標楷體" w:eastAsia="標楷體" w:hAnsi="標楷體"/>
                <w:color w:val="000000"/>
              </w:rPr>
            </w:pPr>
          </w:p>
          <w:p w14:paraId="7F50D812" w14:textId="77777777" w:rsidR="00BD776B" w:rsidRDefault="00BD776B">
            <w:pPr>
              <w:snapToGrid w:val="0"/>
              <w:spacing w:line="380" w:lineRule="exact"/>
              <w:jc w:val="center"/>
              <w:rPr>
                <w:rFonts w:ascii="標楷體" w:eastAsia="標楷體" w:hAnsi="標楷體"/>
                <w:color w:val="000000"/>
              </w:rPr>
            </w:pPr>
          </w:p>
          <w:p w14:paraId="5B7E3468" w14:textId="77777777" w:rsidR="00BD776B" w:rsidRDefault="00BD776B">
            <w:pPr>
              <w:snapToGrid w:val="0"/>
              <w:spacing w:line="380" w:lineRule="exact"/>
              <w:jc w:val="center"/>
              <w:rPr>
                <w:rFonts w:ascii="標楷體" w:eastAsia="標楷體" w:hAnsi="標楷體"/>
                <w:color w:val="000000"/>
              </w:rPr>
            </w:pPr>
          </w:p>
          <w:p w14:paraId="13AD5C04" w14:textId="77777777" w:rsidR="00BD776B" w:rsidRDefault="00BD776B">
            <w:pPr>
              <w:snapToGrid w:val="0"/>
              <w:spacing w:line="380" w:lineRule="exact"/>
              <w:jc w:val="center"/>
              <w:rPr>
                <w:rFonts w:ascii="標楷體" w:eastAsia="標楷體" w:hAnsi="標楷體"/>
                <w:color w:val="000000"/>
              </w:rPr>
            </w:pPr>
          </w:p>
          <w:p w14:paraId="7CAFBDF2" w14:textId="77777777" w:rsidR="00BD776B" w:rsidRDefault="00DF0C24">
            <w:pPr>
              <w:snapToGrid w:val="0"/>
              <w:spacing w:line="380" w:lineRule="exact"/>
              <w:jc w:val="center"/>
            </w:pPr>
            <w:r>
              <w:rPr>
                <w:rFonts w:ascii="標楷體" w:eastAsia="標楷體" w:hAnsi="標楷體" w:cs="標楷體"/>
                <w:color w:val="000000"/>
              </w:rPr>
              <w:t>斷</w:t>
            </w:r>
          </w:p>
        </w:tc>
        <w:tc>
          <w:tcPr>
            <w:tcW w:w="576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16EB77" w14:textId="77777777" w:rsidR="00BD776B" w:rsidRDefault="00DF0C24">
            <w:pPr>
              <w:snapToGrid w:val="0"/>
              <w:spacing w:line="380" w:lineRule="exact"/>
            </w:pPr>
            <w:r>
              <w:rPr>
                <w:rFonts w:ascii="標楷體" w:eastAsia="標楷體" w:hAnsi="標楷體" w:cs="標楷體"/>
                <w:color w:val="000000"/>
              </w:rPr>
              <w:t>□急性心肌梗塞，符合以下各條件</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542C7D" w14:textId="77777777" w:rsidR="00BD776B" w:rsidRDefault="00DF0C24">
            <w:pPr>
              <w:snapToGrid w:val="0"/>
              <w:spacing w:line="380" w:lineRule="exact"/>
            </w:pPr>
            <w:r>
              <w:rPr>
                <w:rFonts w:ascii="標楷體" w:eastAsia="標楷體" w:hAnsi="標楷體" w:cs="標楷體"/>
                <w:color w:val="000000"/>
              </w:rPr>
              <w:t>診斷根據</w:t>
            </w:r>
          </w:p>
        </w:tc>
      </w:tr>
      <w:tr w:rsidR="00BD776B" w14:paraId="5E1A3C65" w14:textId="77777777">
        <w:trPr>
          <w:cantSplit/>
          <w:trHeight w:val="2327"/>
        </w:trPr>
        <w:tc>
          <w:tcPr>
            <w:tcW w:w="568" w:type="dxa"/>
            <w:vMerge/>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2E53B290" w14:textId="77777777" w:rsidR="00BD776B" w:rsidRDefault="00BD776B">
            <w:pPr>
              <w:snapToGrid w:val="0"/>
              <w:spacing w:line="380" w:lineRule="exact"/>
              <w:rPr>
                <w:rFonts w:ascii="標楷體" w:eastAsia="標楷體" w:hAnsi="標楷體"/>
                <w:color w:val="000000"/>
              </w:rPr>
            </w:pPr>
          </w:p>
        </w:tc>
        <w:tc>
          <w:tcPr>
            <w:tcW w:w="576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60E1C" w14:textId="77777777" w:rsidR="00BD776B" w:rsidRDefault="00DF0C24">
            <w:pPr>
              <w:snapToGrid w:val="0"/>
              <w:spacing w:line="380" w:lineRule="exact"/>
            </w:pPr>
            <w:r>
              <w:rPr>
                <w:rFonts w:ascii="標楷體" w:eastAsia="標楷體" w:hAnsi="標楷體" w:cs="標楷體"/>
                <w:color w:val="000000"/>
              </w:rPr>
              <w:t>□確定診斷</w:t>
            </w:r>
          </w:p>
          <w:p w14:paraId="0988332C" w14:textId="77777777" w:rsidR="00BD776B" w:rsidRDefault="00DF0C24">
            <w:pPr>
              <w:snapToGrid w:val="0"/>
              <w:spacing w:line="380" w:lineRule="exact"/>
            </w:pPr>
            <w:r>
              <w:rPr>
                <w:rFonts w:ascii="標楷體" w:eastAsia="標楷體" w:hAnsi="標楷體" w:cs="標楷體"/>
                <w:color w:val="000000"/>
              </w:rPr>
              <w:t>□發作在十二小時以內</w:t>
            </w:r>
          </w:p>
          <w:p w14:paraId="491FE125" w14:textId="77777777" w:rsidR="00BD776B" w:rsidRDefault="00DF0C24">
            <w:pPr>
              <w:snapToGrid w:val="0"/>
              <w:spacing w:line="380" w:lineRule="exact"/>
            </w:pPr>
            <w:r>
              <w:rPr>
                <w:rFonts w:ascii="標楷體" w:eastAsia="標楷體" w:hAnsi="標楷體" w:cs="標楷體"/>
                <w:color w:val="000000"/>
              </w:rPr>
              <w:t>□無出血性疾病</w:t>
            </w:r>
          </w:p>
          <w:p w14:paraId="670D3130" w14:textId="77777777" w:rsidR="00BD776B" w:rsidRDefault="00DF0C24">
            <w:pPr>
              <w:snapToGrid w:val="0"/>
              <w:spacing w:line="380" w:lineRule="exact"/>
            </w:pPr>
            <w:r>
              <w:rPr>
                <w:rFonts w:ascii="標楷體" w:eastAsia="標楷體" w:hAnsi="標楷體" w:cs="標楷體"/>
                <w:color w:val="000000"/>
              </w:rPr>
              <w:t>□近期中無腦血管疾病，手術及出血現象</w:t>
            </w:r>
          </w:p>
          <w:p w14:paraId="0024FC19" w14:textId="77777777" w:rsidR="00BD776B" w:rsidRDefault="00DF0C24">
            <w:pPr>
              <w:snapToGrid w:val="0"/>
              <w:spacing w:line="380" w:lineRule="exact"/>
            </w:pPr>
            <w:r>
              <w:rPr>
                <w:rFonts w:ascii="標楷體" w:eastAsia="標楷體" w:hAnsi="標楷體" w:cs="標楷體"/>
                <w:color w:val="000000"/>
              </w:rPr>
              <w:t>□無禁忌症</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E7EFA6" w14:textId="77777777" w:rsidR="00BD776B" w:rsidRDefault="00DF0C24" w:rsidP="008A7063">
            <w:pPr>
              <w:numPr>
                <w:ilvl w:val="0"/>
                <w:numId w:val="37"/>
              </w:numPr>
              <w:suppressAutoHyphens w:val="0"/>
              <w:snapToGrid w:val="0"/>
              <w:spacing w:line="380" w:lineRule="exact"/>
              <w:textAlignment w:val="auto"/>
            </w:pPr>
            <w:r>
              <w:rPr>
                <w:rFonts w:ascii="標楷體" w:eastAsia="標楷體" w:hAnsi="標楷體" w:cs="標楷體"/>
                <w:color w:val="000000"/>
              </w:rPr>
              <w:t>臨床症狀</w:t>
            </w:r>
          </w:p>
          <w:p w14:paraId="4DE17F5C" w14:textId="77777777" w:rsidR="00BD776B" w:rsidRDefault="00DF0C24" w:rsidP="008A7063">
            <w:pPr>
              <w:numPr>
                <w:ilvl w:val="0"/>
                <w:numId w:val="37"/>
              </w:numPr>
              <w:suppressAutoHyphens w:val="0"/>
              <w:snapToGrid w:val="0"/>
              <w:spacing w:line="380" w:lineRule="exact"/>
              <w:textAlignment w:val="auto"/>
            </w:pPr>
            <w:r>
              <w:rPr>
                <w:rFonts w:ascii="標楷體" w:eastAsia="標楷體" w:hAnsi="標楷體" w:cs="標楷體"/>
                <w:color w:val="000000"/>
              </w:rPr>
              <w:t>心電圖變化</w:t>
            </w:r>
          </w:p>
          <w:p w14:paraId="5EDFBC4B" w14:textId="77777777" w:rsidR="00BD776B" w:rsidRDefault="00DF0C24" w:rsidP="008A7063">
            <w:pPr>
              <w:numPr>
                <w:ilvl w:val="0"/>
                <w:numId w:val="38"/>
              </w:numPr>
              <w:suppressAutoHyphens w:val="0"/>
              <w:snapToGrid w:val="0"/>
              <w:spacing w:line="380" w:lineRule="exact"/>
              <w:textAlignment w:val="auto"/>
            </w:pPr>
            <w:r>
              <w:rPr>
                <w:rFonts w:eastAsia="標楷體"/>
                <w:color w:val="000000"/>
              </w:rPr>
              <w:t>SGOT</w:t>
            </w:r>
            <w:r>
              <w:rPr>
                <w:rFonts w:eastAsia="標楷體"/>
                <w:color w:val="000000"/>
              </w:rPr>
              <w:t>升高</w:t>
            </w:r>
          </w:p>
          <w:p w14:paraId="48477B36" w14:textId="77777777" w:rsidR="00BD776B" w:rsidRDefault="00DF0C24" w:rsidP="008A7063">
            <w:pPr>
              <w:numPr>
                <w:ilvl w:val="0"/>
                <w:numId w:val="38"/>
              </w:numPr>
              <w:suppressAutoHyphens w:val="0"/>
              <w:snapToGrid w:val="0"/>
              <w:spacing w:line="380" w:lineRule="exact"/>
              <w:textAlignment w:val="auto"/>
            </w:pPr>
            <w:r>
              <w:rPr>
                <w:rFonts w:eastAsia="標楷體"/>
                <w:color w:val="000000"/>
              </w:rPr>
              <w:t>CPK</w:t>
            </w:r>
            <w:r>
              <w:rPr>
                <w:rFonts w:eastAsia="標楷體"/>
                <w:color w:val="000000"/>
              </w:rPr>
              <w:t>升高</w:t>
            </w:r>
          </w:p>
          <w:p w14:paraId="794EAB05" w14:textId="77777777" w:rsidR="00BD776B" w:rsidRDefault="00DF0C24" w:rsidP="008A7063">
            <w:pPr>
              <w:numPr>
                <w:ilvl w:val="0"/>
                <w:numId w:val="38"/>
              </w:numPr>
              <w:suppressAutoHyphens w:val="0"/>
              <w:snapToGrid w:val="0"/>
              <w:spacing w:line="380" w:lineRule="exact"/>
              <w:textAlignment w:val="auto"/>
            </w:pPr>
            <w:r>
              <w:rPr>
                <w:rFonts w:ascii="標楷體" w:eastAsia="標楷體" w:hAnsi="標楷體" w:cs="標楷體"/>
                <w:color w:val="000000"/>
              </w:rPr>
              <w:t>冠狀動脈照影</w:t>
            </w:r>
          </w:p>
          <w:p w14:paraId="5A03C7F1" w14:textId="77777777" w:rsidR="00BD776B" w:rsidRDefault="00DF0C24" w:rsidP="008A7063">
            <w:pPr>
              <w:numPr>
                <w:ilvl w:val="0"/>
                <w:numId w:val="38"/>
              </w:numPr>
              <w:suppressAutoHyphens w:val="0"/>
              <w:snapToGrid w:val="0"/>
              <w:spacing w:line="380" w:lineRule="exact"/>
              <w:textAlignment w:val="auto"/>
            </w:pPr>
            <w:r>
              <w:rPr>
                <w:rFonts w:ascii="標楷體" w:eastAsia="標楷體" w:hAnsi="標楷體" w:cs="標楷體"/>
                <w:color w:val="000000"/>
              </w:rPr>
              <w:t>其他</w:t>
            </w:r>
          </w:p>
        </w:tc>
      </w:tr>
      <w:tr w:rsidR="00BD776B" w14:paraId="584F157D" w14:textId="77777777">
        <w:trPr>
          <w:cantSplit/>
          <w:trHeight w:val="2328"/>
        </w:trPr>
        <w:tc>
          <w:tcPr>
            <w:tcW w:w="568" w:type="dxa"/>
            <w:vMerge/>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2F8BD259" w14:textId="77777777" w:rsidR="00BD776B" w:rsidRDefault="00BD776B">
            <w:pPr>
              <w:snapToGrid w:val="0"/>
              <w:spacing w:line="380" w:lineRule="exact"/>
              <w:rPr>
                <w:rFonts w:ascii="標楷體" w:eastAsia="標楷體" w:hAnsi="標楷體"/>
                <w:color w:val="000000"/>
              </w:rPr>
            </w:pPr>
          </w:p>
        </w:tc>
        <w:tc>
          <w:tcPr>
            <w:tcW w:w="8556" w:type="dxa"/>
            <w:gridSpan w:val="2"/>
            <w:tcBorders>
              <w:top w:val="single" w:sz="6" w:space="0" w:color="000000"/>
              <w:right w:val="single" w:sz="6" w:space="0" w:color="000000"/>
            </w:tcBorders>
            <w:shd w:val="clear" w:color="auto" w:fill="auto"/>
            <w:tcMar>
              <w:top w:w="0" w:type="dxa"/>
              <w:left w:w="28" w:type="dxa"/>
              <w:bottom w:w="0" w:type="dxa"/>
              <w:right w:w="28" w:type="dxa"/>
            </w:tcMar>
            <w:vAlign w:val="center"/>
          </w:tcPr>
          <w:p w14:paraId="22116A23" w14:textId="77777777" w:rsidR="00BD776B" w:rsidRDefault="00DF0C24" w:rsidP="008A7063">
            <w:pPr>
              <w:numPr>
                <w:ilvl w:val="0"/>
                <w:numId w:val="37"/>
              </w:numPr>
              <w:suppressAutoHyphens w:val="0"/>
              <w:snapToGrid w:val="0"/>
              <w:spacing w:line="460" w:lineRule="exact"/>
              <w:textAlignment w:val="auto"/>
            </w:pPr>
            <w:r>
              <w:rPr>
                <w:rFonts w:ascii="標楷體" w:eastAsia="標楷體" w:hAnsi="標楷體" w:cs="標楷體"/>
                <w:color w:val="000000"/>
              </w:rPr>
              <w:t>在梗塞發作十二小時以內注射</w:t>
            </w:r>
          </w:p>
          <w:p w14:paraId="11219756" w14:textId="77777777" w:rsidR="00BD776B" w:rsidRDefault="00DF0C24">
            <w:pPr>
              <w:snapToGrid w:val="0"/>
              <w:spacing w:line="460" w:lineRule="exact"/>
            </w:pPr>
            <w:r>
              <w:rPr>
                <w:rFonts w:ascii="標楷體" w:eastAsia="標楷體" w:hAnsi="標楷體" w:cs="標楷體"/>
                <w:color w:val="000000"/>
              </w:rPr>
              <w:t>發作時刻</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50B770D1" w14:textId="77777777" w:rsidR="00BD776B" w:rsidRDefault="00DF0C24">
            <w:pPr>
              <w:snapToGrid w:val="0"/>
              <w:spacing w:line="460" w:lineRule="exact"/>
            </w:pPr>
            <w:r>
              <w:rPr>
                <w:rFonts w:ascii="標楷體" w:eastAsia="標楷體" w:hAnsi="標楷體" w:cs="標楷體"/>
                <w:color w:val="000000"/>
              </w:rPr>
              <w:t>來診時刻</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286FF312" w14:textId="77777777" w:rsidR="00BD776B" w:rsidRDefault="00DF0C24">
            <w:pPr>
              <w:snapToGrid w:val="0"/>
              <w:spacing w:line="460" w:lineRule="exact"/>
            </w:pPr>
            <w:r>
              <w:rPr>
                <w:rFonts w:ascii="標楷體" w:eastAsia="標楷體" w:hAnsi="標楷體" w:cs="標楷體"/>
                <w:color w:val="000000"/>
              </w:rPr>
              <w:t>開始注射時間</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69CCB7A7" w14:textId="77777777" w:rsidR="00BD776B" w:rsidRDefault="00DF0C24">
            <w:pPr>
              <w:snapToGrid w:val="0"/>
              <w:spacing w:line="460" w:lineRule="exact"/>
            </w:pPr>
            <w:r>
              <w:rPr>
                <w:rFonts w:ascii="標楷體" w:eastAsia="標楷體" w:hAnsi="標楷體" w:cs="標楷體"/>
                <w:color w:val="000000"/>
              </w:rPr>
              <w:t>間隔 □</w:t>
            </w:r>
            <w:r>
              <w:rPr>
                <w:rFonts w:eastAsia="標楷體"/>
                <w:color w:val="000000"/>
              </w:rPr>
              <w:t>1</w:t>
            </w:r>
            <w:r>
              <w:rPr>
                <w:rFonts w:eastAsia="標楷體"/>
                <w:color w:val="000000"/>
              </w:rPr>
              <w:t>小時以內</w:t>
            </w:r>
            <w:r>
              <w:rPr>
                <w:rFonts w:ascii="標楷體" w:eastAsia="標楷體" w:hAnsi="標楷體" w:cs="標楷體"/>
                <w:color w:val="000000"/>
              </w:rPr>
              <w:t xml:space="preserve"> □</w:t>
            </w:r>
            <w:r>
              <w:rPr>
                <w:rFonts w:eastAsia="標楷體"/>
                <w:color w:val="000000"/>
              </w:rPr>
              <w:t>1-2</w:t>
            </w:r>
            <w:r>
              <w:rPr>
                <w:rFonts w:eastAsia="標楷體"/>
                <w:color w:val="000000"/>
              </w:rPr>
              <w:t>小時</w:t>
            </w:r>
            <w:r>
              <w:rPr>
                <w:rFonts w:ascii="標楷體" w:eastAsia="標楷體" w:hAnsi="標楷體" w:cs="標楷體"/>
                <w:color w:val="000000"/>
              </w:rPr>
              <w:t xml:space="preserve"> □</w:t>
            </w:r>
            <w:r>
              <w:rPr>
                <w:rFonts w:eastAsia="標楷體"/>
                <w:color w:val="000000"/>
              </w:rPr>
              <w:t>2-4</w:t>
            </w:r>
            <w:r>
              <w:rPr>
                <w:rFonts w:eastAsia="標楷體"/>
                <w:color w:val="000000"/>
              </w:rPr>
              <w:t>小時</w:t>
            </w:r>
            <w:r>
              <w:rPr>
                <w:rFonts w:ascii="標楷體" w:eastAsia="標楷體" w:hAnsi="標楷體" w:cs="標楷體"/>
                <w:color w:val="000000"/>
              </w:rPr>
              <w:t xml:space="preserve"> □</w:t>
            </w:r>
            <w:r>
              <w:rPr>
                <w:rFonts w:eastAsia="標楷體"/>
                <w:color w:val="000000"/>
              </w:rPr>
              <w:t>4-6</w:t>
            </w:r>
            <w:r>
              <w:rPr>
                <w:rFonts w:eastAsia="標楷體"/>
                <w:color w:val="000000"/>
              </w:rPr>
              <w:t>小時</w:t>
            </w:r>
          </w:p>
          <w:p w14:paraId="6DAE71C2" w14:textId="77777777" w:rsidR="00BD776B" w:rsidRDefault="00DF0C24">
            <w:pPr>
              <w:snapToGrid w:val="0"/>
              <w:spacing w:line="460" w:lineRule="exact"/>
            </w:pPr>
            <w:r>
              <w:rPr>
                <w:rFonts w:ascii="標楷體" w:eastAsia="標楷體" w:hAnsi="標楷體" w:cs="標楷體"/>
                <w:color w:val="000000"/>
              </w:rPr>
              <w:t xml:space="preserve">　　 □</w:t>
            </w:r>
            <w:r>
              <w:rPr>
                <w:rFonts w:eastAsia="標楷體"/>
                <w:color w:val="000000"/>
              </w:rPr>
              <w:t>6-12</w:t>
            </w:r>
            <w:r>
              <w:rPr>
                <w:rFonts w:eastAsia="標楷體"/>
                <w:color w:val="000000"/>
              </w:rPr>
              <w:t>小時</w:t>
            </w:r>
          </w:p>
        </w:tc>
      </w:tr>
      <w:tr w:rsidR="00BD776B" w14:paraId="09C4813C" w14:textId="77777777">
        <w:trPr>
          <w:cantSplit/>
          <w:trHeight w:val="503"/>
        </w:trPr>
        <w:tc>
          <w:tcPr>
            <w:tcW w:w="912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F8398B" w14:textId="77777777" w:rsidR="00BD776B" w:rsidRDefault="00DF0C24">
            <w:pPr>
              <w:snapToGrid w:val="0"/>
              <w:spacing w:line="380" w:lineRule="exact"/>
            </w:pPr>
            <w:r>
              <w:rPr>
                <w:rFonts w:ascii="標楷體" w:eastAsia="標楷體" w:hAnsi="標楷體" w:cs="標楷體"/>
                <w:color w:val="000000"/>
              </w:rPr>
              <w:t>用量　　□</w:t>
            </w:r>
            <w:r>
              <w:rPr>
                <w:rFonts w:eastAsia="標楷體"/>
                <w:color w:val="000000"/>
              </w:rPr>
              <w:t>2</w:t>
            </w:r>
            <w:r>
              <w:rPr>
                <w:rFonts w:ascii="標楷體" w:eastAsia="標楷體" w:hAnsi="標楷體" w:cs="標楷體"/>
                <w:color w:val="000000"/>
              </w:rPr>
              <w:t>瓶</w:t>
            </w:r>
            <w:r>
              <w:rPr>
                <w:rFonts w:eastAsia="標楷體"/>
                <w:color w:val="000000"/>
              </w:rPr>
              <w:t>(100mg)</w:t>
            </w:r>
            <w:r>
              <w:rPr>
                <w:rFonts w:ascii="標楷體" w:eastAsia="標楷體" w:hAnsi="標楷體" w:cs="標楷體"/>
                <w:color w:val="000000"/>
              </w:rPr>
              <w:t xml:space="preserve">　　　□</w:t>
            </w:r>
            <w:r>
              <w:rPr>
                <w:rFonts w:eastAsia="標楷體"/>
                <w:color w:val="000000"/>
              </w:rPr>
              <w:t>1</w:t>
            </w:r>
            <w:r>
              <w:rPr>
                <w:rFonts w:eastAsia="標楷體"/>
                <w:color w:val="000000"/>
              </w:rPr>
              <w:t>瓶</w:t>
            </w:r>
            <w:r>
              <w:rPr>
                <w:rFonts w:eastAsia="標楷體"/>
                <w:color w:val="000000"/>
              </w:rPr>
              <w:t>(50mg)</w:t>
            </w:r>
          </w:p>
        </w:tc>
      </w:tr>
      <w:tr w:rsidR="00BD776B" w14:paraId="5CFE30F7" w14:textId="77777777">
        <w:trPr>
          <w:cantSplit/>
          <w:trHeight w:val="1859"/>
        </w:trPr>
        <w:tc>
          <w:tcPr>
            <w:tcW w:w="9124" w:type="dxa"/>
            <w:gridSpan w:val="3"/>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9E9876" w14:textId="77777777" w:rsidR="00BD776B" w:rsidRDefault="00DF0C24">
            <w:pPr>
              <w:snapToGrid w:val="0"/>
              <w:spacing w:line="380" w:lineRule="exact"/>
            </w:pPr>
            <w:r>
              <w:rPr>
                <w:rFonts w:ascii="標楷體" w:eastAsia="標楷體" w:hAnsi="標楷體" w:cs="標楷體"/>
                <w:color w:val="000000"/>
              </w:rPr>
              <w:t>心肌梗塞部位</w:t>
            </w:r>
          </w:p>
          <w:p w14:paraId="294BD384" w14:textId="77777777" w:rsidR="00BD776B" w:rsidRDefault="00DF0C24">
            <w:pPr>
              <w:snapToGrid w:val="0"/>
              <w:spacing w:line="380" w:lineRule="exact"/>
            </w:pPr>
            <w:r>
              <w:rPr>
                <w:rFonts w:ascii="標楷體" w:eastAsia="標楷體" w:hAnsi="標楷體" w:cs="標楷體"/>
                <w:color w:val="000000"/>
              </w:rPr>
              <w:t>□前壁 □側壁 □中隔部 □後壁</w:t>
            </w:r>
          </w:p>
        </w:tc>
      </w:tr>
    </w:tbl>
    <w:p w14:paraId="1EA94E8C" w14:textId="77777777" w:rsidR="00BD776B" w:rsidRDefault="00DF0C24">
      <w:pPr>
        <w:snapToGrid w:val="0"/>
        <w:spacing w:line="380" w:lineRule="exact"/>
      </w:pPr>
      <w:r>
        <w:rPr>
          <w:rFonts w:ascii="標楷體" w:eastAsia="標楷體" w:hAnsi="標楷體" w:cs="標楷體"/>
          <w:color w:val="000000"/>
        </w:rPr>
        <w:t>申報醫師：                     本表請併醫療費用申報</w:t>
      </w:r>
    </w:p>
    <w:p w14:paraId="60370A07" w14:textId="77777777" w:rsidR="00BD776B" w:rsidRDefault="00BD776B">
      <w:pPr>
        <w:widowControl/>
        <w:suppressAutoHyphens w:val="0"/>
        <w:snapToGrid w:val="0"/>
        <w:rPr>
          <w:rFonts w:ascii="標楷體" w:eastAsia="標楷體" w:hAnsi="標楷體"/>
          <w:color w:val="000000"/>
        </w:rPr>
      </w:pPr>
    </w:p>
    <w:p w14:paraId="3A889F16" w14:textId="77777777" w:rsidR="00BD776B" w:rsidRDefault="00BD776B">
      <w:pPr>
        <w:pageBreakBefore/>
        <w:widowControl/>
        <w:suppressAutoHyphens w:val="0"/>
        <w:rPr>
          <w:rFonts w:eastAsia="標楷體"/>
          <w:color w:val="000000"/>
        </w:rPr>
      </w:pPr>
    </w:p>
    <w:p w14:paraId="264BE217" w14:textId="77777777" w:rsidR="00BD776B" w:rsidRDefault="00DF0C24">
      <w:pPr>
        <w:snapToGrid w:val="0"/>
        <w:spacing w:line="380" w:lineRule="exact"/>
        <w:ind w:left="1274" w:hanging="1274"/>
        <w:jc w:val="both"/>
      </w:pPr>
      <w:r>
        <w:rPr>
          <w:rFonts w:eastAsia="標楷體"/>
          <w:color w:val="000000"/>
        </w:rPr>
        <w:t>附表二</w:t>
      </w:r>
      <w:r>
        <w:rPr>
          <w:rFonts w:eastAsia="標楷體"/>
          <w:color w:val="000000"/>
        </w:rPr>
        <w:t>-B</w:t>
      </w:r>
      <w:r>
        <w:rPr>
          <w:rFonts w:eastAsia="標楷體"/>
          <w:color w:val="000000"/>
        </w:rPr>
        <w:t xml:space="preserve">　全民健康保險使用</w:t>
      </w:r>
      <w:r>
        <w:rPr>
          <w:rFonts w:eastAsia="標楷體"/>
          <w:color w:val="000000"/>
        </w:rPr>
        <w:t>rt-PA(Actilyse)</w:t>
      </w:r>
      <w:r>
        <w:rPr>
          <w:rFonts w:eastAsia="標楷體"/>
          <w:color w:val="000000"/>
        </w:rPr>
        <w:t>申報表（急性缺血性腦中風病患用）</w:t>
      </w:r>
    </w:p>
    <w:p w14:paraId="482D50B1" w14:textId="77777777" w:rsidR="00BD776B" w:rsidRDefault="00BD776B">
      <w:pPr>
        <w:snapToGrid w:val="0"/>
        <w:spacing w:line="380" w:lineRule="exact"/>
        <w:rPr>
          <w:rFonts w:ascii="標楷體" w:eastAsia="標楷體" w:hAnsi="標楷體"/>
          <w:color w:val="000000"/>
        </w:rPr>
      </w:pPr>
    </w:p>
    <w:tbl>
      <w:tblPr>
        <w:tblW w:w="9028" w:type="dxa"/>
        <w:tblLayout w:type="fixed"/>
        <w:tblCellMar>
          <w:left w:w="10" w:type="dxa"/>
          <w:right w:w="10" w:type="dxa"/>
        </w:tblCellMar>
        <w:tblLook w:val="0000" w:firstRow="0" w:lastRow="0" w:firstColumn="0" w:lastColumn="0" w:noHBand="0" w:noVBand="0"/>
      </w:tblPr>
      <w:tblGrid>
        <w:gridCol w:w="1393"/>
        <w:gridCol w:w="1695"/>
        <w:gridCol w:w="720"/>
        <w:gridCol w:w="540"/>
        <w:gridCol w:w="720"/>
        <w:gridCol w:w="900"/>
        <w:gridCol w:w="1393"/>
        <w:gridCol w:w="1667"/>
      </w:tblGrid>
      <w:tr w:rsidR="00BD776B" w14:paraId="3CA30073" w14:textId="77777777">
        <w:trPr>
          <w:cantSplit/>
        </w:trPr>
        <w:tc>
          <w:tcPr>
            <w:tcW w:w="1393"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D7D62F5" w14:textId="77777777" w:rsidR="00BD776B" w:rsidRDefault="00DF0C24">
            <w:pPr>
              <w:snapToGrid w:val="0"/>
              <w:spacing w:line="480" w:lineRule="exact"/>
            </w:pPr>
            <w:r>
              <w:rPr>
                <w:rFonts w:ascii="標楷體" w:eastAsia="標楷體" w:hAnsi="標楷體" w:cs="標楷體"/>
                <w:color w:val="000000"/>
              </w:rPr>
              <w:t>醫院代號</w:t>
            </w:r>
          </w:p>
        </w:tc>
        <w:tc>
          <w:tcPr>
            <w:tcW w:w="1695" w:type="dxa"/>
            <w:tcBorders>
              <w:top w:val="double" w:sz="6" w:space="0" w:color="000000"/>
              <w:left w:val="single" w:sz="6" w:space="0" w:color="000000"/>
              <w:bottom w:val="single" w:sz="6" w:space="0" w:color="000000"/>
            </w:tcBorders>
            <w:shd w:val="clear" w:color="auto" w:fill="auto"/>
            <w:tcMar>
              <w:top w:w="0" w:type="dxa"/>
              <w:left w:w="28" w:type="dxa"/>
              <w:bottom w:w="0" w:type="dxa"/>
              <w:right w:w="28" w:type="dxa"/>
            </w:tcMar>
          </w:tcPr>
          <w:p w14:paraId="1E49FD84" w14:textId="77777777" w:rsidR="00BD776B" w:rsidRDefault="00BD776B">
            <w:pPr>
              <w:snapToGrid w:val="0"/>
              <w:spacing w:line="480" w:lineRule="exact"/>
              <w:rPr>
                <w:rFonts w:ascii="標楷體" w:eastAsia="標楷體" w:hAnsi="標楷體"/>
                <w:color w:val="000000"/>
              </w:rPr>
            </w:pPr>
          </w:p>
        </w:tc>
        <w:tc>
          <w:tcPr>
            <w:tcW w:w="1260" w:type="dxa"/>
            <w:gridSpan w:val="2"/>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78F6063" w14:textId="77777777" w:rsidR="00BD776B" w:rsidRDefault="00DF0C24">
            <w:pPr>
              <w:snapToGrid w:val="0"/>
              <w:spacing w:line="480" w:lineRule="exact"/>
            </w:pPr>
            <w:r>
              <w:rPr>
                <w:rFonts w:ascii="標楷體" w:eastAsia="標楷體" w:hAnsi="標楷體" w:cs="標楷體"/>
                <w:color w:val="000000"/>
              </w:rPr>
              <w:t>醫院名稱</w:t>
            </w:r>
          </w:p>
        </w:tc>
        <w:tc>
          <w:tcPr>
            <w:tcW w:w="1620" w:type="dxa"/>
            <w:gridSpan w:val="2"/>
            <w:tcBorders>
              <w:top w:val="double" w:sz="6" w:space="0" w:color="000000"/>
              <w:left w:val="single" w:sz="6" w:space="0" w:color="000000"/>
              <w:bottom w:val="single" w:sz="6" w:space="0" w:color="000000"/>
            </w:tcBorders>
            <w:shd w:val="clear" w:color="auto" w:fill="auto"/>
            <w:tcMar>
              <w:top w:w="0" w:type="dxa"/>
              <w:left w:w="28" w:type="dxa"/>
              <w:bottom w:w="0" w:type="dxa"/>
              <w:right w:w="28" w:type="dxa"/>
            </w:tcMar>
          </w:tcPr>
          <w:p w14:paraId="7271689D" w14:textId="77777777" w:rsidR="00BD776B" w:rsidRDefault="00BD776B">
            <w:pPr>
              <w:snapToGrid w:val="0"/>
              <w:spacing w:line="480" w:lineRule="exact"/>
              <w:rPr>
                <w:rFonts w:ascii="標楷體" w:eastAsia="標楷體" w:hAnsi="標楷體"/>
                <w:color w:val="000000"/>
              </w:rPr>
            </w:pPr>
          </w:p>
        </w:tc>
        <w:tc>
          <w:tcPr>
            <w:tcW w:w="1393"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3C74726" w14:textId="77777777" w:rsidR="00BD776B" w:rsidRDefault="00DF0C24">
            <w:pPr>
              <w:snapToGrid w:val="0"/>
              <w:spacing w:line="480" w:lineRule="exact"/>
            </w:pPr>
            <w:r>
              <w:rPr>
                <w:rFonts w:ascii="標楷體" w:eastAsia="標楷體" w:hAnsi="標楷體" w:cs="標楷體"/>
                <w:color w:val="000000"/>
              </w:rPr>
              <w:t>申請日期</w:t>
            </w:r>
          </w:p>
        </w:tc>
        <w:tc>
          <w:tcPr>
            <w:tcW w:w="1667"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F0136E1" w14:textId="77777777" w:rsidR="00BD776B" w:rsidRDefault="00BD776B">
            <w:pPr>
              <w:snapToGrid w:val="0"/>
              <w:spacing w:line="480" w:lineRule="exact"/>
              <w:rPr>
                <w:rFonts w:ascii="標楷體" w:eastAsia="標楷體" w:hAnsi="標楷體"/>
                <w:color w:val="000000"/>
              </w:rPr>
            </w:pPr>
          </w:p>
        </w:tc>
      </w:tr>
      <w:tr w:rsidR="00BD776B" w14:paraId="415DE8C7"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503C8" w14:textId="77777777" w:rsidR="00BD776B" w:rsidRDefault="00DF0C24">
            <w:pPr>
              <w:snapToGrid w:val="0"/>
              <w:spacing w:line="480" w:lineRule="exact"/>
            </w:pPr>
            <w:r>
              <w:rPr>
                <w:rFonts w:ascii="標楷體" w:eastAsia="標楷體" w:hAnsi="標楷體" w:cs="標楷體"/>
                <w:color w:val="000000"/>
              </w:rPr>
              <w:t>病人姓名</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5C7EFED9" w14:textId="77777777" w:rsidR="00BD776B" w:rsidRDefault="00BD776B">
            <w:pPr>
              <w:snapToGrid w:val="0"/>
              <w:spacing w:line="480" w:lineRule="exact"/>
              <w:rPr>
                <w:rFonts w:ascii="標楷體" w:eastAsia="標楷體" w:hAnsi="標楷體"/>
                <w:color w:val="000000"/>
              </w:rPr>
            </w:pPr>
          </w:p>
        </w:tc>
        <w:tc>
          <w:tcPr>
            <w:tcW w:w="720"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F03B9F4" w14:textId="77777777" w:rsidR="00BD776B" w:rsidRDefault="00DF0C24">
            <w:pPr>
              <w:snapToGrid w:val="0"/>
              <w:spacing w:line="480" w:lineRule="exact"/>
            </w:pPr>
            <w:r>
              <w:rPr>
                <w:rFonts w:ascii="標楷體" w:eastAsia="標楷體" w:hAnsi="標楷體" w:cs="標楷體"/>
                <w:color w:val="000000"/>
              </w:rPr>
              <w:t>性別</w:t>
            </w:r>
          </w:p>
        </w:tc>
        <w:tc>
          <w:tcPr>
            <w:tcW w:w="5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1D01876E" w14:textId="77777777" w:rsidR="00BD776B" w:rsidRDefault="00BD776B">
            <w:pPr>
              <w:snapToGrid w:val="0"/>
              <w:spacing w:line="480" w:lineRule="exact"/>
              <w:rPr>
                <w:rFonts w:ascii="標楷體" w:eastAsia="標楷體" w:hAnsi="標楷體"/>
                <w:color w:val="000000"/>
              </w:rPr>
            </w:pPr>
          </w:p>
        </w:tc>
        <w:tc>
          <w:tcPr>
            <w:tcW w:w="720"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EB54CDE" w14:textId="77777777" w:rsidR="00BD776B" w:rsidRDefault="00DF0C24">
            <w:pPr>
              <w:snapToGrid w:val="0"/>
              <w:spacing w:line="480" w:lineRule="exact"/>
            </w:pPr>
            <w:r>
              <w:rPr>
                <w:rFonts w:ascii="標楷體" w:eastAsia="標楷體" w:hAnsi="標楷體" w:cs="標楷體"/>
                <w:color w:val="000000"/>
              </w:rPr>
              <w:t>年齡</w:t>
            </w:r>
          </w:p>
        </w:tc>
        <w:tc>
          <w:tcPr>
            <w:tcW w:w="9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6C52CC8B" w14:textId="77777777" w:rsidR="00BD776B" w:rsidRDefault="00BD776B">
            <w:pPr>
              <w:snapToGrid w:val="0"/>
              <w:spacing w:line="480" w:lineRule="exact"/>
              <w:rPr>
                <w:rFonts w:ascii="標楷體" w:eastAsia="標楷體" w:hAnsi="標楷體"/>
                <w:color w:val="000000"/>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F7DDFEA" w14:textId="77777777" w:rsidR="00BD776B" w:rsidRDefault="00DF0C24">
            <w:pPr>
              <w:snapToGrid w:val="0"/>
              <w:spacing w:line="480" w:lineRule="exact"/>
            </w:pPr>
            <w:r>
              <w:rPr>
                <w:rFonts w:ascii="標楷體" w:eastAsia="標楷體" w:hAnsi="標楷體" w:cs="標楷體"/>
                <w:color w:val="000000"/>
              </w:rPr>
              <w:t>出生日期</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B03F1BE" w14:textId="77777777" w:rsidR="00BD776B" w:rsidRDefault="00BD776B">
            <w:pPr>
              <w:snapToGrid w:val="0"/>
              <w:spacing w:line="480" w:lineRule="exact"/>
              <w:rPr>
                <w:rFonts w:ascii="標楷體" w:eastAsia="標楷體" w:hAnsi="標楷體"/>
                <w:color w:val="000000"/>
              </w:rPr>
            </w:pPr>
          </w:p>
        </w:tc>
      </w:tr>
      <w:tr w:rsidR="00BD776B" w14:paraId="6684FF41"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AB80391" w14:textId="77777777" w:rsidR="00BD776B" w:rsidRDefault="00DF0C24">
            <w:pPr>
              <w:snapToGrid w:val="0"/>
              <w:spacing w:line="480" w:lineRule="exact"/>
            </w:pPr>
            <w:r>
              <w:rPr>
                <w:rFonts w:ascii="標楷體" w:eastAsia="標楷體" w:hAnsi="標楷體" w:cs="標楷體"/>
                <w:color w:val="000000"/>
              </w:rPr>
              <w:t>身份證號</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106DB363" w14:textId="77777777" w:rsidR="00BD776B" w:rsidRDefault="00BD776B">
            <w:pPr>
              <w:snapToGrid w:val="0"/>
              <w:spacing w:line="480" w:lineRule="exact"/>
              <w:rPr>
                <w:rFonts w:ascii="標楷體" w:eastAsia="標楷體" w:hAnsi="標楷體"/>
                <w:color w:val="000000"/>
              </w:rPr>
            </w:pPr>
          </w:p>
        </w:tc>
        <w:tc>
          <w:tcPr>
            <w:tcW w:w="1260"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B878B0B" w14:textId="77777777" w:rsidR="00BD776B" w:rsidRDefault="00DF0C24">
            <w:pPr>
              <w:snapToGrid w:val="0"/>
              <w:spacing w:line="480" w:lineRule="exact"/>
            </w:pPr>
            <w:r>
              <w:rPr>
                <w:rFonts w:ascii="標楷體" w:eastAsia="標楷體" w:hAnsi="標楷體" w:cs="標楷體"/>
                <w:color w:val="000000"/>
              </w:rPr>
              <w:t>病歷號碼</w:t>
            </w:r>
          </w:p>
        </w:tc>
        <w:tc>
          <w:tcPr>
            <w:tcW w:w="162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79EE1A08" w14:textId="77777777" w:rsidR="00BD776B" w:rsidRDefault="00BD776B">
            <w:pPr>
              <w:snapToGrid w:val="0"/>
              <w:spacing w:line="480" w:lineRule="exact"/>
              <w:rPr>
                <w:rFonts w:ascii="標楷體" w:eastAsia="標楷體" w:hAnsi="標楷體"/>
                <w:color w:val="000000"/>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E699A78" w14:textId="77777777" w:rsidR="00BD776B" w:rsidRDefault="00DF0C24">
            <w:pPr>
              <w:snapToGrid w:val="0"/>
              <w:spacing w:line="480" w:lineRule="exact"/>
            </w:pPr>
            <w:r>
              <w:rPr>
                <w:rFonts w:ascii="標楷體" w:eastAsia="標楷體" w:hAnsi="標楷體" w:cs="標楷體"/>
                <w:color w:val="000000"/>
              </w:rPr>
              <w:t>體重</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457C748" w14:textId="77777777" w:rsidR="00BD776B" w:rsidRDefault="00BD776B">
            <w:pPr>
              <w:snapToGrid w:val="0"/>
              <w:spacing w:line="480" w:lineRule="exact"/>
              <w:rPr>
                <w:rFonts w:ascii="標楷體" w:eastAsia="標楷體" w:hAnsi="標楷體"/>
                <w:color w:val="000000"/>
              </w:rPr>
            </w:pPr>
          </w:p>
        </w:tc>
      </w:tr>
      <w:tr w:rsidR="00BD776B" w14:paraId="3F620DCA"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741423F" w14:textId="77777777" w:rsidR="00BD776B" w:rsidRDefault="00DF0C24">
            <w:pPr>
              <w:snapToGrid w:val="0"/>
              <w:spacing w:line="480" w:lineRule="exact"/>
            </w:pPr>
            <w:r>
              <w:rPr>
                <w:rFonts w:ascii="標楷體" w:eastAsia="標楷體" w:hAnsi="標楷體" w:cs="標楷體"/>
                <w:color w:val="000000"/>
              </w:rPr>
              <w:t>藥品名稱</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3D97385D" w14:textId="77777777" w:rsidR="00BD776B" w:rsidRDefault="00BD776B">
            <w:pPr>
              <w:snapToGrid w:val="0"/>
              <w:spacing w:line="480" w:lineRule="exact"/>
              <w:rPr>
                <w:rFonts w:ascii="標楷體" w:eastAsia="標楷體" w:hAnsi="標楷體"/>
                <w:color w:val="000000"/>
              </w:rPr>
            </w:pPr>
          </w:p>
        </w:tc>
        <w:tc>
          <w:tcPr>
            <w:tcW w:w="1260"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D5A1A94" w14:textId="77777777" w:rsidR="00BD776B" w:rsidRDefault="00DF0C24">
            <w:pPr>
              <w:snapToGrid w:val="0"/>
              <w:spacing w:line="480" w:lineRule="exact"/>
            </w:pPr>
            <w:r>
              <w:rPr>
                <w:rFonts w:ascii="標楷體" w:eastAsia="標楷體" w:hAnsi="標楷體" w:cs="標楷體"/>
                <w:color w:val="000000"/>
              </w:rPr>
              <w:t>藥品代碼</w:t>
            </w:r>
          </w:p>
        </w:tc>
        <w:tc>
          <w:tcPr>
            <w:tcW w:w="162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34BA94F4" w14:textId="77777777" w:rsidR="00BD776B" w:rsidRDefault="00BD776B">
            <w:pPr>
              <w:snapToGrid w:val="0"/>
              <w:spacing w:line="480" w:lineRule="exact"/>
              <w:rPr>
                <w:rFonts w:ascii="標楷體" w:eastAsia="標楷體" w:hAnsi="標楷體"/>
                <w:color w:val="000000"/>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4F131C6" w14:textId="77777777" w:rsidR="00BD776B" w:rsidRDefault="00DF0C24">
            <w:pPr>
              <w:snapToGrid w:val="0"/>
              <w:spacing w:line="480" w:lineRule="exact"/>
            </w:pPr>
            <w:r>
              <w:rPr>
                <w:rFonts w:ascii="標楷體" w:eastAsia="標楷體" w:hAnsi="標楷體" w:cs="標楷體"/>
                <w:color w:val="000000"/>
              </w:rPr>
              <w:t>申請數量</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40F70AA" w14:textId="77777777" w:rsidR="00BD776B" w:rsidRDefault="00BD776B">
            <w:pPr>
              <w:snapToGrid w:val="0"/>
              <w:spacing w:line="480" w:lineRule="exact"/>
              <w:rPr>
                <w:rFonts w:ascii="標楷體" w:eastAsia="標楷體" w:hAnsi="標楷體"/>
                <w:color w:val="000000"/>
              </w:rPr>
            </w:pPr>
          </w:p>
        </w:tc>
      </w:tr>
      <w:tr w:rsidR="00BD776B" w14:paraId="470F30ED" w14:textId="77777777">
        <w:trPr>
          <w:cantSplit/>
        </w:trPr>
        <w:tc>
          <w:tcPr>
            <w:tcW w:w="1393" w:type="dxa"/>
            <w:tcBorders>
              <w:top w:val="single" w:sz="6" w:space="0" w:color="000000"/>
              <w:left w:val="double" w:sz="6" w:space="0" w:color="000000"/>
              <w:bottom w:val="double" w:sz="6" w:space="0" w:color="000000"/>
            </w:tcBorders>
            <w:shd w:val="clear" w:color="auto" w:fill="auto"/>
            <w:tcMar>
              <w:top w:w="0" w:type="dxa"/>
              <w:left w:w="28" w:type="dxa"/>
              <w:bottom w:w="0" w:type="dxa"/>
              <w:right w:w="28" w:type="dxa"/>
            </w:tcMar>
          </w:tcPr>
          <w:p w14:paraId="2FB7C4AB" w14:textId="77777777" w:rsidR="00BD776B" w:rsidRDefault="00DF0C24">
            <w:pPr>
              <w:snapToGrid w:val="0"/>
              <w:spacing w:line="480" w:lineRule="exact"/>
            </w:pPr>
            <w:r>
              <w:rPr>
                <w:rFonts w:ascii="標楷體" w:eastAsia="標楷體" w:hAnsi="標楷體" w:cs="標楷體"/>
                <w:color w:val="000000"/>
              </w:rPr>
              <w:t>使用期間</w:t>
            </w:r>
          </w:p>
        </w:tc>
        <w:tc>
          <w:tcPr>
            <w:tcW w:w="4575" w:type="dxa"/>
            <w:gridSpan w:val="5"/>
            <w:tcBorders>
              <w:top w:val="single" w:sz="6" w:space="0" w:color="000000"/>
              <w:left w:val="single" w:sz="6" w:space="0" w:color="000000"/>
              <w:bottom w:val="double" w:sz="6" w:space="0" w:color="000000"/>
            </w:tcBorders>
            <w:shd w:val="clear" w:color="auto" w:fill="auto"/>
            <w:tcMar>
              <w:top w:w="0" w:type="dxa"/>
              <w:left w:w="28" w:type="dxa"/>
              <w:bottom w:w="0" w:type="dxa"/>
              <w:right w:w="28" w:type="dxa"/>
            </w:tcMar>
          </w:tcPr>
          <w:p w14:paraId="38009622" w14:textId="77777777" w:rsidR="00BD776B" w:rsidRDefault="00DF0C24">
            <w:pPr>
              <w:snapToGrid w:val="0"/>
              <w:spacing w:line="480" w:lineRule="exact"/>
            </w:pPr>
            <w:r>
              <w:rPr>
                <w:rFonts w:ascii="標楷體" w:eastAsia="標楷體" w:hAnsi="標楷體" w:cs="標楷體"/>
                <w:color w:val="000000"/>
              </w:rPr>
              <w:t>自　年　月　日　至　年　月　日</w:t>
            </w:r>
          </w:p>
        </w:tc>
        <w:tc>
          <w:tcPr>
            <w:tcW w:w="1393"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098C712B" w14:textId="77777777" w:rsidR="00BD776B" w:rsidRDefault="00DF0C24">
            <w:pPr>
              <w:snapToGrid w:val="0"/>
              <w:spacing w:line="480" w:lineRule="exact"/>
            </w:pPr>
            <w:r>
              <w:rPr>
                <w:rFonts w:ascii="標楷體" w:eastAsia="標楷體" w:hAnsi="標楷體" w:cs="標楷體"/>
                <w:color w:val="000000"/>
              </w:rPr>
              <w:t>用法用量</w:t>
            </w:r>
          </w:p>
        </w:tc>
        <w:tc>
          <w:tcPr>
            <w:tcW w:w="1667"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6BDE37CA" w14:textId="77777777" w:rsidR="00BD776B" w:rsidRDefault="00BD776B">
            <w:pPr>
              <w:snapToGrid w:val="0"/>
              <w:spacing w:line="480" w:lineRule="exact"/>
              <w:rPr>
                <w:rFonts w:ascii="標楷體" w:eastAsia="標楷體" w:hAnsi="標楷體"/>
                <w:color w:val="000000"/>
              </w:rPr>
            </w:pPr>
          </w:p>
        </w:tc>
      </w:tr>
    </w:tbl>
    <w:p w14:paraId="2CD4C758" w14:textId="77777777" w:rsidR="00BD776B" w:rsidRDefault="00BD776B">
      <w:pPr>
        <w:snapToGrid w:val="0"/>
        <w:spacing w:line="380" w:lineRule="exact"/>
        <w:rPr>
          <w:rFonts w:ascii="標楷體" w:eastAsia="標楷體" w:hAnsi="標楷體"/>
          <w:color w:val="000000"/>
        </w:rPr>
      </w:pPr>
    </w:p>
    <w:tbl>
      <w:tblPr>
        <w:tblW w:w="8974" w:type="dxa"/>
        <w:tblInd w:w="54" w:type="dxa"/>
        <w:tblLayout w:type="fixed"/>
        <w:tblCellMar>
          <w:left w:w="10" w:type="dxa"/>
          <w:right w:w="10" w:type="dxa"/>
        </w:tblCellMar>
        <w:tblLook w:val="0000" w:firstRow="0" w:lastRow="0" w:firstColumn="0" w:lastColumn="0" w:noHBand="0" w:noVBand="0"/>
      </w:tblPr>
      <w:tblGrid>
        <w:gridCol w:w="8974"/>
      </w:tblGrid>
      <w:tr w:rsidR="00BD776B" w14:paraId="12D007F0" w14:textId="77777777">
        <w:trPr>
          <w:trHeight w:val="544"/>
        </w:trPr>
        <w:tc>
          <w:tcPr>
            <w:tcW w:w="8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04D3D" w14:textId="77777777" w:rsidR="00BD776B" w:rsidRDefault="00DF0C24" w:rsidP="008A7063">
            <w:pPr>
              <w:numPr>
                <w:ilvl w:val="0"/>
                <w:numId w:val="36"/>
              </w:numPr>
              <w:suppressAutoHyphens w:val="0"/>
              <w:snapToGrid w:val="0"/>
              <w:spacing w:line="480" w:lineRule="exact"/>
              <w:textAlignment w:val="auto"/>
            </w:pPr>
            <w:r>
              <w:rPr>
                <w:rFonts w:ascii="標楷體" w:eastAsia="標楷體" w:hAnsi="標楷體" w:cs="標楷體"/>
                <w:color w:val="000000"/>
              </w:rPr>
              <w:t>急性缺血性腦中風</w:t>
            </w:r>
          </w:p>
        </w:tc>
      </w:tr>
    </w:tbl>
    <w:p w14:paraId="51CD2F85" w14:textId="77777777" w:rsidR="00BD776B" w:rsidRDefault="00BD776B">
      <w:pPr>
        <w:snapToGrid w:val="0"/>
        <w:spacing w:line="480" w:lineRule="exact"/>
        <w:rPr>
          <w:rFonts w:ascii="標楷體" w:eastAsia="標楷體" w:hAnsi="標楷體"/>
          <w:color w:val="000000"/>
        </w:rPr>
      </w:pPr>
    </w:p>
    <w:tbl>
      <w:tblPr>
        <w:tblW w:w="9124" w:type="dxa"/>
        <w:tblLayout w:type="fixed"/>
        <w:tblCellMar>
          <w:left w:w="10" w:type="dxa"/>
          <w:right w:w="10" w:type="dxa"/>
        </w:tblCellMar>
        <w:tblLook w:val="0000" w:firstRow="0" w:lastRow="0" w:firstColumn="0" w:lastColumn="0" w:noHBand="0" w:noVBand="0"/>
      </w:tblPr>
      <w:tblGrid>
        <w:gridCol w:w="568"/>
        <w:gridCol w:w="5760"/>
        <w:gridCol w:w="2796"/>
      </w:tblGrid>
      <w:tr w:rsidR="00BD776B" w14:paraId="021D0A5E" w14:textId="77777777">
        <w:trPr>
          <w:cantSplit/>
          <w:trHeight w:val="371"/>
        </w:trPr>
        <w:tc>
          <w:tcPr>
            <w:tcW w:w="568"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47A4D709" w14:textId="77777777" w:rsidR="00BD776B" w:rsidRDefault="00BD776B">
            <w:pPr>
              <w:snapToGrid w:val="0"/>
              <w:spacing w:line="480" w:lineRule="exact"/>
              <w:jc w:val="center"/>
              <w:rPr>
                <w:rFonts w:ascii="標楷體" w:eastAsia="標楷體" w:hAnsi="標楷體"/>
                <w:color w:val="000000"/>
              </w:rPr>
            </w:pPr>
          </w:p>
          <w:p w14:paraId="19DA4652" w14:textId="77777777" w:rsidR="00BD776B" w:rsidRDefault="00BD776B">
            <w:pPr>
              <w:snapToGrid w:val="0"/>
              <w:spacing w:line="480" w:lineRule="exact"/>
              <w:jc w:val="center"/>
              <w:rPr>
                <w:rFonts w:ascii="標楷體" w:eastAsia="標楷體" w:hAnsi="標楷體"/>
                <w:color w:val="000000"/>
              </w:rPr>
            </w:pPr>
          </w:p>
          <w:p w14:paraId="65C8674B" w14:textId="77777777" w:rsidR="00BD776B" w:rsidRDefault="00BD776B">
            <w:pPr>
              <w:snapToGrid w:val="0"/>
              <w:spacing w:line="480" w:lineRule="exact"/>
              <w:jc w:val="center"/>
              <w:rPr>
                <w:rFonts w:ascii="標楷體" w:eastAsia="標楷體" w:hAnsi="標楷體"/>
                <w:color w:val="000000"/>
              </w:rPr>
            </w:pPr>
          </w:p>
          <w:p w14:paraId="542F883A" w14:textId="77777777" w:rsidR="00BD776B" w:rsidRDefault="00DF0C24">
            <w:pPr>
              <w:snapToGrid w:val="0"/>
              <w:spacing w:line="480" w:lineRule="exact"/>
              <w:jc w:val="center"/>
            </w:pPr>
            <w:r>
              <w:rPr>
                <w:rFonts w:ascii="標楷體" w:eastAsia="標楷體" w:hAnsi="標楷體" w:cs="標楷體"/>
                <w:color w:val="000000"/>
              </w:rPr>
              <w:t>診</w:t>
            </w:r>
          </w:p>
          <w:p w14:paraId="3E8A0D0F" w14:textId="77777777" w:rsidR="00BD776B" w:rsidRDefault="00BD776B">
            <w:pPr>
              <w:snapToGrid w:val="0"/>
              <w:spacing w:line="480" w:lineRule="exact"/>
              <w:jc w:val="center"/>
              <w:rPr>
                <w:rFonts w:ascii="標楷體" w:eastAsia="標楷體" w:hAnsi="標楷體"/>
                <w:color w:val="000000"/>
              </w:rPr>
            </w:pPr>
          </w:p>
          <w:p w14:paraId="5123D92E" w14:textId="77777777" w:rsidR="00BD776B" w:rsidRDefault="00BD776B">
            <w:pPr>
              <w:snapToGrid w:val="0"/>
              <w:spacing w:line="480" w:lineRule="exact"/>
              <w:jc w:val="center"/>
              <w:rPr>
                <w:rFonts w:ascii="標楷體" w:eastAsia="標楷體" w:hAnsi="標楷體"/>
                <w:color w:val="000000"/>
              </w:rPr>
            </w:pPr>
          </w:p>
          <w:p w14:paraId="674FA6A8" w14:textId="77777777" w:rsidR="00BD776B" w:rsidRDefault="00BD776B">
            <w:pPr>
              <w:snapToGrid w:val="0"/>
              <w:spacing w:line="480" w:lineRule="exact"/>
              <w:jc w:val="center"/>
              <w:rPr>
                <w:rFonts w:ascii="標楷體" w:eastAsia="標楷體" w:hAnsi="標楷體"/>
                <w:color w:val="000000"/>
              </w:rPr>
            </w:pPr>
          </w:p>
          <w:p w14:paraId="75B958EA" w14:textId="77777777" w:rsidR="00BD776B" w:rsidRDefault="00BD776B">
            <w:pPr>
              <w:snapToGrid w:val="0"/>
              <w:spacing w:line="480" w:lineRule="exact"/>
              <w:jc w:val="center"/>
              <w:rPr>
                <w:rFonts w:ascii="標楷體" w:eastAsia="標楷體" w:hAnsi="標楷體"/>
                <w:color w:val="000000"/>
              </w:rPr>
            </w:pPr>
          </w:p>
          <w:p w14:paraId="6294F9B3" w14:textId="77777777" w:rsidR="00BD776B" w:rsidRDefault="00BD776B">
            <w:pPr>
              <w:snapToGrid w:val="0"/>
              <w:spacing w:line="480" w:lineRule="exact"/>
              <w:jc w:val="center"/>
              <w:rPr>
                <w:rFonts w:ascii="標楷體" w:eastAsia="標楷體" w:hAnsi="標楷體"/>
                <w:color w:val="000000"/>
              </w:rPr>
            </w:pPr>
          </w:p>
          <w:p w14:paraId="083C2910" w14:textId="77777777" w:rsidR="00BD776B" w:rsidRDefault="00BD776B">
            <w:pPr>
              <w:snapToGrid w:val="0"/>
              <w:spacing w:line="480" w:lineRule="exact"/>
              <w:jc w:val="center"/>
              <w:rPr>
                <w:rFonts w:ascii="標楷體" w:eastAsia="標楷體" w:hAnsi="標楷體"/>
                <w:color w:val="000000"/>
              </w:rPr>
            </w:pPr>
          </w:p>
          <w:p w14:paraId="070006E9" w14:textId="77777777" w:rsidR="00BD776B" w:rsidRDefault="00DF0C24">
            <w:pPr>
              <w:snapToGrid w:val="0"/>
              <w:spacing w:line="480" w:lineRule="exact"/>
              <w:jc w:val="center"/>
            </w:pPr>
            <w:r>
              <w:rPr>
                <w:rFonts w:ascii="標楷體" w:eastAsia="標楷體" w:hAnsi="標楷體" w:cs="標楷體"/>
                <w:color w:val="000000"/>
              </w:rPr>
              <w:t>斷</w:t>
            </w:r>
          </w:p>
        </w:tc>
        <w:tc>
          <w:tcPr>
            <w:tcW w:w="576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15BFAF" w14:textId="77777777" w:rsidR="00BD776B" w:rsidRDefault="00DF0C24">
            <w:pPr>
              <w:snapToGrid w:val="0"/>
              <w:spacing w:line="480" w:lineRule="exact"/>
            </w:pPr>
            <w:r>
              <w:rPr>
                <w:rFonts w:ascii="標楷體" w:eastAsia="標楷體" w:hAnsi="標楷體" w:cs="標楷體"/>
                <w:color w:val="000000"/>
              </w:rPr>
              <w:t>□急性缺血性腦中風，符合以下各條件</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676868" w14:textId="77777777" w:rsidR="00BD776B" w:rsidRDefault="00DF0C24">
            <w:pPr>
              <w:snapToGrid w:val="0"/>
              <w:spacing w:line="480" w:lineRule="exact"/>
            </w:pPr>
            <w:r>
              <w:rPr>
                <w:rFonts w:ascii="標楷體" w:eastAsia="標楷體" w:hAnsi="標楷體" w:cs="標楷體"/>
                <w:color w:val="000000"/>
              </w:rPr>
              <w:t>診斷根據</w:t>
            </w:r>
          </w:p>
        </w:tc>
      </w:tr>
      <w:tr w:rsidR="00BD776B" w14:paraId="12E24AA5" w14:textId="77777777">
        <w:trPr>
          <w:cantSplit/>
          <w:trHeight w:val="2327"/>
        </w:trPr>
        <w:tc>
          <w:tcPr>
            <w:tcW w:w="568" w:type="dxa"/>
            <w:vMerge/>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2F236E8C" w14:textId="77777777" w:rsidR="00BD776B" w:rsidRDefault="00BD776B">
            <w:pPr>
              <w:snapToGrid w:val="0"/>
              <w:spacing w:line="480" w:lineRule="exact"/>
              <w:rPr>
                <w:rFonts w:ascii="標楷體" w:eastAsia="標楷體" w:hAnsi="標楷體"/>
                <w:color w:val="000000"/>
              </w:rPr>
            </w:pPr>
          </w:p>
        </w:tc>
        <w:tc>
          <w:tcPr>
            <w:tcW w:w="576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54C5C1" w14:textId="77777777" w:rsidR="00BD776B" w:rsidRDefault="00DF0C24">
            <w:pPr>
              <w:snapToGrid w:val="0"/>
              <w:spacing w:line="480" w:lineRule="exact"/>
            </w:pPr>
            <w:r>
              <w:rPr>
                <w:rFonts w:ascii="標楷體" w:eastAsia="標楷體" w:hAnsi="標楷體" w:cs="標楷體"/>
                <w:color w:val="000000"/>
              </w:rPr>
              <w:t>□確定診斷</w:t>
            </w:r>
          </w:p>
          <w:p w14:paraId="3833663D" w14:textId="77777777" w:rsidR="00BD776B" w:rsidRDefault="00DF0C24">
            <w:pPr>
              <w:snapToGrid w:val="0"/>
              <w:spacing w:line="480" w:lineRule="exact"/>
            </w:pPr>
            <w:r>
              <w:rPr>
                <w:rFonts w:ascii="標楷體" w:eastAsia="標楷體" w:hAnsi="標楷體" w:cs="標楷體"/>
                <w:color w:val="000000"/>
              </w:rPr>
              <w:t>□發作在4.5小時以內(112/10/1)</w:t>
            </w:r>
          </w:p>
          <w:p w14:paraId="26E60602" w14:textId="77777777" w:rsidR="00BD776B" w:rsidRDefault="00DF0C24">
            <w:pPr>
              <w:snapToGrid w:val="0"/>
              <w:spacing w:line="480" w:lineRule="exact"/>
            </w:pPr>
            <w:r>
              <w:rPr>
                <w:rFonts w:ascii="標楷體" w:eastAsia="標楷體" w:hAnsi="標楷體" w:cs="標楷體"/>
                <w:color w:val="000000"/>
              </w:rPr>
              <w:t>□無出血性疾病</w:t>
            </w:r>
          </w:p>
          <w:p w14:paraId="61813804" w14:textId="77777777" w:rsidR="00BD776B" w:rsidRDefault="00DF0C24">
            <w:pPr>
              <w:snapToGrid w:val="0"/>
              <w:spacing w:line="480" w:lineRule="exact"/>
            </w:pPr>
            <w:r>
              <w:rPr>
                <w:rFonts w:ascii="標楷體" w:eastAsia="標楷體" w:hAnsi="標楷體" w:cs="標楷體"/>
                <w:color w:val="000000"/>
              </w:rPr>
              <w:t>□符合適應症</w:t>
            </w:r>
          </w:p>
          <w:p w14:paraId="354EE19F" w14:textId="77777777" w:rsidR="00BD776B" w:rsidRDefault="00DF0C24">
            <w:pPr>
              <w:snapToGrid w:val="0"/>
              <w:spacing w:line="480" w:lineRule="exact"/>
            </w:pPr>
            <w:r>
              <w:rPr>
                <w:rFonts w:ascii="標楷體" w:eastAsia="標楷體" w:hAnsi="標楷體" w:cs="標楷體"/>
                <w:color w:val="000000"/>
              </w:rPr>
              <w:t>□無禁忌症</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E326761" w14:textId="77777777" w:rsidR="00BD776B" w:rsidRDefault="00DF0C24" w:rsidP="008A7063">
            <w:pPr>
              <w:numPr>
                <w:ilvl w:val="0"/>
                <w:numId w:val="37"/>
              </w:numPr>
              <w:suppressAutoHyphens w:val="0"/>
              <w:snapToGrid w:val="0"/>
              <w:spacing w:line="480" w:lineRule="exact"/>
              <w:textAlignment w:val="auto"/>
            </w:pPr>
            <w:r>
              <w:rPr>
                <w:rFonts w:ascii="標楷體" w:eastAsia="標楷體" w:hAnsi="標楷體" w:cs="標楷體"/>
                <w:color w:val="000000"/>
              </w:rPr>
              <w:t>電腦斷層</w:t>
            </w:r>
          </w:p>
          <w:p w14:paraId="5EB4CD2D" w14:textId="77777777" w:rsidR="00BD776B" w:rsidRDefault="00DF0C24" w:rsidP="008A7063">
            <w:pPr>
              <w:numPr>
                <w:ilvl w:val="0"/>
                <w:numId w:val="37"/>
              </w:numPr>
              <w:suppressAutoHyphens w:val="0"/>
              <w:snapToGrid w:val="0"/>
              <w:spacing w:line="480" w:lineRule="exact"/>
              <w:textAlignment w:val="auto"/>
            </w:pPr>
            <w:r>
              <w:rPr>
                <w:rFonts w:ascii="標楷體" w:eastAsia="標楷體" w:hAnsi="標楷體" w:cs="標楷體"/>
                <w:color w:val="000000"/>
              </w:rPr>
              <w:t>核磁共振</w:t>
            </w:r>
          </w:p>
          <w:p w14:paraId="5930287D" w14:textId="77777777" w:rsidR="00BD776B" w:rsidRDefault="00DF0C24" w:rsidP="008A7063">
            <w:pPr>
              <w:numPr>
                <w:ilvl w:val="0"/>
                <w:numId w:val="38"/>
              </w:numPr>
              <w:suppressAutoHyphens w:val="0"/>
              <w:snapToGrid w:val="0"/>
              <w:spacing w:line="480" w:lineRule="exact"/>
              <w:textAlignment w:val="auto"/>
            </w:pPr>
            <w:r>
              <w:rPr>
                <w:rFonts w:eastAsia="標楷體"/>
                <w:color w:val="000000"/>
              </w:rPr>
              <w:t>神經檢查</w:t>
            </w:r>
            <w:r>
              <w:rPr>
                <w:rFonts w:eastAsia="標楷體"/>
                <w:color w:val="000000"/>
              </w:rPr>
              <w:t>(</w:t>
            </w:r>
            <w:r>
              <w:rPr>
                <w:rFonts w:eastAsia="標楷體"/>
                <w:color w:val="000000"/>
              </w:rPr>
              <w:t>含</w:t>
            </w:r>
            <w:r>
              <w:rPr>
                <w:rFonts w:eastAsia="標楷體"/>
                <w:color w:val="000000"/>
              </w:rPr>
              <w:t>NIHSS)</w:t>
            </w:r>
          </w:p>
          <w:p w14:paraId="278E27E4" w14:textId="77777777" w:rsidR="00BD776B" w:rsidRDefault="00DF0C24" w:rsidP="008A7063">
            <w:pPr>
              <w:numPr>
                <w:ilvl w:val="0"/>
                <w:numId w:val="38"/>
              </w:numPr>
              <w:suppressAutoHyphens w:val="0"/>
              <w:snapToGrid w:val="0"/>
              <w:spacing w:line="480" w:lineRule="exact"/>
              <w:textAlignment w:val="auto"/>
            </w:pPr>
            <w:r>
              <w:rPr>
                <w:rFonts w:ascii="標楷體" w:eastAsia="標楷體" w:hAnsi="標楷體" w:cs="標楷體"/>
                <w:color w:val="000000"/>
              </w:rPr>
              <w:t>實驗室檢查</w:t>
            </w:r>
          </w:p>
          <w:p w14:paraId="139D1F90" w14:textId="77777777" w:rsidR="00BD776B" w:rsidRDefault="00DF0C24" w:rsidP="008A7063">
            <w:pPr>
              <w:numPr>
                <w:ilvl w:val="0"/>
                <w:numId w:val="38"/>
              </w:numPr>
              <w:suppressAutoHyphens w:val="0"/>
              <w:snapToGrid w:val="0"/>
              <w:spacing w:line="480" w:lineRule="exact"/>
              <w:textAlignment w:val="auto"/>
            </w:pPr>
            <w:r>
              <w:rPr>
                <w:rFonts w:ascii="標楷體" w:eastAsia="標楷體" w:hAnsi="標楷體" w:cs="標楷體"/>
                <w:color w:val="000000"/>
              </w:rPr>
              <w:t>心電圖</w:t>
            </w:r>
          </w:p>
          <w:p w14:paraId="0DD0809A" w14:textId="77777777" w:rsidR="00BD776B" w:rsidRDefault="00DF0C24" w:rsidP="008A7063">
            <w:pPr>
              <w:numPr>
                <w:ilvl w:val="0"/>
                <w:numId w:val="38"/>
              </w:numPr>
              <w:suppressAutoHyphens w:val="0"/>
              <w:snapToGrid w:val="0"/>
              <w:spacing w:line="480" w:lineRule="exact"/>
              <w:textAlignment w:val="auto"/>
            </w:pPr>
            <w:r>
              <w:rPr>
                <w:rFonts w:ascii="標楷體" w:eastAsia="標楷體" w:hAnsi="標楷體" w:cs="標楷體"/>
                <w:color w:val="000000"/>
              </w:rPr>
              <w:t>其他</w:t>
            </w:r>
          </w:p>
        </w:tc>
      </w:tr>
      <w:tr w:rsidR="00BD776B" w14:paraId="2FA272F3" w14:textId="77777777">
        <w:trPr>
          <w:cantSplit/>
          <w:trHeight w:val="2328"/>
        </w:trPr>
        <w:tc>
          <w:tcPr>
            <w:tcW w:w="568" w:type="dxa"/>
            <w:vMerge/>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14:paraId="0E566659" w14:textId="77777777" w:rsidR="00BD776B" w:rsidRDefault="00BD776B">
            <w:pPr>
              <w:snapToGrid w:val="0"/>
              <w:spacing w:line="380" w:lineRule="exact"/>
              <w:rPr>
                <w:rFonts w:ascii="標楷體" w:eastAsia="標楷體" w:hAnsi="標楷體"/>
                <w:color w:val="000000"/>
              </w:rPr>
            </w:pPr>
          </w:p>
        </w:tc>
        <w:tc>
          <w:tcPr>
            <w:tcW w:w="8556" w:type="dxa"/>
            <w:gridSpan w:val="2"/>
            <w:tcBorders>
              <w:top w:val="single" w:sz="6" w:space="0" w:color="000000"/>
              <w:right w:val="single" w:sz="6" w:space="0" w:color="000000"/>
            </w:tcBorders>
            <w:shd w:val="clear" w:color="auto" w:fill="auto"/>
            <w:tcMar>
              <w:top w:w="0" w:type="dxa"/>
              <w:left w:w="28" w:type="dxa"/>
              <w:bottom w:w="0" w:type="dxa"/>
              <w:right w:w="28" w:type="dxa"/>
            </w:tcMar>
            <w:vAlign w:val="center"/>
          </w:tcPr>
          <w:p w14:paraId="23A125F9" w14:textId="77777777" w:rsidR="00BD776B" w:rsidRDefault="00DF0C24" w:rsidP="008A7063">
            <w:pPr>
              <w:numPr>
                <w:ilvl w:val="0"/>
                <w:numId w:val="37"/>
              </w:numPr>
              <w:suppressAutoHyphens w:val="0"/>
              <w:snapToGrid w:val="0"/>
              <w:spacing w:line="500" w:lineRule="exact"/>
              <w:textAlignment w:val="auto"/>
            </w:pPr>
            <w:r>
              <w:rPr>
                <w:rFonts w:ascii="標楷體" w:eastAsia="標楷體" w:hAnsi="標楷體" w:cs="標楷體"/>
                <w:color w:val="000000"/>
              </w:rPr>
              <w:t>在腦梗塞發作三小時以內注射</w:t>
            </w:r>
          </w:p>
          <w:p w14:paraId="783A796D" w14:textId="77777777" w:rsidR="00BD776B" w:rsidRDefault="00DF0C24">
            <w:pPr>
              <w:snapToGrid w:val="0"/>
              <w:spacing w:line="500" w:lineRule="exact"/>
            </w:pPr>
            <w:r>
              <w:rPr>
                <w:rFonts w:ascii="標楷體" w:eastAsia="標楷體" w:hAnsi="標楷體" w:cs="標楷體"/>
                <w:color w:val="000000"/>
              </w:rPr>
              <w:t>發作時刻</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76513EBC" w14:textId="77777777" w:rsidR="00BD776B" w:rsidRDefault="00DF0C24">
            <w:pPr>
              <w:snapToGrid w:val="0"/>
              <w:spacing w:line="500" w:lineRule="exact"/>
            </w:pPr>
            <w:r>
              <w:rPr>
                <w:rFonts w:ascii="標楷體" w:eastAsia="標楷體" w:hAnsi="標楷體" w:cs="標楷體"/>
                <w:color w:val="000000"/>
              </w:rPr>
              <w:t>來診時刻</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25E0A11E" w14:textId="77777777" w:rsidR="00BD776B" w:rsidRDefault="00DF0C24">
            <w:pPr>
              <w:snapToGrid w:val="0"/>
              <w:spacing w:line="500" w:lineRule="exact"/>
            </w:pPr>
            <w:r>
              <w:rPr>
                <w:rFonts w:ascii="標楷體" w:eastAsia="標楷體" w:hAnsi="標楷體" w:cs="標楷體"/>
                <w:color w:val="000000"/>
              </w:rPr>
              <w:t>電腦斷層和核磁共振完成時間</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3591C840" w14:textId="77777777" w:rsidR="00BD776B" w:rsidRDefault="00DF0C24">
            <w:pPr>
              <w:snapToGrid w:val="0"/>
              <w:spacing w:line="500" w:lineRule="exact"/>
            </w:pPr>
            <w:r>
              <w:rPr>
                <w:rFonts w:ascii="標楷體" w:eastAsia="標楷體" w:hAnsi="標楷體" w:cs="標楷體"/>
                <w:color w:val="000000"/>
              </w:rPr>
              <w:t>開始注射時間</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r>
              <w:rPr>
                <w:rFonts w:ascii="標楷體" w:eastAsia="標楷體" w:hAnsi="標楷體" w:cs="標楷體"/>
                <w:color w:val="000000"/>
                <w:u w:val="single"/>
              </w:rPr>
              <w:t xml:space="preserve">　　</w:t>
            </w:r>
            <w:r>
              <w:rPr>
                <w:rFonts w:ascii="標楷體" w:eastAsia="標楷體" w:hAnsi="標楷體" w:cs="標楷體"/>
                <w:color w:val="000000"/>
              </w:rPr>
              <w:t>時</w:t>
            </w:r>
            <w:r>
              <w:rPr>
                <w:rFonts w:ascii="標楷體" w:eastAsia="標楷體" w:hAnsi="標楷體" w:cs="標楷體"/>
                <w:color w:val="000000"/>
                <w:u w:val="single"/>
              </w:rPr>
              <w:t xml:space="preserve">　　</w:t>
            </w:r>
            <w:r>
              <w:rPr>
                <w:rFonts w:ascii="標楷體" w:eastAsia="標楷體" w:hAnsi="標楷體" w:cs="標楷體"/>
                <w:color w:val="000000"/>
              </w:rPr>
              <w:t>分</w:t>
            </w:r>
          </w:p>
          <w:p w14:paraId="34BC1C9D" w14:textId="77777777" w:rsidR="00BD776B" w:rsidRDefault="00BD776B">
            <w:pPr>
              <w:snapToGrid w:val="0"/>
              <w:spacing w:line="380" w:lineRule="exact"/>
              <w:rPr>
                <w:rFonts w:ascii="標楷體" w:eastAsia="標楷體" w:hAnsi="標楷體"/>
                <w:color w:val="000000"/>
              </w:rPr>
            </w:pPr>
          </w:p>
        </w:tc>
      </w:tr>
      <w:tr w:rsidR="00BD776B" w14:paraId="2E6B6A95" w14:textId="77777777">
        <w:trPr>
          <w:cantSplit/>
          <w:trHeight w:val="503"/>
        </w:trPr>
        <w:tc>
          <w:tcPr>
            <w:tcW w:w="912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20ABCC" w14:textId="77777777" w:rsidR="00BD776B" w:rsidRDefault="00DF0C24">
            <w:pPr>
              <w:snapToGrid w:val="0"/>
              <w:spacing w:line="480" w:lineRule="exact"/>
            </w:pPr>
            <w:r>
              <w:rPr>
                <w:rFonts w:ascii="標楷體" w:eastAsia="標楷體" w:hAnsi="標楷體" w:cs="標楷體"/>
                <w:color w:val="000000"/>
              </w:rPr>
              <w:t>實際用量：</w:t>
            </w:r>
            <w:r>
              <w:rPr>
                <w:rFonts w:ascii="標楷體" w:eastAsia="標楷體" w:hAnsi="標楷體" w:cs="標楷體"/>
                <w:color w:val="000000"/>
                <w:u w:val="single"/>
              </w:rPr>
              <w:t xml:space="preserve">          </w:t>
            </w:r>
            <w:r>
              <w:rPr>
                <w:rFonts w:ascii="標楷體" w:eastAsia="標楷體" w:hAnsi="標楷體" w:cs="標楷體"/>
                <w:color w:val="000000"/>
              </w:rPr>
              <w:t xml:space="preserve"> </w:t>
            </w:r>
            <w:r>
              <w:rPr>
                <w:rFonts w:eastAsia="標楷體"/>
                <w:color w:val="000000"/>
              </w:rPr>
              <w:t>mg</w:t>
            </w:r>
          </w:p>
        </w:tc>
      </w:tr>
    </w:tbl>
    <w:p w14:paraId="69E495D1" w14:textId="77777777" w:rsidR="00BD776B" w:rsidRDefault="00DF0C24">
      <w:pPr>
        <w:snapToGrid w:val="0"/>
        <w:spacing w:line="380" w:lineRule="exact"/>
      </w:pPr>
      <w:r>
        <w:rPr>
          <w:rFonts w:ascii="標楷體" w:eastAsia="標楷體" w:hAnsi="標楷體" w:cs="標楷體"/>
          <w:color w:val="000000"/>
        </w:rPr>
        <w:t>申報醫師：                     本表請併醫療費用申報</w:t>
      </w:r>
    </w:p>
    <w:p w14:paraId="01545BE8" w14:textId="77777777" w:rsidR="00BD776B" w:rsidRDefault="00BD776B">
      <w:pPr>
        <w:snapToGrid w:val="0"/>
      </w:pPr>
    </w:p>
    <w:p w14:paraId="1C5672C1" w14:textId="77777777" w:rsidR="00BD776B" w:rsidRDefault="00BD776B">
      <w:pPr>
        <w:snapToGrid w:val="0"/>
        <w:spacing w:line="360" w:lineRule="exact"/>
        <w:rPr>
          <w:rFonts w:ascii="標楷體" w:eastAsia="標楷體" w:hAnsi="標楷體"/>
        </w:rPr>
      </w:pPr>
    </w:p>
    <w:p w14:paraId="3B7D14AE" w14:textId="77777777" w:rsidR="00BD776B" w:rsidRDefault="00BD776B">
      <w:pPr>
        <w:pageBreakBefore/>
        <w:widowControl/>
        <w:suppressAutoHyphens w:val="0"/>
      </w:pPr>
    </w:p>
    <w:p w14:paraId="488F2FE3" w14:textId="77777777" w:rsidR="00BD776B" w:rsidRDefault="00DF0C24">
      <w:pPr>
        <w:pStyle w:val="ab"/>
        <w:snapToGrid w:val="0"/>
        <w:spacing w:line="480" w:lineRule="exact"/>
        <w:jc w:val="both"/>
      </w:pPr>
      <w:r>
        <w:rPr>
          <w:rFonts w:eastAsia="標楷體"/>
          <w:color w:val="000000"/>
        </w:rPr>
        <w:t>附表二</w:t>
      </w:r>
      <w:r>
        <w:rPr>
          <w:rFonts w:eastAsia="標楷體"/>
          <w:color w:val="000000"/>
        </w:rPr>
        <w:t xml:space="preserve">-C  </w:t>
      </w:r>
      <w:r>
        <w:rPr>
          <w:rFonts w:eastAsia="標楷體"/>
          <w:color w:val="000000"/>
        </w:rPr>
        <w:t>急性缺血性腦中風之血栓溶解治療檢查表</w:t>
      </w:r>
    </w:p>
    <w:p w14:paraId="382D035D" w14:textId="77777777" w:rsidR="00BD776B" w:rsidRDefault="00BD776B">
      <w:pPr>
        <w:pStyle w:val="ab"/>
        <w:snapToGrid w:val="0"/>
        <w:spacing w:line="480" w:lineRule="exact"/>
        <w:jc w:val="center"/>
        <w:rPr>
          <w:rFonts w:eastAsia="標楷體"/>
          <w:color w:val="000000"/>
        </w:rPr>
      </w:pPr>
    </w:p>
    <w:p w14:paraId="31E6CFD7" w14:textId="77777777" w:rsidR="00BD776B" w:rsidRDefault="00DF0C24" w:rsidP="008A7063">
      <w:pPr>
        <w:pStyle w:val="ab"/>
        <w:widowControl/>
        <w:numPr>
          <w:ilvl w:val="0"/>
          <w:numId w:val="39"/>
        </w:numPr>
        <w:tabs>
          <w:tab w:val="left" w:pos="-31680"/>
        </w:tabs>
        <w:snapToGrid w:val="0"/>
        <w:spacing w:line="400" w:lineRule="exact"/>
        <w:jc w:val="both"/>
      </w:pPr>
      <w:r>
        <w:rPr>
          <w:rFonts w:ascii="標楷體" w:eastAsia="標楷體" w:hAnsi="標楷體" w:cs="標楷體"/>
          <w:color w:val="000000"/>
        </w:rPr>
        <w:t>收案條件 （必須均為”是”）</w:t>
      </w:r>
    </w:p>
    <w:p w14:paraId="7EC048C3" w14:textId="77777777" w:rsidR="00BD776B" w:rsidRDefault="00DF0C24">
      <w:pPr>
        <w:pStyle w:val="ab"/>
        <w:snapToGrid w:val="0"/>
        <w:spacing w:line="400" w:lineRule="exact"/>
        <w:ind w:left="480"/>
      </w:pPr>
      <w:r>
        <w:rPr>
          <w:rFonts w:ascii="標楷體" w:eastAsia="標楷體" w:hAnsi="標楷體" w:cs="標楷體"/>
          <w:color w:val="000000"/>
        </w:rPr>
        <w:t>是      否</w:t>
      </w:r>
    </w:p>
    <w:p w14:paraId="31B462FE" w14:textId="77777777" w:rsidR="00BD776B" w:rsidRDefault="00DF0C24">
      <w:pPr>
        <w:pStyle w:val="ab"/>
        <w:snapToGrid w:val="0"/>
        <w:spacing w:line="400" w:lineRule="exact"/>
        <w:ind w:left="1930" w:hanging="1452"/>
      </w:pPr>
      <w:r>
        <w:rPr>
          <w:rFonts w:ascii="標楷體" w:eastAsia="標楷體" w:hAnsi="標楷體" w:cs="標楷體"/>
          <w:color w:val="000000"/>
        </w:rPr>
        <w:t>□　　　□  臨床懷疑是急性缺血性腦中風，中風時間明確在4.5小時內並已完成各項檢查。(112/10/1)</w:t>
      </w:r>
    </w:p>
    <w:p w14:paraId="70467161" w14:textId="77777777" w:rsidR="00BD776B" w:rsidRDefault="00DF0C24">
      <w:pPr>
        <w:pStyle w:val="ab"/>
        <w:snapToGrid w:val="0"/>
        <w:spacing w:line="400" w:lineRule="exact"/>
        <w:ind w:left="475"/>
      </w:pPr>
      <w:r>
        <w:rPr>
          <w:rFonts w:ascii="標楷體" w:eastAsia="標楷體" w:hAnsi="標楷體" w:cs="標楷體"/>
          <w:color w:val="000000"/>
        </w:rPr>
        <w:t>□　　　□  腦部電腦斷層沒有顱內出血。</w:t>
      </w:r>
    </w:p>
    <w:p w14:paraId="59787E8A" w14:textId="77777777" w:rsidR="00BD776B" w:rsidRDefault="00DF0C24">
      <w:pPr>
        <w:pStyle w:val="ab"/>
        <w:snapToGrid w:val="0"/>
        <w:spacing w:line="400" w:lineRule="exact"/>
        <w:ind w:left="475"/>
      </w:pPr>
      <w:r>
        <w:rPr>
          <w:rFonts w:ascii="標楷體" w:eastAsia="標楷體" w:hAnsi="標楷體" w:cs="標楷體"/>
          <w:color w:val="000000"/>
        </w:rPr>
        <w:t>□　　　□  年齡在18歲以上。(107/11/1)</w:t>
      </w:r>
    </w:p>
    <w:p w14:paraId="7E9B47F9" w14:textId="77777777" w:rsidR="00BD776B" w:rsidRDefault="00DF0C24" w:rsidP="008A7063">
      <w:pPr>
        <w:pStyle w:val="ab"/>
        <w:widowControl/>
        <w:numPr>
          <w:ilvl w:val="0"/>
          <w:numId w:val="39"/>
        </w:numPr>
        <w:tabs>
          <w:tab w:val="left" w:pos="-31680"/>
        </w:tabs>
        <w:snapToGrid w:val="0"/>
        <w:spacing w:line="400" w:lineRule="exact"/>
        <w:jc w:val="both"/>
      </w:pPr>
      <w:r>
        <w:rPr>
          <w:rFonts w:ascii="標楷體" w:eastAsia="標楷體" w:hAnsi="標楷體" w:cs="標楷體"/>
          <w:color w:val="000000"/>
        </w:rPr>
        <w:t>排除條件 （必須均為”否”）</w:t>
      </w:r>
    </w:p>
    <w:p w14:paraId="2625257A" w14:textId="77777777" w:rsidR="00BD776B" w:rsidRDefault="00DF0C24">
      <w:pPr>
        <w:pStyle w:val="ab"/>
        <w:snapToGrid w:val="0"/>
        <w:spacing w:line="400" w:lineRule="exact"/>
        <w:ind w:left="480"/>
      </w:pPr>
      <w:r>
        <w:rPr>
          <w:rFonts w:ascii="標楷體" w:eastAsia="標楷體" w:hAnsi="標楷體" w:cs="標楷體"/>
          <w:color w:val="000000"/>
        </w:rPr>
        <w:t>是      否</w:t>
      </w:r>
    </w:p>
    <w:p w14:paraId="7A1B8345" w14:textId="77777777" w:rsidR="00BD776B" w:rsidRDefault="00DF0C24">
      <w:pPr>
        <w:pStyle w:val="ab"/>
        <w:snapToGrid w:val="0"/>
        <w:spacing w:line="400" w:lineRule="exact"/>
        <w:ind w:left="480"/>
      </w:pPr>
      <w:r>
        <w:rPr>
          <w:rFonts w:ascii="標楷體" w:eastAsia="標楷體" w:hAnsi="標楷體" w:cs="標楷體"/>
          <w:color w:val="000000"/>
        </w:rPr>
        <w:t>□　　　□  輸注本藥前，缺血性發作的時間已超過4.5小時或症狀發作時間不明。</w:t>
      </w:r>
      <w:r>
        <w:rPr>
          <w:rFonts w:ascii="標楷體" w:eastAsia="標楷體" w:hAnsi="標楷體" w:cs="標楷體"/>
          <w:color w:val="000000"/>
        </w:rPr>
        <w:tab/>
      </w:r>
      <w:r>
        <w:rPr>
          <w:rFonts w:ascii="標楷體" w:eastAsia="標楷體" w:hAnsi="標楷體" w:cs="標楷體"/>
          <w:color w:val="000000"/>
        </w:rPr>
        <w:tab/>
      </w:r>
      <w:r>
        <w:rPr>
          <w:rFonts w:ascii="標楷體" w:eastAsia="標楷體" w:hAnsi="標楷體" w:cs="標楷體"/>
          <w:color w:val="000000"/>
        </w:rPr>
        <w:tab/>
      </w:r>
      <w:r>
        <w:rPr>
          <w:rFonts w:ascii="標楷體" w:eastAsia="標楷體" w:hAnsi="標楷體" w:cs="標楷體"/>
          <w:color w:val="000000"/>
        </w:rPr>
        <w:tab/>
        <w:t>(112/10/1)</w:t>
      </w:r>
    </w:p>
    <w:p w14:paraId="0C87F8FD" w14:textId="77777777" w:rsidR="00BD776B" w:rsidRDefault="00DF0C24">
      <w:pPr>
        <w:pStyle w:val="ab"/>
        <w:snapToGrid w:val="0"/>
        <w:spacing w:line="400" w:lineRule="exact"/>
        <w:ind w:left="1944" w:hanging="1464"/>
      </w:pPr>
      <w:r>
        <w:rPr>
          <w:rFonts w:ascii="標楷體" w:eastAsia="標楷體" w:hAnsi="標楷體" w:cs="標楷體"/>
          <w:color w:val="000000"/>
        </w:rPr>
        <w:t xml:space="preserve">□　　　□  </w:t>
      </w:r>
      <w:r>
        <w:rPr>
          <w:rFonts w:eastAsia="標楷體"/>
          <w:color w:val="000000"/>
        </w:rPr>
        <w:t>輸注本藥前，急性缺血性腦中風的症狀已迅速改善或症狀輕微。（例如</w:t>
      </w:r>
      <w:r>
        <w:rPr>
          <w:rFonts w:eastAsia="標楷體"/>
          <w:color w:val="000000"/>
        </w:rPr>
        <w:t>NIHSS&lt;4</w:t>
      </w:r>
      <w:r>
        <w:rPr>
          <w:rFonts w:eastAsia="標楷體"/>
          <w:color w:val="000000"/>
        </w:rPr>
        <w:t>分）</w:t>
      </w:r>
      <w:r>
        <w:rPr>
          <w:rFonts w:ascii="標楷體" w:eastAsia="標楷體" w:hAnsi="標楷體" w:cs="標楷體"/>
          <w:color w:val="000000"/>
        </w:rPr>
        <w:t>(104/11/1)</w:t>
      </w:r>
    </w:p>
    <w:p w14:paraId="5767AC65" w14:textId="77777777" w:rsidR="00BD776B" w:rsidRDefault="00DF0C24">
      <w:pPr>
        <w:pStyle w:val="ab"/>
        <w:snapToGrid w:val="0"/>
        <w:spacing w:line="400" w:lineRule="exact"/>
        <w:ind w:left="1930" w:hanging="1452"/>
      </w:pPr>
      <w:r>
        <w:rPr>
          <w:rFonts w:ascii="標楷體" w:eastAsia="標楷體" w:hAnsi="標楷體" w:cs="標楷體"/>
          <w:color w:val="000000"/>
        </w:rPr>
        <w:t>□　　　□  臨床（例如NIHSS&gt;25分）及/或適當之影像術評估為嚴重之中風（電</w:t>
      </w:r>
      <w:r>
        <w:rPr>
          <w:rFonts w:eastAsia="標楷體"/>
          <w:color w:val="000000"/>
        </w:rPr>
        <w:t>腦斷層大於</w:t>
      </w:r>
      <w:r>
        <w:rPr>
          <w:rFonts w:eastAsia="標楷體"/>
          <w:color w:val="000000"/>
        </w:rPr>
        <w:t>1/3</w:t>
      </w:r>
      <w:r>
        <w:rPr>
          <w:rFonts w:eastAsia="標楷體"/>
          <w:color w:val="000000"/>
        </w:rPr>
        <w:t>中大腦動脈灌流區之低密度變化）。</w:t>
      </w:r>
    </w:p>
    <w:p w14:paraId="3F4D7828" w14:textId="77777777" w:rsidR="00BD776B" w:rsidRDefault="00DF0C24">
      <w:pPr>
        <w:pStyle w:val="ab"/>
        <w:snapToGrid w:val="0"/>
        <w:spacing w:line="400" w:lineRule="exact"/>
        <w:ind w:left="480"/>
        <w:jc w:val="both"/>
      </w:pPr>
      <w:r>
        <w:rPr>
          <w:rFonts w:ascii="標楷體" w:eastAsia="標楷體" w:hAnsi="標楷體" w:cs="標楷體"/>
          <w:color w:val="000000"/>
        </w:rPr>
        <w:t>□　　　□  中風發作時併發癲癇。</w:t>
      </w:r>
    </w:p>
    <w:p w14:paraId="1A076BBA" w14:textId="77777777" w:rsidR="00BD776B" w:rsidRDefault="00DF0C24">
      <w:pPr>
        <w:pStyle w:val="ab"/>
        <w:snapToGrid w:val="0"/>
        <w:spacing w:line="400" w:lineRule="exact"/>
        <w:ind w:left="480"/>
        <w:jc w:val="both"/>
      </w:pPr>
      <w:r>
        <w:rPr>
          <w:rFonts w:ascii="標楷體" w:eastAsia="標楷體" w:hAnsi="標楷體" w:cs="標楷體"/>
          <w:color w:val="000000"/>
        </w:rPr>
        <w:t>□　　　□  最近3個月內有中風病史或有嚴重性頭部創傷</w:t>
      </w:r>
      <w:r>
        <w:rPr>
          <w:rFonts w:eastAsia="標楷體"/>
          <w:color w:val="000000"/>
        </w:rPr>
        <w:t>。</w:t>
      </w:r>
    </w:p>
    <w:p w14:paraId="29BC8634" w14:textId="77777777" w:rsidR="00BD776B" w:rsidRDefault="00DF0C24">
      <w:pPr>
        <w:pStyle w:val="ab"/>
        <w:snapToGrid w:val="0"/>
        <w:spacing w:line="400" w:lineRule="exact"/>
        <w:ind w:left="480"/>
        <w:jc w:val="both"/>
      </w:pPr>
      <w:r>
        <w:rPr>
          <w:rFonts w:ascii="標楷體" w:eastAsia="標楷體" w:hAnsi="標楷體" w:cs="標楷體"/>
          <w:color w:val="000000"/>
        </w:rPr>
        <w:t>□　　　□  過去曾中風且合併糖尿病。</w:t>
      </w:r>
    </w:p>
    <w:p w14:paraId="4075453E" w14:textId="77777777" w:rsidR="00BD776B" w:rsidRDefault="00DF0C24">
      <w:pPr>
        <w:pStyle w:val="ab"/>
        <w:snapToGrid w:val="0"/>
        <w:spacing w:line="400" w:lineRule="exact"/>
        <w:ind w:left="1918" w:hanging="1438"/>
        <w:jc w:val="both"/>
      </w:pPr>
      <w:r>
        <w:rPr>
          <w:rFonts w:ascii="標楷體" w:eastAsia="標楷體" w:hAnsi="標楷體" w:cs="標楷體"/>
          <w:color w:val="000000"/>
        </w:rPr>
        <w:t xml:space="preserve">□　　　□  </w:t>
      </w:r>
      <w:r>
        <w:rPr>
          <w:rFonts w:eastAsia="標楷體"/>
          <w:color w:val="000000"/>
        </w:rPr>
        <w:t>中風發作前</w:t>
      </w:r>
      <w:r>
        <w:rPr>
          <w:rFonts w:eastAsia="標楷體"/>
          <w:color w:val="000000"/>
        </w:rPr>
        <w:t>48</w:t>
      </w:r>
      <w:r>
        <w:rPr>
          <w:rFonts w:eastAsia="標楷體"/>
          <w:color w:val="000000"/>
        </w:rPr>
        <w:t>小時內使用</w:t>
      </w:r>
      <w:r>
        <w:rPr>
          <w:rFonts w:eastAsia="標楷體"/>
          <w:color w:val="000000"/>
        </w:rPr>
        <w:t>heparin</w:t>
      </w:r>
      <w:r>
        <w:rPr>
          <w:rFonts w:eastAsia="標楷體"/>
          <w:color w:val="000000"/>
        </w:rPr>
        <w:t>，目前病人活化部分凝血脢原時</w:t>
      </w:r>
      <w:r>
        <w:rPr>
          <w:rFonts w:ascii="標楷體" w:eastAsia="標楷體" w:hAnsi="標楷體" w:cs="標楷體"/>
          <w:color w:val="000000"/>
        </w:rPr>
        <w:t>間(aPTT)之值過高。</w:t>
      </w:r>
    </w:p>
    <w:p w14:paraId="6DEE38E2" w14:textId="77777777" w:rsidR="00BD776B" w:rsidRDefault="00DF0C24">
      <w:pPr>
        <w:pStyle w:val="ab"/>
        <w:snapToGrid w:val="0"/>
        <w:spacing w:line="400" w:lineRule="exact"/>
        <w:ind w:left="480"/>
        <w:jc w:val="both"/>
      </w:pPr>
      <w:r>
        <w:rPr>
          <w:rFonts w:ascii="標楷體" w:eastAsia="標楷體" w:hAnsi="標楷體" w:cs="標楷體"/>
          <w:color w:val="000000"/>
        </w:rPr>
        <w:t xml:space="preserve">□　　　□  </w:t>
      </w:r>
      <w:r>
        <w:rPr>
          <w:rFonts w:eastAsia="標楷體"/>
          <w:color w:val="000000"/>
        </w:rPr>
        <w:t>血小板</w:t>
      </w:r>
      <w:r>
        <w:rPr>
          <w:rFonts w:eastAsia="標楷體"/>
          <w:color w:val="000000"/>
        </w:rPr>
        <w:t>&lt;100,000/mm</w:t>
      </w:r>
      <w:r>
        <w:rPr>
          <w:rFonts w:eastAsia="標楷體"/>
          <w:color w:val="000000"/>
          <w:position w:val="24"/>
          <w:sz w:val="16"/>
        </w:rPr>
        <w:t>3</w:t>
      </w:r>
      <w:r>
        <w:rPr>
          <w:rFonts w:eastAsia="標楷體"/>
          <w:color w:val="000000"/>
        </w:rPr>
        <w:t>。</w:t>
      </w:r>
    </w:p>
    <w:p w14:paraId="67091C60" w14:textId="77777777" w:rsidR="00BD776B" w:rsidRDefault="00DF0C24">
      <w:pPr>
        <w:pStyle w:val="ab"/>
        <w:snapToGrid w:val="0"/>
        <w:spacing w:line="400" w:lineRule="exact"/>
        <w:ind w:left="480"/>
        <w:jc w:val="both"/>
      </w:pPr>
      <w:r>
        <w:rPr>
          <w:rFonts w:ascii="標楷體" w:eastAsia="標楷體" w:hAnsi="標楷體" w:cs="標楷體"/>
          <w:color w:val="000000"/>
        </w:rPr>
        <w:t>□　　　□  活動性內出血。</w:t>
      </w:r>
    </w:p>
    <w:p w14:paraId="63928CD4" w14:textId="77777777" w:rsidR="00BD776B" w:rsidRDefault="00DF0C24">
      <w:pPr>
        <w:pStyle w:val="ab"/>
        <w:snapToGrid w:val="0"/>
        <w:spacing w:line="400" w:lineRule="exact"/>
        <w:ind w:left="480"/>
        <w:jc w:val="both"/>
      </w:pPr>
      <w:r>
        <w:rPr>
          <w:rFonts w:ascii="標楷體" w:eastAsia="標楷體" w:hAnsi="標楷體" w:cs="標楷體"/>
          <w:color w:val="000000"/>
        </w:rPr>
        <w:t>□　　　□  顱內腫瘤、動靜脈畸形或血管瘤。</w:t>
      </w:r>
    </w:p>
    <w:p w14:paraId="083187D2" w14:textId="77777777" w:rsidR="00BD776B" w:rsidRDefault="00DF0C24">
      <w:pPr>
        <w:pStyle w:val="ab"/>
        <w:snapToGrid w:val="0"/>
        <w:spacing w:line="400" w:lineRule="exact"/>
        <w:ind w:left="1932" w:hanging="1452"/>
        <w:jc w:val="both"/>
      </w:pPr>
      <w:r>
        <w:rPr>
          <w:rFonts w:ascii="標楷體" w:eastAsia="標楷體" w:hAnsi="標楷體" w:cs="標楷體"/>
          <w:color w:val="000000"/>
        </w:rPr>
        <w:t xml:space="preserve">□　　　□  </w:t>
      </w:r>
      <w:r>
        <w:rPr>
          <w:rFonts w:eastAsia="標楷體"/>
          <w:color w:val="000000"/>
        </w:rPr>
        <w:t>收縮壓</w:t>
      </w:r>
      <w:r>
        <w:rPr>
          <w:rFonts w:eastAsia="標楷體"/>
          <w:color w:val="000000"/>
        </w:rPr>
        <w:t>&gt;185mmHg</w:t>
      </w:r>
      <w:r>
        <w:rPr>
          <w:rFonts w:eastAsia="標楷體"/>
          <w:color w:val="000000"/>
        </w:rPr>
        <w:t>或舒張壓</w:t>
      </w:r>
      <w:r>
        <w:rPr>
          <w:rFonts w:eastAsia="標楷體"/>
          <w:color w:val="000000"/>
        </w:rPr>
        <w:t>&gt;110mmHg</w:t>
      </w:r>
      <w:r>
        <w:rPr>
          <w:rFonts w:eastAsia="標楷體"/>
          <w:color w:val="000000"/>
        </w:rPr>
        <w:t>，或需要積極的治療（靜脈給藥）以降低血壓至前述界限以下。</w:t>
      </w:r>
    </w:p>
    <w:p w14:paraId="6F343EDB" w14:textId="77777777" w:rsidR="00BD776B" w:rsidRDefault="00DF0C24">
      <w:pPr>
        <w:pStyle w:val="ab"/>
        <w:snapToGrid w:val="0"/>
        <w:spacing w:line="400" w:lineRule="exact"/>
        <w:ind w:left="480"/>
        <w:jc w:val="both"/>
      </w:pPr>
      <w:r>
        <w:rPr>
          <w:rFonts w:ascii="標楷體" w:eastAsia="標楷體" w:hAnsi="標楷體" w:cs="標楷體"/>
          <w:color w:val="000000"/>
        </w:rPr>
        <w:t>□　　　□  血糖&lt;50mg/dL或&gt;400mg/dL</w:t>
      </w:r>
      <w:r>
        <w:rPr>
          <w:rFonts w:eastAsia="標楷體"/>
          <w:color w:val="000000"/>
        </w:rPr>
        <w:t>。</w:t>
      </w:r>
    </w:p>
    <w:p w14:paraId="425C40E8" w14:textId="77777777" w:rsidR="00BD776B" w:rsidRDefault="00DF0C24">
      <w:pPr>
        <w:pStyle w:val="ab"/>
        <w:snapToGrid w:val="0"/>
        <w:spacing w:line="400" w:lineRule="exact"/>
        <w:ind w:left="480"/>
        <w:jc w:val="both"/>
      </w:pPr>
      <w:r>
        <w:rPr>
          <w:rFonts w:ascii="標楷體" w:eastAsia="標楷體" w:hAnsi="標楷體" w:cs="標楷體"/>
          <w:color w:val="000000"/>
        </w:rPr>
        <w:t xml:space="preserve">□　　　□  </w:t>
      </w:r>
      <w:r>
        <w:rPr>
          <w:rFonts w:eastAsia="標楷體"/>
          <w:color w:val="000000"/>
        </w:rPr>
        <w:t>目前或過去</w:t>
      </w:r>
      <w:r>
        <w:rPr>
          <w:rFonts w:eastAsia="標楷體"/>
          <w:color w:val="000000"/>
        </w:rPr>
        <w:t>6</w:t>
      </w:r>
      <w:r>
        <w:rPr>
          <w:rFonts w:eastAsia="標楷體"/>
          <w:color w:val="000000"/>
        </w:rPr>
        <w:t>個月內有顯著的出血障礙、易出血體質。</w:t>
      </w:r>
    </w:p>
    <w:p w14:paraId="6832ED1B" w14:textId="77777777" w:rsidR="00BD776B" w:rsidRDefault="00DF0C24">
      <w:pPr>
        <w:pStyle w:val="ab"/>
        <w:snapToGrid w:val="0"/>
        <w:spacing w:line="400" w:lineRule="exact"/>
        <w:ind w:left="480"/>
        <w:jc w:val="both"/>
      </w:pPr>
      <w:r>
        <w:rPr>
          <w:rFonts w:ascii="標楷體" w:eastAsia="標楷體" w:hAnsi="標楷體" w:cs="標楷體"/>
          <w:color w:val="000000"/>
        </w:rPr>
        <w:lastRenderedPageBreak/>
        <w:t>□　　　□  病人正接受口服抗凝血劑，如warfarin sodium（INR&gt;1.3）</w:t>
      </w:r>
      <w:r>
        <w:rPr>
          <w:rFonts w:eastAsia="標楷體"/>
          <w:color w:val="000000"/>
        </w:rPr>
        <w:t>。</w:t>
      </w:r>
    </w:p>
    <w:p w14:paraId="04BF0313" w14:textId="77777777" w:rsidR="00BD776B" w:rsidRDefault="00DF0C24">
      <w:pPr>
        <w:pStyle w:val="ab"/>
        <w:snapToGrid w:val="0"/>
        <w:spacing w:line="400" w:lineRule="exact"/>
        <w:ind w:left="480"/>
        <w:jc w:val="both"/>
      </w:pPr>
      <w:r>
        <w:rPr>
          <w:rFonts w:ascii="標楷體" w:eastAsia="標楷體" w:hAnsi="標楷體" w:cs="標楷體"/>
          <w:color w:val="000000"/>
        </w:rPr>
        <w:t>□　　　□  中樞神經系統損害之病史（腫瘤、血管瘤、顱內或脊柱的手術）。</w:t>
      </w:r>
    </w:p>
    <w:p w14:paraId="2EE59059" w14:textId="77777777" w:rsidR="00BD776B" w:rsidRDefault="00DF0C24">
      <w:pPr>
        <w:pStyle w:val="ab"/>
        <w:snapToGrid w:val="0"/>
        <w:spacing w:line="400" w:lineRule="exact"/>
        <w:ind w:left="480"/>
        <w:jc w:val="both"/>
      </w:pPr>
      <w:r>
        <w:rPr>
          <w:rFonts w:ascii="標楷體" w:eastAsia="標楷體" w:hAnsi="標楷體" w:cs="標楷體"/>
          <w:color w:val="000000"/>
        </w:rPr>
        <w:t>□　　　□  懷疑或證實包括蜘蛛膜下腔出血之顱內出血或其病史。</w:t>
      </w:r>
    </w:p>
    <w:p w14:paraId="37DF72C2" w14:textId="77777777" w:rsidR="00BD776B" w:rsidRDefault="00DF0C24">
      <w:pPr>
        <w:pStyle w:val="ab"/>
        <w:snapToGrid w:val="0"/>
        <w:spacing w:line="400" w:lineRule="exact"/>
        <w:ind w:left="480"/>
        <w:jc w:val="both"/>
      </w:pPr>
      <w:r>
        <w:rPr>
          <w:rFonts w:ascii="標楷體" w:eastAsia="標楷體" w:hAnsi="標楷體" w:cs="標楷體"/>
          <w:color w:val="000000"/>
        </w:rPr>
        <w:t>□　　　□  嚴重且未被控制的動脈高血壓。</w:t>
      </w:r>
    </w:p>
    <w:p w14:paraId="124260CF" w14:textId="77777777" w:rsidR="00BD776B" w:rsidRDefault="00DF0C24">
      <w:pPr>
        <w:pStyle w:val="ab"/>
        <w:snapToGrid w:val="0"/>
        <w:spacing w:line="400" w:lineRule="exact"/>
        <w:ind w:left="1932" w:hanging="1452"/>
        <w:jc w:val="both"/>
      </w:pPr>
      <w:r>
        <w:rPr>
          <w:rFonts w:ascii="標楷體" w:eastAsia="標楷體" w:hAnsi="標楷體" w:cs="標楷體"/>
          <w:color w:val="000000"/>
        </w:rPr>
        <w:t>□　　　□  過去10天內曾動過大手術或嚴重創傷（包括最近之急性心肌梗塞所伴隨的任何創傷）、最近頭部或顱部曾發生創傷。</w:t>
      </w:r>
    </w:p>
    <w:p w14:paraId="1788A0FF" w14:textId="77777777" w:rsidR="00BD776B" w:rsidRDefault="00DF0C24">
      <w:pPr>
        <w:pStyle w:val="ab"/>
        <w:snapToGrid w:val="0"/>
        <w:spacing w:line="400" w:lineRule="exact"/>
        <w:ind w:left="1932" w:hanging="1452"/>
        <w:jc w:val="both"/>
      </w:pPr>
      <w:r>
        <w:rPr>
          <w:rFonts w:ascii="標楷體" w:eastAsia="標楷體" w:hAnsi="標楷體" w:cs="標楷體"/>
          <w:color w:val="000000"/>
        </w:rPr>
        <w:t>□　　　□  過久的或創傷性的心肺復甦術（超過2分鐘）、分娩、過去10天內曾</w:t>
      </w:r>
      <w:r>
        <w:rPr>
          <w:rFonts w:eastAsia="標楷體"/>
          <w:color w:val="000000"/>
        </w:rPr>
        <w:t>對無法壓制之部位施行血管穿刺（如鎖骨下靜脈或頸靜脈穿刺）。</w:t>
      </w:r>
    </w:p>
    <w:p w14:paraId="6F950829" w14:textId="77777777" w:rsidR="00BD776B" w:rsidRDefault="00DF0C24">
      <w:pPr>
        <w:pStyle w:val="ab"/>
        <w:snapToGrid w:val="0"/>
        <w:spacing w:line="400" w:lineRule="exact"/>
        <w:ind w:left="1918" w:hanging="1438"/>
        <w:jc w:val="both"/>
      </w:pPr>
      <w:r>
        <w:rPr>
          <w:rFonts w:ascii="標楷體" w:eastAsia="標楷體" w:hAnsi="標楷體" w:cs="標楷體"/>
          <w:color w:val="000000"/>
        </w:rPr>
        <w:t>□　　　□  嚴重肝病，包括肝衰竭、肝硬化、肝門脈高壓（食道靜脈曲張）及急性肝炎。</w:t>
      </w:r>
    </w:p>
    <w:p w14:paraId="43670F92" w14:textId="77777777" w:rsidR="00BD776B" w:rsidRDefault="00DF0C24">
      <w:pPr>
        <w:pStyle w:val="ab"/>
        <w:snapToGrid w:val="0"/>
        <w:spacing w:line="400" w:lineRule="exact"/>
        <w:ind w:left="1973" w:hanging="1493"/>
        <w:jc w:val="both"/>
      </w:pPr>
      <w:r>
        <w:rPr>
          <w:rFonts w:ascii="標楷體" w:eastAsia="標楷體" w:hAnsi="標楷體" w:cs="標楷體"/>
          <w:color w:val="000000"/>
        </w:rPr>
        <w:t>□　　　□  出血性視網膜病變，如糖尿病性（視覺障礙可能為出血性視網膜病變的指標）或其他出血性眼疾。</w:t>
      </w:r>
    </w:p>
    <w:p w14:paraId="63CD257C" w14:textId="77777777" w:rsidR="00BD776B" w:rsidRDefault="00DF0C24">
      <w:pPr>
        <w:pStyle w:val="ab"/>
        <w:snapToGrid w:val="0"/>
        <w:spacing w:line="400" w:lineRule="exact"/>
        <w:ind w:left="480"/>
        <w:jc w:val="both"/>
      </w:pPr>
      <w:r>
        <w:rPr>
          <w:rFonts w:ascii="標楷體" w:eastAsia="標楷體" w:hAnsi="標楷體" w:cs="標楷體"/>
          <w:color w:val="000000"/>
        </w:rPr>
        <w:t>□　　　□  細菌性心內膜炎，心包炎。</w:t>
      </w:r>
    </w:p>
    <w:p w14:paraId="5023F0E5" w14:textId="77777777" w:rsidR="00BD776B" w:rsidRDefault="00DF0C24">
      <w:pPr>
        <w:pStyle w:val="ab"/>
        <w:snapToGrid w:val="0"/>
        <w:spacing w:line="400" w:lineRule="exact"/>
        <w:ind w:left="480"/>
        <w:jc w:val="both"/>
      </w:pPr>
      <w:r>
        <w:rPr>
          <w:rFonts w:ascii="標楷體" w:eastAsia="標楷體" w:hAnsi="標楷體" w:cs="標楷體"/>
          <w:color w:val="000000"/>
        </w:rPr>
        <w:t>□　　　□  急性胰臟炎。</w:t>
      </w:r>
    </w:p>
    <w:p w14:paraId="0DDD5BC8" w14:textId="77777777" w:rsidR="00BD776B" w:rsidRDefault="00DF0C24">
      <w:pPr>
        <w:pStyle w:val="ab"/>
        <w:snapToGrid w:val="0"/>
        <w:spacing w:line="400" w:lineRule="exact"/>
        <w:ind w:left="480"/>
        <w:jc w:val="both"/>
      </w:pPr>
      <w:r>
        <w:rPr>
          <w:rFonts w:ascii="標楷體" w:eastAsia="標楷體" w:hAnsi="標楷體" w:cs="標楷體"/>
          <w:color w:val="000000"/>
        </w:rPr>
        <w:t xml:space="preserve">□　　　□  </w:t>
      </w:r>
      <w:r>
        <w:rPr>
          <w:rFonts w:eastAsia="標楷體"/>
          <w:color w:val="000000"/>
        </w:rPr>
        <w:t>最近</w:t>
      </w:r>
      <w:r>
        <w:rPr>
          <w:rFonts w:eastAsia="標楷體"/>
          <w:color w:val="000000"/>
        </w:rPr>
        <w:t>3</w:t>
      </w:r>
      <w:r>
        <w:rPr>
          <w:rFonts w:eastAsia="標楷體"/>
          <w:color w:val="000000"/>
        </w:rPr>
        <w:t>個月內曾患胃腸道潰瘍。</w:t>
      </w:r>
    </w:p>
    <w:p w14:paraId="0016D24A" w14:textId="77777777" w:rsidR="00BD776B" w:rsidRDefault="00DF0C24">
      <w:pPr>
        <w:pStyle w:val="ab"/>
        <w:snapToGrid w:val="0"/>
        <w:spacing w:line="400" w:lineRule="exact"/>
        <w:ind w:left="480"/>
        <w:jc w:val="both"/>
      </w:pPr>
      <w:r>
        <w:rPr>
          <w:rFonts w:ascii="標楷體" w:eastAsia="標楷體" w:hAnsi="標楷體" w:cs="標楷體"/>
          <w:color w:val="000000"/>
        </w:rPr>
        <w:t>□　　　□  動脈瘤，靜/動脈畸形。</w:t>
      </w:r>
    </w:p>
    <w:p w14:paraId="068E1111" w14:textId="77777777" w:rsidR="00BD776B" w:rsidRDefault="00DF0C24">
      <w:pPr>
        <w:pStyle w:val="ab"/>
        <w:snapToGrid w:val="0"/>
        <w:spacing w:line="400" w:lineRule="exact"/>
        <w:ind w:left="480"/>
        <w:jc w:val="both"/>
      </w:pPr>
      <w:r>
        <w:rPr>
          <w:rFonts w:ascii="標楷體" w:eastAsia="標楷體" w:hAnsi="標楷體" w:cs="標楷體"/>
          <w:color w:val="000000"/>
        </w:rPr>
        <w:t>□　　　□  易出血之腫瘤。</w:t>
      </w:r>
    </w:p>
    <w:p w14:paraId="133164CA" w14:textId="77777777" w:rsidR="00BD776B" w:rsidRDefault="00DF0C24">
      <w:pPr>
        <w:pStyle w:val="ab"/>
        <w:snapToGrid w:val="0"/>
        <w:spacing w:line="400" w:lineRule="exact"/>
        <w:ind w:left="480"/>
        <w:jc w:val="both"/>
      </w:pPr>
      <w:r>
        <w:rPr>
          <w:rFonts w:ascii="標楷體" w:eastAsia="標楷體" w:hAnsi="標楷體" w:cs="標楷體"/>
          <w:color w:val="000000"/>
        </w:rPr>
        <w:t>□　　　□  對本藥之主成分或賦型劑過敏者。</w:t>
      </w:r>
    </w:p>
    <w:p w14:paraId="68F44F93" w14:textId="77777777" w:rsidR="00BD776B" w:rsidRDefault="00DF0C24">
      <w:pPr>
        <w:pStyle w:val="ab"/>
        <w:snapToGrid w:val="0"/>
        <w:spacing w:line="400" w:lineRule="exact"/>
        <w:ind w:left="1932" w:hanging="1452"/>
        <w:jc w:val="both"/>
        <w:rPr>
          <w:rFonts w:ascii="標楷體" w:eastAsia="標楷體" w:hAnsi="標楷體" w:cs="標楷體"/>
          <w:color w:val="000000"/>
        </w:rPr>
      </w:pPr>
      <w:r>
        <w:rPr>
          <w:rFonts w:ascii="標楷體" w:eastAsia="標楷體" w:hAnsi="標楷體" w:cs="標楷體"/>
          <w:color w:val="000000"/>
        </w:rPr>
        <w:t>□　　　□  其他（例如在排除條件未提到但會增加出血危險狀況，如洗腎患者、嚴重心衰竭或身體太衰弱者）。</w:t>
      </w:r>
    </w:p>
    <w:p w14:paraId="7F9D98E7" w14:textId="77777777" w:rsidR="00BD776B" w:rsidRDefault="00BD776B">
      <w:pPr>
        <w:pStyle w:val="ab"/>
        <w:snapToGrid w:val="0"/>
        <w:spacing w:line="400" w:lineRule="exact"/>
        <w:ind w:left="1932" w:hanging="1452"/>
        <w:jc w:val="both"/>
        <w:rPr>
          <w:rFonts w:ascii="標楷體" w:eastAsia="標楷體" w:hAnsi="標楷體" w:cs="標楷體"/>
          <w:color w:val="000000"/>
        </w:rPr>
      </w:pPr>
    </w:p>
    <w:p w14:paraId="5BFFD020" w14:textId="77777777" w:rsidR="00BD776B" w:rsidRDefault="00BD776B">
      <w:pPr>
        <w:pageBreakBefore/>
        <w:widowControl/>
        <w:suppressAutoHyphens w:val="0"/>
        <w:rPr>
          <w:rFonts w:ascii="標楷體" w:eastAsia="標楷體" w:hAnsi="標楷體"/>
          <w:sz w:val="28"/>
          <w:szCs w:val="28"/>
        </w:rPr>
      </w:pPr>
    </w:p>
    <w:p w14:paraId="7FE03F5A" w14:textId="77777777" w:rsidR="00BD776B" w:rsidRDefault="00DF0C24">
      <w:pPr>
        <w:widowControl/>
        <w:jc w:val="center"/>
      </w:pPr>
      <w:r>
        <w:rPr>
          <w:rFonts w:ascii="標楷體" w:eastAsia="標楷體" w:hAnsi="標楷體"/>
          <w:sz w:val="28"/>
          <w:szCs w:val="28"/>
        </w:rPr>
        <w:t xml:space="preserve">附表二-D </w:t>
      </w:r>
      <w:r>
        <w:rPr>
          <w:rFonts w:ascii="標楷體" w:eastAsia="標楷體" w:hAnsi="標楷體"/>
          <w:bCs/>
          <w:color w:val="000000"/>
          <w:sz w:val="28"/>
          <w:szCs w:val="28"/>
        </w:rPr>
        <w:t>使用健保給付PCSK9血脂調節劑事前審查申請表</w:t>
      </w:r>
    </w:p>
    <w:p w14:paraId="58EB56D5" w14:textId="77777777" w:rsidR="00BD776B" w:rsidRDefault="00DF0C24">
      <w:pPr>
        <w:widowControl/>
        <w:jc w:val="right"/>
      </w:pPr>
      <w:r>
        <w:rPr>
          <w:rFonts w:ascii="標楷體" w:eastAsia="標楷體" w:hAnsi="標楷體"/>
          <w:bCs/>
          <w:color w:val="000000"/>
          <w:sz w:val="28"/>
          <w:szCs w:val="28"/>
        </w:rPr>
        <w:t>修訂日期：109/4/1</w:t>
      </w:r>
    </w:p>
    <w:tbl>
      <w:tblPr>
        <w:tblW w:w="5193" w:type="pct"/>
        <w:tblInd w:w="-82" w:type="dxa"/>
        <w:tblCellMar>
          <w:left w:w="10" w:type="dxa"/>
          <w:right w:w="10" w:type="dxa"/>
        </w:tblCellMar>
        <w:tblLook w:val="0000" w:firstRow="0" w:lastRow="0" w:firstColumn="0" w:lastColumn="0" w:noHBand="0" w:noVBand="0"/>
      </w:tblPr>
      <w:tblGrid>
        <w:gridCol w:w="10000"/>
      </w:tblGrid>
      <w:tr w:rsidR="00BD776B" w14:paraId="1735F8D5" w14:textId="77777777">
        <w:tc>
          <w:tcPr>
            <w:tcW w:w="10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EFC06" w14:textId="77777777" w:rsidR="00BD776B" w:rsidRDefault="00DF0C24">
            <w:pPr>
              <w:spacing w:line="276" w:lineRule="auto"/>
            </w:pPr>
            <w:r>
              <w:rPr>
                <w:rFonts w:ascii="標楷體" w:eastAsia="標楷體" w:hAnsi="標楷體"/>
                <w:bCs/>
                <w:iCs/>
                <w:color w:val="000000"/>
                <w:sz w:val="28"/>
                <w:szCs w:val="28"/>
              </w:rPr>
              <w:t>一、申請者資料</w:t>
            </w:r>
          </w:p>
          <w:p w14:paraId="57C7596E" w14:textId="77777777" w:rsidR="00BD776B" w:rsidRDefault="00DF0C24">
            <w:r>
              <w:rPr>
                <w:rFonts w:ascii="標楷體" w:eastAsia="標楷體" w:hAnsi="標楷體"/>
                <w:color w:val="000000"/>
                <w:sz w:val="28"/>
                <w:szCs w:val="28"/>
              </w:rPr>
              <w:t>申請醫院：</w:t>
            </w:r>
            <w:r>
              <w:rPr>
                <w:rFonts w:ascii="標楷體" w:eastAsia="標楷體" w:hAnsi="標楷體"/>
                <w:color w:val="000000"/>
                <w:sz w:val="28"/>
                <w:szCs w:val="28"/>
                <w:u w:val="single"/>
              </w:rPr>
              <w:t xml:space="preserve">　　　　　　　</w:t>
            </w:r>
            <w:r>
              <w:rPr>
                <w:rFonts w:ascii="標楷體" w:eastAsia="標楷體" w:hAnsi="標楷體"/>
                <w:color w:val="000000"/>
                <w:sz w:val="28"/>
                <w:szCs w:val="28"/>
              </w:rPr>
              <w:t>醫院代碼：</w:t>
            </w:r>
            <w:r>
              <w:rPr>
                <w:rFonts w:ascii="標楷體" w:eastAsia="標楷體" w:hAnsi="標楷體"/>
                <w:color w:val="000000"/>
                <w:sz w:val="28"/>
                <w:szCs w:val="28"/>
                <w:u w:val="single"/>
              </w:rPr>
              <w:t>________  _______</w:t>
            </w:r>
          </w:p>
          <w:p w14:paraId="15BEB658" w14:textId="77777777" w:rsidR="00BD776B" w:rsidRDefault="00DF0C24">
            <w:pPr>
              <w:spacing w:line="276" w:lineRule="auto"/>
            </w:pPr>
            <w:r>
              <w:rPr>
                <w:rFonts w:ascii="標楷體" w:eastAsia="標楷體" w:hAnsi="標楷體"/>
                <w:color w:val="000000"/>
                <w:sz w:val="28"/>
                <w:szCs w:val="28"/>
              </w:rPr>
              <w:t>填表日期：</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　填表人員：</w:t>
            </w:r>
            <w:r>
              <w:rPr>
                <w:rFonts w:ascii="標楷體" w:eastAsia="標楷體" w:hAnsi="標楷體"/>
                <w:color w:val="000000"/>
                <w:sz w:val="28"/>
                <w:szCs w:val="28"/>
                <w:u w:val="single"/>
              </w:rPr>
              <w:t xml:space="preserve">　　　　　</w:t>
            </w:r>
            <w:r>
              <w:rPr>
                <w:rFonts w:ascii="標楷體" w:eastAsia="標楷體" w:hAnsi="標楷體"/>
                <w:color w:val="000000"/>
                <w:sz w:val="28"/>
                <w:szCs w:val="28"/>
              </w:rPr>
              <w:t>聯絡電話：</w:t>
            </w:r>
            <w:r>
              <w:rPr>
                <w:rFonts w:ascii="標楷體" w:eastAsia="標楷體" w:hAnsi="標楷體"/>
                <w:color w:val="000000"/>
                <w:sz w:val="28"/>
                <w:szCs w:val="28"/>
                <w:u w:val="single"/>
              </w:rPr>
              <w:t xml:space="preserve">　　　　　　　　</w:t>
            </w:r>
          </w:p>
          <w:p w14:paraId="5065F83A" w14:textId="77777777" w:rsidR="00BD776B" w:rsidRDefault="00DF0C24">
            <w:pPr>
              <w:spacing w:line="276" w:lineRule="auto"/>
            </w:pPr>
            <w:r>
              <w:rPr>
                <w:rFonts w:ascii="標楷體" w:eastAsia="標楷體" w:hAnsi="標楷體"/>
                <w:color w:val="000000"/>
                <w:sz w:val="28"/>
                <w:szCs w:val="28"/>
              </w:rPr>
              <w:t>申請醫師：</w:t>
            </w:r>
            <w:r>
              <w:rPr>
                <w:rFonts w:ascii="標楷體" w:eastAsia="標楷體" w:hAnsi="標楷體"/>
                <w:color w:val="000000"/>
                <w:sz w:val="28"/>
                <w:szCs w:val="28"/>
                <w:u w:val="single"/>
              </w:rPr>
              <w:t xml:space="preserve">　　　　　</w:t>
            </w:r>
            <w:r>
              <w:rPr>
                <w:rFonts w:ascii="標楷體" w:eastAsia="標楷體" w:hAnsi="標楷體"/>
                <w:color w:val="000000"/>
                <w:sz w:val="28"/>
                <w:szCs w:val="28"/>
              </w:rPr>
              <w:t>（醫師證書字號</w:t>
            </w:r>
            <w:r>
              <w:rPr>
                <w:rFonts w:ascii="標楷體" w:eastAsia="標楷體" w:hAnsi="標楷體"/>
                <w:color w:val="000000"/>
                <w:sz w:val="28"/>
                <w:szCs w:val="28"/>
                <w:u w:val="single"/>
              </w:rPr>
              <w:t xml:space="preserve">　　　　　　</w:t>
            </w:r>
            <w:r>
              <w:rPr>
                <w:rFonts w:ascii="標楷體" w:eastAsia="標楷體" w:hAnsi="標楷體"/>
                <w:color w:val="000000"/>
                <w:sz w:val="28"/>
                <w:szCs w:val="28"/>
              </w:rPr>
              <w:t>）</w:t>
            </w:r>
          </w:p>
          <w:p w14:paraId="72F0B3FD" w14:textId="77777777" w:rsidR="00BD776B" w:rsidRDefault="00DF0C24">
            <w:pPr>
              <w:spacing w:line="276" w:lineRule="auto"/>
            </w:pPr>
            <w:r>
              <w:rPr>
                <w:rFonts w:ascii="標楷體" w:eastAsia="標楷體" w:hAnsi="標楷體"/>
                <w:color w:val="000000"/>
                <w:sz w:val="28"/>
                <w:szCs w:val="28"/>
              </w:rPr>
              <w:t>本次申請日期：</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　　首次申請日期：</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tc>
      </w:tr>
      <w:tr w:rsidR="00BD776B" w14:paraId="43BCFB2C" w14:textId="77777777">
        <w:tc>
          <w:tcPr>
            <w:tcW w:w="10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7CA0A" w14:textId="77777777" w:rsidR="00BD776B" w:rsidRDefault="00DF0C24">
            <w:pPr>
              <w:spacing w:line="276" w:lineRule="auto"/>
            </w:pPr>
            <w:r>
              <w:rPr>
                <w:rFonts w:ascii="標楷體" w:eastAsia="標楷體" w:hAnsi="標楷體"/>
                <w:bCs/>
                <w:iCs/>
                <w:color w:val="000000"/>
                <w:sz w:val="28"/>
                <w:szCs w:val="28"/>
              </w:rPr>
              <w:t>二、病人資料</w:t>
            </w:r>
          </w:p>
          <w:p w14:paraId="362EA020" w14:textId="77777777" w:rsidR="00BD776B" w:rsidRDefault="00DF0C24">
            <w:pPr>
              <w:jc w:val="both"/>
            </w:pPr>
            <w:r>
              <w:rPr>
                <w:rFonts w:ascii="標楷體" w:eastAsia="標楷體" w:hAnsi="標楷體"/>
                <w:color w:val="000000"/>
                <w:sz w:val="28"/>
                <w:szCs w:val="28"/>
              </w:rPr>
              <w:t>姓名：</w:t>
            </w:r>
            <w:r>
              <w:rPr>
                <w:rFonts w:ascii="標楷體" w:eastAsia="標楷體" w:hAnsi="標楷體"/>
                <w:color w:val="000000"/>
                <w:sz w:val="28"/>
                <w:szCs w:val="28"/>
                <w:u w:val="single"/>
              </w:rPr>
              <w:t xml:space="preserve">　　　　　　　　　</w:t>
            </w:r>
            <w:r>
              <w:rPr>
                <w:rFonts w:ascii="標楷體" w:eastAsia="標楷體" w:hAnsi="標楷體"/>
                <w:color w:val="000000"/>
                <w:sz w:val="28"/>
                <w:szCs w:val="28"/>
              </w:rPr>
              <w:t>性別：□男　□女　身分證（護照）字號：</w:t>
            </w:r>
            <w:r>
              <w:rPr>
                <w:rFonts w:ascii="標楷體" w:eastAsia="標楷體" w:hAnsi="標楷體"/>
                <w:color w:val="000000"/>
                <w:sz w:val="28"/>
                <w:szCs w:val="28"/>
                <w:u w:val="single"/>
              </w:rPr>
              <w:t xml:space="preserve">　　　　　　　　　　　　　　</w:t>
            </w:r>
          </w:p>
          <w:p w14:paraId="35C1B1D5" w14:textId="77777777" w:rsidR="00BD776B" w:rsidRDefault="00DF0C24">
            <w:pPr>
              <w:spacing w:line="276" w:lineRule="auto"/>
              <w:jc w:val="both"/>
            </w:pPr>
            <w:r>
              <w:rPr>
                <w:rFonts w:ascii="標楷體" w:eastAsia="標楷體" w:hAnsi="標楷體"/>
                <w:color w:val="000000"/>
                <w:sz w:val="28"/>
                <w:szCs w:val="28"/>
              </w:rPr>
              <w:t>出生日期：</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 xml:space="preserve">日　保險身分：□健保  □非健保  </w:t>
            </w:r>
          </w:p>
          <w:p w14:paraId="62D019C9" w14:textId="77777777" w:rsidR="00BD776B" w:rsidRDefault="00DF0C24">
            <w:pPr>
              <w:spacing w:line="276" w:lineRule="auto"/>
              <w:jc w:val="both"/>
            </w:pPr>
            <w:r>
              <w:rPr>
                <w:rFonts w:ascii="標楷體" w:eastAsia="標楷體" w:hAnsi="標楷體"/>
                <w:color w:val="000000"/>
                <w:sz w:val="28"/>
                <w:szCs w:val="28"/>
              </w:rPr>
              <w:t>醫院病歷號碼：</w:t>
            </w:r>
            <w:r>
              <w:rPr>
                <w:rFonts w:ascii="標楷體" w:eastAsia="標楷體" w:hAnsi="標楷體"/>
                <w:color w:val="000000"/>
                <w:sz w:val="28"/>
                <w:szCs w:val="28"/>
                <w:u w:val="single"/>
              </w:rPr>
              <w:t xml:space="preserve">　　　　　　　　　　</w:t>
            </w:r>
            <w:r>
              <w:rPr>
                <w:rFonts w:ascii="標楷體" w:eastAsia="標楷體" w:hAnsi="標楷體"/>
                <w:color w:val="000000"/>
                <w:sz w:val="28"/>
                <w:szCs w:val="28"/>
              </w:rPr>
              <w:t xml:space="preserve">　</w:t>
            </w:r>
          </w:p>
          <w:p w14:paraId="647A12F4" w14:textId="77777777" w:rsidR="00BD776B" w:rsidRDefault="00DF0C24">
            <w:pPr>
              <w:spacing w:line="276" w:lineRule="auto"/>
            </w:pPr>
            <w:r>
              <w:rPr>
                <w:rFonts w:ascii="標楷體" w:eastAsia="標楷體" w:hAnsi="標楷體"/>
                <w:color w:val="000000"/>
                <w:sz w:val="28"/>
                <w:szCs w:val="28"/>
              </w:rPr>
              <w:t>聯絡電話：</w:t>
            </w:r>
            <w:r>
              <w:rPr>
                <w:rFonts w:ascii="標楷體" w:eastAsia="標楷體" w:hAnsi="標楷體"/>
                <w:color w:val="000000"/>
                <w:sz w:val="28"/>
                <w:szCs w:val="28"/>
                <w:u w:val="single"/>
              </w:rPr>
              <w:t xml:space="preserve">　　　　　　　　　、　　　　　　　　　、　　　　　　　　　、　　　　　　　　　</w:t>
            </w:r>
          </w:p>
          <w:p w14:paraId="3A35F9CD" w14:textId="77777777" w:rsidR="00BD776B" w:rsidRDefault="00DF0C24">
            <w:pPr>
              <w:spacing w:line="276" w:lineRule="auto"/>
            </w:pPr>
            <w:r>
              <w:rPr>
                <w:rFonts w:ascii="標楷體" w:eastAsia="標楷體" w:hAnsi="標楷體"/>
                <w:color w:val="000000"/>
                <w:sz w:val="28"/>
                <w:szCs w:val="28"/>
              </w:rPr>
              <w:t>居住地址：（縣市：</w:t>
            </w:r>
            <w:r>
              <w:rPr>
                <w:rFonts w:ascii="標楷體" w:eastAsia="標楷體" w:hAnsi="標楷體"/>
                <w:color w:val="000000"/>
                <w:sz w:val="28"/>
                <w:szCs w:val="28"/>
                <w:u w:val="single"/>
              </w:rPr>
              <w:t xml:space="preserve">　　　　</w:t>
            </w:r>
            <w:r>
              <w:rPr>
                <w:rFonts w:ascii="標楷體" w:eastAsia="標楷體" w:hAnsi="標楷體"/>
                <w:color w:val="000000"/>
                <w:sz w:val="28"/>
                <w:szCs w:val="28"/>
              </w:rPr>
              <w:t>）</w:t>
            </w:r>
            <w:r>
              <w:rPr>
                <w:rFonts w:ascii="標楷體" w:eastAsia="標楷體" w:hAnsi="標楷體"/>
                <w:color w:val="000000"/>
                <w:sz w:val="28"/>
                <w:szCs w:val="28"/>
                <w:u w:val="single"/>
              </w:rPr>
              <w:t xml:space="preserve">　　　　　　　　　　　　　　　　　　　　　　　　　　　　　　　　　</w:t>
            </w:r>
          </w:p>
        </w:tc>
      </w:tr>
      <w:tr w:rsidR="00BD776B" w14:paraId="18287655" w14:textId="77777777">
        <w:tc>
          <w:tcPr>
            <w:tcW w:w="10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CAEAF" w14:textId="77777777" w:rsidR="00BD776B" w:rsidRDefault="00DF0C24">
            <w:pPr>
              <w:spacing w:line="480" w:lineRule="exact"/>
            </w:pPr>
            <w:r>
              <w:rPr>
                <w:rFonts w:ascii="標楷體" w:eastAsia="標楷體" w:hAnsi="標楷體"/>
                <w:bCs/>
                <w:iCs/>
                <w:color w:val="000000"/>
                <w:sz w:val="28"/>
                <w:szCs w:val="28"/>
              </w:rPr>
              <w:t>三、申請使用PCSK9血脂調節劑原因</w:t>
            </w:r>
          </w:p>
          <w:p w14:paraId="4FC65866" w14:textId="77777777" w:rsidR="00BD776B" w:rsidRDefault="00DF0C24">
            <w:pPr>
              <w:spacing w:line="480" w:lineRule="exact"/>
            </w:pPr>
            <w:r>
              <w:rPr>
                <w:rFonts w:ascii="標楷體" w:eastAsia="標楷體" w:hAnsi="標楷體"/>
                <w:bCs/>
                <w:iCs/>
                <w:color w:val="000000"/>
                <w:sz w:val="28"/>
                <w:szCs w:val="28"/>
              </w:rPr>
              <w:t>3.1 重大心血管疾病</w:t>
            </w:r>
            <w:r>
              <w:rPr>
                <w:rFonts w:ascii="標楷體" w:eastAsia="標楷體" w:hAnsi="標楷體"/>
                <w:color w:val="000000"/>
                <w:sz w:val="28"/>
                <w:szCs w:val="28"/>
              </w:rPr>
              <w:t>（必要條件）</w:t>
            </w:r>
            <w:r>
              <w:rPr>
                <w:rFonts w:ascii="標楷體" w:eastAsia="標楷體" w:hAnsi="標楷體"/>
                <w:bCs/>
                <w:iCs/>
                <w:color w:val="000000"/>
                <w:sz w:val="28"/>
                <w:szCs w:val="28"/>
              </w:rPr>
              <w:br/>
            </w:r>
            <w:r>
              <w:rPr>
                <w:rFonts w:ascii="標楷體" w:eastAsia="標楷體" w:hAnsi="標楷體"/>
                <w:color w:val="000000"/>
                <w:sz w:val="28"/>
                <w:szCs w:val="28"/>
              </w:rPr>
              <w:t>以下診斷至少需符合一項，首次申請</w:t>
            </w:r>
            <w:r>
              <w:rPr>
                <w:rFonts w:ascii="標楷體" w:eastAsia="標楷體" w:hAnsi="標楷體"/>
                <w:sz w:val="28"/>
                <w:szCs w:val="28"/>
              </w:rPr>
              <w:t>限給付於在發病後一年內開始使用最大耐受劑量statin之病人</w:t>
            </w:r>
          </w:p>
          <w:p w14:paraId="073A1F51" w14:textId="77777777" w:rsidR="00BD776B" w:rsidRDefault="00DF0C24">
            <w:pPr>
              <w:spacing w:line="480" w:lineRule="exact"/>
            </w:pPr>
            <w:r>
              <w:rPr>
                <w:rFonts w:ascii="標楷體" w:eastAsia="標楷體" w:hAnsi="標楷體"/>
                <w:color w:val="000000"/>
                <w:sz w:val="28"/>
                <w:szCs w:val="28"/>
              </w:rPr>
              <w:t>□心肌梗塞</w:t>
            </w:r>
          </w:p>
          <w:p w14:paraId="5BD02D3B" w14:textId="77777777" w:rsidR="00BD776B" w:rsidRDefault="00DF0C24">
            <w:pPr>
              <w:spacing w:line="480" w:lineRule="exact"/>
            </w:pPr>
            <w:r>
              <w:rPr>
                <w:rFonts w:ascii="標楷體" w:eastAsia="標楷體" w:hAnsi="標楷體"/>
                <w:color w:val="000000"/>
                <w:sz w:val="28"/>
                <w:szCs w:val="28"/>
              </w:rPr>
              <w:t>□</w:t>
            </w:r>
            <w:r>
              <w:rPr>
                <w:rFonts w:ascii="標楷體" w:eastAsia="標楷體" w:hAnsi="標楷體"/>
                <w:sz w:val="28"/>
                <w:szCs w:val="28"/>
              </w:rPr>
              <w:t>動脈硬化相關之缺血性腦中風發作</w:t>
            </w:r>
          </w:p>
          <w:p w14:paraId="5C642339" w14:textId="77777777" w:rsidR="00BD776B" w:rsidRDefault="00DF0C24">
            <w:pPr>
              <w:spacing w:line="480" w:lineRule="exact"/>
            </w:pPr>
            <w:r>
              <w:rPr>
                <w:rFonts w:ascii="標楷體" w:eastAsia="標楷體" w:hAnsi="標楷體"/>
                <w:color w:val="000000"/>
                <w:sz w:val="28"/>
                <w:szCs w:val="28"/>
              </w:rPr>
              <w:t xml:space="preserve">□接受冠狀動脈或其他動脈血管再通術（Revascularization）　</w:t>
            </w:r>
          </w:p>
          <w:p w14:paraId="08A8260A" w14:textId="77777777" w:rsidR="00BD776B" w:rsidRDefault="00DF0C24">
            <w:pPr>
              <w:spacing w:line="480" w:lineRule="exact"/>
            </w:pPr>
            <w:r>
              <w:rPr>
                <w:rFonts w:ascii="標楷體" w:eastAsia="標楷體" w:hAnsi="標楷體"/>
                <w:color w:val="000000"/>
                <w:sz w:val="28"/>
                <w:szCs w:val="28"/>
              </w:rPr>
              <w:t>發病日期：</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35C8096D" w14:textId="77777777" w:rsidR="00BD776B" w:rsidRDefault="00DF0C24">
            <w:pPr>
              <w:spacing w:before="108" w:after="108" w:line="480" w:lineRule="exact"/>
            </w:pPr>
            <w:r>
              <w:rPr>
                <w:rFonts w:ascii="標楷體" w:eastAsia="標楷體" w:hAnsi="標楷體"/>
                <w:bCs/>
                <w:iCs/>
                <w:color w:val="000000"/>
                <w:sz w:val="28"/>
                <w:szCs w:val="28"/>
              </w:rPr>
              <w:t xml:space="preserve">3.2 符合PCSK9血脂調節劑原因 </w:t>
            </w:r>
            <w:r>
              <w:rPr>
                <w:rFonts w:ascii="標楷體" w:eastAsia="標楷體" w:hAnsi="標楷體"/>
                <w:color w:val="000000"/>
                <w:sz w:val="28"/>
                <w:szCs w:val="28"/>
              </w:rPr>
              <w:t>以下條件至少需符合一項 （必要條件）</w:t>
            </w:r>
          </w:p>
          <w:p w14:paraId="561E727D" w14:textId="77777777" w:rsidR="00BD776B" w:rsidRDefault="00DF0C24">
            <w:pPr>
              <w:spacing w:after="180" w:line="480" w:lineRule="exact"/>
              <w:ind w:left="1028" w:hanging="848"/>
            </w:pPr>
            <w:r>
              <w:rPr>
                <w:rFonts w:ascii="標楷體" w:eastAsia="標楷體" w:hAnsi="標楷體" w:cs="Wingdings 2"/>
                <w:color w:val="000000"/>
                <w:sz w:val="28"/>
                <w:szCs w:val="28"/>
              </w:rPr>
              <w:t></w:t>
            </w:r>
            <w:r>
              <w:rPr>
                <w:rFonts w:ascii="標楷體" w:eastAsia="標楷體" w:hAnsi="標楷體"/>
                <w:color w:val="000000"/>
                <w:sz w:val="28"/>
                <w:szCs w:val="28"/>
              </w:rPr>
              <w:t xml:space="preserve"> (1)經使用高強度statin （如 rosuvastatin 20mg 或atorvastatin 40 mg（含）以上）或病人可耐受之最大劑量的statin三個月（含）以上且之後再合併使用ezetimibe 10 mg 三個月（含）以上, LDL-C 仍高於135 mg/dL之成人病人</w:t>
            </w:r>
          </w:p>
          <w:p w14:paraId="691B01B8" w14:textId="77777777" w:rsidR="00BD776B" w:rsidRDefault="00DF0C24">
            <w:pPr>
              <w:spacing w:line="480" w:lineRule="exact"/>
              <w:ind w:left="1067" w:hanging="1067"/>
            </w:pPr>
            <w:r>
              <w:rPr>
                <w:rFonts w:ascii="標楷體" w:eastAsia="標楷體" w:hAnsi="標楷體"/>
                <w:color w:val="000000"/>
                <w:sz w:val="28"/>
                <w:szCs w:val="28"/>
              </w:rPr>
              <w:t xml:space="preserve">    甲、所使用最大耐受劑量之statin三個月(含)以上，之後加上ezetimibe三個月（含）以上</w:t>
            </w:r>
          </w:p>
          <w:p w14:paraId="4C1DE7A7" w14:textId="77777777" w:rsidR="00BD776B" w:rsidRDefault="00DF0C24">
            <w:pPr>
              <w:spacing w:line="480" w:lineRule="exact"/>
              <w:ind w:left="2046" w:hanging="1336"/>
            </w:pPr>
            <w:r>
              <w:rPr>
                <w:rFonts w:ascii="標楷體" w:eastAsia="標楷體" w:hAnsi="標楷體" w:cs="Wingdings 2"/>
                <w:color w:val="000000"/>
                <w:sz w:val="28"/>
                <w:szCs w:val="28"/>
              </w:rPr>
              <w:t></w:t>
            </w:r>
            <w:r>
              <w:rPr>
                <w:rFonts w:ascii="標楷體" w:eastAsia="標楷體" w:hAnsi="標楷體"/>
                <w:color w:val="000000"/>
                <w:sz w:val="28"/>
                <w:szCs w:val="28"/>
              </w:rPr>
              <w:t xml:space="preserve"> Rosuvastatin 20 mg □ Atorvastatin 40 mg（含）以上 </w:t>
            </w:r>
          </w:p>
          <w:p w14:paraId="324CDC84" w14:textId="77777777" w:rsidR="00BD776B" w:rsidRDefault="00DF0C24">
            <w:pPr>
              <w:spacing w:line="480" w:lineRule="exact"/>
              <w:ind w:left="2046" w:hanging="1336"/>
            </w:pPr>
            <w:r>
              <w:rPr>
                <w:rFonts w:ascii="標楷體" w:eastAsia="標楷體" w:hAnsi="標楷體"/>
                <w:color w:val="000000"/>
                <w:sz w:val="28"/>
                <w:szCs w:val="28"/>
              </w:rPr>
              <w:lastRenderedPageBreak/>
              <w:t xml:space="preserve">  治療期間：</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 ~</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49B48E8B" w14:textId="77777777" w:rsidR="00BD776B" w:rsidRDefault="00DF0C24">
            <w:pPr>
              <w:spacing w:line="480" w:lineRule="exact"/>
              <w:ind w:left="2046" w:hanging="1336"/>
            </w:pPr>
            <w:r>
              <w:rPr>
                <w:rFonts w:ascii="標楷體" w:eastAsia="標楷體" w:hAnsi="標楷體"/>
                <w:color w:val="000000"/>
                <w:sz w:val="28"/>
                <w:szCs w:val="28"/>
              </w:rPr>
              <w:t xml:space="preserve">  如未達上述劑量，請詳述最大耐受劑量之statin和原因</w:t>
            </w:r>
            <w:r>
              <w:rPr>
                <w:rFonts w:ascii="標楷體" w:eastAsia="標楷體" w:hAnsi="標楷體"/>
                <w:color w:val="000000"/>
                <w:sz w:val="28"/>
                <w:szCs w:val="28"/>
                <w:u w:val="single"/>
              </w:rPr>
              <w:t xml:space="preserve">　　　　　　　　　　　　　　　　　　</w:t>
            </w:r>
          </w:p>
          <w:p w14:paraId="2ECD3520" w14:textId="77777777" w:rsidR="00BD776B" w:rsidRDefault="00DF0C24">
            <w:pPr>
              <w:spacing w:line="480" w:lineRule="exact"/>
            </w:pPr>
            <w:r>
              <w:rPr>
                <w:rFonts w:ascii="標楷體" w:eastAsia="標楷體" w:hAnsi="標楷體"/>
                <w:color w:val="000000"/>
                <w:sz w:val="28"/>
                <w:szCs w:val="28"/>
              </w:rPr>
              <w:t xml:space="preserve">    乙、Ezetimibe治療期間：</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 ~</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117BE32C" w14:textId="77777777" w:rsidR="00BD776B" w:rsidRDefault="00DF0C24">
            <w:pPr>
              <w:spacing w:before="180" w:line="480" w:lineRule="exact"/>
              <w:ind w:left="1025" w:hanging="1025"/>
            </w:pPr>
            <w:r>
              <w:rPr>
                <w:rFonts w:ascii="標楷體" w:eastAsia="標楷體" w:hAnsi="標楷體" w:cs="Wingdings 2"/>
                <w:color w:val="000000"/>
                <w:sz w:val="28"/>
                <w:szCs w:val="28"/>
              </w:rPr>
              <w:t></w:t>
            </w:r>
            <w:r>
              <w:rPr>
                <w:rFonts w:ascii="標楷體" w:eastAsia="標楷體" w:hAnsi="標楷體"/>
                <w:color w:val="000000"/>
                <w:sz w:val="28"/>
                <w:szCs w:val="28"/>
              </w:rPr>
              <w:t xml:space="preserve">  (2)病人有下列statin禁忌症且持續使用Ezetimibe治療三個月，LDL-C仍高於135mg/dL</w:t>
            </w:r>
          </w:p>
          <w:p w14:paraId="58C6BA97" w14:textId="77777777" w:rsidR="00BD776B" w:rsidRDefault="00DF0C24">
            <w:pPr>
              <w:pStyle w:val="af"/>
              <w:spacing w:line="480" w:lineRule="exact"/>
              <w:ind w:left="959" w:hanging="465"/>
            </w:pPr>
            <w:r>
              <w:rPr>
                <w:rFonts w:ascii="標楷體" w:eastAsia="標楷體" w:hAnsi="標楷體"/>
                <w:color w:val="000000"/>
                <w:sz w:val="28"/>
                <w:szCs w:val="28"/>
              </w:rPr>
              <w:t>□ 藥物過敏，請說明使用之成分名稱、藥品名稱及健保代碼，和所提報之過敏反應及其發病過程佐證資料</w:t>
            </w:r>
            <w:r>
              <w:rPr>
                <w:rFonts w:ascii="標楷體" w:eastAsia="標楷體" w:hAnsi="標楷體"/>
                <w:color w:val="000000"/>
                <w:sz w:val="28"/>
                <w:szCs w:val="28"/>
                <w:u w:val="single"/>
              </w:rPr>
              <w:t xml:space="preserve">　　　　　　　　　　　        　</w:t>
            </w:r>
          </w:p>
          <w:p w14:paraId="5AF1281E" w14:textId="77777777" w:rsidR="00BD776B" w:rsidRDefault="00DF0C24">
            <w:pPr>
              <w:pStyle w:val="af"/>
              <w:spacing w:line="480" w:lineRule="exact"/>
              <w:ind w:left="959" w:hanging="465"/>
            </w:pPr>
            <w:r>
              <w:rPr>
                <w:rFonts w:ascii="標楷體" w:eastAsia="標楷體" w:hAnsi="標楷體"/>
                <w:color w:val="000000"/>
                <w:sz w:val="28"/>
                <w:szCs w:val="28"/>
              </w:rPr>
              <w:t>□ 活動性肝病變，請詳附佐證資料</w:t>
            </w:r>
            <w:r>
              <w:rPr>
                <w:rFonts w:ascii="標楷體" w:eastAsia="標楷體" w:hAnsi="標楷體"/>
                <w:color w:val="000000"/>
                <w:sz w:val="28"/>
                <w:szCs w:val="28"/>
                <w:u w:val="single"/>
              </w:rPr>
              <w:t xml:space="preserve">　　　                                                            　　</w:t>
            </w:r>
          </w:p>
          <w:p w14:paraId="709CEB00" w14:textId="77777777" w:rsidR="00BD776B" w:rsidRDefault="00DF0C24">
            <w:pPr>
              <w:pStyle w:val="af"/>
              <w:spacing w:line="480" w:lineRule="exact"/>
              <w:ind w:left="560"/>
            </w:pPr>
            <w:r>
              <w:rPr>
                <w:rFonts w:ascii="標楷體" w:eastAsia="標楷體" w:hAnsi="標楷體"/>
                <w:color w:val="000000"/>
                <w:sz w:val="28"/>
                <w:szCs w:val="28"/>
              </w:rPr>
              <w:t>Ezetimibe治療期間：</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 xml:space="preserve">日 ~ </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4EF0529D" w14:textId="77777777" w:rsidR="00BD776B" w:rsidRDefault="00DF0C24">
            <w:pPr>
              <w:spacing w:before="180" w:line="480" w:lineRule="exact"/>
              <w:ind w:left="1025" w:hanging="1025"/>
            </w:pPr>
            <w:r>
              <w:rPr>
                <w:rFonts w:ascii="標楷體" w:eastAsia="標楷體" w:hAnsi="標楷體" w:cs="Wingdings 2"/>
                <w:color w:val="000000"/>
                <w:sz w:val="28"/>
                <w:szCs w:val="28"/>
              </w:rPr>
              <w:t></w:t>
            </w:r>
            <w:r>
              <w:rPr>
                <w:rFonts w:ascii="標楷體" w:eastAsia="標楷體" w:hAnsi="標楷體"/>
                <w:color w:val="000000"/>
                <w:sz w:val="28"/>
                <w:szCs w:val="28"/>
              </w:rPr>
              <w:t xml:space="preserve">  (3)診斷為對statin不耐受之患者，且持續使用Ezetimibe治療三個月，LDL-C仍高於135mg/dL</w:t>
            </w:r>
          </w:p>
          <w:p w14:paraId="749E355C" w14:textId="77777777" w:rsidR="00BD776B" w:rsidRDefault="00DF0C24" w:rsidP="008A7063">
            <w:pPr>
              <w:pStyle w:val="af"/>
              <w:numPr>
                <w:ilvl w:val="1"/>
                <w:numId w:val="40"/>
              </w:numPr>
              <w:spacing w:line="480" w:lineRule="exact"/>
              <w:ind w:left="560" w:hanging="560"/>
            </w:pPr>
            <w:r>
              <w:rPr>
                <w:rFonts w:ascii="標楷體" w:eastAsia="標楷體" w:hAnsi="標楷體"/>
                <w:color w:val="000000"/>
                <w:sz w:val="28"/>
                <w:szCs w:val="28"/>
              </w:rPr>
              <w:t>Statin之副作用為何？</w:t>
            </w:r>
          </w:p>
          <w:p w14:paraId="747212F0" w14:textId="77777777" w:rsidR="00BD776B" w:rsidRDefault="00DF0C24">
            <w:pPr>
              <w:pStyle w:val="af"/>
              <w:spacing w:line="480" w:lineRule="exact"/>
              <w:ind w:left="1010" w:hanging="302"/>
            </w:pPr>
            <w:r>
              <w:rPr>
                <w:rFonts w:ascii="標楷體" w:eastAsia="標楷體" w:hAnsi="標楷體"/>
                <w:color w:val="000000"/>
                <w:sz w:val="28"/>
                <w:szCs w:val="28"/>
              </w:rPr>
              <w:t>□確認為嚴重橫紋肌溶解症，只需一種statin即可以診斷statin不耐受（請詳附佐證資料）</w:t>
            </w:r>
          </w:p>
          <w:p w14:paraId="574D7F97" w14:textId="77777777" w:rsidR="00BD776B" w:rsidRDefault="00DF0C24">
            <w:pPr>
              <w:pStyle w:val="af"/>
              <w:spacing w:line="480" w:lineRule="exact"/>
              <w:ind w:left="1010" w:hanging="302"/>
            </w:pPr>
            <w:r>
              <w:rPr>
                <w:rFonts w:ascii="標楷體" w:eastAsia="標楷體" w:hAnsi="標楷體"/>
                <w:color w:val="000000"/>
                <w:sz w:val="28"/>
                <w:szCs w:val="28"/>
              </w:rPr>
              <w:t>□肌肉或肝臟相關副作用或疾病（需符合中華民國血脂及動脈硬化學會2019年之共識規定</w:t>
            </w:r>
            <w:r>
              <w:rPr>
                <w:rFonts w:ascii="標楷體" w:eastAsia="標楷體" w:hAnsi="標楷體"/>
                <w:color w:val="000000"/>
                <w:sz w:val="28"/>
                <w:szCs w:val="28"/>
                <w:vertAlign w:val="superscript"/>
              </w:rPr>
              <w:t>1</w:t>
            </w:r>
            <w:r>
              <w:rPr>
                <w:rFonts w:ascii="標楷體" w:eastAsia="標楷體" w:hAnsi="標楷體"/>
                <w:color w:val="000000"/>
                <w:sz w:val="28"/>
                <w:szCs w:val="28"/>
              </w:rPr>
              <w:t>，Myalgia score for statin intolerance須大於8分，請附相關佐證資料）</w:t>
            </w:r>
          </w:p>
          <w:p w14:paraId="5324AE2E" w14:textId="77777777" w:rsidR="00BD776B" w:rsidRDefault="00DF0C24">
            <w:pPr>
              <w:pStyle w:val="af"/>
              <w:spacing w:line="480" w:lineRule="exact"/>
              <w:ind w:left="1010" w:hanging="302"/>
            </w:pPr>
            <w:r>
              <w:rPr>
                <w:rFonts w:ascii="標楷體" w:eastAsia="標楷體" w:hAnsi="標楷體"/>
                <w:color w:val="000000"/>
                <w:sz w:val="28"/>
                <w:szCs w:val="28"/>
              </w:rPr>
              <w:t>□其他</w:t>
            </w:r>
            <w:r>
              <w:rPr>
                <w:rFonts w:ascii="標楷體" w:eastAsia="標楷體" w:hAnsi="標楷體"/>
                <w:color w:val="000000"/>
                <w:sz w:val="28"/>
                <w:szCs w:val="28"/>
                <w:u w:val="single"/>
              </w:rPr>
              <w:t xml:space="preserve">　　　　　　　　　　　　　　　　　　　　　</w:t>
            </w:r>
          </w:p>
          <w:p w14:paraId="413AEAE2" w14:textId="77777777" w:rsidR="00BD776B" w:rsidRDefault="00DF0C24" w:rsidP="008A7063">
            <w:pPr>
              <w:pStyle w:val="af"/>
              <w:numPr>
                <w:ilvl w:val="1"/>
                <w:numId w:val="40"/>
              </w:numPr>
              <w:spacing w:line="480" w:lineRule="exact"/>
              <w:ind w:left="560"/>
            </w:pPr>
            <w:r>
              <w:rPr>
                <w:rFonts w:ascii="標楷體" w:eastAsia="標楷體" w:hAnsi="標楷體"/>
                <w:color w:val="000000"/>
                <w:sz w:val="28"/>
                <w:szCs w:val="28"/>
              </w:rPr>
              <w:t>同時是否有確認對</w:t>
            </w:r>
            <w:r>
              <w:rPr>
                <w:rFonts w:ascii="標楷體" w:eastAsia="標楷體" w:hAnsi="標楷體" w:cs="Arial"/>
                <w:color w:val="000000"/>
                <w:sz w:val="28"/>
                <w:szCs w:val="28"/>
              </w:rPr>
              <w:t>“兩種”statin</w:t>
            </w:r>
            <w:r>
              <w:rPr>
                <w:rFonts w:ascii="標楷體" w:eastAsia="標楷體" w:hAnsi="標楷體"/>
                <w:color w:val="000000"/>
                <w:sz w:val="28"/>
                <w:szCs w:val="28"/>
              </w:rPr>
              <w:t>產生上述副作用（檢附病歷紀錄）</w:t>
            </w:r>
            <w:r>
              <w:rPr>
                <w:rFonts w:ascii="標楷體" w:eastAsia="標楷體" w:hAnsi="標楷體" w:cs="Arial"/>
                <w:color w:val="000000"/>
                <w:sz w:val="28"/>
                <w:szCs w:val="28"/>
              </w:rPr>
              <w:t>，其中一種是在最低有效劑量</w:t>
            </w:r>
            <w:r>
              <w:rPr>
                <w:rFonts w:ascii="標楷體" w:eastAsia="標楷體" w:hAnsi="標楷體" w:cs="Arial"/>
                <w:color w:val="000000"/>
                <w:sz w:val="28"/>
                <w:szCs w:val="28"/>
                <w:vertAlign w:val="superscript"/>
              </w:rPr>
              <w:t>2</w:t>
            </w:r>
            <w:r>
              <w:rPr>
                <w:rFonts w:ascii="標楷體" w:eastAsia="標楷體" w:hAnsi="標楷體" w:cs="Arial"/>
                <w:color w:val="000000"/>
                <w:sz w:val="28"/>
                <w:szCs w:val="28"/>
              </w:rPr>
              <w:t>下均有不耐受之情況？</w:t>
            </w:r>
            <w:r>
              <w:rPr>
                <w:rFonts w:ascii="標楷體" w:eastAsia="標楷體" w:hAnsi="標楷體"/>
                <w:color w:val="000000"/>
                <w:sz w:val="28"/>
                <w:szCs w:val="28"/>
              </w:rPr>
              <w:t>（需註明藥品成分、藥品名稱及健保代碼）</w:t>
            </w:r>
          </w:p>
          <w:p w14:paraId="0C51C795" w14:textId="77777777" w:rsidR="00BD776B" w:rsidRDefault="00DF0C24">
            <w:pPr>
              <w:spacing w:line="480" w:lineRule="exact"/>
              <w:ind w:left="709"/>
            </w:pPr>
            <w:r>
              <w:rPr>
                <w:rFonts w:ascii="標楷體" w:eastAsia="標楷體" w:hAnsi="標楷體"/>
                <w:color w:val="000000"/>
                <w:sz w:val="28"/>
                <w:szCs w:val="28"/>
              </w:rPr>
              <w:t>第1種statin</w:t>
            </w:r>
            <w:r>
              <w:rPr>
                <w:rFonts w:ascii="標楷體" w:eastAsia="標楷體" w:hAnsi="標楷體"/>
                <w:color w:val="000000"/>
                <w:sz w:val="28"/>
                <w:szCs w:val="28"/>
                <w:u w:val="single"/>
              </w:rPr>
              <w:t xml:space="preserve">　　　　　　　　　　　　　　　　</w:t>
            </w:r>
            <w:r>
              <w:rPr>
                <w:rFonts w:ascii="標楷體" w:eastAsia="標楷體" w:hAnsi="標楷體"/>
                <w:color w:val="000000"/>
                <w:sz w:val="28"/>
                <w:szCs w:val="28"/>
              </w:rPr>
              <w:t>劑量</w:t>
            </w:r>
            <w:r>
              <w:rPr>
                <w:rFonts w:ascii="標楷體" w:eastAsia="標楷體" w:hAnsi="標楷體"/>
                <w:color w:val="000000"/>
                <w:sz w:val="28"/>
                <w:szCs w:val="28"/>
                <w:u w:val="single"/>
              </w:rPr>
              <w:t xml:space="preserve">　　　　　　　　</w:t>
            </w:r>
            <w:r>
              <w:rPr>
                <w:rFonts w:ascii="標楷體" w:eastAsia="標楷體" w:hAnsi="標楷體"/>
                <w:color w:val="000000"/>
                <w:sz w:val="28"/>
                <w:szCs w:val="28"/>
              </w:rPr>
              <w:t>。</w:t>
            </w:r>
          </w:p>
          <w:p w14:paraId="38624CB0" w14:textId="77777777" w:rsidR="00BD776B" w:rsidRDefault="00DF0C24">
            <w:pPr>
              <w:spacing w:line="480" w:lineRule="exact"/>
              <w:ind w:left="709"/>
            </w:pPr>
            <w:r>
              <w:rPr>
                <w:rFonts w:ascii="標楷體" w:eastAsia="標楷體" w:hAnsi="標楷體"/>
                <w:color w:val="000000"/>
                <w:sz w:val="28"/>
                <w:szCs w:val="28"/>
              </w:rPr>
              <w:t>第2種statin</w:t>
            </w:r>
            <w:r>
              <w:rPr>
                <w:rFonts w:ascii="標楷體" w:eastAsia="標楷體" w:hAnsi="標楷體"/>
                <w:color w:val="000000"/>
                <w:sz w:val="28"/>
                <w:szCs w:val="28"/>
                <w:u w:val="single"/>
              </w:rPr>
              <w:t xml:space="preserve">　　　　　　　　　　　　　　　　</w:t>
            </w:r>
            <w:r>
              <w:rPr>
                <w:rFonts w:ascii="標楷體" w:eastAsia="標楷體" w:hAnsi="標楷體"/>
                <w:color w:val="000000"/>
                <w:sz w:val="28"/>
                <w:szCs w:val="28"/>
              </w:rPr>
              <w:t>劑量</w:t>
            </w:r>
            <w:r>
              <w:rPr>
                <w:rFonts w:ascii="標楷體" w:eastAsia="標楷體" w:hAnsi="標楷體"/>
                <w:color w:val="000000"/>
                <w:sz w:val="28"/>
                <w:szCs w:val="28"/>
                <w:u w:val="single"/>
              </w:rPr>
              <w:t xml:space="preserve">　　　　　　　　</w:t>
            </w:r>
            <w:r>
              <w:rPr>
                <w:rFonts w:ascii="標楷體" w:eastAsia="標楷體" w:hAnsi="標楷體"/>
                <w:color w:val="000000"/>
                <w:sz w:val="28"/>
                <w:szCs w:val="28"/>
              </w:rPr>
              <w:t>。</w:t>
            </w:r>
          </w:p>
          <w:p w14:paraId="2E24C033" w14:textId="77777777" w:rsidR="00BD776B" w:rsidRDefault="00DF0C24">
            <w:pPr>
              <w:spacing w:line="480" w:lineRule="exact"/>
            </w:pPr>
            <w:r>
              <w:rPr>
                <w:rFonts w:ascii="標楷體" w:eastAsia="標楷體" w:hAnsi="標楷體"/>
                <w:color w:val="000000"/>
                <w:sz w:val="28"/>
                <w:szCs w:val="28"/>
              </w:rPr>
              <w:t>備註：</w:t>
            </w:r>
          </w:p>
          <w:p w14:paraId="52EE2A36" w14:textId="77777777" w:rsidR="00BD776B" w:rsidRDefault="00DF0C24">
            <w:pPr>
              <w:spacing w:line="480" w:lineRule="exact"/>
              <w:ind w:left="179" w:hanging="179"/>
            </w:pPr>
            <w:r>
              <w:rPr>
                <w:rFonts w:ascii="標楷體" w:eastAsia="標楷體" w:hAnsi="標楷體"/>
                <w:color w:val="000000"/>
                <w:sz w:val="28"/>
                <w:szCs w:val="28"/>
              </w:rPr>
              <w:t xml:space="preserve">1.中華民國血脂及動脈硬化學會2019年之共識規定: Chien S-C et al., 2019 Taiwan Society of Lipids and Atherosclerosis expert consensus </w:t>
            </w:r>
            <w:r>
              <w:rPr>
                <w:rFonts w:ascii="標楷體" w:eastAsia="標楷體" w:hAnsi="標楷體"/>
                <w:color w:val="000000"/>
                <w:sz w:val="28"/>
                <w:szCs w:val="28"/>
              </w:rPr>
              <w:lastRenderedPageBreak/>
              <w:t xml:space="preserve">statement on statin intolerance, Journal of the Formosan Medical Association, </w:t>
            </w:r>
            <w:hyperlink r:id="rId14" w:history="1">
              <w:r>
                <w:rPr>
                  <w:rStyle w:val="af2"/>
                  <w:rFonts w:ascii="標楷體" w:eastAsia="標楷體" w:hAnsi="標楷體"/>
                  <w:color w:val="000000"/>
                  <w:sz w:val="28"/>
                  <w:szCs w:val="28"/>
                </w:rPr>
                <w:t>https://doi.org/10.1016/j.jfma.2018.11.017</w:t>
              </w:r>
            </w:hyperlink>
          </w:p>
          <w:p w14:paraId="15D6309D" w14:textId="77777777" w:rsidR="00BD776B" w:rsidRDefault="00DF0C24">
            <w:pPr>
              <w:spacing w:line="480" w:lineRule="exact"/>
              <w:ind w:left="179" w:hanging="179"/>
            </w:pPr>
            <w:r>
              <w:rPr>
                <w:rFonts w:ascii="標楷體" w:eastAsia="標楷體" w:hAnsi="標楷體"/>
                <w:color w:val="000000"/>
                <w:sz w:val="28"/>
                <w:szCs w:val="28"/>
              </w:rPr>
              <w:t>2.每日最低有效劑量之定義依2019臺灣statin intolerance共識會議為仿單上最低劑量，定義為rosuvastatin 5 mg, atorvastatin 10 mg, pravastatin 10 mg, lovastatin 20 mg, fluvastatin 20 mg, pitavastatin 1 mg, simvastatin 5 mg。另最低有效劑量可採每週累積之最低劑量計算結果。reference: J Formos Med Assoc.2018.doi: 10.1016/j.jfma.2018.11.017.</w:t>
            </w:r>
          </w:p>
          <w:p w14:paraId="5513A617" w14:textId="77777777" w:rsidR="00BD776B" w:rsidRDefault="00DF0C24">
            <w:pPr>
              <w:spacing w:line="480" w:lineRule="exact"/>
            </w:pPr>
            <w:r>
              <w:rPr>
                <w:rFonts w:ascii="標楷體" w:eastAsia="標楷體" w:hAnsi="標楷體"/>
                <w:bCs/>
                <w:iCs/>
                <w:color w:val="000000"/>
                <w:sz w:val="28"/>
                <w:szCs w:val="28"/>
              </w:rPr>
              <w:t>3.3 申請前一年內所有LDL-C之報告（首次申請者填寫）</w:t>
            </w:r>
          </w:p>
          <w:p w14:paraId="6DD79CE4" w14:textId="77777777" w:rsidR="00BD776B" w:rsidRDefault="00DF0C24">
            <w:pPr>
              <w:pStyle w:val="af"/>
              <w:spacing w:line="480" w:lineRule="exact"/>
              <w:ind w:left="718"/>
            </w:pPr>
            <w:r>
              <w:rPr>
                <w:rFonts w:ascii="標楷體" w:eastAsia="標楷體" w:hAnsi="標楷體"/>
                <w:color w:val="000000"/>
                <w:sz w:val="28"/>
                <w:szCs w:val="28"/>
              </w:rPr>
              <w:t>第一次LDL-C為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r>
              <w:rPr>
                <w:rFonts w:ascii="標楷體" w:eastAsia="標楷體" w:hAnsi="標楷體"/>
                <w:color w:val="000000"/>
                <w:sz w:val="28"/>
                <w:szCs w:val="28"/>
              </w:rPr>
              <w:br/>
              <w:t>第二次LDL-C為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r>
              <w:rPr>
                <w:rFonts w:ascii="標楷體" w:eastAsia="標楷體" w:hAnsi="標楷體"/>
                <w:color w:val="000000"/>
                <w:sz w:val="28"/>
                <w:szCs w:val="28"/>
              </w:rPr>
              <w:br/>
              <w:t>第三次LDL-C為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r>
              <w:rPr>
                <w:rFonts w:ascii="標楷體" w:eastAsia="標楷體" w:hAnsi="標楷體"/>
                <w:color w:val="000000"/>
                <w:sz w:val="28"/>
                <w:szCs w:val="28"/>
              </w:rPr>
              <w:br/>
              <w:t>第四次LDL-C為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03AABD2F" w14:textId="77777777" w:rsidR="00BD776B" w:rsidRDefault="00DF0C24">
            <w:pPr>
              <w:spacing w:before="180" w:line="480" w:lineRule="exact"/>
              <w:ind w:left="496" w:hanging="496"/>
            </w:pPr>
            <w:r>
              <w:rPr>
                <w:rFonts w:ascii="標楷體" w:eastAsia="標楷體" w:hAnsi="標楷體"/>
                <w:bCs/>
                <w:iCs/>
                <w:color w:val="000000"/>
                <w:sz w:val="28"/>
                <w:szCs w:val="28"/>
              </w:rPr>
              <w:t>3.4 首次使用PCSK9調節劑治療前之LDL-C報告及前次治療期間所有LDL-C之報告（再次申請者填寫）</w:t>
            </w:r>
          </w:p>
          <w:p w14:paraId="48286C58" w14:textId="77777777" w:rsidR="00BD776B" w:rsidRDefault="00DF0C24">
            <w:pPr>
              <w:spacing w:before="108" w:line="480" w:lineRule="exact"/>
            </w:pPr>
            <w:r>
              <w:rPr>
                <w:rFonts w:ascii="標楷體" w:eastAsia="標楷體" w:hAnsi="標楷體"/>
                <w:color w:val="000000"/>
                <w:sz w:val="28"/>
                <w:szCs w:val="28"/>
              </w:rPr>
              <w:t xml:space="preserve">     首次使用前LDL-C為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51D1559E" w14:textId="77777777" w:rsidR="00BD776B" w:rsidRDefault="00DF0C24">
            <w:pPr>
              <w:spacing w:before="108" w:line="480" w:lineRule="exact"/>
              <w:ind w:firstLine="700"/>
            </w:pPr>
            <w:r>
              <w:rPr>
                <w:rFonts w:ascii="標楷體" w:eastAsia="標楷體" w:hAnsi="標楷體"/>
                <w:color w:val="000000"/>
                <w:sz w:val="28"/>
                <w:szCs w:val="28"/>
              </w:rPr>
              <w:t>治療後: 第一次LDL-C為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p w14:paraId="66CE6C95" w14:textId="77777777" w:rsidR="00BD776B" w:rsidRDefault="00DF0C24">
            <w:pPr>
              <w:spacing w:line="480" w:lineRule="exact"/>
              <w:ind w:firstLine="1680"/>
            </w:pPr>
            <w:r>
              <w:rPr>
                <w:rFonts w:ascii="標楷體" w:eastAsia="標楷體" w:hAnsi="標楷體"/>
                <w:color w:val="000000"/>
                <w:sz w:val="28"/>
                <w:szCs w:val="28"/>
              </w:rPr>
              <w:t>第二次LDL-C為</w:t>
            </w:r>
            <w:r>
              <w:rPr>
                <w:rFonts w:ascii="標楷體" w:eastAsia="標楷體" w:hAnsi="標楷體"/>
                <w:color w:val="000000"/>
                <w:sz w:val="28"/>
                <w:szCs w:val="28"/>
                <w:u w:val="single"/>
              </w:rPr>
              <w:t xml:space="preserve">　　　</w:t>
            </w:r>
            <w:r>
              <w:rPr>
                <w:rFonts w:ascii="標楷體" w:eastAsia="標楷體" w:hAnsi="標楷體"/>
                <w:color w:val="000000"/>
                <w:sz w:val="28"/>
                <w:szCs w:val="28"/>
              </w:rPr>
              <w:t>mg/dL，檢測日期為</w:t>
            </w:r>
            <w:r>
              <w:rPr>
                <w:rFonts w:ascii="標楷體" w:eastAsia="標楷體" w:hAnsi="標楷體"/>
                <w:color w:val="000000"/>
                <w:sz w:val="28"/>
                <w:szCs w:val="28"/>
                <w:u w:val="single"/>
              </w:rPr>
              <w:t xml:space="preserve">　　　</w:t>
            </w:r>
            <w:r>
              <w:rPr>
                <w:rFonts w:ascii="標楷體" w:eastAsia="標楷體" w:hAnsi="標楷體"/>
                <w:color w:val="000000"/>
                <w:sz w:val="28"/>
                <w:szCs w:val="28"/>
              </w:rPr>
              <w:t>年</w:t>
            </w:r>
            <w:r>
              <w:rPr>
                <w:rFonts w:ascii="標楷體" w:eastAsia="標楷體" w:hAnsi="標楷體"/>
                <w:color w:val="000000"/>
                <w:sz w:val="28"/>
                <w:szCs w:val="28"/>
                <w:u w:val="single"/>
              </w:rPr>
              <w:t xml:space="preserve">　　　</w:t>
            </w:r>
            <w:r>
              <w:rPr>
                <w:rFonts w:ascii="標楷體" w:eastAsia="標楷體" w:hAnsi="標楷體"/>
                <w:color w:val="000000"/>
                <w:sz w:val="28"/>
                <w:szCs w:val="28"/>
              </w:rPr>
              <w:t>月</w:t>
            </w:r>
            <w:r>
              <w:rPr>
                <w:rFonts w:ascii="標楷體" w:eastAsia="標楷體" w:hAnsi="標楷體"/>
                <w:color w:val="000000"/>
                <w:sz w:val="28"/>
                <w:szCs w:val="28"/>
                <w:u w:val="single"/>
              </w:rPr>
              <w:t xml:space="preserve">　　　</w:t>
            </w:r>
            <w:r>
              <w:rPr>
                <w:rFonts w:ascii="標楷體" w:eastAsia="標楷體" w:hAnsi="標楷體"/>
                <w:color w:val="000000"/>
                <w:sz w:val="28"/>
                <w:szCs w:val="28"/>
              </w:rPr>
              <w:t>日。</w:t>
            </w:r>
          </w:p>
        </w:tc>
      </w:tr>
      <w:tr w:rsidR="00BD776B" w14:paraId="11114F2A" w14:textId="77777777">
        <w:tc>
          <w:tcPr>
            <w:tcW w:w="10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6B6D" w14:textId="77777777" w:rsidR="00BD776B" w:rsidRDefault="00DF0C24">
            <w:pPr>
              <w:spacing w:line="480" w:lineRule="exact"/>
            </w:pPr>
            <w:r>
              <w:rPr>
                <w:rFonts w:ascii="標楷體" w:eastAsia="標楷體" w:hAnsi="標楷體"/>
                <w:bCs/>
                <w:iCs/>
                <w:color w:val="000000"/>
                <w:sz w:val="28"/>
                <w:szCs w:val="28"/>
              </w:rPr>
              <w:lastRenderedPageBreak/>
              <w:t>四、申請使用PCSK9血脂調節劑種類</w:t>
            </w:r>
          </w:p>
          <w:p w14:paraId="1F36188E" w14:textId="77777777" w:rsidR="00BD776B" w:rsidRDefault="00DF0C24">
            <w:pPr>
              <w:spacing w:line="480" w:lineRule="exact"/>
            </w:pPr>
            <w:r>
              <w:rPr>
                <w:rFonts w:ascii="標楷體" w:eastAsia="標楷體" w:hAnsi="標楷體"/>
                <w:color w:val="000000"/>
                <w:sz w:val="28"/>
                <w:szCs w:val="28"/>
              </w:rPr>
              <w:t>因上述原因得申請PCSK9血脂調節劑治療，最高劑量為每兩週使用1支。本類藥品不可同時使用，僅得擇一申請。申請藥物為</w:t>
            </w:r>
          </w:p>
          <w:p w14:paraId="7958BEE6" w14:textId="77777777" w:rsidR="00BD776B" w:rsidRDefault="00DF0C24">
            <w:pPr>
              <w:spacing w:line="480" w:lineRule="exact"/>
            </w:pPr>
            <w:r>
              <w:rPr>
                <w:rFonts w:ascii="標楷體" w:eastAsia="標楷體" w:hAnsi="標楷體"/>
                <w:color w:val="000000"/>
                <w:sz w:val="28"/>
                <w:szCs w:val="28"/>
              </w:rPr>
              <w:t>□ Praluent 保脂通 （Alirocumab），兩週限使用1支</w:t>
            </w:r>
          </w:p>
          <w:p w14:paraId="5CA06A0D" w14:textId="77777777" w:rsidR="00BD776B" w:rsidRDefault="00DF0C24">
            <w:pPr>
              <w:spacing w:line="480" w:lineRule="exact"/>
            </w:pPr>
            <w:r>
              <w:rPr>
                <w:rFonts w:ascii="標楷體" w:eastAsia="標楷體" w:hAnsi="標楷體"/>
                <w:color w:val="000000"/>
                <w:sz w:val="28"/>
                <w:szCs w:val="28"/>
              </w:rPr>
              <w:t>□ Repatha 瑞百安 （Evolocumab），兩週限使用1支</w:t>
            </w:r>
          </w:p>
        </w:tc>
      </w:tr>
    </w:tbl>
    <w:p w14:paraId="6016BAF3" w14:textId="77777777" w:rsidR="00BD776B" w:rsidRDefault="00BD776B">
      <w:pPr>
        <w:ind w:left="809" w:hanging="245"/>
        <w:rPr>
          <w:rFonts w:ascii="標楷體" w:eastAsia="標楷體" w:hAnsi="標楷體"/>
          <w:color w:val="000000"/>
        </w:rPr>
      </w:pPr>
    </w:p>
    <w:p w14:paraId="630EDB0F" w14:textId="77777777" w:rsidR="00BD776B" w:rsidRDefault="00BD776B">
      <w:pPr>
        <w:pStyle w:val="ab"/>
        <w:snapToGrid w:val="0"/>
        <w:spacing w:line="400" w:lineRule="exact"/>
        <w:ind w:left="1932" w:hanging="1452"/>
        <w:jc w:val="both"/>
      </w:pPr>
    </w:p>
    <w:p w14:paraId="4BF6C609" w14:textId="77777777" w:rsidR="00BD776B" w:rsidRDefault="00DF0C24">
      <w:pPr>
        <w:pageBreakBefore/>
        <w:snapToGrid w:val="0"/>
        <w:spacing w:line="380" w:lineRule="exact"/>
        <w:jc w:val="both"/>
      </w:pPr>
      <w:r>
        <w:rPr>
          <w:rFonts w:ascii="標楷體" w:eastAsia="標楷體" w:hAnsi="標楷體" w:cs="標楷體"/>
          <w:color w:val="000000"/>
        </w:rPr>
        <w:lastRenderedPageBreak/>
        <w:t>附表三-Ａ全民健康保險使用維生素之醫治病症</w:t>
      </w:r>
    </w:p>
    <w:tbl>
      <w:tblPr>
        <w:tblW w:w="9072" w:type="dxa"/>
        <w:tblLayout w:type="fixed"/>
        <w:tblCellMar>
          <w:left w:w="10" w:type="dxa"/>
          <w:right w:w="10" w:type="dxa"/>
        </w:tblCellMar>
        <w:tblLook w:val="0000" w:firstRow="0" w:lastRow="0" w:firstColumn="0" w:lastColumn="0" w:noHBand="0" w:noVBand="0"/>
      </w:tblPr>
      <w:tblGrid>
        <w:gridCol w:w="2268"/>
        <w:gridCol w:w="6804"/>
      </w:tblGrid>
      <w:tr w:rsidR="00BD776B" w14:paraId="4FCEB58B" w14:textId="77777777">
        <w:tc>
          <w:tcPr>
            <w:tcW w:w="2268" w:type="dxa"/>
            <w:tcBorders>
              <w:top w:val="doub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55181D36" w14:textId="77777777" w:rsidR="00BD776B" w:rsidRDefault="00DF0C24">
            <w:pPr>
              <w:snapToGrid w:val="0"/>
              <w:spacing w:line="380" w:lineRule="exact"/>
            </w:pPr>
            <w:r>
              <w:rPr>
                <w:rFonts w:ascii="標楷體" w:eastAsia="標楷體" w:hAnsi="標楷體"/>
                <w:color w:val="000000"/>
              </w:rPr>
              <w:t>藥品名稱</w:t>
            </w:r>
          </w:p>
        </w:tc>
        <w:tc>
          <w:tcPr>
            <w:tcW w:w="6804" w:type="dxa"/>
            <w:tcBorders>
              <w:top w:val="doub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19258792" w14:textId="77777777" w:rsidR="00BD776B" w:rsidRDefault="00DF0C24">
            <w:pPr>
              <w:snapToGrid w:val="0"/>
              <w:spacing w:line="380" w:lineRule="exact"/>
            </w:pPr>
            <w:r>
              <w:rPr>
                <w:rFonts w:ascii="標楷體" w:eastAsia="標楷體" w:hAnsi="標楷體"/>
                <w:color w:val="000000"/>
              </w:rPr>
              <w:t>醫治病症</w:t>
            </w:r>
          </w:p>
        </w:tc>
      </w:tr>
      <w:tr w:rsidR="00BD776B" w14:paraId="454594CB" w14:textId="77777777">
        <w:tc>
          <w:tcPr>
            <w:tcW w:w="2268" w:type="dxa"/>
            <w:tcBorders>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817769A" w14:textId="77777777" w:rsidR="00BD776B" w:rsidRDefault="00DF0C24">
            <w:pPr>
              <w:snapToGrid w:val="0"/>
              <w:spacing w:line="380" w:lineRule="exact"/>
            </w:pPr>
            <w:r>
              <w:rPr>
                <w:rFonts w:ascii="標楷體" w:eastAsia="標楷體" w:hAnsi="標楷體"/>
                <w:color w:val="000000"/>
              </w:rPr>
              <w:t>維生素A</w:t>
            </w:r>
          </w:p>
        </w:tc>
        <w:tc>
          <w:tcPr>
            <w:tcW w:w="6804" w:type="dxa"/>
            <w:tcBorders>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72DDB5F" w14:textId="77777777" w:rsidR="00BD776B" w:rsidRDefault="00DF0C24">
            <w:pPr>
              <w:snapToGrid w:val="0"/>
              <w:spacing w:line="380" w:lineRule="exact"/>
            </w:pPr>
            <w:r>
              <w:rPr>
                <w:rFonts w:ascii="標楷體" w:eastAsia="標楷體" w:hAnsi="標楷體"/>
                <w:color w:val="000000"/>
              </w:rPr>
              <w:t>夜盲症、眼球乾燥症、角膜軟化症、皮膚角化異常症</w:t>
            </w:r>
          </w:p>
        </w:tc>
      </w:tr>
      <w:tr w:rsidR="00BD776B" w14:paraId="4204898C" w14:textId="77777777">
        <w:tc>
          <w:tcPr>
            <w:tcW w:w="2268" w:type="dxa"/>
            <w:tcBorders>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969FBF3" w14:textId="77777777" w:rsidR="00BD776B" w:rsidRDefault="00DF0C24">
            <w:pPr>
              <w:snapToGrid w:val="0"/>
              <w:spacing w:line="380" w:lineRule="exact"/>
            </w:pPr>
            <w:r>
              <w:rPr>
                <w:rFonts w:ascii="標楷體" w:eastAsia="標楷體" w:hAnsi="標楷體"/>
                <w:color w:val="000000"/>
              </w:rPr>
              <w:t>維生素B</w:t>
            </w:r>
            <w:r>
              <w:rPr>
                <w:rFonts w:ascii="標楷體" w:eastAsia="標楷體" w:hAnsi="標楷體"/>
                <w:color w:val="000000"/>
                <w:vertAlign w:val="subscript"/>
              </w:rPr>
              <w:t>1</w:t>
            </w:r>
            <w:r>
              <w:rPr>
                <w:rFonts w:ascii="標楷體" w:eastAsia="標楷體" w:hAnsi="標楷體"/>
                <w:color w:val="000000"/>
              </w:rPr>
              <w:t>（89/2/1）</w:t>
            </w:r>
          </w:p>
        </w:tc>
        <w:tc>
          <w:tcPr>
            <w:tcW w:w="6804" w:type="dxa"/>
            <w:tcBorders>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1F368B4" w14:textId="77777777" w:rsidR="00BD776B" w:rsidRDefault="00DF0C24">
            <w:pPr>
              <w:snapToGrid w:val="0"/>
              <w:spacing w:line="380" w:lineRule="exact"/>
            </w:pPr>
            <w:r>
              <w:rPr>
                <w:rFonts w:ascii="標楷體" w:eastAsia="標楷體" w:hAnsi="標楷體"/>
                <w:color w:val="000000"/>
              </w:rPr>
              <w:t>維生素B</w:t>
            </w:r>
            <w:r>
              <w:rPr>
                <w:rFonts w:ascii="標楷體" w:eastAsia="標楷體" w:hAnsi="標楷體"/>
                <w:color w:val="000000"/>
                <w:vertAlign w:val="subscript"/>
              </w:rPr>
              <w:t>1</w:t>
            </w:r>
            <w:r>
              <w:rPr>
                <w:rFonts w:ascii="標楷體" w:eastAsia="標楷體" w:hAnsi="標楷體"/>
                <w:color w:val="000000"/>
              </w:rPr>
              <w:t>（thiamine）缺乏症、營養吸收障礙症候群（malabsorptionsyndrome）、或胰臟炎等需以全靜脈營養劑（totalparenteralnutrition,TPN）提供營養支持之病患、酒精戒斷症候群（alcoholwithdrawalsyndrome）。</w:t>
            </w:r>
          </w:p>
        </w:tc>
      </w:tr>
      <w:tr w:rsidR="00BD776B" w14:paraId="64D16BE6"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31D96A0" w14:textId="77777777" w:rsidR="00BD776B" w:rsidRDefault="00DF0C24">
            <w:pPr>
              <w:snapToGrid w:val="0"/>
              <w:spacing w:line="380" w:lineRule="exact"/>
            </w:pPr>
            <w:r>
              <w:rPr>
                <w:rFonts w:ascii="標楷體" w:eastAsia="標楷體" w:hAnsi="標楷體"/>
                <w:color w:val="000000"/>
              </w:rPr>
              <w:t>維生素B</w:t>
            </w:r>
            <w:r>
              <w:rPr>
                <w:rFonts w:ascii="標楷體" w:eastAsia="標楷體" w:hAnsi="標楷體"/>
                <w:color w:val="000000"/>
                <w:vertAlign w:val="subscript"/>
              </w:rPr>
              <w:t>2</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1285F00" w14:textId="77777777" w:rsidR="00BD776B" w:rsidRDefault="00DF0C24">
            <w:pPr>
              <w:snapToGrid w:val="0"/>
              <w:spacing w:line="380" w:lineRule="exact"/>
            </w:pPr>
            <w:r>
              <w:rPr>
                <w:rFonts w:ascii="標楷體" w:eastAsia="標楷體" w:hAnsi="標楷體"/>
                <w:color w:val="000000"/>
              </w:rPr>
              <w:t>口角炎、維生素B</w:t>
            </w:r>
            <w:r>
              <w:rPr>
                <w:rFonts w:ascii="標楷體" w:eastAsia="標楷體" w:hAnsi="標楷體"/>
                <w:color w:val="000000"/>
                <w:vertAlign w:val="subscript"/>
              </w:rPr>
              <w:t>2</w:t>
            </w:r>
            <w:r>
              <w:rPr>
                <w:rFonts w:ascii="標楷體" w:eastAsia="標楷體" w:hAnsi="標楷體"/>
                <w:color w:val="000000"/>
              </w:rPr>
              <w:t>有效之皮膚病</w:t>
            </w:r>
          </w:p>
        </w:tc>
      </w:tr>
      <w:tr w:rsidR="00BD776B" w14:paraId="0EEBFC8F"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1253BC8" w14:textId="77777777" w:rsidR="00BD776B" w:rsidRDefault="00DF0C24">
            <w:pPr>
              <w:snapToGrid w:val="0"/>
              <w:spacing w:line="380" w:lineRule="exact"/>
            </w:pPr>
            <w:r>
              <w:rPr>
                <w:rFonts w:ascii="標楷體" w:eastAsia="標楷體" w:hAnsi="標楷體"/>
                <w:color w:val="000000"/>
              </w:rPr>
              <w:t>維生素B</w:t>
            </w:r>
            <w:r>
              <w:rPr>
                <w:rFonts w:ascii="標楷體" w:eastAsia="標楷體" w:hAnsi="標楷體"/>
                <w:color w:val="000000"/>
                <w:vertAlign w:val="subscript"/>
              </w:rPr>
              <w:t>6</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C7350B5" w14:textId="77777777" w:rsidR="00BD776B" w:rsidRDefault="00DF0C24">
            <w:pPr>
              <w:snapToGrid w:val="0"/>
              <w:spacing w:line="380" w:lineRule="exact"/>
            </w:pPr>
            <w:r>
              <w:rPr>
                <w:rFonts w:ascii="標楷體" w:eastAsia="標楷體" w:hAnsi="標楷體"/>
                <w:color w:val="000000"/>
              </w:rPr>
              <w:t>妊娠嘔吐、維生素B</w:t>
            </w:r>
            <w:r>
              <w:rPr>
                <w:rFonts w:ascii="標楷體" w:eastAsia="標楷體" w:hAnsi="標楷體"/>
                <w:color w:val="000000"/>
                <w:vertAlign w:val="subscript"/>
              </w:rPr>
              <w:t>6</w:t>
            </w:r>
            <w:r>
              <w:rPr>
                <w:rFonts w:ascii="標楷體" w:eastAsia="標楷體" w:hAnsi="標楷體"/>
                <w:color w:val="000000"/>
              </w:rPr>
              <w:t>有效之皮膚炎、預防及治療其他藥品所引起神經病變。</w:t>
            </w:r>
          </w:p>
        </w:tc>
      </w:tr>
      <w:tr w:rsidR="00BD776B" w14:paraId="52B1A849"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E44B466" w14:textId="77777777" w:rsidR="00BD776B" w:rsidRDefault="00DF0C24">
            <w:pPr>
              <w:snapToGrid w:val="0"/>
              <w:spacing w:line="380" w:lineRule="exact"/>
            </w:pPr>
            <w:r>
              <w:rPr>
                <w:rFonts w:ascii="標楷體" w:eastAsia="標楷體" w:hAnsi="標楷體"/>
                <w:color w:val="000000"/>
              </w:rPr>
              <w:t>維生素B</w:t>
            </w:r>
            <w:r>
              <w:rPr>
                <w:rFonts w:ascii="標楷體" w:eastAsia="標楷體" w:hAnsi="標楷體"/>
                <w:color w:val="000000"/>
                <w:vertAlign w:val="subscript"/>
              </w:rPr>
              <w:t>12</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CC9543D" w14:textId="77777777" w:rsidR="00BD776B" w:rsidRDefault="00DF0C24">
            <w:pPr>
              <w:snapToGrid w:val="0"/>
              <w:spacing w:line="380" w:lineRule="exact"/>
            </w:pPr>
            <w:r>
              <w:rPr>
                <w:rFonts w:ascii="標楷體" w:eastAsia="標楷體" w:hAnsi="標楷體"/>
                <w:color w:val="000000"/>
              </w:rPr>
              <w:t>巨球性貧血、缺乏維生素B</w:t>
            </w:r>
            <w:r>
              <w:rPr>
                <w:rFonts w:ascii="標楷體" w:eastAsia="標楷體" w:hAnsi="標楷體"/>
                <w:color w:val="000000"/>
                <w:vertAlign w:val="subscript"/>
              </w:rPr>
              <w:t>12</w:t>
            </w:r>
            <w:r>
              <w:rPr>
                <w:rFonts w:ascii="標楷體" w:eastAsia="標楷體" w:hAnsi="標楷體"/>
                <w:color w:val="000000"/>
              </w:rPr>
              <w:t>引起之血液或神經病變。</w:t>
            </w:r>
          </w:p>
        </w:tc>
      </w:tr>
      <w:tr w:rsidR="00BD776B" w14:paraId="3915B0FF"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491E9BD" w14:textId="77777777" w:rsidR="00BD776B" w:rsidRDefault="00DF0C24">
            <w:pPr>
              <w:snapToGrid w:val="0"/>
              <w:spacing w:line="380" w:lineRule="exact"/>
            </w:pPr>
            <w:r>
              <w:rPr>
                <w:rFonts w:ascii="標楷體" w:eastAsia="標楷體" w:hAnsi="標楷體"/>
                <w:color w:val="000000"/>
              </w:rPr>
              <w:t>維生素C</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CC0BCBE" w14:textId="77777777" w:rsidR="00BD776B" w:rsidRDefault="00DF0C24">
            <w:pPr>
              <w:snapToGrid w:val="0"/>
              <w:spacing w:line="380" w:lineRule="exact"/>
            </w:pPr>
            <w:r>
              <w:rPr>
                <w:rFonts w:ascii="標楷體" w:eastAsia="標楷體" w:hAnsi="標楷體"/>
                <w:color w:val="000000"/>
              </w:rPr>
              <w:t>壞血病</w:t>
            </w:r>
          </w:p>
        </w:tc>
      </w:tr>
      <w:tr w:rsidR="00BD776B" w14:paraId="304738E1"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033F6BD" w14:textId="77777777" w:rsidR="00BD776B" w:rsidRDefault="00DF0C24">
            <w:pPr>
              <w:snapToGrid w:val="0"/>
              <w:spacing w:line="380" w:lineRule="exact"/>
            </w:pPr>
            <w:r>
              <w:rPr>
                <w:rFonts w:ascii="標楷體" w:eastAsia="標楷體" w:hAnsi="標楷體"/>
                <w:color w:val="000000"/>
              </w:rPr>
              <w:t>維生素D</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48D6ACE" w14:textId="77777777" w:rsidR="00BD776B" w:rsidRDefault="00DF0C24">
            <w:pPr>
              <w:snapToGrid w:val="0"/>
              <w:spacing w:line="380" w:lineRule="exact"/>
            </w:pPr>
            <w:r>
              <w:rPr>
                <w:rFonts w:ascii="標楷體" w:eastAsia="標楷體" w:hAnsi="標楷體"/>
                <w:color w:val="000000"/>
              </w:rPr>
              <w:t>佝僂病、骨軟化症、尿毒症腎性骨質病變、副甲狀腺機能低下</w:t>
            </w:r>
          </w:p>
        </w:tc>
      </w:tr>
      <w:tr w:rsidR="00BD776B" w14:paraId="16D8041E"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75DD3A0" w14:textId="77777777" w:rsidR="00BD776B" w:rsidRDefault="00DF0C24">
            <w:pPr>
              <w:snapToGrid w:val="0"/>
              <w:spacing w:line="380" w:lineRule="exact"/>
            </w:pPr>
            <w:r>
              <w:rPr>
                <w:rFonts w:ascii="標楷體" w:eastAsia="標楷體" w:hAnsi="標楷體"/>
                <w:color w:val="000000"/>
              </w:rPr>
              <w:t>維生素K</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58C6A55" w14:textId="77777777" w:rsidR="00BD776B" w:rsidRDefault="00DF0C24">
            <w:pPr>
              <w:snapToGrid w:val="0"/>
              <w:spacing w:line="380" w:lineRule="exact"/>
            </w:pPr>
            <w:r>
              <w:rPr>
                <w:rFonts w:ascii="標楷體" w:eastAsia="標楷體" w:hAnsi="標楷體"/>
                <w:color w:val="000000"/>
              </w:rPr>
              <w:t>缺乏維生素K所致之出血症</w:t>
            </w:r>
          </w:p>
        </w:tc>
      </w:tr>
      <w:tr w:rsidR="00BD776B" w14:paraId="10634F96"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822A014" w14:textId="77777777" w:rsidR="00BD776B" w:rsidRDefault="00DF0C24">
            <w:pPr>
              <w:snapToGrid w:val="0"/>
              <w:spacing w:line="380" w:lineRule="exact"/>
            </w:pPr>
            <w:r>
              <w:rPr>
                <w:rFonts w:ascii="標楷體" w:eastAsia="標楷體" w:hAnsi="標楷體"/>
                <w:color w:val="000000"/>
              </w:rPr>
              <w:t>菸鹼酸</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3640D69" w14:textId="77777777" w:rsidR="00BD776B" w:rsidRDefault="00DF0C24">
            <w:pPr>
              <w:snapToGrid w:val="0"/>
              <w:spacing w:line="380" w:lineRule="exact"/>
            </w:pPr>
            <w:r>
              <w:rPr>
                <w:rFonts w:ascii="標楷體" w:eastAsia="標楷體" w:hAnsi="標楷體"/>
                <w:color w:val="000000"/>
              </w:rPr>
              <w:t>癩皮症、血脂過高症</w:t>
            </w:r>
          </w:p>
        </w:tc>
      </w:tr>
      <w:tr w:rsidR="00BD776B" w14:paraId="41E92825" w14:textId="77777777">
        <w:tc>
          <w:tcPr>
            <w:tcW w:w="2268"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4CF0EA2F" w14:textId="77777777" w:rsidR="00BD776B" w:rsidRDefault="00DF0C24">
            <w:pPr>
              <w:snapToGrid w:val="0"/>
              <w:spacing w:line="380" w:lineRule="exact"/>
            </w:pPr>
            <w:r>
              <w:rPr>
                <w:rFonts w:ascii="標楷體" w:eastAsia="標楷體" w:hAnsi="標楷體"/>
                <w:color w:val="000000"/>
              </w:rPr>
              <w:t>葉酸</w:t>
            </w:r>
          </w:p>
        </w:tc>
        <w:tc>
          <w:tcPr>
            <w:tcW w:w="6804"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5154EBDC" w14:textId="77777777" w:rsidR="00BD776B" w:rsidRDefault="00DF0C24">
            <w:pPr>
              <w:snapToGrid w:val="0"/>
              <w:spacing w:line="380" w:lineRule="exact"/>
            </w:pPr>
            <w:r>
              <w:rPr>
                <w:rFonts w:ascii="標楷體" w:eastAsia="標楷體" w:hAnsi="標楷體"/>
                <w:color w:val="000000"/>
              </w:rPr>
              <w:t>巨大紅血球貧血症、服用抗痙劑phenytoin引起之葉酸缺乏或其預防。</w:t>
            </w:r>
          </w:p>
        </w:tc>
      </w:tr>
    </w:tbl>
    <w:p w14:paraId="28B5E963" w14:textId="77777777" w:rsidR="00BD776B" w:rsidRDefault="00BD776B">
      <w:pPr>
        <w:snapToGrid w:val="0"/>
        <w:spacing w:line="380" w:lineRule="exact"/>
        <w:rPr>
          <w:rFonts w:ascii="標楷體" w:eastAsia="標楷體" w:hAnsi="標楷體"/>
          <w:color w:val="000000"/>
        </w:rPr>
      </w:pPr>
    </w:p>
    <w:p w14:paraId="65C73B8D" w14:textId="77777777" w:rsidR="00BD776B" w:rsidRDefault="00DF0C24">
      <w:pPr>
        <w:pageBreakBefore/>
        <w:snapToGrid w:val="0"/>
        <w:spacing w:line="380" w:lineRule="exact"/>
        <w:jc w:val="both"/>
      </w:pPr>
      <w:r>
        <w:rPr>
          <w:rFonts w:ascii="標楷體" w:eastAsia="標楷體" w:hAnsi="標楷體" w:cs="標楷體"/>
          <w:color w:val="000000"/>
        </w:rPr>
        <w:lastRenderedPageBreak/>
        <w:t>附表三-Ｂ全民健康保險使用荷爾蒙之醫治病症</w:t>
      </w:r>
    </w:p>
    <w:tbl>
      <w:tblPr>
        <w:tblW w:w="9072" w:type="dxa"/>
        <w:tblLayout w:type="fixed"/>
        <w:tblCellMar>
          <w:left w:w="10" w:type="dxa"/>
          <w:right w:w="10" w:type="dxa"/>
        </w:tblCellMar>
        <w:tblLook w:val="0000" w:firstRow="0" w:lastRow="0" w:firstColumn="0" w:lastColumn="0" w:noHBand="0" w:noVBand="0"/>
      </w:tblPr>
      <w:tblGrid>
        <w:gridCol w:w="2268"/>
        <w:gridCol w:w="6804"/>
      </w:tblGrid>
      <w:tr w:rsidR="00BD776B" w14:paraId="43A73F4B" w14:textId="77777777">
        <w:tc>
          <w:tcPr>
            <w:tcW w:w="2268" w:type="dxa"/>
            <w:tcBorders>
              <w:top w:val="doub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27448018" w14:textId="77777777" w:rsidR="00BD776B" w:rsidRDefault="00DF0C24">
            <w:pPr>
              <w:snapToGrid w:val="0"/>
              <w:spacing w:line="380" w:lineRule="exact"/>
            </w:pPr>
            <w:r>
              <w:rPr>
                <w:rFonts w:ascii="標楷體" w:eastAsia="標楷體" w:hAnsi="標楷體" w:cs="標楷體"/>
                <w:color w:val="000000"/>
              </w:rPr>
              <w:t>藥品名稱</w:t>
            </w:r>
          </w:p>
        </w:tc>
        <w:tc>
          <w:tcPr>
            <w:tcW w:w="6804" w:type="dxa"/>
            <w:tcBorders>
              <w:top w:val="doub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09F2D377" w14:textId="77777777" w:rsidR="00BD776B" w:rsidRDefault="00DF0C24">
            <w:pPr>
              <w:snapToGrid w:val="0"/>
              <w:spacing w:line="380" w:lineRule="exact"/>
            </w:pPr>
            <w:r>
              <w:rPr>
                <w:rFonts w:ascii="標楷體" w:eastAsia="標楷體" w:hAnsi="標楷體" w:cs="標楷體"/>
                <w:color w:val="000000"/>
              </w:rPr>
              <w:t>醫治病症</w:t>
            </w:r>
          </w:p>
        </w:tc>
      </w:tr>
      <w:tr w:rsidR="00BD776B" w14:paraId="41E6BC50" w14:textId="77777777">
        <w:tc>
          <w:tcPr>
            <w:tcW w:w="2268" w:type="dxa"/>
            <w:tcBorders>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233E988" w14:textId="77777777" w:rsidR="00BD776B" w:rsidRDefault="00DF0C24">
            <w:pPr>
              <w:snapToGrid w:val="0"/>
              <w:spacing w:line="380" w:lineRule="exact"/>
            </w:pPr>
            <w:r>
              <w:rPr>
                <w:rFonts w:ascii="標楷體" w:eastAsia="標楷體" w:hAnsi="標楷體" w:cs="標楷體"/>
                <w:color w:val="000000"/>
              </w:rPr>
              <w:t>女性荷爾蒙</w:t>
            </w:r>
          </w:p>
        </w:tc>
        <w:tc>
          <w:tcPr>
            <w:tcW w:w="6804" w:type="dxa"/>
            <w:tcBorders>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C92AC3F" w14:textId="77777777" w:rsidR="00BD776B" w:rsidRDefault="00DF0C24">
            <w:pPr>
              <w:snapToGrid w:val="0"/>
              <w:spacing w:line="380" w:lineRule="exact"/>
            </w:pPr>
            <w:r>
              <w:rPr>
                <w:rFonts w:ascii="標楷體" w:eastAsia="標楷體" w:hAnsi="標楷體" w:cs="標楷體"/>
                <w:color w:val="000000"/>
              </w:rPr>
              <w:t>閉經、不孕症、乳癌、前列腺癌、子宮機能性出血、停經後荷爾蒙之補充、腦下垂體疾病引起之無經症、有症狀之更年期症候群</w:t>
            </w:r>
          </w:p>
        </w:tc>
      </w:tr>
      <w:tr w:rsidR="00BD776B" w14:paraId="623FDD7B" w14:textId="77777777">
        <w:tc>
          <w:tcPr>
            <w:tcW w:w="2268"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BD32839" w14:textId="77777777" w:rsidR="00BD776B" w:rsidRDefault="00DF0C24">
            <w:pPr>
              <w:snapToGrid w:val="0"/>
              <w:spacing w:line="380" w:lineRule="exact"/>
            </w:pPr>
            <w:r>
              <w:rPr>
                <w:rFonts w:ascii="標楷體" w:eastAsia="標楷體" w:hAnsi="標楷體" w:cs="標楷體"/>
                <w:color w:val="000000"/>
              </w:rPr>
              <w:t>黃體荷爾蒙</w:t>
            </w:r>
          </w:p>
        </w:tc>
        <w:tc>
          <w:tcPr>
            <w:tcW w:w="680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EBAE067" w14:textId="77777777" w:rsidR="00BD776B" w:rsidRDefault="00DF0C24">
            <w:pPr>
              <w:snapToGrid w:val="0"/>
              <w:spacing w:line="380" w:lineRule="exact"/>
            </w:pPr>
            <w:r>
              <w:rPr>
                <w:rFonts w:ascii="標楷體" w:eastAsia="標楷體" w:hAnsi="標楷體" w:cs="標楷體"/>
                <w:color w:val="000000"/>
              </w:rPr>
              <w:t>流產、子宮機能性出血、不孕症、乳癌、子宮內膜異位、停經後婦女</w:t>
            </w:r>
          </w:p>
        </w:tc>
      </w:tr>
      <w:tr w:rsidR="00BD776B" w14:paraId="11D37738" w14:textId="77777777">
        <w:tc>
          <w:tcPr>
            <w:tcW w:w="2268"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4720A082" w14:textId="77777777" w:rsidR="00BD776B" w:rsidRDefault="00DF0C24">
            <w:pPr>
              <w:snapToGrid w:val="0"/>
              <w:spacing w:line="380" w:lineRule="exact"/>
            </w:pPr>
            <w:r>
              <w:rPr>
                <w:rFonts w:ascii="標楷體" w:eastAsia="標楷體" w:hAnsi="標楷體" w:cs="標楷體"/>
                <w:color w:val="000000"/>
              </w:rPr>
              <w:t>男性荷爾蒙</w:t>
            </w:r>
          </w:p>
        </w:tc>
        <w:tc>
          <w:tcPr>
            <w:tcW w:w="6804"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49BA797C" w14:textId="77777777" w:rsidR="00BD776B" w:rsidRDefault="00DF0C24">
            <w:pPr>
              <w:snapToGrid w:val="0"/>
              <w:spacing w:line="380" w:lineRule="exact"/>
            </w:pPr>
            <w:r>
              <w:rPr>
                <w:rFonts w:ascii="標楷體" w:eastAsia="標楷體" w:hAnsi="標楷體" w:cs="標楷體"/>
                <w:color w:val="000000"/>
              </w:rPr>
              <w:t>乳癌、子宮機能性出血、再生不良性貧血、血小板低下症、腦下垂體功能不足</w:t>
            </w:r>
          </w:p>
        </w:tc>
      </w:tr>
    </w:tbl>
    <w:p w14:paraId="78916BC4" w14:textId="77777777" w:rsidR="00BD776B" w:rsidRDefault="00BD776B">
      <w:pPr>
        <w:snapToGrid w:val="0"/>
        <w:spacing w:line="380" w:lineRule="exact"/>
        <w:jc w:val="both"/>
        <w:rPr>
          <w:rFonts w:ascii="標楷體" w:eastAsia="標楷體" w:hAnsi="標楷體" w:cs="Arial"/>
        </w:rPr>
      </w:pPr>
    </w:p>
    <w:p w14:paraId="7DE048E4" w14:textId="77777777" w:rsidR="00BD776B" w:rsidRDefault="00DF0C24">
      <w:pPr>
        <w:pageBreakBefore/>
        <w:snapToGrid w:val="0"/>
        <w:spacing w:line="380" w:lineRule="exact"/>
        <w:jc w:val="both"/>
      </w:pPr>
      <w:r>
        <w:rPr>
          <w:rFonts w:ascii="標楷體" w:eastAsia="標楷體" w:hAnsi="標楷體"/>
          <w:color w:val="000000"/>
        </w:rPr>
        <w:lastRenderedPageBreak/>
        <w:t>附表四全民健康保險使用HumanAlbumin申報表</w:t>
      </w:r>
    </w:p>
    <w:p w14:paraId="20595B6D" w14:textId="77777777" w:rsidR="00BD776B" w:rsidRDefault="00BD776B">
      <w:pPr>
        <w:snapToGrid w:val="0"/>
        <w:spacing w:line="380" w:lineRule="exact"/>
        <w:rPr>
          <w:rFonts w:ascii="標楷體" w:eastAsia="標楷體" w:hAnsi="標楷體"/>
          <w:color w:val="000000"/>
        </w:rPr>
      </w:pPr>
    </w:p>
    <w:tbl>
      <w:tblPr>
        <w:tblW w:w="9099" w:type="dxa"/>
        <w:tblLayout w:type="fixed"/>
        <w:tblCellMar>
          <w:left w:w="10" w:type="dxa"/>
          <w:right w:w="10" w:type="dxa"/>
        </w:tblCellMar>
        <w:tblLook w:val="0000" w:firstRow="0" w:lastRow="0" w:firstColumn="0" w:lastColumn="0" w:noHBand="0" w:noVBand="0"/>
      </w:tblPr>
      <w:tblGrid>
        <w:gridCol w:w="2008"/>
        <w:gridCol w:w="1080"/>
        <w:gridCol w:w="6011"/>
      </w:tblGrid>
      <w:tr w:rsidR="00BD776B" w14:paraId="0853D9C3" w14:textId="77777777">
        <w:tc>
          <w:tcPr>
            <w:tcW w:w="2008" w:type="dxa"/>
            <w:shd w:val="clear" w:color="auto" w:fill="auto"/>
            <w:tcMar>
              <w:top w:w="0" w:type="dxa"/>
              <w:left w:w="28" w:type="dxa"/>
              <w:bottom w:w="0" w:type="dxa"/>
              <w:right w:w="28" w:type="dxa"/>
            </w:tcMar>
          </w:tcPr>
          <w:p w14:paraId="1F151D2C" w14:textId="77777777" w:rsidR="00BD776B" w:rsidRDefault="00BD776B">
            <w:pPr>
              <w:snapToGrid w:val="0"/>
              <w:spacing w:line="380" w:lineRule="exact"/>
              <w:rPr>
                <w:rFonts w:ascii="標楷體" w:eastAsia="標楷體" w:hAnsi="標楷體"/>
                <w:color w:val="00000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0CD9C9" w14:textId="77777777" w:rsidR="00BD776B" w:rsidRDefault="00DF0C24">
            <w:pPr>
              <w:snapToGrid w:val="0"/>
              <w:spacing w:line="380" w:lineRule="exact"/>
              <w:jc w:val="center"/>
            </w:pPr>
            <w:r>
              <w:rPr>
                <w:rFonts w:ascii="標楷體" w:eastAsia="標楷體" w:hAnsi="標楷體" w:cs="標楷體"/>
                <w:color w:val="000000"/>
              </w:rPr>
              <w:t>醫院</w:t>
            </w:r>
          </w:p>
        </w:tc>
        <w:tc>
          <w:tcPr>
            <w:tcW w:w="60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0B9B5B" w14:textId="77777777" w:rsidR="00BD776B" w:rsidRDefault="00BD776B">
            <w:pPr>
              <w:snapToGrid w:val="0"/>
              <w:spacing w:line="380" w:lineRule="exact"/>
              <w:rPr>
                <w:rFonts w:ascii="標楷體" w:eastAsia="標楷體" w:hAnsi="標楷體"/>
                <w:color w:val="000000"/>
              </w:rPr>
            </w:pPr>
          </w:p>
        </w:tc>
      </w:tr>
    </w:tbl>
    <w:p w14:paraId="13D5D04E" w14:textId="77777777" w:rsidR="00BD776B" w:rsidRDefault="00BD776B">
      <w:pPr>
        <w:snapToGrid w:val="0"/>
        <w:spacing w:line="380" w:lineRule="exact"/>
        <w:rPr>
          <w:rFonts w:ascii="標楷體" w:eastAsia="標楷體" w:hAnsi="標楷體"/>
          <w:color w:val="000000"/>
        </w:rPr>
      </w:pPr>
    </w:p>
    <w:tbl>
      <w:tblPr>
        <w:tblW w:w="9124" w:type="dxa"/>
        <w:tblLayout w:type="fixed"/>
        <w:tblCellMar>
          <w:left w:w="10" w:type="dxa"/>
          <w:right w:w="10" w:type="dxa"/>
        </w:tblCellMar>
        <w:tblLook w:val="0000" w:firstRow="0" w:lastRow="0" w:firstColumn="0" w:lastColumn="0" w:noHBand="0" w:noVBand="0"/>
      </w:tblPr>
      <w:tblGrid>
        <w:gridCol w:w="734"/>
        <w:gridCol w:w="734"/>
        <w:gridCol w:w="900"/>
        <w:gridCol w:w="900"/>
        <w:gridCol w:w="1464"/>
        <w:gridCol w:w="1956"/>
        <w:gridCol w:w="1218"/>
        <w:gridCol w:w="1218"/>
      </w:tblGrid>
      <w:tr w:rsidR="00BD776B" w14:paraId="25296A6F" w14:textId="77777777">
        <w:trPr>
          <w:cantSplit/>
        </w:trPr>
        <w:tc>
          <w:tcPr>
            <w:tcW w:w="146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A4F83C" w14:textId="77777777" w:rsidR="00BD776B" w:rsidRDefault="00DF0C24">
            <w:pPr>
              <w:snapToGrid w:val="0"/>
              <w:spacing w:line="380" w:lineRule="exact"/>
            </w:pPr>
            <w:r>
              <w:rPr>
                <w:rFonts w:ascii="標楷體" w:eastAsia="標楷體" w:hAnsi="標楷體" w:cs="標楷體"/>
                <w:color w:val="000000"/>
              </w:rPr>
              <w:t>病人姓名</w:t>
            </w:r>
          </w:p>
        </w:tc>
        <w:tc>
          <w:tcPr>
            <w:tcW w:w="18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D3DC9B" w14:textId="77777777" w:rsidR="00BD776B" w:rsidRDefault="00BD776B">
            <w:pPr>
              <w:snapToGrid w:val="0"/>
              <w:spacing w:line="380" w:lineRule="exact"/>
              <w:rPr>
                <w:rFonts w:ascii="標楷體" w:eastAsia="標楷體" w:hAnsi="標楷體"/>
                <w:color w:val="000000"/>
              </w:rPr>
            </w:pP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C2F2BC" w14:textId="77777777" w:rsidR="00BD776B" w:rsidRDefault="00DF0C24">
            <w:pPr>
              <w:snapToGrid w:val="0"/>
              <w:spacing w:line="380" w:lineRule="exact"/>
            </w:pPr>
            <w:r>
              <w:rPr>
                <w:rFonts w:ascii="標楷體" w:eastAsia="標楷體" w:hAnsi="標楷體" w:cs="標楷體"/>
                <w:color w:val="000000"/>
              </w:rPr>
              <w:t>身分證號</w:t>
            </w:r>
          </w:p>
        </w:tc>
        <w:tc>
          <w:tcPr>
            <w:tcW w:w="19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E6FAA0" w14:textId="77777777" w:rsidR="00BD776B" w:rsidRDefault="00BD776B">
            <w:pPr>
              <w:snapToGrid w:val="0"/>
              <w:spacing w:line="380" w:lineRule="exact"/>
              <w:rPr>
                <w:rFonts w:ascii="標楷體" w:eastAsia="標楷體" w:hAnsi="標楷體"/>
                <w:color w:val="000000"/>
              </w:rPr>
            </w:pP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29AE5B" w14:textId="77777777" w:rsidR="00BD776B" w:rsidRDefault="00DF0C24">
            <w:pPr>
              <w:snapToGrid w:val="0"/>
              <w:spacing w:line="380" w:lineRule="exact"/>
            </w:pPr>
            <w:r>
              <w:rPr>
                <w:rFonts w:ascii="標楷體" w:eastAsia="標楷體" w:hAnsi="標楷體" w:cs="標楷體"/>
                <w:color w:val="000000"/>
              </w:rPr>
              <w:t>科別</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12B7FE" w14:textId="77777777" w:rsidR="00BD776B" w:rsidRDefault="00BD776B">
            <w:pPr>
              <w:snapToGrid w:val="0"/>
              <w:spacing w:line="380" w:lineRule="exact"/>
              <w:rPr>
                <w:rFonts w:ascii="標楷體" w:eastAsia="標楷體" w:hAnsi="標楷體"/>
                <w:color w:val="000000"/>
              </w:rPr>
            </w:pPr>
          </w:p>
        </w:tc>
      </w:tr>
      <w:tr w:rsidR="00BD776B" w14:paraId="2D0C6D30" w14:textId="77777777">
        <w:tc>
          <w:tcPr>
            <w:tcW w:w="7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E4F22D" w14:textId="77777777" w:rsidR="00BD776B" w:rsidRDefault="00DF0C24">
            <w:pPr>
              <w:snapToGrid w:val="0"/>
              <w:spacing w:line="380" w:lineRule="exact"/>
            </w:pPr>
            <w:r>
              <w:rPr>
                <w:rFonts w:ascii="標楷體" w:eastAsia="標楷體" w:hAnsi="標楷體" w:cs="標楷體"/>
                <w:color w:val="000000"/>
              </w:rPr>
              <w:t>年齡</w:t>
            </w:r>
          </w:p>
        </w:tc>
        <w:tc>
          <w:tcPr>
            <w:tcW w:w="7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2B77A0" w14:textId="77777777" w:rsidR="00BD776B" w:rsidRDefault="00BD776B">
            <w:pPr>
              <w:snapToGrid w:val="0"/>
              <w:spacing w:line="380" w:lineRule="exact"/>
              <w:rPr>
                <w:rFonts w:ascii="標楷體" w:eastAsia="標楷體" w:hAnsi="標楷體"/>
                <w:color w:val="00000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98EF58" w14:textId="77777777" w:rsidR="00BD776B" w:rsidRDefault="00DF0C24">
            <w:pPr>
              <w:snapToGrid w:val="0"/>
              <w:spacing w:line="380" w:lineRule="exact"/>
            </w:pPr>
            <w:r>
              <w:rPr>
                <w:rFonts w:ascii="標楷體" w:eastAsia="標楷體" w:hAnsi="標楷體" w:cs="標楷體"/>
                <w:color w:val="000000"/>
              </w:rPr>
              <w:t>性別</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22E1FA" w14:textId="77777777" w:rsidR="00BD776B" w:rsidRDefault="00BD776B">
            <w:pPr>
              <w:snapToGrid w:val="0"/>
              <w:spacing w:line="380" w:lineRule="exact"/>
              <w:rPr>
                <w:rFonts w:ascii="標楷體" w:eastAsia="標楷體" w:hAnsi="標楷體"/>
                <w:color w:val="000000"/>
              </w:rPr>
            </w:pP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4419F2" w14:textId="77777777" w:rsidR="00BD776B" w:rsidRDefault="00DF0C24">
            <w:pPr>
              <w:snapToGrid w:val="0"/>
              <w:spacing w:line="380" w:lineRule="exact"/>
            </w:pPr>
            <w:r>
              <w:rPr>
                <w:rFonts w:ascii="標楷體" w:eastAsia="標楷體" w:hAnsi="標楷體" w:cs="標楷體"/>
                <w:color w:val="000000"/>
              </w:rPr>
              <w:t>病房號</w:t>
            </w:r>
          </w:p>
        </w:tc>
        <w:tc>
          <w:tcPr>
            <w:tcW w:w="19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A448DB" w14:textId="77777777" w:rsidR="00BD776B" w:rsidRDefault="00BD776B">
            <w:pPr>
              <w:snapToGrid w:val="0"/>
              <w:spacing w:line="380" w:lineRule="exact"/>
              <w:rPr>
                <w:rFonts w:ascii="標楷體" w:eastAsia="標楷體" w:hAnsi="標楷體"/>
                <w:color w:val="000000"/>
              </w:rPr>
            </w:pP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8BE1A3" w14:textId="77777777" w:rsidR="00BD776B" w:rsidRDefault="00DF0C24">
            <w:pPr>
              <w:snapToGrid w:val="0"/>
              <w:spacing w:line="380" w:lineRule="exact"/>
            </w:pPr>
            <w:r>
              <w:rPr>
                <w:rFonts w:ascii="標楷體" w:eastAsia="標楷體" w:hAnsi="標楷體" w:cs="標楷體"/>
                <w:color w:val="000000"/>
              </w:rPr>
              <w:t>門診</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5BE928" w14:textId="77777777" w:rsidR="00BD776B" w:rsidRDefault="00BD776B">
            <w:pPr>
              <w:snapToGrid w:val="0"/>
              <w:spacing w:line="380" w:lineRule="exact"/>
              <w:rPr>
                <w:rFonts w:ascii="標楷體" w:eastAsia="標楷體" w:hAnsi="標楷體"/>
                <w:color w:val="000000"/>
              </w:rPr>
            </w:pPr>
          </w:p>
        </w:tc>
      </w:tr>
    </w:tbl>
    <w:p w14:paraId="50C5931E" w14:textId="77777777" w:rsidR="00BD776B" w:rsidRDefault="00DF0C24">
      <w:pPr>
        <w:snapToGrid w:val="0"/>
        <w:spacing w:line="380" w:lineRule="exact"/>
      </w:pPr>
      <w:r>
        <w:rPr>
          <w:rFonts w:ascii="標楷體" w:eastAsia="標楷體" w:hAnsi="標楷體" w:cs="標楷體"/>
          <w:color w:val="000000"/>
        </w:rPr>
        <w:t>使用日期</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日至</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Pr>
          <w:rFonts w:ascii="標楷體" w:eastAsia="標楷體" w:hAnsi="標楷體" w:cs="標楷體"/>
          <w:color w:val="000000"/>
        </w:rPr>
        <w:t>日</w:t>
      </w:r>
    </w:p>
    <w:p w14:paraId="46A9C715" w14:textId="77777777" w:rsidR="00BD776B" w:rsidRDefault="00DF0C24">
      <w:pPr>
        <w:snapToGrid w:val="0"/>
        <w:spacing w:after="120" w:line="380" w:lineRule="exact"/>
      </w:pPr>
      <w:r>
        <w:rPr>
          <w:rFonts w:ascii="標楷體" w:eastAsia="標楷體" w:hAnsi="標楷體" w:cs="標楷體"/>
          <w:color w:val="000000"/>
        </w:rPr>
        <w:t>使用藥劑名稱及代碼</w:t>
      </w:r>
      <w:r>
        <w:rPr>
          <w:rFonts w:ascii="標楷體" w:eastAsia="標楷體" w:hAnsi="標楷體" w:cs="標楷體"/>
          <w:color w:val="000000"/>
          <w:u w:val="single"/>
        </w:rPr>
        <w:t xml:space="preserve">　　　　　　　　　　　　　　　</w:t>
      </w:r>
    </w:p>
    <w:tbl>
      <w:tblPr>
        <w:tblW w:w="9126" w:type="dxa"/>
        <w:tblLayout w:type="fixed"/>
        <w:tblCellMar>
          <w:left w:w="10" w:type="dxa"/>
          <w:right w:w="10" w:type="dxa"/>
        </w:tblCellMar>
        <w:tblLook w:val="0000" w:firstRow="0" w:lastRow="0" w:firstColumn="0" w:lastColumn="0" w:noHBand="0" w:noVBand="0"/>
      </w:tblPr>
      <w:tblGrid>
        <w:gridCol w:w="568"/>
        <w:gridCol w:w="4279"/>
        <w:gridCol w:w="4279"/>
      </w:tblGrid>
      <w:tr w:rsidR="00BD776B" w14:paraId="3370240F" w14:textId="77777777">
        <w:trPr>
          <w:cantSplit/>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473AA8" w14:textId="77777777" w:rsidR="00BD776B" w:rsidRDefault="00DF0C24">
            <w:pPr>
              <w:snapToGrid w:val="0"/>
              <w:spacing w:line="380" w:lineRule="exact"/>
              <w:jc w:val="center"/>
            </w:pPr>
            <w:r>
              <w:rPr>
                <w:rFonts w:ascii="標楷體" w:eastAsia="標楷體" w:hAnsi="標楷體" w:cs="標楷體"/>
                <w:color w:val="000000"/>
              </w:rPr>
              <w:t>適</w:t>
            </w:r>
          </w:p>
          <w:p w14:paraId="19A22A8E" w14:textId="77777777" w:rsidR="00BD776B" w:rsidRDefault="00BD776B">
            <w:pPr>
              <w:snapToGrid w:val="0"/>
              <w:spacing w:line="380" w:lineRule="exact"/>
              <w:jc w:val="center"/>
              <w:rPr>
                <w:rFonts w:ascii="標楷體" w:eastAsia="標楷體" w:hAnsi="標楷體"/>
                <w:color w:val="000000"/>
              </w:rPr>
            </w:pPr>
          </w:p>
          <w:p w14:paraId="7D47563C" w14:textId="77777777" w:rsidR="00BD776B" w:rsidRDefault="00BD776B">
            <w:pPr>
              <w:snapToGrid w:val="0"/>
              <w:spacing w:line="380" w:lineRule="exact"/>
              <w:jc w:val="center"/>
              <w:rPr>
                <w:rFonts w:ascii="標楷體" w:eastAsia="標楷體" w:hAnsi="標楷體"/>
                <w:color w:val="000000"/>
              </w:rPr>
            </w:pPr>
          </w:p>
          <w:p w14:paraId="34C43508" w14:textId="77777777" w:rsidR="00BD776B" w:rsidRDefault="00DF0C24">
            <w:pPr>
              <w:snapToGrid w:val="0"/>
              <w:spacing w:line="380" w:lineRule="exact"/>
              <w:jc w:val="center"/>
            </w:pPr>
            <w:r>
              <w:rPr>
                <w:rFonts w:ascii="標楷體" w:eastAsia="標楷體" w:hAnsi="標楷體" w:cs="標楷體"/>
                <w:color w:val="000000"/>
              </w:rPr>
              <w:t>應</w:t>
            </w:r>
          </w:p>
          <w:p w14:paraId="663349D9" w14:textId="77777777" w:rsidR="00BD776B" w:rsidRDefault="00BD776B">
            <w:pPr>
              <w:snapToGrid w:val="0"/>
              <w:spacing w:line="380" w:lineRule="exact"/>
              <w:jc w:val="center"/>
              <w:rPr>
                <w:rFonts w:ascii="標楷體" w:eastAsia="標楷體" w:hAnsi="標楷體"/>
                <w:color w:val="000000"/>
              </w:rPr>
            </w:pPr>
          </w:p>
          <w:p w14:paraId="58A4F0C8" w14:textId="77777777" w:rsidR="00BD776B" w:rsidRDefault="00BD776B">
            <w:pPr>
              <w:snapToGrid w:val="0"/>
              <w:spacing w:line="380" w:lineRule="exact"/>
              <w:jc w:val="center"/>
              <w:rPr>
                <w:rFonts w:ascii="標楷體" w:eastAsia="標楷體" w:hAnsi="標楷體"/>
                <w:color w:val="000000"/>
              </w:rPr>
            </w:pPr>
          </w:p>
          <w:p w14:paraId="4AB61886" w14:textId="77777777" w:rsidR="00BD776B" w:rsidRDefault="00DF0C24">
            <w:pPr>
              <w:snapToGrid w:val="0"/>
              <w:spacing w:line="380" w:lineRule="exact"/>
              <w:jc w:val="center"/>
            </w:pPr>
            <w:r>
              <w:rPr>
                <w:rFonts w:ascii="標楷體" w:eastAsia="標楷體" w:hAnsi="標楷體" w:cs="標楷體"/>
                <w:color w:val="000000"/>
              </w:rPr>
              <w:t>症</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7ADC9" w14:textId="77777777" w:rsidR="00BD776B" w:rsidRDefault="00DF0C24">
            <w:pPr>
              <w:snapToGrid w:val="0"/>
              <w:spacing w:line="380" w:lineRule="exact"/>
            </w:pPr>
            <w:r>
              <w:rPr>
                <w:rFonts w:ascii="標楷體" w:eastAsia="標楷體" w:hAnsi="標楷體" w:cs="標楷體"/>
                <w:color w:val="000000"/>
              </w:rPr>
              <w:t>□</w:t>
            </w:r>
            <w:r>
              <w:rPr>
                <w:rFonts w:ascii="標楷體" w:eastAsia="標楷體" w:hAnsi="標楷體"/>
                <w:color w:val="000000"/>
              </w:rPr>
              <w:t>休克(限50gm)</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2E171" w14:textId="77777777" w:rsidR="00BD776B" w:rsidRDefault="00DF0C24" w:rsidP="008A7063">
            <w:pPr>
              <w:numPr>
                <w:ilvl w:val="0"/>
                <w:numId w:val="41"/>
              </w:numPr>
              <w:snapToGrid w:val="0"/>
              <w:spacing w:line="380" w:lineRule="exact"/>
            </w:pPr>
            <w:r>
              <w:rPr>
                <w:rFonts w:ascii="標楷體" w:eastAsia="標楷體" w:hAnsi="標楷體"/>
                <w:color w:val="000000"/>
              </w:rPr>
              <w:t>A七十歲老人</w:t>
            </w:r>
          </w:p>
          <w:p w14:paraId="49FF9BB2" w14:textId="77777777" w:rsidR="00BD776B" w:rsidRDefault="00DF0C24" w:rsidP="008A7063">
            <w:pPr>
              <w:numPr>
                <w:ilvl w:val="0"/>
                <w:numId w:val="41"/>
              </w:numPr>
              <w:snapToGrid w:val="0"/>
              <w:spacing w:line="380" w:lineRule="exact"/>
            </w:pPr>
            <w:r>
              <w:rPr>
                <w:rFonts w:ascii="標楷體" w:eastAsia="標楷體" w:hAnsi="標楷體"/>
                <w:color w:val="000000"/>
              </w:rPr>
              <w:t>B嬰幼兒</w:t>
            </w:r>
          </w:p>
          <w:p w14:paraId="6E04C7DD" w14:textId="77777777" w:rsidR="00BD776B" w:rsidRDefault="00DF0C24" w:rsidP="008A7063">
            <w:pPr>
              <w:numPr>
                <w:ilvl w:val="0"/>
                <w:numId w:val="41"/>
              </w:numPr>
              <w:snapToGrid w:val="0"/>
              <w:spacing w:line="380" w:lineRule="exact"/>
            </w:pPr>
            <w:r>
              <w:rPr>
                <w:rFonts w:ascii="標楷體" w:eastAsia="標楷體" w:hAnsi="標楷體"/>
                <w:color w:val="000000"/>
              </w:rPr>
              <w:t>C合併心衰竭</w:t>
            </w:r>
          </w:p>
          <w:p w14:paraId="48745F12" w14:textId="77777777" w:rsidR="00BD776B" w:rsidRDefault="00DF0C24" w:rsidP="008A7063">
            <w:pPr>
              <w:numPr>
                <w:ilvl w:val="0"/>
                <w:numId w:val="42"/>
              </w:numPr>
              <w:snapToGrid w:val="0"/>
              <w:spacing w:line="380" w:lineRule="exact"/>
            </w:pPr>
            <w:r>
              <w:rPr>
                <w:rFonts w:ascii="標楷體" w:eastAsia="標楷體" w:hAnsi="標楷體"/>
                <w:color w:val="000000"/>
              </w:rPr>
              <w:t>D其他休克病人已給生理鹽水等</w:t>
            </w:r>
          </w:p>
        </w:tc>
      </w:tr>
      <w:tr w:rsidR="00BD776B" w14:paraId="78C54B88" w14:textId="77777777">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242A37" w14:textId="77777777" w:rsidR="00BD776B" w:rsidRDefault="00BD776B">
            <w:pPr>
              <w:snapToGrid w:val="0"/>
              <w:spacing w:line="380" w:lineRule="exact"/>
              <w:rPr>
                <w:rFonts w:ascii="標楷體" w:eastAsia="標楷體" w:hAnsi="標楷體"/>
                <w:color w:val="000000"/>
              </w:rPr>
            </w:pP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466DC" w14:textId="77777777" w:rsidR="00BD776B" w:rsidRDefault="00DF0C24">
            <w:pPr>
              <w:snapToGrid w:val="0"/>
              <w:spacing w:line="380" w:lineRule="exact"/>
            </w:pPr>
            <w:r>
              <w:rPr>
                <w:rFonts w:ascii="標楷體" w:eastAsia="標楷體" w:hAnsi="標楷體" w:cs="標楷體"/>
                <w:color w:val="000000"/>
              </w:rPr>
              <w:t>□蛋白嚴重流失小</w:t>
            </w:r>
            <w:r>
              <w:rPr>
                <w:rFonts w:ascii="標楷體" w:eastAsia="標楷體" w:hAnsi="標楷體"/>
                <w:color w:val="000000"/>
              </w:rPr>
              <w:t>於2.5gm/dL</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AC889" w14:textId="77777777" w:rsidR="00BD776B" w:rsidRDefault="00DF0C24" w:rsidP="008A7063">
            <w:pPr>
              <w:numPr>
                <w:ilvl w:val="0"/>
                <w:numId w:val="41"/>
              </w:numPr>
              <w:snapToGrid w:val="0"/>
              <w:spacing w:line="380" w:lineRule="exact"/>
            </w:pPr>
            <w:r>
              <w:rPr>
                <w:rFonts w:ascii="標楷體" w:eastAsia="標楷體" w:hAnsi="標楷體"/>
                <w:color w:val="000000"/>
              </w:rPr>
              <w:t>E肝硬化症(每日限25gm)</w:t>
            </w:r>
          </w:p>
          <w:p w14:paraId="0F0BF59B" w14:textId="77777777" w:rsidR="00BD776B" w:rsidRDefault="00DF0C24" w:rsidP="008A7063">
            <w:pPr>
              <w:numPr>
                <w:ilvl w:val="0"/>
                <w:numId w:val="41"/>
              </w:numPr>
              <w:snapToGrid w:val="0"/>
              <w:spacing w:line="380" w:lineRule="exact"/>
              <w:rPr>
                <w:rFonts w:ascii="標楷體" w:eastAsia="標楷體" w:hAnsi="標楷體"/>
                <w:color w:val="000000"/>
              </w:rPr>
            </w:pPr>
            <w:r>
              <w:rPr>
                <w:rFonts w:ascii="標楷體" w:eastAsia="標楷體" w:hAnsi="標楷體"/>
                <w:color w:val="000000"/>
              </w:rPr>
              <w:t>F腎症候群(每日限25gm)</w:t>
            </w:r>
          </w:p>
          <w:p w14:paraId="58D9F9DF" w14:textId="77777777" w:rsidR="00BD776B" w:rsidRDefault="00DF0C24" w:rsidP="008A7063">
            <w:pPr>
              <w:numPr>
                <w:ilvl w:val="0"/>
                <w:numId w:val="41"/>
              </w:numPr>
              <w:snapToGrid w:val="0"/>
              <w:spacing w:line="380" w:lineRule="exact"/>
            </w:pPr>
            <w:r>
              <w:rPr>
                <w:rFonts w:ascii="標楷體" w:eastAsia="標楷體" w:hAnsi="標楷體"/>
                <w:color w:val="000000"/>
              </w:rPr>
              <w:t>G嚴重燒、燙傷</w:t>
            </w:r>
          </w:p>
          <w:p w14:paraId="3D53D38D" w14:textId="77777777" w:rsidR="00BD776B" w:rsidRDefault="00DF0C24" w:rsidP="008A7063">
            <w:pPr>
              <w:numPr>
                <w:ilvl w:val="0"/>
                <w:numId w:val="43"/>
              </w:numPr>
              <w:snapToGrid w:val="0"/>
              <w:spacing w:line="380" w:lineRule="exact"/>
            </w:pPr>
            <w:r>
              <w:rPr>
                <w:rFonts w:ascii="標楷體" w:eastAsia="標楷體" w:hAnsi="標楷體"/>
                <w:color w:val="000000"/>
              </w:rPr>
              <w:t>H肝移植</w:t>
            </w:r>
          </w:p>
          <w:p w14:paraId="53E7A582" w14:textId="77777777" w:rsidR="00BD776B" w:rsidRDefault="00DF0C24" w:rsidP="008A7063">
            <w:pPr>
              <w:numPr>
                <w:ilvl w:val="0"/>
                <w:numId w:val="43"/>
              </w:numPr>
              <w:snapToGrid w:val="0"/>
              <w:spacing w:line="380" w:lineRule="exact"/>
              <w:rPr>
                <w:rFonts w:ascii="標楷體" w:eastAsia="標楷體" w:hAnsi="標楷體"/>
                <w:color w:val="000000"/>
              </w:rPr>
            </w:pPr>
            <w:r>
              <w:rPr>
                <w:rFonts w:ascii="標楷體" w:eastAsia="標楷體" w:hAnsi="標楷體"/>
                <w:color w:val="000000"/>
              </w:rPr>
              <w:t>I蛋白質流失性腸症</w:t>
            </w:r>
          </w:p>
        </w:tc>
      </w:tr>
      <w:tr w:rsidR="00BD776B" w14:paraId="2475B31E" w14:textId="77777777">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EFA268" w14:textId="77777777" w:rsidR="00BD776B" w:rsidRDefault="00BD776B">
            <w:pPr>
              <w:snapToGrid w:val="0"/>
              <w:spacing w:line="380" w:lineRule="exact"/>
              <w:rPr>
                <w:rFonts w:ascii="標楷體" w:eastAsia="標楷體" w:hAnsi="標楷體"/>
                <w:color w:val="000000"/>
              </w:rPr>
            </w:pP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64F50" w14:textId="77777777" w:rsidR="00BD776B" w:rsidRDefault="00DF0C24">
            <w:pPr>
              <w:snapToGrid w:val="0"/>
              <w:spacing w:line="380" w:lineRule="exact"/>
            </w:pPr>
            <w:r>
              <w:rPr>
                <w:rFonts w:ascii="標楷體" w:eastAsia="標楷體" w:hAnsi="標楷體" w:cs="標楷體"/>
                <w:color w:val="000000"/>
              </w:rPr>
              <w:t>□蛋白嚴重流失小於</w:t>
            </w:r>
            <w:r>
              <w:rPr>
                <w:rFonts w:ascii="標楷體" w:eastAsia="標楷體" w:hAnsi="標楷體"/>
                <w:color w:val="000000"/>
              </w:rPr>
              <w:t>3.0gm/dL</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DA09B" w14:textId="77777777" w:rsidR="00BD776B" w:rsidRDefault="00DF0C24" w:rsidP="008A7063">
            <w:pPr>
              <w:numPr>
                <w:ilvl w:val="0"/>
                <w:numId w:val="41"/>
              </w:numPr>
              <w:snapToGrid w:val="0"/>
              <w:spacing w:line="380" w:lineRule="exact"/>
            </w:pPr>
            <w:r>
              <w:rPr>
                <w:rFonts w:ascii="標楷體" w:eastAsia="標楷體" w:hAnsi="標楷體"/>
                <w:color w:val="000000"/>
              </w:rPr>
              <w:t>J嚴重肺水腫</w:t>
            </w:r>
          </w:p>
          <w:p w14:paraId="4D572D67" w14:textId="77777777" w:rsidR="00BD776B" w:rsidRDefault="00DF0C24" w:rsidP="008A7063">
            <w:pPr>
              <w:numPr>
                <w:ilvl w:val="0"/>
                <w:numId w:val="44"/>
              </w:numPr>
              <w:snapToGrid w:val="0"/>
              <w:spacing w:line="380" w:lineRule="exact"/>
            </w:pPr>
            <w:r>
              <w:rPr>
                <w:rFonts w:ascii="標楷體" w:eastAsia="標楷體" w:hAnsi="標楷體"/>
                <w:color w:val="000000"/>
              </w:rPr>
              <w:t>K大量肝切除</w:t>
            </w:r>
          </w:p>
        </w:tc>
      </w:tr>
      <w:tr w:rsidR="00BD776B" w14:paraId="2DB57483" w14:textId="77777777">
        <w:trPr>
          <w:cantSplit/>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65528D" w14:textId="77777777" w:rsidR="00BD776B" w:rsidRDefault="00BD776B">
            <w:pPr>
              <w:snapToGrid w:val="0"/>
              <w:spacing w:line="380" w:lineRule="exact"/>
              <w:rPr>
                <w:rFonts w:ascii="標楷體" w:eastAsia="標楷體" w:hAnsi="標楷體"/>
                <w:color w:val="000000"/>
              </w:rPr>
            </w:pPr>
          </w:p>
        </w:tc>
        <w:tc>
          <w:tcPr>
            <w:tcW w:w="85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BE19" w14:textId="77777777" w:rsidR="00BD776B" w:rsidRDefault="00DF0C24">
            <w:pPr>
              <w:snapToGrid w:val="0"/>
              <w:spacing w:line="380" w:lineRule="exact"/>
            </w:pPr>
            <w:r>
              <w:rPr>
                <w:rFonts w:ascii="標楷體" w:eastAsia="標楷體" w:hAnsi="標楷體" w:cs="標楷體"/>
                <w:color w:val="000000"/>
              </w:rPr>
              <w:t>□</w:t>
            </w:r>
            <w:r>
              <w:rPr>
                <w:rFonts w:ascii="標楷體" w:eastAsia="標楷體" w:hAnsi="標楷體"/>
                <w:color w:val="000000"/>
              </w:rPr>
              <w:t>開心手術(限37.5gm)</w:t>
            </w:r>
          </w:p>
        </w:tc>
      </w:tr>
    </w:tbl>
    <w:p w14:paraId="25439E9B" w14:textId="77777777" w:rsidR="00BD776B" w:rsidRDefault="00BD776B">
      <w:pPr>
        <w:snapToGrid w:val="0"/>
        <w:spacing w:line="380" w:lineRule="exact"/>
        <w:rPr>
          <w:rFonts w:ascii="標楷體" w:eastAsia="標楷體" w:hAnsi="標楷體"/>
          <w:color w:val="000000"/>
        </w:rPr>
      </w:pPr>
    </w:p>
    <w:tbl>
      <w:tblPr>
        <w:tblW w:w="9126" w:type="dxa"/>
        <w:tblLayout w:type="fixed"/>
        <w:tblCellMar>
          <w:left w:w="10" w:type="dxa"/>
          <w:right w:w="10" w:type="dxa"/>
        </w:tblCellMar>
        <w:tblLook w:val="0000" w:firstRow="0" w:lastRow="0" w:firstColumn="0" w:lastColumn="0" w:noHBand="0" w:noVBand="0"/>
      </w:tblPr>
      <w:tblGrid>
        <w:gridCol w:w="568"/>
        <w:gridCol w:w="2474"/>
        <w:gridCol w:w="1521"/>
        <w:gridCol w:w="1521"/>
        <w:gridCol w:w="1521"/>
        <w:gridCol w:w="1521"/>
      </w:tblGrid>
      <w:tr w:rsidR="00BD776B" w14:paraId="54FDF109" w14:textId="77777777">
        <w:trPr>
          <w:cantSplit/>
          <w:trHeight w:val="292"/>
        </w:trPr>
        <w:tc>
          <w:tcPr>
            <w:tcW w:w="5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28720F" w14:textId="77777777" w:rsidR="00BD776B" w:rsidRDefault="00DF0C24">
            <w:pPr>
              <w:snapToGrid w:val="0"/>
              <w:spacing w:line="380" w:lineRule="exact"/>
              <w:jc w:val="center"/>
            </w:pPr>
            <w:r>
              <w:rPr>
                <w:rFonts w:ascii="標楷體" w:eastAsia="標楷體" w:hAnsi="標楷體" w:cs="標楷體"/>
                <w:color w:val="000000"/>
              </w:rPr>
              <w:t>用</w:t>
            </w:r>
          </w:p>
          <w:p w14:paraId="60AC6371" w14:textId="77777777" w:rsidR="00BD776B" w:rsidRDefault="00BD776B">
            <w:pPr>
              <w:snapToGrid w:val="0"/>
              <w:spacing w:line="380" w:lineRule="exact"/>
              <w:jc w:val="center"/>
              <w:rPr>
                <w:rFonts w:ascii="標楷體" w:eastAsia="標楷體" w:hAnsi="標楷體"/>
                <w:color w:val="000000"/>
              </w:rPr>
            </w:pPr>
          </w:p>
          <w:p w14:paraId="506FD684" w14:textId="77777777" w:rsidR="00BD776B" w:rsidRDefault="00BD776B">
            <w:pPr>
              <w:snapToGrid w:val="0"/>
              <w:spacing w:line="380" w:lineRule="exact"/>
              <w:jc w:val="center"/>
              <w:rPr>
                <w:rFonts w:ascii="標楷體" w:eastAsia="標楷體" w:hAnsi="標楷體"/>
                <w:color w:val="000000"/>
              </w:rPr>
            </w:pPr>
          </w:p>
          <w:p w14:paraId="6D857871" w14:textId="77777777" w:rsidR="00BD776B" w:rsidRDefault="00DF0C24">
            <w:pPr>
              <w:snapToGrid w:val="0"/>
              <w:spacing w:line="380" w:lineRule="exact"/>
              <w:jc w:val="center"/>
            </w:pPr>
            <w:r>
              <w:rPr>
                <w:rFonts w:ascii="標楷體" w:eastAsia="標楷體" w:hAnsi="標楷體" w:cs="標楷體"/>
                <w:color w:val="000000"/>
              </w:rPr>
              <w:t>量</w:t>
            </w:r>
          </w:p>
        </w:tc>
        <w:tc>
          <w:tcPr>
            <w:tcW w:w="24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6A75DF" w14:textId="77777777" w:rsidR="00BD776B" w:rsidRDefault="00DF0C24">
            <w:pPr>
              <w:snapToGrid w:val="0"/>
              <w:spacing w:line="380" w:lineRule="exact"/>
              <w:jc w:val="center"/>
            </w:pPr>
            <w:r>
              <w:rPr>
                <w:rFonts w:ascii="標楷體" w:eastAsia="標楷體" w:hAnsi="標楷體" w:cs="標楷體"/>
                <w:color w:val="000000"/>
              </w:rPr>
              <w:t>日　　期</w:t>
            </w:r>
          </w:p>
        </w:tc>
        <w:tc>
          <w:tcPr>
            <w:tcW w:w="152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38B85C" w14:textId="77777777" w:rsidR="00BD776B" w:rsidRDefault="00DF0C24">
            <w:pPr>
              <w:snapToGrid w:val="0"/>
              <w:spacing w:line="380" w:lineRule="exact"/>
              <w:jc w:val="center"/>
            </w:pPr>
            <w:r>
              <w:rPr>
                <w:rFonts w:ascii="標楷體" w:eastAsia="標楷體" w:hAnsi="標楷體" w:cs="標楷體"/>
                <w:color w:val="000000"/>
              </w:rPr>
              <w:t>用量（瓶）</w:t>
            </w:r>
          </w:p>
        </w:tc>
        <w:tc>
          <w:tcPr>
            <w:tcW w:w="152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05A525" w14:textId="77777777" w:rsidR="00BD776B" w:rsidRDefault="00DF0C24">
            <w:pPr>
              <w:snapToGrid w:val="0"/>
              <w:spacing w:line="380" w:lineRule="exact"/>
              <w:jc w:val="center"/>
            </w:pPr>
            <w:r>
              <w:rPr>
                <w:rFonts w:ascii="標楷體" w:eastAsia="標楷體" w:hAnsi="標楷體"/>
                <w:color w:val="000000"/>
              </w:rPr>
              <w:t>檢驗結果A/G(gm/dL)</w:t>
            </w:r>
          </w:p>
        </w:tc>
        <w:tc>
          <w:tcPr>
            <w:tcW w:w="152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9D62DF" w14:textId="77777777" w:rsidR="00BD776B" w:rsidRDefault="00DF0C24">
            <w:pPr>
              <w:snapToGrid w:val="0"/>
              <w:spacing w:line="380" w:lineRule="exact"/>
              <w:jc w:val="center"/>
            </w:pPr>
            <w:r>
              <w:rPr>
                <w:rFonts w:ascii="標楷體" w:eastAsia="標楷體" w:hAnsi="標楷體" w:cs="標楷體"/>
                <w:color w:val="000000"/>
              </w:rPr>
              <w:t>檢查日期</w:t>
            </w:r>
          </w:p>
        </w:tc>
        <w:tc>
          <w:tcPr>
            <w:tcW w:w="152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E6C419" w14:textId="77777777" w:rsidR="00BD776B" w:rsidRDefault="00DF0C24">
            <w:pPr>
              <w:snapToGrid w:val="0"/>
              <w:spacing w:line="380" w:lineRule="exact"/>
              <w:jc w:val="center"/>
            </w:pPr>
            <w:r>
              <w:rPr>
                <w:rFonts w:ascii="標楷體" w:eastAsia="標楷體" w:hAnsi="標楷體" w:cs="標楷體"/>
                <w:color w:val="000000"/>
              </w:rPr>
              <w:t>審核結果</w:t>
            </w:r>
          </w:p>
        </w:tc>
      </w:tr>
      <w:tr w:rsidR="00BD776B" w14:paraId="28C8CF98" w14:textId="77777777">
        <w:trPr>
          <w:cantSplit/>
          <w:trHeight w:val="370"/>
        </w:trPr>
        <w:tc>
          <w:tcPr>
            <w:tcW w:w="5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14CD13" w14:textId="77777777" w:rsidR="00BD776B" w:rsidRDefault="00BD776B">
            <w:pPr>
              <w:snapToGrid w:val="0"/>
              <w:spacing w:line="380" w:lineRule="exact"/>
              <w:rPr>
                <w:rFonts w:ascii="標楷體" w:eastAsia="標楷體" w:hAnsi="標楷體"/>
                <w:color w:val="000000"/>
              </w:rPr>
            </w:pPr>
          </w:p>
        </w:tc>
        <w:tc>
          <w:tcPr>
            <w:tcW w:w="24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0C0D79" w14:textId="77777777" w:rsidR="00BD776B" w:rsidRDefault="00DF0C24">
            <w:pPr>
              <w:snapToGrid w:val="0"/>
              <w:spacing w:line="380" w:lineRule="exact"/>
            </w:pPr>
            <w:r>
              <w:rPr>
                <w:rFonts w:ascii="標楷體" w:eastAsia="標楷體" w:hAnsi="標楷體" w:cs="標楷體"/>
                <w:color w:val="000000"/>
              </w:rPr>
              <w:t xml:space="preserve">　　年　　月　　日</w:t>
            </w:r>
          </w:p>
        </w:tc>
        <w:tc>
          <w:tcPr>
            <w:tcW w:w="152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6D9DF1" w14:textId="77777777" w:rsidR="00BD776B" w:rsidRDefault="00BD776B">
            <w:pPr>
              <w:snapToGrid w:val="0"/>
              <w:spacing w:line="380" w:lineRule="exact"/>
              <w:rPr>
                <w:rFonts w:ascii="標楷體" w:eastAsia="標楷體" w:hAnsi="標楷體"/>
                <w:color w:val="000000"/>
              </w:rPr>
            </w:pPr>
          </w:p>
        </w:tc>
        <w:tc>
          <w:tcPr>
            <w:tcW w:w="152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510F3A" w14:textId="77777777" w:rsidR="00BD776B" w:rsidRDefault="00BD776B">
            <w:pPr>
              <w:snapToGrid w:val="0"/>
              <w:spacing w:line="380" w:lineRule="exact"/>
              <w:rPr>
                <w:rFonts w:ascii="標楷體" w:eastAsia="標楷體" w:hAnsi="標楷體"/>
                <w:color w:val="000000"/>
              </w:rPr>
            </w:pPr>
          </w:p>
        </w:tc>
        <w:tc>
          <w:tcPr>
            <w:tcW w:w="152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C1F477" w14:textId="77777777" w:rsidR="00BD776B" w:rsidRDefault="00BD776B">
            <w:pPr>
              <w:snapToGrid w:val="0"/>
              <w:spacing w:line="380" w:lineRule="exact"/>
              <w:rPr>
                <w:rFonts w:ascii="標楷體" w:eastAsia="標楷體" w:hAnsi="標楷體"/>
                <w:color w:val="000000"/>
              </w:rPr>
            </w:pPr>
          </w:p>
        </w:tc>
        <w:tc>
          <w:tcPr>
            <w:tcW w:w="152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CC759C" w14:textId="77777777" w:rsidR="00BD776B" w:rsidRDefault="00BD776B">
            <w:pPr>
              <w:snapToGrid w:val="0"/>
              <w:spacing w:line="380" w:lineRule="exact"/>
              <w:rPr>
                <w:rFonts w:ascii="標楷體" w:eastAsia="標楷體" w:hAnsi="標楷體"/>
                <w:color w:val="000000"/>
              </w:rPr>
            </w:pPr>
          </w:p>
        </w:tc>
      </w:tr>
      <w:tr w:rsidR="00BD776B" w14:paraId="738F13E6" w14:textId="77777777">
        <w:trPr>
          <w:cantSplit/>
        </w:trPr>
        <w:tc>
          <w:tcPr>
            <w:tcW w:w="5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D0BFAE" w14:textId="77777777" w:rsidR="00BD776B" w:rsidRDefault="00BD776B">
            <w:pPr>
              <w:snapToGrid w:val="0"/>
              <w:spacing w:line="380" w:lineRule="exact"/>
              <w:rPr>
                <w:rFonts w:ascii="標楷體" w:eastAsia="標楷體" w:hAnsi="標楷體"/>
                <w:color w:val="000000"/>
              </w:rPr>
            </w:pPr>
          </w:p>
        </w:tc>
        <w:tc>
          <w:tcPr>
            <w:tcW w:w="24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56384B"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BA9D65"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D34E0D1"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A18373"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3C9E3C" w14:textId="77777777" w:rsidR="00BD776B" w:rsidRDefault="00BD776B">
            <w:pPr>
              <w:snapToGrid w:val="0"/>
              <w:spacing w:line="380" w:lineRule="exact"/>
              <w:rPr>
                <w:rFonts w:ascii="標楷體" w:eastAsia="標楷體" w:hAnsi="標楷體"/>
                <w:color w:val="000000"/>
              </w:rPr>
            </w:pPr>
          </w:p>
        </w:tc>
      </w:tr>
      <w:tr w:rsidR="00BD776B" w14:paraId="6C808D83" w14:textId="77777777">
        <w:trPr>
          <w:cantSplit/>
        </w:trPr>
        <w:tc>
          <w:tcPr>
            <w:tcW w:w="5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FB4FEC" w14:textId="77777777" w:rsidR="00BD776B" w:rsidRDefault="00BD776B">
            <w:pPr>
              <w:snapToGrid w:val="0"/>
              <w:spacing w:line="380" w:lineRule="exact"/>
              <w:rPr>
                <w:rFonts w:ascii="標楷體" w:eastAsia="標楷體" w:hAnsi="標楷體"/>
                <w:color w:val="000000"/>
              </w:rPr>
            </w:pPr>
          </w:p>
        </w:tc>
        <w:tc>
          <w:tcPr>
            <w:tcW w:w="24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35E3D5"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47226B7"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440721"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ED27639"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0E3E7F" w14:textId="77777777" w:rsidR="00BD776B" w:rsidRDefault="00BD776B">
            <w:pPr>
              <w:snapToGrid w:val="0"/>
              <w:spacing w:line="380" w:lineRule="exact"/>
              <w:rPr>
                <w:rFonts w:ascii="標楷體" w:eastAsia="標楷體" w:hAnsi="標楷體"/>
                <w:color w:val="000000"/>
              </w:rPr>
            </w:pPr>
          </w:p>
        </w:tc>
      </w:tr>
      <w:tr w:rsidR="00BD776B" w14:paraId="15A2885F" w14:textId="77777777">
        <w:trPr>
          <w:cantSplit/>
        </w:trPr>
        <w:tc>
          <w:tcPr>
            <w:tcW w:w="5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C1D2B4" w14:textId="77777777" w:rsidR="00BD776B" w:rsidRDefault="00BD776B">
            <w:pPr>
              <w:snapToGrid w:val="0"/>
              <w:spacing w:line="380" w:lineRule="exact"/>
              <w:rPr>
                <w:rFonts w:ascii="標楷體" w:eastAsia="標楷體" w:hAnsi="標楷體"/>
                <w:color w:val="000000"/>
              </w:rPr>
            </w:pPr>
          </w:p>
        </w:tc>
        <w:tc>
          <w:tcPr>
            <w:tcW w:w="24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BCFD76"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5468F1"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4AAD8F"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F10FC7" w14:textId="77777777" w:rsidR="00BD776B" w:rsidRDefault="00BD776B">
            <w:pPr>
              <w:snapToGrid w:val="0"/>
              <w:spacing w:line="380" w:lineRule="exact"/>
              <w:rPr>
                <w:rFonts w:ascii="標楷體" w:eastAsia="標楷體" w:hAnsi="標楷體"/>
                <w:color w:val="000000"/>
              </w:rPr>
            </w:pP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F7346A" w14:textId="77777777" w:rsidR="00BD776B" w:rsidRDefault="00BD776B">
            <w:pPr>
              <w:snapToGrid w:val="0"/>
              <w:spacing w:line="380" w:lineRule="exact"/>
              <w:rPr>
                <w:rFonts w:ascii="標楷體" w:eastAsia="標楷體" w:hAnsi="標楷體"/>
                <w:color w:val="000000"/>
              </w:rPr>
            </w:pPr>
          </w:p>
        </w:tc>
      </w:tr>
      <w:tr w:rsidR="00BD776B" w14:paraId="68562156" w14:textId="77777777">
        <w:trPr>
          <w:cantSplit/>
          <w:trHeight w:val="979"/>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567164" w14:textId="77777777" w:rsidR="00BD776B" w:rsidRDefault="00DF0C24">
            <w:pPr>
              <w:snapToGrid w:val="0"/>
              <w:spacing w:line="380" w:lineRule="exact"/>
              <w:jc w:val="center"/>
            </w:pPr>
            <w:r>
              <w:rPr>
                <w:rFonts w:ascii="標楷體" w:eastAsia="標楷體" w:hAnsi="標楷體" w:cs="標楷體"/>
                <w:color w:val="000000"/>
              </w:rPr>
              <w:t>注意</w:t>
            </w:r>
          </w:p>
          <w:p w14:paraId="6A48CABD" w14:textId="77777777" w:rsidR="00BD776B" w:rsidRDefault="00DF0C24">
            <w:pPr>
              <w:snapToGrid w:val="0"/>
              <w:spacing w:line="380" w:lineRule="exact"/>
              <w:jc w:val="center"/>
            </w:pPr>
            <w:r>
              <w:rPr>
                <w:rFonts w:ascii="標楷體" w:eastAsia="標楷體" w:hAnsi="標楷體" w:cs="標楷體"/>
                <w:color w:val="000000"/>
              </w:rPr>
              <w:t>事項</w:t>
            </w:r>
          </w:p>
        </w:tc>
        <w:tc>
          <w:tcPr>
            <w:tcW w:w="855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96A475" w14:textId="77777777" w:rsidR="00BD776B" w:rsidRDefault="00DF0C24">
            <w:pPr>
              <w:snapToGrid w:val="0"/>
              <w:spacing w:line="380" w:lineRule="exact"/>
              <w:rPr>
                <w:rFonts w:ascii="標楷體" w:eastAsia="標楷體" w:hAnsi="標楷體"/>
                <w:color w:val="000000"/>
              </w:rPr>
            </w:pPr>
            <w:r>
              <w:rPr>
                <w:rFonts w:ascii="標楷體" w:eastAsia="標楷體" w:hAnsi="標楷體"/>
                <w:color w:val="000000"/>
              </w:rPr>
              <w:t>Albumin值限最近3天以內，如係多次注射限上次注射後，最近3天內之結果。</w:t>
            </w:r>
          </w:p>
          <w:p w14:paraId="7F2FD047" w14:textId="77777777" w:rsidR="00BD776B" w:rsidRDefault="00DF0C24">
            <w:pPr>
              <w:snapToGrid w:val="0"/>
              <w:spacing w:line="380" w:lineRule="exact"/>
            </w:pPr>
            <w:r>
              <w:rPr>
                <w:rFonts w:ascii="標楷體" w:eastAsia="標楷體" w:hAnsi="標楷體"/>
                <w:color w:val="000000"/>
              </w:rPr>
              <w:t>每次注射前，務必檢查Albumin值，符合條件方可以再注射。</w:t>
            </w:r>
          </w:p>
        </w:tc>
      </w:tr>
    </w:tbl>
    <w:p w14:paraId="4B49CFA9" w14:textId="77777777" w:rsidR="00BD776B" w:rsidRDefault="00BD776B">
      <w:pPr>
        <w:snapToGrid w:val="0"/>
        <w:spacing w:line="380" w:lineRule="exact"/>
        <w:rPr>
          <w:rFonts w:ascii="標楷體" w:eastAsia="標楷體" w:hAnsi="標楷體"/>
          <w:color w:val="000000"/>
        </w:rPr>
      </w:pPr>
    </w:p>
    <w:tbl>
      <w:tblPr>
        <w:tblW w:w="9125" w:type="dxa"/>
        <w:tblLayout w:type="fixed"/>
        <w:tblCellMar>
          <w:left w:w="10" w:type="dxa"/>
          <w:right w:w="10" w:type="dxa"/>
        </w:tblCellMar>
        <w:tblLook w:val="0000" w:firstRow="0" w:lastRow="0" w:firstColumn="0" w:lastColumn="0" w:noHBand="0" w:noVBand="0"/>
      </w:tblPr>
      <w:tblGrid>
        <w:gridCol w:w="568"/>
        <w:gridCol w:w="4860"/>
        <w:gridCol w:w="502"/>
        <w:gridCol w:w="3195"/>
      </w:tblGrid>
      <w:tr w:rsidR="00BD776B" w14:paraId="476CEFBB" w14:textId="77777777">
        <w:trPr>
          <w:cantSplit/>
          <w:trHeight w:val="2121"/>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B0640D" w14:textId="77777777" w:rsidR="00BD776B" w:rsidRDefault="00DF0C24">
            <w:pPr>
              <w:snapToGrid w:val="0"/>
              <w:spacing w:line="380" w:lineRule="exact"/>
            </w:pPr>
            <w:r>
              <w:rPr>
                <w:rFonts w:ascii="標楷體" w:eastAsia="標楷體" w:hAnsi="標楷體" w:cs="標楷體"/>
                <w:color w:val="000000"/>
              </w:rPr>
              <w:t>使</w:t>
            </w:r>
          </w:p>
          <w:p w14:paraId="2EFB48E0" w14:textId="77777777" w:rsidR="00BD776B" w:rsidRDefault="00DF0C24">
            <w:pPr>
              <w:snapToGrid w:val="0"/>
              <w:spacing w:line="380" w:lineRule="exact"/>
            </w:pPr>
            <w:r>
              <w:rPr>
                <w:rFonts w:ascii="標楷體" w:eastAsia="標楷體" w:hAnsi="標楷體" w:cs="標楷體"/>
                <w:color w:val="000000"/>
              </w:rPr>
              <w:t>用</w:t>
            </w:r>
          </w:p>
          <w:p w14:paraId="79278067" w14:textId="77777777" w:rsidR="00BD776B" w:rsidRDefault="00DF0C24">
            <w:pPr>
              <w:snapToGrid w:val="0"/>
              <w:spacing w:line="380" w:lineRule="exact"/>
            </w:pPr>
            <w:r>
              <w:rPr>
                <w:rFonts w:ascii="標楷體" w:eastAsia="標楷體" w:hAnsi="標楷體" w:cs="標楷體"/>
                <w:color w:val="000000"/>
              </w:rPr>
              <w:t>效</w:t>
            </w:r>
          </w:p>
          <w:p w14:paraId="7B75F71C" w14:textId="77777777" w:rsidR="00BD776B" w:rsidRDefault="00DF0C24">
            <w:pPr>
              <w:snapToGrid w:val="0"/>
              <w:spacing w:line="380" w:lineRule="exact"/>
            </w:pPr>
            <w:r>
              <w:rPr>
                <w:rFonts w:ascii="標楷體" w:eastAsia="標楷體" w:hAnsi="標楷體" w:cs="標楷體"/>
                <w:color w:val="000000"/>
              </w:rPr>
              <w:t>果</w:t>
            </w:r>
          </w:p>
          <w:p w14:paraId="7795EB93" w14:textId="77777777" w:rsidR="00BD776B" w:rsidRDefault="00DF0C24">
            <w:pPr>
              <w:snapToGrid w:val="0"/>
              <w:spacing w:line="380" w:lineRule="exact"/>
            </w:pPr>
            <w:r>
              <w:rPr>
                <w:rFonts w:ascii="標楷體" w:eastAsia="標楷體" w:hAnsi="標楷體" w:cs="標楷體"/>
                <w:color w:val="000000"/>
              </w:rPr>
              <w:t>評</w:t>
            </w:r>
          </w:p>
          <w:p w14:paraId="4D7B50BA" w14:textId="77777777" w:rsidR="00BD776B" w:rsidRDefault="00DF0C24">
            <w:pPr>
              <w:snapToGrid w:val="0"/>
              <w:spacing w:line="380" w:lineRule="exact"/>
            </w:pPr>
            <w:r>
              <w:rPr>
                <w:rFonts w:ascii="標楷體" w:eastAsia="標楷體" w:hAnsi="標楷體" w:cs="標楷體"/>
                <w:color w:val="000000"/>
              </w:rPr>
              <w:t>估</w:t>
            </w:r>
          </w:p>
        </w:tc>
        <w:tc>
          <w:tcPr>
            <w:tcW w:w="48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D4BFD2" w14:textId="77777777" w:rsidR="00BD776B" w:rsidRDefault="00DF0C24">
            <w:pPr>
              <w:snapToGrid w:val="0"/>
              <w:spacing w:line="380" w:lineRule="exact"/>
            </w:pPr>
            <w:r>
              <w:rPr>
                <w:rFonts w:ascii="標楷體" w:eastAsia="標楷體" w:hAnsi="標楷體" w:cs="標楷體"/>
                <w:color w:val="000000"/>
              </w:rPr>
              <w:t>□</w:t>
            </w:r>
            <w:r>
              <w:rPr>
                <w:rFonts w:ascii="標楷體" w:eastAsia="標楷體" w:hAnsi="標楷體"/>
                <w:color w:val="000000"/>
              </w:rPr>
              <w:t>Albumin值提升至gm/dL</w:t>
            </w:r>
          </w:p>
        </w:tc>
        <w:tc>
          <w:tcPr>
            <w:tcW w:w="5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CFA360" w14:textId="77777777" w:rsidR="00BD776B" w:rsidRDefault="00DF0C24">
            <w:pPr>
              <w:snapToGrid w:val="0"/>
              <w:spacing w:line="380" w:lineRule="exact"/>
              <w:jc w:val="center"/>
            </w:pPr>
            <w:r>
              <w:rPr>
                <w:rFonts w:ascii="標楷體" w:eastAsia="標楷體" w:hAnsi="標楷體" w:cs="標楷體"/>
                <w:color w:val="000000"/>
              </w:rPr>
              <w:t>審</w:t>
            </w:r>
          </w:p>
          <w:p w14:paraId="42BB434F" w14:textId="77777777" w:rsidR="00BD776B" w:rsidRDefault="00DF0C24">
            <w:pPr>
              <w:snapToGrid w:val="0"/>
              <w:spacing w:line="380" w:lineRule="exact"/>
              <w:jc w:val="center"/>
            </w:pPr>
            <w:r>
              <w:rPr>
                <w:rFonts w:ascii="標楷體" w:eastAsia="標楷體" w:hAnsi="標楷體" w:cs="標楷體"/>
                <w:color w:val="000000"/>
              </w:rPr>
              <w:t>核</w:t>
            </w:r>
          </w:p>
          <w:p w14:paraId="251218B3" w14:textId="77777777" w:rsidR="00BD776B" w:rsidRDefault="00DF0C24">
            <w:pPr>
              <w:snapToGrid w:val="0"/>
              <w:spacing w:line="380" w:lineRule="exact"/>
              <w:jc w:val="center"/>
            </w:pPr>
            <w:r>
              <w:rPr>
                <w:rFonts w:ascii="標楷體" w:eastAsia="標楷體" w:hAnsi="標楷體" w:cs="標楷體"/>
                <w:color w:val="000000"/>
              </w:rPr>
              <w:t>意</w:t>
            </w:r>
          </w:p>
          <w:p w14:paraId="424A4D30" w14:textId="77777777" w:rsidR="00BD776B" w:rsidRDefault="00DF0C24">
            <w:pPr>
              <w:snapToGrid w:val="0"/>
              <w:spacing w:line="380" w:lineRule="exact"/>
              <w:jc w:val="center"/>
            </w:pPr>
            <w:r>
              <w:rPr>
                <w:rFonts w:ascii="標楷體" w:eastAsia="標楷體" w:hAnsi="標楷體" w:cs="標楷體"/>
                <w:color w:val="000000"/>
              </w:rPr>
              <w:t>見</w:t>
            </w:r>
          </w:p>
        </w:tc>
        <w:tc>
          <w:tcPr>
            <w:tcW w:w="31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7801330" w14:textId="77777777" w:rsidR="00BD776B" w:rsidRDefault="00BD776B">
            <w:pPr>
              <w:snapToGrid w:val="0"/>
              <w:spacing w:line="380" w:lineRule="exact"/>
              <w:rPr>
                <w:rFonts w:ascii="標楷體" w:eastAsia="標楷體" w:hAnsi="標楷體"/>
                <w:color w:val="000000"/>
              </w:rPr>
            </w:pPr>
          </w:p>
        </w:tc>
      </w:tr>
    </w:tbl>
    <w:p w14:paraId="3935A3DD" w14:textId="77777777" w:rsidR="00BD776B" w:rsidRDefault="00BD776B">
      <w:pPr>
        <w:snapToGrid w:val="0"/>
        <w:spacing w:after="240" w:line="380" w:lineRule="exact"/>
        <w:jc w:val="both"/>
        <w:rPr>
          <w:rFonts w:eastAsia="標楷體"/>
          <w:color w:val="000000"/>
        </w:rPr>
      </w:pPr>
    </w:p>
    <w:p w14:paraId="59DC2156" w14:textId="77777777" w:rsidR="00BD776B" w:rsidRDefault="00DF0C24">
      <w:pPr>
        <w:snapToGrid w:val="0"/>
        <w:spacing w:after="240" w:line="380" w:lineRule="exact"/>
        <w:jc w:val="both"/>
      </w:pPr>
      <w:r>
        <w:rPr>
          <w:rFonts w:eastAsia="標楷體"/>
          <w:color w:val="000000"/>
        </w:rPr>
        <w:lastRenderedPageBreak/>
        <w:t>附表五：全民健康保險使用</w:t>
      </w:r>
      <w:r>
        <w:rPr>
          <w:rFonts w:eastAsia="標楷體"/>
          <w:b/>
          <w:color w:val="000000"/>
          <w:u w:val="single"/>
        </w:rPr>
        <w:t>繞徑治療藥物</w:t>
      </w:r>
      <w:r>
        <w:rPr>
          <w:rFonts w:eastAsia="標楷體"/>
          <w:color w:val="000000"/>
        </w:rPr>
        <w:t>申報表</w:t>
      </w:r>
    </w:p>
    <w:tbl>
      <w:tblPr>
        <w:tblW w:w="9384" w:type="dxa"/>
        <w:tblLayout w:type="fixed"/>
        <w:tblCellMar>
          <w:left w:w="10" w:type="dxa"/>
          <w:right w:w="10" w:type="dxa"/>
        </w:tblCellMar>
        <w:tblLook w:val="0000" w:firstRow="0" w:lastRow="0" w:firstColumn="0" w:lastColumn="0" w:noHBand="0" w:noVBand="0"/>
      </w:tblPr>
      <w:tblGrid>
        <w:gridCol w:w="508"/>
        <w:gridCol w:w="240"/>
        <w:gridCol w:w="480"/>
        <w:gridCol w:w="106"/>
        <w:gridCol w:w="134"/>
        <w:gridCol w:w="120"/>
        <w:gridCol w:w="720"/>
        <w:gridCol w:w="360"/>
        <w:gridCol w:w="360"/>
        <w:gridCol w:w="352"/>
        <w:gridCol w:w="8"/>
        <w:gridCol w:w="480"/>
        <w:gridCol w:w="480"/>
        <w:gridCol w:w="240"/>
        <w:gridCol w:w="120"/>
        <w:gridCol w:w="600"/>
        <w:gridCol w:w="240"/>
        <w:gridCol w:w="480"/>
        <w:gridCol w:w="225"/>
        <w:gridCol w:w="255"/>
        <w:gridCol w:w="240"/>
        <w:gridCol w:w="480"/>
        <w:gridCol w:w="480"/>
        <w:gridCol w:w="1676"/>
      </w:tblGrid>
      <w:tr w:rsidR="00BD776B" w14:paraId="7233C8C0" w14:textId="77777777">
        <w:trPr>
          <w:cantSplit/>
          <w:trHeight w:val="527"/>
        </w:trPr>
        <w:tc>
          <w:tcPr>
            <w:tcW w:w="1334"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F7C817" w14:textId="77777777" w:rsidR="00BD776B" w:rsidRDefault="00DF0C24">
            <w:pPr>
              <w:snapToGrid w:val="0"/>
              <w:spacing w:line="380" w:lineRule="exact"/>
              <w:ind w:right="283"/>
              <w:jc w:val="center"/>
            </w:pPr>
            <w:r>
              <w:rPr>
                <w:rFonts w:ascii="標楷體" w:eastAsia="標楷體" w:hAnsi="標楷體" w:cs="標楷體"/>
                <w:color w:val="000000"/>
              </w:rPr>
              <w:t>醫院代號</w:t>
            </w:r>
          </w:p>
        </w:tc>
        <w:tc>
          <w:tcPr>
            <w:tcW w:w="1334"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C4111D" w14:textId="77777777" w:rsidR="00BD776B" w:rsidRDefault="00BD776B">
            <w:pPr>
              <w:snapToGrid w:val="0"/>
              <w:spacing w:line="380" w:lineRule="exact"/>
              <w:rPr>
                <w:rFonts w:ascii="標楷體" w:eastAsia="標楷體" w:hAnsi="標楷體"/>
                <w:color w:val="000000"/>
              </w:rPr>
            </w:pPr>
          </w:p>
        </w:tc>
        <w:tc>
          <w:tcPr>
            <w:tcW w:w="12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D181FE" w14:textId="77777777" w:rsidR="00BD776B" w:rsidRDefault="00DF0C24">
            <w:pPr>
              <w:snapToGrid w:val="0"/>
              <w:spacing w:line="380" w:lineRule="exact"/>
            </w:pPr>
            <w:r>
              <w:rPr>
                <w:rFonts w:ascii="標楷體" w:eastAsia="標楷體" w:hAnsi="標楷體" w:cs="標楷體"/>
                <w:color w:val="000000"/>
              </w:rPr>
              <w:t>醫院名稱</w:t>
            </w:r>
          </w:p>
        </w:tc>
        <w:tc>
          <w:tcPr>
            <w:tcW w:w="2640"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474BBE0" w14:textId="77777777" w:rsidR="00BD776B" w:rsidRDefault="00BD776B">
            <w:pPr>
              <w:snapToGrid w:val="0"/>
              <w:spacing w:line="380" w:lineRule="exact"/>
              <w:rPr>
                <w:rFonts w:ascii="標楷體" w:eastAsia="標楷體" w:hAnsi="標楷體"/>
                <w:color w:val="000000"/>
              </w:rPr>
            </w:pPr>
          </w:p>
        </w:tc>
        <w:tc>
          <w:tcPr>
            <w:tcW w:w="120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58489B" w14:textId="77777777" w:rsidR="00BD776B" w:rsidRDefault="00DF0C24">
            <w:pPr>
              <w:snapToGrid w:val="0"/>
              <w:spacing w:line="380" w:lineRule="exact"/>
              <w:jc w:val="center"/>
            </w:pPr>
            <w:r>
              <w:rPr>
                <w:rFonts w:ascii="標楷體" w:eastAsia="標楷體" w:hAnsi="標楷體" w:cs="標楷體"/>
                <w:color w:val="000000"/>
              </w:rPr>
              <w:t>病歷號碼</w:t>
            </w:r>
          </w:p>
        </w:tc>
        <w:tc>
          <w:tcPr>
            <w:tcW w:w="16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EE6400B" w14:textId="77777777" w:rsidR="00BD776B" w:rsidRDefault="00BD776B">
            <w:pPr>
              <w:snapToGrid w:val="0"/>
              <w:spacing w:line="380" w:lineRule="exact"/>
              <w:rPr>
                <w:rFonts w:ascii="標楷體" w:eastAsia="標楷體" w:hAnsi="標楷體"/>
                <w:color w:val="000000"/>
              </w:rPr>
            </w:pPr>
          </w:p>
        </w:tc>
      </w:tr>
      <w:tr w:rsidR="00BD776B" w14:paraId="547E338E" w14:textId="77777777">
        <w:trPr>
          <w:cantSplit/>
          <w:trHeight w:val="520"/>
        </w:trPr>
        <w:tc>
          <w:tcPr>
            <w:tcW w:w="74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A95706" w14:textId="77777777" w:rsidR="00BD776B" w:rsidRDefault="00DF0C24">
            <w:pPr>
              <w:snapToGrid w:val="0"/>
              <w:spacing w:line="380" w:lineRule="exact"/>
              <w:jc w:val="center"/>
            </w:pPr>
            <w:r>
              <w:rPr>
                <w:rFonts w:ascii="標楷體" w:eastAsia="標楷體" w:hAnsi="標楷體" w:cs="標楷體"/>
                <w:color w:val="000000"/>
              </w:rPr>
              <w:t>姓名</w:t>
            </w:r>
          </w:p>
        </w:tc>
        <w:tc>
          <w:tcPr>
            <w:tcW w:w="15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67C62F6" w14:textId="77777777" w:rsidR="00BD776B" w:rsidRDefault="00BD776B">
            <w:pPr>
              <w:snapToGrid w:val="0"/>
              <w:spacing w:line="380" w:lineRule="exact"/>
              <w:rPr>
                <w:rFonts w:ascii="標楷體" w:eastAsia="標楷體" w:hAnsi="標楷體"/>
                <w:color w:val="000000"/>
              </w:rPr>
            </w:pP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ED52C8" w14:textId="77777777" w:rsidR="00BD776B" w:rsidRDefault="00DF0C24">
            <w:pPr>
              <w:snapToGrid w:val="0"/>
              <w:spacing w:line="380" w:lineRule="exact"/>
              <w:jc w:val="center"/>
            </w:pPr>
            <w:r>
              <w:rPr>
                <w:rFonts w:ascii="標楷體" w:eastAsia="標楷體" w:hAnsi="標楷體" w:cs="標楷體"/>
                <w:color w:val="000000"/>
              </w:rPr>
              <w:t>性別</w:t>
            </w:r>
          </w:p>
        </w:tc>
        <w:tc>
          <w:tcPr>
            <w:tcW w:w="84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78D8D36" w14:textId="77777777" w:rsidR="00BD776B" w:rsidRDefault="00BD776B">
            <w:pPr>
              <w:snapToGrid w:val="0"/>
              <w:spacing w:line="380" w:lineRule="exact"/>
              <w:rPr>
                <w:rFonts w:ascii="標楷體" w:eastAsia="標楷體" w:hAnsi="標楷體"/>
                <w:color w:val="000000"/>
              </w:rPr>
            </w:pP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C6F2030" w14:textId="77777777" w:rsidR="00BD776B" w:rsidRDefault="00DF0C24">
            <w:pPr>
              <w:snapToGrid w:val="0"/>
              <w:spacing w:line="380" w:lineRule="exact"/>
              <w:jc w:val="center"/>
            </w:pPr>
            <w:r>
              <w:rPr>
                <w:rFonts w:ascii="標楷體" w:eastAsia="標楷體" w:hAnsi="標楷體" w:cs="標楷體"/>
                <w:color w:val="000000"/>
              </w:rPr>
              <w:t>年齡</w:t>
            </w:r>
          </w:p>
        </w:tc>
        <w:tc>
          <w:tcPr>
            <w:tcW w:w="9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E32CDE5" w14:textId="77777777" w:rsidR="00BD776B" w:rsidRDefault="00BD776B">
            <w:pPr>
              <w:snapToGrid w:val="0"/>
              <w:spacing w:line="380" w:lineRule="exact"/>
              <w:rPr>
                <w:rFonts w:ascii="標楷體" w:eastAsia="標楷體" w:hAnsi="標楷體"/>
                <w:color w:val="000000"/>
              </w:rPr>
            </w:pPr>
          </w:p>
        </w:tc>
        <w:tc>
          <w:tcPr>
            <w:tcW w:w="12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1198CB" w14:textId="77777777" w:rsidR="00BD776B" w:rsidRDefault="00DF0C24">
            <w:pPr>
              <w:snapToGrid w:val="0"/>
              <w:spacing w:line="380" w:lineRule="exact"/>
              <w:jc w:val="center"/>
            </w:pPr>
            <w:r>
              <w:rPr>
                <w:rFonts w:ascii="標楷體" w:eastAsia="標楷體" w:hAnsi="標楷體" w:cs="標楷體"/>
                <w:color w:val="000000"/>
              </w:rPr>
              <w:t>身分證號</w:t>
            </w:r>
          </w:p>
        </w:tc>
        <w:tc>
          <w:tcPr>
            <w:tcW w:w="263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1F6BFA" w14:textId="77777777" w:rsidR="00BD776B" w:rsidRDefault="00BD776B">
            <w:pPr>
              <w:snapToGrid w:val="0"/>
              <w:spacing w:line="380" w:lineRule="exact"/>
              <w:rPr>
                <w:rFonts w:ascii="標楷體" w:eastAsia="標楷體" w:hAnsi="標楷體"/>
                <w:color w:val="000000"/>
              </w:rPr>
            </w:pPr>
          </w:p>
        </w:tc>
      </w:tr>
      <w:tr w:rsidR="00BD776B" w14:paraId="43D1C7AC" w14:textId="77777777">
        <w:trPr>
          <w:cantSplit/>
          <w:trHeight w:val="722"/>
        </w:trPr>
        <w:tc>
          <w:tcPr>
            <w:tcW w:w="122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8CB158" w14:textId="77777777" w:rsidR="00BD776B" w:rsidRDefault="00DF0C24">
            <w:pPr>
              <w:snapToGrid w:val="0"/>
              <w:spacing w:line="380" w:lineRule="exact"/>
              <w:jc w:val="center"/>
            </w:pPr>
            <w:r>
              <w:rPr>
                <w:rFonts w:ascii="標楷體" w:eastAsia="標楷體" w:hAnsi="標楷體" w:cs="標楷體"/>
                <w:color w:val="000000"/>
              </w:rPr>
              <w:t>門診時間</w:t>
            </w:r>
          </w:p>
        </w:tc>
        <w:tc>
          <w:tcPr>
            <w:tcW w:w="2160"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7C3FE2" w14:textId="77777777" w:rsidR="00BD776B" w:rsidRDefault="00DF0C24">
            <w:pPr>
              <w:snapToGrid w:val="0"/>
              <w:spacing w:line="380" w:lineRule="exact"/>
            </w:pPr>
            <w:r>
              <w:rPr>
                <w:rFonts w:ascii="標楷體" w:eastAsia="標楷體" w:hAnsi="標楷體" w:cs="標楷體"/>
                <w:color w:val="000000"/>
              </w:rPr>
              <w:t xml:space="preserve">   年   月   日</w:t>
            </w:r>
          </w:p>
        </w:tc>
        <w:tc>
          <w:tcPr>
            <w:tcW w:w="132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AB7C71" w14:textId="77777777" w:rsidR="00BD776B" w:rsidRDefault="00DF0C24">
            <w:pPr>
              <w:snapToGrid w:val="0"/>
              <w:spacing w:line="380" w:lineRule="exact"/>
              <w:jc w:val="center"/>
            </w:pPr>
            <w:r>
              <w:rPr>
                <w:rFonts w:ascii="標楷體" w:eastAsia="標楷體" w:hAnsi="標楷體" w:cs="標楷體"/>
                <w:color w:val="000000"/>
              </w:rPr>
              <w:t>住院期間</w:t>
            </w:r>
          </w:p>
        </w:tc>
        <w:tc>
          <w:tcPr>
            <w:tcW w:w="4676"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D1F5DB" w14:textId="77777777" w:rsidR="00BD776B" w:rsidRDefault="00DF0C24">
            <w:pPr>
              <w:snapToGrid w:val="0"/>
              <w:spacing w:line="380" w:lineRule="exact"/>
            </w:pPr>
            <w:r>
              <w:rPr>
                <w:rFonts w:ascii="標楷體" w:eastAsia="標楷體" w:hAnsi="標楷體" w:cs="標楷體"/>
                <w:color w:val="000000"/>
              </w:rPr>
              <w:t xml:space="preserve">   年   月   日 至   年   月   日</w:t>
            </w:r>
          </w:p>
        </w:tc>
      </w:tr>
      <w:tr w:rsidR="00BD776B" w14:paraId="25CE9961" w14:textId="77777777">
        <w:trPr>
          <w:cantSplit/>
          <w:trHeight w:val="590"/>
        </w:trPr>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E5E7A6" w14:textId="77777777" w:rsidR="00BD776B" w:rsidRDefault="00BD776B">
            <w:pPr>
              <w:pStyle w:val="ab"/>
              <w:snapToGrid w:val="0"/>
              <w:spacing w:line="380" w:lineRule="exact"/>
              <w:ind w:left="980" w:hanging="980"/>
              <w:rPr>
                <w:rFonts w:ascii="標楷體" w:hAnsi="標楷體"/>
                <w:color w:val="000000"/>
              </w:rPr>
            </w:pPr>
          </w:p>
          <w:p w14:paraId="4BF4C729" w14:textId="77777777" w:rsidR="00BD776B" w:rsidRDefault="00BD776B">
            <w:pPr>
              <w:pStyle w:val="ab"/>
              <w:snapToGrid w:val="0"/>
              <w:spacing w:line="380" w:lineRule="exact"/>
              <w:ind w:left="980" w:hanging="980"/>
              <w:rPr>
                <w:rFonts w:ascii="標楷體" w:hAnsi="標楷體"/>
                <w:color w:val="000000"/>
              </w:rPr>
            </w:pPr>
          </w:p>
          <w:p w14:paraId="08895367" w14:textId="77777777" w:rsidR="00BD776B" w:rsidRDefault="00DF0C24">
            <w:pPr>
              <w:snapToGrid w:val="0"/>
              <w:spacing w:line="380" w:lineRule="exact"/>
              <w:jc w:val="center"/>
            </w:pPr>
            <w:r>
              <w:rPr>
                <w:rFonts w:ascii="標楷體" w:eastAsia="標楷體" w:hAnsi="標楷體" w:cs="標楷體"/>
                <w:color w:val="000000"/>
              </w:rPr>
              <w:t>主要</w:t>
            </w:r>
            <w:r>
              <w:rPr>
                <w:rFonts w:ascii="標楷體" w:eastAsia="標楷體" w:hAnsi="標楷體"/>
                <w:color w:val="000000"/>
              </w:rPr>
              <w:t>症狀</w:t>
            </w:r>
          </w:p>
        </w:tc>
        <w:tc>
          <w:tcPr>
            <w:tcW w:w="8876" w:type="dxa"/>
            <w:gridSpan w:val="2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51524A" w14:textId="77777777" w:rsidR="00BD776B" w:rsidRDefault="00DF0C24">
            <w:pPr>
              <w:snapToGrid w:val="0"/>
              <w:spacing w:line="380" w:lineRule="exact"/>
            </w:pPr>
            <w:r>
              <w:rPr>
                <w:rFonts w:ascii="標楷體" w:eastAsia="標楷體" w:hAnsi="標楷體" w:cs="標楷體"/>
                <w:color w:val="000000"/>
              </w:rPr>
              <w:t>□ 缺乏第七凝血因子之患者</w:t>
            </w:r>
          </w:p>
        </w:tc>
      </w:tr>
      <w:tr w:rsidR="00BD776B" w14:paraId="28D0FD19" w14:textId="77777777">
        <w:trPr>
          <w:cantSplit/>
          <w:trHeight w:val="3403"/>
        </w:trPr>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DEF66F" w14:textId="77777777" w:rsidR="00BD776B" w:rsidRDefault="00BD776B">
            <w:pPr>
              <w:pStyle w:val="ab"/>
              <w:snapToGrid w:val="0"/>
              <w:spacing w:line="380" w:lineRule="exact"/>
              <w:ind w:left="980" w:hanging="980"/>
              <w:rPr>
                <w:rFonts w:ascii="標楷體" w:hAnsi="標楷體"/>
                <w:color w:val="000000"/>
              </w:rPr>
            </w:pPr>
          </w:p>
        </w:tc>
        <w:tc>
          <w:tcPr>
            <w:tcW w:w="8876" w:type="dxa"/>
            <w:gridSpan w:val="2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A0ABC8" w14:textId="77777777" w:rsidR="00BD776B" w:rsidRDefault="00DF0C24">
            <w:pPr>
              <w:snapToGrid w:val="0"/>
              <w:spacing w:line="380" w:lineRule="exact"/>
              <w:ind w:left="280" w:hanging="280"/>
            </w:pPr>
            <w:r>
              <w:rPr>
                <w:rFonts w:ascii="標楷體" w:eastAsia="標楷體" w:hAnsi="標楷體" w:cs="標楷體"/>
                <w:color w:val="000000"/>
              </w:rPr>
              <w:t>□發生第八因子和第九因子抗體者(抗體濃度超過5</w:t>
            </w:r>
            <w:r>
              <w:rPr>
                <w:rFonts w:eastAsia="標楷體"/>
                <w:color w:val="000000"/>
              </w:rPr>
              <w:t xml:space="preserve"> BU)</w:t>
            </w:r>
            <w:r>
              <w:rPr>
                <w:rFonts w:ascii="標楷體" w:eastAsia="標楷體" w:hAnsi="標楷體" w:cs="標楷體"/>
                <w:color w:val="000000"/>
              </w:rPr>
              <w:t>，出現下列情況時（請敘明）：</w:t>
            </w:r>
          </w:p>
          <w:p w14:paraId="6BEAFEFB" w14:textId="77777777" w:rsidR="00BD776B" w:rsidRDefault="00DF0C24">
            <w:pPr>
              <w:snapToGrid w:val="0"/>
              <w:spacing w:line="380" w:lineRule="exact"/>
              <w:ind w:left="485"/>
            </w:pPr>
            <w:r>
              <w:rPr>
                <w:rFonts w:ascii="標楷體" w:eastAsia="標楷體" w:hAnsi="標楷體" w:cs="標楷體"/>
              </w:rPr>
              <w:t>□ 明顯肌肉關節等處出血：</w:t>
            </w:r>
          </w:p>
          <w:p w14:paraId="3144E689" w14:textId="77777777" w:rsidR="00BD776B" w:rsidRDefault="00DF0C24">
            <w:pPr>
              <w:snapToGrid w:val="0"/>
              <w:spacing w:line="380" w:lineRule="exact"/>
              <w:ind w:left="485"/>
            </w:pPr>
            <w:r>
              <w:rPr>
                <w:rFonts w:ascii="標楷體" w:eastAsia="標楷體" w:hAnsi="標楷體" w:cs="標楷體"/>
              </w:rPr>
              <w:t>□ 手術時：</w:t>
            </w:r>
          </w:p>
          <w:p w14:paraId="3B4CD948" w14:textId="77777777" w:rsidR="00BD776B" w:rsidRDefault="00DF0C24">
            <w:pPr>
              <w:snapToGrid w:val="0"/>
              <w:spacing w:line="380" w:lineRule="exact"/>
              <w:ind w:left="343" w:firstLine="142"/>
              <w:rPr>
                <w:rFonts w:ascii="標楷體" w:eastAsia="標楷體" w:hAnsi="標楷體" w:cs="標楷體"/>
              </w:rPr>
            </w:pPr>
            <w:r>
              <w:rPr>
                <w:rFonts w:ascii="標楷體" w:eastAsia="標楷體" w:hAnsi="標楷體" w:cs="標楷體"/>
              </w:rPr>
              <w:t>□ 嚴重出血(如外傷、內出血或顱內出血等)：</w:t>
            </w:r>
          </w:p>
          <w:p w14:paraId="0E386BE3" w14:textId="77777777" w:rsidR="00BD776B" w:rsidRDefault="00DF0C24">
            <w:pPr>
              <w:snapToGrid w:val="0"/>
              <w:spacing w:line="380" w:lineRule="exact"/>
              <w:ind w:firstLine="480"/>
            </w:pPr>
            <w:r>
              <w:rPr>
                <w:rFonts w:ascii="標楷體" w:eastAsia="標楷體" w:hAnsi="標楷體" w:cs="標楷體"/>
                <w:u w:val="single"/>
              </w:rPr>
              <w:t xml:space="preserve">□ </w:t>
            </w:r>
            <w:r>
              <w:rPr>
                <w:rFonts w:ascii="標楷體" w:eastAsia="標楷體" w:hAnsi="標楷體" w:cs="標楷體"/>
                <w:b/>
                <w:u w:val="single"/>
              </w:rPr>
              <w:t>檢附患處影像報告或照片</w:t>
            </w:r>
            <w:r>
              <w:rPr>
                <w:rFonts w:ascii="新細明體" w:hAnsi="新細明體" w:cs="標楷體"/>
                <w:b/>
                <w:u w:val="single"/>
              </w:rPr>
              <w:t>。</w:t>
            </w:r>
            <w:r>
              <w:rPr>
                <w:rFonts w:ascii="標楷體" w:eastAsia="標楷體" w:hAnsi="標楷體" w:cs="標楷體"/>
                <w:u w:val="single"/>
              </w:rPr>
              <w:t>(○○○/○○/1)</w:t>
            </w:r>
            <w:r>
              <w:rPr>
                <w:rFonts w:ascii="新細明體" w:hAnsi="新細明體" w:cs="標楷體"/>
                <w:u w:val="single"/>
              </w:rPr>
              <w:t xml:space="preserve"> </w:t>
            </w:r>
          </w:p>
          <w:p w14:paraId="258F96F1" w14:textId="77777777" w:rsidR="00BD776B" w:rsidRDefault="00DF0C24">
            <w:pPr>
              <w:snapToGrid w:val="0"/>
              <w:spacing w:line="380" w:lineRule="exact"/>
            </w:pPr>
            <w:r>
              <w:rPr>
                <w:rFonts w:ascii="標楷體" w:eastAsia="標楷體" w:hAnsi="標楷體"/>
              </w:rPr>
              <w:t xml:space="preserve">      </w:t>
            </w:r>
            <w:r>
              <w:rPr>
                <w:rFonts w:ascii="標楷體" w:eastAsia="標楷體" w:hAnsi="標楷體" w:cs="標楷體"/>
                <w:u w:val="single"/>
              </w:rPr>
              <w:t xml:space="preserve"> </w:t>
            </w:r>
            <w:r>
              <w:rPr>
                <w:rFonts w:ascii="標楷體" w:eastAsia="標楷體" w:hAnsi="標楷體"/>
                <w:b/>
                <w:u w:val="single"/>
              </w:rPr>
              <w:t>門診病人親自到診由醫師診視始能領藥</w:t>
            </w:r>
            <w:r>
              <w:rPr>
                <w:rFonts w:ascii="新細明體" w:hAnsi="新細明體"/>
                <w:b/>
                <w:u w:val="single"/>
              </w:rPr>
              <w:t>，</w:t>
            </w:r>
            <w:r>
              <w:rPr>
                <w:rFonts w:ascii="標楷體" w:eastAsia="標楷體" w:hAnsi="標楷體"/>
                <w:b/>
                <w:u w:val="single"/>
              </w:rPr>
              <w:t>不得代領</w:t>
            </w:r>
            <w:r>
              <w:rPr>
                <w:rFonts w:ascii="新細明體" w:hAnsi="新細明體" w:cs="標楷體"/>
                <w:b/>
                <w:u w:val="single"/>
              </w:rPr>
              <w:t>。</w:t>
            </w:r>
            <w:r>
              <w:rPr>
                <w:rFonts w:ascii="標楷體" w:eastAsia="標楷體" w:hAnsi="標楷體"/>
                <w:u w:val="single"/>
              </w:rPr>
              <w:t>(○○○/○○/1)</w:t>
            </w:r>
            <w:r>
              <w:rPr>
                <w:rFonts w:ascii="新細明體" w:hAnsi="新細明體" w:cs="標楷體"/>
                <w:u w:val="single"/>
              </w:rPr>
              <w:t xml:space="preserve"> </w:t>
            </w:r>
          </w:p>
          <w:p w14:paraId="109E6D3A" w14:textId="77777777" w:rsidR="00BD776B" w:rsidRDefault="00DF0C24">
            <w:pPr>
              <w:snapToGrid w:val="0"/>
              <w:spacing w:line="380" w:lineRule="exact"/>
            </w:pPr>
            <w:r>
              <w:rPr>
                <w:rFonts w:ascii="標楷體" w:eastAsia="標楷體" w:hAnsi="標楷體" w:cs="標楷體"/>
              </w:rPr>
              <w:t xml:space="preserve">    </w:t>
            </w:r>
            <w:r>
              <w:rPr>
                <w:rFonts w:ascii="標楷體" w:eastAsia="標楷體" w:hAnsi="標楷體" w:cs="標楷體"/>
                <w:u w:val="single"/>
              </w:rPr>
              <w:t>□</w:t>
            </w:r>
            <w:r>
              <w:rPr>
                <w:rFonts w:ascii="標楷體" w:eastAsia="標楷體" w:hAnsi="標楷體" w:cs="標楷體"/>
                <w:b/>
                <w:u w:val="single"/>
              </w:rPr>
              <w:t>每3個月追蹤抗體力價變化</w:t>
            </w:r>
            <w:r>
              <w:rPr>
                <w:rFonts w:ascii="新細明體" w:hAnsi="新細明體" w:cs="標楷體"/>
                <w:b/>
                <w:u w:val="single"/>
              </w:rPr>
              <w:t>。</w:t>
            </w:r>
            <w:r>
              <w:rPr>
                <w:rFonts w:ascii="標楷體" w:eastAsia="標楷體" w:hAnsi="標楷體"/>
                <w:u w:val="single"/>
              </w:rPr>
              <w:t>(○○○/○○/1)</w:t>
            </w:r>
          </w:p>
        </w:tc>
      </w:tr>
      <w:tr w:rsidR="00BD776B" w14:paraId="227AE4BE" w14:textId="77777777">
        <w:trPr>
          <w:cantSplit/>
          <w:trHeight w:val="880"/>
        </w:trPr>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8A764E" w14:textId="77777777" w:rsidR="00BD776B" w:rsidRDefault="00DF0C24">
            <w:pPr>
              <w:snapToGrid w:val="0"/>
              <w:spacing w:line="380" w:lineRule="exact"/>
              <w:jc w:val="center"/>
            </w:pPr>
            <w:r>
              <w:rPr>
                <w:rFonts w:ascii="標楷體" w:eastAsia="標楷體" w:hAnsi="標楷體" w:cs="標楷體"/>
                <w:color w:val="000000"/>
              </w:rPr>
              <w:t>檢驗結果</w:t>
            </w:r>
          </w:p>
        </w:tc>
        <w:tc>
          <w:tcPr>
            <w:tcW w:w="96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E98073" w14:textId="77777777" w:rsidR="00BD776B" w:rsidRDefault="00DF0C24">
            <w:pPr>
              <w:snapToGrid w:val="0"/>
              <w:spacing w:line="380" w:lineRule="exact"/>
              <w:jc w:val="center"/>
              <w:rPr>
                <w:rFonts w:eastAsia="標楷體"/>
                <w:color w:val="000000"/>
              </w:rPr>
            </w:pPr>
            <w:r>
              <w:rPr>
                <w:rFonts w:eastAsia="標楷體"/>
                <w:color w:val="000000"/>
              </w:rPr>
              <w:t xml:space="preserve">PT:                       </w:t>
            </w:r>
          </w:p>
        </w:tc>
        <w:tc>
          <w:tcPr>
            <w:tcW w:w="191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F1AE31" w14:textId="77777777" w:rsidR="00BD776B" w:rsidRDefault="00DF0C24">
            <w:pPr>
              <w:snapToGrid w:val="0"/>
              <w:spacing w:line="380" w:lineRule="exact"/>
              <w:jc w:val="center"/>
              <w:rPr>
                <w:rFonts w:eastAsia="標楷體"/>
                <w:color w:val="000000"/>
              </w:rPr>
            </w:pPr>
            <w:r>
              <w:rPr>
                <w:rFonts w:eastAsia="標楷體"/>
                <w:color w:val="000000"/>
              </w:rPr>
              <w:t xml:space="preserve">                </w:t>
            </w:r>
          </w:p>
        </w:tc>
        <w:tc>
          <w:tcPr>
            <w:tcW w:w="9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B475B9" w14:textId="77777777" w:rsidR="00BD776B" w:rsidRDefault="00DF0C24">
            <w:pPr>
              <w:snapToGrid w:val="0"/>
              <w:spacing w:line="380" w:lineRule="exact"/>
              <w:jc w:val="center"/>
              <w:rPr>
                <w:rFonts w:eastAsia="標楷體"/>
                <w:color w:val="000000"/>
              </w:rPr>
            </w:pPr>
            <w:r>
              <w:rPr>
                <w:rFonts w:eastAsia="標楷體"/>
                <w:color w:val="000000"/>
              </w:rPr>
              <w:t xml:space="preserve">PTT:  </w:t>
            </w:r>
          </w:p>
        </w:tc>
        <w:tc>
          <w:tcPr>
            <w:tcW w:w="190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1537F0" w14:textId="77777777" w:rsidR="00BD776B" w:rsidRDefault="00BD776B">
            <w:pPr>
              <w:snapToGrid w:val="0"/>
              <w:spacing w:line="380" w:lineRule="exact"/>
              <w:jc w:val="center"/>
              <w:rPr>
                <w:rFonts w:eastAsia="標楷體"/>
                <w:color w:val="000000"/>
              </w:rPr>
            </w:pPr>
          </w:p>
        </w:tc>
        <w:tc>
          <w:tcPr>
            <w:tcW w:w="97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0FC43C" w14:textId="77777777" w:rsidR="00BD776B" w:rsidRDefault="00DF0C24">
            <w:pPr>
              <w:snapToGrid w:val="0"/>
              <w:spacing w:line="380" w:lineRule="exact"/>
              <w:jc w:val="center"/>
              <w:rPr>
                <w:rFonts w:eastAsia="標楷體"/>
                <w:color w:val="000000"/>
              </w:rPr>
            </w:pPr>
            <w:r>
              <w:rPr>
                <w:rFonts w:eastAsia="標楷體"/>
                <w:color w:val="000000"/>
              </w:rPr>
              <w:t xml:space="preserve">VII:C  </w:t>
            </w:r>
          </w:p>
        </w:tc>
        <w:tc>
          <w:tcPr>
            <w:tcW w:w="215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E807AB" w14:textId="77777777" w:rsidR="00BD776B" w:rsidRDefault="00BD776B">
            <w:pPr>
              <w:snapToGrid w:val="0"/>
              <w:spacing w:line="380" w:lineRule="exact"/>
              <w:rPr>
                <w:rFonts w:eastAsia="標楷體"/>
                <w:color w:val="000000"/>
              </w:rPr>
            </w:pPr>
          </w:p>
        </w:tc>
      </w:tr>
      <w:tr w:rsidR="00BD776B" w14:paraId="7598A451" w14:textId="77777777">
        <w:trPr>
          <w:cantSplit/>
          <w:trHeight w:val="880"/>
        </w:trPr>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A61AA6" w14:textId="77777777" w:rsidR="00BD776B" w:rsidRDefault="00BD776B">
            <w:pPr>
              <w:snapToGrid w:val="0"/>
              <w:spacing w:line="380" w:lineRule="exact"/>
              <w:jc w:val="center"/>
              <w:rPr>
                <w:rFonts w:ascii="標楷體" w:eastAsia="標楷體" w:hAnsi="標楷體"/>
                <w:color w:val="000000"/>
              </w:rPr>
            </w:pPr>
          </w:p>
        </w:tc>
        <w:tc>
          <w:tcPr>
            <w:tcW w:w="96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59330B" w14:textId="77777777" w:rsidR="00BD776B" w:rsidRDefault="00DF0C24">
            <w:pPr>
              <w:snapToGrid w:val="0"/>
              <w:spacing w:line="380" w:lineRule="exact"/>
              <w:jc w:val="center"/>
              <w:rPr>
                <w:rFonts w:eastAsia="標楷體"/>
                <w:color w:val="000000"/>
              </w:rPr>
            </w:pPr>
            <w:r>
              <w:rPr>
                <w:rFonts w:eastAsia="標楷體"/>
                <w:color w:val="000000"/>
              </w:rPr>
              <w:t>VIII:C</w:t>
            </w:r>
          </w:p>
        </w:tc>
        <w:tc>
          <w:tcPr>
            <w:tcW w:w="191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07CD37" w14:textId="77777777" w:rsidR="00BD776B" w:rsidRDefault="00BD776B">
            <w:pPr>
              <w:snapToGrid w:val="0"/>
              <w:spacing w:line="380" w:lineRule="exact"/>
              <w:jc w:val="center"/>
              <w:rPr>
                <w:rFonts w:eastAsia="標楷體"/>
                <w:color w:val="000000"/>
              </w:rPr>
            </w:pPr>
          </w:p>
        </w:tc>
        <w:tc>
          <w:tcPr>
            <w:tcW w:w="9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5894DE" w14:textId="77777777" w:rsidR="00BD776B" w:rsidRDefault="00DF0C24">
            <w:pPr>
              <w:snapToGrid w:val="0"/>
              <w:spacing w:line="380" w:lineRule="exact"/>
              <w:jc w:val="center"/>
              <w:rPr>
                <w:rFonts w:eastAsia="標楷體"/>
                <w:color w:val="000000"/>
              </w:rPr>
            </w:pPr>
            <w:r>
              <w:rPr>
                <w:rFonts w:eastAsia="標楷體"/>
                <w:color w:val="000000"/>
              </w:rPr>
              <w:t>IX</w:t>
            </w:r>
            <w:r>
              <w:rPr>
                <w:rFonts w:eastAsia="標楷體"/>
                <w:color w:val="000000"/>
              </w:rPr>
              <w:t>：</w:t>
            </w:r>
            <w:r>
              <w:rPr>
                <w:rFonts w:eastAsia="標楷體"/>
                <w:color w:val="000000"/>
              </w:rPr>
              <w:t>C</w:t>
            </w:r>
          </w:p>
        </w:tc>
        <w:tc>
          <w:tcPr>
            <w:tcW w:w="190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53E9FB" w14:textId="77777777" w:rsidR="00BD776B" w:rsidRDefault="00BD776B">
            <w:pPr>
              <w:snapToGrid w:val="0"/>
              <w:spacing w:line="380" w:lineRule="exact"/>
              <w:jc w:val="center"/>
              <w:rPr>
                <w:rFonts w:eastAsia="標楷體"/>
                <w:color w:val="000000"/>
              </w:rPr>
            </w:pPr>
          </w:p>
        </w:tc>
        <w:tc>
          <w:tcPr>
            <w:tcW w:w="97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0441A26" w14:textId="77777777" w:rsidR="00BD776B" w:rsidRDefault="00DF0C24">
            <w:pPr>
              <w:snapToGrid w:val="0"/>
              <w:spacing w:line="380" w:lineRule="exact"/>
              <w:jc w:val="center"/>
              <w:rPr>
                <w:rFonts w:eastAsia="標楷體"/>
                <w:color w:val="000000"/>
              </w:rPr>
            </w:pPr>
            <w:r>
              <w:rPr>
                <w:rFonts w:eastAsia="標楷體"/>
                <w:color w:val="000000"/>
              </w:rPr>
              <w:t>其他</w:t>
            </w:r>
            <w:r>
              <w:rPr>
                <w:rFonts w:eastAsia="標楷體"/>
                <w:color w:val="000000"/>
              </w:rPr>
              <w:t>:</w:t>
            </w:r>
          </w:p>
        </w:tc>
        <w:tc>
          <w:tcPr>
            <w:tcW w:w="215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FAC0716" w14:textId="77777777" w:rsidR="00BD776B" w:rsidRDefault="00BD776B">
            <w:pPr>
              <w:snapToGrid w:val="0"/>
              <w:spacing w:line="380" w:lineRule="exact"/>
              <w:rPr>
                <w:rFonts w:eastAsia="標楷體"/>
                <w:color w:val="000000"/>
              </w:rPr>
            </w:pPr>
          </w:p>
        </w:tc>
      </w:tr>
      <w:tr w:rsidR="00BD776B" w14:paraId="5A372AEA" w14:textId="77777777">
        <w:trPr>
          <w:cantSplit/>
          <w:trHeight w:val="880"/>
        </w:trPr>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E4A2A5" w14:textId="77777777" w:rsidR="00BD776B" w:rsidRDefault="00DF0C24">
            <w:pPr>
              <w:snapToGrid w:val="0"/>
              <w:spacing w:line="380" w:lineRule="exact"/>
              <w:jc w:val="center"/>
            </w:pPr>
            <w:r>
              <w:rPr>
                <w:rFonts w:ascii="標楷體" w:eastAsia="標楷體" w:hAnsi="標楷體" w:cs="標楷體"/>
                <w:color w:val="000000"/>
              </w:rPr>
              <w:t>抗體力價</w:t>
            </w:r>
          </w:p>
        </w:tc>
        <w:tc>
          <w:tcPr>
            <w:tcW w:w="108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409173" w14:textId="77777777" w:rsidR="00BD776B" w:rsidRDefault="00DF0C24">
            <w:pPr>
              <w:pStyle w:val="1"/>
              <w:keepNext w:val="0"/>
              <w:snapToGrid w:val="0"/>
              <w:spacing w:line="380" w:lineRule="exact"/>
              <w:rPr>
                <w:b w:val="0"/>
                <w:bCs w:val="0"/>
                <w:color w:val="000000"/>
                <w:sz w:val="24"/>
                <w:szCs w:val="24"/>
              </w:rPr>
            </w:pPr>
            <w:bookmarkStart w:id="34" w:name="_Toc697228"/>
            <w:bookmarkStart w:id="35" w:name="_Toc700817"/>
            <w:bookmarkStart w:id="36" w:name="_Toc1883000"/>
            <w:r>
              <w:rPr>
                <w:b w:val="0"/>
                <w:bCs w:val="0"/>
                <w:color w:val="000000"/>
                <w:sz w:val="24"/>
                <w:szCs w:val="24"/>
              </w:rPr>
              <w:t>VIII Ab</w:t>
            </w:r>
            <w:bookmarkEnd w:id="34"/>
            <w:bookmarkEnd w:id="35"/>
            <w:bookmarkEnd w:id="36"/>
          </w:p>
        </w:tc>
        <w:tc>
          <w:tcPr>
            <w:tcW w:w="3720"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18A5D9" w14:textId="77777777" w:rsidR="00BD776B" w:rsidRDefault="00DF0C24">
            <w:pPr>
              <w:snapToGrid w:val="0"/>
              <w:spacing w:line="380" w:lineRule="exact"/>
            </w:pPr>
            <w:r>
              <w:rPr>
                <w:rFonts w:eastAsia="標楷體"/>
                <w:color w:val="000000"/>
              </w:rPr>
              <w:t xml:space="preserve">(1)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BU/</w:t>
            </w:r>
            <w:r>
              <w:t xml:space="preserve"> </w:t>
            </w:r>
            <w:r>
              <w:rPr>
                <w:rFonts w:eastAsia="標楷體"/>
                <w:color w:val="000000"/>
              </w:rPr>
              <w:t>mL</w:t>
            </w:r>
          </w:p>
        </w:tc>
        <w:tc>
          <w:tcPr>
            <w:tcW w:w="4076"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9F2ABC" w14:textId="77777777" w:rsidR="00BD776B" w:rsidRDefault="00DF0C24">
            <w:pPr>
              <w:snapToGrid w:val="0"/>
              <w:spacing w:line="380" w:lineRule="exact"/>
              <w:rPr>
                <w:rFonts w:eastAsia="標楷體"/>
                <w:color w:val="000000"/>
              </w:rPr>
            </w:pPr>
            <w:r>
              <w:rPr>
                <w:rFonts w:eastAsia="標楷體"/>
                <w:color w:val="000000"/>
              </w:rPr>
              <w:t xml:space="preserve">(2)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BU/mL</w:t>
            </w:r>
          </w:p>
        </w:tc>
      </w:tr>
      <w:tr w:rsidR="00BD776B" w14:paraId="52515EE1" w14:textId="77777777">
        <w:trPr>
          <w:cantSplit/>
          <w:trHeight w:val="880"/>
        </w:trPr>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763654" w14:textId="77777777" w:rsidR="00BD776B" w:rsidRDefault="00BD776B">
            <w:pPr>
              <w:snapToGrid w:val="0"/>
              <w:spacing w:line="380" w:lineRule="exact"/>
              <w:jc w:val="center"/>
              <w:rPr>
                <w:rFonts w:ascii="標楷體" w:eastAsia="標楷體" w:hAnsi="標楷體"/>
                <w:color w:val="000000"/>
              </w:rPr>
            </w:pPr>
          </w:p>
        </w:tc>
        <w:tc>
          <w:tcPr>
            <w:tcW w:w="108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0EF21A" w14:textId="77777777" w:rsidR="00BD776B" w:rsidRDefault="00DF0C24">
            <w:pPr>
              <w:pStyle w:val="1"/>
              <w:keepNext w:val="0"/>
              <w:snapToGrid w:val="0"/>
              <w:spacing w:line="380" w:lineRule="exact"/>
              <w:rPr>
                <w:b w:val="0"/>
                <w:bCs w:val="0"/>
                <w:color w:val="000000"/>
                <w:sz w:val="24"/>
                <w:szCs w:val="24"/>
              </w:rPr>
            </w:pPr>
            <w:bookmarkStart w:id="37" w:name="_Toc697229"/>
            <w:bookmarkStart w:id="38" w:name="_Toc700818"/>
            <w:bookmarkStart w:id="39" w:name="_Toc1883001"/>
            <w:r>
              <w:rPr>
                <w:b w:val="0"/>
                <w:bCs w:val="0"/>
                <w:color w:val="000000"/>
                <w:sz w:val="24"/>
                <w:szCs w:val="24"/>
              </w:rPr>
              <w:t>IX Ab</w:t>
            </w:r>
            <w:bookmarkEnd w:id="37"/>
            <w:bookmarkEnd w:id="38"/>
            <w:bookmarkEnd w:id="39"/>
          </w:p>
        </w:tc>
        <w:tc>
          <w:tcPr>
            <w:tcW w:w="3720"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6ADB7C" w14:textId="77777777" w:rsidR="00BD776B" w:rsidRDefault="00DF0C24">
            <w:pPr>
              <w:snapToGrid w:val="0"/>
              <w:spacing w:line="380" w:lineRule="exact"/>
            </w:pPr>
            <w:r>
              <w:rPr>
                <w:rFonts w:eastAsia="標楷體"/>
                <w:color w:val="000000"/>
              </w:rPr>
              <w:t xml:space="preserve">(1)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BU/</w:t>
            </w:r>
            <w:r>
              <w:t xml:space="preserve"> </w:t>
            </w:r>
            <w:r>
              <w:rPr>
                <w:rFonts w:eastAsia="標楷體"/>
                <w:color w:val="000000"/>
              </w:rPr>
              <w:t>mL</w:t>
            </w:r>
          </w:p>
        </w:tc>
        <w:tc>
          <w:tcPr>
            <w:tcW w:w="4076"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73109E" w14:textId="77777777" w:rsidR="00BD776B" w:rsidRDefault="00DF0C24">
            <w:pPr>
              <w:snapToGrid w:val="0"/>
              <w:spacing w:line="380" w:lineRule="exact"/>
            </w:pPr>
            <w:r>
              <w:rPr>
                <w:rFonts w:eastAsia="標楷體"/>
                <w:color w:val="000000"/>
              </w:rPr>
              <w:t xml:space="preserve">(2)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BU/</w:t>
            </w:r>
            <w:r>
              <w:t xml:space="preserve"> </w:t>
            </w:r>
            <w:r>
              <w:rPr>
                <w:rFonts w:eastAsia="標楷體"/>
                <w:color w:val="000000"/>
              </w:rPr>
              <w:t>mL</w:t>
            </w:r>
          </w:p>
        </w:tc>
      </w:tr>
      <w:tr w:rsidR="00BD776B" w14:paraId="459BACF5" w14:textId="77777777">
        <w:trPr>
          <w:cantSplit/>
          <w:trHeight w:val="588"/>
        </w:trPr>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B1C3A5" w14:textId="77777777" w:rsidR="00BD776B" w:rsidRDefault="00DF0C24">
            <w:pPr>
              <w:snapToGrid w:val="0"/>
              <w:spacing w:line="380" w:lineRule="exact"/>
              <w:jc w:val="center"/>
            </w:pPr>
            <w:r>
              <w:rPr>
                <w:rFonts w:ascii="標楷體" w:eastAsia="標楷體" w:hAnsi="標楷體" w:cs="標楷體"/>
                <w:color w:val="000000"/>
              </w:rPr>
              <w:t>治療情形</w:t>
            </w:r>
          </w:p>
        </w:tc>
        <w:tc>
          <w:tcPr>
            <w:tcW w:w="336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CAB459E" w14:textId="77777777" w:rsidR="00BD776B" w:rsidRDefault="00DF0C24">
            <w:pPr>
              <w:snapToGrid w:val="0"/>
              <w:spacing w:line="380" w:lineRule="exact"/>
            </w:pPr>
            <w:r>
              <w:rPr>
                <w:rFonts w:eastAsia="標楷體"/>
                <w:color w:val="000000"/>
              </w:rPr>
              <w:t>(1)</w:t>
            </w:r>
            <w:r>
              <w:rPr>
                <w:rFonts w:eastAsia="標楷體"/>
                <w:color w:val="000000"/>
              </w:rPr>
              <w:t>藥物及劑量：</w:t>
            </w:r>
          </w:p>
        </w:tc>
        <w:tc>
          <w:tcPr>
            <w:tcW w:w="216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9A8C7A" w14:textId="77777777" w:rsidR="00BD776B" w:rsidRDefault="00DF0C24">
            <w:pPr>
              <w:snapToGrid w:val="0"/>
              <w:spacing w:line="380" w:lineRule="exact"/>
            </w:pPr>
            <w:r>
              <w:rPr>
                <w:rFonts w:ascii="標楷體" w:eastAsia="標楷體" w:hAnsi="標楷體" w:cs="標楷體"/>
                <w:color w:val="000000"/>
              </w:rPr>
              <w:t xml:space="preserve">    年  月  日至  年  月  日</w:t>
            </w:r>
          </w:p>
        </w:tc>
        <w:tc>
          <w:tcPr>
            <w:tcW w:w="72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0BE222" w14:textId="77777777" w:rsidR="00BD776B" w:rsidRDefault="00DF0C24">
            <w:pPr>
              <w:snapToGrid w:val="0"/>
              <w:spacing w:line="380" w:lineRule="exact"/>
              <w:jc w:val="center"/>
            </w:pPr>
            <w:r>
              <w:rPr>
                <w:rFonts w:ascii="標楷體" w:eastAsia="標楷體" w:hAnsi="標楷體" w:cs="標楷體"/>
                <w:color w:val="000000"/>
              </w:rPr>
              <w:t>療效</w:t>
            </w:r>
          </w:p>
        </w:tc>
        <w:tc>
          <w:tcPr>
            <w:tcW w:w="263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EF2CEF" w14:textId="77777777" w:rsidR="00BD776B" w:rsidRDefault="00BD776B">
            <w:pPr>
              <w:snapToGrid w:val="0"/>
              <w:spacing w:line="380" w:lineRule="exact"/>
              <w:rPr>
                <w:rFonts w:ascii="標楷體" w:eastAsia="標楷體" w:hAnsi="標楷體"/>
                <w:color w:val="000000"/>
              </w:rPr>
            </w:pPr>
          </w:p>
        </w:tc>
      </w:tr>
      <w:tr w:rsidR="00BD776B" w14:paraId="5DC729BC" w14:textId="77777777">
        <w:trPr>
          <w:cantSplit/>
          <w:trHeight w:val="586"/>
        </w:trPr>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0470EA5" w14:textId="77777777" w:rsidR="00BD776B" w:rsidRDefault="00BD776B">
            <w:pPr>
              <w:snapToGrid w:val="0"/>
              <w:spacing w:line="380" w:lineRule="exact"/>
              <w:jc w:val="center"/>
              <w:rPr>
                <w:rFonts w:ascii="標楷體" w:eastAsia="標楷體" w:hAnsi="標楷體"/>
                <w:color w:val="000000"/>
              </w:rPr>
            </w:pPr>
          </w:p>
        </w:tc>
        <w:tc>
          <w:tcPr>
            <w:tcW w:w="336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098909" w14:textId="77777777" w:rsidR="00BD776B" w:rsidRDefault="00DF0C24">
            <w:pPr>
              <w:snapToGrid w:val="0"/>
              <w:spacing w:line="380" w:lineRule="exact"/>
            </w:pPr>
            <w:r>
              <w:rPr>
                <w:rFonts w:eastAsia="標楷體"/>
                <w:color w:val="000000"/>
              </w:rPr>
              <w:t>(2)</w:t>
            </w:r>
            <w:r>
              <w:rPr>
                <w:rFonts w:eastAsia="標楷體"/>
                <w:color w:val="000000"/>
              </w:rPr>
              <w:t>藥物及劑量：</w:t>
            </w:r>
          </w:p>
        </w:tc>
        <w:tc>
          <w:tcPr>
            <w:tcW w:w="216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DB07D9" w14:textId="77777777" w:rsidR="00BD776B" w:rsidRDefault="00DF0C24">
            <w:pPr>
              <w:snapToGrid w:val="0"/>
              <w:spacing w:line="380" w:lineRule="exact"/>
            </w:pPr>
            <w:r>
              <w:rPr>
                <w:rFonts w:ascii="標楷體" w:eastAsia="標楷體" w:hAnsi="標楷體" w:cs="標楷體"/>
                <w:color w:val="000000"/>
              </w:rPr>
              <w:t xml:space="preserve">    年  月  日至  年  月  日</w:t>
            </w:r>
          </w:p>
        </w:tc>
        <w:tc>
          <w:tcPr>
            <w:tcW w:w="72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C8CF12" w14:textId="77777777" w:rsidR="00BD776B" w:rsidRDefault="00DF0C24">
            <w:pPr>
              <w:snapToGrid w:val="0"/>
              <w:spacing w:line="380" w:lineRule="exact"/>
              <w:jc w:val="center"/>
            </w:pPr>
            <w:r>
              <w:rPr>
                <w:rFonts w:ascii="標楷體" w:eastAsia="標楷體" w:hAnsi="標楷體" w:cs="標楷體"/>
                <w:color w:val="000000"/>
              </w:rPr>
              <w:t>療效</w:t>
            </w:r>
          </w:p>
        </w:tc>
        <w:tc>
          <w:tcPr>
            <w:tcW w:w="263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8BCCB11" w14:textId="77777777" w:rsidR="00BD776B" w:rsidRDefault="00BD776B">
            <w:pPr>
              <w:snapToGrid w:val="0"/>
              <w:spacing w:line="380" w:lineRule="exact"/>
              <w:rPr>
                <w:rFonts w:ascii="標楷體" w:eastAsia="標楷體" w:hAnsi="標楷體"/>
                <w:color w:val="000000"/>
              </w:rPr>
            </w:pPr>
          </w:p>
        </w:tc>
      </w:tr>
      <w:tr w:rsidR="00BD776B" w14:paraId="57882F71" w14:textId="77777777">
        <w:trPr>
          <w:cantSplit/>
          <w:trHeight w:val="586"/>
        </w:trPr>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C98F3FA" w14:textId="77777777" w:rsidR="00BD776B" w:rsidRDefault="00BD776B">
            <w:pPr>
              <w:snapToGrid w:val="0"/>
              <w:spacing w:line="380" w:lineRule="exact"/>
              <w:jc w:val="center"/>
              <w:rPr>
                <w:rFonts w:ascii="標楷體" w:eastAsia="標楷體" w:hAnsi="標楷體"/>
                <w:color w:val="000000"/>
              </w:rPr>
            </w:pPr>
          </w:p>
        </w:tc>
        <w:tc>
          <w:tcPr>
            <w:tcW w:w="336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D4A020" w14:textId="77777777" w:rsidR="00BD776B" w:rsidRDefault="00DF0C24">
            <w:pPr>
              <w:snapToGrid w:val="0"/>
              <w:spacing w:line="380" w:lineRule="exact"/>
            </w:pPr>
            <w:r>
              <w:rPr>
                <w:rFonts w:eastAsia="標楷體"/>
                <w:color w:val="000000"/>
              </w:rPr>
              <w:t>(3)</w:t>
            </w:r>
            <w:r>
              <w:rPr>
                <w:rFonts w:eastAsia="標楷體"/>
                <w:color w:val="000000"/>
              </w:rPr>
              <w:t>藥物及劑量：</w:t>
            </w:r>
          </w:p>
        </w:tc>
        <w:tc>
          <w:tcPr>
            <w:tcW w:w="216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0FD174" w14:textId="77777777" w:rsidR="00BD776B" w:rsidRDefault="00DF0C24">
            <w:pPr>
              <w:snapToGrid w:val="0"/>
              <w:spacing w:line="380" w:lineRule="exact"/>
            </w:pPr>
            <w:r>
              <w:rPr>
                <w:rFonts w:ascii="標楷體" w:eastAsia="標楷體" w:hAnsi="標楷體" w:cs="標楷體"/>
                <w:color w:val="000000"/>
              </w:rPr>
              <w:t xml:space="preserve">    年  月  日至  年  月  日</w:t>
            </w:r>
          </w:p>
        </w:tc>
        <w:tc>
          <w:tcPr>
            <w:tcW w:w="72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E32335" w14:textId="77777777" w:rsidR="00BD776B" w:rsidRDefault="00DF0C24">
            <w:pPr>
              <w:snapToGrid w:val="0"/>
              <w:spacing w:line="380" w:lineRule="exact"/>
              <w:jc w:val="center"/>
            </w:pPr>
            <w:r>
              <w:rPr>
                <w:rFonts w:ascii="標楷體" w:eastAsia="標楷體" w:hAnsi="標楷體" w:cs="標楷體"/>
                <w:color w:val="000000"/>
              </w:rPr>
              <w:t>療效</w:t>
            </w:r>
          </w:p>
        </w:tc>
        <w:tc>
          <w:tcPr>
            <w:tcW w:w="263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CAA0D0" w14:textId="77777777" w:rsidR="00BD776B" w:rsidRDefault="00BD776B">
            <w:pPr>
              <w:snapToGrid w:val="0"/>
              <w:spacing w:line="380" w:lineRule="exact"/>
              <w:rPr>
                <w:rFonts w:ascii="標楷體" w:eastAsia="標楷體" w:hAnsi="標楷體"/>
                <w:color w:val="000000"/>
              </w:rPr>
            </w:pPr>
          </w:p>
        </w:tc>
      </w:tr>
    </w:tbl>
    <w:p w14:paraId="1E90E0D6" w14:textId="77777777" w:rsidR="00BD776B" w:rsidRDefault="00DF0C24">
      <w:pPr>
        <w:snapToGrid w:val="0"/>
        <w:spacing w:line="380" w:lineRule="exact"/>
      </w:pPr>
      <w:r>
        <w:rPr>
          <w:rFonts w:ascii="標楷體" w:eastAsia="標楷體" w:hAnsi="標楷體" w:cs="標楷體"/>
          <w:b/>
          <w:u w:val="single"/>
        </w:rPr>
        <w:t>備註：檢送之抗體力價報告為最近3個月。</w:t>
      </w:r>
    </w:p>
    <w:p w14:paraId="370E42F7" w14:textId="77777777" w:rsidR="00BD776B" w:rsidRDefault="00BD776B">
      <w:pPr>
        <w:snapToGrid w:val="0"/>
        <w:spacing w:line="380" w:lineRule="exact"/>
        <w:rPr>
          <w:rFonts w:ascii="標楷體" w:eastAsia="標楷體" w:hAnsi="標楷體" w:cs="標楷體"/>
          <w:color w:val="000000"/>
        </w:rPr>
      </w:pPr>
    </w:p>
    <w:p w14:paraId="392BD3AD" w14:textId="77777777" w:rsidR="00BD776B" w:rsidRDefault="00DF0C24">
      <w:pPr>
        <w:snapToGrid w:val="0"/>
        <w:spacing w:line="380" w:lineRule="exact"/>
        <w:rPr>
          <w:rFonts w:ascii="標楷體" w:eastAsia="標楷體" w:hAnsi="標楷體" w:cs="標楷體"/>
          <w:color w:val="000000"/>
        </w:rPr>
      </w:pPr>
      <w:r>
        <w:rPr>
          <w:rFonts w:ascii="標楷體" w:eastAsia="標楷體" w:hAnsi="標楷體" w:cs="標楷體"/>
          <w:color w:val="000000"/>
        </w:rPr>
        <w:t>申報醫師：</w:t>
      </w:r>
    </w:p>
    <w:p w14:paraId="6164546F" w14:textId="77777777" w:rsidR="00BD776B" w:rsidRDefault="00BD776B">
      <w:pPr>
        <w:snapToGrid w:val="0"/>
        <w:spacing w:line="380" w:lineRule="exact"/>
        <w:rPr>
          <w:rFonts w:ascii="標楷體" w:eastAsia="標楷體" w:hAnsi="標楷體"/>
          <w:color w:val="000000"/>
        </w:rPr>
      </w:pPr>
    </w:p>
    <w:p w14:paraId="61081631" w14:textId="77777777" w:rsidR="00BD776B" w:rsidRDefault="00DF0C24">
      <w:pPr>
        <w:pageBreakBefore/>
        <w:snapToGrid w:val="0"/>
        <w:spacing w:line="380" w:lineRule="exact"/>
        <w:jc w:val="center"/>
      </w:pPr>
      <w:r>
        <w:rPr>
          <w:rFonts w:ascii="標楷體" w:eastAsia="標楷體" w:hAnsi="標楷體"/>
          <w:color w:val="000000"/>
          <w:sz w:val="32"/>
          <w:szCs w:val="32"/>
        </w:rPr>
        <w:lastRenderedPageBreak/>
        <w:t>附表六全民健康保險使用</w:t>
      </w:r>
      <w:r>
        <w:rPr>
          <w:rFonts w:ascii="標楷體" w:eastAsia="標楷體" w:hAnsi="標楷體"/>
          <w:b/>
          <w:color w:val="000000"/>
          <w:sz w:val="28"/>
          <w:szCs w:val="28"/>
        </w:rPr>
        <w:t>IntravenousImmuneGlobulin(IVIG)</w:t>
      </w:r>
    </w:p>
    <w:p w14:paraId="0E4836E9" w14:textId="77777777" w:rsidR="00BD776B" w:rsidRDefault="00DF0C24">
      <w:pPr>
        <w:snapToGrid w:val="0"/>
        <w:spacing w:line="380" w:lineRule="exact"/>
        <w:jc w:val="center"/>
      </w:pPr>
      <w:r>
        <w:rPr>
          <w:rFonts w:ascii="標楷體" w:eastAsia="標楷體" w:hAnsi="標楷體"/>
          <w:color w:val="000000"/>
          <w:sz w:val="32"/>
          <w:szCs w:val="32"/>
        </w:rPr>
        <w:t>治療川崎病(KawasakiDisease)申請表</w:t>
      </w:r>
    </w:p>
    <w:tbl>
      <w:tblPr>
        <w:tblW w:w="9028" w:type="dxa"/>
        <w:tblLayout w:type="fixed"/>
        <w:tblCellMar>
          <w:left w:w="10" w:type="dxa"/>
          <w:right w:w="10" w:type="dxa"/>
        </w:tblCellMar>
        <w:tblLook w:val="0000" w:firstRow="0" w:lastRow="0" w:firstColumn="0" w:lastColumn="0" w:noHBand="0" w:noVBand="0"/>
      </w:tblPr>
      <w:tblGrid>
        <w:gridCol w:w="1393"/>
        <w:gridCol w:w="1695"/>
        <w:gridCol w:w="720"/>
        <w:gridCol w:w="540"/>
        <w:gridCol w:w="720"/>
        <w:gridCol w:w="900"/>
        <w:gridCol w:w="1393"/>
        <w:gridCol w:w="1667"/>
      </w:tblGrid>
      <w:tr w:rsidR="00BD776B" w14:paraId="53831745" w14:textId="77777777">
        <w:trPr>
          <w:cantSplit/>
        </w:trPr>
        <w:tc>
          <w:tcPr>
            <w:tcW w:w="1393"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36F4BB6" w14:textId="77777777" w:rsidR="00BD776B" w:rsidRDefault="00DF0C24">
            <w:pPr>
              <w:snapToGrid w:val="0"/>
              <w:spacing w:line="380" w:lineRule="exact"/>
            </w:pPr>
            <w:r>
              <w:rPr>
                <w:rFonts w:ascii="標楷體" w:eastAsia="標楷體" w:hAnsi="標楷體" w:cs="標楷體"/>
                <w:color w:val="000000"/>
                <w:sz w:val="28"/>
                <w:szCs w:val="28"/>
              </w:rPr>
              <w:t>醫院代號</w:t>
            </w:r>
          </w:p>
        </w:tc>
        <w:tc>
          <w:tcPr>
            <w:tcW w:w="1695" w:type="dxa"/>
            <w:tcBorders>
              <w:top w:val="double" w:sz="6" w:space="0" w:color="000000"/>
              <w:left w:val="single" w:sz="6" w:space="0" w:color="000000"/>
              <w:bottom w:val="single" w:sz="6" w:space="0" w:color="000000"/>
            </w:tcBorders>
            <w:shd w:val="clear" w:color="auto" w:fill="auto"/>
            <w:tcMar>
              <w:top w:w="0" w:type="dxa"/>
              <w:left w:w="28" w:type="dxa"/>
              <w:bottom w:w="0" w:type="dxa"/>
              <w:right w:w="28" w:type="dxa"/>
            </w:tcMar>
          </w:tcPr>
          <w:p w14:paraId="5FB82808" w14:textId="77777777" w:rsidR="00BD776B" w:rsidRDefault="00BD776B">
            <w:pPr>
              <w:snapToGrid w:val="0"/>
              <w:spacing w:line="380" w:lineRule="exact"/>
              <w:rPr>
                <w:rFonts w:ascii="標楷體" w:eastAsia="標楷體" w:hAnsi="標楷體"/>
                <w:color w:val="000000"/>
                <w:sz w:val="28"/>
                <w:szCs w:val="28"/>
              </w:rPr>
            </w:pPr>
          </w:p>
        </w:tc>
        <w:tc>
          <w:tcPr>
            <w:tcW w:w="1260" w:type="dxa"/>
            <w:gridSpan w:val="2"/>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6E4AD79" w14:textId="77777777" w:rsidR="00BD776B" w:rsidRDefault="00DF0C24">
            <w:pPr>
              <w:snapToGrid w:val="0"/>
              <w:spacing w:line="380" w:lineRule="exact"/>
            </w:pPr>
            <w:r>
              <w:rPr>
                <w:rFonts w:ascii="標楷體" w:eastAsia="標楷體" w:hAnsi="標楷體" w:cs="標楷體"/>
                <w:color w:val="000000"/>
                <w:sz w:val="28"/>
                <w:szCs w:val="28"/>
              </w:rPr>
              <w:t>醫院名稱</w:t>
            </w:r>
          </w:p>
        </w:tc>
        <w:tc>
          <w:tcPr>
            <w:tcW w:w="1620" w:type="dxa"/>
            <w:gridSpan w:val="2"/>
            <w:tcBorders>
              <w:top w:val="double" w:sz="6" w:space="0" w:color="000000"/>
              <w:left w:val="single" w:sz="6" w:space="0" w:color="000000"/>
              <w:bottom w:val="single" w:sz="6" w:space="0" w:color="000000"/>
            </w:tcBorders>
            <w:shd w:val="clear" w:color="auto" w:fill="auto"/>
            <w:tcMar>
              <w:top w:w="0" w:type="dxa"/>
              <w:left w:w="28" w:type="dxa"/>
              <w:bottom w:w="0" w:type="dxa"/>
              <w:right w:w="28" w:type="dxa"/>
            </w:tcMar>
          </w:tcPr>
          <w:p w14:paraId="7DDFCA61" w14:textId="77777777" w:rsidR="00BD776B" w:rsidRDefault="00BD776B">
            <w:pPr>
              <w:snapToGrid w:val="0"/>
              <w:spacing w:line="380" w:lineRule="exact"/>
              <w:rPr>
                <w:rFonts w:ascii="標楷體" w:eastAsia="標楷體" w:hAnsi="標楷體"/>
                <w:color w:val="000000"/>
                <w:sz w:val="28"/>
                <w:szCs w:val="28"/>
              </w:rPr>
            </w:pPr>
          </w:p>
        </w:tc>
        <w:tc>
          <w:tcPr>
            <w:tcW w:w="1393"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D63D9C3" w14:textId="77777777" w:rsidR="00BD776B" w:rsidRDefault="00DF0C24">
            <w:pPr>
              <w:snapToGrid w:val="0"/>
              <w:spacing w:line="380" w:lineRule="exact"/>
            </w:pPr>
            <w:r>
              <w:rPr>
                <w:rFonts w:ascii="標楷體" w:eastAsia="標楷體" w:hAnsi="標楷體" w:cs="標楷體"/>
                <w:color w:val="000000"/>
                <w:sz w:val="28"/>
                <w:szCs w:val="28"/>
              </w:rPr>
              <w:t>申請日期</w:t>
            </w:r>
          </w:p>
        </w:tc>
        <w:tc>
          <w:tcPr>
            <w:tcW w:w="1667"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AA5BE51" w14:textId="77777777" w:rsidR="00BD776B" w:rsidRDefault="00BD776B">
            <w:pPr>
              <w:snapToGrid w:val="0"/>
              <w:spacing w:line="380" w:lineRule="exact"/>
              <w:rPr>
                <w:rFonts w:ascii="標楷體" w:eastAsia="標楷體" w:hAnsi="標楷體"/>
                <w:color w:val="000000"/>
                <w:sz w:val="28"/>
                <w:szCs w:val="28"/>
              </w:rPr>
            </w:pPr>
          </w:p>
        </w:tc>
      </w:tr>
      <w:tr w:rsidR="00BD776B" w14:paraId="60318FF6"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72096D8" w14:textId="77777777" w:rsidR="00BD776B" w:rsidRDefault="00DF0C24">
            <w:pPr>
              <w:snapToGrid w:val="0"/>
              <w:spacing w:line="380" w:lineRule="exact"/>
            </w:pPr>
            <w:r>
              <w:rPr>
                <w:rFonts w:ascii="標楷體" w:eastAsia="標楷體" w:hAnsi="標楷體" w:cs="標楷體"/>
                <w:color w:val="000000"/>
                <w:sz w:val="28"/>
                <w:szCs w:val="28"/>
              </w:rPr>
              <w:t>病人姓名</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6847C212" w14:textId="77777777" w:rsidR="00BD776B" w:rsidRDefault="00BD776B">
            <w:pPr>
              <w:snapToGrid w:val="0"/>
              <w:spacing w:line="380" w:lineRule="exact"/>
              <w:rPr>
                <w:rFonts w:ascii="標楷體" w:eastAsia="標楷體" w:hAnsi="標楷體"/>
                <w:color w:val="000000"/>
                <w:sz w:val="28"/>
                <w:szCs w:val="28"/>
              </w:rPr>
            </w:pPr>
          </w:p>
        </w:tc>
        <w:tc>
          <w:tcPr>
            <w:tcW w:w="720"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3ED1212" w14:textId="77777777" w:rsidR="00BD776B" w:rsidRDefault="00DF0C24">
            <w:pPr>
              <w:snapToGrid w:val="0"/>
              <w:spacing w:line="380" w:lineRule="exact"/>
            </w:pPr>
            <w:r>
              <w:rPr>
                <w:rFonts w:ascii="標楷體" w:eastAsia="標楷體" w:hAnsi="標楷體" w:cs="標楷體"/>
                <w:color w:val="000000"/>
                <w:sz w:val="28"/>
                <w:szCs w:val="28"/>
              </w:rPr>
              <w:t>性別</w:t>
            </w:r>
          </w:p>
        </w:tc>
        <w:tc>
          <w:tcPr>
            <w:tcW w:w="5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58DAF4BC" w14:textId="77777777" w:rsidR="00BD776B" w:rsidRDefault="00BD776B">
            <w:pPr>
              <w:snapToGrid w:val="0"/>
              <w:spacing w:line="380" w:lineRule="exact"/>
              <w:rPr>
                <w:rFonts w:ascii="標楷體" w:eastAsia="標楷體" w:hAnsi="標楷體"/>
                <w:color w:val="000000"/>
                <w:sz w:val="28"/>
                <w:szCs w:val="28"/>
              </w:rPr>
            </w:pPr>
          </w:p>
        </w:tc>
        <w:tc>
          <w:tcPr>
            <w:tcW w:w="720"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2EBB2FA" w14:textId="77777777" w:rsidR="00BD776B" w:rsidRDefault="00DF0C24">
            <w:pPr>
              <w:snapToGrid w:val="0"/>
              <w:spacing w:line="380" w:lineRule="exact"/>
            </w:pPr>
            <w:r>
              <w:rPr>
                <w:rFonts w:ascii="標楷體" w:eastAsia="標楷體" w:hAnsi="標楷體" w:cs="標楷體"/>
                <w:color w:val="000000"/>
                <w:sz w:val="28"/>
                <w:szCs w:val="28"/>
              </w:rPr>
              <w:t>年齡</w:t>
            </w:r>
          </w:p>
        </w:tc>
        <w:tc>
          <w:tcPr>
            <w:tcW w:w="9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073E0321" w14:textId="77777777" w:rsidR="00BD776B" w:rsidRDefault="00BD776B">
            <w:pPr>
              <w:snapToGrid w:val="0"/>
              <w:spacing w:line="380" w:lineRule="exact"/>
              <w:rPr>
                <w:rFonts w:ascii="標楷體" w:eastAsia="標楷體" w:hAnsi="標楷體"/>
                <w:color w:val="000000"/>
                <w:sz w:val="28"/>
                <w:szCs w:val="28"/>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10AC873" w14:textId="77777777" w:rsidR="00BD776B" w:rsidRDefault="00DF0C24">
            <w:pPr>
              <w:snapToGrid w:val="0"/>
              <w:spacing w:line="380" w:lineRule="exact"/>
            </w:pPr>
            <w:r>
              <w:rPr>
                <w:rFonts w:ascii="標楷體" w:eastAsia="標楷體" w:hAnsi="標楷體" w:cs="標楷體"/>
                <w:color w:val="000000"/>
                <w:sz w:val="28"/>
                <w:szCs w:val="28"/>
              </w:rPr>
              <w:t>出生日期</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5B8DE36" w14:textId="77777777" w:rsidR="00BD776B" w:rsidRDefault="00BD776B">
            <w:pPr>
              <w:snapToGrid w:val="0"/>
              <w:spacing w:line="380" w:lineRule="exact"/>
              <w:rPr>
                <w:rFonts w:ascii="標楷體" w:eastAsia="標楷體" w:hAnsi="標楷體"/>
                <w:color w:val="000000"/>
                <w:sz w:val="28"/>
                <w:szCs w:val="28"/>
              </w:rPr>
            </w:pPr>
          </w:p>
        </w:tc>
      </w:tr>
      <w:tr w:rsidR="00BD776B" w14:paraId="1F659296"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86CC21B" w14:textId="77777777" w:rsidR="00BD776B" w:rsidRDefault="00DF0C24">
            <w:pPr>
              <w:snapToGrid w:val="0"/>
              <w:spacing w:line="380" w:lineRule="exact"/>
            </w:pPr>
            <w:r>
              <w:rPr>
                <w:rFonts w:ascii="標楷體" w:eastAsia="標楷體" w:hAnsi="標楷體" w:cs="標楷體"/>
                <w:color w:val="000000"/>
                <w:sz w:val="28"/>
                <w:szCs w:val="28"/>
              </w:rPr>
              <w:t>身份證號</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2F5F7BAC" w14:textId="77777777" w:rsidR="00BD776B" w:rsidRDefault="00BD776B">
            <w:pPr>
              <w:snapToGrid w:val="0"/>
              <w:spacing w:line="380" w:lineRule="exact"/>
              <w:rPr>
                <w:rFonts w:ascii="標楷體" w:eastAsia="標楷體" w:hAnsi="標楷體"/>
                <w:color w:val="000000"/>
                <w:sz w:val="28"/>
                <w:szCs w:val="28"/>
              </w:rPr>
            </w:pPr>
          </w:p>
        </w:tc>
        <w:tc>
          <w:tcPr>
            <w:tcW w:w="1260"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D18449B" w14:textId="77777777" w:rsidR="00BD776B" w:rsidRDefault="00DF0C24">
            <w:pPr>
              <w:snapToGrid w:val="0"/>
              <w:spacing w:line="380" w:lineRule="exact"/>
            </w:pPr>
            <w:r>
              <w:rPr>
                <w:rFonts w:ascii="標楷體" w:eastAsia="標楷體" w:hAnsi="標楷體" w:cs="標楷體"/>
                <w:color w:val="000000"/>
                <w:sz w:val="28"/>
                <w:szCs w:val="28"/>
              </w:rPr>
              <w:t>病歷號碼</w:t>
            </w:r>
          </w:p>
        </w:tc>
        <w:tc>
          <w:tcPr>
            <w:tcW w:w="162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270CE752" w14:textId="77777777" w:rsidR="00BD776B" w:rsidRDefault="00BD776B">
            <w:pPr>
              <w:snapToGrid w:val="0"/>
              <w:spacing w:line="380" w:lineRule="exact"/>
              <w:rPr>
                <w:rFonts w:ascii="標楷體" w:eastAsia="標楷體" w:hAnsi="標楷體"/>
                <w:color w:val="000000"/>
                <w:sz w:val="28"/>
                <w:szCs w:val="28"/>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512F5C1" w14:textId="77777777" w:rsidR="00BD776B" w:rsidRDefault="00DF0C24">
            <w:pPr>
              <w:snapToGrid w:val="0"/>
              <w:spacing w:line="380" w:lineRule="exact"/>
            </w:pPr>
            <w:r>
              <w:rPr>
                <w:rFonts w:ascii="標楷體" w:eastAsia="標楷體" w:hAnsi="標楷體" w:cs="標楷體"/>
                <w:color w:val="000000"/>
                <w:sz w:val="28"/>
                <w:szCs w:val="28"/>
              </w:rPr>
              <w:t>體重</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36AB319" w14:textId="77777777" w:rsidR="00BD776B" w:rsidRDefault="00BD776B">
            <w:pPr>
              <w:snapToGrid w:val="0"/>
              <w:spacing w:line="380" w:lineRule="exact"/>
              <w:rPr>
                <w:rFonts w:ascii="標楷體" w:eastAsia="標楷體" w:hAnsi="標楷體"/>
                <w:color w:val="000000"/>
                <w:sz w:val="28"/>
                <w:szCs w:val="28"/>
              </w:rPr>
            </w:pPr>
          </w:p>
        </w:tc>
      </w:tr>
      <w:tr w:rsidR="00BD776B" w14:paraId="49004D58" w14:textId="77777777">
        <w:trPr>
          <w:cantSplit/>
        </w:trPr>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6B5496E" w14:textId="77777777" w:rsidR="00BD776B" w:rsidRDefault="00DF0C24">
            <w:pPr>
              <w:snapToGrid w:val="0"/>
              <w:spacing w:line="380" w:lineRule="exact"/>
            </w:pPr>
            <w:r>
              <w:rPr>
                <w:rFonts w:ascii="標楷體" w:eastAsia="標楷體" w:hAnsi="標楷體" w:cs="標楷體"/>
                <w:color w:val="000000"/>
                <w:sz w:val="28"/>
                <w:szCs w:val="28"/>
              </w:rPr>
              <w:t>藥品名稱</w:t>
            </w:r>
          </w:p>
        </w:tc>
        <w:tc>
          <w:tcPr>
            <w:tcW w:w="169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43CEB8A2" w14:textId="77777777" w:rsidR="00BD776B" w:rsidRDefault="00BD776B">
            <w:pPr>
              <w:snapToGrid w:val="0"/>
              <w:spacing w:line="380" w:lineRule="exact"/>
              <w:rPr>
                <w:rFonts w:ascii="標楷體" w:eastAsia="標楷體" w:hAnsi="標楷體"/>
                <w:color w:val="000000"/>
                <w:sz w:val="28"/>
                <w:szCs w:val="28"/>
              </w:rPr>
            </w:pPr>
          </w:p>
        </w:tc>
        <w:tc>
          <w:tcPr>
            <w:tcW w:w="1260"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C8DF71D" w14:textId="77777777" w:rsidR="00BD776B" w:rsidRDefault="00DF0C24">
            <w:pPr>
              <w:snapToGrid w:val="0"/>
              <w:spacing w:line="380" w:lineRule="exact"/>
            </w:pPr>
            <w:r>
              <w:rPr>
                <w:rFonts w:ascii="標楷體" w:eastAsia="標楷體" w:hAnsi="標楷體" w:cs="標楷體"/>
                <w:color w:val="000000"/>
                <w:sz w:val="28"/>
                <w:szCs w:val="28"/>
              </w:rPr>
              <w:t>藥品代碼</w:t>
            </w:r>
          </w:p>
        </w:tc>
        <w:tc>
          <w:tcPr>
            <w:tcW w:w="162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14:paraId="1D4E12B1" w14:textId="77777777" w:rsidR="00BD776B" w:rsidRDefault="00BD776B">
            <w:pPr>
              <w:snapToGrid w:val="0"/>
              <w:spacing w:line="380" w:lineRule="exact"/>
              <w:rPr>
                <w:rFonts w:ascii="標楷體" w:eastAsia="標楷體" w:hAnsi="標楷體"/>
                <w:color w:val="000000"/>
                <w:sz w:val="28"/>
                <w:szCs w:val="28"/>
              </w:rPr>
            </w:pPr>
          </w:p>
        </w:tc>
        <w:tc>
          <w:tcPr>
            <w:tcW w:w="1393"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72FCD37" w14:textId="77777777" w:rsidR="00BD776B" w:rsidRDefault="00DF0C24">
            <w:pPr>
              <w:snapToGrid w:val="0"/>
              <w:spacing w:line="380" w:lineRule="exact"/>
            </w:pPr>
            <w:r>
              <w:rPr>
                <w:rFonts w:ascii="標楷體" w:eastAsia="標楷體" w:hAnsi="標楷體" w:cs="標楷體"/>
                <w:color w:val="000000"/>
                <w:sz w:val="28"/>
                <w:szCs w:val="28"/>
              </w:rPr>
              <w:t>申請數量</w:t>
            </w:r>
          </w:p>
        </w:tc>
        <w:tc>
          <w:tcPr>
            <w:tcW w:w="1667"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FE0AAAB" w14:textId="77777777" w:rsidR="00BD776B" w:rsidRDefault="00BD776B">
            <w:pPr>
              <w:snapToGrid w:val="0"/>
              <w:spacing w:line="380" w:lineRule="exact"/>
              <w:rPr>
                <w:rFonts w:ascii="標楷體" w:eastAsia="標楷體" w:hAnsi="標楷體"/>
                <w:color w:val="000000"/>
                <w:sz w:val="28"/>
                <w:szCs w:val="28"/>
              </w:rPr>
            </w:pPr>
          </w:p>
        </w:tc>
      </w:tr>
      <w:tr w:rsidR="00BD776B" w14:paraId="727CC20A" w14:textId="77777777">
        <w:trPr>
          <w:cantSplit/>
        </w:trPr>
        <w:tc>
          <w:tcPr>
            <w:tcW w:w="1393" w:type="dxa"/>
            <w:tcBorders>
              <w:top w:val="single" w:sz="6" w:space="0" w:color="000000"/>
              <w:left w:val="double" w:sz="6" w:space="0" w:color="000000"/>
              <w:bottom w:val="double" w:sz="6" w:space="0" w:color="000000"/>
            </w:tcBorders>
            <w:shd w:val="clear" w:color="auto" w:fill="auto"/>
            <w:tcMar>
              <w:top w:w="0" w:type="dxa"/>
              <w:left w:w="28" w:type="dxa"/>
              <w:bottom w:w="0" w:type="dxa"/>
              <w:right w:w="28" w:type="dxa"/>
            </w:tcMar>
          </w:tcPr>
          <w:p w14:paraId="2BA40009" w14:textId="77777777" w:rsidR="00BD776B" w:rsidRDefault="00DF0C24">
            <w:pPr>
              <w:snapToGrid w:val="0"/>
              <w:spacing w:line="380" w:lineRule="exact"/>
            </w:pPr>
            <w:r>
              <w:rPr>
                <w:rFonts w:ascii="標楷體" w:eastAsia="標楷體" w:hAnsi="標楷體"/>
                <w:color w:val="000000"/>
                <w:sz w:val="28"/>
                <w:szCs w:val="28"/>
              </w:rPr>
              <w:t>使用期間</w:t>
            </w:r>
          </w:p>
        </w:tc>
        <w:tc>
          <w:tcPr>
            <w:tcW w:w="4575" w:type="dxa"/>
            <w:gridSpan w:val="5"/>
            <w:tcBorders>
              <w:top w:val="single" w:sz="6" w:space="0" w:color="000000"/>
              <w:left w:val="single" w:sz="6" w:space="0" w:color="000000"/>
              <w:bottom w:val="double" w:sz="6" w:space="0" w:color="000000"/>
            </w:tcBorders>
            <w:shd w:val="clear" w:color="auto" w:fill="auto"/>
            <w:tcMar>
              <w:top w:w="0" w:type="dxa"/>
              <w:left w:w="28" w:type="dxa"/>
              <w:bottom w:w="0" w:type="dxa"/>
              <w:right w:w="28" w:type="dxa"/>
            </w:tcMar>
          </w:tcPr>
          <w:p w14:paraId="4DA235A8" w14:textId="77777777" w:rsidR="00BD776B" w:rsidRDefault="00DF0C24">
            <w:pPr>
              <w:snapToGrid w:val="0"/>
              <w:spacing w:line="380" w:lineRule="exact"/>
            </w:pPr>
            <w:r>
              <w:rPr>
                <w:rFonts w:ascii="標楷體" w:eastAsia="標楷體" w:hAnsi="標楷體"/>
                <w:color w:val="000000"/>
                <w:sz w:val="28"/>
                <w:szCs w:val="28"/>
              </w:rPr>
              <w:t>自　年　月　日　至　年　月　日</w:t>
            </w:r>
          </w:p>
        </w:tc>
        <w:tc>
          <w:tcPr>
            <w:tcW w:w="1393"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62F14672" w14:textId="77777777" w:rsidR="00BD776B" w:rsidRDefault="00DF0C24">
            <w:pPr>
              <w:snapToGrid w:val="0"/>
              <w:spacing w:line="380" w:lineRule="exact"/>
            </w:pPr>
            <w:r>
              <w:rPr>
                <w:rFonts w:ascii="標楷體" w:eastAsia="標楷體" w:hAnsi="標楷體"/>
                <w:color w:val="000000"/>
                <w:sz w:val="28"/>
                <w:szCs w:val="28"/>
              </w:rPr>
              <w:t>用法用量</w:t>
            </w:r>
          </w:p>
        </w:tc>
        <w:tc>
          <w:tcPr>
            <w:tcW w:w="1667"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5D286A24" w14:textId="77777777" w:rsidR="00BD776B" w:rsidRDefault="00BD776B">
            <w:pPr>
              <w:snapToGrid w:val="0"/>
              <w:spacing w:line="380" w:lineRule="exact"/>
              <w:rPr>
                <w:rFonts w:ascii="標楷體" w:eastAsia="標楷體" w:hAnsi="標楷體"/>
                <w:color w:val="000000"/>
                <w:sz w:val="28"/>
                <w:szCs w:val="28"/>
              </w:rPr>
            </w:pPr>
          </w:p>
        </w:tc>
      </w:tr>
    </w:tbl>
    <w:p w14:paraId="372CE71B" w14:textId="77777777" w:rsidR="00BD776B" w:rsidRDefault="00DF0C24" w:rsidP="008A7063">
      <w:pPr>
        <w:numPr>
          <w:ilvl w:val="0"/>
          <w:numId w:val="45"/>
        </w:numPr>
        <w:snapToGrid w:val="0"/>
        <w:spacing w:line="380" w:lineRule="exact"/>
      </w:pPr>
      <w:r>
        <w:rPr>
          <w:rFonts w:ascii="標楷體" w:eastAsia="標楷體" w:hAnsi="標楷體"/>
          <w:color w:val="000000"/>
          <w:sz w:val="26"/>
          <w:szCs w:val="26"/>
        </w:rPr>
        <w:t>臨床症狀</w:t>
      </w:r>
    </w:p>
    <w:p w14:paraId="50AAB8D2" w14:textId="77777777" w:rsidR="00BD776B" w:rsidRDefault="00DF0C24">
      <w:pPr>
        <w:snapToGrid w:val="0"/>
        <w:spacing w:line="380" w:lineRule="exact"/>
      </w:pPr>
      <w:r>
        <w:rPr>
          <w:rFonts w:ascii="標楷體" w:eastAsia="標楷體" w:hAnsi="標楷體"/>
          <w:color w:val="000000"/>
          <w:sz w:val="26"/>
          <w:szCs w:val="26"/>
        </w:rPr>
        <w:t xml:space="preserve">　</w:t>
      </w:r>
      <w:r>
        <w:rPr>
          <w:rFonts w:ascii="標楷體" w:eastAsia="標楷體" w:hAnsi="標楷體" w:cs="標楷體"/>
          <w:color w:val="000000"/>
          <w:sz w:val="26"/>
          <w:szCs w:val="26"/>
        </w:rPr>
        <w:t>□</w:t>
      </w:r>
      <w:r>
        <w:rPr>
          <w:rFonts w:ascii="標楷體" w:eastAsia="標楷體" w:hAnsi="標楷體"/>
          <w:color w:val="000000"/>
          <w:sz w:val="26"/>
          <w:szCs w:val="26"/>
        </w:rPr>
        <w:t>發燒五天或五天以上</w:t>
      </w:r>
    </w:p>
    <w:p w14:paraId="40812B1A" w14:textId="77777777" w:rsidR="00BD776B" w:rsidRDefault="00DF0C24">
      <w:pPr>
        <w:snapToGrid w:val="0"/>
        <w:spacing w:line="380" w:lineRule="exact"/>
      </w:pPr>
      <w:r>
        <w:rPr>
          <w:rFonts w:ascii="標楷體" w:eastAsia="標楷體" w:hAnsi="標楷體" w:cs="標楷體"/>
          <w:color w:val="000000"/>
          <w:sz w:val="26"/>
          <w:szCs w:val="26"/>
        </w:rPr>
        <w:t>且合併下列五項臨床症狀中至少四項：</w:t>
      </w:r>
    </w:p>
    <w:p w14:paraId="365F63FB" w14:textId="77777777" w:rsidR="00BD776B" w:rsidRDefault="00DF0C24">
      <w:pPr>
        <w:snapToGrid w:val="0"/>
        <w:spacing w:line="380" w:lineRule="exact"/>
      </w:pPr>
      <w:r>
        <w:rPr>
          <w:rFonts w:ascii="標楷體" w:eastAsia="標楷體" w:hAnsi="標楷體" w:cs="標楷體"/>
          <w:color w:val="000000"/>
          <w:sz w:val="26"/>
          <w:szCs w:val="26"/>
        </w:rPr>
        <w:t xml:space="preserve">　□肢端病變：急性期手掌足底變紅、腫</w:t>
      </w:r>
    </w:p>
    <w:p w14:paraId="048B5E5E" w14:textId="77777777" w:rsidR="00BD776B" w:rsidRDefault="00DF0C24">
      <w:pPr>
        <w:snapToGrid w:val="0"/>
        <w:spacing w:line="380" w:lineRule="exact"/>
      </w:pPr>
      <w:r>
        <w:rPr>
          <w:rFonts w:ascii="標楷體" w:eastAsia="標楷體" w:hAnsi="標楷體" w:cs="標楷體"/>
          <w:color w:val="000000"/>
          <w:sz w:val="26"/>
          <w:szCs w:val="26"/>
        </w:rPr>
        <w:t xml:space="preserve">　　　　　　　恢復期從指（趾）尖開始脫皮</w:t>
      </w:r>
    </w:p>
    <w:p w14:paraId="71AFE8E1" w14:textId="77777777" w:rsidR="00BD776B" w:rsidRDefault="00DF0C24">
      <w:pPr>
        <w:snapToGrid w:val="0"/>
        <w:spacing w:line="380" w:lineRule="exact"/>
      </w:pPr>
      <w:r>
        <w:rPr>
          <w:rFonts w:ascii="標楷體" w:eastAsia="標楷體" w:hAnsi="標楷體" w:cs="標楷體"/>
          <w:color w:val="000000"/>
          <w:sz w:val="26"/>
          <w:szCs w:val="26"/>
        </w:rPr>
        <w:t xml:space="preserve">　□多行性皮疹</w:t>
      </w:r>
    </w:p>
    <w:p w14:paraId="0485EA71" w14:textId="77777777" w:rsidR="00BD776B" w:rsidRDefault="00DF0C24">
      <w:pPr>
        <w:snapToGrid w:val="0"/>
        <w:spacing w:line="380" w:lineRule="exact"/>
      </w:pPr>
      <w:r>
        <w:rPr>
          <w:rFonts w:ascii="標楷體" w:eastAsia="標楷體" w:hAnsi="標楷體" w:cs="標楷體"/>
          <w:color w:val="000000"/>
          <w:sz w:val="26"/>
          <w:szCs w:val="26"/>
        </w:rPr>
        <w:t xml:space="preserve">　□兩眼眼球結膜充血</w:t>
      </w:r>
      <w:r>
        <w:rPr>
          <w:rFonts w:ascii="標楷體" w:eastAsia="標楷體" w:hAnsi="標楷體"/>
          <w:color w:val="000000"/>
          <w:sz w:val="26"/>
          <w:szCs w:val="26"/>
        </w:rPr>
        <w:t>(bulbarconjunctiva)</w:t>
      </w:r>
    </w:p>
    <w:p w14:paraId="207F9757" w14:textId="77777777" w:rsidR="00BD776B" w:rsidRDefault="00DF0C24">
      <w:pPr>
        <w:snapToGrid w:val="0"/>
        <w:spacing w:line="380" w:lineRule="exact"/>
      </w:pPr>
      <w:r>
        <w:rPr>
          <w:rFonts w:ascii="標楷體" w:eastAsia="標楷體" w:hAnsi="標楷體" w:cs="標楷體"/>
          <w:color w:val="000000"/>
          <w:sz w:val="26"/>
          <w:szCs w:val="26"/>
        </w:rPr>
        <w:t xml:space="preserve">　□嘴唇及口腔的變化：紅唇、乾裂或草莓舌或咽喉泛紅</w:t>
      </w:r>
    </w:p>
    <w:p w14:paraId="59DDB77A" w14:textId="77777777" w:rsidR="00BD776B" w:rsidRDefault="00DF0C24">
      <w:pPr>
        <w:snapToGrid w:val="0"/>
        <w:spacing w:line="380" w:lineRule="exact"/>
      </w:pPr>
      <w:r>
        <w:rPr>
          <w:rFonts w:ascii="標楷體" w:eastAsia="標楷體" w:hAnsi="標楷體" w:cs="標楷體"/>
          <w:color w:val="000000"/>
          <w:sz w:val="26"/>
          <w:szCs w:val="26"/>
        </w:rPr>
        <w:t xml:space="preserve">　□頸部淋巴腺腫</w:t>
      </w:r>
    </w:p>
    <w:p w14:paraId="29D4991D" w14:textId="77777777" w:rsidR="00BD776B" w:rsidRDefault="00DF0C24">
      <w:pPr>
        <w:snapToGrid w:val="0"/>
        <w:spacing w:line="380" w:lineRule="exact"/>
      </w:pPr>
      <w:r>
        <w:rPr>
          <w:rFonts w:ascii="標楷體" w:eastAsia="標楷體" w:hAnsi="標楷體"/>
          <w:color w:val="000000"/>
          <w:sz w:val="26"/>
          <w:szCs w:val="26"/>
        </w:rPr>
        <w:t>B.</w:t>
      </w:r>
      <w:r>
        <w:rPr>
          <w:rFonts w:ascii="標楷體" w:eastAsia="標楷體" w:hAnsi="標楷體" w:cs="標楷體"/>
          <w:color w:val="000000"/>
          <w:sz w:val="26"/>
          <w:szCs w:val="26"/>
        </w:rPr>
        <w:t xml:space="preserve">實驗檢查數值　　　　　　　</w:t>
      </w:r>
    </w:p>
    <w:p w14:paraId="5C02C68C" w14:textId="77777777" w:rsidR="00BD776B" w:rsidRDefault="00DF0C24">
      <w:pPr>
        <w:tabs>
          <w:tab w:val="left" w:pos="4680"/>
        </w:tabs>
        <w:snapToGrid w:val="0"/>
        <w:spacing w:line="380" w:lineRule="exact"/>
      </w:pPr>
      <w:r>
        <w:rPr>
          <w:rFonts w:ascii="標楷體" w:eastAsia="標楷體" w:hAnsi="標楷體" w:cs="標楷體"/>
          <w:color w:val="000000"/>
          <w:sz w:val="26"/>
          <w:szCs w:val="26"/>
        </w:rPr>
        <w:t xml:space="preserve">　紅血球沉降速率</w:t>
      </w:r>
      <w:r>
        <w:rPr>
          <w:rFonts w:ascii="標楷體" w:eastAsia="標楷體" w:hAnsi="標楷體"/>
          <w:color w:val="000000"/>
          <w:sz w:val="26"/>
          <w:szCs w:val="26"/>
        </w:rPr>
        <w:t>(ESR)</w:t>
      </w:r>
      <w:r>
        <w:rPr>
          <w:rFonts w:ascii="標楷體" w:eastAsia="標楷體" w:hAnsi="標楷體" w:cs="標楷體"/>
          <w:color w:val="000000"/>
          <w:sz w:val="26"/>
          <w:szCs w:val="26"/>
          <w:u w:val="single"/>
        </w:rPr>
        <w:t xml:space="preserve">　　　　　</w:t>
      </w:r>
      <w:r>
        <w:rPr>
          <w:rFonts w:ascii="標楷體" w:eastAsia="標楷體" w:hAnsi="標楷體" w:cs="標楷體"/>
          <w:color w:val="000000"/>
          <w:sz w:val="26"/>
          <w:szCs w:val="26"/>
        </w:rPr>
        <w:t xml:space="preserve">　</w:t>
      </w:r>
      <w:r>
        <w:rPr>
          <w:rFonts w:ascii="標楷體" w:eastAsia="標楷體" w:hAnsi="標楷體"/>
          <w:color w:val="000000"/>
          <w:sz w:val="26"/>
          <w:szCs w:val="26"/>
        </w:rPr>
        <w:t>C-</w:t>
      </w:r>
      <w:r>
        <w:rPr>
          <w:rFonts w:ascii="標楷體" w:eastAsia="標楷體" w:hAnsi="標楷體" w:cs="標楷體"/>
          <w:color w:val="000000"/>
          <w:sz w:val="26"/>
          <w:szCs w:val="26"/>
        </w:rPr>
        <w:t>反應蛋白</w:t>
      </w:r>
      <w:r>
        <w:rPr>
          <w:rFonts w:ascii="標楷體" w:eastAsia="標楷體" w:hAnsi="標楷體" w:cs="標楷體"/>
          <w:color w:val="000000"/>
          <w:sz w:val="26"/>
          <w:szCs w:val="26"/>
          <w:u w:val="single"/>
        </w:rPr>
        <w:t xml:space="preserve">　　　　　　　　</w:t>
      </w:r>
    </w:p>
    <w:p w14:paraId="7187E0F7" w14:textId="77777777" w:rsidR="00BD776B" w:rsidRDefault="00DF0C24">
      <w:pPr>
        <w:snapToGrid w:val="0"/>
        <w:spacing w:line="380" w:lineRule="exact"/>
      </w:pPr>
      <w:r>
        <w:rPr>
          <w:rFonts w:ascii="標楷體" w:eastAsia="標楷體" w:hAnsi="標楷體" w:cs="標楷體"/>
          <w:color w:val="000000"/>
          <w:sz w:val="26"/>
          <w:szCs w:val="26"/>
        </w:rPr>
        <w:t xml:space="preserve">　血色素(血比容)</w:t>
      </w:r>
      <w:r>
        <w:rPr>
          <w:rFonts w:ascii="標楷體" w:eastAsia="標楷體" w:hAnsi="標楷體" w:cs="標楷體"/>
          <w:color w:val="000000"/>
          <w:sz w:val="26"/>
          <w:szCs w:val="26"/>
          <w:u w:val="single"/>
        </w:rPr>
        <w:t xml:space="preserve">　　　　　　　　　</w:t>
      </w:r>
      <w:r>
        <w:rPr>
          <w:rFonts w:ascii="標楷體" w:eastAsia="標楷體" w:hAnsi="標楷體" w:cs="標楷體"/>
          <w:color w:val="000000"/>
          <w:sz w:val="26"/>
          <w:szCs w:val="26"/>
        </w:rPr>
        <w:t xml:space="preserve">　血小板</w:t>
      </w:r>
      <w:r>
        <w:rPr>
          <w:rFonts w:ascii="標楷體" w:eastAsia="標楷體" w:hAnsi="標楷體" w:cs="標楷體"/>
          <w:color w:val="000000"/>
          <w:sz w:val="26"/>
          <w:szCs w:val="26"/>
          <w:u w:val="single"/>
        </w:rPr>
        <w:t xml:space="preserve">　　　　　　　　　　</w:t>
      </w:r>
    </w:p>
    <w:p w14:paraId="04CE6A75" w14:textId="77777777" w:rsidR="00BD776B" w:rsidRDefault="00DF0C24">
      <w:pPr>
        <w:snapToGrid w:val="0"/>
        <w:spacing w:line="380" w:lineRule="exact"/>
      </w:pPr>
      <w:r>
        <w:rPr>
          <w:rFonts w:ascii="標楷體" w:eastAsia="標楷體" w:hAnsi="標楷體"/>
          <w:color w:val="000000"/>
          <w:sz w:val="26"/>
          <w:szCs w:val="26"/>
        </w:rPr>
        <w:t>C.</w:t>
      </w:r>
      <w:r>
        <w:rPr>
          <w:rFonts w:ascii="標楷體" w:eastAsia="標楷體" w:hAnsi="標楷體" w:cs="標楷體"/>
          <w:color w:val="000000"/>
          <w:sz w:val="26"/>
          <w:szCs w:val="26"/>
        </w:rPr>
        <w:t>□只符合三項臨床症狀，但心臟超音波有冠狀動脈病變</w:t>
      </w:r>
    </w:p>
    <w:p w14:paraId="7DD6AE64" w14:textId="77777777" w:rsidR="00BD776B" w:rsidRDefault="00DF0C24" w:rsidP="008A7063">
      <w:pPr>
        <w:numPr>
          <w:ilvl w:val="0"/>
          <w:numId w:val="46"/>
        </w:numPr>
        <w:snapToGrid w:val="0"/>
        <w:spacing w:line="380" w:lineRule="exact"/>
      </w:pPr>
      <w:r>
        <w:rPr>
          <w:rFonts w:ascii="標楷體" w:eastAsia="標楷體" w:hAnsi="標楷體" w:cs="標楷體"/>
          <w:color w:val="000000"/>
          <w:sz w:val="28"/>
          <w:szCs w:val="28"/>
        </w:rPr>
        <w:t>請注意是否有下列疾病再使用</w:t>
      </w:r>
    </w:p>
    <w:tbl>
      <w:tblPr>
        <w:tblW w:w="8288" w:type="dxa"/>
        <w:tblInd w:w="388" w:type="dxa"/>
        <w:tblLayout w:type="fixed"/>
        <w:tblCellMar>
          <w:left w:w="10" w:type="dxa"/>
          <w:right w:w="10" w:type="dxa"/>
        </w:tblCellMar>
        <w:tblLook w:val="0000" w:firstRow="0" w:lastRow="0" w:firstColumn="0" w:lastColumn="0" w:noHBand="0" w:noVBand="0"/>
      </w:tblPr>
      <w:tblGrid>
        <w:gridCol w:w="454"/>
        <w:gridCol w:w="454"/>
        <w:gridCol w:w="7380"/>
      </w:tblGrid>
      <w:tr w:rsidR="00BD776B" w14:paraId="01D33CA6" w14:textId="77777777">
        <w:tc>
          <w:tcPr>
            <w:tcW w:w="454"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FED32C2" w14:textId="77777777" w:rsidR="00BD776B" w:rsidRDefault="00DF0C24">
            <w:pPr>
              <w:snapToGrid w:val="0"/>
              <w:spacing w:line="380" w:lineRule="exact"/>
            </w:pPr>
            <w:r>
              <w:rPr>
                <w:rFonts w:ascii="標楷體" w:eastAsia="標楷體" w:hAnsi="標楷體"/>
                <w:color w:val="000000"/>
              </w:rPr>
              <w:t>有</w:t>
            </w:r>
          </w:p>
        </w:tc>
        <w:tc>
          <w:tcPr>
            <w:tcW w:w="454"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C0FCD7" w14:textId="77777777" w:rsidR="00BD776B" w:rsidRDefault="00DF0C24">
            <w:pPr>
              <w:snapToGrid w:val="0"/>
              <w:spacing w:line="380" w:lineRule="exact"/>
            </w:pPr>
            <w:r>
              <w:rPr>
                <w:rFonts w:ascii="標楷體" w:eastAsia="標楷體" w:hAnsi="標楷體"/>
                <w:color w:val="000000"/>
              </w:rPr>
              <w:t>無</w:t>
            </w:r>
          </w:p>
        </w:tc>
        <w:tc>
          <w:tcPr>
            <w:tcW w:w="7380"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BB09F12" w14:textId="77777777" w:rsidR="00BD776B" w:rsidRDefault="00DF0C24">
            <w:pPr>
              <w:snapToGrid w:val="0"/>
              <w:spacing w:line="380" w:lineRule="exact"/>
            </w:pPr>
            <w:r>
              <w:rPr>
                <w:rFonts w:ascii="標楷體" w:eastAsia="標楷體" w:hAnsi="標楷體"/>
                <w:color w:val="000000"/>
              </w:rPr>
              <w:t>疾　病　或　症　狀</w:t>
            </w:r>
          </w:p>
        </w:tc>
      </w:tr>
      <w:tr w:rsidR="00BD776B" w14:paraId="61C849EF" w14:textId="77777777">
        <w:tc>
          <w:tcPr>
            <w:tcW w:w="454" w:type="dxa"/>
            <w:tcBorders>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FCA6E3E" w14:textId="77777777" w:rsidR="00BD776B" w:rsidRDefault="00BD776B">
            <w:pPr>
              <w:snapToGrid w:val="0"/>
              <w:spacing w:line="380" w:lineRule="exact"/>
              <w:rPr>
                <w:rFonts w:ascii="標楷體" w:eastAsia="標楷體" w:hAnsi="標楷體"/>
                <w:color w:val="000000"/>
              </w:rPr>
            </w:pPr>
          </w:p>
        </w:tc>
        <w:tc>
          <w:tcPr>
            <w:tcW w:w="454"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F4145F" w14:textId="77777777" w:rsidR="00BD776B" w:rsidRDefault="00BD776B">
            <w:pPr>
              <w:snapToGrid w:val="0"/>
              <w:spacing w:line="380" w:lineRule="exact"/>
              <w:rPr>
                <w:rFonts w:ascii="標楷體" w:eastAsia="標楷體" w:hAnsi="標楷體"/>
                <w:color w:val="000000"/>
              </w:rPr>
            </w:pPr>
          </w:p>
        </w:tc>
        <w:tc>
          <w:tcPr>
            <w:tcW w:w="7380" w:type="dxa"/>
            <w:tcBorders>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5BE54CF" w14:textId="77777777" w:rsidR="00BD776B" w:rsidRDefault="00DF0C24">
            <w:pPr>
              <w:snapToGrid w:val="0"/>
              <w:spacing w:line="380" w:lineRule="exact"/>
            </w:pPr>
            <w:r>
              <w:rPr>
                <w:rFonts w:ascii="標楷體" w:eastAsia="標楷體" w:hAnsi="標楷體"/>
                <w:color w:val="000000"/>
                <w:sz w:val="26"/>
                <w:szCs w:val="26"/>
              </w:rPr>
              <w:t>StreptococcalInf.(如scarletfever)</w:t>
            </w:r>
          </w:p>
        </w:tc>
      </w:tr>
      <w:tr w:rsidR="00BD776B" w14:paraId="3E8C5B40" w14:textId="77777777">
        <w:tc>
          <w:tcPr>
            <w:tcW w:w="454"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BC953A1" w14:textId="77777777" w:rsidR="00BD776B" w:rsidRDefault="00BD776B">
            <w:pPr>
              <w:snapToGrid w:val="0"/>
              <w:spacing w:line="380" w:lineRule="exact"/>
              <w:rPr>
                <w:rFonts w:ascii="標楷體" w:eastAsia="標楷體" w:hAnsi="標楷體"/>
                <w:color w:val="000000"/>
              </w:rPr>
            </w:pPr>
          </w:p>
        </w:tc>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9A205A" w14:textId="77777777" w:rsidR="00BD776B" w:rsidRDefault="00BD776B">
            <w:pPr>
              <w:snapToGrid w:val="0"/>
              <w:spacing w:line="380" w:lineRule="exact"/>
              <w:rPr>
                <w:rFonts w:ascii="標楷體" w:eastAsia="標楷體" w:hAnsi="標楷體"/>
                <w:color w:val="000000"/>
              </w:rPr>
            </w:pPr>
          </w:p>
        </w:tc>
        <w:tc>
          <w:tcPr>
            <w:tcW w:w="7380"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4D806DF" w14:textId="77777777" w:rsidR="00BD776B" w:rsidRDefault="00DF0C24">
            <w:pPr>
              <w:snapToGrid w:val="0"/>
              <w:spacing w:line="380" w:lineRule="exact"/>
            </w:pPr>
            <w:r>
              <w:rPr>
                <w:rFonts w:ascii="標楷體" w:eastAsia="標楷體" w:hAnsi="標楷體"/>
                <w:color w:val="000000"/>
                <w:sz w:val="26"/>
                <w:szCs w:val="26"/>
              </w:rPr>
              <w:t>Viral&amp;rickettsialexanthems</w:t>
            </w:r>
          </w:p>
        </w:tc>
      </w:tr>
      <w:tr w:rsidR="00BD776B" w14:paraId="438AC771" w14:textId="77777777">
        <w:tc>
          <w:tcPr>
            <w:tcW w:w="454"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9956F9B" w14:textId="77777777" w:rsidR="00BD776B" w:rsidRDefault="00BD776B">
            <w:pPr>
              <w:snapToGrid w:val="0"/>
              <w:spacing w:line="380" w:lineRule="exact"/>
              <w:rPr>
                <w:rFonts w:ascii="標楷體" w:eastAsia="標楷體" w:hAnsi="標楷體"/>
                <w:color w:val="000000"/>
              </w:rPr>
            </w:pPr>
          </w:p>
        </w:tc>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4E7607A" w14:textId="77777777" w:rsidR="00BD776B" w:rsidRDefault="00BD776B">
            <w:pPr>
              <w:snapToGrid w:val="0"/>
              <w:spacing w:line="380" w:lineRule="exact"/>
              <w:rPr>
                <w:rFonts w:ascii="標楷體" w:eastAsia="標楷體" w:hAnsi="標楷體"/>
                <w:color w:val="000000"/>
              </w:rPr>
            </w:pPr>
          </w:p>
        </w:tc>
        <w:tc>
          <w:tcPr>
            <w:tcW w:w="7380"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B6D19FD" w14:textId="77777777" w:rsidR="00BD776B" w:rsidRDefault="00DF0C24">
            <w:pPr>
              <w:snapToGrid w:val="0"/>
              <w:spacing w:line="380" w:lineRule="exact"/>
            </w:pPr>
            <w:r>
              <w:rPr>
                <w:rFonts w:ascii="標楷體" w:eastAsia="標楷體" w:hAnsi="標楷體"/>
                <w:color w:val="000000"/>
                <w:sz w:val="26"/>
                <w:szCs w:val="26"/>
              </w:rPr>
              <w:t>Drugreaction(eg.Stevens-Johnsonsyndrome)</w:t>
            </w:r>
          </w:p>
        </w:tc>
      </w:tr>
      <w:tr w:rsidR="00BD776B" w14:paraId="1EC22D36" w14:textId="77777777">
        <w:tc>
          <w:tcPr>
            <w:tcW w:w="454"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E120D4C" w14:textId="77777777" w:rsidR="00BD776B" w:rsidRDefault="00BD776B">
            <w:pPr>
              <w:snapToGrid w:val="0"/>
              <w:spacing w:line="380" w:lineRule="exact"/>
              <w:rPr>
                <w:rFonts w:ascii="標楷體" w:eastAsia="標楷體" w:hAnsi="標楷體"/>
                <w:color w:val="000000"/>
              </w:rPr>
            </w:pPr>
          </w:p>
        </w:tc>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94EEE1" w14:textId="77777777" w:rsidR="00BD776B" w:rsidRDefault="00BD776B">
            <w:pPr>
              <w:snapToGrid w:val="0"/>
              <w:spacing w:line="380" w:lineRule="exact"/>
              <w:rPr>
                <w:rFonts w:ascii="標楷體" w:eastAsia="標楷體" w:hAnsi="標楷體"/>
                <w:color w:val="000000"/>
              </w:rPr>
            </w:pPr>
          </w:p>
        </w:tc>
        <w:tc>
          <w:tcPr>
            <w:tcW w:w="7380"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D9D1883" w14:textId="77777777" w:rsidR="00BD776B" w:rsidRDefault="00DF0C24">
            <w:pPr>
              <w:snapToGrid w:val="0"/>
              <w:spacing w:line="380" w:lineRule="exact"/>
            </w:pPr>
            <w:r>
              <w:rPr>
                <w:rFonts w:ascii="標楷體" w:eastAsia="標楷體" w:hAnsi="標楷體"/>
                <w:color w:val="000000"/>
                <w:sz w:val="26"/>
                <w:szCs w:val="26"/>
              </w:rPr>
              <w:t>Juvenilerheumatoidarthritis</w:t>
            </w:r>
          </w:p>
        </w:tc>
      </w:tr>
      <w:tr w:rsidR="00BD776B" w14:paraId="2E2BB9E1" w14:textId="77777777">
        <w:tc>
          <w:tcPr>
            <w:tcW w:w="454"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A4D3F5F" w14:textId="77777777" w:rsidR="00BD776B" w:rsidRDefault="00BD776B">
            <w:pPr>
              <w:snapToGrid w:val="0"/>
              <w:spacing w:line="380" w:lineRule="exact"/>
              <w:rPr>
                <w:rFonts w:ascii="標楷體" w:eastAsia="標楷體" w:hAnsi="標楷體"/>
                <w:color w:val="000000"/>
              </w:rPr>
            </w:pPr>
          </w:p>
        </w:tc>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84CF51" w14:textId="77777777" w:rsidR="00BD776B" w:rsidRDefault="00BD776B">
            <w:pPr>
              <w:snapToGrid w:val="0"/>
              <w:spacing w:line="380" w:lineRule="exact"/>
              <w:rPr>
                <w:rFonts w:ascii="標楷體" w:eastAsia="標楷體" w:hAnsi="標楷體"/>
                <w:color w:val="000000"/>
              </w:rPr>
            </w:pPr>
          </w:p>
        </w:tc>
        <w:tc>
          <w:tcPr>
            <w:tcW w:w="7380"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2122BEC" w14:textId="77777777" w:rsidR="00BD776B" w:rsidRDefault="00DF0C24">
            <w:pPr>
              <w:snapToGrid w:val="0"/>
              <w:spacing w:line="380" w:lineRule="exact"/>
            </w:pPr>
            <w:r>
              <w:rPr>
                <w:rFonts w:ascii="標楷體" w:eastAsia="標楷體" w:hAnsi="標楷體"/>
                <w:color w:val="000000"/>
                <w:sz w:val="26"/>
                <w:szCs w:val="26"/>
              </w:rPr>
              <w:t>Staphylococcalscaldedskinsyndrome</w:t>
            </w:r>
          </w:p>
        </w:tc>
      </w:tr>
      <w:tr w:rsidR="00BD776B" w14:paraId="6EB16B75" w14:textId="77777777">
        <w:tc>
          <w:tcPr>
            <w:tcW w:w="454"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5E86A89B" w14:textId="77777777" w:rsidR="00BD776B" w:rsidRDefault="00BD776B">
            <w:pPr>
              <w:snapToGrid w:val="0"/>
              <w:spacing w:line="380" w:lineRule="exact"/>
              <w:rPr>
                <w:rFonts w:ascii="標楷體" w:eastAsia="標楷體" w:hAnsi="標楷體"/>
                <w:color w:val="000000"/>
              </w:rPr>
            </w:pPr>
          </w:p>
        </w:tc>
        <w:tc>
          <w:tcPr>
            <w:tcW w:w="454"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EFF212A" w14:textId="77777777" w:rsidR="00BD776B" w:rsidRDefault="00BD776B">
            <w:pPr>
              <w:snapToGrid w:val="0"/>
              <w:spacing w:line="380" w:lineRule="exact"/>
              <w:rPr>
                <w:rFonts w:ascii="標楷體" w:eastAsia="標楷體" w:hAnsi="標楷體"/>
                <w:color w:val="000000"/>
              </w:rPr>
            </w:pPr>
          </w:p>
        </w:tc>
        <w:tc>
          <w:tcPr>
            <w:tcW w:w="7380"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4CA846D0" w14:textId="77777777" w:rsidR="00BD776B" w:rsidRDefault="00DF0C24">
            <w:pPr>
              <w:snapToGrid w:val="0"/>
              <w:spacing w:line="380" w:lineRule="exact"/>
            </w:pPr>
            <w:r>
              <w:rPr>
                <w:rFonts w:ascii="標楷體" w:eastAsia="標楷體" w:hAnsi="標楷體"/>
                <w:color w:val="000000"/>
                <w:sz w:val="26"/>
                <w:szCs w:val="26"/>
              </w:rPr>
              <w:t>Toxicshocksyndrome</w:t>
            </w:r>
          </w:p>
        </w:tc>
      </w:tr>
    </w:tbl>
    <w:p w14:paraId="277455CD" w14:textId="77777777" w:rsidR="00BD776B" w:rsidRDefault="00DF0C24">
      <w:pPr>
        <w:snapToGrid w:val="0"/>
        <w:spacing w:line="380" w:lineRule="exact"/>
      </w:pPr>
      <w:r>
        <w:rPr>
          <w:rFonts w:ascii="標楷體" w:eastAsia="標楷體" w:hAnsi="標楷體"/>
          <w:color w:val="000000"/>
          <w:sz w:val="26"/>
          <w:szCs w:val="26"/>
        </w:rPr>
        <w:t>附註</w:t>
      </w:r>
    </w:p>
    <w:p w14:paraId="350C5B56" w14:textId="77777777" w:rsidR="00BD776B" w:rsidRDefault="00DF0C24">
      <w:pPr>
        <w:snapToGrid w:val="0"/>
        <w:spacing w:line="380" w:lineRule="exact"/>
      </w:pPr>
      <w:r>
        <w:rPr>
          <w:noProof/>
        </w:rPr>
        <mc:AlternateContent>
          <mc:Choice Requires="wps">
            <w:drawing>
              <wp:anchor distT="0" distB="0" distL="114300" distR="114300" simplePos="0" relativeHeight="251641856" behindDoc="0" locked="0" layoutInCell="1" allowOverlap="1" wp14:anchorId="14DC14E3" wp14:editId="5A19F2DF">
                <wp:simplePos x="0" y="0"/>
                <wp:positionH relativeFrom="column">
                  <wp:posOffset>4495803</wp:posOffset>
                </wp:positionH>
                <wp:positionV relativeFrom="paragraph">
                  <wp:posOffset>67308</wp:posOffset>
                </wp:positionV>
                <wp:extent cx="1714500" cy="1395731"/>
                <wp:effectExtent l="0" t="0" r="19050" b="13969"/>
                <wp:wrapNone/>
                <wp:docPr id="1" name="Rectangle 24"/>
                <wp:cNvGraphicFramePr/>
                <a:graphic xmlns:a="http://schemas.openxmlformats.org/drawingml/2006/main">
                  <a:graphicData uri="http://schemas.microsoft.com/office/word/2010/wordprocessingShape">
                    <wps:wsp>
                      <wps:cNvSpPr/>
                      <wps:spPr>
                        <a:xfrm>
                          <a:off x="0" y="0"/>
                          <a:ext cx="1714500" cy="1395731"/>
                        </a:xfrm>
                        <a:prstGeom prst="rect">
                          <a:avLst/>
                        </a:prstGeom>
                        <a:noFill/>
                        <a:ln w="9528" cap="flat">
                          <a:solidFill>
                            <a:srgbClr val="000000"/>
                          </a:solidFill>
                          <a:prstDash val="solid"/>
                          <a:miter/>
                        </a:ln>
                      </wps:spPr>
                      <wps:txbx>
                        <w:txbxContent>
                          <w:p w14:paraId="08199EA9" w14:textId="77777777" w:rsidR="00576CD7" w:rsidRDefault="00576CD7"/>
                        </w:txbxContent>
                      </wps:txbx>
                      <wps:bodyPr vert="horz" wrap="square" lIns="0" tIns="0" rIns="0" bIns="0" anchor="t" anchorCtr="0" compatLnSpc="0">
                        <a:noAutofit/>
                      </wps:bodyPr>
                    </wps:wsp>
                  </a:graphicData>
                </a:graphic>
              </wp:anchor>
            </w:drawing>
          </mc:Choice>
          <mc:Fallback>
            <w:pict>
              <v:rect w14:anchorId="14DC14E3" id="Rectangle 24" o:spid="_x0000_s1026" style="position:absolute;margin-left:354pt;margin-top:5.3pt;width:135pt;height:109.9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" filled="f" strokeweight=".26467mm">
                <v:textbox inset="0,0,0,0">
                  <w:txbxContent>
                    <w:p w14:paraId="08199EA9" w14:textId="77777777" w:rsidR="00576CD7" w:rsidRDefault="00576CD7"/>
                  </w:txbxContent>
                </v:textbox>
              </v:rect>
            </w:pict>
          </mc:Fallback>
        </mc:AlternateContent>
      </w:r>
      <w:r>
        <w:rPr>
          <w:rFonts w:ascii="標楷體" w:eastAsia="標楷體" w:hAnsi="標楷體"/>
          <w:color w:val="000000"/>
          <w:sz w:val="26"/>
          <w:szCs w:val="26"/>
        </w:rPr>
        <w:t>川崎病診斷標準請參考IVIG使用規定</w:t>
      </w:r>
    </w:p>
    <w:p w14:paraId="3618BF1F" w14:textId="77777777" w:rsidR="00BD776B" w:rsidRDefault="00DF0C24">
      <w:pPr>
        <w:snapToGrid w:val="0"/>
        <w:spacing w:line="380" w:lineRule="exact"/>
        <w:rPr>
          <w:rFonts w:ascii="標楷體" w:eastAsia="標楷體" w:hAnsi="標楷體"/>
          <w:color w:val="000000"/>
          <w:sz w:val="26"/>
          <w:szCs w:val="26"/>
        </w:rPr>
      </w:pPr>
      <w:r>
        <w:rPr>
          <w:rFonts w:ascii="標楷體" w:eastAsia="標楷體" w:hAnsi="標楷體"/>
          <w:color w:val="000000"/>
          <w:sz w:val="26"/>
          <w:szCs w:val="26"/>
        </w:rPr>
        <w:t>IVIG限</w:t>
      </w:r>
    </w:p>
    <w:p w14:paraId="6E68C9AC" w14:textId="77777777" w:rsidR="00BD776B" w:rsidRDefault="00DF0C24">
      <w:pPr>
        <w:snapToGrid w:val="0"/>
        <w:spacing w:line="380" w:lineRule="exact"/>
        <w:ind w:firstLine="480"/>
        <w:rPr>
          <w:rFonts w:ascii="標楷體" w:eastAsia="標楷體" w:hAnsi="標楷體"/>
          <w:color w:val="000000"/>
          <w:sz w:val="26"/>
          <w:szCs w:val="26"/>
        </w:rPr>
      </w:pPr>
      <w:r>
        <w:rPr>
          <w:rFonts w:ascii="標楷體" w:eastAsia="標楷體" w:hAnsi="標楷體"/>
          <w:color w:val="000000"/>
          <w:sz w:val="26"/>
          <w:szCs w:val="26"/>
        </w:rPr>
        <w:t>1.區域醫院(含)以上教學醫院使用，或</w:t>
      </w:r>
    </w:p>
    <w:p w14:paraId="450DBB47" w14:textId="77777777" w:rsidR="00BD776B" w:rsidRDefault="00DF0C24">
      <w:pPr>
        <w:snapToGrid w:val="0"/>
        <w:spacing w:line="380" w:lineRule="exact"/>
      </w:pPr>
      <w:r>
        <w:tab/>
        <w:t>2.</w:t>
      </w:r>
      <w:r>
        <w:rPr>
          <w:rFonts w:ascii="標楷體" w:eastAsia="標楷體" w:hAnsi="標楷體"/>
          <w:sz w:val="26"/>
          <w:szCs w:val="26"/>
        </w:rPr>
        <w:t xml:space="preserve"> 具有小兒心臟醫師證書之小兒科醫師，</w:t>
      </w:r>
    </w:p>
    <w:p w14:paraId="3AD66CEF" w14:textId="77777777" w:rsidR="00BD776B" w:rsidRDefault="00DF0C24">
      <w:pPr>
        <w:snapToGrid w:val="0"/>
        <w:spacing w:line="380" w:lineRule="exact"/>
        <w:ind w:firstLine="480"/>
      </w:pPr>
      <w:r>
        <w:rPr>
          <w:rFonts w:ascii="標楷體" w:eastAsia="標楷體" w:hAnsi="標楷體"/>
          <w:sz w:val="26"/>
          <w:szCs w:val="26"/>
        </w:rPr>
        <w:t>並有小兒心臟超音波儀器之醫院實施。</w:t>
      </w:r>
    </w:p>
    <w:p w14:paraId="4F1DD401" w14:textId="77777777" w:rsidR="00BD776B" w:rsidRDefault="00DF0C24">
      <w:pPr>
        <w:snapToGrid w:val="0"/>
        <w:spacing w:line="380" w:lineRule="exact"/>
      </w:pPr>
      <w:r>
        <w:rPr>
          <w:rFonts w:ascii="標楷體" w:eastAsia="標楷體" w:hAnsi="標楷體"/>
          <w:color w:val="000000"/>
          <w:sz w:val="26"/>
          <w:szCs w:val="26"/>
        </w:rPr>
        <w:t>IVIG限病發十天內使用</w:t>
      </w:r>
    </w:p>
    <w:p w14:paraId="465B19A2" w14:textId="77777777" w:rsidR="00BD776B" w:rsidRDefault="00DF0C24">
      <w:pPr>
        <w:snapToGrid w:val="0"/>
        <w:spacing w:line="380" w:lineRule="exact"/>
        <w:sectPr w:rsidR="00BD776B" w:rsidSect="007E1772">
          <w:footerReference w:type="default" r:id="rId15"/>
          <w:pgSz w:w="11906" w:h="16838"/>
          <w:pgMar w:top="1134" w:right="1134" w:bottom="1134" w:left="1134" w:header="720" w:footer="720" w:gutter="0"/>
          <w:cols w:space="720"/>
          <w:docGrid w:type="lines"/>
        </w:sectPr>
      </w:pPr>
      <w:r>
        <w:rPr>
          <w:rFonts w:ascii="標楷體" w:eastAsia="標楷體" w:hAnsi="標楷體" w:cs="標楷體"/>
          <w:color w:val="000000"/>
          <w:sz w:val="26"/>
          <w:szCs w:val="26"/>
        </w:rPr>
        <w:t>申請醫師</w:t>
      </w:r>
      <w:r>
        <w:rPr>
          <w:rFonts w:ascii="標楷體" w:eastAsia="標楷體" w:hAnsi="標楷體" w:cs="標楷體"/>
          <w:color w:val="000000"/>
          <w:sz w:val="26"/>
          <w:szCs w:val="26"/>
          <w:u w:val="single"/>
        </w:rPr>
        <w:t xml:space="preserve">　　　　　　　</w:t>
      </w:r>
      <w:r>
        <w:rPr>
          <w:rFonts w:ascii="標楷體" w:eastAsia="標楷體" w:hAnsi="標楷體" w:cs="標楷體"/>
          <w:color w:val="000000"/>
          <w:sz w:val="26"/>
          <w:szCs w:val="26"/>
        </w:rPr>
        <w:t>醫事機構章戳</w:t>
      </w:r>
      <w:r>
        <w:rPr>
          <w:rFonts w:ascii="標楷體" w:eastAsia="標楷體" w:hAnsi="標楷體" w:cs="標楷體"/>
          <w:color w:val="000000"/>
          <w:sz w:val="26"/>
          <w:szCs w:val="26"/>
          <w:u w:val="single"/>
        </w:rPr>
        <w:t xml:space="preserve">　　　　　　　　</w:t>
      </w:r>
    </w:p>
    <w:p w14:paraId="2FF32B94" w14:textId="77777777" w:rsidR="00BD776B" w:rsidRDefault="00DF0C24">
      <w:pPr>
        <w:pStyle w:val="Web"/>
        <w:widowControl w:val="0"/>
        <w:snapToGrid w:val="0"/>
        <w:spacing w:before="0" w:after="0" w:line="380" w:lineRule="exact"/>
        <w:jc w:val="both"/>
      </w:pPr>
      <w:r>
        <w:rPr>
          <w:rFonts w:ascii="標楷體" w:eastAsia="標楷體" w:hAnsi="標楷體" w:cs="標楷體"/>
          <w:color w:val="000000"/>
        </w:rPr>
        <w:lastRenderedPageBreak/>
        <w:t>附表七之一全民健康保險使用抗癌藥品</w:t>
      </w:r>
      <w:r>
        <w:rPr>
          <w:rFonts w:ascii="標楷體" w:eastAsia="標楷體" w:hAnsi="標楷體" w:cs="Times New Roman"/>
          <w:color w:val="000000"/>
        </w:rPr>
        <w:t>Trastuzumab</w:t>
      </w:r>
      <w:r>
        <w:rPr>
          <w:rFonts w:ascii="標楷體" w:eastAsia="標楷體" w:hAnsi="標楷體" w:cs="標楷體"/>
          <w:color w:val="000000"/>
        </w:rPr>
        <w:t>申請表(刪除)</w:t>
      </w:r>
    </w:p>
    <w:p w14:paraId="1EDB8A6F" w14:textId="77777777" w:rsidR="00BD776B" w:rsidRDefault="00BD776B">
      <w:pPr>
        <w:pStyle w:val="Web"/>
        <w:widowControl w:val="0"/>
        <w:snapToGrid w:val="0"/>
        <w:spacing w:before="0" w:after="0" w:line="380" w:lineRule="exact"/>
        <w:jc w:val="both"/>
        <w:rPr>
          <w:rFonts w:eastAsia="新細明體"/>
        </w:rPr>
      </w:pPr>
    </w:p>
    <w:p w14:paraId="675A8A9B" w14:textId="77777777" w:rsidR="00BD776B" w:rsidRDefault="00BD776B">
      <w:pPr>
        <w:pStyle w:val="Web"/>
        <w:widowControl w:val="0"/>
        <w:snapToGrid w:val="0"/>
        <w:spacing w:before="0" w:after="0" w:line="380" w:lineRule="exact"/>
        <w:jc w:val="both"/>
        <w:rPr>
          <w:rFonts w:eastAsia="新細明體"/>
        </w:rPr>
      </w:pPr>
    </w:p>
    <w:p w14:paraId="178444B0" w14:textId="77777777" w:rsidR="00BD776B" w:rsidRDefault="00BD776B">
      <w:pPr>
        <w:pageBreakBefore/>
        <w:widowControl/>
        <w:suppressAutoHyphens w:val="0"/>
      </w:pPr>
    </w:p>
    <w:p w14:paraId="484BC863" w14:textId="77777777" w:rsidR="00BD776B" w:rsidRDefault="00DF0C24">
      <w:pPr>
        <w:widowControl/>
        <w:suppressAutoHyphens w:val="0"/>
        <w:rPr>
          <w:rFonts w:ascii="標楷體" w:eastAsia="標楷體" w:hAnsi="標楷體"/>
          <w:color w:val="000000"/>
        </w:rPr>
      </w:pPr>
      <w:r>
        <w:rPr>
          <w:rFonts w:ascii="標楷體" w:eastAsia="標楷體" w:hAnsi="標楷體"/>
          <w:color w:val="000000"/>
        </w:rPr>
        <w:t>附表七之二全民健康保險使用抗癌藥品Rituximab申請表</w:t>
      </w:r>
    </w:p>
    <w:tbl>
      <w:tblPr>
        <w:tblW w:w="14432" w:type="dxa"/>
        <w:tblLayout w:type="fixed"/>
        <w:tblCellMar>
          <w:left w:w="10" w:type="dxa"/>
          <w:right w:w="10" w:type="dxa"/>
        </w:tblCellMar>
        <w:tblLook w:val="0000" w:firstRow="0" w:lastRow="0" w:firstColumn="0" w:lastColumn="0" w:noHBand="0" w:noVBand="0"/>
      </w:tblPr>
      <w:tblGrid>
        <w:gridCol w:w="388"/>
        <w:gridCol w:w="404"/>
        <w:gridCol w:w="654"/>
        <w:gridCol w:w="742"/>
        <w:gridCol w:w="600"/>
        <w:gridCol w:w="75"/>
        <w:gridCol w:w="285"/>
        <w:gridCol w:w="488"/>
        <w:gridCol w:w="680"/>
        <w:gridCol w:w="274"/>
        <w:gridCol w:w="1318"/>
        <w:gridCol w:w="600"/>
        <w:gridCol w:w="360"/>
        <w:gridCol w:w="960"/>
        <w:gridCol w:w="840"/>
        <w:gridCol w:w="255"/>
        <w:gridCol w:w="589"/>
        <w:gridCol w:w="356"/>
        <w:gridCol w:w="139"/>
        <w:gridCol w:w="701"/>
        <w:gridCol w:w="360"/>
        <w:gridCol w:w="11"/>
        <w:gridCol w:w="473"/>
        <w:gridCol w:w="11"/>
        <w:gridCol w:w="345"/>
        <w:gridCol w:w="219"/>
        <w:gridCol w:w="141"/>
        <w:gridCol w:w="244"/>
        <w:gridCol w:w="600"/>
        <w:gridCol w:w="375"/>
        <w:gridCol w:w="945"/>
      </w:tblGrid>
      <w:tr w:rsidR="00BD776B" w14:paraId="0DA8AD5F" w14:textId="77777777">
        <w:trPr>
          <w:cantSplit/>
          <w:trHeight w:val="523"/>
        </w:trPr>
        <w:tc>
          <w:tcPr>
            <w:tcW w:w="2188"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E535D80" w14:textId="77777777" w:rsidR="00BD776B" w:rsidRDefault="00DF0C24">
            <w:pPr>
              <w:snapToGrid w:val="0"/>
              <w:jc w:val="both"/>
              <w:rPr>
                <w:rFonts w:ascii="標楷體" w:eastAsia="標楷體" w:hAnsi="標楷體"/>
                <w:color w:val="000000"/>
                <w:sz w:val="20"/>
                <w:szCs w:val="20"/>
              </w:rPr>
            </w:pPr>
            <w:r>
              <w:rPr>
                <w:rFonts w:ascii="標楷體" w:eastAsia="標楷體" w:hAnsi="標楷體"/>
                <w:color w:val="000000"/>
                <w:sz w:val="20"/>
                <w:szCs w:val="20"/>
              </w:rPr>
              <w:t>申請類別:</w:t>
            </w:r>
          </w:p>
        </w:tc>
        <w:tc>
          <w:tcPr>
            <w:tcW w:w="43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6C1AD" w14:textId="77777777" w:rsidR="00BD776B" w:rsidRDefault="00DF0C24">
            <w:pPr>
              <w:snapToGrid w:val="0"/>
              <w:jc w:val="center"/>
              <w:rPr>
                <w:rFonts w:ascii="標楷體" w:eastAsia="標楷體" w:hAnsi="標楷體"/>
                <w:color w:val="000000"/>
                <w:sz w:val="20"/>
                <w:szCs w:val="20"/>
              </w:rPr>
            </w:pPr>
            <w:r>
              <w:rPr>
                <w:rFonts w:ascii="標楷體" w:eastAsia="標楷體" w:hAnsi="標楷體"/>
                <w:color w:val="000000"/>
                <w:sz w:val="20"/>
                <w:szCs w:val="20"/>
              </w:rPr>
              <w:t>□送核□補資料□申復□資料異動</w:t>
            </w:r>
          </w:p>
        </w:tc>
        <w:tc>
          <w:tcPr>
            <w:tcW w:w="24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B1034E" w14:textId="77777777" w:rsidR="00BD776B" w:rsidRDefault="00DF0C24">
            <w:pPr>
              <w:snapToGrid w:val="0"/>
              <w:rPr>
                <w:rFonts w:ascii="標楷體" w:eastAsia="標楷體" w:hAnsi="標楷體"/>
                <w:color w:val="000000"/>
                <w:sz w:val="20"/>
                <w:szCs w:val="20"/>
              </w:rPr>
            </w:pPr>
            <w:r>
              <w:rPr>
                <w:rFonts w:ascii="標楷體" w:eastAsia="標楷體" w:hAnsi="標楷體"/>
                <w:color w:val="000000"/>
                <w:sz w:val="20"/>
                <w:szCs w:val="20"/>
              </w:rPr>
              <w:t>受理日期：</w:t>
            </w:r>
          </w:p>
        </w:tc>
        <w:tc>
          <w:tcPr>
            <w:tcW w:w="264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D8B21D" w14:textId="77777777" w:rsidR="00BD776B" w:rsidRDefault="00DF0C24">
            <w:pPr>
              <w:snapToGrid w:val="0"/>
              <w:ind w:left="15"/>
              <w:rPr>
                <w:rFonts w:ascii="標楷體" w:eastAsia="標楷體" w:hAnsi="標楷體"/>
                <w:color w:val="000000"/>
                <w:sz w:val="20"/>
                <w:szCs w:val="20"/>
              </w:rPr>
            </w:pPr>
            <w:r>
              <w:rPr>
                <w:rFonts w:ascii="標楷體" w:eastAsia="標楷體" w:hAnsi="標楷體"/>
                <w:color w:val="000000"/>
                <w:sz w:val="20"/>
                <w:szCs w:val="20"/>
              </w:rPr>
              <w:t>受理編號：</w:t>
            </w:r>
          </w:p>
        </w:tc>
        <w:tc>
          <w:tcPr>
            <w:tcW w:w="286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35AFDF" w14:textId="77777777" w:rsidR="00BD776B" w:rsidRDefault="00DF0C24">
            <w:pPr>
              <w:snapToGrid w:val="0"/>
              <w:rPr>
                <w:rFonts w:ascii="標楷體" w:eastAsia="標楷體" w:hAnsi="標楷體"/>
                <w:color w:val="000000"/>
                <w:sz w:val="20"/>
                <w:szCs w:val="20"/>
              </w:rPr>
            </w:pPr>
            <w:r>
              <w:rPr>
                <w:rFonts w:ascii="標楷體" w:eastAsia="標楷體" w:hAnsi="標楷體"/>
                <w:color w:val="000000"/>
                <w:sz w:val="20"/>
                <w:szCs w:val="20"/>
              </w:rPr>
              <w:t>緊急傳真日期：</w:t>
            </w:r>
          </w:p>
        </w:tc>
      </w:tr>
      <w:tr w:rsidR="00BD776B" w14:paraId="5BFFC1FA" w14:textId="77777777">
        <w:trPr>
          <w:cantSplit/>
          <w:trHeight w:val="517"/>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0FC133"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醫療機構</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737108"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名稱</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C41FE3" w14:textId="77777777" w:rsidR="00BD776B" w:rsidRDefault="00BD776B">
            <w:pPr>
              <w:snapToGrid w:val="0"/>
              <w:spacing w:line="200" w:lineRule="exact"/>
              <w:rPr>
                <w:rFonts w:ascii="標楷體" w:eastAsia="標楷體" w:hAnsi="標楷體"/>
                <w:color w:val="000000"/>
                <w:sz w:val="20"/>
                <w:szCs w:val="20"/>
              </w:rPr>
            </w:pPr>
          </w:p>
        </w:tc>
        <w:tc>
          <w:tcPr>
            <w:tcW w:w="3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083B74"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保</w:t>
            </w:r>
          </w:p>
          <w:p w14:paraId="36DDB1E0"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險</w:t>
            </w:r>
          </w:p>
          <w:p w14:paraId="71FDA4F4"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對</w:t>
            </w:r>
          </w:p>
          <w:p w14:paraId="2AAE28E4"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象</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637D3B"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姓名</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C8286F" w14:textId="77777777" w:rsidR="00BD776B" w:rsidRDefault="00BD776B">
            <w:pPr>
              <w:snapToGrid w:val="0"/>
              <w:spacing w:line="200" w:lineRule="exact"/>
              <w:rPr>
                <w:rFonts w:ascii="標楷體" w:eastAsia="標楷體" w:hAnsi="標楷體"/>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C408A8"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出生</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8D092C" w14:textId="77777777" w:rsidR="00BD776B" w:rsidRDefault="00BD776B">
            <w:pPr>
              <w:snapToGrid w:val="0"/>
              <w:spacing w:line="200" w:lineRule="exact"/>
              <w:rPr>
                <w:rFonts w:ascii="標楷體" w:eastAsia="標楷體" w:hAnsi="標楷體"/>
                <w:color w:val="000000"/>
                <w:sz w:val="20"/>
                <w:szCs w:val="20"/>
              </w:rPr>
            </w:pPr>
          </w:p>
        </w:tc>
        <w:tc>
          <w:tcPr>
            <w:tcW w:w="16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A5A54A"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原受理編號</w:t>
            </w:r>
          </w:p>
          <w:p w14:paraId="57C2EC96"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（申復時填用）</w:t>
            </w:r>
          </w:p>
        </w:tc>
        <w:tc>
          <w:tcPr>
            <w:tcW w:w="156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FB1520" w14:textId="77777777" w:rsidR="00BD776B" w:rsidRDefault="00BD776B">
            <w:pPr>
              <w:snapToGrid w:val="0"/>
              <w:spacing w:line="200" w:lineRule="exact"/>
              <w:rPr>
                <w:rFonts w:ascii="標楷體" w:eastAsia="標楷體" w:hAnsi="標楷體"/>
                <w:color w:val="000000"/>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665647"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預定實施日期</w:t>
            </w:r>
          </w:p>
        </w:tc>
        <w:tc>
          <w:tcPr>
            <w:tcW w:w="230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0899C3" w14:textId="77777777" w:rsidR="00BD776B" w:rsidRDefault="00BD776B">
            <w:pPr>
              <w:snapToGrid w:val="0"/>
              <w:spacing w:line="200" w:lineRule="exact"/>
              <w:rPr>
                <w:rFonts w:ascii="標楷體" w:eastAsia="標楷體" w:hAnsi="標楷體"/>
                <w:color w:val="000000"/>
                <w:sz w:val="20"/>
                <w:szCs w:val="20"/>
              </w:rPr>
            </w:pPr>
          </w:p>
        </w:tc>
      </w:tr>
      <w:tr w:rsidR="00BD776B" w14:paraId="4AEDE0A7" w14:textId="77777777">
        <w:trPr>
          <w:cantSplit/>
          <w:trHeight w:val="530"/>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C1827C" w14:textId="77777777" w:rsidR="00BD776B" w:rsidRDefault="00BD776B">
            <w:pPr>
              <w:snapToGrid w:val="0"/>
              <w:spacing w:line="200" w:lineRule="exact"/>
              <w:rPr>
                <w:rFonts w:ascii="標楷體" w:eastAsia="標楷體" w:hAnsi="標楷體"/>
                <w:color w:val="000000"/>
                <w:sz w:val="20"/>
                <w:szCs w:val="20"/>
              </w:rPr>
            </w:pP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B7DA1E"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代號</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37692C" w14:textId="77777777" w:rsidR="00BD776B" w:rsidRDefault="00BD776B">
            <w:pPr>
              <w:snapToGrid w:val="0"/>
              <w:spacing w:line="200" w:lineRule="exact"/>
              <w:rPr>
                <w:rFonts w:ascii="標楷體" w:eastAsia="標楷體" w:hAnsi="標楷體"/>
                <w:color w:val="000000"/>
                <w:sz w:val="20"/>
                <w:szCs w:val="20"/>
              </w:rPr>
            </w:pPr>
          </w:p>
        </w:tc>
        <w:tc>
          <w:tcPr>
            <w:tcW w:w="3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CA8045" w14:textId="77777777" w:rsidR="00BD776B" w:rsidRDefault="00BD776B">
            <w:pPr>
              <w:snapToGrid w:val="0"/>
              <w:spacing w:line="200" w:lineRule="exact"/>
              <w:rPr>
                <w:rFonts w:ascii="標楷體" w:eastAsia="標楷體" w:hAnsi="標楷體"/>
                <w:color w:val="000000"/>
                <w:sz w:val="20"/>
                <w:szCs w:val="20"/>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A7B541"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身分證</w:t>
            </w:r>
          </w:p>
          <w:p w14:paraId="66E13E73"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統一編號</w:t>
            </w:r>
          </w:p>
        </w:tc>
        <w:tc>
          <w:tcPr>
            <w:tcW w:w="21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5B8B0"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2B1BE4"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科</w:t>
            </w:r>
          </w:p>
          <w:p w14:paraId="44D9DF81"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別</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60445B" w14:textId="77777777" w:rsidR="00BD776B" w:rsidRDefault="00BD776B">
            <w:pPr>
              <w:snapToGrid w:val="0"/>
              <w:spacing w:line="200" w:lineRule="exact"/>
              <w:rPr>
                <w:rFonts w:ascii="標楷體" w:eastAsia="標楷體" w:hAnsi="標楷體"/>
                <w:color w:val="000000"/>
                <w:sz w:val="20"/>
                <w:szCs w:val="20"/>
              </w:rPr>
            </w:pPr>
          </w:p>
        </w:tc>
        <w:tc>
          <w:tcPr>
            <w:tcW w:w="16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2B57DD"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□門診□住院</w:t>
            </w:r>
          </w:p>
        </w:tc>
        <w:tc>
          <w:tcPr>
            <w:tcW w:w="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6760D"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病歷號碼</w:t>
            </w:r>
          </w:p>
        </w:tc>
        <w:tc>
          <w:tcPr>
            <w:tcW w:w="154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7BB679" w14:textId="77777777" w:rsidR="00BD776B" w:rsidRDefault="00BD776B">
            <w:pPr>
              <w:snapToGrid w:val="0"/>
              <w:spacing w:line="200" w:lineRule="exact"/>
              <w:rPr>
                <w:rFonts w:ascii="標楷體" w:eastAsia="標楷體" w:hAnsi="標楷體"/>
                <w:color w:val="000000"/>
                <w:sz w:val="20"/>
                <w:szCs w:val="20"/>
              </w:rPr>
            </w:pPr>
          </w:p>
        </w:tc>
        <w:tc>
          <w:tcPr>
            <w:tcW w:w="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14336B"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申請醫師身分證號</w:t>
            </w:r>
          </w:p>
        </w:tc>
        <w:tc>
          <w:tcPr>
            <w:tcW w:w="19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058C8E" w14:textId="77777777" w:rsidR="00BD776B" w:rsidRDefault="00BD776B">
            <w:pPr>
              <w:snapToGrid w:val="0"/>
              <w:spacing w:line="200" w:lineRule="exact"/>
              <w:rPr>
                <w:rFonts w:ascii="標楷體" w:eastAsia="標楷體" w:hAnsi="標楷體"/>
                <w:color w:val="000000"/>
                <w:sz w:val="20"/>
                <w:szCs w:val="20"/>
              </w:rPr>
            </w:pPr>
          </w:p>
        </w:tc>
      </w:tr>
      <w:tr w:rsidR="00BD776B" w14:paraId="04A737E1" w14:textId="77777777">
        <w:trPr>
          <w:cantSplit/>
          <w:trHeight w:val="613"/>
        </w:trPr>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041EF"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ICD-10代碼</w:t>
            </w:r>
          </w:p>
        </w:tc>
        <w:tc>
          <w:tcPr>
            <w:tcW w:w="219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7E2A71" w14:textId="77777777" w:rsidR="00BD776B" w:rsidRDefault="00BD776B">
            <w:pPr>
              <w:snapToGrid w:val="0"/>
              <w:spacing w:line="200" w:lineRule="exact"/>
              <w:rPr>
                <w:rFonts w:ascii="標楷體" w:eastAsia="標楷體" w:hAnsi="標楷體"/>
                <w:color w:val="000000"/>
                <w:sz w:val="20"/>
                <w:szCs w:val="20"/>
              </w:rPr>
            </w:pPr>
          </w:p>
        </w:tc>
        <w:tc>
          <w:tcPr>
            <w:tcW w:w="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2F08DE"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疾病名稱</w:t>
            </w:r>
          </w:p>
        </w:tc>
        <w:tc>
          <w:tcPr>
            <w:tcW w:w="3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7401FE" w14:textId="77777777" w:rsidR="00BD776B" w:rsidRDefault="00BD776B">
            <w:pPr>
              <w:snapToGrid w:val="0"/>
              <w:spacing w:line="200" w:lineRule="exact"/>
              <w:rPr>
                <w:rFonts w:ascii="標楷體" w:eastAsia="標楷體" w:hAnsi="標楷體"/>
                <w:color w:val="000000"/>
                <w:sz w:val="20"/>
                <w:szCs w:val="20"/>
              </w:rPr>
            </w:pPr>
          </w:p>
        </w:tc>
        <w:tc>
          <w:tcPr>
            <w:tcW w:w="16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7D42D7"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使用日期</w:t>
            </w:r>
          </w:p>
        </w:tc>
        <w:tc>
          <w:tcPr>
            <w:tcW w:w="4920" w:type="dxa"/>
            <w:gridSpan w:val="1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417A1C94"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年月日至年月日</w:t>
            </w:r>
          </w:p>
        </w:tc>
      </w:tr>
      <w:tr w:rsidR="00BD776B" w14:paraId="2BFEDEF6" w14:textId="77777777">
        <w:trPr>
          <w:cantSplit/>
        </w:trPr>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176B9C"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藥品名稱及</w:t>
            </w:r>
            <w:r>
              <w:rPr>
                <w:rFonts w:ascii="標楷體" w:eastAsia="標楷體" w:hAnsi="標楷體"/>
                <w:color w:val="000000"/>
                <w:sz w:val="20"/>
                <w:szCs w:val="20"/>
              </w:rPr>
              <w:br/>
              <w:t>代碼</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881458"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申請類別</w:t>
            </w:r>
          </w:p>
        </w:tc>
        <w:tc>
          <w:tcPr>
            <w:tcW w:w="496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813130"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給付規定</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8C145"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用法</w:t>
            </w:r>
          </w:p>
          <w:p w14:paraId="032B752C"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用量</w:t>
            </w:r>
          </w:p>
        </w:tc>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3ACB43"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申請</w:t>
            </w:r>
          </w:p>
          <w:p w14:paraId="2B949E9D"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數量</w:t>
            </w:r>
          </w:p>
        </w:tc>
        <w:tc>
          <w:tcPr>
            <w:tcW w:w="4920" w:type="dxa"/>
            <w:gridSpan w:val="1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F95AC45" w14:textId="77777777" w:rsidR="00BD776B" w:rsidRDefault="00DF0C24">
            <w:pPr>
              <w:snapToGrid w:val="0"/>
              <w:spacing w:line="200" w:lineRule="exact"/>
              <w:jc w:val="center"/>
              <w:rPr>
                <w:rFonts w:ascii="標楷體" w:eastAsia="標楷體" w:hAnsi="標楷體"/>
                <w:color w:val="000000"/>
                <w:sz w:val="20"/>
                <w:szCs w:val="20"/>
              </w:rPr>
            </w:pPr>
            <w:r>
              <w:rPr>
                <w:rFonts w:ascii="標楷體" w:eastAsia="標楷體" w:hAnsi="標楷體"/>
                <w:color w:val="000000"/>
                <w:sz w:val="20"/>
                <w:szCs w:val="20"/>
              </w:rPr>
              <w:t>保險人核定欄</w:t>
            </w:r>
          </w:p>
        </w:tc>
      </w:tr>
      <w:tr w:rsidR="00BD776B" w14:paraId="7CB40590" w14:textId="77777777">
        <w:trPr>
          <w:cantSplit/>
          <w:trHeight w:val="3214"/>
        </w:trPr>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C3BA3" w14:textId="77777777" w:rsidR="00BD776B" w:rsidRDefault="00DF0C24">
            <w:pPr>
              <w:snapToGrid w:val="0"/>
              <w:spacing w:before="180" w:after="180" w:line="200" w:lineRule="exact"/>
              <w:ind w:left="2" w:firstLine="44"/>
              <w:rPr>
                <w:rFonts w:ascii="標楷體" w:eastAsia="標楷體" w:hAnsi="標楷體"/>
                <w:color w:val="000000"/>
                <w:sz w:val="20"/>
                <w:szCs w:val="20"/>
              </w:rPr>
            </w:pPr>
            <w:r>
              <w:rPr>
                <w:rFonts w:ascii="標楷體" w:eastAsia="標楷體" w:hAnsi="標楷體"/>
                <w:color w:val="000000"/>
                <w:sz w:val="20"/>
                <w:szCs w:val="20"/>
              </w:rPr>
              <w:t>Mabthera</w:t>
            </w:r>
          </w:p>
          <w:p w14:paraId="2F48C5DD" w14:textId="77777777" w:rsidR="00BD776B" w:rsidRDefault="00DF0C24" w:rsidP="008A7063">
            <w:pPr>
              <w:numPr>
                <w:ilvl w:val="0"/>
                <w:numId w:val="4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K000699229</w:t>
            </w:r>
          </w:p>
          <w:p w14:paraId="15DB8D9F" w14:textId="77777777" w:rsidR="00BD776B" w:rsidRDefault="00DF0C24" w:rsidP="008A7063">
            <w:pPr>
              <w:numPr>
                <w:ilvl w:val="0"/>
                <w:numId w:val="4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K000699248</w:t>
            </w:r>
          </w:p>
          <w:p w14:paraId="22D4DA8A" w14:textId="77777777" w:rsidR="00BD776B" w:rsidRDefault="00BD776B">
            <w:pPr>
              <w:snapToGrid w:val="0"/>
              <w:rPr>
                <w:rFonts w:ascii="標楷體" w:eastAsia="標楷體" w:hAnsi="標楷體"/>
                <w:color w:val="000000"/>
                <w:sz w:val="18"/>
                <w:szCs w:val="18"/>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0A870" w14:textId="77777777" w:rsidR="00BD776B" w:rsidRDefault="00DF0C24" w:rsidP="008A7063">
            <w:pPr>
              <w:numPr>
                <w:ilvl w:val="0"/>
                <w:numId w:val="4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第一次申請</w:t>
            </w:r>
          </w:p>
          <w:p w14:paraId="11DAB565" w14:textId="77777777" w:rsidR="00BD776B" w:rsidRDefault="00DF0C24" w:rsidP="008A7063">
            <w:pPr>
              <w:numPr>
                <w:ilvl w:val="0"/>
                <w:numId w:val="4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治療後再次申請</w:t>
            </w:r>
          </w:p>
        </w:tc>
        <w:tc>
          <w:tcPr>
            <w:tcW w:w="496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D9BF7" w14:textId="77777777" w:rsidR="00BD776B" w:rsidRDefault="00DF0C24">
            <w:pPr>
              <w:pStyle w:val="a7"/>
              <w:tabs>
                <w:tab w:val="clear" w:pos="4153"/>
                <w:tab w:val="clear" w:pos="8306"/>
              </w:tabs>
              <w:spacing w:before="180" w:after="180" w:line="240" w:lineRule="exact"/>
              <w:rPr>
                <w:rFonts w:ascii="標楷體" w:eastAsia="標楷體" w:hAnsi="標楷體"/>
                <w:color w:val="000000"/>
              </w:rPr>
            </w:pPr>
            <w:r>
              <w:rPr>
                <w:rFonts w:ascii="標楷體" w:eastAsia="標楷體" w:hAnsi="標楷體"/>
                <w:color w:val="000000"/>
              </w:rPr>
              <w:t>限用於</w:t>
            </w:r>
          </w:p>
          <w:p w14:paraId="1E051605" w14:textId="77777777" w:rsidR="00BD776B" w:rsidRDefault="00DF0C24">
            <w:pPr>
              <w:snapToGrid w:val="0"/>
              <w:spacing w:line="240" w:lineRule="exact"/>
              <w:ind w:left="118" w:hanging="118"/>
              <w:rPr>
                <w:rFonts w:ascii="標楷體" w:eastAsia="標楷體" w:hAnsi="標楷體"/>
                <w:color w:val="000000"/>
                <w:sz w:val="20"/>
                <w:szCs w:val="20"/>
              </w:rPr>
            </w:pPr>
            <w:r>
              <w:rPr>
                <w:rFonts w:ascii="標楷體" w:eastAsia="標楷體" w:hAnsi="標楷體"/>
                <w:color w:val="000000"/>
                <w:sz w:val="20"/>
                <w:szCs w:val="20"/>
              </w:rPr>
              <w:t>□復發或對化學療效有抗性之低惡度B細胞非何杰金氏淋巴瘤。</w:t>
            </w:r>
          </w:p>
          <w:p w14:paraId="442A75A3" w14:textId="77777777" w:rsidR="00BD776B" w:rsidRDefault="00DF0C24">
            <w:pPr>
              <w:snapToGrid w:val="0"/>
              <w:spacing w:line="240" w:lineRule="exact"/>
              <w:ind w:left="118" w:hanging="118"/>
              <w:rPr>
                <w:rFonts w:ascii="標楷體" w:eastAsia="標楷體" w:hAnsi="標楷體"/>
                <w:color w:val="000000"/>
                <w:sz w:val="20"/>
                <w:szCs w:val="20"/>
              </w:rPr>
            </w:pPr>
            <w:r>
              <w:rPr>
                <w:rFonts w:ascii="標楷體" w:eastAsia="標楷體" w:hAnsi="標楷體"/>
                <w:color w:val="000000"/>
                <w:sz w:val="20"/>
                <w:szCs w:val="20"/>
              </w:rPr>
              <w:t>□用於做為濾泡性淋巴瘤患者對誘導療法產生反應之後的維持治療用藥。限用八劑，每三個月使用一劑，最多不超過二年。</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FD46B" w14:textId="77777777" w:rsidR="00BD776B" w:rsidRDefault="00BD776B">
            <w:pPr>
              <w:snapToGrid w:val="0"/>
              <w:rPr>
                <w:rFonts w:ascii="標楷體" w:eastAsia="標楷體" w:hAnsi="標楷體"/>
                <w:color w:val="000000"/>
                <w:sz w:val="20"/>
                <w:szCs w:val="20"/>
              </w:rPr>
            </w:pPr>
          </w:p>
        </w:tc>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4DD6C" w14:textId="77777777" w:rsidR="00BD776B" w:rsidRDefault="00BD776B">
            <w:pPr>
              <w:snapToGrid w:val="0"/>
              <w:rPr>
                <w:rFonts w:ascii="標楷體" w:eastAsia="標楷體" w:hAnsi="標楷體"/>
                <w:color w:val="000000"/>
                <w:sz w:val="20"/>
                <w:szCs w:val="20"/>
              </w:rPr>
            </w:pPr>
          </w:p>
        </w:tc>
        <w:tc>
          <w:tcPr>
            <w:tcW w:w="4920" w:type="dxa"/>
            <w:gridSpan w:val="14"/>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79F35D3" w14:textId="77777777" w:rsidR="00BD776B" w:rsidRDefault="00DF0C24" w:rsidP="008A7063">
            <w:pPr>
              <w:numPr>
                <w:ilvl w:val="0"/>
                <w:numId w:val="47"/>
              </w:numPr>
              <w:tabs>
                <w:tab w:val="left" w:pos="240"/>
              </w:tabs>
              <w:snapToGrid w:val="0"/>
              <w:spacing w:line="240" w:lineRule="exact"/>
              <w:ind w:left="240" w:hanging="240"/>
              <w:rPr>
                <w:rFonts w:ascii="標楷體" w:eastAsia="標楷體" w:hAnsi="標楷體"/>
                <w:color w:val="000000"/>
                <w:sz w:val="20"/>
                <w:szCs w:val="20"/>
              </w:rPr>
            </w:pPr>
            <w:r>
              <w:rPr>
                <w:rFonts w:ascii="標楷體" w:eastAsia="標楷體" w:hAnsi="標楷體"/>
                <w:color w:val="000000"/>
                <w:sz w:val="20"/>
                <w:szCs w:val="20"/>
              </w:rPr>
              <w:t>同意備查。</w:t>
            </w:r>
          </w:p>
          <w:p w14:paraId="31E0C555" w14:textId="77777777" w:rsidR="00BD776B" w:rsidRDefault="00DF0C24" w:rsidP="008A7063">
            <w:pPr>
              <w:numPr>
                <w:ilvl w:val="0"/>
                <w:numId w:val="47"/>
              </w:numPr>
              <w:tabs>
                <w:tab w:val="left" w:pos="240"/>
              </w:tabs>
              <w:snapToGrid w:val="0"/>
              <w:spacing w:line="240" w:lineRule="exact"/>
              <w:ind w:left="478" w:hanging="238"/>
            </w:pPr>
            <w:r>
              <w:rPr>
                <w:rFonts w:ascii="標楷體" w:eastAsia="標楷體" w:hAnsi="標楷體"/>
                <w:color w:val="000000"/>
                <w:sz w:val="20"/>
                <w:szCs w:val="20"/>
              </w:rPr>
              <w:t>使用劑量不符合常規，核定量為</w:t>
            </w:r>
          </w:p>
          <w:p w14:paraId="16FF1417" w14:textId="77777777" w:rsidR="00BD776B" w:rsidRDefault="00DF0C24">
            <w:pPr>
              <w:snapToGrid w:val="0"/>
              <w:spacing w:line="240" w:lineRule="exact"/>
              <w:rPr>
                <w:rFonts w:ascii="標楷體" w:eastAsia="標楷體" w:hAnsi="標楷體"/>
                <w:color w:val="000000"/>
                <w:sz w:val="20"/>
                <w:szCs w:val="20"/>
              </w:rPr>
            </w:pPr>
            <w:r>
              <w:rPr>
                <w:rFonts w:ascii="標楷體" w:eastAsia="標楷體" w:hAnsi="標楷體"/>
                <w:color w:val="000000"/>
                <w:sz w:val="20"/>
                <w:szCs w:val="20"/>
              </w:rPr>
              <w:t>□不同意</w:t>
            </w:r>
          </w:p>
          <w:p w14:paraId="52B27166" w14:textId="77777777" w:rsidR="00BD776B" w:rsidRDefault="00DF0C24" w:rsidP="008A7063">
            <w:pPr>
              <w:numPr>
                <w:ilvl w:val="0"/>
                <w:numId w:val="47"/>
              </w:numPr>
              <w:tabs>
                <w:tab w:val="left" w:pos="240"/>
              </w:tabs>
              <w:snapToGrid w:val="0"/>
              <w:spacing w:line="240" w:lineRule="exact"/>
              <w:ind w:left="478" w:hanging="238"/>
              <w:rPr>
                <w:rFonts w:ascii="標楷體" w:eastAsia="標楷體" w:hAnsi="標楷體"/>
                <w:color w:val="000000"/>
                <w:sz w:val="20"/>
                <w:szCs w:val="20"/>
              </w:rPr>
            </w:pPr>
            <w:r>
              <w:rPr>
                <w:rFonts w:ascii="標楷體" w:eastAsia="標楷體" w:hAnsi="標楷體"/>
                <w:color w:val="000000"/>
                <w:sz w:val="20"/>
                <w:szCs w:val="20"/>
              </w:rPr>
              <w:t>不符合適應症。</w:t>
            </w:r>
          </w:p>
          <w:p w14:paraId="22B534FE" w14:textId="77777777" w:rsidR="00BD776B" w:rsidRDefault="00DF0C24" w:rsidP="008A7063">
            <w:pPr>
              <w:numPr>
                <w:ilvl w:val="0"/>
                <w:numId w:val="47"/>
              </w:numPr>
              <w:tabs>
                <w:tab w:val="left" w:pos="240"/>
              </w:tabs>
              <w:snapToGrid w:val="0"/>
              <w:spacing w:line="240" w:lineRule="exact"/>
              <w:ind w:left="478" w:hanging="238"/>
            </w:pPr>
            <w:r>
              <w:rPr>
                <w:rFonts w:ascii="標楷體" w:eastAsia="標楷體" w:hAnsi="標楷體"/>
                <w:color w:val="000000"/>
                <w:sz w:val="20"/>
                <w:szCs w:val="20"/>
              </w:rPr>
              <w:t>不符合併用二種此類藥物之適應症</w:t>
            </w:r>
          </w:p>
          <w:p w14:paraId="1CBEAD12" w14:textId="77777777" w:rsidR="00BD776B" w:rsidRDefault="00DF0C24" w:rsidP="008A7063">
            <w:pPr>
              <w:numPr>
                <w:ilvl w:val="0"/>
                <w:numId w:val="47"/>
              </w:numPr>
              <w:tabs>
                <w:tab w:val="left" w:pos="240"/>
              </w:tabs>
              <w:snapToGrid w:val="0"/>
              <w:spacing w:line="240" w:lineRule="exact"/>
              <w:ind w:left="478" w:hanging="238"/>
              <w:rPr>
                <w:rFonts w:ascii="標楷體" w:eastAsia="標楷體" w:hAnsi="標楷體"/>
                <w:color w:val="000000"/>
                <w:sz w:val="20"/>
                <w:szCs w:val="20"/>
              </w:rPr>
            </w:pPr>
            <w:r>
              <w:rPr>
                <w:rFonts w:ascii="標楷體" w:eastAsia="標楷體" w:hAnsi="標楷體"/>
                <w:color w:val="000000"/>
                <w:sz w:val="20"/>
                <w:szCs w:val="20"/>
              </w:rPr>
              <w:t>未附病理切片報告或細胞學檢查報告</w:t>
            </w:r>
          </w:p>
          <w:p w14:paraId="5A02593D" w14:textId="77777777" w:rsidR="00BD776B" w:rsidRDefault="00DF0C24" w:rsidP="008A7063">
            <w:pPr>
              <w:numPr>
                <w:ilvl w:val="0"/>
                <w:numId w:val="47"/>
              </w:numPr>
              <w:tabs>
                <w:tab w:val="left" w:pos="240"/>
              </w:tabs>
              <w:snapToGrid w:val="0"/>
              <w:spacing w:line="240" w:lineRule="exact"/>
              <w:ind w:left="478" w:hanging="238"/>
              <w:rPr>
                <w:rFonts w:ascii="標楷體" w:eastAsia="標楷體" w:hAnsi="標楷體"/>
                <w:color w:val="000000"/>
                <w:sz w:val="20"/>
                <w:szCs w:val="20"/>
              </w:rPr>
            </w:pPr>
            <w:r>
              <w:rPr>
                <w:rFonts w:ascii="標楷體" w:eastAsia="標楷體" w:hAnsi="標楷體"/>
                <w:color w:val="000000"/>
                <w:sz w:val="20"/>
                <w:szCs w:val="20"/>
              </w:rPr>
              <w:t>未附使用其他抗癌藥物無效之記錄</w:t>
            </w:r>
          </w:p>
          <w:p w14:paraId="272660DD" w14:textId="77777777" w:rsidR="00BD776B" w:rsidRDefault="00DF0C24" w:rsidP="008A7063">
            <w:pPr>
              <w:numPr>
                <w:ilvl w:val="0"/>
                <w:numId w:val="47"/>
              </w:numPr>
              <w:tabs>
                <w:tab w:val="left" w:pos="240"/>
              </w:tabs>
              <w:snapToGrid w:val="0"/>
              <w:spacing w:line="240" w:lineRule="exact"/>
              <w:ind w:left="478" w:hanging="238"/>
              <w:rPr>
                <w:rFonts w:ascii="標楷體" w:eastAsia="標楷體" w:hAnsi="標楷體"/>
                <w:color w:val="000000"/>
                <w:sz w:val="20"/>
                <w:szCs w:val="20"/>
              </w:rPr>
            </w:pPr>
            <w:r>
              <w:rPr>
                <w:rFonts w:ascii="標楷體" w:eastAsia="標楷體" w:hAnsi="標楷體"/>
                <w:color w:val="000000"/>
                <w:sz w:val="20"/>
                <w:szCs w:val="20"/>
              </w:rPr>
              <w:t>未附目前是否為晚期或轉移之病歷</w:t>
            </w:r>
          </w:p>
          <w:p w14:paraId="065EC0C0" w14:textId="77777777" w:rsidR="00BD776B" w:rsidRDefault="00DF0C24" w:rsidP="008A7063">
            <w:pPr>
              <w:numPr>
                <w:ilvl w:val="0"/>
                <w:numId w:val="47"/>
              </w:numPr>
              <w:tabs>
                <w:tab w:val="left" w:pos="240"/>
              </w:tabs>
              <w:snapToGrid w:val="0"/>
              <w:spacing w:line="240" w:lineRule="exact"/>
              <w:ind w:left="478" w:hanging="238"/>
              <w:rPr>
                <w:rFonts w:ascii="標楷體" w:eastAsia="標楷體" w:hAnsi="標楷體"/>
                <w:color w:val="000000"/>
                <w:sz w:val="20"/>
                <w:szCs w:val="20"/>
              </w:rPr>
            </w:pPr>
            <w:r>
              <w:rPr>
                <w:rFonts w:ascii="標楷體" w:eastAsia="標楷體" w:hAnsi="標楷體"/>
                <w:color w:val="000000"/>
                <w:sz w:val="20"/>
                <w:szCs w:val="20"/>
              </w:rPr>
              <w:t>未附治療計劃(預計使用上述藥物之劑量及預計使用次數)</w:t>
            </w:r>
          </w:p>
          <w:p w14:paraId="7C153DA5" w14:textId="77777777" w:rsidR="00BD776B" w:rsidRDefault="00DF0C24" w:rsidP="008A7063">
            <w:pPr>
              <w:numPr>
                <w:ilvl w:val="0"/>
                <w:numId w:val="47"/>
              </w:numPr>
              <w:tabs>
                <w:tab w:val="left" w:pos="240"/>
              </w:tabs>
              <w:snapToGrid w:val="0"/>
              <w:spacing w:line="240" w:lineRule="exact"/>
              <w:ind w:left="478" w:hanging="238"/>
              <w:rPr>
                <w:rFonts w:ascii="標楷體" w:eastAsia="標楷體" w:hAnsi="標楷體"/>
                <w:color w:val="000000"/>
                <w:sz w:val="20"/>
                <w:szCs w:val="20"/>
              </w:rPr>
            </w:pPr>
            <w:r>
              <w:rPr>
                <w:rFonts w:ascii="標楷體" w:eastAsia="標楷體" w:hAnsi="標楷體"/>
                <w:color w:val="000000"/>
                <w:sz w:val="20"/>
                <w:szCs w:val="20"/>
              </w:rPr>
              <w:t>相關檢驗、檢查報告不全(如影像診斷報告或腫瘤標誌)</w:t>
            </w:r>
          </w:p>
          <w:p w14:paraId="55EAD01C" w14:textId="77777777" w:rsidR="00BD776B" w:rsidRDefault="00DF0C24" w:rsidP="008A7063">
            <w:pPr>
              <w:numPr>
                <w:ilvl w:val="0"/>
                <w:numId w:val="47"/>
              </w:numPr>
              <w:tabs>
                <w:tab w:val="left" w:pos="240"/>
              </w:tabs>
              <w:snapToGrid w:val="0"/>
              <w:spacing w:line="240" w:lineRule="exact"/>
              <w:ind w:left="478" w:hanging="238"/>
            </w:pPr>
            <w:r>
              <w:rPr>
                <w:rFonts w:ascii="標楷體" w:eastAsia="標楷體" w:hAnsi="標楷體"/>
                <w:color w:val="000000"/>
                <w:sz w:val="20"/>
                <w:szCs w:val="20"/>
              </w:rPr>
              <w:t>補附資料再審，請補充以下資料</w:t>
            </w:r>
          </w:p>
          <w:p w14:paraId="2C3EB50A" w14:textId="77777777" w:rsidR="00BD776B" w:rsidRDefault="00DF0C24" w:rsidP="008A7063">
            <w:pPr>
              <w:numPr>
                <w:ilvl w:val="0"/>
                <w:numId w:val="47"/>
              </w:numPr>
              <w:tabs>
                <w:tab w:val="left" w:pos="240"/>
              </w:tabs>
              <w:snapToGrid w:val="0"/>
              <w:spacing w:line="240" w:lineRule="exact"/>
              <w:ind w:left="478" w:hanging="238"/>
            </w:pPr>
            <w:r>
              <w:rPr>
                <w:rFonts w:ascii="標楷體" w:eastAsia="標楷體" w:hAnsi="標楷體"/>
                <w:color w:val="000000"/>
                <w:sz w:val="20"/>
                <w:szCs w:val="20"/>
              </w:rPr>
              <w:t>其他：</w:t>
            </w:r>
          </w:p>
        </w:tc>
      </w:tr>
      <w:tr w:rsidR="00BD776B" w14:paraId="474B2E34" w14:textId="77777777">
        <w:trPr>
          <w:cantSplit/>
          <w:trHeight w:val="487"/>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69B7" w14:textId="77777777" w:rsidR="00BD776B" w:rsidRDefault="00DF0C24">
            <w:pPr>
              <w:snapToGrid w:val="0"/>
              <w:rPr>
                <w:rFonts w:ascii="標楷體" w:eastAsia="標楷體" w:hAnsi="標楷體"/>
                <w:color w:val="000000"/>
              </w:rPr>
            </w:pPr>
            <w:r>
              <w:rPr>
                <w:rFonts w:ascii="標楷體" w:eastAsia="標楷體" w:hAnsi="標楷體"/>
                <w:color w:val="000000"/>
              </w:rPr>
              <w:t>注意事項</w:t>
            </w:r>
          </w:p>
          <w:p w14:paraId="25524376" w14:textId="77777777" w:rsidR="00BD776B" w:rsidRDefault="00BD776B">
            <w:pPr>
              <w:snapToGrid w:val="0"/>
              <w:ind w:hanging="211"/>
              <w:rPr>
                <w:rFonts w:ascii="標楷體" w:eastAsia="標楷體" w:hAnsi="標楷體"/>
                <w:color w:val="000000"/>
                <w:sz w:val="20"/>
                <w:szCs w:val="20"/>
              </w:rPr>
            </w:pPr>
          </w:p>
        </w:tc>
        <w:tc>
          <w:tcPr>
            <w:tcW w:w="9124"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2BF43"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7EA04C6C"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「原受理編號」申復時填寫，初次送核不需填寫。</w:t>
            </w:r>
          </w:p>
          <w:p w14:paraId="66A0B854"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3ECC5A56"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40B27DB1"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對複核結果如有異議，得於收到複核通知之日起六十日內向全民健康保險爭議審議會申請審議。</w:t>
            </w:r>
          </w:p>
          <w:p w14:paraId="1A8CD116"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273DEE0B" w14:textId="77777777" w:rsidR="00BD776B" w:rsidRDefault="00DF0C24" w:rsidP="008A7063">
            <w:pPr>
              <w:numPr>
                <w:ilvl w:val="0"/>
                <w:numId w:val="48"/>
              </w:numPr>
              <w:snapToGrid w:val="0"/>
              <w:spacing w:line="200" w:lineRule="exact"/>
              <w:ind w:left="0"/>
              <w:rPr>
                <w:rFonts w:ascii="標楷體" w:eastAsia="標楷體" w:hAnsi="標楷體"/>
                <w:color w:val="000000"/>
                <w:kern w:val="0"/>
                <w:sz w:val="20"/>
                <w:szCs w:val="20"/>
              </w:rPr>
            </w:pPr>
            <w:r>
              <w:rPr>
                <w:rFonts w:ascii="標楷體" w:eastAsia="標楷體" w:hAnsi="標楷體"/>
                <w:color w:val="000000"/>
                <w:kern w:val="0"/>
                <w:sz w:val="20"/>
                <w:szCs w:val="20"/>
              </w:rPr>
              <w:t>保險醫事服務機構如因事出緊急，得以書面說明電傳保險人報備後，先行處理治療，並立即備齊應附文件備查。經報備後未及經審查回復即因急迫需要而施行者，應依專業審查核定結果辦理。</w:t>
            </w:r>
          </w:p>
          <w:p w14:paraId="0DE1E68E" w14:textId="77777777" w:rsidR="00BD776B" w:rsidRDefault="00BD776B">
            <w:pPr>
              <w:snapToGrid w:val="0"/>
              <w:spacing w:line="200" w:lineRule="exact"/>
              <w:rPr>
                <w:rFonts w:ascii="標楷體" w:eastAsia="標楷體" w:hAnsi="標楷體"/>
                <w:color w:val="000000"/>
                <w:kern w:val="0"/>
                <w:sz w:val="20"/>
                <w:szCs w:val="20"/>
              </w:rPr>
            </w:pPr>
          </w:p>
        </w:tc>
        <w:tc>
          <w:tcPr>
            <w:tcW w:w="4920" w:type="dxa"/>
            <w:gridSpan w:val="14"/>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2E567ECC" w14:textId="77777777" w:rsidR="00BD776B" w:rsidRDefault="00BD776B">
            <w:pPr>
              <w:snapToGrid w:val="0"/>
              <w:rPr>
                <w:rFonts w:ascii="標楷體" w:eastAsia="標楷體" w:hAnsi="標楷體"/>
                <w:color w:val="000000"/>
                <w:sz w:val="20"/>
                <w:szCs w:val="20"/>
              </w:rPr>
            </w:pPr>
          </w:p>
        </w:tc>
      </w:tr>
      <w:tr w:rsidR="00BD776B" w14:paraId="5941108E" w14:textId="77777777">
        <w:trPr>
          <w:cantSplit/>
          <w:trHeight w:val="1132"/>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84F6B" w14:textId="77777777" w:rsidR="00BD776B" w:rsidRDefault="00BD776B">
            <w:pPr>
              <w:snapToGrid w:val="0"/>
              <w:ind w:left="211" w:hanging="211"/>
              <w:rPr>
                <w:rFonts w:ascii="標楷體" w:eastAsia="標楷體" w:hAnsi="標楷體"/>
                <w:color w:val="000000"/>
              </w:rPr>
            </w:pPr>
          </w:p>
        </w:tc>
        <w:tc>
          <w:tcPr>
            <w:tcW w:w="9124"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B7D22" w14:textId="77777777" w:rsidR="00BD776B" w:rsidRDefault="00BD776B">
            <w:pPr>
              <w:snapToGrid w:val="0"/>
              <w:ind w:left="211" w:hanging="211"/>
              <w:rPr>
                <w:rFonts w:ascii="標楷體" w:eastAsia="標楷體" w:hAnsi="標楷體"/>
                <w:color w:val="000000"/>
              </w:rPr>
            </w:pPr>
          </w:p>
        </w:tc>
        <w:tc>
          <w:tcPr>
            <w:tcW w:w="3600" w:type="dxa"/>
            <w:gridSpan w:val="1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C6335" w14:textId="77777777" w:rsidR="00BD776B" w:rsidRDefault="00BD776B">
            <w:pPr>
              <w:snapToGrid w:val="0"/>
              <w:jc w:val="both"/>
              <w:rPr>
                <w:rFonts w:ascii="標楷體" w:eastAsia="標楷體" w:hAnsi="標楷體"/>
                <w:color w:val="000000"/>
              </w:rPr>
            </w:pPr>
          </w:p>
          <w:p w14:paraId="4A46CAA2" w14:textId="77777777" w:rsidR="00BD776B" w:rsidRDefault="00BD776B">
            <w:pPr>
              <w:snapToGrid w:val="0"/>
              <w:jc w:val="both"/>
              <w:rPr>
                <w:rFonts w:ascii="標楷體" w:eastAsia="標楷體" w:hAnsi="標楷體"/>
                <w:color w:val="000000"/>
              </w:rPr>
            </w:pPr>
          </w:p>
          <w:p w14:paraId="18D895A6" w14:textId="77777777" w:rsidR="00BD776B" w:rsidRDefault="00DF0C24">
            <w:pPr>
              <w:snapToGrid w:val="0"/>
              <w:jc w:val="both"/>
              <w:rPr>
                <w:rFonts w:ascii="標楷體" w:eastAsia="標楷體" w:hAnsi="標楷體"/>
                <w:color w:val="000000"/>
                <w:sz w:val="20"/>
                <w:szCs w:val="20"/>
              </w:rPr>
            </w:pPr>
            <w:r>
              <w:rPr>
                <w:rFonts w:ascii="標楷體" w:eastAsia="標楷體" w:hAnsi="標楷體"/>
                <w:color w:val="000000"/>
                <w:sz w:val="20"/>
                <w:szCs w:val="20"/>
              </w:rPr>
              <w:t>保險人日期章戳</w:t>
            </w:r>
          </w:p>
          <w:p w14:paraId="47F1D141" w14:textId="77777777" w:rsidR="00BD776B" w:rsidRDefault="00BD776B">
            <w:pPr>
              <w:snapToGrid w:val="0"/>
              <w:jc w:val="both"/>
              <w:rPr>
                <w:rFonts w:ascii="標楷體" w:eastAsia="標楷體" w:hAnsi="標楷體"/>
                <w:color w:val="000000"/>
                <w:sz w:val="20"/>
                <w:szCs w:val="20"/>
              </w:rPr>
            </w:pPr>
          </w:p>
        </w:tc>
        <w:tc>
          <w:tcPr>
            <w:tcW w:w="3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57D30" w14:textId="77777777" w:rsidR="00BD776B" w:rsidRDefault="00DF0C24">
            <w:pPr>
              <w:snapToGrid w:val="0"/>
              <w:rPr>
                <w:rFonts w:ascii="標楷體" w:eastAsia="標楷體" w:hAnsi="標楷體"/>
                <w:color w:val="000000"/>
              </w:rPr>
            </w:pPr>
            <w:r>
              <w:rPr>
                <w:rFonts w:ascii="標楷體" w:eastAsia="標楷體" w:hAnsi="標楷體"/>
                <w:color w:val="000000"/>
              </w:rPr>
              <w:t>審查醫師</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0545C" w14:textId="77777777" w:rsidR="00BD776B" w:rsidRDefault="00BD776B">
            <w:pPr>
              <w:snapToGrid w:val="0"/>
              <w:rPr>
                <w:rFonts w:ascii="標楷體" w:eastAsia="標楷體" w:hAnsi="標楷體"/>
                <w:color w:val="000000"/>
              </w:rPr>
            </w:pPr>
          </w:p>
        </w:tc>
      </w:tr>
      <w:tr w:rsidR="00BD776B" w14:paraId="6F55DEFC" w14:textId="77777777">
        <w:trPr>
          <w:cantSplit/>
          <w:trHeight w:val="938"/>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50E33" w14:textId="77777777" w:rsidR="00BD776B" w:rsidRDefault="00BD776B">
            <w:pPr>
              <w:snapToGrid w:val="0"/>
              <w:ind w:left="211" w:hanging="211"/>
              <w:rPr>
                <w:rFonts w:ascii="標楷體" w:eastAsia="標楷體" w:hAnsi="標楷體"/>
                <w:color w:val="000000"/>
              </w:rPr>
            </w:pPr>
          </w:p>
        </w:tc>
        <w:tc>
          <w:tcPr>
            <w:tcW w:w="9124"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E829C" w14:textId="77777777" w:rsidR="00BD776B" w:rsidRDefault="00BD776B">
            <w:pPr>
              <w:snapToGrid w:val="0"/>
              <w:ind w:left="211" w:hanging="211"/>
              <w:rPr>
                <w:rFonts w:ascii="標楷體" w:eastAsia="標楷體" w:hAnsi="標楷體"/>
                <w:color w:val="000000"/>
              </w:rPr>
            </w:pPr>
          </w:p>
        </w:tc>
        <w:tc>
          <w:tcPr>
            <w:tcW w:w="3600" w:type="dxa"/>
            <w:gridSpan w:val="1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56A79" w14:textId="77777777" w:rsidR="00BD776B" w:rsidRDefault="00BD776B">
            <w:pPr>
              <w:snapToGrid w:val="0"/>
              <w:rPr>
                <w:rFonts w:ascii="標楷體" w:eastAsia="標楷體" w:hAnsi="標楷體"/>
                <w:color w:val="000000"/>
              </w:rPr>
            </w:pPr>
          </w:p>
        </w:tc>
        <w:tc>
          <w:tcPr>
            <w:tcW w:w="3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26898" w14:textId="77777777" w:rsidR="00BD776B" w:rsidRDefault="00BD776B">
            <w:pPr>
              <w:snapToGrid w:val="0"/>
              <w:rPr>
                <w:rFonts w:ascii="標楷體" w:eastAsia="標楷體" w:hAnsi="標楷體"/>
                <w:color w:val="000000"/>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5161" w14:textId="77777777" w:rsidR="00BD776B" w:rsidRDefault="00BD776B">
            <w:pPr>
              <w:snapToGrid w:val="0"/>
              <w:rPr>
                <w:rFonts w:ascii="標楷體" w:eastAsia="標楷體" w:hAnsi="標楷體"/>
                <w:color w:val="000000"/>
              </w:rPr>
            </w:pPr>
          </w:p>
        </w:tc>
      </w:tr>
      <w:tr w:rsidR="00BD776B" w14:paraId="586B2822" w14:textId="77777777">
        <w:trPr>
          <w:cantSplit/>
          <w:trHeight w:val="740"/>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586734" w14:textId="77777777" w:rsidR="00BD776B" w:rsidRDefault="00BD776B">
            <w:pPr>
              <w:snapToGrid w:val="0"/>
              <w:spacing w:line="240" w:lineRule="exact"/>
              <w:rPr>
                <w:rFonts w:ascii="標楷體" w:eastAsia="標楷體" w:hAnsi="標楷體"/>
                <w:color w:val="000000"/>
              </w:rPr>
            </w:pPr>
          </w:p>
          <w:p w14:paraId="767C00E4"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醫事服務機構</w:t>
            </w:r>
          </w:p>
        </w:tc>
        <w:tc>
          <w:tcPr>
            <w:tcW w:w="8720"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B2437"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醫院申請日期：  年  月  日</w:t>
            </w:r>
          </w:p>
          <w:p w14:paraId="0DE90F5A" w14:textId="77777777" w:rsidR="00BD776B" w:rsidRDefault="00BD776B">
            <w:pPr>
              <w:snapToGrid w:val="0"/>
              <w:spacing w:line="240" w:lineRule="exact"/>
              <w:rPr>
                <w:rFonts w:ascii="標楷體" w:eastAsia="標楷體" w:hAnsi="標楷體"/>
                <w:color w:val="000000"/>
              </w:rPr>
            </w:pPr>
          </w:p>
          <w:p w14:paraId="40FE9A1B"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t>文號：</w:t>
            </w:r>
          </w:p>
        </w:tc>
        <w:tc>
          <w:tcPr>
            <w:tcW w:w="35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D04F" w14:textId="77777777" w:rsidR="00BD776B" w:rsidRDefault="00DF0C24">
            <w:pPr>
              <w:widowControl/>
              <w:snapToGrid w:val="0"/>
              <w:spacing w:line="240" w:lineRule="exact"/>
              <w:rPr>
                <w:rFonts w:ascii="標楷體" w:eastAsia="標楷體" w:hAnsi="標楷體"/>
                <w:color w:val="000000"/>
              </w:rPr>
            </w:pPr>
            <w:r>
              <w:rPr>
                <w:rFonts w:ascii="標楷體" w:eastAsia="標楷體" w:hAnsi="標楷體"/>
                <w:color w:val="000000"/>
              </w:rPr>
              <w:t>承辦人</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619A6" w14:textId="77777777" w:rsidR="00BD776B" w:rsidRDefault="00BD776B">
            <w:pPr>
              <w:widowControl/>
              <w:snapToGrid w:val="0"/>
              <w:rPr>
                <w:rFonts w:ascii="標楷體" w:eastAsia="標楷體" w:hAnsi="標楷體"/>
                <w:color w:val="000000"/>
              </w:rPr>
            </w:pPr>
          </w:p>
          <w:p w14:paraId="08D2E2EE" w14:textId="77777777" w:rsidR="00BD776B" w:rsidRDefault="00BD776B">
            <w:pPr>
              <w:snapToGrid w:val="0"/>
              <w:spacing w:line="240" w:lineRule="exact"/>
              <w:rPr>
                <w:rFonts w:ascii="標楷體" w:eastAsia="標楷體" w:hAnsi="標楷體"/>
                <w:color w:val="000000"/>
              </w:rPr>
            </w:pPr>
          </w:p>
        </w:tc>
        <w:tc>
          <w:tcPr>
            <w:tcW w:w="36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884FA" w14:textId="77777777" w:rsidR="00BD776B" w:rsidRDefault="00DF0C24">
            <w:pPr>
              <w:widowControl/>
              <w:snapToGrid w:val="0"/>
              <w:spacing w:line="240" w:lineRule="exact"/>
              <w:rPr>
                <w:rFonts w:ascii="標楷體" w:eastAsia="標楷體" w:hAnsi="標楷體"/>
                <w:color w:val="000000"/>
              </w:rPr>
            </w:pPr>
            <w:r>
              <w:rPr>
                <w:rFonts w:ascii="標楷體" w:eastAsia="標楷體" w:hAnsi="標楷體"/>
                <w:color w:val="000000"/>
              </w:rPr>
              <w:t>複核</w:t>
            </w:r>
          </w:p>
          <w:p w14:paraId="67F22D5B" w14:textId="77777777" w:rsidR="00BD776B" w:rsidRDefault="00BD776B">
            <w:pPr>
              <w:widowControl/>
              <w:snapToGrid w:val="0"/>
              <w:rPr>
                <w:rFonts w:ascii="標楷體" w:eastAsia="標楷體" w:hAnsi="標楷體"/>
                <w:color w:val="000000"/>
              </w:rPr>
            </w:pPr>
          </w:p>
        </w:tc>
        <w:tc>
          <w:tcPr>
            <w:tcW w:w="840"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2E149" w14:textId="77777777" w:rsidR="00BD776B" w:rsidRDefault="00BD776B">
            <w:pPr>
              <w:widowControl/>
              <w:snapToGrid w:val="0"/>
              <w:rPr>
                <w:rFonts w:ascii="標楷體" w:eastAsia="標楷體" w:hAnsi="標楷體"/>
                <w:color w:val="000000"/>
              </w:rPr>
            </w:pPr>
          </w:p>
          <w:p w14:paraId="5F499691" w14:textId="77777777" w:rsidR="00BD776B" w:rsidRDefault="00BD776B">
            <w:pPr>
              <w:snapToGrid w:val="0"/>
              <w:spacing w:line="240" w:lineRule="exact"/>
              <w:rPr>
                <w:rFonts w:ascii="標楷體" w:eastAsia="標楷體" w:hAnsi="標楷體"/>
                <w:color w:val="000000"/>
              </w:rPr>
            </w:pP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22BD8"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科長</w:t>
            </w:r>
          </w:p>
        </w:tc>
        <w:tc>
          <w:tcPr>
            <w:tcW w:w="8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8B7EA" w14:textId="77777777" w:rsidR="00BD776B" w:rsidRDefault="00BD776B">
            <w:pPr>
              <w:widowControl/>
              <w:snapToGrid w:val="0"/>
              <w:rPr>
                <w:rFonts w:ascii="標楷體" w:eastAsia="標楷體" w:hAnsi="標楷體"/>
                <w:color w:val="000000"/>
              </w:rPr>
            </w:pPr>
          </w:p>
          <w:p w14:paraId="22B45990" w14:textId="77777777" w:rsidR="00BD776B" w:rsidRDefault="00BD776B">
            <w:pPr>
              <w:snapToGrid w:val="0"/>
              <w:spacing w:line="240" w:lineRule="exact"/>
              <w:rPr>
                <w:rFonts w:ascii="標楷體" w:eastAsia="標楷體" w:hAnsi="標楷體"/>
                <w:color w:val="000000"/>
              </w:rPr>
            </w:pPr>
          </w:p>
        </w:tc>
        <w:tc>
          <w:tcPr>
            <w:tcW w:w="37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C9CB6" w14:textId="77777777" w:rsidR="00BD776B" w:rsidRDefault="00DF0C24">
            <w:pPr>
              <w:widowControl/>
              <w:snapToGrid w:val="0"/>
              <w:spacing w:line="240" w:lineRule="exact"/>
              <w:rPr>
                <w:rFonts w:ascii="標楷體" w:eastAsia="標楷體" w:hAnsi="標楷體"/>
                <w:color w:val="000000"/>
              </w:rPr>
            </w:pPr>
            <w:r>
              <w:rPr>
                <w:rFonts w:ascii="標楷體" w:eastAsia="標楷體" w:hAnsi="標楷體"/>
                <w:color w:val="000000"/>
              </w:rPr>
              <w:t>決行</w:t>
            </w:r>
          </w:p>
          <w:p w14:paraId="5974E32F" w14:textId="77777777" w:rsidR="00BD776B" w:rsidRDefault="00BD776B">
            <w:pPr>
              <w:widowControl/>
              <w:snapToGrid w:val="0"/>
              <w:rPr>
                <w:rFonts w:ascii="標楷體" w:eastAsia="標楷體" w:hAnsi="標楷體"/>
                <w:color w:val="000000"/>
              </w:rPr>
            </w:pPr>
          </w:p>
        </w:tc>
        <w:tc>
          <w:tcPr>
            <w:tcW w:w="94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C5FA8" w14:textId="77777777" w:rsidR="00BD776B" w:rsidRDefault="00BD776B">
            <w:pPr>
              <w:widowControl/>
              <w:snapToGrid w:val="0"/>
              <w:rPr>
                <w:rFonts w:ascii="標楷體" w:eastAsia="標楷體" w:hAnsi="標楷體"/>
                <w:color w:val="000000"/>
              </w:rPr>
            </w:pPr>
          </w:p>
          <w:p w14:paraId="4B2EAB37" w14:textId="77777777" w:rsidR="00BD776B" w:rsidRDefault="00BD776B">
            <w:pPr>
              <w:snapToGrid w:val="0"/>
              <w:spacing w:line="240" w:lineRule="exact"/>
              <w:rPr>
                <w:rFonts w:ascii="標楷體" w:eastAsia="標楷體" w:hAnsi="標楷體"/>
                <w:color w:val="000000"/>
              </w:rPr>
            </w:pPr>
          </w:p>
        </w:tc>
      </w:tr>
    </w:tbl>
    <w:p w14:paraId="21EF8150" w14:textId="77777777" w:rsidR="00BD776B" w:rsidRDefault="00DF0C24">
      <w:pPr>
        <w:pStyle w:val="Web"/>
        <w:widowControl w:val="0"/>
        <w:snapToGrid w:val="0"/>
        <w:spacing w:before="0" w:after="0" w:line="380" w:lineRule="exact"/>
        <w:jc w:val="both"/>
      </w:pPr>
      <w:r>
        <w:rPr>
          <w:rFonts w:ascii="標楷體" w:eastAsia="標楷體" w:hAnsi="標楷體" w:cs="標楷體"/>
          <w:color w:val="000000"/>
        </w:rPr>
        <w:t>附表八之一全民健康保險使用抗癌藥品</w:t>
      </w:r>
      <w:r>
        <w:rPr>
          <w:rFonts w:ascii="標楷體" w:eastAsia="標楷體" w:hAnsi="標楷體" w:cs="Times New Roman"/>
          <w:color w:val="000000"/>
        </w:rPr>
        <w:t>Fludarabine</w:t>
      </w:r>
      <w:r>
        <w:rPr>
          <w:rFonts w:ascii="標楷體" w:eastAsia="標楷體" w:hAnsi="標楷體" w:cs="標楷體"/>
          <w:color w:val="000000"/>
        </w:rPr>
        <w:t>申請表</w:t>
      </w:r>
    </w:p>
    <w:tbl>
      <w:tblPr>
        <w:tblW w:w="14436" w:type="dxa"/>
        <w:tblLayout w:type="fixed"/>
        <w:tblCellMar>
          <w:left w:w="10" w:type="dxa"/>
          <w:right w:w="10" w:type="dxa"/>
        </w:tblCellMar>
        <w:tblLook w:val="0000" w:firstRow="0" w:lastRow="0" w:firstColumn="0" w:lastColumn="0" w:noHBand="0" w:noVBand="0"/>
      </w:tblPr>
      <w:tblGrid>
        <w:gridCol w:w="383"/>
        <w:gridCol w:w="401"/>
        <w:gridCol w:w="645"/>
        <w:gridCol w:w="150"/>
        <w:gridCol w:w="825"/>
        <w:gridCol w:w="360"/>
        <w:gridCol w:w="18"/>
        <w:gridCol w:w="222"/>
        <w:gridCol w:w="120"/>
        <w:gridCol w:w="499"/>
        <w:gridCol w:w="654"/>
        <w:gridCol w:w="12"/>
        <w:gridCol w:w="286"/>
        <w:gridCol w:w="1303"/>
        <w:gridCol w:w="599"/>
        <w:gridCol w:w="360"/>
        <w:gridCol w:w="956"/>
        <w:gridCol w:w="14"/>
        <w:gridCol w:w="822"/>
        <w:gridCol w:w="16"/>
        <w:gridCol w:w="362"/>
        <w:gridCol w:w="465"/>
        <w:gridCol w:w="11"/>
        <w:gridCol w:w="348"/>
        <w:gridCol w:w="12"/>
        <w:gridCol w:w="228"/>
        <w:gridCol w:w="596"/>
        <w:gridCol w:w="10"/>
        <w:gridCol w:w="349"/>
        <w:gridCol w:w="11"/>
        <w:gridCol w:w="471"/>
        <w:gridCol w:w="15"/>
        <w:gridCol w:w="341"/>
        <w:gridCol w:w="11"/>
        <w:gridCol w:w="41"/>
        <w:gridCol w:w="167"/>
        <w:gridCol w:w="143"/>
        <w:gridCol w:w="9"/>
        <w:gridCol w:w="232"/>
        <w:gridCol w:w="441"/>
        <w:gridCol w:w="157"/>
        <w:gridCol w:w="15"/>
        <w:gridCol w:w="335"/>
        <w:gridCol w:w="9"/>
        <w:gridCol w:w="14"/>
        <w:gridCol w:w="936"/>
        <w:gridCol w:w="22"/>
        <w:gridCol w:w="40"/>
      </w:tblGrid>
      <w:tr w:rsidR="00BD776B" w14:paraId="559B7E1F" w14:textId="77777777">
        <w:trPr>
          <w:cantSplit/>
          <w:trHeight w:val="388"/>
        </w:trPr>
        <w:tc>
          <w:tcPr>
            <w:tcW w:w="2404"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C408F2F" w14:textId="77777777" w:rsidR="00BD776B" w:rsidRDefault="00DF0C24">
            <w:pPr>
              <w:snapToGrid w:val="0"/>
              <w:jc w:val="both"/>
            </w:pPr>
            <w:r>
              <w:rPr>
                <w:rFonts w:ascii="標楷體" w:eastAsia="標楷體" w:hAnsi="標楷體" w:cs="標楷體"/>
                <w:color w:val="000000"/>
                <w:sz w:val="20"/>
                <w:szCs w:val="20"/>
              </w:rPr>
              <w:t>申請類別：</w:t>
            </w:r>
          </w:p>
        </w:tc>
        <w:tc>
          <w:tcPr>
            <w:tcW w:w="4073"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C1F5F5"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05A9D2" w14:textId="77777777" w:rsidR="00BD776B" w:rsidRDefault="00DF0C24">
            <w:pPr>
              <w:snapToGrid w:val="0"/>
            </w:pPr>
            <w:r>
              <w:rPr>
                <w:rFonts w:ascii="標楷體" w:eastAsia="標楷體" w:hAnsi="標楷體" w:cs="標楷體"/>
                <w:color w:val="000000"/>
                <w:sz w:val="20"/>
                <w:szCs w:val="20"/>
              </w:rPr>
              <w:t>受理日期：</w:t>
            </w:r>
          </w:p>
        </w:tc>
        <w:tc>
          <w:tcPr>
            <w:tcW w:w="251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50B3C2" w14:textId="77777777" w:rsidR="00BD776B" w:rsidRDefault="00DF0C24">
            <w:pPr>
              <w:snapToGrid w:val="0"/>
            </w:pPr>
            <w:r>
              <w:rPr>
                <w:rFonts w:ascii="標楷體" w:eastAsia="標楷體" w:hAnsi="標楷體" w:cs="標楷體"/>
                <w:color w:val="000000"/>
                <w:sz w:val="20"/>
                <w:szCs w:val="20"/>
              </w:rPr>
              <w:t>受理編號：</w:t>
            </w:r>
          </w:p>
        </w:tc>
        <w:tc>
          <w:tcPr>
            <w:tcW w:w="287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0CE47C" w14:textId="77777777" w:rsidR="00BD776B" w:rsidRDefault="00DF0C24">
            <w:pPr>
              <w:snapToGrid w:val="0"/>
            </w:pPr>
            <w:r>
              <w:rPr>
                <w:rFonts w:ascii="標楷體" w:eastAsia="標楷體" w:hAnsi="標楷體" w:cs="標楷體"/>
                <w:color w:val="000000"/>
                <w:sz w:val="20"/>
                <w:szCs w:val="20"/>
              </w:rPr>
              <w:t>緊急傳真日期：</w:t>
            </w:r>
          </w:p>
        </w:tc>
        <w:tc>
          <w:tcPr>
            <w:tcW w:w="40" w:type="dxa"/>
            <w:shd w:val="clear" w:color="auto" w:fill="auto"/>
            <w:tcMar>
              <w:top w:w="0" w:type="dxa"/>
              <w:left w:w="10" w:type="dxa"/>
              <w:bottom w:w="0" w:type="dxa"/>
              <w:right w:w="10" w:type="dxa"/>
            </w:tcMar>
          </w:tcPr>
          <w:p w14:paraId="43A615B4" w14:textId="77777777" w:rsidR="00BD776B" w:rsidRDefault="00BD776B">
            <w:pPr>
              <w:snapToGrid w:val="0"/>
            </w:pPr>
          </w:p>
        </w:tc>
      </w:tr>
      <w:tr w:rsidR="00BD776B" w14:paraId="1DD6EBEF" w14:textId="77777777">
        <w:trPr>
          <w:cantSplit/>
          <w:trHeight w:val="517"/>
        </w:trPr>
        <w:tc>
          <w:tcPr>
            <w:tcW w:w="3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42530A"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1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787011"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FEFF3" w14:textId="77777777" w:rsidR="00BD776B" w:rsidRDefault="00BD776B">
            <w:pPr>
              <w:snapToGrid w:val="0"/>
              <w:spacing w:line="200" w:lineRule="exact"/>
              <w:rPr>
                <w:rFonts w:ascii="標楷體" w:eastAsia="標楷體" w:hAnsi="標楷體"/>
                <w:color w:val="000000"/>
                <w:sz w:val="20"/>
                <w:szCs w:val="20"/>
              </w:rPr>
            </w:pPr>
          </w:p>
        </w:tc>
        <w:tc>
          <w:tcPr>
            <w:tcW w:w="3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552AD3"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0A58A9B6"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0673626B"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1393584C"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AF22A5"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D0CEE9"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9E989D"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17BF3" w14:textId="77777777" w:rsidR="00BD776B" w:rsidRDefault="00BD776B">
            <w:pPr>
              <w:pStyle w:val="a7"/>
              <w:tabs>
                <w:tab w:val="clear" w:pos="4153"/>
                <w:tab w:val="clear" w:pos="8306"/>
              </w:tabs>
              <w:spacing w:line="200" w:lineRule="exact"/>
              <w:rPr>
                <w:rFonts w:ascii="標楷體" w:eastAsia="標楷體" w:hAnsi="標楷體"/>
                <w:color w:val="000000"/>
              </w:rPr>
            </w:pPr>
          </w:p>
        </w:tc>
        <w:tc>
          <w:tcPr>
            <w:tcW w:w="16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0D0CF8"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13B7566B"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5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7B15EB" w14:textId="77777777" w:rsidR="00BD776B" w:rsidRDefault="00BD776B">
            <w:pPr>
              <w:snapToGrid w:val="0"/>
              <w:spacing w:line="200" w:lineRule="exact"/>
              <w:rPr>
                <w:rFonts w:ascii="標楷體" w:eastAsia="標楷體" w:hAnsi="標楷體"/>
                <w:color w:val="000000"/>
                <w:sz w:val="20"/>
                <w:szCs w:val="20"/>
              </w:rPr>
            </w:pPr>
          </w:p>
        </w:tc>
        <w:tc>
          <w:tcPr>
            <w:tcW w:w="104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4CA6A"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3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609AB"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143DB1B3" w14:textId="77777777" w:rsidR="00BD776B" w:rsidRDefault="00BD776B">
            <w:pPr>
              <w:snapToGrid w:val="0"/>
              <w:spacing w:line="200" w:lineRule="exact"/>
              <w:rPr>
                <w:rFonts w:ascii="標楷體" w:eastAsia="標楷體" w:hAnsi="標楷體"/>
                <w:color w:val="000000"/>
                <w:sz w:val="20"/>
                <w:szCs w:val="20"/>
              </w:rPr>
            </w:pPr>
          </w:p>
        </w:tc>
      </w:tr>
      <w:tr w:rsidR="00BD776B" w14:paraId="6B4348FB" w14:textId="77777777">
        <w:trPr>
          <w:cantSplit/>
          <w:trHeight w:val="530"/>
        </w:trPr>
        <w:tc>
          <w:tcPr>
            <w:tcW w:w="3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25E360" w14:textId="77777777" w:rsidR="00BD776B" w:rsidRDefault="00BD776B">
            <w:pPr>
              <w:snapToGrid w:val="0"/>
              <w:spacing w:line="200" w:lineRule="exact"/>
              <w:rPr>
                <w:rFonts w:ascii="標楷體" w:eastAsia="標楷體" w:hAnsi="標楷體"/>
                <w:color w:val="000000"/>
                <w:sz w:val="20"/>
                <w:szCs w:val="20"/>
              </w:rPr>
            </w:pPr>
          </w:p>
        </w:tc>
        <w:tc>
          <w:tcPr>
            <w:tcW w:w="1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90B285"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D4738" w14:textId="77777777" w:rsidR="00BD776B" w:rsidRDefault="00BD776B">
            <w:pPr>
              <w:snapToGrid w:val="0"/>
              <w:spacing w:line="200" w:lineRule="exact"/>
              <w:rPr>
                <w:rFonts w:ascii="標楷體" w:eastAsia="標楷體" w:hAnsi="標楷體"/>
                <w:color w:val="000000"/>
                <w:sz w:val="20"/>
                <w:szCs w:val="20"/>
              </w:rPr>
            </w:pPr>
          </w:p>
        </w:tc>
        <w:tc>
          <w:tcPr>
            <w:tcW w:w="36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2244F" w14:textId="77777777" w:rsidR="00BD776B" w:rsidRDefault="00BD776B">
            <w:pPr>
              <w:snapToGrid w:val="0"/>
              <w:spacing w:line="200" w:lineRule="exact"/>
              <w:rPr>
                <w:rFonts w:ascii="標楷體" w:eastAsia="標楷體" w:hAnsi="標楷體"/>
                <w:color w:val="000000"/>
                <w:sz w:val="20"/>
                <w:szCs w:val="20"/>
              </w:rPr>
            </w:pP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77B2ED" w14:textId="77777777" w:rsidR="00BD776B" w:rsidRDefault="00DF0C24">
            <w:pPr>
              <w:snapToGrid w:val="0"/>
              <w:spacing w:line="200" w:lineRule="exact"/>
            </w:pPr>
            <w:r>
              <w:rPr>
                <w:rFonts w:ascii="標楷體" w:eastAsia="標楷體" w:hAnsi="標楷體" w:cs="標楷體"/>
                <w:color w:val="000000"/>
                <w:sz w:val="20"/>
                <w:szCs w:val="20"/>
              </w:rPr>
              <w:t>身分證</w:t>
            </w:r>
          </w:p>
          <w:p w14:paraId="0C183233"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8AFF"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C32285"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560FFF8A"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CB25F4" w14:textId="77777777" w:rsidR="00BD776B" w:rsidRDefault="00BD776B">
            <w:pPr>
              <w:snapToGrid w:val="0"/>
              <w:spacing w:line="200" w:lineRule="exact"/>
              <w:rPr>
                <w:rFonts w:ascii="標楷體" w:eastAsia="標楷體" w:hAnsi="標楷體"/>
                <w:color w:val="000000"/>
                <w:sz w:val="20"/>
                <w:szCs w:val="20"/>
              </w:rPr>
            </w:pPr>
          </w:p>
        </w:tc>
        <w:tc>
          <w:tcPr>
            <w:tcW w:w="16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7BCCCC"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6C68B4" w14:textId="77777777" w:rsidR="00BD776B" w:rsidRDefault="00DF0C24">
            <w:pPr>
              <w:snapToGrid w:val="0"/>
              <w:spacing w:line="200" w:lineRule="exact"/>
              <w:jc w:val="center"/>
            </w:pPr>
            <w:r>
              <w:rPr>
                <w:rFonts w:ascii="標楷體" w:eastAsia="標楷體" w:hAnsi="標楷體" w:cs="標楷體"/>
                <w:color w:val="000000"/>
                <w:sz w:val="20"/>
                <w:szCs w:val="20"/>
              </w:rPr>
              <w:t>病歷號碼</w:t>
            </w:r>
          </w:p>
        </w:tc>
        <w:tc>
          <w:tcPr>
            <w:tcW w:w="143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F99CE2" w14:textId="77777777" w:rsidR="00BD776B" w:rsidRDefault="00BD776B">
            <w:pPr>
              <w:snapToGrid w:val="0"/>
              <w:spacing w:line="200" w:lineRule="exact"/>
              <w:rPr>
                <w:rFonts w:ascii="標楷體" w:eastAsia="標楷體" w:hAnsi="標楷體"/>
                <w:color w:val="000000"/>
                <w:sz w:val="20"/>
                <w:szCs w:val="20"/>
              </w:rPr>
            </w:pPr>
          </w:p>
        </w:tc>
        <w:tc>
          <w:tcPr>
            <w:tcW w:w="95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043543"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2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7C16CB"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69834036" w14:textId="77777777" w:rsidR="00BD776B" w:rsidRDefault="00BD776B">
            <w:pPr>
              <w:snapToGrid w:val="0"/>
              <w:spacing w:line="200" w:lineRule="exact"/>
              <w:rPr>
                <w:rFonts w:ascii="標楷體" w:eastAsia="標楷體" w:hAnsi="標楷體"/>
                <w:color w:val="000000"/>
                <w:sz w:val="20"/>
                <w:szCs w:val="20"/>
              </w:rPr>
            </w:pPr>
          </w:p>
        </w:tc>
      </w:tr>
      <w:tr w:rsidR="00BD776B" w14:paraId="53A67386" w14:textId="77777777">
        <w:trPr>
          <w:cantSplit/>
          <w:trHeight w:val="374"/>
        </w:trPr>
        <w:tc>
          <w:tcPr>
            <w:tcW w:w="157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53BE92"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04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C2A468" w14:textId="77777777" w:rsidR="00BD776B" w:rsidRDefault="00BD776B">
            <w:pPr>
              <w:snapToGrid w:val="0"/>
              <w:spacing w:line="200" w:lineRule="exact"/>
              <w:rPr>
                <w:rFonts w:ascii="標楷體" w:eastAsia="標楷體" w:hAnsi="標楷體"/>
                <w:color w:val="000000"/>
                <w:sz w:val="20"/>
                <w:szCs w:val="20"/>
              </w:rPr>
            </w:pPr>
          </w:p>
        </w:tc>
        <w:tc>
          <w:tcPr>
            <w:tcW w:w="9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29FA8E"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23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DEC15" w14:textId="77777777" w:rsidR="00BD776B" w:rsidRDefault="00BD776B">
            <w:pPr>
              <w:snapToGrid w:val="0"/>
              <w:spacing w:line="200" w:lineRule="exact"/>
              <w:rPr>
                <w:rFonts w:ascii="標楷體" w:eastAsia="標楷體" w:hAnsi="標楷體"/>
                <w:color w:val="000000"/>
                <w:sz w:val="20"/>
                <w:szCs w:val="20"/>
              </w:rPr>
            </w:pPr>
          </w:p>
        </w:tc>
        <w:tc>
          <w:tcPr>
            <w:tcW w:w="16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6BAF2"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13" w:type="dxa"/>
            <w:gridSpan w:val="2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2CE9D2C"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c>
          <w:tcPr>
            <w:tcW w:w="40" w:type="dxa"/>
            <w:shd w:val="clear" w:color="auto" w:fill="auto"/>
            <w:tcMar>
              <w:top w:w="0" w:type="dxa"/>
              <w:left w:w="10" w:type="dxa"/>
              <w:bottom w:w="0" w:type="dxa"/>
              <w:right w:w="10" w:type="dxa"/>
            </w:tcMar>
          </w:tcPr>
          <w:p w14:paraId="6B7070DB" w14:textId="77777777" w:rsidR="00BD776B" w:rsidRDefault="00BD776B">
            <w:pPr>
              <w:snapToGrid w:val="0"/>
              <w:spacing w:line="200" w:lineRule="exact"/>
            </w:pPr>
          </w:p>
        </w:tc>
      </w:tr>
      <w:tr w:rsidR="00BD776B" w14:paraId="35A819F1" w14:textId="77777777">
        <w:trPr>
          <w:cantSplit/>
        </w:trPr>
        <w:tc>
          <w:tcPr>
            <w:tcW w:w="157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AAC029" w14:textId="77777777" w:rsidR="00BD776B" w:rsidRDefault="00DF0C24">
            <w:pPr>
              <w:snapToGrid w:val="0"/>
              <w:spacing w:line="40" w:lineRule="atLeast"/>
              <w:jc w:val="center"/>
            </w:pPr>
            <w:r>
              <w:rPr>
                <w:rFonts w:ascii="標楷體" w:eastAsia="標楷體" w:hAnsi="標楷體" w:cs="標楷體"/>
                <w:color w:val="000000"/>
                <w:sz w:val="20"/>
                <w:szCs w:val="20"/>
              </w:rPr>
              <w:t>藥品名稱及代碼</w:t>
            </w:r>
          </w:p>
        </w:tc>
        <w:tc>
          <w:tcPr>
            <w:tcW w:w="14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9AAEA0"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4803"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29FFC7"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2BFD"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161279AE"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2C9D9"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7A96682A"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13" w:type="dxa"/>
            <w:gridSpan w:val="2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7270765"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40" w:type="dxa"/>
            <w:shd w:val="clear" w:color="auto" w:fill="auto"/>
            <w:tcMar>
              <w:top w:w="0" w:type="dxa"/>
              <w:left w:w="10" w:type="dxa"/>
              <w:bottom w:w="0" w:type="dxa"/>
              <w:right w:w="10" w:type="dxa"/>
            </w:tcMar>
          </w:tcPr>
          <w:p w14:paraId="2F539C83" w14:textId="77777777" w:rsidR="00BD776B" w:rsidRDefault="00BD776B">
            <w:pPr>
              <w:snapToGrid w:val="0"/>
              <w:spacing w:line="200" w:lineRule="exact"/>
              <w:jc w:val="center"/>
            </w:pPr>
          </w:p>
        </w:tc>
      </w:tr>
      <w:tr w:rsidR="00BD776B" w14:paraId="5A63B554" w14:textId="77777777">
        <w:trPr>
          <w:cantSplit/>
          <w:trHeight w:val="1013"/>
        </w:trPr>
        <w:tc>
          <w:tcPr>
            <w:tcW w:w="157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80FEA" w14:textId="77777777" w:rsidR="00BD776B" w:rsidRDefault="00DF0C24">
            <w:pPr>
              <w:snapToGrid w:val="0"/>
              <w:rPr>
                <w:rFonts w:ascii="標楷體" w:eastAsia="標楷體" w:hAnsi="標楷體"/>
                <w:color w:val="000000"/>
                <w:sz w:val="20"/>
                <w:szCs w:val="20"/>
              </w:rPr>
            </w:pPr>
            <w:r>
              <w:rPr>
                <w:rFonts w:ascii="標楷體" w:eastAsia="標楷體" w:hAnsi="標楷體"/>
                <w:color w:val="000000"/>
                <w:sz w:val="20"/>
                <w:szCs w:val="20"/>
              </w:rPr>
              <w:t>FludaraOral,Film-CoatedTablets</w:t>
            </w:r>
          </w:p>
          <w:p w14:paraId="238743EC" w14:textId="77777777" w:rsidR="00BD776B" w:rsidRDefault="00DF0C24" w:rsidP="008A7063">
            <w:pPr>
              <w:numPr>
                <w:ilvl w:val="0"/>
                <w:numId w:val="49"/>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B023585100</w:t>
            </w:r>
          </w:p>
        </w:tc>
        <w:tc>
          <w:tcPr>
            <w:tcW w:w="14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58C41" w14:textId="77777777" w:rsidR="00BD776B" w:rsidRDefault="00DF0C24">
            <w:pPr>
              <w:snapToGrid w:val="0"/>
              <w:ind w:left="212" w:hanging="212"/>
              <w:rPr>
                <w:rFonts w:ascii="標楷體" w:eastAsia="標楷體" w:hAnsi="標楷體" w:cs="標楷體"/>
                <w:color w:val="000000"/>
                <w:sz w:val="20"/>
                <w:szCs w:val="20"/>
              </w:rPr>
            </w:pPr>
            <w:r>
              <w:rPr>
                <w:rFonts w:ascii="標楷體" w:eastAsia="標楷體" w:hAnsi="標楷體" w:cs="標楷體"/>
                <w:color w:val="000000"/>
                <w:sz w:val="20"/>
                <w:szCs w:val="20"/>
              </w:rPr>
              <w:t>□第一次申請</w:t>
            </w:r>
          </w:p>
          <w:p w14:paraId="62225315" w14:textId="77777777" w:rsidR="00BD776B" w:rsidRDefault="00BD776B">
            <w:pPr>
              <w:snapToGrid w:val="0"/>
              <w:ind w:left="212" w:hanging="212"/>
              <w:rPr>
                <w:rFonts w:ascii="標楷體" w:eastAsia="標楷體" w:hAnsi="標楷體" w:cs="標楷體"/>
                <w:color w:val="000000"/>
                <w:sz w:val="20"/>
                <w:szCs w:val="20"/>
              </w:rPr>
            </w:pPr>
          </w:p>
          <w:p w14:paraId="59DA32AE" w14:textId="77777777" w:rsidR="00BD776B" w:rsidRDefault="00DF0C24">
            <w:pPr>
              <w:snapToGrid w:val="0"/>
              <w:ind w:left="212" w:hanging="212"/>
              <w:rPr>
                <w:rFonts w:ascii="標楷體" w:eastAsia="標楷體" w:hAnsi="標楷體" w:cs="標楷體"/>
                <w:color w:val="000000"/>
                <w:sz w:val="20"/>
                <w:szCs w:val="20"/>
              </w:rPr>
            </w:pPr>
            <w:r>
              <w:rPr>
                <w:rFonts w:ascii="標楷體" w:eastAsia="標楷體" w:hAnsi="標楷體" w:cs="標楷體"/>
                <w:color w:val="000000"/>
                <w:sz w:val="20"/>
                <w:szCs w:val="20"/>
              </w:rPr>
              <w:t>□治療後再次申請</w:t>
            </w:r>
          </w:p>
        </w:tc>
        <w:tc>
          <w:tcPr>
            <w:tcW w:w="4803"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2630" w14:textId="77777777" w:rsidR="00BD776B" w:rsidRDefault="00DF0C24" w:rsidP="008A7063">
            <w:pPr>
              <w:numPr>
                <w:ilvl w:val="0"/>
                <w:numId w:val="49"/>
              </w:numPr>
              <w:tabs>
                <w:tab w:val="left" w:pos="240"/>
              </w:tabs>
              <w:snapToGrid w:val="0"/>
              <w:spacing w:before="50" w:line="240" w:lineRule="exact"/>
              <w:ind w:left="238" w:hanging="238"/>
              <w:rPr>
                <w:rFonts w:ascii="標楷體" w:eastAsia="標楷體" w:hAnsi="標楷體"/>
                <w:color w:val="000000"/>
                <w:sz w:val="20"/>
                <w:szCs w:val="20"/>
              </w:rPr>
            </w:pPr>
            <w:r>
              <w:rPr>
                <w:rFonts w:ascii="標楷體" w:eastAsia="標楷體" w:hAnsi="標楷體"/>
                <w:color w:val="000000"/>
                <w:sz w:val="20"/>
                <w:szCs w:val="20"/>
              </w:rPr>
              <w:t>用於β細胞慢性淋巴性白血病(CLL)病患的起始治療及CLL與低惡性度非何杰金氏淋巴瘤(LG-NHL)病患，歷經至少一種標準內容的烷化基藥劑(alkylatingagent)的治療方法都無效，或治療後雖有效但隨後疾病又繼續惡化的病人。</w:t>
            </w:r>
          </w:p>
          <w:p w14:paraId="32E0C546" w14:textId="77777777" w:rsidR="00BD776B" w:rsidRDefault="00DF0C24" w:rsidP="008A7063">
            <w:pPr>
              <w:numPr>
                <w:ilvl w:val="0"/>
                <w:numId w:val="49"/>
              </w:numPr>
              <w:tabs>
                <w:tab w:val="left" w:pos="240"/>
              </w:tabs>
              <w:snapToGrid w:val="0"/>
              <w:spacing w:before="50" w:line="240" w:lineRule="exact"/>
              <w:ind w:left="238" w:hanging="238"/>
            </w:pPr>
            <w:r>
              <w:rPr>
                <w:rFonts w:ascii="標楷體" w:eastAsia="標楷體" w:hAnsi="標楷體"/>
                <w:color w:val="000000"/>
                <w:sz w:val="20"/>
                <w:szCs w:val="20"/>
              </w:rPr>
              <w:t>作為第一線治療，限用於RaiStageⅢ/IV(或BinetC級)之CLL病人。若用於RaiStageI/II(或BinetA/B級)併有疾病相關免疫性症候(如自體免疫性溶血、免疫性血小板低下紫瘢症等)的病人時，需經過至少一種標準的烷化基劑治療無效或病情惡化者。每次申請最多六個（月）療程，再次申請以三個療程為限。</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CCCFE" w14:textId="77777777" w:rsidR="00BD776B" w:rsidRDefault="00BD776B">
            <w:pPr>
              <w:snapToGrid w:val="0"/>
              <w:rPr>
                <w:rFonts w:ascii="標楷體" w:eastAsia="標楷體" w:hAnsi="標楷體"/>
                <w:color w:val="000000"/>
                <w:sz w:val="20"/>
                <w:szCs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11FD0" w14:textId="77777777" w:rsidR="00BD776B" w:rsidRDefault="00BD776B">
            <w:pPr>
              <w:snapToGrid w:val="0"/>
              <w:rPr>
                <w:rFonts w:ascii="標楷體" w:eastAsia="標楷體" w:hAnsi="標楷體"/>
                <w:color w:val="000000"/>
                <w:sz w:val="20"/>
                <w:szCs w:val="20"/>
              </w:rPr>
            </w:pPr>
          </w:p>
        </w:tc>
        <w:tc>
          <w:tcPr>
            <w:tcW w:w="4913" w:type="dxa"/>
            <w:gridSpan w:val="24"/>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73E4BFF" w14:textId="77777777" w:rsidR="00BD776B" w:rsidRDefault="00DF0C24" w:rsidP="008A7063">
            <w:pPr>
              <w:numPr>
                <w:ilvl w:val="0"/>
                <w:numId w:val="49"/>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2BF662E2"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263C4BA6" w14:textId="77777777" w:rsidR="00BD776B" w:rsidRDefault="00DF0C24">
            <w:pPr>
              <w:snapToGrid w:val="0"/>
              <w:spacing w:line="240" w:lineRule="exact"/>
            </w:pPr>
            <w:r>
              <w:rPr>
                <w:rFonts w:ascii="標楷體" w:eastAsia="標楷體" w:hAnsi="標楷體" w:cs="標楷體"/>
                <w:color w:val="000000"/>
                <w:sz w:val="20"/>
                <w:szCs w:val="20"/>
              </w:rPr>
              <w:t>□不同意</w:t>
            </w:r>
          </w:p>
          <w:p w14:paraId="722EE715"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0C641149"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75F7CC59"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3E676054"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1EE742DF"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28FD1C03" w14:textId="77777777" w:rsidR="00BD776B" w:rsidRDefault="00DF0C24" w:rsidP="008A7063">
            <w:pPr>
              <w:numPr>
                <w:ilvl w:val="0"/>
                <w:numId w:val="49"/>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11285F02" w14:textId="77777777" w:rsidR="00BD776B" w:rsidRDefault="00DF0C24" w:rsidP="008A7063">
            <w:pPr>
              <w:numPr>
                <w:ilvl w:val="0"/>
                <w:numId w:val="49"/>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54D180E1"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044A1793" w14:textId="77777777" w:rsidR="00BD776B" w:rsidRDefault="00DF0C24" w:rsidP="008A7063">
            <w:pPr>
              <w:numPr>
                <w:ilvl w:val="0"/>
                <w:numId w:val="49"/>
              </w:numPr>
              <w:tabs>
                <w:tab w:val="left" w:pos="240"/>
              </w:tabs>
              <w:snapToGrid w:val="0"/>
              <w:spacing w:line="240" w:lineRule="exact"/>
              <w:ind w:left="478" w:hanging="238"/>
            </w:pPr>
            <w:r>
              <w:rPr>
                <w:rFonts w:ascii="標楷體" w:eastAsia="標楷體" w:hAnsi="標楷體" w:cs="標楷體"/>
                <w:color w:val="000000"/>
                <w:sz w:val="20"/>
                <w:szCs w:val="20"/>
              </w:rPr>
              <w:t>其他：</w:t>
            </w:r>
          </w:p>
        </w:tc>
        <w:tc>
          <w:tcPr>
            <w:tcW w:w="40" w:type="dxa"/>
            <w:shd w:val="clear" w:color="auto" w:fill="auto"/>
            <w:tcMar>
              <w:top w:w="0" w:type="dxa"/>
              <w:left w:w="10" w:type="dxa"/>
              <w:bottom w:w="0" w:type="dxa"/>
              <w:right w:w="10" w:type="dxa"/>
            </w:tcMar>
          </w:tcPr>
          <w:p w14:paraId="29772218" w14:textId="77777777" w:rsidR="00BD776B" w:rsidRDefault="00BD776B">
            <w:pPr>
              <w:tabs>
                <w:tab w:val="left" w:pos="240"/>
              </w:tabs>
              <w:snapToGrid w:val="0"/>
              <w:spacing w:line="240" w:lineRule="exact"/>
              <w:ind w:left="478" w:hanging="238"/>
            </w:pPr>
          </w:p>
        </w:tc>
      </w:tr>
      <w:tr w:rsidR="00BD776B" w14:paraId="70F146E9" w14:textId="77777777">
        <w:trPr>
          <w:cantSplit/>
          <w:trHeight w:val="1562"/>
        </w:trPr>
        <w:tc>
          <w:tcPr>
            <w:tcW w:w="157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043B6" w14:textId="77777777" w:rsidR="00BD776B" w:rsidRDefault="00DF0C24">
            <w:pPr>
              <w:snapToGrid w:val="0"/>
              <w:rPr>
                <w:rFonts w:ascii="標楷體" w:eastAsia="標楷體" w:hAnsi="標楷體"/>
                <w:color w:val="000000"/>
                <w:sz w:val="20"/>
                <w:szCs w:val="20"/>
              </w:rPr>
            </w:pPr>
            <w:r>
              <w:rPr>
                <w:rFonts w:ascii="標楷體" w:eastAsia="標楷體" w:hAnsi="標楷體"/>
                <w:color w:val="000000"/>
                <w:sz w:val="20"/>
                <w:szCs w:val="20"/>
              </w:rPr>
              <w:t>FludaraLyophilizedIVInjection</w:t>
            </w:r>
          </w:p>
          <w:p w14:paraId="5CA2820B" w14:textId="77777777" w:rsidR="00BD776B" w:rsidRDefault="00DF0C24" w:rsidP="008A7063">
            <w:pPr>
              <w:numPr>
                <w:ilvl w:val="0"/>
                <w:numId w:val="49"/>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B022732248</w:t>
            </w:r>
          </w:p>
        </w:tc>
        <w:tc>
          <w:tcPr>
            <w:tcW w:w="14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63D389" w14:textId="77777777" w:rsidR="00BD776B" w:rsidRDefault="00DF0C24">
            <w:pPr>
              <w:snapToGrid w:val="0"/>
              <w:ind w:left="214" w:hanging="238"/>
              <w:rPr>
                <w:rFonts w:ascii="標楷體" w:eastAsia="標楷體" w:hAnsi="標楷體"/>
                <w:color w:val="000000"/>
                <w:sz w:val="20"/>
                <w:szCs w:val="20"/>
              </w:rPr>
            </w:pPr>
            <w:r>
              <w:rPr>
                <w:rFonts w:ascii="標楷體" w:eastAsia="標楷體" w:hAnsi="標楷體"/>
                <w:color w:val="000000"/>
                <w:sz w:val="20"/>
                <w:szCs w:val="20"/>
              </w:rPr>
              <w:t>□第一次申請</w:t>
            </w:r>
          </w:p>
          <w:p w14:paraId="4DB70C0E" w14:textId="77777777" w:rsidR="00BD776B" w:rsidRDefault="00BD776B">
            <w:pPr>
              <w:snapToGrid w:val="0"/>
              <w:ind w:left="214" w:hanging="238"/>
              <w:rPr>
                <w:rFonts w:ascii="標楷體" w:eastAsia="標楷體" w:hAnsi="標楷體"/>
                <w:color w:val="000000"/>
                <w:sz w:val="20"/>
                <w:szCs w:val="20"/>
              </w:rPr>
            </w:pPr>
          </w:p>
          <w:p w14:paraId="02565466" w14:textId="77777777" w:rsidR="00BD776B" w:rsidRDefault="00DF0C24">
            <w:pPr>
              <w:snapToGrid w:val="0"/>
              <w:ind w:left="214" w:hanging="238"/>
              <w:rPr>
                <w:rFonts w:ascii="標楷體" w:eastAsia="標楷體" w:hAnsi="標楷體"/>
                <w:color w:val="000000"/>
                <w:sz w:val="20"/>
                <w:szCs w:val="20"/>
              </w:rPr>
            </w:pPr>
            <w:r>
              <w:rPr>
                <w:rFonts w:ascii="標楷體" w:eastAsia="標楷體" w:hAnsi="標楷體"/>
                <w:color w:val="000000"/>
                <w:sz w:val="20"/>
                <w:szCs w:val="20"/>
              </w:rPr>
              <w:t>□治療後再次申請</w:t>
            </w:r>
          </w:p>
        </w:tc>
        <w:tc>
          <w:tcPr>
            <w:tcW w:w="4803" w:type="dxa"/>
            <w:gridSpan w:val="1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8254" w14:textId="77777777" w:rsidR="00BD776B" w:rsidRDefault="00BD776B" w:rsidP="008A7063">
            <w:pPr>
              <w:numPr>
                <w:ilvl w:val="0"/>
                <w:numId w:val="49"/>
              </w:numPr>
              <w:tabs>
                <w:tab w:val="left" w:pos="240"/>
              </w:tabs>
              <w:snapToGrid w:val="0"/>
              <w:spacing w:before="50" w:line="240" w:lineRule="exact"/>
              <w:ind w:left="238" w:hanging="238"/>
              <w:rPr>
                <w:rFonts w:ascii="標楷體" w:eastAsia="標楷體" w:hAnsi="標楷體"/>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AFFA" w14:textId="77777777" w:rsidR="00BD776B" w:rsidRDefault="00BD776B">
            <w:pPr>
              <w:snapToGrid w:val="0"/>
              <w:rPr>
                <w:rFonts w:ascii="標楷體" w:eastAsia="標楷體" w:hAnsi="標楷體"/>
                <w:color w:val="000000"/>
                <w:sz w:val="20"/>
                <w:szCs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FE408" w14:textId="77777777" w:rsidR="00BD776B" w:rsidRDefault="00BD776B">
            <w:pPr>
              <w:snapToGrid w:val="0"/>
              <w:rPr>
                <w:rFonts w:ascii="標楷體" w:eastAsia="標楷體" w:hAnsi="標楷體"/>
                <w:color w:val="000000"/>
                <w:sz w:val="20"/>
                <w:szCs w:val="20"/>
              </w:rPr>
            </w:pPr>
          </w:p>
        </w:tc>
        <w:tc>
          <w:tcPr>
            <w:tcW w:w="4913" w:type="dxa"/>
            <w:gridSpan w:val="24"/>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5FBFB6C" w14:textId="77777777" w:rsidR="00BD776B" w:rsidRDefault="00BD776B" w:rsidP="008A7063">
            <w:pPr>
              <w:numPr>
                <w:ilvl w:val="0"/>
                <w:numId w:val="49"/>
              </w:numPr>
              <w:tabs>
                <w:tab w:val="left" w:pos="240"/>
              </w:tabs>
              <w:snapToGrid w:val="0"/>
              <w:ind w:left="240" w:hanging="240"/>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1EE92305" w14:textId="77777777" w:rsidR="00BD776B" w:rsidRDefault="00BD776B">
            <w:pPr>
              <w:tabs>
                <w:tab w:val="left" w:pos="240"/>
              </w:tabs>
              <w:snapToGrid w:val="0"/>
              <w:ind w:left="240" w:hanging="240"/>
              <w:rPr>
                <w:rFonts w:ascii="標楷體" w:eastAsia="標楷體" w:hAnsi="標楷體"/>
                <w:color w:val="000000"/>
                <w:sz w:val="20"/>
                <w:szCs w:val="20"/>
              </w:rPr>
            </w:pPr>
          </w:p>
        </w:tc>
      </w:tr>
      <w:tr w:rsidR="00BD776B" w14:paraId="7FB9876C" w14:textId="77777777">
        <w:trPr>
          <w:cantSplit/>
          <w:trHeight w:val="477"/>
        </w:trPr>
        <w:tc>
          <w:tcPr>
            <w:tcW w:w="3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5F83" w14:textId="77777777" w:rsidR="00BD776B" w:rsidRDefault="00DF0C24">
            <w:pPr>
              <w:snapToGrid w:val="0"/>
              <w:ind w:left="113" w:right="113"/>
            </w:pPr>
            <w:r>
              <w:rPr>
                <w:rFonts w:ascii="標楷體" w:eastAsia="標楷體" w:hAnsi="標楷體" w:cs="標楷體"/>
                <w:color w:val="000000"/>
              </w:rPr>
              <w:t>注意事項</w:t>
            </w:r>
          </w:p>
          <w:p w14:paraId="216F22FF" w14:textId="77777777" w:rsidR="00BD776B" w:rsidRDefault="00BD776B">
            <w:pPr>
              <w:snapToGrid w:val="0"/>
              <w:ind w:left="324" w:right="113" w:hanging="211"/>
              <w:rPr>
                <w:rFonts w:ascii="標楷體" w:eastAsia="標楷體" w:hAnsi="標楷體"/>
                <w:color w:val="000000"/>
                <w:sz w:val="20"/>
                <w:szCs w:val="20"/>
              </w:rPr>
            </w:pPr>
          </w:p>
        </w:tc>
        <w:tc>
          <w:tcPr>
            <w:tcW w:w="9100" w:type="dxa"/>
            <w:gridSpan w:val="2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E5499"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382041C2"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「原受理編號」申復時填寫，初次送核不需填寫。</w:t>
            </w:r>
          </w:p>
          <w:p w14:paraId="48877097"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0EF724C7"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3A4AAA8E"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對複核結果如有異議，得於收到複核通知之日起六十日內向全民健康保險爭議審議會申請審議。</w:t>
            </w:r>
          </w:p>
          <w:p w14:paraId="5D7DCF45"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3E85610F" w14:textId="77777777" w:rsidR="00BD776B" w:rsidRDefault="00DF0C24" w:rsidP="008A7063">
            <w:pPr>
              <w:numPr>
                <w:ilvl w:val="0"/>
                <w:numId w:val="50"/>
              </w:numPr>
              <w:snapToGrid w:val="0"/>
              <w:spacing w:line="200" w:lineRule="exact"/>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4913" w:type="dxa"/>
            <w:gridSpan w:val="24"/>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DE951DF" w14:textId="77777777" w:rsidR="00BD776B" w:rsidRDefault="00BD776B">
            <w:pPr>
              <w:snapToGrid w:val="0"/>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1AF68E30" w14:textId="77777777" w:rsidR="00BD776B" w:rsidRDefault="00BD776B">
            <w:pPr>
              <w:snapToGrid w:val="0"/>
              <w:rPr>
                <w:rFonts w:ascii="標楷體" w:eastAsia="標楷體" w:hAnsi="標楷體"/>
                <w:color w:val="000000"/>
                <w:sz w:val="20"/>
                <w:szCs w:val="20"/>
              </w:rPr>
            </w:pPr>
          </w:p>
        </w:tc>
      </w:tr>
      <w:tr w:rsidR="00BD776B" w14:paraId="3B2EC8A3" w14:textId="77777777">
        <w:trPr>
          <w:cantSplit/>
          <w:trHeight w:val="805"/>
        </w:trPr>
        <w:tc>
          <w:tcPr>
            <w:tcW w:w="3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D3F16" w14:textId="77777777" w:rsidR="00BD776B" w:rsidRDefault="00BD776B">
            <w:pPr>
              <w:snapToGrid w:val="0"/>
              <w:ind w:left="211" w:hanging="211"/>
              <w:rPr>
                <w:rFonts w:ascii="標楷體" w:eastAsia="標楷體" w:hAnsi="標楷體"/>
                <w:color w:val="000000"/>
              </w:rPr>
            </w:pPr>
          </w:p>
        </w:tc>
        <w:tc>
          <w:tcPr>
            <w:tcW w:w="9100" w:type="dxa"/>
            <w:gridSpan w:val="2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9E46B" w14:textId="77777777" w:rsidR="00BD776B" w:rsidRDefault="00BD776B">
            <w:pPr>
              <w:snapToGrid w:val="0"/>
              <w:ind w:left="211" w:hanging="211"/>
              <w:rPr>
                <w:rFonts w:ascii="標楷體" w:eastAsia="標楷體" w:hAnsi="標楷體"/>
                <w:color w:val="000000"/>
              </w:rPr>
            </w:pPr>
          </w:p>
        </w:tc>
        <w:tc>
          <w:tcPr>
            <w:tcW w:w="3597" w:type="dxa"/>
            <w:gridSpan w:val="19"/>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CA3E8" w14:textId="77777777" w:rsidR="00BD776B" w:rsidRDefault="00BD776B">
            <w:pPr>
              <w:snapToGrid w:val="0"/>
              <w:jc w:val="both"/>
              <w:rPr>
                <w:rFonts w:ascii="標楷體" w:eastAsia="標楷體" w:hAnsi="標楷體"/>
                <w:color w:val="000000"/>
              </w:rPr>
            </w:pPr>
          </w:p>
          <w:p w14:paraId="0AA8B641" w14:textId="77777777" w:rsidR="00BD776B" w:rsidRDefault="00BD776B">
            <w:pPr>
              <w:snapToGrid w:val="0"/>
              <w:jc w:val="both"/>
              <w:rPr>
                <w:rFonts w:ascii="標楷體" w:eastAsia="標楷體" w:hAnsi="標楷體"/>
                <w:color w:val="000000"/>
              </w:rPr>
            </w:pPr>
          </w:p>
          <w:p w14:paraId="05648D38"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7D8A5A42" w14:textId="77777777" w:rsidR="00BD776B" w:rsidRDefault="00BD776B">
            <w:pPr>
              <w:snapToGrid w:val="0"/>
              <w:jc w:val="both"/>
              <w:rPr>
                <w:rFonts w:ascii="標楷體" w:eastAsia="標楷體" w:hAnsi="標楷體"/>
                <w:color w:val="000000"/>
                <w:sz w:val="20"/>
                <w:szCs w:val="20"/>
              </w:rPr>
            </w:pPr>
          </w:p>
        </w:tc>
        <w:tc>
          <w:tcPr>
            <w:tcW w:w="35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89AB" w14:textId="77777777" w:rsidR="00BD776B" w:rsidRDefault="00DF0C24">
            <w:pPr>
              <w:snapToGrid w:val="0"/>
              <w:jc w:val="both"/>
            </w:pPr>
            <w:r>
              <w:rPr>
                <w:rFonts w:ascii="標楷體" w:eastAsia="標楷體" w:hAnsi="標楷體" w:cs="標楷體"/>
                <w:color w:val="000000"/>
              </w:rPr>
              <w:t>審查醫師</w:t>
            </w:r>
          </w:p>
        </w:tc>
        <w:tc>
          <w:tcPr>
            <w:tcW w:w="9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F29FB"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6DAA593F" w14:textId="77777777" w:rsidR="00BD776B" w:rsidRDefault="00BD776B">
            <w:pPr>
              <w:snapToGrid w:val="0"/>
              <w:rPr>
                <w:rFonts w:ascii="標楷體" w:eastAsia="標楷體" w:hAnsi="標楷體"/>
                <w:color w:val="000000"/>
              </w:rPr>
            </w:pPr>
          </w:p>
        </w:tc>
      </w:tr>
      <w:tr w:rsidR="00BD776B" w14:paraId="51913DD5" w14:textId="77777777">
        <w:trPr>
          <w:cantSplit/>
          <w:trHeight w:val="538"/>
        </w:trPr>
        <w:tc>
          <w:tcPr>
            <w:tcW w:w="3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3EDB5" w14:textId="77777777" w:rsidR="00BD776B" w:rsidRDefault="00BD776B">
            <w:pPr>
              <w:snapToGrid w:val="0"/>
              <w:ind w:left="211" w:hanging="211"/>
              <w:rPr>
                <w:rFonts w:ascii="標楷體" w:eastAsia="標楷體" w:hAnsi="標楷體"/>
                <w:color w:val="000000"/>
              </w:rPr>
            </w:pPr>
          </w:p>
        </w:tc>
        <w:tc>
          <w:tcPr>
            <w:tcW w:w="9100" w:type="dxa"/>
            <w:gridSpan w:val="2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30016" w14:textId="77777777" w:rsidR="00BD776B" w:rsidRDefault="00BD776B">
            <w:pPr>
              <w:snapToGrid w:val="0"/>
              <w:ind w:left="211" w:hanging="211"/>
              <w:rPr>
                <w:rFonts w:ascii="標楷體" w:eastAsia="標楷體" w:hAnsi="標楷體"/>
                <w:color w:val="000000"/>
              </w:rPr>
            </w:pPr>
          </w:p>
        </w:tc>
        <w:tc>
          <w:tcPr>
            <w:tcW w:w="3597" w:type="dxa"/>
            <w:gridSpan w:val="19"/>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22D6" w14:textId="77777777" w:rsidR="00BD776B" w:rsidRDefault="00BD776B">
            <w:pPr>
              <w:snapToGrid w:val="0"/>
              <w:jc w:val="both"/>
              <w:rPr>
                <w:rFonts w:ascii="標楷體" w:eastAsia="標楷體" w:hAnsi="標楷體"/>
                <w:color w:val="000000"/>
              </w:rPr>
            </w:pPr>
          </w:p>
        </w:tc>
        <w:tc>
          <w:tcPr>
            <w:tcW w:w="35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333A" w14:textId="77777777" w:rsidR="00BD776B" w:rsidRDefault="00BD776B">
            <w:pPr>
              <w:snapToGrid w:val="0"/>
              <w:jc w:val="both"/>
              <w:rPr>
                <w:rFonts w:ascii="標楷體" w:eastAsia="標楷體" w:hAnsi="標楷體" w:cs="標楷體"/>
                <w:color w:val="000000"/>
              </w:rPr>
            </w:pPr>
          </w:p>
        </w:tc>
        <w:tc>
          <w:tcPr>
            <w:tcW w:w="9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9F67D"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5371D8A6" w14:textId="77777777" w:rsidR="00BD776B" w:rsidRDefault="00BD776B">
            <w:pPr>
              <w:snapToGrid w:val="0"/>
              <w:rPr>
                <w:rFonts w:ascii="標楷體" w:eastAsia="標楷體" w:hAnsi="標楷體"/>
                <w:color w:val="000000"/>
              </w:rPr>
            </w:pPr>
          </w:p>
        </w:tc>
      </w:tr>
      <w:tr w:rsidR="00BD776B" w14:paraId="350C08B4" w14:textId="77777777">
        <w:trPr>
          <w:cantSplit/>
          <w:trHeight w:val="729"/>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DF2F0" w14:textId="77777777" w:rsidR="00BD776B" w:rsidRDefault="00BD776B">
            <w:pPr>
              <w:snapToGrid w:val="0"/>
              <w:spacing w:line="240" w:lineRule="exact"/>
              <w:rPr>
                <w:rFonts w:ascii="標楷體" w:eastAsia="標楷體" w:hAnsi="標楷體" w:cs="標楷體"/>
                <w:color w:val="000000"/>
              </w:rPr>
            </w:pPr>
          </w:p>
          <w:p w14:paraId="685DC3DE" w14:textId="77777777" w:rsidR="00BD776B" w:rsidRDefault="00DF0C24">
            <w:pPr>
              <w:snapToGrid w:val="0"/>
              <w:spacing w:line="240" w:lineRule="exact"/>
            </w:pPr>
            <w:r>
              <w:rPr>
                <w:rFonts w:ascii="標楷體" w:eastAsia="標楷體" w:hAnsi="標楷體" w:cs="標楷體"/>
                <w:color w:val="000000"/>
              </w:rPr>
              <w:t>醫事服務機構</w:t>
            </w:r>
          </w:p>
        </w:tc>
        <w:tc>
          <w:tcPr>
            <w:tcW w:w="869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FFDF4" w14:textId="77777777" w:rsidR="00BD776B" w:rsidRDefault="00DF0C24">
            <w:pPr>
              <w:snapToGrid w:val="0"/>
              <w:spacing w:line="240" w:lineRule="exact"/>
            </w:pPr>
            <w:r>
              <w:rPr>
                <w:rFonts w:ascii="標楷體" w:eastAsia="標楷體" w:hAnsi="標楷體" w:cs="標楷體"/>
                <w:color w:val="000000"/>
              </w:rPr>
              <w:t>醫院申請日期：  年  月  日</w:t>
            </w:r>
          </w:p>
          <w:p w14:paraId="7C2E5F77" w14:textId="77777777" w:rsidR="00BD776B" w:rsidRDefault="00BD776B">
            <w:pPr>
              <w:snapToGrid w:val="0"/>
              <w:spacing w:line="240" w:lineRule="exact"/>
              <w:rPr>
                <w:rFonts w:ascii="標楷體" w:eastAsia="標楷體" w:hAnsi="標楷體"/>
                <w:color w:val="000000"/>
              </w:rPr>
            </w:pPr>
          </w:p>
          <w:p w14:paraId="1A1152BE"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FF5E7" w14:textId="77777777" w:rsidR="00BD776B" w:rsidRDefault="00DF0C24">
            <w:pPr>
              <w:widowControl/>
              <w:snapToGrid w:val="0"/>
              <w:spacing w:line="240" w:lineRule="exact"/>
            </w:pPr>
            <w:r>
              <w:rPr>
                <w:rFonts w:ascii="標楷體" w:eastAsia="標楷體" w:hAnsi="標楷體" w:cs="標楷體"/>
                <w:color w:val="000000"/>
              </w:rPr>
              <w:t>承辦人</w:t>
            </w:r>
          </w:p>
        </w:tc>
        <w:tc>
          <w:tcPr>
            <w:tcW w:w="83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5F36" w14:textId="77777777" w:rsidR="00BD776B" w:rsidRDefault="00BD776B">
            <w:pPr>
              <w:widowControl/>
              <w:snapToGrid w:val="0"/>
              <w:rPr>
                <w:rFonts w:ascii="標楷體" w:eastAsia="標楷體" w:hAnsi="標楷體"/>
                <w:color w:val="000000"/>
              </w:rPr>
            </w:pPr>
          </w:p>
          <w:p w14:paraId="70B6483F" w14:textId="77777777" w:rsidR="00BD776B" w:rsidRDefault="00BD776B">
            <w:pPr>
              <w:snapToGrid w:val="0"/>
              <w:spacing w:line="240" w:lineRule="exact"/>
              <w:rPr>
                <w:rFonts w:ascii="標楷體" w:eastAsia="標楷體" w:hAnsi="標楷體"/>
                <w:color w:val="000000"/>
              </w:rPr>
            </w:pP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8A7B" w14:textId="77777777" w:rsidR="00BD776B" w:rsidRDefault="00DF0C24">
            <w:pPr>
              <w:widowControl/>
              <w:snapToGrid w:val="0"/>
              <w:spacing w:line="240" w:lineRule="exact"/>
            </w:pPr>
            <w:r>
              <w:rPr>
                <w:rFonts w:ascii="標楷體" w:eastAsia="標楷體" w:hAnsi="標楷體" w:cs="標楷體"/>
                <w:color w:val="000000"/>
              </w:rPr>
              <w:t>複核</w:t>
            </w:r>
          </w:p>
          <w:p w14:paraId="0F135240" w14:textId="77777777" w:rsidR="00BD776B" w:rsidRDefault="00BD776B">
            <w:pPr>
              <w:widowControl/>
              <w:snapToGrid w:val="0"/>
              <w:rPr>
                <w:rFonts w:ascii="標楷體" w:eastAsia="標楷體" w:hAnsi="標楷體"/>
                <w:color w:val="000000"/>
              </w:rPr>
            </w:pPr>
          </w:p>
        </w:tc>
        <w:tc>
          <w:tcPr>
            <w:tcW w:w="838"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71240" w14:textId="77777777" w:rsidR="00BD776B" w:rsidRDefault="00BD776B">
            <w:pPr>
              <w:widowControl/>
              <w:snapToGrid w:val="0"/>
              <w:rPr>
                <w:rFonts w:ascii="標楷體" w:eastAsia="標楷體" w:hAnsi="標楷體"/>
                <w:color w:val="000000"/>
              </w:rPr>
            </w:pPr>
          </w:p>
          <w:p w14:paraId="08941983" w14:textId="77777777" w:rsidR="00BD776B" w:rsidRDefault="00BD776B">
            <w:pPr>
              <w:snapToGrid w:val="0"/>
              <w:spacing w:line="240" w:lineRule="exact"/>
              <w:rPr>
                <w:rFonts w:ascii="標楷體" w:eastAsia="標楷體" w:hAnsi="標楷體"/>
                <w:color w:val="000000"/>
              </w:rPr>
            </w:pPr>
          </w:p>
        </w:tc>
        <w:tc>
          <w:tcPr>
            <w:tcW w:w="360"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7E99" w14:textId="77777777" w:rsidR="00BD776B" w:rsidRDefault="00DF0C24">
            <w:pPr>
              <w:snapToGrid w:val="0"/>
              <w:spacing w:line="240" w:lineRule="exact"/>
            </w:pPr>
            <w:r>
              <w:rPr>
                <w:rFonts w:ascii="標楷體" w:eastAsia="標楷體" w:hAnsi="標楷體" w:cs="標楷體"/>
                <w:color w:val="000000"/>
              </w:rPr>
              <w:t>科長</w:t>
            </w:r>
          </w:p>
        </w:tc>
        <w:tc>
          <w:tcPr>
            <w:tcW w:w="845"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C7C69" w14:textId="77777777" w:rsidR="00BD776B" w:rsidRDefault="00BD776B">
            <w:pPr>
              <w:widowControl/>
              <w:snapToGrid w:val="0"/>
              <w:rPr>
                <w:rFonts w:ascii="標楷體" w:eastAsia="標楷體" w:hAnsi="標楷體"/>
                <w:color w:val="000000"/>
              </w:rPr>
            </w:pPr>
          </w:p>
          <w:p w14:paraId="4E7DB743" w14:textId="77777777" w:rsidR="00BD776B" w:rsidRDefault="00BD776B">
            <w:pPr>
              <w:snapToGrid w:val="0"/>
              <w:spacing w:line="240" w:lineRule="exact"/>
              <w:rPr>
                <w:rFonts w:ascii="標楷體" w:eastAsia="標楷體" w:hAnsi="標楷體"/>
                <w:color w:val="000000"/>
              </w:rPr>
            </w:pPr>
          </w:p>
        </w:tc>
        <w:tc>
          <w:tcPr>
            <w:tcW w:w="35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C6D91" w14:textId="77777777" w:rsidR="00BD776B" w:rsidRDefault="00DF0C24">
            <w:pPr>
              <w:widowControl/>
              <w:snapToGrid w:val="0"/>
              <w:spacing w:line="240" w:lineRule="exact"/>
            </w:pPr>
            <w:r>
              <w:rPr>
                <w:rFonts w:ascii="標楷體" w:eastAsia="標楷體" w:hAnsi="標楷體" w:cs="標楷體"/>
                <w:color w:val="000000"/>
              </w:rPr>
              <w:t>決行</w:t>
            </w:r>
          </w:p>
          <w:p w14:paraId="5434208D" w14:textId="77777777" w:rsidR="00BD776B" w:rsidRDefault="00BD776B">
            <w:pPr>
              <w:widowControl/>
              <w:snapToGrid w:val="0"/>
              <w:rPr>
                <w:rFonts w:ascii="標楷體" w:eastAsia="標楷體" w:hAnsi="標楷體"/>
                <w:color w:val="000000"/>
              </w:rPr>
            </w:pPr>
          </w:p>
        </w:tc>
        <w:tc>
          <w:tcPr>
            <w:tcW w:w="95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1A8FF" w14:textId="77777777" w:rsidR="00BD776B" w:rsidRDefault="00BD776B">
            <w:pPr>
              <w:widowControl/>
              <w:snapToGrid w:val="0"/>
              <w:rPr>
                <w:rFonts w:ascii="標楷體" w:eastAsia="標楷體" w:hAnsi="標楷體"/>
                <w:color w:val="000000"/>
              </w:rPr>
            </w:pPr>
          </w:p>
          <w:p w14:paraId="7C4D2E6D" w14:textId="77777777" w:rsidR="00BD776B" w:rsidRDefault="00BD776B">
            <w:pPr>
              <w:snapToGrid w:val="0"/>
              <w:spacing w:line="24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37FB0C1A" w14:textId="77777777" w:rsidR="00BD776B" w:rsidRDefault="00BD776B">
            <w:pPr>
              <w:snapToGrid w:val="0"/>
              <w:spacing w:line="240" w:lineRule="exact"/>
              <w:rPr>
                <w:rFonts w:ascii="標楷體" w:eastAsia="標楷體" w:hAnsi="標楷體"/>
                <w:color w:val="000000"/>
              </w:rPr>
            </w:pPr>
          </w:p>
        </w:tc>
      </w:tr>
      <w:tr w:rsidR="00BD776B" w14:paraId="1D01F48E" w14:textId="77777777">
        <w:trPr>
          <w:cantSplit/>
          <w:trHeight w:val="729"/>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6B144" w14:textId="77777777" w:rsidR="00BD776B" w:rsidRDefault="00BD776B">
            <w:pPr>
              <w:snapToGrid w:val="0"/>
              <w:spacing w:line="240" w:lineRule="exact"/>
              <w:rPr>
                <w:rFonts w:ascii="標楷體" w:eastAsia="標楷體" w:hAnsi="標楷體" w:cs="標楷體"/>
                <w:color w:val="000000"/>
              </w:rPr>
            </w:pPr>
          </w:p>
        </w:tc>
        <w:tc>
          <w:tcPr>
            <w:tcW w:w="869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B494E" w14:textId="77777777" w:rsidR="00BD776B" w:rsidRDefault="00BD776B">
            <w:pPr>
              <w:snapToGrid w:val="0"/>
              <w:spacing w:line="240" w:lineRule="exact"/>
              <w:rPr>
                <w:rFonts w:ascii="標楷體" w:eastAsia="標楷體" w:hAnsi="標楷體" w:cs="標楷體"/>
                <w:color w:val="000000"/>
              </w:rPr>
            </w:pP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819BE" w14:textId="77777777" w:rsidR="00BD776B" w:rsidRDefault="00BD776B">
            <w:pPr>
              <w:widowControl/>
              <w:snapToGrid w:val="0"/>
              <w:spacing w:line="240" w:lineRule="exact"/>
              <w:rPr>
                <w:rFonts w:ascii="標楷體" w:eastAsia="標楷體" w:hAnsi="標楷體" w:cs="標楷體"/>
                <w:color w:val="000000"/>
              </w:rPr>
            </w:pPr>
          </w:p>
        </w:tc>
        <w:tc>
          <w:tcPr>
            <w:tcW w:w="83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050C9" w14:textId="77777777" w:rsidR="00BD776B" w:rsidRDefault="00BD776B">
            <w:pPr>
              <w:widowControl/>
              <w:snapToGrid w:val="0"/>
              <w:rPr>
                <w:rFonts w:ascii="標楷體" w:eastAsia="標楷體" w:hAnsi="標楷體"/>
                <w:color w:val="000000"/>
              </w:rPr>
            </w:pP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02CA" w14:textId="77777777" w:rsidR="00BD776B" w:rsidRDefault="00BD776B">
            <w:pPr>
              <w:widowControl/>
              <w:snapToGrid w:val="0"/>
              <w:spacing w:line="240" w:lineRule="exact"/>
              <w:rPr>
                <w:rFonts w:ascii="標楷體" w:eastAsia="標楷體" w:hAnsi="標楷體" w:cs="標楷體"/>
                <w:color w:val="000000"/>
              </w:rPr>
            </w:pPr>
          </w:p>
        </w:tc>
        <w:tc>
          <w:tcPr>
            <w:tcW w:w="838"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FDC12" w14:textId="77777777" w:rsidR="00BD776B" w:rsidRDefault="00BD776B">
            <w:pPr>
              <w:widowControl/>
              <w:snapToGrid w:val="0"/>
              <w:rPr>
                <w:rFonts w:ascii="標楷體" w:eastAsia="標楷體" w:hAnsi="標楷體"/>
                <w:color w:val="000000"/>
              </w:rPr>
            </w:pPr>
          </w:p>
        </w:tc>
        <w:tc>
          <w:tcPr>
            <w:tcW w:w="360"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A6C78" w14:textId="77777777" w:rsidR="00BD776B" w:rsidRDefault="00BD776B">
            <w:pPr>
              <w:snapToGrid w:val="0"/>
              <w:spacing w:line="240" w:lineRule="exact"/>
              <w:rPr>
                <w:rFonts w:ascii="標楷體" w:eastAsia="標楷體" w:hAnsi="標楷體" w:cs="標楷體"/>
                <w:color w:val="000000"/>
              </w:rPr>
            </w:pPr>
          </w:p>
        </w:tc>
        <w:tc>
          <w:tcPr>
            <w:tcW w:w="845"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E779" w14:textId="77777777" w:rsidR="00BD776B" w:rsidRDefault="00BD776B">
            <w:pPr>
              <w:widowControl/>
              <w:snapToGrid w:val="0"/>
              <w:rPr>
                <w:rFonts w:ascii="標楷體" w:eastAsia="標楷體" w:hAnsi="標楷體"/>
                <w:color w:val="000000"/>
              </w:rPr>
            </w:pPr>
          </w:p>
        </w:tc>
        <w:tc>
          <w:tcPr>
            <w:tcW w:w="35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FE96B" w14:textId="77777777" w:rsidR="00BD776B" w:rsidRDefault="00BD776B">
            <w:pPr>
              <w:widowControl/>
              <w:snapToGrid w:val="0"/>
              <w:spacing w:line="240" w:lineRule="exact"/>
              <w:rPr>
                <w:rFonts w:ascii="標楷體" w:eastAsia="標楷體" w:hAnsi="標楷體" w:cs="標楷體"/>
                <w:color w:val="000000"/>
              </w:rPr>
            </w:pPr>
          </w:p>
        </w:tc>
        <w:tc>
          <w:tcPr>
            <w:tcW w:w="95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A8D42" w14:textId="77777777" w:rsidR="00BD776B" w:rsidRDefault="00BD776B">
            <w:pPr>
              <w:widowControl/>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66A9D94B" w14:textId="77777777" w:rsidR="00BD776B" w:rsidRDefault="00BD776B">
            <w:pPr>
              <w:widowControl/>
              <w:snapToGrid w:val="0"/>
              <w:rPr>
                <w:rFonts w:ascii="標楷體" w:eastAsia="標楷體" w:hAnsi="標楷體"/>
                <w:color w:val="000000"/>
              </w:rPr>
            </w:pPr>
          </w:p>
        </w:tc>
      </w:tr>
      <w:tr w:rsidR="00BD776B" w14:paraId="6FAD2C0A" w14:textId="77777777">
        <w:trPr>
          <w:cantSplit/>
          <w:trHeight w:val="374"/>
        </w:trPr>
        <w:tc>
          <w:tcPr>
            <w:tcW w:w="2782" w:type="dxa"/>
            <w:gridSpan w:val="7"/>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F0FAB0C" w14:textId="77777777" w:rsidR="00BD776B" w:rsidRDefault="00DF0C24">
            <w:pPr>
              <w:jc w:val="both"/>
            </w:pPr>
            <w:r>
              <w:rPr>
                <w:noProof/>
              </w:rPr>
              <mc:AlternateContent>
                <mc:Choice Requires="wps">
                  <w:drawing>
                    <wp:anchor distT="0" distB="0" distL="114300" distR="114300" simplePos="0" relativeHeight="251665408" behindDoc="0" locked="0" layoutInCell="1" allowOverlap="1" wp14:anchorId="30874DDF" wp14:editId="51C33D53">
                      <wp:simplePos x="0" y="0"/>
                      <wp:positionH relativeFrom="column">
                        <wp:posOffset>-70481</wp:posOffset>
                      </wp:positionH>
                      <wp:positionV relativeFrom="paragraph">
                        <wp:posOffset>-372105</wp:posOffset>
                      </wp:positionV>
                      <wp:extent cx="5673093" cy="328297"/>
                      <wp:effectExtent l="0" t="0" r="3807" b="0"/>
                      <wp:wrapNone/>
                      <wp:docPr id="2" name="文字方塊 2"/>
                      <wp:cNvGraphicFramePr/>
                      <a:graphic xmlns:a="http://schemas.openxmlformats.org/drawingml/2006/main">
                        <a:graphicData uri="http://schemas.microsoft.com/office/word/2010/wordprocessingShape">
                          <wps:wsp>
                            <wps:cNvSpPr txBox="1"/>
                            <wps:spPr>
                              <a:xfrm>
                                <a:off x="0" y="0"/>
                                <a:ext cx="5673093" cy="328297"/>
                              </a:xfrm>
                              <a:prstGeom prst="rect">
                                <a:avLst/>
                              </a:prstGeom>
                              <a:solidFill>
                                <a:srgbClr val="FFFFFF"/>
                              </a:solidFill>
                              <a:ln>
                                <a:noFill/>
                                <a:prstDash/>
                              </a:ln>
                            </wps:spPr>
                            <wps:txbx>
                              <w:txbxContent>
                                <w:p w14:paraId="427AB1A5" w14:textId="77777777" w:rsidR="00576CD7" w:rsidRDefault="00576CD7">
                                  <w:r>
                                    <w:rPr>
                                      <w:rFonts w:ascii="標楷體" w:eastAsia="標楷體" w:hAnsi="標楷體" w:cs="標楷體"/>
                                      <w:color w:val="000000"/>
                                    </w:rPr>
                                    <w:t>附表八之二  全民健康保險使用抗癌藥品</w:t>
                                  </w:r>
                                  <w:r>
                                    <w:rPr>
                                      <w:rFonts w:eastAsia="標楷體"/>
                                      <w:color w:val="000000"/>
                                    </w:rPr>
                                    <w:t>Temozolomide</w:t>
                                  </w:r>
                                  <w:r>
                                    <w:rPr>
                                      <w:rFonts w:ascii="標楷體" w:eastAsia="標楷體" w:hAnsi="標楷體" w:cs="標楷體"/>
                                      <w:color w:val="000000"/>
                                    </w:rPr>
                                    <w:t>申請表</w:t>
                                  </w:r>
                                </w:p>
                              </w:txbxContent>
                            </wps:txbx>
                            <wps:bodyPr vert="horz" wrap="square" lIns="91440" tIns="45720" rIns="91440" bIns="45720" anchor="t" anchorCtr="0" compatLnSpc="0">
                              <a:spAutoFit/>
                            </wps:bodyPr>
                          </wps:wsp>
                        </a:graphicData>
                      </a:graphic>
                    </wp:anchor>
                  </w:drawing>
                </mc:Choice>
                <mc:Fallback>
                  <w:pict>
                    <v:shapetype w14:anchorId="30874DDF" id="_x0000_t202" coordsize="21600,21600" o:spt="202" path="m,l,21600r21600,l21600,xe">
                      <v:stroke joinstyle="miter"/>
                      <v:path gradientshapeok="t" o:connecttype="rect"/>
                    </v:shapetype>
                    <v:shape id="文字方塊 2" o:spid="_x0000_s1027" type="#_x0000_t202" style="position:absolute;left:0;text-align:left;margin-left:-5.55pt;margin-top:-29.3pt;width:446.7pt;height:25.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" stroked="f">
                      <v:textbox style="mso-fit-shape-to-text:t">
                        <w:txbxContent>
                          <w:p w14:paraId="427AB1A5" w14:textId="77777777" w:rsidR="00576CD7" w:rsidRDefault="00576CD7">
                            <w:r>
                              <w:rPr>
                                <w:rFonts w:ascii="標楷體" w:eastAsia="標楷體" w:hAnsi="標楷體" w:cs="標楷體"/>
                                <w:color w:val="000000"/>
                              </w:rPr>
                              <w:t>附表八之二  全民健康保險使用抗癌藥品</w:t>
                            </w:r>
                            <w:r>
                              <w:rPr>
                                <w:rFonts w:eastAsia="標楷體"/>
                                <w:color w:val="000000"/>
                              </w:rPr>
                              <w:t>Temozolomide</w:t>
                            </w:r>
                            <w:r>
                              <w:rPr>
                                <w:rFonts w:ascii="標楷體" w:eastAsia="標楷體" w:hAnsi="標楷體" w:cs="標楷體"/>
                                <w:color w:val="000000"/>
                              </w:rPr>
                              <w:t>申請表</w:t>
                            </w:r>
                          </w:p>
                        </w:txbxContent>
                      </v:textbox>
                    </v:shape>
                  </w:pict>
                </mc:Fallback>
              </mc:AlternateContent>
            </w:r>
            <w:r>
              <w:rPr>
                <w:rFonts w:ascii="標楷體" w:eastAsia="標楷體" w:hAnsi="標楷體" w:cs="標楷體"/>
                <w:color w:val="000000"/>
                <w:sz w:val="20"/>
                <w:szCs w:val="20"/>
              </w:rPr>
              <w:t>申請類別:</w:t>
            </w:r>
          </w:p>
        </w:tc>
        <w:tc>
          <w:tcPr>
            <w:tcW w:w="369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21E5CB" w14:textId="77777777" w:rsidR="00BD776B" w:rsidRDefault="00DF0C24">
            <w:pPr>
              <w:jc w:val="center"/>
            </w:pPr>
            <w:r>
              <w:rPr>
                <w:rFonts w:ascii="標楷體" w:eastAsia="標楷體" w:hAnsi="標楷體" w:cs="標楷體"/>
                <w:color w:val="000000"/>
                <w:sz w:val="20"/>
                <w:szCs w:val="20"/>
              </w:rPr>
              <w:t>□送核  □補資料□申復 □資料異動</w:t>
            </w:r>
          </w:p>
        </w:tc>
        <w:tc>
          <w:tcPr>
            <w:tcW w:w="299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96F17" w14:textId="77777777" w:rsidR="00BD776B" w:rsidRDefault="00DF0C24">
            <w:r>
              <w:rPr>
                <w:rFonts w:ascii="標楷體" w:eastAsia="標楷體" w:hAnsi="標楷體" w:cs="標楷體"/>
                <w:color w:val="000000"/>
                <w:sz w:val="20"/>
                <w:szCs w:val="20"/>
              </w:rPr>
              <w:t>受理日期：</w:t>
            </w:r>
          </w:p>
        </w:tc>
        <w:tc>
          <w:tcPr>
            <w:tcW w:w="244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A7B719" w14:textId="77777777" w:rsidR="00BD776B" w:rsidRDefault="00DF0C24">
            <w:r>
              <w:rPr>
                <w:rFonts w:ascii="標楷體" w:eastAsia="標楷體" w:hAnsi="標楷體" w:cs="標楷體"/>
                <w:color w:val="000000"/>
                <w:sz w:val="20"/>
                <w:szCs w:val="20"/>
              </w:rPr>
              <w:t>受理編號：</w:t>
            </w:r>
          </w:p>
        </w:tc>
        <w:tc>
          <w:tcPr>
            <w:tcW w:w="245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2809BC" w14:textId="77777777" w:rsidR="00BD776B" w:rsidRDefault="00DF0C24">
            <w:r>
              <w:rPr>
                <w:rFonts w:ascii="標楷體" w:eastAsia="標楷體" w:hAnsi="標楷體" w:cs="標楷體"/>
                <w:color w:val="000000"/>
                <w:sz w:val="20"/>
                <w:szCs w:val="20"/>
              </w:rPr>
              <w:t>緊急傳真日期：</w:t>
            </w:r>
          </w:p>
        </w:tc>
        <w:tc>
          <w:tcPr>
            <w:tcW w:w="62" w:type="dxa"/>
            <w:gridSpan w:val="2"/>
            <w:shd w:val="clear" w:color="auto" w:fill="auto"/>
            <w:tcMar>
              <w:top w:w="0" w:type="dxa"/>
              <w:left w:w="10" w:type="dxa"/>
              <w:bottom w:w="0" w:type="dxa"/>
              <w:right w:w="10" w:type="dxa"/>
            </w:tcMar>
          </w:tcPr>
          <w:p w14:paraId="1B0A27FF" w14:textId="77777777" w:rsidR="00BD776B" w:rsidRDefault="00BD776B"/>
        </w:tc>
      </w:tr>
      <w:tr w:rsidR="00BD776B" w14:paraId="19D9A936" w14:textId="77777777">
        <w:trPr>
          <w:cantSplit/>
          <w:trHeight w:val="517"/>
        </w:trPr>
        <w:tc>
          <w:tcPr>
            <w:tcW w:w="3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7F7205"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46035A"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3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B9639" w14:textId="77777777" w:rsidR="00BD776B" w:rsidRDefault="00BD776B">
            <w:pPr>
              <w:snapToGrid w:val="0"/>
              <w:spacing w:line="200" w:lineRule="exact"/>
              <w:rPr>
                <w:rFonts w:ascii="標楷體" w:eastAsia="標楷體" w:hAnsi="標楷體"/>
                <w:color w:val="000000"/>
                <w:sz w:val="20"/>
                <w:szCs w:val="20"/>
              </w:rPr>
            </w:pPr>
          </w:p>
        </w:tc>
        <w:tc>
          <w:tcPr>
            <w:tcW w:w="3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BECC5E"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15B30CD1"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10FF592A"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2F0C4C51"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D891C7"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5D244E"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46BA32"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6205A6" w14:textId="77777777" w:rsidR="00BD776B" w:rsidRDefault="00BD776B">
            <w:pPr>
              <w:snapToGrid w:val="0"/>
              <w:spacing w:line="200" w:lineRule="exact"/>
              <w:rPr>
                <w:rFonts w:ascii="標楷體" w:eastAsia="標楷體" w:hAnsi="標楷體"/>
                <w:color w:val="000000"/>
                <w:sz w:val="20"/>
                <w:szCs w:val="20"/>
              </w:rPr>
            </w:pPr>
          </w:p>
        </w:tc>
        <w:tc>
          <w:tcPr>
            <w:tcW w:w="167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7FAA51"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7FB5A64F"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244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BA3070" w14:textId="77777777" w:rsidR="00BD776B" w:rsidRDefault="00BD776B">
            <w:pPr>
              <w:snapToGrid w:val="0"/>
              <w:spacing w:line="200" w:lineRule="exact"/>
              <w:rPr>
                <w:rFonts w:ascii="標楷體" w:eastAsia="標楷體" w:hAnsi="標楷體"/>
                <w:color w:val="000000"/>
                <w:sz w:val="20"/>
                <w:szCs w:val="20"/>
              </w:rPr>
            </w:pPr>
          </w:p>
        </w:tc>
        <w:tc>
          <w:tcPr>
            <w:tcW w:w="9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E12FBF"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146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1A45A" w14:textId="77777777" w:rsidR="00BD776B" w:rsidRDefault="00BD776B">
            <w:pPr>
              <w:snapToGrid w:val="0"/>
              <w:spacing w:line="200" w:lineRule="exact"/>
              <w:rPr>
                <w:rFonts w:ascii="標楷體" w:eastAsia="標楷體" w:hAnsi="標楷體"/>
                <w:color w:val="000000"/>
                <w:sz w:val="20"/>
                <w:szCs w:val="20"/>
              </w:rPr>
            </w:pPr>
          </w:p>
        </w:tc>
        <w:tc>
          <w:tcPr>
            <w:tcW w:w="62" w:type="dxa"/>
            <w:gridSpan w:val="2"/>
            <w:shd w:val="clear" w:color="auto" w:fill="auto"/>
            <w:tcMar>
              <w:top w:w="0" w:type="dxa"/>
              <w:left w:w="10" w:type="dxa"/>
              <w:bottom w:w="0" w:type="dxa"/>
              <w:right w:w="10" w:type="dxa"/>
            </w:tcMar>
          </w:tcPr>
          <w:p w14:paraId="3D3AF51A" w14:textId="77777777" w:rsidR="00BD776B" w:rsidRDefault="00BD776B">
            <w:pPr>
              <w:snapToGrid w:val="0"/>
              <w:spacing w:line="200" w:lineRule="exact"/>
              <w:rPr>
                <w:rFonts w:ascii="標楷體" w:eastAsia="標楷體" w:hAnsi="標楷體"/>
                <w:color w:val="000000"/>
                <w:sz w:val="20"/>
                <w:szCs w:val="20"/>
              </w:rPr>
            </w:pPr>
          </w:p>
        </w:tc>
      </w:tr>
      <w:tr w:rsidR="00BD776B" w14:paraId="4E8E765E" w14:textId="77777777">
        <w:trPr>
          <w:cantSplit/>
          <w:trHeight w:val="530"/>
        </w:trPr>
        <w:tc>
          <w:tcPr>
            <w:tcW w:w="3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3D2A06" w14:textId="77777777" w:rsidR="00BD776B" w:rsidRDefault="00BD776B">
            <w:pPr>
              <w:snapToGrid w:val="0"/>
              <w:spacing w:line="200" w:lineRule="exact"/>
              <w:rPr>
                <w:rFonts w:ascii="標楷體" w:eastAsia="標楷體" w:hAnsi="標楷體"/>
                <w:color w:val="000000"/>
                <w:sz w:val="20"/>
                <w:szCs w:val="20"/>
              </w:rPr>
            </w:pPr>
          </w:p>
        </w:tc>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204DE"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3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018692" w14:textId="77777777" w:rsidR="00BD776B" w:rsidRDefault="00BD776B">
            <w:pPr>
              <w:snapToGrid w:val="0"/>
              <w:spacing w:line="200" w:lineRule="exact"/>
              <w:rPr>
                <w:rFonts w:ascii="標楷體" w:eastAsia="標楷體" w:hAnsi="標楷體"/>
                <w:color w:val="000000"/>
                <w:sz w:val="20"/>
                <w:szCs w:val="20"/>
              </w:rPr>
            </w:pPr>
          </w:p>
        </w:tc>
        <w:tc>
          <w:tcPr>
            <w:tcW w:w="34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948BA5" w14:textId="77777777" w:rsidR="00BD776B" w:rsidRDefault="00BD776B">
            <w:pPr>
              <w:snapToGrid w:val="0"/>
              <w:spacing w:line="200" w:lineRule="exact"/>
              <w:rPr>
                <w:rFonts w:ascii="標楷體" w:eastAsia="標楷體" w:hAnsi="標楷體"/>
                <w:color w:val="000000"/>
                <w:sz w:val="20"/>
                <w:szCs w:val="20"/>
              </w:rPr>
            </w:pP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BE1567" w14:textId="77777777" w:rsidR="00BD776B" w:rsidRDefault="00DF0C24">
            <w:pPr>
              <w:snapToGrid w:val="0"/>
              <w:spacing w:line="200" w:lineRule="exact"/>
            </w:pPr>
            <w:r>
              <w:rPr>
                <w:rFonts w:ascii="標楷體" w:eastAsia="標楷體" w:hAnsi="標楷體" w:cs="標楷體"/>
                <w:color w:val="000000"/>
                <w:sz w:val="20"/>
                <w:szCs w:val="20"/>
              </w:rPr>
              <w:t>身分證</w:t>
            </w:r>
          </w:p>
          <w:p w14:paraId="1B47EFCE"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76E14"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D6D09A"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2E0D8DE5"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095DE3" w14:textId="77777777" w:rsidR="00BD776B" w:rsidRDefault="00BD776B">
            <w:pPr>
              <w:snapToGrid w:val="0"/>
              <w:spacing w:line="200" w:lineRule="exact"/>
              <w:rPr>
                <w:rFonts w:ascii="標楷體" w:eastAsia="標楷體" w:hAnsi="標楷體"/>
                <w:color w:val="000000"/>
                <w:sz w:val="20"/>
                <w:szCs w:val="20"/>
              </w:rPr>
            </w:pPr>
          </w:p>
        </w:tc>
        <w:tc>
          <w:tcPr>
            <w:tcW w:w="167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63A32F" w14:textId="77777777" w:rsidR="00BD776B" w:rsidRDefault="00DF0C24">
            <w:pPr>
              <w:snapToGrid w:val="0"/>
              <w:spacing w:line="200" w:lineRule="exact"/>
            </w:pPr>
            <w:r>
              <w:rPr>
                <w:rFonts w:ascii="標楷體" w:eastAsia="標楷體" w:hAnsi="標楷體" w:cs="標楷體"/>
                <w:color w:val="000000"/>
                <w:sz w:val="20"/>
                <w:szCs w:val="20"/>
              </w:rPr>
              <w:t>□ 門診  □ 住院</w:t>
            </w:r>
          </w:p>
        </w:tc>
        <w:tc>
          <w:tcPr>
            <w:tcW w:w="5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78141F"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84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8BF22" w14:textId="77777777" w:rsidR="00BD776B" w:rsidRDefault="00BD776B">
            <w:pPr>
              <w:snapToGrid w:val="0"/>
              <w:spacing w:line="200" w:lineRule="exact"/>
              <w:rPr>
                <w:rFonts w:ascii="標楷體" w:eastAsia="標楷體" w:hAnsi="標楷體"/>
                <w:color w:val="000000"/>
                <w:sz w:val="20"/>
                <w:szCs w:val="20"/>
              </w:rPr>
            </w:pPr>
          </w:p>
        </w:tc>
        <w:tc>
          <w:tcPr>
            <w:tcW w:w="99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934F9"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46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320216" w14:textId="77777777" w:rsidR="00BD776B" w:rsidRDefault="00BD776B">
            <w:pPr>
              <w:snapToGrid w:val="0"/>
              <w:spacing w:line="200" w:lineRule="exact"/>
              <w:rPr>
                <w:rFonts w:ascii="標楷體" w:eastAsia="標楷體" w:hAnsi="標楷體"/>
                <w:color w:val="000000"/>
                <w:sz w:val="20"/>
                <w:szCs w:val="20"/>
              </w:rPr>
            </w:pPr>
          </w:p>
        </w:tc>
        <w:tc>
          <w:tcPr>
            <w:tcW w:w="62" w:type="dxa"/>
            <w:gridSpan w:val="2"/>
            <w:shd w:val="clear" w:color="auto" w:fill="auto"/>
            <w:tcMar>
              <w:top w:w="0" w:type="dxa"/>
              <w:left w:w="10" w:type="dxa"/>
              <w:bottom w:w="0" w:type="dxa"/>
              <w:right w:w="10" w:type="dxa"/>
            </w:tcMar>
          </w:tcPr>
          <w:p w14:paraId="6A86C05C" w14:textId="77777777" w:rsidR="00BD776B" w:rsidRDefault="00BD776B">
            <w:pPr>
              <w:snapToGrid w:val="0"/>
              <w:spacing w:line="200" w:lineRule="exact"/>
              <w:rPr>
                <w:rFonts w:ascii="標楷體" w:eastAsia="標楷體" w:hAnsi="標楷體"/>
                <w:color w:val="000000"/>
                <w:sz w:val="20"/>
                <w:szCs w:val="20"/>
              </w:rPr>
            </w:pPr>
          </w:p>
        </w:tc>
      </w:tr>
      <w:tr w:rsidR="00BD776B" w14:paraId="4B7209E6" w14:textId="77777777">
        <w:trPr>
          <w:cantSplit/>
          <w:trHeight w:val="360"/>
        </w:trPr>
        <w:tc>
          <w:tcPr>
            <w:tcW w:w="14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5FD209" w14:textId="77777777" w:rsidR="00BD776B" w:rsidRDefault="00DF0C24">
            <w:pPr>
              <w:pStyle w:val="a7"/>
              <w:tabs>
                <w:tab w:val="clear" w:pos="4153"/>
                <w:tab w:val="clear" w:pos="8306"/>
              </w:tabs>
              <w:spacing w:line="200" w:lineRule="exact"/>
            </w:pPr>
            <w:r>
              <w:rPr>
                <w:rFonts w:eastAsia="標楷體"/>
                <w:color w:val="000000"/>
              </w:rPr>
              <w:t>ICD-10</w:t>
            </w:r>
            <w:r>
              <w:rPr>
                <w:rFonts w:eastAsia="標楷體"/>
                <w:color w:val="000000"/>
              </w:rPr>
              <w:t>代碼</w:t>
            </w:r>
          </w:p>
        </w:tc>
        <w:tc>
          <w:tcPr>
            <w:tcW w:w="13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096D99" w14:textId="77777777" w:rsidR="00BD776B" w:rsidRDefault="00BD776B">
            <w:pPr>
              <w:snapToGrid w:val="0"/>
              <w:spacing w:line="200" w:lineRule="exact"/>
              <w:rPr>
                <w:rFonts w:ascii="標楷體" w:eastAsia="標楷體" w:hAnsi="標楷體"/>
                <w:color w:val="000000"/>
                <w:sz w:val="20"/>
                <w:szCs w:val="20"/>
              </w:rPr>
            </w:pPr>
          </w:p>
        </w:tc>
        <w:tc>
          <w:tcPr>
            <w:tcW w:w="14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BE679D"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5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9D47D" w14:textId="77777777" w:rsidR="00BD776B" w:rsidRDefault="00BD776B">
            <w:pPr>
              <w:snapToGrid w:val="0"/>
              <w:spacing w:line="200" w:lineRule="exact"/>
              <w:rPr>
                <w:rFonts w:ascii="標楷體" w:eastAsia="標楷體" w:hAnsi="標楷體"/>
                <w:color w:val="000000"/>
                <w:sz w:val="20"/>
                <w:szCs w:val="20"/>
              </w:rPr>
            </w:pPr>
          </w:p>
        </w:tc>
        <w:tc>
          <w:tcPr>
            <w:tcW w:w="167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79B32D"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02" w:type="dxa"/>
            <w:gridSpan w:val="2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7DB9141" w14:textId="77777777" w:rsidR="00BD776B" w:rsidRDefault="00DF0C24">
            <w:pPr>
              <w:snapToGrid w:val="0"/>
              <w:spacing w:line="200" w:lineRule="exact"/>
            </w:pPr>
            <w:r>
              <w:rPr>
                <w:rFonts w:ascii="標楷體" w:eastAsia="標楷體" w:hAnsi="標楷體" w:cs="標楷體"/>
                <w:color w:val="000000"/>
                <w:sz w:val="20"/>
                <w:szCs w:val="20"/>
              </w:rPr>
              <w:t xml:space="preserve">       年    月    日至      年    月    日</w:t>
            </w:r>
          </w:p>
        </w:tc>
        <w:tc>
          <w:tcPr>
            <w:tcW w:w="62" w:type="dxa"/>
            <w:gridSpan w:val="2"/>
            <w:shd w:val="clear" w:color="auto" w:fill="auto"/>
            <w:tcMar>
              <w:top w:w="0" w:type="dxa"/>
              <w:left w:w="10" w:type="dxa"/>
              <w:bottom w:w="0" w:type="dxa"/>
              <w:right w:w="10" w:type="dxa"/>
            </w:tcMar>
          </w:tcPr>
          <w:p w14:paraId="5D601E2A" w14:textId="77777777" w:rsidR="00BD776B" w:rsidRDefault="00BD776B">
            <w:pPr>
              <w:snapToGrid w:val="0"/>
              <w:spacing w:line="200" w:lineRule="exact"/>
            </w:pPr>
          </w:p>
        </w:tc>
      </w:tr>
      <w:tr w:rsidR="00BD776B" w14:paraId="63458748" w14:textId="77777777">
        <w:trPr>
          <w:cantSplit/>
        </w:trPr>
        <w:tc>
          <w:tcPr>
            <w:tcW w:w="14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291D2"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3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D11A41"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01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E8F7EC"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7BD712"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41F6D289"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F7BB7F"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1EE0B5EE"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02" w:type="dxa"/>
            <w:gridSpan w:val="2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DB0272E"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62" w:type="dxa"/>
            <w:gridSpan w:val="2"/>
            <w:shd w:val="clear" w:color="auto" w:fill="auto"/>
            <w:tcMar>
              <w:top w:w="0" w:type="dxa"/>
              <w:left w:w="10" w:type="dxa"/>
              <w:bottom w:w="0" w:type="dxa"/>
              <w:right w:w="10" w:type="dxa"/>
            </w:tcMar>
          </w:tcPr>
          <w:p w14:paraId="59DBE0A2" w14:textId="77777777" w:rsidR="00BD776B" w:rsidRDefault="00BD776B">
            <w:pPr>
              <w:snapToGrid w:val="0"/>
              <w:spacing w:line="200" w:lineRule="exact"/>
              <w:jc w:val="center"/>
            </w:pPr>
          </w:p>
        </w:tc>
      </w:tr>
      <w:tr w:rsidR="00BD776B" w14:paraId="4BDBBCB5" w14:textId="77777777">
        <w:trPr>
          <w:cantSplit/>
          <w:trHeight w:val="2702"/>
        </w:trPr>
        <w:tc>
          <w:tcPr>
            <w:tcW w:w="14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3CC97" w14:textId="77777777" w:rsidR="00BD776B" w:rsidRDefault="00BD776B">
            <w:pPr>
              <w:tabs>
                <w:tab w:val="left" w:pos="240"/>
              </w:tabs>
              <w:spacing w:before="180" w:after="180" w:line="200" w:lineRule="exact"/>
              <w:rPr>
                <w:rFonts w:ascii="標楷體" w:eastAsia="標楷體" w:hAnsi="標楷體"/>
                <w:color w:val="000000"/>
                <w:sz w:val="20"/>
                <w:szCs w:val="20"/>
              </w:rPr>
            </w:pPr>
          </w:p>
        </w:tc>
        <w:tc>
          <w:tcPr>
            <w:tcW w:w="13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ACAB39" w14:textId="77777777" w:rsidR="00BD776B" w:rsidRDefault="00DF0C24">
            <w:pPr>
              <w:spacing w:before="180" w:line="200" w:lineRule="exact"/>
              <w:ind w:left="200" w:hanging="200"/>
            </w:pPr>
            <w:r>
              <w:rPr>
                <w:rFonts w:ascii="Wingdings 2" w:eastAsia="Wingdings 2" w:hAnsi="Wingdings 2" w:cs="Wingdings 2"/>
                <w:color w:val="000000"/>
                <w:sz w:val="20"/>
                <w:szCs w:val="20"/>
              </w:rPr>
              <w:t></w:t>
            </w:r>
            <w:r>
              <w:rPr>
                <w:rFonts w:ascii="標楷體" w:eastAsia="標楷體" w:hAnsi="標楷體" w:cs="標楷體"/>
                <w:color w:val="000000"/>
                <w:sz w:val="20"/>
                <w:szCs w:val="20"/>
              </w:rPr>
              <w:t>第一次申請</w:t>
            </w:r>
          </w:p>
          <w:p w14:paraId="133198FB" w14:textId="77777777" w:rsidR="00BD776B" w:rsidRDefault="00DF0C24">
            <w:pPr>
              <w:spacing w:before="180" w:line="200" w:lineRule="exact"/>
              <w:ind w:left="200" w:hanging="200"/>
            </w:pPr>
            <w:r>
              <w:rPr>
                <w:rFonts w:ascii="Wingdings 2" w:eastAsia="Wingdings 2" w:hAnsi="Wingdings 2" w:cs="Wingdings 2"/>
                <w:color w:val="000000"/>
                <w:sz w:val="20"/>
                <w:szCs w:val="20"/>
              </w:rPr>
              <w:t></w:t>
            </w:r>
            <w:r>
              <w:rPr>
                <w:rFonts w:ascii="標楷體" w:eastAsia="標楷體" w:hAnsi="標楷體" w:cs="標楷體"/>
                <w:color w:val="000000"/>
                <w:sz w:val="20"/>
                <w:szCs w:val="20"/>
              </w:rPr>
              <w:t>治療後再次申請</w:t>
            </w:r>
          </w:p>
        </w:tc>
        <w:tc>
          <w:tcPr>
            <w:tcW w:w="501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67E9E" w14:textId="77777777" w:rsidR="00BD776B" w:rsidRDefault="00DF0C24">
            <w:pPr>
              <w:tabs>
                <w:tab w:val="left" w:pos="293"/>
              </w:tabs>
              <w:spacing w:after="90" w:line="200" w:lineRule="exact"/>
            </w:pPr>
            <w:r>
              <w:rPr>
                <w:rFonts w:ascii="Wingdings 2" w:eastAsia="Wingdings 2" w:hAnsi="Wingdings 2" w:cs="Wingdings 2"/>
                <w:color w:val="000000"/>
                <w:sz w:val="20"/>
                <w:szCs w:val="20"/>
              </w:rPr>
              <w:t></w:t>
            </w:r>
            <w:r>
              <w:rPr>
                <w:rFonts w:eastAsia="標楷體"/>
                <w:color w:val="000000"/>
                <w:sz w:val="20"/>
                <w:szCs w:val="20"/>
              </w:rPr>
              <w:tab/>
              <w:t>1.</w:t>
            </w:r>
            <w:r>
              <w:rPr>
                <w:rFonts w:eastAsia="標楷體"/>
                <w:color w:val="000000"/>
                <w:sz w:val="20"/>
                <w:szCs w:val="20"/>
              </w:rPr>
              <w:t>經手術或放射線治療後復發之下列病人</w:t>
            </w:r>
            <w:r>
              <w:rPr>
                <w:rFonts w:eastAsia="標楷體"/>
                <w:color w:val="000000"/>
                <w:sz w:val="20"/>
                <w:szCs w:val="20"/>
              </w:rPr>
              <w:t>:</w:t>
            </w:r>
          </w:p>
          <w:p w14:paraId="09F45E66" w14:textId="77777777" w:rsidR="00BD776B" w:rsidRDefault="00DF0C24">
            <w:pPr>
              <w:tabs>
                <w:tab w:val="left" w:pos="240"/>
                <w:tab w:val="left" w:pos="653"/>
              </w:tabs>
              <w:spacing w:after="90" w:line="200" w:lineRule="exact"/>
              <w:ind w:left="943" w:hanging="600"/>
            </w:pPr>
            <w:r>
              <w:rPr>
                <w:rFonts w:ascii="Wingdings 2" w:eastAsia="Wingdings 2" w:hAnsi="Wingdings 2" w:cs="Wingdings 2"/>
                <w:color w:val="000000"/>
                <w:sz w:val="20"/>
                <w:szCs w:val="20"/>
              </w:rPr>
              <w:t></w:t>
            </w:r>
            <w:r>
              <w:rPr>
                <w:rFonts w:ascii="Wingdings 2" w:eastAsia="Wingdings 2" w:hAnsi="Wingdings 2" w:cs="Wingdings 2"/>
                <w:color w:val="000000"/>
                <w:sz w:val="20"/>
                <w:szCs w:val="20"/>
              </w:rPr>
              <w:tab/>
            </w:r>
            <w:r>
              <w:rPr>
                <w:rFonts w:eastAsia="標楷體"/>
                <w:color w:val="000000"/>
                <w:sz w:val="20"/>
                <w:szCs w:val="20"/>
              </w:rPr>
              <w:t>(1)</w:t>
            </w:r>
            <w:r>
              <w:rPr>
                <w:rFonts w:eastAsia="標楷體"/>
                <w:color w:val="000000"/>
                <w:sz w:val="20"/>
                <w:szCs w:val="20"/>
              </w:rPr>
              <w:t>退行性星狀細胞瘤</w:t>
            </w:r>
          </w:p>
          <w:p w14:paraId="7ED63136" w14:textId="77777777" w:rsidR="00BD776B" w:rsidRDefault="00DF0C24">
            <w:pPr>
              <w:tabs>
                <w:tab w:val="left" w:pos="240"/>
                <w:tab w:val="left" w:pos="653"/>
              </w:tabs>
              <w:spacing w:after="90" w:line="200" w:lineRule="exact"/>
              <w:ind w:left="1560" w:hanging="600"/>
            </w:pPr>
            <w:r>
              <w:rPr>
                <w:rFonts w:eastAsia="標楷體"/>
                <w:color w:val="000000"/>
                <w:sz w:val="20"/>
                <w:szCs w:val="20"/>
              </w:rPr>
              <w:t>(AA- anaplastic astrocytoma)</w:t>
            </w:r>
          </w:p>
          <w:p w14:paraId="7A2AF3BA" w14:textId="77777777" w:rsidR="00BD776B" w:rsidRDefault="00DF0C24">
            <w:pPr>
              <w:tabs>
                <w:tab w:val="left" w:pos="240"/>
                <w:tab w:val="left" w:pos="653"/>
              </w:tabs>
              <w:spacing w:after="90" w:line="200" w:lineRule="exact"/>
              <w:ind w:left="943" w:hanging="600"/>
            </w:pPr>
            <w:r>
              <w:rPr>
                <w:rFonts w:ascii="Wingdings 2" w:eastAsia="Wingdings 2" w:hAnsi="Wingdings 2" w:cs="Wingdings 2"/>
                <w:color w:val="000000"/>
                <w:sz w:val="20"/>
                <w:szCs w:val="20"/>
              </w:rPr>
              <w:t></w:t>
            </w:r>
            <w:r>
              <w:rPr>
                <w:rFonts w:ascii="Wingdings 2" w:eastAsia="Wingdings 2" w:hAnsi="Wingdings 2" w:cs="Wingdings 2"/>
                <w:color w:val="000000"/>
                <w:sz w:val="20"/>
                <w:szCs w:val="20"/>
              </w:rPr>
              <w:tab/>
            </w:r>
            <w:r>
              <w:rPr>
                <w:rFonts w:eastAsia="標楷體"/>
                <w:color w:val="000000"/>
                <w:sz w:val="20"/>
                <w:szCs w:val="20"/>
              </w:rPr>
              <w:t>(2)</w:t>
            </w:r>
            <w:r>
              <w:rPr>
                <w:rFonts w:eastAsia="標楷體"/>
                <w:color w:val="000000"/>
                <w:sz w:val="20"/>
                <w:szCs w:val="20"/>
              </w:rPr>
              <w:t>多形神經膠母細胞瘤</w:t>
            </w:r>
          </w:p>
          <w:p w14:paraId="5CD52460" w14:textId="77777777" w:rsidR="00BD776B" w:rsidRDefault="00DF0C24">
            <w:pPr>
              <w:tabs>
                <w:tab w:val="left" w:pos="240"/>
                <w:tab w:val="left" w:pos="653"/>
              </w:tabs>
              <w:spacing w:after="90" w:line="200" w:lineRule="exact"/>
              <w:ind w:left="1560" w:hanging="600"/>
            </w:pPr>
            <w:r>
              <w:rPr>
                <w:rFonts w:eastAsia="標楷體"/>
                <w:color w:val="000000"/>
                <w:sz w:val="20"/>
                <w:szCs w:val="20"/>
              </w:rPr>
              <w:t>(GBM-Glioblastoma multiforme)</w:t>
            </w:r>
          </w:p>
          <w:p w14:paraId="77E14FD0" w14:textId="77777777" w:rsidR="00BD776B" w:rsidRDefault="00DF0C24">
            <w:pPr>
              <w:tabs>
                <w:tab w:val="left" w:pos="240"/>
                <w:tab w:val="left" w:pos="653"/>
              </w:tabs>
              <w:spacing w:after="90" w:line="200" w:lineRule="exact"/>
              <w:ind w:left="943" w:hanging="600"/>
            </w:pPr>
            <w:r>
              <w:rPr>
                <w:rFonts w:ascii="Wingdings 2" w:eastAsia="Wingdings 2" w:hAnsi="Wingdings 2" w:cs="Wingdings 2"/>
                <w:color w:val="000000"/>
                <w:sz w:val="20"/>
                <w:szCs w:val="20"/>
              </w:rPr>
              <w:t></w:t>
            </w:r>
            <w:r>
              <w:rPr>
                <w:rFonts w:ascii="Wingdings 2" w:eastAsia="Wingdings 2" w:hAnsi="Wingdings 2" w:cs="Wingdings 2"/>
                <w:color w:val="000000"/>
                <w:sz w:val="20"/>
                <w:szCs w:val="20"/>
              </w:rPr>
              <w:tab/>
            </w:r>
            <w:r>
              <w:rPr>
                <w:rFonts w:eastAsia="標楷體"/>
                <w:color w:val="000000"/>
                <w:sz w:val="20"/>
                <w:szCs w:val="20"/>
              </w:rPr>
              <w:t>(3)</w:t>
            </w:r>
            <w:r>
              <w:rPr>
                <w:rFonts w:eastAsia="標楷體"/>
                <w:color w:val="000000"/>
                <w:sz w:val="20"/>
                <w:szCs w:val="20"/>
              </w:rPr>
              <w:t>退行性寡樹突膠質細胞瘤</w:t>
            </w:r>
          </w:p>
          <w:p w14:paraId="19BFCFB5" w14:textId="77777777" w:rsidR="00BD776B" w:rsidRDefault="00DF0C24">
            <w:pPr>
              <w:tabs>
                <w:tab w:val="left" w:pos="240"/>
                <w:tab w:val="left" w:pos="653"/>
              </w:tabs>
              <w:spacing w:after="90" w:line="200" w:lineRule="exact"/>
              <w:ind w:left="1560" w:hanging="600"/>
            </w:pPr>
            <w:r>
              <w:rPr>
                <w:rFonts w:eastAsia="標楷體"/>
                <w:color w:val="000000"/>
                <w:sz w:val="20"/>
                <w:szCs w:val="20"/>
              </w:rPr>
              <w:t>(anaplastic oligodendroglioma)</w:t>
            </w:r>
          </w:p>
          <w:p w14:paraId="6E901104" w14:textId="77777777" w:rsidR="00BD776B" w:rsidRDefault="00DF0C24">
            <w:pPr>
              <w:tabs>
                <w:tab w:val="left" w:pos="293"/>
              </w:tabs>
              <w:spacing w:after="90" w:line="200" w:lineRule="exact"/>
              <w:ind w:left="440" w:hanging="440"/>
            </w:pPr>
            <w:r>
              <w:rPr>
                <w:rFonts w:ascii="Wingdings 2" w:eastAsia="Wingdings 2" w:hAnsi="Wingdings 2" w:cs="Wingdings 2"/>
                <w:color w:val="000000"/>
                <w:sz w:val="20"/>
                <w:szCs w:val="20"/>
              </w:rPr>
              <w:t></w:t>
            </w:r>
            <w:r>
              <w:rPr>
                <w:rFonts w:ascii="Wingdings 2" w:eastAsia="Wingdings 2" w:hAnsi="Wingdings 2" w:cs="Wingdings 2"/>
                <w:color w:val="000000"/>
                <w:sz w:val="20"/>
                <w:szCs w:val="20"/>
              </w:rPr>
              <w:tab/>
            </w:r>
            <w:r>
              <w:rPr>
                <w:rFonts w:eastAsia="標楷體"/>
                <w:color w:val="000000"/>
                <w:sz w:val="20"/>
                <w:szCs w:val="20"/>
              </w:rPr>
              <w:t>2.</w:t>
            </w:r>
            <w:r>
              <w:rPr>
                <w:rFonts w:eastAsia="標楷體"/>
                <w:color w:val="000000"/>
                <w:sz w:val="20"/>
                <w:szCs w:val="20"/>
              </w:rPr>
              <w:t>新診斷的多形神經膠母細胞瘤，與放射線治療同步進行，然後作為輔助性治療。</w:t>
            </w:r>
          </w:p>
          <w:p w14:paraId="27E9C47C" w14:textId="77777777" w:rsidR="00BD776B" w:rsidRDefault="00DF0C24">
            <w:pPr>
              <w:tabs>
                <w:tab w:val="left" w:pos="293"/>
              </w:tabs>
              <w:spacing w:after="90" w:line="200" w:lineRule="exact"/>
              <w:ind w:left="440" w:hanging="440"/>
            </w:pPr>
            <w:r>
              <w:rPr>
                <w:rFonts w:ascii="Wingdings 2" w:eastAsia="Wingdings 2" w:hAnsi="Wingdings 2" w:cs="Wingdings 2"/>
                <w:color w:val="000000"/>
                <w:sz w:val="20"/>
                <w:szCs w:val="20"/>
              </w:rPr>
              <w:t></w:t>
            </w:r>
            <w:r>
              <w:rPr>
                <w:rFonts w:ascii="Wingdings 2" w:eastAsia="Wingdings 2" w:hAnsi="Wingdings 2" w:cs="Wingdings 2"/>
                <w:color w:val="000000"/>
                <w:sz w:val="20"/>
                <w:szCs w:val="20"/>
              </w:rPr>
              <w:tab/>
            </w:r>
            <w:r>
              <w:rPr>
                <w:rFonts w:eastAsia="標楷體"/>
                <w:color w:val="000000"/>
                <w:sz w:val="20"/>
                <w:szCs w:val="20"/>
              </w:rPr>
              <w:t>3.</w:t>
            </w:r>
            <w:r>
              <w:rPr>
                <w:rFonts w:eastAsia="標楷體"/>
                <w:color w:val="000000"/>
                <w:sz w:val="20"/>
                <w:szCs w:val="20"/>
              </w:rPr>
              <w:t>需經事前審查核准後使用，每日最大劑量</w:t>
            </w:r>
            <w:r>
              <w:rPr>
                <w:rFonts w:eastAsia="標楷體"/>
                <w:color w:val="000000"/>
                <w:sz w:val="20"/>
                <w:szCs w:val="20"/>
              </w:rPr>
              <w:t>200mg/m</w:t>
            </w:r>
            <w:r>
              <w:rPr>
                <w:rFonts w:eastAsia="標楷體"/>
                <w:color w:val="000000"/>
                <w:sz w:val="20"/>
                <w:szCs w:val="20"/>
                <w:vertAlign w:val="superscript"/>
              </w:rPr>
              <w:t>2</w:t>
            </w:r>
            <w:r>
              <w:rPr>
                <w:rFonts w:eastAsia="標楷體"/>
                <w:color w:val="000000"/>
                <w:sz w:val="20"/>
                <w:szCs w:val="20"/>
              </w:rPr>
              <w:t>。每次申請事前審查之療程以三個月為限，再次申請必須提出客觀證據（如：影像學）證實無惡化，才可繼續使用。</w:t>
            </w:r>
          </w:p>
        </w:tc>
        <w:tc>
          <w:tcPr>
            <w:tcW w:w="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3909A" w14:textId="77777777" w:rsidR="00BD776B" w:rsidRDefault="00BD776B">
            <w:pPr>
              <w:spacing w:line="200" w:lineRule="exact"/>
              <w:rPr>
                <w:rFonts w:ascii="標楷體" w:eastAsia="標楷體" w:hAnsi="標楷體"/>
                <w:color w:val="000000"/>
                <w:sz w:val="20"/>
                <w:szCs w:val="20"/>
              </w:rPr>
            </w:pPr>
          </w:p>
        </w:tc>
        <w:tc>
          <w:tcPr>
            <w:tcW w:w="8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F4FB1" w14:textId="77777777" w:rsidR="00BD776B" w:rsidRDefault="00BD776B">
            <w:pPr>
              <w:rPr>
                <w:rFonts w:ascii="標楷體" w:eastAsia="標楷體" w:hAnsi="標楷體"/>
                <w:color w:val="000000"/>
                <w:sz w:val="20"/>
                <w:szCs w:val="20"/>
              </w:rPr>
            </w:pPr>
          </w:p>
        </w:tc>
        <w:tc>
          <w:tcPr>
            <w:tcW w:w="4902" w:type="dxa"/>
            <w:gridSpan w:val="24"/>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A511AC8" w14:textId="77777777" w:rsidR="00BD776B" w:rsidRDefault="00DF0C24">
            <w:pPr>
              <w:tabs>
                <w:tab w:val="left" w:pos="240"/>
              </w:tabs>
              <w:spacing w:line="240" w:lineRule="exact"/>
            </w:pPr>
            <w:r>
              <w:rPr>
                <w:rFonts w:ascii="Wingdings 2" w:eastAsia="Wingdings 2" w:hAnsi="Wingdings 2" w:cs="Wingdings 2"/>
                <w:color w:val="000000"/>
                <w:sz w:val="20"/>
                <w:szCs w:val="20"/>
              </w:rPr>
              <w:t></w:t>
            </w:r>
            <w:r>
              <w:rPr>
                <w:rFonts w:ascii="標楷體" w:eastAsia="標楷體" w:hAnsi="標楷體" w:cs="標楷體"/>
                <w:color w:val="000000"/>
                <w:sz w:val="20"/>
                <w:szCs w:val="20"/>
              </w:rPr>
              <w:t>同意備查。</w:t>
            </w:r>
          </w:p>
          <w:p w14:paraId="747D508E"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使用劑量不符合常規，核定量為</w:t>
            </w:r>
            <w:r>
              <w:rPr>
                <w:rFonts w:ascii="標楷體" w:eastAsia="標楷體" w:hAnsi="標楷體" w:cs="標楷體"/>
                <w:color w:val="000000"/>
                <w:sz w:val="20"/>
                <w:szCs w:val="20"/>
                <w:u w:val="single"/>
              </w:rPr>
              <w:t xml:space="preserve">               </w:t>
            </w:r>
          </w:p>
          <w:p w14:paraId="068858FE" w14:textId="77777777" w:rsidR="00BD776B" w:rsidRDefault="00DF0C24">
            <w:pPr>
              <w:spacing w:line="240" w:lineRule="exact"/>
            </w:pPr>
            <w:r>
              <w:rPr>
                <w:rFonts w:ascii="Wingdings 2" w:eastAsia="Wingdings 2" w:hAnsi="Wingdings 2" w:cs="Wingdings 2"/>
                <w:color w:val="000000"/>
                <w:sz w:val="20"/>
                <w:szCs w:val="20"/>
              </w:rPr>
              <w:t></w:t>
            </w:r>
            <w:r>
              <w:rPr>
                <w:rFonts w:ascii="標楷體" w:eastAsia="標楷體" w:hAnsi="標楷體" w:cs="標楷體"/>
                <w:color w:val="000000"/>
                <w:sz w:val="20"/>
                <w:szCs w:val="20"/>
              </w:rPr>
              <w:t>不同意</w:t>
            </w:r>
          </w:p>
          <w:p w14:paraId="37CAB010"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不符合適應症。</w:t>
            </w:r>
          </w:p>
          <w:p w14:paraId="75D11A98"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 xml:space="preserve">不符合併用二種此類藥物之適應症             </w:t>
            </w:r>
          </w:p>
          <w:p w14:paraId="71F62FAD"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未附病理切片報告或細胞學檢查報告</w:t>
            </w:r>
          </w:p>
          <w:p w14:paraId="0C9006CC"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未附使用其他抗癌藥物無效之記錄</w:t>
            </w:r>
          </w:p>
          <w:p w14:paraId="0C6178D5"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未附目前是否為晚期或轉移之病歷</w:t>
            </w:r>
          </w:p>
          <w:p w14:paraId="12654A1D" w14:textId="77777777" w:rsidR="00BD776B" w:rsidRDefault="00DF0C24">
            <w:pPr>
              <w:tabs>
                <w:tab w:val="left" w:pos="240"/>
              </w:tabs>
              <w:spacing w:line="240" w:lineRule="exact"/>
              <w:ind w:left="420" w:hanging="180"/>
            </w:pPr>
            <w:r>
              <w:rPr>
                <w:rFonts w:ascii="Wingdings 2" w:eastAsia="Wingdings 2" w:hAnsi="Wingdings 2" w:cs="Wingdings 2"/>
                <w:color w:val="000000"/>
                <w:sz w:val="20"/>
                <w:szCs w:val="20"/>
              </w:rPr>
              <w:t></w:t>
            </w:r>
            <w:r>
              <w:rPr>
                <w:rFonts w:ascii="標楷體" w:eastAsia="標楷體" w:hAnsi="標楷體" w:cs="標楷體"/>
                <w:color w:val="000000"/>
                <w:sz w:val="20"/>
                <w:szCs w:val="20"/>
              </w:rPr>
              <w:t>未附治療計劃(預計使用上述藥物之劑量及預計使用次數)</w:t>
            </w:r>
          </w:p>
          <w:p w14:paraId="52D8FFFE" w14:textId="77777777" w:rsidR="00BD776B" w:rsidRDefault="00DF0C24">
            <w:pPr>
              <w:tabs>
                <w:tab w:val="left" w:pos="240"/>
              </w:tabs>
              <w:spacing w:line="240" w:lineRule="exact"/>
              <w:ind w:left="420" w:hanging="180"/>
            </w:pPr>
            <w:r>
              <w:rPr>
                <w:rFonts w:ascii="Wingdings 2" w:eastAsia="Wingdings 2" w:hAnsi="Wingdings 2" w:cs="Wingdings 2"/>
                <w:color w:val="000000"/>
                <w:sz w:val="20"/>
                <w:szCs w:val="20"/>
              </w:rPr>
              <w:t></w:t>
            </w:r>
            <w:r>
              <w:rPr>
                <w:rFonts w:ascii="標楷體" w:eastAsia="標楷體" w:hAnsi="標楷體" w:cs="標楷體"/>
                <w:color w:val="000000"/>
                <w:sz w:val="20"/>
                <w:szCs w:val="20"/>
              </w:rPr>
              <w:t>相關檢驗、檢查報告不全(如影像診斷報告或腫瘤標誌)</w:t>
            </w:r>
          </w:p>
          <w:p w14:paraId="69E19BB9"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 xml:space="preserve">補附資料再審，請補充以下資料               </w:t>
            </w:r>
          </w:p>
          <w:p w14:paraId="0F1FE9FE" w14:textId="77777777" w:rsidR="00BD776B" w:rsidRDefault="00DF0C24">
            <w:pPr>
              <w:tabs>
                <w:tab w:val="left" w:pos="240"/>
              </w:tabs>
              <w:spacing w:line="240" w:lineRule="exact"/>
              <w:ind w:left="240"/>
            </w:pPr>
            <w:r>
              <w:rPr>
                <w:rFonts w:ascii="Wingdings 2" w:eastAsia="Wingdings 2" w:hAnsi="Wingdings 2" w:cs="Wingdings 2"/>
                <w:color w:val="000000"/>
                <w:sz w:val="20"/>
                <w:szCs w:val="20"/>
              </w:rPr>
              <w:t></w:t>
            </w:r>
            <w:r>
              <w:rPr>
                <w:rFonts w:ascii="標楷體" w:eastAsia="標楷體" w:hAnsi="標楷體" w:cs="標楷體"/>
                <w:color w:val="000000"/>
                <w:sz w:val="20"/>
                <w:szCs w:val="20"/>
              </w:rPr>
              <w:t>其他：</w:t>
            </w:r>
            <w:r>
              <w:rPr>
                <w:rFonts w:ascii="標楷體" w:eastAsia="標楷體" w:hAnsi="標楷體" w:cs="標楷體"/>
                <w:color w:val="000000"/>
                <w:sz w:val="20"/>
                <w:szCs w:val="20"/>
                <w:u w:val="single"/>
              </w:rPr>
              <w:t xml:space="preserve">                 </w:t>
            </w:r>
          </w:p>
        </w:tc>
        <w:tc>
          <w:tcPr>
            <w:tcW w:w="62" w:type="dxa"/>
            <w:gridSpan w:val="2"/>
            <w:shd w:val="clear" w:color="auto" w:fill="auto"/>
            <w:tcMar>
              <w:top w:w="0" w:type="dxa"/>
              <w:left w:w="10" w:type="dxa"/>
              <w:bottom w:w="0" w:type="dxa"/>
              <w:right w:w="10" w:type="dxa"/>
            </w:tcMar>
          </w:tcPr>
          <w:p w14:paraId="56606A52" w14:textId="77777777" w:rsidR="00BD776B" w:rsidRDefault="00BD776B">
            <w:pPr>
              <w:tabs>
                <w:tab w:val="left" w:pos="240"/>
              </w:tabs>
              <w:spacing w:line="240" w:lineRule="exact"/>
              <w:ind w:left="478" w:hanging="238"/>
            </w:pPr>
          </w:p>
        </w:tc>
      </w:tr>
      <w:tr w:rsidR="00BD776B" w14:paraId="30BEEFF6" w14:textId="77777777">
        <w:trPr>
          <w:cantSplit/>
          <w:trHeight w:val="916"/>
        </w:trPr>
        <w:tc>
          <w:tcPr>
            <w:tcW w:w="3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33B54" w14:textId="77777777" w:rsidR="00BD776B" w:rsidRDefault="00DF0C24">
            <w:pPr>
              <w:ind w:left="113" w:right="113"/>
            </w:pPr>
            <w:r>
              <w:rPr>
                <w:rFonts w:ascii="標楷體" w:eastAsia="標楷體" w:hAnsi="標楷體" w:cs="標楷體"/>
                <w:color w:val="000000"/>
              </w:rPr>
              <w:t xml:space="preserve">  注  意  事  項</w:t>
            </w:r>
          </w:p>
          <w:p w14:paraId="7367DB9B" w14:textId="77777777" w:rsidR="00BD776B" w:rsidRDefault="00BD776B">
            <w:pPr>
              <w:spacing w:line="200" w:lineRule="exact"/>
              <w:ind w:left="324" w:right="113" w:hanging="211"/>
              <w:rPr>
                <w:rFonts w:ascii="標楷體" w:eastAsia="標楷體" w:hAnsi="標楷體"/>
                <w:color w:val="000000"/>
                <w:sz w:val="20"/>
                <w:szCs w:val="20"/>
              </w:rPr>
            </w:pPr>
          </w:p>
        </w:tc>
        <w:tc>
          <w:tcPr>
            <w:tcW w:w="9089"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0BE32" w14:textId="77777777" w:rsidR="00BD776B" w:rsidRDefault="00DF0C24" w:rsidP="008A7063">
            <w:pPr>
              <w:numPr>
                <w:ilvl w:val="0"/>
                <w:numId w:val="51"/>
              </w:numPr>
              <w:spacing w:line="200" w:lineRule="exact"/>
            </w:pPr>
            <w:r>
              <w:rPr>
                <w:rFonts w:eastAsia="標楷體"/>
                <w:color w:val="000000"/>
                <w:kern w:val="0"/>
                <w:sz w:val="20"/>
                <w:szCs w:val="20"/>
              </w:rPr>
              <w:t>本申請書限一人一案，由本保險特約醫事服務機構填報，不必備文，請逕向保險人各分區業務組申請審核。</w:t>
            </w:r>
          </w:p>
          <w:p w14:paraId="046D6BCB" w14:textId="77777777" w:rsidR="00BD776B" w:rsidRDefault="00DF0C24" w:rsidP="008A7063">
            <w:pPr>
              <w:numPr>
                <w:ilvl w:val="0"/>
                <w:numId w:val="51"/>
              </w:numPr>
              <w:spacing w:line="200" w:lineRule="exact"/>
            </w:pPr>
            <w:r>
              <w:rPr>
                <w:rFonts w:eastAsia="標楷體"/>
                <w:color w:val="000000"/>
                <w:kern w:val="0"/>
                <w:sz w:val="20"/>
                <w:szCs w:val="20"/>
              </w:rPr>
              <w:t>「原受理編號」申復時填寫，初次送核不需填寫。</w:t>
            </w:r>
          </w:p>
          <w:p w14:paraId="74CD0650" w14:textId="77777777" w:rsidR="00BD776B" w:rsidRDefault="00DF0C24" w:rsidP="008A7063">
            <w:pPr>
              <w:numPr>
                <w:ilvl w:val="0"/>
                <w:numId w:val="51"/>
              </w:numPr>
              <w:spacing w:line="200" w:lineRule="exact"/>
            </w:pPr>
            <w:r>
              <w:rPr>
                <w:rFonts w:eastAsia="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78781469" w14:textId="77777777" w:rsidR="00BD776B" w:rsidRDefault="00DF0C24" w:rsidP="008A7063">
            <w:pPr>
              <w:numPr>
                <w:ilvl w:val="0"/>
                <w:numId w:val="51"/>
              </w:numPr>
              <w:spacing w:line="200" w:lineRule="exact"/>
            </w:pPr>
            <w:r>
              <w:rPr>
                <w:rFonts w:eastAsia="標楷體"/>
                <w:color w:val="000000"/>
                <w:kern w:val="0"/>
                <w:sz w:val="20"/>
                <w:szCs w:val="20"/>
              </w:rPr>
              <w:t>對核定結果如有異議，得於收到核定通知之日起六十日內，重行填寫乙份申請書</w:t>
            </w:r>
            <w:r>
              <w:rPr>
                <w:rFonts w:eastAsia="標楷體"/>
                <w:color w:val="000000"/>
                <w:kern w:val="0"/>
                <w:sz w:val="20"/>
                <w:szCs w:val="20"/>
              </w:rPr>
              <w:t>(</w:t>
            </w:r>
            <w:r>
              <w:rPr>
                <w:rFonts w:eastAsia="標楷體"/>
                <w:color w:val="000000"/>
                <w:kern w:val="0"/>
                <w:sz w:val="20"/>
                <w:szCs w:val="20"/>
              </w:rPr>
              <w:t>應勾註申復，並填明原受理編號</w:t>
            </w:r>
            <w:r>
              <w:rPr>
                <w:rFonts w:eastAsia="標楷體"/>
                <w:color w:val="000000"/>
                <w:kern w:val="0"/>
                <w:sz w:val="20"/>
                <w:szCs w:val="20"/>
              </w:rPr>
              <w:t>)</w:t>
            </w:r>
            <w:r>
              <w:rPr>
                <w:rFonts w:eastAsia="標楷體"/>
                <w:color w:val="000000"/>
                <w:kern w:val="0"/>
                <w:sz w:val="20"/>
                <w:szCs w:val="20"/>
              </w:rPr>
              <w:t>向原核定單位申請複核。</w:t>
            </w:r>
          </w:p>
          <w:p w14:paraId="31B3E8F8" w14:textId="77777777" w:rsidR="00BD776B" w:rsidRDefault="00DF0C24" w:rsidP="008A7063">
            <w:pPr>
              <w:numPr>
                <w:ilvl w:val="0"/>
                <w:numId w:val="51"/>
              </w:numPr>
              <w:spacing w:line="200" w:lineRule="exact"/>
            </w:pPr>
            <w:r>
              <w:rPr>
                <w:rFonts w:eastAsia="標楷體"/>
                <w:color w:val="000000"/>
                <w:kern w:val="0"/>
                <w:sz w:val="20"/>
                <w:szCs w:val="20"/>
              </w:rPr>
              <w:t>對複核結果如有異議，得於收到複核通知之日起六十日內向全民健康保險爭議審議會申請審議。</w:t>
            </w:r>
          </w:p>
          <w:p w14:paraId="5DFD506D" w14:textId="77777777" w:rsidR="00BD776B" w:rsidRDefault="00DF0C24" w:rsidP="008A7063">
            <w:pPr>
              <w:numPr>
                <w:ilvl w:val="0"/>
                <w:numId w:val="51"/>
              </w:numPr>
              <w:spacing w:line="200" w:lineRule="exact"/>
            </w:pPr>
            <w:r>
              <w:rPr>
                <w:rFonts w:eastAsia="標楷體"/>
                <w:color w:val="000000"/>
                <w:kern w:val="0"/>
                <w:sz w:val="20"/>
                <w:szCs w:val="20"/>
              </w:rPr>
              <w:t>對核定結果有異議者，應循上述申複及爭議審議途徑申請複核或審議，不得以新個案重新申請送核，否則不予受理。</w:t>
            </w:r>
          </w:p>
          <w:p w14:paraId="5A0359BC" w14:textId="77777777" w:rsidR="00BD776B" w:rsidRDefault="00DF0C24" w:rsidP="008A7063">
            <w:pPr>
              <w:numPr>
                <w:ilvl w:val="0"/>
                <w:numId w:val="51"/>
              </w:numPr>
              <w:spacing w:line="200" w:lineRule="exact"/>
            </w:pPr>
            <w:r>
              <w:rPr>
                <w:rFonts w:eastAsia="標楷體"/>
                <w:color w:val="000000"/>
                <w:kern w:val="0"/>
                <w:sz w:val="20"/>
                <w:szCs w:val="20"/>
              </w:rPr>
              <w:t>保險醫事服務機構如因事出緊急，得以書面說明電傳保險人報備後，先行處理治療，並立即備齊應附文件備查。</w:t>
            </w:r>
          </w:p>
        </w:tc>
        <w:tc>
          <w:tcPr>
            <w:tcW w:w="4902" w:type="dxa"/>
            <w:gridSpan w:val="24"/>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D966FF7" w14:textId="77777777" w:rsidR="00BD776B" w:rsidRDefault="00BD776B">
            <w:pPr>
              <w:spacing w:line="200" w:lineRule="exact"/>
              <w:rPr>
                <w:rFonts w:ascii="標楷體" w:eastAsia="標楷體" w:hAnsi="標楷體"/>
                <w:color w:val="000000"/>
                <w:sz w:val="20"/>
                <w:szCs w:val="20"/>
              </w:rPr>
            </w:pPr>
          </w:p>
        </w:tc>
        <w:tc>
          <w:tcPr>
            <w:tcW w:w="62" w:type="dxa"/>
            <w:gridSpan w:val="2"/>
            <w:shd w:val="clear" w:color="auto" w:fill="auto"/>
            <w:tcMar>
              <w:top w:w="0" w:type="dxa"/>
              <w:left w:w="10" w:type="dxa"/>
              <w:bottom w:w="0" w:type="dxa"/>
              <w:right w:w="10" w:type="dxa"/>
            </w:tcMar>
          </w:tcPr>
          <w:p w14:paraId="1F523B70" w14:textId="77777777" w:rsidR="00BD776B" w:rsidRDefault="00BD776B">
            <w:pPr>
              <w:spacing w:line="200" w:lineRule="exact"/>
              <w:rPr>
                <w:rFonts w:ascii="標楷體" w:eastAsia="標楷體" w:hAnsi="標楷體"/>
                <w:color w:val="000000"/>
                <w:sz w:val="20"/>
                <w:szCs w:val="20"/>
              </w:rPr>
            </w:pPr>
          </w:p>
        </w:tc>
      </w:tr>
      <w:tr w:rsidR="00BD776B" w14:paraId="1B5B8CE7" w14:textId="77777777">
        <w:trPr>
          <w:cantSplit/>
          <w:trHeight w:val="973"/>
        </w:trPr>
        <w:tc>
          <w:tcPr>
            <w:tcW w:w="3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873A8" w14:textId="77777777" w:rsidR="00BD776B" w:rsidRDefault="00BD776B">
            <w:pPr>
              <w:ind w:left="211" w:hanging="211"/>
              <w:rPr>
                <w:rFonts w:ascii="標楷體" w:eastAsia="標楷體" w:hAnsi="標楷體"/>
                <w:color w:val="000000"/>
              </w:rPr>
            </w:pPr>
          </w:p>
        </w:tc>
        <w:tc>
          <w:tcPr>
            <w:tcW w:w="9089"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ABDA" w14:textId="77777777" w:rsidR="00BD776B" w:rsidRDefault="00BD776B">
            <w:pPr>
              <w:ind w:left="211" w:hanging="211"/>
              <w:rPr>
                <w:rFonts w:ascii="標楷體" w:eastAsia="標楷體" w:hAnsi="標楷體"/>
                <w:color w:val="000000"/>
              </w:rPr>
            </w:pPr>
          </w:p>
        </w:tc>
        <w:tc>
          <w:tcPr>
            <w:tcW w:w="3608" w:type="dxa"/>
            <w:gridSpan w:val="20"/>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2B067" w14:textId="77777777" w:rsidR="00BD776B" w:rsidRDefault="00DF0C24">
            <w:pPr>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        日期章戳</w:t>
            </w:r>
          </w:p>
          <w:p w14:paraId="4F46099A" w14:textId="77777777" w:rsidR="00BD776B" w:rsidRDefault="00BD776B">
            <w:pPr>
              <w:jc w:val="both"/>
              <w:rPr>
                <w:rFonts w:ascii="標楷體" w:eastAsia="標楷體" w:hAnsi="標楷體"/>
                <w:color w:val="000000"/>
              </w:rPr>
            </w:pPr>
          </w:p>
        </w:tc>
        <w:tc>
          <w:tcPr>
            <w:tcW w:w="3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B3CE6" w14:textId="77777777" w:rsidR="00BD776B" w:rsidRDefault="00DF0C24">
            <w:r>
              <w:rPr>
                <w:rFonts w:ascii="標楷體" w:eastAsia="標楷體" w:hAnsi="標楷體" w:cs="標楷體"/>
                <w:color w:val="000000"/>
              </w:rPr>
              <w:t>審查醫師</w:t>
            </w: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C293B" w14:textId="77777777" w:rsidR="00BD776B" w:rsidRDefault="00BD776B">
            <w:pPr>
              <w:rPr>
                <w:rFonts w:ascii="標楷體" w:eastAsia="標楷體" w:hAnsi="標楷體"/>
                <w:color w:val="000000"/>
              </w:rPr>
            </w:pPr>
          </w:p>
        </w:tc>
        <w:tc>
          <w:tcPr>
            <w:tcW w:w="62" w:type="dxa"/>
            <w:gridSpan w:val="2"/>
            <w:shd w:val="clear" w:color="auto" w:fill="auto"/>
            <w:tcMar>
              <w:top w:w="0" w:type="dxa"/>
              <w:left w:w="10" w:type="dxa"/>
              <w:bottom w:w="0" w:type="dxa"/>
              <w:right w:w="10" w:type="dxa"/>
            </w:tcMar>
          </w:tcPr>
          <w:p w14:paraId="5716A8EE" w14:textId="77777777" w:rsidR="00BD776B" w:rsidRDefault="00BD776B">
            <w:pPr>
              <w:rPr>
                <w:rFonts w:ascii="標楷體" w:eastAsia="標楷體" w:hAnsi="標楷體"/>
                <w:color w:val="000000"/>
              </w:rPr>
            </w:pPr>
          </w:p>
        </w:tc>
      </w:tr>
      <w:tr w:rsidR="00BD776B" w14:paraId="2CBBDA1C" w14:textId="77777777">
        <w:trPr>
          <w:cantSplit/>
          <w:trHeight w:val="792"/>
        </w:trPr>
        <w:tc>
          <w:tcPr>
            <w:tcW w:w="3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369D" w14:textId="77777777" w:rsidR="00BD776B" w:rsidRDefault="00BD776B">
            <w:pPr>
              <w:ind w:left="211" w:hanging="211"/>
              <w:rPr>
                <w:rFonts w:ascii="標楷體" w:eastAsia="標楷體" w:hAnsi="標楷體"/>
                <w:color w:val="000000"/>
              </w:rPr>
            </w:pPr>
          </w:p>
        </w:tc>
        <w:tc>
          <w:tcPr>
            <w:tcW w:w="9089"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0DD76" w14:textId="77777777" w:rsidR="00BD776B" w:rsidRDefault="00BD776B">
            <w:pPr>
              <w:ind w:left="211" w:hanging="211"/>
              <w:rPr>
                <w:rFonts w:ascii="標楷體" w:eastAsia="標楷體" w:hAnsi="標楷體"/>
                <w:color w:val="000000"/>
              </w:rPr>
            </w:pPr>
          </w:p>
        </w:tc>
        <w:tc>
          <w:tcPr>
            <w:tcW w:w="3608" w:type="dxa"/>
            <w:gridSpan w:val="20"/>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CA2BA" w14:textId="77777777" w:rsidR="00BD776B" w:rsidRDefault="00BD776B">
            <w:pPr>
              <w:jc w:val="both"/>
              <w:rPr>
                <w:rFonts w:ascii="標楷體" w:eastAsia="標楷體" w:hAnsi="標楷體"/>
                <w:color w:val="000000"/>
              </w:rPr>
            </w:pPr>
          </w:p>
        </w:tc>
        <w:tc>
          <w:tcPr>
            <w:tcW w:w="3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B8F83" w14:textId="77777777" w:rsidR="00BD776B" w:rsidRDefault="00BD776B">
            <w:pPr>
              <w:rPr>
                <w:rFonts w:ascii="標楷體" w:eastAsia="標楷體" w:hAnsi="標楷體" w:cs="標楷體"/>
                <w:color w:val="000000"/>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D7B8B" w14:textId="77777777" w:rsidR="00BD776B" w:rsidRDefault="00BD776B">
            <w:pPr>
              <w:rPr>
                <w:rFonts w:ascii="標楷體" w:eastAsia="標楷體" w:hAnsi="標楷體"/>
                <w:color w:val="000000"/>
              </w:rPr>
            </w:pPr>
          </w:p>
        </w:tc>
        <w:tc>
          <w:tcPr>
            <w:tcW w:w="62" w:type="dxa"/>
            <w:gridSpan w:val="2"/>
            <w:shd w:val="clear" w:color="auto" w:fill="auto"/>
            <w:tcMar>
              <w:top w:w="0" w:type="dxa"/>
              <w:left w:w="10" w:type="dxa"/>
              <w:bottom w:w="0" w:type="dxa"/>
              <w:right w:w="10" w:type="dxa"/>
            </w:tcMar>
          </w:tcPr>
          <w:p w14:paraId="52694D00" w14:textId="77777777" w:rsidR="00BD776B" w:rsidRDefault="00BD776B">
            <w:pPr>
              <w:rPr>
                <w:rFonts w:ascii="標楷體" w:eastAsia="標楷體" w:hAnsi="標楷體"/>
                <w:color w:val="000000"/>
              </w:rPr>
            </w:pPr>
          </w:p>
        </w:tc>
      </w:tr>
      <w:tr w:rsidR="00BD776B" w14:paraId="67E0ADF0" w14:textId="77777777">
        <w:trPr>
          <w:cantSplit/>
          <w:trHeight w:val="706"/>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B273C" w14:textId="77777777" w:rsidR="00BD776B" w:rsidRDefault="00DF0C24">
            <w:pPr>
              <w:spacing w:line="240" w:lineRule="exact"/>
            </w:pPr>
            <w:r>
              <w:rPr>
                <w:rFonts w:ascii="標楷體" w:eastAsia="標楷體" w:hAnsi="標楷體" w:cs="標楷體"/>
                <w:color w:val="000000"/>
              </w:rPr>
              <w:t>醫事服務機構</w:t>
            </w:r>
          </w:p>
        </w:tc>
        <w:tc>
          <w:tcPr>
            <w:tcW w:w="8688"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CF213" w14:textId="77777777" w:rsidR="00BD776B" w:rsidRDefault="00DF0C24">
            <w:pPr>
              <w:spacing w:line="240" w:lineRule="exact"/>
            </w:pPr>
            <w:r>
              <w:rPr>
                <w:noProof/>
              </w:rPr>
              <mc:AlternateContent>
                <mc:Choice Requires="wps">
                  <w:drawing>
                    <wp:anchor distT="0" distB="0" distL="114300" distR="114300" simplePos="0" relativeHeight="251666432" behindDoc="1" locked="0" layoutInCell="1" allowOverlap="1" wp14:anchorId="4A1486C6" wp14:editId="108329CE">
                      <wp:simplePos x="0" y="0"/>
                      <wp:positionH relativeFrom="column">
                        <wp:posOffset>50804</wp:posOffset>
                      </wp:positionH>
                      <wp:positionV relativeFrom="page">
                        <wp:posOffset>92070</wp:posOffset>
                      </wp:positionV>
                      <wp:extent cx="2662559" cy="328297"/>
                      <wp:effectExtent l="0" t="0" r="4441" b="0"/>
                      <wp:wrapNone/>
                      <wp:docPr id="3" name="文字方塊 28"/>
                      <wp:cNvGraphicFramePr/>
                      <a:graphic xmlns:a="http://schemas.openxmlformats.org/drawingml/2006/main">
                        <a:graphicData uri="http://schemas.microsoft.com/office/word/2010/wordprocessingShape">
                          <wps:wsp>
                            <wps:cNvSpPr txBox="1"/>
                            <wps:spPr>
                              <a:xfrm>
                                <a:off x="0" y="0"/>
                                <a:ext cx="2662559" cy="328297"/>
                              </a:xfrm>
                              <a:prstGeom prst="rect">
                                <a:avLst/>
                              </a:prstGeom>
                              <a:solidFill>
                                <a:srgbClr val="FFFFFF"/>
                              </a:solidFill>
                              <a:ln>
                                <a:noFill/>
                                <a:prstDash/>
                              </a:ln>
                            </wps:spPr>
                            <wps:txbx>
                              <w:txbxContent>
                                <w:p w14:paraId="600A1CD2" w14:textId="77777777" w:rsidR="00576CD7" w:rsidRDefault="00576CD7">
                                  <w:r>
                                    <w:rPr>
                                      <w:rFonts w:ascii="標楷體" w:eastAsia="標楷體" w:hAnsi="標楷體"/>
                                      <w:vertAlign w:val="superscript"/>
                                    </w:rPr>
                                    <w:t>*</w:t>
                                  </w:r>
                                  <w:r>
                                    <w:rPr>
                                      <w:rFonts w:ascii="標楷體" w:eastAsia="標楷體" w:hAnsi="標楷體"/>
                                    </w:rPr>
                                    <w:t>備註：修訂如劃底線及刪除線部分</w:t>
                                  </w:r>
                                </w:p>
                              </w:txbxContent>
                            </wps:txbx>
                            <wps:bodyPr vert="horz" wrap="square" lIns="91440" tIns="45720" rIns="91440" bIns="45720" anchor="t" anchorCtr="0" compatLnSpc="0">
                              <a:spAutoFit/>
                            </wps:bodyPr>
                          </wps:wsp>
                        </a:graphicData>
                      </a:graphic>
                    </wp:anchor>
                  </w:drawing>
                </mc:Choice>
                <mc:Fallback>
                  <w:pict>
                    <v:shape w14:anchorId="4A1486C6" id="文字方塊 28" o:spid="_x0000_s1028" type="#_x0000_t202" style="position:absolute;margin-left:4pt;margin-top:7.25pt;width:209.65pt;height:25.85pt;z-index:-251650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" stroked="f">
                      <v:textbox style="mso-fit-shape-to-text:t">
                        <w:txbxContent>
                          <w:p w14:paraId="600A1CD2" w14:textId="77777777" w:rsidR="00576CD7" w:rsidRDefault="00576CD7">
                            <w:r>
                              <w:rPr>
                                <w:rFonts w:ascii="標楷體" w:eastAsia="標楷體" w:hAnsi="標楷體"/>
                                <w:vertAlign w:val="superscript"/>
                              </w:rPr>
                              <w:t>*</w:t>
                            </w:r>
                            <w:r>
                              <w:rPr>
                                <w:rFonts w:ascii="標楷體" w:eastAsia="標楷體" w:hAnsi="標楷體"/>
                              </w:rPr>
                              <w:t>備註：修訂如劃底線及刪除線部分</w:t>
                            </w:r>
                          </w:p>
                        </w:txbxContent>
                      </v:textbox>
                      <w10:wrap anchory="page"/>
                    </v:shape>
                  </w:pict>
                </mc:Fallback>
              </mc:AlternateContent>
            </w:r>
            <w:r>
              <w:rPr>
                <w:rFonts w:ascii="標楷體" w:eastAsia="標楷體" w:hAnsi="標楷體" w:cs="標楷體"/>
                <w:color w:val="000000"/>
              </w:rPr>
              <w:t>醫院                                   申請日期：    年     月     日</w:t>
            </w:r>
          </w:p>
          <w:p w14:paraId="0DAFB579" w14:textId="77777777" w:rsidR="00BD776B" w:rsidRDefault="00BD776B">
            <w:pPr>
              <w:spacing w:line="240" w:lineRule="exact"/>
              <w:rPr>
                <w:rFonts w:ascii="標楷體" w:eastAsia="標楷體" w:hAnsi="標楷體"/>
                <w:color w:val="000000"/>
              </w:rPr>
            </w:pPr>
          </w:p>
          <w:p w14:paraId="28D18C05" w14:textId="77777777" w:rsidR="00BD776B" w:rsidRDefault="00DF0C24">
            <w:pPr>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 xml:space="preserve">                             文號：</w:t>
            </w:r>
          </w:p>
        </w:tc>
        <w:tc>
          <w:tcPr>
            <w:tcW w:w="359"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F563FA" w14:textId="77777777" w:rsidR="00BD776B" w:rsidRDefault="00DF0C24">
            <w:pPr>
              <w:widowControl/>
              <w:spacing w:line="240" w:lineRule="exact"/>
            </w:pPr>
            <w:r>
              <w:rPr>
                <w:rFonts w:ascii="標楷體" w:eastAsia="標楷體" w:hAnsi="標楷體" w:cs="標楷體"/>
                <w:color w:val="000000"/>
              </w:rPr>
              <w:t>承辦人</w:t>
            </w:r>
          </w:p>
        </w:tc>
        <w:tc>
          <w:tcPr>
            <w:tcW w:w="83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91E3A" w14:textId="77777777" w:rsidR="00BD776B" w:rsidRDefault="00BD776B">
            <w:pPr>
              <w:widowControl/>
              <w:rPr>
                <w:rFonts w:ascii="標楷體" w:eastAsia="標楷體" w:hAnsi="標楷體"/>
                <w:color w:val="000000"/>
              </w:rPr>
            </w:pPr>
          </w:p>
          <w:p w14:paraId="46D95795" w14:textId="77777777" w:rsidR="00BD776B" w:rsidRDefault="00BD776B">
            <w:pPr>
              <w:spacing w:line="240" w:lineRule="exact"/>
              <w:rPr>
                <w:rFonts w:ascii="標楷體" w:eastAsia="標楷體" w:hAnsi="標楷體"/>
                <w:color w:val="000000"/>
              </w:rPr>
            </w:pPr>
          </w:p>
        </w:tc>
        <w:tc>
          <w:tcPr>
            <w:tcW w:w="359"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01D808" w14:textId="77777777" w:rsidR="00BD776B" w:rsidRDefault="00DF0C24">
            <w:pPr>
              <w:widowControl/>
              <w:spacing w:line="240" w:lineRule="exact"/>
            </w:pPr>
            <w:r>
              <w:rPr>
                <w:rFonts w:ascii="標楷體" w:eastAsia="標楷體" w:hAnsi="標楷體" w:cs="標楷體"/>
                <w:color w:val="000000"/>
              </w:rPr>
              <w:t>複核</w:t>
            </w:r>
          </w:p>
        </w:tc>
        <w:tc>
          <w:tcPr>
            <w:tcW w:w="838"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969C6" w14:textId="77777777" w:rsidR="00BD776B" w:rsidRDefault="00BD776B">
            <w:pPr>
              <w:widowControl/>
              <w:rPr>
                <w:rFonts w:ascii="標楷體" w:eastAsia="標楷體" w:hAnsi="標楷體"/>
                <w:color w:val="000000"/>
              </w:rPr>
            </w:pPr>
          </w:p>
          <w:p w14:paraId="39EB939E" w14:textId="77777777" w:rsidR="00BD776B" w:rsidRDefault="00BD776B">
            <w:pPr>
              <w:spacing w:line="240" w:lineRule="exact"/>
              <w:rPr>
                <w:rFonts w:ascii="標楷體" w:eastAsia="標楷體" w:hAnsi="標楷體"/>
                <w:color w:val="000000"/>
              </w:rPr>
            </w:pPr>
          </w:p>
        </w:tc>
        <w:tc>
          <w:tcPr>
            <w:tcW w:w="362"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8AE134" w14:textId="77777777" w:rsidR="00BD776B" w:rsidRDefault="00DF0C24">
            <w:pPr>
              <w:spacing w:line="240" w:lineRule="exact"/>
            </w:pPr>
            <w:r>
              <w:rPr>
                <w:rFonts w:ascii="標楷體" w:eastAsia="標楷體" w:hAnsi="標楷體" w:cs="標楷體"/>
                <w:color w:val="000000"/>
              </w:rPr>
              <w:t>科長</w:t>
            </w:r>
          </w:p>
        </w:tc>
        <w:tc>
          <w:tcPr>
            <w:tcW w:w="839"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E4255" w14:textId="77777777" w:rsidR="00BD776B" w:rsidRDefault="00BD776B">
            <w:pPr>
              <w:widowControl/>
              <w:rPr>
                <w:rFonts w:ascii="標楷體" w:eastAsia="標楷體" w:hAnsi="標楷體"/>
                <w:color w:val="000000"/>
              </w:rPr>
            </w:pPr>
          </w:p>
          <w:p w14:paraId="1673AACC" w14:textId="77777777" w:rsidR="00BD776B" w:rsidRDefault="00BD776B">
            <w:pPr>
              <w:spacing w:line="240" w:lineRule="exact"/>
              <w:rPr>
                <w:rFonts w:ascii="標楷體" w:eastAsia="標楷體" w:hAnsi="標楷體"/>
                <w:color w:val="000000"/>
              </w:rPr>
            </w:pPr>
          </w:p>
        </w:tc>
        <w:tc>
          <w:tcPr>
            <w:tcW w:w="35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C0795" w14:textId="77777777" w:rsidR="00BD776B" w:rsidRDefault="00DF0C24">
            <w:pPr>
              <w:widowControl/>
              <w:spacing w:line="240" w:lineRule="exact"/>
            </w:pPr>
            <w:r>
              <w:rPr>
                <w:rFonts w:ascii="標楷體" w:eastAsia="標楷體" w:hAnsi="標楷體" w:cs="標楷體"/>
                <w:color w:val="000000"/>
              </w:rPr>
              <w:t>決行</w:t>
            </w:r>
          </w:p>
        </w:tc>
        <w:tc>
          <w:tcPr>
            <w:tcW w:w="959"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BD72A" w14:textId="77777777" w:rsidR="00BD776B" w:rsidRDefault="00BD776B">
            <w:pPr>
              <w:widowControl/>
              <w:rPr>
                <w:rFonts w:ascii="標楷體" w:eastAsia="標楷體" w:hAnsi="標楷體"/>
                <w:color w:val="000000"/>
              </w:rPr>
            </w:pPr>
          </w:p>
          <w:p w14:paraId="612A3FCC" w14:textId="77777777" w:rsidR="00BD776B" w:rsidRDefault="00BD776B">
            <w:pPr>
              <w:spacing w:line="240" w:lineRule="exact"/>
              <w:rPr>
                <w:rFonts w:ascii="標楷體" w:eastAsia="標楷體" w:hAnsi="標楷體"/>
                <w:color w:val="000000"/>
              </w:rPr>
            </w:pPr>
          </w:p>
        </w:tc>
        <w:tc>
          <w:tcPr>
            <w:tcW w:w="62" w:type="dxa"/>
            <w:gridSpan w:val="2"/>
            <w:shd w:val="clear" w:color="auto" w:fill="auto"/>
            <w:tcMar>
              <w:top w:w="0" w:type="dxa"/>
              <w:left w:w="10" w:type="dxa"/>
              <w:bottom w:w="0" w:type="dxa"/>
              <w:right w:w="10" w:type="dxa"/>
            </w:tcMar>
          </w:tcPr>
          <w:p w14:paraId="2CDE5146" w14:textId="77777777" w:rsidR="00BD776B" w:rsidRDefault="00BD776B">
            <w:pPr>
              <w:spacing w:line="240" w:lineRule="exact"/>
              <w:rPr>
                <w:rFonts w:ascii="標楷體" w:eastAsia="標楷體" w:hAnsi="標楷體"/>
                <w:color w:val="000000"/>
              </w:rPr>
            </w:pPr>
          </w:p>
        </w:tc>
      </w:tr>
    </w:tbl>
    <w:p w14:paraId="40B954A2" w14:textId="77777777" w:rsidR="00BD776B" w:rsidRDefault="00DF0C24">
      <w:pPr>
        <w:pStyle w:val="Web"/>
        <w:pageBreakBefore/>
        <w:widowControl w:val="0"/>
        <w:snapToGrid w:val="0"/>
        <w:spacing w:before="0" w:after="0" w:line="380" w:lineRule="exact"/>
        <w:jc w:val="both"/>
      </w:pPr>
      <w:r>
        <w:rPr>
          <w:rFonts w:ascii="標楷體" w:eastAsia="標楷體" w:hAnsi="標楷體" w:cs="標楷體"/>
          <w:color w:val="000000"/>
        </w:rPr>
        <w:lastRenderedPageBreak/>
        <w:t>附表八之三全民健康保險使用抗癌藥</w:t>
      </w:r>
      <w:r>
        <w:rPr>
          <w:rFonts w:ascii="標楷體" w:eastAsia="標楷體" w:hAnsi="標楷體" w:cs="Times New Roman"/>
          <w:color w:val="000000"/>
        </w:rPr>
        <w:t>品Pemetrexed</w:t>
      </w:r>
      <w:r>
        <w:rPr>
          <w:rFonts w:ascii="標楷體" w:eastAsia="標楷體" w:hAnsi="標楷體" w:cs="標楷體"/>
          <w:color w:val="000000"/>
        </w:rPr>
        <w:t>申請表</w:t>
      </w:r>
    </w:p>
    <w:tbl>
      <w:tblPr>
        <w:tblW w:w="14015" w:type="dxa"/>
        <w:tblInd w:w="421" w:type="dxa"/>
        <w:tblLayout w:type="fixed"/>
        <w:tblCellMar>
          <w:left w:w="10" w:type="dxa"/>
          <w:right w:w="10" w:type="dxa"/>
        </w:tblCellMar>
        <w:tblLook w:val="0000" w:firstRow="0" w:lastRow="0" w:firstColumn="0" w:lastColumn="0" w:noHBand="0" w:noVBand="0"/>
      </w:tblPr>
      <w:tblGrid>
        <w:gridCol w:w="850"/>
        <w:gridCol w:w="425"/>
        <w:gridCol w:w="726"/>
        <w:gridCol w:w="359"/>
        <w:gridCol w:w="75"/>
        <w:gridCol w:w="284"/>
        <w:gridCol w:w="602"/>
        <w:gridCol w:w="564"/>
        <w:gridCol w:w="388"/>
        <w:gridCol w:w="1200"/>
        <w:gridCol w:w="599"/>
        <w:gridCol w:w="359"/>
        <w:gridCol w:w="958"/>
        <w:gridCol w:w="838"/>
        <w:gridCol w:w="374"/>
        <w:gridCol w:w="468"/>
        <w:gridCol w:w="359"/>
        <w:gridCol w:w="239"/>
        <w:gridCol w:w="599"/>
        <w:gridCol w:w="359"/>
        <w:gridCol w:w="7"/>
        <w:gridCol w:w="472"/>
        <w:gridCol w:w="361"/>
        <w:gridCol w:w="213"/>
        <w:gridCol w:w="149"/>
        <w:gridCol w:w="236"/>
        <w:gridCol w:w="604"/>
        <w:gridCol w:w="13"/>
        <w:gridCol w:w="337"/>
        <w:gridCol w:w="7"/>
        <w:gridCol w:w="951"/>
        <w:gridCol w:w="40"/>
      </w:tblGrid>
      <w:tr w:rsidR="00BD776B" w14:paraId="1D421CB3" w14:textId="77777777" w:rsidTr="00CD4701">
        <w:trPr>
          <w:cantSplit/>
          <w:trHeight w:val="416"/>
        </w:trPr>
        <w:tc>
          <w:tcPr>
            <w:tcW w:w="2001"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0F09C87"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0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B19A12"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072C4" w14:textId="77777777" w:rsidR="00BD776B" w:rsidRDefault="00DF0C24">
            <w:pPr>
              <w:snapToGrid w:val="0"/>
            </w:pPr>
            <w:r>
              <w:rPr>
                <w:rFonts w:ascii="標楷體" w:eastAsia="標楷體" w:hAnsi="標楷體" w:cs="標楷體"/>
                <w:color w:val="000000"/>
                <w:sz w:val="20"/>
                <w:szCs w:val="20"/>
              </w:rPr>
              <w:t>受理日期：</w:t>
            </w:r>
          </w:p>
        </w:tc>
        <w:tc>
          <w:tcPr>
            <w:tcW w:w="25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EF94F5" w14:textId="77777777" w:rsidR="00BD776B" w:rsidRDefault="00DF0C24">
            <w:pPr>
              <w:snapToGrid w:val="0"/>
            </w:pPr>
            <w:r>
              <w:rPr>
                <w:rFonts w:ascii="標楷體" w:eastAsia="標楷體" w:hAnsi="標楷體" w:cs="標楷體"/>
                <w:color w:val="000000"/>
                <w:sz w:val="20"/>
                <w:szCs w:val="20"/>
              </w:rPr>
              <w:t>受理編號：</w:t>
            </w:r>
          </w:p>
        </w:tc>
        <w:tc>
          <w:tcPr>
            <w:tcW w:w="287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3246FC" w14:textId="77777777" w:rsidR="00BD776B" w:rsidRDefault="00DF0C24">
            <w:pPr>
              <w:snapToGrid w:val="0"/>
            </w:pPr>
            <w:r>
              <w:rPr>
                <w:rFonts w:ascii="標楷體" w:eastAsia="標楷體" w:hAnsi="標楷體" w:cs="標楷體"/>
                <w:color w:val="000000"/>
                <w:sz w:val="20"/>
                <w:szCs w:val="20"/>
              </w:rPr>
              <w:t>緊急傳真日期：</w:t>
            </w:r>
          </w:p>
        </w:tc>
        <w:tc>
          <w:tcPr>
            <w:tcW w:w="40" w:type="dxa"/>
            <w:shd w:val="clear" w:color="auto" w:fill="auto"/>
            <w:tcMar>
              <w:top w:w="0" w:type="dxa"/>
              <w:left w:w="10" w:type="dxa"/>
              <w:bottom w:w="0" w:type="dxa"/>
              <w:right w:w="10" w:type="dxa"/>
            </w:tcMar>
          </w:tcPr>
          <w:p w14:paraId="22D9EC11" w14:textId="77777777" w:rsidR="00BD776B" w:rsidRDefault="00BD776B">
            <w:pPr>
              <w:snapToGrid w:val="0"/>
              <w:rPr>
                <w:rFonts w:ascii="標楷體" w:eastAsia="標楷體" w:hAnsi="標楷體"/>
              </w:rPr>
            </w:pPr>
          </w:p>
        </w:tc>
      </w:tr>
      <w:tr w:rsidR="00BD776B" w14:paraId="2A22D26B" w14:textId="77777777" w:rsidTr="00CD4701">
        <w:trPr>
          <w:cantSplit/>
          <w:trHeight w:val="517"/>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53AE50"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52D7C8"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2CC748" w14:textId="77777777" w:rsidR="00BD776B" w:rsidRDefault="00BD776B">
            <w:pPr>
              <w:snapToGrid w:val="0"/>
              <w:spacing w:line="200" w:lineRule="exact"/>
              <w:rPr>
                <w:rFonts w:ascii="標楷體" w:eastAsia="標楷體" w:hAnsi="標楷體"/>
                <w:color w:val="000000"/>
                <w:sz w:val="20"/>
                <w:szCs w:val="20"/>
              </w:rPr>
            </w:pPr>
          </w:p>
        </w:tc>
        <w:tc>
          <w:tcPr>
            <w:tcW w:w="3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5F4C3"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12EBDFD1"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7DF61BE1"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65988777"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91BC78"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F81213"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DA2B81"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C3F471"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856133"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1AEECCAD"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2ED8F2" w14:textId="77777777" w:rsidR="00BD776B" w:rsidRDefault="00BD776B">
            <w:pPr>
              <w:snapToGrid w:val="0"/>
              <w:spacing w:line="200" w:lineRule="exact"/>
              <w:rPr>
                <w:rFonts w:ascii="標楷體" w:eastAsia="標楷體" w:hAnsi="標楷體"/>
                <w:color w:val="000000"/>
                <w:sz w:val="20"/>
                <w:szCs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459C6C"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2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8EB347"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10806EAE" w14:textId="77777777" w:rsidR="00BD776B" w:rsidRDefault="00BD776B">
            <w:pPr>
              <w:snapToGrid w:val="0"/>
              <w:spacing w:line="200" w:lineRule="exact"/>
              <w:rPr>
                <w:rFonts w:ascii="標楷體" w:eastAsia="標楷體" w:hAnsi="標楷體"/>
                <w:color w:val="000000"/>
                <w:sz w:val="20"/>
                <w:szCs w:val="20"/>
              </w:rPr>
            </w:pPr>
          </w:p>
        </w:tc>
      </w:tr>
      <w:tr w:rsidR="00BD776B" w14:paraId="615CE3A2" w14:textId="77777777" w:rsidTr="00CD4701">
        <w:trPr>
          <w:cantSplit/>
          <w:trHeight w:val="530"/>
        </w:trPr>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EF181C" w14:textId="77777777" w:rsidR="00BD776B" w:rsidRDefault="00BD776B">
            <w:pPr>
              <w:snapToGrid w:val="0"/>
              <w:spacing w:line="200" w:lineRule="exact"/>
              <w:rPr>
                <w:rFonts w:ascii="標楷體" w:eastAsia="標楷體" w:hAnsi="標楷體"/>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C975B"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C745D7" w14:textId="77777777" w:rsidR="00BD776B" w:rsidRDefault="00BD776B">
            <w:pPr>
              <w:snapToGrid w:val="0"/>
              <w:spacing w:line="200" w:lineRule="exact"/>
              <w:rPr>
                <w:rFonts w:ascii="標楷體" w:eastAsia="標楷體" w:hAnsi="標楷體"/>
                <w:color w:val="000000"/>
                <w:sz w:val="20"/>
                <w:szCs w:val="20"/>
              </w:rPr>
            </w:pPr>
          </w:p>
        </w:tc>
        <w:tc>
          <w:tcPr>
            <w:tcW w:w="3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CF2364" w14:textId="77777777" w:rsidR="00BD776B" w:rsidRDefault="00BD776B">
            <w:pPr>
              <w:snapToGrid w:val="0"/>
              <w:spacing w:line="200" w:lineRule="exact"/>
              <w:rPr>
                <w:rFonts w:ascii="標楷體" w:eastAsia="標楷體" w:hAnsi="標楷體"/>
                <w:color w:val="000000"/>
                <w:sz w:val="20"/>
                <w:szCs w:val="20"/>
              </w:rPr>
            </w:pP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8DAECF" w14:textId="77777777" w:rsidR="00BD776B" w:rsidRDefault="00DF0C24">
            <w:pPr>
              <w:snapToGrid w:val="0"/>
              <w:spacing w:line="200" w:lineRule="exact"/>
            </w:pPr>
            <w:r>
              <w:rPr>
                <w:rFonts w:ascii="標楷體" w:eastAsia="標楷體" w:hAnsi="標楷體" w:cs="標楷體"/>
                <w:color w:val="000000"/>
                <w:sz w:val="20"/>
                <w:szCs w:val="20"/>
              </w:rPr>
              <w:t>身分證</w:t>
            </w:r>
          </w:p>
          <w:p w14:paraId="3778223A"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5DB8C" w14:textId="77777777" w:rsidR="00BD776B" w:rsidRDefault="00BD776B">
            <w:pPr>
              <w:snapToGrid w:val="0"/>
              <w:spacing w:line="200" w:lineRule="exact"/>
              <w:rPr>
                <w:rFonts w:ascii="標楷體" w:eastAsia="標楷體" w:hAnsi="標楷體"/>
                <w:color w:val="000000"/>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84407C"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4FAA987B"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A892CE"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4C6CD"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B5168"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4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0EDFB2" w14:textId="77777777" w:rsidR="00BD776B" w:rsidRDefault="00BD776B">
            <w:pPr>
              <w:snapToGrid w:val="0"/>
              <w:spacing w:line="200" w:lineRule="exact"/>
              <w:rPr>
                <w:rFonts w:ascii="標楷體" w:eastAsia="標楷體" w:hAnsi="標楷體"/>
                <w:color w:val="000000"/>
                <w:sz w:val="20"/>
                <w:szCs w:val="20"/>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A86C21"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491E3C"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30199B05" w14:textId="77777777" w:rsidR="00BD776B" w:rsidRDefault="00BD776B">
            <w:pPr>
              <w:snapToGrid w:val="0"/>
              <w:spacing w:line="200" w:lineRule="exact"/>
              <w:rPr>
                <w:rFonts w:ascii="標楷體" w:eastAsia="標楷體" w:hAnsi="標楷體"/>
                <w:color w:val="000000"/>
                <w:sz w:val="20"/>
                <w:szCs w:val="20"/>
              </w:rPr>
            </w:pPr>
          </w:p>
        </w:tc>
      </w:tr>
      <w:tr w:rsidR="00BD776B" w14:paraId="56251B84" w14:textId="77777777" w:rsidTr="00CD4701">
        <w:trPr>
          <w:cantSplit/>
          <w:trHeight w:val="401"/>
        </w:trPr>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5AF5E"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ICD-10代碼</w:t>
            </w:r>
          </w:p>
        </w:tc>
        <w:tc>
          <w:tcPr>
            <w:tcW w:w="20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758A1B" w14:textId="77777777" w:rsidR="00BD776B" w:rsidRDefault="00BD776B">
            <w:pPr>
              <w:snapToGrid w:val="0"/>
              <w:spacing w:line="200" w:lineRule="exact"/>
              <w:rPr>
                <w:rFonts w:ascii="標楷體" w:eastAsia="標楷體" w:hAnsi="標楷體"/>
                <w:color w:val="000000"/>
                <w:sz w:val="20"/>
                <w:szCs w:val="20"/>
              </w:rPr>
            </w:pP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40094C"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1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17A21"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735CF"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33C7F661"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c>
          <w:tcPr>
            <w:tcW w:w="40" w:type="dxa"/>
            <w:shd w:val="clear" w:color="auto" w:fill="auto"/>
            <w:tcMar>
              <w:top w:w="0" w:type="dxa"/>
              <w:left w:w="10" w:type="dxa"/>
              <w:bottom w:w="0" w:type="dxa"/>
              <w:right w:w="10" w:type="dxa"/>
            </w:tcMar>
          </w:tcPr>
          <w:p w14:paraId="1943B936" w14:textId="77777777" w:rsidR="00BD776B" w:rsidRDefault="00BD776B">
            <w:pPr>
              <w:snapToGrid w:val="0"/>
              <w:spacing w:line="200" w:lineRule="exact"/>
              <w:rPr>
                <w:rFonts w:ascii="標楷體" w:eastAsia="標楷體" w:hAnsi="標楷體"/>
              </w:rPr>
            </w:pPr>
          </w:p>
        </w:tc>
      </w:tr>
      <w:tr w:rsidR="00BD776B" w14:paraId="0C062D71" w14:textId="77777777" w:rsidTr="00CD4701">
        <w:trPr>
          <w:cantSplit/>
        </w:trPr>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9D7B0E"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1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6BBB2"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49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DBA648"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86F37F"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743812B8"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316E7"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110271B7"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5D12C22"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40" w:type="dxa"/>
            <w:shd w:val="clear" w:color="auto" w:fill="auto"/>
            <w:tcMar>
              <w:top w:w="0" w:type="dxa"/>
              <w:left w:w="10" w:type="dxa"/>
              <w:bottom w:w="0" w:type="dxa"/>
              <w:right w:w="10" w:type="dxa"/>
            </w:tcMar>
          </w:tcPr>
          <w:p w14:paraId="6496E619" w14:textId="77777777" w:rsidR="00BD776B" w:rsidRDefault="00BD776B">
            <w:pPr>
              <w:snapToGrid w:val="0"/>
              <w:spacing w:line="200" w:lineRule="exact"/>
              <w:jc w:val="center"/>
              <w:rPr>
                <w:rFonts w:ascii="標楷體" w:eastAsia="標楷體" w:hAnsi="標楷體"/>
              </w:rPr>
            </w:pPr>
          </w:p>
        </w:tc>
      </w:tr>
      <w:tr w:rsidR="00BD776B" w14:paraId="0DA60283" w14:textId="77777777" w:rsidTr="00CD4701">
        <w:trPr>
          <w:cantSplit/>
          <w:trHeight w:val="2910"/>
        </w:trPr>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A1227" w14:textId="77777777" w:rsidR="00BD776B" w:rsidRDefault="00DF0C24">
            <w:pPr>
              <w:snapToGrid w:val="0"/>
              <w:spacing w:before="180" w:after="180" w:line="200" w:lineRule="exact"/>
              <w:ind w:left="2" w:firstLine="44"/>
              <w:rPr>
                <w:rFonts w:ascii="標楷體" w:eastAsia="標楷體" w:hAnsi="標楷體"/>
                <w:color w:val="000000"/>
                <w:sz w:val="20"/>
                <w:szCs w:val="20"/>
              </w:rPr>
            </w:pPr>
            <w:r>
              <w:rPr>
                <w:rFonts w:ascii="標楷體" w:eastAsia="標楷體" w:hAnsi="標楷體"/>
                <w:color w:val="000000"/>
                <w:sz w:val="20"/>
                <w:szCs w:val="20"/>
              </w:rPr>
              <w:t>Alimta</w:t>
            </w:r>
          </w:p>
          <w:p w14:paraId="716754A8" w14:textId="77777777" w:rsidR="00BD776B" w:rsidRDefault="00DF0C24" w:rsidP="008A7063">
            <w:pPr>
              <w:numPr>
                <w:ilvl w:val="0"/>
                <w:numId w:val="52"/>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B024084277</w:t>
            </w:r>
          </w:p>
          <w:p w14:paraId="24279FDA" w14:textId="77777777" w:rsidR="00BD776B" w:rsidRDefault="00DF0C24" w:rsidP="008A7063">
            <w:pPr>
              <w:numPr>
                <w:ilvl w:val="0"/>
                <w:numId w:val="52"/>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B024874255</w:t>
            </w:r>
          </w:p>
          <w:p w14:paraId="1F2C3A8D" w14:textId="77777777" w:rsidR="00BD776B" w:rsidRDefault="00BD776B">
            <w:pPr>
              <w:snapToGrid w:val="0"/>
              <w:spacing w:line="200" w:lineRule="exact"/>
              <w:rPr>
                <w:rFonts w:ascii="標楷體" w:eastAsia="標楷體" w:hAnsi="標楷體"/>
                <w:color w:val="000000"/>
                <w:sz w:val="20"/>
                <w:szCs w:val="20"/>
              </w:rPr>
            </w:pPr>
          </w:p>
        </w:tc>
        <w:tc>
          <w:tcPr>
            <w:tcW w:w="11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EA37" w14:textId="77777777" w:rsidR="00BD776B" w:rsidRDefault="00DF0C24" w:rsidP="008A7063">
            <w:pPr>
              <w:numPr>
                <w:ilvl w:val="0"/>
                <w:numId w:val="52"/>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第一次申請</w:t>
            </w:r>
          </w:p>
          <w:p w14:paraId="62FC4C9E" w14:textId="77777777" w:rsidR="00BD776B" w:rsidRDefault="00DF0C24" w:rsidP="008A7063">
            <w:pPr>
              <w:numPr>
                <w:ilvl w:val="0"/>
                <w:numId w:val="52"/>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治療後再次申請</w:t>
            </w:r>
          </w:p>
          <w:p w14:paraId="0414475B" w14:textId="77777777" w:rsidR="00BD776B" w:rsidRDefault="00BD776B">
            <w:pPr>
              <w:snapToGrid w:val="0"/>
              <w:spacing w:before="180"/>
              <w:ind w:left="168" w:hanging="142"/>
              <w:rPr>
                <w:rFonts w:ascii="標楷體" w:eastAsia="標楷體" w:hAnsi="標楷體"/>
                <w:color w:val="000000"/>
                <w:sz w:val="20"/>
                <w:szCs w:val="20"/>
              </w:rPr>
            </w:pPr>
          </w:p>
        </w:tc>
        <w:tc>
          <w:tcPr>
            <w:tcW w:w="49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22E80" w14:textId="77777777" w:rsidR="00BD776B" w:rsidRDefault="00DF0C24">
            <w:pPr>
              <w:snapToGrid w:val="0"/>
              <w:spacing w:before="180" w:after="180" w:line="240" w:lineRule="exact"/>
            </w:pPr>
            <w:r>
              <w:rPr>
                <w:rFonts w:ascii="標楷體" w:eastAsia="標楷體" w:hAnsi="標楷體" w:cs="標楷體"/>
                <w:color w:val="000000"/>
                <w:sz w:val="20"/>
                <w:szCs w:val="20"/>
              </w:rPr>
              <w:t>□</w:t>
            </w:r>
            <w:r>
              <w:rPr>
                <w:rFonts w:ascii="標楷體" w:eastAsia="標楷體" w:hAnsi="標楷體"/>
                <w:color w:val="000000"/>
                <w:sz w:val="20"/>
                <w:szCs w:val="20"/>
              </w:rPr>
              <w:t>與cisplatin併用於惡性肋膜間質細胞瘤</w:t>
            </w:r>
          </w:p>
          <w:p w14:paraId="03BEA012" w14:textId="77777777" w:rsidR="00BD776B" w:rsidRDefault="00DF0C24">
            <w:pPr>
              <w:snapToGrid w:val="0"/>
              <w:spacing w:after="180" w:line="240" w:lineRule="exact"/>
              <w:ind w:left="200" w:hanging="200"/>
            </w:pPr>
            <w:r>
              <w:rPr>
                <w:rFonts w:ascii="標楷體" w:eastAsia="標楷體" w:hAnsi="標楷體" w:cs="標楷體"/>
                <w:color w:val="000000"/>
                <w:sz w:val="20"/>
                <w:szCs w:val="20"/>
              </w:rPr>
              <w:t>□以含鉑之化學療法治療</w:t>
            </w:r>
            <w:r>
              <w:rPr>
                <w:rFonts w:ascii="標楷體" w:eastAsia="標楷體" w:hAnsi="標楷體"/>
                <w:color w:val="000000"/>
                <w:sz w:val="20"/>
                <w:szCs w:val="20"/>
              </w:rPr>
              <w:t>或70歲(含)以上接受過第一線化學治療，但仍失敗之局部晚期或轉移性非小細胞肺癌病患（顯著鱗狀細胞組織型除外）之單一藥物治療。</w:t>
            </w:r>
          </w:p>
          <w:p w14:paraId="430F9586" w14:textId="77777777" w:rsidR="00BD776B" w:rsidRDefault="00DF0C24">
            <w:pPr>
              <w:snapToGrid w:val="0"/>
              <w:spacing w:after="180" w:line="240" w:lineRule="exact"/>
              <w:ind w:left="200" w:hanging="200"/>
            </w:pPr>
            <w:r>
              <w:rPr>
                <w:rFonts w:ascii="標楷體" w:eastAsia="標楷體" w:hAnsi="標楷體" w:cs="標楷體"/>
                <w:color w:val="000000"/>
                <w:sz w:val="20"/>
                <w:szCs w:val="20"/>
              </w:rPr>
              <w:t>□</w:t>
            </w:r>
            <w:r>
              <w:rPr>
                <w:rFonts w:ascii="標楷體" w:eastAsia="標楷體" w:hAnsi="標楷體"/>
                <w:color w:val="000000"/>
                <w:sz w:val="20"/>
                <w:szCs w:val="20"/>
              </w:rPr>
              <w:t>與含鉑類之化學療法併用，作為治療局部晚期或轉移性非小細胞肺癌（顯著鱗狀細胞組織型除外）之第一線化療用藥，且限用於ECOGperformancestatus為0~1之</w:t>
            </w:r>
            <w:r>
              <w:rPr>
                <w:rFonts w:ascii="標楷體" w:eastAsia="標楷體" w:hAnsi="標楷體" w:cs="標楷體"/>
                <w:color w:val="000000"/>
                <w:sz w:val="20"/>
                <w:szCs w:val="20"/>
              </w:rPr>
              <w:t>病患。</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81E5B" w14:textId="77777777" w:rsidR="00BD776B" w:rsidRDefault="00BD776B">
            <w:pPr>
              <w:snapToGrid w:val="0"/>
              <w:spacing w:line="200" w:lineRule="exact"/>
              <w:rPr>
                <w:rFonts w:ascii="標楷體" w:eastAsia="標楷體" w:hAnsi="標楷體"/>
                <w:color w:val="000000"/>
                <w:sz w:val="20"/>
                <w:szCs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15962" w14:textId="77777777" w:rsidR="00BD776B" w:rsidRDefault="00BD776B">
            <w:pPr>
              <w:snapToGrid w:val="0"/>
              <w:rPr>
                <w:rFonts w:ascii="標楷體" w:eastAsia="標楷體" w:hAnsi="標楷體"/>
                <w:color w:val="000000"/>
                <w:sz w:val="20"/>
                <w:szCs w:val="20"/>
              </w:rPr>
            </w:pPr>
          </w:p>
        </w:tc>
        <w:tc>
          <w:tcPr>
            <w:tcW w:w="4906" w:type="dxa"/>
            <w:gridSpan w:val="15"/>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2ED3A7" w14:textId="77777777" w:rsidR="00BD776B" w:rsidRDefault="00DF0C24" w:rsidP="008A7063">
            <w:pPr>
              <w:numPr>
                <w:ilvl w:val="0"/>
                <w:numId w:val="52"/>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1D7A7959"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7E8E1056" w14:textId="77777777" w:rsidR="00BD776B" w:rsidRDefault="00DF0C24">
            <w:pPr>
              <w:snapToGrid w:val="0"/>
              <w:spacing w:line="240" w:lineRule="exact"/>
            </w:pPr>
            <w:r>
              <w:rPr>
                <w:rFonts w:ascii="標楷體" w:eastAsia="標楷體" w:hAnsi="標楷體" w:cs="標楷體"/>
                <w:color w:val="000000"/>
                <w:sz w:val="20"/>
                <w:szCs w:val="20"/>
              </w:rPr>
              <w:t>□不同意</w:t>
            </w:r>
          </w:p>
          <w:p w14:paraId="2B15BE9C"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7C3E3AD0"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7A633D16"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4C2B7B30"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3B21C691"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19CB7242" w14:textId="77777777" w:rsidR="00BD776B" w:rsidRDefault="00DF0C24" w:rsidP="008A7063">
            <w:pPr>
              <w:numPr>
                <w:ilvl w:val="0"/>
                <w:numId w:val="52"/>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2CEB0FB1" w14:textId="77777777" w:rsidR="00BD776B" w:rsidRDefault="00DF0C24" w:rsidP="008A7063">
            <w:pPr>
              <w:numPr>
                <w:ilvl w:val="0"/>
                <w:numId w:val="52"/>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50C5B83D"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4C39EC2D" w14:textId="77777777" w:rsidR="00BD776B" w:rsidRDefault="00DF0C24" w:rsidP="008A7063">
            <w:pPr>
              <w:numPr>
                <w:ilvl w:val="0"/>
                <w:numId w:val="52"/>
              </w:numPr>
              <w:tabs>
                <w:tab w:val="left" w:pos="240"/>
              </w:tabs>
              <w:snapToGrid w:val="0"/>
              <w:spacing w:line="240" w:lineRule="exact"/>
              <w:ind w:left="478" w:hanging="238"/>
            </w:pPr>
            <w:r>
              <w:rPr>
                <w:rFonts w:ascii="標楷體" w:eastAsia="標楷體" w:hAnsi="標楷體" w:cs="標楷體"/>
                <w:color w:val="000000"/>
                <w:sz w:val="20"/>
                <w:szCs w:val="20"/>
              </w:rPr>
              <w:t>其他：</w:t>
            </w:r>
          </w:p>
        </w:tc>
        <w:tc>
          <w:tcPr>
            <w:tcW w:w="40" w:type="dxa"/>
            <w:shd w:val="clear" w:color="auto" w:fill="auto"/>
            <w:tcMar>
              <w:top w:w="0" w:type="dxa"/>
              <w:left w:w="10" w:type="dxa"/>
              <w:bottom w:w="0" w:type="dxa"/>
              <w:right w:w="10" w:type="dxa"/>
            </w:tcMar>
          </w:tcPr>
          <w:p w14:paraId="65266964" w14:textId="77777777" w:rsidR="00BD776B" w:rsidRDefault="00BD776B">
            <w:pPr>
              <w:tabs>
                <w:tab w:val="left" w:pos="240"/>
              </w:tabs>
              <w:snapToGrid w:val="0"/>
              <w:spacing w:line="240" w:lineRule="exact"/>
              <w:ind w:left="478" w:hanging="238"/>
              <w:rPr>
                <w:rFonts w:ascii="標楷體" w:eastAsia="標楷體" w:hAnsi="標楷體"/>
              </w:rPr>
            </w:pPr>
          </w:p>
        </w:tc>
      </w:tr>
      <w:tr w:rsidR="00BD776B" w14:paraId="4007104E" w14:textId="77777777" w:rsidTr="00CD4701">
        <w:trPr>
          <w:cantSplit/>
          <w:trHeight w:val="916"/>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B259F" w14:textId="77777777" w:rsidR="00BD776B" w:rsidRDefault="00DF0C24">
            <w:pPr>
              <w:snapToGrid w:val="0"/>
              <w:ind w:left="113" w:right="113"/>
            </w:pPr>
            <w:r>
              <w:rPr>
                <w:rFonts w:ascii="標楷體" w:eastAsia="標楷體" w:hAnsi="標楷體" w:cs="標楷體"/>
                <w:color w:val="000000"/>
              </w:rPr>
              <w:t>注意事項</w:t>
            </w:r>
          </w:p>
          <w:p w14:paraId="0A9F09ED" w14:textId="77777777" w:rsidR="00BD776B" w:rsidRDefault="00BD776B">
            <w:pPr>
              <w:snapToGrid w:val="0"/>
              <w:spacing w:line="200" w:lineRule="exact"/>
              <w:ind w:left="324" w:right="113" w:hanging="211"/>
              <w:rPr>
                <w:rFonts w:ascii="標楷體" w:eastAsia="標楷體" w:hAnsi="標楷體"/>
                <w:color w:val="000000"/>
                <w:sz w:val="20"/>
                <w:szCs w:val="20"/>
              </w:rPr>
            </w:pPr>
          </w:p>
        </w:tc>
        <w:tc>
          <w:tcPr>
            <w:tcW w:w="8219"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4C6F50"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19571BF8"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「原受理編號」申復時填寫，初次送核不需填寫。</w:t>
            </w:r>
          </w:p>
          <w:p w14:paraId="3DD8ACA5"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3C640E95"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65903F65"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對複核結果如有異議，得於收到複核通知之日起六十日內向全民健康保險爭議審議會申請審議。</w:t>
            </w:r>
          </w:p>
          <w:p w14:paraId="69DCFAA7"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5D88C743" w14:textId="77777777" w:rsidR="00BD776B" w:rsidRDefault="00DF0C24" w:rsidP="008A7063">
            <w:pPr>
              <w:numPr>
                <w:ilvl w:val="0"/>
                <w:numId w:val="53"/>
              </w:numPr>
              <w:snapToGrid w:val="0"/>
              <w:spacing w:line="200" w:lineRule="exact"/>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4906" w:type="dxa"/>
            <w:gridSpan w:val="15"/>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3513313"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3D2142A9" w14:textId="77777777" w:rsidR="00BD776B" w:rsidRDefault="00BD776B">
            <w:pPr>
              <w:snapToGrid w:val="0"/>
              <w:spacing w:line="200" w:lineRule="exact"/>
              <w:rPr>
                <w:rFonts w:ascii="標楷體" w:eastAsia="標楷體" w:hAnsi="標楷體"/>
                <w:color w:val="000000"/>
                <w:sz w:val="20"/>
                <w:szCs w:val="20"/>
              </w:rPr>
            </w:pPr>
          </w:p>
        </w:tc>
      </w:tr>
      <w:tr w:rsidR="00BD776B" w14:paraId="7D7B06C9" w14:textId="77777777" w:rsidTr="00CD4701">
        <w:trPr>
          <w:cantSplit/>
          <w:trHeight w:val="960"/>
        </w:trPr>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620A" w14:textId="77777777" w:rsidR="00BD776B" w:rsidRDefault="00BD776B">
            <w:pPr>
              <w:snapToGrid w:val="0"/>
              <w:ind w:left="211" w:hanging="211"/>
              <w:rPr>
                <w:rFonts w:ascii="標楷體" w:eastAsia="標楷體" w:hAnsi="標楷體"/>
                <w:color w:val="000000"/>
              </w:rPr>
            </w:pPr>
          </w:p>
        </w:tc>
        <w:tc>
          <w:tcPr>
            <w:tcW w:w="8219"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31472" w14:textId="77777777" w:rsidR="00BD776B" w:rsidRDefault="00BD776B">
            <w:pPr>
              <w:snapToGrid w:val="0"/>
              <w:ind w:left="211" w:hanging="211"/>
              <w:rPr>
                <w:rFonts w:ascii="標楷體" w:eastAsia="標楷體" w:hAnsi="標楷體"/>
                <w:color w:val="000000"/>
              </w:rPr>
            </w:pPr>
          </w:p>
        </w:tc>
        <w:tc>
          <w:tcPr>
            <w:tcW w:w="3611" w:type="dxa"/>
            <w:gridSpan w:val="1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401B9" w14:textId="77777777" w:rsidR="00BD776B" w:rsidRDefault="00BD776B">
            <w:pPr>
              <w:snapToGrid w:val="0"/>
              <w:jc w:val="both"/>
              <w:rPr>
                <w:rFonts w:ascii="標楷體" w:eastAsia="標楷體" w:hAnsi="標楷體"/>
                <w:color w:val="000000"/>
              </w:rPr>
            </w:pPr>
          </w:p>
          <w:p w14:paraId="00330BC6" w14:textId="77777777" w:rsidR="00BD776B" w:rsidRDefault="00BD776B">
            <w:pPr>
              <w:snapToGrid w:val="0"/>
              <w:jc w:val="both"/>
              <w:rPr>
                <w:rFonts w:ascii="標楷體" w:eastAsia="標楷體" w:hAnsi="標楷體" w:cs="標楷體"/>
                <w:color w:val="000000"/>
                <w:sz w:val="20"/>
                <w:szCs w:val="20"/>
              </w:rPr>
            </w:pPr>
          </w:p>
          <w:p w14:paraId="41575E2E" w14:textId="77777777" w:rsidR="00BD776B" w:rsidRDefault="00BD776B">
            <w:pPr>
              <w:snapToGrid w:val="0"/>
              <w:jc w:val="both"/>
              <w:rPr>
                <w:rFonts w:ascii="標楷體" w:eastAsia="標楷體" w:hAnsi="標楷體" w:cs="標楷體"/>
                <w:color w:val="000000"/>
                <w:sz w:val="20"/>
                <w:szCs w:val="20"/>
              </w:rPr>
            </w:pPr>
          </w:p>
          <w:p w14:paraId="4FC4EDD8"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50E5453E" w14:textId="77777777" w:rsidR="00BD776B" w:rsidRDefault="00BD776B">
            <w:pPr>
              <w:snapToGrid w:val="0"/>
              <w:jc w:val="both"/>
              <w:rPr>
                <w:rFonts w:ascii="標楷體" w:eastAsia="標楷體" w:hAnsi="標楷體"/>
                <w:color w:val="000000"/>
              </w:rPr>
            </w:pPr>
          </w:p>
        </w:tc>
        <w:tc>
          <w:tcPr>
            <w:tcW w:w="3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E4A32" w14:textId="77777777" w:rsidR="00BD776B" w:rsidRDefault="00DF0C24">
            <w:pPr>
              <w:snapToGrid w:val="0"/>
            </w:pPr>
            <w:r>
              <w:rPr>
                <w:rFonts w:ascii="標楷體" w:eastAsia="標楷體" w:hAnsi="標楷體" w:cs="標楷體"/>
                <w:color w:val="000000"/>
              </w:rPr>
              <w:t>審查醫師</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11E82"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374C1980" w14:textId="77777777" w:rsidR="00BD776B" w:rsidRDefault="00BD776B">
            <w:pPr>
              <w:snapToGrid w:val="0"/>
              <w:rPr>
                <w:rFonts w:ascii="標楷體" w:eastAsia="標楷體" w:hAnsi="標楷體"/>
                <w:color w:val="000000"/>
              </w:rPr>
            </w:pPr>
          </w:p>
        </w:tc>
      </w:tr>
      <w:tr w:rsidR="00BD776B" w14:paraId="22FD5181" w14:textId="77777777" w:rsidTr="00CD4701">
        <w:trPr>
          <w:cantSplit/>
          <w:trHeight w:val="779"/>
        </w:trPr>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036AA" w14:textId="77777777" w:rsidR="00BD776B" w:rsidRDefault="00BD776B">
            <w:pPr>
              <w:snapToGrid w:val="0"/>
              <w:ind w:left="211" w:hanging="211"/>
              <w:rPr>
                <w:rFonts w:ascii="標楷體" w:eastAsia="標楷體" w:hAnsi="標楷體"/>
                <w:color w:val="000000"/>
              </w:rPr>
            </w:pPr>
          </w:p>
        </w:tc>
        <w:tc>
          <w:tcPr>
            <w:tcW w:w="8219"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E1C75" w14:textId="77777777" w:rsidR="00BD776B" w:rsidRDefault="00BD776B">
            <w:pPr>
              <w:snapToGrid w:val="0"/>
              <w:ind w:left="211" w:hanging="211"/>
              <w:rPr>
                <w:rFonts w:ascii="標楷體" w:eastAsia="標楷體" w:hAnsi="標楷體"/>
                <w:color w:val="000000"/>
              </w:rPr>
            </w:pPr>
          </w:p>
        </w:tc>
        <w:tc>
          <w:tcPr>
            <w:tcW w:w="3611" w:type="dxa"/>
            <w:gridSpan w:val="1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6825B" w14:textId="77777777" w:rsidR="00BD776B" w:rsidRDefault="00BD776B">
            <w:pPr>
              <w:snapToGrid w:val="0"/>
              <w:jc w:val="both"/>
              <w:rPr>
                <w:rFonts w:ascii="標楷體" w:eastAsia="標楷體" w:hAnsi="標楷體"/>
                <w:color w:val="000000"/>
              </w:rPr>
            </w:pPr>
          </w:p>
        </w:tc>
        <w:tc>
          <w:tcPr>
            <w:tcW w:w="3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3AC56" w14:textId="77777777" w:rsidR="00BD776B" w:rsidRDefault="00BD776B">
            <w:pPr>
              <w:snapToGrid w:val="0"/>
              <w:rPr>
                <w:rFonts w:ascii="標楷體" w:eastAsia="標楷體" w:hAnsi="標楷體" w:cs="標楷體"/>
                <w:color w:val="000000"/>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1976"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2528A2E1" w14:textId="77777777" w:rsidR="00BD776B" w:rsidRDefault="00BD776B">
            <w:pPr>
              <w:snapToGrid w:val="0"/>
              <w:rPr>
                <w:rFonts w:ascii="標楷體" w:eastAsia="標楷體" w:hAnsi="標楷體"/>
                <w:color w:val="000000"/>
              </w:rPr>
            </w:pPr>
          </w:p>
        </w:tc>
      </w:tr>
      <w:tr w:rsidR="00BD776B" w14:paraId="54E16690" w14:textId="77777777" w:rsidTr="00CD4701">
        <w:trPr>
          <w:cantSplit/>
          <w:trHeight w:val="706"/>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C8B71" w14:textId="77777777" w:rsidR="00BD776B" w:rsidRDefault="00BD776B">
            <w:pPr>
              <w:snapToGrid w:val="0"/>
              <w:spacing w:line="240" w:lineRule="exact"/>
              <w:rPr>
                <w:rFonts w:ascii="標楷體" w:eastAsia="標楷體" w:hAnsi="標楷體" w:cs="標楷體"/>
                <w:color w:val="000000"/>
              </w:rPr>
            </w:pPr>
          </w:p>
          <w:p w14:paraId="26EE5621" w14:textId="77777777" w:rsidR="00BD776B" w:rsidRDefault="00DF0C24">
            <w:pPr>
              <w:snapToGrid w:val="0"/>
              <w:spacing w:line="240" w:lineRule="exact"/>
              <w:rPr>
                <w:rFonts w:ascii="標楷體" w:eastAsia="標楷體" w:hAnsi="標楷體" w:cs="標楷體"/>
                <w:color w:val="000000"/>
              </w:rPr>
            </w:pPr>
            <w:r>
              <w:rPr>
                <w:rFonts w:ascii="標楷體" w:eastAsia="標楷體" w:hAnsi="標楷體" w:cs="標楷體"/>
                <w:color w:val="000000"/>
              </w:rPr>
              <w:t>醫事服務機構</w:t>
            </w:r>
          </w:p>
          <w:p w14:paraId="206AEF01" w14:textId="77777777" w:rsidR="00BD776B" w:rsidRDefault="00BD776B">
            <w:pPr>
              <w:snapToGrid w:val="0"/>
              <w:spacing w:line="240" w:lineRule="exact"/>
              <w:rPr>
                <w:rFonts w:ascii="標楷體" w:eastAsia="標楷體" w:hAnsi="標楷體"/>
                <w:color w:val="000000"/>
              </w:rPr>
            </w:pPr>
          </w:p>
        </w:tc>
        <w:tc>
          <w:tcPr>
            <w:tcW w:w="821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5FC9FD" w14:textId="77777777" w:rsidR="00BD776B" w:rsidRDefault="00DF0C24">
            <w:pPr>
              <w:snapToGrid w:val="0"/>
              <w:spacing w:line="240" w:lineRule="exact"/>
            </w:pPr>
            <w:r>
              <w:rPr>
                <w:rFonts w:ascii="標楷體" w:eastAsia="標楷體" w:hAnsi="標楷體" w:cs="標楷體"/>
                <w:color w:val="000000"/>
              </w:rPr>
              <w:t>醫院申請日期：  年  月  日</w:t>
            </w:r>
          </w:p>
          <w:p w14:paraId="12D4B379" w14:textId="77777777" w:rsidR="00BD776B" w:rsidRDefault="00BD776B">
            <w:pPr>
              <w:snapToGrid w:val="0"/>
              <w:spacing w:line="240" w:lineRule="exact"/>
              <w:rPr>
                <w:rFonts w:ascii="標楷體" w:eastAsia="標楷體" w:hAnsi="標楷體"/>
                <w:color w:val="000000"/>
              </w:rPr>
            </w:pPr>
          </w:p>
          <w:p w14:paraId="04F5E428"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E72AC" w14:textId="77777777" w:rsidR="00BD776B" w:rsidRDefault="00DF0C24">
            <w:pPr>
              <w:widowControl/>
              <w:snapToGrid w:val="0"/>
              <w:spacing w:line="240" w:lineRule="exact"/>
            </w:pPr>
            <w:r>
              <w:rPr>
                <w:rFonts w:ascii="標楷體" w:eastAsia="標楷體" w:hAnsi="標楷體" w:cs="標楷體"/>
                <w:color w:val="000000"/>
              </w:rPr>
              <w:t>承辦人</w:t>
            </w:r>
          </w:p>
        </w:tc>
        <w:tc>
          <w:tcPr>
            <w:tcW w:w="83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22DC4" w14:textId="77777777" w:rsidR="00BD776B" w:rsidRDefault="00BD776B">
            <w:pPr>
              <w:widowControl/>
              <w:snapToGrid w:val="0"/>
              <w:rPr>
                <w:rFonts w:ascii="標楷體" w:eastAsia="標楷體" w:hAnsi="標楷體"/>
                <w:color w:val="000000"/>
              </w:rPr>
            </w:pPr>
          </w:p>
          <w:p w14:paraId="3A6286A7" w14:textId="77777777" w:rsidR="00BD776B" w:rsidRDefault="00BD776B">
            <w:pPr>
              <w:snapToGrid w:val="0"/>
              <w:spacing w:line="240" w:lineRule="exact"/>
              <w:rPr>
                <w:rFonts w:ascii="標楷體" w:eastAsia="標楷體" w:hAnsi="標楷體"/>
                <w:color w:val="000000"/>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49553" w14:textId="77777777" w:rsidR="00BD776B" w:rsidRDefault="00DF0C24">
            <w:pPr>
              <w:widowControl/>
              <w:snapToGrid w:val="0"/>
              <w:spacing w:line="240" w:lineRule="exact"/>
            </w:pPr>
            <w:r>
              <w:rPr>
                <w:rFonts w:ascii="標楷體" w:eastAsia="標楷體" w:hAnsi="標楷體" w:cs="標楷體"/>
                <w:color w:val="000000"/>
              </w:rPr>
              <w:t>複核</w:t>
            </w:r>
          </w:p>
          <w:p w14:paraId="26717722" w14:textId="77777777" w:rsidR="00BD776B" w:rsidRDefault="00BD776B">
            <w:pPr>
              <w:widowControl/>
              <w:snapToGrid w:val="0"/>
              <w:rPr>
                <w:rFonts w:ascii="標楷體" w:eastAsia="標楷體" w:hAnsi="標楷體"/>
                <w:color w:val="000000"/>
              </w:rPr>
            </w:pP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40F11" w14:textId="77777777" w:rsidR="00BD776B" w:rsidRDefault="00BD776B">
            <w:pPr>
              <w:widowControl/>
              <w:snapToGrid w:val="0"/>
              <w:rPr>
                <w:rFonts w:ascii="標楷體" w:eastAsia="標楷體" w:hAnsi="標楷體"/>
                <w:color w:val="000000"/>
              </w:rPr>
            </w:pPr>
          </w:p>
          <w:p w14:paraId="52F2F676" w14:textId="77777777" w:rsidR="00BD776B" w:rsidRDefault="00BD776B">
            <w:pPr>
              <w:snapToGrid w:val="0"/>
              <w:spacing w:line="240" w:lineRule="exact"/>
              <w:rPr>
                <w:rFonts w:ascii="標楷體" w:eastAsia="標楷體" w:hAnsi="標楷體"/>
                <w:color w:val="000000"/>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5ED4D" w14:textId="77777777" w:rsidR="00BD776B" w:rsidRDefault="00DF0C24">
            <w:pPr>
              <w:snapToGrid w:val="0"/>
              <w:spacing w:line="240" w:lineRule="exact"/>
            </w:pPr>
            <w:r>
              <w:rPr>
                <w:rFonts w:ascii="標楷體" w:eastAsia="標楷體" w:hAnsi="標楷體" w:cs="標楷體"/>
                <w:color w:val="000000"/>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740C" w14:textId="77777777" w:rsidR="00BD776B" w:rsidRDefault="00BD776B">
            <w:pPr>
              <w:widowControl/>
              <w:snapToGrid w:val="0"/>
              <w:rPr>
                <w:rFonts w:ascii="標楷體" w:eastAsia="標楷體" w:hAnsi="標楷體"/>
                <w:color w:val="000000"/>
              </w:rPr>
            </w:pPr>
          </w:p>
          <w:p w14:paraId="4CE9B85D" w14:textId="77777777" w:rsidR="00BD776B" w:rsidRDefault="00BD776B">
            <w:pPr>
              <w:snapToGrid w:val="0"/>
              <w:spacing w:line="240" w:lineRule="exact"/>
              <w:rPr>
                <w:rFonts w:ascii="標楷體" w:eastAsia="標楷體" w:hAnsi="標楷體"/>
                <w:color w:val="000000"/>
              </w:rPr>
            </w:pPr>
          </w:p>
        </w:tc>
        <w:tc>
          <w:tcPr>
            <w:tcW w:w="35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2B6FB" w14:textId="77777777" w:rsidR="00BD776B" w:rsidRDefault="00DF0C24">
            <w:pPr>
              <w:widowControl/>
              <w:snapToGrid w:val="0"/>
              <w:spacing w:line="240" w:lineRule="exact"/>
            </w:pPr>
            <w:r>
              <w:rPr>
                <w:rFonts w:ascii="標楷體" w:eastAsia="標楷體" w:hAnsi="標楷體" w:cs="標楷體"/>
                <w:color w:val="000000"/>
              </w:rPr>
              <w:t>決行</w:t>
            </w:r>
          </w:p>
          <w:p w14:paraId="294283F1" w14:textId="77777777" w:rsidR="00BD776B" w:rsidRDefault="00BD776B">
            <w:pPr>
              <w:widowControl/>
              <w:snapToGrid w:val="0"/>
              <w:rPr>
                <w:rFonts w:ascii="標楷體" w:eastAsia="標楷體" w:hAnsi="標楷體"/>
                <w:color w:val="000000"/>
              </w:rPr>
            </w:pP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C7656" w14:textId="77777777" w:rsidR="00BD776B" w:rsidRDefault="00BD776B">
            <w:pPr>
              <w:widowControl/>
              <w:snapToGrid w:val="0"/>
              <w:rPr>
                <w:rFonts w:ascii="標楷體" w:eastAsia="標楷體" w:hAnsi="標楷體"/>
                <w:color w:val="000000"/>
              </w:rPr>
            </w:pPr>
          </w:p>
          <w:p w14:paraId="79E4AD83" w14:textId="77777777" w:rsidR="00BD776B" w:rsidRDefault="00BD776B">
            <w:pPr>
              <w:snapToGrid w:val="0"/>
              <w:spacing w:line="240" w:lineRule="exact"/>
              <w:rPr>
                <w:rFonts w:ascii="標楷體" w:eastAsia="標楷體" w:hAnsi="標楷體"/>
                <w:color w:val="000000"/>
              </w:rPr>
            </w:pPr>
          </w:p>
        </w:tc>
      </w:tr>
    </w:tbl>
    <w:p w14:paraId="66287269" w14:textId="77777777" w:rsidR="00BD776B" w:rsidRDefault="00DF0C24">
      <w:pPr>
        <w:pStyle w:val="Web"/>
        <w:pageBreakBefore/>
        <w:widowControl w:val="0"/>
        <w:snapToGrid w:val="0"/>
        <w:spacing w:before="0" w:after="0" w:line="380" w:lineRule="exact"/>
        <w:jc w:val="both"/>
      </w:pPr>
      <w:r>
        <w:rPr>
          <w:rFonts w:ascii="標楷體" w:eastAsia="標楷體" w:hAnsi="標楷體" w:cs="標楷體"/>
          <w:color w:val="000000"/>
        </w:rPr>
        <w:lastRenderedPageBreak/>
        <w:t>附表八之四全民健康保險使用抗癌藥品</w:t>
      </w:r>
      <w:r>
        <w:rPr>
          <w:rFonts w:ascii="標楷體" w:eastAsia="標楷體" w:hAnsi="標楷體" w:cs="Times New Roman"/>
          <w:color w:val="000000"/>
        </w:rPr>
        <w:t>Carmustine植入劑</w:t>
      </w:r>
      <w:r>
        <w:rPr>
          <w:rFonts w:ascii="標楷體" w:eastAsia="標楷體" w:hAnsi="標楷體" w:cs="標楷體"/>
          <w:color w:val="000000"/>
        </w:rPr>
        <w:t>申請表</w:t>
      </w:r>
    </w:p>
    <w:tbl>
      <w:tblPr>
        <w:tblW w:w="14007" w:type="dxa"/>
        <w:tblInd w:w="421" w:type="dxa"/>
        <w:tblLayout w:type="fixed"/>
        <w:tblCellMar>
          <w:left w:w="10" w:type="dxa"/>
          <w:right w:w="10" w:type="dxa"/>
        </w:tblCellMar>
        <w:tblLook w:val="0000" w:firstRow="0" w:lastRow="0" w:firstColumn="0" w:lastColumn="0" w:noHBand="0" w:noVBand="0"/>
      </w:tblPr>
      <w:tblGrid>
        <w:gridCol w:w="567"/>
        <w:gridCol w:w="141"/>
        <w:gridCol w:w="459"/>
        <w:gridCol w:w="828"/>
        <w:gridCol w:w="360"/>
        <w:gridCol w:w="360"/>
        <w:gridCol w:w="500"/>
        <w:gridCol w:w="668"/>
        <w:gridCol w:w="286"/>
        <w:gridCol w:w="1306"/>
        <w:gridCol w:w="600"/>
        <w:gridCol w:w="360"/>
        <w:gridCol w:w="972"/>
        <w:gridCol w:w="840"/>
        <w:gridCol w:w="363"/>
        <w:gridCol w:w="477"/>
        <w:gridCol w:w="360"/>
        <w:gridCol w:w="228"/>
        <w:gridCol w:w="608"/>
        <w:gridCol w:w="360"/>
        <w:gridCol w:w="472"/>
        <w:gridCol w:w="15"/>
        <w:gridCol w:w="353"/>
        <w:gridCol w:w="208"/>
        <w:gridCol w:w="152"/>
        <w:gridCol w:w="232"/>
        <w:gridCol w:w="614"/>
        <w:gridCol w:w="358"/>
        <w:gridCol w:w="960"/>
      </w:tblGrid>
      <w:tr w:rsidR="00BD776B" w14:paraId="1E6323D9" w14:textId="77777777" w:rsidTr="008475ED">
        <w:trPr>
          <w:cantSplit/>
          <w:trHeight w:val="523"/>
        </w:trPr>
        <w:tc>
          <w:tcPr>
            <w:tcW w:w="1995"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8BA06A7" w14:textId="77777777" w:rsidR="00BD776B" w:rsidRDefault="00DF0C24">
            <w:pPr>
              <w:snapToGrid w:val="0"/>
              <w:jc w:val="both"/>
            </w:pPr>
            <w:r>
              <w:rPr>
                <w:rFonts w:ascii="標楷體" w:eastAsia="標楷體" w:hAnsi="標楷體" w:cs="標楷體"/>
                <w:color w:val="000000"/>
                <w:sz w:val="20"/>
                <w:szCs w:val="20"/>
              </w:rPr>
              <w:t>申請類別：</w:t>
            </w:r>
          </w:p>
        </w:tc>
        <w:tc>
          <w:tcPr>
            <w:tcW w:w="408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9E0CB5"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5A6600" w14:textId="77777777" w:rsidR="00BD776B" w:rsidRDefault="00DF0C24">
            <w:pPr>
              <w:snapToGrid w:val="0"/>
            </w:pPr>
            <w:r>
              <w:rPr>
                <w:rFonts w:ascii="標楷體" w:eastAsia="標楷體" w:hAnsi="標楷體" w:cs="標楷體"/>
                <w:color w:val="000000"/>
                <w:sz w:val="20"/>
                <w:szCs w:val="20"/>
              </w:rPr>
              <w:t>受理日期：</w:t>
            </w:r>
          </w:p>
        </w:tc>
        <w:tc>
          <w:tcPr>
            <w:tcW w:w="25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07FD92" w14:textId="77777777" w:rsidR="00BD776B" w:rsidRDefault="00DF0C24">
            <w:pPr>
              <w:snapToGrid w:val="0"/>
            </w:pPr>
            <w:r>
              <w:rPr>
                <w:rFonts w:ascii="標楷體" w:eastAsia="標楷體" w:hAnsi="標楷體" w:cs="標楷體"/>
                <w:color w:val="000000"/>
                <w:sz w:val="20"/>
                <w:szCs w:val="20"/>
              </w:rPr>
              <w:t>受理編號：</w:t>
            </w:r>
          </w:p>
        </w:tc>
        <w:tc>
          <w:tcPr>
            <w:tcW w:w="287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978F59" w14:textId="77777777" w:rsidR="00BD776B" w:rsidRDefault="00DF0C24">
            <w:pPr>
              <w:snapToGrid w:val="0"/>
            </w:pPr>
            <w:r>
              <w:rPr>
                <w:rFonts w:ascii="標楷體" w:eastAsia="標楷體" w:hAnsi="標楷體" w:cs="標楷體"/>
                <w:color w:val="000000"/>
                <w:sz w:val="20"/>
                <w:szCs w:val="20"/>
              </w:rPr>
              <w:t>緊急傳真日期：</w:t>
            </w:r>
          </w:p>
        </w:tc>
      </w:tr>
      <w:tr w:rsidR="00BD776B" w14:paraId="2707179A" w14:textId="77777777" w:rsidTr="008475ED">
        <w:trPr>
          <w:cantSplit/>
          <w:trHeight w:val="517"/>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62FF7E"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05F6F"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A1D4A" w14:textId="77777777" w:rsidR="00BD776B" w:rsidRDefault="00BD776B">
            <w:pPr>
              <w:snapToGrid w:val="0"/>
              <w:spacing w:line="200" w:lineRule="exact"/>
              <w:rPr>
                <w:rFonts w:ascii="標楷體" w:eastAsia="標楷體" w:hAnsi="標楷體"/>
                <w:color w:val="000000"/>
                <w:sz w:val="20"/>
                <w:szCs w:val="20"/>
              </w:rPr>
            </w:pPr>
          </w:p>
        </w:tc>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24BF1"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6C782EE5"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59ABF8EE"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3579B879"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6D705"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93A539" w14:textId="77777777" w:rsidR="00BD776B" w:rsidRDefault="00BD776B">
            <w:pPr>
              <w:snapToGrid w:val="0"/>
              <w:spacing w:line="200" w:lineRule="exact"/>
              <w:rPr>
                <w:rFonts w:ascii="標楷體" w:eastAsia="標楷體" w:hAnsi="標楷體"/>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63D59"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DC374D" w14:textId="77777777" w:rsidR="00BD776B" w:rsidRDefault="00BD776B">
            <w:pPr>
              <w:pStyle w:val="a7"/>
              <w:tabs>
                <w:tab w:val="clear" w:pos="4153"/>
                <w:tab w:val="clear" w:pos="8306"/>
              </w:tabs>
              <w:spacing w:line="200" w:lineRule="exact"/>
              <w:rPr>
                <w:rFonts w:ascii="標楷體" w:eastAsia="標楷體" w:hAnsi="標楷體"/>
                <w:color w:val="00000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42791C"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0A2D15D8"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BBDCE" w14:textId="77777777" w:rsidR="00BD776B" w:rsidRDefault="00BD776B">
            <w:pPr>
              <w:snapToGrid w:val="0"/>
              <w:spacing w:line="200" w:lineRule="exact"/>
              <w:rPr>
                <w:rFonts w:ascii="標楷體" w:eastAsia="標楷體" w:hAnsi="標楷體"/>
                <w:color w:val="000000"/>
                <w:sz w:val="20"/>
                <w:szCs w:val="20"/>
              </w:rPr>
            </w:pPr>
          </w:p>
        </w:tc>
        <w:tc>
          <w:tcPr>
            <w:tcW w:w="10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9D8CD6"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31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30B11A" w14:textId="77777777" w:rsidR="00BD776B" w:rsidRDefault="00BD776B">
            <w:pPr>
              <w:snapToGrid w:val="0"/>
              <w:spacing w:line="200" w:lineRule="exact"/>
              <w:rPr>
                <w:rFonts w:ascii="標楷體" w:eastAsia="標楷體" w:hAnsi="標楷體"/>
                <w:color w:val="000000"/>
                <w:sz w:val="20"/>
                <w:szCs w:val="20"/>
              </w:rPr>
            </w:pPr>
          </w:p>
        </w:tc>
      </w:tr>
      <w:tr w:rsidR="00BD776B" w14:paraId="113422AF" w14:textId="77777777" w:rsidTr="008475ED">
        <w:trPr>
          <w:cantSplit/>
          <w:trHeight w:val="53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212AAA" w14:textId="77777777" w:rsidR="00BD776B" w:rsidRDefault="00BD776B">
            <w:pPr>
              <w:snapToGrid w:val="0"/>
              <w:spacing w:line="200" w:lineRule="exact"/>
              <w:rPr>
                <w:rFonts w:ascii="標楷體" w:eastAsia="標楷體" w:hAnsi="標楷體"/>
                <w:color w:val="000000"/>
                <w:sz w:val="20"/>
                <w:szCs w:val="20"/>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6E8CAE"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7CFA5" w14:textId="77777777" w:rsidR="00BD776B" w:rsidRDefault="00BD776B">
            <w:pPr>
              <w:snapToGrid w:val="0"/>
              <w:spacing w:line="200" w:lineRule="exact"/>
              <w:rPr>
                <w:rFonts w:ascii="標楷體" w:eastAsia="標楷體" w:hAnsi="標楷體"/>
                <w:color w:val="000000"/>
                <w:sz w:val="20"/>
                <w:szCs w:val="20"/>
              </w:rPr>
            </w:pPr>
          </w:p>
        </w:tc>
        <w:tc>
          <w:tcPr>
            <w:tcW w:w="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85BE04" w14:textId="77777777" w:rsidR="00BD776B" w:rsidRDefault="00BD776B">
            <w:pPr>
              <w:snapToGrid w:val="0"/>
              <w:spacing w:line="200" w:lineRule="exact"/>
              <w:rPr>
                <w:rFonts w:ascii="標楷體" w:eastAsia="標楷體" w:hAnsi="標楷體"/>
                <w:color w:val="000000"/>
                <w:sz w:val="20"/>
                <w:szCs w:val="20"/>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76776" w14:textId="77777777" w:rsidR="00BD776B" w:rsidRDefault="00DF0C24">
            <w:pPr>
              <w:snapToGrid w:val="0"/>
              <w:spacing w:line="200" w:lineRule="exact"/>
            </w:pPr>
            <w:r>
              <w:rPr>
                <w:rFonts w:ascii="標楷體" w:eastAsia="標楷體" w:hAnsi="標楷體" w:cs="標楷體"/>
                <w:color w:val="000000"/>
                <w:sz w:val="20"/>
                <w:szCs w:val="20"/>
              </w:rPr>
              <w:t>身分證</w:t>
            </w:r>
          </w:p>
          <w:p w14:paraId="5CA8E2B2"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0DB5C8"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03A1CE"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1163481C"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D21FB5"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172BD0"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881DC" w14:textId="77777777" w:rsidR="00BD776B" w:rsidRDefault="00DF0C24">
            <w:pPr>
              <w:snapToGrid w:val="0"/>
              <w:spacing w:line="200" w:lineRule="exact"/>
              <w:jc w:val="center"/>
            </w:pPr>
            <w:r>
              <w:rPr>
                <w:rFonts w:ascii="標楷體" w:eastAsia="標楷體" w:hAnsi="標楷體" w:cs="標楷體"/>
                <w:color w:val="000000"/>
                <w:sz w:val="20"/>
                <w:szCs w:val="20"/>
              </w:rPr>
              <w:t>病歷號碼</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9AB0B5" w14:textId="77777777" w:rsidR="00BD776B" w:rsidRDefault="00BD776B">
            <w:pPr>
              <w:snapToGrid w:val="0"/>
              <w:spacing w:line="200" w:lineRule="exact"/>
              <w:rPr>
                <w:rFonts w:ascii="標楷體" w:eastAsia="標楷體" w:hAnsi="標楷體"/>
                <w:color w:val="000000"/>
                <w:sz w:val="20"/>
                <w:szCs w:val="20"/>
              </w:rPr>
            </w:pPr>
          </w:p>
        </w:tc>
        <w:tc>
          <w:tcPr>
            <w:tcW w:w="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79FD26"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F17C22" w14:textId="77777777" w:rsidR="00BD776B" w:rsidRDefault="00BD776B">
            <w:pPr>
              <w:snapToGrid w:val="0"/>
              <w:spacing w:line="200" w:lineRule="exact"/>
              <w:rPr>
                <w:rFonts w:ascii="標楷體" w:eastAsia="標楷體" w:hAnsi="標楷體"/>
                <w:color w:val="000000"/>
                <w:sz w:val="20"/>
                <w:szCs w:val="20"/>
              </w:rPr>
            </w:pPr>
          </w:p>
        </w:tc>
      </w:tr>
      <w:tr w:rsidR="00BD776B" w14:paraId="01209C71" w14:textId="77777777" w:rsidTr="008475ED">
        <w:trPr>
          <w:cantSplit/>
          <w:trHeight w:val="527"/>
        </w:trPr>
        <w:tc>
          <w:tcPr>
            <w:tcW w:w="11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2350A5"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0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D97ED8" w14:textId="77777777" w:rsidR="00BD776B" w:rsidRDefault="00BD776B">
            <w:pPr>
              <w:snapToGrid w:val="0"/>
              <w:spacing w:line="200" w:lineRule="exact"/>
              <w:rPr>
                <w:rFonts w:ascii="標楷體" w:eastAsia="標楷體" w:hAnsi="標楷體"/>
                <w:color w:val="000000"/>
                <w:sz w:val="20"/>
                <w:szCs w:val="20"/>
              </w:rPr>
            </w:pPr>
          </w:p>
        </w:tc>
        <w:tc>
          <w:tcPr>
            <w:tcW w:w="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3E116"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3EE0CF"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433A8A"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20" w:type="dxa"/>
            <w:gridSpan w:val="1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29BC10"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75CD8FD9" w14:textId="77777777" w:rsidTr="008475ED">
        <w:trPr>
          <w:cantSplit/>
        </w:trPr>
        <w:tc>
          <w:tcPr>
            <w:tcW w:w="11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1E3A5F" w14:textId="77777777" w:rsidR="00BD776B" w:rsidRDefault="00DF0C24">
            <w:pPr>
              <w:snapToGrid w:val="0"/>
              <w:spacing w:line="40" w:lineRule="atLeast"/>
              <w:jc w:val="center"/>
            </w:pPr>
            <w:r>
              <w:rPr>
                <w:rFonts w:ascii="標楷體" w:eastAsia="標楷體" w:hAnsi="標楷體" w:cs="標楷體"/>
                <w:color w:val="000000"/>
                <w:sz w:val="20"/>
                <w:szCs w:val="20"/>
              </w:rPr>
              <w:t>藥品名稱及代碼</w:t>
            </w:r>
          </w:p>
        </w:tc>
        <w:tc>
          <w:tcPr>
            <w:tcW w:w="624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B22581"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55A6C0"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62EAC1E7"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1DB6EC"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05FF6D2E"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20" w:type="dxa"/>
            <w:gridSpan w:val="1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330C3156"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5B2BC1B6" w14:textId="77777777" w:rsidTr="008475ED">
        <w:trPr>
          <w:cantSplit/>
          <w:trHeight w:val="1456"/>
        </w:trPr>
        <w:tc>
          <w:tcPr>
            <w:tcW w:w="11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46F57" w14:textId="77777777" w:rsidR="00BD776B" w:rsidRDefault="00DF0C24">
            <w:pPr>
              <w:snapToGrid w:val="0"/>
              <w:rPr>
                <w:rFonts w:ascii="標楷體" w:eastAsia="標楷體" w:hAnsi="標楷體"/>
                <w:color w:val="000000"/>
                <w:sz w:val="20"/>
                <w:szCs w:val="20"/>
              </w:rPr>
            </w:pPr>
            <w:r>
              <w:rPr>
                <w:rFonts w:ascii="標楷體" w:eastAsia="標楷體" w:hAnsi="標楷體"/>
                <w:color w:val="000000"/>
                <w:sz w:val="20"/>
                <w:szCs w:val="20"/>
              </w:rPr>
              <w:t>GliadelWafer</w:t>
            </w:r>
          </w:p>
          <w:p w14:paraId="2D005205" w14:textId="77777777" w:rsidR="00BD776B" w:rsidRDefault="00DF0C24" w:rsidP="008A7063">
            <w:pPr>
              <w:numPr>
                <w:ilvl w:val="0"/>
                <w:numId w:val="54"/>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B0247772BG</w:t>
            </w:r>
          </w:p>
        </w:tc>
        <w:tc>
          <w:tcPr>
            <w:tcW w:w="624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75580" w14:textId="77777777" w:rsidR="00BD776B" w:rsidRDefault="00DF0C24" w:rsidP="008A7063">
            <w:pPr>
              <w:numPr>
                <w:ilvl w:val="0"/>
                <w:numId w:val="54"/>
              </w:numPr>
              <w:tabs>
                <w:tab w:val="left" w:pos="240"/>
              </w:tabs>
              <w:snapToGrid w:val="0"/>
              <w:spacing w:before="50" w:line="276" w:lineRule="auto"/>
              <w:ind w:left="238" w:hanging="238"/>
              <w:rPr>
                <w:rFonts w:ascii="標楷體" w:eastAsia="標楷體" w:hAnsi="標楷體"/>
                <w:color w:val="000000"/>
                <w:sz w:val="20"/>
                <w:szCs w:val="20"/>
              </w:rPr>
            </w:pPr>
            <w:r>
              <w:rPr>
                <w:rFonts w:ascii="標楷體" w:eastAsia="標楷體" w:hAnsi="標楷體"/>
                <w:color w:val="000000"/>
                <w:sz w:val="20"/>
                <w:szCs w:val="20"/>
              </w:rPr>
              <w:t>作為復發性多形神經膠母細胞瘤病人的手術輔助，且不得與temozolomide併用。</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7AE26" w14:textId="77777777" w:rsidR="00BD776B" w:rsidRDefault="00BD776B">
            <w:pPr>
              <w:snapToGrid w:val="0"/>
              <w:rPr>
                <w:rFonts w:ascii="標楷體" w:eastAsia="標楷體" w:hAnsi="標楷體"/>
                <w:color w:val="000000"/>
                <w:sz w:val="20"/>
                <w:szCs w:val="20"/>
              </w:rPr>
            </w:pPr>
          </w:p>
        </w:tc>
        <w:tc>
          <w:tcPr>
            <w:tcW w:w="8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0A672" w14:textId="77777777" w:rsidR="00BD776B" w:rsidRDefault="00BD776B">
            <w:pPr>
              <w:snapToGrid w:val="0"/>
              <w:rPr>
                <w:rFonts w:ascii="標楷體" w:eastAsia="標楷體" w:hAnsi="標楷體"/>
                <w:color w:val="000000"/>
                <w:sz w:val="20"/>
                <w:szCs w:val="20"/>
              </w:rPr>
            </w:pPr>
          </w:p>
        </w:tc>
        <w:tc>
          <w:tcPr>
            <w:tcW w:w="4920" w:type="dxa"/>
            <w:gridSpan w:val="13"/>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1DE45F2" w14:textId="77777777" w:rsidR="00BD776B" w:rsidRDefault="00DF0C24" w:rsidP="008A7063">
            <w:pPr>
              <w:numPr>
                <w:ilvl w:val="0"/>
                <w:numId w:val="54"/>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372E2949"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00F29D3B" w14:textId="77777777" w:rsidR="00BD776B" w:rsidRDefault="00DF0C24">
            <w:pPr>
              <w:snapToGrid w:val="0"/>
              <w:spacing w:line="240" w:lineRule="exact"/>
            </w:pPr>
            <w:r>
              <w:rPr>
                <w:rFonts w:ascii="標楷體" w:eastAsia="標楷體" w:hAnsi="標楷體" w:cs="標楷體"/>
                <w:color w:val="000000"/>
                <w:sz w:val="20"/>
                <w:szCs w:val="20"/>
              </w:rPr>
              <w:t>□不同意</w:t>
            </w:r>
          </w:p>
          <w:p w14:paraId="76868D63"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22EB0E92"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2E9AC2F1"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02357178"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574EBADF"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0263D249" w14:textId="77777777" w:rsidR="00BD776B" w:rsidRDefault="00DF0C24" w:rsidP="008A7063">
            <w:pPr>
              <w:numPr>
                <w:ilvl w:val="0"/>
                <w:numId w:val="54"/>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4A86F9C2" w14:textId="77777777" w:rsidR="00BD776B" w:rsidRDefault="00DF0C24" w:rsidP="008A7063">
            <w:pPr>
              <w:numPr>
                <w:ilvl w:val="0"/>
                <w:numId w:val="54"/>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37286D02"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24EAB4EE" w14:textId="77777777" w:rsidR="00BD776B" w:rsidRDefault="00DF0C24" w:rsidP="008A7063">
            <w:pPr>
              <w:numPr>
                <w:ilvl w:val="0"/>
                <w:numId w:val="54"/>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46CBA4D8" w14:textId="77777777" w:rsidTr="008475ED">
        <w:trPr>
          <w:cantSplit/>
          <w:trHeight w:val="2397"/>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34640" w14:textId="77777777" w:rsidR="00BD776B" w:rsidRDefault="00DF0C24">
            <w:pPr>
              <w:snapToGrid w:val="0"/>
              <w:ind w:left="113" w:right="113"/>
            </w:pPr>
            <w:r>
              <w:rPr>
                <w:rFonts w:ascii="標楷體" w:eastAsia="標楷體" w:hAnsi="標楷體" w:cs="標楷體"/>
                <w:color w:val="000000"/>
              </w:rPr>
              <w:t>注意事項</w:t>
            </w:r>
          </w:p>
          <w:p w14:paraId="509AC4A3" w14:textId="77777777" w:rsidR="00BD776B" w:rsidRDefault="00BD776B">
            <w:pPr>
              <w:snapToGrid w:val="0"/>
              <w:ind w:left="324" w:right="113" w:hanging="211"/>
              <w:rPr>
                <w:rFonts w:ascii="標楷體" w:eastAsia="標楷體" w:hAnsi="標楷體"/>
                <w:color w:val="000000"/>
                <w:sz w:val="20"/>
                <w:szCs w:val="20"/>
              </w:rPr>
            </w:pPr>
          </w:p>
        </w:tc>
        <w:tc>
          <w:tcPr>
            <w:tcW w:w="8520"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694AE" w14:textId="77777777" w:rsidR="00BD776B" w:rsidRDefault="00DF0C24">
            <w:pPr>
              <w:snapToGrid w:val="0"/>
              <w:spacing w:line="240" w:lineRule="exact"/>
              <w:ind w:left="160" w:hanging="160"/>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4C32AD87" w14:textId="77777777" w:rsidR="00BD776B" w:rsidRDefault="00DF0C24">
            <w:pPr>
              <w:snapToGrid w:val="0"/>
              <w:spacing w:line="240" w:lineRule="exact"/>
              <w:ind w:left="160" w:hanging="160"/>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2.「原受理編號」申復時填寫，初次送核不需填寫。</w:t>
            </w:r>
          </w:p>
          <w:p w14:paraId="4F37F779" w14:textId="77777777" w:rsidR="00BD776B" w:rsidRDefault="00DF0C24">
            <w:pPr>
              <w:snapToGrid w:val="0"/>
              <w:spacing w:line="240" w:lineRule="exact"/>
              <w:ind w:left="160" w:hanging="160"/>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311DB839" w14:textId="77777777" w:rsidR="00BD776B" w:rsidRDefault="00DF0C24">
            <w:pPr>
              <w:snapToGrid w:val="0"/>
              <w:spacing w:line="240" w:lineRule="exact"/>
              <w:ind w:left="160" w:hanging="160"/>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5C311F53" w14:textId="77777777" w:rsidR="00BD776B" w:rsidRDefault="00DF0C24">
            <w:pPr>
              <w:snapToGrid w:val="0"/>
              <w:spacing w:line="240" w:lineRule="exact"/>
              <w:ind w:left="160" w:hanging="160"/>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638B8AF7" w14:textId="77777777" w:rsidR="00BD776B" w:rsidRDefault="00DF0C24">
            <w:pPr>
              <w:snapToGrid w:val="0"/>
              <w:spacing w:line="240" w:lineRule="exact"/>
              <w:ind w:left="160" w:hanging="160"/>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7B5F216F" w14:textId="77777777" w:rsidR="00BD776B" w:rsidRDefault="00DF0C24">
            <w:pPr>
              <w:snapToGrid w:val="0"/>
              <w:spacing w:line="240" w:lineRule="exact"/>
              <w:ind w:left="160" w:hanging="160"/>
              <w:rPr>
                <w:rFonts w:ascii="標楷體" w:eastAsia="標楷體" w:hAnsi="標楷體"/>
                <w:color w:val="000000"/>
                <w:kern w:val="0"/>
                <w:sz w:val="20"/>
                <w:szCs w:val="20"/>
              </w:rPr>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p w14:paraId="0B929B42" w14:textId="77777777" w:rsidR="00BD776B" w:rsidRDefault="00BD776B">
            <w:pPr>
              <w:snapToGrid w:val="0"/>
              <w:spacing w:line="200" w:lineRule="exact"/>
              <w:rPr>
                <w:rFonts w:ascii="標楷體" w:eastAsia="標楷體" w:hAnsi="標楷體"/>
                <w:color w:val="000000"/>
                <w:kern w:val="0"/>
                <w:sz w:val="20"/>
                <w:szCs w:val="20"/>
              </w:rPr>
            </w:pPr>
          </w:p>
        </w:tc>
        <w:tc>
          <w:tcPr>
            <w:tcW w:w="4920" w:type="dxa"/>
            <w:gridSpan w:val="13"/>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25AF73D" w14:textId="77777777" w:rsidR="00BD776B" w:rsidRDefault="00BD776B">
            <w:pPr>
              <w:snapToGrid w:val="0"/>
              <w:rPr>
                <w:rFonts w:ascii="標楷體" w:eastAsia="標楷體" w:hAnsi="標楷體"/>
                <w:color w:val="000000"/>
                <w:sz w:val="20"/>
                <w:szCs w:val="20"/>
              </w:rPr>
            </w:pPr>
          </w:p>
        </w:tc>
      </w:tr>
      <w:tr w:rsidR="00BD776B" w14:paraId="2A90F64C" w14:textId="77777777" w:rsidTr="008475ED">
        <w:trPr>
          <w:cantSplit/>
          <w:trHeight w:val="844"/>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FC977" w14:textId="77777777" w:rsidR="00BD776B" w:rsidRDefault="00BD776B">
            <w:pPr>
              <w:snapToGrid w:val="0"/>
              <w:ind w:left="211" w:hanging="211"/>
              <w:rPr>
                <w:rFonts w:ascii="標楷體" w:eastAsia="標楷體" w:hAnsi="標楷體"/>
                <w:color w:val="000000"/>
              </w:rPr>
            </w:pPr>
          </w:p>
        </w:tc>
        <w:tc>
          <w:tcPr>
            <w:tcW w:w="8520"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08948" w14:textId="77777777" w:rsidR="00BD776B" w:rsidRDefault="00BD776B">
            <w:pPr>
              <w:snapToGrid w:val="0"/>
              <w:ind w:left="211" w:hanging="211"/>
              <w:rPr>
                <w:rFonts w:ascii="標楷體" w:eastAsia="標楷體" w:hAnsi="標楷體"/>
                <w:color w:val="000000"/>
              </w:rPr>
            </w:pPr>
          </w:p>
        </w:tc>
        <w:tc>
          <w:tcPr>
            <w:tcW w:w="3602" w:type="dxa"/>
            <w:gridSpan w:val="11"/>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F920E" w14:textId="77777777" w:rsidR="00BD776B" w:rsidRDefault="00DF0C24">
            <w:pPr>
              <w:snapToGrid w:val="0"/>
              <w:spacing w:line="280" w:lineRule="exact"/>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0D130984" w14:textId="77777777" w:rsidR="00BD776B" w:rsidRDefault="00BD776B">
            <w:pPr>
              <w:snapToGrid w:val="0"/>
              <w:spacing w:line="280" w:lineRule="exact"/>
              <w:jc w:val="both"/>
              <w:rPr>
                <w:rFonts w:ascii="標楷體" w:eastAsia="標楷體" w:hAnsi="標楷體"/>
                <w:color w:val="000000"/>
                <w:sz w:val="20"/>
                <w:szCs w:val="20"/>
              </w:rPr>
            </w:pPr>
          </w:p>
        </w:tc>
        <w:tc>
          <w:tcPr>
            <w:tcW w:w="3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0CC0B" w14:textId="77777777" w:rsidR="00BD776B" w:rsidRDefault="00DF0C24">
            <w:pPr>
              <w:snapToGrid w:val="0"/>
              <w:spacing w:line="280" w:lineRule="exact"/>
              <w:jc w:val="both"/>
            </w:pPr>
            <w:r>
              <w:rPr>
                <w:rFonts w:ascii="標楷體" w:eastAsia="標楷體" w:hAnsi="標楷體" w:cs="標楷體"/>
                <w:color w:val="000000"/>
              </w:rPr>
              <w:t>審查醫師</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09996" w14:textId="77777777" w:rsidR="00BD776B" w:rsidRDefault="00BD776B">
            <w:pPr>
              <w:snapToGrid w:val="0"/>
              <w:spacing w:line="280" w:lineRule="exact"/>
              <w:rPr>
                <w:rFonts w:ascii="標楷體" w:eastAsia="標楷體" w:hAnsi="標楷體"/>
                <w:color w:val="000000"/>
              </w:rPr>
            </w:pPr>
          </w:p>
        </w:tc>
      </w:tr>
      <w:tr w:rsidR="00BD776B" w14:paraId="373034B7" w14:textId="77777777" w:rsidTr="008475ED">
        <w:trPr>
          <w:cantSplit/>
          <w:trHeight w:val="1122"/>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57D2E" w14:textId="77777777" w:rsidR="00BD776B" w:rsidRDefault="00BD776B">
            <w:pPr>
              <w:snapToGrid w:val="0"/>
              <w:ind w:left="211" w:hanging="211"/>
              <w:rPr>
                <w:rFonts w:ascii="標楷體" w:eastAsia="標楷體" w:hAnsi="標楷體"/>
                <w:color w:val="000000"/>
              </w:rPr>
            </w:pPr>
          </w:p>
        </w:tc>
        <w:tc>
          <w:tcPr>
            <w:tcW w:w="8520"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10B3" w14:textId="77777777" w:rsidR="00BD776B" w:rsidRDefault="00BD776B">
            <w:pPr>
              <w:snapToGrid w:val="0"/>
              <w:ind w:left="211" w:hanging="211"/>
              <w:rPr>
                <w:rFonts w:ascii="標楷體" w:eastAsia="標楷體" w:hAnsi="標楷體"/>
                <w:color w:val="000000"/>
              </w:rPr>
            </w:pPr>
          </w:p>
        </w:tc>
        <w:tc>
          <w:tcPr>
            <w:tcW w:w="3602" w:type="dxa"/>
            <w:gridSpan w:val="11"/>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D6556" w14:textId="77777777" w:rsidR="00BD776B" w:rsidRDefault="00BD776B">
            <w:pPr>
              <w:snapToGrid w:val="0"/>
              <w:spacing w:line="280" w:lineRule="exact"/>
              <w:jc w:val="both"/>
              <w:rPr>
                <w:rFonts w:ascii="標楷體" w:eastAsia="標楷體" w:hAnsi="標楷體"/>
                <w:color w:val="000000"/>
              </w:rPr>
            </w:pPr>
          </w:p>
        </w:tc>
        <w:tc>
          <w:tcPr>
            <w:tcW w:w="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58AEE" w14:textId="77777777" w:rsidR="00BD776B" w:rsidRDefault="00BD776B">
            <w:pPr>
              <w:snapToGrid w:val="0"/>
              <w:spacing w:line="280" w:lineRule="exact"/>
              <w:jc w:val="both"/>
              <w:rPr>
                <w:rFonts w:ascii="標楷體" w:eastAsia="標楷體" w:hAnsi="標楷體" w:cs="標楷體"/>
                <w:color w:val="00000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FB283" w14:textId="77777777" w:rsidR="00BD776B" w:rsidRDefault="00BD776B">
            <w:pPr>
              <w:snapToGrid w:val="0"/>
              <w:spacing w:line="280" w:lineRule="exact"/>
              <w:rPr>
                <w:rFonts w:ascii="標楷體" w:eastAsia="標楷體" w:hAnsi="標楷體"/>
                <w:color w:val="000000"/>
              </w:rPr>
            </w:pPr>
          </w:p>
        </w:tc>
      </w:tr>
      <w:tr w:rsidR="00BD776B" w14:paraId="6B1812A5" w14:textId="77777777" w:rsidTr="008475ED">
        <w:trPr>
          <w:cantSplit/>
          <w:trHeight w:val="706"/>
        </w:trPr>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2440" w14:textId="77777777" w:rsidR="00BD776B" w:rsidRDefault="00DF0C24">
            <w:pPr>
              <w:snapToGrid w:val="0"/>
              <w:spacing w:line="240" w:lineRule="exact"/>
            </w:pPr>
            <w:r>
              <w:rPr>
                <w:rFonts w:ascii="標楷體" w:eastAsia="標楷體" w:hAnsi="標楷體" w:cs="標楷體"/>
                <w:color w:val="000000"/>
              </w:rPr>
              <w:t>醫事服務機構</w:t>
            </w:r>
          </w:p>
        </w:tc>
        <w:tc>
          <w:tcPr>
            <w:tcW w:w="837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287F0" w14:textId="77777777" w:rsidR="00BD776B" w:rsidRDefault="00DF0C24">
            <w:pPr>
              <w:snapToGrid w:val="0"/>
              <w:spacing w:line="240" w:lineRule="exact"/>
            </w:pPr>
            <w:r>
              <w:rPr>
                <w:rFonts w:ascii="標楷體" w:eastAsia="標楷體" w:hAnsi="標楷體" w:cs="標楷體"/>
                <w:color w:val="000000"/>
              </w:rPr>
              <w:t>醫院申請日期：  年  月  日</w:t>
            </w:r>
          </w:p>
          <w:p w14:paraId="29D5D01D" w14:textId="77777777" w:rsidR="00BD776B" w:rsidRDefault="00BD776B">
            <w:pPr>
              <w:snapToGrid w:val="0"/>
              <w:spacing w:line="240" w:lineRule="exact"/>
              <w:rPr>
                <w:rFonts w:ascii="標楷體" w:eastAsia="標楷體" w:hAnsi="標楷體"/>
                <w:color w:val="000000"/>
              </w:rPr>
            </w:pPr>
          </w:p>
          <w:p w14:paraId="0A9DBEC8"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6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CB4C1" w14:textId="77777777" w:rsidR="00BD776B" w:rsidRDefault="00DF0C24">
            <w:pPr>
              <w:widowControl/>
              <w:snapToGrid w:val="0"/>
              <w:spacing w:line="240" w:lineRule="exact"/>
            </w:pPr>
            <w:r>
              <w:rPr>
                <w:rFonts w:ascii="標楷體" w:eastAsia="標楷體" w:hAnsi="標楷體" w:cs="標楷體"/>
                <w:color w:val="000000"/>
              </w:rPr>
              <w:t>承辦人</w:t>
            </w:r>
          </w:p>
        </w:tc>
        <w:tc>
          <w:tcPr>
            <w:tcW w:w="836"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F2F7F" w14:textId="77777777" w:rsidR="00BD776B" w:rsidRDefault="00BD776B">
            <w:pPr>
              <w:widowControl/>
              <w:snapToGrid w:val="0"/>
              <w:spacing w:line="240" w:lineRule="exact"/>
              <w:rPr>
                <w:rFonts w:ascii="標楷體" w:eastAsia="標楷體" w:hAnsi="標楷體"/>
                <w:color w:val="000000"/>
              </w:rPr>
            </w:pPr>
          </w:p>
          <w:p w14:paraId="61EDFDBE" w14:textId="77777777" w:rsidR="00BD776B" w:rsidRDefault="00BD776B">
            <w:pPr>
              <w:snapToGrid w:val="0"/>
              <w:spacing w:line="240" w:lineRule="exact"/>
              <w:rPr>
                <w:rFonts w:ascii="標楷體" w:eastAsia="標楷體" w:hAnsi="標楷體"/>
                <w:color w:val="000000"/>
              </w:rPr>
            </w:pPr>
          </w:p>
        </w:tc>
        <w:tc>
          <w:tcPr>
            <w:tcW w:w="36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C3D5D" w14:textId="77777777" w:rsidR="00BD776B" w:rsidRDefault="00DF0C24">
            <w:pPr>
              <w:widowControl/>
              <w:snapToGrid w:val="0"/>
              <w:spacing w:line="240" w:lineRule="exact"/>
            </w:pPr>
            <w:r>
              <w:rPr>
                <w:rFonts w:ascii="標楷體" w:eastAsia="標楷體" w:hAnsi="標楷體" w:cs="標楷體"/>
                <w:color w:val="000000"/>
              </w:rPr>
              <w:t>複核</w:t>
            </w: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ADC5E" w14:textId="77777777" w:rsidR="00BD776B" w:rsidRDefault="00BD776B">
            <w:pPr>
              <w:widowControl/>
              <w:snapToGrid w:val="0"/>
              <w:spacing w:line="240" w:lineRule="exact"/>
              <w:rPr>
                <w:rFonts w:ascii="標楷體" w:eastAsia="標楷體" w:hAnsi="標楷體"/>
                <w:color w:val="000000"/>
              </w:rPr>
            </w:pPr>
          </w:p>
          <w:p w14:paraId="4B24FC35" w14:textId="77777777" w:rsidR="00BD776B" w:rsidRDefault="00BD776B">
            <w:pPr>
              <w:snapToGrid w:val="0"/>
              <w:spacing w:line="240" w:lineRule="exact"/>
              <w:rPr>
                <w:rFonts w:ascii="標楷體" w:eastAsia="標楷體" w:hAnsi="標楷體"/>
                <w:color w:val="000000"/>
              </w:rPr>
            </w:pP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C69F9" w14:textId="77777777" w:rsidR="00BD776B" w:rsidRDefault="00DF0C24">
            <w:pPr>
              <w:snapToGrid w:val="0"/>
              <w:spacing w:line="240" w:lineRule="exact"/>
            </w:pPr>
            <w:r>
              <w:rPr>
                <w:rFonts w:ascii="標楷體" w:eastAsia="標楷體" w:hAnsi="標楷體" w:cs="標楷體"/>
                <w:color w:val="000000"/>
              </w:rPr>
              <w:t>科長</w:t>
            </w:r>
          </w:p>
        </w:tc>
        <w:tc>
          <w:tcPr>
            <w:tcW w:w="846"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A64CD" w14:textId="77777777" w:rsidR="00BD776B" w:rsidRDefault="00BD776B">
            <w:pPr>
              <w:widowControl/>
              <w:snapToGrid w:val="0"/>
              <w:spacing w:line="240" w:lineRule="exact"/>
              <w:rPr>
                <w:rFonts w:ascii="標楷體" w:eastAsia="標楷體" w:hAnsi="標楷體"/>
                <w:color w:val="000000"/>
              </w:rPr>
            </w:pPr>
          </w:p>
          <w:p w14:paraId="0FE9E32B" w14:textId="77777777" w:rsidR="00BD776B" w:rsidRDefault="00BD776B">
            <w:pPr>
              <w:snapToGrid w:val="0"/>
              <w:spacing w:line="240" w:lineRule="exact"/>
              <w:rPr>
                <w:rFonts w:ascii="標楷體" w:eastAsia="標楷體" w:hAnsi="標楷體"/>
                <w:color w:val="000000"/>
              </w:rPr>
            </w:pPr>
          </w:p>
        </w:tc>
        <w:tc>
          <w:tcPr>
            <w:tcW w:w="35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CA22B" w14:textId="77777777" w:rsidR="00BD776B" w:rsidRDefault="00DF0C24">
            <w:pPr>
              <w:widowControl/>
              <w:snapToGrid w:val="0"/>
              <w:spacing w:line="240" w:lineRule="exact"/>
            </w:pPr>
            <w:r>
              <w:rPr>
                <w:rFonts w:ascii="標楷體" w:eastAsia="標楷體" w:hAnsi="標楷體" w:cs="標楷體"/>
                <w:color w:val="000000"/>
              </w:rPr>
              <w:t>決行</w:t>
            </w:r>
          </w:p>
        </w:tc>
        <w:tc>
          <w:tcPr>
            <w:tcW w:w="96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61247" w14:textId="77777777" w:rsidR="00BD776B" w:rsidRDefault="00BD776B">
            <w:pPr>
              <w:snapToGrid w:val="0"/>
              <w:spacing w:line="240" w:lineRule="exact"/>
              <w:rPr>
                <w:rFonts w:ascii="標楷體" w:eastAsia="標楷體" w:hAnsi="標楷體"/>
                <w:color w:val="000000"/>
              </w:rPr>
            </w:pPr>
          </w:p>
        </w:tc>
      </w:tr>
    </w:tbl>
    <w:p w14:paraId="15903084" w14:textId="77777777" w:rsidR="00BD776B" w:rsidRDefault="00DF0C24">
      <w:pPr>
        <w:pStyle w:val="Web"/>
        <w:pageBreakBefore/>
        <w:widowControl w:val="0"/>
        <w:snapToGrid w:val="0"/>
        <w:spacing w:before="0" w:after="0" w:line="380" w:lineRule="exact"/>
        <w:jc w:val="both"/>
      </w:pPr>
      <w:r>
        <w:rPr>
          <w:rFonts w:ascii="標楷體" w:eastAsia="標楷體" w:hAnsi="標楷體" w:cs="標楷體"/>
          <w:color w:val="000000"/>
        </w:rPr>
        <w:lastRenderedPageBreak/>
        <w:t>附表九之一全民健康保險使用抗癌藥品</w:t>
      </w:r>
      <w:r>
        <w:rPr>
          <w:rFonts w:ascii="標楷體" w:eastAsia="標楷體" w:hAnsi="標楷體" w:cs="Times New Roman"/>
          <w:color w:val="000000"/>
        </w:rPr>
        <w:t>Gefitinib</w:t>
      </w:r>
      <w:r>
        <w:rPr>
          <w:rFonts w:ascii="標楷體" w:eastAsia="標楷體" w:hAnsi="標楷體" w:cs="標楷體"/>
          <w:color w:val="000000"/>
        </w:rPr>
        <w:t>申請表</w:t>
      </w:r>
    </w:p>
    <w:tbl>
      <w:tblPr>
        <w:tblW w:w="14775" w:type="dxa"/>
        <w:tblInd w:w="-5" w:type="dxa"/>
        <w:tblLayout w:type="fixed"/>
        <w:tblCellMar>
          <w:left w:w="10" w:type="dxa"/>
          <w:right w:w="10" w:type="dxa"/>
        </w:tblCellMar>
        <w:tblLook w:val="0000" w:firstRow="0" w:lastRow="0" w:firstColumn="0" w:lastColumn="0" w:noHBand="0" w:noVBand="0"/>
      </w:tblPr>
      <w:tblGrid>
        <w:gridCol w:w="391"/>
        <w:gridCol w:w="403"/>
        <w:gridCol w:w="657"/>
        <w:gridCol w:w="737"/>
        <w:gridCol w:w="365"/>
        <w:gridCol w:w="235"/>
        <w:gridCol w:w="360"/>
        <w:gridCol w:w="489"/>
        <w:gridCol w:w="678"/>
        <w:gridCol w:w="278"/>
        <w:gridCol w:w="1313"/>
        <w:gridCol w:w="600"/>
        <w:gridCol w:w="360"/>
        <w:gridCol w:w="959"/>
        <w:gridCol w:w="1094"/>
        <w:gridCol w:w="105"/>
        <w:gridCol w:w="484"/>
        <w:gridCol w:w="125"/>
        <w:gridCol w:w="235"/>
        <w:gridCol w:w="905"/>
        <w:gridCol w:w="419"/>
        <w:gridCol w:w="7"/>
        <w:gridCol w:w="353"/>
        <w:gridCol w:w="9"/>
        <w:gridCol w:w="349"/>
        <w:gridCol w:w="362"/>
        <w:gridCol w:w="11"/>
        <w:gridCol w:w="229"/>
        <w:gridCol w:w="602"/>
        <w:gridCol w:w="375"/>
        <w:gridCol w:w="1286"/>
      </w:tblGrid>
      <w:tr w:rsidR="00BD776B" w14:paraId="20F3A410" w14:textId="77777777" w:rsidTr="007B1748">
        <w:trPr>
          <w:cantSplit/>
          <w:trHeight w:hRule="exact" w:val="348"/>
        </w:trPr>
        <w:tc>
          <w:tcPr>
            <w:tcW w:w="2188"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7A1F312"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31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F6DF70"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4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6CD16" w14:textId="77777777" w:rsidR="00BD776B" w:rsidRDefault="00DF0C24">
            <w:pPr>
              <w:snapToGrid w:val="0"/>
            </w:pPr>
            <w:r>
              <w:rPr>
                <w:rFonts w:ascii="標楷體" w:eastAsia="標楷體" w:hAnsi="標楷體" w:cs="標楷體"/>
                <w:color w:val="000000"/>
                <w:sz w:val="20"/>
                <w:szCs w:val="20"/>
              </w:rPr>
              <w:t>受理日期：</w:t>
            </w:r>
          </w:p>
        </w:tc>
        <w:tc>
          <w:tcPr>
            <w:tcW w:w="26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56B982" w14:textId="77777777" w:rsidR="00BD776B" w:rsidRDefault="00DF0C24">
            <w:pPr>
              <w:snapToGrid w:val="0"/>
              <w:ind w:left="15"/>
            </w:pPr>
            <w:r>
              <w:rPr>
                <w:rFonts w:ascii="標楷體" w:eastAsia="標楷體" w:hAnsi="標楷體" w:cs="標楷體"/>
                <w:color w:val="000000"/>
                <w:sz w:val="20"/>
                <w:szCs w:val="20"/>
              </w:rPr>
              <w:t>受理編號：</w:t>
            </w:r>
          </w:p>
        </w:tc>
        <w:tc>
          <w:tcPr>
            <w:tcW w:w="321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177515" w14:textId="77777777" w:rsidR="00BD776B" w:rsidRDefault="00DF0C24">
            <w:pPr>
              <w:snapToGrid w:val="0"/>
            </w:pPr>
            <w:r>
              <w:rPr>
                <w:rFonts w:ascii="標楷體" w:eastAsia="標楷體" w:hAnsi="標楷體" w:cs="標楷體"/>
                <w:color w:val="000000"/>
                <w:sz w:val="20"/>
                <w:szCs w:val="20"/>
              </w:rPr>
              <w:t>緊急傳真日期：</w:t>
            </w:r>
          </w:p>
        </w:tc>
      </w:tr>
      <w:tr w:rsidR="00BD776B" w14:paraId="241FCE3E" w14:textId="77777777" w:rsidTr="007B1748">
        <w:trPr>
          <w:cantSplit/>
          <w:trHeight w:val="517"/>
        </w:trPr>
        <w:tc>
          <w:tcPr>
            <w:tcW w:w="3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9AFD6"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0B7D28"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3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CD4E42" w14:textId="77777777" w:rsidR="00BD776B" w:rsidRDefault="00BD776B">
            <w:pPr>
              <w:snapToGrid w:val="0"/>
              <w:spacing w:line="200" w:lineRule="exact"/>
              <w:rPr>
                <w:rFonts w:ascii="標楷體" w:eastAsia="標楷體" w:hAnsi="標楷體"/>
                <w:color w:val="000000"/>
                <w:sz w:val="20"/>
                <w:szCs w:val="20"/>
              </w:rPr>
            </w:pPr>
          </w:p>
        </w:tc>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4014F0"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507028A8"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79D49D54"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6CA499B9"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AA31F1"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4A9508" w14:textId="77777777" w:rsidR="00BD776B" w:rsidRDefault="00BD776B">
            <w:pPr>
              <w:snapToGrid w:val="0"/>
              <w:spacing w:line="200" w:lineRule="exact"/>
              <w:rPr>
                <w:rFonts w:ascii="標楷體" w:eastAsia="標楷體" w:hAnsi="標楷體"/>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4453BC"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4D3409" w14:textId="77777777" w:rsidR="00BD776B" w:rsidRDefault="00BD776B">
            <w:pPr>
              <w:snapToGrid w:val="0"/>
              <w:spacing w:line="200" w:lineRule="exact"/>
              <w:rPr>
                <w:rFonts w:ascii="標楷體" w:eastAsia="標楷體" w:hAnsi="標楷體"/>
                <w:color w:val="000000"/>
                <w:sz w:val="20"/>
                <w:szCs w:val="20"/>
              </w:rPr>
            </w:pPr>
          </w:p>
        </w:tc>
        <w:tc>
          <w:tcPr>
            <w:tcW w:w="18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1DD7E"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532AE24C"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385371" w14:textId="77777777" w:rsidR="00BD776B" w:rsidRDefault="00BD776B">
            <w:pPr>
              <w:snapToGrid w:val="0"/>
              <w:spacing w:line="200" w:lineRule="exact"/>
              <w:rPr>
                <w:rFonts w:ascii="標楷體" w:eastAsia="標楷體" w:hAnsi="標楷體"/>
                <w:color w:val="000000"/>
                <w:sz w:val="20"/>
                <w:szCs w:val="20"/>
              </w:rPr>
            </w:pPr>
          </w:p>
        </w:tc>
        <w:tc>
          <w:tcPr>
            <w:tcW w:w="109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E5DF55"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預定實施</w:t>
            </w:r>
          </w:p>
          <w:p w14:paraId="73B58C14" w14:textId="77777777" w:rsidR="00BD776B" w:rsidRDefault="00DF0C24">
            <w:pPr>
              <w:snapToGrid w:val="0"/>
              <w:spacing w:line="200" w:lineRule="exact"/>
            </w:pPr>
            <w:r>
              <w:rPr>
                <w:rFonts w:ascii="標楷體" w:eastAsia="標楷體" w:hAnsi="標楷體" w:cs="標楷體"/>
                <w:color w:val="000000"/>
                <w:sz w:val="20"/>
                <w:szCs w:val="20"/>
              </w:rPr>
              <w:t>日期</w:t>
            </w:r>
          </w:p>
        </w:tc>
        <w:tc>
          <w:tcPr>
            <w:tcW w:w="24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D10E" w14:textId="77777777" w:rsidR="00BD776B" w:rsidRDefault="00BD776B">
            <w:pPr>
              <w:snapToGrid w:val="0"/>
              <w:spacing w:line="200" w:lineRule="exact"/>
              <w:rPr>
                <w:rFonts w:ascii="標楷體" w:eastAsia="標楷體" w:hAnsi="標楷體"/>
                <w:color w:val="000000"/>
                <w:sz w:val="20"/>
                <w:szCs w:val="20"/>
              </w:rPr>
            </w:pPr>
          </w:p>
        </w:tc>
      </w:tr>
      <w:tr w:rsidR="00BD776B" w14:paraId="7508EAA9" w14:textId="77777777" w:rsidTr="007B1748">
        <w:trPr>
          <w:cantSplit/>
          <w:trHeight w:val="530"/>
        </w:trPr>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37F74A" w14:textId="77777777" w:rsidR="00BD776B" w:rsidRDefault="00BD776B">
            <w:pPr>
              <w:snapToGrid w:val="0"/>
              <w:spacing w:line="200" w:lineRule="exact"/>
              <w:rPr>
                <w:rFonts w:ascii="標楷體" w:eastAsia="標楷體" w:hAnsi="標楷體"/>
                <w:color w:val="000000"/>
                <w:sz w:val="20"/>
                <w:szCs w:val="20"/>
              </w:rPr>
            </w:pP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16B8C2"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3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BAD374" w14:textId="77777777" w:rsidR="00BD776B" w:rsidRDefault="00BD776B">
            <w:pPr>
              <w:snapToGrid w:val="0"/>
              <w:spacing w:line="200" w:lineRule="exact"/>
              <w:rPr>
                <w:rFonts w:ascii="標楷體" w:eastAsia="標楷體" w:hAnsi="標楷體"/>
                <w:color w:val="000000"/>
                <w:sz w:val="20"/>
                <w:szCs w:val="20"/>
              </w:rPr>
            </w:pPr>
          </w:p>
        </w:tc>
        <w:tc>
          <w:tcPr>
            <w:tcW w:w="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4ECEFA" w14:textId="77777777" w:rsidR="00BD776B" w:rsidRDefault="00BD776B">
            <w:pPr>
              <w:snapToGrid w:val="0"/>
              <w:spacing w:line="200" w:lineRule="exact"/>
              <w:rPr>
                <w:rFonts w:ascii="標楷體" w:eastAsia="標楷體" w:hAnsi="標楷體"/>
                <w:color w:val="000000"/>
                <w:sz w:val="20"/>
                <w:szCs w:val="20"/>
              </w:rPr>
            </w:pP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670B63" w14:textId="77777777" w:rsidR="00BD776B" w:rsidRDefault="00DF0C24">
            <w:pPr>
              <w:snapToGrid w:val="0"/>
              <w:spacing w:line="200" w:lineRule="exact"/>
            </w:pPr>
            <w:r>
              <w:rPr>
                <w:rFonts w:ascii="標楷體" w:eastAsia="標楷體" w:hAnsi="標楷體" w:cs="標楷體"/>
                <w:color w:val="000000"/>
                <w:sz w:val="20"/>
                <w:szCs w:val="20"/>
              </w:rPr>
              <w:t>身分證</w:t>
            </w:r>
          </w:p>
          <w:p w14:paraId="572CA224"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5527D3"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5C74E"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691BECA0"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A88A" w14:textId="77777777" w:rsidR="00BD776B" w:rsidRDefault="00BD776B">
            <w:pPr>
              <w:snapToGrid w:val="0"/>
              <w:spacing w:line="200" w:lineRule="exact"/>
              <w:rPr>
                <w:rFonts w:ascii="標楷體" w:eastAsia="標楷體" w:hAnsi="標楷體"/>
                <w:color w:val="000000"/>
                <w:sz w:val="20"/>
                <w:szCs w:val="20"/>
              </w:rPr>
            </w:pPr>
          </w:p>
        </w:tc>
        <w:tc>
          <w:tcPr>
            <w:tcW w:w="18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BB9DFC"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15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A89D17"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病歷</w:t>
            </w:r>
          </w:p>
          <w:p w14:paraId="319F85AD" w14:textId="77777777" w:rsidR="00BD776B" w:rsidRDefault="00DF0C24">
            <w:pPr>
              <w:snapToGrid w:val="0"/>
              <w:spacing w:line="200" w:lineRule="exact"/>
              <w:jc w:val="center"/>
            </w:pPr>
            <w:r>
              <w:rPr>
                <w:rFonts w:ascii="標楷體" w:eastAsia="標楷體" w:hAnsi="標楷體" w:cs="標楷體"/>
                <w:color w:val="000000"/>
                <w:sz w:val="20"/>
                <w:szCs w:val="20"/>
              </w:rPr>
              <w:t>號碼</w:t>
            </w:r>
          </w:p>
        </w:tc>
        <w:tc>
          <w:tcPr>
            <w:tcW w:w="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D7FD50" w14:textId="77777777" w:rsidR="00BD776B" w:rsidRDefault="00BD776B">
            <w:pPr>
              <w:snapToGrid w:val="0"/>
              <w:spacing w:line="200" w:lineRule="exact"/>
              <w:rPr>
                <w:rFonts w:ascii="標楷體" w:eastAsia="標楷體" w:hAnsi="標楷體"/>
                <w:color w:val="000000"/>
                <w:sz w:val="20"/>
                <w:szCs w:val="20"/>
              </w:rPr>
            </w:pPr>
          </w:p>
        </w:tc>
        <w:tc>
          <w:tcPr>
            <w:tcW w:w="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DBA22"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7A7C8D" w14:textId="77777777" w:rsidR="00BD776B" w:rsidRDefault="00BD776B">
            <w:pPr>
              <w:snapToGrid w:val="0"/>
              <w:spacing w:line="200" w:lineRule="exact"/>
              <w:rPr>
                <w:rFonts w:ascii="標楷體" w:eastAsia="標楷體" w:hAnsi="標楷體"/>
                <w:color w:val="000000"/>
                <w:sz w:val="20"/>
                <w:szCs w:val="20"/>
              </w:rPr>
            </w:pPr>
          </w:p>
        </w:tc>
      </w:tr>
      <w:tr w:rsidR="00BD776B" w14:paraId="03ADCA24" w14:textId="77777777" w:rsidTr="007B1748">
        <w:trPr>
          <w:cantSplit/>
          <w:trHeight w:hRule="exact" w:val="340"/>
        </w:trPr>
        <w:tc>
          <w:tcPr>
            <w:tcW w:w="1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1F537F"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1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323F3" w14:textId="77777777" w:rsidR="00BD776B" w:rsidRDefault="00BD776B">
            <w:pPr>
              <w:snapToGrid w:val="0"/>
              <w:spacing w:line="200" w:lineRule="exact"/>
              <w:rPr>
                <w:rFonts w:ascii="標楷體" w:eastAsia="標楷體" w:hAnsi="標楷體"/>
                <w:color w:val="000000"/>
                <w:sz w:val="20"/>
                <w:szCs w:val="20"/>
              </w:rPr>
            </w:pP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170202"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43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4F3AC" w14:textId="77777777" w:rsidR="00BD776B" w:rsidRDefault="00BD776B">
            <w:pPr>
              <w:snapToGrid w:val="0"/>
              <w:spacing w:line="200" w:lineRule="exact"/>
              <w:rPr>
                <w:rFonts w:ascii="標楷體" w:eastAsia="標楷體" w:hAnsi="標楷體"/>
                <w:color w:val="000000"/>
                <w:sz w:val="20"/>
                <w:szCs w:val="20"/>
              </w:rPr>
            </w:pPr>
          </w:p>
        </w:tc>
        <w:tc>
          <w:tcPr>
            <w:tcW w:w="217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F4EB5E"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3576"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CF665D8"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73396D7F" w14:textId="77777777" w:rsidTr="007B1748">
        <w:trPr>
          <w:cantSplit/>
        </w:trPr>
        <w:tc>
          <w:tcPr>
            <w:tcW w:w="1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30832C"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24FC64"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6471"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F32DCA"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6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3097B2"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79383E22"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15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B4A093"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15811BEB"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3576"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518CB3C"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6C591CE5" w14:textId="77777777" w:rsidTr="007B1748">
        <w:trPr>
          <w:cantSplit/>
          <w:trHeight w:val="4433"/>
        </w:trPr>
        <w:tc>
          <w:tcPr>
            <w:tcW w:w="1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A3E2" w14:textId="77777777" w:rsidR="00BD776B" w:rsidRDefault="00DF0C24">
            <w:pPr>
              <w:snapToGrid w:val="0"/>
              <w:spacing w:before="180" w:after="180" w:line="200" w:lineRule="exact"/>
              <w:ind w:left="2" w:firstLine="44"/>
              <w:rPr>
                <w:rFonts w:ascii="標楷體" w:eastAsia="標楷體" w:hAnsi="標楷體"/>
                <w:color w:val="000000"/>
                <w:sz w:val="20"/>
                <w:szCs w:val="20"/>
              </w:rPr>
            </w:pPr>
            <w:r>
              <w:rPr>
                <w:rFonts w:ascii="標楷體" w:eastAsia="標楷體" w:hAnsi="標楷體"/>
                <w:color w:val="000000"/>
                <w:sz w:val="20"/>
                <w:szCs w:val="20"/>
              </w:rPr>
              <w:t>Iressa</w:t>
            </w:r>
          </w:p>
          <w:p w14:paraId="67DE13F4" w14:textId="77777777" w:rsidR="00BD776B" w:rsidRDefault="00DF0C24" w:rsidP="008A7063">
            <w:pPr>
              <w:numPr>
                <w:ilvl w:val="0"/>
                <w:numId w:val="55"/>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B023808100</w:t>
            </w:r>
          </w:p>
          <w:p w14:paraId="4DB06569" w14:textId="77777777" w:rsidR="00BD776B" w:rsidRDefault="00BD776B">
            <w:pPr>
              <w:snapToGrid w:val="0"/>
              <w:spacing w:before="180" w:after="180" w:line="200" w:lineRule="exact"/>
              <w:rPr>
                <w:rFonts w:ascii="標楷體" w:eastAsia="標楷體" w:hAnsi="標楷體"/>
                <w:color w:val="000000"/>
                <w:sz w:val="20"/>
                <w:szCs w:val="20"/>
              </w:rPr>
            </w:pPr>
          </w:p>
          <w:p w14:paraId="032F4AF5" w14:textId="77777777" w:rsidR="00BD776B" w:rsidRDefault="00BD776B">
            <w:pPr>
              <w:snapToGrid w:val="0"/>
              <w:spacing w:line="200" w:lineRule="exact"/>
              <w:rPr>
                <w:rFonts w:ascii="標楷體" w:eastAsia="標楷體" w:hAnsi="標楷體"/>
                <w:color w:val="000000"/>
                <w:sz w:val="20"/>
                <w:szCs w:val="20"/>
              </w:rPr>
            </w:pPr>
          </w:p>
        </w:tc>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B5C5D" w14:textId="77777777" w:rsidR="00BD776B" w:rsidRDefault="00DF0C24" w:rsidP="008A7063">
            <w:pPr>
              <w:numPr>
                <w:ilvl w:val="0"/>
                <w:numId w:val="55"/>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第一次申請</w:t>
            </w:r>
          </w:p>
          <w:p w14:paraId="73F340F0" w14:textId="77777777" w:rsidR="00BD776B" w:rsidRDefault="00DF0C24" w:rsidP="008A7063">
            <w:pPr>
              <w:numPr>
                <w:ilvl w:val="0"/>
                <w:numId w:val="55"/>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治療後再次申請</w:t>
            </w:r>
          </w:p>
          <w:p w14:paraId="560F3045" w14:textId="77777777" w:rsidR="00BD776B" w:rsidRDefault="00BD776B">
            <w:pPr>
              <w:snapToGrid w:val="0"/>
              <w:spacing w:before="180"/>
              <w:ind w:left="168" w:hanging="142"/>
              <w:rPr>
                <w:rFonts w:ascii="標楷體" w:eastAsia="標楷體" w:hAnsi="標楷體"/>
                <w:color w:val="000000"/>
                <w:sz w:val="20"/>
                <w:szCs w:val="20"/>
              </w:rPr>
            </w:pPr>
          </w:p>
        </w:tc>
        <w:tc>
          <w:tcPr>
            <w:tcW w:w="6471"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BBB54A" w14:textId="77777777" w:rsidR="00BD776B" w:rsidRDefault="00DF0C24">
            <w:pPr>
              <w:snapToGrid w:val="0"/>
              <w:spacing w:before="100" w:line="180" w:lineRule="exact"/>
              <w:ind w:left="362" w:hanging="242"/>
              <w:jc w:val="both"/>
            </w:pPr>
            <w:r>
              <w:rPr>
                <w:rFonts w:ascii="標楷體" w:eastAsia="標楷體" w:hAnsi="標楷體"/>
                <w:color w:val="000000"/>
                <w:sz w:val="20"/>
                <w:szCs w:val="20"/>
              </w:rPr>
              <w:t>A.限單獨使用於</w:t>
            </w:r>
          </w:p>
          <w:p w14:paraId="7F2692C6" w14:textId="77777777" w:rsidR="00BD776B" w:rsidRDefault="00DF0C24">
            <w:pPr>
              <w:snapToGrid w:val="0"/>
              <w:spacing w:line="180" w:lineRule="exact"/>
              <w:ind w:left="504" w:hanging="226"/>
              <w:jc w:val="both"/>
              <w:rPr>
                <w:rFonts w:ascii="標楷體" w:eastAsia="標楷體" w:hAnsi="標楷體"/>
                <w:color w:val="000000"/>
                <w:sz w:val="20"/>
                <w:szCs w:val="20"/>
              </w:rPr>
            </w:pPr>
            <w:r>
              <w:rPr>
                <w:rFonts w:ascii="標楷體" w:eastAsia="標楷體" w:hAnsi="標楷體"/>
                <w:color w:val="000000"/>
                <w:sz w:val="20"/>
                <w:szCs w:val="20"/>
              </w:rPr>
              <w:t>(1)具有EGFR-TK基因突變之局部侵犯性或轉移性(即第ⅢB期或第Ⅳ期)之肺腺癌病患之第一線治療。</w:t>
            </w:r>
          </w:p>
          <w:p w14:paraId="05D9AD4B" w14:textId="77777777" w:rsidR="00BD776B" w:rsidRDefault="00DF0C24">
            <w:pPr>
              <w:snapToGrid w:val="0"/>
              <w:spacing w:before="50" w:line="180" w:lineRule="exact"/>
              <w:ind w:left="504" w:hanging="226"/>
            </w:pPr>
            <w:r>
              <w:rPr>
                <w:rFonts w:ascii="標楷體" w:eastAsia="標楷體" w:hAnsi="標楷體"/>
                <w:color w:val="000000"/>
                <w:sz w:val="20"/>
                <w:szCs w:val="20"/>
              </w:rPr>
              <w:t>(2)先前已使用過第一線含鉑化學治療，或70歲(含)以上接受過第一線化學治療，但仍局部惡化或轉移之肺腺癌。</w:t>
            </w:r>
            <w:r>
              <w:rPr>
                <w:rFonts w:ascii="標楷體" w:eastAsia="標楷體" w:hAnsi="標楷體" w:cs="標楷體"/>
                <w:color w:val="000000"/>
                <w:sz w:val="20"/>
                <w:szCs w:val="20"/>
              </w:rPr>
              <w:t>影像診斷證明（如胸</w:t>
            </w:r>
            <w:r>
              <w:rPr>
                <w:rFonts w:ascii="標楷體" w:eastAsia="標楷體" w:hAnsi="標楷體"/>
                <w:color w:val="000000"/>
                <w:sz w:val="20"/>
                <w:szCs w:val="20"/>
              </w:rPr>
              <w:t>部X光</w:t>
            </w:r>
            <w:r>
              <w:rPr>
                <w:rFonts w:ascii="標楷體" w:eastAsia="標楷體" w:hAnsi="標楷體" w:cs="標楷體"/>
                <w:color w:val="000000"/>
                <w:sz w:val="20"/>
                <w:szCs w:val="20"/>
              </w:rPr>
              <w:t>、電腦斷層或其他可作為評估的影像）</w:t>
            </w:r>
          </w:p>
          <w:p w14:paraId="0AD9D75D" w14:textId="77777777" w:rsidR="00BD776B" w:rsidRDefault="00DF0C24">
            <w:pPr>
              <w:snapToGrid w:val="0"/>
              <w:spacing w:before="50" w:line="180" w:lineRule="exact"/>
              <w:ind w:left="338" w:hanging="218"/>
              <w:rPr>
                <w:rFonts w:ascii="標楷體" w:eastAsia="標楷體" w:hAnsi="標楷體"/>
                <w:color w:val="000000"/>
                <w:sz w:val="20"/>
                <w:szCs w:val="20"/>
              </w:rPr>
            </w:pPr>
            <w:r>
              <w:rPr>
                <w:rFonts w:ascii="標楷體" w:eastAsia="標楷體" w:hAnsi="標楷體"/>
                <w:color w:val="000000"/>
                <w:sz w:val="20"/>
                <w:szCs w:val="20"/>
              </w:rPr>
              <w:t>B.需經事前審查核准後使用：</w:t>
            </w:r>
          </w:p>
          <w:p w14:paraId="6227B857" w14:textId="77777777" w:rsidR="00BD776B" w:rsidRDefault="00DF0C24">
            <w:pPr>
              <w:snapToGrid w:val="0"/>
              <w:spacing w:before="50" w:line="180" w:lineRule="exact"/>
              <w:ind w:left="516" w:hanging="240"/>
              <w:rPr>
                <w:rFonts w:ascii="標楷體" w:eastAsia="標楷體" w:hAnsi="標楷體"/>
                <w:color w:val="000000"/>
                <w:sz w:val="20"/>
                <w:szCs w:val="20"/>
              </w:rPr>
            </w:pPr>
            <w:r>
              <w:rPr>
                <w:rFonts w:ascii="標楷體" w:eastAsia="標楷體" w:hAnsi="標楷體"/>
                <w:color w:val="000000"/>
                <w:sz w:val="20"/>
                <w:szCs w:val="20"/>
              </w:rPr>
              <w:t>(1)用於第一線用藥：檢具確實患有肺腺癌之病理或細胞檢查報告，及EGFR-TK基因突變檢測報告。</w:t>
            </w:r>
          </w:p>
          <w:p w14:paraId="28D7CC3B" w14:textId="77777777" w:rsidR="00BD776B" w:rsidRDefault="00DF0C24">
            <w:pPr>
              <w:snapToGrid w:val="0"/>
              <w:spacing w:before="50" w:line="180" w:lineRule="exact"/>
              <w:ind w:left="516" w:hanging="240"/>
              <w:rPr>
                <w:rFonts w:ascii="標楷體" w:eastAsia="標楷體" w:hAnsi="標楷體"/>
                <w:color w:val="000000"/>
                <w:sz w:val="20"/>
                <w:szCs w:val="20"/>
              </w:rPr>
            </w:pPr>
            <w:r>
              <w:rPr>
                <w:rFonts w:ascii="標楷體" w:eastAsia="標楷體" w:hAnsi="標楷體"/>
                <w:color w:val="000000"/>
                <w:sz w:val="20"/>
                <w:szCs w:val="20"/>
              </w:rPr>
              <w:t>(2)用於第二線用藥：檢具確實患有肺腺癌之病理或細胞檢查報告，並附曾經接受第一線含鉑化學治療，或70歲(含)以上接受過第一線化學治療之證明，及目前又有疾病惡化之影像診斷證明（如胸部X光、電腦斷層或其他可作為評估的影像），此影像證明以可測量（measurable）的病灶為優先，如沒有可以測量的病灶，則可評估（evaluable）的病灶亦可採用。</w:t>
            </w:r>
          </w:p>
          <w:p w14:paraId="79C2B91D" w14:textId="77777777" w:rsidR="00BD776B" w:rsidRDefault="00DF0C24">
            <w:pPr>
              <w:snapToGrid w:val="0"/>
              <w:spacing w:before="50" w:line="180" w:lineRule="exact"/>
              <w:ind w:left="238" w:hanging="118"/>
            </w:pPr>
            <w:r>
              <w:rPr>
                <w:rFonts w:ascii="標楷體" w:eastAsia="標楷體" w:hAnsi="標楷體"/>
                <w:color w:val="000000"/>
                <w:sz w:val="20"/>
                <w:szCs w:val="20"/>
              </w:rPr>
              <w:t>C.</w:t>
            </w:r>
            <w:r>
              <w:rPr>
                <w:rFonts w:ascii="標楷體" w:eastAsia="標楷體" w:hAnsi="標楷體" w:cs="標楷體"/>
                <w:color w:val="000000"/>
                <w:sz w:val="20"/>
                <w:szCs w:val="20"/>
              </w:rPr>
              <w:t>每次申請事前審查之療程以三個月為限，每三個月需再次申請，再次申請時並需附上治療後相關臨床資料，如給藥四週後，需追蹤胸部X光或電腦斷層等影像檢查一遍，評估療效，往後每四週做胸部X光檢查，每隔八週需追蹤其作為評估藥效的影像（如胸部X光或電腦斷層）。</w:t>
            </w:r>
          </w:p>
          <w:p w14:paraId="3E448AE4" w14:textId="77777777" w:rsidR="00BD776B" w:rsidRDefault="00DF0C24">
            <w:pPr>
              <w:snapToGrid w:val="0"/>
              <w:spacing w:before="50" w:line="180" w:lineRule="exact"/>
              <w:ind w:left="238" w:hanging="118"/>
              <w:rPr>
                <w:rFonts w:ascii="標楷體" w:eastAsia="標楷體" w:hAnsi="標楷體" w:cs="標楷體"/>
                <w:color w:val="000000"/>
                <w:sz w:val="20"/>
                <w:szCs w:val="20"/>
              </w:rPr>
            </w:pPr>
            <w:r>
              <w:rPr>
                <w:rFonts w:ascii="標楷體" w:eastAsia="標楷體" w:hAnsi="標楷體" w:cs="標楷體"/>
                <w:color w:val="000000"/>
                <w:sz w:val="20"/>
                <w:szCs w:val="20"/>
              </w:rPr>
              <w:t>D.醫師每次開藥以4週為限。</w:t>
            </w:r>
          </w:p>
          <w:p w14:paraId="66912252" w14:textId="77777777" w:rsidR="00BD776B" w:rsidRDefault="00DF0C24">
            <w:pPr>
              <w:snapToGrid w:val="0"/>
              <w:spacing w:before="50" w:line="180" w:lineRule="exact"/>
              <w:ind w:left="238" w:hanging="118"/>
              <w:rPr>
                <w:rFonts w:ascii="標楷體" w:eastAsia="標楷體" w:hAnsi="標楷體" w:cs="標楷體"/>
                <w:color w:val="000000"/>
                <w:sz w:val="20"/>
                <w:szCs w:val="20"/>
              </w:rPr>
            </w:pPr>
            <w:r>
              <w:rPr>
                <w:rFonts w:ascii="標楷體" w:eastAsia="標楷體" w:hAnsi="標楷體" w:cs="標楷體"/>
                <w:color w:val="000000"/>
                <w:sz w:val="20"/>
                <w:szCs w:val="20"/>
              </w:rPr>
              <w:t>E.本藥品與erlotinib(如Tarceva)及afatinib(如Giotrif)不得併用。</w:t>
            </w:r>
          </w:p>
        </w:tc>
        <w:tc>
          <w:tcPr>
            <w:tcW w:w="6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E874B" w14:textId="77777777" w:rsidR="00BD776B" w:rsidRDefault="00BD776B">
            <w:pPr>
              <w:snapToGrid w:val="0"/>
              <w:spacing w:line="200" w:lineRule="exact"/>
              <w:rPr>
                <w:rFonts w:ascii="標楷體" w:eastAsia="標楷體" w:hAnsi="標楷體"/>
                <w:color w:val="000000"/>
                <w:sz w:val="20"/>
                <w:szCs w:val="20"/>
              </w:rPr>
            </w:pPr>
          </w:p>
        </w:tc>
        <w:tc>
          <w:tcPr>
            <w:tcW w:w="15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F92A7A" w14:textId="77777777" w:rsidR="00BD776B" w:rsidRDefault="00BD776B">
            <w:pPr>
              <w:snapToGrid w:val="0"/>
              <w:rPr>
                <w:rFonts w:ascii="標楷體" w:eastAsia="標楷體" w:hAnsi="標楷體"/>
                <w:color w:val="000000"/>
                <w:sz w:val="20"/>
                <w:szCs w:val="20"/>
              </w:rPr>
            </w:pPr>
          </w:p>
        </w:tc>
        <w:tc>
          <w:tcPr>
            <w:tcW w:w="3576" w:type="dxa"/>
            <w:gridSpan w:val="9"/>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0DF692E" w14:textId="77777777" w:rsidR="00BD776B" w:rsidRDefault="00DF0C24" w:rsidP="008A7063">
            <w:pPr>
              <w:numPr>
                <w:ilvl w:val="0"/>
                <w:numId w:val="55"/>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75D2E1E6"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36312CBE" w14:textId="77777777" w:rsidR="00BD776B" w:rsidRDefault="00DF0C24">
            <w:pPr>
              <w:snapToGrid w:val="0"/>
              <w:spacing w:line="240" w:lineRule="exact"/>
            </w:pPr>
            <w:r>
              <w:rPr>
                <w:rFonts w:ascii="標楷體" w:eastAsia="標楷體" w:hAnsi="標楷體" w:cs="標楷體"/>
                <w:color w:val="000000"/>
                <w:sz w:val="20"/>
                <w:szCs w:val="20"/>
              </w:rPr>
              <w:t>□不同意</w:t>
            </w:r>
          </w:p>
          <w:p w14:paraId="178E35FD"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45B9F0E5"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095B4DB2"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0EC06A9A"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06C64D9F"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009C7EAB" w14:textId="77777777" w:rsidR="00BD776B" w:rsidRDefault="00DF0C24" w:rsidP="008A7063">
            <w:pPr>
              <w:numPr>
                <w:ilvl w:val="0"/>
                <w:numId w:val="55"/>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0EB4188D" w14:textId="77777777" w:rsidR="00BD776B" w:rsidRDefault="00DF0C24" w:rsidP="008A7063">
            <w:pPr>
              <w:numPr>
                <w:ilvl w:val="0"/>
                <w:numId w:val="55"/>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2E1E9611"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666FDC08" w14:textId="77777777" w:rsidR="00BD776B" w:rsidRDefault="00DF0C24" w:rsidP="008A7063">
            <w:pPr>
              <w:numPr>
                <w:ilvl w:val="0"/>
                <w:numId w:val="55"/>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3DC753FD" w14:textId="77777777" w:rsidTr="007B1748">
        <w:trPr>
          <w:cantSplit/>
          <w:trHeight w:val="360"/>
        </w:trPr>
        <w:tc>
          <w:tcPr>
            <w:tcW w:w="3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67A9F" w14:textId="77777777" w:rsidR="00BD776B" w:rsidRDefault="00DF0C24">
            <w:pPr>
              <w:snapToGrid w:val="0"/>
              <w:ind w:left="113" w:right="113"/>
            </w:pPr>
            <w:r>
              <w:rPr>
                <w:rFonts w:ascii="標楷體" w:eastAsia="標楷體" w:hAnsi="標楷體" w:cs="標楷體"/>
                <w:color w:val="000000"/>
              </w:rPr>
              <w:t>注意事項</w:t>
            </w:r>
          </w:p>
        </w:tc>
        <w:tc>
          <w:tcPr>
            <w:tcW w:w="10808"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B024C"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2FE403F6"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「原受理編號」申復時填寫，初次送核不需填寫。</w:t>
            </w:r>
          </w:p>
          <w:p w14:paraId="5978D2DA"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0B3DD0E9"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5D843AB5"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對複核結果如有異議，得於收到複核通知之日起六十日內向全民健康保險爭議審議會申請審議。</w:t>
            </w:r>
          </w:p>
          <w:p w14:paraId="34CD1735"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3B0023D9"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Iressa</w:t>
            </w:r>
            <w:r>
              <w:rPr>
                <w:rFonts w:ascii="標楷體" w:eastAsia="標楷體" w:hAnsi="標楷體"/>
                <w:color w:val="000000"/>
                <w:sz w:val="20"/>
                <w:szCs w:val="20"/>
              </w:rPr>
              <w:t>每使用三個月需作療效評估，且需再經專業審查後始能繼續使用。</w:t>
            </w:r>
          </w:p>
          <w:p w14:paraId="0F6BFC46" w14:textId="77777777" w:rsidR="00BD776B" w:rsidRDefault="00DF0C24" w:rsidP="008A7063">
            <w:pPr>
              <w:numPr>
                <w:ilvl w:val="0"/>
                <w:numId w:val="56"/>
              </w:numPr>
              <w:snapToGrid w:val="0"/>
              <w:spacing w:line="200" w:lineRule="exact"/>
              <w:ind w:left="181" w:hanging="181"/>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3576" w:type="dxa"/>
            <w:gridSpan w:val="9"/>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B9C500" w14:textId="77777777" w:rsidR="00BD776B" w:rsidRDefault="00BD776B">
            <w:pPr>
              <w:snapToGrid w:val="0"/>
              <w:rPr>
                <w:rFonts w:ascii="標楷體" w:eastAsia="標楷體" w:hAnsi="標楷體"/>
                <w:color w:val="000000"/>
                <w:sz w:val="20"/>
                <w:szCs w:val="20"/>
              </w:rPr>
            </w:pPr>
          </w:p>
        </w:tc>
      </w:tr>
      <w:tr w:rsidR="00BD776B" w14:paraId="6217447F" w14:textId="77777777" w:rsidTr="007B1748">
        <w:trPr>
          <w:cantSplit/>
          <w:trHeight w:val="553"/>
        </w:trPr>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DD339" w14:textId="77777777" w:rsidR="00BD776B" w:rsidRDefault="00BD776B">
            <w:pPr>
              <w:snapToGrid w:val="0"/>
              <w:ind w:left="211" w:hanging="211"/>
              <w:rPr>
                <w:rFonts w:ascii="標楷體" w:eastAsia="標楷體" w:hAnsi="標楷體"/>
                <w:color w:val="000000"/>
              </w:rPr>
            </w:pPr>
          </w:p>
        </w:tc>
        <w:tc>
          <w:tcPr>
            <w:tcW w:w="10808"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D0208" w14:textId="77777777" w:rsidR="00BD776B" w:rsidRDefault="00BD776B">
            <w:pPr>
              <w:snapToGrid w:val="0"/>
              <w:ind w:left="211" w:hanging="211"/>
              <w:rPr>
                <w:rFonts w:ascii="標楷體" w:eastAsia="標楷體" w:hAnsi="標楷體"/>
                <w:color w:val="000000"/>
              </w:rPr>
            </w:pPr>
          </w:p>
        </w:tc>
        <w:tc>
          <w:tcPr>
            <w:tcW w:w="1915" w:type="dxa"/>
            <w:gridSpan w:val="7"/>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3BBF6"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54DE71AE" w14:textId="77777777" w:rsidR="00BD776B" w:rsidRDefault="00BD776B">
            <w:pPr>
              <w:snapToGrid w:val="0"/>
              <w:jc w:val="both"/>
              <w:rPr>
                <w:rFonts w:ascii="標楷體" w:eastAsia="標楷體" w:hAnsi="標楷體"/>
                <w:color w:val="000000"/>
                <w:sz w:val="20"/>
                <w:szCs w:val="20"/>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C0B95" w14:textId="77777777" w:rsidR="00BD776B" w:rsidRDefault="00DF0C24">
            <w:pPr>
              <w:snapToGrid w:val="0"/>
            </w:pPr>
            <w:r>
              <w:rPr>
                <w:rFonts w:ascii="標楷體" w:eastAsia="標楷體" w:hAnsi="標楷體" w:cs="標楷體"/>
                <w:color w:val="000000"/>
              </w:rPr>
              <w:t>審查醫師</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53821" w14:textId="77777777" w:rsidR="00BD776B" w:rsidRDefault="00BD776B">
            <w:pPr>
              <w:snapToGrid w:val="0"/>
              <w:rPr>
                <w:rFonts w:ascii="標楷體" w:eastAsia="標楷體" w:hAnsi="標楷體"/>
                <w:color w:val="000000"/>
              </w:rPr>
            </w:pPr>
          </w:p>
        </w:tc>
      </w:tr>
      <w:tr w:rsidR="00BD776B" w14:paraId="5C708B92" w14:textId="77777777" w:rsidTr="007B1748">
        <w:trPr>
          <w:cantSplit/>
          <w:trHeight w:val="545"/>
        </w:trPr>
        <w:tc>
          <w:tcPr>
            <w:tcW w:w="7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B9561" w14:textId="77777777" w:rsidR="00BD776B" w:rsidRDefault="00DF0C24">
            <w:pPr>
              <w:snapToGrid w:val="0"/>
              <w:spacing w:line="200" w:lineRule="exact"/>
            </w:pPr>
            <w:r>
              <w:rPr>
                <w:rFonts w:ascii="標楷體" w:eastAsia="標楷體" w:hAnsi="標楷體" w:cs="標楷體"/>
                <w:color w:val="000000"/>
                <w:sz w:val="20"/>
                <w:szCs w:val="20"/>
              </w:rPr>
              <w:t>醫事服務機構</w:t>
            </w:r>
          </w:p>
        </w:tc>
        <w:tc>
          <w:tcPr>
            <w:tcW w:w="871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E6A87" w14:textId="77777777" w:rsidR="00BD776B" w:rsidRDefault="00DF0C24">
            <w:pPr>
              <w:snapToGrid w:val="0"/>
              <w:spacing w:line="200" w:lineRule="exact"/>
            </w:pPr>
            <w:r>
              <w:rPr>
                <w:rFonts w:ascii="標楷體" w:eastAsia="標楷體" w:hAnsi="標楷體" w:cs="標楷體"/>
                <w:color w:val="000000"/>
                <w:sz w:val="20"/>
                <w:szCs w:val="20"/>
              </w:rPr>
              <w:t>醫院申請日期：  年  月  日</w:t>
            </w:r>
          </w:p>
          <w:p w14:paraId="58999109" w14:textId="77777777" w:rsidR="00BD776B" w:rsidRDefault="00BD776B">
            <w:pPr>
              <w:snapToGrid w:val="0"/>
              <w:spacing w:line="200" w:lineRule="exact"/>
              <w:rPr>
                <w:rFonts w:ascii="標楷體" w:eastAsia="標楷體" w:hAnsi="標楷體"/>
                <w:color w:val="000000"/>
                <w:sz w:val="20"/>
                <w:szCs w:val="20"/>
              </w:rPr>
            </w:pPr>
          </w:p>
          <w:p w14:paraId="165DF7DD" w14:textId="77777777" w:rsidR="00BD776B" w:rsidRDefault="00DF0C24">
            <w:pPr>
              <w:snapToGrid w:val="0"/>
              <w:spacing w:line="200" w:lineRule="exact"/>
            </w:pPr>
            <w:r>
              <w:rPr>
                <w:rFonts w:ascii="標楷體" w:eastAsia="標楷體" w:hAnsi="標楷體" w:cs="標楷體"/>
                <w:color w:val="000000"/>
                <w:sz w:val="20"/>
                <w:szCs w:val="20"/>
              </w:rPr>
              <w:t>印信</w:t>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s="標楷體"/>
                <w:color w:val="000000"/>
                <w:sz w:val="20"/>
                <w:szCs w:val="20"/>
              </w:rPr>
              <w:t>文號：</w:t>
            </w: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A9AD9"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9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34E34" w14:textId="77777777" w:rsidR="00BD776B" w:rsidRDefault="00BD776B">
            <w:pPr>
              <w:widowControl/>
              <w:snapToGrid w:val="0"/>
              <w:spacing w:line="200" w:lineRule="exact"/>
              <w:rPr>
                <w:rFonts w:ascii="標楷體" w:eastAsia="標楷體" w:hAnsi="標楷體"/>
                <w:color w:val="000000"/>
                <w:sz w:val="20"/>
                <w:szCs w:val="20"/>
              </w:rPr>
            </w:pPr>
          </w:p>
          <w:p w14:paraId="39ABCC6D" w14:textId="77777777" w:rsidR="00BD776B" w:rsidRDefault="00BD776B">
            <w:pPr>
              <w:snapToGrid w:val="0"/>
              <w:spacing w:line="200" w:lineRule="exact"/>
              <w:rPr>
                <w:rFonts w:ascii="標楷體" w:eastAsia="標楷體" w:hAnsi="標楷體"/>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3989" w14:textId="77777777" w:rsidR="00BD776B" w:rsidRDefault="00DF0C24">
            <w:pPr>
              <w:widowControl/>
              <w:snapToGrid w:val="0"/>
              <w:spacing w:line="200" w:lineRule="exact"/>
            </w:pPr>
            <w:r>
              <w:rPr>
                <w:rFonts w:ascii="標楷體" w:eastAsia="標楷體" w:hAnsi="標楷體" w:cs="標楷體"/>
                <w:color w:val="000000"/>
                <w:sz w:val="20"/>
                <w:szCs w:val="20"/>
              </w:rPr>
              <w:t>複核</w:t>
            </w:r>
          </w:p>
        </w:tc>
        <w:tc>
          <w:tcPr>
            <w:tcW w:w="711"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1EF46" w14:textId="77777777" w:rsidR="00BD776B" w:rsidRDefault="00BD776B">
            <w:pPr>
              <w:widowControl/>
              <w:snapToGrid w:val="0"/>
              <w:spacing w:line="200" w:lineRule="exact"/>
              <w:rPr>
                <w:rFonts w:ascii="標楷體" w:eastAsia="標楷體" w:hAnsi="標楷體"/>
                <w:color w:val="000000"/>
                <w:sz w:val="20"/>
                <w:szCs w:val="20"/>
              </w:rPr>
            </w:pPr>
          </w:p>
          <w:p w14:paraId="4BC5143D" w14:textId="77777777" w:rsidR="00BD776B" w:rsidRDefault="00BD776B">
            <w:pPr>
              <w:snapToGrid w:val="0"/>
              <w:spacing w:line="200" w:lineRule="exact"/>
              <w:rPr>
                <w:rFonts w:ascii="標楷體" w:eastAsia="標楷體" w:hAnsi="標楷體"/>
                <w:color w:val="000000"/>
                <w:sz w:val="20"/>
                <w:szCs w:val="20"/>
              </w:rPr>
            </w:pPr>
          </w:p>
        </w:tc>
        <w:tc>
          <w:tcPr>
            <w:tcW w:w="36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650C2" w14:textId="77777777" w:rsidR="00BD776B" w:rsidRDefault="00DF0C24">
            <w:pPr>
              <w:snapToGrid w:val="0"/>
              <w:spacing w:line="200" w:lineRule="exact"/>
            </w:pPr>
            <w:r>
              <w:rPr>
                <w:rFonts w:ascii="標楷體" w:eastAsia="標楷體" w:hAnsi="標楷體" w:cs="標楷體"/>
                <w:color w:val="000000"/>
                <w:sz w:val="20"/>
                <w:szCs w:val="20"/>
              </w:rPr>
              <w:t>科長</w:t>
            </w:r>
          </w:p>
        </w:tc>
        <w:tc>
          <w:tcPr>
            <w:tcW w:w="842"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51232" w14:textId="77777777" w:rsidR="00BD776B" w:rsidRDefault="00BD776B">
            <w:pPr>
              <w:widowControl/>
              <w:snapToGrid w:val="0"/>
              <w:spacing w:line="200" w:lineRule="exact"/>
              <w:rPr>
                <w:rFonts w:ascii="標楷體" w:eastAsia="標楷體" w:hAnsi="標楷體"/>
                <w:color w:val="000000"/>
                <w:sz w:val="20"/>
                <w:szCs w:val="20"/>
              </w:rPr>
            </w:pPr>
          </w:p>
          <w:p w14:paraId="2347DB56" w14:textId="77777777" w:rsidR="00BD776B" w:rsidRDefault="00BD776B">
            <w:pPr>
              <w:snapToGrid w:val="0"/>
              <w:spacing w:line="200" w:lineRule="exact"/>
              <w:rPr>
                <w:rFonts w:ascii="標楷體" w:eastAsia="標楷體" w:hAnsi="標楷體"/>
                <w:color w:val="000000"/>
                <w:sz w:val="20"/>
                <w:szCs w:val="20"/>
              </w:rPr>
            </w:pPr>
          </w:p>
        </w:tc>
        <w:tc>
          <w:tcPr>
            <w:tcW w:w="37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63D8C" w14:textId="77777777" w:rsidR="00BD776B" w:rsidRDefault="00DF0C24">
            <w:pPr>
              <w:widowControl/>
              <w:snapToGrid w:val="0"/>
              <w:spacing w:line="200" w:lineRule="exact"/>
            </w:pPr>
            <w:r>
              <w:rPr>
                <w:rFonts w:ascii="標楷體" w:eastAsia="標楷體" w:hAnsi="標楷體" w:cs="標楷體"/>
                <w:color w:val="000000"/>
                <w:sz w:val="20"/>
                <w:szCs w:val="20"/>
              </w:rPr>
              <w:t>決行</w:t>
            </w:r>
          </w:p>
        </w:tc>
        <w:tc>
          <w:tcPr>
            <w:tcW w:w="128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3EC63" w14:textId="77777777" w:rsidR="00BD776B" w:rsidRDefault="00BD776B">
            <w:pPr>
              <w:snapToGrid w:val="0"/>
              <w:spacing w:line="200" w:lineRule="exact"/>
              <w:rPr>
                <w:rFonts w:ascii="標楷體" w:eastAsia="標楷體" w:hAnsi="標楷體"/>
                <w:color w:val="000000"/>
                <w:sz w:val="20"/>
                <w:szCs w:val="20"/>
              </w:rPr>
            </w:pPr>
          </w:p>
        </w:tc>
      </w:tr>
    </w:tbl>
    <w:p w14:paraId="64A758AC" w14:textId="77777777" w:rsidR="00BD776B" w:rsidRDefault="00DF0C24">
      <w:pPr>
        <w:pStyle w:val="Web"/>
        <w:pageBreakBefore/>
        <w:widowControl w:val="0"/>
        <w:snapToGrid w:val="0"/>
        <w:spacing w:before="0" w:after="0" w:line="380" w:lineRule="exact"/>
        <w:jc w:val="both"/>
      </w:pPr>
      <w:r>
        <w:rPr>
          <w:rFonts w:ascii="標楷體" w:eastAsia="標楷體" w:hAnsi="標楷體" w:cs="標楷體"/>
          <w:color w:val="000000"/>
        </w:rPr>
        <w:lastRenderedPageBreak/>
        <w:t>附表九之二全民健康保險使用抗癌藥品</w:t>
      </w:r>
      <w:r>
        <w:rPr>
          <w:rFonts w:ascii="標楷體" w:eastAsia="標楷體" w:hAnsi="標楷體" w:cs="Times New Roman"/>
          <w:color w:val="000000"/>
        </w:rPr>
        <w:t>Erlotinib</w:t>
      </w:r>
      <w:r>
        <w:rPr>
          <w:rFonts w:ascii="標楷體" w:eastAsia="標楷體" w:hAnsi="標楷體" w:cs="標楷體"/>
          <w:color w:val="000000"/>
        </w:rPr>
        <w:t>申請表</w:t>
      </w:r>
    </w:p>
    <w:tbl>
      <w:tblPr>
        <w:tblW w:w="15877" w:type="dxa"/>
        <w:tblInd w:w="-714" w:type="dxa"/>
        <w:tblLayout w:type="fixed"/>
        <w:tblCellMar>
          <w:left w:w="10" w:type="dxa"/>
          <w:right w:w="10" w:type="dxa"/>
        </w:tblCellMar>
        <w:tblLook w:val="0000" w:firstRow="0" w:lastRow="0" w:firstColumn="0" w:lastColumn="0" w:noHBand="0" w:noVBand="0"/>
      </w:tblPr>
      <w:tblGrid>
        <w:gridCol w:w="1100"/>
        <w:gridCol w:w="402"/>
        <w:gridCol w:w="658"/>
        <w:gridCol w:w="735"/>
        <w:gridCol w:w="224"/>
        <w:gridCol w:w="376"/>
        <w:gridCol w:w="360"/>
        <w:gridCol w:w="489"/>
        <w:gridCol w:w="679"/>
        <w:gridCol w:w="275"/>
        <w:gridCol w:w="1317"/>
        <w:gridCol w:w="600"/>
        <w:gridCol w:w="360"/>
        <w:gridCol w:w="960"/>
        <w:gridCol w:w="1095"/>
        <w:gridCol w:w="293"/>
        <w:gridCol w:w="284"/>
        <w:gridCol w:w="283"/>
        <w:gridCol w:w="88"/>
        <w:gridCol w:w="763"/>
        <w:gridCol w:w="141"/>
        <w:gridCol w:w="142"/>
        <w:gridCol w:w="646"/>
        <w:gridCol w:w="115"/>
        <w:gridCol w:w="237"/>
        <w:gridCol w:w="120"/>
        <w:gridCol w:w="240"/>
        <w:gridCol w:w="360"/>
        <w:gridCol w:w="480"/>
        <w:gridCol w:w="375"/>
        <w:gridCol w:w="1680"/>
      </w:tblGrid>
      <w:tr w:rsidR="00BD776B" w14:paraId="15D7DB15" w14:textId="77777777">
        <w:trPr>
          <w:cantSplit/>
          <w:trHeight w:hRule="exact" w:val="490"/>
        </w:trPr>
        <w:tc>
          <w:tcPr>
            <w:tcW w:w="2895"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301A943"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3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C71C98"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4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0E855" w14:textId="77777777" w:rsidR="00BD776B" w:rsidRDefault="00DF0C24">
            <w:pPr>
              <w:snapToGrid w:val="0"/>
            </w:pPr>
            <w:r>
              <w:rPr>
                <w:rFonts w:ascii="標楷體" w:eastAsia="標楷體" w:hAnsi="標楷體" w:cs="標楷體"/>
                <w:color w:val="000000"/>
                <w:sz w:val="20"/>
                <w:szCs w:val="20"/>
              </w:rPr>
              <w:t>受理日期：</w:t>
            </w:r>
          </w:p>
        </w:tc>
        <w:tc>
          <w:tcPr>
            <w:tcW w:w="264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FDF20C" w14:textId="77777777" w:rsidR="00BD776B" w:rsidRDefault="00DF0C24">
            <w:pPr>
              <w:snapToGrid w:val="0"/>
              <w:ind w:left="15"/>
            </w:pPr>
            <w:r>
              <w:rPr>
                <w:rFonts w:ascii="標楷體" w:eastAsia="標楷體" w:hAnsi="標楷體" w:cs="標楷體"/>
                <w:color w:val="000000"/>
                <w:sz w:val="20"/>
                <w:szCs w:val="20"/>
              </w:rPr>
              <w:t>受理編號：</w:t>
            </w:r>
          </w:p>
        </w:tc>
        <w:tc>
          <w:tcPr>
            <w:tcW w:w="360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BA93A" w14:textId="77777777" w:rsidR="00BD776B" w:rsidRDefault="00DF0C24">
            <w:pPr>
              <w:snapToGrid w:val="0"/>
            </w:pPr>
            <w:r>
              <w:rPr>
                <w:rFonts w:ascii="標楷體" w:eastAsia="標楷體" w:hAnsi="標楷體" w:cs="標楷體"/>
                <w:color w:val="000000"/>
                <w:sz w:val="20"/>
                <w:szCs w:val="20"/>
              </w:rPr>
              <w:t>緊急傳真日期：</w:t>
            </w:r>
          </w:p>
        </w:tc>
      </w:tr>
      <w:tr w:rsidR="00BD776B" w14:paraId="24055B01" w14:textId="77777777">
        <w:trPr>
          <w:cantSplit/>
          <w:trHeight w:val="517"/>
        </w:trPr>
        <w:tc>
          <w:tcPr>
            <w:tcW w:w="11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FC7346"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DEF236"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3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FEDAC9" w14:textId="77777777" w:rsidR="00BD776B" w:rsidRDefault="00BD776B">
            <w:pPr>
              <w:snapToGrid w:val="0"/>
              <w:spacing w:line="200" w:lineRule="exact"/>
              <w:rPr>
                <w:rFonts w:ascii="標楷體" w:eastAsia="標楷體" w:hAnsi="標楷體"/>
                <w:color w:val="000000"/>
                <w:sz w:val="20"/>
                <w:szCs w:val="20"/>
              </w:rPr>
            </w:pPr>
          </w:p>
        </w:tc>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C0A56"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44C583B9"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685B1B0F"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0A29F9E6"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64B22B"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13C548" w14:textId="77777777" w:rsidR="00BD776B" w:rsidRDefault="00BD776B">
            <w:pPr>
              <w:snapToGrid w:val="0"/>
              <w:spacing w:line="200" w:lineRule="exact"/>
              <w:rPr>
                <w:rFonts w:ascii="標楷體" w:eastAsia="標楷體" w:hAnsi="標楷體"/>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8434B2"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66CD3" w14:textId="77777777" w:rsidR="00BD776B" w:rsidRDefault="00BD776B">
            <w:pPr>
              <w:snapToGrid w:val="0"/>
              <w:spacing w:line="200" w:lineRule="exact"/>
              <w:rPr>
                <w:rFonts w:ascii="標楷體" w:eastAsia="標楷體" w:hAnsi="標楷體"/>
                <w:color w:val="000000"/>
                <w:sz w:val="20"/>
                <w:szCs w:val="20"/>
              </w:rPr>
            </w:pPr>
          </w:p>
        </w:tc>
        <w:tc>
          <w:tcPr>
            <w:tcW w:w="19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E9C487"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59253BD8"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75AE48" w14:textId="77777777" w:rsidR="00BD776B" w:rsidRDefault="00BD776B">
            <w:pPr>
              <w:snapToGrid w:val="0"/>
              <w:spacing w:line="200" w:lineRule="exact"/>
              <w:rPr>
                <w:rFonts w:ascii="標楷體" w:eastAsia="標楷體" w:hAnsi="標楷體"/>
                <w:color w:val="000000"/>
                <w:sz w:val="20"/>
                <w:szCs w:val="20"/>
              </w:rPr>
            </w:pPr>
          </w:p>
        </w:tc>
        <w:tc>
          <w:tcPr>
            <w:tcW w:w="111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ABA758"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31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3FB4BC" w14:textId="77777777" w:rsidR="00BD776B" w:rsidRDefault="00BD776B">
            <w:pPr>
              <w:snapToGrid w:val="0"/>
              <w:spacing w:line="200" w:lineRule="exact"/>
              <w:rPr>
                <w:rFonts w:ascii="標楷體" w:eastAsia="標楷體" w:hAnsi="標楷體"/>
                <w:color w:val="000000"/>
                <w:sz w:val="20"/>
                <w:szCs w:val="20"/>
              </w:rPr>
            </w:pPr>
          </w:p>
        </w:tc>
      </w:tr>
      <w:tr w:rsidR="00BD776B" w14:paraId="40FC03E5" w14:textId="77777777">
        <w:trPr>
          <w:cantSplit/>
          <w:trHeight w:val="530"/>
        </w:trPr>
        <w:tc>
          <w:tcPr>
            <w:tcW w:w="11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EC82" w14:textId="77777777" w:rsidR="00BD776B" w:rsidRDefault="00BD776B">
            <w:pPr>
              <w:snapToGrid w:val="0"/>
              <w:spacing w:line="200" w:lineRule="exact"/>
              <w:rPr>
                <w:rFonts w:ascii="標楷體" w:eastAsia="標楷體" w:hAnsi="標楷體"/>
                <w:color w:val="000000"/>
                <w:sz w:val="20"/>
                <w:szCs w:val="20"/>
              </w:rPr>
            </w:pP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FE2B70"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3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D55D66" w14:textId="77777777" w:rsidR="00BD776B" w:rsidRDefault="00BD776B">
            <w:pPr>
              <w:snapToGrid w:val="0"/>
              <w:spacing w:line="200" w:lineRule="exact"/>
              <w:rPr>
                <w:rFonts w:ascii="標楷體" w:eastAsia="標楷體" w:hAnsi="標楷體"/>
                <w:color w:val="000000"/>
                <w:sz w:val="20"/>
                <w:szCs w:val="20"/>
              </w:rPr>
            </w:pPr>
          </w:p>
        </w:tc>
        <w:tc>
          <w:tcPr>
            <w:tcW w:w="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CF9AF" w14:textId="77777777" w:rsidR="00BD776B" w:rsidRDefault="00BD776B">
            <w:pPr>
              <w:snapToGrid w:val="0"/>
              <w:spacing w:line="200" w:lineRule="exact"/>
              <w:rPr>
                <w:rFonts w:ascii="標楷體" w:eastAsia="標楷體" w:hAnsi="標楷體"/>
                <w:color w:val="000000"/>
                <w:sz w:val="20"/>
                <w:szCs w:val="20"/>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B36A12" w14:textId="77777777" w:rsidR="00BD776B" w:rsidRDefault="00DF0C24">
            <w:pPr>
              <w:snapToGrid w:val="0"/>
              <w:spacing w:line="200" w:lineRule="exact"/>
            </w:pPr>
            <w:r>
              <w:rPr>
                <w:rFonts w:ascii="標楷體" w:eastAsia="標楷體" w:hAnsi="標楷體" w:cs="標楷體"/>
                <w:color w:val="000000"/>
                <w:sz w:val="20"/>
                <w:szCs w:val="20"/>
              </w:rPr>
              <w:t>身分證</w:t>
            </w:r>
          </w:p>
          <w:p w14:paraId="71F8F08E"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316461"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E4D38C"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68949ADE"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061DE7" w14:textId="77777777" w:rsidR="00BD776B" w:rsidRDefault="00BD776B">
            <w:pPr>
              <w:snapToGrid w:val="0"/>
              <w:spacing w:line="200" w:lineRule="exact"/>
              <w:rPr>
                <w:rFonts w:ascii="標楷體" w:eastAsia="標楷體" w:hAnsi="標楷體"/>
                <w:color w:val="000000"/>
                <w:sz w:val="20"/>
                <w:szCs w:val="20"/>
              </w:rPr>
            </w:pPr>
          </w:p>
        </w:tc>
        <w:tc>
          <w:tcPr>
            <w:tcW w:w="19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B5E5F0"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42D273"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病歷</w:t>
            </w:r>
          </w:p>
          <w:p w14:paraId="1C904A57" w14:textId="77777777" w:rsidR="00BD776B" w:rsidRDefault="00DF0C24">
            <w:pPr>
              <w:snapToGrid w:val="0"/>
              <w:spacing w:line="200" w:lineRule="exact"/>
              <w:jc w:val="center"/>
            </w:pPr>
            <w:r>
              <w:rPr>
                <w:rFonts w:ascii="標楷體" w:eastAsia="標楷體" w:hAnsi="標楷體" w:cs="標楷體"/>
                <w:color w:val="000000"/>
                <w:sz w:val="20"/>
                <w:szCs w:val="20"/>
              </w:rPr>
              <w:t>號碼</w:t>
            </w:r>
          </w:p>
        </w:tc>
        <w:tc>
          <w:tcPr>
            <w:tcW w:w="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80A6CC" w14:textId="77777777" w:rsidR="00BD776B" w:rsidRDefault="00BD776B">
            <w:pPr>
              <w:snapToGrid w:val="0"/>
              <w:spacing w:line="200" w:lineRule="exact"/>
              <w:rPr>
                <w:rFonts w:ascii="標楷體" w:eastAsia="標楷體" w:hAnsi="標楷體"/>
                <w:color w:val="000000"/>
                <w:sz w:val="20"/>
                <w:szCs w:val="20"/>
              </w:rPr>
            </w:pPr>
          </w:p>
        </w:tc>
        <w:tc>
          <w:tcPr>
            <w:tcW w:w="9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8BCCFA"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25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43901A" w14:textId="77777777" w:rsidR="00BD776B" w:rsidRDefault="00BD776B">
            <w:pPr>
              <w:snapToGrid w:val="0"/>
              <w:spacing w:line="200" w:lineRule="exact"/>
              <w:rPr>
                <w:rFonts w:ascii="標楷體" w:eastAsia="標楷體" w:hAnsi="標楷體"/>
                <w:color w:val="000000"/>
                <w:sz w:val="20"/>
                <w:szCs w:val="20"/>
              </w:rPr>
            </w:pPr>
          </w:p>
        </w:tc>
      </w:tr>
      <w:tr w:rsidR="00BD776B" w14:paraId="3B864915" w14:textId="77777777">
        <w:trPr>
          <w:cantSplit/>
          <w:trHeight w:hRule="exact" w:val="483"/>
        </w:trPr>
        <w:tc>
          <w:tcPr>
            <w:tcW w:w="21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E48DA"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AD92CF" w14:textId="77777777" w:rsidR="00BD776B" w:rsidRDefault="00BD776B">
            <w:pPr>
              <w:snapToGrid w:val="0"/>
              <w:spacing w:line="200" w:lineRule="exact"/>
              <w:rPr>
                <w:rFonts w:ascii="標楷體" w:eastAsia="標楷體" w:hAnsi="標楷體"/>
                <w:color w:val="000000"/>
                <w:sz w:val="20"/>
                <w:szCs w:val="20"/>
              </w:rPr>
            </w:pPr>
          </w:p>
        </w:tc>
        <w:tc>
          <w:tcPr>
            <w:tcW w:w="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E5F135"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62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34836" w14:textId="77777777" w:rsidR="00BD776B" w:rsidRDefault="00BD776B">
            <w:pPr>
              <w:snapToGrid w:val="0"/>
              <w:spacing w:line="200" w:lineRule="exact"/>
              <w:rPr>
                <w:rFonts w:ascii="標楷體" w:eastAsia="標楷體" w:hAnsi="標楷體"/>
                <w:color w:val="000000"/>
                <w:sz w:val="20"/>
                <w:szCs w:val="20"/>
              </w:rPr>
            </w:pPr>
          </w:p>
        </w:tc>
        <w:tc>
          <w:tcPr>
            <w:tcW w:w="170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D5FDD0"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253"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976BEE5"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0F00BA65" w14:textId="77777777">
        <w:trPr>
          <w:cantSplit/>
        </w:trPr>
        <w:tc>
          <w:tcPr>
            <w:tcW w:w="21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E8811"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A6BB0F"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6804"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6301D8"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4A9BAD"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28431E61"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F143AF"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0FBE5F41"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253"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558E974"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51C779A9" w14:textId="77777777">
        <w:trPr>
          <w:cantSplit/>
          <w:trHeight w:val="4152"/>
        </w:trPr>
        <w:tc>
          <w:tcPr>
            <w:tcW w:w="21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FB7176" w14:textId="77777777" w:rsidR="00BD776B" w:rsidRDefault="00DF0C24">
            <w:pPr>
              <w:snapToGrid w:val="0"/>
              <w:spacing w:before="180" w:after="180" w:line="200" w:lineRule="exact"/>
              <w:ind w:left="2" w:firstLine="44"/>
              <w:rPr>
                <w:rFonts w:ascii="標楷體" w:eastAsia="標楷體" w:hAnsi="標楷體"/>
                <w:color w:val="000000"/>
                <w:sz w:val="20"/>
                <w:szCs w:val="20"/>
              </w:rPr>
            </w:pPr>
            <w:r>
              <w:rPr>
                <w:rFonts w:ascii="標楷體" w:eastAsia="標楷體" w:hAnsi="標楷體"/>
                <w:color w:val="000000"/>
                <w:sz w:val="20"/>
                <w:szCs w:val="20"/>
              </w:rPr>
              <w:t>Tarceva</w:t>
            </w:r>
          </w:p>
          <w:p w14:paraId="2E3C7B42" w14:textId="77777777" w:rsidR="00BD776B" w:rsidRDefault="00DF0C24" w:rsidP="008A7063">
            <w:pPr>
              <w:numPr>
                <w:ilvl w:val="0"/>
                <w:numId w:val="5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B024407100</w:t>
            </w:r>
          </w:p>
          <w:p w14:paraId="61516013" w14:textId="77777777" w:rsidR="00BD776B" w:rsidRDefault="00DF0C24" w:rsidP="008A7063">
            <w:pPr>
              <w:numPr>
                <w:ilvl w:val="0"/>
                <w:numId w:val="5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B024410100</w:t>
            </w:r>
          </w:p>
          <w:p w14:paraId="09DFB596" w14:textId="77777777" w:rsidR="00BD776B" w:rsidRDefault="00BD776B">
            <w:pPr>
              <w:snapToGrid w:val="0"/>
              <w:spacing w:line="200" w:lineRule="exact"/>
              <w:rPr>
                <w:rFonts w:ascii="標楷體" w:eastAsia="標楷體" w:hAnsi="標楷體"/>
                <w:color w:val="000000"/>
                <w:sz w:val="20"/>
                <w:szCs w:val="20"/>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5F88F" w14:textId="77777777" w:rsidR="00BD776B" w:rsidRDefault="00DF0C24" w:rsidP="008A7063">
            <w:pPr>
              <w:numPr>
                <w:ilvl w:val="0"/>
                <w:numId w:val="5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第一次申請</w:t>
            </w:r>
          </w:p>
          <w:p w14:paraId="255D6137" w14:textId="77777777" w:rsidR="00BD776B" w:rsidRDefault="00DF0C24" w:rsidP="008A7063">
            <w:pPr>
              <w:numPr>
                <w:ilvl w:val="0"/>
                <w:numId w:val="57"/>
              </w:numPr>
              <w:tabs>
                <w:tab w:val="left" w:pos="240"/>
              </w:tabs>
              <w:snapToGrid w:val="0"/>
              <w:spacing w:before="180" w:after="180" w:line="200" w:lineRule="exact"/>
              <w:ind w:left="240" w:hanging="240"/>
              <w:rPr>
                <w:rFonts w:ascii="標楷體" w:eastAsia="標楷體" w:hAnsi="標楷體"/>
                <w:color w:val="000000"/>
                <w:sz w:val="20"/>
                <w:szCs w:val="20"/>
              </w:rPr>
            </w:pPr>
            <w:r>
              <w:rPr>
                <w:rFonts w:ascii="標楷體" w:eastAsia="標楷體" w:hAnsi="標楷體"/>
                <w:color w:val="000000"/>
                <w:sz w:val="20"/>
                <w:szCs w:val="20"/>
              </w:rPr>
              <w:t>治療後再次申請</w:t>
            </w:r>
          </w:p>
          <w:p w14:paraId="0A67379A" w14:textId="77777777" w:rsidR="00BD776B" w:rsidRDefault="00BD776B">
            <w:pPr>
              <w:snapToGrid w:val="0"/>
              <w:spacing w:before="180"/>
              <w:ind w:left="168" w:hanging="142"/>
              <w:rPr>
                <w:rFonts w:ascii="標楷體" w:eastAsia="標楷體" w:hAnsi="標楷體"/>
                <w:color w:val="000000"/>
                <w:sz w:val="20"/>
                <w:szCs w:val="20"/>
              </w:rPr>
            </w:pPr>
          </w:p>
        </w:tc>
        <w:tc>
          <w:tcPr>
            <w:tcW w:w="6804"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CC066" w14:textId="77777777" w:rsidR="00BD776B" w:rsidRDefault="00DF0C24">
            <w:pPr>
              <w:snapToGrid w:val="0"/>
              <w:spacing w:before="100" w:line="180" w:lineRule="exact"/>
              <w:ind w:left="362" w:hanging="242"/>
              <w:jc w:val="both"/>
            </w:pPr>
            <w:r>
              <w:rPr>
                <w:rFonts w:ascii="標楷體" w:eastAsia="標楷體" w:hAnsi="標楷體"/>
                <w:color w:val="000000"/>
                <w:sz w:val="20"/>
                <w:szCs w:val="20"/>
              </w:rPr>
              <w:t>□A.</w:t>
            </w:r>
            <w:r>
              <w:rPr>
                <w:rFonts w:ascii="標楷體" w:eastAsia="標楷體" w:hAnsi="標楷體" w:cs="標楷體"/>
                <w:color w:val="000000"/>
                <w:sz w:val="20"/>
                <w:szCs w:val="20"/>
              </w:rPr>
              <w:t>限單獨使用先前已使用過第一線含鉑化學治療，或</w:t>
            </w:r>
            <w:r>
              <w:rPr>
                <w:rFonts w:ascii="標楷體" w:eastAsia="標楷體" w:hAnsi="標楷體"/>
                <w:color w:val="000000"/>
                <w:sz w:val="20"/>
                <w:szCs w:val="20"/>
              </w:rPr>
              <w:t>70</w:t>
            </w:r>
            <w:r>
              <w:rPr>
                <w:rFonts w:ascii="標楷體" w:eastAsia="標楷體" w:hAnsi="標楷體" w:cs="標楷體"/>
                <w:color w:val="000000"/>
                <w:sz w:val="20"/>
                <w:szCs w:val="20"/>
              </w:rPr>
              <w:t>歲(含)以上接受過第一線化學治療，但仍局部惡化或轉移之腺性非小細胞肺癌之第二線用藥。</w:t>
            </w:r>
          </w:p>
          <w:p w14:paraId="2DFDDE66" w14:textId="77777777" w:rsidR="00BD776B" w:rsidRDefault="00DF0C24">
            <w:pPr>
              <w:snapToGrid w:val="0"/>
              <w:spacing w:before="50" w:line="180" w:lineRule="exact"/>
              <w:ind w:left="120" w:firstLine="200"/>
            </w:pPr>
            <w:r>
              <w:rPr>
                <w:rFonts w:ascii="標楷體" w:eastAsia="標楷體" w:hAnsi="標楷體" w:cs="標楷體"/>
                <w:color w:val="000000"/>
                <w:sz w:val="20"/>
                <w:szCs w:val="20"/>
              </w:rPr>
              <w:t>※檢附資料</w:t>
            </w:r>
          </w:p>
          <w:p w14:paraId="7F49C49F" w14:textId="77777777" w:rsidR="00BD776B" w:rsidRDefault="00DF0C24" w:rsidP="008A7063">
            <w:pPr>
              <w:numPr>
                <w:ilvl w:val="0"/>
                <w:numId w:val="57"/>
              </w:numPr>
              <w:tabs>
                <w:tab w:val="left" w:pos="240"/>
              </w:tabs>
              <w:snapToGrid w:val="0"/>
              <w:spacing w:before="50" w:line="180" w:lineRule="exact"/>
              <w:ind w:left="600" w:hanging="240"/>
            </w:pPr>
            <w:r>
              <w:rPr>
                <w:rFonts w:ascii="標楷體" w:eastAsia="標楷體" w:hAnsi="標楷體" w:cs="標楷體"/>
                <w:color w:val="000000"/>
                <w:sz w:val="20"/>
                <w:szCs w:val="20"/>
              </w:rPr>
              <w:t>非小細胞肺癌之病理或細胞檢查報告</w:t>
            </w:r>
          </w:p>
          <w:p w14:paraId="4C08F23C" w14:textId="77777777" w:rsidR="00BD776B" w:rsidRDefault="00DF0C24" w:rsidP="008A7063">
            <w:pPr>
              <w:numPr>
                <w:ilvl w:val="0"/>
                <w:numId w:val="57"/>
              </w:numPr>
              <w:tabs>
                <w:tab w:val="left" w:pos="240"/>
              </w:tabs>
              <w:snapToGrid w:val="0"/>
              <w:spacing w:before="50" w:line="180" w:lineRule="exact"/>
              <w:ind w:left="600" w:hanging="240"/>
            </w:pPr>
            <w:r>
              <w:rPr>
                <w:rFonts w:ascii="標楷體" w:eastAsia="標楷體" w:hAnsi="標楷體" w:cs="標楷體"/>
                <w:color w:val="000000"/>
                <w:sz w:val="20"/>
                <w:szCs w:val="20"/>
              </w:rPr>
              <w:t>曾經接受第一線含鉑化學治療，</w:t>
            </w:r>
            <w:r>
              <w:rPr>
                <w:rFonts w:ascii="標楷體" w:eastAsia="標楷體" w:hAnsi="標楷體"/>
                <w:color w:val="000000"/>
                <w:sz w:val="20"/>
                <w:szCs w:val="20"/>
              </w:rPr>
              <w:t>或70歲(含</w:t>
            </w:r>
            <w:r>
              <w:rPr>
                <w:rFonts w:ascii="標楷體" w:eastAsia="標楷體" w:hAnsi="標楷體" w:cs="標楷體"/>
                <w:color w:val="000000"/>
                <w:sz w:val="20"/>
                <w:szCs w:val="20"/>
              </w:rPr>
              <w:t>)以上接受過第一線化學治療之證明</w:t>
            </w:r>
          </w:p>
          <w:p w14:paraId="0E41C5FC" w14:textId="77777777" w:rsidR="00BD776B" w:rsidRDefault="00DF0C24" w:rsidP="008A7063">
            <w:pPr>
              <w:numPr>
                <w:ilvl w:val="0"/>
                <w:numId w:val="57"/>
              </w:numPr>
              <w:tabs>
                <w:tab w:val="left" w:pos="240"/>
              </w:tabs>
              <w:snapToGrid w:val="0"/>
              <w:spacing w:before="50" w:line="180" w:lineRule="exact"/>
              <w:ind w:left="600" w:hanging="240"/>
            </w:pPr>
            <w:r>
              <w:rPr>
                <w:rFonts w:ascii="標楷體" w:eastAsia="標楷體" w:hAnsi="標楷體" w:cs="標楷體"/>
                <w:color w:val="000000"/>
                <w:sz w:val="20"/>
                <w:szCs w:val="20"/>
              </w:rPr>
              <w:t>影像診斷證明（如胸部</w:t>
            </w:r>
            <w:r>
              <w:rPr>
                <w:rFonts w:ascii="標楷體" w:eastAsia="標楷體" w:hAnsi="標楷體"/>
                <w:color w:val="000000"/>
                <w:sz w:val="20"/>
                <w:szCs w:val="20"/>
              </w:rPr>
              <w:t>X</w:t>
            </w:r>
            <w:r>
              <w:rPr>
                <w:rFonts w:ascii="標楷體" w:eastAsia="標楷體" w:hAnsi="標楷體" w:cs="標楷體"/>
                <w:color w:val="000000"/>
                <w:sz w:val="20"/>
                <w:szCs w:val="20"/>
              </w:rPr>
              <w:t>光、電腦斷層或其他可作為評估的影像）</w:t>
            </w:r>
          </w:p>
          <w:p w14:paraId="0C551464" w14:textId="77777777" w:rsidR="00BD776B" w:rsidRDefault="00DF0C24">
            <w:pPr>
              <w:snapToGrid w:val="0"/>
              <w:spacing w:before="50" w:line="180" w:lineRule="exact"/>
              <w:ind w:left="338" w:hanging="218"/>
            </w:pPr>
            <w:r>
              <w:rPr>
                <w:rFonts w:ascii="標楷體" w:eastAsia="標楷體" w:hAnsi="標楷體"/>
                <w:color w:val="000000"/>
                <w:sz w:val="20"/>
                <w:szCs w:val="20"/>
              </w:rPr>
              <w:t>□B.</w:t>
            </w:r>
            <w:r>
              <w:rPr>
                <w:rFonts w:ascii="標楷體" w:eastAsia="標楷體" w:hAnsi="標楷體" w:cs="標楷體"/>
                <w:color w:val="000000"/>
                <w:sz w:val="20"/>
                <w:szCs w:val="20"/>
              </w:rPr>
              <w:t>限單獨使用於先前已使用過</w:t>
            </w:r>
            <w:r>
              <w:rPr>
                <w:rFonts w:ascii="標楷體" w:eastAsia="標楷體" w:hAnsi="標楷體"/>
                <w:color w:val="000000"/>
                <w:sz w:val="20"/>
                <w:szCs w:val="20"/>
              </w:rPr>
              <w:t>platinum類及docetaxel或paclitaxel</w:t>
            </w:r>
            <w:r>
              <w:rPr>
                <w:rFonts w:ascii="標楷體" w:eastAsia="標楷體" w:hAnsi="標楷體" w:cs="標楷體"/>
                <w:color w:val="000000"/>
                <w:sz w:val="20"/>
                <w:szCs w:val="20"/>
              </w:rPr>
              <w:t>化學治療後，但仍局部惡化或轉移之非小細胞肺癌之第三線用藥。</w:t>
            </w:r>
          </w:p>
          <w:p w14:paraId="36FBEA83" w14:textId="77777777" w:rsidR="00BD776B" w:rsidRDefault="00DF0C24">
            <w:pPr>
              <w:snapToGrid w:val="0"/>
              <w:spacing w:before="50" w:line="180" w:lineRule="exact"/>
              <w:ind w:left="120"/>
            </w:pPr>
            <w:r>
              <w:rPr>
                <w:rFonts w:ascii="標楷體" w:eastAsia="標楷體" w:hAnsi="標楷體" w:cs="標楷體"/>
                <w:color w:val="000000"/>
                <w:sz w:val="20"/>
                <w:szCs w:val="20"/>
              </w:rPr>
              <w:t>※檢附資料</w:t>
            </w:r>
          </w:p>
          <w:p w14:paraId="7960878A" w14:textId="77777777" w:rsidR="00BD776B" w:rsidRDefault="00DF0C24" w:rsidP="008A7063">
            <w:pPr>
              <w:numPr>
                <w:ilvl w:val="0"/>
                <w:numId w:val="57"/>
              </w:numPr>
              <w:tabs>
                <w:tab w:val="left" w:pos="240"/>
              </w:tabs>
              <w:snapToGrid w:val="0"/>
              <w:spacing w:before="50" w:line="180" w:lineRule="exact"/>
              <w:ind w:left="600" w:hanging="240"/>
            </w:pPr>
            <w:r>
              <w:rPr>
                <w:rFonts w:ascii="標楷體" w:eastAsia="標楷體" w:hAnsi="標楷體" w:cs="標楷體"/>
                <w:color w:val="000000"/>
                <w:sz w:val="20"/>
                <w:szCs w:val="20"/>
              </w:rPr>
              <w:t>非小細胞肺癌之病理或細胞檢查報告</w:t>
            </w:r>
          </w:p>
          <w:p w14:paraId="073CC52D" w14:textId="77777777" w:rsidR="00BD776B" w:rsidRDefault="00DF0C24" w:rsidP="008A7063">
            <w:pPr>
              <w:numPr>
                <w:ilvl w:val="0"/>
                <w:numId w:val="57"/>
              </w:numPr>
              <w:tabs>
                <w:tab w:val="left" w:pos="240"/>
              </w:tabs>
              <w:snapToGrid w:val="0"/>
              <w:spacing w:before="50" w:line="180" w:lineRule="exact"/>
              <w:ind w:left="600" w:hanging="240"/>
            </w:pPr>
            <w:r>
              <w:rPr>
                <w:rFonts w:ascii="標楷體" w:eastAsia="標楷體" w:hAnsi="標楷體"/>
                <w:color w:val="000000"/>
                <w:sz w:val="20"/>
                <w:szCs w:val="20"/>
              </w:rPr>
              <w:t>曾經接受第一線及第二線化學藥物如platinum（cisplatin或carboplatin）與taxanes（paclitaxel或docetaxel）治療之證明.</w:t>
            </w:r>
          </w:p>
          <w:p w14:paraId="4165158E" w14:textId="77777777" w:rsidR="00BD776B" w:rsidRDefault="00DF0C24" w:rsidP="008A7063">
            <w:pPr>
              <w:numPr>
                <w:ilvl w:val="0"/>
                <w:numId w:val="57"/>
              </w:numPr>
              <w:tabs>
                <w:tab w:val="left" w:pos="240"/>
              </w:tabs>
              <w:snapToGrid w:val="0"/>
              <w:spacing w:before="50" w:line="180" w:lineRule="exact"/>
              <w:ind w:left="600" w:hanging="240"/>
            </w:pPr>
            <w:r>
              <w:rPr>
                <w:rFonts w:ascii="標楷體" w:eastAsia="標楷體" w:hAnsi="標楷體" w:cs="標楷體"/>
                <w:color w:val="000000"/>
                <w:sz w:val="20"/>
                <w:szCs w:val="20"/>
              </w:rPr>
              <w:t>影像診斷證明（如胸部</w:t>
            </w:r>
            <w:r>
              <w:rPr>
                <w:rFonts w:ascii="標楷體" w:eastAsia="標楷體" w:hAnsi="標楷體"/>
                <w:color w:val="000000"/>
                <w:sz w:val="20"/>
                <w:szCs w:val="20"/>
              </w:rPr>
              <w:t>X光</w:t>
            </w:r>
            <w:r>
              <w:rPr>
                <w:rFonts w:ascii="標楷體" w:eastAsia="標楷體" w:hAnsi="標楷體" w:cs="標楷體"/>
                <w:color w:val="000000"/>
                <w:sz w:val="20"/>
                <w:szCs w:val="20"/>
              </w:rPr>
              <w:t>、電腦斷層或其他可作為評估的影像），</w:t>
            </w:r>
          </w:p>
          <w:p w14:paraId="5DF8C9FE" w14:textId="77777777" w:rsidR="00BD776B" w:rsidRDefault="00DF0C24">
            <w:pPr>
              <w:snapToGrid w:val="0"/>
              <w:spacing w:before="50" w:line="180" w:lineRule="exact"/>
              <w:ind w:left="238" w:hanging="118"/>
            </w:pPr>
            <w:r>
              <w:rPr>
                <w:rFonts w:ascii="標楷體" w:eastAsia="標楷體" w:hAnsi="標楷體"/>
                <w:color w:val="000000"/>
                <w:sz w:val="20"/>
                <w:szCs w:val="20"/>
              </w:rPr>
              <w:t>□C.</w:t>
            </w:r>
            <w:r>
              <w:rPr>
                <w:rFonts w:ascii="標楷體" w:eastAsia="標楷體" w:hAnsi="標楷體" w:cs="標楷體"/>
                <w:color w:val="000000"/>
                <w:sz w:val="20"/>
                <w:szCs w:val="20"/>
              </w:rPr>
              <w:t>治療後再次申請之相關臨床資料</w:t>
            </w:r>
          </w:p>
          <w:p w14:paraId="2C69F436" w14:textId="77777777" w:rsidR="00BD776B" w:rsidRDefault="00DF0C24">
            <w:pPr>
              <w:snapToGrid w:val="0"/>
              <w:spacing w:before="50" w:line="180" w:lineRule="exact"/>
              <w:ind w:left="478" w:hanging="118"/>
            </w:pPr>
            <w:r>
              <w:rPr>
                <w:rFonts w:ascii="標楷體" w:eastAsia="標楷體" w:hAnsi="標楷體" w:cs="標楷體"/>
                <w:color w:val="000000"/>
                <w:sz w:val="20"/>
                <w:szCs w:val="20"/>
              </w:rPr>
              <w:t>□胸部</w:t>
            </w:r>
            <w:r>
              <w:rPr>
                <w:rFonts w:ascii="標楷體" w:eastAsia="標楷體" w:hAnsi="標楷體"/>
                <w:color w:val="000000"/>
                <w:sz w:val="20"/>
                <w:szCs w:val="20"/>
              </w:rPr>
              <w:t>X</w:t>
            </w:r>
            <w:r>
              <w:rPr>
                <w:rFonts w:ascii="標楷體" w:eastAsia="標楷體" w:hAnsi="標楷體" w:cs="標楷體"/>
                <w:color w:val="000000"/>
                <w:sz w:val="20"/>
                <w:szCs w:val="20"/>
              </w:rPr>
              <w:t>光□電腦斷層□其他</w:t>
            </w:r>
          </w:p>
          <w:p w14:paraId="77CA7469" w14:textId="77777777" w:rsidR="00BD776B" w:rsidRDefault="00DF0C24">
            <w:pPr>
              <w:snapToGrid w:val="0"/>
              <w:spacing w:before="50" w:line="180" w:lineRule="exact"/>
              <w:ind w:firstLine="110"/>
              <w:rPr>
                <w:rFonts w:ascii="標楷體" w:eastAsia="標楷體" w:hAnsi="標楷體"/>
                <w:color w:val="000000"/>
                <w:sz w:val="20"/>
                <w:szCs w:val="20"/>
              </w:rPr>
            </w:pPr>
            <w:r>
              <w:rPr>
                <w:rFonts w:ascii="標楷體" w:eastAsia="標楷體" w:hAnsi="標楷體"/>
                <w:color w:val="000000"/>
                <w:sz w:val="20"/>
                <w:szCs w:val="20"/>
              </w:rPr>
              <w:t>□D.不得與gefitinib（如Iressa）及afatinib(如Giotrif)併用。</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0D436" w14:textId="77777777" w:rsidR="00BD776B" w:rsidRDefault="00BD776B">
            <w:pPr>
              <w:snapToGrid w:val="0"/>
              <w:rPr>
                <w:rFonts w:ascii="標楷體" w:eastAsia="標楷體" w:hAnsi="標楷體"/>
                <w:color w:val="000000"/>
                <w:sz w:val="20"/>
                <w:szCs w:val="20"/>
              </w:rPr>
            </w:pP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9DD08" w14:textId="77777777" w:rsidR="00BD776B" w:rsidRDefault="00BD776B">
            <w:pPr>
              <w:snapToGrid w:val="0"/>
              <w:rPr>
                <w:rFonts w:ascii="標楷體" w:eastAsia="標楷體" w:hAnsi="標楷體"/>
                <w:color w:val="000000"/>
                <w:sz w:val="20"/>
                <w:szCs w:val="20"/>
              </w:rPr>
            </w:pPr>
          </w:p>
        </w:tc>
        <w:tc>
          <w:tcPr>
            <w:tcW w:w="4395" w:type="dxa"/>
            <w:gridSpan w:val="10"/>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EE14555" w14:textId="77777777" w:rsidR="00BD776B" w:rsidRDefault="00DF0C24" w:rsidP="008A7063">
            <w:pPr>
              <w:numPr>
                <w:ilvl w:val="0"/>
                <w:numId w:val="57"/>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532DCE61"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1F534CDC" w14:textId="77777777" w:rsidR="00BD776B" w:rsidRDefault="00DF0C24">
            <w:pPr>
              <w:snapToGrid w:val="0"/>
              <w:spacing w:line="240" w:lineRule="exact"/>
            </w:pPr>
            <w:r>
              <w:rPr>
                <w:rFonts w:ascii="標楷體" w:eastAsia="標楷體" w:hAnsi="標楷體" w:cs="標楷體"/>
                <w:color w:val="000000"/>
                <w:sz w:val="20"/>
                <w:szCs w:val="20"/>
              </w:rPr>
              <w:t>□不同意</w:t>
            </w:r>
          </w:p>
          <w:p w14:paraId="59B863CB"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11D954B7"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5993AE85"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119B0D72"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045F7BD3"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5E1E03F9" w14:textId="77777777" w:rsidR="00BD776B" w:rsidRDefault="00DF0C24" w:rsidP="008A7063">
            <w:pPr>
              <w:numPr>
                <w:ilvl w:val="0"/>
                <w:numId w:val="57"/>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408B5BBF" w14:textId="77777777" w:rsidR="00BD776B" w:rsidRDefault="00DF0C24" w:rsidP="008A7063">
            <w:pPr>
              <w:numPr>
                <w:ilvl w:val="0"/>
                <w:numId w:val="57"/>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3D4B84A1"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152BF0F4" w14:textId="77777777" w:rsidR="00BD776B" w:rsidRDefault="00DF0C24" w:rsidP="008A7063">
            <w:pPr>
              <w:numPr>
                <w:ilvl w:val="0"/>
                <w:numId w:val="57"/>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7877B3AD" w14:textId="77777777">
        <w:trPr>
          <w:cantSplit/>
          <w:trHeight w:val="270"/>
        </w:trPr>
        <w:tc>
          <w:tcPr>
            <w:tcW w:w="11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932AFF" w14:textId="77777777" w:rsidR="00BD776B" w:rsidRDefault="00DF0C24">
            <w:pPr>
              <w:snapToGrid w:val="0"/>
            </w:pPr>
            <w:r>
              <w:rPr>
                <w:rFonts w:ascii="標楷體" w:eastAsia="標楷體" w:hAnsi="標楷體" w:cs="標楷體"/>
                <w:color w:val="000000"/>
              </w:rPr>
              <w:t>注意事項</w:t>
            </w:r>
          </w:p>
          <w:p w14:paraId="64E57A56" w14:textId="77777777" w:rsidR="00BD776B" w:rsidRDefault="00BD776B">
            <w:pPr>
              <w:snapToGrid w:val="0"/>
              <w:spacing w:line="200" w:lineRule="exact"/>
              <w:ind w:hanging="211"/>
              <w:rPr>
                <w:rFonts w:ascii="標楷體" w:eastAsia="標楷體" w:hAnsi="標楷體"/>
                <w:color w:val="000000"/>
                <w:sz w:val="20"/>
                <w:szCs w:val="20"/>
              </w:rPr>
            </w:pPr>
          </w:p>
        </w:tc>
        <w:tc>
          <w:tcPr>
            <w:tcW w:w="10524"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31F44"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71234E5D"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「原受理編號」申復時填寫，初次送核不需填寫。</w:t>
            </w:r>
          </w:p>
          <w:p w14:paraId="72823DBE"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09879AE3"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324DA97E"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對複核結果如有異議，得於收到複核通知之日起六十日內向全民健康保險爭議審議會申請審議。</w:t>
            </w:r>
          </w:p>
          <w:p w14:paraId="686C14FF"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156E6CC1"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Tarceva</w:t>
            </w:r>
            <w:r>
              <w:rPr>
                <w:rFonts w:ascii="標楷體" w:eastAsia="標楷體" w:hAnsi="標楷體"/>
                <w:color w:val="000000"/>
                <w:sz w:val="20"/>
                <w:szCs w:val="20"/>
              </w:rPr>
              <w:t>每使用三個月需作療效評估，且需再經專業審查後始能繼續使用。</w:t>
            </w:r>
          </w:p>
          <w:p w14:paraId="484EF417" w14:textId="77777777" w:rsidR="00BD776B" w:rsidRDefault="00DF0C24" w:rsidP="008A7063">
            <w:pPr>
              <w:numPr>
                <w:ilvl w:val="0"/>
                <w:numId w:val="58"/>
              </w:numPr>
              <w:snapToGrid w:val="0"/>
              <w:spacing w:line="180" w:lineRule="exact"/>
              <w:ind w:left="0"/>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4253"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F6F73E" w14:textId="77777777" w:rsidR="00BD776B" w:rsidRDefault="00BD776B">
            <w:pPr>
              <w:snapToGrid w:val="0"/>
              <w:rPr>
                <w:rFonts w:ascii="標楷體" w:eastAsia="標楷體" w:hAnsi="標楷體"/>
                <w:color w:val="000000"/>
                <w:sz w:val="20"/>
                <w:szCs w:val="20"/>
              </w:rPr>
            </w:pPr>
          </w:p>
        </w:tc>
      </w:tr>
      <w:tr w:rsidR="00BD776B" w14:paraId="10CC0ABD" w14:textId="77777777">
        <w:trPr>
          <w:cantSplit/>
          <w:trHeight w:val="965"/>
        </w:trPr>
        <w:tc>
          <w:tcPr>
            <w:tcW w:w="11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4EFDB" w14:textId="77777777" w:rsidR="00BD776B" w:rsidRDefault="00BD776B">
            <w:pPr>
              <w:snapToGrid w:val="0"/>
              <w:ind w:left="211" w:hanging="211"/>
              <w:rPr>
                <w:rFonts w:ascii="標楷體" w:eastAsia="標楷體" w:hAnsi="標楷體"/>
                <w:color w:val="000000"/>
              </w:rPr>
            </w:pPr>
          </w:p>
        </w:tc>
        <w:tc>
          <w:tcPr>
            <w:tcW w:w="10524"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26FB6" w14:textId="77777777" w:rsidR="00BD776B" w:rsidRDefault="00BD776B">
            <w:pPr>
              <w:snapToGrid w:val="0"/>
              <w:ind w:left="211" w:hanging="211"/>
              <w:rPr>
                <w:rFonts w:ascii="標楷體" w:eastAsia="標楷體" w:hAnsi="標楷體"/>
                <w:color w:val="000000"/>
              </w:rPr>
            </w:pPr>
          </w:p>
        </w:tc>
        <w:tc>
          <w:tcPr>
            <w:tcW w:w="2198" w:type="dxa"/>
            <w:gridSpan w:val="7"/>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7A13" w14:textId="77777777" w:rsidR="00BD776B" w:rsidRDefault="00BD776B">
            <w:pPr>
              <w:snapToGrid w:val="0"/>
              <w:jc w:val="both"/>
              <w:rPr>
                <w:rFonts w:ascii="標楷體" w:eastAsia="標楷體" w:hAnsi="標楷體"/>
                <w:color w:val="000000"/>
              </w:rPr>
            </w:pPr>
          </w:p>
          <w:p w14:paraId="5D2C0663" w14:textId="77777777" w:rsidR="00BD776B" w:rsidRDefault="00BD776B">
            <w:pPr>
              <w:snapToGrid w:val="0"/>
              <w:jc w:val="both"/>
              <w:rPr>
                <w:rFonts w:ascii="標楷體" w:eastAsia="標楷體" w:hAnsi="標楷體"/>
                <w:color w:val="000000"/>
              </w:rPr>
            </w:pPr>
          </w:p>
          <w:p w14:paraId="7CFDFBD9"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36B3A5A6" w14:textId="77777777" w:rsidR="00BD776B" w:rsidRDefault="00BD776B">
            <w:pPr>
              <w:snapToGrid w:val="0"/>
              <w:jc w:val="both"/>
              <w:rPr>
                <w:rFonts w:ascii="標楷體" w:eastAsia="標楷體" w:hAnsi="標楷體"/>
                <w:color w:val="000000"/>
                <w:sz w:val="20"/>
                <w:szCs w:val="20"/>
              </w:rPr>
            </w:pPr>
          </w:p>
        </w:tc>
        <w:tc>
          <w:tcPr>
            <w:tcW w:w="3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6A7D9" w14:textId="77777777" w:rsidR="00BD776B" w:rsidRDefault="00DF0C24">
            <w:pPr>
              <w:snapToGrid w:val="0"/>
            </w:pPr>
            <w:r>
              <w:rPr>
                <w:rFonts w:ascii="標楷體" w:eastAsia="標楷體" w:hAnsi="標楷體" w:cs="標楷體"/>
                <w:color w:val="000000"/>
              </w:rPr>
              <w:t>審查醫師</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201CE" w14:textId="77777777" w:rsidR="00BD776B" w:rsidRDefault="00BD776B">
            <w:pPr>
              <w:snapToGrid w:val="0"/>
              <w:rPr>
                <w:rFonts w:ascii="標楷體" w:eastAsia="標楷體" w:hAnsi="標楷體"/>
                <w:color w:val="000000"/>
              </w:rPr>
            </w:pPr>
          </w:p>
        </w:tc>
      </w:tr>
      <w:tr w:rsidR="00BD776B" w14:paraId="11B56FDF" w14:textId="77777777">
        <w:trPr>
          <w:cantSplit/>
          <w:trHeight w:val="513"/>
        </w:trPr>
        <w:tc>
          <w:tcPr>
            <w:tcW w:w="11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4B266" w14:textId="77777777" w:rsidR="00BD776B" w:rsidRDefault="00BD776B">
            <w:pPr>
              <w:snapToGrid w:val="0"/>
              <w:ind w:left="211" w:hanging="211"/>
              <w:rPr>
                <w:rFonts w:ascii="標楷體" w:eastAsia="標楷體" w:hAnsi="標楷體"/>
                <w:color w:val="000000"/>
              </w:rPr>
            </w:pPr>
          </w:p>
        </w:tc>
        <w:tc>
          <w:tcPr>
            <w:tcW w:w="10524"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CE6AB" w14:textId="77777777" w:rsidR="00BD776B" w:rsidRDefault="00BD776B">
            <w:pPr>
              <w:snapToGrid w:val="0"/>
              <w:ind w:left="211" w:hanging="211"/>
              <w:rPr>
                <w:rFonts w:ascii="標楷體" w:eastAsia="標楷體" w:hAnsi="標楷體"/>
                <w:color w:val="000000"/>
              </w:rPr>
            </w:pPr>
          </w:p>
        </w:tc>
        <w:tc>
          <w:tcPr>
            <w:tcW w:w="2198" w:type="dxa"/>
            <w:gridSpan w:val="7"/>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A1274" w14:textId="77777777" w:rsidR="00BD776B" w:rsidRDefault="00BD776B">
            <w:pPr>
              <w:snapToGrid w:val="0"/>
              <w:rPr>
                <w:rFonts w:ascii="標楷體" w:eastAsia="標楷體" w:hAnsi="標楷體"/>
                <w:color w:val="000000"/>
              </w:rPr>
            </w:pPr>
          </w:p>
        </w:tc>
        <w:tc>
          <w:tcPr>
            <w:tcW w:w="3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2A7EE" w14:textId="77777777" w:rsidR="00BD776B" w:rsidRDefault="00BD776B">
            <w:pPr>
              <w:snapToGrid w:val="0"/>
              <w:rPr>
                <w:rFonts w:ascii="標楷體" w:eastAsia="標楷體" w:hAnsi="標楷體"/>
                <w:color w:val="00000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C153B8" w14:textId="77777777" w:rsidR="00BD776B" w:rsidRDefault="00BD776B">
            <w:pPr>
              <w:snapToGrid w:val="0"/>
              <w:rPr>
                <w:rFonts w:ascii="標楷體" w:eastAsia="標楷體" w:hAnsi="標楷體"/>
                <w:color w:val="000000"/>
              </w:rPr>
            </w:pPr>
          </w:p>
        </w:tc>
      </w:tr>
      <w:tr w:rsidR="00BD776B" w14:paraId="62EF50BB" w14:textId="77777777">
        <w:trPr>
          <w:cantSplit/>
          <w:trHeight w:val="624"/>
        </w:trPr>
        <w:tc>
          <w:tcPr>
            <w:tcW w:w="15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17010" w14:textId="77777777" w:rsidR="00BD776B" w:rsidRDefault="00DF0C24">
            <w:pPr>
              <w:snapToGrid w:val="0"/>
              <w:spacing w:line="200" w:lineRule="exact"/>
            </w:pPr>
            <w:r>
              <w:rPr>
                <w:rFonts w:ascii="標楷體" w:eastAsia="標楷體" w:hAnsi="標楷體" w:cs="標楷體"/>
                <w:color w:val="000000"/>
                <w:sz w:val="20"/>
                <w:szCs w:val="20"/>
              </w:rPr>
              <w:t>醫事服務機構</w:t>
            </w:r>
          </w:p>
        </w:tc>
        <w:tc>
          <w:tcPr>
            <w:tcW w:w="870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FC89" w14:textId="77777777" w:rsidR="00BD776B" w:rsidRDefault="00DF0C24">
            <w:pPr>
              <w:snapToGrid w:val="0"/>
              <w:spacing w:line="200" w:lineRule="exact"/>
            </w:pPr>
            <w:r>
              <w:rPr>
                <w:rFonts w:ascii="標楷體" w:eastAsia="標楷體" w:hAnsi="標楷體" w:cs="標楷體"/>
                <w:color w:val="000000"/>
                <w:sz w:val="20"/>
                <w:szCs w:val="20"/>
              </w:rPr>
              <w:t>醫院申請日期：  年  月  日</w:t>
            </w:r>
          </w:p>
          <w:p w14:paraId="4ED9152C" w14:textId="77777777" w:rsidR="00BD776B" w:rsidRDefault="00BD776B">
            <w:pPr>
              <w:snapToGrid w:val="0"/>
              <w:spacing w:line="200" w:lineRule="exact"/>
              <w:rPr>
                <w:rFonts w:ascii="標楷體" w:eastAsia="標楷體" w:hAnsi="標楷體"/>
                <w:color w:val="000000"/>
                <w:sz w:val="20"/>
                <w:szCs w:val="20"/>
              </w:rPr>
            </w:pPr>
          </w:p>
          <w:p w14:paraId="790E0722" w14:textId="77777777" w:rsidR="00BD776B" w:rsidRDefault="00DF0C24">
            <w:pPr>
              <w:snapToGrid w:val="0"/>
              <w:spacing w:line="200" w:lineRule="exact"/>
            </w:pPr>
            <w:r>
              <w:rPr>
                <w:rFonts w:ascii="標楷體" w:eastAsia="標楷體" w:hAnsi="標楷體" w:cs="標楷體"/>
                <w:color w:val="000000"/>
                <w:sz w:val="20"/>
                <w:szCs w:val="20"/>
              </w:rPr>
              <w:t>印信</w:t>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s="標楷體"/>
                <w:color w:val="000000"/>
                <w:sz w:val="20"/>
                <w:szCs w:val="20"/>
              </w:rPr>
              <w:t>文號：</w:t>
            </w:r>
          </w:p>
        </w:tc>
        <w:tc>
          <w:tcPr>
            <w:tcW w:w="37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48E80"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7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B94C0" w14:textId="77777777" w:rsidR="00BD776B" w:rsidRDefault="00BD776B">
            <w:pPr>
              <w:widowControl/>
              <w:snapToGrid w:val="0"/>
              <w:spacing w:line="200" w:lineRule="exact"/>
              <w:rPr>
                <w:rFonts w:ascii="標楷體" w:eastAsia="標楷體" w:hAnsi="標楷體"/>
                <w:color w:val="000000"/>
                <w:sz w:val="20"/>
                <w:szCs w:val="20"/>
              </w:rPr>
            </w:pPr>
          </w:p>
          <w:p w14:paraId="179651D5" w14:textId="77777777" w:rsidR="00BD776B" w:rsidRDefault="00BD776B">
            <w:pPr>
              <w:snapToGrid w:val="0"/>
              <w:spacing w:line="200" w:lineRule="exact"/>
              <w:rPr>
                <w:rFonts w:ascii="標楷體" w:eastAsia="標楷體" w:hAnsi="標楷體"/>
                <w:color w:val="000000"/>
                <w:sz w:val="20"/>
                <w:szCs w:val="20"/>
              </w:rPr>
            </w:pPr>
          </w:p>
        </w:tc>
        <w:tc>
          <w:tcPr>
            <w:tcW w:w="283"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E282D" w14:textId="77777777" w:rsidR="00BD776B" w:rsidRDefault="00DF0C24">
            <w:pPr>
              <w:widowControl/>
              <w:snapToGrid w:val="0"/>
              <w:spacing w:line="200" w:lineRule="exact"/>
            </w:pPr>
            <w:r>
              <w:rPr>
                <w:rFonts w:ascii="標楷體" w:eastAsia="標楷體" w:hAnsi="標楷體" w:cs="標楷體"/>
                <w:color w:val="000000"/>
                <w:sz w:val="20"/>
                <w:szCs w:val="20"/>
              </w:rPr>
              <w:t>複核</w:t>
            </w: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83159" w14:textId="77777777" w:rsidR="00BD776B" w:rsidRDefault="00BD776B">
            <w:pPr>
              <w:widowControl/>
              <w:snapToGrid w:val="0"/>
              <w:spacing w:line="200" w:lineRule="exact"/>
              <w:rPr>
                <w:rFonts w:ascii="標楷體" w:eastAsia="標楷體" w:hAnsi="標楷體"/>
                <w:color w:val="000000"/>
                <w:sz w:val="20"/>
                <w:szCs w:val="20"/>
              </w:rPr>
            </w:pPr>
          </w:p>
          <w:p w14:paraId="65B9E57E" w14:textId="77777777" w:rsidR="00BD776B" w:rsidRDefault="00BD776B">
            <w:pPr>
              <w:snapToGrid w:val="0"/>
              <w:spacing w:line="200" w:lineRule="exact"/>
              <w:rPr>
                <w:rFonts w:ascii="標楷體" w:eastAsia="標楷體" w:hAnsi="標楷體"/>
                <w:color w:val="000000"/>
                <w:sz w:val="20"/>
                <w:szCs w:val="20"/>
              </w:rPr>
            </w:pP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B86" w14:textId="77777777" w:rsidR="00BD776B" w:rsidRDefault="00DF0C24">
            <w:pPr>
              <w:snapToGrid w:val="0"/>
              <w:spacing w:line="200" w:lineRule="exact"/>
            </w:pPr>
            <w:r>
              <w:rPr>
                <w:rFonts w:ascii="標楷體" w:eastAsia="標楷體" w:hAnsi="標楷體" w:cs="標楷體"/>
                <w:color w:val="000000"/>
                <w:sz w:val="20"/>
                <w:szCs w:val="20"/>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F1AF9" w14:textId="77777777" w:rsidR="00BD776B" w:rsidRDefault="00BD776B">
            <w:pPr>
              <w:widowControl/>
              <w:snapToGrid w:val="0"/>
              <w:spacing w:line="200" w:lineRule="exact"/>
              <w:rPr>
                <w:rFonts w:ascii="標楷體" w:eastAsia="標楷體" w:hAnsi="標楷體"/>
                <w:color w:val="000000"/>
                <w:sz w:val="20"/>
                <w:szCs w:val="20"/>
              </w:rPr>
            </w:pPr>
          </w:p>
          <w:p w14:paraId="49AA8D63" w14:textId="77777777" w:rsidR="00BD776B" w:rsidRDefault="00BD776B">
            <w:pPr>
              <w:snapToGrid w:val="0"/>
              <w:spacing w:line="200" w:lineRule="exact"/>
              <w:rPr>
                <w:rFonts w:ascii="標楷體" w:eastAsia="標楷體" w:hAnsi="標楷體"/>
                <w:color w:val="000000"/>
                <w:sz w:val="20"/>
                <w:szCs w:val="20"/>
              </w:rPr>
            </w:pPr>
          </w:p>
        </w:tc>
        <w:tc>
          <w:tcPr>
            <w:tcW w:w="37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EDB05" w14:textId="77777777" w:rsidR="00BD776B" w:rsidRDefault="00DF0C24">
            <w:pPr>
              <w:widowControl/>
              <w:snapToGrid w:val="0"/>
              <w:spacing w:line="200" w:lineRule="exact"/>
            </w:pPr>
            <w:r>
              <w:rPr>
                <w:rFonts w:ascii="標楷體" w:eastAsia="標楷體" w:hAnsi="標楷體" w:cs="標楷體"/>
                <w:color w:val="000000"/>
                <w:sz w:val="20"/>
                <w:szCs w:val="20"/>
              </w:rPr>
              <w:t>決行</w:t>
            </w:r>
          </w:p>
        </w:tc>
        <w:tc>
          <w:tcPr>
            <w:tcW w:w="16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5104F" w14:textId="77777777" w:rsidR="00BD776B" w:rsidRDefault="00BD776B">
            <w:pPr>
              <w:snapToGrid w:val="0"/>
              <w:spacing w:line="200" w:lineRule="exact"/>
              <w:rPr>
                <w:rFonts w:ascii="標楷體" w:eastAsia="標楷體" w:hAnsi="標楷體"/>
                <w:color w:val="000000"/>
                <w:sz w:val="20"/>
                <w:szCs w:val="20"/>
              </w:rPr>
            </w:pPr>
          </w:p>
        </w:tc>
      </w:tr>
    </w:tbl>
    <w:p w14:paraId="11F91252" w14:textId="77777777" w:rsidR="00BD776B" w:rsidRDefault="00DF0C24">
      <w:pPr>
        <w:pStyle w:val="Web"/>
        <w:pageBreakBefore/>
        <w:widowControl w:val="0"/>
        <w:snapToGrid w:val="0"/>
        <w:spacing w:before="0" w:after="0" w:line="380" w:lineRule="exact"/>
        <w:jc w:val="both"/>
      </w:pPr>
      <w:r>
        <w:rPr>
          <w:rFonts w:ascii="標楷體" w:eastAsia="標楷體" w:hAnsi="標楷體" w:cs="標楷體"/>
          <w:color w:val="000000"/>
        </w:rPr>
        <w:lastRenderedPageBreak/>
        <w:t>附表九之三全民健康保險使用抗癌藥品</w:t>
      </w:r>
      <w:r>
        <w:rPr>
          <w:rFonts w:ascii="標楷體" w:eastAsia="標楷體" w:hAnsi="標楷體" w:cs="Times New Roman"/>
          <w:color w:val="000000"/>
        </w:rPr>
        <w:t>Bortezomib</w:t>
      </w:r>
      <w:r>
        <w:rPr>
          <w:rFonts w:ascii="標楷體" w:eastAsia="標楷體" w:hAnsi="標楷體" w:cs="標楷體"/>
          <w:color w:val="000000"/>
        </w:rPr>
        <w:t>申請表</w:t>
      </w:r>
    </w:p>
    <w:tbl>
      <w:tblPr>
        <w:tblW w:w="15877" w:type="dxa"/>
        <w:tblInd w:w="-714" w:type="dxa"/>
        <w:tblLayout w:type="fixed"/>
        <w:tblCellMar>
          <w:left w:w="10" w:type="dxa"/>
          <w:right w:w="10" w:type="dxa"/>
        </w:tblCellMar>
        <w:tblLook w:val="0000" w:firstRow="0" w:lastRow="0" w:firstColumn="0" w:lastColumn="0" w:noHBand="0" w:noVBand="0"/>
      </w:tblPr>
      <w:tblGrid>
        <w:gridCol w:w="708"/>
        <w:gridCol w:w="283"/>
        <w:gridCol w:w="991"/>
        <w:gridCol w:w="629"/>
        <w:gridCol w:w="564"/>
        <w:gridCol w:w="354"/>
        <w:gridCol w:w="630"/>
        <w:gridCol w:w="516"/>
        <w:gridCol w:w="430"/>
        <w:gridCol w:w="1162"/>
        <w:gridCol w:w="642"/>
        <w:gridCol w:w="321"/>
        <w:gridCol w:w="1840"/>
        <w:gridCol w:w="850"/>
        <w:gridCol w:w="848"/>
        <w:gridCol w:w="567"/>
        <w:gridCol w:w="714"/>
        <w:gridCol w:w="284"/>
        <w:gridCol w:w="173"/>
        <w:gridCol w:w="536"/>
        <w:gridCol w:w="283"/>
        <w:gridCol w:w="848"/>
        <w:gridCol w:w="425"/>
        <w:gridCol w:w="1279"/>
      </w:tblGrid>
      <w:tr w:rsidR="00BD776B" w14:paraId="00D19611" w14:textId="77777777">
        <w:trPr>
          <w:cantSplit/>
          <w:trHeight w:hRule="exact" w:val="348"/>
        </w:trPr>
        <w:tc>
          <w:tcPr>
            <w:tcW w:w="2611"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B408BFD"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29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47253B"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6C0460" w14:textId="77777777" w:rsidR="00BD776B" w:rsidRDefault="00DF0C24">
            <w:pPr>
              <w:snapToGrid w:val="0"/>
            </w:pPr>
            <w:r>
              <w:rPr>
                <w:rFonts w:ascii="標楷體" w:eastAsia="標楷體" w:hAnsi="標楷體" w:cs="標楷體"/>
                <w:color w:val="000000"/>
                <w:sz w:val="20"/>
                <w:szCs w:val="20"/>
              </w:rPr>
              <w:t>受理日期：</w:t>
            </w:r>
          </w:p>
        </w:tc>
        <w:tc>
          <w:tcPr>
            <w:tcW w:w="340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F0BCB4" w14:textId="77777777" w:rsidR="00BD776B" w:rsidRDefault="00DF0C24">
            <w:pPr>
              <w:snapToGrid w:val="0"/>
              <w:ind w:left="15"/>
            </w:pPr>
            <w:r>
              <w:rPr>
                <w:rFonts w:ascii="標楷體" w:eastAsia="標楷體" w:hAnsi="標楷體" w:cs="標楷體"/>
                <w:color w:val="000000"/>
                <w:sz w:val="20"/>
                <w:szCs w:val="20"/>
              </w:rPr>
              <w:t>受理編號：</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841975" w14:textId="77777777" w:rsidR="00BD776B" w:rsidRDefault="00DF0C24">
            <w:pPr>
              <w:snapToGrid w:val="0"/>
            </w:pPr>
            <w:r>
              <w:rPr>
                <w:rFonts w:ascii="標楷體" w:eastAsia="標楷體" w:hAnsi="標楷體" w:cs="標楷體"/>
                <w:color w:val="000000"/>
                <w:sz w:val="20"/>
                <w:szCs w:val="20"/>
              </w:rPr>
              <w:t>緊急傳真日期：</w:t>
            </w:r>
          </w:p>
        </w:tc>
      </w:tr>
      <w:tr w:rsidR="00BD776B" w14:paraId="17BFA245" w14:textId="77777777">
        <w:trPr>
          <w:cantSplit/>
          <w:trHeight w:val="517"/>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76C79F"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D4D023"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21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41CEF3" w14:textId="77777777" w:rsidR="00BD776B" w:rsidRDefault="00BD776B">
            <w:pPr>
              <w:snapToGrid w:val="0"/>
              <w:spacing w:line="200" w:lineRule="exact"/>
              <w:rPr>
                <w:rFonts w:ascii="標楷體" w:eastAsia="標楷體" w:hAnsi="標楷體"/>
                <w:color w:val="000000"/>
                <w:sz w:val="20"/>
                <w:szCs w:val="20"/>
              </w:rPr>
            </w:pPr>
          </w:p>
        </w:tc>
        <w:tc>
          <w:tcPr>
            <w:tcW w:w="3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AD2103"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74D836AB"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25B6425F"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5C1D00EA"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B8F902"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35A00F" w14:textId="77777777" w:rsidR="00BD776B" w:rsidRDefault="00BD776B">
            <w:pPr>
              <w:snapToGrid w:val="0"/>
              <w:spacing w:line="200" w:lineRule="exact"/>
              <w:rPr>
                <w:rFonts w:ascii="標楷體" w:eastAsia="標楷體" w:hAnsi="標楷體"/>
                <w:color w:val="000000"/>
                <w:sz w:val="20"/>
                <w:szCs w:val="20"/>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4A5396"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759029" w14:textId="77777777" w:rsidR="00BD776B" w:rsidRDefault="00BD776B">
            <w:pPr>
              <w:snapToGrid w:val="0"/>
              <w:spacing w:line="200" w:lineRule="exact"/>
              <w:rPr>
                <w:rFonts w:ascii="標楷體" w:eastAsia="標楷體" w:hAnsi="標楷體"/>
                <w:color w:val="000000"/>
                <w:sz w:val="20"/>
                <w:szCs w:val="20"/>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285999"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74022137"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C124A2" w14:textId="77777777" w:rsidR="00BD776B" w:rsidRDefault="00BD776B">
            <w:pPr>
              <w:snapToGrid w:val="0"/>
              <w:spacing w:line="200" w:lineRule="exact"/>
              <w:rPr>
                <w:rFonts w:ascii="標楷體" w:eastAsia="標楷體" w:hAnsi="標楷體"/>
                <w:color w:val="000000"/>
                <w:sz w:val="20"/>
                <w:szCs w:val="20"/>
              </w:rPr>
            </w:pPr>
          </w:p>
        </w:tc>
        <w:tc>
          <w:tcPr>
            <w:tcW w:w="4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712D2"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337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89F66E" w14:textId="77777777" w:rsidR="00BD776B" w:rsidRDefault="00BD776B">
            <w:pPr>
              <w:snapToGrid w:val="0"/>
              <w:spacing w:line="200" w:lineRule="exact"/>
              <w:rPr>
                <w:rFonts w:ascii="標楷體" w:eastAsia="標楷體" w:hAnsi="標楷體"/>
                <w:color w:val="000000"/>
                <w:sz w:val="20"/>
                <w:szCs w:val="20"/>
              </w:rPr>
            </w:pPr>
          </w:p>
        </w:tc>
      </w:tr>
      <w:tr w:rsidR="00BD776B" w14:paraId="1425B3C2" w14:textId="77777777">
        <w:trPr>
          <w:cantSplit/>
          <w:trHeight w:val="530"/>
        </w:trPr>
        <w:tc>
          <w:tcPr>
            <w:tcW w:w="7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C0EF68" w14:textId="77777777" w:rsidR="00BD776B" w:rsidRDefault="00BD776B">
            <w:pPr>
              <w:snapToGrid w:val="0"/>
              <w:spacing w:line="200" w:lineRule="exact"/>
              <w:rPr>
                <w:rFonts w:ascii="標楷體" w:eastAsia="標楷體" w:hAnsi="標楷體"/>
                <w:color w:val="000000"/>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D476A"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21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999728" w14:textId="77777777" w:rsidR="00BD776B" w:rsidRDefault="00BD776B">
            <w:pPr>
              <w:snapToGrid w:val="0"/>
              <w:spacing w:line="200" w:lineRule="exact"/>
              <w:rPr>
                <w:rFonts w:ascii="標楷體" w:eastAsia="標楷體" w:hAnsi="標楷體"/>
                <w:color w:val="000000"/>
                <w:sz w:val="20"/>
                <w:szCs w:val="20"/>
              </w:rPr>
            </w:pPr>
          </w:p>
        </w:tc>
        <w:tc>
          <w:tcPr>
            <w:tcW w:w="3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48B7B8" w14:textId="77777777" w:rsidR="00BD776B" w:rsidRDefault="00BD776B">
            <w:pPr>
              <w:snapToGrid w:val="0"/>
              <w:spacing w:line="200" w:lineRule="exact"/>
              <w:rPr>
                <w:rFonts w:ascii="標楷體" w:eastAsia="標楷體" w:hAnsi="標楷體"/>
                <w:color w:val="00000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BCCDAF" w14:textId="77777777" w:rsidR="00BD776B" w:rsidRDefault="00DF0C24">
            <w:pPr>
              <w:snapToGrid w:val="0"/>
              <w:spacing w:line="200" w:lineRule="exact"/>
            </w:pPr>
            <w:r>
              <w:rPr>
                <w:rFonts w:ascii="標楷體" w:eastAsia="標楷體" w:hAnsi="標楷體" w:cs="標楷體"/>
                <w:color w:val="000000"/>
                <w:sz w:val="20"/>
                <w:szCs w:val="20"/>
              </w:rPr>
              <w:t>身分證</w:t>
            </w:r>
          </w:p>
          <w:p w14:paraId="042B8320"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522038" w14:textId="77777777" w:rsidR="00BD776B" w:rsidRDefault="00BD776B">
            <w:pPr>
              <w:snapToGrid w:val="0"/>
              <w:spacing w:line="200" w:lineRule="exact"/>
              <w:rPr>
                <w:rFonts w:ascii="標楷體" w:eastAsia="標楷體" w:hAnsi="標楷體"/>
                <w:color w:val="000000"/>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AC3A9"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0B20F088"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B8457C" w14:textId="77777777" w:rsidR="00BD776B" w:rsidRDefault="00BD776B">
            <w:pPr>
              <w:snapToGrid w:val="0"/>
              <w:spacing w:line="200" w:lineRule="exact"/>
              <w:rPr>
                <w:rFonts w:ascii="標楷體" w:eastAsia="標楷體" w:hAnsi="標楷體"/>
                <w:color w:val="000000"/>
                <w:sz w:val="20"/>
                <w:szCs w:val="20"/>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4E62BC"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2ECB72"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99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3FA5B5" w14:textId="77777777" w:rsidR="00BD776B" w:rsidRDefault="00BD776B">
            <w:pPr>
              <w:snapToGrid w:val="0"/>
              <w:spacing w:line="200" w:lineRule="exact"/>
              <w:rPr>
                <w:rFonts w:ascii="標楷體" w:eastAsia="標楷體" w:hAnsi="標楷體"/>
                <w:color w:val="000000"/>
                <w:sz w:val="20"/>
                <w:szCs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C51408"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7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9E3360" w14:textId="77777777" w:rsidR="00BD776B" w:rsidRDefault="00BD776B">
            <w:pPr>
              <w:snapToGrid w:val="0"/>
              <w:spacing w:line="200" w:lineRule="exact"/>
              <w:rPr>
                <w:rFonts w:ascii="標楷體" w:eastAsia="標楷體" w:hAnsi="標楷體"/>
                <w:color w:val="000000"/>
                <w:sz w:val="20"/>
                <w:szCs w:val="20"/>
              </w:rPr>
            </w:pPr>
          </w:p>
        </w:tc>
      </w:tr>
      <w:tr w:rsidR="00BD776B" w14:paraId="5EE3D3CC" w14:textId="77777777">
        <w:trPr>
          <w:cantSplit/>
          <w:trHeight w:val="416"/>
        </w:trPr>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6DD0B4"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31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EC37D8" w14:textId="77777777" w:rsidR="00BD776B" w:rsidRDefault="00BD776B">
            <w:pPr>
              <w:snapToGrid w:val="0"/>
              <w:spacing w:line="200" w:lineRule="exact"/>
              <w:rPr>
                <w:rFonts w:ascii="標楷體" w:eastAsia="標楷體" w:hAnsi="標楷體"/>
                <w:color w:val="000000"/>
                <w:sz w:val="20"/>
                <w:szCs w:val="20"/>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74AFC"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96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748681" w14:textId="77777777" w:rsidR="00BD776B" w:rsidRDefault="00BD776B">
            <w:pPr>
              <w:snapToGrid w:val="0"/>
              <w:spacing w:line="200" w:lineRule="exact"/>
              <w:rPr>
                <w:rFonts w:ascii="標楷體" w:eastAsia="標楷體" w:hAnsi="標楷體"/>
                <w:color w:val="000000"/>
                <w:sz w:val="20"/>
                <w:szCs w:val="20"/>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58DE5B"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5109"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C56F437"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79B1651B" w14:textId="77777777">
        <w:trPr>
          <w:cantSplit/>
        </w:trPr>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411E09" w14:textId="77777777" w:rsidR="00BD776B" w:rsidRDefault="00DF0C24">
            <w:pPr>
              <w:snapToGrid w:val="0"/>
              <w:spacing w:line="200" w:lineRule="exact"/>
              <w:jc w:val="center"/>
            </w:pPr>
            <w:r>
              <w:rPr>
                <w:rFonts w:ascii="標楷體" w:eastAsia="標楷體" w:hAnsi="標楷體" w:cs="標楷體"/>
                <w:color w:val="000000"/>
                <w:sz w:val="20"/>
                <w:szCs w:val="20"/>
              </w:rPr>
              <w:t>藥品名稱及代碼</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2A32D0"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708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EC0C7D"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A7D05C"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6DF10EB2"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CDA21F"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12D168FD"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5109"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6B570B4"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711C8F40" w14:textId="77777777">
        <w:trPr>
          <w:cantSplit/>
          <w:trHeight w:val="4349"/>
        </w:trPr>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0B419" w14:textId="77777777" w:rsidR="00BD776B" w:rsidRDefault="00BD776B">
            <w:pPr>
              <w:snapToGrid w:val="0"/>
              <w:rPr>
                <w:rFonts w:ascii="標楷體" w:eastAsia="標楷體" w:hAnsi="標楷體"/>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89DD27" w14:textId="77777777" w:rsidR="00BD776B" w:rsidRDefault="00DF0C24" w:rsidP="008A7063">
            <w:pPr>
              <w:numPr>
                <w:ilvl w:val="0"/>
                <w:numId w:val="59"/>
              </w:numPr>
              <w:snapToGrid w:val="0"/>
              <w:spacing w:before="180" w:after="180"/>
              <w:rPr>
                <w:rFonts w:ascii="標楷體" w:eastAsia="標楷體" w:hAnsi="標楷體"/>
                <w:color w:val="000000"/>
                <w:sz w:val="20"/>
                <w:szCs w:val="20"/>
              </w:rPr>
            </w:pPr>
            <w:r>
              <w:rPr>
                <w:rFonts w:ascii="標楷體" w:eastAsia="標楷體" w:hAnsi="標楷體"/>
                <w:color w:val="000000"/>
                <w:sz w:val="20"/>
                <w:szCs w:val="20"/>
              </w:rPr>
              <w:t>第一次申請</w:t>
            </w:r>
          </w:p>
          <w:p w14:paraId="24F5F23E" w14:textId="77777777" w:rsidR="00BD776B" w:rsidRDefault="00DF0C24" w:rsidP="008A7063">
            <w:pPr>
              <w:numPr>
                <w:ilvl w:val="0"/>
                <w:numId w:val="59"/>
              </w:numPr>
              <w:snapToGrid w:val="0"/>
              <w:spacing w:before="180" w:after="180"/>
              <w:rPr>
                <w:rFonts w:ascii="標楷體" w:eastAsia="標楷體" w:hAnsi="標楷體"/>
                <w:color w:val="000000"/>
                <w:sz w:val="20"/>
                <w:szCs w:val="20"/>
              </w:rPr>
            </w:pPr>
            <w:r>
              <w:rPr>
                <w:rFonts w:ascii="標楷體" w:eastAsia="標楷體" w:hAnsi="標楷體"/>
                <w:color w:val="000000"/>
                <w:sz w:val="20"/>
                <w:szCs w:val="20"/>
              </w:rPr>
              <w:t>治療後再次申請</w:t>
            </w:r>
          </w:p>
        </w:tc>
        <w:tc>
          <w:tcPr>
            <w:tcW w:w="708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AFC88" w14:textId="77777777" w:rsidR="00BD776B" w:rsidRDefault="00DF0C24">
            <w:pPr>
              <w:snapToGrid w:val="0"/>
              <w:spacing w:line="180" w:lineRule="exact"/>
              <w:ind w:left="222" w:hanging="222"/>
              <w:rPr>
                <w:rFonts w:ascii="標楷體" w:eastAsia="標楷體" w:hAnsi="標楷體"/>
                <w:color w:val="000000"/>
                <w:sz w:val="18"/>
                <w:szCs w:val="18"/>
              </w:rPr>
            </w:pPr>
            <w:r>
              <w:rPr>
                <w:rFonts w:ascii="標楷體" w:eastAsia="標楷體" w:hAnsi="標楷體"/>
                <w:color w:val="000000"/>
                <w:sz w:val="18"/>
                <w:szCs w:val="18"/>
              </w:rPr>
              <w:t>□合併其他癌症治療藥品使用於多發性骨髓瘤病人：</w:t>
            </w:r>
          </w:p>
          <w:p w14:paraId="5F96B63C" w14:textId="77777777" w:rsidR="00BD776B" w:rsidRDefault="00DF0C24">
            <w:pPr>
              <w:snapToGrid w:val="0"/>
              <w:spacing w:line="180" w:lineRule="exact"/>
              <w:ind w:left="222" w:hanging="222"/>
              <w:rPr>
                <w:rFonts w:ascii="標楷體" w:eastAsia="標楷體" w:hAnsi="標楷體"/>
                <w:color w:val="000000"/>
                <w:sz w:val="18"/>
                <w:szCs w:val="18"/>
              </w:rPr>
            </w:pPr>
            <w:r>
              <w:rPr>
                <w:rFonts w:ascii="標楷體" w:eastAsia="標楷體" w:hAnsi="標楷體"/>
                <w:color w:val="000000"/>
                <w:sz w:val="18"/>
                <w:szCs w:val="18"/>
              </w:rPr>
              <w:t>(1)每人終生以16個療程為上限。</w:t>
            </w:r>
          </w:p>
          <w:p w14:paraId="33DA0AEB" w14:textId="77777777" w:rsidR="00BD776B" w:rsidRDefault="00DF0C24">
            <w:pPr>
              <w:pStyle w:val="11"/>
              <w:snapToGrid w:val="0"/>
              <w:spacing w:line="180" w:lineRule="exact"/>
              <w:ind w:left="0" w:firstLine="0"/>
              <w:rPr>
                <w:rFonts w:ascii="標楷體" w:hAnsi="標楷體"/>
                <w:sz w:val="18"/>
                <w:szCs w:val="18"/>
              </w:rPr>
            </w:pPr>
            <w:r>
              <w:rPr>
                <w:rFonts w:ascii="標楷體" w:hAnsi="標楷體"/>
                <w:sz w:val="18"/>
                <w:szCs w:val="18"/>
              </w:rPr>
              <w:t>(2)需經事前申請後使用，每次申請4個療程。</w:t>
            </w:r>
          </w:p>
          <w:p w14:paraId="4EE19B28" w14:textId="77777777" w:rsidR="00BD776B" w:rsidRDefault="00DF0C24">
            <w:pPr>
              <w:pStyle w:val="11"/>
              <w:snapToGrid w:val="0"/>
              <w:spacing w:line="180" w:lineRule="exact"/>
              <w:ind w:left="0" w:firstLine="0"/>
            </w:pPr>
            <w:r>
              <w:rPr>
                <w:rFonts w:ascii="標楷體" w:hAnsi="標楷體"/>
                <w:sz w:val="18"/>
                <w:szCs w:val="18"/>
              </w:rPr>
              <w:t>(3)</w:t>
            </w:r>
            <w:r>
              <w:rPr>
                <w:rFonts w:ascii="標楷體" w:hAnsi="標楷體"/>
                <w:color w:val="auto"/>
                <w:sz w:val="18"/>
                <w:szCs w:val="18"/>
              </w:rPr>
              <w:t>開始治療時病患須同時符合下列Ⅰ.與Ⅱ.的條件</w:t>
            </w:r>
            <w:r>
              <w:rPr>
                <w:rFonts w:ascii="新細明體" w:eastAsia="新細明體" w:hAnsi="新細明體"/>
                <w:color w:val="auto"/>
                <w:sz w:val="18"/>
                <w:szCs w:val="18"/>
              </w:rPr>
              <w:t>：</w:t>
            </w:r>
          </w:p>
          <w:p w14:paraId="400A39CE" w14:textId="77777777" w:rsidR="00BD776B" w:rsidRDefault="00DF0C24">
            <w:pPr>
              <w:spacing w:line="180" w:lineRule="exact"/>
              <w:ind w:left="270" w:hanging="270"/>
              <w:rPr>
                <w:rFonts w:ascii="標楷體" w:eastAsia="標楷體" w:hAnsi="標楷體"/>
                <w:sz w:val="18"/>
                <w:szCs w:val="18"/>
              </w:rPr>
            </w:pPr>
            <w:r>
              <w:rPr>
                <w:rFonts w:ascii="標楷體" w:eastAsia="標楷體" w:hAnsi="標楷體"/>
                <w:sz w:val="18"/>
                <w:szCs w:val="18"/>
              </w:rPr>
              <w:t>Ⅰ.骨髓漿細胞(plasma cells)比例≧10%，或是經切片確認且有≧1顆的plasmacytoma。</w:t>
            </w:r>
          </w:p>
          <w:p w14:paraId="6358595E" w14:textId="77777777" w:rsidR="00BD776B" w:rsidRDefault="00DF0C24">
            <w:pPr>
              <w:spacing w:line="180" w:lineRule="exact"/>
              <w:ind w:left="270" w:hanging="270"/>
              <w:rPr>
                <w:rFonts w:ascii="標楷體" w:eastAsia="標楷體" w:hAnsi="標楷體"/>
                <w:sz w:val="18"/>
                <w:szCs w:val="18"/>
              </w:rPr>
            </w:pPr>
            <w:r>
              <w:rPr>
                <w:rFonts w:ascii="標楷體" w:eastAsia="標楷體" w:hAnsi="標楷體"/>
                <w:sz w:val="18"/>
                <w:szCs w:val="18"/>
              </w:rPr>
              <w:t>Ⅱ.出現下列任一臨床症狀：</w:t>
            </w:r>
          </w:p>
          <w:p w14:paraId="4F695A91" w14:textId="77777777" w:rsidR="00BD776B" w:rsidRDefault="00DF0C24">
            <w:pPr>
              <w:spacing w:line="180" w:lineRule="exact"/>
              <w:ind w:left="270" w:hanging="270"/>
            </w:pPr>
            <w:r>
              <w:rPr>
                <w:rFonts w:ascii="新細明體" w:hAnsi="新細明體" w:cs="新細明體"/>
                <w:sz w:val="18"/>
                <w:szCs w:val="18"/>
              </w:rPr>
              <w:t>ⅰ</w:t>
            </w:r>
            <w:r>
              <w:rPr>
                <w:rFonts w:ascii="標楷體" w:eastAsia="標楷體" w:hAnsi="標楷體"/>
                <w:sz w:val="18"/>
                <w:szCs w:val="18"/>
              </w:rPr>
              <w:t>.腎功能不全：serum creatinine＞2.0mg/dL或estimated GFR (eGFR)＜40 ml/min，且無其他原因可以解釋。</w:t>
            </w:r>
          </w:p>
          <w:p w14:paraId="17C44A57" w14:textId="77777777" w:rsidR="00BD776B" w:rsidRDefault="00DF0C24">
            <w:pPr>
              <w:spacing w:line="180" w:lineRule="exact"/>
              <w:ind w:left="270" w:hanging="270"/>
            </w:pPr>
            <w:r>
              <w:rPr>
                <w:rFonts w:ascii="新細明體" w:hAnsi="新細明體" w:cs="新細明體"/>
                <w:sz w:val="18"/>
                <w:szCs w:val="18"/>
              </w:rPr>
              <w:t>ⅱ</w:t>
            </w:r>
            <w:r>
              <w:rPr>
                <w:rFonts w:ascii="標楷體" w:eastAsia="標楷體" w:hAnsi="標楷體"/>
                <w:sz w:val="18"/>
                <w:szCs w:val="18"/>
              </w:rPr>
              <w:t>.高血鈣(corrected serum calcium＞11.0 mg/dL 或 2.75 mmol/L)。</w:t>
            </w:r>
          </w:p>
          <w:p w14:paraId="6064A107" w14:textId="77777777" w:rsidR="00BD776B" w:rsidRDefault="00DF0C24">
            <w:pPr>
              <w:spacing w:line="180" w:lineRule="exact"/>
              <w:rPr>
                <w:rFonts w:ascii="標楷體" w:eastAsia="標楷體" w:hAnsi="標楷體"/>
                <w:sz w:val="18"/>
                <w:szCs w:val="18"/>
              </w:rPr>
            </w:pPr>
            <w:r>
              <w:rPr>
                <w:rFonts w:ascii="標楷體" w:eastAsia="標楷體" w:hAnsi="標楷體"/>
                <w:sz w:val="18"/>
                <w:szCs w:val="18"/>
              </w:rPr>
              <w:t>iii.貧血(Hemoglobin＜10 gm/dL且無其他原因可以解釋)。</w:t>
            </w:r>
          </w:p>
          <w:p w14:paraId="0F8276F1" w14:textId="77777777" w:rsidR="00BD776B" w:rsidRDefault="00DF0C24">
            <w:pPr>
              <w:spacing w:line="180" w:lineRule="exact"/>
              <w:rPr>
                <w:rFonts w:ascii="標楷體" w:eastAsia="標楷體" w:hAnsi="標楷體"/>
                <w:sz w:val="18"/>
                <w:szCs w:val="18"/>
              </w:rPr>
            </w:pPr>
            <w:r>
              <w:rPr>
                <w:rFonts w:ascii="標楷體" w:eastAsia="標楷體" w:hAnsi="標楷體"/>
                <w:sz w:val="18"/>
                <w:szCs w:val="18"/>
              </w:rPr>
              <w:t>iv.影像檢查確認之osteolytic bone lesion(s)。</w:t>
            </w:r>
          </w:p>
          <w:p w14:paraId="1B19B686" w14:textId="77777777" w:rsidR="00BD776B" w:rsidRDefault="00DF0C24">
            <w:pPr>
              <w:spacing w:line="180" w:lineRule="exact"/>
              <w:rPr>
                <w:rFonts w:ascii="標楷體" w:eastAsia="標楷體" w:hAnsi="標楷體"/>
                <w:sz w:val="18"/>
                <w:szCs w:val="18"/>
              </w:rPr>
            </w:pPr>
            <w:r>
              <w:rPr>
                <w:rFonts w:ascii="標楷體" w:eastAsia="標楷體" w:hAnsi="標楷體"/>
                <w:sz w:val="18"/>
                <w:szCs w:val="18"/>
              </w:rPr>
              <w:t>v.骨髓漿細胞(plasma cells)比例≧60%。</w:t>
            </w:r>
          </w:p>
          <w:p w14:paraId="447BE448" w14:textId="77777777" w:rsidR="00BD776B" w:rsidRDefault="00DF0C24">
            <w:pPr>
              <w:spacing w:line="180" w:lineRule="exact"/>
              <w:rPr>
                <w:rFonts w:ascii="標楷體" w:eastAsia="標楷體" w:hAnsi="標楷體"/>
                <w:sz w:val="18"/>
                <w:szCs w:val="18"/>
              </w:rPr>
            </w:pPr>
            <w:r>
              <w:rPr>
                <w:rFonts w:ascii="標楷體" w:eastAsia="標楷體" w:hAnsi="標楷體"/>
                <w:sz w:val="18"/>
                <w:szCs w:val="18"/>
              </w:rPr>
              <w:t>vi.Serum free light-chain ratio≧100。</w:t>
            </w:r>
          </w:p>
          <w:p w14:paraId="5FF1816F" w14:textId="77777777" w:rsidR="00BD776B" w:rsidRDefault="00DF0C24">
            <w:pPr>
              <w:spacing w:line="180" w:lineRule="exact"/>
              <w:ind w:left="270" w:hanging="270"/>
              <w:rPr>
                <w:rFonts w:ascii="標楷體" w:eastAsia="標楷體" w:hAnsi="標楷體"/>
                <w:sz w:val="18"/>
                <w:szCs w:val="18"/>
              </w:rPr>
            </w:pPr>
            <w:r>
              <w:rPr>
                <w:rFonts w:ascii="標楷體" w:eastAsia="標楷體" w:hAnsi="標楷體"/>
                <w:sz w:val="18"/>
                <w:szCs w:val="18"/>
              </w:rPr>
              <w:t>(4)使用4個療程後，必須確定藥物使用後paraprotein (M-protein)未上升 (即表示為response或stable status)，或對部分non-secretory type MM病人以骨髓檢查plasma cell之比率為療效依據，方可繼續使用。</w:t>
            </w:r>
          </w:p>
          <w:p w14:paraId="4EFF7303" w14:textId="77777777" w:rsidR="00BD776B" w:rsidRDefault="00DF0C24">
            <w:pPr>
              <w:spacing w:line="180" w:lineRule="exact"/>
              <w:ind w:left="270" w:hanging="270"/>
              <w:rPr>
                <w:rFonts w:ascii="標楷體" w:eastAsia="標楷體" w:hAnsi="標楷體"/>
                <w:sz w:val="18"/>
                <w:szCs w:val="18"/>
              </w:rPr>
            </w:pPr>
            <w:r>
              <w:rPr>
                <w:rFonts w:ascii="標楷體" w:eastAsia="標楷體" w:hAnsi="標楷體"/>
                <w:sz w:val="18"/>
                <w:szCs w:val="18"/>
              </w:rPr>
              <w:t>(5)若病患於前線療程符合前項規定(4)之療效而醫師決定可暫時停藥，則後續療程可保留，於疾病復發時，再行申請使用。</w:t>
            </w:r>
          </w:p>
          <w:p w14:paraId="38EC2550" w14:textId="77777777" w:rsidR="00BD776B" w:rsidRDefault="00DF0C24">
            <w:pPr>
              <w:spacing w:line="180" w:lineRule="exact"/>
              <w:ind w:left="270" w:hanging="270"/>
            </w:pPr>
            <w:r>
              <w:rPr>
                <w:rFonts w:ascii="標楷體" w:eastAsia="標楷體" w:hAnsi="標楷體"/>
                <w:sz w:val="18"/>
                <w:szCs w:val="18"/>
              </w:rPr>
              <w:t>(6)112年3月31日以前已核定用藥之病人，得經事前審查核准後，使用至總療程上限（即終生16個療程）或使用期間發生疾病惡化為止。</w:t>
            </w:r>
          </w:p>
          <w:p w14:paraId="56604521" w14:textId="77777777" w:rsidR="00BD776B" w:rsidRDefault="00DF0C24">
            <w:pPr>
              <w:snapToGrid w:val="0"/>
              <w:spacing w:line="180" w:lineRule="exact"/>
              <w:ind w:left="208" w:hanging="208"/>
            </w:pPr>
            <w:r>
              <w:rPr>
                <w:rFonts w:ascii="標楷體" w:eastAsia="標楷體" w:hAnsi="標楷體"/>
                <w:color w:val="000000"/>
                <w:kern w:val="0"/>
                <w:sz w:val="18"/>
                <w:szCs w:val="18"/>
              </w:rPr>
              <w:t>□被套細胞淋巴瘤Mantle Cell L</w:t>
            </w:r>
            <w:r>
              <w:rPr>
                <w:rFonts w:ascii="標楷體" w:eastAsia="標楷體" w:hAnsi="標楷體"/>
                <w:color w:val="000000"/>
                <w:sz w:val="18"/>
                <w:szCs w:val="18"/>
              </w:rPr>
              <w:t>ymphoma（MCL）病人。</w:t>
            </w:r>
          </w:p>
          <w:p w14:paraId="4648DF60" w14:textId="77777777" w:rsidR="00BD776B" w:rsidRDefault="00DF0C24">
            <w:pPr>
              <w:pStyle w:val="11"/>
              <w:snapToGrid w:val="0"/>
              <w:spacing w:line="180" w:lineRule="exact"/>
              <w:ind w:left="0" w:firstLine="0"/>
              <w:rPr>
                <w:rFonts w:ascii="標楷體" w:hAnsi="標楷體"/>
                <w:sz w:val="18"/>
                <w:szCs w:val="18"/>
              </w:rPr>
            </w:pPr>
            <w:r>
              <w:rPr>
                <w:rFonts w:ascii="標楷體" w:hAnsi="標楷體"/>
                <w:sz w:val="18"/>
                <w:szCs w:val="18"/>
              </w:rPr>
              <w:t>(1)每人以8個療程為上限。</w:t>
            </w:r>
          </w:p>
          <w:p w14:paraId="74AE3E4A" w14:textId="77777777" w:rsidR="00BD776B" w:rsidRDefault="00DF0C24">
            <w:pPr>
              <w:pStyle w:val="11"/>
              <w:snapToGrid w:val="0"/>
              <w:spacing w:line="180" w:lineRule="exact"/>
              <w:ind w:left="270" w:hanging="270"/>
            </w:pPr>
            <w:r>
              <w:rPr>
                <w:rFonts w:ascii="標楷體" w:hAnsi="標楷體"/>
                <w:sz w:val="18"/>
                <w:szCs w:val="18"/>
              </w:rPr>
              <w:t>(2)每日最大劑量1.5mg/m</w:t>
            </w:r>
            <w:r>
              <w:rPr>
                <w:rFonts w:ascii="標楷體" w:hAnsi="標楷體"/>
                <w:sz w:val="18"/>
                <w:szCs w:val="18"/>
                <w:vertAlign w:val="superscript"/>
              </w:rPr>
              <w:t>2</w:t>
            </w:r>
            <w:r>
              <w:rPr>
                <w:rFonts w:ascii="標楷體" w:hAnsi="標楷體"/>
                <w:sz w:val="18"/>
                <w:szCs w:val="18"/>
              </w:rPr>
              <w:t>/day；每個療程第1,4,8,11日給藥。</w:t>
            </w:r>
          </w:p>
          <w:p w14:paraId="5B98839C" w14:textId="77777777" w:rsidR="00BD776B" w:rsidRDefault="00DF0C24">
            <w:pPr>
              <w:pStyle w:val="11"/>
              <w:snapToGrid w:val="0"/>
              <w:spacing w:line="180" w:lineRule="exact"/>
              <w:ind w:left="0" w:firstLine="0"/>
              <w:rPr>
                <w:rFonts w:ascii="標楷體" w:hAnsi="標楷體"/>
                <w:sz w:val="18"/>
                <w:szCs w:val="18"/>
              </w:rPr>
            </w:pPr>
            <w:r>
              <w:rPr>
                <w:rFonts w:ascii="標楷體" w:hAnsi="標楷體"/>
                <w:sz w:val="18"/>
                <w:szCs w:val="18"/>
              </w:rPr>
              <w:t>(3)第一線使用過復發者，不得申請再次使用。</w:t>
            </w:r>
          </w:p>
          <w:p w14:paraId="04FDD2B7" w14:textId="77777777" w:rsidR="00BD776B" w:rsidRDefault="00DF0C24">
            <w:pPr>
              <w:pStyle w:val="11"/>
              <w:snapToGrid w:val="0"/>
              <w:spacing w:line="180" w:lineRule="exact"/>
              <w:ind w:left="0" w:firstLine="0"/>
              <w:rPr>
                <w:rFonts w:ascii="標楷體" w:hAnsi="標楷體"/>
                <w:sz w:val="18"/>
                <w:szCs w:val="18"/>
              </w:rPr>
            </w:pPr>
            <w:r>
              <w:rPr>
                <w:rFonts w:ascii="標楷體" w:hAnsi="標楷體"/>
                <w:sz w:val="18"/>
                <w:szCs w:val="18"/>
              </w:rPr>
              <w:t>(4)需經事前審查核准後使用。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95E32" w14:textId="77777777" w:rsidR="00BD776B" w:rsidRDefault="00BD776B">
            <w:pPr>
              <w:snapToGrid w:val="0"/>
              <w:rPr>
                <w:rFonts w:ascii="標楷體" w:eastAsia="標楷體" w:hAnsi="標楷體"/>
                <w:color w:val="000000"/>
                <w:sz w:val="20"/>
                <w:szCs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F61FA" w14:textId="77777777" w:rsidR="00BD776B" w:rsidRDefault="00BD776B">
            <w:pPr>
              <w:snapToGrid w:val="0"/>
              <w:rPr>
                <w:rFonts w:ascii="標楷體" w:eastAsia="標楷體" w:hAnsi="標楷體"/>
                <w:color w:val="000000"/>
                <w:sz w:val="20"/>
                <w:szCs w:val="20"/>
              </w:rPr>
            </w:pPr>
          </w:p>
        </w:tc>
        <w:tc>
          <w:tcPr>
            <w:tcW w:w="5109"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28EAE67" w14:textId="77777777" w:rsidR="00BD776B" w:rsidRDefault="00DF0C24" w:rsidP="008A7063">
            <w:pPr>
              <w:numPr>
                <w:ilvl w:val="0"/>
                <w:numId w:val="60"/>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76C5858C"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使用劑量不符合常規，核定量為</w:t>
            </w:r>
          </w:p>
          <w:p w14:paraId="12A14DCA" w14:textId="77777777" w:rsidR="00BD776B" w:rsidRDefault="00DF0C24">
            <w:pPr>
              <w:snapToGrid w:val="0"/>
              <w:spacing w:line="240" w:lineRule="exact"/>
            </w:pPr>
            <w:r>
              <w:rPr>
                <w:rFonts w:ascii="標楷體" w:eastAsia="標楷體" w:hAnsi="標楷體" w:cs="標楷體"/>
                <w:color w:val="000000"/>
                <w:sz w:val="20"/>
                <w:szCs w:val="20"/>
              </w:rPr>
              <w:t>□不同意</w:t>
            </w:r>
          </w:p>
          <w:p w14:paraId="5131F0A9"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不符合適應症。</w:t>
            </w:r>
          </w:p>
          <w:p w14:paraId="03EA58AB"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不符合併用二種此類藥物之適應症</w:t>
            </w:r>
          </w:p>
          <w:p w14:paraId="5058405B"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未附病理切片報告或細胞學檢查報告</w:t>
            </w:r>
          </w:p>
          <w:p w14:paraId="64A9D1A7"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未附使用其他抗癌藥物無效之記錄</w:t>
            </w:r>
          </w:p>
          <w:p w14:paraId="61DCD167"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未附目前是否為晚期或轉移之病歷</w:t>
            </w:r>
          </w:p>
          <w:p w14:paraId="6F5A3F2C" w14:textId="77777777" w:rsidR="00BD776B" w:rsidRDefault="00DF0C24" w:rsidP="008A7063">
            <w:pPr>
              <w:numPr>
                <w:ilvl w:val="0"/>
                <w:numId w:val="60"/>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74366441" w14:textId="77777777" w:rsidR="00BD776B" w:rsidRDefault="00DF0C24" w:rsidP="008A7063">
            <w:pPr>
              <w:numPr>
                <w:ilvl w:val="0"/>
                <w:numId w:val="60"/>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65B119C2"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補附資料再審，請補充以下資料</w:t>
            </w:r>
          </w:p>
          <w:p w14:paraId="563602F7" w14:textId="77777777" w:rsidR="00BD776B" w:rsidRDefault="00DF0C24" w:rsidP="008A7063">
            <w:pPr>
              <w:numPr>
                <w:ilvl w:val="0"/>
                <w:numId w:val="60"/>
              </w:numPr>
              <w:tabs>
                <w:tab w:val="left" w:pos="240"/>
              </w:tabs>
              <w:snapToGrid w:val="0"/>
              <w:spacing w:line="240" w:lineRule="exact"/>
              <w:ind w:left="408" w:hanging="170"/>
            </w:pPr>
            <w:r>
              <w:rPr>
                <w:rFonts w:ascii="標楷體" w:eastAsia="標楷體" w:hAnsi="標楷體" w:cs="標楷體"/>
                <w:color w:val="000000"/>
                <w:sz w:val="20"/>
                <w:szCs w:val="20"/>
              </w:rPr>
              <w:t>其他：</w:t>
            </w:r>
          </w:p>
        </w:tc>
      </w:tr>
      <w:tr w:rsidR="00BD776B" w14:paraId="523D1AD6" w14:textId="77777777">
        <w:trPr>
          <w:cantSplit/>
          <w:trHeight w:val="487"/>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07C10" w14:textId="77777777" w:rsidR="00BD776B" w:rsidRDefault="00DF0C24">
            <w:pPr>
              <w:snapToGrid w:val="0"/>
            </w:pPr>
            <w:r>
              <w:rPr>
                <w:rFonts w:ascii="標楷體" w:eastAsia="標楷體" w:hAnsi="標楷體" w:cs="標楷體"/>
                <w:color w:val="000000"/>
              </w:rPr>
              <w:t>注意事項</w:t>
            </w:r>
          </w:p>
          <w:p w14:paraId="60946EB7" w14:textId="77777777" w:rsidR="00BD776B" w:rsidRDefault="00BD776B">
            <w:pPr>
              <w:snapToGrid w:val="0"/>
              <w:spacing w:line="200" w:lineRule="exact"/>
              <w:ind w:hanging="211"/>
              <w:rPr>
                <w:rFonts w:ascii="標楷體" w:eastAsia="標楷體" w:hAnsi="標楷體"/>
                <w:color w:val="000000"/>
                <w:sz w:val="20"/>
                <w:szCs w:val="20"/>
              </w:rPr>
            </w:pPr>
          </w:p>
        </w:tc>
        <w:tc>
          <w:tcPr>
            <w:tcW w:w="10060"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85AE4"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本申請書限一人一案，由本保險特約醫事服務機構填報，不必備文，請逕向保險人各分區業務組申請審核。</w:t>
            </w:r>
          </w:p>
          <w:p w14:paraId="7373B2B1"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「原受理編號」申復時填寫，初次送核不須填寫。</w:t>
            </w:r>
          </w:p>
          <w:p w14:paraId="389B36A6"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應事前審查之項目未依規定事前申請核准者，不予給付費用；事前申請核准之個案，日後如經審定保險對象或醫事服務機構有不符全民健康保險給付規定者，亦不予給付費用。</w:t>
            </w:r>
          </w:p>
          <w:p w14:paraId="358C4C02"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對核定結果如有異議，得於收到核定通知之日起六十日內，重行填寫乙份申請書(應勾註申復，並填明原受理編號)向原核定單位申請複核。</w:t>
            </w:r>
          </w:p>
          <w:p w14:paraId="624CAA10"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對複核結果如有異議，得於收到複核通知之日起六十日內向全民健康保險爭議審議會申請審議。</w:t>
            </w:r>
          </w:p>
          <w:p w14:paraId="322510A3"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對核定結果有異議者，應循上述申復及爭議審議途徑申請複核或審議，不得以新個案重新申請送核，否則不予受理。</w:t>
            </w:r>
          </w:p>
          <w:p w14:paraId="52FC1B79" w14:textId="77777777" w:rsidR="00BD776B" w:rsidRDefault="00DF0C24" w:rsidP="008A7063">
            <w:pPr>
              <w:numPr>
                <w:ilvl w:val="0"/>
                <w:numId w:val="61"/>
              </w:numPr>
              <w:snapToGrid w:val="0"/>
              <w:spacing w:line="200" w:lineRule="exact"/>
              <w:ind w:left="0"/>
            </w:pPr>
            <w:r>
              <w:rPr>
                <w:rFonts w:ascii="標楷體" w:eastAsia="標楷體" w:hAnsi="標楷體"/>
                <w:color w:val="000000"/>
                <w:kern w:val="0"/>
                <w:sz w:val="18"/>
                <w:szCs w:val="18"/>
              </w:rPr>
              <w:t>保險醫事服務機構如因事出緊急，得以書面說明電傳保險人報備後，先行處理治療，並立即備齊應附文件備查。</w:t>
            </w:r>
          </w:p>
        </w:tc>
        <w:tc>
          <w:tcPr>
            <w:tcW w:w="5109" w:type="dxa"/>
            <w:gridSpan w:val="9"/>
            <w:tcBorders>
              <w:left w:val="single" w:sz="4" w:space="0" w:color="000000"/>
              <w:right w:val="single" w:sz="4" w:space="0" w:color="000000"/>
            </w:tcBorders>
            <w:shd w:val="clear" w:color="auto" w:fill="auto"/>
            <w:tcMar>
              <w:top w:w="0" w:type="dxa"/>
              <w:left w:w="28" w:type="dxa"/>
              <w:bottom w:w="0" w:type="dxa"/>
              <w:right w:w="28" w:type="dxa"/>
            </w:tcMar>
          </w:tcPr>
          <w:p w14:paraId="2CB6DE21" w14:textId="77777777" w:rsidR="00BD776B" w:rsidRDefault="00BD776B">
            <w:pPr>
              <w:snapToGrid w:val="0"/>
              <w:rPr>
                <w:rFonts w:ascii="標楷體" w:eastAsia="標楷體" w:hAnsi="標楷體"/>
                <w:color w:val="000000"/>
                <w:sz w:val="20"/>
                <w:szCs w:val="20"/>
              </w:rPr>
            </w:pPr>
          </w:p>
          <w:p w14:paraId="7E746469" w14:textId="77777777" w:rsidR="00BD776B" w:rsidRDefault="00BD776B">
            <w:pPr>
              <w:snapToGrid w:val="0"/>
              <w:rPr>
                <w:rFonts w:ascii="標楷體" w:eastAsia="標楷體" w:hAnsi="標楷體"/>
                <w:color w:val="000000"/>
                <w:sz w:val="20"/>
                <w:szCs w:val="20"/>
              </w:rPr>
            </w:pPr>
          </w:p>
        </w:tc>
      </w:tr>
      <w:tr w:rsidR="00BD776B" w14:paraId="400B7D04" w14:textId="77777777">
        <w:trPr>
          <w:cantSplit/>
          <w:trHeight w:val="965"/>
        </w:trPr>
        <w:tc>
          <w:tcPr>
            <w:tcW w:w="7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B65FA" w14:textId="77777777" w:rsidR="00BD776B" w:rsidRDefault="00BD776B">
            <w:pPr>
              <w:snapToGrid w:val="0"/>
              <w:ind w:left="211" w:hanging="211"/>
              <w:rPr>
                <w:rFonts w:ascii="標楷體" w:eastAsia="標楷體" w:hAnsi="標楷體"/>
                <w:color w:val="000000"/>
              </w:rPr>
            </w:pPr>
          </w:p>
        </w:tc>
        <w:tc>
          <w:tcPr>
            <w:tcW w:w="10060"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3E051" w14:textId="77777777" w:rsidR="00BD776B" w:rsidRDefault="00BD776B">
            <w:pPr>
              <w:snapToGrid w:val="0"/>
              <w:ind w:left="211" w:hanging="211"/>
              <w:rPr>
                <w:rFonts w:ascii="標楷體" w:eastAsia="標楷體" w:hAnsi="標楷體"/>
                <w:color w:val="000000"/>
                <w:sz w:val="20"/>
                <w:szCs w:val="18"/>
              </w:rPr>
            </w:pPr>
          </w:p>
        </w:tc>
        <w:tc>
          <w:tcPr>
            <w:tcW w:w="3405" w:type="dxa"/>
            <w:gridSpan w:val="7"/>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15B9F" w14:textId="77777777" w:rsidR="00BD776B" w:rsidRDefault="00DF0C24">
            <w:pPr>
              <w:snapToGrid w:val="0"/>
              <w:jc w:val="both"/>
            </w:pPr>
            <w:r>
              <w:rPr>
                <w:rFonts w:ascii="標楷體" w:eastAsia="標楷體" w:hAnsi="標楷體"/>
                <w:color w:val="000000"/>
                <w:sz w:val="20"/>
                <w:szCs w:val="20"/>
              </w:rPr>
              <w:t>保險人</w:t>
            </w:r>
            <w:r>
              <w:rPr>
                <w:rFonts w:ascii="標楷體" w:eastAsia="標楷體" w:hAnsi="標楷體" w:cs="標楷體"/>
                <w:color w:val="000000"/>
                <w:sz w:val="20"/>
                <w:szCs w:val="20"/>
              </w:rPr>
              <w:t>日期章戳</w:t>
            </w:r>
          </w:p>
          <w:p w14:paraId="08A48E39" w14:textId="77777777" w:rsidR="00BD776B" w:rsidRDefault="00BD776B">
            <w:pPr>
              <w:snapToGrid w:val="0"/>
              <w:jc w:val="both"/>
              <w:rPr>
                <w:rFonts w:ascii="標楷體" w:eastAsia="標楷體" w:hAnsi="標楷體" w:cs="標楷體"/>
                <w:color w:val="000000"/>
                <w:sz w:val="20"/>
                <w:szCs w:val="20"/>
              </w:rPr>
            </w:pPr>
          </w:p>
          <w:p w14:paraId="2BF0E1AC" w14:textId="77777777" w:rsidR="00BD776B" w:rsidRDefault="00BD776B">
            <w:pPr>
              <w:snapToGrid w:val="0"/>
              <w:jc w:val="both"/>
              <w:rPr>
                <w:rFonts w:ascii="標楷體" w:eastAsia="標楷體" w:hAnsi="標楷體"/>
                <w:color w:val="000000"/>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E4977" w14:textId="77777777" w:rsidR="00BD776B" w:rsidRDefault="00DF0C24">
            <w:pPr>
              <w:snapToGrid w:val="0"/>
            </w:pPr>
            <w:r>
              <w:rPr>
                <w:rFonts w:ascii="標楷體" w:eastAsia="標楷體" w:hAnsi="標楷體" w:cs="標楷體"/>
                <w:color w:val="000000"/>
                <w:sz w:val="20"/>
              </w:rPr>
              <w:t>審查醫師</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54D18" w14:textId="77777777" w:rsidR="00BD776B" w:rsidRDefault="00BD776B">
            <w:pPr>
              <w:snapToGrid w:val="0"/>
              <w:rPr>
                <w:rFonts w:ascii="標楷體" w:eastAsia="標楷體" w:hAnsi="標楷體"/>
                <w:color w:val="000000"/>
                <w:sz w:val="20"/>
              </w:rPr>
            </w:pPr>
          </w:p>
        </w:tc>
      </w:tr>
      <w:tr w:rsidR="00BD776B" w14:paraId="7DC90716" w14:textId="77777777">
        <w:trPr>
          <w:cantSplit/>
          <w:trHeight w:val="407"/>
        </w:trPr>
        <w:tc>
          <w:tcPr>
            <w:tcW w:w="7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7E07E" w14:textId="77777777" w:rsidR="00BD776B" w:rsidRDefault="00BD776B">
            <w:pPr>
              <w:snapToGrid w:val="0"/>
              <w:ind w:left="211" w:hanging="211"/>
              <w:rPr>
                <w:rFonts w:ascii="標楷體" w:eastAsia="標楷體" w:hAnsi="標楷體"/>
                <w:color w:val="000000"/>
              </w:rPr>
            </w:pPr>
          </w:p>
        </w:tc>
        <w:tc>
          <w:tcPr>
            <w:tcW w:w="10060"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BF3AC" w14:textId="77777777" w:rsidR="00BD776B" w:rsidRDefault="00BD776B">
            <w:pPr>
              <w:snapToGrid w:val="0"/>
              <w:ind w:left="211" w:hanging="211"/>
              <w:rPr>
                <w:rFonts w:ascii="標楷體" w:eastAsia="標楷體" w:hAnsi="標楷體"/>
                <w:color w:val="000000"/>
                <w:sz w:val="20"/>
                <w:szCs w:val="18"/>
              </w:rPr>
            </w:pPr>
          </w:p>
        </w:tc>
        <w:tc>
          <w:tcPr>
            <w:tcW w:w="3405" w:type="dxa"/>
            <w:gridSpan w:val="7"/>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00CA3" w14:textId="77777777" w:rsidR="00BD776B" w:rsidRDefault="00BD776B">
            <w:pPr>
              <w:snapToGrid w:val="0"/>
              <w:rPr>
                <w:rFonts w:ascii="標楷體" w:eastAsia="標楷體" w:hAnsi="標楷體"/>
                <w:color w:val="000000"/>
                <w:sz w:val="20"/>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1AC7F" w14:textId="77777777" w:rsidR="00BD776B" w:rsidRDefault="00BD776B">
            <w:pPr>
              <w:snapToGrid w:val="0"/>
              <w:rPr>
                <w:rFonts w:ascii="標楷體" w:eastAsia="標楷體" w:hAnsi="標楷體"/>
                <w:color w:val="000000"/>
                <w:sz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35176" w14:textId="77777777" w:rsidR="00BD776B" w:rsidRDefault="00BD776B">
            <w:pPr>
              <w:snapToGrid w:val="0"/>
              <w:rPr>
                <w:rFonts w:ascii="標楷體" w:eastAsia="標楷體" w:hAnsi="標楷體"/>
                <w:color w:val="000000"/>
                <w:sz w:val="20"/>
              </w:rPr>
            </w:pPr>
          </w:p>
        </w:tc>
      </w:tr>
      <w:tr w:rsidR="00BD776B" w14:paraId="318BAC2F" w14:textId="77777777">
        <w:trPr>
          <w:cantSplit/>
          <w:trHeight w:val="722"/>
        </w:trPr>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1D46D"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醫事服務機構</w:t>
            </w:r>
          </w:p>
        </w:tc>
        <w:tc>
          <w:tcPr>
            <w:tcW w:w="97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F0FC5" w14:textId="77777777" w:rsidR="00BD776B" w:rsidRDefault="00DF0C24">
            <w:pPr>
              <w:snapToGrid w:val="0"/>
              <w:spacing w:line="200" w:lineRule="exact"/>
            </w:pPr>
            <w:r>
              <w:rPr>
                <w:rFonts w:ascii="標楷體" w:eastAsia="標楷體" w:hAnsi="標楷體" w:cs="標楷體"/>
                <w:color w:val="000000"/>
                <w:sz w:val="20"/>
                <w:szCs w:val="18"/>
              </w:rPr>
              <w:t>醫院申請日期：   年   月   日</w:t>
            </w:r>
          </w:p>
          <w:p w14:paraId="486CDEEB" w14:textId="77777777" w:rsidR="00BD776B" w:rsidRDefault="00BD776B">
            <w:pPr>
              <w:snapToGrid w:val="0"/>
              <w:spacing w:line="200" w:lineRule="exact"/>
              <w:rPr>
                <w:rFonts w:ascii="標楷體" w:eastAsia="標楷體" w:hAnsi="標楷體"/>
                <w:color w:val="000000"/>
                <w:sz w:val="20"/>
                <w:szCs w:val="18"/>
              </w:rPr>
            </w:pPr>
          </w:p>
          <w:p w14:paraId="13B0BBDC" w14:textId="77777777" w:rsidR="00BD776B" w:rsidRDefault="00DF0C24">
            <w:pPr>
              <w:snapToGrid w:val="0"/>
              <w:spacing w:line="200" w:lineRule="exact"/>
            </w:pPr>
            <w:r>
              <w:rPr>
                <w:rFonts w:ascii="標楷體" w:eastAsia="標楷體" w:hAnsi="標楷體" w:cs="標楷體"/>
                <w:color w:val="000000"/>
                <w:sz w:val="20"/>
                <w:szCs w:val="18"/>
              </w:rPr>
              <w:t>印信</w:t>
            </w:r>
            <w:r>
              <w:rPr>
                <w:rFonts w:ascii="標楷體" w:eastAsia="標楷體" w:hAnsi="標楷體"/>
                <w:color w:val="000000"/>
                <w:sz w:val="20"/>
                <w:szCs w:val="18"/>
              </w:rPr>
              <w:tab/>
            </w:r>
            <w:r>
              <w:rPr>
                <w:rFonts w:ascii="標楷體" w:eastAsia="標楷體" w:hAnsi="標楷體"/>
                <w:color w:val="000000"/>
                <w:sz w:val="20"/>
                <w:szCs w:val="18"/>
              </w:rPr>
              <w:tab/>
            </w:r>
            <w:r>
              <w:rPr>
                <w:rFonts w:ascii="標楷體" w:eastAsia="標楷體" w:hAnsi="標楷體"/>
                <w:color w:val="000000"/>
                <w:sz w:val="20"/>
                <w:szCs w:val="18"/>
              </w:rPr>
              <w:tab/>
            </w:r>
            <w:r>
              <w:rPr>
                <w:rFonts w:ascii="標楷體" w:eastAsia="標楷體" w:hAnsi="標楷體"/>
                <w:color w:val="000000"/>
                <w:sz w:val="20"/>
                <w:szCs w:val="18"/>
              </w:rPr>
              <w:tab/>
            </w:r>
            <w:r>
              <w:rPr>
                <w:rFonts w:ascii="標楷體" w:eastAsia="標楷體" w:hAnsi="標楷體"/>
                <w:color w:val="000000"/>
                <w:sz w:val="20"/>
                <w:szCs w:val="18"/>
              </w:rPr>
              <w:tab/>
            </w:r>
            <w:r>
              <w:rPr>
                <w:rFonts w:ascii="標楷體" w:eastAsia="標楷體" w:hAnsi="標楷體" w:cs="標楷體"/>
                <w:color w:val="000000"/>
                <w:sz w:val="20"/>
                <w:szCs w:val="18"/>
              </w:rPr>
              <w:t>文號：</w:t>
            </w:r>
          </w:p>
        </w:tc>
        <w:tc>
          <w:tcPr>
            <w:tcW w:w="5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39C44"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71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EE97F" w14:textId="77777777" w:rsidR="00BD776B" w:rsidRDefault="00BD776B">
            <w:pPr>
              <w:widowControl/>
              <w:snapToGrid w:val="0"/>
              <w:spacing w:line="200" w:lineRule="exact"/>
              <w:rPr>
                <w:rFonts w:ascii="標楷體" w:eastAsia="標楷體" w:hAnsi="標楷體"/>
                <w:color w:val="000000"/>
                <w:sz w:val="20"/>
                <w:szCs w:val="20"/>
              </w:rPr>
            </w:pPr>
          </w:p>
          <w:p w14:paraId="1DC06C4E" w14:textId="77777777" w:rsidR="00BD776B" w:rsidRDefault="00BD776B">
            <w:pPr>
              <w:snapToGrid w:val="0"/>
              <w:spacing w:line="200" w:lineRule="exact"/>
              <w:rPr>
                <w:rFonts w:ascii="標楷體" w:eastAsia="標楷體" w:hAnsi="標楷體"/>
                <w:color w:val="000000"/>
                <w:sz w:val="20"/>
                <w:szCs w:val="20"/>
              </w:rPr>
            </w:pPr>
          </w:p>
        </w:tc>
        <w:tc>
          <w:tcPr>
            <w:tcW w:w="28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7A487" w14:textId="77777777" w:rsidR="00BD776B" w:rsidRDefault="00DF0C24">
            <w:pPr>
              <w:widowControl/>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複</w:t>
            </w:r>
          </w:p>
          <w:p w14:paraId="123FD817" w14:textId="77777777" w:rsidR="00BD776B" w:rsidRDefault="00DF0C24">
            <w:pPr>
              <w:widowControl/>
              <w:snapToGrid w:val="0"/>
              <w:spacing w:line="200" w:lineRule="exact"/>
            </w:pPr>
            <w:r>
              <w:rPr>
                <w:rFonts w:ascii="標楷體" w:eastAsia="標楷體" w:hAnsi="標楷體" w:cs="標楷體"/>
                <w:color w:val="000000"/>
                <w:sz w:val="20"/>
                <w:szCs w:val="20"/>
              </w:rPr>
              <w:t>核</w:t>
            </w:r>
          </w:p>
        </w:tc>
        <w:tc>
          <w:tcPr>
            <w:tcW w:w="709"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1A660" w14:textId="77777777" w:rsidR="00BD776B" w:rsidRDefault="00BD776B">
            <w:pPr>
              <w:widowControl/>
              <w:snapToGrid w:val="0"/>
              <w:spacing w:line="200" w:lineRule="exact"/>
              <w:rPr>
                <w:rFonts w:ascii="標楷體" w:eastAsia="標楷體" w:hAnsi="標楷體"/>
                <w:color w:val="000000"/>
                <w:sz w:val="20"/>
                <w:szCs w:val="20"/>
              </w:rPr>
            </w:pPr>
          </w:p>
          <w:p w14:paraId="7568774E" w14:textId="77777777" w:rsidR="00BD776B" w:rsidRDefault="00BD776B">
            <w:pPr>
              <w:snapToGrid w:val="0"/>
              <w:spacing w:line="200" w:lineRule="exact"/>
              <w:rPr>
                <w:rFonts w:ascii="標楷體" w:eastAsia="標楷體" w:hAnsi="標楷體"/>
                <w:color w:val="000000"/>
                <w:sz w:val="20"/>
                <w:szCs w:val="20"/>
              </w:rPr>
            </w:pPr>
          </w:p>
        </w:tc>
        <w:tc>
          <w:tcPr>
            <w:tcW w:w="2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B5E1A6"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科</w:t>
            </w:r>
          </w:p>
          <w:p w14:paraId="339E6FF4" w14:textId="77777777" w:rsidR="00BD776B" w:rsidRDefault="00DF0C24">
            <w:pPr>
              <w:snapToGrid w:val="0"/>
              <w:spacing w:line="200" w:lineRule="exact"/>
            </w:pPr>
            <w:r>
              <w:rPr>
                <w:rFonts w:ascii="標楷體" w:eastAsia="標楷體" w:hAnsi="標楷體" w:cs="標楷體"/>
                <w:color w:val="000000"/>
                <w:sz w:val="20"/>
                <w:szCs w:val="20"/>
              </w:rPr>
              <w:t>長</w:t>
            </w:r>
          </w:p>
        </w:tc>
        <w:tc>
          <w:tcPr>
            <w:tcW w:w="84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9A487" w14:textId="77777777" w:rsidR="00BD776B" w:rsidRDefault="00BD776B">
            <w:pPr>
              <w:widowControl/>
              <w:snapToGrid w:val="0"/>
              <w:spacing w:line="200" w:lineRule="exact"/>
              <w:rPr>
                <w:rFonts w:ascii="標楷體" w:eastAsia="標楷體" w:hAnsi="標楷體"/>
                <w:color w:val="000000"/>
                <w:sz w:val="20"/>
                <w:szCs w:val="20"/>
              </w:rPr>
            </w:pPr>
          </w:p>
          <w:p w14:paraId="1E69B46C" w14:textId="77777777" w:rsidR="00BD776B" w:rsidRDefault="00BD776B">
            <w:pPr>
              <w:snapToGrid w:val="0"/>
              <w:spacing w:line="200" w:lineRule="exact"/>
              <w:rPr>
                <w:rFonts w:ascii="標楷體" w:eastAsia="標楷體" w:hAnsi="標楷體"/>
                <w:color w:val="000000"/>
                <w:sz w:val="20"/>
                <w:szCs w:val="20"/>
              </w:rPr>
            </w:pPr>
          </w:p>
        </w:tc>
        <w:tc>
          <w:tcPr>
            <w:tcW w:w="4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B63DB" w14:textId="77777777" w:rsidR="00BD776B" w:rsidRDefault="00DF0C24">
            <w:pPr>
              <w:widowControl/>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決</w:t>
            </w:r>
          </w:p>
          <w:p w14:paraId="7972B37A" w14:textId="77777777" w:rsidR="00BD776B" w:rsidRDefault="00DF0C24">
            <w:pPr>
              <w:widowControl/>
              <w:snapToGrid w:val="0"/>
              <w:spacing w:line="200" w:lineRule="exact"/>
            </w:pPr>
            <w:r>
              <w:rPr>
                <w:rFonts w:ascii="標楷體" w:eastAsia="標楷體" w:hAnsi="標楷體" w:cs="標楷體"/>
                <w:color w:val="000000"/>
                <w:sz w:val="20"/>
                <w:szCs w:val="20"/>
              </w:rPr>
              <w:t>行</w:t>
            </w:r>
          </w:p>
        </w:tc>
        <w:tc>
          <w:tcPr>
            <w:tcW w:w="127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C573E" w14:textId="77777777" w:rsidR="00BD776B" w:rsidRDefault="00BD776B">
            <w:pPr>
              <w:snapToGrid w:val="0"/>
              <w:spacing w:line="200" w:lineRule="exact"/>
              <w:rPr>
                <w:rFonts w:ascii="標楷體" w:eastAsia="標楷體" w:hAnsi="標楷體"/>
                <w:color w:val="000000"/>
                <w:sz w:val="20"/>
                <w:szCs w:val="20"/>
              </w:rPr>
            </w:pPr>
          </w:p>
        </w:tc>
      </w:tr>
    </w:tbl>
    <w:p w14:paraId="56594590" w14:textId="77777777" w:rsidR="00BD776B" w:rsidRDefault="00DF0C24">
      <w:pPr>
        <w:pStyle w:val="Web"/>
        <w:pageBreakBefore/>
        <w:widowControl w:val="0"/>
        <w:snapToGrid w:val="0"/>
        <w:spacing w:before="0" w:after="0" w:line="380" w:lineRule="exact"/>
        <w:ind w:firstLine="120"/>
        <w:jc w:val="both"/>
      </w:pPr>
      <w:r>
        <w:rPr>
          <w:rFonts w:ascii="標楷體" w:eastAsia="標楷體" w:hAnsi="標楷體" w:cs="標楷體"/>
          <w:color w:val="000000"/>
        </w:rPr>
        <w:lastRenderedPageBreak/>
        <w:t>附表九之四全民健康保險使用抗癌藥品</w:t>
      </w:r>
      <w:r>
        <w:rPr>
          <w:rFonts w:ascii="標楷體" w:eastAsia="標楷體" w:hAnsi="標楷體" w:cs="Times New Roman"/>
          <w:color w:val="000000"/>
        </w:rPr>
        <w:t>Dasatinib</w:t>
      </w:r>
      <w:r>
        <w:rPr>
          <w:rFonts w:ascii="標楷體" w:eastAsia="標楷體" w:hAnsi="標楷體" w:cs="標楷體"/>
          <w:color w:val="000000"/>
        </w:rPr>
        <w:t>申請表</w:t>
      </w:r>
    </w:p>
    <w:tbl>
      <w:tblPr>
        <w:tblW w:w="14504" w:type="dxa"/>
        <w:tblInd w:w="227" w:type="dxa"/>
        <w:tblLayout w:type="fixed"/>
        <w:tblCellMar>
          <w:left w:w="10" w:type="dxa"/>
          <w:right w:w="10" w:type="dxa"/>
        </w:tblCellMar>
        <w:tblLook w:val="0000" w:firstRow="0" w:lastRow="0" w:firstColumn="0" w:lastColumn="0" w:noHBand="0" w:noVBand="0"/>
      </w:tblPr>
      <w:tblGrid>
        <w:gridCol w:w="387"/>
        <w:gridCol w:w="90"/>
        <w:gridCol w:w="315"/>
        <w:gridCol w:w="575"/>
        <w:gridCol w:w="826"/>
        <w:gridCol w:w="741"/>
        <w:gridCol w:w="285"/>
        <w:gridCol w:w="431"/>
        <w:gridCol w:w="852"/>
        <w:gridCol w:w="109"/>
        <w:gridCol w:w="1320"/>
        <w:gridCol w:w="604"/>
        <w:gridCol w:w="362"/>
        <w:gridCol w:w="964"/>
        <w:gridCol w:w="773"/>
        <w:gridCol w:w="327"/>
        <w:gridCol w:w="386"/>
        <w:gridCol w:w="204"/>
        <w:gridCol w:w="127"/>
        <w:gridCol w:w="235"/>
        <w:gridCol w:w="146"/>
        <w:gridCol w:w="698"/>
        <w:gridCol w:w="362"/>
        <w:gridCol w:w="126"/>
        <w:gridCol w:w="362"/>
        <w:gridCol w:w="10"/>
        <w:gridCol w:w="348"/>
        <w:gridCol w:w="364"/>
        <w:gridCol w:w="13"/>
        <w:gridCol w:w="230"/>
        <w:gridCol w:w="605"/>
        <w:gridCol w:w="377"/>
        <w:gridCol w:w="950"/>
      </w:tblGrid>
      <w:tr w:rsidR="00BD776B" w14:paraId="0E4D6677" w14:textId="77777777">
        <w:trPr>
          <w:cantSplit/>
          <w:trHeight w:val="327"/>
        </w:trPr>
        <w:tc>
          <w:tcPr>
            <w:tcW w:w="2193"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9CE91E2"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3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BF6C82"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B29628" w14:textId="77777777" w:rsidR="00BD776B" w:rsidRDefault="00DF0C24">
            <w:pPr>
              <w:snapToGrid w:val="0"/>
            </w:pPr>
            <w:r>
              <w:rPr>
                <w:rFonts w:ascii="標楷體" w:eastAsia="標楷體" w:hAnsi="標楷體" w:cs="標楷體"/>
                <w:color w:val="000000"/>
                <w:sz w:val="20"/>
                <w:szCs w:val="20"/>
              </w:rPr>
              <w:t>受理日期：</w:t>
            </w:r>
          </w:p>
        </w:tc>
        <w:tc>
          <w:tcPr>
            <w:tcW w:w="26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37820E" w14:textId="77777777" w:rsidR="00BD776B" w:rsidRDefault="00DF0C24">
            <w:pPr>
              <w:snapToGrid w:val="0"/>
              <w:ind w:left="15"/>
            </w:pPr>
            <w:r>
              <w:rPr>
                <w:rFonts w:ascii="標楷體" w:eastAsia="標楷體" w:hAnsi="標楷體" w:cs="標楷體"/>
                <w:color w:val="000000"/>
                <w:sz w:val="20"/>
                <w:szCs w:val="20"/>
              </w:rPr>
              <w:t>受理編號：</w:t>
            </w:r>
          </w:p>
        </w:tc>
        <w:tc>
          <w:tcPr>
            <w:tcW w:w="288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8520F1" w14:textId="77777777" w:rsidR="00BD776B" w:rsidRDefault="00DF0C24">
            <w:pPr>
              <w:snapToGrid w:val="0"/>
            </w:pPr>
            <w:r>
              <w:rPr>
                <w:rFonts w:ascii="標楷體" w:eastAsia="標楷體" w:hAnsi="標楷體" w:cs="標楷體"/>
                <w:color w:val="000000"/>
                <w:sz w:val="20"/>
                <w:szCs w:val="20"/>
              </w:rPr>
              <w:t>緊急傳真日期：</w:t>
            </w:r>
          </w:p>
        </w:tc>
      </w:tr>
      <w:tr w:rsidR="00BD776B" w14:paraId="514C3510" w14:textId="77777777">
        <w:trPr>
          <w:cantSplit/>
          <w:trHeight w:val="435"/>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609D73"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9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852F49"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73F842" w14:textId="77777777" w:rsidR="00BD776B" w:rsidRDefault="00BD776B">
            <w:pPr>
              <w:snapToGrid w:val="0"/>
              <w:spacing w:line="200" w:lineRule="exact"/>
              <w:rPr>
                <w:rFonts w:ascii="標楷體" w:eastAsia="標楷體" w:hAnsi="標楷體"/>
                <w:color w:val="000000"/>
                <w:sz w:val="20"/>
                <w:szCs w:val="20"/>
              </w:rPr>
            </w:pPr>
          </w:p>
        </w:tc>
        <w:tc>
          <w:tcPr>
            <w:tcW w:w="2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7D5D1"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36A28499"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13C5BAF9"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23A2B0AF"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60F554"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0637F" w14:textId="77777777" w:rsidR="00BD776B" w:rsidRDefault="00BD776B">
            <w:pPr>
              <w:snapToGrid w:val="0"/>
              <w:spacing w:line="200" w:lineRule="exact"/>
              <w:rPr>
                <w:rFonts w:ascii="標楷體" w:eastAsia="標楷體" w:hAnsi="標楷體"/>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E5B9A7"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10368C" w14:textId="77777777" w:rsidR="00BD776B" w:rsidRDefault="00BD776B">
            <w:pPr>
              <w:snapToGrid w:val="0"/>
              <w:spacing w:line="200" w:lineRule="exact"/>
              <w:rPr>
                <w:rFonts w:ascii="標楷體" w:eastAsia="標楷體" w:hAnsi="標楷體"/>
                <w:color w:val="000000"/>
                <w:sz w:val="20"/>
                <w:szCs w:val="20"/>
              </w:rPr>
            </w:pPr>
          </w:p>
        </w:tc>
        <w:tc>
          <w:tcPr>
            <w:tcW w:w="18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994DD"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3DA0D3CD"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EA406E" w14:textId="77777777" w:rsidR="00BD776B" w:rsidRDefault="00BD776B">
            <w:pPr>
              <w:snapToGrid w:val="0"/>
              <w:spacing w:line="200" w:lineRule="exact"/>
              <w:rPr>
                <w:rFonts w:ascii="標楷體" w:eastAsia="標楷體" w:hAnsi="標楷體"/>
                <w:color w:val="000000"/>
                <w:sz w:val="20"/>
                <w:szCs w:val="20"/>
              </w:rPr>
            </w:pPr>
          </w:p>
        </w:tc>
        <w:tc>
          <w:tcPr>
            <w:tcW w:w="10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B69772"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預定實施</w:t>
            </w:r>
          </w:p>
          <w:p w14:paraId="3DDCE84D" w14:textId="77777777" w:rsidR="00BD776B" w:rsidRDefault="00DF0C24">
            <w:pPr>
              <w:snapToGrid w:val="0"/>
              <w:spacing w:line="200" w:lineRule="exact"/>
            </w:pPr>
            <w:r>
              <w:rPr>
                <w:rFonts w:ascii="標楷體" w:eastAsia="標楷體" w:hAnsi="標楷體" w:cs="標楷體"/>
                <w:color w:val="000000"/>
                <w:sz w:val="20"/>
                <w:szCs w:val="20"/>
              </w:rPr>
              <w:t>日期</w:t>
            </w:r>
          </w:p>
        </w:tc>
        <w:tc>
          <w:tcPr>
            <w:tcW w:w="21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89D6D" w14:textId="77777777" w:rsidR="00BD776B" w:rsidRDefault="00BD776B">
            <w:pPr>
              <w:snapToGrid w:val="0"/>
              <w:spacing w:line="200" w:lineRule="exact"/>
              <w:rPr>
                <w:rFonts w:ascii="標楷體" w:eastAsia="標楷體" w:hAnsi="標楷體"/>
                <w:color w:val="000000"/>
                <w:sz w:val="20"/>
                <w:szCs w:val="20"/>
              </w:rPr>
            </w:pPr>
          </w:p>
        </w:tc>
      </w:tr>
      <w:tr w:rsidR="00BD776B" w14:paraId="2361B5E2" w14:textId="77777777">
        <w:trPr>
          <w:cantSplit/>
          <w:trHeight w:val="412"/>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9C982D" w14:textId="77777777" w:rsidR="00BD776B" w:rsidRDefault="00BD776B">
            <w:pPr>
              <w:snapToGrid w:val="0"/>
              <w:spacing w:line="200" w:lineRule="exact"/>
              <w:rPr>
                <w:rFonts w:ascii="標楷體" w:eastAsia="標楷體" w:hAnsi="標楷體"/>
                <w:color w:val="000000"/>
                <w:sz w:val="20"/>
                <w:szCs w:val="20"/>
              </w:rPr>
            </w:pPr>
          </w:p>
        </w:tc>
        <w:tc>
          <w:tcPr>
            <w:tcW w:w="9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86EFBB"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A7BCAA" w14:textId="77777777" w:rsidR="00BD776B" w:rsidRDefault="00BD776B">
            <w:pPr>
              <w:snapToGrid w:val="0"/>
              <w:spacing w:line="200" w:lineRule="exact"/>
              <w:rPr>
                <w:rFonts w:ascii="標楷體" w:eastAsia="標楷體" w:hAnsi="標楷體"/>
                <w:color w:val="000000"/>
                <w:sz w:val="20"/>
                <w:szCs w:val="20"/>
              </w:rPr>
            </w:pPr>
          </w:p>
        </w:tc>
        <w:tc>
          <w:tcPr>
            <w:tcW w:w="2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D9688" w14:textId="77777777" w:rsidR="00BD776B" w:rsidRDefault="00BD776B">
            <w:pPr>
              <w:snapToGrid w:val="0"/>
              <w:spacing w:line="200" w:lineRule="exact"/>
              <w:rPr>
                <w:rFonts w:ascii="標楷體" w:eastAsia="標楷體" w:hAnsi="標楷體"/>
                <w:color w:val="000000"/>
                <w:sz w:val="20"/>
                <w:szCs w:val="2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84B1E7" w14:textId="77777777" w:rsidR="00BD776B" w:rsidRDefault="00DF0C24">
            <w:pPr>
              <w:snapToGrid w:val="0"/>
              <w:spacing w:line="200" w:lineRule="exact"/>
            </w:pPr>
            <w:r>
              <w:rPr>
                <w:rFonts w:ascii="標楷體" w:eastAsia="標楷體" w:hAnsi="標楷體" w:cs="標楷體"/>
                <w:color w:val="000000"/>
                <w:sz w:val="20"/>
                <w:szCs w:val="20"/>
              </w:rPr>
              <w:t>身分證</w:t>
            </w:r>
          </w:p>
          <w:p w14:paraId="79A9C43B"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D9F90F" w14:textId="77777777" w:rsidR="00BD776B" w:rsidRDefault="00BD776B">
            <w:pPr>
              <w:snapToGrid w:val="0"/>
              <w:spacing w:line="200" w:lineRule="exact"/>
              <w:rPr>
                <w:rFonts w:ascii="標楷體" w:eastAsia="標楷體" w:hAnsi="標楷體"/>
                <w:color w:val="000000"/>
                <w:sz w:val="20"/>
                <w:szCs w:val="20"/>
              </w:rPr>
            </w:pPr>
          </w:p>
        </w:tc>
        <w:tc>
          <w:tcPr>
            <w:tcW w:w="3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345E09"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050851D8"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890DB" w14:textId="77777777" w:rsidR="00BD776B" w:rsidRDefault="00BD776B">
            <w:pPr>
              <w:snapToGrid w:val="0"/>
              <w:spacing w:line="200" w:lineRule="exact"/>
              <w:rPr>
                <w:rFonts w:ascii="標楷體" w:eastAsia="標楷體" w:hAnsi="標楷體"/>
                <w:color w:val="000000"/>
                <w:sz w:val="20"/>
                <w:szCs w:val="20"/>
              </w:rPr>
            </w:pPr>
          </w:p>
        </w:tc>
        <w:tc>
          <w:tcPr>
            <w:tcW w:w="18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19DCAE"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3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33BEC0"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病歷</w:t>
            </w:r>
          </w:p>
          <w:p w14:paraId="5F29A6C9" w14:textId="77777777" w:rsidR="00BD776B" w:rsidRDefault="00DF0C24">
            <w:pPr>
              <w:snapToGrid w:val="0"/>
              <w:spacing w:line="200" w:lineRule="exact"/>
              <w:jc w:val="center"/>
            </w:pPr>
            <w:r>
              <w:rPr>
                <w:rFonts w:ascii="標楷體" w:eastAsia="標楷體" w:hAnsi="標楷體" w:cs="標楷體"/>
                <w:color w:val="000000"/>
                <w:sz w:val="20"/>
                <w:szCs w:val="20"/>
              </w:rPr>
              <w:t>號碼</w:t>
            </w:r>
          </w:p>
        </w:tc>
        <w:tc>
          <w:tcPr>
            <w:tcW w:w="15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F06175" w14:textId="77777777" w:rsidR="00BD776B" w:rsidRDefault="00BD776B">
            <w:pPr>
              <w:snapToGrid w:val="0"/>
              <w:spacing w:line="200" w:lineRule="exact"/>
              <w:rPr>
                <w:rFonts w:ascii="標楷體" w:eastAsia="標楷體" w:hAnsi="標楷體"/>
                <w:color w:val="000000"/>
                <w:sz w:val="20"/>
                <w:szCs w:val="20"/>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D7A9AF"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9572CA" w14:textId="77777777" w:rsidR="00BD776B" w:rsidRDefault="00BD776B">
            <w:pPr>
              <w:snapToGrid w:val="0"/>
              <w:spacing w:line="200" w:lineRule="exact"/>
              <w:rPr>
                <w:rFonts w:ascii="標楷體" w:eastAsia="標楷體" w:hAnsi="標楷體"/>
                <w:color w:val="000000"/>
                <w:sz w:val="20"/>
                <w:szCs w:val="20"/>
              </w:rPr>
            </w:pPr>
          </w:p>
        </w:tc>
      </w:tr>
      <w:tr w:rsidR="00BD776B" w14:paraId="609E0B24" w14:textId="77777777">
        <w:trPr>
          <w:cantSplit/>
          <w:trHeight w:hRule="exact" w:val="413"/>
        </w:trPr>
        <w:tc>
          <w:tcPr>
            <w:tcW w:w="13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8B545F"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30C655" w14:textId="77777777" w:rsidR="00BD776B" w:rsidRDefault="00BD776B">
            <w:pPr>
              <w:snapToGrid w:val="0"/>
              <w:spacing w:line="200" w:lineRule="exact"/>
              <w:rPr>
                <w:rFonts w:ascii="標楷體" w:eastAsia="標楷體" w:hAnsi="標楷體"/>
                <w:color w:val="000000"/>
                <w:sz w:val="20"/>
                <w:szCs w:val="20"/>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5949B"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02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92BD19" w14:textId="77777777" w:rsidR="00BD776B" w:rsidRDefault="00BD776B">
            <w:pPr>
              <w:snapToGrid w:val="0"/>
              <w:spacing w:line="200" w:lineRule="exact"/>
              <w:rPr>
                <w:rFonts w:ascii="標楷體" w:eastAsia="標楷體" w:hAnsi="標楷體"/>
                <w:color w:val="000000"/>
                <w:sz w:val="20"/>
                <w:szCs w:val="20"/>
              </w:rPr>
            </w:pPr>
          </w:p>
        </w:tc>
        <w:tc>
          <w:tcPr>
            <w:tcW w:w="142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D4A29"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445"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1C2FE2D"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1E00C55D" w14:textId="77777777">
        <w:trPr>
          <w:cantSplit/>
          <w:trHeight w:val="399"/>
        </w:trPr>
        <w:tc>
          <w:tcPr>
            <w:tcW w:w="13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E5B97"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C7ED4"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41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8A7617"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1197C"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299B8EAD"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7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BD5A97"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2E49213B"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445"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468CAE1F"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2D93C3F6" w14:textId="77777777">
        <w:trPr>
          <w:cantSplit/>
          <w:trHeight w:val="2518"/>
        </w:trPr>
        <w:tc>
          <w:tcPr>
            <w:tcW w:w="13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03C0E" w14:textId="77777777" w:rsidR="00BD776B" w:rsidRDefault="00DF0C24">
            <w:pPr>
              <w:snapToGrid w:val="0"/>
              <w:spacing w:line="240" w:lineRule="exact"/>
            </w:pPr>
            <w:r>
              <w:rPr>
                <w:rFonts w:ascii="標楷體" w:eastAsia="標楷體" w:hAnsi="標楷體"/>
                <w:color w:val="000000"/>
                <w:sz w:val="18"/>
                <w:szCs w:val="18"/>
              </w:rPr>
              <w:t>Sprycel</w:t>
            </w:r>
          </w:p>
          <w:p w14:paraId="042CB291" w14:textId="77777777" w:rsidR="00BD776B" w:rsidRDefault="00DF0C24">
            <w:pPr>
              <w:snapToGrid w:val="0"/>
              <w:spacing w:line="240" w:lineRule="exact"/>
            </w:pPr>
            <w:r>
              <w:rPr>
                <w:rFonts w:ascii="標楷體" w:eastAsia="標楷體" w:hAnsi="標楷體"/>
                <w:color w:val="000000"/>
                <w:sz w:val="18"/>
                <w:szCs w:val="18"/>
              </w:rPr>
              <w:t>□B024813100</w:t>
            </w:r>
          </w:p>
          <w:p w14:paraId="41CB111C" w14:textId="77777777" w:rsidR="00BD776B" w:rsidRDefault="00DF0C24">
            <w:pPr>
              <w:snapToGrid w:val="0"/>
              <w:spacing w:line="240" w:lineRule="exact"/>
            </w:pPr>
            <w:r>
              <w:rPr>
                <w:rFonts w:ascii="標楷體" w:eastAsia="標楷體" w:hAnsi="標楷體"/>
                <w:color w:val="000000"/>
                <w:sz w:val="18"/>
                <w:szCs w:val="18"/>
              </w:rPr>
              <w:t>□B024794100</w:t>
            </w:r>
          </w:p>
          <w:p w14:paraId="265C2E00" w14:textId="77777777" w:rsidR="00BD776B" w:rsidRDefault="00DF0C24">
            <w:pPr>
              <w:snapToGrid w:val="0"/>
              <w:spacing w:line="240" w:lineRule="exact"/>
            </w:pPr>
            <w:r>
              <w:rPr>
                <w:rFonts w:ascii="標楷體" w:eastAsia="標楷體" w:hAnsi="標楷體"/>
                <w:color w:val="000000"/>
                <w:sz w:val="18"/>
                <w:szCs w:val="18"/>
              </w:rPr>
              <w:t>□B024800100</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D6CC6" w14:textId="77777777" w:rsidR="00BD776B" w:rsidRDefault="00BD776B">
            <w:pPr>
              <w:snapToGrid w:val="0"/>
              <w:spacing w:line="240" w:lineRule="exact"/>
              <w:rPr>
                <w:rFonts w:ascii="標楷體" w:eastAsia="標楷體" w:hAnsi="標楷體"/>
                <w:color w:val="000000"/>
                <w:sz w:val="20"/>
                <w:szCs w:val="20"/>
              </w:rPr>
            </w:pPr>
          </w:p>
          <w:p w14:paraId="5022B94D" w14:textId="77777777" w:rsidR="00BD776B" w:rsidRDefault="00DF0C24">
            <w:pPr>
              <w:snapToGrid w:val="0"/>
              <w:spacing w:line="240" w:lineRule="exact"/>
              <w:ind w:left="320" w:hanging="200"/>
            </w:pPr>
            <w:r>
              <w:rPr>
                <w:rFonts w:ascii="標楷體" w:eastAsia="標楷體" w:hAnsi="標楷體" w:cs="標楷體"/>
                <w:color w:val="000000"/>
                <w:sz w:val="20"/>
                <w:szCs w:val="20"/>
              </w:rPr>
              <w:t>□第一次申請</w:t>
            </w:r>
          </w:p>
          <w:p w14:paraId="5F2BA2DA" w14:textId="77777777" w:rsidR="00BD776B" w:rsidRDefault="00BD776B">
            <w:pPr>
              <w:snapToGrid w:val="0"/>
              <w:spacing w:line="240" w:lineRule="exact"/>
              <w:ind w:left="220" w:hanging="100"/>
              <w:rPr>
                <w:rFonts w:ascii="標楷體" w:eastAsia="標楷體" w:hAnsi="標楷體" w:cs="標楷體"/>
                <w:color w:val="000000"/>
                <w:sz w:val="20"/>
                <w:szCs w:val="20"/>
              </w:rPr>
            </w:pPr>
          </w:p>
          <w:p w14:paraId="281363E8" w14:textId="77777777" w:rsidR="00BD776B" w:rsidRDefault="00DF0C24">
            <w:pPr>
              <w:snapToGrid w:val="0"/>
              <w:spacing w:line="240" w:lineRule="exact"/>
              <w:ind w:left="320" w:hanging="200"/>
            </w:pPr>
            <w:r>
              <w:rPr>
                <w:rFonts w:ascii="標楷體" w:eastAsia="標楷體" w:hAnsi="標楷體" w:cs="標楷體"/>
                <w:color w:val="000000"/>
                <w:sz w:val="20"/>
                <w:szCs w:val="20"/>
              </w:rPr>
              <w:t>□治療後再次申請</w:t>
            </w:r>
          </w:p>
          <w:p w14:paraId="0AEC858A" w14:textId="77777777" w:rsidR="00BD776B" w:rsidRDefault="00BD776B">
            <w:pPr>
              <w:pStyle w:val="a7"/>
              <w:spacing w:line="240" w:lineRule="exact"/>
              <w:rPr>
                <w:rFonts w:ascii="標楷體" w:eastAsia="標楷體" w:hAnsi="標楷體"/>
                <w:color w:val="000000"/>
              </w:rPr>
            </w:pPr>
          </w:p>
        </w:tc>
        <w:tc>
          <w:tcPr>
            <w:tcW w:w="541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BB2D6" w14:textId="77777777" w:rsidR="00BD776B" w:rsidRDefault="00DF0C24">
            <w:pPr>
              <w:snapToGrid w:val="0"/>
              <w:spacing w:before="180" w:line="240" w:lineRule="exact"/>
              <w:ind w:left="362" w:hanging="242"/>
              <w:jc w:val="both"/>
              <w:rPr>
                <w:rFonts w:ascii="標楷體" w:eastAsia="標楷體" w:hAnsi="標楷體"/>
                <w:color w:val="000000"/>
                <w:sz w:val="20"/>
                <w:szCs w:val="20"/>
              </w:rPr>
            </w:pPr>
            <w:r>
              <w:rPr>
                <w:rFonts w:ascii="標楷體" w:eastAsia="標楷體" w:hAnsi="標楷體"/>
                <w:color w:val="000000"/>
                <w:sz w:val="20"/>
                <w:szCs w:val="20"/>
              </w:rPr>
              <w:t>限用於</w:t>
            </w:r>
          </w:p>
          <w:p w14:paraId="57987BF4" w14:textId="77777777" w:rsidR="00BD776B" w:rsidRDefault="00DF0C24">
            <w:pPr>
              <w:snapToGrid w:val="0"/>
              <w:spacing w:line="24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1.治療患有慢性、加速或急性期慢性骨髓性白血病，對先前經imatinib400mg(含)以上治療後有抗藥性或無耐受性的成人。</w:t>
            </w:r>
          </w:p>
          <w:p w14:paraId="0FD83309" w14:textId="77777777" w:rsidR="00BD776B" w:rsidRDefault="00DF0C24">
            <w:pPr>
              <w:snapToGrid w:val="0"/>
              <w:spacing w:line="24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2.治療患有費城染色體陽性急性淋巴性白血病，且對先前經imatinib400mg(含)以上治療後有抗藥性或無耐受性的成人。</w:t>
            </w:r>
          </w:p>
          <w:p w14:paraId="742A8941" w14:textId="77777777" w:rsidR="00BD776B" w:rsidRDefault="00DF0C24">
            <w:pPr>
              <w:snapToGrid w:val="0"/>
              <w:spacing w:line="240" w:lineRule="exact"/>
              <w:ind w:left="320" w:hanging="200"/>
              <w:jc w:val="both"/>
            </w:pPr>
            <w:r>
              <w:rPr>
                <w:rFonts w:ascii="標楷體" w:eastAsia="標楷體" w:hAnsi="標楷體"/>
                <w:color w:val="000000"/>
                <w:sz w:val="20"/>
                <w:szCs w:val="20"/>
              </w:rPr>
              <w:t>3.需經事前審查核准後使用，送審時需檢送病歷及對imatinib耐受性不良或無效的證明。</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06A2B" w14:textId="77777777" w:rsidR="00BD776B" w:rsidRDefault="00BD776B">
            <w:pPr>
              <w:snapToGrid w:val="0"/>
              <w:spacing w:line="200" w:lineRule="exact"/>
              <w:rPr>
                <w:rFonts w:ascii="標楷體" w:eastAsia="標楷體" w:hAnsi="標楷體"/>
                <w:color w:val="000000"/>
                <w:sz w:val="20"/>
                <w:szCs w:val="20"/>
              </w:rPr>
            </w:pPr>
          </w:p>
        </w:tc>
        <w:tc>
          <w:tcPr>
            <w:tcW w:w="7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5A84C" w14:textId="77777777" w:rsidR="00BD776B" w:rsidRDefault="00BD776B">
            <w:pPr>
              <w:snapToGrid w:val="0"/>
              <w:rPr>
                <w:rFonts w:ascii="標楷體" w:eastAsia="標楷體" w:hAnsi="標楷體"/>
                <w:color w:val="000000"/>
                <w:sz w:val="20"/>
                <w:szCs w:val="20"/>
              </w:rPr>
            </w:pPr>
          </w:p>
        </w:tc>
        <w:tc>
          <w:tcPr>
            <w:tcW w:w="4445" w:type="dxa"/>
            <w:gridSpan w:val="1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B2639AF" w14:textId="77777777" w:rsidR="00BD776B" w:rsidRDefault="00DF0C24" w:rsidP="008A7063">
            <w:pPr>
              <w:numPr>
                <w:ilvl w:val="0"/>
                <w:numId w:val="62"/>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147FD2C2"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06C50A56" w14:textId="77777777" w:rsidR="00BD776B" w:rsidRDefault="00DF0C24">
            <w:pPr>
              <w:snapToGrid w:val="0"/>
              <w:spacing w:line="240" w:lineRule="exact"/>
            </w:pPr>
            <w:r>
              <w:rPr>
                <w:rFonts w:ascii="標楷體" w:eastAsia="標楷體" w:hAnsi="標楷體" w:cs="標楷體"/>
                <w:color w:val="000000"/>
                <w:sz w:val="20"/>
                <w:szCs w:val="20"/>
              </w:rPr>
              <w:t>□不同意</w:t>
            </w:r>
          </w:p>
          <w:p w14:paraId="502A3F03"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7FC031A6"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不符合不得併用二種此類藥物之適應症</w:t>
            </w:r>
          </w:p>
          <w:p w14:paraId="0B3DAC29"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w:t>
            </w:r>
            <w:r>
              <w:rPr>
                <w:rFonts w:ascii="標楷體" w:eastAsia="標楷體" w:hAnsi="標楷體"/>
                <w:color w:val="000000"/>
                <w:sz w:val="20"/>
                <w:szCs w:val="20"/>
              </w:rPr>
              <w:t>耐受性不良或無效的證明。</w:t>
            </w:r>
          </w:p>
          <w:p w14:paraId="5802684D"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6F682FC8" w14:textId="77777777" w:rsidR="00BD776B" w:rsidRDefault="00DF0C24" w:rsidP="008A7063">
            <w:pPr>
              <w:numPr>
                <w:ilvl w:val="0"/>
                <w:numId w:val="62"/>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0AFDF562" w14:textId="77777777" w:rsidR="00BD776B" w:rsidRDefault="00DF0C24" w:rsidP="008A7063">
            <w:pPr>
              <w:numPr>
                <w:ilvl w:val="0"/>
                <w:numId w:val="62"/>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相關檢驗、檢查報告不全(如影像診斷報告或腫瘤標誌、病理切片、細胞學檢查報告)</w:t>
            </w:r>
          </w:p>
          <w:p w14:paraId="4BBB6F77"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70B01147" w14:textId="77777777" w:rsidR="00BD776B" w:rsidRDefault="00DF0C24" w:rsidP="008A7063">
            <w:pPr>
              <w:numPr>
                <w:ilvl w:val="0"/>
                <w:numId w:val="62"/>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46ECD532" w14:textId="77777777">
        <w:trPr>
          <w:cantSplit/>
          <w:trHeight w:val="857"/>
        </w:trPr>
        <w:tc>
          <w:tcPr>
            <w:tcW w:w="4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16EE4" w14:textId="77777777" w:rsidR="00BD776B" w:rsidRDefault="00DF0C24">
            <w:pPr>
              <w:snapToGrid w:val="0"/>
              <w:ind w:left="113" w:right="113"/>
            </w:pPr>
            <w:r>
              <w:rPr>
                <w:rFonts w:ascii="標楷體" w:eastAsia="標楷體" w:hAnsi="標楷體" w:cs="標楷體"/>
                <w:color w:val="000000"/>
              </w:rPr>
              <w:t>注意事項</w:t>
            </w:r>
          </w:p>
          <w:p w14:paraId="3597CEFC" w14:textId="77777777" w:rsidR="00BD776B" w:rsidRDefault="00BD776B">
            <w:pPr>
              <w:snapToGrid w:val="0"/>
              <w:ind w:left="324" w:right="113" w:hanging="211"/>
              <w:rPr>
                <w:rFonts w:ascii="標楷體" w:eastAsia="標楷體" w:hAnsi="標楷體"/>
                <w:color w:val="000000"/>
                <w:sz w:val="20"/>
                <w:szCs w:val="20"/>
              </w:rPr>
            </w:pPr>
          </w:p>
        </w:tc>
        <w:tc>
          <w:tcPr>
            <w:tcW w:w="958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C6F31" w14:textId="77777777" w:rsidR="00BD776B" w:rsidRDefault="00DF0C24" w:rsidP="008A7063">
            <w:pPr>
              <w:numPr>
                <w:ilvl w:val="0"/>
                <w:numId w:val="63"/>
              </w:numPr>
              <w:snapToGrid w:val="0"/>
              <w:spacing w:before="180" w:line="280" w:lineRule="exact"/>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587275E1" w14:textId="77777777" w:rsidR="00BD776B" w:rsidRDefault="00DF0C24" w:rsidP="008A7063">
            <w:pPr>
              <w:numPr>
                <w:ilvl w:val="0"/>
                <w:numId w:val="63"/>
              </w:numPr>
              <w:snapToGrid w:val="0"/>
              <w:spacing w:line="280" w:lineRule="exact"/>
            </w:pPr>
            <w:r>
              <w:rPr>
                <w:rFonts w:ascii="標楷體" w:eastAsia="標楷體" w:hAnsi="標楷體"/>
                <w:color w:val="000000"/>
                <w:kern w:val="0"/>
                <w:sz w:val="20"/>
                <w:szCs w:val="20"/>
              </w:rPr>
              <w:t>「原受理編號」申復時填寫，初次送核不需填寫。</w:t>
            </w:r>
          </w:p>
          <w:p w14:paraId="3A2112BA" w14:textId="77777777" w:rsidR="00BD776B" w:rsidRDefault="00DF0C24" w:rsidP="008A7063">
            <w:pPr>
              <w:numPr>
                <w:ilvl w:val="0"/>
                <w:numId w:val="63"/>
              </w:numPr>
              <w:snapToGrid w:val="0"/>
              <w:spacing w:line="280" w:lineRule="exact"/>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21D8492E" w14:textId="77777777" w:rsidR="00BD776B" w:rsidRDefault="00DF0C24" w:rsidP="008A7063">
            <w:pPr>
              <w:numPr>
                <w:ilvl w:val="0"/>
                <w:numId w:val="63"/>
              </w:numPr>
              <w:snapToGrid w:val="0"/>
              <w:spacing w:line="280" w:lineRule="exact"/>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017C3ADD" w14:textId="77777777" w:rsidR="00BD776B" w:rsidRDefault="00DF0C24" w:rsidP="008A7063">
            <w:pPr>
              <w:numPr>
                <w:ilvl w:val="0"/>
                <w:numId w:val="63"/>
              </w:numPr>
              <w:snapToGrid w:val="0"/>
              <w:spacing w:line="280" w:lineRule="exact"/>
            </w:pPr>
            <w:r>
              <w:rPr>
                <w:rFonts w:ascii="標楷體" w:eastAsia="標楷體" w:hAnsi="標楷體"/>
                <w:color w:val="000000"/>
                <w:kern w:val="0"/>
                <w:sz w:val="20"/>
                <w:szCs w:val="20"/>
              </w:rPr>
              <w:t>對複核結果如有異議，得於收到複核通知之日起六十日內向全民健康保險爭議審議會申請審議。</w:t>
            </w:r>
          </w:p>
          <w:p w14:paraId="15EAD8E6" w14:textId="77777777" w:rsidR="00BD776B" w:rsidRDefault="00DF0C24" w:rsidP="008A7063">
            <w:pPr>
              <w:numPr>
                <w:ilvl w:val="0"/>
                <w:numId w:val="63"/>
              </w:numPr>
              <w:snapToGrid w:val="0"/>
              <w:spacing w:line="280" w:lineRule="exact"/>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6D8FB443" w14:textId="77777777" w:rsidR="00BD776B" w:rsidRDefault="00DF0C24" w:rsidP="008A7063">
            <w:pPr>
              <w:numPr>
                <w:ilvl w:val="0"/>
                <w:numId w:val="63"/>
              </w:numPr>
              <w:snapToGrid w:val="0"/>
              <w:spacing w:line="280" w:lineRule="exact"/>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4445" w:type="dxa"/>
            <w:gridSpan w:val="12"/>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D036956" w14:textId="77777777" w:rsidR="00BD776B" w:rsidRDefault="00BD776B">
            <w:pPr>
              <w:snapToGrid w:val="0"/>
              <w:rPr>
                <w:rFonts w:ascii="標楷體" w:eastAsia="標楷體" w:hAnsi="標楷體"/>
                <w:color w:val="000000"/>
                <w:sz w:val="20"/>
                <w:szCs w:val="20"/>
              </w:rPr>
            </w:pPr>
          </w:p>
        </w:tc>
      </w:tr>
      <w:tr w:rsidR="00BD776B" w14:paraId="51FECF29" w14:textId="77777777">
        <w:trPr>
          <w:cantSplit/>
          <w:trHeight w:val="1139"/>
        </w:trPr>
        <w:tc>
          <w:tcPr>
            <w:tcW w:w="4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BA78C" w14:textId="77777777" w:rsidR="00BD776B" w:rsidRDefault="00BD776B">
            <w:pPr>
              <w:snapToGrid w:val="0"/>
              <w:ind w:left="211" w:hanging="211"/>
              <w:rPr>
                <w:rFonts w:ascii="標楷體" w:eastAsia="標楷體" w:hAnsi="標楷體"/>
                <w:color w:val="000000"/>
              </w:rPr>
            </w:pPr>
          </w:p>
        </w:tc>
        <w:tc>
          <w:tcPr>
            <w:tcW w:w="958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76B2A" w14:textId="77777777" w:rsidR="00BD776B" w:rsidRDefault="00BD776B">
            <w:pPr>
              <w:snapToGrid w:val="0"/>
              <w:ind w:left="211" w:hanging="211"/>
              <w:rPr>
                <w:rFonts w:ascii="標楷體" w:eastAsia="標楷體" w:hAnsi="標楷體"/>
                <w:color w:val="000000"/>
              </w:rPr>
            </w:pPr>
          </w:p>
        </w:tc>
        <w:tc>
          <w:tcPr>
            <w:tcW w:w="3118" w:type="dxa"/>
            <w:gridSpan w:val="10"/>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772B22" w14:textId="77777777" w:rsidR="00BD776B" w:rsidRDefault="00BD776B">
            <w:pPr>
              <w:snapToGrid w:val="0"/>
              <w:jc w:val="both"/>
              <w:rPr>
                <w:rFonts w:ascii="標楷體" w:eastAsia="標楷體" w:hAnsi="標楷體"/>
                <w:color w:val="000000"/>
              </w:rPr>
            </w:pPr>
          </w:p>
          <w:p w14:paraId="27BEA160" w14:textId="77777777" w:rsidR="00BD776B" w:rsidRDefault="00BD776B">
            <w:pPr>
              <w:snapToGrid w:val="0"/>
              <w:jc w:val="both"/>
              <w:rPr>
                <w:rFonts w:ascii="標楷體" w:eastAsia="標楷體" w:hAnsi="標楷體"/>
                <w:color w:val="000000"/>
              </w:rPr>
            </w:pPr>
          </w:p>
          <w:p w14:paraId="5741BA8A"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0F9E11BC" w14:textId="77777777" w:rsidR="00BD776B" w:rsidRDefault="00BD776B">
            <w:pPr>
              <w:snapToGrid w:val="0"/>
              <w:jc w:val="both"/>
              <w:rPr>
                <w:rFonts w:ascii="標楷體" w:eastAsia="標楷體" w:hAnsi="標楷體"/>
                <w:color w:val="000000"/>
                <w:sz w:val="20"/>
                <w:szCs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B055B" w14:textId="77777777" w:rsidR="00BD776B" w:rsidRDefault="00DF0C24">
            <w:pPr>
              <w:snapToGrid w:val="0"/>
            </w:pPr>
            <w:r>
              <w:rPr>
                <w:rFonts w:ascii="標楷體" w:eastAsia="標楷體" w:hAnsi="標楷體" w:cs="標楷體"/>
                <w:color w:val="000000"/>
              </w:rPr>
              <w:t>審查醫師</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94668" w14:textId="77777777" w:rsidR="00BD776B" w:rsidRDefault="00BD776B">
            <w:pPr>
              <w:snapToGrid w:val="0"/>
              <w:rPr>
                <w:rFonts w:ascii="標楷體" w:eastAsia="標楷體" w:hAnsi="標楷體"/>
                <w:color w:val="000000"/>
              </w:rPr>
            </w:pPr>
          </w:p>
        </w:tc>
      </w:tr>
      <w:tr w:rsidR="00BD776B" w14:paraId="4EBDFEF6" w14:textId="77777777">
        <w:trPr>
          <w:cantSplit/>
          <w:trHeight w:val="1765"/>
        </w:trPr>
        <w:tc>
          <w:tcPr>
            <w:tcW w:w="4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E2765" w14:textId="77777777" w:rsidR="00BD776B" w:rsidRDefault="00BD776B">
            <w:pPr>
              <w:snapToGrid w:val="0"/>
              <w:ind w:left="211" w:hanging="211"/>
              <w:rPr>
                <w:rFonts w:ascii="標楷體" w:eastAsia="標楷體" w:hAnsi="標楷體"/>
                <w:color w:val="000000"/>
              </w:rPr>
            </w:pPr>
          </w:p>
        </w:tc>
        <w:tc>
          <w:tcPr>
            <w:tcW w:w="958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1CD1" w14:textId="77777777" w:rsidR="00BD776B" w:rsidRDefault="00BD776B">
            <w:pPr>
              <w:snapToGrid w:val="0"/>
              <w:ind w:left="211" w:hanging="211"/>
              <w:rPr>
                <w:rFonts w:ascii="標楷體" w:eastAsia="標楷體" w:hAnsi="標楷體"/>
                <w:color w:val="000000"/>
              </w:rPr>
            </w:pPr>
          </w:p>
        </w:tc>
        <w:tc>
          <w:tcPr>
            <w:tcW w:w="3118" w:type="dxa"/>
            <w:gridSpan w:val="10"/>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05093" w14:textId="77777777" w:rsidR="00BD776B" w:rsidRDefault="00BD776B">
            <w:pPr>
              <w:snapToGrid w:val="0"/>
              <w:jc w:val="both"/>
              <w:rPr>
                <w:rFonts w:ascii="標楷體" w:eastAsia="標楷體" w:hAnsi="標楷體"/>
                <w:color w:val="000000"/>
              </w:rPr>
            </w:pPr>
          </w:p>
        </w:tc>
        <w:tc>
          <w:tcPr>
            <w:tcW w:w="3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FD84B" w14:textId="77777777" w:rsidR="00BD776B" w:rsidRDefault="00BD776B">
            <w:pPr>
              <w:snapToGrid w:val="0"/>
              <w:rPr>
                <w:rFonts w:ascii="標楷體" w:eastAsia="標楷體" w:hAnsi="標楷體" w:cs="標楷體"/>
                <w:color w:val="000000"/>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97442" w14:textId="77777777" w:rsidR="00BD776B" w:rsidRDefault="00BD776B">
            <w:pPr>
              <w:snapToGrid w:val="0"/>
              <w:rPr>
                <w:rFonts w:ascii="標楷體" w:eastAsia="標楷體" w:hAnsi="標楷體"/>
                <w:color w:val="000000"/>
              </w:rPr>
            </w:pPr>
          </w:p>
        </w:tc>
      </w:tr>
      <w:tr w:rsidR="00BD776B" w14:paraId="60BF92B9" w14:textId="77777777">
        <w:trPr>
          <w:cantSplit/>
          <w:trHeight w:val="369"/>
        </w:trPr>
        <w:tc>
          <w:tcPr>
            <w:tcW w:w="7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B0E4A" w14:textId="77777777" w:rsidR="00BD776B" w:rsidRDefault="00DF0C24">
            <w:pPr>
              <w:snapToGrid w:val="0"/>
              <w:spacing w:line="240" w:lineRule="exact"/>
              <w:rPr>
                <w:rFonts w:ascii="標楷體" w:eastAsia="標楷體" w:hAnsi="標楷體" w:cs="標楷體"/>
                <w:color w:val="000000"/>
              </w:rPr>
            </w:pPr>
            <w:r>
              <w:rPr>
                <w:rFonts w:ascii="標楷體" w:eastAsia="標楷體" w:hAnsi="標楷體" w:cs="標楷體"/>
                <w:color w:val="000000"/>
              </w:rPr>
              <w:t>醫事服務機構</w:t>
            </w:r>
          </w:p>
          <w:p w14:paraId="79900E70" w14:textId="77777777" w:rsidR="00BD776B" w:rsidRDefault="00BD776B">
            <w:pPr>
              <w:snapToGrid w:val="0"/>
              <w:spacing w:line="240" w:lineRule="exact"/>
              <w:rPr>
                <w:rFonts w:ascii="標楷體" w:eastAsia="標楷體" w:hAnsi="標楷體"/>
                <w:color w:val="000000"/>
              </w:rPr>
            </w:pPr>
          </w:p>
        </w:tc>
        <w:tc>
          <w:tcPr>
            <w:tcW w:w="87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CB8F" w14:textId="77777777" w:rsidR="00BD776B" w:rsidRDefault="00DF0C24">
            <w:pPr>
              <w:snapToGrid w:val="0"/>
              <w:spacing w:line="240" w:lineRule="exact"/>
            </w:pPr>
            <w:r>
              <w:rPr>
                <w:rFonts w:ascii="標楷體" w:eastAsia="標楷體" w:hAnsi="標楷體" w:cs="標楷體"/>
                <w:color w:val="000000"/>
              </w:rPr>
              <w:t>醫院申請日期：   年   月   日</w:t>
            </w:r>
          </w:p>
          <w:p w14:paraId="1C3C03F2" w14:textId="77777777" w:rsidR="00BD776B" w:rsidRDefault="00BD776B">
            <w:pPr>
              <w:snapToGrid w:val="0"/>
              <w:spacing w:line="240" w:lineRule="exact"/>
              <w:rPr>
                <w:rFonts w:ascii="標楷體" w:eastAsia="標楷體" w:hAnsi="標楷體"/>
                <w:color w:val="000000"/>
              </w:rPr>
            </w:pPr>
          </w:p>
          <w:p w14:paraId="457009F8"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B4BA1" w14:textId="77777777" w:rsidR="00BD776B" w:rsidRDefault="00DF0C24">
            <w:pPr>
              <w:widowControl/>
              <w:snapToGrid w:val="0"/>
              <w:spacing w:line="240" w:lineRule="exact"/>
            </w:pPr>
            <w:r>
              <w:rPr>
                <w:rFonts w:ascii="標楷體" w:eastAsia="標楷體" w:hAnsi="標楷體" w:cs="標楷體"/>
                <w:color w:val="000000"/>
              </w:rPr>
              <w:t>承辦人</w:t>
            </w:r>
          </w:p>
        </w:tc>
        <w:tc>
          <w:tcPr>
            <w:tcW w:w="8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D145D7" w14:textId="77777777" w:rsidR="00BD776B" w:rsidRDefault="00BD776B">
            <w:pPr>
              <w:widowControl/>
              <w:snapToGrid w:val="0"/>
              <w:rPr>
                <w:rFonts w:ascii="標楷體" w:eastAsia="標楷體" w:hAnsi="標楷體"/>
                <w:color w:val="000000"/>
              </w:rPr>
            </w:pPr>
          </w:p>
          <w:p w14:paraId="067127BE" w14:textId="77777777" w:rsidR="00BD776B" w:rsidRDefault="00BD776B">
            <w:pPr>
              <w:snapToGrid w:val="0"/>
              <w:spacing w:line="240" w:lineRule="exact"/>
              <w:rPr>
                <w:rFonts w:ascii="標楷體" w:eastAsia="標楷體" w:hAnsi="標楷體"/>
                <w:color w:val="000000"/>
              </w:rPr>
            </w:pPr>
          </w:p>
        </w:tc>
        <w:tc>
          <w:tcPr>
            <w:tcW w:w="36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E674F" w14:textId="77777777" w:rsidR="00BD776B" w:rsidRDefault="00DF0C24">
            <w:pPr>
              <w:widowControl/>
              <w:snapToGrid w:val="0"/>
              <w:spacing w:line="240" w:lineRule="exact"/>
            </w:pPr>
            <w:r>
              <w:rPr>
                <w:rFonts w:ascii="標楷體" w:eastAsia="標楷體" w:hAnsi="標楷體" w:cs="標楷體"/>
                <w:color w:val="000000"/>
              </w:rPr>
              <w:t>複核</w:t>
            </w:r>
          </w:p>
          <w:p w14:paraId="499E1FE2" w14:textId="77777777" w:rsidR="00BD776B" w:rsidRDefault="00BD776B">
            <w:pPr>
              <w:widowControl/>
              <w:snapToGrid w:val="0"/>
              <w:rPr>
                <w:rFonts w:ascii="標楷體" w:eastAsia="標楷體" w:hAnsi="標楷體"/>
                <w:color w:val="000000"/>
              </w:rPr>
            </w:pPr>
          </w:p>
        </w:tc>
        <w:tc>
          <w:tcPr>
            <w:tcW w:w="846"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074E" w14:textId="77777777" w:rsidR="00BD776B" w:rsidRDefault="00BD776B">
            <w:pPr>
              <w:widowControl/>
              <w:snapToGrid w:val="0"/>
              <w:rPr>
                <w:rFonts w:ascii="標楷體" w:eastAsia="標楷體" w:hAnsi="標楷體"/>
                <w:color w:val="000000"/>
              </w:rPr>
            </w:pPr>
          </w:p>
          <w:p w14:paraId="17370BE3" w14:textId="77777777" w:rsidR="00BD776B" w:rsidRDefault="00BD776B">
            <w:pPr>
              <w:snapToGrid w:val="0"/>
              <w:spacing w:line="240" w:lineRule="exact"/>
              <w:rPr>
                <w:rFonts w:ascii="標楷體" w:eastAsia="標楷體" w:hAnsi="標楷體"/>
                <w:color w:val="000000"/>
              </w:rPr>
            </w:pPr>
          </w:p>
        </w:tc>
        <w:tc>
          <w:tcPr>
            <w:tcW w:w="3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FC10F" w14:textId="77777777" w:rsidR="00BD776B" w:rsidRDefault="00DF0C24">
            <w:pPr>
              <w:snapToGrid w:val="0"/>
              <w:spacing w:line="240" w:lineRule="exact"/>
            </w:pPr>
            <w:r>
              <w:rPr>
                <w:rFonts w:ascii="標楷體" w:eastAsia="標楷體" w:hAnsi="標楷體" w:cs="標楷體"/>
                <w:color w:val="000000"/>
              </w:rPr>
              <w:t>科長</w:t>
            </w:r>
          </w:p>
        </w:tc>
        <w:tc>
          <w:tcPr>
            <w:tcW w:w="84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E1BC3" w14:textId="77777777" w:rsidR="00BD776B" w:rsidRDefault="00BD776B">
            <w:pPr>
              <w:widowControl/>
              <w:snapToGrid w:val="0"/>
              <w:rPr>
                <w:rFonts w:ascii="標楷體" w:eastAsia="標楷體" w:hAnsi="標楷體"/>
                <w:color w:val="000000"/>
              </w:rPr>
            </w:pPr>
          </w:p>
          <w:p w14:paraId="49EBF456" w14:textId="77777777" w:rsidR="00BD776B" w:rsidRDefault="00BD776B">
            <w:pPr>
              <w:snapToGrid w:val="0"/>
              <w:spacing w:line="240" w:lineRule="exact"/>
              <w:rPr>
                <w:rFonts w:ascii="標楷體" w:eastAsia="標楷體" w:hAnsi="標楷體"/>
                <w:color w:val="000000"/>
              </w:rPr>
            </w:pPr>
          </w:p>
        </w:tc>
        <w:tc>
          <w:tcPr>
            <w:tcW w:w="3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961AD" w14:textId="77777777" w:rsidR="00BD776B" w:rsidRDefault="00DF0C24">
            <w:pPr>
              <w:widowControl/>
              <w:snapToGrid w:val="0"/>
              <w:spacing w:line="240" w:lineRule="exact"/>
            </w:pPr>
            <w:r>
              <w:rPr>
                <w:rFonts w:ascii="標楷體" w:eastAsia="標楷體" w:hAnsi="標楷體" w:cs="標楷體"/>
                <w:color w:val="000000"/>
              </w:rPr>
              <w:t>決行</w:t>
            </w:r>
          </w:p>
          <w:p w14:paraId="0EF53345" w14:textId="77777777" w:rsidR="00BD776B" w:rsidRDefault="00BD776B">
            <w:pPr>
              <w:widowControl/>
              <w:snapToGrid w:val="0"/>
              <w:rPr>
                <w:rFonts w:ascii="標楷體" w:eastAsia="標楷體" w:hAnsi="標楷體"/>
                <w:color w:val="000000"/>
              </w:rPr>
            </w:pPr>
          </w:p>
        </w:tc>
        <w:tc>
          <w:tcPr>
            <w:tcW w:w="95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96A2" w14:textId="77777777" w:rsidR="00BD776B" w:rsidRDefault="00BD776B">
            <w:pPr>
              <w:widowControl/>
              <w:snapToGrid w:val="0"/>
              <w:rPr>
                <w:rFonts w:ascii="標楷體" w:eastAsia="標楷體" w:hAnsi="標楷體"/>
                <w:color w:val="000000"/>
              </w:rPr>
            </w:pPr>
          </w:p>
          <w:p w14:paraId="30EBCA60" w14:textId="77777777" w:rsidR="00BD776B" w:rsidRDefault="00BD776B">
            <w:pPr>
              <w:snapToGrid w:val="0"/>
              <w:spacing w:line="240" w:lineRule="exact"/>
              <w:rPr>
                <w:rFonts w:ascii="標楷體" w:eastAsia="標楷體" w:hAnsi="標楷體"/>
                <w:color w:val="000000"/>
              </w:rPr>
            </w:pPr>
          </w:p>
        </w:tc>
      </w:tr>
    </w:tbl>
    <w:p w14:paraId="306CB8D9" w14:textId="77777777" w:rsidR="00BD776B" w:rsidRDefault="00DF0C24">
      <w:pPr>
        <w:pStyle w:val="Web"/>
        <w:pageBreakBefore/>
        <w:widowControl w:val="0"/>
        <w:snapToGrid w:val="0"/>
        <w:spacing w:before="0" w:after="0" w:line="380" w:lineRule="exact"/>
        <w:ind w:firstLine="240"/>
        <w:jc w:val="both"/>
      </w:pPr>
      <w:r>
        <w:rPr>
          <w:rFonts w:ascii="標楷體" w:eastAsia="標楷體" w:hAnsi="標楷體" w:cs="標楷體"/>
          <w:color w:val="000000"/>
        </w:rPr>
        <w:lastRenderedPageBreak/>
        <w:t>附表九之五全民健康保險使用抗癌藥品</w:t>
      </w:r>
      <w:r>
        <w:rPr>
          <w:rFonts w:ascii="標楷體" w:eastAsia="標楷體" w:hAnsi="標楷體" w:cs="Times New Roman"/>
          <w:color w:val="000000"/>
        </w:rPr>
        <w:t>Sunitinib</w:t>
      </w:r>
      <w:r>
        <w:rPr>
          <w:rFonts w:ascii="標楷體" w:eastAsia="標楷體" w:hAnsi="標楷體" w:cs="標楷體"/>
          <w:color w:val="000000"/>
        </w:rPr>
        <w:t>申請表</w:t>
      </w:r>
    </w:p>
    <w:tbl>
      <w:tblPr>
        <w:tblW w:w="14504" w:type="dxa"/>
        <w:tblInd w:w="227" w:type="dxa"/>
        <w:tblLayout w:type="fixed"/>
        <w:tblCellMar>
          <w:left w:w="10" w:type="dxa"/>
          <w:right w:w="10" w:type="dxa"/>
        </w:tblCellMar>
        <w:tblLook w:val="0000" w:firstRow="0" w:lastRow="0" w:firstColumn="0" w:lastColumn="0" w:noHBand="0" w:noVBand="0"/>
      </w:tblPr>
      <w:tblGrid>
        <w:gridCol w:w="313"/>
        <w:gridCol w:w="74"/>
        <w:gridCol w:w="405"/>
        <w:gridCol w:w="575"/>
        <w:gridCol w:w="826"/>
        <w:gridCol w:w="741"/>
        <w:gridCol w:w="269"/>
        <w:gridCol w:w="16"/>
        <w:gridCol w:w="431"/>
        <w:gridCol w:w="852"/>
        <w:gridCol w:w="109"/>
        <w:gridCol w:w="1320"/>
        <w:gridCol w:w="604"/>
        <w:gridCol w:w="362"/>
        <w:gridCol w:w="964"/>
        <w:gridCol w:w="773"/>
        <w:gridCol w:w="327"/>
        <w:gridCol w:w="386"/>
        <w:gridCol w:w="204"/>
        <w:gridCol w:w="127"/>
        <w:gridCol w:w="235"/>
        <w:gridCol w:w="146"/>
        <w:gridCol w:w="698"/>
        <w:gridCol w:w="362"/>
        <w:gridCol w:w="126"/>
        <w:gridCol w:w="362"/>
        <w:gridCol w:w="10"/>
        <w:gridCol w:w="348"/>
        <w:gridCol w:w="364"/>
        <w:gridCol w:w="13"/>
        <w:gridCol w:w="230"/>
        <w:gridCol w:w="605"/>
        <w:gridCol w:w="377"/>
        <w:gridCol w:w="950"/>
      </w:tblGrid>
      <w:tr w:rsidR="00BD776B" w14:paraId="2C5C5777" w14:textId="77777777">
        <w:trPr>
          <w:cantSplit/>
          <w:trHeight w:val="327"/>
        </w:trPr>
        <w:tc>
          <w:tcPr>
            <w:tcW w:w="2193"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5FC170D"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34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0D2CBB"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79E80F" w14:textId="77777777" w:rsidR="00BD776B" w:rsidRDefault="00DF0C24">
            <w:pPr>
              <w:snapToGrid w:val="0"/>
            </w:pPr>
            <w:r>
              <w:rPr>
                <w:rFonts w:ascii="標楷體" w:eastAsia="標楷體" w:hAnsi="標楷體" w:cs="標楷體"/>
                <w:color w:val="000000"/>
                <w:sz w:val="20"/>
                <w:szCs w:val="20"/>
              </w:rPr>
              <w:t>受理日期：</w:t>
            </w:r>
          </w:p>
        </w:tc>
        <w:tc>
          <w:tcPr>
            <w:tcW w:w="26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C87764" w14:textId="77777777" w:rsidR="00BD776B" w:rsidRDefault="00DF0C24">
            <w:pPr>
              <w:snapToGrid w:val="0"/>
              <w:ind w:left="15"/>
            </w:pPr>
            <w:r>
              <w:rPr>
                <w:rFonts w:ascii="標楷體" w:eastAsia="標楷體" w:hAnsi="標楷體" w:cs="標楷體"/>
                <w:color w:val="000000"/>
                <w:sz w:val="20"/>
                <w:szCs w:val="20"/>
              </w:rPr>
              <w:t>受理編號：</w:t>
            </w:r>
          </w:p>
        </w:tc>
        <w:tc>
          <w:tcPr>
            <w:tcW w:w="288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991F8E" w14:textId="77777777" w:rsidR="00BD776B" w:rsidRDefault="00DF0C24">
            <w:pPr>
              <w:snapToGrid w:val="0"/>
            </w:pPr>
            <w:r>
              <w:rPr>
                <w:rFonts w:ascii="標楷體" w:eastAsia="標楷體" w:hAnsi="標楷體" w:cs="標楷體"/>
                <w:color w:val="000000"/>
                <w:sz w:val="20"/>
                <w:szCs w:val="20"/>
              </w:rPr>
              <w:t>緊急傳真日期：</w:t>
            </w:r>
          </w:p>
        </w:tc>
      </w:tr>
      <w:tr w:rsidR="00BD776B" w14:paraId="437D421C" w14:textId="77777777">
        <w:trPr>
          <w:cantSplit/>
          <w:trHeight w:val="435"/>
        </w:trPr>
        <w:tc>
          <w:tcPr>
            <w:tcW w:w="3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9431A4"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41505E"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B526A7" w14:textId="77777777" w:rsidR="00BD776B" w:rsidRDefault="00BD776B">
            <w:pPr>
              <w:snapToGrid w:val="0"/>
              <w:spacing w:line="200" w:lineRule="exact"/>
              <w:rPr>
                <w:rFonts w:ascii="標楷體" w:eastAsia="標楷體" w:hAnsi="標楷體"/>
                <w:color w:val="000000"/>
                <w:sz w:val="20"/>
                <w:szCs w:val="20"/>
              </w:rPr>
            </w:pP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989BDB"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4A9FC31A"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6E0C8C2B"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726A31A6"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FF9A06"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4C799" w14:textId="77777777" w:rsidR="00BD776B" w:rsidRDefault="00BD776B">
            <w:pPr>
              <w:snapToGrid w:val="0"/>
              <w:spacing w:line="200" w:lineRule="exact"/>
              <w:rPr>
                <w:rFonts w:ascii="標楷體" w:eastAsia="標楷體" w:hAnsi="標楷體"/>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A1651"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A7042E" w14:textId="77777777" w:rsidR="00BD776B" w:rsidRDefault="00BD776B">
            <w:pPr>
              <w:snapToGrid w:val="0"/>
              <w:spacing w:line="200" w:lineRule="exact"/>
              <w:rPr>
                <w:rFonts w:ascii="標楷體" w:eastAsia="標楷體" w:hAnsi="標楷體"/>
                <w:color w:val="000000"/>
                <w:sz w:val="20"/>
                <w:szCs w:val="20"/>
              </w:rPr>
            </w:pPr>
          </w:p>
        </w:tc>
        <w:tc>
          <w:tcPr>
            <w:tcW w:w="18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5841FB"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55E84254"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456C01" w14:textId="77777777" w:rsidR="00BD776B" w:rsidRDefault="00BD776B">
            <w:pPr>
              <w:snapToGrid w:val="0"/>
              <w:spacing w:line="200" w:lineRule="exact"/>
              <w:rPr>
                <w:rFonts w:ascii="標楷體" w:eastAsia="標楷體" w:hAnsi="標楷體"/>
                <w:color w:val="000000"/>
                <w:sz w:val="20"/>
                <w:szCs w:val="20"/>
              </w:rPr>
            </w:pPr>
          </w:p>
        </w:tc>
        <w:tc>
          <w:tcPr>
            <w:tcW w:w="10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4D33E2"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預定實施</w:t>
            </w:r>
          </w:p>
          <w:p w14:paraId="00CC56EC" w14:textId="77777777" w:rsidR="00BD776B" w:rsidRDefault="00DF0C24">
            <w:pPr>
              <w:snapToGrid w:val="0"/>
              <w:spacing w:line="200" w:lineRule="exact"/>
            </w:pPr>
            <w:r>
              <w:rPr>
                <w:rFonts w:ascii="標楷體" w:eastAsia="標楷體" w:hAnsi="標楷體" w:cs="標楷體"/>
                <w:color w:val="000000"/>
                <w:sz w:val="20"/>
                <w:szCs w:val="20"/>
              </w:rPr>
              <w:t>日期</w:t>
            </w:r>
          </w:p>
        </w:tc>
        <w:tc>
          <w:tcPr>
            <w:tcW w:w="21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F4BD7" w14:textId="77777777" w:rsidR="00BD776B" w:rsidRDefault="00BD776B">
            <w:pPr>
              <w:snapToGrid w:val="0"/>
              <w:spacing w:line="200" w:lineRule="exact"/>
              <w:rPr>
                <w:rFonts w:ascii="標楷體" w:eastAsia="標楷體" w:hAnsi="標楷體"/>
                <w:color w:val="000000"/>
                <w:sz w:val="20"/>
                <w:szCs w:val="20"/>
              </w:rPr>
            </w:pPr>
          </w:p>
        </w:tc>
      </w:tr>
      <w:tr w:rsidR="00BD776B" w14:paraId="4FF98B2E" w14:textId="77777777">
        <w:trPr>
          <w:cantSplit/>
          <w:trHeight w:val="412"/>
        </w:trPr>
        <w:tc>
          <w:tcPr>
            <w:tcW w:w="38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5E0AA8" w14:textId="77777777" w:rsidR="00BD776B" w:rsidRDefault="00BD776B">
            <w:pPr>
              <w:snapToGrid w:val="0"/>
              <w:spacing w:line="200" w:lineRule="exact"/>
              <w:rPr>
                <w:rFonts w:ascii="標楷體" w:eastAsia="標楷體" w:hAnsi="標楷體"/>
                <w:color w:val="000000"/>
                <w:sz w:val="20"/>
                <w:szCs w:val="20"/>
              </w:rPr>
            </w:pPr>
          </w:p>
        </w:tc>
        <w:tc>
          <w:tcPr>
            <w:tcW w:w="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CBAABF"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622172" w14:textId="77777777" w:rsidR="00BD776B" w:rsidRDefault="00BD776B">
            <w:pPr>
              <w:snapToGrid w:val="0"/>
              <w:spacing w:line="200" w:lineRule="exact"/>
              <w:rPr>
                <w:rFonts w:ascii="標楷體" w:eastAsia="標楷體" w:hAnsi="標楷體"/>
                <w:color w:val="000000"/>
                <w:sz w:val="20"/>
                <w:szCs w:val="20"/>
              </w:rPr>
            </w:pP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AA1E3B" w14:textId="77777777" w:rsidR="00BD776B" w:rsidRDefault="00BD776B">
            <w:pPr>
              <w:snapToGrid w:val="0"/>
              <w:spacing w:line="200" w:lineRule="exact"/>
              <w:rPr>
                <w:rFonts w:ascii="標楷體" w:eastAsia="標楷體" w:hAnsi="標楷體"/>
                <w:color w:val="000000"/>
                <w:sz w:val="20"/>
                <w:szCs w:val="2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56952D" w14:textId="77777777" w:rsidR="00BD776B" w:rsidRDefault="00DF0C24">
            <w:pPr>
              <w:snapToGrid w:val="0"/>
              <w:spacing w:line="200" w:lineRule="exact"/>
            </w:pPr>
            <w:r>
              <w:rPr>
                <w:rFonts w:ascii="標楷體" w:eastAsia="標楷體" w:hAnsi="標楷體" w:cs="標楷體"/>
                <w:color w:val="000000"/>
                <w:sz w:val="20"/>
                <w:szCs w:val="20"/>
              </w:rPr>
              <w:t>身分證</w:t>
            </w:r>
          </w:p>
          <w:p w14:paraId="0DA5ADBA"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066BE6" w14:textId="77777777" w:rsidR="00BD776B" w:rsidRDefault="00BD776B">
            <w:pPr>
              <w:snapToGrid w:val="0"/>
              <w:spacing w:line="200" w:lineRule="exact"/>
              <w:rPr>
                <w:rFonts w:ascii="標楷體" w:eastAsia="標楷體" w:hAnsi="標楷體"/>
                <w:color w:val="000000"/>
                <w:sz w:val="20"/>
                <w:szCs w:val="20"/>
              </w:rPr>
            </w:pPr>
          </w:p>
        </w:tc>
        <w:tc>
          <w:tcPr>
            <w:tcW w:w="3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61A4B"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7D0B6A83"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2176E" w14:textId="77777777" w:rsidR="00BD776B" w:rsidRDefault="00BD776B">
            <w:pPr>
              <w:snapToGrid w:val="0"/>
              <w:spacing w:line="200" w:lineRule="exact"/>
              <w:rPr>
                <w:rFonts w:ascii="標楷體" w:eastAsia="標楷體" w:hAnsi="標楷體"/>
                <w:color w:val="000000"/>
                <w:sz w:val="20"/>
                <w:szCs w:val="20"/>
              </w:rPr>
            </w:pPr>
          </w:p>
        </w:tc>
        <w:tc>
          <w:tcPr>
            <w:tcW w:w="18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49A9E7"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3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08060C"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病歷</w:t>
            </w:r>
          </w:p>
          <w:p w14:paraId="64DCA90A" w14:textId="77777777" w:rsidR="00BD776B" w:rsidRDefault="00DF0C24">
            <w:pPr>
              <w:snapToGrid w:val="0"/>
              <w:spacing w:line="200" w:lineRule="exact"/>
              <w:jc w:val="center"/>
            </w:pPr>
            <w:r>
              <w:rPr>
                <w:rFonts w:ascii="標楷體" w:eastAsia="標楷體" w:hAnsi="標楷體" w:cs="標楷體"/>
                <w:color w:val="000000"/>
                <w:sz w:val="20"/>
                <w:szCs w:val="20"/>
              </w:rPr>
              <w:t>號碼</w:t>
            </w:r>
          </w:p>
        </w:tc>
        <w:tc>
          <w:tcPr>
            <w:tcW w:w="15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4DC4B2" w14:textId="77777777" w:rsidR="00BD776B" w:rsidRDefault="00BD776B">
            <w:pPr>
              <w:snapToGrid w:val="0"/>
              <w:spacing w:line="200" w:lineRule="exact"/>
              <w:rPr>
                <w:rFonts w:ascii="標楷體" w:eastAsia="標楷體" w:hAnsi="標楷體"/>
                <w:color w:val="000000"/>
                <w:sz w:val="20"/>
                <w:szCs w:val="20"/>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7F8EE5"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99C3CE" w14:textId="77777777" w:rsidR="00BD776B" w:rsidRDefault="00BD776B">
            <w:pPr>
              <w:snapToGrid w:val="0"/>
              <w:spacing w:line="200" w:lineRule="exact"/>
              <w:rPr>
                <w:rFonts w:ascii="標楷體" w:eastAsia="標楷體" w:hAnsi="標楷體"/>
                <w:color w:val="000000"/>
                <w:sz w:val="20"/>
                <w:szCs w:val="20"/>
              </w:rPr>
            </w:pPr>
          </w:p>
        </w:tc>
      </w:tr>
      <w:tr w:rsidR="00BD776B" w14:paraId="6092D236" w14:textId="77777777">
        <w:trPr>
          <w:cantSplit/>
          <w:trHeight w:hRule="exact" w:val="271"/>
        </w:trPr>
        <w:tc>
          <w:tcPr>
            <w:tcW w:w="13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5D3948"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28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6B4345" w14:textId="77777777" w:rsidR="00BD776B" w:rsidRDefault="00BD776B">
            <w:pPr>
              <w:snapToGrid w:val="0"/>
              <w:spacing w:line="200" w:lineRule="exact"/>
              <w:rPr>
                <w:rFonts w:ascii="標楷體" w:eastAsia="標楷體" w:hAnsi="標楷體"/>
                <w:color w:val="000000"/>
                <w:sz w:val="20"/>
                <w:szCs w:val="20"/>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0065D1"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02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4EBBCC" w14:textId="77777777" w:rsidR="00BD776B" w:rsidRDefault="00BD776B">
            <w:pPr>
              <w:snapToGrid w:val="0"/>
              <w:spacing w:line="200" w:lineRule="exact"/>
              <w:rPr>
                <w:rFonts w:ascii="標楷體" w:eastAsia="標楷體" w:hAnsi="標楷體"/>
                <w:color w:val="000000"/>
                <w:sz w:val="20"/>
                <w:szCs w:val="20"/>
              </w:rPr>
            </w:pPr>
          </w:p>
        </w:tc>
        <w:tc>
          <w:tcPr>
            <w:tcW w:w="142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8755C7"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445"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7F296DF"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7BE969CB" w14:textId="77777777">
        <w:trPr>
          <w:cantSplit/>
          <w:trHeight w:val="399"/>
        </w:trPr>
        <w:tc>
          <w:tcPr>
            <w:tcW w:w="13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973C5A"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F3479F"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43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0F9393"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9D4F23"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2CF1B84C"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7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38197E"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1336E778"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445"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3C5AA143"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57888531" w14:textId="77777777">
        <w:trPr>
          <w:cantSplit/>
          <w:trHeight w:val="2942"/>
        </w:trPr>
        <w:tc>
          <w:tcPr>
            <w:tcW w:w="13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C8483" w14:textId="77777777" w:rsidR="00BD776B" w:rsidRDefault="00DF0C24">
            <w:pPr>
              <w:snapToGrid w:val="0"/>
              <w:spacing w:line="480" w:lineRule="auto"/>
            </w:pPr>
            <w:r>
              <w:rPr>
                <w:rFonts w:ascii="標楷體" w:eastAsia="標楷體" w:hAnsi="標楷體"/>
                <w:color w:val="000000"/>
                <w:sz w:val="18"/>
                <w:szCs w:val="18"/>
              </w:rPr>
              <w:t>Sutent</w:t>
            </w:r>
          </w:p>
          <w:p w14:paraId="5DC4617E" w14:textId="77777777" w:rsidR="00BD776B" w:rsidRDefault="00DF0C24">
            <w:pPr>
              <w:snapToGrid w:val="0"/>
              <w:spacing w:line="480" w:lineRule="auto"/>
            </w:pPr>
            <w:r>
              <w:rPr>
                <w:rFonts w:ascii="標楷體" w:eastAsia="標楷體" w:hAnsi="標楷體"/>
                <w:color w:val="000000"/>
                <w:sz w:val="18"/>
                <w:szCs w:val="18"/>
              </w:rPr>
              <w:t>□B024593100</w:t>
            </w:r>
          </w:p>
          <w:p w14:paraId="51DCF8B0" w14:textId="77777777" w:rsidR="00BD776B" w:rsidRDefault="00DF0C24">
            <w:pPr>
              <w:snapToGrid w:val="0"/>
              <w:spacing w:line="480" w:lineRule="auto"/>
            </w:pPr>
            <w:r>
              <w:rPr>
                <w:rFonts w:ascii="標楷體" w:eastAsia="標楷體" w:hAnsi="標楷體"/>
                <w:color w:val="000000"/>
                <w:sz w:val="18"/>
                <w:szCs w:val="18"/>
              </w:rPr>
              <w:t>□B024594100</w:t>
            </w:r>
          </w:p>
          <w:p w14:paraId="253D5094" w14:textId="77777777" w:rsidR="00BD776B" w:rsidRDefault="00DF0C24">
            <w:pPr>
              <w:snapToGrid w:val="0"/>
              <w:spacing w:line="480" w:lineRule="auto"/>
            </w:pPr>
            <w:r>
              <w:rPr>
                <w:rFonts w:ascii="標楷體" w:eastAsia="標楷體" w:hAnsi="標楷體"/>
                <w:color w:val="000000"/>
                <w:sz w:val="18"/>
                <w:szCs w:val="18"/>
              </w:rPr>
              <w:t>□B024595100</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91309" w14:textId="77777777" w:rsidR="00BD776B" w:rsidRDefault="00BD776B">
            <w:pPr>
              <w:snapToGrid w:val="0"/>
              <w:spacing w:line="200" w:lineRule="exact"/>
              <w:rPr>
                <w:rFonts w:ascii="標楷體" w:eastAsia="標楷體" w:hAnsi="標楷體"/>
                <w:color w:val="000000"/>
                <w:sz w:val="20"/>
                <w:szCs w:val="20"/>
              </w:rPr>
            </w:pPr>
          </w:p>
          <w:p w14:paraId="5A6C0EDE" w14:textId="77777777" w:rsidR="00BD776B" w:rsidRDefault="00DF0C24">
            <w:pPr>
              <w:snapToGrid w:val="0"/>
              <w:spacing w:line="200" w:lineRule="exact"/>
              <w:ind w:left="320" w:hanging="200"/>
            </w:pPr>
            <w:r>
              <w:rPr>
                <w:rFonts w:ascii="標楷體" w:eastAsia="標楷體" w:hAnsi="標楷體" w:cs="標楷體"/>
                <w:color w:val="000000"/>
                <w:sz w:val="20"/>
                <w:szCs w:val="20"/>
              </w:rPr>
              <w:t>□第一次申請</w:t>
            </w:r>
          </w:p>
          <w:p w14:paraId="7E83493D" w14:textId="77777777" w:rsidR="00BD776B" w:rsidRDefault="00BD776B">
            <w:pPr>
              <w:snapToGrid w:val="0"/>
              <w:spacing w:line="200" w:lineRule="exact"/>
              <w:ind w:left="220" w:hanging="100"/>
              <w:rPr>
                <w:rFonts w:ascii="標楷體" w:eastAsia="標楷體" w:hAnsi="標楷體" w:cs="標楷體"/>
                <w:color w:val="000000"/>
                <w:sz w:val="20"/>
                <w:szCs w:val="20"/>
              </w:rPr>
            </w:pPr>
          </w:p>
          <w:p w14:paraId="0D9DAD43" w14:textId="77777777" w:rsidR="00BD776B" w:rsidRDefault="00DF0C24">
            <w:pPr>
              <w:snapToGrid w:val="0"/>
              <w:spacing w:line="200" w:lineRule="exact"/>
              <w:ind w:left="320" w:hanging="200"/>
            </w:pPr>
            <w:r>
              <w:rPr>
                <w:rFonts w:ascii="標楷體" w:eastAsia="標楷體" w:hAnsi="標楷體" w:cs="標楷體"/>
                <w:color w:val="000000"/>
                <w:sz w:val="20"/>
                <w:szCs w:val="20"/>
              </w:rPr>
              <w:t>□治療後再次申請</w:t>
            </w:r>
          </w:p>
          <w:p w14:paraId="750C9FCE" w14:textId="77777777" w:rsidR="00BD776B" w:rsidRDefault="00BD776B">
            <w:pPr>
              <w:pStyle w:val="a7"/>
              <w:spacing w:line="200" w:lineRule="exact"/>
              <w:rPr>
                <w:rFonts w:ascii="標楷體" w:eastAsia="標楷體" w:hAnsi="標楷體"/>
                <w:color w:val="000000"/>
              </w:rPr>
            </w:pPr>
          </w:p>
        </w:tc>
        <w:tc>
          <w:tcPr>
            <w:tcW w:w="543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B9215" w14:textId="77777777" w:rsidR="00BD776B" w:rsidRDefault="00DF0C24">
            <w:pPr>
              <w:snapToGrid w:val="0"/>
              <w:spacing w:line="180" w:lineRule="exact"/>
              <w:ind w:left="382" w:hanging="284"/>
              <w:jc w:val="both"/>
              <w:rPr>
                <w:rFonts w:ascii="標楷體" w:eastAsia="標楷體" w:hAnsi="標楷體"/>
                <w:color w:val="000000"/>
                <w:sz w:val="20"/>
                <w:szCs w:val="20"/>
              </w:rPr>
            </w:pPr>
            <w:r>
              <w:rPr>
                <w:rFonts w:ascii="標楷體" w:eastAsia="標楷體" w:hAnsi="標楷體"/>
                <w:color w:val="000000"/>
                <w:sz w:val="20"/>
                <w:szCs w:val="20"/>
              </w:rPr>
              <w:t>□1.腸胃道間質腫瘤：</w:t>
            </w:r>
          </w:p>
          <w:p w14:paraId="53FFE700"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(1)限用於以imatinib治療期間出現疾病惡化或對該藥出現不能忍受之腸胃道間質腫瘤。(2)若使用本藥品出現疾病惡化或無法忍受其副作用，不得替換使用imatinib治療。</w:t>
            </w:r>
          </w:p>
          <w:p w14:paraId="1B4DCDC2"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(3)需經事前審查核准後使用，送審時須檢送病歷及對imatinib耐受性不良或無效之證明。</w:t>
            </w:r>
          </w:p>
          <w:p w14:paraId="12DB5CC7" w14:textId="77777777" w:rsidR="00BD776B" w:rsidRDefault="00DF0C24">
            <w:pPr>
              <w:snapToGrid w:val="0"/>
              <w:spacing w:line="180" w:lineRule="exact"/>
              <w:ind w:left="382" w:hanging="284"/>
              <w:jc w:val="both"/>
              <w:rPr>
                <w:rFonts w:ascii="標楷體" w:eastAsia="標楷體" w:hAnsi="標楷體"/>
                <w:color w:val="000000"/>
                <w:sz w:val="20"/>
                <w:szCs w:val="20"/>
              </w:rPr>
            </w:pPr>
            <w:r>
              <w:rPr>
                <w:rFonts w:ascii="標楷體" w:eastAsia="標楷體" w:hAnsi="標楷體"/>
                <w:color w:val="000000"/>
                <w:sz w:val="20"/>
                <w:szCs w:val="20"/>
              </w:rPr>
              <w:t>□2.晚期腎細胞癌：</w:t>
            </w:r>
          </w:p>
          <w:p w14:paraId="0482F4D8"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(1)可用於第一線治療晚期或轉移性腎細胞癌，即病理上為亮細胞癌(clearcellrenalcarcinoma)。(2)無效後則不給付temsirolimus及其他酪胺酸激酶阻斷劑（tyrosinekinaseinhibitor,TKI）。(3)需經事前審查核准後使用，每次申請之療程以三個月為限，送審時需檢送影像資料，每三個月評估一次。(4)病人若對藥物產生耐受性不佳（intolerance），則以原來藥物減量為原則，若嚴重耐受性不佳，可以換其他TKI。</w:t>
            </w:r>
          </w:p>
          <w:p w14:paraId="2EF7BEF0" w14:textId="77777777" w:rsidR="00BD776B" w:rsidRDefault="00DF0C24">
            <w:pPr>
              <w:snapToGrid w:val="0"/>
              <w:spacing w:line="180" w:lineRule="exact"/>
              <w:ind w:left="382" w:hanging="284"/>
              <w:jc w:val="both"/>
              <w:rPr>
                <w:rFonts w:ascii="標楷體" w:eastAsia="標楷體" w:hAnsi="標楷體"/>
                <w:color w:val="000000"/>
                <w:sz w:val="20"/>
                <w:szCs w:val="20"/>
              </w:rPr>
            </w:pPr>
            <w:r>
              <w:rPr>
                <w:rFonts w:ascii="標楷體" w:eastAsia="標楷體" w:hAnsi="標楷體"/>
                <w:color w:val="000000"/>
                <w:sz w:val="20"/>
                <w:szCs w:val="20"/>
              </w:rPr>
              <w:t>□3.進展性，無法切除或轉移性分化良好之胰臟神經內分泌腫瘤的成人病患，須同時符合下列條件：</w:t>
            </w:r>
          </w:p>
          <w:p w14:paraId="7164C710"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(1)</w:t>
            </w:r>
            <w:r>
              <w:rPr>
                <w:rFonts w:ascii="標楷體" w:eastAsia="標楷體" w:hAnsi="標楷體"/>
                <w:color w:val="000000"/>
                <w:sz w:val="20"/>
                <w:szCs w:val="20"/>
              </w:rPr>
              <w:tab/>
              <w:t>符合WHO2010分類方式之G1orG2胰臟神經內分泌瘤。</w:t>
            </w:r>
          </w:p>
          <w:p w14:paraId="4235B4C3"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(2)</w:t>
            </w:r>
            <w:r>
              <w:rPr>
                <w:rFonts w:ascii="標楷體" w:eastAsia="標楷體" w:hAnsi="標楷體"/>
                <w:color w:val="000000"/>
                <w:sz w:val="20"/>
                <w:szCs w:val="20"/>
              </w:rPr>
              <w:tab/>
              <w:t>於一年內影像檢查證實有明顯惡化者。</w:t>
            </w:r>
          </w:p>
          <w:p w14:paraId="216471BC"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(3)</w:t>
            </w:r>
            <w:r>
              <w:rPr>
                <w:rFonts w:ascii="標楷體" w:eastAsia="標楷體" w:hAnsi="標楷體"/>
                <w:color w:val="000000"/>
                <w:sz w:val="20"/>
                <w:szCs w:val="20"/>
              </w:rPr>
              <w:tab/>
              <w:t>不可合併使用化學治療或相關標靶藥物。</w:t>
            </w:r>
          </w:p>
          <w:p w14:paraId="256C0B6C" w14:textId="77777777" w:rsidR="00BD776B" w:rsidRDefault="00DF0C24">
            <w:pPr>
              <w:snapToGrid w:val="0"/>
              <w:spacing w:line="180" w:lineRule="exact"/>
              <w:ind w:left="622" w:hanging="284"/>
              <w:jc w:val="both"/>
              <w:rPr>
                <w:rFonts w:ascii="標楷體" w:eastAsia="標楷體" w:hAnsi="標楷體"/>
                <w:color w:val="000000"/>
                <w:sz w:val="20"/>
                <w:szCs w:val="20"/>
              </w:rPr>
            </w:pPr>
            <w:r>
              <w:rPr>
                <w:rFonts w:ascii="標楷體" w:eastAsia="標楷體" w:hAnsi="標楷體"/>
                <w:color w:val="000000"/>
                <w:sz w:val="20"/>
                <w:szCs w:val="20"/>
              </w:rPr>
              <w:t>(4)經事前專案審查核准後使用，且需每3個月評估一次。</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EE4B5" w14:textId="77777777" w:rsidR="00BD776B" w:rsidRDefault="00BD776B">
            <w:pPr>
              <w:snapToGrid w:val="0"/>
              <w:spacing w:line="200" w:lineRule="exact"/>
              <w:rPr>
                <w:rFonts w:ascii="標楷體" w:eastAsia="標楷體" w:hAnsi="標楷體"/>
                <w:color w:val="000000"/>
                <w:sz w:val="20"/>
                <w:szCs w:val="20"/>
              </w:rPr>
            </w:pPr>
          </w:p>
        </w:tc>
        <w:tc>
          <w:tcPr>
            <w:tcW w:w="7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8CF9E" w14:textId="77777777" w:rsidR="00BD776B" w:rsidRDefault="00BD776B">
            <w:pPr>
              <w:snapToGrid w:val="0"/>
              <w:rPr>
                <w:rFonts w:ascii="標楷體" w:eastAsia="標楷體" w:hAnsi="標楷體"/>
                <w:color w:val="000000"/>
                <w:sz w:val="20"/>
                <w:szCs w:val="20"/>
              </w:rPr>
            </w:pPr>
          </w:p>
        </w:tc>
        <w:tc>
          <w:tcPr>
            <w:tcW w:w="4445" w:type="dxa"/>
            <w:gridSpan w:val="1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1AE67" w14:textId="77777777" w:rsidR="00BD776B" w:rsidRDefault="00DF0C24" w:rsidP="008A7063">
            <w:pPr>
              <w:numPr>
                <w:ilvl w:val="0"/>
                <w:numId w:val="64"/>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3C6C5C44"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241C750C" w14:textId="77777777" w:rsidR="00BD776B" w:rsidRDefault="00DF0C24">
            <w:pPr>
              <w:snapToGrid w:val="0"/>
              <w:spacing w:line="240" w:lineRule="exact"/>
            </w:pPr>
            <w:r>
              <w:rPr>
                <w:rFonts w:ascii="標楷體" w:eastAsia="標楷體" w:hAnsi="標楷體" w:cs="標楷體"/>
                <w:color w:val="000000"/>
                <w:sz w:val="20"/>
                <w:szCs w:val="20"/>
              </w:rPr>
              <w:t>□不同意</w:t>
            </w:r>
          </w:p>
          <w:p w14:paraId="72C306C0"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3EE6F933"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不符合不得併用二種此類藥物之適應症</w:t>
            </w:r>
          </w:p>
          <w:p w14:paraId="3DF2E056"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w:t>
            </w:r>
            <w:r>
              <w:rPr>
                <w:rFonts w:ascii="標楷體" w:eastAsia="標楷體" w:hAnsi="標楷體"/>
                <w:color w:val="000000"/>
                <w:sz w:val="20"/>
                <w:szCs w:val="20"/>
              </w:rPr>
              <w:t>耐受性不良或無效的證明。</w:t>
            </w:r>
          </w:p>
          <w:p w14:paraId="29950FAC"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5686F773" w14:textId="77777777" w:rsidR="00BD776B" w:rsidRDefault="00DF0C24" w:rsidP="008A7063">
            <w:pPr>
              <w:numPr>
                <w:ilvl w:val="0"/>
                <w:numId w:val="64"/>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12CFD8F0" w14:textId="77777777" w:rsidR="00BD776B" w:rsidRDefault="00DF0C24" w:rsidP="008A7063">
            <w:pPr>
              <w:numPr>
                <w:ilvl w:val="0"/>
                <w:numId w:val="64"/>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相關檢驗、檢查報告不全(如影像診斷報告或腫瘤標誌、病理切片、細胞學檢查報告)</w:t>
            </w:r>
          </w:p>
          <w:p w14:paraId="4AC220B7"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146DE8CC" w14:textId="77777777" w:rsidR="00BD776B" w:rsidRDefault="00DF0C24" w:rsidP="008A7063">
            <w:pPr>
              <w:numPr>
                <w:ilvl w:val="0"/>
                <w:numId w:val="64"/>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06A3CED3" w14:textId="77777777">
        <w:trPr>
          <w:cantSplit/>
          <w:trHeight w:val="422"/>
        </w:trPr>
        <w:tc>
          <w:tcPr>
            <w:tcW w:w="3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93A6" w14:textId="77777777" w:rsidR="00BD776B" w:rsidRDefault="00DF0C24">
            <w:pPr>
              <w:snapToGrid w:val="0"/>
            </w:pPr>
            <w:r>
              <w:rPr>
                <w:rFonts w:ascii="標楷體" w:eastAsia="標楷體" w:hAnsi="標楷體" w:cs="標楷體"/>
                <w:color w:val="000000"/>
              </w:rPr>
              <w:t>注意事項</w:t>
            </w:r>
          </w:p>
        </w:tc>
        <w:tc>
          <w:tcPr>
            <w:tcW w:w="9746"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F21E5"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03B418D3"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「原受理編號」申復時填寫，初次送核不需填寫。</w:t>
            </w:r>
          </w:p>
          <w:p w14:paraId="2F2906D5"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53F7EB59"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690CAA98"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對複核結果如有異議，得於收到複核通知之日起六十日內向全民健康保險爭議審議會申請審議。</w:t>
            </w:r>
          </w:p>
          <w:p w14:paraId="25F96D53"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6CE3D667" w14:textId="77777777" w:rsidR="00BD776B" w:rsidRDefault="00DF0C24" w:rsidP="008A7063">
            <w:pPr>
              <w:numPr>
                <w:ilvl w:val="0"/>
                <w:numId w:val="65"/>
              </w:numPr>
              <w:snapToGrid w:val="0"/>
              <w:spacing w:line="180" w:lineRule="exact"/>
              <w:ind w:left="0" w:hanging="312"/>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4445" w:type="dxa"/>
            <w:gridSpan w:val="12"/>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BA511AB" w14:textId="77777777" w:rsidR="00BD776B" w:rsidRDefault="00BD776B">
            <w:pPr>
              <w:snapToGrid w:val="0"/>
              <w:rPr>
                <w:rFonts w:ascii="標楷體" w:eastAsia="標楷體" w:hAnsi="標楷體"/>
                <w:color w:val="000000"/>
                <w:sz w:val="20"/>
                <w:szCs w:val="20"/>
              </w:rPr>
            </w:pPr>
          </w:p>
        </w:tc>
      </w:tr>
      <w:tr w:rsidR="00BD776B" w14:paraId="5F5CBD82" w14:textId="77777777">
        <w:trPr>
          <w:cantSplit/>
          <w:trHeight w:val="1139"/>
        </w:trPr>
        <w:tc>
          <w:tcPr>
            <w:tcW w:w="3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23850" w14:textId="77777777" w:rsidR="00BD776B" w:rsidRDefault="00BD776B">
            <w:pPr>
              <w:snapToGrid w:val="0"/>
              <w:ind w:left="211" w:hanging="211"/>
              <w:rPr>
                <w:rFonts w:ascii="標楷體" w:eastAsia="標楷體" w:hAnsi="標楷體"/>
                <w:color w:val="000000"/>
              </w:rPr>
            </w:pPr>
          </w:p>
        </w:tc>
        <w:tc>
          <w:tcPr>
            <w:tcW w:w="9746"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72FB9" w14:textId="77777777" w:rsidR="00BD776B" w:rsidRDefault="00BD776B">
            <w:pPr>
              <w:snapToGrid w:val="0"/>
              <w:ind w:left="211" w:hanging="211"/>
              <w:rPr>
                <w:rFonts w:ascii="標楷體" w:eastAsia="標楷體" w:hAnsi="標楷體"/>
                <w:color w:val="000000"/>
              </w:rPr>
            </w:pPr>
          </w:p>
        </w:tc>
        <w:tc>
          <w:tcPr>
            <w:tcW w:w="3118" w:type="dxa"/>
            <w:gridSpan w:val="10"/>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EC42B" w14:textId="77777777" w:rsidR="00BD776B" w:rsidRDefault="00BD776B">
            <w:pPr>
              <w:snapToGrid w:val="0"/>
              <w:jc w:val="both"/>
              <w:rPr>
                <w:rFonts w:ascii="標楷體" w:eastAsia="標楷體" w:hAnsi="標楷體"/>
                <w:color w:val="000000"/>
              </w:rPr>
            </w:pPr>
          </w:p>
          <w:p w14:paraId="1768780C" w14:textId="77777777" w:rsidR="00BD776B" w:rsidRDefault="00BD776B">
            <w:pPr>
              <w:snapToGrid w:val="0"/>
              <w:jc w:val="both"/>
              <w:rPr>
                <w:rFonts w:ascii="標楷體" w:eastAsia="標楷體" w:hAnsi="標楷體"/>
                <w:color w:val="000000"/>
              </w:rPr>
            </w:pPr>
          </w:p>
          <w:p w14:paraId="1DD21058"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1EC9CB59" w14:textId="77777777" w:rsidR="00BD776B" w:rsidRDefault="00BD776B">
            <w:pPr>
              <w:snapToGrid w:val="0"/>
              <w:jc w:val="both"/>
              <w:rPr>
                <w:rFonts w:ascii="標楷體" w:eastAsia="標楷體" w:hAnsi="標楷體"/>
                <w:color w:val="000000"/>
                <w:sz w:val="20"/>
                <w:szCs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AE4D5" w14:textId="77777777" w:rsidR="00BD776B" w:rsidRDefault="00DF0C24">
            <w:pPr>
              <w:snapToGrid w:val="0"/>
            </w:pPr>
            <w:r>
              <w:rPr>
                <w:rFonts w:ascii="標楷體" w:eastAsia="標楷體" w:hAnsi="標楷體" w:cs="標楷體"/>
                <w:color w:val="000000"/>
              </w:rPr>
              <w:t>審查醫師</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8E80" w14:textId="77777777" w:rsidR="00BD776B" w:rsidRDefault="00BD776B">
            <w:pPr>
              <w:snapToGrid w:val="0"/>
              <w:rPr>
                <w:rFonts w:ascii="標楷體" w:eastAsia="標楷體" w:hAnsi="標楷體"/>
                <w:color w:val="000000"/>
              </w:rPr>
            </w:pPr>
          </w:p>
        </w:tc>
      </w:tr>
      <w:tr w:rsidR="00BD776B" w14:paraId="1DD6B1E8" w14:textId="77777777">
        <w:trPr>
          <w:cantSplit/>
          <w:trHeight w:val="539"/>
        </w:trPr>
        <w:tc>
          <w:tcPr>
            <w:tcW w:w="3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F0B8F" w14:textId="77777777" w:rsidR="00BD776B" w:rsidRDefault="00BD776B">
            <w:pPr>
              <w:snapToGrid w:val="0"/>
              <w:ind w:left="211" w:hanging="211"/>
              <w:rPr>
                <w:rFonts w:ascii="標楷體" w:eastAsia="標楷體" w:hAnsi="標楷體"/>
                <w:color w:val="000000"/>
              </w:rPr>
            </w:pPr>
          </w:p>
        </w:tc>
        <w:tc>
          <w:tcPr>
            <w:tcW w:w="9746"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B0C92" w14:textId="77777777" w:rsidR="00BD776B" w:rsidRDefault="00BD776B">
            <w:pPr>
              <w:snapToGrid w:val="0"/>
              <w:ind w:left="211" w:hanging="211"/>
              <w:rPr>
                <w:rFonts w:ascii="標楷體" w:eastAsia="標楷體" w:hAnsi="標楷體"/>
                <w:color w:val="000000"/>
              </w:rPr>
            </w:pPr>
          </w:p>
        </w:tc>
        <w:tc>
          <w:tcPr>
            <w:tcW w:w="3118" w:type="dxa"/>
            <w:gridSpan w:val="10"/>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E098A" w14:textId="77777777" w:rsidR="00BD776B" w:rsidRDefault="00BD776B">
            <w:pPr>
              <w:snapToGrid w:val="0"/>
              <w:jc w:val="both"/>
              <w:rPr>
                <w:rFonts w:ascii="標楷體" w:eastAsia="標楷體" w:hAnsi="標楷體"/>
                <w:color w:val="000000"/>
              </w:rPr>
            </w:pPr>
          </w:p>
        </w:tc>
        <w:tc>
          <w:tcPr>
            <w:tcW w:w="3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0DE6F" w14:textId="77777777" w:rsidR="00BD776B" w:rsidRDefault="00BD776B">
            <w:pPr>
              <w:snapToGrid w:val="0"/>
              <w:rPr>
                <w:rFonts w:ascii="標楷體" w:eastAsia="標楷體" w:hAnsi="標楷體" w:cs="標楷體"/>
                <w:color w:val="000000"/>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20000" w14:textId="77777777" w:rsidR="00BD776B" w:rsidRDefault="00BD776B">
            <w:pPr>
              <w:snapToGrid w:val="0"/>
              <w:rPr>
                <w:rFonts w:ascii="標楷體" w:eastAsia="標楷體" w:hAnsi="標楷體"/>
                <w:color w:val="000000"/>
              </w:rPr>
            </w:pPr>
          </w:p>
        </w:tc>
      </w:tr>
      <w:tr w:rsidR="00BD776B" w14:paraId="53604828" w14:textId="77777777">
        <w:trPr>
          <w:cantSplit/>
          <w:trHeight w:val="721"/>
        </w:trPr>
        <w:tc>
          <w:tcPr>
            <w:tcW w:w="7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3C3B5" w14:textId="77777777" w:rsidR="00BD776B" w:rsidRDefault="00DF0C24">
            <w:pPr>
              <w:snapToGrid w:val="0"/>
              <w:spacing w:line="240" w:lineRule="exact"/>
              <w:rPr>
                <w:rFonts w:ascii="標楷體" w:eastAsia="標楷體" w:hAnsi="標楷體" w:cs="標楷體"/>
                <w:color w:val="000000"/>
              </w:rPr>
            </w:pPr>
            <w:r>
              <w:rPr>
                <w:rFonts w:ascii="標楷體" w:eastAsia="標楷體" w:hAnsi="標楷體" w:cs="標楷體"/>
                <w:color w:val="000000"/>
              </w:rPr>
              <w:t>醫事服務機構</w:t>
            </w:r>
          </w:p>
          <w:p w14:paraId="0427D9F7" w14:textId="77777777" w:rsidR="00BD776B" w:rsidRDefault="00BD776B">
            <w:pPr>
              <w:snapToGrid w:val="0"/>
              <w:spacing w:line="240" w:lineRule="exact"/>
              <w:rPr>
                <w:rFonts w:ascii="標楷體" w:eastAsia="標楷體" w:hAnsi="標楷體"/>
                <w:color w:val="000000"/>
              </w:rPr>
            </w:pPr>
          </w:p>
        </w:tc>
        <w:tc>
          <w:tcPr>
            <w:tcW w:w="8759"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178BB" w14:textId="77777777" w:rsidR="00BD776B" w:rsidRDefault="00DF0C24">
            <w:pPr>
              <w:snapToGrid w:val="0"/>
              <w:spacing w:line="240" w:lineRule="exact"/>
            </w:pPr>
            <w:r>
              <w:rPr>
                <w:rFonts w:ascii="標楷體" w:eastAsia="標楷體" w:hAnsi="標楷體" w:cs="標楷體"/>
                <w:color w:val="000000"/>
              </w:rPr>
              <w:t>醫院申請日期：  年  月  日</w:t>
            </w:r>
          </w:p>
          <w:p w14:paraId="6FE1408C" w14:textId="77777777" w:rsidR="00BD776B" w:rsidRDefault="00BD776B">
            <w:pPr>
              <w:snapToGrid w:val="0"/>
              <w:spacing w:line="240" w:lineRule="exact"/>
              <w:rPr>
                <w:rFonts w:ascii="標楷體" w:eastAsia="標楷體" w:hAnsi="標楷體"/>
                <w:color w:val="000000"/>
              </w:rPr>
            </w:pPr>
          </w:p>
          <w:p w14:paraId="2F7637EB"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EBFD" w14:textId="77777777" w:rsidR="00BD776B" w:rsidRDefault="00DF0C24">
            <w:pPr>
              <w:widowControl/>
              <w:snapToGrid w:val="0"/>
              <w:spacing w:line="240" w:lineRule="exact"/>
            </w:pPr>
            <w:r>
              <w:rPr>
                <w:rFonts w:ascii="標楷體" w:eastAsia="標楷體" w:hAnsi="標楷體" w:cs="標楷體"/>
                <w:color w:val="000000"/>
              </w:rPr>
              <w:t>承辦人</w:t>
            </w:r>
          </w:p>
        </w:tc>
        <w:tc>
          <w:tcPr>
            <w:tcW w:w="8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93CE7" w14:textId="77777777" w:rsidR="00BD776B" w:rsidRDefault="00BD776B">
            <w:pPr>
              <w:widowControl/>
              <w:snapToGrid w:val="0"/>
              <w:rPr>
                <w:rFonts w:ascii="標楷體" w:eastAsia="標楷體" w:hAnsi="標楷體"/>
                <w:color w:val="000000"/>
              </w:rPr>
            </w:pPr>
          </w:p>
          <w:p w14:paraId="73922449" w14:textId="77777777" w:rsidR="00BD776B" w:rsidRDefault="00BD776B">
            <w:pPr>
              <w:snapToGrid w:val="0"/>
              <w:spacing w:line="240" w:lineRule="exact"/>
              <w:rPr>
                <w:rFonts w:ascii="標楷體" w:eastAsia="標楷體" w:hAnsi="標楷體"/>
                <w:color w:val="000000"/>
              </w:rPr>
            </w:pPr>
          </w:p>
        </w:tc>
        <w:tc>
          <w:tcPr>
            <w:tcW w:w="36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F177" w14:textId="77777777" w:rsidR="00BD776B" w:rsidRDefault="00DF0C24">
            <w:pPr>
              <w:widowControl/>
              <w:snapToGrid w:val="0"/>
              <w:spacing w:line="240" w:lineRule="exact"/>
            </w:pPr>
            <w:r>
              <w:rPr>
                <w:rFonts w:ascii="標楷體" w:eastAsia="標楷體" w:hAnsi="標楷體" w:cs="標楷體"/>
                <w:color w:val="000000"/>
              </w:rPr>
              <w:t>複核</w:t>
            </w:r>
          </w:p>
          <w:p w14:paraId="7BEA4043" w14:textId="77777777" w:rsidR="00BD776B" w:rsidRDefault="00BD776B">
            <w:pPr>
              <w:widowControl/>
              <w:snapToGrid w:val="0"/>
              <w:rPr>
                <w:rFonts w:ascii="標楷體" w:eastAsia="標楷體" w:hAnsi="標楷體"/>
                <w:color w:val="000000"/>
              </w:rPr>
            </w:pPr>
          </w:p>
        </w:tc>
        <w:tc>
          <w:tcPr>
            <w:tcW w:w="846"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048F7" w14:textId="77777777" w:rsidR="00BD776B" w:rsidRDefault="00BD776B">
            <w:pPr>
              <w:widowControl/>
              <w:snapToGrid w:val="0"/>
              <w:rPr>
                <w:rFonts w:ascii="標楷體" w:eastAsia="標楷體" w:hAnsi="標楷體"/>
                <w:color w:val="000000"/>
              </w:rPr>
            </w:pPr>
          </w:p>
          <w:p w14:paraId="59EC2B08" w14:textId="77777777" w:rsidR="00BD776B" w:rsidRDefault="00BD776B">
            <w:pPr>
              <w:snapToGrid w:val="0"/>
              <w:spacing w:line="240" w:lineRule="exact"/>
              <w:rPr>
                <w:rFonts w:ascii="標楷體" w:eastAsia="標楷體" w:hAnsi="標楷體"/>
                <w:color w:val="000000"/>
              </w:rPr>
            </w:pPr>
          </w:p>
        </w:tc>
        <w:tc>
          <w:tcPr>
            <w:tcW w:w="3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BC30C" w14:textId="77777777" w:rsidR="00BD776B" w:rsidRDefault="00DF0C24">
            <w:pPr>
              <w:snapToGrid w:val="0"/>
              <w:spacing w:line="240" w:lineRule="exact"/>
            </w:pPr>
            <w:r>
              <w:rPr>
                <w:rFonts w:ascii="標楷體" w:eastAsia="標楷體" w:hAnsi="標楷體" w:cs="標楷體"/>
                <w:color w:val="000000"/>
              </w:rPr>
              <w:t>科長</w:t>
            </w:r>
          </w:p>
        </w:tc>
        <w:tc>
          <w:tcPr>
            <w:tcW w:w="84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687D7" w14:textId="77777777" w:rsidR="00BD776B" w:rsidRDefault="00BD776B">
            <w:pPr>
              <w:widowControl/>
              <w:snapToGrid w:val="0"/>
              <w:rPr>
                <w:rFonts w:ascii="標楷體" w:eastAsia="標楷體" w:hAnsi="標楷體"/>
                <w:color w:val="000000"/>
              </w:rPr>
            </w:pPr>
          </w:p>
          <w:p w14:paraId="5C860CD5" w14:textId="77777777" w:rsidR="00BD776B" w:rsidRDefault="00BD776B">
            <w:pPr>
              <w:snapToGrid w:val="0"/>
              <w:spacing w:line="240" w:lineRule="exact"/>
              <w:rPr>
                <w:rFonts w:ascii="標楷體" w:eastAsia="標楷體" w:hAnsi="標楷體"/>
                <w:color w:val="000000"/>
              </w:rPr>
            </w:pPr>
          </w:p>
        </w:tc>
        <w:tc>
          <w:tcPr>
            <w:tcW w:w="3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73D65" w14:textId="77777777" w:rsidR="00BD776B" w:rsidRDefault="00DF0C24">
            <w:pPr>
              <w:widowControl/>
              <w:snapToGrid w:val="0"/>
              <w:spacing w:line="240" w:lineRule="exact"/>
            </w:pPr>
            <w:r>
              <w:rPr>
                <w:rFonts w:ascii="標楷體" w:eastAsia="標楷體" w:hAnsi="標楷體" w:cs="標楷體"/>
                <w:color w:val="000000"/>
              </w:rPr>
              <w:t>決行</w:t>
            </w:r>
          </w:p>
          <w:p w14:paraId="33EB0264" w14:textId="77777777" w:rsidR="00BD776B" w:rsidRDefault="00BD776B">
            <w:pPr>
              <w:widowControl/>
              <w:snapToGrid w:val="0"/>
              <w:rPr>
                <w:rFonts w:ascii="標楷體" w:eastAsia="標楷體" w:hAnsi="標楷體"/>
                <w:color w:val="000000"/>
              </w:rPr>
            </w:pPr>
          </w:p>
        </w:tc>
        <w:tc>
          <w:tcPr>
            <w:tcW w:w="95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80BB" w14:textId="77777777" w:rsidR="00BD776B" w:rsidRDefault="00BD776B">
            <w:pPr>
              <w:widowControl/>
              <w:snapToGrid w:val="0"/>
              <w:rPr>
                <w:rFonts w:ascii="標楷體" w:eastAsia="標楷體" w:hAnsi="標楷體"/>
                <w:color w:val="000000"/>
              </w:rPr>
            </w:pPr>
          </w:p>
          <w:p w14:paraId="55A26DEF" w14:textId="77777777" w:rsidR="00BD776B" w:rsidRDefault="00BD776B">
            <w:pPr>
              <w:snapToGrid w:val="0"/>
              <w:spacing w:line="240" w:lineRule="exact"/>
              <w:rPr>
                <w:rFonts w:ascii="標楷體" w:eastAsia="標楷體" w:hAnsi="標楷體"/>
                <w:color w:val="000000"/>
              </w:rPr>
            </w:pPr>
          </w:p>
        </w:tc>
      </w:tr>
    </w:tbl>
    <w:p w14:paraId="2FBD1AAC" w14:textId="77777777" w:rsidR="00BD776B" w:rsidRDefault="00DF0C24">
      <w:pPr>
        <w:pStyle w:val="Web"/>
        <w:pageBreakBefore/>
        <w:widowControl w:val="0"/>
        <w:snapToGrid w:val="0"/>
        <w:spacing w:before="0" w:after="0" w:line="380" w:lineRule="exact"/>
        <w:ind w:firstLine="240"/>
        <w:jc w:val="both"/>
      </w:pPr>
      <w:r>
        <w:rPr>
          <w:rFonts w:ascii="標楷體" w:eastAsia="標楷體" w:hAnsi="標楷體" w:cs="標楷體"/>
          <w:color w:val="000000"/>
        </w:rPr>
        <w:lastRenderedPageBreak/>
        <w:t>附表九之六全民健康保險使用抗癌藥品Nilotinib申請表</w:t>
      </w:r>
    </w:p>
    <w:tbl>
      <w:tblPr>
        <w:tblW w:w="14660" w:type="dxa"/>
        <w:tblInd w:w="-5" w:type="dxa"/>
        <w:tblLayout w:type="fixed"/>
        <w:tblCellMar>
          <w:left w:w="10" w:type="dxa"/>
          <w:right w:w="10" w:type="dxa"/>
        </w:tblCellMar>
        <w:tblLook w:val="0000" w:firstRow="0" w:lastRow="0" w:firstColumn="0" w:lastColumn="0" w:noHBand="0" w:noVBand="0"/>
      </w:tblPr>
      <w:tblGrid>
        <w:gridCol w:w="544"/>
        <w:gridCol w:w="74"/>
        <w:gridCol w:w="403"/>
        <w:gridCol w:w="572"/>
        <w:gridCol w:w="822"/>
        <w:gridCol w:w="737"/>
        <w:gridCol w:w="283"/>
        <w:gridCol w:w="429"/>
        <w:gridCol w:w="847"/>
        <w:gridCol w:w="109"/>
        <w:gridCol w:w="1313"/>
        <w:gridCol w:w="600"/>
        <w:gridCol w:w="360"/>
        <w:gridCol w:w="959"/>
        <w:gridCol w:w="770"/>
        <w:gridCol w:w="324"/>
        <w:gridCol w:w="385"/>
        <w:gridCol w:w="204"/>
        <w:gridCol w:w="125"/>
        <w:gridCol w:w="235"/>
        <w:gridCol w:w="144"/>
        <w:gridCol w:w="696"/>
        <w:gridCol w:w="360"/>
        <w:gridCol w:w="124"/>
        <w:gridCol w:w="360"/>
        <w:gridCol w:w="9"/>
        <w:gridCol w:w="349"/>
        <w:gridCol w:w="362"/>
        <w:gridCol w:w="11"/>
        <w:gridCol w:w="229"/>
        <w:gridCol w:w="602"/>
        <w:gridCol w:w="375"/>
        <w:gridCol w:w="944"/>
      </w:tblGrid>
      <w:tr w:rsidR="00BD776B" w14:paraId="0C63B7BE" w14:textId="77777777">
        <w:trPr>
          <w:cantSplit/>
          <w:trHeight w:val="320"/>
        </w:trPr>
        <w:tc>
          <w:tcPr>
            <w:tcW w:w="2415"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4B500CB"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31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EC2A16"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4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176CA1" w14:textId="77777777" w:rsidR="00BD776B" w:rsidRDefault="00DF0C24">
            <w:pPr>
              <w:snapToGrid w:val="0"/>
            </w:pPr>
            <w:r>
              <w:rPr>
                <w:rFonts w:ascii="標楷體" w:eastAsia="標楷體" w:hAnsi="標楷體" w:cs="標楷體"/>
                <w:color w:val="000000"/>
                <w:sz w:val="20"/>
                <w:szCs w:val="20"/>
              </w:rPr>
              <w:t>受理日期：</w:t>
            </w:r>
          </w:p>
        </w:tc>
        <w:tc>
          <w:tcPr>
            <w:tcW w:w="264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AF1FC6" w14:textId="77777777" w:rsidR="00BD776B" w:rsidRDefault="00DF0C24">
            <w:pPr>
              <w:snapToGrid w:val="0"/>
              <w:ind w:left="15"/>
            </w:pPr>
            <w:r>
              <w:rPr>
                <w:rFonts w:ascii="標楷體" w:eastAsia="標楷體" w:hAnsi="標楷體" w:cs="標楷體"/>
                <w:color w:val="000000"/>
                <w:sz w:val="20"/>
                <w:szCs w:val="20"/>
              </w:rPr>
              <w:t>受理編號：</w:t>
            </w:r>
          </w:p>
        </w:tc>
        <w:tc>
          <w:tcPr>
            <w:tcW w:w="287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62CD1C" w14:textId="77777777" w:rsidR="00BD776B" w:rsidRDefault="00DF0C24">
            <w:pPr>
              <w:snapToGrid w:val="0"/>
            </w:pPr>
            <w:r>
              <w:rPr>
                <w:rFonts w:ascii="標楷體" w:eastAsia="標楷體" w:hAnsi="標楷體" w:cs="標楷體"/>
                <w:color w:val="000000"/>
                <w:sz w:val="20"/>
                <w:szCs w:val="20"/>
              </w:rPr>
              <w:t>緊急傳真日期：</w:t>
            </w:r>
          </w:p>
        </w:tc>
      </w:tr>
      <w:tr w:rsidR="00BD776B" w14:paraId="1E6BE775" w14:textId="77777777">
        <w:trPr>
          <w:cantSplit/>
          <w:trHeight w:val="426"/>
        </w:trPr>
        <w:tc>
          <w:tcPr>
            <w:tcW w:w="6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8C9E35"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9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E3B35"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5245EE" w14:textId="77777777" w:rsidR="00BD776B" w:rsidRDefault="00BD776B">
            <w:pPr>
              <w:snapToGrid w:val="0"/>
              <w:spacing w:line="200" w:lineRule="exact"/>
              <w:rPr>
                <w:rFonts w:ascii="標楷體" w:eastAsia="標楷體" w:hAnsi="標楷體"/>
                <w:color w:val="000000"/>
                <w:sz w:val="20"/>
                <w:szCs w:val="20"/>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1A808"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0CA81C51"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28530800"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1466A0CC"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337FCF"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BB0FE7" w14:textId="77777777" w:rsidR="00BD776B" w:rsidRDefault="00BD776B">
            <w:pPr>
              <w:snapToGrid w:val="0"/>
              <w:spacing w:line="200" w:lineRule="exact"/>
              <w:rPr>
                <w:rFonts w:ascii="標楷體" w:eastAsia="標楷體" w:hAnsi="標楷體"/>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DD361"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830E81" w14:textId="77777777" w:rsidR="00BD776B" w:rsidRDefault="00BD776B">
            <w:pPr>
              <w:snapToGrid w:val="0"/>
              <w:spacing w:line="200" w:lineRule="exact"/>
              <w:rPr>
                <w:rFonts w:ascii="標楷體" w:eastAsia="標楷體" w:hAnsi="標楷體"/>
                <w:color w:val="000000"/>
                <w:sz w:val="20"/>
                <w:szCs w:val="20"/>
              </w:rPr>
            </w:pPr>
          </w:p>
        </w:tc>
        <w:tc>
          <w:tcPr>
            <w:tcW w:w="180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D00B4E"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294EA221"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AE89F4" w14:textId="77777777" w:rsidR="00BD776B" w:rsidRDefault="00BD776B">
            <w:pPr>
              <w:snapToGrid w:val="0"/>
              <w:spacing w:line="200" w:lineRule="exact"/>
              <w:rPr>
                <w:rFonts w:ascii="標楷體" w:eastAsia="標楷體" w:hAnsi="標楷體"/>
                <w:color w:val="000000"/>
                <w:sz w:val="20"/>
                <w:szCs w:val="20"/>
              </w:rPr>
            </w:pPr>
          </w:p>
        </w:tc>
        <w:tc>
          <w:tcPr>
            <w:tcW w:w="10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F37CB"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預定實施</w:t>
            </w:r>
          </w:p>
          <w:p w14:paraId="763C64FF" w14:textId="77777777" w:rsidR="00BD776B" w:rsidRDefault="00DF0C24">
            <w:pPr>
              <w:snapToGrid w:val="0"/>
              <w:spacing w:line="200" w:lineRule="exact"/>
            </w:pPr>
            <w:r>
              <w:rPr>
                <w:rFonts w:ascii="標楷體" w:eastAsia="標楷體" w:hAnsi="標楷體" w:cs="標楷體"/>
                <w:color w:val="000000"/>
                <w:sz w:val="20"/>
                <w:szCs w:val="20"/>
              </w:rPr>
              <w:t>日期</w:t>
            </w:r>
          </w:p>
        </w:tc>
        <w:tc>
          <w:tcPr>
            <w:tcW w:w="21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FB8D64" w14:textId="77777777" w:rsidR="00BD776B" w:rsidRDefault="00BD776B">
            <w:pPr>
              <w:snapToGrid w:val="0"/>
              <w:spacing w:line="200" w:lineRule="exact"/>
              <w:rPr>
                <w:rFonts w:ascii="標楷體" w:eastAsia="標楷體" w:hAnsi="標楷體"/>
                <w:color w:val="000000"/>
                <w:sz w:val="20"/>
                <w:szCs w:val="20"/>
              </w:rPr>
            </w:pPr>
          </w:p>
        </w:tc>
      </w:tr>
      <w:tr w:rsidR="00BD776B" w14:paraId="40568907" w14:textId="77777777">
        <w:trPr>
          <w:cantSplit/>
          <w:trHeight w:val="403"/>
        </w:trPr>
        <w:tc>
          <w:tcPr>
            <w:tcW w:w="61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9B3AD6" w14:textId="77777777" w:rsidR="00BD776B" w:rsidRDefault="00BD776B">
            <w:pPr>
              <w:snapToGrid w:val="0"/>
              <w:spacing w:line="200" w:lineRule="exact"/>
              <w:rPr>
                <w:rFonts w:ascii="標楷體" w:eastAsia="標楷體" w:hAnsi="標楷體"/>
                <w:color w:val="000000"/>
                <w:sz w:val="20"/>
                <w:szCs w:val="20"/>
              </w:rPr>
            </w:pPr>
          </w:p>
        </w:tc>
        <w:tc>
          <w:tcPr>
            <w:tcW w:w="9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FA95"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9613FA" w14:textId="77777777" w:rsidR="00BD776B" w:rsidRDefault="00BD776B">
            <w:pPr>
              <w:snapToGrid w:val="0"/>
              <w:spacing w:line="200" w:lineRule="exact"/>
              <w:rPr>
                <w:rFonts w:ascii="標楷體" w:eastAsia="標楷體" w:hAnsi="標楷體"/>
                <w:color w:val="000000"/>
                <w:sz w:val="20"/>
                <w:szCs w:val="20"/>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891C3C" w14:textId="77777777" w:rsidR="00BD776B" w:rsidRDefault="00BD776B">
            <w:pPr>
              <w:snapToGrid w:val="0"/>
              <w:spacing w:line="200" w:lineRule="exact"/>
              <w:rPr>
                <w:rFonts w:ascii="標楷體" w:eastAsia="標楷體" w:hAnsi="標楷體"/>
                <w:color w:val="000000"/>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0D0F66" w14:textId="77777777" w:rsidR="00BD776B" w:rsidRDefault="00DF0C24">
            <w:pPr>
              <w:snapToGrid w:val="0"/>
              <w:spacing w:line="200" w:lineRule="exact"/>
            </w:pPr>
            <w:r>
              <w:rPr>
                <w:rFonts w:ascii="標楷體" w:eastAsia="標楷體" w:hAnsi="標楷體" w:cs="標楷體"/>
                <w:color w:val="000000"/>
                <w:sz w:val="20"/>
                <w:szCs w:val="20"/>
              </w:rPr>
              <w:t>身分證</w:t>
            </w:r>
          </w:p>
          <w:p w14:paraId="4514A195"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0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7AFB0" w14:textId="77777777" w:rsidR="00BD776B" w:rsidRDefault="00BD776B">
            <w:pPr>
              <w:snapToGrid w:val="0"/>
              <w:spacing w:line="200" w:lineRule="exact"/>
              <w:rPr>
                <w:rFonts w:ascii="標楷體" w:eastAsia="標楷體" w:hAnsi="標楷體"/>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6BD59E"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0EEEF0B5"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950F37" w14:textId="77777777" w:rsidR="00BD776B" w:rsidRDefault="00BD776B">
            <w:pPr>
              <w:snapToGrid w:val="0"/>
              <w:spacing w:line="200" w:lineRule="exact"/>
              <w:rPr>
                <w:rFonts w:ascii="標楷體" w:eastAsia="標楷體" w:hAnsi="標楷體"/>
                <w:color w:val="000000"/>
                <w:sz w:val="20"/>
                <w:szCs w:val="20"/>
              </w:rPr>
            </w:pPr>
          </w:p>
        </w:tc>
        <w:tc>
          <w:tcPr>
            <w:tcW w:w="180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75AB6B"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3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3DD3DC"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病歷</w:t>
            </w:r>
          </w:p>
          <w:p w14:paraId="3BF543F0" w14:textId="77777777" w:rsidR="00BD776B" w:rsidRDefault="00DF0C24">
            <w:pPr>
              <w:snapToGrid w:val="0"/>
              <w:spacing w:line="200" w:lineRule="exact"/>
              <w:jc w:val="center"/>
            </w:pPr>
            <w:r>
              <w:rPr>
                <w:rFonts w:ascii="標楷體" w:eastAsia="標楷體" w:hAnsi="標楷體" w:cs="標楷體"/>
                <w:color w:val="000000"/>
                <w:sz w:val="20"/>
                <w:szCs w:val="20"/>
              </w:rPr>
              <w:t>號碼</w:t>
            </w:r>
          </w:p>
        </w:tc>
        <w:tc>
          <w:tcPr>
            <w:tcW w:w="15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3C1DB0" w14:textId="77777777" w:rsidR="00BD776B" w:rsidRDefault="00BD776B">
            <w:pPr>
              <w:snapToGrid w:val="0"/>
              <w:spacing w:line="200" w:lineRule="exact"/>
              <w:rPr>
                <w:rFonts w:ascii="標楷體" w:eastAsia="標楷體" w:hAnsi="標楷體"/>
                <w:color w:val="000000"/>
                <w:sz w:val="20"/>
                <w:szCs w:val="20"/>
              </w:rPr>
            </w:pPr>
          </w:p>
        </w:tc>
        <w:tc>
          <w:tcPr>
            <w:tcW w:w="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BC386"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98DCAB" w14:textId="77777777" w:rsidR="00BD776B" w:rsidRDefault="00BD776B">
            <w:pPr>
              <w:snapToGrid w:val="0"/>
              <w:spacing w:line="200" w:lineRule="exact"/>
              <w:rPr>
                <w:rFonts w:ascii="標楷體" w:eastAsia="標楷體" w:hAnsi="標楷體"/>
                <w:color w:val="000000"/>
                <w:sz w:val="20"/>
                <w:szCs w:val="20"/>
              </w:rPr>
            </w:pPr>
          </w:p>
        </w:tc>
      </w:tr>
      <w:tr w:rsidR="00BD776B" w14:paraId="642594AC" w14:textId="77777777">
        <w:trPr>
          <w:cantSplit/>
          <w:trHeight w:val="410"/>
        </w:trPr>
        <w:tc>
          <w:tcPr>
            <w:tcW w:w="15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D3A384"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4CDDB" w14:textId="77777777" w:rsidR="00BD776B" w:rsidRDefault="00BD776B">
            <w:pPr>
              <w:snapToGrid w:val="0"/>
              <w:spacing w:line="200" w:lineRule="exact"/>
              <w:rPr>
                <w:rFonts w:ascii="標楷體" w:eastAsia="標楷體" w:hAnsi="標楷體"/>
                <w:color w:val="000000"/>
                <w:sz w:val="20"/>
                <w:szCs w:val="20"/>
              </w:rPr>
            </w:pP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CA084D"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0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AD3F39" w14:textId="77777777" w:rsidR="00BD776B" w:rsidRDefault="00BD776B">
            <w:pPr>
              <w:snapToGrid w:val="0"/>
              <w:spacing w:line="200" w:lineRule="exact"/>
              <w:rPr>
                <w:rFonts w:ascii="標楷體" w:eastAsia="標楷體" w:hAnsi="標楷體"/>
                <w:color w:val="000000"/>
                <w:sz w:val="20"/>
                <w:szCs w:val="20"/>
              </w:rPr>
            </w:pPr>
          </w:p>
        </w:tc>
        <w:tc>
          <w:tcPr>
            <w:tcW w:w="141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5F51F5"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421"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9D8258E"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6EB9399D" w14:textId="77777777">
        <w:trPr>
          <w:cantSplit/>
        </w:trPr>
        <w:tc>
          <w:tcPr>
            <w:tcW w:w="15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C56D65" w14:textId="77777777" w:rsidR="00BD776B" w:rsidRDefault="00DF0C24">
            <w:pPr>
              <w:snapToGrid w:val="0"/>
              <w:spacing w:line="200" w:lineRule="exact"/>
              <w:jc w:val="center"/>
            </w:pPr>
            <w:r>
              <w:rPr>
                <w:rFonts w:ascii="標楷體" w:eastAsia="標楷體" w:hAnsi="標楷體" w:cs="標楷體"/>
                <w:color w:val="000000"/>
                <w:sz w:val="20"/>
                <w:szCs w:val="20"/>
              </w:rPr>
              <w:t>藥品代碼</w:t>
            </w:r>
          </w:p>
        </w:tc>
        <w:tc>
          <w:tcPr>
            <w:tcW w:w="18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02662E"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3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16A5D0"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E3F1C3"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用法</w:t>
            </w:r>
          </w:p>
          <w:p w14:paraId="5ABE7292"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7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3E35BC"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08A06051"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421"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B9BAFF0"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459DDEA4" w14:textId="77777777">
        <w:trPr>
          <w:cantSplit/>
          <w:trHeight w:val="2701"/>
        </w:trPr>
        <w:tc>
          <w:tcPr>
            <w:tcW w:w="15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43B6A" w14:textId="77777777" w:rsidR="00BD776B" w:rsidRDefault="00DF0C24">
            <w:pPr>
              <w:snapToGrid w:val="0"/>
              <w:spacing w:before="180" w:line="200" w:lineRule="exact"/>
              <w:rPr>
                <w:rFonts w:ascii="標楷體" w:eastAsia="標楷體" w:hAnsi="標楷體"/>
                <w:color w:val="000000"/>
                <w:sz w:val="20"/>
                <w:szCs w:val="20"/>
              </w:rPr>
            </w:pPr>
            <w:r>
              <w:rPr>
                <w:rFonts w:ascii="標楷體" w:eastAsia="標楷體" w:hAnsi="標楷體"/>
                <w:color w:val="000000"/>
                <w:sz w:val="20"/>
                <w:szCs w:val="20"/>
              </w:rPr>
              <w:t>TasignaCapsules</w:t>
            </w:r>
          </w:p>
          <w:p w14:paraId="18C82342" w14:textId="77777777" w:rsidR="00BD776B" w:rsidRDefault="00DF0C24" w:rsidP="008A7063">
            <w:pPr>
              <w:numPr>
                <w:ilvl w:val="0"/>
                <w:numId w:val="66"/>
              </w:numPr>
              <w:snapToGrid w:val="0"/>
              <w:spacing w:before="180" w:line="200" w:lineRule="exact"/>
              <w:ind w:left="340" w:hanging="338"/>
              <w:rPr>
                <w:rFonts w:ascii="標楷體" w:eastAsia="標楷體" w:hAnsi="標楷體"/>
                <w:color w:val="000000"/>
                <w:sz w:val="18"/>
                <w:szCs w:val="18"/>
              </w:rPr>
            </w:pPr>
            <w:r>
              <w:rPr>
                <w:rFonts w:ascii="標楷體" w:eastAsia="標楷體" w:hAnsi="標楷體"/>
                <w:color w:val="000000"/>
                <w:sz w:val="18"/>
                <w:szCs w:val="18"/>
              </w:rPr>
              <w:t>B024834100</w:t>
            </w:r>
          </w:p>
          <w:p w14:paraId="50FD54F8" w14:textId="77777777" w:rsidR="00BD776B" w:rsidRDefault="00DF0C24" w:rsidP="008A7063">
            <w:pPr>
              <w:numPr>
                <w:ilvl w:val="0"/>
                <w:numId w:val="66"/>
              </w:numPr>
              <w:snapToGrid w:val="0"/>
              <w:spacing w:before="180" w:line="200" w:lineRule="exact"/>
              <w:ind w:left="340" w:hanging="338"/>
              <w:rPr>
                <w:rFonts w:ascii="標楷體" w:eastAsia="標楷體" w:hAnsi="標楷體"/>
                <w:color w:val="000000"/>
                <w:sz w:val="18"/>
                <w:szCs w:val="18"/>
              </w:rPr>
            </w:pPr>
            <w:r>
              <w:rPr>
                <w:rFonts w:ascii="標楷體" w:eastAsia="標楷體" w:hAnsi="標楷體"/>
                <w:color w:val="000000"/>
                <w:sz w:val="18"/>
                <w:szCs w:val="18"/>
              </w:rPr>
              <w:t>B025317100</w:t>
            </w:r>
          </w:p>
          <w:p w14:paraId="21B19E90" w14:textId="77777777" w:rsidR="00BD776B" w:rsidRDefault="00BD776B">
            <w:pPr>
              <w:snapToGrid w:val="0"/>
              <w:spacing w:before="50" w:line="200" w:lineRule="exact"/>
              <w:rPr>
                <w:rFonts w:ascii="標楷體" w:eastAsia="標楷體" w:hAnsi="標楷體"/>
                <w:color w:val="000000"/>
                <w:sz w:val="18"/>
                <w:szCs w:val="18"/>
              </w:rPr>
            </w:pPr>
          </w:p>
        </w:tc>
        <w:tc>
          <w:tcPr>
            <w:tcW w:w="18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CC671" w14:textId="77777777" w:rsidR="00BD776B" w:rsidRDefault="00DF0C24">
            <w:pPr>
              <w:snapToGrid w:val="0"/>
              <w:spacing w:before="180" w:line="200" w:lineRule="exact"/>
              <w:ind w:left="320" w:hanging="200"/>
            </w:pPr>
            <w:r>
              <w:rPr>
                <w:rFonts w:ascii="標楷體" w:eastAsia="標楷體" w:hAnsi="標楷體" w:cs="標楷體"/>
                <w:color w:val="000000"/>
                <w:sz w:val="20"/>
                <w:szCs w:val="20"/>
              </w:rPr>
              <w:t>□第一次申請</w:t>
            </w:r>
          </w:p>
          <w:p w14:paraId="08F5A583" w14:textId="77777777" w:rsidR="00BD776B" w:rsidRDefault="00BD776B">
            <w:pPr>
              <w:snapToGrid w:val="0"/>
              <w:spacing w:before="180" w:line="200" w:lineRule="exact"/>
              <w:ind w:left="220" w:hanging="100"/>
              <w:rPr>
                <w:rFonts w:ascii="標楷體" w:eastAsia="標楷體" w:hAnsi="標楷體" w:cs="標楷體"/>
                <w:color w:val="000000"/>
                <w:sz w:val="20"/>
                <w:szCs w:val="20"/>
              </w:rPr>
            </w:pPr>
          </w:p>
          <w:p w14:paraId="52DB3881" w14:textId="77777777" w:rsidR="00BD776B" w:rsidRDefault="00DF0C24">
            <w:pPr>
              <w:snapToGrid w:val="0"/>
              <w:spacing w:before="180" w:line="200" w:lineRule="exact"/>
              <w:ind w:left="220" w:hanging="100"/>
            </w:pPr>
            <w:r>
              <w:rPr>
                <w:rFonts w:ascii="標楷體" w:eastAsia="標楷體" w:hAnsi="標楷體" w:cs="標楷體"/>
                <w:color w:val="000000"/>
                <w:sz w:val="20"/>
                <w:szCs w:val="20"/>
              </w:rPr>
              <w:t>□治療後再次申請</w:t>
            </w:r>
          </w:p>
          <w:p w14:paraId="3F138342" w14:textId="77777777" w:rsidR="00BD776B" w:rsidRDefault="00BD776B">
            <w:pPr>
              <w:pStyle w:val="a7"/>
              <w:spacing w:before="50" w:line="200" w:lineRule="exact"/>
              <w:rPr>
                <w:rFonts w:ascii="標楷體" w:eastAsia="標楷體" w:hAnsi="標楷體"/>
                <w:color w:val="000000"/>
              </w:rPr>
            </w:pPr>
          </w:p>
        </w:tc>
        <w:tc>
          <w:tcPr>
            <w:tcW w:w="53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F3F02" w14:textId="77777777" w:rsidR="00BD776B" w:rsidRDefault="00BD776B">
            <w:pPr>
              <w:snapToGrid w:val="0"/>
              <w:spacing w:line="200" w:lineRule="exact"/>
              <w:ind w:left="320" w:hanging="200"/>
              <w:jc w:val="both"/>
              <w:rPr>
                <w:rFonts w:ascii="標楷體" w:eastAsia="標楷體" w:hAnsi="標楷體"/>
                <w:color w:val="000000"/>
                <w:sz w:val="20"/>
                <w:szCs w:val="20"/>
              </w:rPr>
            </w:pPr>
          </w:p>
          <w:p w14:paraId="7A412D3A" w14:textId="77777777" w:rsidR="00BD776B" w:rsidRDefault="00DF0C24">
            <w:pPr>
              <w:snapToGrid w:val="0"/>
              <w:spacing w:line="20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9.32.1.Nilotinib200mg(如Tasigna200mg)（98/6/1、99/1/1）</w:t>
            </w:r>
          </w:p>
          <w:p w14:paraId="317113CA" w14:textId="77777777" w:rsidR="00BD776B" w:rsidRDefault="00DF0C24">
            <w:pPr>
              <w:snapToGrid w:val="0"/>
              <w:spacing w:line="20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1.限用於治療對imatinib400MG(含)以上耐受性不良或治療無效的「慢性期或加速期費城染色體(Philadelphiachromosome)陽性的慢性骨髓性白血病(CML)成年患者」。</w:t>
            </w:r>
          </w:p>
          <w:p w14:paraId="5A1100D3" w14:textId="77777777" w:rsidR="00BD776B" w:rsidRDefault="00DF0C24">
            <w:pPr>
              <w:snapToGrid w:val="0"/>
              <w:spacing w:line="20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2.經事前審查核准後使用，送審時必須檢附耐受性不良或治療無效的證明。</w:t>
            </w:r>
          </w:p>
          <w:p w14:paraId="595993B0" w14:textId="77777777" w:rsidR="00BD776B" w:rsidRDefault="00DF0C24">
            <w:pPr>
              <w:snapToGrid w:val="0"/>
              <w:spacing w:line="20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3.Nilotinib與dasatinib不得合併使用。</w:t>
            </w:r>
          </w:p>
          <w:p w14:paraId="5C83BC80" w14:textId="77777777" w:rsidR="00BD776B" w:rsidRDefault="00DF0C24">
            <w:pPr>
              <w:snapToGrid w:val="0"/>
              <w:spacing w:before="180" w:line="20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9.32.2.Nilotinib150mg(如Tasigna150mg)：</w:t>
            </w:r>
          </w:p>
          <w:p w14:paraId="44E3541D" w14:textId="77777777" w:rsidR="00BD776B" w:rsidRDefault="00DF0C24">
            <w:pPr>
              <w:snapToGrid w:val="0"/>
              <w:spacing w:line="200" w:lineRule="exact"/>
              <w:ind w:left="320" w:hanging="200"/>
              <w:jc w:val="both"/>
              <w:rPr>
                <w:rFonts w:ascii="標楷體" w:eastAsia="標楷體" w:hAnsi="標楷體"/>
                <w:color w:val="000000"/>
                <w:sz w:val="20"/>
                <w:szCs w:val="20"/>
              </w:rPr>
            </w:pPr>
            <w:r>
              <w:rPr>
                <w:rFonts w:ascii="標楷體" w:eastAsia="標楷體" w:hAnsi="標楷體"/>
                <w:color w:val="000000"/>
                <w:sz w:val="20"/>
                <w:szCs w:val="20"/>
              </w:rPr>
              <w:t>1.</w:t>
            </w:r>
            <w:r>
              <w:rPr>
                <w:rFonts w:ascii="標楷體" w:eastAsia="標楷體" w:hAnsi="標楷體"/>
                <w:color w:val="000000"/>
                <w:sz w:val="20"/>
                <w:szCs w:val="20"/>
              </w:rPr>
              <w:tab/>
              <w:t>新確診之慢性期費城染色體陽性的慢性骨髓性白血病。</w:t>
            </w:r>
          </w:p>
          <w:p w14:paraId="601EBFAA" w14:textId="77777777" w:rsidR="00BD776B" w:rsidRDefault="00DF0C24">
            <w:pPr>
              <w:snapToGrid w:val="0"/>
              <w:spacing w:before="50" w:line="200" w:lineRule="exact"/>
              <w:ind w:left="320" w:hanging="200"/>
              <w:jc w:val="both"/>
            </w:pPr>
            <w:r>
              <w:rPr>
                <w:rFonts w:ascii="標楷體" w:eastAsia="標楷體" w:hAnsi="標楷體"/>
                <w:color w:val="000000"/>
                <w:sz w:val="20"/>
                <w:szCs w:val="20"/>
              </w:rPr>
              <w:t>2.</w:t>
            </w:r>
            <w:r>
              <w:rPr>
                <w:rFonts w:ascii="標楷體" w:eastAsia="標楷體" w:hAnsi="標楷體"/>
                <w:color w:val="000000"/>
                <w:sz w:val="20"/>
                <w:szCs w:val="20"/>
              </w:rPr>
              <w:tab/>
              <w:t>經事前審查核准後使用。</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BC283" w14:textId="77777777" w:rsidR="00BD776B" w:rsidRDefault="00BD776B">
            <w:pPr>
              <w:snapToGrid w:val="0"/>
              <w:spacing w:line="200" w:lineRule="exact"/>
              <w:rPr>
                <w:rFonts w:ascii="標楷體" w:eastAsia="標楷體" w:hAnsi="標楷體"/>
                <w:color w:val="000000"/>
                <w:sz w:val="20"/>
                <w:szCs w:val="20"/>
              </w:rPr>
            </w:pPr>
          </w:p>
        </w:tc>
        <w:tc>
          <w:tcPr>
            <w:tcW w:w="7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1E8B1" w14:textId="77777777" w:rsidR="00BD776B" w:rsidRDefault="00BD776B">
            <w:pPr>
              <w:snapToGrid w:val="0"/>
              <w:rPr>
                <w:rFonts w:ascii="標楷體" w:eastAsia="標楷體" w:hAnsi="標楷體"/>
                <w:color w:val="000000"/>
                <w:sz w:val="20"/>
                <w:szCs w:val="20"/>
              </w:rPr>
            </w:pPr>
          </w:p>
        </w:tc>
        <w:tc>
          <w:tcPr>
            <w:tcW w:w="4421" w:type="dxa"/>
            <w:gridSpan w:val="1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58A49F" w14:textId="77777777" w:rsidR="00BD776B" w:rsidRDefault="00DF0C24" w:rsidP="008A7063">
            <w:pPr>
              <w:numPr>
                <w:ilvl w:val="0"/>
                <w:numId w:val="67"/>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26B024D5"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4E81B447" w14:textId="77777777" w:rsidR="00BD776B" w:rsidRDefault="00DF0C24">
            <w:pPr>
              <w:snapToGrid w:val="0"/>
              <w:spacing w:line="240" w:lineRule="exact"/>
            </w:pPr>
            <w:r>
              <w:rPr>
                <w:rFonts w:ascii="標楷體" w:eastAsia="標楷體" w:hAnsi="標楷體" w:cs="標楷體"/>
                <w:color w:val="000000"/>
                <w:sz w:val="20"/>
                <w:szCs w:val="20"/>
              </w:rPr>
              <w:t>□不同意</w:t>
            </w:r>
          </w:p>
          <w:p w14:paraId="60EDEAC6"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225485BF"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不符合不得併用二種此類藥物之適應症</w:t>
            </w:r>
          </w:p>
          <w:p w14:paraId="1F9BC5BB"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w:t>
            </w:r>
            <w:r>
              <w:rPr>
                <w:rFonts w:ascii="標楷體" w:eastAsia="標楷體" w:hAnsi="標楷體"/>
                <w:color w:val="000000"/>
                <w:sz w:val="20"/>
                <w:szCs w:val="20"/>
              </w:rPr>
              <w:t>耐受性不良或無效的證明。</w:t>
            </w:r>
          </w:p>
          <w:p w14:paraId="35FD6C81"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563854F9" w14:textId="77777777" w:rsidR="00BD776B" w:rsidRDefault="00DF0C24" w:rsidP="008A7063">
            <w:pPr>
              <w:numPr>
                <w:ilvl w:val="0"/>
                <w:numId w:val="67"/>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4A20B291" w14:textId="77777777" w:rsidR="00BD776B" w:rsidRDefault="00DF0C24" w:rsidP="008A7063">
            <w:pPr>
              <w:numPr>
                <w:ilvl w:val="0"/>
                <w:numId w:val="67"/>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相關檢驗、檢查報告不全(如影像診斷報告或腫瘤標誌、病理切片、細胞學檢查報告)</w:t>
            </w:r>
          </w:p>
          <w:p w14:paraId="636F43E8"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3E8D1650" w14:textId="77777777" w:rsidR="00BD776B" w:rsidRDefault="00DF0C24" w:rsidP="008A7063">
            <w:pPr>
              <w:numPr>
                <w:ilvl w:val="0"/>
                <w:numId w:val="67"/>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1EFFD924" w14:textId="77777777">
        <w:trPr>
          <w:cantSplit/>
          <w:trHeight w:val="839"/>
        </w:trPr>
        <w:tc>
          <w:tcPr>
            <w:tcW w:w="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322C7" w14:textId="77777777" w:rsidR="00BD776B" w:rsidRDefault="00DF0C24">
            <w:pPr>
              <w:snapToGrid w:val="0"/>
              <w:ind w:left="113" w:right="113"/>
            </w:pPr>
            <w:r>
              <w:rPr>
                <w:rFonts w:ascii="標楷體" w:eastAsia="標楷體" w:hAnsi="標楷體" w:cs="標楷體"/>
                <w:color w:val="000000"/>
              </w:rPr>
              <w:t>注意事項</w:t>
            </w:r>
          </w:p>
          <w:p w14:paraId="600A0708" w14:textId="77777777" w:rsidR="00BD776B" w:rsidRDefault="00BD776B">
            <w:pPr>
              <w:snapToGrid w:val="0"/>
              <w:ind w:left="324" w:right="113" w:hanging="211"/>
              <w:rPr>
                <w:rFonts w:ascii="標楷體" w:eastAsia="標楷體" w:hAnsi="標楷體"/>
                <w:color w:val="000000"/>
                <w:sz w:val="20"/>
                <w:szCs w:val="20"/>
              </w:rPr>
            </w:pPr>
          </w:p>
        </w:tc>
        <w:tc>
          <w:tcPr>
            <w:tcW w:w="9695" w:type="dxa"/>
            <w:gridSpan w:val="2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C9678" w14:textId="77777777" w:rsidR="00BD776B" w:rsidRDefault="00DF0C24">
            <w:pPr>
              <w:snapToGrid w:val="0"/>
              <w:spacing w:line="280" w:lineRule="exact"/>
              <w:ind w:left="174" w:hanging="174"/>
              <w:rPr>
                <w:rFonts w:ascii="標楷體" w:eastAsia="標楷體" w:hAnsi="標楷體"/>
                <w:color w:val="000000"/>
                <w:kern w:val="0"/>
                <w:sz w:val="20"/>
                <w:szCs w:val="20"/>
              </w:rPr>
            </w:pPr>
            <w:r>
              <w:rPr>
                <w:rFonts w:ascii="標楷體" w:eastAsia="標楷體" w:hAnsi="標楷體"/>
                <w:color w:val="000000"/>
                <w:kern w:val="0"/>
                <w:sz w:val="20"/>
                <w:szCs w:val="20"/>
              </w:rPr>
              <w:t>1.本申請書限一人一案，由本保險特約醫事服務機構填報，不必備文，請逕向保險人各地分局申請審核。</w:t>
            </w:r>
          </w:p>
          <w:p w14:paraId="0CE56E43" w14:textId="77777777" w:rsidR="00BD776B" w:rsidRDefault="00DF0C24">
            <w:pPr>
              <w:snapToGrid w:val="0"/>
              <w:spacing w:line="280" w:lineRule="exact"/>
              <w:ind w:left="174" w:hanging="174"/>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2.「原受理編號」申復時填寫，初次送核不須填寫。</w:t>
            </w:r>
          </w:p>
          <w:p w14:paraId="58C3ACC5" w14:textId="77777777" w:rsidR="00BD776B" w:rsidRDefault="00DF0C24">
            <w:pPr>
              <w:snapToGrid w:val="0"/>
              <w:spacing w:line="280" w:lineRule="exact"/>
              <w:ind w:left="174" w:hanging="174"/>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65C7F6C1" w14:textId="77777777" w:rsidR="00BD776B" w:rsidRDefault="00DF0C24">
            <w:pPr>
              <w:snapToGrid w:val="0"/>
              <w:spacing w:line="280" w:lineRule="exact"/>
              <w:ind w:left="174" w:hanging="174"/>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43522740" w14:textId="77777777" w:rsidR="00BD776B" w:rsidRDefault="00DF0C24">
            <w:pPr>
              <w:snapToGrid w:val="0"/>
              <w:spacing w:line="280" w:lineRule="exact"/>
              <w:ind w:left="174" w:hanging="174"/>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41B8939F" w14:textId="77777777" w:rsidR="00BD776B" w:rsidRDefault="00DF0C24">
            <w:pPr>
              <w:snapToGrid w:val="0"/>
              <w:spacing w:line="280" w:lineRule="exact"/>
              <w:ind w:left="174" w:hanging="174"/>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61041EA4" w14:textId="77777777" w:rsidR="00BD776B" w:rsidRDefault="00DF0C24">
            <w:pPr>
              <w:snapToGrid w:val="0"/>
              <w:spacing w:line="280" w:lineRule="exact"/>
              <w:ind w:left="174" w:hanging="174"/>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tc>
        <w:tc>
          <w:tcPr>
            <w:tcW w:w="4421" w:type="dxa"/>
            <w:gridSpan w:val="12"/>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6185849" w14:textId="77777777" w:rsidR="00BD776B" w:rsidRDefault="00BD776B">
            <w:pPr>
              <w:snapToGrid w:val="0"/>
              <w:rPr>
                <w:rFonts w:ascii="標楷體" w:eastAsia="標楷體" w:hAnsi="標楷體"/>
                <w:color w:val="000000"/>
                <w:sz w:val="20"/>
                <w:szCs w:val="20"/>
              </w:rPr>
            </w:pPr>
          </w:p>
        </w:tc>
      </w:tr>
      <w:tr w:rsidR="00BD776B" w14:paraId="347CD4EA" w14:textId="77777777">
        <w:trPr>
          <w:cantSplit/>
          <w:trHeight w:val="1115"/>
        </w:trPr>
        <w:tc>
          <w:tcPr>
            <w:tcW w:w="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9EDDA" w14:textId="77777777" w:rsidR="00BD776B" w:rsidRDefault="00BD776B">
            <w:pPr>
              <w:snapToGrid w:val="0"/>
              <w:ind w:left="211" w:hanging="211"/>
              <w:rPr>
                <w:rFonts w:ascii="標楷體" w:eastAsia="標楷體" w:hAnsi="標楷體"/>
                <w:color w:val="000000"/>
              </w:rPr>
            </w:pPr>
          </w:p>
        </w:tc>
        <w:tc>
          <w:tcPr>
            <w:tcW w:w="9695" w:type="dxa"/>
            <w:gridSpan w:val="2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6B1BE" w14:textId="77777777" w:rsidR="00BD776B" w:rsidRDefault="00BD776B">
            <w:pPr>
              <w:snapToGrid w:val="0"/>
              <w:ind w:left="211" w:hanging="211"/>
              <w:rPr>
                <w:rFonts w:ascii="標楷體" w:eastAsia="標楷體" w:hAnsi="標楷體"/>
                <w:color w:val="000000"/>
              </w:rPr>
            </w:pPr>
          </w:p>
        </w:tc>
        <w:tc>
          <w:tcPr>
            <w:tcW w:w="3102" w:type="dxa"/>
            <w:gridSpan w:val="10"/>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D8EEE" w14:textId="77777777" w:rsidR="00BD776B" w:rsidRDefault="00BD776B">
            <w:pPr>
              <w:snapToGrid w:val="0"/>
              <w:jc w:val="both"/>
              <w:rPr>
                <w:rFonts w:ascii="標楷體" w:eastAsia="標楷體" w:hAnsi="標楷體"/>
                <w:color w:val="000000"/>
              </w:rPr>
            </w:pPr>
          </w:p>
          <w:p w14:paraId="5221102F" w14:textId="77777777" w:rsidR="00BD776B" w:rsidRDefault="00BD776B">
            <w:pPr>
              <w:snapToGrid w:val="0"/>
              <w:jc w:val="both"/>
              <w:rPr>
                <w:rFonts w:ascii="標楷體" w:eastAsia="標楷體" w:hAnsi="標楷體"/>
                <w:color w:val="000000"/>
              </w:rPr>
            </w:pPr>
          </w:p>
          <w:p w14:paraId="5976BF1A" w14:textId="77777777" w:rsidR="00BD776B" w:rsidRDefault="00BD776B">
            <w:pPr>
              <w:snapToGrid w:val="0"/>
              <w:jc w:val="both"/>
              <w:rPr>
                <w:rFonts w:ascii="標楷體" w:eastAsia="標楷體" w:hAnsi="標楷體"/>
                <w:color w:val="000000"/>
              </w:rPr>
            </w:pPr>
          </w:p>
          <w:p w14:paraId="3B8E3518" w14:textId="77777777" w:rsidR="00BD776B" w:rsidRDefault="00BD776B">
            <w:pPr>
              <w:snapToGrid w:val="0"/>
              <w:jc w:val="both"/>
              <w:rPr>
                <w:rFonts w:ascii="標楷體" w:eastAsia="標楷體" w:hAnsi="標楷體" w:cs="標楷體"/>
                <w:color w:val="000000"/>
                <w:sz w:val="20"/>
                <w:szCs w:val="20"/>
              </w:rPr>
            </w:pPr>
          </w:p>
          <w:p w14:paraId="59979BBB" w14:textId="77777777" w:rsidR="00BD776B" w:rsidRDefault="00DF0C24">
            <w:pPr>
              <w:snapToGrid w:val="0"/>
              <w:jc w:val="both"/>
            </w:pPr>
            <w:r>
              <w:rPr>
                <w:rFonts w:ascii="標楷體" w:eastAsia="標楷體" w:hAnsi="標楷體" w:cs="標楷體"/>
                <w:color w:val="000000"/>
                <w:sz w:val="20"/>
                <w:szCs w:val="20"/>
              </w:rPr>
              <w:t>保險人日期章戳</w:t>
            </w:r>
          </w:p>
        </w:tc>
        <w:tc>
          <w:tcPr>
            <w:tcW w:w="3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E2FC0" w14:textId="77777777" w:rsidR="00BD776B" w:rsidRDefault="00DF0C24">
            <w:pPr>
              <w:snapToGrid w:val="0"/>
            </w:pPr>
            <w:r>
              <w:rPr>
                <w:rFonts w:ascii="標楷體" w:eastAsia="標楷體" w:hAnsi="標楷體" w:cs="標楷體"/>
                <w:color w:val="000000"/>
              </w:rPr>
              <w:t>審查醫師</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A91EB" w14:textId="77777777" w:rsidR="00BD776B" w:rsidRDefault="00BD776B">
            <w:pPr>
              <w:snapToGrid w:val="0"/>
              <w:rPr>
                <w:rFonts w:ascii="標楷體" w:eastAsia="標楷體" w:hAnsi="標楷體"/>
                <w:color w:val="000000"/>
              </w:rPr>
            </w:pPr>
          </w:p>
        </w:tc>
      </w:tr>
      <w:tr w:rsidR="00BD776B" w14:paraId="3EF77035" w14:textId="77777777">
        <w:trPr>
          <w:cantSplit/>
          <w:trHeight w:val="618"/>
        </w:trPr>
        <w:tc>
          <w:tcPr>
            <w:tcW w:w="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0E841" w14:textId="77777777" w:rsidR="00BD776B" w:rsidRDefault="00BD776B">
            <w:pPr>
              <w:snapToGrid w:val="0"/>
              <w:ind w:left="211" w:hanging="211"/>
              <w:rPr>
                <w:rFonts w:ascii="標楷體" w:eastAsia="標楷體" w:hAnsi="標楷體"/>
                <w:color w:val="000000"/>
              </w:rPr>
            </w:pPr>
          </w:p>
        </w:tc>
        <w:tc>
          <w:tcPr>
            <w:tcW w:w="9695" w:type="dxa"/>
            <w:gridSpan w:val="2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AD7E3" w14:textId="77777777" w:rsidR="00BD776B" w:rsidRDefault="00BD776B">
            <w:pPr>
              <w:snapToGrid w:val="0"/>
              <w:ind w:left="211" w:hanging="211"/>
              <w:rPr>
                <w:rFonts w:ascii="標楷體" w:eastAsia="標楷體" w:hAnsi="標楷體"/>
                <w:color w:val="000000"/>
              </w:rPr>
            </w:pPr>
          </w:p>
        </w:tc>
        <w:tc>
          <w:tcPr>
            <w:tcW w:w="3102" w:type="dxa"/>
            <w:gridSpan w:val="10"/>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8E3DF" w14:textId="77777777" w:rsidR="00BD776B" w:rsidRDefault="00BD776B">
            <w:pPr>
              <w:snapToGrid w:val="0"/>
              <w:jc w:val="both"/>
              <w:rPr>
                <w:rFonts w:ascii="標楷體" w:eastAsia="標楷體" w:hAnsi="標楷體"/>
                <w:color w:val="000000"/>
              </w:rPr>
            </w:pPr>
          </w:p>
        </w:tc>
        <w:tc>
          <w:tcPr>
            <w:tcW w:w="3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ADBFE" w14:textId="77777777" w:rsidR="00BD776B" w:rsidRDefault="00BD776B">
            <w:pPr>
              <w:snapToGrid w:val="0"/>
              <w:rPr>
                <w:rFonts w:ascii="標楷體" w:eastAsia="標楷體" w:hAnsi="標楷體" w:cs="標楷體"/>
                <w:color w:val="000000"/>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69463" w14:textId="77777777" w:rsidR="00BD776B" w:rsidRDefault="00BD776B">
            <w:pPr>
              <w:snapToGrid w:val="0"/>
              <w:rPr>
                <w:rFonts w:ascii="標楷體" w:eastAsia="標楷體" w:hAnsi="標楷體"/>
                <w:color w:val="000000"/>
              </w:rPr>
            </w:pPr>
          </w:p>
        </w:tc>
      </w:tr>
      <w:tr w:rsidR="00BD776B" w14:paraId="4481ADDE" w14:textId="77777777">
        <w:trPr>
          <w:cantSplit/>
          <w:trHeight w:val="706"/>
        </w:trPr>
        <w:tc>
          <w:tcPr>
            <w:tcW w:w="10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87DB7" w14:textId="77777777" w:rsidR="00BD776B" w:rsidRDefault="00DF0C24">
            <w:pPr>
              <w:snapToGrid w:val="0"/>
              <w:spacing w:line="240" w:lineRule="exact"/>
              <w:rPr>
                <w:rFonts w:ascii="標楷體" w:eastAsia="標楷體" w:hAnsi="標楷體" w:cs="標楷體"/>
                <w:color w:val="000000"/>
              </w:rPr>
            </w:pPr>
            <w:r>
              <w:rPr>
                <w:rFonts w:ascii="標楷體" w:eastAsia="標楷體" w:hAnsi="標楷體" w:cs="標楷體"/>
                <w:color w:val="000000"/>
              </w:rPr>
              <w:t>醫事服務機構</w:t>
            </w:r>
          </w:p>
          <w:p w14:paraId="361BB4DD" w14:textId="77777777" w:rsidR="00BD776B" w:rsidRDefault="00BD776B">
            <w:pPr>
              <w:snapToGrid w:val="0"/>
              <w:spacing w:line="240" w:lineRule="exact"/>
              <w:rPr>
                <w:rFonts w:ascii="標楷體" w:eastAsia="標楷體" w:hAnsi="標楷體"/>
                <w:color w:val="000000"/>
              </w:rPr>
            </w:pPr>
          </w:p>
        </w:tc>
        <w:tc>
          <w:tcPr>
            <w:tcW w:w="871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64E4" w14:textId="77777777" w:rsidR="00BD776B" w:rsidRDefault="00DF0C24">
            <w:pPr>
              <w:snapToGrid w:val="0"/>
              <w:spacing w:line="240" w:lineRule="exact"/>
            </w:pPr>
            <w:r>
              <w:rPr>
                <w:rFonts w:ascii="標楷體" w:eastAsia="標楷體" w:hAnsi="標楷體" w:cs="標楷體"/>
                <w:color w:val="000000"/>
              </w:rPr>
              <w:t>醫院申請日期：  年  月  日</w:t>
            </w:r>
          </w:p>
          <w:p w14:paraId="0A895A2B" w14:textId="77777777" w:rsidR="00BD776B" w:rsidRDefault="00BD776B">
            <w:pPr>
              <w:snapToGrid w:val="0"/>
              <w:spacing w:line="240" w:lineRule="exact"/>
              <w:rPr>
                <w:rFonts w:ascii="標楷體" w:eastAsia="標楷體" w:hAnsi="標楷體"/>
                <w:color w:val="000000"/>
              </w:rPr>
            </w:pPr>
          </w:p>
          <w:p w14:paraId="5254E735"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6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6AFF4" w14:textId="77777777" w:rsidR="00BD776B" w:rsidRDefault="00DF0C24">
            <w:pPr>
              <w:widowControl/>
              <w:snapToGrid w:val="0"/>
              <w:spacing w:line="240" w:lineRule="exact"/>
            </w:pPr>
            <w:r>
              <w:rPr>
                <w:rFonts w:ascii="標楷體" w:eastAsia="標楷體" w:hAnsi="標楷體" w:cs="標楷體"/>
                <w:color w:val="000000"/>
              </w:rPr>
              <w:t>承辦人</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08D2FF" w14:textId="77777777" w:rsidR="00BD776B" w:rsidRDefault="00BD776B">
            <w:pPr>
              <w:widowControl/>
              <w:snapToGrid w:val="0"/>
              <w:rPr>
                <w:rFonts w:ascii="標楷體" w:eastAsia="標楷體" w:hAnsi="標楷體"/>
                <w:color w:val="000000"/>
              </w:rPr>
            </w:pPr>
          </w:p>
          <w:p w14:paraId="749352AE" w14:textId="77777777" w:rsidR="00BD776B" w:rsidRDefault="00BD776B">
            <w:pPr>
              <w:snapToGrid w:val="0"/>
              <w:spacing w:line="240" w:lineRule="exact"/>
              <w:rPr>
                <w:rFonts w:ascii="標楷體" w:eastAsia="標楷體" w:hAnsi="標楷體"/>
                <w:color w:val="000000"/>
              </w:rPr>
            </w:pPr>
          </w:p>
        </w:tc>
        <w:tc>
          <w:tcPr>
            <w:tcW w:w="36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7D971" w14:textId="77777777" w:rsidR="00BD776B" w:rsidRDefault="00DF0C24">
            <w:pPr>
              <w:widowControl/>
              <w:snapToGrid w:val="0"/>
              <w:spacing w:line="240" w:lineRule="exact"/>
            </w:pPr>
            <w:r>
              <w:rPr>
                <w:rFonts w:ascii="標楷體" w:eastAsia="標楷體" w:hAnsi="標楷體" w:cs="標楷體"/>
                <w:color w:val="000000"/>
              </w:rPr>
              <w:t>複核</w:t>
            </w:r>
          </w:p>
          <w:p w14:paraId="3DBDA42F" w14:textId="77777777" w:rsidR="00BD776B" w:rsidRDefault="00BD776B">
            <w:pPr>
              <w:widowControl/>
              <w:snapToGrid w:val="0"/>
              <w:rPr>
                <w:rFonts w:ascii="標楷體" w:eastAsia="標楷體" w:hAnsi="標楷體"/>
                <w:color w:val="000000"/>
              </w:rPr>
            </w:pPr>
          </w:p>
        </w:tc>
        <w:tc>
          <w:tcPr>
            <w:tcW w:w="842"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07AA3" w14:textId="77777777" w:rsidR="00BD776B" w:rsidRDefault="00BD776B">
            <w:pPr>
              <w:widowControl/>
              <w:snapToGrid w:val="0"/>
              <w:rPr>
                <w:rFonts w:ascii="標楷體" w:eastAsia="標楷體" w:hAnsi="標楷體"/>
                <w:color w:val="000000"/>
              </w:rPr>
            </w:pPr>
          </w:p>
          <w:p w14:paraId="3D7D97B5" w14:textId="77777777" w:rsidR="00BD776B" w:rsidRDefault="00BD776B">
            <w:pPr>
              <w:snapToGrid w:val="0"/>
              <w:spacing w:line="240" w:lineRule="exact"/>
              <w:rPr>
                <w:rFonts w:ascii="標楷體" w:eastAsia="標楷體" w:hAnsi="標楷體"/>
                <w:color w:val="000000"/>
              </w:rPr>
            </w:pPr>
          </w:p>
        </w:tc>
        <w:tc>
          <w:tcPr>
            <w:tcW w:w="36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C217" w14:textId="77777777" w:rsidR="00BD776B" w:rsidRDefault="00DF0C24">
            <w:pPr>
              <w:snapToGrid w:val="0"/>
              <w:spacing w:line="240" w:lineRule="exact"/>
            </w:pPr>
            <w:r>
              <w:rPr>
                <w:rFonts w:ascii="標楷體" w:eastAsia="標楷體" w:hAnsi="標楷體" w:cs="標楷體"/>
                <w:color w:val="000000"/>
              </w:rPr>
              <w:t>科課長</w:t>
            </w:r>
          </w:p>
        </w:tc>
        <w:tc>
          <w:tcPr>
            <w:tcW w:w="842"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F9CD6" w14:textId="77777777" w:rsidR="00BD776B" w:rsidRDefault="00BD776B">
            <w:pPr>
              <w:widowControl/>
              <w:snapToGrid w:val="0"/>
              <w:rPr>
                <w:rFonts w:ascii="標楷體" w:eastAsia="標楷體" w:hAnsi="標楷體"/>
                <w:color w:val="000000"/>
              </w:rPr>
            </w:pPr>
          </w:p>
          <w:p w14:paraId="3C608539" w14:textId="77777777" w:rsidR="00BD776B" w:rsidRDefault="00BD776B">
            <w:pPr>
              <w:snapToGrid w:val="0"/>
              <w:spacing w:line="240" w:lineRule="exact"/>
              <w:rPr>
                <w:rFonts w:ascii="標楷體" w:eastAsia="標楷體" w:hAnsi="標楷體"/>
                <w:color w:val="000000"/>
              </w:rPr>
            </w:pPr>
          </w:p>
        </w:tc>
        <w:tc>
          <w:tcPr>
            <w:tcW w:w="37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3C07C" w14:textId="77777777" w:rsidR="00BD776B" w:rsidRDefault="00DF0C24">
            <w:pPr>
              <w:widowControl/>
              <w:snapToGrid w:val="0"/>
              <w:spacing w:line="240" w:lineRule="exact"/>
            </w:pPr>
            <w:r>
              <w:rPr>
                <w:rFonts w:ascii="標楷體" w:eastAsia="標楷體" w:hAnsi="標楷體" w:cs="標楷體"/>
                <w:color w:val="000000"/>
              </w:rPr>
              <w:t>決行</w:t>
            </w:r>
          </w:p>
          <w:p w14:paraId="055C3AA7" w14:textId="77777777" w:rsidR="00BD776B" w:rsidRDefault="00BD776B">
            <w:pPr>
              <w:widowControl/>
              <w:snapToGrid w:val="0"/>
              <w:rPr>
                <w:rFonts w:ascii="標楷體" w:eastAsia="標楷體" w:hAnsi="標楷體"/>
                <w:color w:val="000000"/>
              </w:rPr>
            </w:pPr>
          </w:p>
        </w:tc>
        <w:tc>
          <w:tcPr>
            <w:tcW w:w="94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2D7D5" w14:textId="77777777" w:rsidR="00BD776B" w:rsidRDefault="00BD776B">
            <w:pPr>
              <w:widowControl/>
              <w:snapToGrid w:val="0"/>
              <w:rPr>
                <w:rFonts w:ascii="標楷體" w:eastAsia="標楷體" w:hAnsi="標楷體"/>
                <w:color w:val="000000"/>
              </w:rPr>
            </w:pPr>
          </w:p>
          <w:p w14:paraId="255EE4F1" w14:textId="77777777" w:rsidR="00BD776B" w:rsidRDefault="00BD776B">
            <w:pPr>
              <w:snapToGrid w:val="0"/>
              <w:spacing w:line="240" w:lineRule="exact"/>
              <w:rPr>
                <w:rFonts w:ascii="標楷體" w:eastAsia="標楷體" w:hAnsi="標楷體"/>
                <w:color w:val="000000"/>
              </w:rPr>
            </w:pPr>
          </w:p>
        </w:tc>
      </w:tr>
    </w:tbl>
    <w:p w14:paraId="3DF7FFF4" w14:textId="77777777" w:rsidR="00BD776B" w:rsidRDefault="00DF0C24">
      <w:pPr>
        <w:pStyle w:val="Web"/>
        <w:pageBreakBefore/>
        <w:widowControl w:val="0"/>
        <w:snapToGrid w:val="0"/>
        <w:spacing w:before="0" w:after="0" w:line="380" w:lineRule="exact"/>
        <w:ind w:firstLine="240"/>
        <w:jc w:val="both"/>
      </w:pPr>
      <w:r>
        <w:rPr>
          <w:rFonts w:ascii="標楷體" w:eastAsia="標楷體" w:hAnsi="標楷體" w:cs="標楷體"/>
          <w:color w:val="000000"/>
        </w:rPr>
        <w:lastRenderedPageBreak/>
        <w:t>附表九之七：全民健康保險使用抗癌藥品</w:t>
      </w:r>
      <w:r>
        <w:rPr>
          <w:rFonts w:ascii="標楷體" w:eastAsia="標楷體" w:hAnsi="標楷體" w:cs="Times New Roman"/>
          <w:color w:val="000000"/>
        </w:rPr>
        <w:t>Sorafenib</w:t>
      </w:r>
      <w:r>
        <w:rPr>
          <w:rFonts w:ascii="標楷體" w:eastAsia="標楷體" w:hAnsi="標楷體" w:cs="標楷體"/>
          <w:color w:val="000000"/>
        </w:rPr>
        <w:t>申請表</w:t>
      </w:r>
    </w:p>
    <w:tbl>
      <w:tblPr>
        <w:tblW w:w="14545" w:type="dxa"/>
        <w:tblInd w:w="170" w:type="dxa"/>
        <w:tblLayout w:type="fixed"/>
        <w:tblCellMar>
          <w:left w:w="10" w:type="dxa"/>
          <w:right w:w="10" w:type="dxa"/>
        </w:tblCellMar>
        <w:tblLook w:val="0000" w:firstRow="0" w:lastRow="0" w:firstColumn="0" w:lastColumn="0" w:noHBand="0" w:noVBand="0"/>
      </w:tblPr>
      <w:tblGrid>
        <w:gridCol w:w="369"/>
        <w:gridCol w:w="75"/>
        <w:gridCol w:w="404"/>
        <w:gridCol w:w="575"/>
        <w:gridCol w:w="825"/>
        <w:gridCol w:w="740"/>
        <w:gridCol w:w="285"/>
        <w:gridCol w:w="430"/>
        <w:gridCol w:w="851"/>
        <w:gridCol w:w="109"/>
        <w:gridCol w:w="1319"/>
        <w:gridCol w:w="602"/>
        <w:gridCol w:w="361"/>
        <w:gridCol w:w="963"/>
        <w:gridCol w:w="774"/>
        <w:gridCol w:w="325"/>
        <w:gridCol w:w="387"/>
        <w:gridCol w:w="204"/>
        <w:gridCol w:w="126"/>
        <w:gridCol w:w="235"/>
        <w:gridCol w:w="146"/>
        <w:gridCol w:w="697"/>
        <w:gridCol w:w="361"/>
        <w:gridCol w:w="126"/>
        <w:gridCol w:w="362"/>
        <w:gridCol w:w="9"/>
        <w:gridCol w:w="349"/>
        <w:gridCol w:w="364"/>
        <w:gridCol w:w="12"/>
        <w:gridCol w:w="230"/>
        <w:gridCol w:w="605"/>
        <w:gridCol w:w="377"/>
        <w:gridCol w:w="948"/>
      </w:tblGrid>
      <w:tr w:rsidR="00BD776B" w14:paraId="3CD23550" w14:textId="77777777">
        <w:trPr>
          <w:cantSplit/>
          <w:trHeight w:hRule="exact" w:val="348"/>
        </w:trPr>
        <w:tc>
          <w:tcPr>
            <w:tcW w:w="2248"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E231977"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3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94E4AA"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15201B" w14:textId="77777777" w:rsidR="00BD776B" w:rsidRDefault="00DF0C24">
            <w:pPr>
              <w:snapToGrid w:val="0"/>
            </w:pPr>
            <w:r>
              <w:rPr>
                <w:rFonts w:ascii="標楷體" w:eastAsia="標楷體" w:hAnsi="標楷體" w:cs="標楷體"/>
                <w:color w:val="000000"/>
                <w:sz w:val="20"/>
                <w:szCs w:val="20"/>
              </w:rPr>
              <w:t>受理日期：</w:t>
            </w:r>
          </w:p>
        </w:tc>
        <w:tc>
          <w:tcPr>
            <w:tcW w:w="2653"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7D7730" w14:textId="77777777" w:rsidR="00BD776B" w:rsidRDefault="00DF0C24">
            <w:pPr>
              <w:snapToGrid w:val="0"/>
              <w:ind w:left="15"/>
            </w:pPr>
            <w:r>
              <w:rPr>
                <w:rFonts w:ascii="標楷體" w:eastAsia="標楷體" w:hAnsi="標楷體" w:cs="標楷體"/>
                <w:color w:val="000000"/>
                <w:sz w:val="20"/>
                <w:szCs w:val="20"/>
              </w:rPr>
              <w:t>受理編號：</w:t>
            </w:r>
          </w:p>
        </w:tc>
        <w:tc>
          <w:tcPr>
            <w:tcW w:w="288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523BF0" w14:textId="77777777" w:rsidR="00BD776B" w:rsidRDefault="00DF0C24">
            <w:pPr>
              <w:snapToGrid w:val="0"/>
            </w:pPr>
            <w:r>
              <w:rPr>
                <w:rFonts w:ascii="標楷體" w:eastAsia="標楷體" w:hAnsi="標楷體" w:cs="標楷體"/>
                <w:color w:val="000000"/>
                <w:sz w:val="20"/>
                <w:szCs w:val="20"/>
              </w:rPr>
              <w:t>緊急傳真日期：</w:t>
            </w:r>
          </w:p>
        </w:tc>
      </w:tr>
      <w:tr w:rsidR="00BD776B" w14:paraId="777F22E3" w14:textId="77777777">
        <w:trPr>
          <w:cantSplit/>
          <w:trHeight w:val="436"/>
        </w:trPr>
        <w:tc>
          <w:tcPr>
            <w:tcW w:w="4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5410B5"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11D702"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7226BF" w14:textId="77777777" w:rsidR="00BD776B" w:rsidRDefault="00BD776B">
            <w:pPr>
              <w:snapToGrid w:val="0"/>
              <w:spacing w:line="200" w:lineRule="exact"/>
              <w:rPr>
                <w:rFonts w:ascii="標楷體" w:eastAsia="標楷體" w:hAnsi="標楷體"/>
                <w:color w:val="000000"/>
                <w:sz w:val="20"/>
                <w:szCs w:val="20"/>
              </w:rPr>
            </w:pPr>
          </w:p>
        </w:tc>
        <w:tc>
          <w:tcPr>
            <w:tcW w:w="2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4517A5"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6DA8FFDD"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076CA2D8"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6DAFFF20"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DB537B"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1E5C0A" w14:textId="77777777" w:rsidR="00BD776B" w:rsidRDefault="00BD776B">
            <w:pPr>
              <w:snapToGrid w:val="0"/>
              <w:spacing w:line="200" w:lineRule="exact"/>
              <w:rPr>
                <w:rFonts w:ascii="標楷體" w:eastAsia="標楷體" w:hAnsi="標楷體"/>
                <w:color w:val="000000"/>
                <w:sz w:val="20"/>
                <w:szCs w:val="20"/>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BDDAFB"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867F84" w14:textId="77777777" w:rsidR="00BD776B" w:rsidRDefault="00BD776B">
            <w:pPr>
              <w:snapToGrid w:val="0"/>
              <w:spacing w:line="200" w:lineRule="exact"/>
              <w:rPr>
                <w:rFonts w:ascii="標楷體" w:eastAsia="標楷體" w:hAnsi="標楷體"/>
                <w:color w:val="000000"/>
                <w:sz w:val="20"/>
                <w:szCs w:val="20"/>
              </w:rPr>
            </w:pPr>
          </w:p>
        </w:tc>
        <w:tc>
          <w:tcPr>
            <w:tcW w:w="181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D6A47F"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60718928"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7A862" w14:textId="77777777" w:rsidR="00BD776B" w:rsidRDefault="00BD776B">
            <w:pPr>
              <w:snapToGrid w:val="0"/>
              <w:spacing w:line="200" w:lineRule="exact"/>
              <w:rPr>
                <w:rFonts w:ascii="標楷體" w:eastAsia="標楷體" w:hAnsi="標楷體"/>
                <w:color w:val="000000"/>
                <w:sz w:val="20"/>
                <w:szCs w:val="20"/>
              </w:rPr>
            </w:pPr>
          </w:p>
        </w:tc>
        <w:tc>
          <w:tcPr>
            <w:tcW w:w="10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F3A42D"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預定實施</w:t>
            </w:r>
          </w:p>
          <w:p w14:paraId="1DEE0D78" w14:textId="77777777" w:rsidR="00BD776B" w:rsidRDefault="00DF0C24">
            <w:pPr>
              <w:snapToGrid w:val="0"/>
              <w:spacing w:line="200" w:lineRule="exact"/>
            </w:pPr>
            <w:r>
              <w:rPr>
                <w:rFonts w:ascii="標楷體" w:eastAsia="標楷體" w:hAnsi="標楷體" w:cs="標楷體"/>
                <w:color w:val="000000"/>
                <w:sz w:val="20"/>
                <w:szCs w:val="20"/>
              </w:rPr>
              <w:t>日期</w:t>
            </w:r>
          </w:p>
        </w:tc>
        <w:tc>
          <w:tcPr>
            <w:tcW w:w="21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877422" w14:textId="77777777" w:rsidR="00BD776B" w:rsidRDefault="00BD776B">
            <w:pPr>
              <w:snapToGrid w:val="0"/>
              <w:spacing w:line="200" w:lineRule="exact"/>
              <w:rPr>
                <w:rFonts w:ascii="標楷體" w:eastAsia="標楷體" w:hAnsi="標楷體"/>
                <w:color w:val="000000"/>
                <w:sz w:val="20"/>
                <w:szCs w:val="20"/>
              </w:rPr>
            </w:pPr>
          </w:p>
        </w:tc>
      </w:tr>
      <w:tr w:rsidR="00BD776B" w14:paraId="766B69B9" w14:textId="77777777">
        <w:trPr>
          <w:cantSplit/>
          <w:trHeight w:val="413"/>
        </w:trPr>
        <w:tc>
          <w:tcPr>
            <w:tcW w:w="4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A6196" w14:textId="77777777" w:rsidR="00BD776B" w:rsidRDefault="00BD776B">
            <w:pPr>
              <w:snapToGrid w:val="0"/>
              <w:spacing w:line="200" w:lineRule="exact"/>
              <w:rPr>
                <w:rFonts w:ascii="標楷體" w:eastAsia="標楷體" w:hAnsi="標楷體"/>
                <w:color w:val="000000"/>
                <w:sz w:val="20"/>
                <w:szCs w:val="20"/>
              </w:rPr>
            </w:pP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2EB2E7"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92019D" w14:textId="77777777" w:rsidR="00BD776B" w:rsidRDefault="00BD776B">
            <w:pPr>
              <w:snapToGrid w:val="0"/>
              <w:spacing w:line="200" w:lineRule="exact"/>
              <w:rPr>
                <w:rFonts w:ascii="標楷體" w:eastAsia="標楷體" w:hAnsi="標楷體"/>
                <w:color w:val="000000"/>
                <w:sz w:val="20"/>
                <w:szCs w:val="20"/>
              </w:rPr>
            </w:pPr>
          </w:p>
        </w:tc>
        <w:tc>
          <w:tcPr>
            <w:tcW w:w="2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54B8A2" w14:textId="77777777" w:rsidR="00BD776B" w:rsidRDefault="00BD776B">
            <w:pPr>
              <w:snapToGrid w:val="0"/>
              <w:spacing w:line="200" w:lineRule="exact"/>
              <w:rPr>
                <w:rFonts w:ascii="標楷體" w:eastAsia="標楷體" w:hAnsi="標楷體"/>
                <w:color w:val="000000"/>
                <w:sz w:val="20"/>
                <w:szCs w:val="20"/>
              </w:rPr>
            </w:pP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3BEC1A" w14:textId="77777777" w:rsidR="00BD776B" w:rsidRDefault="00DF0C24">
            <w:pPr>
              <w:snapToGrid w:val="0"/>
              <w:spacing w:line="200" w:lineRule="exact"/>
            </w:pPr>
            <w:r>
              <w:rPr>
                <w:rFonts w:ascii="標楷體" w:eastAsia="標楷體" w:hAnsi="標楷體" w:cs="標楷體"/>
                <w:color w:val="000000"/>
                <w:sz w:val="20"/>
                <w:szCs w:val="20"/>
              </w:rPr>
              <w:t>身分證</w:t>
            </w:r>
          </w:p>
          <w:p w14:paraId="5FDD85B3"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0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EFF37" w14:textId="77777777" w:rsidR="00BD776B" w:rsidRDefault="00BD776B">
            <w:pPr>
              <w:snapToGrid w:val="0"/>
              <w:spacing w:line="200" w:lineRule="exact"/>
              <w:rPr>
                <w:rFonts w:ascii="標楷體" w:eastAsia="標楷體" w:hAnsi="標楷體"/>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71BCFE"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116C3837"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54495" w14:textId="77777777" w:rsidR="00BD776B" w:rsidRDefault="00BD776B">
            <w:pPr>
              <w:snapToGrid w:val="0"/>
              <w:spacing w:line="200" w:lineRule="exact"/>
              <w:rPr>
                <w:rFonts w:ascii="標楷體" w:eastAsia="標楷體" w:hAnsi="標楷體"/>
                <w:color w:val="000000"/>
                <w:sz w:val="20"/>
                <w:szCs w:val="20"/>
              </w:rPr>
            </w:pPr>
          </w:p>
        </w:tc>
        <w:tc>
          <w:tcPr>
            <w:tcW w:w="181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50794"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3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B7EC"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病歷</w:t>
            </w:r>
          </w:p>
          <w:p w14:paraId="272C9594" w14:textId="77777777" w:rsidR="00BD776B" w:rsidRDefault="00DF0C24">
            <w:pPr>
              <w:snapToGrid w:val="0"/>
              <w:spacing w:line="200" w:lineRule="exact"/>
              <w:jc w:val="center"/>
            </w:pPr>
            <w:r>
              <w:rPr>
                <w:rFonts w:ascii="標楷體" w:eastAsia="標楷體" w:hAnsi="標楷體" w:cs="標楷體"/>
                <w:color w:val="000000"/>
                <w:sz w:val="20"/>
                <w:szCs w:val="20"/>
              </w:rPr>
              <w:t>號碼</w:t>
            </w:r>
          </w:p>
        </w:tc>
        <w:tc>
          <w:tcPr>
            <w:tcW w:w="15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3151F" w14:textId="77777777" w:rsidR="00BD776B" w:rsidRDefault="00BD776B">
            <w:pPr>
              <w:snapToGrid w:val="0"/>
              <w:spacing w:line="200" w:lineRule="exact"/>
              <w:rPr>
                <w:rFonts w:ascii="標楷體" w:eastAsia="標楷體" w:hAnsi="標楷體"/>
                <w:color w:val="000000"/>
                <w:sz w:val="20"/>
                <w:szCs w:val="20"/>
              </w:rPr>
            </w:pPr>
          </w:p>
        </w:tc>
        <w:tc>
          <w:tcPr>
            <w:tcW w:w="96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FE359A"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5B5227" w14:textId="77777777" w:rsidR="00BD776B" w:rsidRDefault="00BD776B">
            <w:pPr>
              <w:snapToGrid w:val="0"/>
              <w:spacing w:line="200" w:lineRule="exact"/>
              <w:rPr>
                <w:rFonts w:ascii="標楷體" w:eastAsia="標楷體" w:hAnsi="標楷體"/>
                <w:color w:val="000000"/>
                <w:sz w:val="20"/>
                <w:szCs w:val="20"/>
              </w:rPr>
            </w:pPr>
          </w:p>
        </w:tc>
      </w:tr>
      <w:tr w:rsidR="00BD776B" w14:paraId="14E1AC26" w14:textId="77777777">
        <w:trPr>
          <w:cantSplit/>
          <w:trHeight w:val="420"/>
        </w:trPr>
        <w:tc>
          <w:tcPr>
            <w:tcW w:w="1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C3C9F5"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22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77746" w14:textId="77777777" w:rsidR="00BD776B" w:rsidRDefault="00BD776B">
            <w:pPr>
              <w:snapToGrid w:val="0"/>
              <w:spacing w:line="200" w:lineRule="exact"/>
              <w:rPr>
                <w:rFonts w:ascii="標楷體" w:eastAsia="標楷體" w:hAnsi="標楷體"/>
                <w:color w:val="000000"/>
                <w:sz w:val="20"/>
                <w:szCs w:val="20"/>
              </w:rPr>
            </w:pP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1785E8"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01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78E814" w14:textId="77777777" w:rsidR="00BD776B" w:rsidRDefault="00BD776B">
            <w:pPr>
              <w:snapToGrid w:val="0"/>
              <w:spacing w:line="200" w:lineRule="exact"/>
              <w:rPr>
                <w:rFonts w:ascii="標楷體" w:eastAsia="標楷體" w:hAnsi="標楷體"/>
                <w:color w:val="000000"/>
                <w:sz w:val="20"/>
                <w:szCs w:val="20"/>
              </w:rPr>
            </w:pPr>
          </w:p>
        </w:tc>
        <w:tc>
          <w:tcPr>
            <w:tcW w:w="142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6C1617"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440"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3984D7E"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2FECC1E6" w14:textId="77777777">
        <w:trPr>
          <w:cantSplit/>
          <w:trHeight w:val="415"/>
        </w:trPr>
        <w:tc>
          <w:tcPr>
            <w:tcW w:w="1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95EB52"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8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718781"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4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6803C1"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64DD2E" w14:textId="77777777" w:rsidR="00BD776B" w:rsidRDefault="00DF0C24">
            <w:pPr>
              <w:snapToGrid w:val="0"/>
              <w:spacing w:line="200" w:lineRule="exact"/>
              <w:jc w:val="center"/>
              <w:rPr>
                <w:rFonts w:ascii="標楷體" w:eastAsia="標楷體" w:hAnsi="標楷體" w:cs="標楷體"/>
                <w:color w:val="000000"/>
                <w:sz w:val="20"/>
                <w:szCs w:val="20"/>
              </w:rPr>
            </w:pPr>
            <w:r>
              <w:rPr>
                <w:rFonts w:ascii="標楷體" w:eastAsia="標楷體" w:hAnsi="標楷體" w:cs="標楷體"/>
                <w:color w:val="000000"/>
                <w:sz w:val="20"/>
                <w:szCs w:val="20"/>
              </w:rPr>
              <w:t>用法</w:t>
            </w:r>
          </w:p>
          <w:p w14:paraId="1D8604EE"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7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77E26C"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47361968"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440"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1799243"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701558B6" w14:textId="77777777">
        <w:trPr>
          <w:cantSplit/>
          <w:trHeight w:val="2942"/>
        </w:trPr>
        <w:tc>
          <w:tcPr>
            <w:tcW w:w="1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758D1" w14:textId="77777777" w:rsidR="00BD776B" w:rsidRDefault="00DF0C24">
            <w:pPr>
              <w:snapToGrid w:val="0"/>
              <w:spacing w:before="180"/>
              <w:rPr>
                <w:rFonts w:ascii="標楷體" w:eastAsia="標楷體" w:hAnsi="標楷體"/>
              </w:rPr>
            </w:pPr>
            <w:r>
              <w:rPr>
                <w:rFonts w:ascii="標楷體" w:eastAsia="標楷體" w:hAnsi="標楷體"/>
              </w:rPr>
              <w:t>Nexavar</w:t>
            </w:r>
          </w:p>
          <w:p w14:paraId="68771B1C" w14:textId="77777777" w:rsidR="00BD776B" w:rsidRDefault="00DF0C24">
            <w:pPr>
              <w:snapToGrid w:val="0"/>
              <w:spacing w:before="180"/>
            </w:pPr>
            <w:r>
              <w:rPr>
                <w:rFonts w:ascii="標楷體" w:eastAsia="標楷體" w:hAnsi="標楷體"/>
                <w:color w:val="000000"/>
                <w:sz w:val="20"/>
                <w:szCs w:val="20"/>
              </w:rPr>
              <w:t>□B024727100</w:t>
            </w:r>
          </w:p>
          <w:p w14:paraId="3C57E6D0" w14:textId="77777777" w:rsidR="00BD776B" w:rsidRDefault="00BD776B">
            <w:pPr>
              <w:snapToGrid w:val="0"/>
              <w:spacing w:before="50"/>
              <w:rPr>
                <w:rFonts w:ascii="標楷體" w:eastAsia="標楷體" w:hAnsi="標楷體"/>
                <w:color w:val="000000"/>
                <w:sz w:val="20"/>
                <w:szCs w:val="20"/>
              </w:rPr>
            </w:pPr>
          </w:p>
          <w:p w14:paraId="133E8F6F" w14:textId="77777777" w:rsidR="00BD776B" w:rsidRDefault="00BD776B">
            <w:pPr>
              <w:snapToGrid w:val="0"/>
              <w:spacing w:before="50"/>
              <w:rPr>
                <w:rFonts w:ascii="標楷體" w:eastAsia="標楷體" w:hAnsi="標楷體"/>
                <w:color w:val="000000"/>
                <w:sz w:val="18"/>
                <w:szCs w:val="18"/>
              </w:rPr>
            </w:pPr>
          </w:p>
        </w:tc>
        <w:tc>
          <w:tcPr>
            <w:tcW w:w="18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14EF1" w14:textId="77777777" w:rsidR="00BD776B" w:rsidRDefault="00DF0C24">
            <w:pPr>
              <w:snapToGrid w:val="0"/>
              <w:spacing w:before="180" w:line="200" w:lineRule="exact"/>
              <w:ind w:left="320" w:hanging="200"/>
            </w:pPr>
            <w:r>
              <w:rPr>
                <w:rFonts w:ascii="標楷體" w:eastAsia="標楷體" w:hAnsi="標楷體" w:cs="標楷體"/>
                <w:color w:val="000000"/>
                <w:sz w:val="20"/>
                <w:szCs w:val="20"/>
              </w:rPr>
              <w:t>□第一次申請</w:t>
            </w:r>
          </w:p>
          <w:p w14:paraId="4D0E678A" w14:textId="77777777" w:rsidR="00BD776B" w:rsidRDefault="00BD776B">
            <w:pPr>
              <w:snapToGrid w:val="0"/>
              <w:spacing w:before="180" w:line="200" w:lineRule="exact"/>
              <w:ind w:left="220" w:hanging="100"/>
              <w:rPr>
                <w:rFonts w:ascii="標楷體" w:eastAsia="標楷體" w:hAnsi="標楷體" w:cs="標楷體"/>
                <w:color w:val="000000"/>
                <w:sz w:val="20"/>
                <w:szCs w:val="20"/>
              </w:rPr>
            </w:pPr>
          </w:p>
          <w:p w14:paraId="3CA6F9DE" w14:textId="77777777" w:rsidR="00BD776B" w:rsidRDefault="00DF0C24">
            <w:pPr>
              <w:snapToGrid w:val="0"/>
              <w:spacing w:before="180" w:line="200" w:lineRule="exact"/>
              <w:ind w:left="220" w:hanging="100"/>
            </w:pPr>
            <w:r>
              <w:rPr>
                <w:rFonts w:ascii="標楷體" w:eastAsia="標楷體" w:hAnsi="標楷體" w:cs="標楷體"/>
                <w:color w:val="000000"/>
                <w:sz w:val="20"/>
                <w:szCs w:val="20"/>
              </w:rPr>
              <w:t>□治療後再次申請</w:t>
            </w:r>
          </w:p>
          <w:p w14:paraId="6CCC803A" w14:textId="77777777" w:rsidR="00BD776B" w:rsidRDefault="00BD776B">
            <w:pPr>
              <w:pStyle w:val="a7"/>
              <w:spacing w:before="50" w:line="200" w:lineRule="exact"/>
              <w:rPr>
                <w:rFonts w:ascii="標楷體" w:eastAsia="標楷體" w:hAnsi="標楷體"/>
                <w:color w:val="000000"/>
              </w:rPr>
            </w:pPr>
          </w:p>
        </w:tc>
        <w:tc>
          <w:tcPr>
            <w:tcW w:w="54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03551" w14:textId="77777777" w:rsidR="00BD776B" w:rsidRDefault="00DF0C24">
            <w:pPr>
              <w:snapToGrid w:val="0"/>
              <w:spacing w:line="180" w:lineRule="exact"/>
              <w:ind w:hanging="200"/>
              <w:jc w:val="both"/>
              <w:rPr>
                <w:rFonts w:ascii="標楷體" w:eastAsia="標楷體" w:hAnsi="標楷體"/>
                <w:color w:val="000000"/>
                <w:sz w:val="20"/>
                <w:szCs w:val="20"/>
              </w:rPr>
            </w:pPr>
            <w:r>
              <w:rPr>
                <w:rFonts w:ascii="標楷體" w:eastAsia="標楷體" w:hAnsi="標楷體"/>
                <w:color w:val="000000"/>
                <w:sz w:val="20"/>
                <w:szCs w:val="20"/>
              </w:rPr>
              <w:t>1.晚期腎細胞癌部分：</w:t>
            </w:r>
          </w:p>
          <w:p w14:paraId="11EA5532" w14:textId="77777777" w:rsidR="00BD776B" w:rsidRDefault="00DF0C24">
            <w:pPr>
              <w:snapToGrid w:val="0"/>
              <w:spacing w:line="180" w:lineRule="exact"/>
              <w:ind w:hanging="324"/>
            </w:pPr>
            <w:r>
              <w:rPr>
                <w:rFonts w:ascii="標楷體" w:eastAsia="標楷體" w:hAnsi="標楷體"/>
                <w:kern w:val="0"/>
                <w:sz w:val="20"/>
                <w:szCs w:val="20"/>
              </w:rPr>
              <w:t>(1)晚期腎細胞癌且已接受interferon-alpha或interleukin-2治療失敗，或不適合以上兩種藥物治療之病患。</w:t>
            </w:r>
            <w:r>
              <w:rPr>
                <w:rFonts w:ascii="標楷體" w:eastAsia="標楷體" w:hAnsi="標楷體"/>
                <w:sz w:val="20"/>
                <w:szCs w:val="20"/>
              </w:rPr>
              <w:t>不適合以上兩種藥物治療之病患，須符合cytokine禁忌症者得直接使用sorafenib。但須列舉出所符合之禁忌症及檢附相關證明。</w:t>
            </w:r>
          </w:p>
          <w:p w14:paraId="65D320E0" w14:textId="77777777" w:rsidR="00BD776B" w:rsidRDefault="00DF0C24">
            <w:pPr>
              <w:snapToGrid w:val="0"/>
              <w:spacing w:line="180" w:lineRule="exact"/>
              <w:ind w:hanging="308"/>
              <w:jc w:val="both"/>
            </w:pPr>
            <w:r>
              <w:rPr>
                <w:rFonts w:ascii="標楷體" w:eastAsia="標楷體" w:hAnsi="標楷體"/>
                <w:color w:val="000000"/>
                <w:sz w:val="20"/>
                <w:szCs w:val="20"/>
              </w:rPr>
              <w:t>(2)</w:t>
            </w:r>
            <w:r>
              <w:rPr>
                <w:rFonts w:ascii="標楷體" w:eastAsia="標楷體" w:hAnsi="標楷體"/>
                <w:kern w:val="0"/>
                <w:sz w:val="20"/>
                <w:szCs w:val="20"/>
              </w:rPr>
              <w:t>無效</w:t>
            </w:r>
            <w:r>
              <w:rPr>
                <w:rFonts w:ascii="標楷體" w:eastAsia="標楷體" w:hAnsi="標楷體"/>
                <w:sz w:val="20"/>
                <w:szCs w:val="20"/>
              </w:rPr>
              <w:t>後則不給付temsirolimus及其他酪胺酸激酶阻斷劑（tyrosinekinaseinhibitor,TKI）。</w:t>
            </w:r>
          </w:p>
          <w:p w14:paraId="6FA116AD" w14:textId="77777777" w:rsidR="00BD776B" w:rsidRDefault="00DF0C24">
            <w:pPr>
              <w:snapToGrid w:val="0"/>
              <w:spacing w:line="180" w:lineRule="exact"/>
              <w:ind w:hanging="310"/>
              <w:jc w:val="both"/>
            </w:pPr>
            <w:r>
              <w:rPr>
                <w:rFonts w:ascii="標楷體" w:eastAsia="標楷體" w:hAnsi="標楷體"/>
                <w:color w:val="000000"/>
                <w:sz w:val="20"/>
                <w:szCs w:val="20"/>
              </w:rPr>
              <w:t>(3)需經事前審查</w:t>
            </w:r>
            <w:r>
              <w:rPr>
                <w:rFonts w:ascii="標楷體" w:eastAsia="標楷體" w:hAnsi="標楷體"/>
                <w:kern w:val="0"/>
                <w:sz w:val="20"/>
                <w:szCs w:val="20"/>
              </w:rPr>
              <w:t>核准</w:t>
            </w:r>
            <w:r>
              <w:rPr>
                <w:rFonts w:ascii="標楷體" w:eastAsia="標楷體" w:hAnsi="標楷體"/>
                <w:color w:val="000000"/>
                <w:sz w:val="20"/>
                <w:szCs w:val="20"/>
              </w:rPr>
              <w:t>後使用，每次申請之療程以3個月為限，送審時需檢送影像資料，每3個月評估一次。</w:t>
            </w:r>
          </w:p>
          <w:p w14:paraId="11EFDADE" w14:textId="77777777" w:rsidR="00BD776B" w:rsidRDefault="00DF0C24">
            <w:pPr>
              <w:snapToGrid w:val="0"/>
              <w:spacing w:line="180" w:lineRule="exact"/>
              <w:ind w:hanging="236"/>
              <w:jc w:val="both"/>
              <w:rPr>
                <w:rFonts w:ascii="標楷體" w:eastAsia="標楷體" w:hAnsi="標楷體"/>
                <w:color w:val="000000"/>
                <w:sz w:val="20"/>
                <w:szCs w:val="20"/>
              </w:rPr>
            </w:pPr>
            <w:r>
              <w:rPr>
                <w:rFonts w:ascii="標楷體" w:eastAsia="標楷體" w:hAnsi="標楷體"/>
                <w:color w:val="000000"/>
                <w:sz w:val="20"/>
                <w:szCs w:val="20"/>
              </w:rPr>
              <w:t>2.晚期肝細胞癌部分：</w:t>
            </w:r>
          </w:p>
          <w:p w14:paraId="39AC3F68" w14:textId="77777777" w:rsidR="00BD776B" w:rsidRDefault="00DF0C24">
            <w:pPr>
              <w:snapToGrid w:val="0"/>
              <w:spacing w:line="180" w:lineRule="exact"/>
              <w:ind w:hanging="306"/>
              <w:jc w:val="both"/>
              <w:rPr>
                <w:rFonts w:ascii="標楷體" w:eastAsia="標楷體" w:hAnsi="標楷體"/>
                <w:color w:val="000000"/>
                <w:sz w:val="20"/>
                <w:szCs w:val="20"/>
              </w:rPr>
            </w:pPr>
            <w:r>
              <w:rPr>
                <w:rFonts w:ascii="標楷體" w:eastAsia="標楷體" w:hAnsi="標楷體"/>
                <w:color w:val="000000"/>
                <w:sz w:val="20"/>
                <w:szCs w:val="20"/>
              </w:rPr>
              <w:t>(1)轉移性或無法手術切除且不適合局部治療或局部治療失敗之晚期肝細胞癌，並符合下列條件之一：</w:t>
            </w:r>
          </w:p>
          <w:p w14:paraId="20093A92" w14:textId="77777777" w:rsidR="00BD776B" w:rsidRDefault="00DF0C24">
            <w:pPr>
              <w:snapToGrid w:val="0"/>
              <w:spacing w:line="180" w:lineRule="exact"/>
              <w:ind w:hanging="306"/>
              <w:jc w:val="both"/>
            </w:pPr>
            <w:r>
              <w:rPr>
                <w:rFonts w:ascii="標楷體" w:eastAsia="標楷體" w:hAnsi="標楷體" w:cs="新細明體"/>
                <w:color w:val="000000"/>
                <w:sz w:val="20"/>
                <w:szCs w:val="28"/>
              </w:rPr>
              <w:t>Ⅰ</w:t>
            </w:r>
            <w:r>
              <w:rPr>
                <w:rFonts w:ascii="標楷體" w:eastAsia="標楷體" w:hAnsi="標楷體"/>
                <w:color w:val="000000"/>
                <w:sz w:val="20"/>
                <w:szCs w:val="20"/>
              </w:rPr>
              <w:t>.肝外轉移（遠端轉移或肝外淋巴結侵犯）的Child-PughAclass患者。</w:t>
            </w:r>
          </w:p>
          <w:p w14:paraId="1D18B8F3" w14:textId="77777777" w:rsidR="00BD776B" w:rsidRDefault="00DF0C24">
            <w:pPr>
              <w:snapToGrid w:val="0"/>
              <w:spacing w:line="180" w:lineRule="exact"/>
              <w:ind w:hanging="304"/>
              <w:jc w:val="both"/>
            </w:pPr>
            <w:r>
              <w:rPr>
                <w:rFonts w:ascii="標楷體" w:eastAsia="標楷體" w:hAnsi="標楷體" w:cs="新細明體"/>
                <w:color w:val="000000"/>
                <w:sz w:val="20"/>
              </w:rPr>
              <w:t>Ⅱ</w:t>
            </w:r>
            <w:r>
              <w:rPr>
                <w:rFonts w:ascii="標楷體" w:eastAsia="標楷體" w:hAnsi="標楷體"/>
                <w:color w:val="000000"/>
                <w:sz w:val="20"/>
                <w:szCs w:val="20"/>
              </w:rPr>
              <w:t>.大血管侵犯（腫瘤侵犯主門靜脈或侵犯左/右靜脈第一分支）的Child-PughAclass患者。</w:t>
            </w:r>
          </w:p>
          <w:p w14:paraId="587C07CF" w14:textId="77777777" w:rsidR="00BD776B" w:rsidRDefault="00DF0C24">
            <w:pPr>
              <w:snapToGrid w:val="0"/>
              <w:spacing w:line="180" w:lineRule="exact"/>
              <w:ind w:hanging="306"/>
              <w:jc w:val="both"/>
            </w:pPr>
            <w:r>
              <w:rPr>
                <w:rFonts w:ascii="標楷體" w:eastAsia="標楷體" w:hAnsi="標楷體"/>
                <w:color w:val="000000"/>
                <w:sz w:val="20"/>
                <w:szCs w:val="20"/>
              </w:rPr>
              <w:t>(2)需經事前審查核准後使用，每次申請之療程以2個月為限，送審時需檢送影像資料，每2個月評估一次。</w:t>
            </w:r>
          </w:p>
        </w:tc>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47F9F" w14:textId="77777777" w:rsidR="00BD776B" w:rsidRDefault="00BD776B">
            <w:pPr>
              <w:snapToGrid w:val="0"/>
              <w:spacing w:line="200" w:lineRule="exact"/>
              <w:rPr>
                <w:rFonts w:ascii="標楷體" w:eastAsia="標楷體" w:hAnsi="標楷體"/>
                <w:color w:val="000000"/>
                <w:sz w:val="20"/>
                <w:szCs w:val="20"/>
              </w:rPr>
            </w:pPr>
          </w:p>
        </w:tc>
        <w:tc>
          <w:tcPr>
            <w:tcW w:w="7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0AE0F" w14:textId="77777777" w:rsidR="00BD776B" w:rsidRDefault="00BD776B">
            <w:pPr>
              <w:snapToGrid w:val="0"/>
              <w:rPr>
                <w:rFonts w:ascii="標楷體" w:eastAsia="標楷體" w:hAnsi="標楷體"/>
                <w:color w:val="000000"/>
                <w:sz w:val="20"/>
                <w:szCs w:val="20"/>
              </w:rPr>
            </w:pPr>
          </w:p>
        </w:tc>
        <w:tc>
          <w:tcPr>
            <w:tcW w:w="4440" w:type="dxa"/>
            <w:gridSpan w:val="1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D82513D" w14:textId="77777777" w:rsidR="00BD776B" w:rsidRDefault="00DF0C24" w:rsidP="008A7063">
            <w:pPr>
              <w:numPr>
                <w:ilvl w:val="0"/>
                <w:numId w:val="68"/>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2B735832"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030B3123" w14:textId="77777777" w:rsidR="00BD776B" w:rsidRDefault="00DF0C24">
            <w:pPr>
              <w:snapToGrid w:val="0"/>
              <w:spacing w:line="240" w:lineRule="exact"/>
            </w:pPr>
            <w:r>
              <w:rPr>
                <w:rFonts w:ascii="標楷體" w:eastAsia="標楷體" w:hAnsi="標楷體" w:cs="標楷體"/>
                <w:color w:val="000000"/>
                <w:sz w:val="20"/>
                <w:szCs w:val="20"/>
              </w:rPr>
              <w:t>□不同意</w:t>
            </w:r>
          </w:p>
          <w:p w14:paraId="5F68BD51"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5033AFB5"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不符合不得併用二種此類藥物之適應症</w:t>
            </w:r>
          </w:p>
          <w:p w14:paraId="69E89715"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w:t>
            </w:r>
            <w:r>
              <w:rPr>
                <w:rFonts w:ascii="標楷體" w:eastAsia="標楷體" w:hAnsi="標楷體"/>
                <w:color w:val="000000"/>
                <w:sz w:val="20"/>
                <w:szCs w:val="20"/>
              </w:rPr>
              <w:t>耐受性不良或無效的證明。</w:t>
            </w:r>
          </w:p>
          <w:p w14:paraId="1AF8E2CA"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592110E9" w14:textId="77777777" w:rsidR="00BD776B" w:rsidRDefault="00DF0C24" w:rsidP="008A7063">
            <w:pPr>
              <w:numPr>
                <w:ilvl w:val="0"/>
                <w:numId w:val="68"/>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649296F4" w14:textId="77777777" w:rsidR="00BD776B" w:rsidRDefault="00DF0C24" w:rsidP="008A7063">
            <w:pPr>
              <w:numPr>
                <w:ilvl w:val="0"/>
                <w:numId w:val="68"/>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相關檢驗、檢查報告不全(如影像診斷報告或腫瘤標誌、病理切片、細胞學檢查報告)</w:t>
            </w:r>
          </w:p>
          <w:p w14:paraId="66B60673"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7022549F" w14:textId="77777777" w:rsidR="00BD776B" w:rsidRDefault="00DF0C24" w:rsidP="008A7063">
            <w:pPr>
              <w:numPr>
                <w:ilvl w:val="0"/>
                <w:numId w:val="68"/>
              </w:numPr>
              <w:tabs>
                <w:tab w:val="left" w:pos="240"/>
              </w:tabs>
              <w:snapToGrid w:val="0"/>
              <w:spacing w:line="240" w:lineRule="exact"/>
              <w:ind w:left="478" w:hanging="238"/>
            </w:pPr>
            <w:r>
              <w:rPr>
                <w:rFonts w:ascii="標楷體" w:eastAsia="標楷體" w:hAnsi="標楷體" w:cs="標楷體"/>
                <w:color w:val="000000"/>
                <w:sz w:val="20"/>
                <w:szCs w:val="20"/>
              </w:rPr>
              <w:t>其他：</w:t>
            </w:r>
          </w:p>
        </w:tc>
      </w:tr>
      <w:tr w:rsidR="00BD776B" w14:paraId="72D5AD7A" w14:textId="77777777">
        <w:trPr>
          <w:cantSplit/>
          <w:trHeight w:val="564"/>
        </w:trPr>
        <w:tc>
          <w:tcPr>
            <w:tcW w:w="3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92F2E" w14:textId="77777777" w:rsidR="00BD776B" w:rsidRDefault="00DF0C24">
            <w:pPr>
              <w:snapToGrid w:val="0"/>
              <w:ind w:left="113" w:right="113"/>
            </w:pPr>
            <w:r>
              <w:rPr>
                <w:rFonts w:ascii="標楷體" w:eastAsia="標楷體" w:hAnsi="標楷體" w:cs="標楷體"/>
                <w:color w:val="000000"/>
              </w:rPr>
              <w:t>注意事項</w:t>
            </w:r>
          </w:p>
        </w:tc>
        <w:tc>
          <w:tcPr>
            <w:tcW w:w="9736" w:type="dxa"/>
            <w:gridSpan w:val="2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FBA9"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本申請書限一人一案，由本保險特約醫事服務機構填報，不必備文，請逕向保險人各分區業務組申請審核。</w:t>
            </w:r>
          </w:p>
          <w:p w14:paraId="572A574A"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「原受理編號」申復時填寫，初次送核不需填寫。</w:t>
            </w:r>
          </w:p>
          <w:p w14:paraId="0E638402"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應事前審查之項目未依規定事前申請核准者，不予給付費用；事前申請核准之個案，日後如經審定保險對象或醫事服務機構有不符全民健康保險給付規定者，亦不予給付費用。</w:t>
            </w:r>
          </w:p>
          <w:p w14:paraId="1ACBF734"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對核定結果如有異議，得於收到核定通知之日起六十日內，重行填寫乙份申請書(應勾註申復，並填明原受理編號)向原核定單位申請複核。</w:t>
            </w:r>
          </w:p>
          <w:p w14:paraId="1DD73B64"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對複核結果如有異議，得於收到複核通知之日起六十日內向全民健康保險爭議審議會申請審議。</w:t>
            </w:r>
          </w:p>
          <w:p w14:paraId="650E3954"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對核定結果有異議者，應循上述申複及爭議審議途徑申請複核或審議，不得以新個案重新申請送核，否則不予受理。</w:t>
            </w:r>
          </w:p>
          <w:p w14:paraId="6DBA28B9" w14:textId="77777777" w:rsidR="00BD776B" w:rsidRDefault="00DF0C24" w:rsidP="008A7063">
            <w:pPr>
              <w:numPr>
                <w:ilvl w:val="0"/>
                <w:numId w:val="69"/>
              </w:numPr>
              <w:snapToGrid w:val="0"/>
              <w:spacing w:line="180" w:lineRule="exact"/>
            </w:pPr>
            <w:r>
              <w:rPr>
                <w:rFonts w:ascii="標楷體" w:eastAsia="標楷體" w:hAnsi="標楷體"/>
                <w:color w:val="000000"/>
                <w:kern w:val="0"/>
                <w:sz w:val="20"/>
                <w:szCs w:val="20"/>
              </w:rPr>
              <w:t>保險醫事服務機構如因事出緊急，得以書面說明電傳保險人報備後，先行處理治療，並立即備齊應附文件備查。</w:t>
            </w:r>
          </w:p>
        </w:tc>
        <w:tc>
          <w:tcPr>
            <w:tcW w:w="4440" w:type="dxa"/>
            <w:gridSpan w:val="12"/>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9B93FEA" w14:textId="77777777" w:rsidR="00BD776B" w:rsidRDefault="00BD776B">
            <w:pPr>
              <w:snapToGrid w:val="0"/>
              <w:rPr>
                <w:rFonts w:ascii="標楷體" w:eastAsia="標楷體" w:hAnsi="標楷體"/>
                <w:color w:val="000000"/>
                <w:sz w:val="20"/>
                <w:szCs w:val="20"/>
              </w:rPr>
            </w:pPr>
          </w:p>
        </w:tc>
      </w:tr>
      <w:tr w:rsidR="00BD776B" w14:paraId="5205FC1A" w14:textId="77777777">
        <w:trPr>
          <w:cantSplit/>
          <w:trHeight w:val="757"/>
        </w:trPr>
        <w:tc>
          <w:tcPr>
            <w:tcW w:w="3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D0760" w14:textId="77777777" w:rsidR="00BD776B" w:rsidRDefault="00BD776B">
            <w:pPr>
              <w:snapToGrid w:val="0"/>
              <w:ind w:left="211" w:hanging="211"/>
              <w:rPr>
                <w:rFonts w:ascii="標楷體" w:eastAsia="標楷體" w:hAnsi="標楷體"/>
                <w:color w:val="000000"/>
              </w:rPr>
            </w:pPr>
          </w:p>
        </w:tc>
        <w:tc>
          <w:tcPr>
            <w:tcW w:w="9736" w:type="dxa"/>
            <w:gridSpan w:val="2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B0A4" w14:textId="77777777" w:rsidR="00BD776B" w:rsidRDefault="00BD776B">
            <w:pPr>
              <w:snapToGrid w:val="0"/>
              <w:ind w:left="211" w:hanging="211"/>
              <w:rPr>
                <w:rFonts w:ascii="標楷體" w:eastAsia="標楷體" w:hAnsi="標楷體"/>
                <w:color w:val="000000"/>
              </w:rPr>
            </w:pPr>
          </w:p>
        </w:tc>
        <w:tc>
          <w:tcPr>
            <w:tcW w:w="3115" w:type="dxa"/>
            <w:gridSpan w:val="10"/>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530FC" w14:textId="77777777" w:rsidR="00BD776B" w:rsidRDefault="00BD776B">
            <w:pPr>
              <w:snapToGrid w:val="0"/>
              <w:spacing w:line="280" w:lineRule="exact"/>
              <w:jc w:val="both"/>
              <w:rPr>
                <w:rFonts w:ascii="標楷體" w:eastAsia="標楷體" w:hAnsi="標楷體"/>
                <w:color w:val="000000"/>
              </w:rPr>
            </w:pPr>
          </w:p>
          <w:p w14:paraId="1375103C" w14:textId="77777777" w:rsidR="00BD776B" w:rsidRDefault="00BD776B">
            <w:pPr>
              <w:snapToGrid w:val="0"/>
              <w:spacing w:line="280" w:lineRule="exact"/>
              <w:jc w:val="both"/>
              <w:rPr>
                <w:rFonts w:ascii="標楷體" w:eastAsia="標楷體" w:hAnsi="標楷體"/>
                <w:color w:val="000000"/>
              </w:rPr>
            </w:pPr>
          </w:p>
          <w:p w14:paraId="0CFC9BBA" w14:textId="77777777" w:rsidR="00BD776B" w:rsidRDefault="00DF0C24">
            <w:pPr>
              <w:snapToGrid w:val="0"/>
              <w:spacing w:line="280" w:lineRule="exact"/>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51EEDE73" w14:textId="77777777" w:rsidR="00BD776B" w:rsidRDefault="00BD776B">
            <w:pPr>
              <w:snapToGrid w:val="0"/>
              <w:spacing w:line="280" w:lineRule="exact"/>
              <w:jc w:val="both"/>
              <w:rPr>
                <w:rFonts w:ascii="標楷體" w:eastAsia="標楷體" w:hAnsi="標楷體"/>
                <w:color w:val="000000"/>
                <w:sz w:val="20"/>
                <w:szCs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D8BE3D" w14:textId="77777777" w:rsidR="00BD776B" w:rsidRDefault="00DF0C24">
            <w:pPr>
              <w:snapToGrid w:val="0"/>
              <w:spacing w:line="280" w:lineRule="exact"/>
            </w:pPr>
            <w:r>
              <w:rPr>
                <w:rFonts w:ascii="標楷體" w:eastAsia="標楷體" w:hAnsi="標楷體" w:cs="標楷體"/>
                <w:color w:val="000000"/>
              </w:rPr>
              <w:t>審查醫師</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7098B" w14:textId="77777777" w:rsidR="00BD776B" w:rsidRDefault="00BD776B">
            <w:pPr>
              <w:snapToGrid w:val="0"/>
              <w:spacing w:line="280" w:lineRule="exact"/>
              <w:rPr>
                <w:rFonts w:ascii="標楷體" w:eastAsia="標楷體" w:hAnsi="標楷體"/>
                <w:color w:val="000000"/>
              </w:rPr>
            </w:pPr>
          </w:p>
        </w:tc>
      </w:tr>
      <w:tr w:rsidR="00BD776B" w14:paraId="38477DB7" w14:textId="77777777">
        <w:trPr>
          <w:cantSplit/>
          <w:trHeight w:val="1066"/>
        </w:trPr>
        <w:tc>
          <w:tcPr>
            <w:tcW w:w="3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54CC8" w14:textId="77777777" w:rsidR="00BD776B" w:rsidRDefault="00BD776B">
            <w:pPr>
              <w:snapToGrid w:val="0"/>
              <w:ind w:left="211" w:hanging="211"/>
              <w:rPr>
                <w:rFonts w:ascii="標楷體" w:eastAsia="標楷體" w:hAnsi="標楷體"/>
                <w:color w:val="000000"/>
              </w:rPr>
            </w:pPr>
          </w:p>
        </w:tc>
        <w:tc>
          <w:tcPr>
            <w:tcW w:w="9736" w:type="dxa"/>
            <w:gridSpan w:val="2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7E9B" w14:textId="77777777" w:rsidR="00BD776B" w:rsidRDefault="00BD776B">
            <w:pPr>
              <w:snapToGrid w:val="0"/>
              <w:ind w:left="211" w:hanging="211"/>
              <w:rPr>
                <w:rFonts w:ascii="標楷體" w:eastAsia="標楷體" w:hAnsi="標楷體"/>
                <w:color w:val="000000"/>
              </w:rPr>
            </w:pPr>
          </w:p>
        </w:tc>
        <w:tc>
          <w:tcPr>
            <w:tcW w:w="3115" w:type="dxa"/>
            <w:gridSpan w:val="10"/>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8D401" w14:textId="77777777" w:rsidR="00BD776B" w:rsidRDefault="00BD776B">
            <w:pPr>
              <w:snapToGrid w:val="0"/>
              <w:jc w:val="both"/>
              <w:rPr>
                <w:rFonts w:ascii="標楷體" w:eastAsia="標楷體" w:hAnsi="標楷體"/>
                <w:color w:val="000000"/>
              </w:rPr>
            </w:pPr>
          </w:p>
        </w:tc>
        <w:tc>
          <w:tcPr>
            <w:tcW w:w="3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A0015" w14:textId="77777777" w:rsidR="00BD776B" w:rsidRDefault="00BD776B">
            <w:pPr>
              <w:snapToGrid w:val="0"/>
              <w:rPr>
                <w:rFonts w:ascii="標楷體" w:eastAsia="標楷體" w:hAnsi="標楷體" w:cs="標楷體"/>
                <w:color w:val="000000"/>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1F7AC" w14:textId="77777777" w:rsidR="00BD776B" w:rsidRDefault="00BD776B">
            <w:pPr>
              <w:snapToGrid w:val="0"/>
              <w:rPr>
                <w:rFonts w:ascii="標楷體" w:eastAsia="標楷體" w:hAnsi="標楷體"/>
                <w:color w:val="000000"/>
              </w:rPr>
            </w:pPr>
          </w:p>
        </w:tc>
      </w:tr>
      <w:tr w:rsidR="00BD776B" w14:paraId="1F164787" w14:textId="77777777">
        <w:trPr>
          <w:cantSplit/>
          <w:trHeight w:val="639"/>
        </w:trPr>
        <w:tc>
          <w:tcPr>
            <w:tcW w:w="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EB59D" w14:textId="77777777" w:rsidR="00BD776B" w:rsidRDefault="00DF0C24">
            <w:pPr>
              <w:snapToGrid w:val="0"/>
              <w:spacing w:line="200" w:lineRule="exact"/>
            </w:pPr>
            <w:r>
              <w:rPr>
                <w:rFonts w:ascii="標楷體" w:eastAsia="標楷體" w:hAnsi="標楷體" w:cs="標楷體"/>
                <w:color w:val="000000"/>
                <w:sz w:val="20"/>
                <w:szCs w:val="20"/>
              </w:rPr>
              <w:t>醫事服務機構</w:t>
            </w:r>
          </w:p>
        </w:tc>
        <w:tc>
          <w:tcPr>
            <w:tcW w:w="8750"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A2399" w14:textId="77777777" w:rsidR="00BD776B" w:rsidRDefault="00DF0C24">
            <w:pPr>
              <w:snapToGrid w:val="0"/>
              <w:spacing w:line="200" w:lineRule="exact"/>
            </w:pPr>
            <w:r>
              <w:rPr>
                <w:rFonts w:ascii="標楷體" w:eastAsia="標楷體" w:hAnsi="標楷體" w:cs="標楷體"/>
                <w:color w:val="000000"/>
                <w:sz w:val="20"/>
                <w:szCs w:val="20"/>
              </w:rPr>
              <w:t>醫院申請日期：  年  月  日</w:t>
            </w:r>
          </w:p>
          <w:p w14:paraId="1EB47D13" w14:textId="77777777" w:rsidR="00BD776B" w:rsidRDefault="00BD776B">
            <w:pPr>
              <w:snapToGrid w:val="0"/>
              <w:spacing w:line="200" w:lineRule="exact"/>
              <w:rPr>
                <w:rFonts w:ascii="標楷體" w:eastAsia="標楷體" w:hAnsi="標楷體"/>
                <w:color w:val="000000"/>
                <w:sz w:val="20"/>
                <w:szCs w:val="20"/>
              </w:rPr>
            </w:pPr>
          </w:p>
          <w:p w14:paraId="0D2F093D" w14:textId="77777777" w:rsidR="00BD776B" w:rsidRDefault="00DF0C24">
            <w:pPr>
              <w:snapToGrid w:val="0"/>
              <w:spacing w:line="200" w:lineRule="exact"/>
            </w:pPr>
            <w:r>
              <w:rPr>
                <w:rFonts w:ascii="標楷體" w:eastAsia="標楷體" w:hAnsi="標楷體" w:cs="標楷體"/>
                <w:color w:val="000000"/>
                <w:sz w:val="20"/>
                <w:szCs w:val="20"/>
              </w:rPr>
              <w:t>印信</w:t>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s="標楷體"/>
                <w:color w:val="000000"/>
                <w:sz w:val="20"/>
                <w:szCs w:val="20"/>
              </w:rPr>
              <w:t>文號：</w:t>
            </w:r>
          </w:p>
        </w:tc>
        <w:tc>
          <w:tcPr>
            <w:tcW w:w="36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19A3"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843"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E700E" w14:textId="77777777" w:rsidR="00BD776B" w:rsidRDefault="00BD776B">
            <w:pPr>
              <w:widowControl/>
              <w:snapToGrid w:val="0"/>
              <w:spacing w:line="200" w:lineRule="exact"/>
              <w:rPr>
                <w:rFonts w:ascii="標楷體" w:eastAsia="標楷體" w:hAnsi="標楷體"/>
                <w:color w:val="000000"/>
                <w:sz w:val="20"/>
                <w:szCs w:val="20"/>
              </w:rPr>
            </w:pPr>
          </w:p>
          <w:p w14:paraId="7CBDD439" w14:textId="77777777" w:rsidR="00BD776B" w:rsidRDefault="00BD776B">
            <w:pPr>
              <w:snapToGrid w:val="0"/>
              <w:spacing w:line="200" w:lineRule="exact"/>
              <w:rPr>
                <w:rFonts w:ascii="標楷體" w:eastAsia="標楷體" w:hAnsi="標楷體"/>
                <w:color w:val="000000"/>
                <w:sz w:val="20"/>
                <w:szCs w:val="20"/>
              </w:rPr>
            </w:pPr>
          </w:p>
        </w:tc>
        <w:tc>
          <w:tcPr>
            <w:tcW w:w="36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39AC0" w14:textId="77777777" w:rsidR="00BD776B" w:rsidRDefault="00DF0C24">
            <w:pPr>
              <w:widowControl/>
              <w:snapToGrid w:val="0"/>
              <w:spacing w:line="200" w:lineRule="exact"/>
            </w:pPr>
            <w:r>
              <w:rPr>
                <w:rFonts w:ascii="標楷體" w:eastAsia="標楷體" w:hAnsi="標楷體" w:cs="標楷體"/>
                <w:color w:val="000000"/>
                <w:sz w:val="20"/>
                <w:szCs w:val="20"/>
              </w:rPr>
              <w:t>複核</w:t>
            </w:r>
          </w:p>
        </w:tc>
        <w:tc>
          <w:tcPr>
            <w:tcW w:w="846"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47DF5" w14:textId="77777777" w:rsidR="00BD776B" w:rsidRDefault="00BD776B">
            <w:pPr>
              <w:widowControl/>
              <w:snapToGrid w:val="0"/>
              <w:spacing w:line="200" w:lineRule="exact"/>
              <w:rPr>
                <w:rFonts w:ascii="標楷體" w:eastAsia="標楷體" w:hAnsi="標楷體"/>
                <w:color w:val="000000"/>
                <w:sz w:val="20"/>
                <w:szCs w:val="20"/>
              </w:rPr>
            </w:pPr>
          </w:p>
          <w:p w14:paraId="3AF10169" w14:textId="77777777" w:rsidR="00BD776B" w:rsidRDefault="00BD776B">
            <w:pPr>
              <w:snapToGrid w:val="0"/>
              <w:spacing w:line="200" w:lineRule="exact"/>
              <w:rPr>
                <w:rFonts w:ascii="標楷體" w:eastAsia="標楷體" w:hAnsi="標楷體"/>
                <w:color w:val="000000"/>
                <w:sz w:val="20"/>
                <w:szCs w:val="20"/>
              </w:rPr>
            </w:pPr>
          </w:p>
        </w:tc>
        <w:tc>
          <w:tcPr>
            <w:tcW w:w="3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FF814" w14:textId="77777777" w:rsidR="00BD776B" w:rsidRDefault="00DF0C24">
            <w:pPr>
              <w:snapToGrid w:val="0"/>
              <w:spacing w:line="200" w:lineRule="exact"/>
            </w:pPr>
            <w:r>
              <w:rPr>
                <w:rFonts w:ascii="標楷體" w:eastAsia="標楷體" w:hAnsi="標楷體" w:cs="標楷體"/>
                <w:color w:val="000000"/>
                <w:sz w:val="20"/>
                <w:szCs w:val="20"/>
              </w:rPr>
              <w:t>科長</w:t>
            </w:r>
          </w:p>
        </w:tc>
        <w:tc>
          <w:tcPr>
            <w:tcW w:w="847"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F66D" w14:textId="77777777" w:rsidR="00BD776B" w:rsidRDefault="00BD776B">
            <w:pPr>
              <w:snapToGrid w:val="0"/>
              <w:spacing w:line="200" w:lineRule="exact"/>
              <w:rPr>
                <w:rFonts w:ascii="標楷體" w:eastAsia="標楷體" w:hAnsi="標楷體"/>
                <w:color w:val="000000"/>
                <w:sz w:val="20"/>
                <w:szCs w:val="20"/>
              </w:rPr>
            </w:pPr>
          </w:p>
        </w:tc>
        <w:tc>
          <w:tcPr>
            <w:tcW w:w="3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6814D" w14:textId="77777777" w:rsidR="00BD776B" w:rsidRDefault="00DF0C24">
            <w:pPr>
              <w:widowControl/>
              <w:snapToGrid w:val="0"/>
              <w:spacing w:line="200" w:lineRule="exact"/>
            </w:pPr>
            <w:r>
              <w:rPr>
                <w:rFonts w:ascii="標楷體" w:eastAsia="標楷體" w:hAnsi="標楷體" w:cs="標楷體"/>
                <w:color w:val="000000"/>
                <w:sz w:val="20"/>
                <w:szCs w:val="20"/>
              </w:rPr>
              <w:t>決行</w:t>
            </w:r>
          </w:p>
        </w:tc>
        <w:tc>
          <w:tcPr>
            <w:tcW w:w="94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2850" w14:textId="77777777" w:rsidR="00BD776B" w:rsidRDefault="00BD776B">
            <w:pPr>
              <w:snapToGrid w:val="0"/>
              <w:spacing w:line="200" w:lineRule="exact"/>
              <w:rPr>
                <w:rFonts w:ascii="標楷體" w:eastAsia="標楷體" w:hAnsi="標楷體"/>
                <w:color w:val="000000"/>
                <w:sz w:val="20"/>
                <w:szCs w:val="20"/>
              </w:rPr>
            </w:pPr>
          </w:p>
        </w:tc>
      </w:tr>
    </w:tbl>
    <w:p w14:paraId="34C2BDF1" w14:textId="77777777" w:rsidR="00BD776B" w:rsidRDefault="00DF0C24">
      <w:pPr>
        <w:pStyle w:val="Web"/>
        <w:pageBreakBefore/>
        <w:widowControl w:val="0"/>
        <w:snapToGrid w:val="0"/>
        <w:spacing w:before="0" w:after="0" w:line="380" w:lineRule="exact"/>
        <w:ind w:firstLine="240"/>
        <w:jc w:val="both"/>
      </w:pPr>
      <w:r>
        <w:rPr>
          <w:rFonts w:ascii="標楷體" w:eastAsia="標楷體" w:hAnsi="標楷體" w:cs="標楷體"/>
          <w:color w:val="000000"/>
        </w:rPr>
        <w:lastRenderedPageBreak/>
        <w:t>附表九之八全民健康保險使用抗癌藥</w:t>
      </w:r>
      <w:r>
        <w:rPr>
          <w:rFonts w:ascii="標楷體" w:eastAsia="標楷體" w:hAnsi="標楷體" w:cs="Times New Roman"/>
          <w:color w:val="000000"/>
        </w:rPr>
        <w:t>品Imatinib</w:t>
      </w:r>
      <w:r>
        <w:rPr>
          <w:rFonts w:ascii="標楷體" w:eastAsia="標楷體" w:hAnsi="標楷體" w:cs="標楷體"/>
          <w:color w:val="000000"/>
        </w:rPr>
        <w:t>申請表</w:t>
      </w:r>
    </w:p>
    <w:tbl>
      <w:tblPr>
        <w:tblW w:w="14436" w:type="dxa"/>
        <w:tblInd w:w="227" w:type="dxa"/>
        <w:tblLayout w:type="fixed"/>
        <w:tblCellMar>
          <w:left w:w="10" w:type="dxa"/>
          <w:right w:w="10" w:type="dxa"/>
        </w:tblCellMar>
        <w:tblLook w:val="0000" w:firstRow="0" w:lastRow="0" w:firstColumn="0" w:lastColumn="0" w:noHBand="0" w:noVBand="0"/>
      </w:tblPr>
      <w:tblGrid>
        <w:gridCol w:w="387"/>
        <w:gridCol w:w="401"/>
        <w:gridCol w:w="428"/>
        <w:gridCol w:w="1206"/>
        <w:gridCol w:w="239"/>
        <w:gridCol w:w="120"/>
        <w:gridCol w:w="359"/>
        <w:gridCol w:w="602"/>
        <w:gridCol w:w="564"/>
        <w:gridCol w:w="388"/>
        <w:gridCol w:w="1200"/>
        <w:gridCol w:w="599"/>
        <w:gridCol w:w="359"/>
        <w:gridCol w:w="958"/>
        <w:gridCol w:w="838"/>
        <w:gridCol w:w="374"/>
        <w:gridCol w:w="468"/>
        <w:gridCol w:w="359"/>
        <w:gridCol w:w="239"/>
        <w:gridCol w:w="599"/>
        <w:gridCol w:w="359"/>
        <w:gridCol w:w="7"/>
        <w:gridCol w:w="472"/>
        <w:gridCol w:w="361"/>
        <w:gridCol w:w="213"/>
        <w:gridCol w:w="149"/>
        <w:gridCol w:w="236"/>
        <w:gridCol w:w="604"/>
        <w:gridCol w:w="13"/>
        <w:gridCol w:w="337"/>
        <w:gridCol w:w="7"/>
        <w:gridCol w:w="951"/>
        <w:gridCol w:w="40"/>
      </w:tblGrid>
      <w:tr w:rsidR="00BD776B" w14:paraId="24985ABA" w14:textId="77777777">
        <w:trPr>
          <w:cantSplit/>
          <w:trHeight w:val="328"/>
        </w:trPr>
        <w:tc>
          <w:tcPr>
            <w:tcW w:w="2422"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DFD8D5C"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0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24CED9"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203F29" w14:textId="77777777" w:rsidR="00BD776B" w:rsidRDefault="00DF0C24">
            <w:pPr>
              <w:snapToGrid w:val="0"/>
            </w:pPr>
            <w:r>
              <w:rPr>
                <w:rFonts w:ascii="標楷體" w:eastAsia="標楷體" w:hAnsi="標楷體" w:cs="標楷體"/>
                <w:color w:val="000000"/>
                <w:sz w:val="20"/>
                <w:szCs w:val="20"/>
              </w:rPr>
              <w:t>受理日期：</w:t>
            </w:r>
          </w:p>
        </w:tc>
        <w:tc>
          <w:tcPr>
            <w:tcW w:w="25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23EA1F" w14:textId="77777777" w:rsidR="00BD776B" w:rsidRDefault="00DF0C24">
            <w:pPr>
              <w:snapToGrid w:val="0"/>
            </w:pPr>
            <w:r>
              <w:rPr>
                <w:rFonts w:ascii="標楷體" w:eastAsia="標楷體" w:hAnsi="標楷體" w:cs="標楷體"/>
                <w:color w:val="000000"/>
                <w:sz w:val="20"/>
                <w:szCs w:val="20"/>
              </w:rPr>
              <w:t>受理編號：</w:t>
            </w:r>
          </w:p>
        </w:tc>
        <w:tc>
          <w:tcPr>
            <w:tcW w:w="287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9AC7C" w14:textId="77777777" w:rsidR="00BD776B" w:rsidRDefault="00DF0C24">
            <w:pPr>
              <w:snapToGrid w:val="0"/>
            </w:pPr>
            <w:r>
              <w:rPr>
                <w:rFonts w:ascii="標楷體" w:eastAsia="標楷體" w:hAnsi="標楷體" w:cs="標楷體"/>
                <w:color w:val="000000"/>
                <w:sz w:val="20"/>
                <w:szCs w:val="20"/>
              </w:rPr>
              <w:t>緊急傳真日期：</w:t>
            </w:r>
          </w:p>
        </w:tc>
        <w:tc>
          <w:tcPr>
            <w:tcW w:w="40" w:type="dxa"/>
            <w:shd w:val="clear" w:color="auto" w:fill="auto"/>
            <w:tcMar>
              <w:top w:w="0" w:type="dxa"/>
              <w:left w:w="10" w:type="dxa"/>
              <w:bottom w:w="0" w:type="dxa"/>
              <w:right w:w="10" w:type="dxa"/>
            </w:tcMar>
          </w:tcPr>
          <w:p w14:paraId="33BAE963" w14:textId="77777777" w:rsidR="00BD776B" w:rsidRDefault="00BD776B">
            <w:pPr>
              <w:snapToGrid w:val="0"/>
              <w:rPr>
                <w:rFonts w:ascii="標楷體" w:eastAsia="標楷體" w:hAnsi="標楷體"/>
              </w:rPr>
            </w:pPr>
          </w:p>
        </w:tc>
      </w:tr>
      <w:tr w:rsidR="00BD776B" w14:paraId="6D82C474" w14:textId="77777777">
        <w:trPr>
          <w:cantSplit/>
          <w:trHeight w:val="517"/>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DD4A4C"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77E5FA"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E93A5" w14:textId="77777777" w:rsidR="00BD776B" w:rsidRDefault="00BD776B">
            <w:pPr>
              <w:snapToGrid w:val="0"/>
              <w:spacing w:line="200" w:lineRule="exact"/>
              <w:rPr>
                <w:rFonts w:ascii="標楷體" w:eastAsia="標楷體" w:hAnsi="標楷體"/>
                <w:color w:val="000000"/>
                <w:sz w:val="20"/>
                <w:szCs w:val="20"/>
              </w:rPr>
            </w:pPr>
          </w:p>
        </w:tc>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32E308"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663C6553"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3607FC91"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6B71113A"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AED401"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0826F8"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CBD4A2"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A90AD8"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11B897"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24E35492"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30251A" w14:textId="77777777" w:rsidR="00BD776B" w:rsidRDefault="00BD776B">
            <w:pPr>
              <w:snapToGrid w:val="0"/>
              <w:spacing w:line="200" w:lineRule="exact"/>
              <w:rPr>
                <w:rFonts w:ascii="標楷體" w:eastAsia="標楷體" w:hAnsi="標楷體"/>
                <w:color w:val="000000"/>
                <w:sz w:val="20"/>
                <w:szCs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0C3BE7"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2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62BE25"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3925783E" w14:textId="77777777" w:rsidR="00BD776B" w:rsidRDefault="00BD776B">
            <w:pPr>
              <w:snapToGrid w:val="0"/>
              <w:spacing w:line="200" w:lineRule="exact"/>
              <w:rPr>
                <w:rFonts w:ascii="標楷體" w:eastAsia="標楷體" w:hAnsi="標楷體"/>
                <w:color w:val="000000"/>
                <w:sz w:val="20"/>
                <w:szCs w:val="20"/>
              </w:rPr>
            </w:pPr>
          </w:p>
        </w:tc>
      </w:tr>
      <w:tr w:rsidR="00BD776B" w14:paraId="4CC5BD20" w14:textId="77777777">
        <w:trPr>
          <w:cantSplit/>
          <w:trHeight w:val="530"/>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B77F7D" w14:textId="77777777" w:rsidR="00BD776B" w:rsidRDefault="00BD776B">
            <w:pPr>
              <w:snapToGrid w:val="0"/>
              <w:spacing w:line="200" w:lineRule="exact"/>
              <w:rPr>
                <w:rFonts w:ascii="標楷體" w:eastAsia="標楷體" w:hAnsi="標楷體"/>
                <w:color w:val="000000"/>
                <w:sz w:val="20"/>
                <w:szCs w:val="20"/>
              </w:rPr>
            </w:pP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A2C73C"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2270F" w14:textId="77777777" w:rsidR="00BD776B" w:rsidRDefault="00BD776B">
            <w:pPr>
              <w:snapToGrid w:val="0"/>
              <w:spacing w:line="200" w:lineRule="exact"/>
              <w:rPr>
                <w:rFonts w:ascii="標楷體" w:eastAsia="標楷體" w:hAnsi="標楷體"/>
                <w:color w:val="000000"/>
                <w:sz w:val="20"/>
                <w:szCs w:val="20"/>
              </w:rPr>
            </w:pPr>
          </w:p>
        </w:tc>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613142" w14:textId="77777777" w:rsidR="00BD776B" w:rsidRDefault="00BD776B">
            <w:pPr>
              <w:snapToGrid w:val="0"/>
              <w:spacing w:line="200" w:lineRule="exact"/>
              <w:rPr>
                <w:rFonts w:ascii="標楷體" w:eastAsia="標楷體" w:hAnsi="標楷體"/>
                <w:color w:val="000000"/>
                <w:sz w:val="20"/>
                <w:szCs w:val="20"/>
              </w:rPr>
            </w:pP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AB7D66" w14:textId="77777777" w:rsidR="00BD776B" w:rsidRDefault="00DF0C24">
            <w:pPr>
              <w:snapToGrid w:val="0"/>
              <w:spacing w:line="200" w:lineRule="exact"/>
            </w:pPr>
            <w:r>
              <w:rPr>
                <w:rFonts w:ascii="標楷體" w:eastAsia="標楷體" w:hAnsi="標楷體" w:cs="標楷體"/>
                <w:color w:val="000000"/>
                <w:sz w:val="20"/>
                <w:szCs w:val="20"/>
              </w:rPr>
              <w:t>身分證</w:t>
            </w:r>
          </w:p>
          <w:p w14:paraId="08F6BCC0"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B3CD9D" w14:textId="77777777" w:rsidR="00BD776B" w:rsidRDefault="00BD776B">
            <w:pPr>
              <w:snapToGrid w:val="0"/>
              <w:spacing w:line="200" w:lineRule="exact"/>
              <w:rPr>
                <w:rFonts w:ascii="標楷體" w:eastAsia="標楷體" w:hAnsi="標楷體"/>
                <w:color w:val="000000"/>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E40543"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7EAA8D50"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FC3C2E"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9DB64F"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67C971"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4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7DE99" w14:textId="77777777" w:rsidR="00BD776B" w:rsidRDefault="00BD776B">
            <w:pPr>
              <w:snapToGrid w:val="0"/>
              <w:spacing w:line="200" w:lineRule="exact"/>
              <w:rPr>
                <w:rFonts w:ascii="標楷體" w:eastAsia="標楷體" w:hAnsi="標楷體"/>
                <w:color w:val="000000"/>
                <w:sz w:val="20"/>
                <w:szCs w:val="20"/>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378A9"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08C682"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7BB43E44" w14:textId="77777777" w:rsidR="00BD776B" w:rsidRDefault="00BD776B">
            <w:pPr>
              <w:snapToGrid w:val="0"/>
              <w:spacing w:line="200" w:lineRule="exact"/>
              <w:rPr>
                <w:rFonts w:ascii="標楷體" w:eastAsia="標楷體" w:hAnsi="標楷體"/>
                <w:color w:val="000000"/>
                <w:sz w:val="20"/>
                <w:szCs w:val="20"/>
              </w:rPr>
            </w:pPr>
          </w:p>
        </w:tc>
      </w:tr>
      <w:tr w:rsidR="00BD776B" w14:paraId="339C6766" w14:textId="77777777">
        <w:trPr>
          <w:cantSplit/>
          <w:trHeight w:val="306"/>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F5495E"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ICD-10代碼</w:t>
            </w:r>
          </w:p>
        </w:tc>
        <w:tc>
          <w:tcPr>
            <w:tcW w:w="25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0C85B2" w14:textId="77777777" w:rsidR="00BD776B" w:rsidRDefault="00BD776B">
            <w:pPr>
              <w:snapToGrid w:val="0"/>
              <w:spacing w:line="200" w:lineRule="exact"/>
              <w:rPr>
                <w:rFonts w:ascii="標楷體" w:eastAsia="標楷體" w:hAnsi="標楷體"/>
                <w:color w:val="000000"/>
                <w:sz w:val="20"/>
                <w:szCs w:val="20"/>
              </w:rPr>
            </w:pP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71E2BE"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1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146E24"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D209C2"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ECD3789"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c>
          <w:tcPr>
            <w:tcW w:w="40" w:type="dxa"/>
            <w:shd w:val="clear" w:color="auto" w:fill="auto"/>
            <w:tcMar>
              <w:top w:w="0" w:type="dxa"/>
              <w:left w:w="10" w:type="dxa"/>
              <w:bottom w:w="0" w:type="dxa"/>
              <w:right w:w="10" w:type="dxa"/>
            </w:tcMar>
          </w:tcPr>
          <w:p w14:paraId="11D8575E" w14:textId="77777777" w:rsidR="00BD776B" w:rsidRDefault="00BD776B">
            <w:pPr>
              <w:snapToGrid w:val="0"/>
              <w:spacing w:line="200" w:lineRule="exact"/>
              <w:rPr>
                <w:rFonts w:ascii="標楷體" w:eastAsia="標楷體" w:hAnsi="標楷體"/>
              </w:rPr>
            </w:pPr>
          </w:p>
        </w:tc>
      </w:tr>
      <w:tr w:rsidR="00BD776B" w14:paraId="083350C1" w14:textId="77777777">
        <w:trPr>
          <w:cantSplit/>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77B04" w14:textId="77777777" w:rsidR="00BD776B" w:rsidRDefault="00DF0C24">
            <w:pPr>
              <w:snapToGrid w:val="0"/>
              <w:spacing w:line="200" w:lineRule="exact"/>
              <w:jc w:val="center"/>
            </w:pPr>
            <w:r>
              <w:rPr>
                <w:rFonts w:ascii="標楷體" w:eastAsia="標楷體" w:hAnsi="標楷體" w:cs="標楷體"/>
                <w:color w:val="000000"/>
                <w:sz w:val="20"/>
                <w:szCs w:val="20"/>
              </w:rPr>
              <w:t>藥品代碼</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76FC73"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BFCA3A"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BDF60E"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7A95289C"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43EB59"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13A886C8"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43476B24"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40" w:type="dxa"/>
            <w:shd w:val="clear" w:color="auto" w:fill="auto"/>
            <w:tcMar>
              <w:top w:w="0" w:type="dxa"/>
              <w:left w:w="10" w:type="dxa"/>
              <w:bottom w:w="0" w:type="dxa"/>
              <w:right w:w="10" w:type="dxa"/>
            </w:tcMar>
          </w:tcPr>
          <w:p w14:paraId="25E61EAB" w14:textId="77777777" w:rsidR="00BD776B" w:rsidRDefault="00BD776B">
            <w:pPr>
              <w:snapToGrid w:val="0"/>
              <w:spacing w:line="200" w:lineRule="exact"/>
              <w:jc w:val="center"/>
              <w:rPr>
                <w:rFonts w:ascii="標楷體" w:eastAsia="標楷體" w:hAnsi="標楷體"/>
              </w:rPr>
            </w:pPr>
          </w:p>
        </w:tc>
      </w:tr>
      <w:tr w:rsidR="00BD776B" w14:paraId="7DAD2B30" w14:textId="77777777">
        <w:trPr>
          <w:cantSplit/>
          <w:trHeight w:val="2910"/>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DAC4B" w14:textId="77777777" w:rsidR="00BD776B" w:rsidRDefault="00BD776B">
            <w:pPr>
              <w:snapToGrid w:val="0"/>
              <w:spacing w:line="240" w:lineRule="exact"/>
              <w:rPr>
                <w:rFonts w:ascii="標楷體" w:eastAsia="標楷體" w:hAnsi="標楷體"/>
                <w:u w:val="single"/>
              </w:rPr>
            </w:pPr>
          </w:p>
          <w:p w14:paraId="28B78B38" w14:textId="77777777" w:rsidR="00BD776B" w:rsidRDefault="00DF0C24">
            <w:pPr>
              <w:snapToGrid w:val="0"/>
              <w:spacing w:line="240" w:lineRule="exact"/>
              <w:rPr>
                <w:rFonts w:ascii="標楷體" w:eastAsia="標楷體" w:hAnsi="標楷體"/>
              </w:rPr>
            </w:pPr>
            <w:r>
              <w:rPr>
                <w:rFonts w:ascii="標楷體" w:eastAsia="標楷體" w:hAnsi="標楷體"/>
              </w:rPr>
              <w:t>Glivec</w:t>
            </w:r>
          </w:p>
          <w:p w14:paraId="2464B23F" w14:textId="77777777" w:rsidR="00BD776B" w:rsidRDefault="00BD776B">
            <w:pPr>
              <w:snapToGrid w:val="0"/>
              <w:spacing w:line="240" w:lineRule="exact"/>
              <w:rPr>
                <w:rFonts w:ascii="標楷體" w:eastAsia="標楷體" w:hAnsi="標楷體"/>
                <w:u w:val="single"/>
              </w:rPr>
            </w:pPr>
          </w:p>
          <w:p w14:paraId="4616D8A1" w14:textId="77777777" w:rsidR="00BD776B" w:rsidRDefault="00DF0C24">
            <w:pPr>
              <w:snapToGrid w:val="0"/>
              <w:spacing w:line="240" w:lineRule="exact"/>
              <w:rPr>
                <w:rFonts w:ascii="標楷體" w:eastAsia="標楷體" w:hAnsi="標楷體"/>
              </w:rPr>
            </w:pPr>
            <w:r>
              <w:rPr>
                <w:rFonts w:ascii="標楷體" w:eastAsia="標楷體" w:hAnsi="標楷體"/>
              </w:rPr>
              <w:t>100mg</w:t>
            </w:r>
          </w:p>
          <w:p w14:paraId="758165BD" w14:textId="77777777" w:rsidR="00BD776B" w:rsidRDefault="00BD776B">
            <w:pPr>
              <w:snapToGrid w:val="0"/>
              <w:spacing w:line="240" w:lineRule="exact"/>
              <w:rPr>
                <w:rFonts w:ascii="標楷體" w:eastAsia="標楷體" w:hAnsi="標楷體"/>
                <w:u w:val="single"/>
              </w:rPr>
            </w:pPr>
          </w:p>
          <w:p w14:paraId="0028E7EB" w14:textId="77777777" w:rsidR="00BD776B" w:rsidRDefault="00DF0C24">
            <w:pPr>
              <w:snapToGrid w:val="0"/>
              <w:spacing w:line="240" w:lineRule="exact"/>
            </w:pPr>
            <w:r>
              <w:rPr>
                <w:rFonts w:ascii="標楷體" w:eastAsia="標楷體" w:hAnsi="標楷體" w:cs="標楷體"/>
                <w:color w:val="000000"/>
                <w:sz w:val="20"/>
                <w:szCs w:val="20"/>
              </w:rPr>
              <w:t>□</w:t>
            </w:r>
            <w:hyperlink r:id="rId16" w:tooltip="藥政處網站(開新窗)" w:history="1">
              <w:r>
                <w:rPr>
                  <w:rFonts w:ascii="標楷體" w:eastAsia="標楷體" w:hAnsi="標楷體" w:cs="新細明體"/>
                  <w:color w:val="000000"/>
                  <w:kern w:val="0"/>
                  <w:sz w:val="16"/>
                  <w:szCs w:val="16"/>
                </w:rPr>
                <w:t>B023291100</w:t>
              </w:r>
            </w:hyperlink>
          </w:p>
          <w:p w14:paraId="3C55D759" w14:textId="77777777" w:rsidR="00BD776B" w:rsidRDefault="00DF0C24">
            <w:pPr>
              <w:widowControl/>
              <w:snapToGrid w:val="0"/>
              <w:spacing w:line="240" w:lineRule="exact"/>
            </w:pPr>
            <w:r>
              <w:rPr>
                <w:rFonts w:ascii="標楷體" w:eastAsia="標楷體" w:hAnsi="標楷體" w:cs="標楷體"/>
                <w:color w:val="000000"/>
                <w:sz w:val="20"/>
                <w:szCs w:val="20"/>
              </w:rPr>
              <w:t>□</w:t>
            </w:r>
            <w:hyperlink r:id="rId17" w:tooltip="藥政處網站(開新窗)" w:history="1">
              <w:r>
                <w:rPr>
                  <w:rFonts w:ascii="標楷體" w:eastAsia="標楷體" w:hAnsi="標楷體" w:cs="新細明體"/>
                  <w:color w:val="000000"/>
                  <w:kern w:val="0"/>
                  <w:sz w:val="16"/>
                  <w:szCs w:val="16"/>
                </w:rPr>
                <w:t>B024027100</w:t>
              </w:r>
            </w:hyperlink>
          </w:p>
          <w:p w14:paraId="443334EB" w14:textId="77777777" w:rsidR="00BD776B" w:rsidRDefault="00BD776B">
            <w:pPr>
              <w:snapToGrid w:val="0"/>
              <w:spacing w:line="240" w:lineRule="exact"/>
              <w:rPr>
                <w:rFonts w:ascii="標楷體" w:eastAsia="標楷體" w:hAnsi="標楷體"/>
                <w:color w:val="000000"/>
                <w:sz w:val="20"/>
                <w:szCs w:val="20"/>
              </w:rPr>
            </w:pP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1FD73" w14:textId="77777777" w:rsidR="00BD776B" w:rsidRDefault="00BD776B">
            <w:pPr>
              <w:snapToGrid w:val="0"/>
              <w:spacing w:before="180" w:line="240" w:lineRule="exact"/>
              <w:ind w:left="269" w:hanging="269"/>
              <w:rPr>
                <w:rFonts w:ascii="標楷體" w:eastAsia="標楷體" w:hAnsi="標楷體"/>
                <w:u w:val="single"/>
              </w:rPr>
            </w:pPr>
          </w:p>
          <w:p w14:paraId="44E51C10" w14:textId="77777777" w:rsidR="00BD776B" w:rsidRDefault="00DF0C24">
            <w:pPr>
              <w:snapToGrid w:val="0"/>
              <w:spacing w:line="240" w:lineRule="exact"/>
              <w:ind w:left="320" w:hanging="320"/>
            </w:pPr>
            <w:r>
              <w:rPr>
                <w:rFonts w:ascii="標楷體" w:eastAsia="標楷體" w:hAnsi="標楷體" w:cs="標楷體"/>
                <w:color w:val="000000"/>
                <w:sz w:val="20"/>
                <w:szCs w:val="20"/>
              </w:rPr>
              <w:t>□第一次申請</w:t>
            </w:r>
          </w:p>
          <w:p w14:paraId="2472723F" w14:textId="77777777" w:rsidR="00BD776B" w:rsidRDefault="00BD776B">
            <w:pPr>
              <w:snapToGrid w:val="0"/>
              <w:spacing w:line="240" w:lineRule="exact"/>
              <w:ind w:left="220" w:hanging="100"/>
              <w:rPr>
                <w:rFonts w:ascii="標楷體" w:eastAsia="標楷體" w:hAnsi="標楷體" w:cs="標楷體"/>
                <w:color w:val="000000"/>
                <w:sz w:val="20"/>
                <w:szCs w:val="20"/>
              </w:rPr>
            </w:pPr>
          </w:p>
          <w:p w14:paraId="5595ABF5" w14:textId="77777777" w:rsidR="00BD776B" w:rsidRDefault="00DF0C24">
            <w:pPr>
              <w:snapToGrid w:val="0"/>
              <w:spacing w:line="240" w:lineRule="exact"/>
              <w:ind w:left="320" w:hanging="320"/>
            </w:pPr>
            <w:r>
              <w:rPr>
                <w:rFonts w:ascii="標楷體" w:eastAsia="標楷體" w:hAnsi="標楷體" w:cs="標楷體"/>
                <w:color w:val="000000"/>
                <w:sz w:val="20"/>
                <w:szCs w:val="20"/>
              </w:rPr>
              <w:t>□治療後再次申請</w:t>
            </w:r>
          </w:p>
          <w:p w14:paraId="69F2C45F" w14:textId="77777777" w:rsidR="00BD776B" w:rsidRDefault="00BD776B">
            <w:pPr>
              <w:snapToGrid w:val="0"/>
              <w:spacing w:before="180" w:line="240" w:lineRule="exact"/>
              <w:ind w:left="224" w:hanging="224"/>
              <w:rPr>
                <w:rFonts w:ascii="標楷體" w:eastAsia="標楷體" w:hAnsi="標楷體"/>
                <w:color w:val="000000"/>
                <w:sz w:val="20"/>
                <w:szCs w:val="20"/>
              </w:rPr>
            </w:pP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45FB5" w14:textId="77777777" w:rsidR="00BD776B" w:rsidRDefault="00DF0C24">
            <w:pPr>
              <w:snapToGrid w:val="0"/>
              <w:spacing w:before="180" w:after="180" w:line="240" w:lineRule="exact"/>
              <w:rPr>
                <w:rFonts w:ascii="標楷體" w:eastAsia="標楷體" w:hAnsi="標楷體" w:cs="標楷體"/>
                <w:color w:val="000000"/>
                <w:sz w:val="20"/>
                <w:szCs w:val="20"/>
              </w:rPr>
            </w:pPr>
            <w:r>
              <w:rPr>
                <w:rFonts w:ascii="標楷體" w:eastAsia="標楷體" w:hAnsi="標楷體" w:cs="標楷體"/>
                <w:color w:val="000000"/>
                <w:sz w:val="20"/>
                <w:szCs w:val="20"/>
              </w:rPr>
              <w:t>下列適應症患者必須在第一線的藥物如hydroxyurea，corticosteroid等無效後,經事前審查核准才可使用，且每6個月需重新申請審查。</w:t>
            </w:r>
          </w:p>
          <w:p w14:paraId="22B86B83" w14:textId="77777777" w:rsidR="00BD776B" w:rsidRDefault="00DF0C24">
            <w:pPr>
              <w:pStyle w:val="ad"/>
              <w:snapToGrid w:val="0"/>
              <w:spacing w:before="180" w:after="180"/>
              <w:ind w:left="200" w:hanging="200"/>
            </w:pPr>
            <w:r>
              <w:t>□治療患有與血小板衍生生長因子受體（PDGFR)基因重組相關之骨髓發育不全症候群(MDS)/骨髓增生性疾病(MPD)之成人。</w:t>
            </w:r>
          </w:p>
          <w:p w14:paraId="18014261" w14:textId="77777777" w:rsidR="00BD776B" w:rsidRDefault="00DF0C24">
            <w:pPr>
              <w:pStyle w:val="ad"/>
              <w:snapToGrid w:val="0"/>
              <w:spacing w:before="180" w:after="180"/>
              <w:ind w:left="200" w:hanging="200"/>
            </w:pPr>
            <w:r>
              <w:t>□治療嗜伊紅性白血球增加症候群(HES)與/或慢性嗜伊紅性白血病(CEL)且有血小板衍生生長因子受體(PDGFR)基因重組之成人患者，且存在器官侵犯証據者。</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C4927" w14:textId="77777777" w:rsidR="00BD776B" w:rsidRDefault="00BD776B">
            <w:pPr>
              <w:snapToGrid w:val="0"/>
              <w:spacing w:line="200" w:lineRule="exact"/>
              <w:rPr>
                <w:rFonts w:ascii="標楷體" w:eastAsia="標楷體" w:hAnsi="標楷體"/>
                <w:color w:val="000000"/>
                <w:sz w:val="20"/>
                <w:szCs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EFC58" w14:textId="77777777" w:rsidR="00BD776B" w:rsidRDefault="00BD776B">
            <w:pPr>
              <w:snapToGrid w:val="0"/>
              <w:rPr>
                <w:rFonts w:ascii="標楷體" w:eastAsia="標楷體" w:hAnsi="標楷體"/>
                <w:color w:val="000000"/>
                <w:sz w:val="20"/>
                <w:szCs w:val="20"/>
              </w:rPr>
            </w:pPr>
          </w:p>
        </w:tc>
        <w:tc>
          <w:tcPr>
            <w:tcW w:w="4906" w:type="dxa"/>
            <w:gridSpan w:val="15"/>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AD35EA9" w14:textId="77777777" w:rsidR="00BD776B" w:rsidRDefault="00DF0C24" w:rsidP="008A7063">
            <w:pPr>
              <w:numPr>
                <w:ilvl w:val="0"/>
                <w:numId w:val="70"/>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49E3570E"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318F9006" w14:textId="77777777" w:rsidR="00BD776B" w:rsidRDefault="00DF0C24">
            <w:pPr>
              <w:snapToGrid w:val="0"/>
              <w:spacing w:line="240" w:lineRule="exact"/>
            </w:pPr>
            <w:r>
              <w:rPr>
                <w:rFonts w:ascii="標楷體" w:eastAsia="標楷體" w:hAnsi="標楷體" w:cs="標楷體"/>
                <w:color w:val="000000"/>
                <w:sz w:val="20"/>
                <w:szCs w:val="20"/>
              </w:rPr>
              <w:t>□不同意</w:t>
            </w:r>
          </w:p>
          <w:p w14:paraId="6B950B25"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4FD989E5"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678BEEFB"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7E5BF663"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290820B0"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37DAC8FE" w14:textId="77777777" w:rsidR="00BD776B" w:rsidRDefault="00DF0C24" w:rsidP="008A7063">
            <w:pPr>
              <w:numPr>
                <w:ilvl w:val="0"/>
                <w:numId w:val="70"/>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5F5D95EF" w14:textId="77777777" w:rsidR="00BD776B" w:rsidRDefault="00DF0C24" w:rsidP="008A7063">
            <w:pPr>
              <w:numPr>
                <w:ilvl w:val="0"/>
                <w:numId w:val="70"/>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244DCD9D"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57D5C711" w14:textId="77777777" w:rsidR="00BD776B" w:rsidRDefault="00DF0C24" w:rsidP="008A7063">
            <w:pPr>
              <w:numPr>
                <w:ilvl w:val="0"/>
                <w:numId w:val="70"/>
              </w:numPr>
              <w:tabs>
                <w:tab w:val="left" w:pos="240"/>
              </w:tabs>
              <w:snapToGrid w:val="0"/>
              <w:spacing w:line="240" w:lineRule="exact"/>
              <w:ind w:left="478" w:hanging="238"/>
            </w:pPr>
            <w:r>
              <w:rPr>
                <w:rFonts w:ascii="標楷體" w:eastAsia="標楷體" w:hAnsi="標楷體" w:cs="標楷體"/>
                <w:color w:val="000000"/>
                <w:sz w:val="20"/>
                <w:szCs w:val="20"/>
              </w:rPr>
              <w:t>其他：</w:t>
            </w:r>
          </w:p>
        </w:tc>
        <w:tc>
          <w:tcPr>
            <w:tcW w:w="40" w:type="dxa"/>
            <w:shd w:val="clear" w:color="auto" w:fill="auto"/>
            <w:tcMar>
              <w:top w:w="0" w:type="dxa"/>
              <w:left w:w="10" w:type="dxa"/>
              <w:bottom w:w="0" w:type="dxa"/>
              <w:right w:w="10" w:type="dxa"/>
            </w:tcMar>
          </w:tcPr>
          <w:p w14:paraId="3F42B882" w14:textId="77777777" w:rsidR="00BD776B" w:rsidRDefault="00BD776B">
            <w:pPr>
              <w:tabs>
                <w:tab w:val="left" w:pos="240"/>
              </w:tabs>
              <w:snapToGrid w:val="0"/>
              <w:spacing w:line="240" w:lineRule="exact"/>
              <w:ind w:left="478" w:hanging="238"/>
              <w:rPr>
                <w:rFonts w:ascii="標楷體" w:eastAsia="標楷體" w:hAnsi="標楷體"/>
              </w:rPr>
            </w:pPr>
          </w:p>
        </w:tc>
      </w:tr>
      <w:tr w:rsidR="00BD776B" w14:paraId="41DA52AA" w14:textId="77777777">
        <w:trPr>
          <w:cantSplit/>
          <w:trHeight w:val="916"/>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EDA14" w14:textId="77777777" w:rsidR="00BD776B" w:rsidRDefault="00DF0C24">
            <w:pPr>
              <w:snapToGrid w:val="0"/>
              <w:spacing w:line="240" w:lineRule="exact"/>
              <w:ind w:left="113" w:right="113"/>
            </w:pPr>
            <w:r>
              <w:rPr>
                <w:rFonts w:ascii="標楷體" w:eastAsia="標楷體" w:hAnsi="標楷體" w:cs="標楷體"/>
                <w:color w:val="000000"/>
              </w:rPr>
              <w:t>注意事項</w:t>
            </w:r>
          </w:p>
          <w:p w14:paraId="0CE12509" w14:textId="77777777" w:rsidR="00BD776B" w:rsidRDefault="00BD776B">
            <w:pPr>
              <w:snapToGrid w:val="0"/>
              <w:spacing w:line="240" w:lineRule="exact"/>
              <w:ind w:left="324" w:right="113" w:hanging="211"/>
              <w:rPr>
                <w:rFonts w:ascii="標楷體" w:eastAsia="標楷體" w:hAnsi="標楷體"/>
                <w:color w:val="000000"/>
                <w:sz w:val="20"/>
                <w:szCs w:val="20"/>
              </w:rPr>
            </w:pPr>
          </w:p>
        </w:tc>
        <w:tc>
          <w:tcPr>
            <w:tcW w:w="9103"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6FCF" w14:textId="77777777" w:rsidR="00BD776B" w:rsidRDefault="00DF0C24">
            <w:pPr>
              <w:snapToGrid w:val="0"/>
              <w:spacing w:line="240" w:lineRule="exact"/>
              <w:ind w:left="140" w:hanging="140"/>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730C321C"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2.「原受理編號」申復時填寫，初次送核不須填寫。</w:t>
            </w:r>
          </w:p>
          <w:p w14:paraId="35EB5B2D"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2115A2B1"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560F35DE"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20927020"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2CE43360" w14:textId="77777777" w:rsidR="00BD776B" w:rsidRDefault="00DF0C24">
            <w:pPr>
              <w:snapToGrid w:val="0"/>
              <w:spacing w:line="240" w:lineRule="exact"/>
              <w:ind w:left="140" w:hanging="140"/>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tc>
        <w:tc>
          <w:tcPr>
            <w:tcW w:w="4906" w:type="dxa"/>
            <w:gridSpan w:val="15"/>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93A2BF"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3FD74E0E" w14:textId="77777777" w:rsidR="00BD776B" w:rsidRDefault="00BD776B">
            <w:pPr>
              <w:snapToGrid w:val="0"/>
              <w:spacing w:line="200" w:lineRule="exact"/>
              <w:rPr>
                <w:rFonts w:ascii="標楷體" w:eastAsia="標楷體" w:hAnsi="標楷體"/>
                <w:color w:val="000000"/>
                <w:sz w:val="20"/>
                <w:szCs w:val="20"/>
              </w:rPr>
            </w:pPr>
          </w:p>
        </w:tc>
      </w:tr>
      <w:tr w:rsidR="00BD776B" w14:paraId="3AA23E5B" w14:textId="77777777">
        <w:trPr>
          <w:cantSplit/>
          <w:trHeight w:val="362"/>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22CF4" w14:textId="77777777" w:rsidR="00BD776B" w:rsidRDefault="00BD776B">
            <w:pPr>
              <w:snapToGrid w:val="0"/>
              <w:ind w:left="211" w:hanging="211"/>
              <w:rPr>
                <w:rFonts w:ascii="標楷體" w:eastAsia="標楷體" w:hAnsi="標楷體"/>
                <w:color w:val="000000"/>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38DBE" w14:textId="77777777" w:rsidR="00BD776B" w:rsidRDefault="00BD776B">
            <w:pPr>
              <w:snapToGrid w:val="0"/>
              <w:ind w:left="211" w:hanging="211"/>
              <w:rPr>
                <w:rFonts w:ascii="標楷體" w:eastAsia="標楷體" w:hAnsi="標楷體"/>
                <w:color w:val="000000"/>
              </w:rPr>
            </w:pPr>
          </w:p>
        </w:tc>
        <w:tc>
          <w:tcPr>
            <w:tcW w:w="3611" w:type="dxa"/>
            <w:gridSpan w:val="1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18AAB" w14:textId="77777777" w:rsidR="00BD776B" w:rsidRDefault="00BD776B">
            <w:pPr>
              <w:snapToGrid w:val="0"/>
              <w:jc w:val="both"/>
              <w:rPr>
                <w:rFonts w:ascii="標楷體" w:eastAsia="標楷體" w:hAnsi="標楷體"/>
                <w:color w:val="000000"/>
              </w:rPr>
            </w:pPr>
          </w:p>
          <w:p w14:paraId="60B17106"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1249E825" w14:textId="77777777" w:rsidR="00BD776B" w:rsidRDefault="00BD776B">
            <w:pPr>
              <w:snapToGrid w:val="0"/>
              <w:jc w:val="both"/>
              <w:rPr>
                <w:rFonts w:ascii="標楷體" w:eastAsia="標楷體" w:hAnsi="標楷體"/>
                <w:color w:val="000000"/>
              </w:rPr>
            </w:pPr>
          </w:p>
        </w:tc>
        <w:tc>
          <w:tcPr>
            <w:tcW w:w="3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B9BAC" w14:textId="77777777" w:rsidR="00BD776B" w:rsidRDefault="00DF0C24">
            <w:pPr>
              <w:snapToGrid w:val="0"/>
            </w:pPr>
            <w:r>
              <w:rPr>
                <w:rFonts w:ascii="標楷體" w:eastAsia="標楷體" w:hAnsi="標楷體" w:cs="標楷體"/>
                <w:color w:val="000000"/>
              </w:rPr>
              <w:t>審查醫師</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FF339"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3AD28E1A" w14:textId="77777777" w:rsidR="00BD776B" w:rsidRDefault="00BD776B">
            <w:pPr>
              <w:snapToGrid w:val="0"/>
              <w:rPr>
                <w:rFonts w:ascii="標楷體" w:eastAsia="標楷體" w:hAnsi="標楷體"/>
                <w:color w:val="000000"/>
              </w:rPr>
            </w:pPr>
          </w:p>
        </w:tc>
      </w:tr>
      <w:tr w:rsidR="00BD776B" w14:paraId="6843287E" w14:textId="77777777">
        <w:trPr>
          <w:cantSplit/>
          <w:trHeight w:val="224"/>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F0AC3" w14:textId="77777777" w:rsidR="00BD776B" w:rsidRDefault="00BD776B">
            <w:pPr>
              <w:snapToGrid w:val="0"/>
              <w:ind w:left="211" w:hanging="211"/>
              <w:rPr>
                <w:rFonts w:ascii="標楷體" w:eastAsia="標楷體" w:hAnsi="標楷體"/>
                <w:color w:val="000000"/>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CD5A5" w14:textId="77777777" w:rsidR="00BD776B" w:rsidRDefault="00BD776B">
            <w:pPr>
              <w:snapToGrid w:val="0"/>
              <w:ind w:left="211" w:hanging="211"/>
              <w:rPr>
                <w:rFonts w:ascii="標楷體" w:eastAsia="標楷體" w:hAnsi="標楷體"/>
                <w:color w:val="000000"/>
              </w:rPr>
            </w:pPr>
          </w:p>
        </w:tc>
        <w:tc>
          <w:tcPr>
            <w:tcW w:w="3611" w:type="dxa"/>
            <w:gridSpan w:val="1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D100F" w14:textId="77777777" w:rsidR="00BD776B" w:rsidRDefault="00BD776B">
            <w:pPr>
              <w:snapToGrid w:val="0"/>
              <w:jc w:val="both"/>
              <w:rPr>
                <w:rFonts w:ascii="標楷體" w:eastAsia="標楷體" w:hAnsi="標楷體"/>
                <w:color w:val="000000"/>
              </w:rPr>
            </w:pPr>
          </w:p>
        </w:tc>
        <w:tc>
          <w:tcPr>
            <w:tcW w:w="3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DBF55" w14:textId="77777777" w:rsidR="00BD776B" w:rsidRDefault="00BD776B">
            <w:pPr>
              <w:snapToGrid w:val="0"/>
              <w:rPr>
                <w:rFonts w:ascii="標楷體" w:eastAsia="標楷體" w:hAnsi="標楷體" w:cs="標楷體"/>
                <w:color w:val="000000"/>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D5FA"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18AAB735" w14:textId="77777777" w:rsidR="00BD776B" w:rsidRDefault="00BD776B">
            <w:pPr>
              <w:snapToGrid w:val="0"/>
              <w:rPr>
                <w:rFonts w:ascii="標楷體" w:eastAsia="標楷體" w:hAnsi="標楷體"/>
                <w:color w:val="000000"/>
              </w:rPr>
            </w:pPr>
          </w:p>
        </w:tc>
      </w:tr>
      <w:tr w:rsidR="00BD776B" w14:paraId="7C15847D" w14:textId="77777777">
        <w:trPr>
          <w:cantSplit/>
          <w:trHeight w:val="706"/>
        </w:trPr>
        <w:tc>
          <w:tcPr>
            <w:tcW w:w="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56B79" w14:textId="77777777" w:rsidR="00BD776B" w:rsidRDefault="00BD776B">
            <w:pPr>
              <w:snapToGrid w:val="0"/>
              <w:spacing w:line="240" w:lineRule="exact"/>
              <w:rPr>
                <w:rFonts w:ascii="標楷體" w:eastAsia="標楷體" w:hAnsi="標楷體" w:cs="標楷體"/>
                <w:color w:val="000000"/>
              </w:rPr>
            </w:pPr>
          </w:p>
          <w:p w14:paraId="7AA8EAE7" w14:textId="77777777" w:rsidR="00BD776B" w:rsidRDefault="00DF0C24">
            <w:pPr>
              <w:snapToGrid w:val="0"/>
              <w:spacing w:line="240" w:lineRule="exact"/>
              <w:rPr>
                <w:rFonts w:ascii="標楷體" w:eastAsia="標楷體" w:hAnsi="標楷體" w:cs="標楷體"/>
                <w:color w:val="000000"/>
              </w:rPr>
            </w:pPr>
            <w:r>
              <w:rPr>
                <w:rFonts w:ascii="標楷體" w:eastAsia="標楷體" w:hAnsi="標楷體" w:cs="標楷體"/>
                <w:color w:val="000000"/>
              </w:rPr>
              <w:t>醫事服務機構</w:t>
            </w:r>
          </w:p>
          <w:p w14:paraId="3D489A20" w14:textId="77777777" w:rsidR="00BD776B" w:rsidRDefault="00BD776B">
            <w:pPr>
              <w:snapToGrid w:val="0"/>
              <w:spacing w:line="240" w:lineRule="exact"/>
              <w:rPr>
                <w:rFonts w:ascii="標楷體" w:eastAsia="標楷體" w:hAnsi="標楷體"/>
                <w:color w:val="000000"/>
              </w:rPr>
            </w:pPr>
          </w:p>
        </w:tc>
        <w:tc>
          <w:tcPr>
            <w:tcW w:w="870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DA15B" w14:textId="77777777" w:rsidR="00BD776B" w:rsidRDefault="00DF0C24">
            <w:pPr>
              <w:snapToGrid w:val="0"/>
              <w:spacing w:line="240" w:lineRule="exact"/>
            </w:pPr>
            <w:r>
              <w:rPr>
                <w:rFonts w:ascii="標楷體" w:eastAsia="標楷體" w:hAnsi="標楷體" w:cs="標楷體"/>
                <w:color w:val="000000"/>
              </w:rPr>
              <w:t>醫院申請日期：  年  月  日</w:t>
            </w:r>
          </w:p>
          <w:p w14:paraId="2E33F0D5" w14:textId="77777777" w:rsidR="00BD776B" w:rsidRDefault="00BD776B">
            <w:pPr>
              <w:snapToGrid w:val="0"/>
              <w:spacing w:line="240" w:lineRule="exact"/>
              <w:rPr>
                <w:rFonts w:ascii="標楷體" w:eastAsia="標楷體" w:hAnsi="標楷體"/>
                <w:color w:val="000000"/>
              </w:rPr>
            </w:pPr>
          </w:p>
          <w:p w14:paraId="19AAEDE1"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483B0" w14:textId="77777777" w:rsidR="00BD776B" w:rsidRDefault="00DF0C24">
            <w:pPr>
              <w:widowControl/>
              <w:snapToGrid w:val="0"/>
              <w:spacing w:line="240" w:lineRule="exact"/>
            </w:pPr>
            <w:r>
              <w:rPr>
                <w:rFonts w:ascii="標楷體" w:eastAsia="標楷體" w:hAnsi="標楷體" w:cs="標楷體"/>
                <w:color w:val="000000"/>
              </w:rPr>
              <w:t>承辦人</w:t>
            </w:r>
          </w:p>
        </w:tc>
        <w:tc>
          <w:tcPr>
            <w:tcW w:w="83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CE490" w14:textId="77777777" w:rsidR="00BD776B" w:rsidRDefault="00BD776B">
            <w:pPr>
              <w:widowControl/>
              <w:snapToGrid w:val="0"/>
              <w:rPr>
                <w:rFonts w:ascii="標楷體" w:eastAsia="標楷體" w:hAnsi="標楷體"/>
                <w:color w:val="000000"/>
              </w:rPr>
            </w:pPr>
          </w:p>
          <w:p w14:paraId="600911D2" w14:textId="77777777" w:rsidR="00BD776B" w:rsidRDefault="00BD776B">
            <w:pPr>
              <w:snapToGrid w:val="0"/>
              <w:spacing w:line="240" w:lineRule="exact"/>
              <w:rPr>
                <w:rFonts w:ascii="標楷體" w:eastAsia="標楷體" w:hAnsi="標楷體"/>
                <w:color w:val="000000"/>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741" w14:textId="77777777" w:rsidR="00BD776B" w:rsidRDefault="00DF0C24">
            <w:pPr>
              <w:widowControl/>
              <w:snapToGrid w:val="0"/>
              <w:spacing w:line="240" w:lineRule="exact"/>
            </w:pPr>
            <w:r>
              <w:rPr>
                <w:rFonts w:ascii="標楷體" w:eastAsia="標楷體" w:hAnsi="標楷體" w:cs="標楷體"/>
                <w:color w:val="000000"/>
              </w:rPr>
              <w:t>複核</w:t>
            </w:r>
          </w:p>
          <w:p w14:paraId="59A07D04" w14:textId="77777777" w:rsidR="00BD776B" w:rsidRDefault="00BD776B">
            <w:pPr>
              <w:widowControl/>
              <w:snapToGrid w:val="0"/>
              <w:rPr>
                <w:rFonts w:ascii="標楷體" w:eastAsia="標楷體" w:hAnsi="標楷體"/>
                <w:color w:val="000000"/>
              </w:rPr>
            </w:pP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8EB93" w14:textId="77777777" w:rsidR="00BD776B" w:rsidRDefault="00BD776B">
            <w:pPr>
              <w:widowControl/>
              <w:snapToGrid w:val="0"/>
              <w:rPr>
                <w:rFonts w:ascii="標楷體" w:eastAsia="標楷體" w:hAnsi="標楷體"/>
                <w:color w:val="000000"/>
              </w:rPr>
            </w:pPr>
          </w:p>
          <w:p w14:paraId="0EA2608A" w14:textId="77777777" w:rsidR="00BD776B" w:rsidRDefault="00BD776B">
            <w:pPr>
              <w:snapToGrid w:val="0"/>
              <w:spacing w:line="240" w:lineRule="exact"/>
              <w:rPr>
                <w:rFonts w:ascii="標楷體" w:eastAsia="標楷體" w:hAnsi="標楷體"/>
                <w:color w:val="000000"/>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E449C" w14:textId="77777777" w:rsidR="00BD776B" w:rsidRDefault="00DF0C24">
            <w:pPr>
              <w:snapToGrid w:val="0"/>
              <w:spacing w:line="240" w:lineRule="exact"/>
            </w:pPr>
            <w:r>
              <w:rPr>
                <w:rFonts w:ascii="標楷體" w:eastAsia="標楷體" w:hAnsi="標楷體" w:cs="標楷體"/>
                <w:color w:val="000000"/>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ACA2B" w14:textId="77777777" w:rsidR="00BD776B" w:rsidRDefault="00BD776B">
            <w:pPr>
              <w:widowControl/>
              <w:snapToGrid w:val="0"/>
              <w:rPr>
                <w:rFonts w:ascii="標楷體" w:eastAsia="標楷體" w:hAnsi="標楷體"/>
                <w:color w:val="000000"/>
              </w:rPr>
            </w:pPr>
          </w:p>
          <w:p w14:paraId="26AAC7FD" w14:textId="77777777" w:rsidR="00BD776B" w:rsidRDefault="00BD776B">
            <w:pPr>
              <w:snapToGrid w:val="0"/>
              <w:spacing w:line="240" w:lineRule="exact"/>
              <w:rPr>
                <w:rFonts w:ascii="標楷體" w:eastAsia="標楷體" w:hAnsi="標楷體"/>
                <w:color w:val="000000"/>
              </w:rPr>
            </w:pPr>
          </w:p>
        </w:tc>
        <w:tc>
          <w:tcPr>
            <w:tcW w:w="35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6EBC3" w14:textId="77777777" w:rsidR="00BD776B" w:rsidRDefault="00DF0C24">
            <w:pPr>
              <w:widowControl/>
              <w:snapToGrid w:val="0"/>
              <w:spacing w:line="240" w:lineRule="exact"/>
            </w:pPr>
            <w:r>
              <w:rPr>
                <w:rFonts w:ascii="標楷體" w:eastAsia="標楷體" w:hAnsi="標楷體" w:cs="標楷體"/>
                <w:color w:val="000000"/>
              </w:rPr>
              <w:t>決行</w:t>
            </w:r>
          </w:p>
          <w:p w14:paraId="6A4F49D1" w14:textId="77777777" w:rsidR="00BD776B" w:rsidRDefault="00BD776B">
            <w:pPr>
              <w:widowControl/>
              <w:snapToGrid w:val="0"/>
              <w:rPr>
                <w:rFonts w:ascii="標楷體" w:eastAsia="標楷體" w:hAnsi="標楷體"/>
                <w:color w:val="000000"/>
              </w:rPr>
            </w:pP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FB6AF" w14:textId="77777777" w:rsidR="00BD776B" w:rsidRDefault="00BD776B">
            <w:pPr>
              <w:widowControl/>
              <w:snapToGrid w:val="0"/>
              <w:rPr>
                <w:rFonts w:ascii="標楷體" w:eastAsia="標楷體" w:hAnsi="標楷體"/>
                <w:color w:val="000000"/>
              </w:rPr>
            </w:pPr>
          </w:p>
          <w:p w14:paraId="01A04220" w14:textId="77777777" w:rsidR="00BD776B" w:rsidRDefault="00BD776B">
            <w:pPr>
              <w:snapToGrid w:val="0"/>
              <w:spacing w:line="240" w:lineRule="exact"/>
              <w:rPr>
                <w:rFonts w:ascii="標楷體" w:eastAsia="標楷體" w:hAnsi="標楷體"/>
                <w:color w:val="000000"/>
              </w:rPr>
            </w:pPr>
          </w:p>
        </w:tc>
      </w:tr>
    </w:tbl>
    <w:p w14:paraId="60889876" w14:textId="77777777" w:rsidR="00BD776B" w:rsidRDefault="00BD776B">
      <w:pPr>
        <w:pStyle w:val="Web"/>
        <w:widowControl w:val="0"/>
        <w:snapToGrid w:val="0"/>
        <w:spacing w:before="0" w:after="0" w:line="380" w:lineRule="exact"/>
        <w:jc w:val="both"/>
        <w:rPr>
          <w:rFonts w:ascii="標楷體" w:eastAsia="標楷體" w:hAnsi="標楷體"/>
        </w:rPr>
      </w:pPr>
    </w:p>
    <w:p w14:paraId="734DBF34" w14:textId="77777777" w:rsidR="00BD776B" w:rsidRDefault="00DF0C24">
      <w:pPr>
        <w:pStyle w:val="Web"/>
        <w:widowControl w:val="0"/>
        <w:snapToGrid w:val="0"/>
        <w:spacing w:before="0" w:after="0" w:line="380" w:lineRule="exact"/>
        <w:ind w:firstLine="240"/>
        <w:jc w:val="both"/>
      </w:pPr>
      <w:r>
        <w:rPr>
          <w:rFonts w:ascii="標楷體" w:eastAsia="標楷體" w:hAnsi="標楷體" w:cs="標楷體"/>
          <w:color w:val="000000"/>
        </w:rPr>
        <w:lastRenderedPageBreak/>
        <w:t>附表九之九全民健康保險使用抗癌藥</w:t>
      </w:r>
      <w:r>
        <w:rPr>
          <w:rFonts w:ascii="標楷體" w:eastAsia="標楷體" w:hAnsi="標楷體" w:cs="Times New Roman"/>
          <w:color w:val="000000"/>
        </w:rPr>
        <w:t>品everolimus</w:t>
      </w:r>
      <w:r>
        <w:rPr>
          <w:rFonts w:ascii="標楷體" w:eastAsia="標楷體" w:hAnsi="標楷體" w:cs="標楷體"/>
          <w:color w:val="000000"/>
        </w:rPr>
        <w:t>申請表</w:t>
      </w:r>
    </w:p>
    <w:tbl>
      <w:tblPr>
        <w:tblW w:w="14436" w:type="dxa"/>
        <w:tblInd w:w="227" w:type="dxa"/>
        <w:tblLayout w:type="fixed"/>
        <w:tblCellMar>
          <w:left w:w="10" w:type="dxa"/>
          <w:right w:w="10" w:type="dxa"/>
        </w:tblCellMar>
        <w:tblLook w:val="0000" w:firstRow="0" w:lastRow="0" w:firstColumn="0" w:lastColumn="0" w:noHBand="0" w:noVBand="0"/>
      </w:tblPr>
      <w:tblGrid>
        <w:gridCol w:w="387"/>
        <w:gridCol w:w="401"/>
        <w:gridCol w:w="428"/>
        <w:gridCol w:w="1206"/>
        <w:gridCol w:w="239"/>
        <w:gridCol w:w="120"/>
        <w:gridCol w:w="359"/>
        <w:gridCol w:w="602"/>
        <w:gridCol w:w="564"/>
        <w:gridCol w:w="388"/>
        <w:gridCol w:w="1200"/>
        <w:gridCol w:w="599"/>
        <w:gridCol w:w="359"/>
        <w:gridCol w:w="958"/>
        <w:gridCol w:w="838"/>
        <w:gridCol w:w="374"/>
        <w:gridCol w:w="468"/>
        <w:gridCol w:w="359"/>
        <w:gridCol w:w="239"/>
        <w:gridCol w:w="599"/>
        <w:gridCol w:w="359"/>
        <w:gridCol w:w="7"/>
        <w:gridCol w:w="472"/>
        <w:gridCol w:w="361"/>
        <w:gridCol w:w="213"/>
        <w:gridCol w:w="149"/>
        <w:gridCol w:w="236"/>
        <w:gridCol w:w="604"/>
        <w:gridCol w:w="13"/>
        <w:gridCol w:w="337"/>
        <w:gridCol w:w="7"/>
        <w:gridCol w:w="951"/>
        <w:gridCol w:w="40"/>
      </w:tblGrid>
      <w:tr w:rsidR="00BD776B" w14:paraId="5F747B02" w14:textId="77777777">
        <w:trPr>
          <w:cantSplit/>
          <w:trHeight w:val="523"/>
        </w:trPr>
        <w:tc>
          <w:tcPr>
            <w:tcW w:w="2422"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8AD3404"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0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B13652"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7DE2D2" w14:textId="77777777" w:rsidR="00BD776B" w:rsidRDefault="00DF0C24">
            <w:pPr>
              <w:snapToGrid w:val="0"/>
            </w:pPr>
            <w:r>
              <w:rPr>
                <w:rFonts w:ascii="標楷體" w:eastAsia="標楷體" w:hAnsi="標楷體" w:cs="標楷體"/>
                <w:color w:val="000000"/>
                <w:sz w:val="20"/>
                <w:szCs w:val="20"/>
              </w:rPr>
              <w:t>受理日期：</w:t>
            </w:r>
          </w:p>
        </w:tc>
        <w:tc>
          <w:tcPr>
            <w:tcW w:w="25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737605" w14:textId="77777777" w:rsidR="00BD776B" w:rsidRDefault="00DF0C24">
            <w:pPr>
              <w:snapToGrid w:val="0"/>
            </w:pPr>
            <w:r>
              <w:rPr>
                <w:rFonts w:ascii="標楷體" w:eastAsia="標楷體" w:hAnsi="標楷體" w:cs="標楷體"/>
                <w:color w:val="000000"/>
                <w:sz w:val="20"/>
                <w:szCs w:val="20"/>
              </w:rPr>
              <w:t>受理編號：</w:t>
            </w:r>
          </w:p>
        </w:tc>
        <w:tc>
          <w:tcPr>
            <w:tcW w:w="287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836E98" w14:textId="77777777" w:rsidR="00BD776B" w:rsidRDefault="00DF0C24">
            <w:pPr>
              <w:snapToGrid w:val="0"/>
            </w:pPr>
            <w:r>
              <w:rPr>
                <w:rFonts w:ascii="標楷體" w:eastAsia="標楷體" w:hAnsi="標楷體" w:cs="標楷體"/>
                <w:color w:val="000000"/>
                <w:sz w:val="20"/>
                <w:szCs w:val="20"/>
              </w:rPr>
              <w:t>緊急傳真日期：</w:t>
            </w:r>
          </w:p>
        </w:tc>
        <w:tc>
          <w:tcPr>
            <w:tcW w:w="40" w:type="dxa"/>
            <w:shd w:val="clear" w:color="auto" w:fill="auto"/>
            <w:tcMar>
              <w:top w:w="0" w:type="dxa"/>
              <w:left w:w="10" w:type="dxa"/>
              <w:bottom w:w="0" w:type="dxa"/>
              <w:right w:w="10" w:type="dxa"/>
            </w:tcMar>
          </w:tcPr>
          <w:p w14:paraId="4136695A" w14:textId="77777777" w:rsidR="00BD776B" w:rsidRDefault="00BD776B">
            <w:pPr>
              <w:snapToGrid w:val="0"/>
              <w:rPr>
                <w:rFonts w:ascii="標楷體" w:eastAsia="標楷體" w:hAnsi="標楷體"/>
              </w:rPr>
            </w:pPr>
          </w:p>
        </w:tc>
      </w:tr>
      <w:tr w:rsidR="00BD776B" w14:paraId="51402AC2" w14:textId="77777777">
        <w:trPr>
          <w:cantSplit/>
          <w:trHeight w:val="517"/>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9FE95A"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C7CB35"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CB7BDB" w14:textId="77777777" w:rsidR="00BD776B" w:rsidRDefault="00BD776B">
            <w:pPr>
              <w:snapToGrid w:val="0"/>
              <w:spacing w:line="200" w:lineRule="exact"/>
              <w:rPr>
                <w:rFonts w:ascii="標楷體" w:eastAsia="標楷體" w:hAnsi="標楷體"/>
                <w:color w:val="000000"/>
                <w:sz w:val="20"/>
                <w:szCs w:val="20"/>
              </w:rPr>
            </w:pPr>
          </w:p>
        </w:tc>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5B64F6"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0C3D1A7F"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1F2E278C"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48AFDC2F"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9EC501"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F8673D"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9D91FC"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65015"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AFFD0"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38E47B4C"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5AD6F2" w14:textId="77777777" w:rsidR="00BD776B" w:rsidRDefault="00BD776B">
            <w:pPr>
              <w:snapToGrid w:val="0"/>
              <w:spacing w:line="200" w:lineRule="exact"/>
              <w:rPr>
                <w:rFonts w:ascii="標楷體" w:eastAsia="標楷體" w:hAnsi="標楷體"/>
                <w:color w:val="000000"/>
                <w:sz w:val="20"/>
                <w:szCs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F4CE91"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2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5638B"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64E8C7A6" w14:textId="77777777" w:rsidR="00BD776B" w:rsidRDefault="00BD776B">
            <w:pPr>
              <w:snapToGrid w:val="0"/>
              <w:spacing w:line="200" w:lineRule="exact"/>
              <w:rPr>
                <w:rFonts w:ascii="標楷體" w:eastAsia="標楷體" w:hAnsi="標楷體"/>
                <w:color w:val="000000"/>
                <w:sz w:val="20"/>
                <w:szCs w:val="20"/>
              </w:rPr>
            </w:pPr>
          </w:p>
        </w:tc>
      </w:tr>
      <w:tr w:rsidR="00BD776B" w14:paraId="407989D1" w14:textId="77777777">
        <w:trPr>
          <w:cantSplit/>
          <w:trHeight w:val="530"/>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B52D32" w14:textId="77777777" w:rsidR="00BD776B" w:rsidRDefault="00BD776B">
            <w:pPr>
              <w:snapToGrid w:val="0"/>
              <w:spacing w:line="200" w:lineRule="exact"/>
              <w:rPr>
                <w:rFonts w:ascii="標楷體" w:eastAsia="標楷體" w:hAnsi="標楷體"/>
                <w:color w:val="000000"/>
                <w:sz w:val="20"/>
                <w:szCs w:val="20"/>
              </w:rPr>
            </w:pP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938D0A"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96831C" w14:textId="77777777" w:rsidR="00BD776B" w:rsidRDefault="00BD776B">
            <w:pPr>
              <w:snapToGrid w:val="0"/>
              <w:spacing w:line="200" w:lineRule="exact"/>
              <w:rPr>
                <w:rFonts w:ascii="標楷體" w:eastAsia="標楷體" w:hAnsi="標楷體"/>
                <w:color w:val="000000"/>
                <w:sz w:val="20"/>
                <w:szCs w:val="20"/>
              </w:rPr>
            </w:pPr>
          </w:p>
        </w:tc>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30B823" w14:textId="77777777" w:rsidR="00BD776B" w:rsidRDefault="00BD776B">
            <w:pPr>
              <w:snapToGrid w:val="0"/>
              <w:spacing w:line="200" w:lineRule="exact"/>
              <w:rPr>
                <w:rFonts w:ascii="標楷體" w:eastAsia="標楷體" w:hAnsi="標楷體"/>
                <w:color w:val="000000"/>
                <w:sz w:val="20"/>
                <w:szCs w:val="20"/>
              </w:rPr>
            </w:pP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15174A" w14:textId="77777777" w:rsidR="00BD776B" w:rsidRDefault="00DF0C24">
            <w:pPr>
              <w:snapToGrid w:val="0"/>
              <w:spacing w:line="200" w:lineRule="exact"/>
            </w:pPr>
            <w:r>
              <w:rPr>
                <w:rFonts w:ascii="標楷體" w:eastAsia="標楷體" w:hAnsi="標楷體" w:cs="標楷體"/>
                <w:color w:val="000000"/>
                <w:sz w:val="20"/>
                <w:szCs w:val="20"/>
              </w:rPr>
              <w:t>身分證</w:t>
            </w:r>
          </w:p>
          <w:p w14:paraId="222B6666"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041BE9" w14:textId="77777777" w:rsidR="00BD776B" w:rsidRDefault="00BD776B">
            <w:pPr>
              <w:snapToGrid w:val="0"/>
              <w:spacing w:line="200" w:lineRule="exact"/>
              <w:rPr>
                <w:rFonts w:ascii="標楷體" w:eastAsia="標楷體" w:hAnsi="標楷體"/>
                <w:color w:val="000000"/>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AFB714"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6E0F3070"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C21F0A"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2DA144"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90975A"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4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0B35E1" w14:textId="77777777" w:rsidR="00BD776B" w:rsidRDefault="00BD776B">
            <w:pPr>
              <w:snapToGrid w:val="0"/>
              <w:spacing w:line="200" w:lineRule="exact"/>
              <w:rPr>
                <w:rFonts w:ascii="標楷體" w:eastAsia="標楷體" w:hAnsi="標楷體"/>
                <w:color w:val="000000"/>
                <w:sz w:val="20"/>
                <w:szCs w:val="20"/>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1EDEF0"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5B9419"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7C4D671C" w14:textId="77777777" w:rsidR="00BD776B" w:rsidRDefault="00BD776B">
            <w:pPr>
              <w:snapToGrid w:val="0"/>
              <w:spacing w:line="200" w:lineRule="exact"/>
              <w:rPr>
                <w:rFonts w:ascii="標楷體" w:eastAsia="標楷體" w:hAnsi="標楷體"/>
                <w:color w:val="000000"/>
                <w:sz w:val="20"/>
                <w:szCs w:val="20"/>
              </w:rPr>
            </w:pPr>
          </w:p>
        </w:tc>
      </w:tr>
      <w:tr w:rsidR="00BD776B" w14:paraId="2D1E8E28" w14:textId="77777777">
        <w:trPr>
          <w:cantSplit/>
          <w:trHeight w:val="613"/>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A8FF74"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ICD-10代碼</w:t>
            </w:r>
          </w:p>
        </w:tc>
        <w:tc>
          <w:tcPr>
            <w:tcW w:w="25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5CC788" w14:textId="77777777" w:rsidR="00BD776B" w:rsidRDefault="00BD776B">
            <w:pPr>
              <w:snapToGrid w:val="0"/>
              <w:spacing w:line="200" w:lineRule="exact"/>
              <w:rPr>
                <w:rFonts w:ascii="標楷體" w:eastAsia="標楷體" w:hAnsi="標楷體"/>
                <w:color w:val="000000"/>
                <w:sz w:val="20"/>
                <w:szCs w:val="20"/>
              </w:rPr>
            </w:pP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5F5D55"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1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8C772B"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C49F09"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F16041F"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c>
          <w:tcPr>
            <w:tcW w:w="40" w:type="dxa"/>
            <w:shd w:val="clear" w:color="auto" w:fill="auto"/>
            <w:tcMar>
              <w:top w:w="0" w:type="dxa"/>
              <w:left w:w="10" w:type="dxa"/>
              <w:bottom w:w="0" w:type="dxa"/>
              <w:right w:w="10" w:type="dxa"/>
            </w:tcMar>
          </w:tcPr>
          <w:p w14:paraId="2AA8E9D0" w14:textId="77777777" w:rsidR="00BD776B" w:rsidRDefault="00BD776B">
            <w:pPr>
              <w:snapToGrid w:val="0"/>
              <w:spacing w:line="200" w:lineRule="exact"/>
              <w:rPr>
                <w:rFonts w:ascii="標楷體" w:eastAsia="標楷體" w:hAnsi="標楷體"/>
              </w:rPr>
            </w:pPr>
          </w:p>
        </w:tc>
      </w:tr>
      <w:tr w:rsidR="00BD776B" w14:paraId="4BF1DD33" w14:textId="77777777">
        <w:trPr>
          <w:cantSplit/>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4053D9" w14:textId="77777777" w:rsidR="00BD776B" w:rsidRDefault="00DF0C24">
            <w:pPr>
              <w:snapToGrid w:val="0"/>
              <w:spacing w:line="200" w:lineRule="exact"/>
              <w:jc w:val="center"/>
            </w:pPr>
            <w:r>
              <w:rPr>
                <w:rFonts w:ascii="標楷體" w:eastAsia="標楷體" w:hAnsi="標楷體" w:cs="標楷體"/>
                <w:color w:val="000000"/>
                <w:sz w:val="20"/>
                <w:szCs w:val="20"/>
              </w:rPr>
              <w:t>藥品代碼</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DD71F7"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69EB2C"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6FB3AD"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024CD2A3"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396213"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2C7448D9"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41B846D"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40" w:type="dxa"/>
            <w:shd w:val="clear" w:color="auto" w:fill="auto"/>
            <w:tcMar>
              <w:top w:w="0" w:type="dxa"/>
              <w:left w:w="10" w:type="dxa"/>
              <w:bottom w:w="0" w:type="dxa"/>
              <w:right w:w="10" w:type="dxa"/>
            </w:tcMar>
          </w:tcPr>
          <w:p w14:paraId="2EB40A0A" w14:textId="77777777" w:rsidR="00BD776B" w:rsidRDefault="00BD776B">
            <w:pPr>
              <w:snapToGrid w:val="0"/>
              <w:spacing w:line="200" w:lineRule="exact"/>
              <w:jc w:val="center"/>
              <w:rPr>
                <w:rFonts w:ascii="標楷體" w:eastAsia="標楷體" w:hAnsi="標楷體"/>
              </w:rPr>
            </w:pPr>
          </w:p>
        </w:tc>
      </w:tr>
      <w:tr w:rsidR="00BD776B" w14:paraId="3B798ACC" w14:textId="77777777">
        <w:trPr>
          <w:cantSplit/>
          <w:trHeight w:val="2910"/>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FD6E1" w14:textId="77777777" w:rsidR="00BD776B" w:rsidRDefault="00BD776B">
            <w:pPr>
              <w:snapToGrid w:val="0"/>
              <w:spacing w:line="200" w:lineRule="exact"/>
              <w:rPr>
                <w:rFonts w:ascii="標楷體" w:eastAsia="標楷體" w:hAnsi="標楷體"/>
                <w:u w:val="single"/>
              </w:rPr>
            </w:pPr>
          </w:p>
          <w:p w14:paraId="12A3380E" w14:textId="77777777" w:rsidR="00BD776B" w:rsidRDefault="00DF0C24">
            <w:pPr>
              <w:snapToGrid w:val="0"/>
              <w:spacing w:line="200" w:lineRule="exact"/>
              <w:rPr>
                <w:rFonts w:ascii="標楷體" w:eastAsia="標楷體" w:hAnsi="標楷體"/>
                <w:sz w:val="20"/>
                <w:szCs w:val="20"/>
              </w:rPr>
            </w:pPr>
            <w:r>
              <w:rPr>
                <w:rFonts w:ascii="標楷體" w:eastAsia="標楷體" w:hAnsi="標楷體"/>
                <w:sz w:val="20"/>
                <w:szCs w:val="20"/>
              </w:rPr>
              <w:t>Afinitor5mg&amp;10mgtablets</w:t>
            </w:r>
          </w:p>
          <w:p w14:paraId="1AAA1B0C" w14:textId="77777777" w:rsidR="00BD776B" w:rsidRDefault="00BD776B">
            <w:pPr>
              <w:snapToGrid w:val="0"/>
              <w:spacing w:line="200" w:lineRule="exact"/>
              <w:rPr>
                <w:rFonts w:ascii="標楷體" w:eastAsia="標楷體" w:hAnsi="標楷體"/>
                <w:u w:val="single"/>
              </w:rPr>
            </w:pPr>
          </w:p>
          <w:p w14:paraId="0ADC6A6A" w14:textId="77777777" w:rsidR="00BD776B" w:rsidRDefault="00DF0C24">
            <w:pPr>
              <w:snapToGrid w:val="0"/>
            </w:pPr>
            <w:r>
              <w:rPr>
                <w:rFonts w:ascii="標楷體" w:eastAsia="標楷體" w:hAnsi="標楷體" w:cs="標楷體"/>
                <w:color w:val="000000"/>
                <w:sz w:val="20"/>
                <w:szCs w:val="20"/>
              </w:rPr>
              <w:t>□</w:t>
            </w:r>
            <w:r>
              <w:rPr>
                <w:rFonts w:ascii="標楷體" w:eastAsia="標楷體" w:hAnsi="標楷體" w:cs="新細明體"/>
                <w:kern w:val="0"/>
                <w:sz w:val="16"/>
                <w:szCs w:val="16"/>
              </w:rPr>
              <w:t>B025165100</w:t>
            </w:r>
          </w:p>
          <w:p w14:paraId="44EB09D2" w14:textId="77777777" w:rsidR="00BD776B" w:rsidRDefault="00DF0C24">
            <w:pPr>
              <w:widowControl/>
              <w:snapToGrid w:val="0"/>
            </w:pPr>
            <w:r>
              <w:rPr>
                <w:rFonts w:ascii="標楷體" w:eastAsia="標楷體" w:hAnsi="標楷體" w:cs="標楷體"/>
                <w:color w:val="000000"/>
                <w:sz w:val="20"/>
                <w:szCs w:val="20"/>
              </w:rPr>
              <w:t>□</w:t>
            </w:r>
            <w:r>
              <w:rPr>
                <w:rFonts w:ascii="標楷體" w:eastAsia="標楷體" w:hAnsi="標楷體" w:cs="新細明體"/>
                <w:kern w:val="0"/>
                <w:sz w:val="16"/>
                <w:szCs w:val="16"/>
              </w:rPr>
              <w:t>B025166100</w:t>
            </w:r>
          </w:p>
          <w:p w14:paraId="07E4A8AA" w14:textId="77777777" w:rsidR="00BD776B" w:rsidRDefault="00DF0C24">
            <w:pPr>
              <w:widowControl/>
              <w:snapToGrid w:val="0"/>
            </w:pPr>
            <w:r>
              <w:rPr>
                <w:rFonts w:ascii="標楷體" w:eastAsia="標楷體" w:hAnsi="標楷體" w:cs="標楷體"/>
                <w:color w:val="000000"/>
                <w:sz w:val="20"/>
                <w:szCs w:val="20"/>
              </w:rPr>
              <w:t>□</w:t>
            </w:r>
            <w:r>
              <w:rPr>
                <w:rFonts w:ascii="標楷體" w:eastAsia="標楷體" w:hAnsi="標楷體"/>
                <w:color w:val="000000"/>
                <w:sz w:val="16"/>
                <w:szCs w:val="16"/>
              </w:rPr>
              <w:t>V000020100</w:t>
            </w:r>
          </w:p>
          <w:p w14:paraId="6A274065" w14:textId="77777777" w:rsidR="00BD776B" w:rsidRDefault="00DF0C24">
            <w:pPr>
              <w:widowControl/>
              <w:snapToGrid w:val="0"/>
            </w:pPr>
            <w:r>
              <w:rPr>
                <w:rFonts w:ascii="標楷體" w:eastAsia="標楷體" w:hAnsi="標楷體" w:cs="標楷體"/>
                <w:color w:val="000000"/>
                <w:sz w:val="20"/>
                <w:szCs w:val="20"/>
              </w:rPr>
              <w:t>□</w:t>
            </w:r>
            <w:r>
              <w:rPr>
                <w:rFonts w:ascii="標楷體" w:eastAsia="標楷體" w:hAnsi="標楷體"/>
                <w:color w:val="000000"/>
                <w:sz w:val="16"/>
                <w:szCs w:val="16"/>
              </w:rPr>
              <w:t>V000021100</w:t>
            </w:r>
          </w:p>
          <w:p w14:paraId="7EDE5D32" w14:textId="77777777" w:rsidR="00BD776B" w:rsidRDefault="00BD776B">
            <w:pPr>
              <w:snapToGrid w:val="0"/>
              <w:spacing w:line="200" w:lineRule="exact"/>
              <w:rPr>
                <w:rFonts w:ascii="標楷體" w:eastAsia="標楷體" w:hAnsi="標楷體"/>
                <w:color w:val="000000"/>
                <w:sz w:val="20"/>
                <w:szCs w:val="20"/>
              </w:rPr>
            </w:pP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A46B1" w14:textId="77777777" w:rsidR="00BD776B" w:rsidRDefault="00BD776B">
            <w:pPr>
              <w:snapToGrid w:val="0"/>
              <w:spacing w:before="180"/>
              <w:ind w:left="269" w:hanging="269"/>
              <w:rPr>
                <w:rFonts w:ascii="標楷體" w:eastAsia="標楷體" w:hAnsi="標楷體"/>
                <w:u w:val="single"/>
              </w:rPr>
            </w:pPr>
          </w:p>
          <w:p w14:paraId="2666D423" w14:textId="77777777" w:rsidR="00BD776B" w:rsidRDefault="00DF0C24">
            <w:pPr>
              <w:snapToGrid w:val="0"/>
              <w:spacing w:line="200" w:lineRule="exact"/>
              <w:ind w:left="320" w:hanging="320"/>
            </w:pPr>
            <w:r>
              <w:rPr>
                <w:rFonts w:ascii="標楷體" w:eastAsia="標楷體" w:hAnsi="標楷體" w:cs="標楷體"/>
                <w:color w:val="000000"/>
                <w:sz w:val="20"/>
                <w:szCs w:val="20"/>
              </w:rPr>
              <w:t>□第一次申請</w:t>
            </w:r>
          </w:p>
          <w:p w14:paraId="51E50267" w14:textId="77777777" w:rsidR="00BD776B" w:rsidRDefault="00BD776B">
            <w:pPr>
              <w:snapToGrid w:val="0"/>
              <w:spacing w:line="200" w:lineRule="exact"/>
              <w:ind w:left="220" w:hanging="100"/>
              <w:rPr>
                <w:rFonts w:ascii="標楷體" w:eastAsia="標楷體" w:hAnsi="標楷體" w:cs="標楷體"/>
                <w:color w:val="000000"/>
                <w:sz w:val="20"/>
                <w:szCs w:val="20"/>
              </w:rPr>
            </w:pPr>
          </w:p>
          <w:p w14:paraId="599A1264" w14:textId="77777777" w:rsidR="00BD776B" w:rsidRDefault="00DF0C24">
            <w:pPr>
              <w:snapToGrid w:val="0"/>
              <w:spacing w:line="200" w:lineRule="exact"/>
              <w:ind w:left="320" w:hanging="320"/>
            </w:pPr>
            <w:r>
              <w:rPr>
                <w:rFonts w:ascii="標楷體" w:eastAsia="標楷體" w:hAnsi="標楷體" w:cs="標楷體"/>
                <w:color w:val="000000"/>
                <w:sz w:val="20"/>
                <w:szCs w:val="20"/>
              </w:rPr>
              <w:t>□治療後再次申請</w:t>
            </w:r>
          </w:p>
          <w:p w14:paraId="06C07287" w14:textId="77777777" w:rsidR="00BD776B" w:rsidRDefault="00BD776B">
            <w:pPr>
              <w:snapToGrid w:val="0"/>
              <w:spacing w:before="180"/>
              <w:ind w:left="224" w:hanging="224"/>
              <w:rPr>
                <w:rFonts w:ascii="標楷體" w:eastAsia="標楷體" w:hAnsi="標楷體"/>
                <w:color w:val="000000"/>
                <w:sz w:val="20"/>
                <w:szCs w:val="20"/>
              </w:rPr>
            </w:pP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6639C" w14:textId="77777777" w:rsidR="00BD776B" w:rsidRDefault="00BD776B">
            <w:pPr>
              <w:pStyle w:val="ad"/>
              <w:snapToGrid w:val="0"/>
              <w:spacing w:before="180" w:after="180"/>
              <w:ind w:left="200" w:hanging="200"/>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824D9" w14:textId="77777777" w:rsidR="00BD776B" w:rsidRDefault="00BD776B">
            <w:pPr>
              <w:snapToGrid w:val="0"/>
              <w:spacing w:line="200" w:lineRule="exact"/>
              <w:rPr>
                <w:rFonts w:ascii="標楷體" w:eastAsia="標楷體" w:hAnsi="標楷體"/>
                <w:color w:val="000000"/>
                <w:sz w:val="20"/>
                <w:szCs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A761E" w14:textId="77777777" w:rsidR="00BD776B" w:rsidRDefault="00BD776B">
            <w:pPr>
              <w:snapToGrid w:val="0"/>
              <w:rPr>
                <w:rFonts w:ascii="標楷體" w:eastAsia="標楷體" w:hAnsi="標楷體"/>
                <w:color w:val="000000"/>
                <w:sz w:val="20"/>
                <w:szCs w:val="20"/>
              </w:rPr>
            </w:pPr>
          </w:p>
        </w:tc>
        <w:tc>
          <w:tcPr>
            <w:tcW w:w="4906" w:type="dxa"/>
            <w:gridSpan w:val="15"/>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4E23C36" w14:textId="77777777" w:rsidR="00BD776B" w:rsidRDefault="00DF0C24" w:rsidP="008A7063">
            <w:pPr>
              <w:numPr>
                <w:ilvl w:val="0"/>
                <w:numId w:val="71"/>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762C98E3"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27F2424A" w14:textId="77777777" w:rsidR="00BD776B" w:rsidRDefault="00DF0C24">
            <w:pPr>
              <w:snapToGrid w:val="0"/>
              <w:spacing w:line="240" w:lineRule="exact"/>
            </w:pPr>
            <w:r>
              <w:rPr>
                <w:rFonts w:ascii="標楷體" w:eastAsia="標楷體" w:hAnsi="標楷體" w:cs="標楷體"/>
                <w:color w:val="000000"/>
                <w:sz w:val="20"/>
                <w:szCs w:val="20"/>
              </w:rPr>
              <w:t>□不同意</w:t>
            </w:r>
          </w:p>
          <w:p w14:paraId="13E5D43F"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730C33AD"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362755EE"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1E185C76"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279FDBE8"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3AC4203C" w14:textId="77777777" w:rsidR="00BD776B" w:rsidRDefault="00DF0C24" w:rsidP="008A7063">
            <w:pPr>
              <w:numPr>
                <w:ilvl w:val="0"/>
                <w:numId w:val="71"/>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1115662E" w14:textId="77777777" w:rsidR="00BD776B" w:rsidRDefault="00DF0C24" w:rsidP="008A7063">
            <w:pPr>
              <w:numPr>
                <w:ilvl w:val="0"/>
                <w:numId w:val="71"/>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7CFDB804"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2C897255" w14:textId="77777777" w:rsidR="00BD776B" w:rsidRDefault="00DF0C24" w:rsidP="008A7063">
            <w:pPr>
              <w:numPr>
                <w:ilvl w:val="0"/>
                <w:numId w:val="71"/>
              </w:numPr>
              <w:tabs>
                <w:tab w:val="left" w:pos="240"/>
              </w:tabs>
              <w:snapToGrid w:val="0"/>
              <w:spacing w:line="240" w:lineRule="exact"/>
              <w:ind w:left="478" w:hanging="238"/>
            </w:pPr>
            <w:r>
              <w:rPr>
                <w:rFonts w:ascii="標楷體" w:eastAsia="標楷體" w:hAnsi="標楷體" w:cs="標楷體"/>
                <w:color w:val="000000"/>
                <w:sz w:val="20"/>
                <w:szCs w:val="20"/>
              </w:rPr>
              <w:t>其他：</w:t>
            </w:r>
          </w:p>
        </w:tc>
        <w:tc>
          <w:tcPr>
            <w:tcW w:w="40" w:type="dxa"/>
            <w:shd w:val="clear" w:color="auto" w:fill="auto"/>
            <w:tcMar>
              <w:top w:w="0" w:type="dxa"/>
              <w:left w:w="10" w:type="dxa"/>
              <w:bottom w:w="0" w:type="dxa"/>
              <w:right w:w="10" w:type="dxa"/>
            </w:tcMar>
          </w:tcPr>
          <w:p w14:paraId="2FF3EA8A" w14:textId="77777777" w:rsidR="00BD776B" w:rsidRDefault="00BD776B">
            <w:pPr>
              <w:tabs>
                <w:tab w:val="left" w:pos="240"/>
              </w:tabs>
              <w:snapToGrid w:val="0"/>
              <w:spacing w:line="240" w:lineRule="exact"/>
              <w:ind w:left="478" w:hanging="238"/>
              <w:rPr>
                <w:rFonts w:ascii="標楷體" w:eastAsia="標楷體" w:hAnsi="標楷體"/>
              </w:rPr>
            </w:pPr>
          </w:p>
        </w:tc>
      </w:tr>
      <w:tr w:rsidR="00BD776B" w14:paraId="79ACA5C8" w14:textId="77777777">
        <w:trPr>
          <w:cantSplit/>
          <w:trHeight w:val="916"/>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E85B5" w14:textId="77777777" w:rsidR="00BD776B" w:rsidRDefault="00DF0C24">
            <w:pPr>
              <w:snapToGrid w:val="0"/>
              <w:ind w:left="113" w:right="113"/>
            </w:pPr>
            <w:r>
              <w:rPr>
                <w:rFonts w:ascii="標楷體" w:eastAsia="標楷體" w:hAnsi="標楷體" w:cs="標楷體"/>
                <w:color w:val="000000"/>
              </w:rPr>
              <w:t>注意事項</w:t>
            </w:r>
          </w:p>
          <w:p w14:paraId="4DEC432D" w14:textId="77777777" w:rsidR="00BD776B" w:rsidRDefault="00BD776B">
            <w:pPr>
              <w:snapToGrid w:val="0"/>
              <w:spacing w:line="200" w:lineRule="exact"/>
              <w:ind w:left="324" w:right="113" w:hanging="211"/>
              <w:rPr>
                <w:rFonts w:ascii="標楷體" w:eastAsia="標楷體" w:hAnsi="標楷體"/>
                <w:color w:val="000000"/>
                <w:sz w:val="20"/>
                <w:szCs w:val="20"/>
              </w:rPr>
            </w:pPr>
          </w:p>
        </w:tc>
        <w:tc>
          <w:tcPr>
            <w:tcW w:w="9103"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9E7B1"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719A630A"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2.「原受理編號」申復時填寫，初次送核不須填寫。</w:t>
            </w:r>
          </w:p>
          <w:p w14:paraId="4AD66CA5"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1F12D314"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303877A4"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01528C19" w14:textId="77777777" w:rsidR="00BD776B" w:rsidRDefault="00DF0C24">
            <w:pPr>
              <w:snapToGrid w:val="0"/>
              <w:spacing w:line="24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56D5536D" w14:textId="77777777" w:rsidR="00BD776B" w:rsidRDefault="00DF0C24">
            <w:pPr>
              <w:snapToGrid w:val="0"/>
              <w:spacing w:line="240" w:lineRule="exact"/>
              <w:ind w:left="140" w:hanging="140"/>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tc>
        <w:tc>
          <w:tcPr>
            <w:tcW w:w="4906" w:type="dxa"/>
            <w:gridSpan w:val="15"/>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0EE6D37"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65E0BC82" w14:textId="77777777" w:rsidR="00BD776B" w:rsidRDefault="00BD776B">
            <w:pPr>
              <w:snapToGrid w:val="0"/>
              <w:spacing w:line="200" w:lineRule="exact"/>
              <w:rPr>
                <w:rFonts w:ascii="標楷體" w:eastAsia="標楷體" w:hAnsi="標楷體"/>
                <w:color w:val="000000"/>
                <w:sz w:val="20"/>
                <w:szCs w:val="20"/>
              </w:rPr>
            </w:pPr>
          </w:p>
        </w:tc>
      </w:tr>
      <w:tr w:rsidR="00BD776B" w14:paraId="75B02002" w14:textId="77777777">
        <w:trPr>
          <w:cantSplit/>
          <w:trHeight w:val="789"/>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0F2B3" w14:textId="77777777" w:rsidR="00BD776B" w:rsidRDefault="00BD776B">
            <w:pPr>
              <w:snapToGrid w:val="0"/>
              <w:ind w:left="211" w:hanging="211"/>
              <w:rPr>
                <w:rFonts w:ascii="標楷體" w:eastAsia="標楷體" w:hAnsi="標楷體"/>
                <w:color w:val="000000"/>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B9F68" w14:textId="77777777" w:rsidR="00BD776B" w:rsidRDefault="00BD776B">
            <w:pPr>
              <w:snapToGrid w:val="0"/>
              <w:ind w:left="211" w:hanging="211"/>
              <w:rPr>
                <w:rFonts w:ascii="標楷體" w:eastAsia="標楷體" w:hAnsi="標楷體"/>
                <w:color w:val="000000"/>
              </w:rPr>
            </w:pPr>
          </w:p>
        </w:tc>
        <w:tc>
          <w:tcPr>
            <w:tcW w:w="3611" w:type="dxa"/>
            <w:gridSpan w:val="1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F45A6" w14:textId="77777777" w:rsidR="00BD776B" w:rsidRDefault="00BD776B">
            <w:pPr>
              <w:snapToGrid w:val="0"/>
              <w:jc w:val="both"/>
              <w:rPr>
                <w:rFonts w:ascii="標楷體" w:eastAsia="標楷體" w:hAnsi="標楷體"/>
                <w:color w:val="000000"/>
              </w:rPr>
            </w:pPr>
          </w:p>
          <w:p w14:paraId="3D8FEEA9" w14:textId="77777777" w:rsidR="00BD776B" w:rsidRDefault="00DF0C24">
            <w:pPr>
              <w:snapToGrid w:val="0"/>
              <w:jc w:val="both"/>
            </w:pPr>
            <w:r>
              <w:rPr>
                <w:rFonts w:ascii="標楷體" w:eastAsia="標楷體" w:hAnsi="標楷體" w:cs="標楷體"/>
                <w:color w:val="000000"/>
                <w:sz w:val="20"/>
                <w:szCs w:val="20"/>
              </w:rPr>
              <w:t>保險人日期章戳</w:t>
            </w:r>
          </w:p>
        </w:tc>
        <w:tc>
          <w:tcPr>
            <w:tcW w:w="3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39EE3" w14:textId="77777777" w:rsidR="00BD776B" w:rsidRDefault="00DF0C24">
            <w:pPr>
              <w:snapToGrid w:val="0"/>
            </w:pPr>
            <w:r>
              <w:rPr>
                <w:rFonts w:ascii="標楷體" w:eastAsia="標楷體" w:hAnsi="標楷體" w:cs="標楷體"/>
                <w:color w:val="000000"/>
              </w:rPr>
              <w:t>審查醫師</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34DF8"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15C30554" w14:textId="77777777" w:rsidR="00BD776B" w:rsidRDefault="00BD776B">
            <w:pPr>
              <w:snapToGrid w:val="0"/>
              <w:rPr>
                <w:rFonts w:ascii="標楷體" w:eastAsia="標楷體" w:hAnsi="標楷體"/>
                <w:color w:val="000000"/>
              </w:rPr>
            </w:pPr>
          </w:p>
        </w:tc>
      </w:tr>
      <w:tr w:rsidR="00BD776B" w14:paraId="6CD33A2B" w14:textId="77777777">
        <w:trPr>
          <w:cantSplit/>
          <w:trHeight w:val="710"/>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8EB49" w14:textId="77777777" w:rsidR="00BD776B" w:rsidRDefault="00BD776B">
            <w:pPr>
              <w:snapToGrid w:val="0"/>
              <w:ind w:left="211" w:hanging="211"/>
              <w:rPr>
                <w:rFonts w:ascii="標楷體" w:eastAsia="標楷體" w:hAnsi="標楷體"/>
                <w:color w:val="000000"/>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6FB0E" w14:textId="77777777" w:rsidR="00BD776B" w:rsidRDefault="00BD776B">
            <w:pPr>
              <w:snapToGrid w:val="0"/>
              <w:ind w:left="211" w:hanging="211"/>
              <w:rPr>
                <w:rFonts w:ascii="標楷體" w:eastAsia="標楷體" w:hAnsi="標楷體"/>
                <w:color w:val="000000"/>
              </w:rPr>
            </w:pPr>
          </w:p>
        </w:tc>
        <w:tc>
          <w:tcPr>
            <w:tcW w:w="3611" w:type="dxa"/>
            <w:gridSpan w:val="1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A1005" w14:textId="77777777" w:rsidR="00BD776B" w:rsidRDefault="00BD776B">
            <w:pPr>
              <w:snapToGrid w:val="0"/>
              <w:jc w:val="both"/>
              <w:rPr>
                <w:rFonts w:ascii="標楷體" w:eastAsia="標楷體" w:hAnsi="標楷體"/>
                <w:color w:val="000000"/>
              </w:rPr>
            </w:pPr>
          </w:p>
        </w:tc>
        <w:tc>
          <w:tcPr>
            <w:tcW w:w="3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5D24" w14:textId="77777777" w:rsidR="00BD776B" w:rsidRDefault="00BD776B">
            <w:pPr>
              <w:snapToGrid w:val="0"/>
              <w:rPr>
                <w:rFonts w:ascii="標楷體" w:eastAsia="標楷體" w:hAnsi="標楷體" w:cs="標楷體"/>
                <w:color w:val="000000"/>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94C"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530E760A" w14:textId="77777777" w:rsidR="00BD776B" w:rsidRDefault="00BD776B">
            <w:pPr>
              <w:snapToGrid w:val="0"/>
              <w:rPr>
                <w:rFonts w:ascii="標楷體" w:eastAsia="標楷體" w:hAnsi="標楷體"/>
                <w:color w:val="000000"/>
              </w:rPr>
            </w:pPr>
          </w:p>
        </w:tc>
      </w:tr>
      <w:tr w:rsidR="00BD776B" w14:paraId="3ABE7F7C" w14:textId="77777777">
        <w:trPr>
          <w:cantSplit/>
          <w:trHeight w:val="611"/>
        </w:trPr>
        <w:tc>
          <w:tcPr>
            <w:tcW w:w="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B69F8" w14:textId="77777777" w:rsidR="00BD776B" w:rsidRDefault="00BD776B">
            <w:pPr>
              <w:snapToGrid w:val="0"/>
              <w:spacing w:line="200" w:lineRule="exact"/>
              <w:rPr>
                <w:rFonts w:ascii="標楷體" w:eastAsia="標楷體" w:hAnsi="標楷體" w:cs="標楷體"/>
                <w:color w:val="000000"/>
                <w:sz w:val="20"/>
                <w:szCs w:val="20"/>
              </w:rPr>
            </w:pPr>
          </w:p>
          <w:p w14:paraId="79CD5417" w14:textId="77777777" w:rsidR="00BD776B" w:rsidRDefault="00DF0C24">
            <w:pPr>
              <w:snapToGrid w:val="0"/>
              <w:spacing w:line="200" w:lineRule="exact"/>
            </w:pPr>
            <w:r>
              <w:rPr>
                <w:rFonts w:ascii="標楷體" w:eastAsia="標楷體" w:hAnsi="標楷體" w:cs="標楷體"/>
                <w:color w:val="000000"/>
                <w:sz w:val="20"/>
                <w:szCs w:val="20"/>
              </w:rPr>
              <w:t>醫事服務機構</w:t>
            </w:r>
          </w:p>
        </w:tc>
        <w:tc>
          <w:tcPr>
            <w:tcW w:w="870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FE014" w14:textId="77777777" w:rsidR="00BD776B" w:rsidRDefault="00DF0C24">
            <w:pPr>
              <w:snapToGrid w:val="0"/>
              <w:spacing w:line="200" w:lineRule="exact"/>
            </w:pPr>
            <w:r>
              <w:rPr>
                <w:rFonts w:ascii="標楷體" w:eastAsia="標楷體" w:hAnsi="標楷體" w:cs="標楷體"/>
                <w:color w:val="000000"/>
                <w:sz w:val="20"/>
                <w:szCs w:val="20"/>
              </w:rPr>
              <w:t>醫院申請日期：  年  月  日</w:t>
            </w:r>
          </w:p>
          <w:p w14:paraId="42E4447E" w14:textId="77777777" w:rsidR="00BD776B" w:rsidRDefault="00BD776B">
            <w:pPr>
              <w:snapToGrid w:val="0"/>
              <w:spacing w:line="200" w:lineRule="exact"/>
              <w:rPr>
                <w:rFonts w:ascii="標楷體" w:eastAsia="標楷體" w:hAnsi="標楷體"/>
                <w:color w:val="000000"/>
                <w:sz w:val="20"/>
                <w:szCs w:val="20"/>
              </w:rPr>
            </w:pPr>
          </w:p>
          <w:p w14:paraId="4A247ED3" w14:textId="77777777" w:rsidR="00BD776B" w:rsidRDefault="00DF0C24">
            <w:pPr>
              <w:snapToGrid w:val="0"/>
              <w:spacing w:line="200" w:lineRule="exact"/>
            </w:pPr>
            <w:r>
              <w:rPr>
                <w:rFonts w:ascii="標楷體" w:eastAsia="標楷體" w:hAnsi="標楷體" w:cs="標楷體"/>
                <w:color w:val="000000"/>
                <w:sz w:val="20"/>
                <w:szCs w:val="20"/>
              </w:rPr>
              <w:t>印信</w:t>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s="標楷體"/>
                <w:color w:val="000000"/>
                <w:sz w:val="20"/>
                <w:szCs w:val="20"/>
              </w:rPr>
              <w:t>文號：</w:t>
            </w: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23173"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83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D00FF3" w14:textId="77777777" w:rsidR="00BD776B" w:rsidRDefault="00BD776B">
            <w:pPr>
              <w:widowControl/>
              <w:snapToGrid w:val="0"/>
              <w:spacing w:line="200" w:lineRule="exact"/>
              <w:rPr>
                <w:rFonts w:ascii="標楷體" w:eastAsia="標楷體" w:hAnsi="標楷體"/>
                <w:color w:val="000000"/>
                <w:sz w:val="20"/>
                <w:szCs w:val="20"/>
              </w:rPr>
            </w:pPr>
          </w:p>
          <w:p w14:paraId="3800AAD4" w14:textId="77777777" w:rsidR="00BD776B" w:rsidRDefault="00BD776B">
            <w:pPr>
              <w:snapToGrid w:val="0"/>
              <w:spacing w:line="200" w:lineRule="exact"/>
              <w:rPr>
                <w:rFonts w:ascii="標楷體" w:eastAsia="標楷體" w:hAnsi="標楷體"/>
                <w:color w:val="000000"/>
                <w:sz w:val="20"/>
                <w:szCs w:val="20"/>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660C8" w14:textId="77777777" w:rsidR="00BD776B" w:rsidRDefault="00DF0C24">
            <w:pPr>
              <w:widowControl/>
              <w:snapToGrid w:val="0"/>
              <w:spacing w:line="200" w:lineRule="exact"/>
            </w:pPr>
            <w:r>
              <w:rPr>
                <w:rFonts w:ascii="標楷體" w:eastAsia="標楷體" w:hAnsi="標楷體" w:cs="標楷體"/>
                <w:color w:val="000000"/>
                <w:sz w:val="20"/>
                <w:szCs w:val="20"/>
              </w:rPr>
              <w:t>複核</w:t>
            </w:r>
          </w:p>
          <w:p w14:paraId="65DBA35C" w14:textId="77777777" w:rsidR="00BD776B" w:rsidRDefault="00BD776B">
            <w:pPr>
              <w:widowControl/>
              <w:snapToGrid w:val="0"/>
              <w:spacing w:line="200" w:lineRule="exact"/>
              <w:rPr>
                <w:rFonts w:ascii="標楷體" w:eastAsia="標楷體" w:hAnsi="標楷體"/>
                <w:color w:val="000000"/>
                <w:sz w:val="20"/>
                <w:szCs w:val="20"/>
              </w:rPr>
            </w:pP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6DDEF" w14:textId="77777777" w:rsidR="00BD776B" w:rsidRDefault="00BD776B">
            <w:pPr>
              <w:widowControl/>
              <w:snapToGrid w:val="0"/>
              <w:spacing w:line="200" w:lineRule="exact"/>
              <w:rPr>
                <w:rFonts w:ascii="標楷體" w:eastAsia="標楷體" w:hAnsi="標楷體"/>
                <w:color w:val="000000"/>
                <w:sz w:val="20"/>
                <w:szCs w:val="20"/>
              </w:rPr>
            </w:pPr>
          </w:p>
          <w:p w14:paraId="264CE7AD" w14:textId="77777777" w:rsidR="00BD776B" w:rsidRDefault="00BD776B">
            <w:pPr>
              <w:snapToGrid w:val="0"/>
              <w:spacing w:line="200" w:lineRule="exact"/>
              <w:rPr>
                <w:rFonts w:ascii="標楷體" w:eastAsia="標楷體" w:hAnsi="標楷體"/>
                <w:color w:val="000000"/>
                <w:sz w:val="20"/>
                <w:szCs w:val="20"/>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0A71F" w14:textId="77777777" w:rsidR="00BD776B" w:rsidRDefault="00DF0C24">
            <w:pPr>
              <w:snapToGrid w:val="0"/>
              <w:spacing w:line="200" w:lineRule="exact"/>
            </w:pPr>
            <w:r>
              <w:rPr>
                <w:rFonts w:ascii="標楷體" w:eastAsia="標楷體" w:hAnsi="標楷體" w:cs="標楷體"/>
                <w:color w:val="000000"/>
                <w:sz w:val="20"/>
                <w:szCs w:val="20"/>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830D8" w14:textId="77777777" w:rsidR="00BD776B" w:rsidRDefault="00BD776B">
            <w:pPr>
              <w:widowControl/>
              <w:snapToGrid w:val="0"/>
              <w:spacing w:line="200" w:lineRule="exact"/>
              <w:rPr>
                <w:rFonts w:ascii="標楷體" w:eastAsia="標楷體" w:hAnsi="標楷體"/>
                <w:color w:val="000000"/>
                <w:sz w:val="20"/>
                <w:szCs w:val="20"/>
              </w:rPr>
            </w:pPr>
          </w:p>
          <w:p w14:paraId="7176AD8D" w14:textId="77777777" w:rsidR="00BD776B" w:rsidRDefault="00BD776B">
            <w:pPr>
              <w:snapToGrid w:val="0"/>
              <w:spacing w:line="200" w:lineRule="exact"/>
              <w:rPr>
                <w:rFonts w:ascii="標楷體" w:eastAsia="標楷體" w:hAnsi="標楷體"/>
                <w:color w:val="000000"/>
                <w:sz w:val="20"/>
                <w:szCs w:val="20"/>
              </w:rPr>
            </w:pPr>
          </w:p>
        </w:tc>
        <w:tc>
          <w:tcPr>
            <w:tcW w:w="35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CE751" w14:textId="77777777" w:rsidR="00BD776B" w:rsidRDefault="00DF0C24">
            <w:pPr>
              <w:widowControl/>
              <w:snapToGrid w:val="0"/>
              <w:spacing w:line="200" w:lineRule="exact"/>
            </w:pPr>
            <w:r>
              <w:rPr>
                <w:rFonts w:ascii="標楷體" w:eastAsia="標楷體" w:hAnsi="標楷體" w:cs="標楷體"/>
                <w:color w:val="000000"/>
                <w:sz w:val="20"/>
                <w:szCs w:val="20"/>
              </w:rPr>
              <w:t>決行</w:t>
            </w:r>
          </w:p>
          <w:p w14:paraId="4B72FA3F" w14:textId="77777777" w:rsidR="00BD776B" w:rsidRDefault="00BD776B">
            <w:pPr>
              <w:widowControl/>
              <w:snapToGrid w:val="0"/>
              <w:spacing w:line="200" w:lineRule="exact"/>
              <w:rPr>
                <w:rFonts w:ascii="標楷體" w:eastAsia="標楷體" w:hAnsi="標楷體"/>
                <w:color w:val="000000"/>
                <w:sz w:val="20"/>
                <w:szCs w:val="20"/>
              </w:rPr>
            </w:pP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72B6A" w14:textId="77777777" w:rsidR="00BD776B" w:rsidRDefault="00BD776B">
            <w:pPr>
              <w:widowControl/>
              <w:snapToGrid w:val="0"/>
              <w:spacing w:line="200" w:lineRule="exact"/>
              <w:rPr>
                <w:rFonts w:ascii="標楷體" w:eastAsia="標楷體" w:hAnsi="標楷體"/>
                <w:color w:val="000000"/>
                <w:sz w:val="20"/>
                <w:szCs w:val="20"/>
              </w:rPr>
            </w:pPr>
          </w:p>
          <w:p w14:paraId="694943E4" w14:textId="77777777" w:rsidR="00BD776B" w:rsidRDefault="00BD776B">
            <w:pPr>
              <w:snapToGrid w:val="0"/>
              <w:spacing w:line="200" w:lineRule="exact"/>
              <w:rPr>
                <w:rFonts w:ascii="標楷體" w:eastAsia="標楷體" w:hAnsi="標楷體"/>
                <w:color w:val="000000"/>
                <w:sz w:val="20"/>
                <w:szCs w:val="20"/>
              </w:rPr>
            </w:pPr>
          </w:p>
        </w:tc>
      </w:tr>
    </w:tbl>
    <w:p w14:paraId="392D82FA" w14:textId="77777777" w:rsidR="00BD776B" w:rsidRDefault="00BD776B">
      <w:pPr>
        <w:pageBreakBefore/>
        <w:widowControl/>
        <w:suppressAutoHyphens w:val="0"/>
        <w:rPr>
          <w:rFonts w:ascii="標楷體" w:eastAsia="標楷體" w:hAnsi="標楷體" w:cs="標楷體"/>
          <w:color w:val="000000"/>
        </w:rPr>
      </w:pPr>
    </w:p>
    <w:p w14:paraId="22067CE0" w14:textId="77777777" w:rsidR="00BD776B" w:rsidRDefault="00DF0C24">
      <w:pPr>
        <w:snapToGrid w:val="0"/>
      </w:pPr>
      <w:r>
        <w:rPr>
          <w:rFonts w:ascii="標楷體" w:eastAsia="標楷體" w:hAnsi="標楷體" w:cs="標楷體"/>
          <w:color w:val="000000"/>
        </w:rPr>
        <w:t>附表九之十一全民健康保險使用抗癌藥</w:t>
      </w:r>
      <w:r>
        <w:rPr>
          <w:rFonts w:ascii="標楷體" w:eastAsia="標楷體" w:hAnsi="標楷體"/>
          <w:color w:val="000000"/>
        </w:rPr>
        <w:t>品temsirolimus</w:t>
      </w:r>
      <w:r>
        <w:rPr>
          <w:rFonts w:ascii="標楷體" w:eastAsia="標楷體" w:hAnsi="標楷體" w:cs="標楷體"/>
          <w:color w:val="000000"/>
        </w:rPr>
        <w:t>申請表</w:t>
      </w:r>
    </w:p>
    <w:tbl>
      <w:tblPr>
        <w:tblW w:w="5000" w:type="pct"/>
        <w:tblCellMar>
          <w:left w:w="10" w:type="dxa"/>
          <w:right w:w="10" w:type="dxa"/>
        </w:tblCellMar>
        <w:tblLook w:val="0000" w:firstRow="0" w:lastRow="0" w:firstColumn="0" w:lastColumn="0" w:noHBand="0" w:noVBand="0"/>
      </w:tblPr>
      <w:tblGrid>
        <w:gridCol w:w="657"/>
        <w:gridCol w:w="409"/>
        <w:gridCol w:w="292"/>
        <w:gridCol w:w="1323"/>
        <w:gridCol w:w="351"/>
        <w:gridCol w:w="364"/>
        <w:gridCol w:w="595"/>
        <w:gridCol w:w="569"/>
        <w:gridCol w:w="378"/>
        <w:gridCol w:w="1184"/>
        <w:gridCol w:w="608"/>
        <w:gridCol w:w="365"/>
        <w:gridCol w:w="1080"/>
        <w:gridCol w:w="1060"/>
        <w:gridCol w:w="472"/>
        <w:gridCol w:w="363"/>
        <w:gridCol w:w="233"/>
        <w:gridCol w:w="582"/>
        <w:gridCol w:w="371"/>
        <w:gridCol w:w="467"/>
        <w:gridCol w:w="366"/>
        <w:gridCol w:w="208"/>
        <w:gridCol w:w="155"/>
        <w:gridCol w:w="224"/>
        <w:gridCol w:w="601"/>
        <w:gridCol w:w="364"/>
        <w:gridCol w:w="919"/>
      </w:tblGrid>
      <w:tr w:rsidR="00BD776B" w14:paraId="114F1689" w14:textId="77777777">
        <w:trPr>
          <w:cantSplit/>
          <w:trHeight w:val="523"/>
        </w:trPr>
        <w:tc>
          <w:tcPr>
            <w:tcW w:w="2681"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DF15EDC"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0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D114AE"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1353AA" w14:textId="77777777" w:rsidR="00BD776B" w:rsidRDefault="00DF0C24">
            <w:pPr>
              <w:snapToGrid w:val="0"/>
            </w:pPr>
            <w:r>
              <w:rPr>
                <w:rFonts w:ascii="標楷體" w:eastAsia="標楷體" w:hAnsi="標楷體" w:cs="標楷體"/>
                <w:color w:val="000000"/>
                <w:sz w:val="20"/>
                <w:szCs w:val="20"/>
              </w:rPr>
              <w:t>受理日期：</w:t>
            </w:r>
          </w:p>
        </w:tc>
        <w:tc>
          <w:tcPr>
            <w:tcW w:w="248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7D95A5" w14:textId="77777777" w:rsidR="00BD776B" w:rsidRDefault="00DF0C24">
            <w:pPr>
              <w:snapToGrid w:val="0"/>
            </w:pPr>
            <w:r>
              <w:rPr>
                <w:rFonts w:ascii="標楷體" w:eastAsia="標楷體" w:hAnsi="標楷體" w:cs="標楷體"/>
                <w:color w:val="000000"/>
                <w:sz w:val="20"/>
                <w:szCs w:val="20"/>
              </w:rPr>
              <w:t>受理編號：</w:t>
            </w:r>
          </w:p>
        </w:tc>
        <w:tc>
          <w:tcPr>
            <w:tcW w:w="283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E2C291" w14:textId="77777777" w:rsidR="00BD776B" w:rsidRDefault="00DF0C24">
            <w:pPr>
              <w:snapToGrid w:val="0"/>
            </w:pPr>
            <w:r>
              <w:rPr>
                <w:rFonts w:ascii="標楷體" w:eastAsia="標楷體" w:hAnsi="標楷體" w:cs="標楷體"/>
                <w:color w:val="000000"/>
                <w:sz w:val="20"/>
                <w:szCs w:val="20"/>
              </w:rPr>
              <w:t>緊急傳真日期：</w:t>
            </w:r>
          </w:p>
        </w:tc>
      </w:tr>
      <w:tr w:rsidR="00BD776B" w14:paraId="207FABDF" w14:textId="77777777">
        <w:trPr>
          <w:cantSplit/>
          <w:trHeight w:val="517"/>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2041CA"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8A8D1"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C129DF" w14:textId="77777777" w:rsidR="00BD776B" w:rsidRDefault="00BD776B">
            <w:pPr>
              <w:snapToGrid w:val="0"/>
              <w:spacing w:line="200" w:lineRule="exact"/>
              <w:rPr>
                <w:rFonts w:ascii="標楷體" w:eastAsia="標楷體" w:hAnsi="標楷體"/>
                <w:color w:val="000000"/>
                <w:sz w:val="20"/>
                <w:szCs w:val="20"/>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7048F2"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16AB4C5A"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449CC368"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4D0134C9"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52F237"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22F0BD" w14:textId="77777777" w:rsidR="00BD776B" w:rsidRDefault="00BD776B">
            <w:pPr>
              <w:snapToGrid w:val="0"/>
              <w:spacing w:line="200" w:lineRule="exact"/>
              <w:rPr>
                <w:rFonts w:ascii="標楷體" w:eastAsia="標楷體" w:hAnsi="標楷體"/>
                <w:color w:val="000000"/>
                <w:sz w:val="20"/>
                <w:szCs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A4472"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A0B5B0" w14:textId="77777777" w:rsidR="00BD776B" w:rsidRDefault="00BD776B">
            <w:pPr>
              <w:snapToGrid w:val="0"/>
              <w:spacing w:line="200" w:lineRule="exact"/>
              <w:rPr>
                <w:rFonts w:ascii="標楷體" w:eastAsia="標楷體" w:hAnsi="標楷體"/>
                <w:color w:val="000000"/>
                <w:sz w:val="20"/>
                <w:szCs w:val="20"/>
              </w:rPr>
            </w:pPr>
          </w:p>
        </w:tc>
        <w:tc>
          <w:tcPr>
            <w:tcW w:w="1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66FD7A"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3516F14F"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4422F" w14:textId="77777777" w:rsidR="00BD776B" w:rsidRDefault="00BD776B">
            <w:pPr>
              <w:snapToGrid w:val="0"/>
              <w:spacing w:line="200" w:lineRule="exact"/>
              <w:rPr>
                <w:rFonts w:ascii="標楷體" w:eastAsia="標楷體" w:hAnsi="標楷體"/>
                <w:color w:val="000000"/>
                <w:sz w:val="20"/>
                <w:szCs w:val="20"/>
              </w:rPr>
            </w:pPr>
          </w:p>
        </w:tc>
        <w:tc>
          <w:tcPr>
            <w:tcW w:w="10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DBE0CA"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2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4B6573" w14:textId="77777777" w:rsidR="00BD776B" w:rsidRDefault="00BD776B">
            <w:pPr>
              <w:snapToGrid w:val="0"/>
              <w:spacing w:line="200" w:lineRule="exact"/>
              <w:rPr>
                <w:rFonts w:ascii="標楷體" w:eastAsia="標楷體" w:hAnsi="標楷體"/>
                <w:color w:val="000000"/>
                <w:sz w:val="20"/>
                <w:szCs w:val="20"/>
              </w:rPr>
            </w:pPr>
          </w:p>
        </w:tc>
      </w:tr>
      <w:tr w:rsidR="00BD776B" w14:paraId="04BBC948" w14:textId="77777777">
        <w:trPr>
          <w:cantSplit/>
          <w:trHeight w:val="530"/>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13B3D" w14:textId="77777777" w:rsidR="00BD776B" w:rsidRDefault="00BD776B">
            <w:pPr>
              <w:snapToGrid w:val="0"/>
              <w:spacing w:line="200" w:lineRule="exact"/>
              <w:rPr>
                <w:rFonts w:ascii="標楷體" w:eastAsia="標楷體" w:hAnsi="標楷體"/>
                <w:color w:val="000000"/>
                <w:sz w:val="20"/>
                <w:szCs w:val="20"/>
              </w:rPr>
            </w:pP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7A79F7"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A5B44C" w14:textId="77777777" w:rsidR="00BD776B" w:rsidRDefault="00BD776B">
            <w:pPr>
              <w:snapToGrid w:val="0"/>
              <w:spacing w:line="200" w:lineRule="exact"/>
              <w:rPr>
                <w:rFonts w:ascii="標楷體" w:eastAsia="標楷體" w:hAnsi="標楷體"/>
                <w:color w:val="000000"/>
                <w:sz w:val="20"/>
                <w:szCs w:val="20"/>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02B0F5" w14:textId="77777777" w:rsidR="00BD776B" w:rsidRDefault="00BD776B">
            <w:pPr>
              <w:snapToGrid w:val="0"/>
              <w:spacing w:line="200" w:lineRule="exact"/>
              <w:rPr>
                <w:rFonts w:ascii="標楷體" w:eastAsia="標楷體" w:hAnsi="標楷體"/>
                <w:color w:val="000000"/>
                <w:sz w:val="20"/>
                <w:szCs w:val="20"/>
              </w:rPr>
            </w:pP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4B8FAD" w14:textId="77777777" w:rsidR="00BD776B" w:rsidRDefault="00DF0C24">
            <w:pPr>
              <w:snapToGrid w:val="0"/>
              <w:spacing w:line="200" w:lineRule="exact"/>
            </w:pPr>
            <w:r>
              <w:rPr>
                <w:rFonts w:ascii="標楷體" w:eastAsia="標楷體" w:hAnsi="標楷體" w:cs="標楷體"/>
                <w:color w:val="000000"/>
                <w:sz w:val="20"/>
                <w:szCs w:val="20"/>
              </w:rPr>
              <w:t>身分證</w:t>
            </w:r>
          </w:p>
          <w:p w14:paraId="1DD3D689"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DA14D1" w14:textId="77777777" w:rsidR="00BD776B" w:rsidRDefault="00BD776B">
            <w:pPr>
              <w:snapToGrid w:val="0"/>
              <w:spacing w:line="200" w:lineRule="exact"/>
              <w:rPr>
                <w:rFonts w:ascii="標楷體" w:eastAsia="標楷體" w:hAnsi="標楷體"/>
                <w:color w:val="000000"/>
                <w:sz w:val="20"/>
                <w:szCs w:val="20"/>
              </w:rPr>
            </w:pPr>
          </w:p>
        </w:tc>
        <w:tc>
          <w:tcPr>
            <w:tcW w:w="3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5D87F7"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1635FA1B"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C89C73" w14:textId="77777777" w:rsidR="00BD776B" w:rsidRDefault="00BD776B">
            <w:pPr>
              <w:snapToGrid w:val="0"/>
              <w:spacing w:line="200" w:lineRule="exact"/>
              <w:rPr>
                <w:rFonts w:ascii="標楷體" w:eastAsia="標楷體" w:hAnsi="標楷體"/>
                <w:color w:val="000000"/>
                <w:sz w:val="20"/>
                <w:szCs w:val="20"/>
              </w:rPr>
            </w:pPr>
          </w:p>
        </w:tc>
        <w:tc>
          <w:tcPr>
            <w:tcW w:w="1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6BBEC"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425E6"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2EC83E" w14:textId="77777777" w:rsidR="00BD776B" w:rsidRDefault="00BD776B">
            <w:pPr>
              <w:snapToGrid w:val="0"/>
              <w:spacing w:line="200" w:lineRule="exact"/>
              <w:rPr>
                <w:rFonts w:ascii="標楷體" w:eastAsia="標楷體" w:hAnsi="標楷體"/>
                <w:color w:val="000000"/>
                <w:sz w:val="20"/>
                <w:szCs w:val="20"/>
              </w:rPr>
            </w:pPr>
          </w:p>
        </w:tc>
        <w:tc>
          <w:tcPr>
            <w:tcW w:w="9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C4A45A"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8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E1E284" w14:textId="77777777" w:rsidR="00BD776B" w:rsidRDefault="00BD776B">
            <w:pPr>
              <w:snapToGrid w:val="0"/>
              <w:spacing w:line="200" w:lineRule="exact"/>
              <w:rPr>
                <w:rFonts w:ascii="標楷體" w:eastAsia="標楷體" w:hAnsi="標楷體"/>
                <w:color w:val="000000"/>
                <w:sz w:val="20"/>
                <w:szCs w:val="20"/>
              </w:rPr>
            </w:pPr>
          </w:p>
        </w:tc>
      </w:tr>
      <w:tr w:rsidR="00BD776B" w14:paraId="5BCFD037" w14:textId="77777777">
        <w:trPr>
          <w:cantSplit/>
          <w:trHeight w:val="421"/>
        </w:trPr>
        <w:tc>
          <w:tcPr>
            <w:tcW w:w="1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259524"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ICD-10代碼</w:t>
            </w:r>
          </w:p>
        </w:tc>
        <w:tc>
          <w:tcPr>
            <w:tcW w:w="26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75294" w14:textId="77777777" w:rsidR="00BD776B" w:rsidRDefault="00BD776B">
            <w:pPr>
              <w:snapToGrid w:val="0"/>
              <w:spacing w:line="200" w:lineRule="exact"/>
              <w:rPr>
                <w:rFonts w:ascii="標楷體" w:eastAsia="標楷體" w:hAnsi="標楷體"/>
                <w:color w:val="000000"/>
                <w:sz w:val="20"/>
                <w:szCs w:val="20"/>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87E310"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2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1EBADA" w14:textId="77777777" w:rsidR="00BD776B" w:rsidRDefault="00BD776B">
            <w:pPr>
              <w:snapToGrid w:val="0"/>
              <w:spacing w:line="200" w:lineRule="exact"/>
              <w:rPr>
                <w:rFonts w:ascii="標楷體" w:eastAsia="標楷體" w:hAnsi="標楷體"/>
                <w:color w:val="000000"/>
                <w:sz w:val="20"/>
                <w:szCs w:val="20"/>
              </w:rPr>
            </w:pPr>
          </w:p>
        </w:tc>
        <w:tc>
          <w:tcPr>
            <w:tcW w:w="1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2EF19"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853"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9CB6AE0"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r>
      <w:tr w:rsidR="00BD776B" w14:paraId="151266D8" w14:textId="77777777">
        <w:trPr>
          <w:cantSplit/>
        </w:trPr>
        <w:tc>
          <w:tcPr>
            <w:tcW w:w="1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73BAB3" w14:textId="77777777" w:rsidR="00BD776B" w:rsidRDefault="00DF0C24">
            <w:pPr>
              <w:snapToGrid w:val="0"/>
              <w:spacing w:line="200" w:lineRule="exact"/>
              <w:jc w:val="center"/>
            </w:pPr>
            <w:r>
              <w:rPr>
                <w:rFonts w:ascii="標楷體" w:eastAsia="標楷體" w:hAnsi="標楷體" w:cs="標楷體"/>
                <w:color w:val="000000"/>
                <w:sz w:val="20"/>
                <w:szCs w:val="20"/>
              </w:rPr>
              <w:t>藥品名稱及</w:t>
            </w:r>
            <w:r>
              <w:rPr>
                <w:rFonts w:ascii="標楷體" w:eastAsia="標楷體" w:hAnsi="標楷體" w:cs="標楷體"/>
                <w:color w:val="000000"/>
                <w:sz w:val="20"/>
                <w:szCs w:val="20"/>
              </w:rPr>
              <w:br/>
              <w:t>代碼</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CE545F"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49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79735"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1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C085CD" w14:textId="77777777" w:rsidR="00BD776B" w:rsidRDefault="00DF0C24">
            <w:pPr>
              <w:snapToGrid w:val="0"/>
              <w:spacing w:line="200" w:lineRule="exact"/>
              <w:jc w:val="center"/>
            </w:pPr>
            <w:r>
              <w:rPr>
                <w:rFonts w:ascii="標楷體" w:eastAsia="標楷體" w:hAnsi="標楷體" w:cs="標楷體"/>
                <w:color w:val="000000"/>
                <w:sz w:val="20"/>
                <w:szCs w:val="20"/>
              </w:rPr>
              <w:t>療程劑量</w:t>
            </w:r>
          </w:p>
        </w:tc>
        <w:tc>
          <w:tcPr>
            <w:tcW w:w="4853" w:type="dxa"/>
            <w:gridSpan w:val="1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4ED9D021"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6526C61B" w14:textId="77777777">
        <w:trPr>
          <w:cantSplit/>
          <w:trHeight w:val="2910"/>
        </w:trPr>
        <w:tc>
          <w:tcPr>
            <w:tcW w:w="1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032AC" w14:textId="77777777" w:rsidR="00BD776B" w:rsidRDefault="00DF0C24">
            <w:pPr>
              <w:snapToGrid w:val="0"/>
              <w:spacing w:before="180" w:after="180" w:line="200" w:lineRule="exact"/>
              <w:rPr>
                <w:rFonts w:ascii="標楷體" w:eastAsia="標楷體" w:hAnsi="標楷體"/>
                <w:color w:val="000000"/>
                <w:sz w:val="20"/>
                <w:szCs w:val="20"/>
              </w:rPr>
            </w:pPr>
            <w:r>
              <w:rPr>
                <w:rFonts w:ascii="標楷體" w:eastAsia="標楷體" w:hAnsi="標楷體"/>
                <w:color w:val="000000"/>
                <w:sz w:val="20"/>
                <w:szCs w:val="20"/>
              </w:rPr>
              <w:t>成分</w:t>
            </w:r>
          </w:p>
          <w:p w14:paraId="68A4F841" w14:textId="77777777" w:rsidR="00BD776B" w:rsidRDefault="00DF0C24">
            <w:pPr>
              <w:snapToGrid w:val="0"/>
              <w:spacing w:before="180" w:after="180" w:line="200" w:lineRule="exact"/>
            </w:pPr>
            <w:r>
              <w:rPr>
                <w:rFonts w:ascii="標楷體" w:eastAsia="標楷體" w:hAnsi="標楷體"/>
                <w:color w:val="000000"/>
                <w:sz w:val="20"/>
                <w:szCs w:val="20"/>
              </w:rPr>
              <w:t>temsirolimus</w:t>
            </w:r>
          </w:p>
          <w:p w14:paraId="1BD4B48D" w14:textId="77777777" w:rsidR="00BD776B" w:rsidRDefault="00DF0C24">
            <w:pPr>
              <w:snapToGrid w:val="0"/>
              <w:spacing w:before="180" w:after="180" w:line="200" w:lineRule="exact"/>
              <w:rPr>
                <w:rFonts w:ascii="標楷體" w:eastAsia="標楷體" w:hAnsi="標楷體"/>
                <w:color w:val="000000"/>
                <w:sz w:val="20"/>
                <w:szCs w:val="20"/>
              </w:rPr>
            </w:pPr>
            <w:r>
              <w:rPr>
                <w:rFonts w:ascii="標楷體" w:eastAsia="標楷體" w:hAnsi="標楷體"/>
                <w:color w:val="000000"/>
                <w:sz w:val="20"/>
                <w:szCs w:val="20"/>
              </w:rPr>
              <w:t>劑型</w:t>
            </w:r>
          </w:p>
          <w:p w14:paraId="4A1F3E05" w14:textId="77777777" w:rsidR="00BD776B" w:rsidRDefault="00DF0C24" w:rsidP="008A7063">
            <w:pPr>
              <w:numPr>
                <w:ilvl w:val="0"/>
                <w:numId w:val="72"/>
              </w:numPr>
              <w:snapToGrid w:val="0"/>
              <w:spacing w:before="180" w:after="180" w:line="200" w:lineRule="exact"/>
              <w:ind w:left="284" w:hanging="284"/>
              <w:rPr>
                <w:rFonts w:ascii="標楷體" w:eastAsia="標楷體" w:hAnsi="標楷體"/>
                <w:color w:val="000000"/>
                <w:sz w:val="20"/>
                <w:szCs w:val="20"/>
              </w:rPr>
            </w:pPr>
            <w:r>
              <w:rPr>
                <w:rFonts w:ascii="標楷體" w:eastAsia="標楷體" w:hAnsi="標楷體"/>
                <w:color w:val="000000"/>
                <w:sz w:val="20"/>
                <w:szCs w:val="20"/>
              </w:rPr>
              <w:t>注射劑型</w:t>
            </w:r>
          </w:p>
          <w:p w14:paraId="2B9B1385" w14:textId="77777777" w:rsidR="00BD776B" w:rsidRDefault="00DF0C24" w:rsidP="008A7063">
            <w:pPr>
              <w:widowControl/>
              <w:numPr>
                <w:ilvl w:val="0"/>
                <w:numId w:val="72"/>
              </w:numPr>
              <w:tabs>
                <w:tab w:val="left" w:pos="240"/>
              </w:tabs>
              <w:snapToGrid w:val="0"/>
              <w:ind w:left="240" w:hanging="240"/>
            </w:pPr>
            <w:r>
              <w:rPr>
                <w:rFonts w:ascii="標楷體" w:eastAsia="標楷體" w:hAnsi="標楷體"/>
                <w:color w:val="000000"/>
                <w:sz w:val="20"/>
                <w:szCs w:val="20"/>
              </w:rPr>
              <w:t>口服劑型</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96A7" w14:textId="77777777" w:rsidR="00BD776B" w:rsidRDefault="00BD776B">
            <w:pPr>
              <w:snapToGrid w:val="0"/>
              <w:spacing w:before="180"/>
              <w:ind w:left="269" w:hanging="269"/>
              <w:rPr>
                <w:rFonts w:ascii="標楷體" w:eastAsia="標楷體" w:hAnsi="標楷體"/>
                <w:u w:val="single"/>
              </w:rPr>
            </w:pPr>
          </w:p>
          <w:p w14:paraId="36C86D7E" w14:textId="77777777" w:rsidR="00BD776B" w:rsidRDefault="00DF0C24">
            <w:pPr>
              <w:snapToGrid w:val="0"/>
              <w:spacing w:line="200" w:lineRule="exact"/>
              <w:ind w:left="320" w:hanging="320"/>
            </w:pPr>
            <w:r>
              <w:rPr>
                <w:rFonts w:ascii="標楷體" w:eastAsia="標楷體" w:hAnsi="標楷體" w:cs="標楷體"/>
                <w:color w:val="000000"/>
                <w:sz w:val="20"/>
                <w:szCs w:val="20"/>
              </w:rPr>
              <w:t>□第一次申請</w:t>
            </w:r>
          </w:p>
          <w:p w14:paraId="421D591C" w14:textId="77777777" w:rsidR="00BD776B" w:rsidRDefault="00BD776B">
            <w:pPr>
              <w:snapToGrid w:val="0"/>
              <w:spacing w:line="200" w:lineRule="exact"/>
              <w:ind w:left="220" w:hanging="100"/>
              <w:rPr>
                <w:rFonts w:ascii="標楷體" w:eastAsia="標楷體" w:hAnsi="標楷體" w:cs="標楷體"/>
                <w:color w:val="000000"/>
                <w:sz w:val="20"/>
                <w:szCs w:val="20"/>
              </w:rPr>
            </w:pPr>
          </w:p>
          <w:p w14:paraId="7AF054F2" w14:textId="77777777" w:rsidR="00BD776B" w:rsidRDefault="00DF0C24">
            <w:pPr>
              <w:snapToGrid w:val="0"/>
              <w:spacing w:line="200" w:lineRule="exact"/>
              <w:ind w:left="320" w:hanging="320"/>
            </w:pPr>
            <w:r>
              <w:rPr>
                <w:rFonts w:ascii="標楷體" w:eastAsia="標楷體" w:hAnsi="標楷體" w:cs="標楷體"/>
                <w:color w:val="000000"/>
                <w:sz w:val="20"/>
                <w:szCs w:val="20"/>
              </w:rPr>
              <w:t>□治療後再次申請</w:t>
            </w:r>
          </w:p>
          <w:p w14:paraId="70F7B695" w14:textId="77777777" w:rsidR="00BD776B" w:rsidRDefault="00BD776B">
            <w:pPr>
              <w:snapToGrid w:val="0"/>
              <w:spacing w:before="180"/>
              <w:ind w:left="224" w:hanging="224"/>
              <w:rPr>
                <w:rFonts w:ascii="標楷體" w:eastAsia="標楷體" w:hAnsi="標楷體"/>
                <w:color w:val="000000"/>
                <w:sz w:val="20"/>
                <w:szCs w:val="20"/>
              </w:rPr>
            </w:pPr>
          </w:p>
        </w:tc>
        <w:tc>
          <w:tcPr>
            <w:tcW w:w="549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456E8" w14:textId="77777777" w:rsidR="00BD776B" w:rsidRDefault="00DF0C24">
            <w:pPr>
              <w:pStyle w:val="ad"/>
              <w:snapToGrid w:val="0"/>
              <w:spacing w:before="0" w:after="0" w:line="180" w:lineRule="exact"/>
              <w:ind w:left="200" w:hanging="200"/>
            </w:pPr>
            <w:r>
              <w:t>一、需經事前審查核准後使用，每次給付3個月藥量，送審時需檢送影像資料，每3個月評估一次。</w:t>
            </w:r>
          </w:p>
          <w:p w14:paraId="0F26E7F6" w14:textId="77777777" w:rsidR="00BD776B" w:rsidRDefault="00DF0C24">
            <w:pPr>
              <w:pStyle w:val="ad"/>
              <w:snapToGrid w:val="0"/>
              <w:spacing w:before="0" w:after="0" w:line="180" w:lineRule="exact"/>
              <w:ind w:left="200" w:hanging="200"/>
            </w:pPr>
            <w:r>
              <w:t>(1)治療不限細胞型的高風險晚期腎細胞癌。</w:t>
            </w:r>
          </w:p>
          <w:p w14:paraId="629D8E80" w14:textId="77777777" w:rsidR="00BD776B" w:rsidRDefault="00DF0C24">
            <w:pPr>
              <w:pStyle w:val="ad"/>
              <w:snapToGrid w:val="0"/>
              <w:spacing w:before="0" w:after="0" w:line="180" w:lineRule="exact"/>
              <w:ind w:left="200" w:hanging="200"/>
            </w:pPr>
            <w:r>
              <w:t>(2)需具有下列六個風險因子中至少3個以上因子：</w:t>
            </w:r>
          </w:p>
          <w:p w14:paraId="51709EF0" w14:textId="77777777" w:rsidR="00BD776B" w:rsidRDefault="00DF0C24">
            <w:pPr>
              <w:pStyle w:val="ad"/>
              <w:snapToGrid w:val="0"/>
              <w:spacing w:before="0" w:after="0" w:line="180" w:lineRule="exact"/>
              <w:ind w:left="200" w:hanging="200"/>
            </w:pPr>
            <w:r>
              <w:t>I.</w:t>
            </w:r>
            <w:r>
              <w:tab/>
              <w:t>距離初次診斷出腎細胞癌之時間未達一年</w:t>
            </w:r>
          </w:p>
          <w:p w14:paraId="688E403E" w14:textId="77777777" w:rsidR="00BD776B" w:rsidRDefault="00DF0C24">
            <w:pPr>
              <w:pStyle w:val="ad"/>
              <w:snapToGrid w:val="0"/>
              <w:spacing w:before="0" w:after="0" w:line="180" w:lineRule="exact"/>
              <w:ind w:left="200" w:hanging="200"/>
            </w:pPr>
            <w:r>
              <w:t>II.KarnofskyPerformancescale界於60至70之間</w:t>
            </w:r>
          </w:p>
          <w:p w14:paraId="3443694F" w14:textId="77777777" w:rsidR="00BD776B" w:rsidRDefault="00DF0C24">
            <w:pPr>
              <w:pStyle w:val="ad"/>
              <w:snapToGrid w:val="0"/>
              <w:spacing w:before="0" w:after="0" w:line="180" w:lineRule="exact"/>
              <w:ind w:left="200" w:hanging="200"/>
            </w:pPr>
            <w:r>
              <w:t>III.血色素低於正常值12gm/dL</w:t>
            </w:r>
          </w:p>
          <w:p w14:paraId="192BCCED" w14:textId="77777777" w:rsidR="00BD776B" w:rsidRDefault="00DF0C24">
            <w:pPr>
              <w:pStyle w:val="ad"/>
              <w:snapToGrid w:val="0"/>
              <w:spacing w:before="0" w:after="0" w:line="180" w:lineRule="exact"/>
              <w:ind w:left="200" w:hanging="200"/>
            </w:pPr>
            <w:r>
              <w:t>IV.矯正後血鈣值超過10mg/dL</w:t>
            </w:r>
          </w:p>
          <w:p w14:paraId="40614FAD" w14:textId="77777777" w:rsidR="00BD776B" w:rsidRDefault="00DF0C24">
            <w:pPr>
              <w:pStyle w:val="ad"/>
              <w:snapToGrid w:val="0"/>
              <w:spacing w:before="0" w:after="0" w:line="180" w:lineRule="exact"/>
              <w:ind w:left="200" w:hanging="200"/>
            </w:pPr>
            <w:r>
              <w:t>V.</w:t>
            </w:r>
            <w:r>
              <w:tab/>
              <w:t>乳酸脫氫酶(lactatedehydrogenase)超過1.5倍正常值上限</w:t>
            </w:r>
          </w:p>
          <w:p w14:paraId="703A86CC" w14:textId="77777777" w:rsidR="00BD776B" w:rsidRDefault="00DF0C24">
            <w:pPr>
              <w:pStyle w:val="ad"/>
              <w:snapToGrid w:val="0"/>
              <w:spacing w:before="0" w:after="0" w:line="180" w:lineRule="exact"/>
              <w:ind w:left="200" w:hanging="200"/>
            </w:pPr>
            <w:r>
              <w:t>VI.超過一個以上的器官有轉移病灶。</w:t>
            </w:r>
          </w:p>
          <w:p w14:paraId="10522FFB" w14:textId="77777777" w:rsidR="00BD776B" w:rsidRDefault="00DF0C24">
            <w:pPr>
              <w:pStyle w:val="ad"/>
              <w:snapToGrid w:val="0"/>
              <w:spacing w:before="0" w:after="0" w:line="180" w:lineRule="exact"/>
              <w:ind w:left="200" w:hanging="200"/>
            </w:pPr>
            <w:r>
              <w:t>(3)無效後則不給付其他TKI。</w:t>
            </w:r>
          </w:p>
          <w:p w14:paraId="3C076B01" w14:textId="77777777" w:rsidR="00BD776B" w:rsidRDefault="00DF0C24">
            <w:pPr>
              <w:pStyle w:val="ad"/>
              <w:snapToGrid w:val="0"/>
              <w:spacing w:before="0" w:after="0" w:line="180" w:lineRule="exact"/>
              <w:ind w:left="200" w:hanging="200"/>
            </w:pPr>
            <w:r>
              <w:t>二、病人若對藥物產生耐受性不佳（intolerance），則以原來藥物減量為原則，若嚴重耐受性不佳，可以換其他酪胺酸激酶阻斷劑（tyrosinekinaseinhibitor,TKI）。</w:t>
            </w:r>
          </w:p>
        </w:tc>
        <w:tc>
          <w:tcPr>
            <w:tcW w:w="1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0CF65" w14:textId="77777777" w:rsidR="00BD776B" w:rsidRDefault="00BD776B">
            <w:pPr>
              <w:snapToGrid w:val="0"/>
              <w:rPr>
                <w:rFonts w:ascii="標楷體" w:eastAsia="標楷體" w:hAnsi="標楷體"/>
                <w:color w:val="000000"/>
                <w:sz w:val="20"/>
                <w:szCs w:val="20"/>
              </w:rPr>
            </w:pPr>
          </w:p>
        </w:tc>
        <w:tc>
          <w:tcPr>
            <w:tcW w:w="4853" w:type="dxa"/>
            <w:gridSpan w:val="1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B411ADA" w14:textId="77777777" w:rsidR="00BD776B" w:rsidRDefault="00DF0C24" w:rsidP="008A7063">
            <w:pPr>
              <w:numPr>
                <w:ilvl w:val="0"/>
                <w:numId w:val="72"/>
              </w:numPr>
              <w:snapToGrid w:val="0"/>
              <w:spacing w:line="240" w:lineRule="exact"/>
            </w:pPr>
            <w:r>
              <w:rPr>
                <w:rFonts w:ascii="標楷體" w:eastAsia="標楷體" w:hAnsi="標楷體" w:cs="標楷體"/>
                <w:color w:val="000000"/>
                <w:sz w:val="20"/>
                <w:szCs w:val="20"/>
              </w:rPr>
              <w:t>同意備查(下列二者擇一核定)：</w:t>
            </w:r>
          </w:p>
          <w:p w14:paraId="1BAFE9C6" w14:textId="77777777" w:rsidR="00BD776B" w:rsidRDefault="00DF0C24" w:rsidP="008A7063">
            <w:pPr>
              <w:numPr>
                <w:ilvl w:val="0"/>
                <w:numId w:val="72"/>
              </w:numPr>
              <w:snapToGrid w:val="0"/>
              <w:spacing w:line="240" w:lineRule="exact"/>
              <w:ind w:left="478" w:hanging="238"/>
            </w:pPr>
            <w:r>
              <w:rPr>
                <w:rFonts w:ascii="標楷體" w:eastAsia="標楷體" w:hAnsi="標楷體" w:cs="標楷體"/>
                <w:sz w:val="20"/>
                <w:szCs w:val="20"/>
              </w:rPr>
              <w:t>核定使用起迄期間：共　　　月（共　　　　週）</w:t>
            </w:r>
          </w:p>
          <w:p w14:paraId="46A81CD5" w14:textId="77777777" w:rsidR="00BD776B" w:rsidRDefault="00DF0C24" w:rsidP="008A7063">
            <w:pPr>
              <w:numPr>
                <w:ilvl w:val="0"/>
                <w:numId w:val="72"/>
              </w:numPr>
              <w:snapToGrid w:val="0"/>
              <w:spacing w:line="240" w:lineRule="exact"/>
              <w:ind w:left="478" w:hanging="238"/>
              <w:rPr>
                <w:rFonts w:ascii="標楷體" w:eastAsia="標楷體" w:hAnsi="標楷體" w:cs="標楷體"/>
                <w:sz w:val="20"/>
                <w:szCs w:val="20"/>
              </w:rPr>
            </w:pPr>
            <w:r>
              <w:rPr>
                <w:rFonts w:ascii="標楷體" w:eastAsia="標楷體" w:hAnsi="標楷體" w:cs="標楷體"/>
                <w:sz w:val="20"/>
                <w:szCs w:val="20"/>
              </w:rPr>
              <w:t>核定使用療程：共　　　　　療程</w:t>
            </w:r>
          </w:p>
          <w:p w14:paraId="3A66F14B" w14:textId="77777777" w:rsidR="00BD776B" w:rsidRDefault="00DF0C24">
            <w:pPr>
              <w:snapToGrid w:val="0"/>
              <w:spacing w:line="240" w:lineRule="exact"/>
            </w:pPr>
            <w:r>
              <w:rPr>
                <w:rFonts w:ascii="標楷體" w:eastAsia="標楷體" w:hAnsi="標楷體" w:cs="標楷體"/>
                <w:color w:val="000000"/>
                <w:sz w:val="20"/>
                <w:szCs w:val="20"/>
              </w:rPr>
              <w:t>□不同意</w:t>
            </w:r>
          </w:p>
          <w:p w14:paraId="1A43A2E4"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不符合適應症。</w:t>
            </w:r>
          </w:p>
          <w:p w14:paraId="2FCCB3BC"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不符合併用二種此類藥物之適應症</w:t>
            </w:r>
          </w:p>
          <w:p w14:paraId="5B1801E5"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430D9CC9"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未附使用其他抗癌藥物無效之記錄</w:t>
            </w:r>
          </w:p>
          <w:p w14:paraId="7C44A8C0"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未附目前是否為晚期或轉移之病歷</w:t>
            </w:r>
          </w:p>
          <w:p w14:paraId="710AD6DE" w14:textId="77777777" w:rsidR="00BD776B" w:rsidRDefault="00DF0C24" w:rsidP="008A7063">
            <w:pPr>
              <w:numPr>
                <w:ilvl w:val="0"/>
                <w:numId w:val="72"/>
              </w:numPr>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47E1EC13" w14:textId="77777777" w:rsidR="00BD776B" w:rsidRDefault="00DF0C24" w:rsidP="008A7063">
            <w:pPr>
              <w:numPr>
                <w:ilvl w:val="0"/>
                <w:numId w:val="72"/>
              </w:numPr>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412A5E42"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補附資料再審，請補充以下資料</w:t>
            </w:r>
          </w:p>
          <w:p w14:paraId="116EDD26" w14:textId="77777777" w:rsidR="00BD776B" w:rsidRDefault="00DF0C24" w:rsidP="008A7063">
            <w:pPr>
              <w:numPr>
                <w:ilvl w:val="0"/>
                <w:numId w:val="72"/>
              </w:numPr>
              <w:snapToGrid w:val="0"/>
              <w:spacing w:line="240" w:lineRule="exact"/>
              <w:ind w:left="478" w:hanging="238"/>
            </w:pPr>
            <w:r>
              <w:rPr>
                <w:rFonts w:ascii="標楷體" w:eastAsia="標楷體" w:hAnsi="標楷體" w:cs="標楷體"/>
                <w:color w:val="000000"/>
                <w:sz w:val="20"/>
                <w:szCs w:val="20"/>
              </w:rPr>
              <w:t>其他：</w:t>
            </w:r>
          </w:p>
        </w:tc>
      </w:tr>
      <w:tr w:rsidR="00BD776B" w14:paraId="39ADC88A" w14:textId="77777777">
        <w:trPr>
          <w:cantSplit/>
          <w:trHeight w:val="400"/>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AE8B4" w14:textId="77777777" w:rsidR="00BD776B" w:rsidRDefault="00DF0C24">
            <w:pPr>
              <w:snapToGrid w:val="0"/>
              <w:ind w:left="113" w:right="113"/>
            </w:pPr>
            <w:r>
              <w:rPr>
                <w:rFonts w:ascii="標楷體" w:eastAsia="標楷體" w:hAnsi="標楷體" w:cs="標楷體"/>
                <w:color w:val="000000"/>
              </w:rPr>
              <w:t>注意事項</w:t>
            </w:r>
          </w:p>
          <w:p w14:paraId="3B0E14A3" w14:textId="77777777" w:rsidR="00BD776B" w:rsidRDefault="00BD776B">
            <w:pPr>
              <w:snapToGrid w:val="0"/>
              <w:spacing w:line="200" w:lineRule="exact"/>
              <w:ind w:left="324" w:right="113" w:hanging="211"/>
              <w:rPr>
                <w:rFonts w:ascii="標楷體" w:eastAsia="標楷體" w:hAnsi="標楷體"/>
                <w:color w:val="000000"/>
                <w:sz w:val="20"/>
                <w:szCs w:val="20"/>
              </w:rPr>
            </w:pPr>
          </w:p>
        </w:tc>
        <w:tc>
          <w:tcPr>
            <w:tcW w:w="9050"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A837D"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2DD316D2"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2.「原受理編號」申復時填寫，初次送核不須填寫。</w:t>
            </w:r>
          </w:p>
          <w:p w14:paraId="161F49E9"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49633E65"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7F5D7EDB"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40D8936A"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4F9C2D16" w14:textId="77777777" w:rsidR="00BD776B" w:rsidRDefault="00DF0C24">
            <w:pPr>
              <w:snapToGrid w:val="0"/>
              <w:spacing w:line="200" w:lineRule="exact"/>
              <w:ind w:left="140" w:hanging="140"/>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tc>
        <w:tc>
          <w:tcPr>
            <w:tcW w:w="4853" w:type="dxa"/>
            <w:gridSpan w:val="12"/>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57A8E31" w14:textId="77777777" w:rsidR="00BD776B" w:rsidRDefault="00BD776B">
            <w:pPr>
              <w:snapToGrid w:val="0"/>
              <w:spacing w:line="240" w:lineRule="exact"/>
              <w:rPr>
                <w:rFonts w:ascii="標楷體" w:eastAsia="標楷體" w:hAnsi="標楷體"/>
                <w:color w:val="000000"/>
                <w:sz w:val="20"/>
                <w:szCs w:val="20"/>
              </w:rPr>
            </w:pPr>
          </w:p>
        </w:tc>
      </w:tr>
      <w:tr w:rsidR="00BD776B" w14:paraId="508944EF" w14:textId="77777777">
        <w:trPr>
          <w:cantSplit/>
          <w:trHeight w:val="1129"/>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32EB2" w14:textId="77777777" w:rsidR="00BD776B" w:rsidRDefault="00BD776B">
            <w:pPr>
              <w:snapToGrid w:val="0"/>
              <w:ind w:left="211" w:hanging="211"/>
              <w:rPr>
                <w:rFonts w:ascii="標楷體" w:eastAsia="標楷體" w:hAnsi="標楷體"/>
                <w:color w:val="000000"/>
              </w:rPr>
            </w:pPr>
          </w:p>
        </w:tc>
        <w:tc>
          <w:tcPr>
            <w:tcW w:w="9050"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35754" w14:textId="77777777" w:rsidR="00BD776B" w:rsidRDefault="00BD776B">
            <w:pPr>
              <w:snapToGrid w:val="0"/>
              <w:ind w:left="211" w:hanging="211"/>
              <w:rPr>
                <w:rFonts w:ascii="標楷體" w:eastAsia="標楷體" w:hAnsi="標楷體"/>
                <w:color w:val="000000"/>
              </w:rPr>
            </w:pPr>
          </w:p>
        </w:tc>
        <w:tc>
          <w:tcPr>
            <w:tcW w:w="3570" w:type="dxa"/>
            <w:gridSpan w:val="10"/>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043D" w14:textId="77777777" w:rsidR="00BD776B" w:rsidRDefault="00BD776B">
            <w:pPr>
              <w:snapToGrid w:val="0"/>
              <w:spacing w:line="240" w:lineRule="exact"/>
              <w:jc w:val="both"/>
              <w:rPr>
                <w:rFonts w:ascii="標楷體" w:eastAsia="標楷體" w:hAnsi="標楷體" w:cs="標楷體"/>
                <w:color w:val="000000"/>
                <w:sz w:val="20"/>
                <w:szCs w:val="20"/>
              </w:rPr>
            </w:pPr>
          </w:p>
          <w:p w14:paraId="18916005" w14:textId="77777777" w:rsidR="00BD776B" w:rsidRDefault="00DF0C24">
            <w:pPr>
              <w:snapToGrid w:val="0"/>
              <w:spacing w:line="240" w:lineRule="exact"/>
              <w:jc w:val="both"/>
            </w:pPr>
            <w:r>
              <w:rPr>
                <w:rFonts w:ascii="標楷體" w:eastAsia="標楷體" w:hAnsi="標楷體" w:cs="標楷體"/>
                <w:color w:val="000000"/>
                <w:sz w:val="20"/>
                <w:szCs w:val="20"/>
              </w:rPr>
              <w:t>保險人日期章戳</w:t>
            </w: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D5AB6" w14:textId="77777777" w:rsidR="00BD776B" w:rsidRDefault="00DF0C24">
            <w:pPr>
              <w:snapToGrid w:val="0"/>
            </w:pPr>
            <w:r>
              <w:rPr>
                <w:rFonts w:ascii="標楷體" w:eastAsia="標楷體" w:hAnsi="標楷體" w:cs="標楷體"/>
                <w:color w:val="000000"/>
              </w:rPr>
              <w:t>審查醫師</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DC91E" w14:textId="77777777" w:rsidR="00BD776B" w:rsidRDefault="00BD776B">
            <w:pPr>
              <w:snapToGrid w:val="0"/>
              <w:rPr>
                <w:rFonts w:ascii="標楷體" w:eastAsia="標楷體" w:hAnsi="標楷體"/>
                <w:color w:val="000000"/>
              </w:rPr>
            </w:pPr>
          </w:p>
        </w:tc>
      </w:tr>
      <w:tr w:rsidR="00BD776B" w14:paraId="50C34C94" w14:textId="77777777">
        <w:trPr>
          <w:cantSplit/>
          <w:trHeight w:val="835"/>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67824" w14:textId="77777777" w:rsidR="00BD776B" w:rsidRDefault="00BD776B">
            <w:pPr>
              <w:snapToGrid w:val="0"/>
              <w:ind w:left="211" w:hanging="211"/>
              <w:rPr>
                <w:rFonts w:ascii="標楷體" w:eastAsia="標楷體" w:hAnsi="標楷體"/>
                <w:color w:val="000000"/>
              </w:rPr>
            </w:pPr>
          </w:p>
        </w:tc>
        <w:tc>
          <w:tcPr>
            <w:tcW w:w="9050"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DBC576" w14:textId="77777777" w:rsidR="00BD776B" w:rsidRDefault="00BD776B">
            <w:pPr>
              <w:snapToGrid w:val="0"/>
              <w:ind w:left="211" w:hanging="211"/>
              <w:rPr>
                <w:rFonts w:ascii="標楷體" w:eastAsia="標楷體" w:hAnsi="標楷體"/>
                <w:color w:val="000000"/>
              </w:rPr>
            </w:pPr>
          </w:p>
        </w:tc>
        <w:tc>
          <w:tcPr>
            <w:tcW w:w="3570" w:type="dxa"/>
            <w:gridSpan w:val="10"/>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052E" w14:textId="77777777" w:rsidR="00BD776B" w:rsidRDefault="00BD776B">
            <w:pPr>
              <w:snapToGrid w:val="0"/>
              <w:jc w:val="both"/>
              <w:rPr>
                <w:rFonts w:ascii="標楷體" w:eastAsia="標楷體" w:hAnsi="標楷體"/>
                <w:color w:val="000000"/>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A69DC" w14:textId="77777777" w:rsidR="00BD776B" w:rsidRDefault="00BD776B">
            <w:pPr>
              <w:snapToGrid w:val="0"/>
              <w:rPr>
                <w:rFonts w:ascii="標楷體" w:eastAsia="標楷體" w:hAnsi="標楷體" w:cs="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C06F2" w14:textId="77777777" w:rsidR="00BD776B" w:rsidRDefault="00BD776B">
            <w:pPr>
              <w:snapToGrid w:val="0"/>
              <w:rPr>
                <w:rFonts w:ascii="標楷體" w:eastAsia="標楷體" w:hAnsi="標楷體"/>
                <w:color w:val="000000"/>
              </w:rPr>
            </w:pPr>
          </w:p>
        </w:tc>
      </w:tr>
      <w:tr w:rsidR="00BD776B" w14:paraId="75D75FC5" w14:textId="77777777">
        <w:trPr>
          <w:cantSplit/>
          <w:trHeight w:val="676"/>
        </w:trPr>
        <w:tc>
          <w:tcPr>
            <w:tcW w:w="10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D9B5C" w14:textId="77777777" w:rsidR="00BD776B" w:rsidRDefault="00BD776B">
            <w:pPr>
              <w:snapToGrid w:val="0"/>
              <w:spacing w:line="240" w:lineRule="exact"/>
              <w:rPr>
                <w:rFonts w:ascii="標楷體" w:eastAsia="標楷體" w:hAnsi="標楷體" w:cs="標楷體"/>
                <w:color w:val="000000"/>
              </w:rPr>
            </w:pPr>
          </w:p>
          <w:p w14:paraId="751E1134" w14:textId="77777777" w:rsidR="00BD776B" w:rsidRDefault="00DF0C24">
            <w:pPr>
              <w:snapToGrid w:val="0"/>
              <w:spacing w:line="240" w:lineRule="exact"/>
              <w:rPr>
                <w:rFonts w:ascii="標楷體" w:eastAsia="標楷體" w:hAnsi="標楷體" w:cs="標楷體"/>
                <w:color w:val="000000"/>
              </w:rPr>
            </w:pPr>
            <w:r>
              <w:rPr>
                <w:rFonts w:ascii="標楷體" w:eastAsia="標楷體" w:hAnsi="標楷體" w:cs="標楷體"/>
                <w:color w:val="000000"/>
              </w:rPr>
              <w:t>醫事服務機構</w:t>
            </w:r>
          </w:p>
        </w:tc>
        <w:tc>
          <w:tcPr>
            <w:tcW w:w="8641"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86F09A" w14:textId="77777777" w:rsidR="00BD776B" w:rsidRDefault="00DF0C24">
            <w:pPr>
              <w:snapToGrid w:val="0"/>
              <w:spacing w:line="240" w:lineRule="exact"/>
            </w:pPr>
            <w:r>
              <w:rPr>
                <w:rFonts w:ascii="標楷體" w:eastAsia="標楷體" w:hAnsi="標楷體" w:cs="標楷體"/>
                <w:color w:val="000000"/>
              </w:rPr>
              <w:t>醫院申請日期：  年  月  日</w:t>
            </w:r>
          </w:p>
          <w:p w14:paraId="5CC90F66" w14:textId="77777777" w:rsidR="00BD776B" w:rsidRDefault="00BD776B">
            <w:pPr>
              <w:snapToGrid w:val="0"/>
              <w:spacing w:line="240" w:lineRule="exact"/>
              <w:rPr>
                <w:rFonts w:ascii="標楷體" w:eastAsia="標楷體" w:hAnsi="標楷體"/>
                <w:color w:val="000000"/>
              </w:rPr>
            </w:pPr>
          </w:p>
          <w:p w14:paraId="28609286"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1E9AF" w14:textId="77777777" w:rsidR="00BD776B" w:rsidRDefault="00DF0C24">
            <w:pPr>
              <w:widowControl/>
              <w:snapToGrid w:val="0"/>
              <w:spacing w:line="240" w:lineRule="exact"/>
            </w:pPr>
            <w:r>
              <w:rPr>
                <w:rFonts w:ascii="標楷體" w:eastAsia="標楷體" w:hAnsi="標楷體" w:cs="標楷體"/>
                <w:color w:val="000000"/>
              </w:rPr>
              <w:t>承辦人</w:t>
            </w:r>
          </w:p>
        </w:tc>
        <w:tc>
          <w:tcPr>
            <w:tcW w:w="815"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EB198" w14:textId="77777777" w:rsidR="00BD776B" w:rsidRDefault="00BD776B">
            <w:pPr>
              <w:widowControl/>
              <w:snapToGrid w:val="0"/>
              <w:rPr>
                <w:rFonts w:ascii="標楷體" w:eastAsia="標楷體" w:hAnsi="標楷體"/>
                <w:color w:val="000000"/>
              </w:rPr>
            </w:pPr>
          </w:p>
          <w:p w14:paraId="487FF7F3" w14:textId="77777777" w:rsidR="00BD776B" w:rsidRDefault="00BD776B">
            <w:pPr>
              <w:snapToGrid w:val="0"/>
              <w:spacing w:line="240" w:lineRule="exact"/>
              <w:rPr>
                <w:rFonts w:ascii="標楷體" w:eastAsia="標楷體" w:hAnsi="標楷體"/>
                <w:color w:val="000000"/>
              </w:rPr>
            </w:pPr>
          </w:p>
        </w:tc>
        <w:tc>
          <w:tcPr>
            <w:tcW w:w="3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7F60C" w14:textId="77777777" w:rsidR="00BD776B" w:rsidRDefault="00DF0C24">
            <w:pPr>
              <w:widowControl/>
              <w:snapToGrid w:val="0"/>
              <w:spacing w:line="240" w:lineRule="exact"/>
            </w:pPr>
            <w:r>
              <w:rPr>
                <w:rFonts w:ascii="標楷體" w:eastAsia="標楷體" w:hAnsi="標楷體" w:cs="標楷體"/>
                <w:color w:val="000000"/>
              </w:rPr>
              <w:t>複核</w:t>
            </w:r>
          </w:p>
          <w:p w14:paraId="79872337" w14:textId="77777777" w:rsidR="00BD776B" w:rsidRDefault="00BD776B">
            <w:pPr>
              <w:widowControl/>
              <w:snapToGrid w:val="0"/>
              <w:rPr>
                <w:rFonts w:ascii="標楷體" w:eastAsia="標楷體" w:hAnsi="標楷體"/>
                <w:color w:val="000000"/>
              </w:rPr>
            </w:pPr>
          </w:p>
        </w:tc>
        <w:tc>
          <w:tcPr>
            <w:tcW w:w="833"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EF4BC" w14:textId="77777777" w:rsidR="00BD776B" w:rsidRDefault="00BD776B">
            <w:pPr>
              <w:widowControl/>
              <w:snapToGrid w:val="0"/>
              <w:rPr>
                <w:rFonts w:ascii="標楷體" w:eastAsia="標楷體" w:hAnsi="標楷體"/>
                <w:color w:val="000000"/>
              </w:rPr>
            </w:pPr>
          </w:p>
          <w:p w14:paraId="65DF9E98" w14:textId="77777777" w:rsidR="00BD776B" w:rsidRDefault="00BD776B">
            <w:pPr>
              <w:snapToGrid w:val="0"/>
              <w:spacing w:line="240" w:lineRule="exact"/>
              <w:rPr>
                <w:rFonts w:ascii="標楷體" w:eastAsia="標楷體" w:hAnsi="標楷體"/>
                <w:color w:val="000000"/>
              </w:rPr>
            </w:pPr>
          </w:p>
        </w:tc>
        <w:tc>
          <w:tcPr>
            <w:tcW w:w="363"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64D" w14:textId="77777777" w:rsidR="00BD776B" w:rsidRDefault="00DF0C24">
            <w:pPr>
              <w:snapToGrid w:val="0"/>
              <w:spacing w:line="240" w:lineRule="exact"/>
            </w:pPr>
            <w:r>
              <w:rPr>
                <w:rFonts w:ascii="標楷體" w:eastAsia="標楷體" w:hAnsi="標楷體" w:cs="標楷體"/>
                <w:color w:val="000000"/>
              </w:rPr>
              <w:t>科長</w:t>
            </w:r>
          </w:p>
        </w:tc>
        <w:tc>
          <w:tcPr>
            <w:tcW w:w="825"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4631" w14:textId="77777777" w:rsidR="00BD776B" w:rsidRDefault="00BD776B">
            <w:pPr>
              <w:widowControl/>
              <w:snapToGrid w:val="0"/>
              <w:rPr>
                <w:rFonts w:ascii="標楷體" w:eastAsia="標楷體" w:hAnsi="標楷體"/>
                <w:color w:val="000000"/>
              </w:rPr>
            </w:pPr>
          </w:p>
          <w:p w14:paraId="7367A70E" w14:textId="77777777" w:rsidR="00BD776B" w:rsidRDefault="00BD776B">
            <w:pPr>
              <w:snapToGrid w:val="0"/>
              <w:spacing w:line="240" w:lineRule="exact"/>
              <w:rPr>
                <w:rFonts w:ascii="標楷體" w:eastAsia="標楷體" w:hAnsi="標楷體"/>
                <w:color w:val="000000"/>
              </w:rPr>
            </w:pPr>
          </w:p>
        </w:tc>
        <w:tc>
          <w:tcPr>
            <w:tcW w:w="3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0BB72" w14:textId="77777777" w:rsidR="00BD776B" w:rsidRDefault="00DF0C24">
            <w:pPr>
              <w:widowControl/>
              <w:snapToGrid w:val="0"/>
              <w:spacing w:line="240" w:lineRule="exact"/>
            </w:pPr>
            <w:r>
              <w:rPr>
                <w:rFonts w:ascii="標楷體" w:eastAsia="標楷體" w:hAnsi="標楷體" w:cs="標楷體"/>
                <w:color w:val="000000"/>
              </w:rPr>
              <w:t>決行</w:t>
            </w:r>
          </w:p>
          <w:p w14:paraId="67A3EBE3" w14:textId="77777777" w:rsidR="00BD776B" w:rsidRDefault="00BD776B">
            <w:pPr>
              <w:widowControl/>
              <w:snapToGrid w:val="0"/>
              <w:rPr>
                <w:rFonts w:ascii="標楷體" w:eastAsia="標楷體" w:hAnsi="標楷體"/>
                <w:color w:val="000000"/>
              </w:rPr>
            </w:pPr>
          </w:p>
        </w:tc>
        <w:tc>
          <w:tcPr>
            <w:tcW w:w="91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D5DC0" w14:textId="77777777" w:rsidR="00BD776B" w:rsidRDefault="00BD776B">
            <w:pPr>
              <w:widowControl/>
              <w:snapToGrid w:val="0"/>
              <w:rPr>
                <w:rFonts w:ascii="標楷體" w:eastAsia="標楷體" w:hAnsi="標楷體"/>
                <w:color w:val="000000"/>
              </w:rPr>
            </w:pPr>
          </w:p>
          <w:p w14:paraId="2E225303" w14:textId="77777777" w:rsidR="00BD776B" w:rsidRDefault="00BD776B">
            <w:pPr>
              <w:snapToGrid w:val="0"/>
              <w:spacing w:line="240" w:lineRule="exact"/>
              <w:rPr>
                <w:rFonts w:ascii="標楷體" w:eastAsia="標楷體" w:hAnsi="標楷體"/>
                <w:color w:val="000000"/>
              </w:rPr>
            </w:pPr>
          </w:p>
        </w:tc>
      </w:tr>
    </w:tbl>
    <w:p w14:paraId="628205EB" w14:textId="77777777" w:rsidR="00BD776B" w:rsidRDefault="00DF0C24">
      <w:pPr>
        <w:pStyle w:val="Web"/>
        <w:pageBreakBefore/>
        <w:widowControl w:val="0"/>
        <w:snapToGrid w:val="0"/>
        <w:spacing w:before="0" w:after="0" w:line="380" w:lineRule="exact"/>
        <w:jc w:val="both"/>
      </w:pPr>
      <w:r>
        <w:rPr>
          <w:rFonts w:ascii="標楷體" w:eastAsia="標楷體" w:hAnsi="標楷體" w:cs="標楷體"/>
          <w:color w:val="000000"/>
        </w:rPr>
        <w:lastRenderedPageBreak/>
        <w:t>附表九之十二全民健康保險使用抗癌藥</w:t>
      </w:r>
      <w:r>
        <w:rPr>
          <w:rFonts w:ascii="標楷體" w:eastAsia="標楷體" w:hAnsi="標楷體" w:cs="Times New Roman"/>
          <w:color w:val="000000"/>
        </w:rPr>
        <w:t>品vinorelbine</w:t>
      </w:r>
      <w:r>
        <w:rPr>
          <w:rFonts w:ascii="標楷體" w:eastAsia="標楷體" w:hAnsi="標楷體" w:cs="標楷體"/>
          <w:color w:val="000000"/>
        </w:rPr>
        <w:t>申請表</w:t>
      </w:r>
    </w:p>
    <w:tbl>
      <w:tblPr>
        <w:tblW w:w="14436" w:type="dxa"/>
        <w:tblInd w:w="227" w:type="dxa"/>
        <w:tblLayout w:type="fixed"/>
        <w:tblCellMar>
          <w:left w:w="10" w:type="dxa"/>
          <w:right w:w="10" w:type="dxa"/>
        </w:tblCellMar>
        <w:tblLook w:val="0000" w:firstRow="0" w:lastRow="0" w:firstColumn="0" w:lastColumn="0" w:noHBand="0" w:noVBand="0"/>
      </w:tblPr>
      <w:tblGrid>
        <w:gridCol w:w="387"/>
        <w:gridCol w:w="401"/>
        <w:gridCol w:w="428"/>
        <w:gridCol w:w="1206"/>
        <w:gridCol w:w="239"/>
        <w:gridCol w:w="120"/>
        <w:gridCol w:w="359"/>
        <w:gridCol w:w="602"/>
        <w:gridCol w:w="564"/>
        <w:gridCol w:w="388"/>
        <w:gridCol w:w="1200"/>
        <w:gridCol w:w="599"/>
        <w:gridCol w:w="359"/>
        <w:gridCol w:w="958"/>
        <w:gridCol w:w="838"/>
        <w:gridCol w:w="374"/>
        <w:gridCol w:w="468"/>
        <w:gridCol w:w="359"/>
        <w:gridCol w:w="239"/>
        <w:gridCol w:w="599"/>
        <w:gridCol w:w="359"/>
        <w:gridCol w:w="7"/>
        <w:gridCol w:w="472"/>
        <w:gridCol w:w="361"/>
        <w:gridCol w:w="213"/>
        <w:gridCol w:w="149"/>
        <w:gridCol w:w="236"/>
        <w:gridCol w:w="604"/>
        <w:gridCol w:w="13"/>
        <w:gridCol w:w="337"/>
        <w:gridCol w:w="7"/>
        <w:gridCol w:w="951"/>
        <w:gridCol w:w="40"/>
      </w:tblGrid>
      <w:tr w:rsidR="00BD776B" w14:paraId="5590C5A4" w14:textId="77777777">
        <w:trPr>
          <w:cantSplit/>
          <w:trHeight w:val="523"/>
        </w:trPr>
        <w:tc>
          <w:tcPr>
            <w:tcW w:w="2422"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12A043B"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40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10893" w14:textId="77777777" w:rsidR="00BD776B" w:rsidRDefault="00DF0C24">
            <w:pPr>
              <w:snapToGrid w:val="0"/>
              <w:jc w:val="center"/>
            </w:pPr>
            <w:r>
              <w:rPr>
                <w:rFonts w:ascii="標楷體" w:eastAsia="標楷體" w:hAnsi="標楷體" w:cs="標楷體"/>
                <w:color w:val="000000"/>
                <w:sz w:val="20"/>
                <w:szCs w:val="20"/>
              </w:rPr>
              <w:t>□送核□補資料□申復□資料異動</w:t>
            </w:r>
          </w:p>
        </w:tc>
        <w:tc>
          <w:tcPr>
            <w:tcW w:w="2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E2D1A2" w14:textId="77777777" w:rsidR="00BD776B" w:rsidRDefault="00DF0C24">
            <w:pPr>
              <w:snapToGrid w:val="0"/>
            </w:pPr>
            <w:r>
              <w:rPr>
                <w:rFonts w:ascii="標楷體" w:eastAsia="標楷體" w:hAnsi="標楷體" w:cs="標楷體"/>
                <w:color w:val="000000"/>
                <w:sz w:val="20"/>
                <w:szCs w:val="20"/>
              </w:rPr>
              <w:t>受理日期：</w:t>
            </w:r>
          </w:p>
        </w:tc>
        <w:tc>
          <w:tcPr>
            <w:tcW w:w="25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9112B6" w14:textId="77777777" w:rsidR="00BD776B" w:rsidRDefault="00DF0C24">
            <w:pPr>
              <w:snapToGrid w:val="0"/>
            </w:pPr>
            <w:r>
              <w:rPr>
                <w:rFonts w:ascii="標楷體" w:eastAsia="標楷體" w:hAnsi="標楷體" w:cs="標楷體"/>
                <w:color w:val="000000"/>
                <w:sz w:val="20"/>
                <w:szCs w:val="20"/>
              </w:rPr>
              <w:t>受理編號：</w:t>
            </w:r>
          </w:p>
        </w:tc>
        <w:tc>
          <w:tcPr>
            <w:tcW w:w="2871"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87A84F" w14:textId="77777777" w:rsidR="00BD776B" w:rsidRDefault="00DF0C24">
            <w:pPr>
              <w:snapToGrid w:val="0"/>
            </w:pPr>
            <w:r>
              <w:rPr>
                <w:rFonts w:ascii="標楷體" w:eastAsia="標楷體" w:hAnsi="標楷體" w:cs="標楷體"/>
                <w:color w:val="000000"/>
                <w:sz w:val="20"/>
                <w:szCs w:val="20"/>
              </w:rPr>
              <w:t>緊急傳真日期：</w:t>
            </w:r>
          </w:p>
        </w:tc>
        <w:tc>
          <w:tcPr>
            <w:tcW w:w="40" w:type="dxa"/>
            <w:shd w:val="clear" w:color="auto" w:fill="auto"/>
            <w:tcMar>
              <w:top w:w="0" w:type="dxa"/>
              <w:left w:w="10" w:type="dxa"/>
              <w:bottom w:w="0" w:type="dxa"/>
              <w:right w:w="10" w:type="dxa"/>
            </w:tcMar>
          </w:tcPr>
          <w:p w14:paraId="7F50B084" w14:textId="77777777" w:rsidR="00BD776B" w:rsidRDefault="00BD776B">
            <w:pPr>
              <w:snapToGrid w:val="0"/>
              <w:rPr>
                <w:rFonts w:ascii="標楷體" w:eastAsia="標楷體" w:hAnsi="標楷體"/>
              </w:rPr>
            </w:pPr>
          </w:p>
        </w:tc>
      </w:tr>
      <w:tr w:rsidR="00BD776B" w14:paraId="409B9C54" w14:textId="77777777">
        <w:trPr>
          <w:cantSplit/>
          <w:trHeight w:val="517"/>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B1100"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C80079"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C6E2C4" w14:textId="77777777" w:rsidR="00BD776B" w:rsidRDefault="00BD776B">
            <w:pPr>
              <w:snapToGrid w:val="0"/>
              <w:spacing w:line="200" w:lineRule="exact"/>
              <w:rPr>
                <w:rFonts w:ascii="標楷體" w:eastAsia="標楷體" w:hAnsi="標楷體"/>
                <w:color w:val="000000"/>
                <w:sz w:val="20"/>
                <w:szCs w:val="20"/>
              </w:rPr>
            </w:pPr>
          </w:p>
        </w:tc>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F67DFA"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1D4BB491"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7C5AE2DB"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45BDF700"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B99631"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C38B74"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C996B6"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A7BF74"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6877DF"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11CB585E"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15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09CF86" w14:textId="77777777" w:rsidR="00BD776B" w:rsidRDefault="00BD776B">
            <w:pPr>
              <w:snapToGrid w:val="0"/>
              <w:spacing w:line="200" w:lineRule="exact"/>
              <w:rPr>
                <w:rFonts w:ascii="標楷體" w:eastAsia="標楷體" w:hAnsi="標楷體"/>
                <w:color w:val="000000"/>
                <w:sz w:val="20"/>
                <w:szCs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6B20CF"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22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D66E2F"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754DB166" w14:textId="77777777" w:rsidR="00BD776B" w:rsidRDefault="00BD776B">
            <w:pPr>
              <w:snapToGrid w:val="0"/>
              <w:spacing w:line="200" w:lineRule="exact"/>
              <w:rPr>
                <w:rFonts w:ascii="標楷體" w:eastAsia="標楷體" w:hAnsi="標楷體"/>
                <w:color w:val="000000"/>
                <w:sz w:val="20"/>
                <w:szCs w:val="20"/>
              </w:rPr>
            </w:pPr>
          </w:p>
        </w:tc>
      </w:tr>
      <w:tr w:rsidR="00BD776B" w14:paraId="0CAE9B05" w14:textId="77777777">
        <w:trPr>
          <w:cantSplit/>
          <w:trHeight w:val="530"/>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C9092D" w14:textId="77777777" w:rsidR="00BD776B" w:rsidRDefault="00BD776B">
            <w:pPr>
              <w:snapToGrid w:val="0"/>
              <w:spacing w:line="200" w:lineRule="exact"/>
              <w:rPr>
                <w:rFonts w:ascii="標楷體" w:eastAsia="標楷體" w:hAnsi="標楷體"/>
                <w:color w:val="000000"/>
                <w:sz w:val="20"/>
                <w:szCs w:val="20"/>
              </w:rPr>
            </w:pP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71C1D7"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261B51" w14:textId="77777777" w:rsidR="00BD776B" w:rsidRDefault="00BD776B">
            <w:pPr>
              <w:snapToGrid w:val="0"/>
              <w:spacing w:line="200" w:lineRule="exact"/>
              <w:rPr>
                <w:rFonts w:ascii="標楷體" w:eastAsia="標楷體" w:hAnsi="標楷體"/>
                <w:color w:val="000000"/>
                <w:sz w:val="20"/>
                <w:szCs w:val="20"/>
              </w:rPr>
            </w:pPr>
          </w:p>
        </w:tc>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F2AD79" w14:textId="77777777" w:rsidR="00BD776B" w:rsidRDefault="00BD776B">
            <w:pPr>
              <w:snapToGrid w:val="0"/>
              <w:spacing w:line="200" w:lineRule="exact"/>
              <w:rPr>
                <w:rFonts w:ascii="標楷體" w:eastAsia="標楷體" w:hAnsi="標楷體"/>
                <w:color w:val="000000"/>
                <w:sz w:val="20"/>
                <w:szCs w:val="20"/>
              </w:rPr>
            </w:pP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F5B387" w14:textId="77777777" w:rsidR="00BD776B" w:rsidRDefault="00DF0C24">
            <w:pPr>
              <w:snapToGrid w:val="0"/>
              <w:spacing w:line="200" w:lineRule="exact"/>
            </w:pPr>
            <w:r>
              <w:rPr>
                <w:rFonts w:ascii="標楷體" w:eastAsia="標楷體" w:hAnsi="標楷體" w:cs="標楷體"/>
                <w:color w:val="000000"/>
                <w:sz w:val="20"/>
                <w:szCs w:val="20"/>
              </w:rPr>
              <w:t>身分證</w:t>
            </w:r>
          </w:p>
          <w:p w14:paraId="7EF52133"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079598" w14:textId="77777777" w:rsidR="00BD776B" w:rsidRDefault="00BD776B">
            <w:pPr>
              <w:snapToGrid w:val="0"/>
              <w:spacing w:line="200" w:lineRule="exact"/>
              <w:rPr>
                <w:rFonts w:ascii="標楷體" w:eastAsia="標楷體" w:hAnsi="標楷體"/>
                <w:color w:val="000000"/>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02A9A2"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4C327548"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A254B"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059BCA"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3683A6"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4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656D65" w14:textId="77777777" w:rsidR="00BD776B" w:rsidRDefault="00BD776B">
            <w:pPr>
              <w:snapToGrid w:val="0"/>
              <w:spacing w:line="200" w:lineRule="exact"/>
              <w:rPr>
                <w:rFonts w:ascii="標楷體" w:eastAsia="標楷體" w:hAnsi="標楷體"/>
                <w:color w:val="000000"/>
                <w:sz w:val="20"/>
                <w:szCs w:val="20"/>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22795B"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9684B4"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2C6DD5C4" w14:textId="77777777" w:rsidR="00BD776B" w:rsidRDefault="00BD776B">
            <w:pPr>
              <w:snapToGrid w:val="0"/>
              <w:spacing w:line="200" w:lineRule="exact"/>
              <w:rPr>
                <w:rFonts w:ascii="標楷體" w:eastAsia="標楷體" w:hAnsi="標楷體"/>
                <w:color w:val="000000"/>
                <w:sz w:val="20"/>
                <w:szCs w:val="20"/>
              </w:rPr>
            </w:pPr>
          </w:p>
        </w:tc>
      </w:tr>
      <w:tr w:rsidR="00BD776B" w14:paraId="60014FF4" w14:textId="77777777">
        <w:trPr>
          <w:cantSplit/>
          <w:trHeight w:val="613"/>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DC7FD" w14:textId="77777777" w:rsidR="00BD776B" w:rsidRDefault="00DF0C24">
            <w:pPr>
              <w:pStyle w:val="a7"/>
              <w:tabs>
                <w:tab w:val="clear" w:pos="4153"/>
                <w:tab w:val="clear" w:pos="8306"/>
              </w:tabs>
              <w:spacing w:before="180" w:after="180" w:line="200" w:lineRule="exact"/>
              <w:ind w:left="200" w:hanging="200"/>
              <w:rPr>
                <w:rFonts w:ascii="標楷體" w:eastAsia="標楷體" w:hAnsi="標楷體"/>
                <w:color w:val="000000"/>
              </w:rPr>
            </w:pPr>
            <w:r>
              <w:rPr>
                <w:rFonts w:ascii="標楷體" w:eastAsia="標楷體" w:hAnsi="標楷體"/>
                <w:color w:val="000000"/>
              </w:rPr>
              <w:t>ICD-10代碼</w:t>
            </w:r>
          </w:p>
        </w:tc>
        <w:tc>
          <w:tcPr>
            <w:tcW w:w="25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FF16" w14:textId="77777777" w:rsidR="00BD776B" w:rsidRDefault="00BD776B">
            <w:pPr>
              <w:snapToGrid w:val="0"/>
              <w:spacing w:line="200" w:lineRule="exact"/>
              <w:rPr>
                <w:rFonts w:ascii="標楷體" w:eastAsia="標楷體" w:hAnsi="標楷體"/>
                <w:color w:val="000000"/>
                <w:sz w:val="20"/>
                <w:szCs w:val="20"/>
              </w:rPr>
            </w:pP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DFE874"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31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E56E8C" w14:textId="77777777" w:rsidR="00BD776B" w:rsidRDefault="00BD776B">
            <w:pPr>
              <w:snapToGrid w:val="0"/>
              <w:spacing w:line="200" w:lineRule="exact"/>
              <w:rPr>
                <w:rFonts w:ascii="標楷體" w:eastAsia="標楷體" w:hAnsi="標楷體"/>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CEEAD7"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40142F38"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c>
          <w:tcPr>
            <w:tcW w:w="40" w:type="dxa"/>
            <w:shd w:val="clear" w:color="auto" w:fill="auto"/>
            <w:tcMar>
              <w:top w:w="0" w:type="dxa"/>
              <w:left w:w="10" w:type="dxa"/>
              <w:bottom w:w="0" w:type="dxa"/>
              <w:right w:w="10" w:type="dxa"/>
            </w:tcMar>
          </w:tcPr>
          <w:p w14:paraId="61644D96" w14:textId="77777777" w:rsidR="00BD776B" w:rsidRDefault="00BD776B">
            <w:pPr>
              <w:snapToGrid w:val="0"/>
              <w:spacing w:line="200" w:lineRule="exact"/>
              <w:rPr>
                <w:rFonts w:ascii="標楷體" w:eastAsia="標楷體" w:hAnsi="標楷體"/>
              </w:rPr>
            </w:pPr>
          </w:p>
        </w:tc>
      </w:tr>
      <w:tr w:rsidR="00BD776B" w14:paraId="0310DCEB" w14:textId="77777777">
        <w:trPr>
          <w:cantSplit/>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52307" w14:textId="77777777" w:rsidR="00BD776B" w:rsidRDefault="00DF0C24">
            <w:pPr>
              <w:snapToGrid w:val="0"/>
              <w:spacing w:line="200" w:lineRule="exact"/>
              <w:jc w:val="center"/>
            </w:pPr>
            <w:r>
              <w:rPr>
                <w:rFonts w:ascii="標楷體" w:eastAsia="標楷體" w:hAnsi="標楷體" w:cs="標楷體"/>
                <w:color w:val="000000"/>
                <w:sz w:val="20"/>
                <w:szCs w:val="20"/>
              </w:rPr>
              <w:t>藥品代碼</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FD7FCA"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C1D5B"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9F1602"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3E1C1E6C"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C7EAF4"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2B8D64B0"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906" w:type="dxa"/>
            <w:gridSpan w:val="15"/>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A5C89CE"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40" w:type="dxa"/>
            <w:shd w:val="clear" w:color="auto" w:fill="auto"/>
            <w:tcMar>
              <w:top w:w="0" w:type="dxa"/>
              <w:left w:w="10" w:type="dxa"/>
              <w:bottom w:w="0" w:type="dxa"/>
              <w:right w:w="10" w:type="dxa"/>
            </w:tcMar>
          </w:tcPr>
          <w:p w14:paraId="7B1F83D1" w14:textId="77777777" w:rsidR="00BD776B" w:rsidRDefault="00BD776B">
            <w:pPr>
              <w:snapToGrid w:val="0"/>
              <w:spacing w:line="200" w:lineRule="exact"/>
              <w:jc w:val="center"/>
              <w:rPr>
                <w:rFonts w:ascii="標楷體" w:eastAsia="標楷體" w:hAnsi="標楷體"/>
              </w:rPr>
            </w:pPr>
          </w:p>
        </w:tc>
      </w:tr>
      <w:tr w:rsidR="00BD776B" w14:paraId="6B133C53" w14:textId="77777777">
        <w:trPr>
          <w:cantSplit/>
          <w:trHeight w:val="2647"/>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7DDBE" w14:textId="77777777" w:rsidR="00BD776B" w:rsidRDefault="00BD776B">
            <w:pPr>
              <w:snapToGrid w:val="0"/>
              <w:spacing w:line="200" w:lineRule="exact"/>
              <w:rPr>
                <w:rFonts w:ascii="標楷體" w:eastAsia="標楷體" w:hAnsi="標楷體"/>
                <w:u w:val="single"/>
              </w:rPr>
            </w:pPr>
          </w:p>
          <w:p w14:paraId="1802889C" w14:textId="77777777" w:rsidR="00BD776B" w:rsidRDefault="00DF0C24">
            <w:pPr>
              <w:snapToGrid w:val="0"/>
              <w:spacing w:line="200" w:lineRule="exact"/>
              <w:rPr>
                <w:rFonts w:ascii="標楷體" w:eastAsia="標楷體" w:hAnsi="標楷體"/>
              </w:rPr>
            </w:pPr>
            <w:r>
              <w:rPr>
                <w:rFonts w:ascii="標楷體" w:eastAsia="標楷體" w:hAnsi="標楷體"/>
              </w:rPr>
              <w:t>成分</w:t>
            </w:r>
          </w:p>
          <w:p w14:paraId="343F9733" w14:textId="77777777" w:rsidR="00BD776B" w:rsidRDefault="00DF0C24">
            <w:pPr>
              <w:snapToGrid w:val="0"/>
              <w:spacing w:line="200" w:lineRule="exact"/>
              <w:rPr>
                <w:rFonts w:ascii="標楷體" w:eastAsia="標楷體" w:hAnsi="標楷體"/>
                <w:sz w:val="20"/>
                <w:szCs w:val="20"/>
              </w:rPr>
            </w:pPr>
            <w:r>
              <w:rPr>
                <w:rFonts w:ascii="標楷體" w:eastAsia="標楷體" w:hAnsi="標楷體"/>
                <w:sz w:val="20"/>
                <w:szCs w:val="20"/>
              </w:rPr>
              <w:t>Vinorelbine</w:t>
            </w:r>
          </w:p>
          <w:p w14:paraId="069840CB" w14:textId="77777777" w:rsidR="00BD776B" w:rsidRDefault="00BD776B">
            <w:pPr>
              <w:snapToGrid w:val="0"/>
              <w:spacing w:line="200" w:lineRule="exact"/>
              <w:rPr>
                <w:rFonts w:ascii="標楷體" w:eastAsia="標楷體" w:hAnsi="標楷體"/>
                <w:u w:val="single"/>
              </w:rPr>
            </w:pPr>
          </w:p>
          <w:p w14:paraId="19FA673E" w14:textId="77777777" w:rsidR="00BD776B" w:rsidRDefault="00DF0C24">
            <w:pPr>
              <w:snapToGrid w:val="0"/>
              <w:spacing w:line="200" w:lineRule="exact"/>
              <w:rPr>
                <w:rFonts w:ascii="標楷體" w:eastAsia="標楷體" w:hAnsi="標楷體"/>
              </w:rPr>
            </w:pPr>
            <w:r>
              <w:rPr>
                <w:rFonts w:ascii="標楷體" w:eastAsia="標楷體" w:hAnsi="標楷體"/>
              </w:rPr>
              <w:t>劑型</w:t>
            </w:r>
          </w:p>
          <w:p w14:paraId="3657718B" w14:textId="77777777" w:rsidR="00BD776B" w:rsidRDefault="00DF0C24">
            <w:pPr>
              <w:snapToGrid w:val="0"/>
              <w:rPr>
                <w:rFonts w:ascii="標楷體" w:eastAsia="標楷體" w:hAnsi="標楷體" w:cs="標楷體"/>
                <w:color w:val="000000"/>
                <w:sz w:val="20"/>
                <w:szCs w:val="20"/>
              </w:rPr>
            </w:pPr>
            <w:r>
              <w:rPr>
                <w:rFonts w:ascii="標楷體" w:eastAsia="標楷體" w:hAnsi="標楷體" w:cs="標楷體"/>
                <w:color w:val="000000"/>
                <w:sz w:val="20"/>
                <w:szCs w:val="20"/>
              </w:rPr>
              <w:t>□口服劑型</w:t>
            </w:r>
          </w:p>
          <w:p w14:paraId="53ABA7EE" w14:textId="77777777" w:rsidR="00BD776B" w:rsidRDefault="00DF0C24">
            <w:pPr>
              <w:snapToGrid w:val="0"/>
            </w:pPr>
            <w:r>
              <w:rPr>
                <w:rFonts w:ascii="標楷體" w:eastAsia="標楷體" w:hAnsi="標楷體" w:cs="標楷體"/>
                <w:color w:val="000000"/>
                <w:sz w:val="20"/>
                <w:szCs w:val="20"/>
              </w:rPr>
              <w:t>□注射劑</w:t>
            </w:r>
          </w:p>
          <w:p w14:paraId="7B562568" w14:textId="77777777" w:rsidR="00BD776B" w:rsidRDefault="00DF0C24">
            <w:pPr>
              <w:widowControl/>
              <w:snapToGrid w:val="0"/>
              <w:rPr>
                <w:rFonts w:ascii="標楷體" w:eastAsia="標楷體" w:hAnsi="標楷體"/>
                <w:color w:val="000000"/>
              </w:rPr>
            </w:pPr>
            <w:r>
              <w:rPr>
                <w:rFonts w:ascii="標楷體" w:eastAsia="標楷體" w:hAnsi="標楷體"/>
                <w:color w:val="000000"/>
              </w:rPr>
              <w:t>代碼</w:t>
            </w:r>
          </w:p>
          <w:p w14:paraId="32E5FFB7" w14:textId="77777777" w:rsidR="00BD776B" w:rsidRDefault="00DF0C24">
            <w:pPr>
              <w:widowControl/>
              <w:snapToGrid w:val="0"/>
              <w:rPr>
                <w:rFonts w:ascii="標楷體" w:eastAsia="標楷體" w:hAnsi="標楷體"/>
                <w:color w:val="000000"/>
              </w:rPr>
            </w:pPr>
            <w:r>
              <w:rPr>
                <w:rFonts w:ascii="標楷體" w:eastAsia="標楷體" w:hAnsi="標楷體"/>
                <w:color w:val="000000"/>
              </w:rPr>
              <w:t>(醫院自行填寫)</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FEFEA" w14:textId="77777777" w:rsidR="00BD776B" w:rsidRDefault="00BD776B">
            <w:pPr>
              <w:snapToGrid w:val="0"/>
              <w:spacing w:line="200" w:lineRule="exact"/>
              <w:ind w:left="320" w:hanging="320"/>
              <w:rPr>
                <w:rFonts w:ascii="標楷體" w:eastAsia="標楷體" w:hAnsi="標楷體" w:cs="標楷體"/>
                <w:color w:val="000000"/>
                <w:sz w:val="20"/>
                <w:szCs w:val="20"/>
              </w:rPr>
            </w:pPr>
          </w:p>
          <w:p w14:paraId="78F3B514" w14:textId="77777777" w:rsidR="00BD776B" w:rsidRDefault="00DF0C24">
            <w:pPr>
              <w:snapToGrid w:val="0"/>
              <w:spacing w:line="200" w:lineRule="exact"/>
              <w:ind w:left="320" w:hanging="320"/>
            </w:pPr>
            <w:r>
              <w:rPr>
                <w:rFonts w:ascii="標楷體" w:eastAsia="標楷體" w:hAnsi="標楷體" w:cs="標楷體"/>
                <w:color w:val="000000"/>
                <w:sz w:val="20"/>
                <w:szCs w:val="20"/>
              </w:rPr>
              <w:t>□第一次申請</w:t>
            </w:r>
          </w:p>
          <w:p w14:paraId="3876AEA3" w14:textId="77777777" w:rsidR="00BD776B" w:rsidRDefault="00BD776B">
            <w:pPr>
              <w:snapToGrid w:val="0"/>
              <w:spacing w:line="200" w:lineRule="exact"/>
              <w:ind w:left="220" w:hanging="100"/>
              <w:rPr>
                <w:rFonts w:ascii="標楷體" w:eastAsia="標楷體" w:hAnsi="標楷體" w:cs="標楷體"/>
                <w:color w:val="000000"/>
                <w:sz w:val="20"/>
                <w:szCs w:val="20"/>
              </w:rPr>
            </w:pPr>
          </w:p>
          <w:p w14:paraId="3C166C1F" w14:textId="77777777" w:rsidR="00BD776B" w:rsidRDefault="00DF0C24">
            <w:pPr>
              <w:snapToGrid w:val="0"/>
              <w:spacing w:line="200" w:lineRule="exact"/>
              <w:ind w:left="320" w:hanging="320"/>
            </w:pPr>
            <w:r>
              <w:rPr>
                <w:rFonts w:ascii="標楷體" w:eastAsia="標楷體" w:hAnsi="標楷體" w:cs="標楷體"/>
                <w:color w:val="000000"/>
                <w:sz w:val="20"/>
                <w:szCs w:val="20"/>
              </w:rPr>
              <w:t>□治療後再次申請</w:t>
            </w:r>
          </w:p>
          <w:p w14:paraId="433EB0FC" w14:textId="77777777" w:rsidR="00BD776B" w:rsidRDefault="00BD776B">
            <w:pPr>
              <w:snapToGrid w:val="0"/>
              <w:spacing w:before="180"/>
              <w:ind w:left="224" w:hanging="224"/>
              <w:rPr>
                <w:rFonts w:ascii="標楷體" w:eastAsia="標楷體" w:hAnsi="標楷體"/>
                <w:color w:val="000000"/>
                <w:sz w:val="20"/>
                <w:szCs w:val="20"/>
              </w:rPr>
            </w:pP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89793" w14:textId="77777777" w:rsidR="00BD776B" w:rsidRDefault="00DF0C24">
            <w:pPr>
              <w:snapToGrid w:val="0"/>
              <w:spacing w:line="240" w:lineRule="exact"/>
              <w:ind w:left="82"/>
              <w:rPr>
                <w:rFonts w:ascii="標楷體" w:eastAsia="標楷體" w:hAnsi="標楷體" w:cs="標楷體"/>
                <w:color w:val="000000"/>
                <w:sz w:val="20"/>
                <w:szCs w:val="20"/>
              </w:rPr>
            </w:pPr>
            <w:r>
              <w:rPr>
                <w:rFonts w:ascii="標楷體" w:eastAsia="標楷體" w:hAnsi="標楷體" w:cs="標楷體"/>
                <w:color w:val="000000"/>
                <w:sz w:val="20"/>
                <w:szCs w:val="20"/>
              </w:rPr>
              <w:t>1.</w:t>
            </w:r>
            <w:r>
              <w:rPr>
                <w:rFonts w:ascii="標楷體" w:eastAsia="標楷體" w:hAnsi="標楷體" w:cs="標楷體"/>
                <w:color w:val="000000"/>
                <w:sz w:val="20"/>
                <w:szCs w:val="20"/>
              </w:rPr>
              <w:tab/>
              <w:t>限用於：</w:t>
            </w:r>
          </w:p>
          <w:p w14:paraId="657BCF0C" w14:textId="77777777" w:rsidR="00BD776B" w:rsidRDefault="00DF0C24">
            <w:pPr>
              <w:snapToGrid w:val="0"/>
              <w:spacing w:line="240" w:lineRule="exact"/>
              <w:ind w:left="933" w:hanging="398"/>
              <w:rPr>
                <w:rFonts w:ascii="標楷體" w:eastAsia="標楷體" w:hAnsi="標楷體" w:cs="標楷體"/>
                <w:color w:val="000000"/>
                <w:sz w:val="20"/>
                <w:szCs w:val="20"/>
              </w:rPr>
            </w:pPr>
            <w:r>
              <w:rPr>
                <w:rFonts w:ascii="標楷體" w:eastAsia="標楷體" w:hAnsi="標楷體" w:cs="標楷體"/>
                <w:color w:val="000000"/>
                <w:sz w:val="20"/>
                <w:szCs w:val="20"/>
              </w:rPr>
              <w:t>(1)晚期或無法手術切除之非小細胞肺癌及轉移性乳癌病患。</w:t>
            </w:r>
          </w:p>
          <w:p w14:paraId="59C2E7BC" w14:textId="77777777" w:rsidR="00BD776B" w:rsidRDefault="00DF0C24">
            <w:pPr>
              <w:snapToGrid w:val="0"/>
              <w:spacing w:line="240" w:lineRule="exact"/>
              <w:ind w:left="716" w:hanging="394"/>
              <w:rPr>
                <w:rFonts w:ascii="標楷體" w:eastAsia="標楷體" w:hAnsi="標楷體" w:cs="標楷體"/>
                <w:color w:val="000000"/>
                <w:sz w:val="20"/>
                <w:szCs w:val="20"/>
              </w:rPr>
            </w:pPr>
            <w:r>
              <w:rPr>
                <w:rFonts w:ascii="標楷體" w:eastAsia="標楷體" w:hAnsi="標楷體" w:cs="標楷體"/>
                <w:color w:val="000000"/>
                <w:sz w:val="20"/>
                <w:szCs w:val="20"/>
              </w:rPr>
              <w:t>□(2)病理分期第二期及第三期前半(stageII&amp;stageIIIA)非小細胞肺癌於接受根治性手術後與鉑金類藥品併用之輔助治療，需事前審查後使用，最長以4療程為限。</w:t>
            </w:r>
          </w:p>
          <w:p w14:paraId="2540F21D" w14:textId="77777777" w:rsidR="00BD776B" w:rsidRDefault="00DF0C24">
            <w:pPr>
              <w:snapToGrid w:val="0"/>
              <w:spacing w:line="240" w:lineRule="exact"/>
              <w:rPr>
                <w:rFonts w:ascii="標楷體" w:eastAsia="標楷體" w:hAnsi="標楷體" w:cs="標楷體"/>
                <w:color w:val="000000"/>
                <w:sz w:val="20"/>
                <w:szCs w:val="20"/>
              </w:rPr>
            </w:pPr>
            <w:r>
              <w:rPr>
                <w:rFonts w:ascii="標楷體" w:eastAsia="標楷體" w:hAnsi="標楷體" w:cs="標楷體"/>
                <w:color w:val="000000"/>
                <w:sz w:val="20"/>
                <w:szCs w:val="20"/>
              </w:rPr>
              <w:t>2.本成分之口服劑型與注射劑型不得併用。</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4FBB5" w14:textId="77777777" w:rsidR="00BD776B" w:rsidRDefault="00BD776B">
            <w:pPr>
              <w:snapToGrid w:val="0"/>
              <w:rPr>
                <w:rFonts w:ascii="標楷體" w:eastAsia="標楷體" w:hAnsi="標楷體"/>
                <w:color w:val="000000"/>
                <w:sz w:val="20"/>
                <w:szCs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918EF" w14:textId="77777777" w:rsidR="00BD776B" w:rsidRDefault="00BD776B">
            <w:pPr>
              <w:snapToGrid w:val="0"/>
              <w:rPr>
                <w:rFonts w:ascii="標楷體" w:eastAsia="標楷體" w:hAnsi="標楷體"/>
                <w:color w:val="000000"/>
                <w:sz w:val="20"/>
                <w:szCs w:val="20"/>
              </w:rPr>
            </w:pPr>
          </w:p>
        </w:tc>
        <w:tc>
          <w:tcPr>
            <w:tcW w:w="4906" w:type="dxa"/>
            <w:gridSpan w:val="15"/>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B8E5BEB" w14:textId="77777777" w:rsidR="00BD776B" w:rsidRDefault="00DF0C24" w:rsidP="008A7063">
            <w:pPr>
              <w:numPr>
                <w:ilvl w:val="0"/>
                <w:numId w:val="73"/>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7F693111"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018C4C32" w14:textId="77777777" w:rsidR="00BD776B" w:rsidRDefault="00DF0C24">
            <w:pPr>
              <w:snapToGrid w:val="0"/>
              <w:spacing w:line="240" w:lineRule="exact"/>
            </w:pPr>
            <w:r>
              <w:rPr>
                <w:rFonts w:ascii="標楷體" w:eastAsia="標楷體" w:hAnsi="標楷體" w:cs="標楷體"/>
                <w:color w:val="000000"/>
                <w:sz w:val="20"/>
                <w:szCs w:val="20"/>
              </w:rPr>
              <w:t>□不同意</w:t>
            </w:r>
          </w:p>
          <w:p w14:paraId="7E53C6BE"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6EFC6A26"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不符合併用二種此類藥物之適應症</w:t>
            </w:r>
          </w:p>
          <w:p w14:paraId="6481143C"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未附病理切片報告或細胞學檢查報告</w:t>
            </w:r>
          </w:p>
          <w:p w14:paraId="46F2394F"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未附使用其他抗癌藥物無效之記錄</w:t>
            </w:r>
          </w:p>
          <w:p w14:paraId="558D5AAC"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未附目前是否為晚期或轉移之病歷</w:t>
            </w:r>
          </w:p>
          <w:p w14:paraId="2ADC638F" w14:textId="77777777" w:rsidR="00BD776B" w:rsidRDefault="00DF0C24" w:rsidP="008A7063">
            <w:pPr>
              <w:numPr>
                <w:ilvl w:val="0"/>
                <w:numId w:val="73"/>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63E42E14" w14:textId="77777777" w:rsidR="00BD776B" w:rsidRDefault="00DF0C24" w:rsidP="008A7063">
            <w:pPr>
              <w:numPr>
                <w:ilvl w:val="0"/>
                <w:numId w:val="73"/>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w:t>
            </w:r>
          </w:p>
          <w:p w14:paraId="43C899E5"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補附資料再審，請補充以下資料</w:t>
            </w:r>
          </w:p>
          <w:p w14:paraId="01C4BDDD" w14:textId="77777777" w:rsidR="00BD776B" w:rsidRDefault="00DF0C24" w:rsidP="008A7063">
            <w:pPr>
              <w:numPr>
                <w:ilvl w:val="0"/>
                <w:numId w:val="73"/>
              </w:numPr>
              <w:tabs>
                <w:tab w:val="left" w:pos="240"/>
              </w:tabs>
              <w:snapToGrid w:val="0"/>
              <w:spacing w:line="240" w:lineRule="exact"/>
              <w:ind w:left="478" w:hanging="238"/>
            </w:pPr>
            <w:r>
              <w:rPr>
                <w:rFonts w:ascii="標楷體" w:eastAsia="標楷體" w:hAnsi="標楷體" w:cs="標楷體"/>
                <w:color w:val="000000"/>
                <w:sz w:val="20"/>
                <w:szCs w:val="20"/>
              </w:rPr>
              <w:t>其他：</w:t>
            </w:r>
          </w:p>
        </w:tc>
        <w:tc>
          <w:tcPr>
            <w:tcW w:w="40" w:type="dxa"/>
            <w:shd w:val="clear" w:color="auto" w:fill="auto"/>
            <w:tcMar>
              <w:top w:w="0" w:type="dxa"/>
              <w:left w:w="10" w:type="dxa"/>
              <w:bottom w:w="0" w:type="dxa"/>
              <w:right w:w="10" w:type="dxa"/>
            </w:tcMar>
          </w:tcPr>
          <w:p w14:paraId="73B46853" w14:textId="77777777" w:rsidR="00BD776B" w:rsidRDefault="00BD776B">
            <w:pPr>
              <w:tabs>
                <w:tab w:val="left" w:pos="240"/>
              </w:tabs>
              <w:snapToGrid w:val="0"/>
              <w:spacing w:line="240" w:lineRule="exact"/>
              <w:ind w:left="478" w:hanging="238"/>
              <w:rPr>
                <w:rFonts w:ascii="標楷體" w:eastAsia="標楷體" w:hAnsi="標楷體"/>
              </w:rPr>
            </w:pPr>
          </w:p>
        </w:tc>
      </w:tr>
      <w:tr w:rsidR="00BD776B" w14:paraId="44012DD8" w14:textId="77777777">
        <w:trPr>
          <w:cantSplit/>
          <w:trHeight w:val="916"/>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3CF4" w14:textId="77777777" w:rsidR="00BD776B" w:rsidRDefault="00DF0C24">
            <w:pPr>
              <w:snapToGrid w:val="0"/>
              <w:ind w:left="113" w:right="113"/>
            </w:pPr>
            <w:r>
              <w:rPr>
                <w:rFonts w:ascii="標楷體" w:eastAsia="標楷體" w:hAnsi="標楷體" w:cs="標楷體"/>
                <w:color w:val="000000"/>
              </w:rPr>
              <w:t>注意事項</w:t>
            </w:r>
          </w:p>
          <w:p w14:paraId="43753FC5" w14:textId="77777777" w:rsidR="00BD776B" w:rsidRDefault="00BD776B">
            <w:pPr>
              <w:snapToGrid w:val="0"/>
              <w:spacing w:line="200" w:lineRule="exact"/>
              <w:ind w:left="324" w:right="113" w:hanging="211"/>
              <w:rPr>
                <w:rFonts w:ascii="標楷體" w:eastAsia="標楷體" w:hAnsi="標楷體"/>
                <w:color w:val="000000"/>
                <w:sz w:val="20"/>
                <w:szCs w:val="20"/>
              </w:rPr>
            </w:pPr>
          </w:p>
        </w:tc>
        <w:tc>
          <w:tcPr>
            <w:tcW w:w="9103"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C4E53"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4CF56CE4"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2.「原受理編號」申復時填寫，初次送核不須填寫。</w:t>
            </w:r>
          </w:p>
          <w:p w14:paraId="7E5F3D24"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26B997E0"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3904215A"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6E803D47"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48BBC6DA" w14:textId="77777777" w:rsidR="00BD776B" w:rsidRDefault="00DF0C24">
            <w:pPr>
              <w:snapToGrid w:val="0"/>
              <w:spacing w:line="200" w:lineRule="exact"/>
              <w:ind w:left="140" w:hanging="140"/>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tc>
        <w:tc>
          <w:tcPr>
            <w:tcW w:w="4906" w:type="dxa"/>
            <w:gridSpan w:val="15"/>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6C86EFC"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3256B8ED" w14:textId="77777777" w:rsidR="00BD776B" w:rsidRDefault="00BD776B">
            <w:pPr>
              <w:snapToGrid w:val="0"/>
              <w:spacing w:line="200" w:lineRule="exact"/>
              <w:rPr>
                <w:rFonts w:ascii="標楷體" w:eastAsia="標楷體" w:hAnsi="標楷體"/>
                <w:color w:val="000000"/>
                <w:sz w:val="20"/>
                <w:szCs w:val="20"/>
              </w:rPr>
            </w:pPr>
          </w:p>
        </w:tc>
      </w:tr>
      <w:tr w:rsidR="00BD776B" w14:paraId="09F5811B" w14:textId="77777777">
        <w:trPr>
          <w:cantSplit/>
          <w:trHeight w:val="362"/>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7D3" w14:textId="77777777" w:rsidR="00BD776B" w:rsidRDefault="00BD776B">
            <w:pPr>
              <w:snapToGrid w:val="0"/>
              <w:ind w:left="211" w:hanging="211"/>
              <w:rPr>
                <w:rFonts w:ascii="標楷體" w:eastAsia="標楷體" w:hAnsi="標楷體"/>
                <w:color w:val="000000"/>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56A20" w14:textId="77777777" w:rsidR="00BD776B" w:rsidRDefault="00BD776B">
            <w:pPr>
              <w:snapToGrid w:val="0"/>
              <w:ind w:left="211" w:hanging="211"/>
              <w:rPr>
                <w:rFonts w:ascii="標楷體" w:eastAsia="標楷體" w:hAnsi="標楷體"/>
                <w:color w:val="000000"/>
              </w:rPr>
            </w:pPr>
          </w:p>
        </w:tc>
        <w:tc>
          <w:tcPr>
            <w:tcW w:w="3611" w:type="dxa"/>
            <w:gridSpan w:val="1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F376" w14:textId="77777777" w:rsidR="00BD776B" w:rsidRDefault="00BD776B">
            <w:pPr>
              <w:snapToGrid w:val="0"/>
              <w:jc w:val="both"/>
              <w:rPr>
                <w:rFonts w:ascii="標楷體" w:eastAsia="標楷體" w:hAnsi="標楷體"/>
                <w:color w:val="000000"/>
              </w:rPr>
            </w:pPr>
          </w:p>
          <w:p w14:paraId="0C2CEBA8" w14:textId="77777777" w:rsidR="00BD776B" w:rsidRDefault="00DF0C24">
            <w:pPr>
              <w:snapToGrid w:val="0"/>
              <w:jc w:val="both"/>
            </w:pPr>
            <w:r>
              <w:rPr>
                <w:rFonts w:ascii="標楷體" w:eastAsia="標楷體" w:hAnsi="標楷體" w:cs="標楷體"/>
                <w:color w:val="000000"/>
                <w:sz w:val="20"/>
                <w:szCs w:val="20"/>
              </w:rPr>
              <w:t>保險人日期章戳</w:t>
            </w:r>
          </w:p>
        </w:tc>
        <w:tc>
          <w:tcPr>
            <w:tcW w:w="3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95430" w14:textId="77777777" w:rsidR="00BD776B" w:rsidRDefault="00DF0C24">
            <w:pPr>
              <w:snapToGrid w:val="0"/>
            </w:pPr>
            <w:r>
              <w:rPr>
                <w:rFonts w:ascii="標楷體" w:eastAsia="標楷體" w:hAnsi="標楷體" w:cs="標楷體"/>
                <w:color w:val="000000"/>
              </w:rPr>
              <w:t>審查醫師</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F8C35"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11B28DC5" w14:textId="77777777" w:rsidR="00BD776B" w:rsidRDefault="00BD776B">
            <w:pPr>
              <w:snapToGrid w:val="0"/>
              <w:rPr>
                <w:rFonts w:ascii="標楷體" w:eastAsia="標楷體" w:hAnsi="標楷體"/>
                <w:color w:val="000000"/>
              </w:rPr>
            </w:pPr>
          </w:p>
        </w:tc>
      </w:tr>
      <w:tr w:rsidR="00BD776B" w14:paraId="2112B301" w14:textId="77777777">
        <w:trPr>
          <w:cantSplit/>
          <w:trHeight w:val="1531"/>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A7AD" w14:textId="77777777" w:rsidR="00BD776B" w:rsidRDefault="00BD776B">
            <w:pPr>
              <w:snapToGrid w:val="0"/>
              <w:ind w:left="211" w:hanging="211"/>
              <w:rPr>
                <w:rFonts w:ascii="標楷體" w:eastAsia="標楷體" w:hAnsi="標楷體"/>
                <w:color w:val="000000"/>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B5A89" w14:textId="77777777" w:rsidR="00BD776B" w:rsidRDefault="00BD776B">
            <w:pPr>
              <w:snapToGrid w:val="0"/>
              <w:ind w:left="211" w:hanging="211"/>
              <w:rPr>
                <w:rFonts w:ascii="標楷體" w:eastAsia="標楷體" w:hAnsi="標楷體"/>
                <w:color w:val="000000"/>
              </w:rPr>
            </w:pPr>
          </w:p>
        </w:tc>
        <w:tc>
          <w:tcPr>
            <w:tcW w:w="3611" w:type="dxa"/>
            <w:gridSpan w:val="1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D0692" w14:textId="77777777" w:rsidR="00BD776B" w:rsidRDefault="00BD776B">
            <w:pPr>
              <w:snapToGrid w:val="0"/>
              <w:jc w:val="both"/>
              <w:rPr>
                <w:rFonts w:ascii="標楷體" w:eastAsia="標楷體" w:hAnsi="標楷體"/>
                <w:color w:val="000000"/>
              </w:rPr>
            </w:pPr>
          </w:p>
        </w:tc>
        <w:tc>
          <w:tcPr>
            <w:tcW w:w="3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1EFDA" w14:textId="77777777" w:rsidR="00BD776B" w:rsidRDefault="00BD776B">
            <w:pPr>
              <w:snapToGrid w:val="0"/>
              <w:rPr>
                <w:rFonts w:ascii="標楷體" w:eastAsia="標楷體" w:hAnsi="標楷體" w:cs="標楷體"/>
                <w:color w:val="000000"/>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B2561"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3875FA5E" w14:textId="77777777" w:rsidR="00BD776B" w:rsidRDefault="00BD776B">
            <w:pPr>
              <w:snapToGrid w:val="0"/>
              <w:rPr>
                <w:rFonts w:ascii="標楷體" w:eastAsia="標楷體" w:hAnsi="標楷體"/>
                <w:color w:val="000000"/>
              </w:rPr>
            </w:pPr>
          </w:p>
        </w:tc>
      </w:tr>
      <w:tr w:rsidR="00BD776B" w14:paraId="03E16D03" w14:textId="77777777">
        <w:trPr>
          <w:cantSplit/>
          <w:trHeight w:val="681"/>
        </w:trPr>
        <w:tc>
          <w:tcPr>
            <w:tcW w:w="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9F272" w14:textId="77777777" w:rsidR="00BD776B" w:rsidRDefault="00DF0C24">
            <w:pPr>
              <w:snapToGrid w:val="0"/>
              <w:spacing w:line="200" w:lineRule="exact"/>
            </w:pPr>
            <w:r>
              <w:rPr>
                <w:rFonts w:ascii="標楷體" w:eastAsia="標楷體" w:hAnsi="標楷體" w:cs="標楷體"/>
                <w:color w:val="000000"/>
                <w:sz w:val="20"/>
                <w:szCs w:val="20"/>
              </w:rPr>
              <w:t>醫事服務機構</w:t>
            </w:r>
          </w:p>
        </w:tc>
        <w:tc>
          <w:tcPr>
            <w:tcW w:w="870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6EB63" w14:textId="77777777" w:rsidR="00BD776B" w:rsidRDefault="00DF0C24">
            <w:pPr>
              <w:snapToGrid w:val="0"/>
              <w:spacing w:line="200" w:lineRule="exact"/>
            </w:pPr>
            <w:r>
              <w:rPr>
                <w:rFonts w:ascii="標楷體" w:eastAsia="標楷體" w:hAnsi="標楷體" w:cs="標楷體"/>
                <w:color w:val="000000"/>
                <w:sz w:val="20"/>
                <w:szCs w:val="20"/>
              </w:rPr>
              <w:t>醫院申請日期：  年  月  日</w:t>
            </w:r>
          </w:p>
          <w:p w14:paraId="4F0104FD" w14:textId="77777777" w:rsidR="00BD776B" w:rsidRDefault="00BD776B">
            <w:pPr>
              <w:snapToGrid w:val="0"/>
              <w:spacing w:line="200" w:lineRule="exact"/>
              <w:rPr>
                <w:rFonts w:ascii="標楷體" w:eastAsia="標楷體" w:hAnsi="標楷體"/>
                <w:color w:val="000000"/>
                <w:sz w:val="20"/>
                <w:szCs w:val="20"/>
              </w:rPr>
            </w:pPr>
          </w:p>
          <w:p w14:paraId="75293772" w14:textId="77777777" w:rsidR="00BD776B" w:rsidRDefault="00DF0C24">
            <w:pPr>
              <w:snapToGrid w:val="0"/>
              <w:spacing w:line="200" w:lineRule="exact"/>
            </w:pPr>
            <w:r>
              <w:rPr>
                <w:rFonts w:ascii="標楷體" w:eastAsia="標楷體" w:hAnsi="標楷體" w:cs="標楷體"/>
                <w:color w:val="000000"/>
                <w:sz w:val="20"/>
                <w:szCs w:val="20"/>
              </w:rPr>
              <w:t>印信</w:t>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s="標楷體"/>
                <w:color w:val="000000"/>
                <w:sz w:val="20"/>
                <w:szCs w:val="20"/>
              </w:rPr>
              <w:t>文號：</w:t>
            </w: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112F0"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83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6B36" w14:textId="77777777" w:rsidR="00BD776B" w:rsidRDefault="00BD776B">
            <w:pPr>
              <w:widowControl/>
              <w:snapToGrid w:val="0"/>
              <w:spacing w:line="200" w:lineRule="exact"/>
              <w:rPr>
                <w:rFonts w:ascii="標楷體" w:eastAsia="標楷體" w:hAnsi="標楷體"/>
                <w:color w:val="000000"/>
                <w:sz w:val="20"/>
                <w:szCs w:val="20"/>
              </w:rPr>
            </w:pPr>
          </w:p>
          <w:p w14:paraId="399DD148" w14:textId="77777777" w:rsidR="00BD776B" w:rsidRDefault="00BD776B">
            <w:pPr>
              <w:snapToGrid w:val="0"/>
              <w:spacing w:line="200" w:lineRule="exact"/>
              <w:rPr>
                <w:rFonts w:ascii="標楷體" w:eastAsia="標楷體" w:hAnsi="標楷體"/>
                <w:color w:val="000000"/>
                <w:sz w:val="20"/>
                <w:szCs w:val="20"/>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288C0" w14:textId="77777777" w:rsidR="00BD776B" w:rsidRDefault="00DF0C24">
            <w:pPr>
              <w:widowControl/>
              <w:snapToGrid w:val="0"/>
              <w:spacing w:line="200" w:lineRule="exact"/>
            </w:pPr>
            <w:r>
              <w:rPr>
                <w:rFonts w:ascii="標楷體" w:eastAsia="標楷體" w:hAnsi="標楷體" w:cs="標楷體"/>
                <w:color w:val="000000"/>
                <w:sz w:val="20"/>
                <w:szCs w:val="20"/>
              </w:rPr>
              <w:t>複核</w:t>
            </w:r>
          </w:p>
          <w:p w14:paraId="22F52689" w14:textId="77777777" w:rsidR="00BD776B" w:rsidRDefault="00BD776B">
            <w:pPr>
              <w:widowControl/>
              <w:snapToGrid w:val="0"/>
              <w:spacing w:line="200" w:lineRule="exact"/>
              <w:rPr>
                <w:rFonts w:ascii="標楷體" w:eastAsia="標楷體" w:hAnsi="標楷體"/>
                <w:color w:val="000000"/>
                <w:sz w:val="20"/>
                <w:szCs w:val="20"/>
              </w:rPr>
            </w:pP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281E" w14:textId="77777777" w:rsidR="00BD776B" w:rsidRDefault="00BD776B">
            <w:pPr>
              <w:widowControl/>
              <w:snapToGrid w:val="0"/>
              <w:spacing w:line="200" w:lineRule="exact"/>
              <w:rPr>
                <w:rFonts w:ascii="標楷體" w:eastAsia="標楷體" w:hAnsi="標楷體"/>
                <w:color w:val="000000"/>
                <w:sz w:val="20"/>
                <w:szCs w:val="20"/>
              </w:rPr>
            </w:pPr>
          </w:p>
          <w:p w14:paraId="3313D247" w14:textId="77777777" w:rsidR="00BD776B" w:rsidRDefault="00BD776B">
            <w:pPr>
              <w:snapToGrid w:val="0"/>
              <w:spacing w:line="200" w:lineRule="exact"/>
              <w:rPr>
                <w:rFonts w:ascii="標楷體" w:eastAsia="標楷體" w:hAnsi="標楷體"/>
                <w:color w:val="000000"/>
                <w:sz w:val="20"/>
                <w:szCs w:val="20"/>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6BD4B" w14:textId="77777777" w:rsidR="00BD776B" w:rsidRDefault="00DF0C24">
            <w:pPr>
              <w:snapToGrid w:val="0"/>
              <w:spacing w:line="200" w:lineRule="exact"/>
            </w:pPr>
            <w:r>
              <w:rPr>
                <w:rFonts w:ascii="標楷體" w:eastAsia="標楷體" w:hAnsi="標楷體" w:cs="標楷體"/>
                <w:color w:val="000000"/>
                <w:sz w:val="20"/>
                <w:szCs w:val="20"/>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8B55F" w14:textId="77777777" w:rsidR="00BD776B" w:rsidRDefault="00BD776B">
            <w:pPr>
              <w:widowControl/>
              <w:snapToGrid w:val="0"/>
              <w:spacing w:line="200" w:lineRule="exact"/>
              <w:rPr>
                <w:rFonts w:ascii="標楷體" w:eastAsia="標楷體" w:hAnsi="標楷體"/>
                <w:color w:val="000000"/>
                <w:sz w:val="20"/>
                <w:szCs w:val="20"/>
              </w:rPr>
            </w:pPr>
          </w:p>
          <w:p w14:paraId="7862D028" w14:textId="77777777" w:rsidR="00BD776B" w:rsidRDefault="00BD776B">
            <w:pPr>
              <w:snapToGrid w:val="0"/>
              <w:spacing w:line="200" w:lineRule="exact"/>
              <w:rPr>
                <w:rFonts w:ascii="標楷體" w:eastAsia="標楷體" w:hAnsi="標楷體"/>
                <w:color w:val="000000"/>
                <w:sz w:val="20"/>
                <w:szCs w:val="20"/>
              </w:rPr>
            </w:pPr>
          </w:p>
        </w:tc>
        <w:tc>
          <w:tcPr>
            <w:tcW w:w="35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875C9" w14:textId="77777777" w:rsidR="00BD776B" w:rsidRDefault="00DF0C24">
            <w:pPr>
              <w:widowControl/>
              <w:snapToGrid w:val="0"/>
              <w:spacing w:line="200" w:lineRule="exact"/>
            </w:pPr>
            <w:r>
              <w:rPr>
                <w:rFonts w:ascii="標楷體" w:eastAsia="標楷體" w:hAnsi="標楷體" w:cs="標楷體"/>
                <w:color w:val="000000"/>
                <w:sz w:val="20"/>
                <w:szCs w:val="20"/>
              </w:rPr>
              <w:t>決行</w:t>
            </w:r>
          </w:p>
          <w:p w14:paraId="682B5F2F" w14:textId="77777777" w:rsidR="00BD776B" w:rsidRDefault="00BD776B">
            <w:pPr>
              <w:widowControl/>
              <w:snapToGrid w:val="0"/>
              <w:spacing w:line="200" w:lineRule="exact"/>
              <w:rPr>
                <w:rFonts w:ascii="標楷體" w:eastAsia="標楷體" w:hAnsi="標楷體"/>
                <w:color w:val="000000"/>
                <w:sz w:val="20"/>
                <w:szCs w:val="20"/>
              </w:rPr>
            </w:pP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F6CA2" w14:textId="77777777" w:rsidR="00BD776B" w:rsidRDefault="00BD776B">
            <w:pPr>
              <w:widowControl/>
              <w:snapToGrid w:val="0"/>
              <w:spacing w:line="200" w:lineRule="exact"/>
              <w:rPr>
                <w:rFonts w:ascii="標楷體" w:eastAsia="標楷體" w:hAnsi="標楷體"/>
                <w:color w:val="000000"/>
                <w:sz w:val="20"/>
                <w:szCs w:val="20"/>
              </w:rPr>
            </w:pPr>
          </w:p>
          <w:p w14:paraId="16277C8A" w14:textId="77777777" w:rsidR="00BD776B" w:rsidRDefault="00BD776B">
            <w:pPr>
              <w:snapToGrid w:val="0"/>
              <w:spacing w:line="200" w:lineRule="exact"/>
              <w:rPr>
                <w:rFonts w:ascii="標楷體" w:eastAsia="標楷體" w:hAnsi="標楷體"/>
                <w:color w:val="000000"/>
                <w:sz w:val="20"/>
                <w:szCs w:val="20"/>
              </w:rPr>
            </w:pPr>
          </w:p>
        </w:tc>
      </w:tr>
    </w:tbl>
    <w:p w14:paraId="7A1FCC60" w14:textId="77777777" w:rsidR="00BD776B" w:rsidRDefault="00BD776B">
      <w:pPr>
        <w:pStyle w:val="Web"/>
        <w:widowControl w:val="0"/>
        <w:snapToGrid w:val="0"/>
        <w:spacing w:before="0" w:after="0" w:line="380" w:lineRule="exact"/>
        <w:ind w:firstLine="240"/>
        <w:jc w:val="both"/>
        <w:rPr>
          <w:rFonts w:ascii="標楷體" w:eastAsia="標楷體" w:hAnsi="標楷體"/>
        </w:rPr>
      </w:pPr>
    </w:p>
    <w:p w14:paraId="30F0793C" w14:textId="77777777" w:rsidR="00BD776B" w:rsidRDefault="00BD776B">
      <w:pPr>
        <w:pStyle w:val="Web"/>
        <w:widowControl w:val="0"/>
        <w:snapToGrid w:val="0"/>
        <w:spacing w:before="0" w:after="0" w:line="380" w:lineRule="exact"/>
        <w:ind w:firstLine="240"/>
        <w:jc w:val="both"/>
        <w:rPr>
          <w:rFonts w:ascii="標楷體" w:eastAsia="標楷體" w:hAnsi="標楷體"/>
        </w:rPr>
      </w:pPr>
    </w:p>
    <w:p w14:paraId="1467BE1A" w14:textId="77777777" w:rsidR="00BD776B" w:rsidRDefault="00DF0C24">
      <w:pPr>
        <w:pStyle w:val="Web"/>
        <w:widowControl w:val="0"/>
        <w:snapToGrid w:val="0"/>
        <w:spacing w:before="0" w:after="0" w:line="380" w:lineRule="exact"/>
        <w:ind w:firstLine="240"/>
        <w:jc w:val="both"/>
      </w:pPr>
      <w:r>
        <w:rPr>
          <w:rFonts w:ascii="標楷體" w:eastAsia="標楷體" w:hAnsi="標楷體" w:cs="標楷體"/>
          <w:color w:val="000000"/>
        </w:rPr>
        <w:t>附表九之十三：全民健康保險使用抗癌藥品</w:t>
      </w:r>
      <w:r>
        <w:rPr>
          <w:rFonts w:ascii="標楷體" w:eastAsia="標楷體" w:hAnsi="標楷體" w:cs="Times New Roman"/>
          <w:color w:val="000000"/>
        </w:rPr>
        <w:t>pazopanib</w:t>
      </w:r>
      <w:r>
        <w:rPr>
          <w:rFonts w:ascii="標楷體" w:eastAsia="標楷體" w:hAnsi="標楷體" w:cs="標楷體"/>
          <w:color w:val="000000"/>
        </w:rPr>
        <w:t>申請表</w:t>
      </w:r>
    </w:p>
    <w:tbl>
      <w:tblPr>
        <w:tblW w:w="14545" w:type="dxa"/>
        <w:tblInd w:w="170" w:type="dxa"/>
        <w:tblLayout w:type="fixed"/>
        <w:tblCellMar>
          <w:left w:w="10" w:type="dxa"/>
          <w:right w:w="10" w:type="dxa"/>
        </w:tblCellMar>
        <w:tblLook w:val="0000" w:firstRow="0" w:lastRow="0" w:firstColumn="0" w:lastColumn="0" w:noHBand="0" w:noVBand="0"/>
      </w:tblPr>
      <w:tblGrid>
        <w:gridCol w:w="359"/>
        <w:gridCol w:w="71"/>
        <w:gridCol w:w="402"/>
        <w:gridCol w:w="279"/>
        <w:gridCol w:w="574"/>
        <w:gridCol w:w="1278"/>
        <w:gridCol w:w="284"/>
        <w:gridCol w:w="1006"/>
        <w:gridCol w:w="1417"/>
        <w:gridCol w:w="567"/>
        <w:gridCol w:w="836"/>
        <w:gridCol w:w="582"/>
        <w:gridCol w:w="1417"/>
        <w:gridCol w:w="507"/>
        <w:gridCol w:w="325"/>
        <w:gridCol w:w="195"/>
        <w:gridCol w:w="684"/>
        <w:gridCol w:w="311"/>
        <w:gridCol w:w="556"/>
        <w:gridCol w:w="8"/>
        <w:gridCol w:w="332"/>
        <w:gridCol w:w="293"/>
        <w:gridCol w:w="332"/>
        <w:gridCol w:w="599"/>
        <w:gridCol w:w="377"/>
        <w:gridCol w:w="954"/>
      </w:tblGrid>
      <w:tr w:rsidR="00BD776B" w14:paraId="727C2666" w14:textId="77777777">
        <w:trPr>
          <w:cantSplit/>
          <w:trHeight w:val="328"/>
        </w:trPr>
        <w:tc>
          <w:tcPr>
            <w:tcW w:w="1111"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AF4B3F9"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申請類別:</w:t>
            </w:r>
          </w:p>
        </w:tc>
        <w:tc>
          <w:tcPr>
            <w:tcW w:w="512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A95111" w14:textId="77777777" w:rsidR="00BD776B" w:rsidRDefault="00DF0C24">
            <w:pPr>
              <w:snapToGrid w:val="0"/>
            </w:pPr>
            <w:r>
              <w:rPr>
                <w:rFonts w:ascii="標楷體" w:eastAsia="標楷體" w:hAnsi="標楷體" w:cs="標楷體"/>
                <w:color w:val="000000"/>
                <w:sz w:val="20"/>
                <w:szCs w:val="20"/>
              </w:rPr>
              <w:t>□送核□補資料□申復□資料異動</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97CB86" w14:textId="77777777" w:rsidR="00BD776B" w:rsidRDefault="00DF0C24">
            <w:pPr>
              <w:snapToGrid w:val="0"/>
            </w:pPr>
            <w:r>
              <w:rPr>
                <w:rFonts w:ascii="標楷體" w:eastAsia="標楷體" w:hAnsi="標楷體" w:cs="標楷體"/>
                <w:color w:val="000000"/>
                <w:sz w:val="20"/>
                <w:szCs w:val="20"/>
              </w:rPr>
              <w:t>受理日期：</w:t>
            </w:r>
          </w:p>
        </w:tc>
        <w:tc>
          <w:tcPr>
            <w:tcW w:w="25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679F0F" w14:textId="77777777" w:rsidR="00BD776B" w:rsidRDefault="00DF0C24">
            <w:pPr>
              <w:snapToGrid w:val="0"/>
              <w:ind w:left="15"/>
            </w:pPr>
            <w:r>
              <w:rPr>
                <w:rFonts w:ascii="標楷體" w:eastAsia="標楷體" w:hAnsi="標楷體" w:cs="標楷體"/>
                <w:color w:val="000000"/>
                <w:sz w:val="20"/>
                <w:szCs w:val="20"/>
              </w:rPr>
              <w:t>受理編號：</w:t>
            </w:r>
          </w:p>
        </w:tc>
        <w:tc>
          <w:tcPr>
            <w:tcW w:w="289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DD1F4" w14:textId="77777777" w:rsidR="00BD776B" w:rsidRDefault="00DF0C24">
            <w:pPr>
              <w:snapToGrid w:val="0"/>
            </w:pPr>
            <w:r>
              <w:rPr>
                <w:rFonts w:ascii="標楷體" w:eastAsia="標楷體" w:hAnsi="標楷體" w:cs="標楷體"/>
                <w:color w:val="000000"/>
                <w:sz w:val="20"/>
                <w:szCs w:val="20"/>
              </w:rPr>
              <w:t>緊急傳真日期：</w:t>
            </w:r>
          </w:p>
        </w:tc>
      </w:tr>
      <w:tr w:rsidR="00BD776B" w14:paraId="6918CA79" w14:textId="77777777">
        <w:trPr>
          <w:cantSplit/>
          <w:trHeight w:val="436"/>
        </w:trPr>
        <w:tc>
          <w:tcPr>
            <w:tcW w:w="4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DA1011"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6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A71D24"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15B410" w14:textId="77777777" w:rsidR="00BD776B" w:rsidRDefault="00BD776B">
            <w:pPr>
              <w:snapToGrid w:val="0"/>
              <w:spacing w:line="200" w:lineRule="exact"/>
              <w:rPr>
                <w:rFonts w:ascii="標楷體" w:eastAsia="標楷體" w:hAnsi="標楷體"/>
                <w:color w:val="000000"/>
                <w:sz w:val="20"/>
                <w:szCs w:val="20"/>
              </w:rPr>
            </w:pPr>
          </w:p>
        </w:tc>
        <w:tc>
          <w:tcPr>
            <w:tcW w:w="2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9650" w14:textId="77777777" w:rsidR="00BD776B" w:rsidRDefault="00DF0C24">
            <w:pPr>
              <w:snapToGrid w:val="0"/>
              <w:spacing w:line="200" w:lineRule="exact"/>
              <w:jc w:val="center"/>
            </w:pPr>
            <w:r>
              <w:rPr>
                <w:rFonts w:ascii="標楷體" w:eastAsia="標楷體" w:hAnsi="標楷體" w:cs="標楷體"/>
                <w:color w:val="000000"/>
                <w:sz w:val="20"/>
                <w:szCs w:val="20"/>
              </w:rPr>
              <w:t>保險對象</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F8665D"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BB574" w14:textId="77777777" w:rsidR="00BD776B" w:rsidRDefault="00BD776B">
            <w:pPr>
              <w:snapToGrid w:val="0"/>
              <w:spacing w:line="200" w:lineRule="exact"/>
              <w:rPr>
                <w:rFonts w:ascii="標楷體" w:eastAsia="標楷體" w:hAnsi="標楷體"/>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ED21C5" w14:textId="77777777" w:rsidR="00BD776B" w:rsidRDefault="00DF0C24">
            <w:pPr>
              <w:snapToGrid w:val="0"/>
              <w:spacing w:line="200" w:lineRule="exact"/>
            </w:pPr>
            <w:r>
              <w:rPr>
                <w:rFonts w:ascii="標楷體" w:eastAsia="標楷體" w:hAnsi="標楷體" w:cs="標楷體"/>
                <w:color w:val="000000"/>
                <w:sz w:val="20"/>
                <w:szCs w:val="20"/>
              </w:rPr>
              <w:t>出生日期</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55B82" w14:textId="77777777" w:rsidR="00BD776B" w:rsidRDefault="00BD776B">
            <w:pPr>
              <w:snapToGrid w:val="0"/>
              <w:spacing w:line="200" w:lineRule="exact"/>
              <w:rPr>
                <w:rFonts w:ascii="標楷體" w:eastAsia="標楷體" w:hAnsi="標楷體"/>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45502" w14:textId="77777777" w:rsidR="00BD776B" w:rsidRDefault="00DF0C24">
            <w:pPr>
              <w:snapToGrid w:val="0"/>
              <w:spacing w:line="200" w:lineRule="exact"/>
            </w:pPr>
            <w:r>
              <w:rPr>
                <w:rFonts w:ascii="標楷體" w:eastAsia="標楷體" w:hAnsi="標楷體" w:cs="標楷體"/>
                <w:color w:val="000000"/>
                <w:sz w:val="20"/>
                <w:szCs w:val="20"/>
              </w:rPr>
              <w:t>原受理編號</w:t>
            </w:r>
          </w:p>
          <w:p w14:paraId="5F3DEBD7" w14:textId="77777777" w:rsidR="00BD776B" w:rsidRDefault="00DF0C24">
            <w:pPr>
              <w:snapToGrid w:val="0"/>
              <w:spacing w:line="200" w:lineRule="exact"/>
            </w:pPr>
            <w:r>
              <w:rPr>
                <w:rFonts w:ascii="標楷體" w:eastAsia="標楷體" w:hAnsi="標楷體" w:cs="標楷體"/>
                <w:color w:val="000000"/>
                <w:sz w:val="20"/>
                <w:szCs w:val="20"/>
              </w:rPr>
              <w:t>（申復時填用）</w:t>
            </w:r>
          </w:p>
        </w:tc>
        <w:tc>
          <w:tcPr>
            <w:tcW w:w="258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8D8732" w14:textId="77777777" w:rsidR="00BD776B" w:rsidRDefault="00BD776B">
            <w:pPr>
              <w:snapToGrid w:val="0"/>
              <w:spacing w:line="200" w:lineRule="exact"/>
              <w:rPr>
                <w:rFonts w:ascii="標楷體" w:eastAsia="標楷體" w:hAnsi="標楷體"/>
                <w:color w:val="000000"/>
                <w:sz w:val="20"/>
                <w:szCs w:val="20"/>
              </w:rPr>
            </w:pPr>
          </w:p>
        </w:tc>
        <w:tc>
          <w:tcPr>
            <w:tcW w:w="9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87F2E"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預定實施</w:t>
            </w:r>
          </w:p>
          <w:p w14:paraId="6C83BE68" w14:textId="77777777" w:rsidR="00BD776B" w:rsidRDefault="00DF0C24">
            <w:pPr>
              <w:snapToGrid w:val="0"/>
              <w:spacing w:line="200" w:lineRule="exact"/>
            </w:pPr>
            <w:r>
              <w:rPr>
                <w:rFonts w:ascii="標楷體" w:eastAsia="標楷體" w:hAnsi="標楷體" w:cs="標楷體"/>
                <w:color w:val="000000"/>
                <w:sz w:val="20"/>
                <w:szCs w:val="20"/>
              </w:rPr>
              <w:t>日期</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2C8C8D" w14:textId="77777777" w:rsidR="00BD776B" w:rsidRDefault="00BD776B">
            <w:pPr>
              <w:snapToGrid w:val="0"/>
              <w:spacing w:line="200" w:lineRule="exact"/>
              <w:rPr>
                <w:rFonts w:ascii="標楷體" w:eastAsia="標楷體" w:hAnsi="標楷體"/>
                <w:color w:val="000000"/>
                <w:sz w:val="20"/>
                <w:szCs w:val="20"/>
              </w:rPr>
            </w:pPr>
          </w:p>
        </w:tc>
      </w:tr>
      <w:tr w:rsidR="00BD776B" w14:paraId="7DEC5C9D" w14:textId="77777777">
        <w:trPr>
          <w:cantSplit/>
          <w:trHeight w:val="413"/>
        </w:trPr>
        <w:tc>
          <w:tcPr>
            <w:tcW w:w="4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1C6835" w14:textId="77777777" w:rsidR="00BD776B" w:rsidRDefault="00BD776B">
            <w:pPr>
              <w:snapToGrid w:val="0"/>
              <w:spacing w:line="200" w:lineRule="exact"/>
              <w:rPr>
                <w:rFonts w:ascii="標楷體" w:eastAsia="標楷體" w:hAnsi="標楷體"/>
                <w:color w:val="000000"/>
                <w:sz w:val="20"/>
                <w:szCs w:val="20"/>
              </w:rPr>
            </w:pPr>
          </w:p>
        </w:tc>
        <w:tc>
          <w:tcPr>
            <w:tcW w:w="6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D6BACF"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C94CED" w14:textId="77777777" w:rsidR="00BD776B" w:rsidRDefault="00BD776B">
            <w:pPr>
              <w:snapToGrid w:val="0"/>
              <w:spacing w:line="200" w:lineRule="exact"/>
              <w:rPr>
                <w:rFonts w:ascii="標楷體" w:eastAsia="標楷體" w:hAnsi="標楷體"/>
                <w:color w:val="000000"/>
                <w:sz w:val="20"/>
                <w:szCs w:val="20"/>
              </w:rPr>
            </w:pPr>
          </w:p>
        </w:tc>
        <w:tc>
          <w:tcPr>
            <w:tcW w:w="2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98DCA3" w14:textId="77777777" w:rsidR="00BD776B" w:rsidRDefault="00BD776B">
            <w:pPr>
              <w:snapToGrid w:val="0"/>
              <w:spacing w:line="200" w:lineRule="exact"/>
              <w:rPr>
                <w:rFonts w:ascii="標楷體" w:eastAsia="標楷體" w:hAnsi="標楷體"/>
                <w:color w:val="000000"/>
                <w:sz w:val="20"/>
                <w:szCs w:val="20"/>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55506E" w14:textId="77777777" w:rsidR="00BD776B" w:rsidRDefault="00DF0C24">
            <w:pPr>
              <w:snapToGrid w:val="0"/>
              <w:spacing w:line="200" w:lineRule="exact"/>
            </w:pPr>
            <w:r>
              <w:rPr>
                <w:rFonts w:ascii="標楷體" w:eastAsia="標楷體" w:hAnsi="標楷體" w:cs="標楷體"/>
                <w:color w:val="000000"/>
                <w:sz w:val="20"/>
                <w:szCs w:val="20"/>
              </w:rPr>
              <w:t>身分證</w:t>
            </w:r>
          </w:p>
          <w:p w14:paraId="56FB3F23"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FDE0" w14:textId="77777777" w:rsidR="00BD776B" w:rsidRDefault="00BD776B">
            <w:pPr>
              <w:snapToGrid w:val="0"/>
              <w:spacing w:line="200" w:lineRule="exact"/>
              <w:rPr>
                <w:rFonts w:ascii="標楷體" w:eastAsia="標楷體" w:hAnsi="標楷體"/>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65643F" w14:textId="77777777" w:rsidR="00BD776B" w:rsidRDefault="00DF0C24">
            <w:pPr>
              <w:snapToGrid w:val="0"/>
              <w:spacing w:line="200" w:lineRule="exact"/>
            </w:pPr>
            <w:r>
              <w:rPr>
                <w:rFonts w:ascii="標楷體" w:eastAsia="標楷體" w:hAnsi="標楷體" w:cs="標楷體"/>
                <w:color w:val="000000"/>
                <w:sz w:val="20"/>
                <w:szCs w:val="20"/>
              </w:rPr>
              <w:t>科別</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C3B80D" w14:textId="77777777" w:rsidR="00BD776B" w:rsidRDefault="00BD776B">
            <w:pPr>
              <w:snapToGrid w:val="0"/>
              <w:spacing w:line="200" w:lineRule="exact"/>
              <w:rPr>
                <w:rFonts w:ascii="標楷體" w:eastAsia="標楷體" w:hAnsi="標楷體"/>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AB88"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10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594DF5"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1089C5" w14:textId="77777777" w:rsidR="00BD776B" w:rsidRDefault="00BD776B">
            <w:pPr>
              <w:snapToGrid w:val="0"/>
              <w:spacing w:line="200" w:lineRule="exact"/>
              <w:rPr>
                <w:rFonts w:ascii="標楷體" w:eastAsia="標楷體" w:hAnsi="標楷體"/>
                <w:color w:val="000000"/>
                <w:sz w:val="20"/>
                <w:szCs w:val="20"/>
              </w:rPr>
            </w:pPr>
          </w:p>
        </w:tc>
        <w:tc>
          <w:tcPr>
            <w:tcW w:w="96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821546" w14:textId="77777777" w:rsidR="00BD776B" w:rsidRDefault="00DF0C24">
            <w:pPr>
              <w:snapToGrid w:val="0"/>
              <w:spacing w:line="200" w:lineRule="exact"/>
            </w:pPr>
            <w:r>
              <w:rPr>
                <w:rFonts w:ascii="標楷體" w:eastAsia="標楷體" w:hAnsi="標楷體" w:cs="標楷體"/>
                <w:color w:val="000000"/>
                <w:sz w:val="20"/>
                <w:szCs w:val="20"/>
              </w:rPr>
              <w:t>申請醫師身分證號</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76D594" w14:textId="77777777" w:rsidR="00BD776B" w:rsidRDefault="00BD776B">
            <w:pPr>
              <w:snapToGrid w:val="0"/>
              <w:spacing w:line="200" w:lineRule="exact"/>
              <w:rPr>
                <w:rFonts w:ascii="標楷體" w:eastAsia="標楷體" w:hAnsi="標楷體"/>
                <w:color w:val="000000"/>
                <w:sz w:val="20"/>
                <w:szCs w:val="20"/>
              </w:rPr>
            </w:pPr>
          </w:p>
        </w:tc>
      </w:tr>
      <w:tr w:rsidR="00BD776B" w14:paraId="70BDE09A" w14:textId="77777777">
        <w:trPr>
          <w:cantSplit/>
          <w:trHeight w:val="527"/>
        </w:trPr>
        <w:tc>
          <w:tcPr>
            <w:tcW w:w="11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A9E8AC" w14:textId="77777777" w:rsidR="00BD776B" w:rsidRDefault="00DF0C24">
            <w:pPr>
              <w:pStyle w:val="a7"/>
              <w:tabs>
                <w:tab w:val="clear" w:pos="4153"/>
                <w:tab w:val="clear" w:pos="8306"/>
              </w:tabs>
              <w:spacing w:line="200" w:lineRule="exact"/>
            </w:pPr>
            <w:r>
              <w:rPr>
                <w:rFonts w:ascii="標楷體" w:eastAsia="標楷體" w:hAnsi="標楷體"/>
                <w:color w:val="000000"/>
              </w:rPr>
              <w:t>ICD-10代碼</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4FEF37" w14:textId="77777777" w:rsidR="00BD776B" w:rsidRDefault="00BD776B">
            <w:pPr>
              <w:snapToGrid w:val="0"/>
              <w:spacing w:line="200" w:lineRule="exact"/>
              <w:rPr>
                <w:rFonts w:ascii="標楷體" w:eastAsia="標楷體" w:hAnsi="標楷體"/>
                <w:color w:val="000000"/>
                <w:sz w:val="20"/>
                <w:szCs w:val="20"/>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98FE00" w14:textId="77777777" w:rsidR="00BD776B" w:rsidRDefault="00DF0C24">
            <w:pPr>
              <w:snapToGrid w:val="0"/>
              <w:spacing w:line="200" w:lineRule="exact"/>
            </w:pPr>
            <w:r>
              <w:rPr>
                <w:rFonts w:ascii="標楷體" w:eastAsia="標楷體" w:hAnsi="標楷體" w:cs="標楷體"/>
                <w:color w:val="000000"/>
                <w:sz w:val="20"/>
                <w:szCs w:val="20"/>
              </w:rPr>
              <w:t>疾病名稱</w:t>
            </w:r>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52ADB" w14:textId="77777777" w:rsidR="00BD776B" w:rsidRDefault="00BD776B">
            <w:pPr>
              <w:snapToGrid w:val="0"/>
              <w:spacing w:line="200" w:lineRule="exact"/>
              <w:rPr>
                <w:rFonts w:ascii="標楷體" w:eastAsia="標楷體" w:hAnsi="標楷體"/>
                <w:color w:val="000000"/>
                <w:sz w:val="20"/>
                <w:szCs w:val="20"/>
              </w:rPr>
            </w:pPr>
          </w:p>
        </w:tc>
        <w:tc>
          <w:tcPr>
            <w:tcW w:w="10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59D9C4"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44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04159D" w14:textId="77777777" w:rsidR="00BD776B" w:rsidRDefault="00DF0C24">
            <w:pPr>
              <w:snapToGrid w:val="0"/>
              <w:spacing w:line="200" w:lineRule="exact"/>
            </w:pPr>
            <w:r>
              <w:rPr>
                <w:rFonts w:ascii="標楷體" w:eastAsia="標楷體" w:hAnsi="標楷體" w:cs="標楷體"/>
                <w:color w:val="000000"/>
                <w:sz w:val="20"/>
                <w:szCs w:val="20"/>
              </w:rPr>
              <w:t xml:space="preserve">    年    月    日   至     年    月    日</w:t>
            </w:r>
          </w:p>
        </w:tc>
      </w:tr>
      <w:tr w:rsidR="00BD776B" w14:paraId="2309E460" w14:textId="77777777">
        <w:trPr>
          <w:cantSplit/>
          <w:trHeight w:val="287"/>
        </w:trPr>
        <w:tc>
          <w:tcPr>
            <w:tcW w:w="16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5E7978" w14:textId="77777777" w:rsidR="00BD776B" w:rsidRDefault="00DF0C24">
            <w:pPr>
              <w:snapToGrid w:val="0"/>
              <w:spacing w:line="200" w:lineRule="exact"/>
            </w:pPr>
            <w:r>
              <w:rPr>
                <w:rFonts w:ascii="標楷體" w:eastAsia="標楷體" w:hAnsi="標楷體" w:cs="標楷體"/>
                <w:color w:val="000000"/>
                <w:sz w:val="20"/>
                <w:szCs w:val="20"/>
              </w:rPr>
              <w:t>申請藥品名稱</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66BE72" w14:textId="77777777" w:rsidR="00BD776B" w:rsidRDefault="00DF0C24">
            <w:pPr>
              <w:snapToGrid w:val="0"/>
              <w:spacing w:line="200" w:lineRule="exact"/>
            </w:pPr>
            <w:r>
              <w:rPr>
                <w:rFonts w:ascii="標楷體" w:eastAsia="標楷體" w:hAnsi="標楷體" w:cs="標楷體"/>
                <w:color w:val="000000"/>
                <w:sz w:val="20"/>
                <w:szCs w:val="20"/>
              </w:rPr>
              <w:t>藥品健保代碼</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A4EAB0" w14:textId="77777777" w:rsidR="00BD776B" w:rsidRDefault="00DF0C24">
            <w:pPr>
              <w:snapToGrid w:val="0"/>
              <w:spacing w:line="200" w:lineRule="exact"/>
            </w:pPr>
            <w:r>
              <w:rPr>
                <w:rFonts w:ascii="標楷體" w:eastAsia="標楷體" w:hAnsi="標楷體" w:cs="標楷體"/>
                <w:color w:val="000000"/>
                <w:sz w:val="20"/>
                <w:szCs w:val="20"/>
              </w:rPr>
              <w:t>申請類別</w:t>
            </w:r>
          </w:p>
        </w:tc>
        <w:tc>
          <w:tcPr>
            <w:tcW w:w="2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CC4286" w14:textId="77777777" w:rsidR="00BD776B" w:rsidRDefault="00DF0C24">
            <w:pPr>
              <w:snapToGrid w:val="0"/>
              <w:spacing w:line="200" w:lineRule="exact"/>
            </w:pPr>
            <w:r>
              <w:rPr>
                <w:rFonts w:ascii="標楷體" w:eastAsia="標楷體" w:hAnsi="標楷體" w:cs="標楷體"/>
                <w:color w:val="000000"/>
                <w:sz w:val="20"/>
                <w:szCs w:val="20"/>
              </w:rPr>
              <w:t>申請給付範圍</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20C753" w14:textId="77777777" w:rsidR="00BD776B" w:rsidRDefault="00DF0C24">
            <w:pPr>
              <w:snapToGrid w:val="0"/>
              <w:spacing w:line="200" w:lineRule="exact"/>
            </w:pPr>
            <w:r>
              <w:rPr>
                <w:rFonts w:ascii="標楷體" w:eastAsia="標楷體" w:hAnsi="標楷體" w:cs="標楷體"/>
                <w:color w:val="000000"/>
                <w:sz w:val="20"/>
                <w:szCs w:val="20"/>
              </w:rPr>
              <w:t>用法用量</w:t>
            </w:r>
          </w:p>
        </w:tc>
        <w:tc>
          <w:tcPr>
            <w:tcW w:w="10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8BA148" w14:textId="77777777" w:rsidR="00BD776B" w:rsidRDefault="00DF0C24">
            <w:pPr>
              <w:snapToGrid w:val="0"/>
              <w:spacing w:line="200" w:lineRule="exact"/>
            </w:pPr>
            <w:r>
              <w:rPr>
                <w:rFonts w:ascii="標楷體" w:eastAsia="標楷體" w:hAnsi="標楷體" w:cs="標楷體"/>
                <w:color w:val="000000"/>
                <w:sz w:val="20"/>
                <w:szCs w:val="20"/>
              </w:rPr>
              <w:t>申請數量</w:t>
            </w:r>
          </w:p>
        </w:tc>
        <w:tc>
          <w:tcPr>
            <w:tcW w:w="4446" w:type="dxa"/>
            <w:gridSpan w:val="10"/>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DB710BC"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r>
      <w:tr w:rsidR="00BD776B" w14:paraId="0BF82811" w14:textId="77777777">
        <w:trPr>
          <w:cantSplit/>
          <w:trHeight w:val="1647"/>
        </w:trPr>
        <w:tc>
          <w:tcPr>
            <w:tcW w:w="16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AF5E4" w14:textId="77777777" w:rsidR="00BD776B" w:rsidRDefault="00BD776B">
            <w:pPr>
              <w:snapToGrid w:val="0"/>
              <w:spacing w:before="50"/>
              <w:rPr>
                <w:rFonts w:ascii="標楷體" w:eastAsia="標楷體" w:hAnsi="標楷體"/>
                <w:color w:val="000000"/>
                <w:sz w:val="18"/>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FC73" w14:textId="77777777" w:rsidR="00BD776B" w:rsidRDefault="00BD776B">
            <w:pPr>
              <w:snapToGrid w:val="0"/>
              <w:spacing w:before="50"/>
              <w:rPr>
                <w:rFonts w:ascii="標楷體" w:eastAsia="標楷體" w:hAnsi="標楷體"/>
                <w:color w:val="000000"/>
                <w:sz w:val="18"/>
                <w:szCs w:val="18"/>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CB2B3" w14:textId="77777777" w:rsidR="00BD776B" w:rsidRDefault="00DF0C24">
            <w:pPr>
              <w:snapToGrid w:val="0"/>
              <w:spacing w:before="180"/>
            </w:pPr>
            <w:r>
              <w:rPr>
                <w:rFonts w:ascii="標楷體" w:eastAsia="標楷體" w:hAnsi="標楷體" w:cs="標楷體"/>
                <w:color w:val="000000"/>
                <w:sz w:val="20"/>
                <w:szCs w:val="20"/>
              </w:rPr>
              <w:t>□第</w:t>
            </w:r>
            <w:r>
              <w:rPr>
                <w:rFonts w:ascii="標楷體" w:eastAsia="標楷體" w:hAnsi="標楷體"/>
                <w:color w:val="000000"/>
                <w:sz w:val="20"/>
                <w:szCs w:val="20"/>
              </w:rPr>
              <w:t>一次申請</w:t>
            </w:r>
          </w:p>
          <w:p w14:paraId="3D105E96" w14:textId="77777777" w:rsidR="00BD776B" w:rsidRDefault="00DF0C24">
            <w:pPr>
              <w:snapToGrid w:val="0"/>
              <w:spacing w:before="180"/>
              <w:ind w:left="206" w:hanging="206"/>
              <w:rPr>
                <w:rFonts w:ascii="標楷體" w:eastAsia="標楷體" w:hAnsi="標楷體"/>
                <w:color w:val="000000"/>
                <w:sz w:val="20"/>
                <w:szCs w:val="20"/>
              </w:rPr>
            </w:pPr>
            <w:r>
              <w:rPr>
                <w:rFonts w:ascii="標楷體" w:eastAsia="標楷體" w:hAnsi="標楷體"/>
                <w:color w:val="000000"/>
                <w:sz w:val="20"/>
                <w:szCs w:val="20"/>
              </w:rPr>
              <w:t>□治療後再次申請</w:t>
            </w:r>
          </w:p>
        </w:tc>
        <w:tc>
          <w:tcPr>
            <w:tcW w:w="2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96700" w14:textId="77777777" w:rsidR="00BD776B" w:rsidRDefault="00BD776B">
            <w:pPr>
              <w:snapToGrid w:val="0"/>
              <w:spacing w:line="200" w:lineRule="exact"/>
              <w:rPr>
                <w:rFonts w:ascii="標楷體" w:eastAsia="標楷體" w:hAnsi="標楷體" w:cs="標楷體"/>
                <w:color w:val="000000"/>
                <w:sz w:val="20"/>
                <w:szCs w:val="20"/>
              </w:rPr>
            </w:pPr>
          </w:p>
          <w:p w14:paraId="5BC141EA" w14:textId="77777777" w:rsidR="00BD776B" w:rsidRDefault="00DF0C24">
            <w:pPr>
              <w:snapToGrid w:val="0"/>
              <w:spacing w:line="200" w:lineRule="exact"/>
            </w:pPr>
            <w:r>
              <w:rPr>
                <w:rFonts w:ascii="標楷體" w:eastAsia="標楷體" w:hAnsi="標楷體" w:cs="標楷體"/>
                <w:color w:val="000000"/>
                <w:sz w:val="20"/>
                <w:szCs w:val="20"/>
              </w:rPr>
              <w:t>□</w:t>
            </w:r>
            <w:r>
              <w:rPr>
                <w:rFonts w:ascii="標楷體" w:eastAsia="標楷體" w:hAnsi="標楷體" w:cs="標楷體"/>
                <w:sz w:val="20"/>
                <w:szCs w:val="20"/>
              </w:rPr>
              <w:t>晚期軟</w:t>
            </w:r>
            <w:r>
              <w:rPr>
                <w:rFonts w:ascii="標楷體" w:eastAsia="標楷體" w:hAnsi="標楷體" w:cs="標楷體"/>
                <w:color w:val="000000"/>
                <w:sz w:val="20"/>
                <w:szCs w:val="20"/>
              </w:rPr>
              <w:t>組織肉瘤</w:t>
            </w:r>
          </w:p>
          <w:p w14:paraId="200AA2D3" w14:textId="77777777" w:rsidR="00BD776B" w:rsidRDefault="00BD776B">
            <w:pPr>
              <w:snapToGrid w:val="0"/>
              <w:spacing w:before="180"/>
            </w:pP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532F2" w14:textId="77777777" w:rsidR="00BD776B" w:rsidRDefault="00BD776B">
            <w:pPr>
              <w:snapToGrid w:val="0"/>
              <w:spacing w:line="200" w:lineRule="exact"/>
              <w:rPr>
                <w:rFonts w:ascii="標楷體" w:eastAsia="標楷體" w:hAnsi="標楷體"/>
                <w:color w:val="000000"/>
                <w:sz w:val="20"/>
                <w:szCs w:val="20"/>
              </w:rPr>
            </w:pPr>
          </w:p>
        </w:tc>
        <w:tc>
          <w:tcPr>
            <w:tcW w:w="10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053E4" w14:textId="77777777" w:rsidR="00BD776B" w:rsidRDefault="00BD776B">
            <w:pPr>
              <w:snapToGrid w:val="0"/>
              <w:rPr>
                <w:rFonts w:ascii="標楷體" w:eastAsia="標楷體" w:hAnsi="標楷體"/>
                <w:color w:val="000000"/>
                <w:sz w:val="20"/>
                <w:szCs w:val="20"/>
              </w:rPr>
            </w:pPr>
          </w:p>
        </w:tc>
        <w:tc>
          <w:tcPr>
            <w:tcW w:w="4446" w:type="dxa"/>
            <w:gridSpan w:val="10"/>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7AF33D5" w14:textId="77777777" w:rsidR="00BD776B" w:rsidRDefault="00DF0C24" w:rsidP="008A7063">
            <w:pPr>
              <w:numPr>
                <w:ilvl w:val="0"/>
                <w:numId w:val="74"/>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176462B3"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使用劑量不符合常規，核定量為</w:t>
            </w:r>
          </w:p>
          <w:p w14:paraId="012B2B4C" w14:textId="77777777" w:rsidR="00BD776B" w:rsidRDefault="00DF0C24">
            <w:pPr>
              <w:snapToGrid w:val="0"/>
              <w:spacing w:line="240" w:lineRule="exact"/>
            </w:pPr>
            <w:r>
              <w:rPr>
                <w:rFonts w:ascii="標楷體" w:eastAsia="標楷體" w:hAnsi="標楷體" w:cs="標楷體"/>
                <w:color w:val="000000"/>
                <w:sz w:val="20"/>
                <w:szCs w:val="20"/>
              </w:rPr>
              <w:t>□不同意</w:t>
            </w:r>
          </w:p>
          <w:p w14:paraId="7028B3E9"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不符合適應症。</w:t>
            </w:r>
          </w:p>
          <w:p w14:paraId="648ADF6A"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不符合不得併用二種此類藥物之適應症</w:t>
            </w:r>
          </w:p>
          <w:p w14:paraId="3EA9CEEF"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未附使用其他抗癌藥物</w:t>
            </w:r>
            <w:r>
              <w:rPr>
                <w:rFonts w:ascii="標楷體" w:eastAsia="標楷體" w:hAnsi="標楷體"/>
                <w:color w:val="000000"/>
                <w:sz w:val="20"/>
                <w:szCs w:val="20"/>
              </w:rPr>
              <w:t>耐受性不良或無效的證明。</w:t>
            </w:r>
          </w:p>
          <w:p w14:paraId="1374701B"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未附目前是否為晚期或轉移之病歷</w:t>
            </w:r>
          </w:p>
          <w:p w14:paraId="74FD8802" w14:textId="77777777" w:rsidR="00BD776B" w:rsidRDefault="00DF0C24" w:rsidP="008A7063">
            <w:pPr>
              <w:numPr>
                <w:ilvl w:val="0"/>
                <w:numId w:val="74"/>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未附治療計劃(預計使用上述藥物之劑量及預計使用次數)</w:t>
            </w:r>
          </w:p>
          <w:p w14:paraId="3D57AA84" w14:textId="77777777" w:rsidR="00BD776B" w:rsidRDefault="00DF0C24" w:rsidP="008A7063">
            <w:pPr>
              <w:numPr>
                <w:ilvl w:val="0"/>
                <w:numId w:val="74"/>
              </w:numPr>
              <w:tabs>
                <w:tab w:val="left" w:pos="240"/>
              </w:tabs>
              <w:snapToGrid w:val="0"/>
              <w:spacing w:line="240" w:lineRule="exact"/>
              <w:ind w:left="478" w:hanging="238"/>
              <w:rPr>
                <w:rFonts w:ascii="標楷體" w:eastAsia="標楷體" w:hAnsi="標楷體" w:cs="標楷體"/>
                <w:color w:val="000000"/>
                <w:sz w:val="20"/>
                <w:szCs w:val="20"/>
              </w:rPr>
            </w:pPr>
            <w:r>
              <w:rPr>
                <w:rFonts w:ascii="標楷體" w:eastAsia="標楷體" w:hAnsi="標楷體" w:cs="標楷體"/>
                <w:color w:val="000000"/>
                <w:sz w:val="20"/>
                <w:szCs w:val="20"/>
              </w:rPr>
              <w:t>相關檢驗、檢查報告不全(如影像診斷報告或腫瘤標誌、病理切片、細胞學檢查報告)</w:t>
            </w:r>
          </w:p>
          <w:p w14:paraId="6735521B"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補附資料再審，請補充以下資料</w:t>
            </w:r>
          </w:p>
          <w:p w14:paraId="039BD2F1" w14:textId="77777777" w:rsidR="00BD776B" w:rsidRDefault="00DF0C24" w:rsidP="008A7063">
            <w:pPr>
              <w:numPr>
                <w:ilvl w:val="0"/>
                <w:numId w:val="74"/>
              </w:numPr>
              <w:tabs>
                <w:tab w:val="left" w:pos="240"/>
              </w:tabs>
              <w:snapToGrid w:val="0"/>
              <w:spacing w:line="240" w:lineRule="exact"/>
              <w:ind w:left="408" w:hanging="170"/>
            </w:pPr>
            <w:r>
              <w:rPr>
                <w:rFonts w:ascii="標楷體" w:eastAsia="標楷體" w:hAnsi="標楷體" w:cs="標楷體"/>
                <w:color w:val="000000"/>
                <w:sz w:val="20"/>
                <w:szCs w:val="20"/>
              </w:rPr>
              <w:t>其他：</w:t>
            </w:r>
          </w:p>
        </w:tc>
      </w:tr>
      <w:tr w:rsidR="00BD776B" w14:paraId="1060ACB2" w14:textId="77777777">
        <w:trPr>
          <w:cantSplit/>
          <w:trHeight w:val="1544"/>
        </w:trPr>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25D6B6" w14:textId="77777777" w:rsidR="00BD776B" w:rsidRDefault="00DF0C24">
            <w:pPr>
              <w:snapToGrid w:val="0"/>
              <w:ind w:left="113" w:right="113"/>
            </w:pPr>
            <w:r>
              <w:rPr>
                <w:rFonts w:ascii="標楷體" w:eastAsia="標楷體" w:hAnsi="標楷體" w:cs="標楷體"/>
                <w:color w:val="000000"/>
              </w:rPr>
              <w:t>注意事項</w:t>
            </w:r>
          </w:p>
          <w:p w14:paraId="28AAE959" w14:textId="77777777" w:rsidR="00BD776B" w:rsidRDefault="00BD776B">
            <w:pPr>
              <w:snapToGrid w:val="0"/>
              <w:ind w:left="324" w:right="113" w:hanging="211"/>
              <w:rPr>
                <w:rFonts w:ascii="標楷體" w:eastAsia="標楷體" w:hAnsi="標楷體"/>
                <w:color w:val="000000"/>
                <w:sz w:val="20"/>
                <w:szCs w:val="20"/>
              </w:rPr>
            </w:pPr>
          </w:p>
        </w:tc>
        <w:tc>
          <w:tcPr>
            <w:tcW w:w="9740"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6BE05"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4674929E"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2.「原受理編號」申復時填寫，初次送核不需填寫。</w:t>
            </w:r>
          </w:p>
          <w:p w14:paraId="01299836"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33C0F6CE"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0CC9169B"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1974E827" w14:textId="77777777" w:rsidR="00BD776B" w:rsidRDefault="00DF0C24">
            <w:pPr>
              <w:snapToGrid w:val="0"/>
              <w:spacing w:line="200" w:lineRule="exact"/>
              <w:ind w:left="140" w:hanging="140"/>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34FAE5F7" w14:textId="77777777" w:rsidR="00BD776B" w:rsidRDefault="00DF0C24">
            <w:pPr>
              <w:snapToGrid w:val="0"/>
              <w:spacing w:line="200" w:lineRule="exact"/>
              <w:ind w:left="140" w:hanging="140"/>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tc>
        <w:tc>
          <w:tcPr>
            <w:tcW w:w="4446" w:type="dxa"/>
            <w:gridSpan w:val="10"/>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85502FF" w14:textId="77777777" w:rsidR="00BD776B" w:rsidRDefault="00BD776B">
            <w:pPr>
              <w:snapToGrid w:val="0"/>
              <w:rPr>
                <w:rFonts w:ascii="標楷體" w:eastAsia="標楷體" w:hAnsi="標楷體"/>
                <w:color w:val="000000"/>
                <w:sz w:val="20"/>
                <w:szCs w:val="20"/>
              </w:rPr>
            </w:pPr>
          </w:p>
        </w:tc>
      </w:tr>
      <w:tr w:rsidR="00BD776B" w14:paraId="0AA77B19" w14:textId="77777777">
        <w:trPr>
          <w:cantSplit/>
          <w:trHeight w:val="757"/>
        </w:trPr>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CDDF66" w14:textId="77777777" w:rsidR="00BD776B" w:rsidRDefault="00BD776B">
            <w:pPr>
              <w:snapToGrid w:val="0"/>
              <w:ind w:left="211" w:hanging="211"/>
              <w:rPr>
                <w:rFonts w:ascii="標楷體" w:eastAsia="標楷體" w:hAnsi="標楷體"/>
                <w:color w:val="000000"/>
              </w:rPr>
            </w:pPr>
          </w:p>
        </w:tc>
        <w:tc>
          <w:tcPr>
            <w:tcW w:w="9740"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02D1F" w14:textId="77777777" w:rsidR="00BD776B" w:rsidRDefault="00BD776B">
            <w:pPr>
              <w:snapToGrid w:val="0"/>
              <w:ind w:left="211" w:hanging="211"/>
              <w:rPr>
                <w:rFonts w:ascii="標楷體" w:eastAsia="標楷體" w:hAnsi="標楷體"/>
                <w:color w:val="000000"/>
              </w:rPr>
            </w:pPr>
          </w:p>
        </w:tc>
        <w:tc>
          <w:tcPr>
            <w:tcW w:w="3115" w:type="dxa"/>
            <w:gridSpan w:val="8"/>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F75A" w14:textId="77777777" w:rsidR="00BD776B" w:rsidRDefault="00DF0C24">
            <w:pPr>
              <w:snapToGrid w:val="0"/>
              <w:jc w:val="both"/>
              <w:rPr>
                <w:rFonts w:ascii="標楷體" w:eastAsia="標楷體" w:hAnsi="標楷體" w:cs="標楷體"/>
                <w:color w:val="000000"/>
                <w:sz w:val="20"/>
                <w:szCs w:val="20"/>
              </w:rPr>
            </w:pPr>
            <w:r>
              <w:rPr>
                <w:rFonts w:ascii="標楷體" w:eastAsia="標楷體" w:hAnsi="標楷體" w:cs="標楷體"/>
                <w:color w:val="000000"/>
                <w:sz w:val="20"/>
                <w:szCs w:val="20"/>
              </w:rPr>
              <w:t>保險人日期章戳</w:t>
            </w:r>
          </w:p>
          <w:p w14:paraId="2250D931" w14:textId="77777777" w:rsidR="00BD776B" w:rsidRDefault="00BD776B">
            <w:pPr>
              <w:snapToGrid w:val="0"/>
              <w:jc w:val="both"/>
              <w:rPr>
                <w:rFonts w:ascii="標楷體" w:eastAsia="標楷體" w:hAnsi="標楷體"/>
                <w:color w:val="000000"/>
                <w:sz w:val="20"/>
                <w:szCs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E7B3" w14:textId="77777777" w:rsidR="00BD776B" w:rsidRDefault="00DF0C24">
            <w:pPr>
              <w:snapToGrid w:val="0"/>
            </w:pPr>
            <w:r>
              <w:rPr>
                <w:rFonts w:ascii="標楷體" w:eastAsia="標楷體" w:hAnsi="標楷體" w:cs="標楷體"/>
                <w:color w:val="000000"/>
              </w:rPr>
              <w:t>審查醫師</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D7FA9" w14:textId="77777777" w:rsidR="00BD776B" w:rsidRDefault="00BD776B">
            <w:pPr>
              <w:snapToGrid w:val="0"/>
              <w:rPr>
                <w:rFonts w:ascii="標楷體" w:eastAsia="標楷體" w:hAnsi="標楷體"/>
                <w:color w:val="000000"/>
              </w:rPr>
            </w:pPr>
          </w:p>
        </w:tc>
      </w:tr>
      <w:tr w:rsidR="00BD776B" w14:paraId="714A47BF" w14:textId="77777777">
        <w:trPr>
          <w:cantSplit/>
          <w:trHeight w:val="90"/>
        </w:trPr>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A1591" w14:textId="77777777" w:rsidR="00BD776B" w:rsidRDefault="00BD776B">
            <w:pPr>
              <w:snapToGrid w:val="0"/>
              <w:ind w:left="211" w:hanging="211"/>
              <w:rPr>
                <w:rFonts w:ascii="標楷體" w:eastAsia="標楷體" w:hAnsi="標楷體"/>
                <w:color w:val="000000"/>
              </w:rPr>
            </w:pPr>
          </w:p>
        </w:tc>
        <w:tc>
          <w:tcPr>
            <w:tcW w:w="9740"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A5151" w14:textId="77777777" w:rsidR="00BD776B" w:rsidRDefault="00BD776B">
            <w:pPr>
              <w:snapToGrid w:val="0"/>
              <w:ind w:left="211" w:hanging="211"/>
              <w:rPr>
                <w:rFonts w:ascii="標楷體" w:eastAsia="標楷體" w:hAnsi="標楷體"/>
                <w:color w:val="000000"/>
              </w:rPr>
            </w:pPr>
          </w:p>
        </w:tc>
        <w:tc>
          <w:tcPr>
            <w:tcW w:w="3115" w:type="dxa"/>
            <w:gridSpan w:val="8"/>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AA6" w14:textId="77777777" w:rsidR="00BD776B" w:rsidRDefault="00BD776B">
            <w:pPr>
              <w:snapToGrid w:val="0"/>
              <w:jc w:val="both"/>
              <w:rPr>
                <w:rFonts w:ascii="標楷體" w:eastAsia="標楷體" w:hAnsi="標楷體"/>
                <w:color w:val="000000"/>
              </w:rPr>
            </w:pPr>
          </w:p>
        </w:tc>
        <w:tc>
          <w:tcPr>
            <w:tcW w:w="3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27AF3" w14:textId="77777777" w:rsidR="00BD776B" w:rsidRDefault="00BD776B">
            <w:pPr>
              <w:snapToGrid w:val="0"/>
              <w:rPr>
                <w:rFonts w:ascii="標楷體" w:eastAsia="標楷體" w:hAnsi="標楷體" w:cs="標楷體"/>
                <w:color w:val="000000"/>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3A268" w14:textId="77777777" w:rsidR="00BD776B" w:rsidRDefault="00BD776B">
            <w:pPr>
              <w:snapToGrid w:val="0"/>
              <w:rPr>
                <w:rFonts w:ascii="標楷體" w:eastAsia="標楷體" w:hAnsi="標楷體"/>
                <w:color w:val="000000"/>
              </w:rPr>
            </w:pPr>
          </w:p>
        </w:tc>
      </w:tr>
      <w:tr w:rsidR="00BD776B" w14:paraId="7A5F6738" w14:textId="77777777">
        <w:trPr>
          <w:cantSplit/>
          <w:trHeight w:val="705"/>
        </w:trPr>
        <w:tc>
          <w:tcPr>
            <w:tcW w:w="8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F4DAB" w14:textId="77777777" w:rsidR="00BD776B" w:rsidRDefault="00DF0C24">
            <w:pPr>
              <w:snapToGrid w:val="0"/>
              <w:spacing w:line="240" w:lineRule="exact"/>
            </w:pPr>
            <w:r>
              <w:rPr>
                <w:rFonts w:ascii="標楷體" w:eastAsia="標楷體" w:hAnsi="標楷體" w:cs="標楷體"/>
                <w:color w:val="000000"/>
              </w:rPr>
              <w:t>醫事服務機構</w:t>
            </w:r>
          </w:p>
        </w:tc>
        <w:tc>
          <w:tcPr>
            <w:tcW w:w="874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36685" w14:textId="77777777" w:rsidR="00BD776B" w:rsidRDefault="00DF0C24">
            <w:pPr>
              <w:snapToGrid w:val="0"/>
              <w:spacing w:line="240" w:lineRule="exact"/>
            </w:pPr>
            <w:r>
              <w:rPr>
                <w:rFonts w:ascii="標楷體" w:eastAsia="標楷體" w:hAnsi="標楷體" w:cs="標楷體"/>
                <w:color w:val="000000"/>
              </w:rPr>
              <w:t>醫院申請日期：  年  月  日</w:t>
            </w:r>
          </w:p>
          <w:p w14:paraId="65C0EE81" w14:textId="77777777" w:rsidR="00BD776B" w:rsidRDefault="00BD776B">
            <w:pPr>
              <w:snapToGrid w:val="0"/>
              <w:spacing w:line="240" w:lineRule="exact"/>
              <w:rPr>
                <w:rFonts w:ascii="標楷體" w:eastAsia="標楷體" w:hAnsi="標楷體"/>
                <w:color w:val="000000"/>
              </w:rPr>
            </w:pPr>
          </w:p>
          <w:p w14:paraId="358AC42C" w14:textId="77777777" w:rsidR="00BD776B" w:rsidRDefault="00DF0C24">
            <w:pPr>
              <w:snapToGrid w:val="0"/>
              <w:spacing w:line="240" w:lineRule="exact"/>
            </w:pPr>
            <w:r>
              <w:rPr>
                <w:rFonts w:ascii="標楷體" w:eastAsia="標楷體" w:hAnsi="標楷體" w:cs="標楷體"/>
                <w:color w:val="000000"/>
              </w:rPr>
              <w:t>印信</w:t>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r>
            <w:r>
              <w:rPr>
                <w:rFonts w:ascii="標楷體" w:eastAsia="標楷體" w:hAnsi="標楷體" w:cs="標楷體"/>
                <w:color w:val="000000"/>
              </w:rPr>
              <w:t>文號：</w:t>
            </w:r>
          </w:p>
        </w:tc>
        <w:tc>
          <w:tcPr>
            <w:tcW w:w="3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4A8BF" w14:textId="77777777" w:rsidR="00BD776B" w:rsidRDefault="00DF0C24">
            <w:pPr>
              <w:widowControl/>
              <w:snapToGrid w:val="0"/>
              <w:spacing w:line="240" w:lineRule="exact"/>
            </w:pPr>
            <w:r>
              <w:rPr>
                <w:rFonts w:ascii="標楷體" w:eastAsia="標楷體" w:hAnsi="標楷體" w:cs="標楷體"/>
                <w:color w:val="000000"/>
              </w:rPr>
              <w:t>承辦人</w:t>
            </w:r>
          </w:p>
        </w:tc>
        <w:tc>
          <w:tcPr>
            <w:tcW w:w="879"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A7C49" w14:textId="77777777" w:rsidR="00BD776B" w:rsidRDefault="00BD776B">
            <w:pPr>
              <w:widowControl/>
              <w:snapToGrid w:val="0"/>
              <w:rPr>
                <w:rFonts w:ascii="標楷體" w:eastAsia="標楷體" w:hAnsi="標楷體"/>
                <w:color w:val="000000"/>
              </w:rPr>
            </w:pPr>
          </w:p>
          <w:p w14:paraId="4C1EA847" w14:textId="77777777" w:rsidR="00BD776B" w:rsidRDefault="00BD776B">
            <w:pPr>
              <w:snapToGrid w:val="0"/>
              <w:spacing w:line="240" w:lineRule="exact"/>
              <w:rPr>
                <w:rFonts w:ascii="標楷體" w:eastAsia="標楷體" w:hAnsi="標楷體"/>
                <w:color w:val="000000"/>
              </w:rPr>
            </w:pPr>
          </w:p>
        </w:tc>
        <w:tc>
          <w:tcPr>
            <w:tcW w:w="31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A88A1" w14:textId="77777777" w:rsidR="00BD776B" w:rsidRDefault="00DF0C24">
            <w:pPr>
              <w:widowControl/>
              <w:snapToGrid w:val="0"/>
              <w:spacing w:line="240" w:lineRule="exact"/>
            </w:pPr>
            <w:r>
              <w:rPr>
                <w:rFonts w:ascii="標楷體" w:eastAsia="標楷體" w:hAnsi="標楷體" w:cs="標楷體"/>
                <w:color w:val="000000"/>
              </w:rPr>
              <w:t>複核</w:t>
            </w:r>
          </w:p>
          <w:p w14:paraId="2DC8645A" w14:textId="77777777" w:rsidR="00BD776B" w:rsidRDefault="00BD776B">
            <w:pPr>
              <w:widowControl/>
              <w:snapToGrid w:val="0"/>
              <w:rPr>
                <w:rFonts w:ascii="標楷體" w:eastAsia="標楷體" w:hAnsi="標楷體"/>
                <w:color w:val="000000"/>
              </w:rPr>
            </w:pPr>
          </w:p>
        </w:tc>
        <w:tc>
          <w:tcPr>
            <w:tcW w:w="89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E9EB1" w14:textId="77777777" w:rsidR="00BD776B" w:rsidRDefault="00BD776B">
            <w:pPr>
              <w:widowControl/>
              <w:snapToGrid w:val="0"/>
              <w:rPr>
                <w:rFonts w:ascii="標楷體" w:eastAsia="標楷體" w:hAnsi="標楷體"/>
                <w:color w:val="000000"/>
              </w:rPr>
            </w:pPr>
          </w:p>
          <w:p w14:paraId="5ADAEFE0" w14:textId="77777777" w:rsidR="00BD776B" w:rsidRDefault="00BD776B">
            <w:pPr>
              <w:snapToGrid w:val="0"/>
              <w:spacing w:line="240" w:lineRule="exact"/>
              <w:rPr>
                <w:rFonts w:ascii="標楷體" w:eastAsia="標楷體" w:hAnsi="標楷體"/>
                <w:color w:val="000000"/>
              </w:rPr>
            </w:pPr>
          </w:p>
        </w:tc>
        <w:tc>
          <w:tcPr>
            <w:tcW w:w="2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13CB8" w14:textId="77777777" w:rsidR="00BD776B" w:rsidRDefault="00DF0C24">
            <w:pPr>
              <w:snapToGrid w:val="0"/>
              <w:spacing w:line="240" w:lineRule="exact"/>
            </w:pPr>
            <w:r>
              <w:rPr>
                <w:rFonts w:ascii="標楷體" w:eastAsia="標楷體" w:hAnsi="標楷體" w:cs="標楷體"/>
                <w:color w:val="000000"/>
              </w:rPr>
              <w:t>科長</w:t>
            </w:r>
          </w:p>
        </w:tc>
        <w:tc>
          <w:tcPr>
            <w:tcW w:w="93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3183E" w14:textId="77777777" w:rsidR="00BD776B" w:rsidRDefault="00BD776B">
            <w:pPr>
              <w:snapToGrid w:val="0"/>
              <w:spacing w:line="240" w:lineRule="exact"/>
              <w:rPr>
                <w:rFonts w:ascii="標楷體" w:eastAsia="標楷體" w:hAnsi="標楷體"/>
                <w:color w:val="000000"/>
              </w:rPr>
            </w:pPr>
          </w:p>
        </w:tc>
        <w:tc>
          <w:tcPr>
            <w:tcW w:w="3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5BB3F" w14:textId="77777777" w:rsidR="00BD776B" w:rsidRDefault="00DF0C24">
            <w:pPr>
              <w:widowControl/>
              <w:snapToGrid w:val="0"/>
              <w:spacing w:line="240" w:lineRule="exact"/>
            </w:pPr>
            <w:r>
              <w:rPr>
                <w:rFonts w:ascii="標楷體" w:eastAsia="標楷體" w:hAnsi="標楷體" w:cs="標楷體"/>
                <w:color w:val="000000"/>
              </w:rPr>
              <w:t>決行</w:t>
            </w:r>
          </w:p>
        </w:tc>
        <w:tc>
          <w:tcPr>
            <w:tcW w:w="95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D269E" w14:textId="77777777" w:rsidR="00BD776B" w:rsidRDefault="00BD776B">
            <w:pPr>
              <w:snapToGrid w:val="0"/>
              <w:spacing w:line="240" w:lineRule="exact"/>
              <w:rPr>
                <w:rFonts w:ascii="標楷體" w:eastAsia="標楷體" w:hAnsi="標楷體"/>
                <w:color w:val="000000"/>
              </w:rPr>
            </w:pPr>
          </w:p>
        </w:tc>
      </w:tr>
    </w:tbl>
    <w:p w14:paraId="3907B7DF" w14:textId="77777777" w:rsidR="001E4221" w:rsidRDefault="001E4221">
      <w:pPr>
        <w:sectPr w:rsidR="001E4221" w:rsidSect="00AD1FA8">
          <w:footerReference w:type="default" r:id="rId18"/>
          <w:pgSz w:w="16838" w:h="11906" w:orient="landscape" w:code="9"/>
          <w:pgMar w:top="567" w:right="1134" w:bottom="568" w:left="1134" w:header="720" w:footer="720" w:gutter="0"/>
          <w:cols w:space="720"/>
          <w:docGrid w:type="linesAndChars" w:linePitch="360"/>
        </w:sectPr>
      </w:pPr>
    </w:p>
    <w:p w14:paraId="7825A878" w14:textId="77777777" w:rsidR="00BD776B" w:rsidRDefault="00BD776B">
      <w:pPr>
        <w:snapToGrid w:val="0"/>
        <w:rPr>
          <w:rFonts w:ascii="標楷體" w:eastAsia="標楷體" w:hAnsi="標楷體"/>
        </w:rPr>
      </w:pPr>
    </w:p>
    <w:tbl>
      <w:tblPr>
        <w:tblW w:w="8188" w:type="dxa"/>
        <w:jc w:val="center"/>
        <w:tblLayout w:type="fixed"/>
        <w:tblCellMar>
          <w:left w:w="10" w:type="dxa"/>
          <w:right w:w="10" w:type="dxa"/>
        </w:tblCellMar>
        <w:tblLook w:val="0000" w:firstRow="0" w:lastRow="0" w:firstColumn="0" w:lastColumn="0" w:noHBand="0" w:noVBand="0"/>
      </w:tblPr>
      <w:tblGrid>
        <w:gridCol w:w="8188"/>
      </w:tblGrid>
      <w:tr w:rsidR="00BD776B" w14:paraId="09F1134E" w14:textId="77777777">
        <w:trPr>
          <w:cantSplit/>
          <w:trHeight w:val="184"/>
          <w:jc w:val="center"/>
        </w:trPr>
        <w:tc>
          <w:tcPr>
            <w:tcW w:w="8188" w:type="dxa"/>
            <w:shd w:val="clear" w:color="auto" w:fill="auto"/>
            <w:tcMar>
              <w:top w:w="0" w:type="dxa"/>
              <w:left w:w="28" w:type="dxa"/>
              <w:bottom w:w="0" w:type="dxa"/>
              <w:right w:w="28" w:type="dxa"/>
            </w:tcMar>
          </w:tcPr>
          <w:p w14:paraId="57BD0837" w14:textId="77777777" w:rsidR="00BD776B" w:rsidRDefault="00DF0C24">
            <w:pPr>
              <w:widowControl/>
              <w:autoSpaceDE w:val="0"/>
              <w:snapToGrid w:val="0"/>
              <w:spacing w:line="380" w:lineRule="exact"/>
              <w:ind w:left="1" w:firstLine="39"/>
              <w:jc w:val="both"/>
              <w:textAlignment w:val="bottom"/>
            </w:pPr>
            <w:r>
              <w:rPr>
                <w:rFonts w:ascii="標楷體" w:eastAsia="標楷體" w:hAnsi="標楷體"/>
                <w:color w:val="000000"/>
              </w:rPr>
              <w:t>附表十患者服用</w:t>
            </w:r>
            <w:r>
              <w:rPr>
                <w:rFonts w:ascii="標楷體" w:eastAsia="標楷體" w:hAnsi="標楷體"/>
                <w:bCs/>
                <w:color w:val="000000"/>
              </w:rPr>
              <w:t>Isotretinoin口服製劑</w:t>
            </w:r>
            <w:r>
              <w:rPr>
                <w:rFonts w:ascii="標楷體" w:eastAsia="標楷體" w:hAnsi="標楷體"/>
                <w:color w:val="000000"/>
              </w:rPr>
              <w:t>同意書</w:t>
            </w:r>
          </w:p>
        </w:tc>
      </w:tr>
    </w:tbl>
    <w:p w14:paraId="007E4B57" w14:textId="77777777" w:rsidR="00BD776B" w:rsidRDefault="00BD776B">
      <w:pPr>
        <w:widowControl/>
        <w:autoSpaceDE w:val="0"/>
        <w:snapToGrid w:val="0"/>
        <w:spacing w:line="380" w:lineRule="exact"/>
        <w:jc w:val="center"/>
        <w:textAlignment w:val="bottom"/>
        <w:rPr>
          <w:rFonts w:ascii="標楷體" w:eastAsia="標楷體" w:hAnsi="標楷體"/>
          <w:color w:val="000000"/>
        </w:rPr>
      </w:pPr>
    </w:p>
    <w:p w14:paraId="081CFE55"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病歷號碼：</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5B55BF6C" w14:textId="77777777" w:rsidR="00BD776B" w:rsidRDefault="00BD776B">
      <w:pPr>
        <w:widowControl/>
        <w:autoSpaceDE w:val="0"/>
        <w:snapToGrid w:val="0"/>
        <w:spacing w:line="380" w:lineRule="exact"/>
        <w:textAlignment w:val="bottom"/>
        <w:rPr>
          <w:rFonts w:ascii="標楷體" w:eastAsia="標楷體" w:hAnsi="標楷體"/>
          <w:color w:val="000000"/>
        </w:rPr>
      </w:pPr>
    </w:p>
    <w:p w14:paraId="039D6E96"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茲證明本人</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rPr>
        <w:t>年齡</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rPr>
        <w:t>出生日期</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rPr>
        <w:t>年</w:t>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月</w:t>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日</w:t>
      </w:r>
    </w:p>
    <w:p w14:paraId="49A83247"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身分證號碼:</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549DBA10"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地址:</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41F7E3B6"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確認經由</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醫院</w:t>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醫師詳細告知服用</w:t>
      </w:r>
    </w:p>
    <w:p w14:paraId="5DE7862C" w14:textId="77777777" w:rsidR="00BD776B" w:rsidRDefault="00BD776B">
      <w:pPr>
        <w:widowControl/>
        <w:autoSpaceDE w:val="0"/>
        <w:snapToGrid w:val="0"/>
        <w:spacing w:line="380" w:lineRule="exact"/>
        <w:textAlignment w:val="bottom"/>
        <w:rPr>
          <w:rFonts w:ascii="標楷體" w:eastAsia="標楷體" w:hAnsi="標楷體"/>
          <w:b/>
          <w:bCs/>
          <w:color w:val="000000"/>
        </w:rPr>
      </w:pPr>
    </w:p>
    <w:p w14:paraId="161323A6" w14:textId="77777777" w:rsidR="00BD776B" w:rsidRDefault="00DF0C24">
      <w:pPr>
        <w:widowControl/>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isotretinoin口服製劑之主要可能副作用和處置方式。</w:t>
      </w:r>
    </w:p>
    <w:p w14:paraId="774B4CBA"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本人完全瞭解isotretinoin口服製劑可能對本人的其他療法無效的嚴重性囊腫型及結節狀痤瘡有所幫助，但服用時必須要小心，特別要注意下列事項：</w:t>
      </w:r>
    </w:p>
    <w:p w14:paraId="1ECB68F8"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ind w:left="482" w:hanging="482"/>
        <w:textAlignment w:val="bottom"/>
        <w:rPr>
          <w:rFonts w:ascii="標楷體" w:eastAsia="標楷體" w:hAnsi="標楷體"/>
          <w:color w:val="000000"/>
        </w:rPr>
      </w:pPr>
      <w:r>
        <w:rPr>
          <w:rFonts w:ascii="標楷體" w:eastAsia="標楷體" w:hAnsi="標楷體"/>
          <w:color w:val="000000"/>
        </w:rPr>
        <w:t>1.女性患者服藥期間及停藥後至少4個星期內，絕對不可懷孕，因為在上述期間發生懷孕，則很可能產生胎兒畸形。</w:t>
      </w:r>
    </w:p>
    <w:p w14:paraId="7C86AD0F"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2.服藥期間及停藥至少四個星期內，請勿捐血以免受血者產生畸胎。</w:t>
      </w:r>
    </w:p>
    <w:p w14:paraId="55AA16C7"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ind w:left="482" w:hanging="482"/>
        <w:textAlignment w:val="bottom"/>
        <w:rPr>
          <w:rFonts w:ascii="標楷體" w:eastAsia="標楷體" w:hAnsi="標楷體"/>
          <w:color w:val="000000"/>
        </w:rPr>
      </w:pPr>
      <w:r>
        <w:rPr>
          <w:rFonts w:ascii="標楷體" w:eastAsia="標楷體" w:hAnsi="標楷體"/>
          <w:color w:val="000000"/>
        </w:rPr>
        <w:t>3.因為對肝腎功能不全之病人為禁忌，請病人需依醫師指示定期做血液、肝功能、血脂肪等方面之檢查。</w:t>
      </w:r>
    </w:p>
    <w:p w14:paraId="7938B3B8"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4.未經醫師許可，絕對不可將isotretinoin口服製劑轉予他人使用。</w:t>
      </w:r>
    </w:p>
    <w:p w14:paraId="0F539B79"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本人確實瞭解採取下列方法為絕對需要:</w:t>
      </w:r>
    </w:p>
    <w:p w14:paraId="15802DBA"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tabs>
          <w:tab w:val="right" w:pos="9413"/>
        </w:tabs>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1.女性患者在服用isotretinoin口服製劑前必須驗孕以確定尚未懷孕。</w:t>
      </w:r>
      <w:r>
        <w:rPr>
          <w:rFonts w:ascii="標楷體" w:eastAsia="標楷體" w:hAnsi="標楷體"/>
          <w:color w:val="000000"/>
        </w:rPr>
        <w:tab/>
      </w:r>
    </w:p>
    <w:p w14:paraId="7166F7F5"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ind w:left="357" w:hanging="357"/>
        <w:textAlignment w:val="bottom"/>
        <w:rPr>
          <w:rFonts w:ascii="標楷體" w:eastAsia="標楷體" w:hAnsi="標楷體"/>
          <w:color w:val="000000"/>
        </w:rPr>
      </w:pPr>
      <w:r>
        <w:rPr>
          <w:rFonts w:ascii="標楷體" w:eastAsia="標楷體" w:hAnsi="標楷體"/>
          <w:color w:val="000000"/>
        </w:rPr>
        <w:t>2.女性患者在服用isotretinoin口服製劑之前的四個星期，治療期間及停藥後至少4個星期內，必須使用有效之避孕方法。</w:t>
      </w:r>
    </w:p>
    <w:p w14:paraId="16436579" w14:textId="77777777" w:rsidR="00BD776B" w:rsidRDefault="00DF0C24" w:rsidP="007B1748">
      <w:pPr>
        <w:widowControl/>
        <w:pBdr>
          <w:top w:val="single" w:sz="12" w:space="1" w:color="000000"/>
          <w:left w:val="single" w:sz="12" w:space="0" w:color="000000"/>
          <w:bottom w:val="single" w:sz="12" w:space="1" w:color="000000"/>
          <w:right w:val="single" w:sz="12" w:space="1" w:color="000000"/>
        </w:pBdr>
        <w:autoSpaceDE w:val="0"/>
        <w:snapToGrid w:val="0"/>
        <w:spacing w:line="380" w:lineRule="exact"/>
        <w:textAlignment w:val="bottom"/>
      </w:pPr>
      <w:r>
        <w:rPr>
          <w:rFonts w:ascii="標楷體" w:eastAsia="標楷體" w:hAnsi="標楷體"/>
          <w:color w:val="000000"/>
        </w:rPr>
        <w:t>3.萬一在上述期間發生懷孕，本人保證立刻通知</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醫師。</w:t>
      </w:r>
    </w:p>
    <w:p w14:paraId="329882FD" w14:textId="77777777" w:rsidR="00BD776B" w:rsidRDefault="00DF0C24">
      <w:pPr>
        <w:widowControl/>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雖然本人充分瞭解假使在上述期間發生懷孕可能導致之後果，本人仍然願意接受isotretinoin口服製劑治療，並且願意承受這種危險性及有關注意事項。</w:t>
      </w:r>
    </w:p>
    <w:p w14:paraId="1FE5E7F3" w14:textId="77777777" w:rsidR="00BD776B" w:rsidRDefault="00DF0C24">
      <w:pPr>
        <w:widowControl/>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為慎重計，特立此同意書。</w:t>
      </w:r>
    </w:p>
    <w:p w14:paraId="5200060E" w14:textId="77777777" w:rsidR="00BD776B" w:rsidRDefault="00DF0C24">
      <w:pPr>
        <w:widowControl/>
        <w:autoSpaceDE w:val="0"/>
        <w:snapToGrid w:val="0"/>
        <w:spacing w:line="380" w:lineRule="exact"/>
        <w:textAlignment w:val="bottom"/>
      </w:pPr>
      <w:r>
        <w:rPr>
          <w:rFonts w:ascii="標楷體" w:eastAsia="標楷體" w:hAnsi="標楷體"/>
          <w:color w:val="000000"/>
        </w:rPr>
        <w:t>日期:民國</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年</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月</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日，地點:</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65F52A70" w14:textId="77777777" w:rsidR="00BD776B" w:rsidRDefault="00DF0C24">
      <w:pPr>
        <w:widowControl/>
        <w:autoSpaceDE w:val="0"/>
        <w:snapToGrid w:val="0"/>
        <w:spacing w:line="380" w:lineRule="exact"/>
        <w:textAlignment w:val="bottom"/>
      </w:pPr>
      <w:r>
        <w:rPr>
          <w:rFonts w:ascii="標楷體" w:eastAsia="標楷體" w:hAnsi="標楷體"/>
          <w:color w:val="000000"/>
        </w:rPr>
        <w:t>立同意書人:</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096A0559" w14:textId="77777777" w:rsidR="00BD776B" w:rsidRDefault="00DF0C24">
      <w:pPr>
        <w:snapToGrid w:val="0"/>
        <w:spacing w:line="380" w:lineRule="exact"/>
      </w:pPr>
      <w:r>
        <w:rPr>
          <w:rFonts w:ascii="標楷體" w:eastAsia="標楷體" w:hAnsi="標楷體"/>
          <w:color w:val="000000"/>
        </w:rPr>
        <w:t>（未成年人需經法定代理人之同意）</w:t>
      </w:r>
    </w:p>
    <w:p w14:paraId="435BE812" w14:textId="77777777" w:rsidR="00BD776B" w:rsidRDefault="00BD776B">
      <w:pPr>
        <w:snapToGrid w:val="0"/>
        <w:rPr>
          <w:rFonts w:ascii="標楷體" w:eastAsia="標楷體" w:hAnsi="標楷體"/>
        </w:rPr>
      </w:pPr>
    </w:p>
    <w:p w14:paraId="37E2D1FB" w14:textId="77777777" w:rsidR="00BD776B" w:rsidRDefault="00BD776B">
      <w:pPr>
        <w:snapToGrid w:val="0"/>
        <w:rPr>
          <w:rFonts w:ascii="標楷體" w:eastAsia="標楷體" w:hAnsi="標楷體" w:cs="Arial"/>
        </w:rPr>
      </w:pPr>
    </w:p>
    <w:p w14:paraId="139E630D" w14:textId="77777777" w:rsidR="00BD776B" w:rsidRDefault="00BD776B">
      <w:pPr>
        <w:pageBreakBefore/>
        <w:snapToGrid w:val="0"/>
        <w:spacing w:line="360" w:lineRule="exact"/>
        <w:rPr>
          <w:rFonts w:ascii="標楷體" w:eastAsia="標楷體" w:hAnsi="標楷體"/>
        </w:rPr>
      </w:pPr>
    </w:p>
    <w:tbl>
      <w:tblPr>
        <w:tblW w:w="8188" w:type="dxa"/>
        <w:tblLayout w:type="fixed"/>
        <w:tblCellMar>
          <w:left w:w="10" w:type="dxa"/>
          <w:right w:w="10" w:type="dxa"/>
        </w:tblCellMar>
        <w:tblLook w:val="0000" w:firstRow="0" w:lastRow="0" w:firstColumn="0" w:lastColumn="0" w:noHBand="0" w:noVBand="0"/>
      </w:tblPr>
      <w:tblGrid>
        <w:gridCol w:w="8188"/>
      </w:tblGrid>
      <w:tr w:rsidR="00BD776B" w14:paraId="51F02301" w14:textId="77777777">
        <w:trPr>
          <w:cantSplit/>
        </w:trPr>
        <w:tc>
          <w:tcPr>
            <w:tcW w:w="8188" w:type="dxa"/>
            <w:shd w:val="clear" w:color="auto" w:fill="auto"/>
            <w:tcMar>
              <w:top w:w="0" w:type="dxa"/>
              <w:left w:w="28" w:type="dxa"/>
              <w:bottom w:w="0" w:type="dxa"/>
              <w:right w:w="28" w:type="dxa"/>
            </w:tcMar>
          </w:tcPr>
          <w:p w14:paraId="3E4AAD88" w14:textId="77777777" w:rsidR="00BD776B" w:rsidRDefault="00DF0C24">
            <w:pPr>
              <w:widowControl/>
              <w:autoSpaceDE w:val="0"/>
              <w:snapToGrid w:val="0"/>
              <w:spacing w:line="380" w:lineRule="exact"/>
              <w:ind w:left="1" w:firstLine="39"/>
              <w:jc w:val="center"/>
              <w:textAlignment w:val="bottom"/>
            </w:pPr>
            <w:r>
              <w:rPr>
                <w:rFonts w:ascii="標楷體" w:eastAsia="標楷體" w:hAnsi="標楷體"/>
                <w:color w:val="000000"/>
                <w:sz w:val="32"/>
                <w:szCs w:val="32"/>
              </w:rPr>
              <w:t>附表十一患者服用Acitretin製劑同意書</w:t>
            </w:r>
          </w:p>
        </w:tc>
      </w:tr>
    </w:tbl>
    <w:p w14:paraId="047BCD16" w14:textId="77777777" w:rsidR="00BD776B" w:rsidRDefault="00BD776B">
      <w:pPr>
        <w:widowControl/>
        <w:autoSpaceDE w:val="0"/>
        <w:snapToGrid w:val="0"/>
        <w:spacing w:line="380" w:lineRule="exact"/>
        <w:textAlignment w:val="bottom"/>
        <w:rPr>
          <w:rFonts w:ascii="標楷體" w:eastAsia="標楷體" w:hAnsi="標楷體"/>
          <w:color w:val="000000"/>
        </w:rPr>
      </w:pPr>
    </w:p>
    <w:p w14:paraId="1C7771CD"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病歷號碼：</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2D5590C7" w14:textId="77777777" w:rsidR="00BD776B" w:rsidRDefault="00BD776B">
      <w:pPr>
        <w:widowControl/>
        <w:autoSpaceDE w:val="0"/>
        <w:snapToGrid w:val="0"/>
        <w:spacing w:line="380" w:lineRule="exact"/>
        <w:textAlignment w:val="bottom"/>
        <w:rPr>
          <w:rFonts w:ascii="標楷體" w:eastAsia="標楷體" w:hAnsi="標楷體"/>
          <w:color w:val="000000"/>
        </w:rPr>
      </w:pPr>
    </w:p>
    <w:p w14:paraId="469FEAD3"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茲證明本人</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rPr>
        <w:t>年齡</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rPr>
        <w:t>出生日期</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rPr>
        <w:t>年</w:t>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月</w:t>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日</w:t>
      </w:r>
    </w:p>
    <w:p w14:paraId="000073E7"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身分證號碼:</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2C6B10D4"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地址:</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2271596E"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確認經由</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醫院</w:t>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u w:val="single"/>
        </w:rPr>
        <w:tab/>
      </w:r>
      <w:r>
        <w:rPr>
          <w:rFonts w:ascii="標楷體" w:eastAsia="標楷體" w:hAnsi="標楷體" w:cs="標楷體"/>
          <w:color w:val="000000"/>
        </w:rPr>
        <w:t>醫師詳細告知服用</w:t>
      </w:r>
    </w:p>
    <w:p w14:paraId="71808C00" w14:textId="77777777" w:rsidR="00BD776B" w:rsidRDefault="00DF0C24">
      <w:pPr>
        <w:widowControl/>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acitretin製劑之主要可能副作用和處置方式。</w:t>
      </w:r>
    </w:p>
    <w:p w14:paraId="6B87E14C"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本人完全瞭解acitretin製劑可能對本人的嚴重性牛皮癬或皮膚角化症有所幫助，但服用時必須要小心，特別要注意下列事項：</w:t>
      </w:r>
    </w:p>
    <w:p w14:paraId="56DAFFD8" w14:textId="77777777" w:rsidR="00BD776B" w:rsidRDefault="00DF0C24" w:rsidP="008A7063">
      <w:pPr>
        <w:widowControl/>
        <w:numPr>
          <w:ilvl w:val="0"/>
          <w:numId w:val="75"/>
        </w:numPr>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女性患者服藥期間及停藥後至少24個月內，絕對不可懷孕，因為在上述期間發生懷孕，則很可能產生胎兒畸形。</w:t>
      </w:r>
    </w:p>
    <w:p w14:paraId="2A95D637"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2.服藥期間及停藥至少廿四個月內，請勿捐血以免受血者產生畸胎。</w:t>
      </w:r>
    </w:p>
    <w:p w14:paraId="5147C02A"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ind w:left="227" w:hanging="227"/>
        <w:textAlignment w:val="bottom"/>
        <w:rPr>
          <w:rFonts w:ascii="標楷體" w:eastAsia="標楷體" w:hAnsi="標楷體"/>
          <w:color w:val="000000"/>
        </w:rPr>
      </w:pPr>
      <w:r>
        <w:rPr>
          <w:rFonts w:ascii="標楷體" w:eastAsia="標楷體" w:hAnsi="標楷體"/>
          <w:color w:val="000000"/>
        </w:rPr>
        <w:t>3.因為對肝腎功能不全之病人為禁忌，請病人需依醫師指示定期做血液、肝功能、血脂肪等方面之檢查。</w:t>
      </w:r>
    </w:p>
    <w:p w14:paraId="48A3F056"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4.未經醫師許可，絕對不可將acitretin製劑轉予他人使用。</w:t>
      </w:r>
    </w:p>
    <w:p w14:paraId="5447EE5B" w14:textId="77777777" w:rsidR="00BD776B" w:rsidRDefault="00BD776B">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p>
    <w:p w14:paraId="668FEE1A"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本人確實瞭解採取下列方法為絕對需要:</w:t>
      </w:r>
    </w:p>
    <w:p w14:paraId="3AAE3B81"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1.女性患者在服用acitretin製劑前必須驗孕以確定尚未懷孕。</w:t>
      </w:r>
    </w:p>
    <w:p w14:paraId="492D9875"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ind w:left="227" w:hanging="227"/>
        <w:textAlignment w:val="bottom"/>
        <w:rPr>
          <w:rFonts w:ascii="標楷體" w:eastAsia="標楷體" w:hAnsi="標楷體"/>
          <w:color w:val="000000"/>
        </w:rPr>
      </w:pPr>
      <w:r>
        <w:rPr>
          <w:rFonts w:ascii="標楷體" w:eastAsia="標楷體" w:hAnsi="標楷體"/>
          <w:color w:val="000000"/>
        </w:rPr>
        <w:t>2.女性患者在服用acitretin製劑之前的四個星期，治療期間及停藥後至少24個月內，必須使用有效之避孕方法。</w:t>
      </w:r>
    </w:p>
    <w:p w14:paraId="753E9D1D" w14:textId="77777777" w:rsidR="00BD776B" w:rsidRDefault="00DF0C24">
      <w:pPr>
        <w:widowControl/>
        <w:pBdr>
          <w:top w:val="single" w:sz="12" w:space="1" w:color="000000"/>
          <w:left w:val="single" w:sz="12" w:space="1" w:color="000000"/>
          <w:bottom w:val="single" w:sz="12" w:space="1" w:color="000000"/>
          <w:right w:val="single" w:sz="12" w:space="1" w:color="000000"/>
        </w:pBdr>
        <w:autoSpaceDE w:val="0"/>
        <w:snapToGrid w:val="0"/>
        <w:spacing w:line="380" w:lineRule="exact"/>
        <w:textAlignment w:val="bottom"/>
      </w:pPr>
      <w:r>
        <w:rPr>
          <w:rFonts w:ascii="標楷體" w:eastAsia="標楷體" w:hAnsi="標楷體"/>
          <w:color w:val="000000"/>
        </w:rPr>
        <w:t>3.萬一在上述期間發生懷孕，本人保證立刻通知</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醫師。</w:t>
      </w:r>
    </w:p>
    <w:p w14:paraId="7E1E4EDA" w14:textId="77777777" w:rsidR="00BD776B" w:rsidRDefault="00DF0C24">
      <w:pPr>
        <w:widowControl/>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雖然本人充分瞭解假使在上述期間發生懷孕可能導致之後果，本人仍然願意接受acitretin製劑治療，並且願意承受這種危險性及有關注意事項。</w:t>
      </w:r>
    </w:p>
    <w:p w14:paraId="6BC401FF" w14:textId="77777777" w:rsidR="00BD776B" w:rsidRDefault="00DF0C24">
      <w:pPr>
        <w:widowControl/>
        <w:autoSpaceDE w:val="0"/>
        <w:snapToGrid w:val="0"/>
        <w:spacing w:line="380" w:lineRule="exact"/>
        <w:textAlignment w:val="bottom"/>
        <w:rPr>
          <w:rFonts w:ascii="標楷體" w:eastAsia="標楷體" w:hAnsi="標楷體"/>
          <w:color w:val="000000"/>
        </w:rPr>
      </w:pPr>
      <w:r>
        <w:rPr>
          <w:rFonts w:ascii="標楷體" w:eastAsia="標楷體" w:hAnsi="標楷體"/>
          <w:color w:val="000000"/>
        </w:rPr>
        <w:t>為慎重計，特立此同意書。</w:t>
      </w:r>
    </w:p>
    <w:p w14:paraId="598D76C4" w14:textId="77777777" w:rsidR="00BD776B" w:rsidRDefault="00BD776B">
      <w:pPr>
        <w:widowControl/>
        <w:autoSpaceDE w:val="0"/>
        <w:snapToGrid w:val="0"/>
        <w:spacing w:line="380" w:lineRule="exact"/>
        <w:textAlignment w:val="bottom"/>
        <w:rPr>
          <w:rFonts w:ascii="標楷體" w:eastAsia="標楷體" w:hAnsi="標楷體"/>
          <w:color w:val="000000"/>
        </w:rPr>
      </w:pPr>
    </w:p>
    <w:p w14:paraId="23122308" w14:textId="77777777" w:rsidR="00BD776B" w:rsidRDefault="00DF0C24">
      <w:pPr>
        <w:widowControl/>
        <w:autoSpaceDE w:val="0"/>
        <w:snapToGrid w:val="0"/>
        <w:spacing w:line="380" w:lineRule="exact"/>
        <w:textAlignment w:val="bottom"/>
      </w:pPr>
      <w:r>
        <w:rPr>
          <w:rFonts w:ascii="標楷體" w:eastAsia="標楷體" w:hAnsi="標楷體"/>
          <w:color w:val="000000"/>
        </w:rPr>
        <w:t>日期:民國</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年</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月</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rPr>
        <w:t>日，地點:</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09D6BDFB" w14:textId="77777777" w:rsidR="00BD776B" w:rsidRDefault="00BD776B">
      <w:pPr>
        <w:widowControl/>
        <w:autoSpaceDE w:val="0"/>
        <w:snapToGrid w:val="0"/>
        <w:spacing w:line="380" w:lineRule="exact"/>
        <w:textAlignment w:val="bottom"/>
        <w:rPr>
          <w:rFonts w:ascii="標楷體" w:eastAsia="標楷體" w:hAnsi="標楷體"/>
          <w:color w:val="000000"/>
        </w:rPr>
      </w:pPr>
    </w:p>
    <w:p w14:paraId="0E42F205" w14:textId="77777777" w:rsidR="00BD776B" w:rsidRDefault="00DF0C24">
      <w:pPr>
        <w:widowControl/>
        <w:autoSpaceDE w:val="0"/>
        <w:snapToGrid w:val="0"/>
        <w:spacing w:line="380" w:lineRule="exact"/>
        <w:textAlignment w:val="bottom"/>
      </w:pPr>
      <w:r>
        <w:rPr>
          <w:rFonts w:ascii="標楷體" w:eastAsia="標楷體" w:hAnsi="標楷體" w:cs="標楷體"/>
          <w:color w:val="000000"/>
        </w:rPr>
        <w:t>立同意書人:</w:t>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r>
        <w:rPr>
          <w:rFonts w:ascii="標楷體" w:eastAsia="標楷體" w:hAnsi="標楷體"/>
          <w:color w:val="000000"/>
          <w:u w:val="single"/>
        </w:rPr>
        <w:tab/>
      </w:r>
    </w:p>
    <w:p w14:paraId="394B6742" w14:textId="77777777" w:rsidR="00BD776B" w:rsidRDefault="00DF0C24">
      <w:pPr>
        <w:snapToGrid w:val="0"/>
        <w:spacing w:line="380" w:lineRule="exact"/>
      </w:pPr>
      <w:r>
        <w:rPr>
          <w:rFonts w:ascii="標楷體" w:eastAsia="標楷體" w:hAnsi="標楷體" w:cs="標楷體"/>
          <w:color w:val="000000"/>
        </w:rPr>
        <w:t>（未成年人需經法定代理人之同意</w:t>
      </w:r>
      <w:r>
        <w:rPr>
          <w:rFonts w:ascii="標楷體" w:eastAsia="標楷體" w:hAnsi="標楷體"/>
          <w:color w:val="000000"/>
        </w:rPr>
        <w:t>）</w:t>
      </w:r>
    </w:p>
    <w:p w14:paraId="1CC526B8" w14:textId="77777777" w:rsidR="00BD776B" w:rsidRDefault="00BD776B">
      <w:pPr>
        <w:snapToGrid w:val="0"/>
        <w:spacing w:line="360" w:lineRule="exact"/>
        <w:rPr>
          <w:rFonts w:ascii="標楷體" w:eastAsia="標楷體" w:hAnsi="標楷體"/>
        </w:rPr>
      </w:pPr>
    </w:p>
    <w:p w14:paraId="526B2F38" w14:textId="77777777" w:rsidR="00BD776B" w:rsidRDefault="00DF0C24">
      <w:pPr>
        <w:pageBreakBefore/>
        <w:snapToGrid w:val="0"/>
      </w:pPr>
      <w:r>
        <w:rPr>
          <w:rFonts w:ascii="標楷體" w:eastAsia="標楷體" w:hAnsi="標楷體"/>
          <w:color w:val="000000"/>
          <w:sz w:val="32"/>
          <w:szCs w:val="32"/>
        </w:rPr>
        <w:lastRenderedPageBreak/>
        <w:t>附表十三：全民健康保險類風濕關節炎病患28處關節疾病活動度(DiseaseActivityScore,DAS28)評估表</w:t>
      </w:r>
    </w:p>
    <w:p w14:paraId="74FF5108" w14:textId="77777777" w:rsidR="00BD776B" w:rsidRDefault="00BD776B">
      <w:pPr>
        <w:snapToGrid w:val="0"/>
        <w:spacing w:line="380" w:lineRule="exact"/>
        <w:jc w:val="both"/>
        <w:rPr>
          <w:rFonts w:ascii="標楷體" w:eastAsia="標楷體" w:hAnsi="標楷體"/>
          <w:b/>
          <w:bCs/>
          <w:color w:val="000000"/>
          <w:sz w:val="28"/>
          <w:szCs w:val="28"/>
          <w:u w:val="single"/>
        </w:rPr>
      </w:pPr>
    </w:p>
    <w:tbl>
      <w:tblPr>
        <w:tblW w:w="8280" w:type="dxa"/>
        <w:tblLayout w:type="fixed"/>
        <w:tblCellMar>
          <w:left w:w="10" w:type="dxa"/>
          <w:right w:w="10" w:type="dxa"/>
        </w:tblCellMar>
        <w:tblLook w:val="0000" w:firstRow="0" w:lastRow="0" w:firstColumn="0" w:lastColumn="0" w:noHBand="0" w:noVBand="0"/>
      </w:tblPr>
      <w:tblGrid>
        <w:gridCol w:w="1980"/>
        <w:gridCol w:w="1620"/>
        <w:gridCol w:w="1620"/>
        <w:gridCol w:w="1620"/>
        <w:gridCol w:w="1440"/>
      </w:tblGrid>
      <w:tr w:rsidR="00BD776B" w14:paraId="768DE755" w14:textId="77777777">
        <w:trPr>
          <w:cantSplit/>
          <w:trHeight w:hRule="exact" w:val="361"/>
        </w:trPr>
        <w:tc>
          <w:tcPr>
            <w:tcW w:w="1980" w:type="dxa"/>
            <w:vMerge w:val="restart"/>
            <w:tcBorders>
              <w:top w:val="single" w:sz="4" w:space="0" w:color="000000"/>
              <w:bottom w:val="double" w:sz="4" w:space="0" w:color="000000"/>
            </w:tcBorders>
            <w:shd w:val="clear" w:color="auto" w:fill="auto"/>
            <w:tcMar>
              <w:top w:w="0" w:type="dxa"/>
              <w:left w:w="28" w:type="dxa"/>
              <w:bottom w:w="0" w:type="dxa"/>
              <w:right w:w="28" w:type="dxa"/>
            </w:tcMar>
          </w:tcPr>
          <w:p w14:paraId="01D48A02" w14:textId="77777777" w:rsidR="00BD776B" w:rsidRDefault="00BD776B">
            <w:pPr>
              <w:pStyle w:val="a7"/>
              <w:tabs>
                <w:tab w:val="clear" w:pos="4153"/>
                <w:tab w:val="clear" w:pos="8306"/>
              </w:tabs>
              <w:spacing w:line="380" w:lineRule="exact"/>
              <w:rPr>
                <w:rFonts w:ascii="標楷體" w:eastAsia="標楷體" w:hAnsi="標楷體"/>
                <w:color w:val="000000"/>
              </w:rPr>
            </w:pPr>
          </w:p>
        </w:tc>
        <w:tc>
          <w:tcPr>
            <w:tcW w:w="3240" w:type="dxa"/>
            <w:gridSpan w:val="2"/>
            <w:tcBorders>
              <w:top w:val="single" w:sz="4" w:space="0" w:color="000000"/>
            </w:tcBorders>
            <w:shd w:val="clear" w:color="auto" w:fill="auto"/>
            <w:tcMar>
              <w:top w:w="0" w:type="dxa"/>
              <w:left w:w="28" w:type="dxa"/>
              <w:bottom w:w="0" w:type="dxa"/>
              <w:right w:w="28" w:type="dxa"/>
            </w:tcMar>
          </w:tcPr>
          <w:p w14:paraId="51BF29FE" w14:textId="77777777" w:rsidR="00BD776B" w:rsidRDefault="00DF0C24">
            <w:pPr>
              <w:snapToGrid w:val="0"/>
              <w:spacing w:line="380" w:lineRule="exact"/>
              <w:jc w:val="center"/>
            </w:pPr>
            <w:r>
              <w:rPr>
                <w:rFonts w:ascii="標楷體" w:eastAsia="標楷體" w:hAnsi="標楷體" w:cs="標楷體"/>
                <w:color w:val="000000"/>
                <w:sz w:val="28"/>
                <w:szCs w:val="28"/>
              </w:rPr>
              <w:t>右</w:t>
            </w:r>
          </w:p>
        </w:tc>
        <w:tc>
          <w:tcPr>
            <w:tcW w:w="3060" w:type="dxa"/>
            <w:gridSpan w:val="2"/>
            <w:tcBorders>
              <w:top w:val="single" w:sz="4" w:space="0" w:color="000000"/>
            </w:tcBorders>
            <w:shd w:val="clear" w:color="auto" w:fill="auto"/>
            <w:tcMar>
              <w:top w:w="0" w:type="dxa"/>
              <w:left w:w="28" w:type="dxa"/>
              <w:bottom w:w="0" w:type="dxa"/>
              <w:right w:w="28" w:type="dxa"/>
            </w:tcMar>
          </w:tcPr>
          <w:p w14:paraId="2DBAE91E" w14:textId="77777777" w:rsidR="00BD776B" w:rsidRDefault="00DF0C24">
            <w:pPr>
              <w:snapToGrid w:val="0"/>
              <w:spacing w:line="380" w:lineRule="exact"/>
              <w:jc w:val="center"/>
            </w:pPr>
            <w:r>
              <w:rPr>
                <w:rFonts w:ascii="標楷體" w:eastAsia="標楷體" w:hAnsi="標楷體" w:cs="標楷體"/>
                <w:color w:val="000000"/>
                <w:sz w:val="28"/>
                <w:szCs w:val="28"/>
              </w:rPr>
              <w:t>左</w:t>
            </w:r>
          </w:p>
        </w:tc>
      </w:tr>
      <w:tr w:rsidR="00BD776B" w14:paraId="4D8035C7" w14:textId="77777777">
        <w:trPr>
          <w:cantSplit/>
          <w:trHeight w:hRule="exact" w:val="708"/>
        </w:trPr>
        <w:tc>
          <w:tcPr>
            <w:tcW w:w="1980" w:type="dxa"/>
            <w:vMerge/>
            <w:tcBorders>
              <w:top w:val="single" w:sz="4" w:space="0" w:color="000000"/>
              <w:bottom w:val="double" w:sz="4" w:space="0" w:color="000000"/>
            </w:tcBorders>
            <w:shd w:val="clear" w:color="auto" w:fill="auto"/>
            <w:tcMar>
              <w:top w:w="0" w:type="dxa"/>
              <w:left w:w="28" w:type="dxa"/>
              <w:bottom w:w="0" w:type="dxa"/>
              <w:right w:w="28" w:type="dxa"/>
            </w:tcMar>
          </w:tcPr>
          <w:p w14:paraId="3CF09400" w14:textId="77777777" w:rsidR="00BD776B" w:rsidRDefault="00BD776B">
            <w:pPr>
              <w:snapToGrid w:val="0"/>
              <w:spacing w:line="380" w:lineRule="exact"/>
              <w:rPr>
                <w:rFonts w:ascii="標楷體" w:eastAsia="標楷體" w:hAnsi="標楷體"/>
                <w:color w:val="000000"/>
                <w:sz w:val="20"/>
                <w:szCs w:val="20"/>
              </w:rPr>
            </w:pPr>
          </w:p>
        </w:tc>
        <w:tc>
          <w:tcPr>
            <w:tcW w:w="1620" w:type="dxa"/>
            <w:tcBorders>
              <w:bottom w:val="double" w:sz="4" w:space="0" w:color="000000"/>
            </w:tcBorders>
            <w:shd w:val="clear" w:color="auto" w:fill="auto"/>
            <w:tcMar>
              <w:top w:w="0" w:type="dxa"/>
              <w:left w:w="28" w:type="dxa"/>
              <w:bottom w:w="0" w:type="dxa"/>
              <w:right w:w="28" w:type="dxa"/>
            </w:tcMar>
          </w:tcPr>
          <w:p w14:paraId="746AA208" w14:textId="77777777" w:rsidR="00BD776B" w:rsidRDefault="00DF0C24">
            <w:pPr>
              <w:snapToGrid w:val="0"/>
              <w:spacing w:line="380" w:lineRule="exact"/>
              <w:jc w:val="center"/>
              <w:rPr>
                <w:rFonts w:ascii="標楷體" w:eastAsia="標楷體" w:hAnsi="標楷體"/>
                <w:color w:val="000000"/>
              </w:rPr>
            </w:pPr>
            <w:r>
              <w:rPr>
                <w:rFonts w:ascii="標楷體" w:eastAsia="標楷體" w:hAnsi="標楷體"/>
                <w:color w:val="000000"/>
              </w:rPr>
              <w:t>觸痛</w:t>
            </w:r>
          </w:p>
          <w:p w14:paraId="39D70B89" w14:textId="77777777" w:rsidR="00BD776B" w:rsidRDefault="00DF0C24">
            <w:pPr>
              <w:snapToGrid w:val="0"/>
              <w:spacing w:line="380" w:lineRule="exact"/>
              <w:ind w:left="-52"/>
              <w:jc w:val="center"/>
            </w:pPr>
            <w:r>
              <w:rPr>
                <w:rFonts w:ascii="標楷體" w:eastAsia="標楷體" w:hAnsi="標楷體"/>
                <w:color w:val="000000"/>
                <w:sz w:val="20"/>
                <w:szCs w:val="20"/>
              </w:rPr>
              <w:t>TENDERNESS</w:t>
            </w:r>
          </w:p>
        </w:tc>
        <w:tc>
          <w:tcPr>
            <w:tcW w:w="1620" w:type="dxa"/>
            <w:tcBorders>
              <w:bottom w:val="double" w:sz="4" w:space="0" w:color="000000"/>
            </w:tcBorders>
            <w:shd w:val="clear" w:color="auto" w:fill="auto"/>
            <w:tcMar>
              <w:top w:w="0" w:type="dxa"/>
              <w:left w:w="28" w:type="dxa"/>
              <w:bottom w:w="0" w:type="dxa"/>
              <w:right w:w="28" w:type="dxa"/>
            </w:tcMar>
          </w:tcPr>
          <w:p w14:paraId="09E25FB7" w14:textId="77777777" w:rsidR="00BD776B" w:rsidRDefault="00DF0C24">
            <w:pPr>
              <w:snapToGrid w:val="0"/>
              <w:spacing w:line="380" w:lineRule="exact"/>
              <w:jc w:val="center"/>
              <w:rPr>
                <w:rFonts w:ascii="標楷體" w:eastAsia="標楷體" w:hAnsi="標楷體"/>
                <w:color w:val="000000"/>
              </w:rPr>
            </w:pPr>
            <w:r>
              <w:rPr>
                <w:rFonts w:ascii="標楷體" w:eastAsia="標楷體" w:hAnsi="標楷體"/>
                <w:color w:val="000000"/>
              </w:rPr>
              <w:t>腫脹</w:t>
            </w:r>
          </w:p>
          <w:p w14:paraId="4C7E93E5" w14:textId="77777777" w:rsidR="00BD776B" w:rsidRDefault="00DF0C24">
            <w:pPr>
              <w:snapToGrid w:val="0"/>
              <w:spacing w:line="380" w:lineRule="exact"/>
              <w:jc w:val="center"/>
            </w:pPr>
            <w:r>
              <w:rPr>
                <w:rFonts w:ascii="標楷體" w:eastAsia="標楷體" w:hAnsi="標楷體"/>
                <w:color w:val="000000"/>
                <w:sz w:val="20"/>
                <w:szCs w:val="20"/>
              </w:rPr>
              <w:t>SWELLING</w:t>
            </w:r>
          </w:p>
        </w:tc>
        <w:tc>
          <w:tcPr>
            <w:tcW w:w="1620" w:type="dxa"/>
            <w:tcBorders>
              <w:bottom w:val="double" w:sz="4" w:space="0" w:color="000000"/>
            </w:tcBorders>
            <w:shd w:val="clear" w:color="auto" w:fill="auto"/>
            <w:tcMar>
              <w:top w:w="0" w:type="dxa"/>
              <w:left w:w="28" w:type="dxa"/>
              <w:bottom w:w="0" w:type="dxa"/>
              <w:right w:w="28" w:type="dxa"/>
            </w:tcMar>
          </w:tcPr>
          <w:p w14:paraId="2EFC9CAC" w14:textId="77777777" w:rsidR="00BD776B" w:rsidRDefault="00DF0C24">
            <w:pPr>
              <w:snapToGrid w:val="0"/>
              <w:spacing w:line="380" w:lineRule="exact"/>
              <w:jc w:val="center"/>
              <w:rPr>
                <w:rFonts w:ascii="標楷體" w:eastAsia="標楷體" w:hAnsi="標楷體"/>
                <w:color w:val="000000"/>
              </w:rPr>
            </w:pPr>
            <w:r>
              <w:rPr>
                <w:rFonts w:ascii="標楷體" w:eastAsia="標楷體" w:hAnsi="標楷體"/>
                <w:color w:val="000000"/>
              </w:rPr>
              <w:t>觸痛</w:t>
            </w:r>
          </w:p>
          <w:p w14:paraId="2C133C37" w14:textId="77777777" w:rsidR="00BD776B" w:rsidRDefault="00DF0C24">
            <w:pPr>
              <w:snapToGrid w:val="0"/>
              <w:spacing w:line="380" w:lineRule="exact"/>
              <w:jc w:val="center"/>
            </w:pPr>
            <w:r>
              <w:rPr>
                <w:rFonts w:ascii="標楷體" w:eastAsia="標楷體" w:hAnsi="標楷體"/>
                <w:color w:val="000000"/>
                <w:sz w:val="20"/>
                <w:szCs w:val="20"/>
              </w:rPr>
              <w:t>TENDERNESS</w:t>
            </w:r>
          </w:p>
        </w:tc>
        <w:tc>
          <w:tcPr>
            <w:tcW w:w="1440" w:type="dxa"/>
            <w:tcBorders>
              <w:bottom w:val="double" w:sz="4" w:space="0" w:color="000000"/>
            </w:tcBorders>
            <w:shd w:val="clear" w:color="auto" w:fill="auto"/>
            <w:tcMar>
              <w:top w:w="0" w:type="dxa"/>
              <w:left w:w="28" w:type="dxa"/>
              <w:bottom w:w="0" w:type="dxa"/>
              <w:right w:w="28" w:type="dxa"/>
            </w:tcMar>
          </w:tcPr>
          <w:p w14:paraId="78F9D9A0" w14:textId="77777777" w:rsidR="00BD776B" w:rsidRDefault="00DF0C24">
            <w:pPr>
              <w:snapToGrid w:val="0"/>
              <w:spacing w:line="380" w:lineRule="exact"/>
              <w:jc w:val="center"/>
              <w:rPr>
                <w:rFonts w:ascii="標楷體" w:eastAsia="標楷體" w:hAnsi="標楷體"/>
                <w:color w:val="000000"/>
              </w:rPr>
            </w:pPr>
            <w:r>
              <w:rPr>
                <w:rFonts w:ascii="標楷體" w:eastAsia="標楷體" w:hAnsi="標楷體"/>
                <w:color w:val="000000"/>
              </w:rPr>
              <w:t>腫脹</w:t>
            </w:r>
          </w:p>
          <w:p w14:paraId="241ED28D" w14:textId="77777777" w:rsidR="00BD776B" w:rsidRDefault="00DF0C24">
            <w:pPr>
              <w:snapToGrid w:val="0"/>
              <w:spacing w:line="380" w:lineRule="exact"/>
              <w:jc w:val="center"/>
              <w:rPr>
                <w:rFonts w:ascii="標楷體" w:eastAsia="標楷體" w:hAnsi="標楷體"/>
                <w:color w:val="000000"/>
                <w:sz w:val="20"/>
                <w:szCs w:val="20"/>
              </w:rPr>
            </w:pPr>
            <w:r>
              <w:rPr>
                <w:rFonts w:ascii="標楷體" w:eastAsia="標楷體" w:hAnsi="標楷體"/>
                <w:color w:val="000000"/>
                <w:sz w:val="20"/>
                <w:szCs w:val="20"/>
              </w:rPr>
              <w:t>SWELLING</w:t>
            </w:r>
          </w:p>
        </w:tc>
      </w:tr>
      <w:tr w:rsidR="00BD776B" w14:paraId="023DA74E" w14:textId="77777777">
        <w:trPr>
          <w:cantSplit/>
          <w:trHeight w:val="300"/>
        </w:trPr>
        <w:tc>
          <w:tcPr>
            <w:tcW w:w="1980" w:type="dxa"/>
            <w:shd w:val="clear" w:color="auto" w:fill="auto"/>
            <w:tcMar>
              <w:top w:w="0" w:type="dxa"/>
              <w:left w:w="28" w:type="dxa"/>
              <w:bottom w:w="0" w:type="dxa"/>
              <w:right w:w="28" w:type="dxa"/>
            </w:tcMar>
          </w:tcPr>
          <w:p w14:paraId="4A9BE2DE" w14:textId="77777777" w:rsidR="00BD776B" w:rsidRDefault="00DF0C24">
            <w:pPr>
              <w:pStyle w:val="a7"/>
              <w:tabs>
                <w:tab w:val="clear" w:pos="4153"/>
                <w:tab w:val="clear" w:pos="8306"/>
              </w:tabs>
              <w:spacing w:line="380" w:lineRule="exact"/>
              <w:rPr>
                <w:rFonts w:ascii="標楷體" w:eastAsia="標楷體" w:hAnsi="標楷體"/>
                <w:color w:val="000000"/>
                <w:sz w:val="22"/>
                <w:szCs w:val="22"/>
              </w:rPr>
            </w:pPr>
            <w:r>
              <w:rPr>
                <w:rFonts w:ascii="標楷體" w:eastAsia="標楷體" w:hAnsi="標楷體"/>
                <w:color w:val="000000"/>
                <w:sz w:val="22"/>
                <w:szCs w:val="22"/>
              </w:rPr>
              <w:t>肩關節</w:t>
            </w:r>
          </w:p>
        </w:tc>
        <w:tc>
          <w:tcPr>
            <w:tcW w:w="1620" w:type="dxa"/>
            <w:shd w:val="clear" w:color="auto" w:fill="auto"/>
            <w:tcMar>
              <w:top w:w="0" w:type="dxa"/>
              <w:left w:w="28" w:type="dxa"/>
              <w:bottom w:w="0" w:type="dxa"/>
              <w:right w:w="28" w:type="dxa"/>
            </w:tcMar>
          </w:tcPr>
          <w:p w14:paraId="595B34BD"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1B032B8D"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63AA817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1F3653E8"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39AA32CF" w14:textId="77777777">
        <w:trPr>
          <w:cantSplit/>
          <w:trHeight w:val="300"/>
        </w:trPr>
        <w:tc>
          <w:tcPr>
            <w:tcW w:w="1980" w:type="dxa"/>
            <w:shd w:val="clear" w:color="auto" w:fill="auto"/>
            <w:tcMar>
              <w:top w:w="0" w:type="dxa"/>
              <w:left w:w="28" w:type="dxa"/>
              <w:bottom w:w="0" w:type="dxa"/>
              <w:right w:w="28" w:type="dxa"/>
            </w:tcMar>
          </w:tcPr>
          <w:p w14:paraId="1247FB69"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手肘關節</w:t>
            </w:r>
          </w:p>
        </w:tc>
        <w:tc>
          <w:tcPr>
            <w:tcW w:w="1620" w:type="dxa"/>
            <w:shd w:val="clear" w:color="auto" w:fill="auto"/>
            <w:tcMar>
              <w:top w:w="0" w:type="dxa"/>
              <w:left w:w="28" w:type="dxa"/>
              <w:bottom w:w="0" w:type="dxa"/>
              <w:right w:w="28" w:type="dxa"/>
            </w:tcMar>
          </w:tcPr>
          <w:p w14:paraId="6E8494BB"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6F4AB381"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1FD55985"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56D80E52"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188A2AFE" w14:textId="77777777">
        <w:trPr>
          <w:cantSplit/>
          <w:trHeight w:val="300"/>
        </w:trPr>
        <w:tc>
          <w:tcPr>
            <w:tcW w:w="1980" w:type="dxa"/>
            <w:shd w:val="clear" w:color="auto" w:fill="auto"/>
            <w:tcMar>
              <w:top w:w="0" w:type="dxa"/>
              <w:left w:w="28" w:type="dxa"/>
              <w:bottom w:w="0" w:type="dxa"/>
              <w:right w:w="28" w:type="dxa"/>
            </w:tcMar>
          </w:tcPr>
          <w:p w14:paraId="516C12EE"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手腕關節</w:t>
            </w:r>
          </w:p>
        </w:tc>
        <w:tc>
          <w:tcPr>
            <w:tcW w:w="1620" w:type="dxa"/>
            <w:shd w:val="clear" w:color="auto" w:fill="auto"/>
            <w:tcMar>
              <w:top w:w="0" w:type="dxa"/>
              <w:left w:w="28" w:type="dxa"/>
              <w:bottom w:w="0" w:type="dxa"/>
              <w:right w:w="28" w:type="dxa"/>
            </w:tcMar>
          </w:tcPr>
          <w:p w14:paraId="3A1F053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5318A14B"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72F0938F"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1259C293"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2A7AEDFB" w14:textId="77777777">
        <w:trPr>
          <w:cantSplit/>
          <w:trHeight w:val="300"/>
        </w:trPr>
        <w:tc>
          <w:tcPr>
            <w:tcW w:w="1980" w:type="dxa"/>
            <w:shd w:val="clear" w:color="auto" w:fill="auto"/>
            <w:tcMar>
              <w:top w:w="0" w:type="dxa"/>
              <w:left w:w="28" w:type="dxa"/>
              <w:bottom w:w="0" w:type="dxa"/>
              <w:right w:w="28" w:type="dxa"/>
            </w:tcMar>
          </w:tcPr>
          <w:p w14:paraId="079FFE7C"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MCP關節I</w:t>
            </w:r>
          </w:p>
        </w:tc>
        <w:tc>
          <w:tcPr>
            <w:tcW w:w="1620" w:type="dxa"/>
            <w:shd w:val="clear" w:color="auto" w:fill="auto"/>
            <w:tcMar>
              <w:top w:w="0" w:type="dxa"/>
              <w:left w:w="28" w:type="dxa"/>
              <w:bottom w:w="0" w:type="dxa"/>
              <w:right w:w="28" w:type="dxa"/>
            </w:tcMar>
          </w:tcPr>
          <w:p w14:paraId="1FF294F8"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3849B13B"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7E20F4AE"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5157A5A8"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3F6258A3" w14:textId="77777777">
        <w:trPr>
          <w:cantSplit/>
          <w:trHeight w:val="300"/>
        </w:trPr>
        <w:tc>
          <w:tcPr>
            <w:tcW w:w="1980" w:type="dxa"/>
            <w:shd w:val="clear" w:color="auto" w:fill="auto"/>
            <w:tcMar>
              <w:top w:w="0" w:type="dxa"/>
              <w:left w:w="28" w:type="dxa"/>
              <w:bottom w:w="0" w:type="dxa"/>
              <w:right w:w="28" w:type="dxa"/>
            </w:tcMar>
          </w:tcPr>
          <w:p w14:paraId="490888C1"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MCP關節II</w:t>
            </w:r>
          </w:p>
        </w:tc>
        <w:tc>
          <w:tcPr>
            <w:tcW w:w="1620" w:type="dxa"/>
            <w:shd w:val="clear" w:color="auto" w:fill="auto"/>
            <w:tcMar>
              <w:top w:w="0" w:type="dxa"/>
              <w:left w:w="28" w:type="dxa"/>
              <w:bottom w:w="0" w:type="dxa"/>
              <w:right w:w="28" w:type="dxa"/>
            </w:tcMar>
          </w:tcPr>
          <w:p w14:paraId="67733465"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49ADF031"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30E4580D"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4312B2CE"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7F9FA670" w14:textId="77777777">
        <w:trPr>
          <w:cantSplit/>
          <w:trHeight w:val="300"/>
        </w:trPr>
        <w:tc>
          <w:tcPr>
            <w:tcW w:w="1980" w:type="dxa"/>
            <w:shd w:val="clear" w:color="auto" w:fill="auto"/>
            <w:tcMar>
              <w:top w:w="0" w:type="dxa"/>
              <w:left w:w="28" w:type="dxa"/>
              <w:bottom w:w="0" w:type="dxa"/>
              <w:right w:w="28" w:type="dxa"/>
            </w:tcMar>
          </w:tcPr>
          <w:p w14:paraId="3AEF29DA"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MCP關節III</w:t>
            </w:r>
          </w:p>
        </w:tc>
        <w:tc>
          <w:tcPr>
            <w:tcW w:w="1620" w:type="dxa"/>
            <w:shd w:val="clear" w:color="auto" w:fill="auto"/>
            <w:tcMar>
              <w:top w:w="0" w:type="dxa"/>
              <w:left w:w="28" w:type="dxa"/>
              <w:bottom w:w="0" w:type="dxa"/>
              <w:right w:w="28" w:type="dxa"/>
            </w:tcMar>
          </w:tcPr>
          <w:p w14:paraId="0425525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26D555CF"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6149BD7D"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64F755B3"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21DA2454" w14:textId="77777777">
        <w:trPr>
          <w:cantSplit/>
          <w:trHeight w:val="300"/>
        </w:trPr>
        <w:tc>
          <w:tcPr>
            <w:tcW w:w="1980" w:type="dxa"/>
            <w:shd w:val="clear" w:color="auto" w:fill="auto"/>
            <w:tcMar>
              <w:top w:w="0" w:type="dxa"/>
              <w:left w:w="28" w:type="dxa"/>
              <w:bottom w:w="0" w:type="dxa"/>
              <w:right w:w="28" w:type="dxa"/>
            </w:tcMar>
          </w:tcPr>
          <w:p w14:paraId="2AC124E7"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MCP關節IV</w:t>
            </w:r>
          </w:p>
        </w:tc>
        <w:tc>
          <w:tcPr>
            <w:tcW w:w="1620" w:type="dxa"/>
            <w:shd w:val="clear" w:color="auto" w:fill="auto"/>
            <w:tcMar>
              <w:top w:w="0" w:type="dxa"/>
              <w:left w:w="28" w:type="dxa"/>
              <w:bottom w:w="0" w:type="dxa"/>
              <w:right w:w="28" w:type="dxa"/>
            </w:tcMar>
          </w:tcPr>
          <w:p w14:paraId="4EB18277"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0AE6F330"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590C37C0"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44C3AD3F"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576FA6A5" w14:textId="77777777">
        <w:trPr>
          <w:cantSplit/>
          <w:trHeight w:val="300"/>
        </w:trPr>
        <w:tc>
          <w:tcPr>
            <w:tcW w:w="1980" w:type="dxa"/>
            <w:shd w:val="clear" w:color="auto" w:fill="auto"/>
            <w:tcMar>
              <w:top w:w="0" w:type="dxa"/>
              <w:left w:w="28" w:type="dxa"/>
              <w:bottom w:w="0" w:type="dxa"/>
              <w:right w:w="28" w:type="dxa"/>
            </w:tcMar>
          </w:tcPr>
          <w:p w14:paraId="48B06735"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MCP關節V</w:t>
            </w:r>
          </w:p>
        </w:tc>
        <w:tc>
          <w:tcPr>
            <w:tcW w:w="1620" w:type="dxa"/>
            <w:shd w:val="clear" w:color="auto" w:fill="auto"/>
            <w:tcMar>
              <w:top w:w="0" w:type="dxa"/>
              <w:left w:w="28" w:type="dxa"/>
              <w:bottom w:w="0" w:type="dxa"/>
              <w:right w:w="28" w:type="dxa"/>
            </w:tcMar>
          </w:tcPr>
          <w:p w14:paraId="32743B0A"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3009BFDB"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01120A81"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2C29B774"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1A02F1D7" w14:textId="77777777">
        <w:trPr>
          <w:cantSplit/>
          <w:trHeight w:val="300"/>
        </w:trPr>
        <w:tc>
          <w:tcPr>
            <w:tcW w:w="1980" w:type="dxa"/>
            <w:shd w:val="clear" w:color="auto" w:fill="auto"/>
            <w:tcMar>
              <w:top w:w="0" w:type="dxa"/>
              <w:left w:w="28" w:type="dxa"/>
              <w:bottom w:w="0" w:type="dxa"/>
              <w:right w:w="28" w:type="dxa"/>
            </w:tcMar>
          </w:tcPr>
          <w:p w14:paraId="7158F48C"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姆指指間關節</w:t>
            </w:r>
          </w:p>
        </w:tc>
        <w:tc>
          <w:tcPr>
            <w:tcW w:w="1620" w:type="dxa"/>
            <w:shd w:val="clear" w:color="auto" w:fill="auto"/>
            <w:tcMar>
              <w:top w:w="0" w:type="dxa"/>
              <w:left w:w="28" w:type="dxa"/>
              <w:bottom w:w="0" w:type="dxa"/>
              <w:right w:w="28" w:type="dxa"/>
            </w:tcMar>
          </w:tcPr>
          <w:p w14:paraId="7CAA96E4"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376BA8BB"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3834EA2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61086476"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079EA1AF" w14:textId="77777777">
        <w:trPr>
          <w:cantSplit/>
          <w:trHeight w:val="300"/>
        </w:trPr>
        <w:tc>
          <w:tcPr>
            <w:tcW w:w="1980" w:type="dxa"/>
            <w:shd w:val="clear" w:color="auto" w:fill="auto"/>
            <w:tcMar>
              <w:top w:w="0" w:type="dxa"/>
              <w:left w:w="28" w:type="dxa"/>
              <w:bottom w:w="0" w:type="dxa"/>
              <w:right w:w="28" w:type="dxa"/>
            </w:tcMar>
          </w:tcPr>
          <w:p w14:paraId="7E0478F4"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PIP關節II</w:t>
            </w:r>
          </w:p>
        </w:tc>
        <w:tc>
          <w:tcPr>
            <w:tcW w:w="1620" w:type="dxa"/>
            <w:shd w:val="clear" w:color="auto" w:fill="auto"/>
            <w:tcMar>
              <w:top w:w="0" w:type="dxa"/>
              <w:left w:w="28" w:type="dxa"/>
              <w:bottom w:w="0" w:type="dxa"/>
              <w:right w:w="28" w:type="dxa"/>
            </w:tcMar>
          </w:tcPr>
          <w:p w14:paraId="0CA11D28"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1BE84C65"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39C76F65"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33095214"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6232AD3E" w14:textId="77777777">
        <w:trPr>
          <w:cantSplit/>
          <w:trHeight w:val="300"/>
        </w:trPr>
        <w:tc>
          <w:tcPr>
            <w:tcW w:w="1980" w:type="dxa"/>
            <w:shd w:val="clear" w:color="auto" w:fill="auto"/>
            <w:tcMar>
              <w:top w:w="0" w:type="dxa"/>
              <w:left w:w="28" w:type="dxa"/>
              <w:bottom w:w="0" w:type="dxa"/>
              <w:right w:w="28" w:type="dxa"/>
            </w:tcMar>
          </w:tcPr>
          <w:p w14:paraId="6BAD76EF"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PIP關節III</w:t>
            </w:r>
          </w:p>
        </w:tc>
        <w:tc>
          <w:tcPr>
            <w:tcW w:w="1620" w:type="dxa"/>
            <w:shd w:val="clear" w:color="auto" w:fill="auto"/>
            <w:tcMar>
              <w:top w:w="0" w:type="dxa"/>
              <w:left w:w="28" w:type="dxa"/>
              <w:bottom w:w="0" w:type="dxa"/>
              <w:right w:w="28" w:type="dxa"/>
            </w:tcMar>
          </w:tcPr>
          <w:p w14:paraId="78B8B026"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604A8F6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276D188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1F53856F"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47C56F8C" w14:textId="77777777">
        <w:trPr>
          <w:cantSplit/>
          <w:trHeight w:val="300"/>
        </w:trPr>
        <w:tc>
          <w:tcPr>
            <w:tcW w:w="1980" w:type="dxa"/>
            <w:shd w:val="clear" w:color="auto" w:fill="auto"/>
            <w:tcMar>
              <w:top w:w="0" w:type="dxa"/>
              <w:left w:w="28" w:type="dxa"/>
              <w:bottom w:w="0" w:type="dxa"/>
              <w:right w:w="28" w:type="dxa"/>
            </w:tcMar>
          </w:tcPr>
          <w:p w14:paraId="4D2D0D06"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PIP關節IV</w:t>
            </w:r>
          </w:p>
        </w:tc>
        <w:tc>
          <w:tcPr>
            <w:tcW w:w="1620" w:type="dxa"/>
            <w:shd w:val="clear" w:color="auto" w:fill="auto"/>
            <w:tcMar>
              <w:top w:w="0" w:type="dxa"/>
              <w:left w:w="28" w:type="dxa"/>
              <w:bottom w:w="0" w:type="dxa"/>
              <w:right w:w="28" w:type="dxa"/>
            </w:tcMar>
          </w:tcPr>
          <w:p w14:paraId="54596F6D"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0614970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5EF350CB"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376F66BF"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2913E632" w14:textId="77777777">
        <w:trPr>
          <w:cantSplit/>
          <w:trHeight w:val="300"/>
        </w:trPr>
        <w:tc>
          <w:tcPr>
            <w:tcW w:w="1980" w:type="dxa"/>
            <w:shd w:val="clear" w:color="auto" w:fill="auto"/>
            <w:tcMar>
              <w:top w:w="0" w:type="dxa"/>
              <w:left w:w="28" w:type="dxa"/>
              <w:bottom w:w="0" w:type="dxa"/>
              <w:right w:w="28" w:type="dxa"/>
            </w:tcMar>
          </w:tcPr>
          <w:p w14:paraId="7C55369B"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PIP關節V</w:t>
            </w:r>
          </w:p>
        </w:tc>
        <w:tc>
          <w:tcPr>
            <w:tcW w:w="1620" w:type="dxa"/>
            <w:shd w:val="clear" w:color="auto" w:fill="auto"/>
            <w:tcMar>
              <w:top w:w="0" w:type="dxa"/>
              <w:left w:w="28" w:type="dxa"/>
              <w:bottom w:w="0" w:type="dxa"/>
              <w:right w:w="28" w:type="dxa"/>
            </w:tcMar>
          </w:tcPr>
          <w:p w14:paraId="6C1CD5F6"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29492FBC"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shd w:val="clear" w:color="auto" w:fill="auto"/>
            <w:tcMar>
              <w:top w:w="0" w:type="dxa"/>
              <w:left w:w="28" w:type="dxa"/>
              <w:bottom w:w="0" w:type="dxa"/>
              <w:right w:w="28" w:type="dxa"/>
            </w:tcMar>
          </w:tcPr>
          <w:p w14:paraId="77B91264"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shd w:val="clear" w:color="auto" w:fill="auto"/>
            <w:tcMar>
              <w:top w:w="0" w:type="dxa"/>
              <w:left w:w="28" w:type="dxa"/>
              <w:bottom w:w="0" w:type="dxa"/>
              <w:right w:w="28" w:type="dxa"/>
            </w:tcMar>
          </w:tcPr>
          <w:p w14:paraId="12037107"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5530DE18" w14:textId="77777777">
        <w:trPr>
          <w:cantSplit/>
          <w:trHeight w:val="300"/>
        </w:trPr>
        <w:tc>
          <w:tcPr>
            <w:tcW w:w="1980" w:type="dxa"/>
            <w:tcBorders>
              <w:bottom w:val="single" w:sz="4" w:space="0" w:color="000000"/>
            </w:tcBorders>
            <w:shd w:val="clear" w:color="auto" w:fill="auto"/>
            <w:tcMar>
              <w:top w:w="0" w:type="dxa"/>
              <w:left w:w="28" w:type="dxa"/>
              <w:bottom w:w="0" w:type="dxa"/>
              <w:right w:w="28" w:type="dxa"/>
            </w:tcMar>
          </w:tcPr>
          <w:p w14:paraId="7B72DF08" w14:textId="77777777" w:rsidR="00BD776B" w:rsidRDefault="00DF0C24">
            <w:pPr>
              <w:snapToGrid w:val="0"/>
              <w:spacing w:line="380" w:lineRule="exact"/>
              <w:rPr>
                <w:rFonts w:ascii="標楷體" w:eastAsia="標楷體" w:hAnsi="標楷體"/>
                <w:color w:val="000000"/>
                <w:sz w:val="22"/>
              </w:rPr>
            </w:pPr>
            <w:r>
              <w:rPr>
                <w:rFonts w:ascii="標楷體" w:eastAsia="標楷體" w:hAnsi="標楷體"/>
                <w:color w:val="000000"/>
                <w:sz w:val="22"/>
              </w:rPr>
              <w:t>膝關節</w:t>
            </w:r>
          </w:p>
        </w:tc>
        <w:tc>
          <w:tcPr>
            <w:tcW w:w="1620" w:type="dxa"/>
            <w:tcBorders>
              <w:bottom w:val="single" w:sz="4" w:space="0" w:color="000000"/>
            </w:tcBorders>
            <w:shd w:val="clear" w:color="auto" w:fill="auto"/>
            <w:tcMar>
              <w:top w:w="0" w:type="dxa"/>
              <w:left w:w="28" w:type="dxa"/>
              <w:bottom w:w="0" w:type="dxa"/>
              <w:right w:w="28" w:type="dxa"/>
            </w:tcMar>
          </w:tcPr>
          <w:p w14:paraId="00E33211"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tcBorders>
              <w:bottom w:val="single" w:sz="4" w:space="0" w:color="000000"/>
            </w:tcBorders>
            <w:shd w:val="clear" w:color="auto" w:fill="auto"/>
            <w:tcMar>
              <w:top w:w="0" w:type="dxa"/>
              <w:left w:w="28" w:type="dxa"/>
              <w:bottom w:w="0" w:type="dxa"/>
              <w:right w:w="28" w:type="dxa"/>
            </w:tcMar>
          </w:tcPr>
          <w:p w14:paraId="270468E7"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620" w:type="dxa"/>
            <w:tcBorders>
              <w:bottom w:val="single" w:sz="4" w:space="0" w:color="000000"/>
            </w:tcBorders>
            <w:shd w:val="clear" w:color="auto" w:fill="auto"/>
            <w:tcMar>
              <w:top w:w="0" w:type="dxa"/>
              <w:left w:w="28" w:type="dxa"/>
              <w:bottom w:w="0" w:type="dxa"/>
              <w:right w:w="28" w:type="dxa"/>
            </w:tcMar>
          </w:tcPr>
          <w:p w14:paraId="6F393EA2"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c>
          <w:tcPr>
            <w:tcW w:w="1440" w:type="dxa"/>
            <w:tcBorders>
              <w:bottom w:val="single" w:sz="4" w:space="0" w:color="000000"/>
            </w:tcBorders>
            <w:shd w:val="clear" w:color="auto" w:fill="auto"/>
            <w:tcMar>
              <w:top w:w="0" w:type="dxa"/>
              <w:left w:w="28" w:type="dxa"/>
              <w:bottom w:w="0" w:type="dxa"/>
              <w:right w:w="28" w:type="dxa"/>
            </w:tcMar>
          </w:tcPr>
          <w:p w14:paraId="0224B498" w14:textId="77777777" w:rsidR="00BD776B" w:rsidRDefault="00BD776B" w:rsidP="008A7063">
            <w:pPr>
              <w:numPr>
                <w:ilvl w:val="0"/>
                <w:numId w:val="76"/>
              </w:numPr>
              <w:tabs>
                <w:tab w:val="left" w:pos="425"/>
              </w:tabs>
              <w:snapToGrid w:val="0"/>
              <w:spacing w:line="380" w:lineRule="exact"/>
              <w:ind w:left="452" w:hanging="120"/>
              <w:textAlignment w:val="center"/>
              <w:rPr>
                <w:rFonts w:ascii="標楷體" w:eastAsia="標楷體" w:hAnsi="標楷體"/>
                <w:color w:val="000000"/>
                <w:sz w:val="20"/>
                <w:szCs w:val="20"/>
              </w:rPr>
            </w:pPr>
          </w:p>
        </w:tc>
      </w:tr>
      <w:tr w:rsidR="00BD776B" w14:paraId="4588F670" w14:textId="77777777">
        <w:trPr>
          <w:cantSplit/>
          <w:trHeight w:hRule="exact" w:val="812"/>
        </w:trPr>
        <w:tc>
          <w:tcPr>
            <w:tcW w:w="1980"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4EC5255F" w14:textId="77777777" w:rsidR="00BD776B" w:rsidRDefault="00DF0C24">
            <w:pPr>
              <w:snapToGrid w:val="0"/>
              <w:spacing w:line="380" w:lineRule="exact"/>
            </w:pPr>
            <w:r>
              <w:rPr>
                <w:rFonts w:ascii="標楷體" w:eastAsia="標楷體" w:hAnsi="標楷體"/>
                <w:color w:val="000000"/>
              </w:rPr>
              <w:t>觸痛關節之總數</w:t>
            </w:r>
          </w:p>
          <w:p w14:paraId="7C379882" w14:textId="77777777" w:rsidR="00BD776B" w:rsidRDefault="00DF0C24">
            <w:pPr>
              <w:snapToGrid w:val="0"/>
              <w:spacing w:line="380" w:lineRule="exact"/>
            </w:pPr>
            <w:r>
              <w:rPr>
                <w:rFonts w:ascii="標楷體" w:eastAsia="標楷體" w:hAnsi="標楷體"/>
                <w:color w:val="000000"/>
              </w:rPr>
              <w:t>(左邊+右邊)</w:t>
            </w:r>
          </w:p>
        </w:tc>
        <w:tc>
          <w:tcPr>
            <w:tcW w:w="6300" w:type="dxa"/>
            <w:gridSpan w:val="4"/>
            <w:tcBorders>
              <w:top w:val="single" w:sz="4" w:space="0" w:color="000000"/>
              <w:bottom w:val="single" w:sz="4" w:space="0" w:color="000000"/>
            </w:tcBorders>
            <w:shd w:val="clear" w:color="auto" w:fill="auto"/>
            <w:tcMar>
              <w:top w:w="0" w:type="dxa"/>
              <w:left w:w="28" w:type="dxa"/>
              <w:bottom w:w="0" w:type="dxa"/>
              <w:right w:w="28" w:type="dxa"/>
            </w:tcMar>
          </w:tcPr>
          <w:p w14:paraId="7BE29BC0" w14:textId="77777777" w:rsidR="00BD776B" w:rsidRDefault="00BD776B">
            <w:pPr>
              <w:snapToGrid w:val="0"/>
              <w:spacing w:line="380" w:lineRule="exact"/>
              <w:rPr>
                <w:rFonts w:ascii="標楷體" w:eastAsia="標楷體" w:hAnsi="標楷體"/>
                <w:color w:val="000000"/>
                <w:sz w:val="20"/>
                <w:szCs w:val="20"/>
                <w:u w:val="single"/>
              </w:rPr>
            </w:pPr>
          </w:p>
          <w:p w14:paraId="3F7DFD93" w14:textId="77777777" w:rsidR="00BD776B" w:rsidRDefault="00BD776B">
            <w:pPr>
              <w:snapToGrid w:val="0"/>
              <w:spacing w:line="380" w:lineRule="exact"/>
              <w:rPr>
                <w:rFonts w:ascii="標楷體" w:eastAsia="標楷體" w:hAnsi="標楷體"/>
                <w:color w:val="000000"/>
                <w:sz w:val="20"/>
                <w:szCs w:val="20"/>
                <w:u w:val="single"/>
              </w:rPr>
            </w:pPr>
          </w:p>
          <w:p w14:paraId="5F75CEBC" w14:textId="77777777" w:rsidR="00BD776B" w:rsidRDefault="00BD776B">
            <w:pPr>
              <w:snapToGrid w:val="0"/>
              <w:spacing w:line="380" w:lineRule="exact"/>
              <w:rPr>
                <w:rFonts w:ascii="標楷體" w:eastAsia="標楷體" w:hAnsi="標楷體" w:cs="標楷體"/>
                <w:color w:val="000000"/>
                <w:sz w:val="20"/>
                <w:szCs w:val="20"/>
                <w:u w:val="single"/>
              </w:rPr>
            </w:pPr>
          </w:p>
        </w:tc>
      </w:tr>
      <w:tr w:rsidR="00BD776B" w14:paraId="2CAF6DE1" w14:textId="77777777">
        <w:trPr>
          <w:cantSplit/>
          <w:trHeight w:hRule="exact" w:val="900"/>
        </w:trPr>
        <w:tc>
          <w:tcPr>
            <w:tcW w:w="1980"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62EEFF" w14:textId="77777777" w:rsidR="00BD776B" w:rsidRDefault="00DF0C24">
            <w:pPr>
              <w:snapToGrid w:val="0"/>
              <w:spacing w:line="380" w:lineRule="exact"/>
            </w:pPr>
            <w:r>
              <w:rPr>
                <w:rFonts w:ascii="標楷體" w:eastAsia="標楷體" w:hAnsi="標楷體" w:cs="標楷體"/>
                <w:color w:val="000000"/>
              </w:rPr>
              <w:t>腫脹關節之總數</w:t>
            </w:r>
          </w:p>
          <w:p w14:paraId="18776AFB" w14:textId="77777777" w:rsidR="00BD776B" w:rsidRDefault="00DF0C24">
            <w:pPr>
              <w:snapToGrid w:val="0"/>
              <w:spacing w:line="380" w:lineRule="exact"/>
            </w:pPr>
            <w:r>
              <w:rPr>
                <w:rFonts w:ascii="標楷體" w:eastAsia="標楷體" w:hAnsi="標楷體" w:cs="標楷體"/>
                <w:color w:val="000000"/>
              </w:rPr>
              <w:t>(左邊+右邊)</w:t>
            </w:r>
          </w:p>
        </w:tc>
        <w:tc>
          <w:tcPr>
            <w:tcW w:w="6300" w:type="dxa"/>
            <w:gridSpan w:val="4"/>
            <w:tcBorders>
              <w:top w:val="single" w:sz="4" w:space="0" w:color="000000"/>
              <w:bottom w:val="single" w:sz="4" w:space="0" w:color="000000"/>
            </w:tcBorders>
            <w:shd w:val="clear" w:color="auto" w:fill="auto"/>
            <w:tcMar>
              <w:top w:w="0" w:type="dxa"/>
              <w:left w:w="28" w:type="dxa"/>
              <w:bottom w:w="0" w:type="dxa"/>
              <w:right w:w="28" w:type="dxa"/>
            </w:tcMar>
          </w:tcPr>
          <w:p w14:paraId="384FD775" w14:textId="77777777" w:rsidR="00BD776B" w:rsidRDefault="00BD776B">
            <w:pPr>
              <w:snapToGrid w:val="0"/>
              <w:spacing w:line="380" w:lineRule="exact"/>
              <w:rPr>
                <w:rFonts w:ascii="標楷體" w:eastAsia="標楷體" w:hAnsi="標楷體"/>
                <w:color w:val="000000"/>
                <w:sz w:val="20"/>
                <w:szCs w:val="20"/>
                <w:u w:val="single"/>
              </w:rPr>
            </w:pPr>
          </w:p>
          <w:p w14:paraId="6A0966CA" w14:textId="77777777" w:rsidR="00BD776B" w:rsidRDefault="00BD776B">
            <w:pPr>
              <w:snapToGrid w:val="0"/>
              <w:spacing w:line="380" w:lineRule="exact"/>
              <w:rPr>
                <w:rFonts w:ascii="標楷體" w:eastAsia="標楷體" w:hAnsi="標楷體"/>
                <w:color w:val="000000"/>
                <w:sz w:val="20"/>
                <w:szCs w:val="20"/>
                <w:u w:val="single"/>
              </w:rPr>
            </w:pPr>
          </w:p>
          <w:p w14:paraId="05B93192" w14:textId="77777777" w:rsidR="00BD776B" w:rsidRDefault="00BD776B">
            <w:pPr>
              <w:snapToGrid w:val="0"/>
              <w:spacing w:line="380" w:lineRule="exact"/>
              <w:rPr>
                <w:rFonts w:ascii="標楷體" w:eastAsia="標楷體" w:hAnsi="標楷體" w:cs="標楷體"/>
                <w:color w:val="000000"/>
                <w:sz w:val="20"/>
                <w:szCs w:val="20"/>
                <w:u w:val="single"/>
              </w:rPr>
            </w:pPr>
          </w:p>
        </w:tc>
      </w:tr>
      <w:tr w:rsidR="00BD776B" w14:paraId="43E9D759" w14:textId="77777777">
        <w:trPr>
          <w:cantSplit/>
          <w:trHeight w:hRule="exact" w:val="807"/>
        </w:trPr>
        <w:tc>
          <w:tcPr>
            <w:tcW w:w="1980"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1172149" w14:textId="77777777" w:rsidR="00BD776B" w:rsidRDefault="00DF0C24">
            <w:pPr>
              <w:snapToGrid w:val="0"/>
              <w:spacing w:line="380" w:lineRule="exact"/>
              <w:rPr>
                <w:rFonts w:ascii="標楷體" w:eastAsia="標楷體" w:hAnsi="標楷體" w:cs="標楷體"/>
                <w:color w:val="000000"/>
              </w:rPr>
            </w:pPr>
            <w:r>
              <w:rPr>
                <w:rFonts w:ascii="標楷體" w:eastAsia="標楷體" w:hAnsi="標楷體" w:cs="標楷體"/>
                <w:color w:val="000000"/>
              </w:rPr>
              <w:t>紅血球沉降速率</w:t>
            </w:r>
          </w:p>
        </w:tc>
        <w:tc>
          <w:tcPr>
            <w:tcW w:w="6300" w:type="dxa"/>
            <w:gridSpan w:val="4"/>
            <w:tcBorders>
              <w:top w:val="single" w:sz="4" w:space="0" w:color="000000"/>
              <w:bottom w:val="single" w:sz="4" w:space="0" w:color="000000"/>
            </w:tcBorders>
            <w:shd w:val="clear" w:color="auto" w:fill="auto"/>
            <w:tcMar>
              <w:top w:w="0" w:type="dxa"/>
              <w:left w:w="28" w:type="dxa"/>
              <w:bottom w:w="0" w:type="dxa"/>
              <w:right w:w="28" w:type="dxa"/>
            </w:tcMar>
          </w:tcPr>
          <w:p w14:paraId="4F64D179" w14:textId="77777777" w:rsidR="00BD776B" w:rsidRDefault="00BD776B">
            <w:pPr>
              <w:snapToGrid w:val="0"/>
              <w:spacing w:line="380" w:lineRule="exact"/>
              <w:rPr>
                <w:rFonts w:ascii="標楷體" w:eastAsia="標楷體" w:hAnsi="標楷體"/>
                <w:color w:val="000000"/>
                <w:sz w:val="20"/>
                <w:szCs w:val="20"/>
                <w:u w:val="single"/>
              </w:rPr>
            </w:pPr>
          </w:p>
          <w:p w14:paraId="69C4F4A2" w14:textId="77777777" w:rsidR="00BD776B" w:rsidRDefault="00DF0C24">
            <w:pPr>
              <w:snapToGrid w:val="0"/>
              <w:spacing w:line="380" w:lineRule="exact"/>
            </w:pPr>
            <w:r>
              <w:rPr>
                <w:rFonts w:ascii="標楷體" w:eastAsia="標楷體" w:hAnsi="標楷體" w:cs="標楷體"/>
                <w:color w:val="000000"/>
              </w:rPr>
              <w:t>毫米/小時</w:t>
            </w:r>
          </w:p>
        </w:tc>
      </w:tr>
      <w:tr w:rsidR="00BD776B" w14:paraId="196854D3" w14:textId="77777777">
        <w:trPr>
          <w:cantSplit/>
          <w:trHeight w:hRule="exact" w:val="898"/>
        </w:trPr>
        <w:tc>
          <w:tcPr>
            <w:tcW w:w="1980"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7CF74BC4" w14:textId="77777777" w:rsidR="00BD776B" w:rsidRDefault="00DF0C24">
            <w:pPr>
              <w:snapToGrid w:val="0"/>
              <w:spacing w:line="380" w:lineRule="exact"/>
            </w:pPr>
            <w:r>
              <w:rPr>
                <w:rFonts w:ascii="標楷體" w:eastAsia="標楷體" w:hAnsi="標楷體" w:cs="標楷體"/>
                <w:color w:val="000000"/>
              </w:rPr>
              <w:t>整體健康狀態評估</w:t>
            </w:r>
          </w:p>
        </w:tc>
        <w:tc>
          <w:tcPr>
            <w:tcW w:w="6300" w:type="dxa"/>
            <w:gridSpan w:val="4"/>
            <w:tcBorders>
              <w:top w:val="single" w:sz="4" w:space="0" w:color="000000"/>
              <w:bottom w:val="single" w:sz="4" w:space="0" w:color="000000"/>
            </w:tcBorders>
            <w:shd w:val="clear" w:color="auto" w:fill="auto"/>
            <w:tcMar>
              <w:top w:w="0" w:type="dxa"/>
              <w:left w:w="28" w:type="dxa"/>
              <w:bottom w:w="0" w:type="dxa"/>
              <w:right w:w="28" w:type="dxa"/>
            </w:tcMar>
          </w:tcPr>
          <w:p w14:paraId="3622A79F" w14:textId="77777777" w:rsidR="00BD776B" w:rsidRDefault="00BD776B">
            <w:pPr>
              <w:snapToGrid w:val="0"/>
              <w:spacing w:line="380" w:lineRule="exact"/>
              <w:rPr>
                <w:rFonts w:ascii="標楷體" w:eastAsia="標楷體" w:hAnsi="標楷體"/>
                <w:color w:val="000000"/>
                <w:sz w:val="20"/>
                <w:szCs w:val="20"/>
                <w:u w:val="single"/>
              </w:rPr>
            </w:pPr>
          </w:p>
          <w:p w14:paraId="6A855DB2" w14:textId="77777777" w:rsidR="00BD776B" w:rsidRDefault="00BD776B">
            <w:pPr>
              <w:snapToGrid w:val="0"/>
              <w:spacing w:line="380" w:lineRule="exact"/>
              <w:rPr>
                <w:rFonts w:ascii="標楷體" w:eastAsia="標楷體" w:hAnsi="標楷體"/>
              </w:rPr>
            </w:pPr>
          </w:p>
        </w:tc>
      </w:tr>
    </w:tbl>
    <w:p w14:paraId="528AF05A" w14:textId="77777777" w:rsidR="00BD776B" w:rsidRDefault="00BD776B">
      <w:pPr>
        <w:snapToGrid w:val="0"/>
        <w:spacing w:line="380" w:lineRule="exact"/>
        <w:rPr>
          <w:rFonts w:ascii="標楷體" w:eastAsia="標楷體" w:hAnsi="標楷體"/>
          <w:color w:val="000000"/>
          <w:sz w:val="22"/>
        </w:rPr>
      </w:pPr>
    </w:p>
    <w:p w14:paraId="37339466" w14:textId="77777777" w:rsidR="00BD776B" w:rsidRDefault="00DF0C24">
      <w:pPr>
        <w:snapToGrid w:val="0"/>
        <w:spacing w:line="380" w:lineRule="exact"/>
        <w:rPr>
          <w:rFonts w:ascii="標楷體" w:eastAsia="標楷體" w:hAnsi="標楷體"/>
          <w:color w:val="000000"/>
          <w:sz w:val="20"/>
          <w:szCs w:val="20"/>
        </w:rPr>
      </w:pPr>
      <w:r>
        <w:rPr>
          <w:rFonts w:ascii="標楷體" w:eastAsia="標楷體" w:hAnsi="標楷體"/>
          <w:color w:val="000000"/>
          <w:sz w:val="20"/>
          <w:szCs w:val="20"/>
        </w:rPr>
        <w:t>MCP關節：掌骨與指骨間的關節(MCP:Metacarpophalangeal)</w:t>
      </w:r>
    </w:p>
    <w:p w14:paraId="50D0CF84" w14:textId="77777777" w:rsidR="00BD776B" w:rsidRDefault="00DF0C24">
      <w:pPr>
        <w:snapToGrid w:val="0"/>
        <w:spacing w:line="380" w:lineRule="exact"/>
        <w:rPr>
          <w:rFonts w:ascii="標楷體" w:eastAsia="標楷體" w:hAnsi="標楷體"/>
          <w:color w:val="000000"/>
          <w:sz w:val="20"/>
          <w:szCs w:val="20"/>
        </w:rPr>
      </w:pPr>
      <w:r>
        <w:rPr>
          <w:rFonts w:ascii="標楷體" w:eastAsia="標楷體" w:hAnsi="標楷體"/>
          <w:color w:val="000000"/>
          <w:sz w:val="20"/>
          <w:szCs w:val="20"/>
        </w:rPr>
        <w:t>PIP關節：近側的指骨間關節(PIP:ProximalInterphalangeal)</w:t>
      </w:r>
    </w:p>
    <w:p w14:paraId="75B5D936" w14:textId="77777777" w:rsidR="00BD776B" w:rsidRDefault="00DF0C24">
      <w:pPr>
        <w:snapToGrid w:val="0"/>
        <w:spacing w:line="380" w:lineRule="exact"/>
        <w:ind w:right="6"/>
        <w:jc w:val="both"/>
      </w:pPr>
      <w:r>
        <w:rPr>
          <w:rFonts w:ascii="標楷體" w:eastAsia="標楷體" w:hAnsi="標楷體"/>
          <w:color w:val="000000"/>
          <w:sz w:val="20"/>
          <w:szCs w:val="20"/>
        </w:rPr>
        <w:t>整體健康狀態評估：即在100mm圖像模擬量表中所呈現的整體健康狀態</w:t>
      </w:r>
    </w:p>
    <w:p w14:paraId="5C5AD9C9" w14:textId="77777777" w:rsidR="00BD776B" w:rsidRDefault="00BD776B">
      <w:pPr>
        <w:snapToGrid w:val="0"/>
        <w:spacing w:line="360" w:lineRule="exact"/>
        <w:rPr>
          <w:rFonts w:ascii="標楷體" w:eastAsia="標楷體" w:hAnsi="標楷體"/>
        </w:rPr>
      </w:pPr>
    </w:p>
    <w:p w14:paraId="2461E6E3" w14:textId="77777777" w:rsidR="00BD776B" w:rsidRDefault="00BD776B">
      <w:pPr>
        <w:pageBreakBefore/>
        <w:snapToGrid w:val="0"/>
        <w:spacing w:line="380" w:lineRule="exact"/>
        <w:jc w:val="both"/>
        <w:rPr>
          <w:rFonts w:ascii="標楷體" w:eastAsia="標楷體" w:hAnsi="標楷體"/>
        </w:rPr>
      </w:pPr>
    </w:p>
    <w:p w14:paraId="5AE35766" w14:textId="77777777" w:rsidR="00BD776B" w:rsidRDefault="00DF0C24">
      <w:pPr>
        <w:snapToGrid w:val="0"/>
        <w:spacing w:line="380" w:lineRule="exact"/>
        <w:jc w:val="center"/>
      </w:pPr>
      <w:r>
        <w:rPr>
          <w:rFonts w:ascii="標楷體" w:eastAsia="標楷體" w:hAnsi="標楷體"/>
          <w:color w:val="000000"/>
          <w:sz w:val="32"/>
          <w:szCs w:val="32"/>
        </w:rPr>
        <w:t>附表十四：全民健康保險疾病修飾抗風濕病藥物(DMARDs)</w:t>
      </w:r>
    </w:p>
    <w:p w14:paraId="5E9CC217" w14:textId="77777777" w:rsidR="00BD776B" w:rsidRDefault="00DF0C24">
      <w:pPr>
        <w:snapToGrid w:val="0"/>
        <w:spacing w:line="380" w:lineRule="exact"/>
        <w:jc w:val="center"/>
      </w:pPr>
      <w:r>
        <w:rPr>
          <w:rFonts w:ascii="標楷體" w:eastAsia="標楷體" w:hAnsi="標楷體"/>
          <w:color w:val="000000"/>
          <w:sz w:val="32"/>
          <w:szCs w:val="32"/>
        </w:rPr>
        <w:t>之標準目標劑量暨治療劑量表</w:t>
      </w:r>
    </w:p>
    <w:tbl>
      <w:tblPr>
        <w:tblW w:w="9421" w:type="dxa"/>
        <w:tblInd w:w="28" w:type="dxa"/>
        <w:tblLayout w:type="fixed"/>
        <w:tblCellMar>
          <w:left w:w="10" w:type="dxa"/>
          <w:right w:w="10" w:type="dxa"/>
        </w:tblCellMar>
        <w:tblLook w:val="0000" w:firstRow="0" w:lastRow="0" w:firstColumn="0" w:lastColumn="0" w:noHBand="0" w:noVBand="0"/>
      </w:tblPr>
      <w:tblGrid>
        <w:gridCol w:w="3140"/>
        <w:gridCol w:w="3140"/>
        <w:gridCol w:w="3141"/>
      </w:tblGrid>
      <w:tr w:rsidR="00BD776B" w14:paraId="53EEAC42" w14:textId="77777777">
        <w:trPr>
          <w:cantSplit/>
          <w:trHeight w:val="894"/>
        </w:trPr>
        <w:tc>
          <w:tcPr>
            <w:tcW w:w="3140" w:type="dxa"/>
            <w:tcBorders>
              <w:top w:val="single" w:sz="4" w:space="0" w:color="000000"/>
              <w:bottom w:val="double" w:sz="4" w:space="0" w:color="000000"/>
            </w:tcBorders>
            <w:shd w:val="clear" w:color="auto" w:fill="auto"/>
            <w:tcMar>
              <w:top w:w="0" w:type="dxa"/>
              <w:left w:w="28" w:type="dxa"/>
              <w:bottom w:w="0" w:type="dxa"/>
              <w:right w:w="28" w:type="dxa"/>
            </w:tcMar>
            <w:vAlign w:val="center"/>
          </w:tcPr>
          <w:p w14:paraId="3ECEC49F" w14:textId="77777777" w:rsidR="00BD776B" w:rsidRDefault="00DF0C24">
            <w:pPr>
              <w:snapToGrid w:val="0"/>
              <w:spacing w:line="380" w:lineRule="exact"/>
              <w:ind w:left="92"/>
              <w:jc w:val="center"/>
              <w:textAlignment w:val="center"/>
            </w:pPr>
            <w:r>
              <w:rPr>
                <w:rFonts w:ascii="標楷體" w:eastAsia="標楷體" w:hAnsi="標楷體"/>
                <w:b/>
                <w:bCs/>
                <w:color w:val="000000"/>
              </w:rPr>
              <w:t>DMARDs名稱</w:t>
            </w:r>
          </w:p>
        </w:tc>
        <w:tc>
          <w:tcPr>
            <w:tcW w:w="3140" w:type="dxa"/>
            <w:tcBorders>
              <w:top w:val="single" w:sz="4" w:space="0" w:color="000000"/>
              <w:bottom w:val="double" w:sz="4" w:space="0" w:color="000000"/>
            </w:tcBorders>
            <w:shd w:val="clear" w:color="auto" w:fill="auto"/>
            <w:tcMar>
              <w:top w:w="0" w:type="dxa"/>
              <w:left w:w="28" w:type="dxa"/>
              <w:bottom w:w="0" w:type="dxa"/>
              <w:right w:w="28" w:type="dxa"/>
            </w:tcMar>
            <w:vAlign w:val="center"/>
          </w:tcPr>
          <w:p w14:paraId="1D59E08E" w14:textId="77777777" w:rsidR="00BD776B" w:rsidRDefault="00DF0C24">
            <w:pPr>
              <w:snapToGrid w:val="0"/>
              <w:spacing w:line="380" w:lineRule="exact"/>
              <w:ind w:left="92"/>
              <w:jc w:val="center"/>
              <w:textAlignment w:val="center"/>
            </w:pPr>
            <w:r>
              <w:rPr>
                <w:rFonts w:ascii="標楷體" w:eastAsia="標楷體" w:hAnsi="標楷體"/>
                <w:b/>
                <w:bCs/>
                <w:color w:val="000000"/>
              </w:rPr>
              <w:t>標準目標劑量</w:t>
            </w:r>
          </w:p>
          <w:p w14:paraId="1C08646E" w14:textId="77777777" w:rsidR="00BD776B" w:rsidRDefault="00DF0C24">
            <w:pPr>
              <w:snapToGrid w:val="0"/>
              <w:spacing w:line="380" w:lineRule="exact"/>
              <w:textAlignment w:val="center"/>
            </w:pPr>
            <w:r>
              <w:rPr>
                <w:rFonts w:ascii="標楷體" w:eastAsia="標楷體" w:hAnsi="標楷體"/>
                <w:b/>
                <w:bCs/>
                <w:color w:val="000000"/>
                <w:sz w:val="20"/>
                <w:szCs w:val="20"/>
              </w:rPr>
              <w:t>StandardTargetDose</w:t>
            </w:r>
          </w:p>
        </w:tc>
        <w:tc>
          <w:tcPr>
            <w:tcW w:w="3141" w:type="dxa"/>
            <w:tcBorders>
              <w:top w:val="single" w:sz="4" w:space="0" w:color="000000"/>
              <w:bottom w:val="double" w:sz="4" w:space="0" w:color="000000"/>
            </w:tcBorders>
            <w:shd w:val="clear" w:color="auto" w:fill="auto"/>
            <w:tcMar>
              <w:top w:w="0" w:type="dxa"/>
              <w:left w:w="28" w:type="dxa"/>
              <w:bottom w:w="0" w:type="dxa"/>
              <w:right w:w="28" w:type="dxa"/>
            </w:tcMar>
            <w:vAlign w:val="center"/>
          </w:tcPr>
          <w:p w14:paraId="09019653" w14:textId="77777777" w:rsidR="00BD776B" w:rsidRDefault="00DF0C24">
            <w:pPr>
              <w:snapToGrid w:val="0"/>
              <w:spacing w:line="380" w:lineRule="exact"/>
              <w:jc w:val="center"/>
              <w:textAlignment w:val="center"/>
            </w:pPr>
            <w:r>
              <w:rPr>
                <w:rFonts w:ascii="標楷體" w:eastAsia="標楷體" w:hAnsi="標楷體"/>
                <w:b/>
                <w:bCs/>
                <w:color w:val="000000"/>
              </w:rPr>
              <w:t>治療劑量</w:t>
            </w:r>
          </w:p>
          <w:p w14:paraId="1CF090C6" w14:textId="77777777" w:rsidR="00BD776B" w:rsidRDefault="00DF0C24">
            <w:pPr>
              <w:snapToGrid w:val="0"/>
              <w:spacing w:line="380" w:lineRule="exact"/>
              <w:jc w:val="center"/>
              <w:textAlignment w:val="center"/>
            </w:pPr>
            <w:r>
              <w:rPr>
                <w:rFonts w:ascii="標楷體" w:eastAsia="標楷體" w:hAnsi="標楷體"/>
                <w:b/>
                <w:bCs/>
                <w:color w:val="000000"/>
                <w:sz w:val="20"/>
                <w:szCs w:val="20"/>
              </w:rPr>
              <w:t>TherapeuticDose</w:t>
            </w:r>
          </w:p>
        </w:tc>
      </w:tr>
      <w:tr w:rsidR="00BD776B" w14:paraId="7961051A" w14:textId="77777777">
        <w:trPr>
          <w:cantSplit/>
          <w:trHeight w:val="456"/>
        </w:trPr>
        <w:tc>
          <w:tcPr>
            <w:tcW w:w="3140" w:type="dxa"/>
            <w:shd w:val="clear" w:color="auto" w:fill="auto"/>
            <w:tcMar>
              <w:top w:w="0" w:type="dxa"/>
              <w:left w:w="28" w:type="dxa"/>
              <w:bottom w:w="0" w:type="dxa"/>
              <w:right w:w="28" w:type="dxa"/>
            </w:tcMar>
            <w:vAlign w:val="center"/>
          </w:tcPr>
          <w:p w14:paraId="06533FE3"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Methotrexate</w:t>
            </w:r>
          </w:p>
        </w:tc>
        <w:tc>
          <w:tcPr>
            <w:tcW w:w="3140" w:type="dxa"/>
            <w:shd w:val="clear" w:color="auto" w:fill="auto"/>
            <w:tcMar>
              <w:top w:w="0" w:type="dxa"/>
              <w:left w:w="28" w:type="dxa"/>
              <w:bottom w:w="0" w:type="dxa"/>
              <w:right w:w="28" w:type="dxa"/>
            </w:tcMar>
            <w:vAlign w:val="center"/>
          </w:tcPr>
          <w:p w14:paraId="42C6AE1F" w14:textId="77777777" w:rsidR="00BD776B" w:rsidRDefault="00DF0C24">
            <w:pPr>
              <w:tabs>
                <w:tab w:val="left" w:pos="332"/>
              </w:tabs>
              <w:snapToGrid w:val="0"/>
              <w:spacing w:line="380" w:lineRule="exact"/>
              <w:ind w:left="-52" w:firstLine="268"/>
              <w:jc w:val="right"/>
              <w:textAlignment w:val="center"/>
            </w:pPr>
            <w:r>
              <w:rPr>
                <w:rFonts w:ascii="標楷體" w:eastAsia="標楷體" w:hAnsi="標楷體"/>
                <w:color w:val="000000"/>
              </w:rPr>
              <w:t>15-20毫克/週</w:t>
            </w:r>
          </w:p>
        </w:tc>
        <w:tc>
          <w:tcPr>
            <w:tcW w:w="3141" w:type="dxa"/>
            <w:shd w:val="clear" w:color="auto" w:fill="auto"/>
            <w:tcMar>
              <w:top w:w="0" w:type="dxa"/>
              <w:left w:w="28" w:type="dxa"/>
              <w:bottom w:w="0" w:type="dxa"/>
              <w:right w:w="28" w:type="dxa"/>
            </w:tcMar>
            <w:vAlign w:val="center"/>
          </w:tcPr>
          <w:p w14:paraId="5B12C01D" w14:textId="77777777" w:rsidR="00BD776B" w:rsidRDefault="00DF0C24">
            <w:pPr>
              <w:snapToGrid w:val="0"/>
              <w:spacing w:line="380" w:lineRule="exact"/>
              <w:ind w:left="92"/>
              <w:jc w:val="right"/>
              <w:textAlignment w:val="center"/>
            </w:pPr>
            <w:r>
              <w:rPr>
                <w:rFonts w:ascii="標楷體" w:eastAsia="標楷體" w:hAnsi="標楷體"/>
                <w:color w:val="000000"/>
              </w:rPr>
              <w:t>7.5毫克/週</w:t>
            </w:r>
          </w:p>
        </w:tc>
      </w:tr>
      <w:tr w:rsidR="00BD776B" w14:paraId="2F112153" w14:textId="77777777">
        <w:trPr>
          <w:cantSplit/>
          <w:trHeight w:val="483"/>
        </w:trPr>
        <w:tc>
          <w:tcPr>
            <w:tcW w:w="3140" w:type="dxa"/>
            <w:shd w:val="clear" w:color="auto" w:fill="auto"/>
            <w:tcMar>
              <w:top w:w="0" w:type="dxa"/>
              <w:left w:w="28" w:type="dxa"/>
              <w:bottom w:w="0" w:type="dxa"/>
              <w:right w:w="28" w:type="dxa"/>
            </w:tcMar>
            <w:vAlign w:val="center"/>
          </w:tcPr>
          <w:p w14:paraId="1A0DBE38"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Hydroxychloroquine</w:t>
            </w:r>
          </w:p>
        </w:tc>
        <w:tc>
          <w:tcPr>
            <w:tcW w:w="3140" w:type="dxa"/>
            <w:shd w:val="clear" w:color="auto" w:fill="auto"/>
            <w:tcMar>
              <w:top w:w="0" w:type="dxa"/>
              <w:left w:w="28" w:type="dxa"/>
              <w:bottom w:w="0" w:type="dxa"/>
              <w:right w:w="28" w:type="dxa"/>
            </w:tcMar>
            <w:vAlign w:val="center"/>
          </w:tcPr>
          <w:p w14:paraId="1C4722EB" w14:textId="77777777" w:rsidR="00BD776B" w:rsidRDefault="00DF0C24">
            <w:pPr>
              <w:tabs>
                <w:tab w:val="left" w:pos="332"/>
              </w:tabs>
              <w:snapToGrid w:val="0"/>
              <w:spacing w:line="380" w:lineRule="exact"/>
              <w:jc w:val="right"/>
              <w:textAlignment w:val="center"/>
            </w:pPr>
            <w:r>
              <w:rPr>
                <w:rFonts w:ascii="標楷體" w:eastAsia="標楷體" w:hAnsi="標楷體"/>
                <w:color w:val="000000"/>
              </w:rPr>
              <w:t>6.5毫克/公斤/天</w:t>
            </w:r>
          </w:p>
        </w:tc>
        <w:tc>
          <w:tcPr>
            <w:tcW w:w="3141" w:type="dxa"/>
            <w:shd w:val="clear" w:color="auto" w:fill="auto"/>
            <w:tcMar>
              <w:top w:w="0" w:type="dxa"/>
              <w:left w:w="28" w:type="dxa"/>
              <w:bottom w:w="0" w:type="dxa"/>
              <w:right w:w="28" w:type="dxa"/>
            </w:tcMar>
            <w:vAlign w:val="center"/>
          </w:tcPr>
          <w:p w14:paraId="70134A2A" w14:textId="77777777" w:rsidR="00BD776B" w:rsidRDefault="00DF0C24">
            <w:pPr>
              <w:snapToGrid w:val="0"/>
              <w:spacing w:line="380" w:lineRule="exact"/>
              <w:ind w:left="92"/>
              <w:jc w:val="right"/>
              <w:textAlignment w:val="center"/>
            </w:pPr>
            <w:r>
              <w:rPr>
                <w:rFonts w:ascii="標楷體" w:eastAsia="標楷體" w:hAnsi="標楷體"/>
                <w:color w:val="000000"/>
              </w:rPr>
              <w:t>200-400毫克/天</w:t>
            </w:r>
          </w:p>
        </w:tc>
      </w:tr>
      <w:tr w:rsidR="00BD776B" w14:paraId="41E8EC76" w14:textId="77777777">
        <w:trPr>
          <w:cantSplit/>
          <w:trHeight w:val="587"/>
        </w:trPr>
        <w:tc>
          <w:tcPr>
            <w:tcW w:w="3140" w:type="dxa"/>
            <w:shd w:val="clear" w:color="auto" w:fill="auto"/>
            <w:tcMar>
              <w:top w:w="0" w:type="dxa"/>
              <w:left w:w="28" w:type="dxa"/>
              <w:bottom w:w="0" w:type="dxa"/>
              <w:right w:w="28" w:type="dxa"/>
            </w:tcMar>
            <w:vAlign w:val="center"/>
          </w:tcPr>
          <w:p w14:paraId="3F382E91"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Sulphasalazine</w:t>
            </w:r>
          </w:p>
        </w:tc>
        <w:tc>
          <w:tcPr>
            <w:tcW w:w="3140" w:type="dxa"/>
            <w:shd w:val="clear" w:color="auto" w:fill="auto"/>
            <w:tcMar>
              <w:top w:w="0" w:type="dxa"/>
              <w:left w:w="28" w:type="dxa"/>
              <w:bottom w:w="0" w:type="dxa"/>
              <w:right w:w="28" w:type="dxa"/>
            </w:tcMar>
            <w:vAlign w:val="center"/>
          </w:tcPr>
          <w:p w14:paraId="695F3A1A" w14:textId="77777777" w:rsidR="00BD776B" w:rsidRDefault="00DF0C24">
            <w:pPr>
              <w:tabs>
                <w:tab w:val="left" w:pos="332"/>
              </w:tabs>
              <w:snapToGrid w:val="0"/>
              <w:spacing w:line="380" w:lineRule="exact"/>
              <w:jc w:val="right"/>
              <w:textAlignment w:val="center"/>
            </w:pPr>
            <w:r>
              <w:rPr>
                <w:rFonts w:ascii="標楷體" w:eastAsia="標楷體" w:hAnsi="標楷體"/>
                <w:color w:val="000000"/>
              </w:rPr>
              <w:t>40毫克/公斤/天</w:t>
            </w:r>
          </w:p>
        </w:tc>
        <w:tc>
          <w:tcPr>
            <w:tcW w:w="3141" w:type="dxa"/>
            <w:shd w:val="clear" w:color="auto" w:fill="auto"/>
            <w:tcMar>
              <w:top w:w="0" w:type="dxa"/>
              <w:left w:w="28" w:type="dxa"/>
              <w:bottom w:w="0" w:type="dxa"/>
              <w:right w:w="28" w:type="dxa"/>
            </w:tcMar>
            <w:vAlign w:val="center"/>
          </w:tcPr>
          <w:p w14:paraId="0544F7F4" w14:textId="77777777" w:rsidR="00BD776B" w:rsidRDefault="00DF0C24">
            <w:pPr>
              <w:snapToGrid w:val="0"/>
              <w:spacing w:line="380" w:lineRule="exact"/>
              <w:ind w:left="92"/>
              <w:jc w:val="right"/>
              <w:textAlignment w:val="center"/>
            </w:pPr>
            <w:r>
              <w:rPr>
                <w:rFonts w:ascii="標楷體" w:eastAsia="標楷體" w:hAnsi="標楷體"/>
                <w:color w:val="000000"/>
              </w:rPr>
              <w:t>2公克/天</w:t>
            </w:r>
          </w:p>
        </w:tc>
      </w:tr>
      <w:tr w:rsidR="00BD776B" w14:paraId="7E802D4E" w14:textId="77777777">
        <w:trPr>
          <w:cantSplit/>
          <w:trHeight w:val="539"/>
        </w:trPr>
        <w:tc>
          <w:tcPr>
            <w:tcW w:w="3140" w:type="dxa"/>
            <w:shd w:val="clear" w:color="auto" w:fill="auto"/>
            <w:tcMar>
              <w:top w:w="0" w:type="dxa"/>
              <w:left w:w="28" w:type="dxa"/>
              <w:bottom w:w="0" w:type="dxa"/>
              <w:right w:w="28" w:type="dxa"/>
            </w:tcMar>
            <w:vAlign w:val="center"/>
          </w:tcPr>
          <w:p w14:paraId="1FC433C6"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IntramuscularGold</w:t>
            </w:r>
          </w:p>
        </w:tc>
        <w:tc>
          <w:tcPr>
            <w:tcW w:w="3140" w:type="dxa"/>
            <w:shd w:val="clear" w:color="auto" w:fill="auto"/>
            <w:tcMar>
              <w:top w:w="0" w:type="dxa"/>
              <w:left w:w="28" w:type="dxa"/>
              <w:bottom w:w="0" w:type="dxa"/>
              <w:right w:w="28" w:type="dxa"/>
            </w:tcMar>
            <w:vAlign w:val="center"/>
          </w:tcPr>
          <w:p w14:paraId="450302A7" w14:textId="77777777" w:rsidR="00BD776B" w:rsidRDefault="00DF0C24">
            <w:pPr>
              <w:tabs>
                <w:tab w:val="left" w:pos="332"/>
              </w:tabs>
              <w:snapToGrid w:val="0"/>
              <w:spacing w:line="380" w:lineRule="exact"/>
              <w:jc w:val="right"/>
              <w:textAlignment w:val="center"/>
            </w:pPr>
            <w:r>
              <w:rPr>
                <w:rFonts w:ascii="標楷體" w:eastAsia="標楷體" w:hAnsi="標楷體"/>
                <w:color w:val="000000"/>
              </w:rPr>
              <w:t>50毫克/週</w:t>
            </w:r>
          </w:p>
        </w:tc>
        <w:tc>
          <w:tcPr>
            <w:tcW w:w="3141" w:type="dxa"/>
            <w:shd w:val="clear" w:color="auto" w:fill="auto"/>
            <w:tcMar>
              <w:top w:w="0" w:type="dxa"/>
              <w:left w:w="28" w:type="dxa"/>
              <w:bottom w:w="0" w:type="dxa"/>
              <w:right w:w="28" w:type="dxa"/>
            </w:tcMar>
            <w:vAlign w:val="center"/>
          </w:tcPr>
          <w:p w14:paraId="1F89A4B3" w14:textId="77777777" w:rsidR="00BD776B" w:rsidRDefault="00DF0C24">
            <w:pPr>
              <w:snapToGrid w:val="0"/>
              <w:spacing w:line="380" w:lineRule="exact"/>
              <w:ind w:left="92"/>
              <w:jc w:val="right"/>
              <w:textAlignment w:val="center"/>
            </w:pPr>
            <w:r>
              <w:rPr>
                <w:rFonts w:ascii="標楷體" w:eastAsia="標楷體" w:hAnsi="標楷體"/>
                <w:color w:val="000000"/>
              </w:rPr>
              <w:t>50毫克/週</w:t>
            </w:r>
          </w:p>
        </w:tc>
      </w:tr>
      <w:tr w:rsidR="00BD776B" w14:paraId="082D6C87" w14:textId="77777777">
        <w:trPr>
          <w:cantSplit/>
          <w:trHeight w:val="547"/>
        </w:trPr>
        <w:tc>
          <w:tcPr>
            <w:tcW w:w="3140" w:type="dxa"/>
            <w:shd w:val="clear" w:color="auto" w:fill="auto"/>
            <w:tcMar>
              <w:top w:w="0" w:type="dxa"/>
              <w:left w:w="28" w:type="dxa"/>
              <w:bottom w:w="0" w:type="dxa"/>
              <w:right w:w="28" w:type="dxa"/>
            </w:tcMar>
            <w:vAlign w:val="center"/>
          </w:tcPr>
          <w:p w14:paraId="16571814"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D-penicillamine</w:t>
            </w:r>
          </w:p>
        </w:tc>
        <w:tc>
          <w:tcPr>
            <w:tcW w:w="3140" w:type="dxa"/>
            <w:shd w:val="clear" w:color="auto" w:fill="auto"/>
            <w:tcMar>
              <w:top w:w="0" w:type="dxa"/>
              <w:left w:w="28" w:type="dxa"/>
              <w:bottom w:w="0" w:type="dxa"/>
              <w:right w:w="28" w:type="dxa"/>
            </w:tcMar>
            <w:vAlign w:val="center"/>
          </w:tcPr>
          <w:p w14:paraId="26436BCB" w14:textId="77777777" w:rsidR="00BD776B" w:rsidRDefault="00DF0C24">
            <w:pPr>
              <w:tabs>
                <w:tab w:val="left" w:pos="332"/>
              </w:tabs>
              <w:snapToGrid w:val="0"/>
              <w:spacing w:line="380" w:lineRule="exact"/>
              <w:jc w:val="right"/>
              <w:textAlignment w:val="center"/>
            </w:pPr>
            <w:r>
              <w:rPr>
                <w:rFonts w:ascii="標楷體" w:eastAsia="標楷體" w:hAnsi="標楷體"/>
                <w:color w:val="000000"/>
              </w:rPr>
              <w:t>500-750毫克/天</w:t>
            </w:r>
          </w:p>
        </w:tc>
        <w:tc>
          <w:tcPr>
            <w:tcW w:w="3141" w:type="dxa"/>
            <w:shd w:val="clear" w:color="auto" w:fill="auto"/>
            <w:tcMar>
              <w:top w:w="0" w:type="dxa"/>
              <w:left w:w="28" w:type="dxa"/>
              <w:bottom w:w="0" w:type="dxa"/>
              <w:right w:w="28" w:type="dxa"/>
            </w:tcMar>
            <w:vAlign w:val="center"/>
          </w:tcPr>
          <w:p w14:paraId="038B0AE4" w14:textId="77777777" w:rsidR="00BD776B" w:rsidRDefault="00DF0C24">
            <w:pPr>
              <w:snapToGrid w:val="0"/>
              <w:spacing w:line="380" w:lineRule="exact"/>
              <w:ind w:left="92"/>
              <w:jc w:val="right"/>
              <w:textAlignment w:val="center"/>
            </w:pPr>
            <w:r>
              <w:rPr>
                <w:rFonts w:ascii="標楷體" w:eastAsia="標楷體" w:hAnsi="標楷體"/>
                <w:color w:val="000000"/>
              </w:rPr>
              <w:t>500-750毫克/天</w:t>
            </w:r>
          </w:p>
        </w:tc>
      </w:tr>
      <w:tr w:rsidR="00BD776B" w14:paraId="46FB56F6" w14:textId="77777777">
        <w:trPr>
          <w:cantSplit/>
          <w:trHeight w:val="541"/>
        </w:trPr>
        <w:tc>
          <w:tcPr>
            <w:tcW w:w="3140" w:type="dxa"/>
            <w:shd w:val="clear" w:color="auto" w:fill="auto"/>
            <w:tcMar>
              <w:top w:w="0" w:type="dxa"/>
              <w:left w:w="28" w:type="dxa"/>
              <w:bottom w:w="0" w:type="dxa"/>
              <w:right w:w="28" w:type="dxa"/>
            </w:tcMar>
            <w:vAlign w:val="center"/>
          </w:tcPr>
          <w:p w14:paraId="51A92426"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Aazathioprine</w:t>
            </w:r>
          </w:p>
        </w:tc>
        <w:tc>
          <w:tcPr>
            <w:tcW w:w="3140" w:type="dxa"/>
            <w:shd w:val="clear" w:color="auto" w:fill="auto"/>
            <w:tcMar>
              <w:top w:w="0" w:type="dxa"/>
              <w:left w:w="28" w:type="dxa"/>
              <w:bottom w:w="0" w:type="dxa"/>
              <w:right w:w="28" w:type="dxa"/>
            </w:tcMar>
            <w:vAlign w:val="center"/>
          </w:tcPr>
          <w:p w14:paraId="60DCACFB" w14:textId="77777777" w:rsidR="00BD776B" w:rsidRDefault="00DF0C24">
            <w:pPr>
              <w:tabs>
                <w:tab w:val="left" w:pos="332"/>
              </w:tabs>
              <w:snapToGrid w:val="0"/>
              <w:spacing w:line="380" w:lineRule="exact"/>
              <w:jc w:val="right"/>
              <w:textAlignment w:val="center"/>
            </w:pPr>
            <w:r>
              <w:rPr>
                <w:rFonts w:ascii="標楷體" w:eastAsia="標楷體" w:hAnsi="標楷體"/>
                <w:color w:val="000000"/>
              </w:rPr>
              <w:t>2毫克/公斤/天</w:t>
            </w:r>
          </w:p>
        </w:tc>
        <w:tc>
          <w:tcPr>
            <w:tcW w:w="3141" w:type="dxa"/>
            <w:shd w:val="clear" w:color="auto" w:fill="auto"/>
            <w:tcMar>
              <w:top w:w="0" w:type="dxa"/>
              <w:left w:w="28" w:type="dxa"/>
              <w:bottom w:w="0" w:type="dxa"/>
              <w:right w:w="28" w:type="dxa"/>
            </w:tcMar>
            <w:vAlign w:val="center"/>
          </w:tcPr>
          <w:p w14:paraId="0CE4F799" w14:textId="77777777" w:rsidR="00BD776B" w:rsidRDefault="00DF0C24">
            <w:pPr>
              <w:snapToGrid w:val="0"/>
              <w:spacing w:line="380" w:lineRule="exact"/>
              <w:ind w:left="92"/>
              <w:jc w:val="right"/>
              <w:textAlignment w:val="center"/>
            </w:pPr>
            <w:r>
              <w:rPr>
                <w:rFonts w:ascii="標楷體" w:eastAsia="標楷體" w:hAnsi="標楷體"/>
                <w:color w:val="000000"/>
              </w:rPr>
              <w:t>100毫克/天</w:t>
            </w:r>
          </w:p>
        </w:tc>
      </w:tr>
      <w:tr w:rsidR="00BD776B" w14:paraId="643B4ADA" w14:textId="77777777">
        <w:trPr>
          <w:cantSplit/>
          <w:trHeight w:val="541"/>
        </w:trPr>
        <w:tc>
          <w:tcPr>
            <w:tcW w:w="3140" w:type="dxa"/>
            <w:tcBorders>
              <w:bottom w:val="single" w:sz="4" w:space="0" w:color="000000"/>
            </w:tcBorders>
            <w:shd w:val="clear" w:color="auto" w:fill="auto"/>
            <w:tcMar>
              <w:top w:w="0" w:type="dxa"/>
              <w:left w:w="28" w:type="dxa"/>
              <w:bottom w:w="0" w:type="dxa"/>
              <w:right w:w="28" w:type="dxa"/>
            </w:tcMar>
            <w:vAlign w:val="center"/>
          </w:tcPr>
          <w:p w14:paraId="334405EB" w14:textId="77777777" w:rsidR="00BD776B" w:rsidRDefault="00DF0C24">
            <w:pPr>
              <w:snapToGrid w:val="0"/>
              <w:spacing w:line="380" w:lineRule="exact"/>
              <w:ind w:left="92"/>
              <w:textAlignment w:val="center"/>
              <w:rPr>
                <w:rFonts w:ascii="標楷體" w:eastAsia="標楷體" w:hAnsi="標楷體"/>
                <w:color w:val="000000"/>
              </w:rPr>
            </w:pPr>
            <w:r>
              <w:rPr>
                <w:rFonts w:ascii="標楷體" w:eastAsia="標楷體" w:hAnsi="標楷體"/>
                <w:color w:val="000000"/>
              </w:rPr>
              <w:t>Cyclosporines</w:t>
            </w:r>
          </w:p>
        </w:tc>
        <w:tc>
          <w:tcPr>
            <w:tcW w:w="3140" w:type="dxa"/>
            <w:tcBorders>
              <w:bottom w:val="single" w:sz="4" w:space="0" w:color="000000"/>
            </w:tcBorders>
            <w:shd w:val="clear" w:color="auto" w:fill="auto"/>
            <w:tcMar>
              <w:top w:w="0" w:type="dxa"/>
              <w:left w:w="28" w:type="dxa"/>
              <w:bottom w:w="0" w:type="dxa"/>
              <w:right w:w="28" w:type="dxa"/>
            </w:tcMar>
            <w:vAlign w:val="center"/>
          </w:tcPr>
          <w:p w14:paraId="53A3C716" w14:textId="77777777" w:rsidR="00BD776B" w:rsidRDefault="00DF0C24">
            <w:pPr>
              <w:tabs>
                <w:tab w:val="left" w:pos="332"/>
              </w:tabs>
              <w:snapToGrid w:val="0"/>
              <w:spacing w:line="380" w:lineRule="exact"/>
              <w:jc w:val="right"/>
              <w:textAlignment w:val="center"/>
            </w:pPr>
            <w:r>
              <w:rPr>
                <w:rFonts w:ascii="標楷體" w:eastAsia="標楷體" w:hAnsi="標楷體"/>
                <w:color w:val="000000"/>
              </w:rPr>
              <w:t>2.5-5.0毫克/公斤/天</w:t>
            </w:r>
          </w:p>
        </w:tc>
        <w:tc>
          <w:tcPr>
            <w:tcW w:w="3141" w:type="dxa"/>
            <w:tcBorders>
              <w:bottom w:val="single" w:sz="4" w:space="0" w:color="000000"/>
            </w:tcBorders>
            <w:shd w:val="clear" w:color="auto" w:fill="auto"/>
            <w:tcMar>
              <w:top w:w="0" w:type="dxa"/>
              <w:left w:w="28" w:type="dxa"/>
              <w:bottom w:w="0" w:type="dxa"/>
              <w:right w:w="28" w:type="dxa"/>
            </w:tcMar>
            <w:vAlign w:val="center"/>
          </w:tcPr>
          <w:p w14:paraId="4D19721B" w14:textId="77777777" w:rsidR="00BD776B" w:rsidRDefault="00DF0C24">
            <w:pPr>
              <w:snapToGrid w:val="0"/>
              <w:spacing w:line="380" w:lineRule="exact"/>
              <w:ind w:left="92"/>
              <w:jc w:val="right"/>
              <w:textAlignment w:val="center"/>
            </w:pPr>
            <w:r>
              <w:rPr>
                <w:rFonts w:ascii="標楷體" w:eastAsia="標楷體" w:hAnsi="標楷體"/>
                <w:color w:val="000000"/>
              </w:rPr>
              <w:t>2.5毫克/公斤/天</w:t>
            </w:r>
          </w:p>
        </w:tc>
      </w:tr>
    </w:tbl>
    <w:p w14:paraId="51B36D41" w14:textId="77777777" w:rsidR="00BD776B" w:rsidRDefault="00BD776B">
      <w:pPr>
        <w:snapToGrid w:val="0"/>
        <w:spacing w:line="380" w:lineRule="exact"/>
        <w:jc w:val="both"/>
        <w:rPr>
          <w:rFonts w:ascii="標楷體" w:eastAsia="標楷體" w:hAnsi="標楷體"/>
          <w:color w:val="000000"/>
          <w:sz w:val="21"/>
          <w:szCs w:val="21"/>
        </w:rPr>
      </w:pPr>
    </w:p>
    <w:p w14:paraId="6B732B34" w14:textId="77777777" w:rsidR="00BD776B" w:rsidRDefault="00BD776B">
      <w:pPr>
        <w:snapToGrid w:val="0"/>
        <w:spacing w:line="380" w:lineRule="exact"/>
        <w:jc w:val="both"/>
        <w:rPr>
          <w:rFonts w:ascii="標楷體" w:eastAsia="標楷體" w:hAnsi="標楷體"/>
          <w:b/>
          <w:bCs/>
          <w:color w:val="000000"/>
        </w:rPr>
      </w:pPr>
    </w:p>
    <w:p w14:paraId="3C4D6CDE" w14:textId="77777777" w:rsidR="00BD776B" w:rsidRDefault="00BD776B">
      <w:pPr>
        <w:snapToGrid w:val="0"/>
        <w:spacing w:line="380" w:lineRule="exact"/>
        <w:jc w:val="both"/>
        <w:rPr>
          <w:rFonts w:ascii="標楷體" w:eastAsia="標楷體" w:hAnsi="標楷體"/>
          <w:b/>
          <w:bCs/>
          <w:color w:val="000000"/>
        </w:rPr>
      </w:pPr>
    </w:p>
    <w:p w14:paraId="0156479C" w14:textId="77777777" w:rsidR="00BD776B" w:rsidRDefault="00BD776B">
      <w:pPr>
        <w:snapToGrid w:val="0"/>
        <w:spacing w:line="380" w:lineRule="exact"/>
        <w:jc w:val="both"/>
        <w:rPr>
          <w:rFonts w:ascii="標楷體" w:eastAsia="標楷體" w:hAnsi="標楷體"/>
          <w:b/>
          <w:bCs/>
          <w:color w:val="000000"/>
        </w:rPr>
      </w:pPr>
    </w:p>
    <w:p w14:paraId="6605DFAC" w14:textId="77777777" w:rsidR="00BD776B" w:rsidRDefault="00DF0C24">
      <w:pPr>
        <w:snapToGrid w:val="0"/>
        <w:spacing w:line="380" w:lineRule="exact"/>
        <w:jc w:val="both"/>
      </w:pPr>
      <w:r>
        <w:rPr>
          <w:rFonts w:ascii="標楷體" w:eastAsia="標楷體" w:hAnsi="標楷體"/>
          <w:b/>
          <w:bCs/>
          <w:color w:val="000000"/>
          <w:sz w:val="32"/>
          <w:szCs w:val="32"/>
        </w:rPr>
        <w:t>圖一</w:t>
      </w:r>
      <w:r>
        <w:rPr>
          <w:rFonts w:ascii="標楷體" w:eastAsia="標楷體" w:hAnsi="標楷體"/>
          <w:bCs/>
          <w:color w:val="000000"/>
          <w:sz w:val="32"/>
          <w:szCs w:val="32"/>
        </w:rPr>
        <w:t>：</w:t>
      </w:r>
      <w:r>
        <w:rPr>
          <w:rFonts w:ascii="標楷體" w:eastAsia="標楷體" w:hAnsi="標楷體"/>
          <w:b/>
          <w:bCs/>
          <w:color w:val="000000"/>
          <w:sz w:val="32"/>
          <w:szCs w:val="32"/>
        </w:rPr>
        <w:t>整體健康狀態(GeneralHealthStatus)</w:t>
      </w:r>
    </w:p>
    <w:p w14:paraId="0A62A593" w14:textId="77777777" w:rsidR="00BD776B" w:rsidRDefault="00DF0C24">
      <w:pPr>
        <w:snapToGrid w:val="0"/>
        <w:spacing w:line="380" w:lineRule="exact"/>
        <w:jc w:val="both"/>
      </w:pPr>
      <w:r>
        <w:rPr>
          <w:noProof/>
        </w:rPr>
        <mc:AlternateContent>
          <mc:Choice Requires="wps">
            <w:drawing>
              <wp:anchor distT="0" distB="0" distL="114300" distR="114300" simplePos="0" relativeHeight="251648000" behindDoc="0" locked="0" layoutInCell="1" allowOverlap="1" wp14:anchorId="12E78F71" wp14:editId="5876A017">
                <wp:simplePos x="0" y="0"/>
                <wp:positionH relativeFrom="column">
                  <wp:posOffset>4650108</wp:posOffset>
                </wp:positionH>
                <wp:positionV relativeFrom="paragraph">
                  <wp:posOffset>157477</wp:posOffset>
                </wp:positionV>
                <wp:extent cx="685800" cy="514350"/>
                <wp:effectExtent l="0" t="0" r="0" b="0"/>
                <wp:wrapNone/>
                <wp:docPr id="4" name="Text Box 54"/>
                <wp:cNvGraphicFramePr/>
                <a:graphic xmlns:a="http://schemas.openxmlformats.org/drawingml/2006/main">
                  <a:graphicData uri="http://schemas.microsoft.com/office/word/2010/wordprocessingShape">
                    <wps:wsp>
                      <wps:cNvSpPr txBox="1"/>
                      <wps:spPr>
                        <a:xfrm>
                          <a:off x="0" y="0"/>
                          <a:ext cx="685800" cy="514350"/>
                        </a:xfrm>
                        <a:prstGeom prst="rect">
                          <a:avLst/>
                        </a:prstGeom>
                        <a:noFill/>
                        <a:ln>
                          <a:noFill/>
                          <a:prstDash/>
                        </a:ln>
                      </wps:spPr>
                      <wps:txbx>
                        <w:txbxContent>
                          <w:p w14:paraId="52F8F261" w14:textId="77777777" w:rsidR="00576CD7" w:rsidRDefault="00576CD7">
                            <w:pPr>
                              <w:rPr>
                                <w:rFonts w:ascii="Arial" w:hAnsi="Arial" w:cs="Arial"/>
                                <w:sz w:val="20"/>
                                <w:szCs w:val="20"/>
                              </w:rPr>
                            </w:pPr>
                            <w:r>
                              <w:rPr>
                                <w:rFonts w:ascii="Arial" w:hAnsi="Arial" w:cs="Arial"/>
                                <w:sz w:val="20"/>
                                <w:szCs w:val="20"/>
                              </w:rPr>
                              <w:t>100</w:t>
                            </w:r>
                          </w:p>
                        </w:txbxContent>
                      </wps:txbx>
                      <wps:bodyPr vert="horz" wrap="square" lIns="91440" tIns="45720" rIns="91440" bIns="45720" anchor="t" anchorCtr="0" compatLnSpc="0">
                        <a:noAutofit/>
                      </wps:bodyPr>
                    </wps:wsp>
                  </a:graphicData>
                </a:graphic>
              </wp:anchor>
            </w:drawing>
          </mc:Choice>
          <mc:Fallback>
            <w:pict>
              <v:shape w14:anchorId="12E78F71" id="Text Box 54" o:spid="_x0000_s1029" type="#_x0000_t202" style="position:absolute;left:0;text-align:left;margin-left:366.15pt;margin-top:12.4pt;width:54pt;height:4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" filled="f" stroked="f">
                <v:textbox>
                  <w:txbxContent>
                    <w:p w14:paraId="52F8F261" w14:textId="77777777" w:rsidR="00576CD7" w:rsidRDefault="00576CD7">
                      <w:pPr>
                        <w:rPr>
                          <w:rFonts w:ascii="Arial" w:hAnsi="Arial" w:cs="Arial"/>
                          <w:sz w:val="20"/>
                          <w:szCs w:val="20"/>
                        </w:rPr>
                      </w:pPr>
                      <w:r>
                        <w:rPr>
                          <w:rFonts w:ascii="Arial" w:hAnsi="Arial" w:cs="Arial"/>
                          <w:sz w:val="20"/>
                          <w:szCs w:val="20"/>
                        </w:rPr>
                        <w:t>100</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59E87B7B" wp14:editId="46D5F174">
                <wp:simplePos x="0" y="0"/>
                <wp:positionH relativeFrom="column">
                  <wp:posOffset>1068705</wp:posOffset>
                </wp:positionH>
                <wp:positionV relativeFrom="paragraph">
                  <wp:posOffset>138431</wp:posOffset>
                </wp:positionV>
                <wp:extent cx="304166" cy="447041"/>
                <wp:effectExtent l="0" t="0" r="0" b="0"/>
                <wp:wrapNone/>
                <wp:docPr id="5" name="Text Box 53"/>
                <wp:cNvGraphicFramePr/>
                <a:graphic xmlns:a="http://schemas.openxmlformats.org/drawingml/2006/main">
                  <a:graphicData uri="http://schemas.microsoft.com/office/word/2010/wordprocessingShape">
                    <wps:wsp>
                      <wps:cNvSpPr txBox="1"/>
                      <wps:spPr>
                        <a:xfrm>
                          <a:off x="0" y="0"/>
                          <a:ext cx="304166" cy="447041"/>
                        </a:xfrm>
                        <a:prstGeom prst="rect">
                          <a:avLst/>
                        </a:prstGeom>
                        <a:noFill/>
                        <a:ln>
                          <a:noFill/>
                          <a:prstDash/>
                        </a:ln>
                      </wps:spPr>
                      <wps:txbx>
                        <w:txbxContent>
                          <w:p w14:paraId="069A9E7D" w14:textId="77777777" w:rsidR="00576CD7" w:rsidRDefault="00576CD7">
                            <w:pPr>
                              <w:rPr>
                                <w:rFonts w:ascii="Arial" w:hAnsi="Arial" w:cs="Arial"/>
                              </w:rPr>
                            </w:pPr>
                            <w:r>
                              <w:rPr>
                                <w:rFonts w:ascii="Arial" w:hAnsi="Arial" w:cs="Arial"/>
                              </w:rPr>
                              <w:t>0</w:t>
                            </w:r>
                          </w:p>
                        </w:txbxContent>
                      </wps:txbx>
                      <wps:bodyPr vert="horz" wrap="square" lIns="91440" tIns="45720" rIns="91440" bIns="45720" anchor="t" anchorCtr="0" compatLnSpc="0">
                        <a:noAutofit/>
                      </wps:bodyPr>
                    </wps:wsp>
                  </a:graphicData>
                </a:graphic>
              </wp:anchor>
            </w:drawing>
          </mc:Choice>
          <mc:Fallback>
            <w:pict>
              <v:shape w14:anchorId="59E87B7B" id="Text Box 53" o:spid="_x0000_s1030" type="#_x0000_t202" style="position:absolute;left:0;text-align:left;margin-left:84.15pt;margin-top:10.9pt;width:23.95pt;height:35.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" filled="f" stroked="f">
                <v:textbox>
                  <w:txbxContent>
                    <w:p w14:paraId="069A9E7D" w14:textId="77777777" w:rsidR="00576CD7" w:rsidRDefault="00576CD7">
                      <w:pPr>
                        <w:rPr>
                          <w:rFonts w:ascii="Arial" w:hAnsi="Arial" w:cs="Arial"/>
                        </w:rPr>
                      </w:pPr>
                      <w:r>
                        <w:rPr>
                          <w:rFonts w:ascii="Arial" w:hAnsi="Arial" w:cs="Arial"/>
                        </w:rPr>
                        <w:t>0</w:t>
                      </w:r>
                    </w:p>
                  </w:txbxContent>
                </v:textbox>
              </v:shape>
            </w:pict>
          </mc:Fallback>
        </mc:AlternateContent>
      </w:r>
    </w:p>
    <w:p w14:paraId="0576C06A" w14:textId="77777777" w:rsidR="00BD776B" w:rsidRDefault="00BD776B">
      <w:pPr>
        <w:snapToGrid w:val="0"/>
        <w:spacing w:line="380" w:lineRule="exact"/>
        <w:jc w:val="both"/>
        <w:rPr>
          <w:rFonts w:ascii="標楷體" w:eastAsia="標楷體" w:hAnsi="標楷體"/>
        </w:rPr>
      </w:pPr>
    </w:p>
    <w:p w14:paraId="37C044FA" w14:textId="77777777" w:rsidR="00BD776B" w:rsidRDefault="00DF0C24">
      <w:pPr>
        <w:snapToGrid w:val="0"/>
        <w:spacing w:line="380" w:lineRule="exact"/>
        <w:jc w:val="both"/>
      </w:pPr>
      <w:r>
        <w:rPr>
          <w:noProof/>
        </w:rPr>
        <mc:AlternateContent>
          <mc:Choice Requires="wps">
            <w:drawing>
              <wp:anchor distT="0" distB="0" distL="114300" distR="114300" simplePos="0" relativeHeight="251645952" behindDoc="0" locked="0" layoutInCell="1" allowOverlap="1" wp14:anchorId="189CCBD4" wp14:editId="524451F1">
                <wp:simplePos x="0" y="0"/>
                <wp:positionH relativeFrom="column">
                  <wp:posOffset>4876796</wp:posOffset>
                </wp:positionH>
                <wp:positionV relativeFrom="paragraph">
                  <wp:posOffset>114300</wp:posOffset>
                </wp:positionV>
                <wp:extent cx="0" cy="228600"/>
                <wp:effectExtent l="0" t="0" r="38100" b="19050"/>
                <wp:wrapNone/>
                <wp:docPr id="6" name="Line 52"/>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ln>
                      </wps:spPr>
                      <wps:bodyPr/>
                    </wps:wsp>
                  </a:graphicData>
                </a:graphic>
              </wp:anchor>
            </w:drawing>
          </mc:Choice>
          <mc:Fallback>
            <w:pict>
              <v:shapetype w14:anchorId="48A76B37" id="_x0000_t32" coordsize="21600,21600" o:spt="32" o:oned="t" path="m,l21600,21600e" filled="f">
                <v:path arrowok="t" fillok="f" o:connecttype="none"/>
                <o:lock v:ext="edit" shapetype="t"/>
              </v:shapetype>
              <v:shape id="Line 52" o:spid="_x0000_s1026" type="#_x0000_t32" style="position:absolute;margin-left:384pt;margin-top:9pt;width:0;height:18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" strokeweight=".26467mm"/>
            </w:pict>
          </mc:Fallback>
        </mc:AlternateContent>
      </w:r>
      <w:r>
        <w:rPr>
          <w:noProof/>
        </w:rPr>
        <mc:AlternateContent>
          <mc:Choice Requires="wps">
            <w:drawing>
              <wp:anchor distT="0" distB="0" distL="114300" distR="114300" simplePos="0" relativeHeight="251644928" behindDoc="0" locked="0" layoutInCell="1" allowOverlap="1" wp14:anchorId="220860CC" wp14:editId="36762835">
                <wp:simplePos x="0" y="0"/>
                <wp:positionH relativeFrom="column">
                  <wp:posOffset>1219196</wp:posOffset>
                </wp:positionH>
                <wp:positionV relativeFrom="paragraph">
                  <wp:posOffset>114300</wp:posOffset>
                </wp:positionV>
                <wp:extent cx="0" cy="228600"/>
                <wp:effectExtent l="0" t="0" r="38100" b="19050"/>
                <wp:wrapNone/>
                <wp:docPr id="7" name="Line 5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ln>
                      </wps:spPr>
                      <wps:bodyPr/>
                    </wps:wsp>
                  </a:graphicData>
                </a:graphic>
              </wp:anchor>
            </w:drawing>
          </mc:Choice>
          <mc:Fallback>
            <w:pict>
              <v:shape w14:anchorId="33295CC8" id="Line 51" o:spid="_x0000_s1026" type="#_x0000_t32" style="position:absolute;margin-left:96pt;margin-top:9pt;width:0;height:18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" strokeweight=".26467mm"/>
            </w:pict>
          </mc:Fallback>
        </mc:AlternateContent>
      </w:r>
    </w:p>
    <w:p w14:paraId="6622F393" w14:textId="77777777" w:rsidR="00BD776B" w:rsidRDefault="00DF0C24">
      <w:pPr>
        <w:snapToGrid w:val="0"/>
        <w:spacing w:line="380" w:lineRule="exact"/>
        <w:jc w:val="both"/>
      </w:pPr>
      <w:r>
        <w:rPr>
          <w:noProof/>
        </w:rPr>
        <mc:AlternateContent>
          <mc:Choice Requires="wps">
            <w:drawing>
              <wp:anchor distT="0" distB="0" distL="114300" distR="114300" simplePos="0" relativeHeight="251654144" behindDoc="0" locked="0" layoutInCell="1" allowOverlap="1" wp14:anchorId="6DF158A3" wp14:editId="5EE247D2">
                <wp:simplePos x="0" y="0"/>
                <wp:positionH relativeFrom="column">
                  <wp:posOffset>4345301</wp:posOffset>
                </wp:positionH>
                <wp:positionV relativeFrom="paragraph">
                  <wp:posOffset>109856</wp:posOffset>
                </wp:positionV>
                <wp:extent cx="989966" cy="571500"/>
                <wp:effectExtent l="0" t="0" r="0" b="0"/>
                <wp:wrapNone/>
                <wp:docPr id="8" name="Text Box 56"/>
                <wp:cNvGraphicFramePr/>
                <a:graphic xmlns:a="http://schemas.openxmlformats.org/drawingml/2006/main">
                  <a:graphicData uri="http://schemas.microsoft.com/office/word/2010/wordprocessingShape">
                    <wps:wsp>
                      <wps:cNvSpPr txBox="1"/>
                      <wps:spPr>
                        <a:xfrm>
                          <a:off x="0" y="0"/>
                          <a:ext cx="989966" cy="571500"/>
                        </a:xfrm>
                        <a:prstGeom prst="rect">
                          <a:avLst/>
                        </a:prstGeom>
                        <a:noFill/>
                        <a:ln>
                          <a:noFill/>
                          <a:prstDash/>
                        </a:ln>
                      </wps:spPr>
                      <wps:txbx>
                        <w:txbxContent>
                          <w:p w14:paraId="575EA11F" w14:textId="77777777" w:rsidR="00576CD7" w:rsidRDefault="00576CD7">
                            <w:r>
                              <w:rPr>
                                <w:rFonts w:ascii="標楷體" w:eastAsia="標楷體" w:hAnsi="標楷體" w:cs="新細明體"/>
                              </w:rPr>
                              <w:t>非常不舒服</w:t>
                            </w:r>
                          </w:p>
                        </w:txbxContent>
                      </wps:txbx>
                      <wps:bodyPr vert="horz" wrap="square" lIns="91440" tIns="45720" rIns="91440" bIns="45720" anchor="t" anchorCtr="0" compatLnSpc="0">
                        <a:noAutofit/>
                      </wps:bodyPr>
                    </wps:wsp>
                  </a:graphicData>
                </a:graphic>
              </wp:anchor>
            </w:drawing>
          </mc:Choice>
          <mc:Fallback>
            <w:pict>
              <v:shape w14:anchorId="6DF158A3" id="Text Box 56" o:spid="_x0000_s1031" type="#_x0000_t202" style="position:absolute;left:0;text-align:left;margin-left:342.15pt;margin-top:8.65pt;width:77.95pt;height: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" filled="f" stroked="f">
                <v:textbox>
                  <w:txbxContent>
                    <w:p w14:paraId="575EA11F" w14:textId="77777777" w:rsidR="00576CD7" w:rsidRDefault="00576CD7">
                      <w:r>
                        <w:rPr>
                          <w:rFonts w:ascii="標楷體" w:eastAsia="標楷體" w:hAnsi="標楷體" w:cs="新細明體"/>
                        </w:rPr>
                        <w:t>非常不舒服</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29EA1EA1" wp14:editId="15A5CA14">
                <wp:simplePos x="0" y="0"/>
                <wp:positionH relativeFrom="column">
                  <wp:posOffset>763908</wp:posOffset>
                </wp:positionH>
                <wp:positionV relativeFrom="paragraph">
                  <wp:posOffset>109856</wp:posOffset>
                </wp:positionV>
                <wp:extent cx="1295403" cy="571500"/>
                <wp:effectExtent l="0" t="0" r="0" b="0"/>
                <wp:wrapNone/>
                <wp:docPr id="9" name="Text Box 55"/>
                <wp:cNvGraphicFramePr/>
                <a:graphic xmlns:a="http://schemas.openxmlformats.org/drawingml/2006/main">
                  <a:graphicData uri="http://schemas.microsoft.com/office/word/2010/wordprocessingShape">
                    <wps:wsp>
                      <wps:cNvSpPr txBox="1"/>
                      <wps:spPr>
                        <a:xfrm>
                          <a:off x="0" y="0"/>
                          <a:ext cx="1295403" cy="571500"/>
                        </a:xfrm>
                        <a:prstGeom prst="rect">
                          <a:avLst/>
                        </a:prstGeom>
                        <a:noFill/>
                        <a:ln>
                          <a:noFill/>
                          <a:prstDash/>
                        </a:ln>
                      </wps:spPr>
                      <wps:txbx>
                        <w:txbxContent>
                          <w:p w14:paraId="1D38D116" w14:textId="77777777" w:rsidR="00576CD7" w:rsidRDefault="00576CD7">
                            <w:r>
                              <w:rPr>
                                <w:rFonts w:ascii="標楷體" w:eastAsia="標楷體" w:hAnsi="標楷體" w:cs="新細明體"/>
                              </w:rPr>
                              <w:t>完全沒有不舒服</w:t>
                            </w:r>
                          </w:p>
                        </w:txbxContent>
                      </wps:txbx>
                      <wps:bodyPr vert="horz" wrap="square" lIns="91440" tIns="45720" rIns="91440" bIns="45720" anchor="t" anchorCtr="0" compatLnSpc="0">
                        <a:noAutofit/>
                      </wps:bodyPr>
                    </wps:wsp>
                  </a:graphicData>
                </a:graphic>
              </wp:anchor>
            </w:drawing>
          </mc:Choice>
          <mc:Fallback>
            <w:pict>
              <v:shape w14:anchorId="29EA1EA1" id="Text Box 55" o:spid="_x0000_s1032" type="#_x0000_t202" style="position:absolute;left:0;text-align:left;margin-left:60.15pt;margin-top:8.65pt;width:102pt;height:4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" filled="f" stroked="f">
                <v:textbox>
                  <w:txbxContent>
                    <w:p w14:paraId="1D38D116" w14:textId="77777777" w:rsidR="00576CD7" w:rsidRDefault="00576CD7">
                      <w:r>
                        <w:rPr>
                          <w:rFonts w:ascii="標楷體" w:eastAsia="標楷體" w:hAnsi="標楷體" w:cs="新細明體"/>
                        </w:rPr>
                        <w:t>完全沒有不舒服</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14460E9A" wp14:editId="5EAAD94C">
                <wp:simplePos x="0" y="0"/>
                <wp:positionH relativeFrom="column">
                  <wp:posOffset>1219196</wp:posOffset>
                </wp:positionH>
                <wp:positionV relativeFrom="paragraph">
                  <wp:posOffset>114300</wp:posOffset>
                </wp:positionV>
                <wp:extent cx="3657600" cy="0"/>
                <wp:effectExtent l="0" t="0" r="0" b="0"/>
                <wp:wrapNone/>
                <wp:docPr id="10" name="Line 50"/>
                <wp:cNvGraphicFramePr/>
                <a:graphic xmlns:a="http://schemas.openxmlformats.org/drawingml/2006/main">
                  <a:graphicData uri="http://schemas.microsoft.com/office/word/2010/wordprocessingShape">
                    <wps:wsp>
                      <wps:cNvCnPr/>
                      <wps:spPr>
                        <a:xfrm>
                          <a:off x="0" y="0"/>
                          <a:ext cx="3657600" cy="0"/>
                        </a:xfrm>
                        <a:prstGeom prst="straightConnector1">
                          <a:avLst/>
                        </a:prstGeom>
                        <a:noFill/>
                        <a:ln w="9528" cap="flat">
                          <a:solidFill>
                            <a:srgbClr val="000000"/>
                          </a:solidFill>
                          <a:prstDash val="solid"/>
                          <a:round/>
                        </a:ln>
                      </wps:spPr>
                      <wps:bodyPr/>
                    </wps:wsp>
                  </a:graphicData>
                </a:graphic>
              </wp:anchor>
            </w:drawing>
          </mc:Choice>
          <mc:Fallback>
            <w:pict>
              <v:shape w14:anchorId="226E8E7B" id="Line 50" o:spid="_x0000_s1026" type="#_x0000_t32" style="position:absolute;margin-left:96pt;margin-top:9pt;width:4in;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" strokeweight=".26467mm"/>
            </w:pict>
          </mc:Fallback>
        </mc:AlternateContent>
      </w:r>
    </w:p>
    <w:p w14:paraId="65E7368D" w14:textId="77777777" w:rsidR="00BD776B" w:rsidRDefault="00BD776B">
      <w:pPr>
        <w:snapToGrid w:val="0"/>
        <w:spacing w:line="380" w:lineRule="exact"/>
        <w:jc w:val="both"/>
        <w:rPr>
          <w:rFonts w:ascii="標楷體" w:eastAsia="標楷體" w:hAnsi="標楷體"/>
          <w:color w:val="000000"/>
          <w:sz w:val="21"/>
          <w:szCs w:val="21"/>
        </w:rPr>
      </w:pPr>
    </w:p>
    <w:p w14:paraId="7224AB7E" w14:textId="77777777" w:rsidR="00BD776B" w:rsidRDefault="00BD776B">
      <w:pPr>
        <w:snapToGrid w:val="0"/>
        <w:spacing w:line="380" w:lineRule="exact"/>
        <w:jc w:val="both"/>
        <w:rPr>
          <w:rFonts w:ascii="標楷體" w:eastAsia="標楷體" w:hAnsi="標楷體"/>
          <w:color w:val="000000"/>
          <w:sz w:val="21"/>
          <w:szCs w:val="21"/>
        </w:rPr>
      </w:pPr>
    </w:p>
    <w:p w14:paraId="03D3ECAD" w14:textId="77777777" w:rsidR="00BD776B" w:rsidRDefault="00BD776B">
      <w:pPr>
        <w:snapToGrid w:val="0"/>
        <w:spacing w:line="380" w:lineRule="exact"/>
        <w:jc w:val="both"/>
        <w:rPr>
          <w:rFonts w:ascii="標楷體" w:eastAsia="標楷體" w:hAnsi="標楷體"/>
          <w:color w:val="000000"/>
          <w:sz w:val="21"/>
          <w:szCs w:val="21"/>
        </w:rPr>
      </w:pPr>
    </w:p>
    <w:p w14:paraId="742B4B89" w14:textId="77777777" w:rsidR="00BD776B" w:rsidRDefault="00BD776B">
      <w:pPr>
        <w:snapToGrid w:val="0"/>
        <w:spacing w:line="380" w:lineRule="exact"/>
        <w:jc w:val="both"/>
        <w:rPr>
          <w:rFonts w:ascii="標楷體" w:eastAsia="標楷體" w:hAnsi="標楷體"/>
          <w:color w:val="000000"/>
          <w:sz w:val="21"/>
          <w:szCs w:val="21"/>
        </w:rPr>
      </w:pPr>
    </w:p>
    <w:p w14:paraId="3BFDCACB" w14:textId="77777777" w:rsidR="00BD776B" w:rsidRDefault="00BD776B">
      <w:pPr>
        <w:snapToGrid w:val="0"/>
        <w:spacing w:line="380" w:lineRule="exact"/>
        <w:ind w:left="9780" w:right="-286" w:hanging="10320"/>
        <w:jc w:val="center"/>
        <w:rPr>
          <w:rFonts w:ascii="標楷體" w:eastAsia="標楷體" w:hAnsi="標楷體"/>
        </w:rPr>
      </w:pPr>
    </w:p>
    <w:p w14:paraId="1259A9B0" w14:textId="77777777" w:rsidR="00BD776B" w:rsidRDefault="00BD776B">
      <w:pPr>
        <w:snapToGrid w:val="0"/>
        <w:spacing w:line="380" w:lineRule="exact"/>
        <w:ind w:left="9780" w:right="-286" w:hanging="10320"/>
        <w:jc w:val="center"/>
        <w:rPr>
          <w:rFonts w:ascii="標楷體" w:eastAsia="標楷體" w:hAnsi="標楷體"/>
        </w:rPr>
      </w:pPr>
    </w:p>
    <w:p w14:paraId="14CF738C" w14:textId="77777777" w:rsidR="00BD776B" w:rsidRDefault="00BD776B">
      <w:pPr>
        <w:snapToGrid w:val="0"/>
        <w:spacing w:line="380" w:lineRule="exact"/>
        <w:ind w:left="9780" w:right="-286" w:hanging="10320"/>
        <w:jc w:val="center"/>
        <w:rPr>
          <w:rFonts w:ascii="標楷體" w:eastAsia="標楷體" w:hAnsi="標楷體"/>
        </w:rPr>
      </w:pPr>
    </w:p>
    <w:p w14:paraId="75907495" w14:textId="77777777" w:rsidR="00BD776B" w:rsidRDefault="00BD776B">
      <w:pPr>
        <w:snapToGrid w:val="0"/>
        <w:spacing w:line="380" w:lineRule="exact"/>
        <w:ind w:left="9780" w:right="-286" w:hanging="10320"/>
        <w:jc w:val="center"/>
        <w:rPr>
          <w:rFonts w:ascii="標楷體" w:eastAsia="標楷體" w:hAnsi="標楷體"/>
        </w:rPr>
      </w:pPr>
    </w:p>
    <w:p w14:paraId="41D57735" w14:textId="77777777" w:rsidR="00BD776B" w:rsidRDefault="00BD776B">
      <w:pPr>
        <w:snapToGrid w:val="0"/>
        <w:spacing w:line="380" w:lineRule="exact"/>
        <w:ind w:left="9780" w:right="-286" w:hanging="10320"/>
        <w:jc w:val="center"/>
        <w:rPr>
          <w:rFonts w:ascii="標楷體" w:eastAsia="標楷體" w:hAnsi="標楷體"/>
        </w:rPr>
      </w:pPr>
    </w:p>
    <w:p w14:paraId="354B087E" w14:textId="77777777" w:rsidR="00BD776B" w:rsidRDefault="00BD776B">
      <w:pPr>
        <w:snapToGrid w:val="0"/>
        <w:spacing w:line="380" w:lineRule="exact"/>
        <w:ind w:left="9780" w:right="-286" w:hanging="10320"/>
        <w:jc w:val="center"/>
        <w:rPr>
          <w:rFonts w:ascii="標楷體" w:eastAsia="標楷體" w:hAnsi="標楷體"/>
        </w:rPr>
      </w:pPr>
    </w:p>
    <w:p w14:paraId="1A919441" w14:textId="77777777" w:rsidR="00BD776B" w:rsidRDefault="00BD776B">
      <w:pPr>
        <w:snapToGrid w:val="0"/>
        <w:spacing w:line="380" w:lineRule="exact"/>
        <w:ind w:left="9780" w:right="-286" w:hanging="10320"/>
        <w:jc w:val="center"/>
        <w:rPr>
          <w:rFonts w:ascii="標楷體" w:eastAsia="標楷體" w:hAnsi="標楷體"/>
        </w:rPr>
      </w:pPr>
    </w:p>
    <w:p w14:paraId="5DF14A38" w14:textId="77777777" w:rsidR="00BD776B" w:rsidRDefault="00BD776B">
      <w:pPr>
        <w:snapToGrid w:val="0"/>
        <w:spacing w:line="380" w:lineRule="exact"/>
        <w:ind w:left="9780" w:right="-286" w:hanging="10320"/>
        <w:jc w:val="center"/>
        <w:rPr>
          <w:rFonts w:ascii="標楷體" w:eastAsia="標楷體" w:hAnsi="標楷體"/>
        </w:rPr>
      </w:pPr>
    </w:p>
    <w:p w14:paraId="0CB92090" w14:textId="77777777" w:rsidR="00BD776B" w:rsidRDefault="00BD776B">
      <w:pPr>
        <w:snapToGrid w:val="0"/>
        <w:spacing w:line="380" w:lineRule="exact"/>
        <w:ind w:left="9780" w:right="-286" w:hanging="10320"/>
        <w:jc w:val="center"/>
        <w:rPr>
          <w:rFonts w:ascii="標楷體" w:eastAsia="標楷體" w:hAnsi="標楷體"/>
        </w:rPr>
      </w:pPr>
    </w:p>
    <w:p w14:paraId="3522DC1A" w14:textId="77777777" w:rsidR="00BD776B" w:rsidRDefault="00DF0C24">
      <w:pPr>
        <w:snapToGrid w:val="0"/>
        <w:spacing w:line="380" w:lineRule="exact"/>
        <w:ind w:left="9780" w:right="-286" w:hanging="10320"/>
        <w:jc w:val="center"/>
      </w:pPr>
      <w:r>
        <w:rPr>
          <w:rFonts w:ascii="標楷體" w:eastAsia="標楷體" w:hAnsi="標楷體"/>
          <w:noProof/>
        </w:rPr>
        <w:lastRenderedPageBreak/>
        <w:drawing>
          <wp:anchor distT="0" distB="0" distL="114300" distR="114300" simplePos="0" relativeHeight="251667456" behindDoc="0" locked="0" layoutInCell="1" allowOverlap="1" wp14:anchorId="5B5F3105" wp14:editId="6DE862AF">
            <wp:simplePos x="0" y="0"/>
            <wp:positionH relativeFrom="column">
              <wp:posOffset>230501</wp:posOffset>
            </wp:positionH>
            <wp:positionV relativeFrom="paragraph">
              <wp:posOffset>0</wp:posOffset>
            </wp:positionV>
            <wp:extent cx="6263009" cy="9251954"/>
            <wp:effectExtent l="0" t="0" r="4441" b="6346"/>
            <wp:wrapThrough wrapText="bothSides">
              <wp:wrapPolygon edited="0">
                <wp:start x="0" y="0"/>
                <wp:lineTo x="0" y="21570"/>
                <wp:lineTo x="21550" y="21570"/>
                <wp:lineTo x="21550" y="0"/>
                <wp:lineTo x="0" y="0"/>
              </wp:wrapPolygon>
            </wp:wrapThrough>
            <wp:docPr id="11" name="圖片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63009" cy="9251954"/>
                    </a:xfrm>
                    <a:prstGeom prst="rect">
                      <a:avLst/>
                    </a:prstGeom>
                    <a:noFill/>
                    <a:ln>
                      <a:noFill/>
                      <a:prstDash/>
                    </a:ln>
                  </pic:spPr>
                </pic:pic>
              </a:graphicData>
            </a:graphic>
          </wp:anchor>
        </w:drawing>
      </w:r>
    </w:p>
    <w:p w14:paraId="1562963B" w14:textId="08A42EAC" w:rsidR="00BD776B" w:rsidRDefault="00DF0C24">
      <w:pPr>
        <w:pageBreakBefore/>
        <w:snapToGrid w:val="0"/>
        <w:spacing w:line="360" w:lineRule="exact"/>
        <w:jc w:val="center"/>
      </w:pPr>
      <w:r>
        <w:rPr>
          <w:rFonts w:ascii="標楷體" w:eastAsia="標楷體" w:hAnsi="標楷體"/>
          <w:color w:val="000000"/>
        </w:rPr>
        <w:lastRenderedPageBreak/>
        <w:t>附表十六：全民健康保險活動性多關節幼年型慢性關節炎使用</w:t>
      </w:r>
      <w:r w:rsidR="00C606FD">
        <w:rPr>
          <w:rFonts w:ascii="標楷體" w:eastAsia="標楷體" w:hAnsi="標楷體" w:hint="eastAsia"/>
          <w:color w:val="000000"/>
        </w:rPr>
        <w:t>藥品</w:t>
      </w:r>
      <w:r>
        <w:rPr>
          <w:rFonts w:ascii="標楷體" w:eastAsia="標楷體" w:hAnsi="標楷體"/>
          <w:color w:val="000000"/>
        </w:rPr>
        <w:t>申請表</w:t>
      </w:r>
    </w:p>
    <w:tbl>
      <w:tblPr>
        <w:tblW w:w="9112" w:type="dxa"/>
        <w:jc w:val="center"/>
        <w:tblCellMar>
          <w:left w:w="10" w:type="dxa"/>
          <w:right w:w="10" w:type="dxa"/>
        </w:tblCellMar>
        <w:tblLook w:val="0000" w:firstRow="0" w:lastRow="0" w:firstColumn="0" w:lastColumn="0" w:noHBand="0" w:noVBand="0"/>
      </w:tblPr>
      <w:tblGrid>
        <w:gridCol w:w="40"/>
        <w:gridCol w:w="1006"/>
        <w:gridCol w:w="416"/>
        <w:gridCol w:w="900"/>
        <w:gridCol w:w="720"/>
        <w:gridCol w:w="1080"/>
        <w:gridCol w:w="540"/>
        <w:gridCol w:w="1260"/>
        <w:gridCol w:w="1080"/>
        <w:gridCol w:w="2030"/>
        <w:gridCol w:w="40"/>
      </w:tblGrid>
      <w:tr w:rsidR="00BD776B" w14:paraId="3F411A15" w14:textId="77777777">
        <w:trPr>
          <w:jc w:val="center"/>
        </w:trPr>
        <w:tc>
          <w:tcPr>
            <w:tcW w:w="40" w:type="dxa"/>
            <w:shd w:val="clear" w:color="auto" w:fill="auto"/>
            <w:tcMar>
              <w:top w:w="0" w:type="dxa"/>
              <w:left w:w="10" w:type="dxa"/>
              <w:bottom w:w="0" w:type="dxa"/>
              <w:right w:w="10" w:type="dxa"/>
            </w:tcMar>
          </w:tcPr>
          <w:p w14:paraId="022A2589" w14:textId="77777777" w:rsidR="00BD776B" w:rsidRDefault="00BD776B">
            <w:pPr>
              <w:snapToGrid w:val="0"/>
              <w:spacing w:line="240" w:lineRule="exact"/>
              <w:rPr>
                <w:rFonts w:ascii="標楷體" w:eastAsia="標楷體" w:hAnsi="標楷體"/>
              </w:rPr>
            </w:pP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EB2EA" w14:textId="77777777" w:rsidR="00BD776B" w:rsidRDefault="00DF0C24">
            <w:pPr>
              <w:snapToGrid w:val="0"/>
              <w:spacing w:line="240" w:lineRule="exact"/>
            </w:pPr>
            <w:r>
              <w:rPr>
                <w:rFonts w:ascii="標楷體" w:eastAsia="標楷體" w:hAnsi="標楷體" w:cs="標楷體"/>
                <w:color w:val="000000"/>
                <w:sz w:val="20"/>
                <w:szCs w:val="20"/>
              </w:rPr>
              <w:t>醫院代號</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2930D" w14:textId="77777777" w:rsidR="00BD776B" w:rsidRDefault="00BD776B">
            <w:pPr>
              <w:snapToGrid w:val="0"/>
              <w:spacing w:line="240" w:lineRule="exact"/>
              <w:rPr>
                <w:rFonts w:ascii="標楷體" w:eastAsia="標楷體" w:hAnsi="標楷體"/>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0349C" w14:textId="77777777" w:rsidR="00BD776B" w:rsidRDefault="00DF0C24">
            <w:pPr>
              <w:snapToGrid w:val="0"/>
              <w:spacing w:line="240" w:lineRule="exact"/>
            </w:pPr>
            <w:r>
              <w:rPr>
                <w:rFonts w:ascii="標楷體" w:eastAsia="標楷體" w:hAnsi="標楷體" w:cs="標楷體"/>
                <w:color w:val="000000"/>
                <w:sz w:val="20"/>
                <w:szCs w:val="20"/>
              </w:rPr>
              <w:t>醫院名稱</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F2B2D" w14:textId="77777777" w:rsidR="00BD776B" w:rsidRDefault="00BD776B">
            <w:pPr>
              <w:snapToGrid w:val="0"/>
              <w:spacing w:line="240" w:lineRule="exact"/>
              <w:rPr>
                <w:rFonts w:ascii="標楷體" w:eastAsia="標楷體" w:hAnsi="標楷體"/>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82368" w14:textId="77777777" w:rsidR="00BD776B" w:rsidRDefault="00DF0C24">
            <w:pPr>
              <w:snapToGrid w:val="0"/>
              <w:spacing w:line="240" w:lineRule="exact"/>
            </w:pPr>
            <w:r>
              <w:rPr>
                <w:rFonts w:ascii="標楷體" w:eastAsia="標楷體" w:hAnsi="標楷體" w:cs="標楷體"/>
                <w:color w:val="000000"/>
                <w:sz w:val="20"/>
                <w:szCs w:val="20"/>
              </w:rPr>
              <w:t>申請日期</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32040" w14:textId="77777777" w:rsidR="00BD776B" w:rsidRDefault="00BD776B">
            <w:pPr>
              <w:snapToGrid w:val="0"/>
              <w:spacing w:line="24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39E91E6D" w14:textId="77777777" w:rsidR="00BD776B" w:rsidRDefault="00BD776B">
            <w:pPr>
              <w:snapToGrid w:val="0"/>
              <w:spacing w:line="240" w:lineRule="exact"/>
              <w:rPr>
                <w:rFonts w:ascii="標楷體" w:eastAsia="標楷體" w:hAnsi="標楷體"/>
                <w:color w:val="000000"/>
                <w:sz w:val="20"/>
                <w:szCs w:val="20"/>
              </w:rPr>
            </w:pPr>
          </w:p>
        </w:tc>
      </w:tr>
      <w:tr w:rsidR="00BD776B" w14:paraId="6C10F821" w14:textId="77777777">
        <w:trPr>
          <w:jc w:val="center"/>
        </w:trPr>
        <w:tc>
          <w:tcPr>
            <w:tcW w:w="40" w:type="dxa"/>
            <w:shd w:val="clear" w:color="auto" w:fill="auto"/>
            <w:tcMar>
              <w:top w:w="0" w:type="dxa"/>
              <w:left w:w="10" w:type="dxa"/>
              <w:bottom w:w="0" w:type="dxa"/>
              <w:right w:w="10" w:type="dxa"/>
            </w:tcMar>
          </w:tcPr>
          <w:p w14:paraId="3F927357" w14:textId="77777777" w:rsidR="00BD776B" w:rsidRDefault="00BD776B">
            <w:pPr>
              <w:snapToGrid w:val="0"/>
              <w:spacing w:line="240" w:lineRule="exact"/>
              <w:rPr>
                <w:rFonts w:ascii="標楷體" w:eastAsia="標楷體" w:hAnsi="標楷體"/>
              </w:rPr>
            </w:pP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FB708" w14:textId="77777777" w:rsidR="00BD776B" w:rsidRDefault="00DF0C24">
            <w:pPr>
              <w:snapToGrid w:val="0"/>
              <w:spacing w:line="240" w:lineRule="exact"/>
            </w:pPr>
            <w:r>
              <w:rPr>
                <w:rFonts w:ascii="標楷體" w:eastAsia="標楷體" w:hAnsi="標楷體" w:cs="標楷體"/>
                <w:color w:val="000000"/>
                <w:sz w:val="20"/>
                <w:szCs w:val="20"/>
              </w:rPr>
              <w:t>病人姓名</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D935C" w14:textId="77777777" w:rsidR="00BD776B" w:rsidRDefault="00BD776B">
            <w:pPr>
              <w:snapToGrid w:val="0"/>
              <w:spacing w:line="240" w:lineRule="exact"/>
              <w:rPr>
                <w:rFonts w:ascii="標楷體" w:eastAsia="標楷體" w:hAnsi="標楷體"/>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B0829" w14:textId="77777777" w:rsidR="00BD776B" w:rsidRDefault="00DF0C24">
            <w:pPr>
              <w:snapToGrid w:val="0"/>
              <w:spacing w:line="240" w:lineRule="exact"/>
            </w:pPr>
            <w:r>
              <w:rPr>
                <w:rFonts w:ascii="標楷體" w:eastAsia="標楷體" w:hAnsi="標楷體" w:cs="標楷體"/>
                <w:color w:val="000000"/>
                <w:sz w:val="20"/>
                <w:szCs w:val="20"/>
              </w:rPr>
              <w:t>性别</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501A2" w14:textId="77777777" w:rsidR="00BD776B" w:rsidRDefault="00BD776B">
            <w:pPr>
              <w:snapToGrid w:val="0"/>
              <w:spacing w:line="240" w:lineRule="exact"/>
              <w:rPr>
                <w:rFonts w:ascii="標楷體" w:eastAsia="標楷體" w:hAnsi="標楷體"/>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C7DB1" w14:textId="77777777" w:rsidR="00BD776B" w:rsidRDefault="00DF0C24">
            <w:pPr>
              <w:snapToGrid w:val="0"/>
              <w:spacing w:line="240" w:lineRule="exact"/>
            </w:pPr>
            <w:r>
              <w:rPr>
                <w:rFonts w:ascii="標楷體" w:eastAsia="標楷體" w:hAnsi="標楷體" w:cs="標楷體"/>
                <w:color w:val="000000"/>
                <w:sz w:val="20"/>
                <w:szCs w:val="20"/>
              </w:rPr>
              <w:t>出生日期</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EC0F8" w14:textId="77777777" w:rsidR="00BD776B" w:rsidRDefault="00BD776B">
            <w:pPr>
              <w:snapToGrid w:val="0"/>
              <w:spacing w:line="24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744DE9D8" w14:textId="77777777" w:rsidR="00BD776B" w:rsidRDefault="00BD776B">
            <w:pPr>
              <w:snapToGrid w:val="0"/>
              <w:spacing w:line="240" w:lineRule="exact"/>
              <w:rPr>
                <w:rFonts w:ascii="標楷體" w:eastAsia="標楷體" w:hAnsi="標楷體"/>
                <w:color w:val="000000"/>
                <w:sz w:val="20"/>
                <w:szCs w:val="20"/>
              </w:rPr>
            </w:pPr>
          </w:p>
        </w:tc>
      </w:tr>
      <w:tr w:rsidR="00BD776B" w14:paraId="06151774" w14:textId="77777777">
        <w:trPr>
          <w:cantSplit/>
          <w:jc w:val="center"/>
        </w:trPr>
        <w:tc>
          <w:tcPr>
            <w:tcW w:w="40" w:type="dxa"/>
            <w:shd w:val="clear" w:color="auto" w:fill="auto"/>
            <w:tcMar>
              <w:top w:w="0" w:type="dxa"/>
              <w:left w:w="10" w:type="dxa"/>
              <w:bottom w:w="0" w:type="dxa"/>
              <w:right w:w="10" w:type="dxa"/>
            </w:tcMar>
          </w:tcPr>
          <w:p w14:paraId="620C0325" w14:textId="77777777" w:rsidR="00BD776B" w:rsidRDefault="00BD776B">
            <w:pPr>
              <w:snapToGrid w:val="0"/>
              <w:spacing w:line="240" w:lineRule="exact"/>
              <w:rPr>
                <w:rFonts w:ascii="標楷體" w:eastAsia="標楷體" w:hAnsi="標楷體"/>
              </w:rPr>
            </w:pP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E197B5" w14:textId="77777777" w:rsidR="00BD776B" w:rsidRDefault="00DF0C24">
            <w:pPr>
              <w:snapToGrid w:val="0"/>
              <w:spacing w:line="240" w:lineRule="exact"/>
            </w:pPr>
            <w:r>
              <w:rPr>
                <w:rFonts w:ascii="標楷體" w:eastAsia="標楷體" w:hAnsi="標楷體" w:cs="標楷體"/>
                <w:color w:val="000000"/>
                <w:sz w:val="20"/>
                <w:szCs w:val="20"/>
              </w:rPr>
              <w:t>身份證號</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5B87F" w14:textId="77777777" w:rsidR="00BD776B" w:rsidRDefault="00BD776B">
            <w:pPr>
              <w:snapToGrid w:val="0"/>
              <w:spacing w:line="240" w:lineRule="exact"/>
              <w:rPr>
                <w:rFonts w:ascii="標楷體" w:eastAsia="標楷體" w:hAnsi="標楷體"/>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3AD65" w14:textId="77777777" w:rsidR="00BD776B" w:rsidRDefault="00DF0C24">
            <w:pPr>
              <w:snapToGrid w:val="0"/>
              <w:spacing w:line="240" w:lineRule="exact"/>
            </w:pPr>
            <w:r>
              <w:rPr>
                <w:rFonts w:ascii="標楷體" w:eastAsia="標楷體" w:hAnsi="標楷體" w:cs="標楷體"/>
                <w:color w:val="000000"/>
                <w:sz w:val="20"/>
                <w:szCs w:val="20"/>
              </w:rPr>
              <w:t>病歷號碼</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FAA3A" w14:textId="77777777" w:rsidR="00BD776B" w:rsidRDefault="00BD776B">
            <w:pPr>
              <w:snapToGrid w:val="0"/>
              <w:spacing w:line="240" w:lineRule="exact"/>
              <w:rPr>
                <w:rFonts w:ascii="標楷體" w:eastAsia="標楷體" w:hAnsi="標楷體"/>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21ED4" w14:textId="77777777" w:rsidR="00BD776B" w:rsidRDefault="00DF0C24">
            <w:pPr>
              <w:snapToGrid w:val="0"/>
              <w:jc w:val="both"/>
            </w:pPr>
            <w:r>
              <w:rPr>
                <w:rFonts w:ascii="標楷體" w:eastAsia="標楷體" w:hAnsi="標楷體" w:cs="標楷體"/>
                <w:sz w:val="20"/>
                <w:szCs w:val="20"/>
              </w:rPr>
              <w:t>使用期間</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587DA" w14:textId="77777777" w:rsidR="00BD776B" w:rsidRDefault="00DF0C24">
            <w:pPr>
              <w:snapToGrid w:val="0"/>
              <w:spacing w:line="240" w:lineRule="exact"/>
            </w:pPr>
            <w:r>
              <w:rPr>
                <w:rFonts w:ascii="標楷體" w:eastAsia="標楷體" w:hAnsi="標楷體" w:cs="標楷體"/>
                <w:color w:val="000000"/>
                <w:sz w:val="20"/>
                <w:szCs w:val="20"/>
              </w:rPr>
              <w:t>自年月日</w:t>
            </w:r>
          </w:p>
        </w:tc>
        <w:tc>
          <w:tcPr>
            <w:tcW w:w="40" w:type="dxa"/>
            <w:shd w:val="clear" w:color="auto" w:fill="auto"/>
            <w:tcMar>
              <w:top w:w="0" w:type="dxa"/>
              <w:left w:w="10" w:type="dxa"/>
              <w:bottom w:w="0" w:type="dxa"/>
              <w:right w:w="10" w:type="dxa"/>
            </w:tcMar>
          </w:tcPr>
          <w:p w14:paraId="6D69920E" w14:textId="77777777" w:rsidR="00BD776B" w:rsidRDefault="00BD776B">
            <w:pPr>
              <w:snapToGrid w:val="0"/>
              <w:spacing w:line="240" w:lineRule="exact"/>
              <w:rPr>
                <w:rFonts w:ascii="標楷體" w:eastAsia="標楷體" w:hAnsi="標楷體"/>
              </w:rPr>
            </w:pPr>
          </w:p>
        </w:tc>
      </w:tr>
      <w:tr w:rsidR="00BD776B" w14:paraId="2D3F4947" w14:textId="77777777">
        <w:trPr>
          <w:cantSplit/>
          <w:jc w:val="center"/>
        </w:trPr>
        <w:tc>
          <w:tcPr>
            <w:tcW w:w="40" w:type="dxa"/>
            <w:shd w:val="clear" w:color="auto" w:fill="auto"/>
            <w:tcMar>
              <w:top w:w="0" w:type="dxa"/>
              <w:left w:w="10" w:type="dxa"/>
              <w:bottom w:w="0" w:type="dxa"/>
              <w:right w:w="10" w:type="dxa"/>
            </w:tcMar>
          </w:tcPr>
          <w:p w14:paraId="7231740F" w14:textId="77777777" w:rsidR="00BD776B" w:rsidRDefault="00BD776B">
            <w:pPr>
              <w:snapToGrid w:val="0"/>
              <w:spacing w:line="240" w:lineRule="exact"/>
              <w:rPr>
                <w:rFonts w:ascii="標楷體" w:eastAsia="標楷體" w:hAnsi="標楷體"/>
              </w:rPr>
            </w:pP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E691E" w14:textId="77777777" w:rsidR="00BD776B" w:rsidRDefault="00DF0C24">
            <w:pPr>
              <w:snapToGrid w:val="0"/>
              <w:spacing w:line="240" w:lineRule="exact"/>
            </w:pPr>
            <w:r>
              <w:rPr>
                <w:rFonts w:ascii="標楷體" w:eastAsia="標楷體" w:hAnsi="標楷體" w:cs="標楷體"/>
                <w:color w:val="000000"/>
                <w:sz w:val="20"/>
                <w:szCs w:val="20"/>
              </w:rPr>
              <w:t>藥品代碼</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A5E6" w14:textId="77777777" w:rsidR="00BD776B" w:rsidRDefault="00BD776B">
            <w:pPr>
              <w:snapToGrid w:val="0"/>
              <w:spacing w:line="240" w:lineRule="exact"/>
              <w:rPr>
                <w:rFonts w:ascii="標楷體" w:eastAsia="標楷體" w:hAnsi="標楷體"/>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04818" w14:textId="77777777" w:rsidR="00BD776B" w:rsidRDefault="00DF0C24">
            <w:pPr>
              <w:snapToGrid w:val="0"/>
              <w:spacing w:line="240" w:lineRule="exact"/>
            </w:pPr>
            <w:r>
              <w:rPr>
                <w:rFonts w:ascii="標楷體" w:eastAsia="標楷體" w:hAnsi="標楷體" w:cs="標楷體"/>
                <w:color w:val="000000"/>
                <w:sz w:val="20"/>
                <w:szCs w:val="20"/>
              </w:rPr>
              <w:t>用法用量</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A649D" w14:textId="77777777" w:rsidR="00BD776B" w:rsidRDefault="00BD776B">
            <w:pPr>
              <w:snapToGrid w:val="0"/>
              <w:spacing w:line="240" w:lineRule="exact"/>
              <w:rPr>
                <w:rFonts w:ascii="標楷體" w:eastAsia="標楷體" w:hAnsi="標楷體"/>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28EBC" w14:textId="77777777" w:rsidR="00BD776B" w:rsidRDefault="00BD776B">
            <w:pPr>
              <w:snapToGrid w:val="0"/>
              <w:spacing w:line="240" w:lineRule="exact"/>
              <w:rPr>
                <w:rFonts w:ascii="標楷體" w:eastAsia="標楷體" w:hAnsi="標楷體"/>
                <w:color w:val="000000"/>
                <w:sz w:val="20"/>
                <w:szCs w:val="20"/>
              </w:rPr>
            </w:pP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ABFE0" w14:textId="77777777" w:rsidR="00BD776B" w:rsidRDefault="00DF0C24">
            <w:pPr>
              <w:snapToGrid w:val="0"/>
              <w:spacing w:line="240" w:lineRule="exact"/>
            </w:pPr>
            <w:r>
              <w:rPr>
                <w:rFonts w:ascii="標楷體" w:eastAsia="標楷體" w:hAnsi="標楷體" w:cs="標楷體"/>
                <w:color w:val="000000"/>
                <w:sz w:val="20"/>
                <w:szCs w:val="20"/>
              </w:rPr>
              <w:t>至年月日</w:t>
            </w:r>
          </w:p>
        </w:tc>
        <w:tc>
          <w:tcPr>
            <w:tcW w:w="40" w:type="dxa"/>
            <w:shd w:val="clear" w:color="auto" w:fill="auto"/>
            <w:tcMar>
              <w:top w:w="0" w:type="dxa"/>
              <w:left w:w="10" w:type="dxa"/>
              <w:bottom w:w="0" w:type="dxa"/>
              <w:right w:w="10" w:type="dxa"/>
            </w:tcMar>
          </w:tcPr>
          <w:p w14:paraId="20EFDEB3" w14:textId="77777777" w:rsidR="00BD776B" w:rsidRDefault="00BD776B">
            <w:pPr>
              <w:snapToGrid w:val="0"/>
              <w:spacing w:line="240" w:lineRule="exact"/>
              <w:rPr>
                <w:rFonts w:ascii="標楷體" w:eastAsia="標楷體" w:hAnsi="標楷體"/>
              </w:rPr>
            </w:pPr>
          </w:p>
        </w:tc>
      </w:tr>
      <w:tr w:rsidR="00BD776B" w14:paraId="1BEA8EE7" w14:textId="77777777">
        <w:trPr>
          <w:cantSplit/>
          <w:trHeight w:val="2664"/>
          <w:jc w:val="center"/>
        </w:trPr>
        <w:tc>
          <w:tcPr>
            <w:tcW w:w="40" w:type="dxa"/>
            <w:shd w:val="clear" w:color="auto" w:fill="auto"/>
            <w:tcMar>
              <w:top w:w="0" w:type="dxa"/>
              <w:left w:w="10" w:type="dxa"/>
              <w:bottom w:w="0" w:type="dxa"/>
              <w:right w:w="10" w:type="dxa"/>
            </w:tcMar>
          </w:tcPr>
          <w:p w14:paraId="6FEAF0DF" w14:textId="77777777" w:rsidR="00BD776B" w:rsidRDefault="00BD776B">
            <w:pPr>
              <w:snapToGrid w:val="0"/>
              <w:rPr>
                <w:rFonts w:ascii="標楷體" w:eastAsia="標楷體" w:hAnsi="標楷體"/>
              </w:rPr>
            </w:pPr>
          </w:p>
        </w:tc>
        <w:tc>
          <w:tcPr>
            <w:tcW w:w="903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7912D" w14:textId="77777777" w:rsidR="00BD776B" w:rsidRDefault="00DF0C24" w:rsidP="008A7063">
            <w:pPr>
              <w:numPr>
                <w:ilvl w:val="0"/>
                <w:numId w:val="77"/>
              </w:numPr>
              <w:snapToGrid w:val="0"/>
            </w:pPr>
            <w:r>
              <w:rPr>
                <w:rFonts w:ascii="標楷體" w:eastAsia="標楷體" w:hAnsi="標楷體" w:cs="標楷體"/>
                <w:color w:val="000000"/>
              </w:rPr>
              <w:t>符合活動性多關節幼年型慢性關節炎之診斷：</w:t>
            </w:r>
          </w:p>
          <w:p w14:paraId="3FF9300F" w14:textId="77777777" w:rsidR="00BD776B" w:rsidRDefault="00DF0C24">
            <w:pPr>
              <w:autoSpaceDE w:val="0"/>
              <w:snapToGrid w:val="0"/>
              <w:ind w:left="360"/>
              <w:jc w:val="both"/>
            </w:pPr>
            <w:r>
              <w:rPr>
                <w:rFonts w:ascii="標楷體" w:eastAsia="標楷體" w:hAnsi="標楷體" w:cs="標楷體"/>
                <w:color w:val="000000"/>
              </w:rPr>
              <w:t>□</w:t>
            </w:r>
            <w:r>
              <w:rPr>
                <w:rFonts w:ascii="標楷體" w:eastAsia="標楷體" w:hAnsi="標楷體"/>
                <w:color w:val="000000"/>
              </w:rPr>
              <w:t>1.</w:t>
            </w:r>
            <w:r>
              <w:rPr>
                <w:rFonts w:ascii="標楷體" w:eastAsia="標楷體" w:hAnsi="標楷體" w:cs="標楷體"/>
                <w:color w:val="000000"/>
              </w:rPr>
              <w:t>全身性</w:t>
            </w:r>
            <w:r>
              <w:rPr>
                <w:rFonts w:ascii="標楷體" w:eastAsia="標楷體" w:hAnsi="標楷體"/>
                <w:color w:val="000000"/>
              </w:rPr>
              <w:t>(systemic)</w:t>
            </w:r>
          </w:p>
          <w:p w14:paraId="55B57894" w14:textId="77777777" w:rsidR="00BD776B" w:rsidRDefault="00DF0C24">
            <w:pPr>
              <w:autoSpaceDE w:val="0"/>
              <w:snapToGrid w:val="0"/>
              <w:ind w:left="360"/>
              <w:jc w:val="both"/>
            </w:pPr>
            <w:r>
              <w:rPr>
                <w:rFonts w:ascii="標楷體" w:eastAsia="標楷體" w:hAnsi="標楷體" w:cs="標楷體"/>
                <w:color w:val="000000"/>
              </w:rPr>
              <w:t>□</w:t>
            </w:r>
            <w:r>
              <w:rPr>
                <w:rFonts w:ascii="標楷體" w:eastAsia="標楷體" w:hAnsi="標楷體"/>
                <w:color w:val="000000"/>
              </w:rPr>
              <w:t>2.</w:t>
            </w:r>
            <w:r>
              <w:rPr>
                <w:rFonts w:ascii="標楷體" w:eastAsia="標楷體" w:hAnsi="標楷體" w:cs="標楷體"/>
                <w:color w:val="000000"/>
              </w:rPr>
              <w:t>多發性關節</w:t>
            </w:r>
            <w:r>
              <w:rPr>
                <w:rFonts w:ascii="標楷體" w:eastAsia="標楷體" w:hAnsi="標楷體"/>
                <w:color w:val="000000"/>
              </w:rPr>
              <w:t>炎(polyarticular)(</w:t>
            </w:r>
            <w:r>
              <w:rPr>
                <w:rFonts w:ascii="標楷體" w:eastAsia="標楷體" w:hAnsi="標楷體" w:cs="標楷體"/>
                <w:color w:val="000000"/>
              </w:rPr>
              <w:t>類風濕性因子陽性或陰性者皆可)</w:t>
            </w:r>
          </w:p>
          <w:p w14:paraId="2DDFAA65" w14:textId="77777777" w:rsidR="00BD776B" w:rsidRDefault="00DF0C24">
            <w:pPr>
              <w:autoSpaceDE w:val="0"/>
              <w:snapToGrid w:val="0"/>
              <w:ind w:left="360"/>
              <w:jc w:val="both"/>
            </w:pPr>
            <w:r>
              <w:rPr>
                <w:rFonts w:ascii="標楷體" w:eastAsia="標楷體" w:hAnsi="標楷體" w:cs="標楷體"/>
                <w:color w:val="000000"/>
              </w:rPr>
              <w:t>□</w:t>
            </w:r>
            <w:r>
              <w:rPr>
                <w:rFonts w:ascii="標楷體" w:eastAsia="標楷體" w:hAnsi="標楷體"/>
                <w:color w:val="000000"/>
              </w:rPr>
              <w:t>3.</w:t>
            </w:r>
            <w:r>
              <w:rPr>
                <w:rFonts w:ascii="標楷體" w:eastAsia="標楷體" w:hAnsi="標楷體" w:cs="標楷體"/>
                <w:color w:val="000000"/>
              </w:rPr>
              <w:t>擴散型的嚴</w:t>
            </w:r>
            <w:r>
              <w:rPr>
                <w:rFonts w:ascii="標楷體" w:eastAsia="標楷體" w:hAnsi="標楷體"/>
                <w:color w:val="000000"/>
              </w:rPr>
              <w:t>重少數關節炎(extendedoligoarticular)</w:t>
            </w:r>
          </w:p>
          <w:p w14:paraId="7898BC5B" w14:textId="77777777" w:rsidR="00BD776B" w:rsidRDefault="00DF0C24">
            <w:pPr>
              <w:autoSpaceDE w:val="0"/>
              <w:snapToGrid w:val="0"/>
              <w:ind w:left="360"/>
              <w:jc w:val="both"/>
              <w:rPr>
                <w:rFonts w:ascii="標楷體" w:eastAsia="標楷體" w:hAnsi="標楷體"/>
                <w:color w:val="000000"/>
              </w:rPr>
            </w:pPr>
            <w:r>
              <w:rPr>
                <w:rFonts w:ascii="標楷體" w:eastAsia="標楷體" w:hAnsi="標楷體"/>
                <w:color w:val="000000"/>
              </w:rPr>
              <w:t>診斷條件：(請列出符合之臨床、血液及X光條件)</w:t>
            </w:r>
          </w:p>
        </w:tc>
        <w:tc>
          <w:tcPr>
            <w:tcW w:w="40" w:type="dxa"/>
            <w:shd w:val="clear" w:color="auto" w:fill="auto"/>
            <w:tcMar>
              <w:top w:w="0" w:type="dxa"/>
              <w:left w:w="10" w:type="dxa"/>
              <w:bottom w:w="0" w:type="dxa"/>
              <w:right w:w="10" w:type="dxa"/>
            </w:tcMar>
          </w:tcPr>
          <w:p w14:paraId="167EDCD5" w14:textId="77777777" w:rsidR="00BD776B" w:rsidRDefault="00BD776B">
            <w:pPr>
              <w:autoSpaceDE w:val="0"/>
              <w:snapToGrid w:val="0"/>
              <w:ind w:left="360"/>
              <w:jc w:val="both"/>
              <w:rPr>
                <w:rFonts w:ascii="標楷體" w:eastAsia="標楷體" w:hAnsi="標楷體"/>
                <w:color w:val="000000"/>
              </w:rPr>
            </w:pPr>
          </w:p>
        </w:tc>
      </w:tr>
      <w:tr w:rsidR="00BD776B" w14:paraId="7F7B366A" w14:textId="77777777">
        <w:trPr>
          <w:cantSplit/>
          <w:jc w:val="center"/>
        </w:trPr>
        <w:tc>
          <w:tcPr>
            <w:tcW w:w="40" w:type="dxa"/>
            <w:shd w:val="clear" w:color="auto" w:fill="auto"/>
            <w:tcMar>
              <w:top w:w="0" w:type="dxa"/>
              <w:left w:w="10" w:type="dxa"/>
              <w:bottom w:w="0" w:type="dxa"/>
              <w:right w:w="10" w:type="dxa"/>
            </w:tcMar>
          </w:tcPr>
          <w:p w14:paraId="1078FE40" w14:textId="77777777" w:rsidR="00BD776B" w:rsidRDefault="00BD776B">
            <w:pPr>
              <w:snapToGrid w:val="0"/>
              <w:rPr>
                <w:rFonts w:ascii="標楷體" w:eastAsia="標楷體" w:hAnsi="標楷體"/>
              </w:rPr>
            </w:pPr>
          </w:p>
        </w:tc>
        <w:tc>
          <w:tcPr>
            <w:tcW w:w="903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E97EC" w14:textId="77777777" w:rsidR="00BD776B" w:rsidRDefault="00DF0C24">
            <w:pPr>
              <w:snapToGrid w:val="0"/>
            </w:pPr>
            <w:r>
              <w:rPr>
                <w:rFonts w:ascii="標楷體" w:eastAsia="標楷體" w:hAnsi="標楷體" w:cs="標楷體"/>
                <w:color w:val="000000"/>
              </w:rPr>
              <w:t>符合活動性多關節炎標準</w:t>
            </w:r>
            <w:r>
              <w:rPr>
                <w:rFonts w:ascii="標楷體" w:eastAsia="標楷體" w:hAnsi="標楷體" w:cs="標楷體"/>
                <w:color w:val="000000"/>
                <w:sz w:val="20"/>
                <w:szCs w:val="20"/>
              </w:rPr>
              <w:t>（請附治療前後關節腫脹之相關照片或關節X光檢查報告）</w:t>
            </w:r>
          </w:p>
        </w:tc>
        <w:tc>
          <w:tcPr>
            <w:tcW w:w="40" w:type="dxa"/>
            <w:shd w:val="clear" w:color="auto" w:fill="auto"/>
            <w:tcMar>
              <w:top w:w="0" w:type="dxa"/>
              <w:left w:w="10" w:type="dxa"/>
              <w:bottom w:w="0" w:type="dxa"/>
              <w:right w:w="10" w:type="dxa"/>
            </w:tcMar>
          </w:tcPr>
          <w:p w14:paraId="06D6F4D5" w14:textId="77777777" w:rsidR="00BD776B" w:rsidRDefault="00BD776B">
            <w:pPr>
              <w:snapToGrid w:val="0"/>
              <w:rPr>
                <w:rFonts w:ascii="標楷體" w:eastAsia="標楷體" w:hAnsi="標楷體"/>
              </w:rPr>
            </w:pPr>
          </w:p>
        </w:tc>
      </w:tr>
      <w:tr w:rsidR="00BD776B" w14:paraId="3580E5FE" w14:textId="77777777">
        <w:trPr>
          <w:trHeight w:val="315"/>
          <w:jc w:val="center"/>
        </w:trPr>
        <w:tc>
          <w:tcPr>
            <w:tcW w:w="40" w:type="dxa"/>
            <w:shd w:val="clear" w:color="auto" w:fill="auto"/>
            <w:tcMar>
              <w:top w:w="0" w:type="dxa"/>
              <w:left w:w="10" w:type="dxa"/>
              <w:bottom w:w="0" w:type="dxa"/>
              <w:right w:w="10" w:type="dxa"/>
            </w:tcMar>
          </w:tcPr>
          <w:p w14:paraId="34E372B3" w14:textId="77777777" w:rsidR="00BD776B" w:rsidRDefault="00BD776B">
            <w:pPr>
              <w:snapToGrid w:val="0"/>
              <w:rPr>
                <w:rFonts w:ascii="標楷體" w:eastAsia="標楷體" w:hAnsi="標楷體"/>
                <w:color w:val="000000"/>
                <w:sz w:val="20"/>
                <w:szCs w:val="20"/>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40FFA" w14:textId="77777777" w:rsidR="00BD776B" w:rsidRDefault="00BD776B">
            <w:pPr>
              <w:snapToGrid w:val="0"/>
              <w:rPr>
                <w:rFonts w:ascii="標楷體" w:eastAsia="標楷體" w:hAnsi="標楷體"/>
                <w:color w:val="000000"/>
                <w:sz w:val="20"/>
                <w:szCs w:val="20"/>
              </w:rPr>
            </w:pP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A038" w14:textId="77777777" w:rsidR="00BD776B" w:rsidRDefault="00DF0C24">
            <w:pPr>
              <w:snapToGrid w:val="0"/>
            </w:pPr>
            <w:r>
              <w:rPr>
                <w:rFonts w:ascii="標楷體" w:eastAsia="標楷體" w:hAnsi="標楷體" w:cs="標楷體"/>
                <w:color w:val="000000"/>
                <w:sz w:val="20"/>
                <w:szCs w:val="20"/>
              </w:rPr>
              <w:t>評估時間____年____月____日</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0593D" w14:textId="77777777" w:rsidR="00BD776B" w:rsidRDefault="00DF0C24">
            <w:pPr>
              <w:snapToGrid w:val="0"/>
            </w:pPr>
            <w:r>
              <w:rPr>
                <w:rFonts w:ascii="標楷體" w:eastAsia="標楷體" w:hAnsi="標楷體" w:cs="標楷體"/>
                <w:color w:val="000000"/>
                <w:sz w:val="20"/>
                <w:szCs w:val="20"/>
              </w:rPr>
              <w:t>評估時間____年____月____日</w:t>
            </w:r>
          </w:p>
        </w:tc>
        <w:tc>
          <w:tcPr>
            <w:tcW w:w="40" w:type="dxa"/>
            <w:shd w:val="clear" w:color="auto" w:fill="auto"/>
            <w:tcMar>
              <w:top w:w="0" w:type="dxa"/>
              <w:left w:w="10" w:type="dxa"/>
              <w:bottom w:w="0" w:type="dxa"/>
              <w:right w:w="10" w:type="dxa"/>
            </w:tcMar>
          </w:tcPr>
          <w:p w14:paraId="011C4B49" w14:textId="77777777" w:rsidR="00BD776B" w:rsidRDefault="00BD776B">
            <w:pPr>
              <w:snapToGrid w:val="0"/>
              <w:rPr>
                <w:rFonts w:ascii="標楷體" w:eastAsia="標楷體" w:hAnsi="標楷體"/>
              </w:rPr>
            </w:pPr>
          </w:p>
        </w:tc>
      </w:tr>
      <w:tr w:rsidR="00BD776B" w14:paraId="200A218E" w14:textId="77777777">
        <w:trPr>
          <w:cantSplit/>
          <w:trHeight w:val="1380"/>
          <w:jc w:val="center"/>
        </w:trPr>
        <w:tc>
          <w:tcPr>
            <w:tcW w:w="40" w:type="dxa"/>
            <w:shd w:val="clear" w:color="auto" w:fill="auto"/>
            <w:tcMar>
              <w:top w:w="0" w:type="dxa"/>
              <w:left w:w="10" w:type="dxa"/>
              <w:bottom w:w="0" w:type="dxa"/>
              <w:right w:w="10" w:type="dxa"/>
            </w:tcMar>
          </w:tcPr>
          <w:p w14:paraId="2D041D23"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EA12F" w14:textId="77777777" w:rsidR="00BD776B" w:rsidRDefault="00DF0C24">
            <w:pPr>
              <w:snapToGrid w:val="0"/>
              <w:spacing w:line="320" w:lineRule="exact"/>
            </w:pPr>
            <w:r>
              <w:rPr>
                <w:rFonts w:ascii="標楷體" w:eastAsia="標楷體" w:hAnsi="標楷體" w:cs="標楷體"/>
                <w:color w:val="000000"/>
              </w:rPr>
              <w:t>腫脹關節</w:t>
            </w:r>
          </w:p>
          <w:p w14:paraId="24DA36E8" w14:textId="77777777" w:rsidR="00BD776B" w:rsidRDefault="00BD776B">
            <w:pPr>
              <w:snapToGrid w:val="0"/>
              <w:spacing w:line="320" w:lineRule="exact"/>
              <w:rPr>
                <w:rFonts w:ascii="標楷體" w:eastAsia="標楷體" w:hAnsi="標楷體"/>
                <w:color w:val="000000"/>
              </w:rPr>
            </w:pPr>
          </w:p>
          <w:p w14:paraId="627929E9" w14:textId="77777777" w:rsidR="00BD776B" w:rsidRDefault="00BD776B">
            <w:pPr>
              <w:snapToGrid w:val="0"/>
              <w:spacing w:line="320" w:lineRule="exact"/>
              <w:rPr>
                <w:rFonts w:ascii="標楷體" w:eastAsia="標楷體" w:hAnsi="標楷體"/>
                <w:color w:val="000000"/>
              </w:rPr>
            </w:pPr>
          </w:p>
          <w:p w14:paraId="5D49C25C" w14:textId="77777777" w:rsidR="00BD776B" w:rsidRDefault="00BD776B">
            <w:pPr>
              <w:snapToGrid w:val="0"/>
              <w:spacing w:line="320" w:lineRule="exact"/>
              <w:rPr>
                <w:rFonts w:ascii="標楷體" w:eastAsia="標楷體" w:hAnsi="標楷體"/>
                <w:color w:val="000000"/>
              </w:rPr>
            </w:pPr>
          </w:p>
          <w:p w14:paraId="71B220C8" w14:textId="77777777" w:rsidR="00BD776B" w:rsidRDefault="00BD776B">
            <w:pPr>
              <w:snapToGrid w:val="0"/>
              <w:spacing w:line="320" w:lineRule="exact"/>
              <w:rPr>
                <w:rFonts w:ascii="標楷體" w:eastAsia="標楷體" w:hAnsi="標楷體"/>
                <w:color w:val="000000"/>
              </w:rPr>
            </w:pP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07EEF" w14:textId="77777777" w:rsidR="00BD776B" w:rsidRDefault="00DF0C24">
            <w:pPr>
              <w:snapToGrid w:val="0"/>
              <w:spacing w:line="320" w:lineRule="exact"/>
            </w:pPr>
            <w:r>
              <w:rPr>
                <w:rFonts w:ascii="標楷體" w:eastAsia="標楷體" w:hAnsi="標楷體" w:cs="標楷體"/>
                <w:color w:val="000000"/>
              </w:rPr>
              <w:t>請詳列關節於下</w:t>
            </w:r>
          </w:p>
          <w:p w14:paraId="7D326E69" w14:textId="77777777" w:rsidR="00BD776B" w:rsidRDefault="00BD776B">
            <w:pPr>
              <w:snapToGrid w:val="0"/>
              <w:spacing w:line="320" w:lineRule="exact"/>
              <w:rPr>
                <w:rFonts w:ascii="標楷體" w:eastAsia="標楷體" w:hAnsi="標楷體"/>
                <w:color w:val="000000"/>
              </w:rPr>
            </w:pPr>
          </w:p>
          <w:p w14:paraId="12C2BF50" w14:textId="77777777" w:rsidR="00BD776B" w:rsidRDefault="00BD776B">
            <w:pPr>
              <w:snapToGrid w:val="0"/>
              <w:spacing w:line="320" w:lineRule="exact"/>
              <w:rPr>
                <w:rFonts w:ascii="標楷體" w:eastAsia="標楷體" w:hAnsi="標楷體"/>
                <w:color w:val="000000"/>
              </w:rPr>
            </w:pPr>
          </w:p>
          <w:p w14:paraId="54321BA1" w14:textId="77777777" w:rsidR="00BD776B" w:rsidRDefault="00BD776B">
            <w:pPr>
              <w:snapToGrid w:val="0"/>
              <w:spacing w:line="320" w:lineRule="exact"/>
              <w:rPr>
                <w:rFonts w:ascii="標楷體" w:eastAsia="標楷體" w:hAnsi="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D8D7" w14:textId="77777777" w:rsidR="00BD776B" w:rsidRDefault="00DF0C24">
            <w:pPr>
              <w:snapToGrid w:val="0"/>
              <w:spacing w:line="320" w:lineRule="exact"/>
            </w:pPr>
            <w:r>
              <w:rPr>
                <w:rFonts w:ascii="標楷體" w:eastAsia="標楷體" w:hAnsi="標楷體" w:cs="標楷體"/>
                <w:color w:val="000000"/>
              </w:rPr>
              <w:t>請詳列關節於下</w:t>
            </w:r>
          </w:p>
          <w:p w14:paraId="353D726B" w14:textId="77777777" w:rsidR="00BD776B" w:rsidRDefault="00BD776B">
            <w:pPr>
              <w:snapToGrid w:val="0"/>
              <w:spacing w:line="320" w:lineRule="exact"/>
              <w:rPr>
                <w:rFonts w:ascii="標楷體" w:eastAsia="標楷體" w:hAnsi="標楷體"/>
                <w:color w:val="000000"/>
              </w:rPr>
            </w:pPr>
          </w:p>
          <w:p w14:paraId="115B4333" w14:textId="77777777" w:rsidR="00BD776B" w:rsidRDefault="00BD776B">
            <w:pPr>
              <w:snapToGrid w:val="0"/>
              <w:spacing w:line="320" w:lineRule="exact"/>
              <w:rPr>
                <w:rFonts w:ascii="標楷體" w:eastAsia="標楷體" w:hAnsi="標楷體"/>
                <w:color w:val="000000"/>
              </w:rPr>
            </w:pPr>
          </w:p>
          <w:p w14:paraId="752DA436" w14:textId="77777777" w:rsidR="00BD776B" w:rsidRDefault="00BD776B">
            <w:pPr>
              <w:snapToGrid w:val="0"/>
              <w:spacing w:line="32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73019DA8" w14:textId="77777777" w:rsidR="00BD776B" w:rsidRDefault="00BD776B">
            <w:pPr>
              <w:snapToGrid w:val="0"/>
              <w:spacing w:line="320" w:lineRule="exact"/>
              <w:rPr>
                <w:rFonts w:ascii="標楷體" w:eastAsia="標楷體" w:hAnsi="標楷體"/>
                <w:color w:val="000000"/>
              </w:rPr>
            </w:pPr>
          </w:p>
        </w:tc>
      </w:tr>
      <w:tr w:rsidR="00BD776B" w14:paraId="4054D904" w14:textId="77777777">
        <w:trPr>
          <w:cantSplit/>
          <w:trHeight w:val="1346"/>
          <w:jc w:val="center"/>
        </w:trPr>
        <w:tc>
          <w:tcPr>
            <w:tcW w:w="40" w:type="dxa"/>
            <w:shd w:val="clear" w:color="auto" w:fill="auto"/>
            <w:tcMar>
              <w:top w:w="0" w:type="dxa"/>
              <w:left w:w="10" w:type="dxa"/>
              <w:bottom w:w="0" w:type="dxa"/>
              <w:right w:w="10" w:type="dxa"/>
            </w:tcMar>
          </w:tcPr>
          <w:p w14:paraId="3FB6113D"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02408" w14:textId="77777777" w:rsidR="00BD776B" w:rsidRDefault="00DF0C24">
            <w:pPr>
              <w:snapToGrid w:val="0"/>
              <w:spacing w:line="320" w:lineRule="exact"/>
            </w:pPr>
            <w:r>
              <w:rPr>
                <w:rFonts w:ascii="標楷體" w:eastAsia="標楷體" w:hAnsi="標楷體" w:cs="標楷體"/>
                <w:color w:val="000000"/>
              </w:rPr>
              <w:t>疼痛或壓痛關節</w:t>
            </w:r>
          </w:p>
          <w:p w14:paraId="54331CB3" w14:textId="77777777" w:rsidR="00BD776B" w:rsidRDefault="00BD776B">
            <w:pPr>
              <w:snapToGrid w:val="0"/>
              <w:spacing w:line="320" w:lineRule="exact"/>
              <w:rPr>
                <w:rFonts w:ascii="標楷體" w:eastAsia="標楷體" w:hAnsi="標楷體"/>
                <w:color w:val="000000"/>
              </w:rPr>
            </w:pPr>
          </w:p>
          <w:p w14:paraId="47E0D80B" w14:textId="77777777" w:rsidR="00BD776B" w:rsidRDefault="00BD776B">
            <w:pPr>
              <w:snapToGrid w:val="0"/>
              <w:spacing w:line="320" w:lineRule="exact"/>
              <w:rPr>
                <w:rFonts w:ascii="標楷體" w:eastAsia="標楷體" w:hAnsi="標楷體"/>
                <w:color w:val="000000"/>
              </w:rPr>
            </w:pPr>
          </w:p>
          <w:p w14:paraId="17CCEFBF" w14:textId="77777777" w:rsidR="00BD776B" w:rsidRDefault="00BD776B">
            <w:pPr>
              <w:snapToGrid w:val="0"/>
              <w:spacing w:line="320" w:lineRule="exact"/>
              <w:rPr>
                <w:rFonts w:ascii="標楷體" w:eastAsia="標楷體" w:hAnsi="標楷體"/>
                <w:color w:val="000000"/>
              </w:rPr>
            </w:pPr>
          </w:p>
          <w:p w14:paraId="2C162C62" w14:textId="77777777" w:rsidR="00BD776B" w:rsidRDefault="00BD776B">
            <w:pPr>
              <w:snapToGrid w:val="0"/>
              <w:spacing w:line="320" w:lineRule="exact"/>
              <w:rPr>
                <w:rFonts w:ascii="標楷體" w:eastAsia="標楷體" w:hAnsi="標楷體"/>
                <w:color w:val="000000"/>
              </w:rPr>
            </w:pP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175B4" w14:textId="77777777" w:rsidR="00BD776B" w:rsidRDefault="00DF0C24">
            <w:pPr>
              <w:snapToGrid w:val="0"/>
              <w:spacing w:line="320" w:lineRule="exact"/>
            </w:pPr>
            <w:r>
              <w:rPr>
                <w:rFonts w:ascii="標楷體" w:eastAsia="標楷體" w:hAnsi="標楷體" w:cs="標楷體"/>
                <w:color w:val="000000"/>
              </w:rPr>
              <w:t>請詳列關節於下</w:t>
            </w:r>
          </w:p>
          <w:p w14:paraId="57FD6CE1" w14:textId="77777777" w:rsidR="00BD776B" w:rsidRDefault="00BD776B">
            <w:pPr>
              <w:snapToGrid w:val="0"/>
              <w:spacing w:line="320" w:lineRule="exact"/>
              <w:rPr>
                <w:rFonts w:ascii="標楷體" w:eastAsia="標楷體" w:hAnsi="標楷體"/>
                <w:color w:val="000000"/>
              </w:rPr>
            </w:pPr>
          </w:p>
          <w:p w14:paraId="3046E28F" w14:textId="77777777" w:rsidR="00BD776B" w:rsidRDefault="00BD776B">
            <w:pPr>
              <w:snapToGrid w:val="0"/>
              <w:spacing w:line="320" w:lineRule="exact"/>
              <w:rPr>
                <w:rFonts w:ascii="標楷體" w:eastAsia="標楷體" w:hAnsi="標楷體"/>
                <w:color w:val="000000"/>
              </w:rPr>
            </w:pPr>
          </w:p>
          <w:p w14:paraId="2A6E543A" w14:textId="77777777" w:rsidR="00BD776B" w:rsidRDefault="00BD776B">
            <w:pPr>
              <w:snapToGrid w:val="0"/>
              <w:spacing w:line="320" w:lineRule="exact"/>
              <w:rPr>
                <w:rFonts w:ascii="標楷體" w:eastAsia="標楷體" w:hAnsi="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20B76" w14:textId="77777777" w:rsidR="00BD776B" w:rsidRDefault="00DF0C24">
            <w:pPr>
              <w:snapToGrid w:val="0"/>
              <w:spacing w:line="320" w:lineRule="exact"/>
            </w:pPr>
            <w:r>
              <w:rPr>
                <w:rFonts w:ascii="標楷體" w:eastAsia="標楷體" w:hAnsi="標楷體" w:cs="標楷體"/>
                <w:color w:val="000000"/>
              </w:rPr>
              <w:t>請詳列關節於下</w:t>
            </w:r>
          </w:p>
          <w:p w14:paraId="149E9845" w14:textId="77777777" w:rsidR="00BD776B" w:rsidRDefault="00BD776B">
            <w:pPr>
              <w:snapToGrid w:val="0"/>
              <w:spacing w:line="320" w:lineRule="exact"/>
              <w:rPr>
                <w:rFonts w:ascii="標楷體" w:eastAsia="標楷體" w:hAnsi="標楷體"/>
                <w:color w:val="000000"/>
              </w:rPr>
            </w:pPr>
          </w:p>
          <w:p w14:paraId="23443FD9" w14:textId="77777777" w:rsidR="00BD776B" w:rsidRDefault="00BD776B">
            <w:pPr>
              <w:snapToGrid w:val="0"/>
              <w:spacing w:line="320" w:lineRule="exact"/>
              <w:rPr>
                <w:rFonts w:ascii="標楷體" w:eastAsia="標楷體" w:hAnsi="標楷體"/>
                <w:color w:val="000000"/>
              </w:rPr>
            </w:pPr>
          </w:p>
          <w:p w14:paraId="0C5224D4" w14:textId="77777777" w:rsidR="00BD776B" w:rsidRDefault="00BD776B">
            <w:pPr>
              <w:snapToGrid w:val="0"/>
              <w:spacing w:line="32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465B86F2" w14:textId="77777777" w:rsidR="00BD776B" w:rsidRDefault="00BD776B">
            <w:pPr>
              <w:snapToGrid w:val="0"/>
              <w:spacing w:line="320" w:lineRule="exact"/>
              <w:rPr>
                <w:rFonts w:ascii="標楷體" w:eastAsia="標楷體" w:hAnsi="標楷體"/>
                <w:color w:val="000000"/>
              </w:rPr>
            </w:pPr>
          </w:p>
        </w:tc>
      </w:tr>
      <w:tr w:rsidR="00BD776B" w14:paraId="44033A1C" w14:textId="77777777">
        <w:trPr>
          <w:cantSplit/>
          <w:trHeight w:val="1310"/>
          <w:jc w:val="center"/>
        </w:trPr>
        <w:tc>
          <w:tcPr>
            <w:tcW w:w="40" w:type="dxa"/>
            <w:shd w:val="clear" w:color="auto" w:fill="auto"/>
            <w:tcMar>
              <w:top w:w="0" w:type="dxa"/>
              <w:left w:w="10" w:type="dxa"/>
              <w:bottom w:w="0" w:type="dxa"/>
              <w:right w:w="10" w:type="dxa"/>
            </w:tcMar>
          </w:tcPr>
          <w:p w14:paraId="121645E6"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43B0E" w14:textId="77777777" w:rsidR="00BD776B" w:rsidRDefault="00DF0C24">
            <w:pPr>
              <w:snapToGrid w:val="0"/>
              <w:spacing w:line="320" w:lineRule="exact"/>
            </w:pPr>
            <w:r>
              <w:rPr>
                <w:rFonts w:ascii="標楷體" w:eastAsia="標楷體" w:hAnsi="標楷體" w:cs="標楷體"/>
                <w:color w:val="000000"/>
              </w:rPr>
              <w:t>活動範圍受到限制關節</w:t>
            </w:r>
          </w:p>
          <w:p w14:paraId="1ADA7243" w14:textId="77777777" w:rsidR="00BD776B" w:rsidRDefault="00BD776B">
            <w:pPr>
              <w:snapToGrid w:val="0"/>
              <w:spacing w:line="320" w:lineRule="exact"/>
              <w:rPr>
                <w:rFonts w:ascii="標楷體" w:eastAsia="標楷體" w:hAnsi="標楷體"/>
                <w:color w:val="000000"/>
              </w:rPr>
            </w:pPr>
          </w:p>
          <w:p w14:paraId="495E36A7" w14:textId="77777777" w:rsidR="00BD776B" w:rsidRDefault="00BD776B">
            <w:pPr>
              <w:snapToGrid w:val="0"/>
              <w:spacing w:line="320" w:lineRule="exact"/>
              <w:rPr>
                <w:rFonts w:ascii="標楷體" w:eastAsia="標楷體" w:hAnsi="標楷體"/>
                <w:color w:val="000000"/>
              </w:rPr>
            </w:pPr>
          </w:p>
          <w:p w14:paraId="3E6374FE" w14:textId="77777777" w:rsidR="00BD776B" w:rsidRDefault="00BD776B">
            <w:pPr>
              <w:snapToGrid w:val="0"/>
              <w:spacing w:line="320" w:lineRule="exact"/>
              <w:rPr>
                <w:rFonts w:ascii="標楷體" w:eastAsia="標楷體" w:hAnsi="標楷體"/>
                <w:color w:val="000000"/>
              </w:rPr>
            </w:pPr>
          </w:p>
          <w:p w14:paraId="088C0354" w14:textId="77777777" w:rsidR="00BD776B" w:rsidRDefault="00BD776B">
            <w:pPr>
              <w:snapToGrid w:val="0"/>
              <w:spacing w:line="320" w:lineRule="exact"/>
              <w:rPr>
                <w:rFonts w:ascii="標楷體" w:eastAsia="標楷體" w:hAnsi="標楷體"/>
                <w:color w:val="000000"/>
              </w:rPr>
            </w:pP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852D4" w14:textId="77777777" w:rsidR="00BD776B" w:rsidRDefault="00DF0C24">
            <w:pPr>
              <w:snapToGrid w:val="0"/>
              <w:spacing w:line="320" w:lineRule="exact"/>
            </w:pPr>
            <w:r>
              <w:rPr>
                <w:rFonts w:ascii="標楷體" w:eastAsia="標楷體" w:hAnsi="標楷體" w:cs="標楷體"/>
                <w:color w:val="000000"/>
              </w:rPr>
              <w:t>請詳列關節於下</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E7A64" w14:textId="77777777" w:rsidR="00BD776B" w:rsidRDefault="00DF0C24">
            <w:pPr>
              <w:snapToGrid w:val="0"/>
              <w:spacing w:line="320" w:lineRule="exact"/>
            </w:pPr>
            <w:r>
              <w:rPr>
                <w:rFonts w:ascii="標楷體" w:eastAsia="標楷體" w:hAnsi="標楷體" w:cs="標楷體"/>
                <w:color w:val="000000"/>
              </w:rPr>
              <w:t>請詳列關節於下</w:t>
            </w:r>
          </w:p>
        </w:tc>
        <w:tc>
          <w:tcPr>
            <w:tcW w:w="40" w:type="dxa"/>
            <w:shd w:val="clear" w:color="auto" w:fill="auto"/>
            <w:tcMar>
              <w:top w:w="0" w:type="dxa"/>
              <w:left w:w="10" w:type="dxa"/>
              <w:bottom w:w="0" w:type="dxa"/>
              <w:right w:w="10" w:type="dxa"/>
            </w:tcMar>
          </w:tcPr>
          <w:p w14:paraId="0EEA0D0C" w14:textId="77777777" w:rsidR="00BD776B" w:rsidRDefault="00BD776B">
            <w:pPr>
              <w:snapToGrid w:val="0"/>
              <w:spacing w:line="320" w:lineRule="exact"/>
              <w:rPr>
                <w:rFonts w:ascii="標楷體" w:eastAsia="標楷體" w:hAnsi="標楷體"/>
              </w:rPr>
            </w:pPr>
          </w:p>
        </w:tc>
      </w:tr>
      <w:tr w:rsidR="00BD776B" w14:paraId="7C827432" w14:textId="77777777">
        <w:trPr>
          <w:cantSplit/>
          <w:trHeight w:val="632"/>
          <w:jc w:val="center"/>
        </w:trPr>
        <w:tc>
          <w:tcPr>
            <w:tcW w:w="40" w:type="dxa"/>
            <w:shd w:val="clear" w:color="auto" w:fill="auto"/>
            <w:tcMar>
              <w:top w:w="0" w:type="dxa"/>
              <w:left w:w="10" w:type="dxa"/>
              <w:bottom w:w="0" w:type="dxa"/>
              <w:right w:w="10" w:type="dxa"/>
            </w:tcMar>
          </w:tcPr>
          <w:p w14:paraId="4AD93038"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1BAB57" w14:textId="77777777" w:rsidR="00BD776B" w:rsidRDefault="00DF0C24">
            <w:pPr>
              <w:snapToGrid w:val="0"/>
              <w:spacing w:line="320" w:lineRule="exact"/>
            </w:pPr>
            <w:r>
              <w:rPr>
                <w:rFonts w:ascii="標楷體" w:eastAsia="標楷體" w:hAnsi="標楷體" w:cs="標楷體"/>
                <w:color w:val="000000"/>
              </w:rPr>
              <w:t>腫脹關節的總數</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8D7AA" w14:textId="77777777" w:rsidR="00BD776B" w:rsidRDefault="00BD776B">
            <w:pPr>
              <w:snapToGrid w:val="0"/>
              <w:spacing w:line="320" w:lineRule="exact"/>
              <w:rPr>
                <w:rFonts w:ascii="標楷體" w:eastAsia="標楷體" w:hAnsi="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64AEE" w14:textId="77777777" w:rsidR="00BD776B" w:rsidRDefault="00BD776B">
            <w:pPr>
              <w:snapToGrid w:val="0"/>
              <w:spacing w:line="32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6B3572D0" w14:textId="77777777" w:rsidR="00BD776B" w:rsidRDefault="00BD776B">
            <w:pPr>
              <w:snapToGrid w:val="0"/>
              <w:spacing w:line="320" w:lineRule="exact"/>
              <w:rPr>
                <w:rFonts w:ascii="標楷體" w:eastAsia="標楷體" w:hAnsi="標楷體"/>
                <w:color w:val="000000"/>
              </w:rPr>
            </w:pPr>
          </w:p>
        </w:tc>
      </w:tr>
      <w:tr w:rsidR="00BD776B" w14:paraId="57CDBD77" w14:textId="77777777">
        <w:trPr>
          <w:cantSplit/>
          <w:trHeight w:val="708"/>
          <w:jc w:val="center"/>
        </w:trPr>
        <w:tc>
          <w:tcPr>
            <w:tcW w:w="40" w:type="dxa"/>
            <w:shd w:val="clear" w:color="auto" w:fill="auto"/>
            <w:tcMar>
              <w:top w:w="0" w:type="dxa"/>
              <w:left w:w="10" w:type="dxa"/>
              <w:bottom w:w="0" w:type="dxa"/>
              <w:right w:w="10" w:type="dxa"/>
            </w:tcMar>
          </w:tcPr>
          <w:p w14:paraId="33B08BE4"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368B2" w14:textId="77777777" w:rsidR="00BD776B" w:rsidRDefault="00DF0C24">
            <w:pPr>
              <w:snapToGrid w:val="0"/>
              <w:spacing w:line="320" w:lineRule="exact"/>
            </w:pPr>
            <w:r>
              <w:rPr>
                <w:rFonts w:ascii="標楷體" w:eastAsia="標楷體" w:hAnsi="標楷體" w:cs="標楷體"/>
                <w:color w:val="000000"/>
              </w:rPr>
              <w:t>疼痛或壓痛關節的總數</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4375A" w14:textId="77777777" w:rsidR="00BD776B" w:rsidRDefault="00BD776B">
            <w:pPr>
              <w:snapToGrid w:val="0"/>
              <w:spacing w:line="320" w:lineRule="exact"/>
              <w:rPr>
                <w:rFonts w:ascii="標楷體" w:eastAsia="標楷體" w:hAnsi="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4480" w14:textId="77777777" w:rsidR="00BD776B" w:rsidRDefault="00BD776B">
            <w:pPr>
              <w:snapToGrid w:val="0"/>
              <w:spacing w:line="32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6E6C9CF1" w14:textId="77777777" w:rsidR="00BD776B" w:rsidRDefault="00BD776B">
            <w:pPr>
              <w:snapToGrid w:val="0"/>
              <w:spacing w:line="320" w:lineRule="exact"/>
              <w:rPr>
                <w:rFonts w:ascii="標楷體" w:eastAsia="標楷體" w:hAnsi="標楷體"/>
                <w:color w:val="000000"/>
              </w:rPr>
            </w:pPr>
          </w:p>
        </w:tc>
      </w:tr>
      <w:tr w:rsidR="00BD776B" w14:paraId="7F38B5AA" w14:textId="77777777">
        <w:trPr>
          <w:cantSplit/>
          <w:trHeight w:val="360"/>
          <w:jc w:val="center"/>
        </w:trPr>
        <w:tc>
          <w:tcPr>
            <w:tcW w:w="40" w:type="dxa"/>
            <w:shd w:val="clear" w:color="auto" w:fill="auto"/>
            <w:tcMar>
              <w:top w:w="0" w:type="dxa"/>
              <w:left w:w="10" w:type="dxa"/>
              <w:bottom w:w="0" w:type="dxa"/>
              <w:right w:w="10" w:type="dxa"/>
            </w:tcMar>
          </w:tcPr>
          <w:p w14:paraId="0AEA5813"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17C36" w14:textId="77777777" w:rsidR="00BD776B" w:rsidRDefault="00DF0C24">
            <w:pPr>
              <w:snapToGrid w:val="0"/>
              <w:spacing w:line="320" w:lineRule="exact"/>
            </w:pPr>
            <w:r>
              <w:rPr>
                <w:rFonts w:ascii="標楷體" w:eastAsia="標楷體" w:hAnsi="標楷體" w:cs="標楷體"/>
                <w:color w:val="000000"/>
              </w:rPr>
              <w:t>活動範圍受到限制的關節總數</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6FD01" w14:textId="77777777" w:rsidR="00BD776B" w:rsidRDefault="00BD776B">
            <w:pPr>
              <w:snapToGrid w:val="0"/>
              <w:spacing w:line="320" w:lineRule="exact"/>
              <w:rPr>
                <w:rFonts w:ascii="標楷體" w:eastAsia="標楷體" w:hAnsi="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503F4" w14:textId="77777777" w:rsidR="00BD776B" w:rsidRDefault="00BD776B">
            <w:pPr>
              <w:snapToGrid w:val="0"/>
              <w:spacing w:line="32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0E557366" w14:textId="77777777" w:rsidR="00BD776B" w:rsidRDefault="00BD776B">
            <w:pPr>
              <w:snapToGrid w:val="0"/>
              <w:spacing w:line="320" w:lineRule="exact"/>
              <w:rPr>
                <w:rFonts w:ascii="標楷體" w:eastAsia="標楷體" w:hAnsi="標楷體"/>
                <w:color w:val="000000"/>
              </w:rPr>
            </w:pPr>
          </w:p>
        </w:tc>
      </w:tr>
      <w:tr w:rsidR="00BD776B" w14:paraId="41869B79" w14:textId="77777777">
        <w:trPr>
          <w:cantSplit/>
          <w:trHeight w:val="614"/>
          <w:jc w:val="center"/>
        </w:trPr>
        <w:tc>
          <w:tcPr>
            <w:tcW w:w="40" w:type="dxa"/>
            <w:shd w:val="clear" w:color="auto" w:fill="auto"/>
            <w:tcMar>
              <w:top w:w="0" w:type="dxa"/>
              <w:left w:w="10" w:type="dxa"/>
              <w:bottom w:w="0" w:type="dxa"/>
              <w:right w:w="10" w:type="dxa"/>
            </w:tcMar>
          </w:tcPr>
          <w:p w14:paraId="3D9E4201" w14:textId="77777777" w:rsidR="00BD776B" w:rsidRDefault="00BD776B">
            <w:pPr>
              <w:snapToGrid w:val="0"/>
              <w:spacing w:line="320" w:lineRule="exact"/>
              <w:rPr>
                <w:rFonts w:ascii="標楷體" w:eastAsia="標楷體" w:hAnsi="標楷體"/>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6F4F4" w14:textId="77777777" w:rsidR="00BD776B" w:rsidRDefault="00DF0C24">
            <w:pPr>
              <w:snapToGrid w:val="0"/>
              <w:spacing w:line="320" w:lineRule="exact"/>
            </w:pPr>
            <w:r>
              <w:rPr>
                <w:rFonts w:ascii="標楷體" w:eastAsia="標楷體" w:hAnsi="標楷體" w:cs="標楷體"/>
                <w:color w:val="000000"/>
              </w:rPr>
              <w:t>醫師的整體評估</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0379D" w14:textId="77777777" w:rsidR="00BD776B" w:rsidRDefault="00BD776B">
            <w:pPr>
              <w:snapToGrid w:val="0"/>
              <w:spacing w:line="320" w:lineRule="exact"/>
              <w:rPr>
                <w:rFonts w:ascii="標楷體" w:eastAsia="標楷體" w:hAnsi="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6F5A" w14:textId="77777777" w:rsidR="00BD776B" w:rsidRDefault="00BD776B">
            <w:pPr>
              <w:snapToGrid w:val="0"/>
              <w:spacing w:line="32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7456D06B" w14:textId="77777777" w:rsidR="00BD776B" w:rsidRDefault="00BD776B">
            <w:pPr>
              <w:snapToGrid w:val="0"/>
              <w:spacing w:line="320" w:lineRule="exact"/>
              <w:rPr>
                <w:rFonts w:ascii="標楷體" w:eastAsia="標楷體" w:hAnsi="標楷體"/>
                <w:color w:val="000000"/>
              </w:rPr>
            </w:pPr>
          </w:p>
        </w:tc>
      </w:tr>
      <w:tr w:rsidR="00BD776B" w14:paraId="4434B2F3" w14:textId="77777777">
        <w:trPr>
          <w:trHeight w:val="553"/>
          <w:jc w:val="center"/>
        </w:trPr>
        <w:tc>
          <w:tcPr>
            <w:tcW w:w="40" w:type="dxa"/>
            <w:shd w:val="clear" w:color="auto" w:fill="auto"/>
            <w:tcMar>
              <w:top w:w="0" w:type="dxa"/>
              <w:left w:w="10" w:type="dxa"/>
              <w:bottom w:w="0" w:type="dxa"/>
              <w:right w:w="10" w:type="dxa"/>
            </w:tcMar>
          </w:tcPr>
          <w:p w14:paraId="64073B82" w14:textId="77777777" w:rsidR="00BD776B" w:rsidRDefault="00BD776B">
            <w:pPr>
              <w:snapToGrid w:val="0"/>
              <w:spacing w:line="320" w:lineRule="exact"/>
              <w:rPr>
                <w:rFonts w:ascii="標楷體" w:eastAsia="標楷體" w:hAnsi="標楷體"/>
                <w:color w:val="000000"/>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E02B" w14:textId="77777777" w:rsidR="00BD776B" w:rsidRDefault="00DF0C24">
            <w:pPr>
              <w:snapToGrid w:val="0"/>
              <w:spacing w:line="320" w:lineRule="exact"/>
              <w:rPr>
                <w:rFonts w:ascii="標楷體" w:eastAsia="標楷體" w:hAnsi="標楷體"/>
                <w:color w:val="000000"/>
              </w:rPr>
            </w:pPr>
            <w:r>
              <w:rPr>
                <w:rFonts w:ascii="標楷體" w:eastAsia="標楷體" w:hAnsi="標楷體"/>
                <w:color w:val="000000"/>
              </w:rPr>
              <w:t>紅血球沈降速率(ESR)</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E815A" w14:textId="77777777" w:rsidR="00BD776B" w:rsidRDefault="00BD776B">
            <w:pPr>
              <w:snapToGrid w:val="0"/>
              <w:spacing w:line="320" w:lineRule="exact"/>
              <w:rPr>
                <w:rFonts w:ascii="標楷體" w:eastAsia="標楷體" w:hAnsi="標楷體" w:cs="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52839" w14:textId="77777777" w:rsidR="00BD776B" w:rsidRDefault="00BD776B">
            <w:pPr>
              <w:snapToGrid w:val="0"/>
              <w:spacing w:line="320" w:lineRule="exact"/>
              <w:rPr>
                <w:rFonts w:ascii="標楷體" w:eastAsia="標楷體" w:hAnsi="標楷體" w:cs="標楷體"/>
                <w:color w:val="000000"/>
              </w:rPr>
            </w:pPr>
          </w:p>
        </w:tc>
        <w:tc>
          <w:tcPr>
            <w:tcW w:w="40" w:type="dxa"/>
            <w:shd w:val="clear" w:color="auto" w:fill="auto"/>
            <w:tcMar>
              <w:top w:w="0" w:type="dxa"/>
              <w:left w:w="10" w:type="dxa"/>
              <w:bottom w:w="0" w:type="dxa"/>
              <w:right w:w="10" w:type="dxa"/>
            </w:tcMar>
          </w:tcPr>
          <w:p w14:paraId="50B4D3F8" w14:textId="77777777" w:rsidR="00BD776B" w:rsidRDefault="00BD776B">
            <w:pPr>
              <w:snapToGrid w:val="0"/>
              <w:spacing w:line="320" w:lineRule="exact"/>
              <w:rPr>
                <w:rFonts w:ascii="標楷體" w:eastAsia="標楷體" w:hAnsi="標楷體" w:cs="標楷體"/>
                <w:color w:val="000000"/>
              </w:rPr>
            </w:pPr>
          </w:p>
        </w:tc>
      </w:tr>
      <w:tr w:rsidR="00BD776B" w14:paraId="53B13A1D" w14:textId="77777777">
        <w:trPr>
          <w:trHeight w:val="716"/>
          <w:jc w:val="center"/>
        </w:trPr>
        <w:tc>
          <w:tcPr>
            <w:tcW w:w="40" w:type="dxa"/>
            <w:tcBorders>
              <w:bottom w:val="single" w:sz="4" w:space="0" w:color="000000"/>
            </w:tcBorders>
            <w:shd w:val="clear" w:color="auto" w:fill="auto"/>
            <w:tcMar>
              <w:top w:w="0" w:type="dxa"/>
              <w:left w:w="10" w:type="dxa"/>
              <w:bottom w:w="0" w:type="dxa"/>
              <w:right w:w="10" w:type="dxa"/>
            </w:tcMar>
          </w:tcPr>
          <w:p w14:paraId="34C1F6A9" w14:textId="77777777" w:rsidR="00BD776B" w:rsidRDefault="00BD776B">
            <w:pPr>
              <w:snapToGrid w:val="0"/>
              <w:spacing w:line="320" w:lineRule="exact"/>
              <w:rPr>
                <w:rFonts w:ascii="標楷體" w:eastAsia="標楷體" w:hAnsi="標楷體"/>
                <w:color w:val="000000"/>
              </w:rPr>
            </w:pPr>
          </w:p>
        </w:tc>
        <w:tc>
          <w:tcPr>
            <w:tcW w:w="30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077D5" w14:textId="77777777" w:rsidR="00BD776B" w:rsidRDefault="00DF0C24">
            <w:pPr>
              <w:snapToGrid w:val="0"/>
              <w:spacing w:line="320" w:lineRule="exact"/>
              <w:rPr>
                <w:rFonts w:ascii="標楷體" w:eastAsia="標楷體" w:hAnsi="標楷體"/>
                <w:color w:val="000000"/>
              </w:rPr>
            </w:pPr>
            <w:r>
              <w:rPr>
                <w:rFonts w:ascii="標楷體" w:eastAsia="標楷體" w:hAnsi="標楷體"/>
                <w:color w:val="000000"/>
              </w:rPr>
              <w:t>CRP(mg/dL)</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CFF7" w14:textId="77777777" w:rsidR="00BD776B" w:rsidRDefault="00BD776B">
            <w:pPr>
              <w:snapToGrid w:val="0"/>
              <w:spacing w:line="320" w:lineRule="exact"/>
              <w:rPr>
                <w:rFonts w:ascii="標楷體" w:eastAsia="標楷體" w:hAnsi="標楷體" w:cs="標楷體"/>
                <w:color w:val="000000"/>
              </w:rPr>
            </w:pP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4094E" w14:textId="77777777" w:rsidR="00BD776B" w:rsidRDefault="00BD776B">
            <w:pPr>
              <w:snapToGrid w:val="0"/>
              <w:spacing w:line="320" w:lineRule="exact"/>
              <w:rPr>
                <w:rFonts w:ascii="標楷體" w:eastAsia="標楷體" w:hAnsi="標楷體" w:cs="標楷體"/>
                <w:color w:val="000000"/>
              </w:rPr>
            </w:pPr>
          </w:p>
        </w:tc>
        <w:tc>
          <w:tcPr>
            <w:tcW w:w="40" w:type="dxa"/>
            <w:shd w:val="clear" w:color="auto" w:fill="auto"/>
            <w:tcMar>
              <w:top w:w="0" w:type="dxa"/>
              <w:left w:w="10" w:type="dxa"/>
              <w:bottom w:w="0" w:type="dxa"/>
              <w:right w:w="10" w:type="dxa"/>
            </w:tcMar>
          </w:tcPr>
          <w:p w14:paraId="4FD5AF41" w14:textId="77777777" w:rsidR="00BD776B" w:rsidRDefault="00BD776B">
            <w:pPr>
              <w:snapToGrid w:val="0"/>
              <w:spacing w:line="320" w:lineRule="exact"/>
              <w:rPr>
                <w:rFonts w:ascii="標楷體" w:eastAsia="標楷體" w:hAnsi="標楷體" w:cs="標楷體"/>
                <w:color w:val="000000"/>
              </w:rPr>
            </w:pPr>
          </w:p>
        </w:tc>
      </w:tr>
      <w:tr w:rsidR="00BD776B" w14:paraId="3F2826AE" w14:textId="77777777">
        <w:trPr>
          <w:cantSplit/>
          <w:trHeight w:val="354"/>
          <w:jc w:val="center"/>
        </w:trPr>
        <w:tc>
          <w:tcPr>
            <w:tcW w:w="9072" w:type="dxa"/>
            <w:gridSpan w:val="10"/>
            <w:tcBorders>
              <w:top w:val="single" w:sz="4" w:space="0" w:color="000000"/>
            </w:tcBorders>
            <w:shd w:val="clear" w:color="auto" w:fill="auto"/>
            <w:tcMar>
              <w:top w:w="0" w:type="dxa"/>
              <w:left w:w="28" w:type="dxa"/>
              <w:bottom w:w="0" w:type="dxa"/>
              <w:right w:w="28" w:type="dxa"/>
            </w:tcMar>
          </w:tcPr>
          <w:p w14:paraId="510F51C9" w14:textId="77777777" w:rsidR="00BD776B" w:rsidRDefault="00BD776B">
            <w:pPr>
              <w:snapToGrid w:val="0"/>
              <w:rPr>
                <w:rFonts w:ascii="標楷體" w:eastAsia="標楷體" w:hAnsi="標楷體" w:cs="標楷體"/>
                <w:color w:val="000000"/>
                <w:sz w:val="26"/>
                <w:szCs w:val="26"/>
              </w:rPr>
            </w:pPr>
          </w:p>
        </w:tc>
        <w:tc>
          <w:tcPr>
            <w:tcW w:w="40" w:type="dxa"/>
          </w:tcPr>
          <w:p w14:paraId="53C17166" w14:textId="77777777" w:rsidR="00BD776B" w:rsidRDefault="00BD776B">
            <w:pPr>
              <w:snapToGrid w:val="0"/>
              <w:rPr>
                <w:rFonts w:ascii="標楷體" w:eastAsia="標楷體" w:hAnsi="標楷體" w:cs="標楷體"/>
                <w:color w:val="000000"/>
                <w:sz w:val="26"/>
                <w:szCs w:val="26"/>
              </w:rPr>
            </w:pPr>
          </w:p>
        </w:tc>
      </w:tr>
      <w:tr w:rsidR="00BD776B" w14:paraId="17758A23" w14:textId="77777777">
        <w:trPr>
          <w:cantSplit/>
          <w:trHeight w:val="354"/>
          <w:jc w:val="center"/>
        </w:trPr>
        <w:tc>
          <w:tcPr>
            <w:tcW w:w="9072" w:type="dxa"/>
            <w:gridSpan w:val="10"/>
            <w:tcBorders>
              <w:bottom w:val="single" w:sz="4" w:space="0" w:color="000000"/>
            </w:tcBorders>
            <w:shd w:val="clear" w:color="auto" w:fill="auto"/>
            <w:tcMar>
              <w:top w:w="0" w:type="dxa"/>
              <w:left w:w="28" w:type="dxa"/>
              <w:bottom w:w="0" w:type="dxa"/>
              <w:right w:w="28" w:type="dxa"/>
            </w:tcMar>
          </w:tcPr>
          <w:p w14:paraId="0260A5C6" w14:textId="77777777" w:rsidR="00BD776B" w:rsidRDefault="00BD776B">
            <w:pPr>
              <w:snapToGrid w:val="0"/>
              <w:rPr>
                <w:rFonts w:ascii="標楷體" w:eastAsia="標楷體" w:hAnsi="標楷體" w:cs="標楷體"/>
                <w:color w:val="000000"/>
                <w:sz w:val="26"/>
                <w:szCs w:val="26"/>
              </w:rPr>
            </w:pPr>
          </w:p>
        </w:tc>
        <w:tc>
          <w:tcPr>
            <w:tcW w:w="40" w:type="dxa"/>
          </w:tcPr>
          <w:p w14:paraId="50C4581F" w14:textId="77777777" w:rsidR="00BD776B" w:rsidRDefault="00BD776B">
            <w:pPr>
              <w:snapToGrid w:val="0"/>
              <w:rPr>
                <w:rFonts w:ascii="標楷體" w:eastAsia="標楷體" w:hAnsi="標楷體" w:cs="標楷體"/>
                <w:color w:val="000000"/>
                <w:sz w:val="26"/>
                <w:szCs w:val="26"/>
              </w:rPr>
            </w:pPr>
          </w:p>
        </w:tc>
      </w:tr>
      <w:tr w:rsidR="00BD776B" w14:paraId="771B6F0B" w14:textId="77777777">
        <w:trPr>
          <w:cantSplit/>
          <w:trHeight w:val="354"/>
          <w:jc w:val="center"/>
        </w:trPr>
        <w:tc>
          <w:tcPr>
            <w:tcW w:w="907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412846" w14:textId="77777777" w:rsidR="00BD776B" w:rsidRDefault="00DF0C24">
            <w:pPr>
              <w:snapToGrid w:val="0"/>
            </w:pPr>
            <w:r>
              <w:rPr>
                <w:rFonts w:ascii="標楷體" w:eastAsia="標楷體" w:hAnsi="標楷體" w:cs="標楷體"/>
                <w:color w:val="000000"/>
                <w:sz w:val="26"/>
                <w:szCs w:val="26"/>
              </w:rPr>
              <w:lastRenderedPageBreak/>
              <w:t>□符合標準療法失敗</w:t>
            </w:r>
          </w:p>
        </w:tc>
        <w:tc>
          <w:tcPr>
            <w:tcW w:w="40" w:type="dxa"/>
          </w:tcPr>
          <w:p w14:paraId="45B2CAD0" w14:textId="77777777" w:rsidR="00BD776B" w:rsidRDefault="00BD776B">
            <w:pPr>
              <w:snapToGrid w:val="0"/>
            </w:pPr>
          </w:p>
        </w:tc>
      </w:tr>
      <w:tr w:rsidR="00BD776B" w14:paraId="77B165DB" w14:textId="77777777">
        <w:trPr>
          <w:jc w:val="center"/>
        </w:trPr>
        <w:tc>
          <w:tcPr>
            <w:tcW w:w="23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FDEE5" w14:textId="77777777" w:rsidR="00BD776B" w:rsidRDefault="00DF0C24">
            <w:pPr>
              <w:snapToGrid w:val="0"/>
              <w:jc w:val="center"/>
            </w:pPr>
            <w:r>
              <w:rPr>
                <w:rFonts w:ascii="標楷體" w:eastAsia="標楷體" w:hAnsi="標楷體" w:cs="標楷體"/>
                <w:color w:val="000000"/>
              </w:rPr>
              <w:t>藥物名稱</w:t>
            </w:r>
          </w:p>
        </w:tc>
        <w:tc>
          <w:tcPr>
            <w:tcW w:w="23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6F898" w14:textId="77777777" w:rsidR="00BD776B" w:rsidRDefault="00DF0C24">
            <w:pPr>
              <w:snapToGrid w:val="0"/>
              <w:jc w:val="center"/>
            </w:pPr>
            <w:r>
              <w:rPr>
                <w:rFonts w:ascii="標楷體" w:eastAsia="標楷體" w:hAnsi="標楷體" w:cs="標楷體"/>
                <w:color w:val="000000"/>
              </w:rPr>
              <w:t>劑量</w:t>
            </w:r>
          </w:p>
        </w:tc>
        <w:tc>
          <w:tcPr>
            <w:tcW w:w="43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BAD5E" w14:textId="77777777" w:rsidR="00BD776B" w:rsidRDefault="00DF0C24">
            <w:pPr>
              <w:snapToGrid w:val="0"/>
              <w:jc w:val="center"/>
            </w:pPr>
            <w:r>
              <w:rPr>
                <w:rFonts w:ascii="標楷體" w:eastAsia="標楷體" w:hAnsi="標楷體" w:cs="標楷體"/>
                <w:color w:val="000000"/>
              </w:rPr>
              <w:t>使用期間</w:t>
            </w:r>
          </w:p>
        </w:tc>
        <w:tc>
          <w:tcPr>
            <w:tcW w:w="40" w:type="dxa"/>
          </w:tcPr>
          <w:p w14:paraId="50C6DA4C" w14:textId="77777777" w:rsidR="00BD776B" w:rsidRDefault="00BD776B">
            <w:pPr>
              <w:snapToGrid w:val="0"/>
              <w:jc w:val="center"/>
            </w:pPr>
          </w:p>
        </w:tc>
      </w:tr>
      <w:tr w:rsidR="00BD776B" w14:paraId="2F602CBE" w14:textId="77777777">
        <w:trPr>
          <w:trHeight w:val="519"/>
          <w:jc w:val="center"/>
        </w:trPr>
        <w:tc>
          <w:tcPr>
            <w:tcW w:w="23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D7100" w14:textId="77777777" w:rsidR="00BD776B" w:rsidRDefault="00DF0C24">
            <w:pPr>
              <w:pStyle w:val="Web"/>
              <w:widowControl w:val="0"/>
              <w:snapToGrid w:val="0"/>
              <w:spacing w:before="0" w:after="0"/>
              <w:rPr>
                <w:rFonts w:ascii="標楷體" w:eastAsia="標楷體" w:hAnsi="標楷體" w:cs="Times New Roman"/>
                <w:color w:val="000000"/>
                <w:kern w:val="3"/>
              </w:rPr>
            </w:pPr>
            <w:r>
              <w:rPr>
                <w:rFonts w:ascii="標楷體" w:eastAsia="標楷體" w:hAnsi="標楷體" w:cs="Times New Roman"/>
                <w:color w:val="000000"/>
                <w:kern w:val="3"/>
              </w:rPr>
              <w:t>Methotrexate</w:t>
            </w:r>
          </w:p>
        </w:tc>
        <w:tc>
          <w:tcPr>
            <w:tcW w:w="23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50351" w14:textId="77777777" w:rsidR="00BD776B" w:rsidRDefault="00DF0C24">
            <w:pPr>
              <w:snapToGrid w:val="0"/>
            </w:pPr>
            <w:r>
              <w:rPr>
                <w:rFonts w:ascii="標楷體" w:eastAsia="標楷體" w:hAnsi="標楷體"/>
                <w:color w:val="000000"/>
              </w:rPr>
              <w:t>______mg/m</w:t>
            </w:r>
            <w:r>
              <w:rPr>
                <w:rFonts w:ascii="標楷體" w:eastAsia="標楷體" w:hAnsi="標楷體"/>
                <w:color w:val="000000"/>
                <w:vertAlign w:val="superscript"/>
              </w:rPr>
              <w:t>2</w:t>
            </w:r>
            <w:r>
              <w:rPr>
                <w:rFonts w:ascii="標楷體" w:eastAsia="標楷體" w:hAnsi="標楷體"/>
                <w:color w:val="000000"/>
              </w:rPr>
              <w:t>/week</w:t>
            </w:r>
          </w:p>
        </w:tc>
        <w:tc>
          <w:tcPr>
            <w:tcW w:w="43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CE6B5" w14:textId="77777777" w:rsidR="00BD776B" w:rsidRDefault="00DF0C24">
            <w:pPr>
              <w:snapToGrid w:val="0"/>
              <w:rPr>
                <w:rFonts w:ascii="標楷體" w:eastAsia="標楷體" w:hAnsi="標楷體"/>
                <w:color w:val="000000"/>
              </w:rPr>
            </w:pPr>
            <w:r>
              <w:rPr>
                <w:rFonts w:ascii="標楷體" w:eastAsia="標楷體" w:hAnsi="標楷體"/>
                <w:color w:val="000000"/>
              </w:rPr>
              <w:t>___年___月___日至___年___月___日</w:t>
            </w:r>
          </w:p>
        </w:tc>
        <w:tc>
          <w:tcPr>
            <w:tcW w:w="40" w:type="dxa"/>
          </w:tcPr>
          <w:p w14:paraId="380B9502" w14:textId="77777777" w:rsidR="00BD776B" w:rsidRDefault="00BD776B">
            <w:pPr>
              <w:snapToGrid w:val="0"/>
              <w:rPr>
                <w:rFonts w:ascii="標楷體" w:eastAsia="標楷體" w:hAnsi="標楷體"/>
                <w:color w:val="000000"/>
              </w:rPr>
            </w:pPr>
          </w:p>
        </w:tc>
      </w:tr>
      <w:tr w:rsidR="00BD776B" w14:paraId="249921BD" w14:textId="77777777">
        <w:trPr>
          <w:trHeight w:val="513"/>
          <w:jc w:val="center"/>
        </w:trPr>
        <w:tc>
          <w:tcPr>
            <w:tcW w:w="23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145A6" w14:textId="77777777" w:rsidR="00BD776B" w:rsidRDefault="00DF0C24">
            <w:pPr>
              <w:snapToGrid w:val="0"/>
              <w:rPr>
                <w:rFonts w:ascii="標楷體" w:eastAsia="標楷體" w:hAnsi="標楷體"/>
                <w:color w:val="000000"/>
              </w:rPr>
            </w:pPr>
            <w:r>
              <w:rPr>
                <w:rFonts w:ascii="標楷體" w:eastAsia="標楷體" w:hAnsi="標楷體"/>
                <w:color w:val="000000"/>
              </w:rPr>
              <w:t>類固醇(藥名)</w:t>
            </w:r>
          </w:p>
        </w:tc>
        <w:tc>
          <w:tcPr>
            <w:tcW w:w="23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9B5DE" w14:textId="77777777" w:rsidR="00BD776B" w:rsidRDefault="00DF0C24">
            <w:pPr>
              <w:snapToGrid w:val="0"/>
              <w:rPr>
                <w:rFonts w:ascii="標楷體" w:eastAsia="標楷體" w:hAnsi="標楷體"/>
                <w:color w:val="000000"/>
              </w:rPr>
            </w:pPr>
            <w:r>
              <w:rPr>
                <w:rFonts w:ascii="標楷體" w:eastAsia="標楷體" w:hAnsi="標楷體"/>
                <w:color w:val="000000"/>
              </w:rPr>
              <w:t>______mg/kg/day</w:t>
            </w:r>
          </w:p>
        </w:tc>
        <w:tc>
          <w:tcPr>
            <w:tcW w:w="43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C0D8" w14:textId="77777777" w:rsidR="00BD776B" w:rsidRDefault="00DF0C24">
            <w:pPr>
              <w:snapToGrid w:val="0"/>
              <w:rPr>
                <w:rFonts w:ascii="標楷體" w:eastAsia="標楷體" w:hAnsi="標楷體"/>
                <w:color w:val="000000"/>
              </w:rPr>
            </w:pPr>
            <w:r>
              <w:rPr>
                <w:rFonts w:ascii="標楷體" w:eastAsia="標楷體" w:hAnsi="標楷體"/>
                <w:color w:val="000000"/>
              </w:rPr>
              <w:t>___年___月___日至___年___月___日</w:t>
            </w:r>
          </w:p>
        </w:tc>
        <w:tc>
          <w:tcPr>
            <w:tcW w:w="40" w:type="dxa"/>
          </w:tcPr>
          <w:p w14:paraId="186CE4FB" w14:textId="77777777" w:rsidR="00BD776B" w:rsidRDefault="00BD776B">
            <w:pPr>
              <w:snapToGrid w:val="0"/>
              <w:rPr>
                <w:rFonts w:ascii="標楷體" w:eastAsia="標楷體" w:hAnsi="標楷體"/>
                <w:color w:val="000000"/>
              </w:rPr>
            </w:pPr>
          </w:p>
        </w:tc>
      </w:tr>
      <w:tr w:rsidR="00BD776B" w14:paraId="025BAFFC" w14:textId="77777777">
        <w:trPr>
          <w:trHeight w:val="522"/>
          <w:jc w:val="center"/>
        </w:trPr>
        <w:tc>
          <w:tcPr>
            <w:tcW w:w="23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01E1D" w14:textId="77777777" w:rsidR="00BD776B" w:rsidRDefault="00DF0C24">
            <w:pPr>
              <w:snapToGrid w:val="0"/>
              <w:rPr>
                <w:rFonts w:ascii="標楷體" w:eastAsia="標楷體" w:hAnsi="標楷體"/>
                <w:color w:val="000000"/>
              </w:rPr>
            </w:pPr>
            <w:r>
              <w:rPr>
                <w:rFonts w:ascii="標楷體" w:eastAsia="標楷體" w:hAnsi="標楷體"/>
                <w:color w:val="000000"/>
              </w:rPr>
              <w:t>其他</w:t>
            </w:r>
          </w:p>
        </w:tc>
        <w:tc>
          <w:tcPr>
            <w:tcW w:w="23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FF8D3" w14:textId="77777777" w:rsidR="00BD776B" w:rsidRDefault="00DF0C24">
            <w:pPr>
              <w:snapToGrid w:val="0"/>
              <w:rPr>
                <w:rFonts w:ascii="標楷體" w:eastAsia="標楷體" w:hAnsi="標楷體"/>
                <w:color w:val="000000"/>
              </w:rPr>
            </w:pPr>
            <w:r>
              <w:rPr>
                <w:rFonts w:ascii="標楷體" w:eastAsia="標楷體" w:hAnsi="標楷體"/>
                <w:color w:val="000000"/>
              </w:rPr>
              <w:t>______mg/day</w:t>
            </w:r>
          </w:p>
        </w:tc>
        <w:tc>
          <w:tcPr>
            <w:tcW w:w="43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C2FE" w14:textId="77777777" w:rsidR="00BD776B" w:rsidRDefault="00DF0C24">
            <w:pPr>
              <w:snapToGrid w:val="0"/>
              <w:rPr>
                <w:rFonts w:ascii="標楷體" w:eastAsia="標楷體" w:hAnsi="標楷體"/>
                <w:color w:val="000000"/>
              </w:rPr>
            </w:pPr>
            <w:r>
              <w:rPr>
                <w:rFonts w:ascii="標楷體" w:eastAsia="標楷體" w:hAnsi="標楷體"/>
                <w:color w:val="000000"/>
              </w:rPr>
              <w:t>___年___月___日至___年___月___日</w:t>
            </w:r>
          </w:p>
        </w:tc>
        <w:tc>
          <w:tcPr>
            <w:tcW w:w="40" w:type="dxa"/>
          </w:tcPr>
          <w:p w14:paraId="5E3A6C5A" w14:textId="77777777" w:rsidR="00BD776B" w:rsidRDefault="00BD776B">
            <w:pPr>
              <w:snapToGrid w:val="0"/>
              <w:rPr>
                <w:rFonts w:ascii="標楷體" w:eastAsia="標楷體" w:hAnsi="標楷體"/>
                <w:color w:val="000000"/>
              </w:rPr>
            </w:pPr>
          </w:p>
        </w:tc>
      </w:tr>
      <w:tr w:rsidR="00BD776B" w14:paraId="030927DD" w14:textId="77777777">
        <w:trPr>
          <w:cantSplit/>
          <w:trHeight w:val="1496"/>
          <w:jc w:val="center"/>
        </w:trPr>
        <w:tc>
          <w:tcPr>
            <w:tcW w:w="907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109F" w14:textId="77777777" w:rsidR="00BD776B" w:rsidRDefault="00DF0C24">
            <w:pPr>
              <w:snapToGrid w:val="0"/>
              <w:rPr>
                <w:rFonts w:ascii="標楷體" w:eastAsia="標楷體" w:hAnsi="標楷體" w:cs="標楷體"/>
                <w:color w:val="000000"/>
              </w:rPr>
            </w:pPr>
            <w:r>
              <w:rPr>
                <w:rFonts w:ascii="標楷體" w:eastAsia="標楷體" w:hAnsi="標楷體" w:cs="標楷體"/>
                <w:color w:val="000000"/>
              </w:rPr>
              <w:t>若藥物治療未達標準目標劑量，請說明藥物引起之副作用：</w:t>
            </w:r>
          </w:p>
          <w:p w14:paraId="16394E7A" w14:textId="77777777" w:rsidR="00BD776B" w:rsidRDefault="00BD776B">
            <w:pPr>
              <w:snapToGrid w:val="0"/>
              <w:rPr>
                <w:rFonts w:ascii="標楷體" w:eastAsia="標楷體" w:hAnsi="標楷體"/>
                <w:color w:val="000000"/>
              </w:rPr>
            </w:pPr>
          </w:p>
        </w:tc>
        <w:tc>
          <w:tcPr>
            <w:tcW w:w="40" w:type="dxa"/>
          </w:tcPr>
          <w:p w14:paraId="2F8456F8" w14:textId="77777777" w:rsidR="00BD776B" w:rsidRDefault="00BD776B">
            <w:pPr>
              <w:snapToGrid w:val="0"/>
              <w:rPr>
                <w:rFonts w:ascii="標楷體" w:eastAsia="標楷體" w:hAnsi="標楷體"/>
                <w:color w:val="000000"/>
              </w:rPr>
            </w:pPr>
          </w:p>
        </w:tc>
      </w:tr>
      <w:tr w:rsidR="00BD776B" w14:paraId="311E4DB6" w14:textId="77777777">
        <w:trPr>
          <w:cantSplit/>
          <w:jc w:val="center"/>
        </w:trPr>
        <w:tc>
          <w:tcPr>
            <w:tcW w:w="907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AEC81" w14:textId="77777777" w:rsidR="00BD776B" w:rsidRDefault="00DF0C24">
            <w:pPr>
              <w:snapToGrid w:val="0"/>
            </w:pPr>
            <w:r>
              <w:rPr>
                <w:rFonts w:ascii="標楷體" w:eastAsia="標楷體" w:hAnsi="標楷體" w:cs="標楷體"/>
                <w:color w:val="000000"/>
              </w:rPr>
              <w:t>□符合「需排除或停</w:t>
            </w:r>
            <w:r>
              <w:rPr>
                <w:rFonts w:ascii="標楷體" w:eastAsia="標楷體" w:hAnsi="標楷體"/>
                <w:color w:val="000000"/>
              </w:rPr>
              <w:t>止</w:t>
            </w:r>
            <w:r>
              <w:rPr>
                <w:rFonts w:ascii="標楷體" w:eastAsia="標楷體" w:hAnsi="標楷體" w:cs="標楷體"/>
                <w:color w:val="000000"/>
              </w:rPr>
              <w:t>使用之情形」</w:t>
            </w:r>
          </w:p>
        </w:tc>
        <w:tc>
          <w:tcPr>
            <w:tcW w:w="40" w:type="dxa"/>
          </w:tcPr>
          <w:p w14:paraId="025FD295" w14:textId="77777777" w:rsidR="00BD776B" w:rsidRDefault="00BD776B">
            <w:pPr>
              <w:snapToGrid w:val="0"/>
            </w:pPr>
          </w:p>
        </w:tc>
      </w:tr>
      <w:tr w:rsidR="00BD776B" w14:paraId="2C73EC9E"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FFB4" w14:textId="77777777" w:rsidR="00BD776B" w:rsidRDefault="00DF0C24">
            <w:pPr>
              <w:snapToGrid w:val="0"/>
              <w:jc w:val="center"/>
            </w:pPr>
            <w:r>
              <w:rPr>
                <w:rFonts w:ascii="標楷體" w:eastAsia="標楷體" w:hAnsi="標楷體" w:cs="標楷體"/>
                <w:color w:val="000000"/>
              </w:rPr>
              <w:t>□是</w:t>
            </w:r>
          </w:p>
          <w:p w14:paraId="4C39A343"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391961" w14:textId="77777777" w:rsidR="00BD776B" w:rsidRDefault="00DF0C24">
            <w:pPr>
              <w:snapToGrid w:val="0"/>
              <w:jc w:val="both"/>
            </w:pPr>
            <w:r>
              <w:rPr>
                <w:rFonts w:ascii="標楷體" w:eastAsia="標楷體" w:hAnsi="標楷體" w:cs="標楷體"/>
              </w:rPr>
              <w:t>是否有</w:t>
            </w:r>
            <w:r>
              <w:rPr>
                <w:rFonts w:ascii="標楷體" w:eastAsia="標楷體" w:hAnsi="標楷體"/>
              </w:rPr>
              <w:t>仿</w:t>
            </w:r>
            <w:r>
              <w:rPr>
                <w:rFonts w:ascii="標楷體" w:eastAsia="標楷體" w:hAnsi="標楷體" w:cs="標楷體"/>
              </w:rPr>
              <w:t>單記載之禁忌情形</w:t>
            </w:r>
          </w:p>
        </w:tc>
        <w:tc>
          <w:tcPr>
            <w:tcW w:w="40" w:type="dxa"/>
          </w:tcPr>
          <w:p w14:paraId="5B8F887C" w14:textId="77777777" w:rsidR="00BD776B" w:rsidRDefault="00BD776B">
            <w:pPr>
              <w:snapToGrid w:val="0"/>
              <w:jc w:val="both"/>
            </w:pPr>
          </w:p>
        </w:tc>
      </w:tr>
      <w:tr w:rsidR="00BD776B" w14:paraId="39D3ADC9"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92EA1" w14:textId="77777777" w:rsidR="00BD776B" w:rsidRDefault="00DF0C24">
            <w:pPr>
              <w:snapToGrid w:val="0"/>
              <w:jc w:val="center"/>
            </w:pPr>
            <w:r>
              <w:rPr>
                <w:rFonts w:ascii="標楷體" w:eastAsia="標楷體" w:hAnsi="標楷體" w:cs="標楷體"/>
                <w:color w:val="000000"/>
              </w:rPr>
              <w:t>□是</w:t>
            </w:r>
          </w:p>
          <w:p w14:paraId="708ED065"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A0EA" w14:textId="77777777" w:rsidR="00BD776B" w:rsidRDefault="00DF0C24">
            <w:pPr>
              <w:snapToGrid w:val="0"/>
              <w:jc w:val="both"/>
            </w:pPr>
            <w:r>
              <w:rPr>
                <w:rFonts w:ascii="標楷體" w:eastAsia="標楷體" w:hAnsi="標楷體" w:cs="標楷體"/>
              </w:rPr>
              <w:t>病患是否懷孕或正在授乳。</w:t>
            </w:r>
          </w:p>
        </w:tc>
        <w:tc>
          <w:tcPr>
            <w:tcW w:w="40" w:type="dxa"/>
          </w:tcPr>
          <w:p w14:paraId="1E72EBFB" w14:textId="77777777" w:rsidR="00BD776B" w:rsidRDefault="00BD776B">
            <w:pPr>
              <w:snapToGrid w:val="0"/>
              <w:jc w:val="both"/>
            </w:pPr>
          </w:p>
        </w:tc>
      </w:tr>
      <w:tr w:rsidR="00BD776B" w14:paraId="173727CE"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DB4E" w14:textId="77777777" w:rsidR="00BD776B" w:rsidRDefault="00DF0C24">
            <w:pPr>
              <w:snapToGrid w:val="0"/>
              <w:jc w:val="center"/>
            </w:pPr>
            <w:r>
              <w:rPr>
                <w:rFonts w:ascii="標楷體" w:eastAsia="標楷體" w:hAnsi="標楷體" w:cs="標楷體"/>
                <w:color w:val="000000"/>
              </w:rPr>
              <w:t>□是</w:t>
            </w:r>
          </w:p>
          <w:p w14:paraId="1CEFE64D"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62DCD5" w14:textId="77777777" w:rsidR="00BD776B" w:rsidRDefault="00DF0C24">
            <w:pPr>
              <w:snapToGrid w:val="0"/>
              <w:jc w:val="both"/>
            </w:pPr>
            <w:r>
              <w:rPr>
                <w:rFonts w:ascii="標楷體" w:eastAsia="標楷體" w:hAnsi="標楷體" w:cs="標楷體"/>
              </w:rPr>
              <w:t>病患是否罹患活動性的感染疾病。</w:t>
            </w:r>
          </w:p>
        </w:tc>
        <w:tc>
          <w:tcPr>
            <w:tcW w:w="40" w:type="dxa"/>
          </w:tcPr>
          <w:p w14:paraId="7DBEAE71" w14:textId="77777777" w:rsidR="00BD776B" w:rsidRDefault="00BD776B">
            <w:pPr>
              <w:snapToGrid w:val="0"/>
              <w:jc w:val="both"/>
            </w:pPr>
          </w:p>
        </w:tc>
      </w:tr>
      <w:tr w:rsidR="00BD776B" w14:paraId="522BC850"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FEBBF7" w14:textId="77777777" w:rsidR="00BD776B" w:rsidRDefault="00DF0C24">
            <w:pPr>
              <w:snapToGrid w:val="0"/>
              <w:jc w:val="center"/>
            </w:pPr>
            <w:r>
              <w:rPr>
                <w:rFonts w:ascii="標楷體" w:eastAsia="標楷體" w:hAnsi="標楷體" w:cs="標楷體"/>
                <w:color w:val="000000"/>
              </w:rPr>
              <w:t>□是</w:t>
            </w:r>
          </w:p>
          <w:p w14:paraId="7C7DBA0F"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57CEA7" w14:textId="77777777" w:rsidR="00BD776B" w:rsidRDefault="00DF0C24">
            <w:pPr>
              <w:snapToGrid w:val="0"/>
              <w:jc w:val="both"/>
            </w:pPr>
            <w:r>
              <w:rPr>
                <w:rFonts w:ascii="標楷體" w:eastAsia="標楷體" w:hAnsi="標楷體" w:cs="標楷體"/>
              </w:rPr>
              <w:t>未經完整治療之結核病的病患（包括潛伏結核感染治療未達四週者，申請時應檢附潛伏結核感染篩檢紀錄及治療紀錄供審查）。</w:t>
            </w:r>
          </w:p>
        </w:tc>
        <w:tc>
          <w:tcPr>
            <w:tcW w:w="40" w:type="dxa"/>
          </w:tcPr>
          <w:p w14:paraId="099FCA97" w14:textId="77777777" w:rsidR="00BD776B" w:rsidRDefault="00BD776B">
            <w:pPr>
              <w:snapToGrid w:val="0"/>
              <w:jc w:val="both"/>
            </w:pPr>
          </w:p>
        </w:tc>
      </w:tr>
      <w:tr w:rsidR="00BD776B" w14:paraId="5AA55122"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08D82" w14:textId="77777777" w:rsidR="00BD776B" w:rsidRDefault="00DF0C24">
            <w:pPr>
              <w:snapToGrid w:val="0"/>
              <w:jc w:val="center"/>
            </w:pPr>
            <w:r>
              <w:rPr>
                <w:rFonts w:ascii="標楷體" w:eastAsia="標楷體" w:hAnsi="標楷體" w:cs="標楷體"/>
                <w:color w:val="000000"/>
              </w:rPr>
              <w:t>□是</w:t>
            </w:r>
          </w:p>
          <w:p w14:paraId="3431BC5F"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1463FF" w14:textId="77777777" w:rsidR="00BD776B" w:rsidRDefault="00DF0C24">
            <w:pPr>
              <w:snapToGrid w:val="0"/>
              <w:jc w:val="both"/>
            </w:pPr>
            <w:r>
              <w:rPr>
                <w:rFonts w:ascii="標楷體" w:eastAsia="標楷體" w:hAnsi="標楷體" w:cs="標楷體"/>
              </w:rPr>
              <w:t>病患身上是否帶有人工關節，罹患或先前曾罹患敗血症</w:t>
            </w:r>
            <w:r>
              <w:rPr>
                <w:rFonts w:ascii="標楷體" w:eastAsia="標楷體" w:hAnsi="標楷體"/>
              </w:rPr>
              <w:t>(sepsis)。</w:t>
            </w:r>
          </w:p>
        </w:tc>
        <w:tc>
          <w:tcPr>
            <w:tcW w:w="40" w:type="dxa"/>
          </w:tcPr>
          <w:p w14:paraId="704D2585" w14:textId="77777777" w:rsidR="00BD776B" w:rsidRDefault="00BD776B">
            <w:pPr>
              <w:snapToGrid w:val="0"/>
              <w:jc w:val="both"/>
            </w:pPr>
          </w:p>
        </w:tc>
      </w:tr>
      <w:tr w:rsidR="00BD776B" w14:paraId="25EFB878"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65BE6" w14:textId="77777777" w:rsidR="00BD776B" w:rsidRDefault="00DF0C24">
            <w:pPr>
              <w:snapToGrid w:val="0"/>
              <w:jc w:val="center"/>
            </w:pPr>
            <w:r>
              <w:rPr>
                <w:rFonts w:ascii="標楷體" w:eastAsia="標楷體" w:hAnsi="標楷體" w:cs="標楷體"/>
                <w:color w:val="000000"/>
              </w:rPr>
              <w:t>□是</w:t>
            </w:r>
          </w:p>
          <w:p w14:paraId="41A0322A"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B14428" w14:textId="77777777" w:rsidR="00BD776B" w:rsidRDefault="00DF0C24">
            <w:pPr>
              <w:snapToGrid w:val="0"/>
              <w:jc w:val="both"/>
            </w:pPr>
            <w:r>
              <w:rPr>
                <w:rFonts w:ascii="標楷體" w:eastAsia="標楷體" w:hAnsi="標楷體" w:cs="標楷體"/>
              </w:rPr>
              <w:t>病患是否罹患惡性腫瘤或具有癌症前兆</w:t>
            </w:r>
            <w:r>
              <w:rPr>
                <w:rFonts w:ascii="標楷體" w:eastAsia="標楷體" w:hAnsi="標楷體"/>
              </w:rPr>
              <w:t>(pre-malignancy)</w:t>
            </w:r>
            <w:r>
              <w:rPr>
                <w:rFonts w:ascii="標楷體" w:eastAsia="標楷體" w:hAnsi="標楷體" w:cs="標楷體"/>
              </w:rPr>
              <w:t>。</w:t>
            </w:r>
          </w:p>
        </w:tc>
        <w:tc>
          <w:tcPr>
            <w:tcW w:w="40" w:type="dxa"/>
          </w:tcPr>
          <w:p w14:paraId="609096A2" w14:textId="77777777" w:rsidR="00BD776B" w:rsidRDefault="00BD776B">
            <w:pPr>
              <w:snapToGrid w:val="0"/>
              <w:jc w:val="both"/>
            </w:pPr>
          </w:p>
        </w:tc>
      </w:tr>
      <w:tr w:rsidR="00BD776B" w14:paraId="79BA2C92"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4917B" w14:textId="77777777" w:rsidR="00BD776B" w:rsidRDefault="00DF0C24">
            <w:pPr>
              <w:snapToGrid w:val="0"/>
              <w:jc w:val="center"/>
            </w:pPr>
            <w:r>
              <w:rPr>
                <w:rFonts w:ascii="標楷體" w:eastAsia="標楷體" w:hAnsi="標楷體" w:cs="標楷體"/>
                <w:color w:val="000000"/>
              </w:rPr>
              <w:t>□是</w:t>
            </w:r>
          </w:p>
          <w:p w14:paraId="10CE1D3D"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4462E2" w14:textId="77777777" w:rsidR="00BD776B" w:rsidRDefault="00DF0C24">
            <w:pPr>
              <w:snapToGrid w:val="0"/>
              <w:jc w:val="both"/>
            </w:pPr>
            <w:r>
              <w:rPr>
                <w:rFonts w:ascii="標楷體" w:eastAsia="標楷體" w:hAnsi="標楷體" w:cs="標楷體"/>
              </w:rPr>
              <w:t>病患是否有免疫功能不全。</w:t>
            </w:r>
          </w:p>
        </w:tc>
        <w:tc>
          <w:tcPr>
            <w:tcW w:w="40" w:type="dxa"/>
          </w:tcPr>
          <w:p w14:paraId="30925B02" w14:textId="77777777" w:rsidR="00BD776B" w:rsidRDefault="00BD776B">
            <w:pPr>
              <w:snapToGrid w:val="0"/>
              <w:jc w:val="both"/>
            </w:pPr>
          </w:p>
        </w:tc>
      </w:tr>
      <w:tr w:rsidR="00BD776B" w14:paraId="0C9695A4"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CDCDD" w14:textId="77777777" w:rsidR="00BD776B" w:rsidRDefault="00DF0C24">
            <w:pPr>
              <w:snapToGrid w:val="0"/>
              <w:jc w:val="center"/>
            </w:pPr>
            <w:r>
              <w:rPr>
                <w:rFonts w:ascii="標楷體" w:eastAsia="標楷體" w:hAnsi="標楷體" w:cs="標楷體"/>
                <w:color w:val="000000"/>
              </w:rPr>
              <w:t>□是</w:t>
            </w:r>
          </w:p>
          <w:p w14:paraId="7DC205FD"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6CB6EB" w14:textId="77777777" w:rsidR="00BD776B" w:rsidRDefault="00DF0C24">
            <w:pPr>
              <w:snapToGrid w:val="0"/>
              <w:jc w:val="both"/>
              <w:rPr>
                <w:rFonts w:ascii="標楷體" w:eastAsia="標楷體" w:hAnsi="標楷體"/>
                <w:color w:val="000000"/>
              </w:rPr>
            </w:pPr>
            <w:r>
              <w:rPr>
                <w:rFonts w:ascii="標楷體" w:eastAsia="標楷體" w:hAnsi="標楷體"/>
                <w:color w:val="000000"/>
              </w:rPr>
              <w:t>使用後療效不彰：經過六個月治療後，未達療效反應標準或有惡化現象。</w:t>
            </w:r>
          </w:p>
        </w:tc>
        <w:tc>
          <w:tcPr>
            <w:tcW w:w="40" w:type="dxa"/>
          </w:tcPr>
          <w:p w14:paraId="40B22086" w14:textId="77777777" w:rsidR="00BD776B" w:rsidRDefault="00BD776B">
            <w:pPr>
              <w:snapToGrid w:val="0"/>
              <w:jc w:val="both"/>
              <w:rPr>
                <w:rFonts w:ascii="標楷體" w:eastAsia="標楷體" w:hAnsi="標楷體"/>
                <w:color w:val="000000"/>
              </w:rPr>
            </w:pPr>
          </w:p>
        </w:tc>
      </w:tr>
      <w:tr w:rsidR="00BD776B" w14:paraId="16C06640" w14:textId="77777777">
        <w:trPr>
          <w:jc w:val="center"/>
        </w:trPr>
        <w:tc>
          <w:tcPr>
            <w:tcW w:w="1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69B5" w14:textId="77777777" w:rsidR="00BD776B" w:rsidRDefault="00DF0C24">
            <w:pPr>
              <w:snapToGrid w:val="0"/>
              <w:jc w:val="center"/>
            </w:pPr>
            <w:r>
              <w:rPr>
                <w:rFonts w:ascii="標楷體" w:eastAsia="標楷體" w:hAnsi="標楷體" w:cs="標楷體"/>
                <w:color w:val="000000"/>
              </w:rPr>
              <w:t>□是</w:t>
            </w:r>
          </w:p>
          <w:p w14:paraId="399EEFEA" w14:textId="77777777" w:rsidR="00BD776B" w:rsidRDefault="00DF0C24">
            <w:pPr>
              <w:snapToGrid w:val="0"/>
              <w:jc w:val="center"/>
            </w:pPr>
            <w:r>
              <w:rPr>
                <w:rFonts w:ascii="標楷體" w:eastAsia="標楷體" w:hAnsi="標楷體" w:cs="標楷體"/>
                <w:color w:val="000000"/>
              </w:rPr>
              <w:t>□否</w:t>
            </w:r>
          </w:p>
        </w:tc>
        <w:tc>
          <w:tcPr>
            <w:tcW w:w="80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66AF76" w14:textId="77777777" w:rsidR="00BD776B" w:rsidRDefault="00DF0C24">
            <w:pPr>
              <w:snapToGrid w:val="0"/>
              <w:jc w:val="both"/>
              <w:rPr>
                <w:rFonts w:ascii="標楷體" w:eastAsia="標楷體" w:hAnsi="標楷體"/>
                <w:color w:val="000000"/>
              </w:rPr>
            </w:pPr>
            <w:r>
              <w:rPr>
                <w:rFonts w:ascii="標楷體" w:eastAsia="標楷體" w:hAnsi="標楷體"/>
                <w:color w:val="000000"/>
              </w:rPr>
              <w:t>使用後發生懷孕或不良事件(包括：惡性腫瘤、該藥物引起的嚴重毒性、嚴重的感染性疾病)。</w:t>
            </w:r>
          </w:p>
        </w:tc>
        <w:tc>
          <w:tcPr>
            <w:tcW w:w="40" w:type="dxa"/>
          </w:tcPr>
          <w:p w14:paraId="7B661855" w14:textId="77777777" w:rsidR="00BD776B" w:rsidRDefault="00BD776B">
            <w:pPr>
              <w:snapToGrid w:val="0"/>
              <w:jc w:val="both"/>
              <w:rPr>
                <w:rFonts w:ascii="標楷體" w:eastAsia="標楷體" w:hAnsi="標楷體"/>
                <w:color w:val="000000"/>
              </w:rPr>
            </w:pPr>
          </w:p>
        </w:tc>
      </w:tr>
    </w:tbl>
    <w:p w14:paraId="6E1F51FB" w14:textId="77777777" w:rsidR="00BD776B" w:rsidRDefault="00BD776B">
      <w:pPr>
        <w:snapToGrid w:val="0"/>
        <w:ind w:left="720" w:firstLine="120"/>
        <w:rPr>
          <w:rFonts w:ascii="標楷體" w:eastAsia="標楷體" w:hAnsi="標楷體" w:cs="標楷體"/>
          <w:color w:val="000000"/>
        </w:rPr>
      </w:pPr>
    </w:p>
    <w:p w14:paraId="4298F4E2" w14:textId="77777777" w:rsidR="00BD776B" w:rsidRDefault="00DF0C24">
      <w:pPr>
        <w:snapToGrid w:val="0"/>
        <w:ind w:left="720" w:firstLine="120"/>
      </w:pPr>
      <w:r>
        <w:rPr>
          <w:rFonts w:ascii="標楷體" w:eastAsia="標楷體" w:hAnsi="標楷體" w:cs="標楷體"/>
          <w:color w:val="000000"/>
        </w:rPr>
        <w:t>申請醫師(簽名蓋章)：</w:t>
      </w:r>
    </w:p>
    <w:p w14:paraId="00F74EC2" w14:textId="77777777" w:rsidR="00BD776B" w:rsidRDefault="00DF0C24">
      <w:pPr>
        <w:snapToGrid w:val="0"/>
        <w:ind w:left="720" w:firstLine="120"/>
      </w:pPr>
      <w:r>
        <w:rPr>
          <w:rFonts w:ascii="標楷體" w:eastAsia="標楷體" w:hAnsi="標楷體" w:cs="標楷體"/>
          <w:color w:val="000000"/>
        </w:rPr>
        <w:t>內科專科醫師證書：內專醫字第號</w:t>
      </w:r>
    </w:p>
    <w:p w14:paraId="2A9514FC" w14:textId="77777777" w:rsidR="00BD776B" w:rsidRDefault="00DF0C24">
      <w:pPr>
        <w:snapToGrid w:val="0"/>
        <w:ind w:left="720" w:firstLine="120"/>
      </w:pPr>
      <w:r>
        <w:rPr>
          <w:rFonts w:ascii="標楷體" w:eastAsia="標楷體" w:hAnsi="標楷體" w:cs="標楷體"/>
          <w:color w:val="000000"/>
        </w:rPr>
        <w:t>風濕病專科醫師證書：中僂專醫字第號醫事機構章戳：</w:t>
      </w:r>
    </w:p>
    <w:p w14:paraId="3452DD58" w14:textId="77777777" w:rsidR="00BD776B" w:rsidRDefault="00DF0C24">
      <w:pPr>
        <w:snapToGrid w:val="0"/>
        <w:ind w:left="720" w:firstLine="120"/>
      </w:pPr>
      <w:r>
        <w:rPr>
          <w:rFonts w:ascii="標楷體" w:eastAsia="標楷體" w:hAnsi="標楷體" w:cs="標楷體"/>
          <w:color w:val="000000"/>
        </w:rPr>
        <w:t>小兒科專科醫師證書：兒專醫字第號</w:t>
      </w:r>
    </w:p>
    <w:p w14:paraId="6A02371F" w14:textId="77777777" w:rsidR="00BD776B" w:rsidRDefault="00DF0C24">
      <w:pPr>
        <w:snapToGrid w:val="0"/>
        <w:spacing w:line="360" w:lineRule="exact"/>
        <w:ind w:left="720" w:firstLine="120"/>
      </w:pPr>
      <w:r>
        <w:rPr>
          <w:rFonts w:ascii="標楷體" w:eastAsia="標楷體" w:hAnsi="標楷體" w:cs="標楷體"/>
          <w:color w:val="000000"/>
        </w:rPr>
        <w:t>小兒過敏免疫專科醫師證書:專醫字第號</w:t>
      </w:r>
    </w:p>
    <w:p w14:paraId="720980A7" w14:textId="77777777" w:rsidR="00BD776B" w:rsidRDefault="00BD776B">
      <w:pPr>
        <w:snapToGrid w:val="0"/>
        <w:spacing w:line="360" w:lineRule="exact"/>
        <w:jc w:val="center"/>
        <w:rPr>
          <w:rFonts w:ascii="標楷體" w:eastAsia="標楷體" w:hAnsi="標楷體"/>
          <w:color w:val="000000"/>
          <w:sz w:val="32"/>
          <w:szCs w:val="32"/>
        </w:rPr>
      </w:pPr>
    </w:p>
    <w:p w14:paraId="71998DD6" w14:textId="77777777" w:rsidR="00BD776B" w:rsidRDefault="00DF0C24">
      <w:pPr>
        <w:pageBreakBefore/>
        <w:widowControl/>
        <w:snapToGrid w:val="0"/>
        <w:jc w:val="center"/>
      </w:pPr>
      <w:r>
        <w:rPr>
          <w:rFonts w:ascii="標楷體" w:eastAsia="標楷體" w:hAnsi="標楷體"/>
          <w:color w:val="000000"/>
        </w:rPr>
        <w:lastRenderedPageBreak/>
        <w:t>附表十七全民健康保險使用Tacrolimus兒童患部面積計算圖</w:t>
      </w:r>
    </w:p>
    <w:p w14:paraId="2AE33EA8" w14:textId="77777777" w:rsidR="00BD776B" w:rsidRDefault="00DF0C24">
      <w:pPr>
        <w:snapToGrid w:val="0"/>
        <w:jc w:val="center"/>
      </w:pPr>
      <w:r>
        <w:rPr>
          <w:rFonts w:ascii="標楷體" w:eastAsia="標楷體" w:hAnsi="標楷體"/>
          <w:color w:val="000000"/>
        </w:rPr>
        <w:t>Barkin</w:t>
      </w:r>
      <w:r>
        <w:rPr>
          <w:rFonts w:ascii="標楷體" w:eastAsia="標楷體" w:hAnsi="標楷體"/>
          <w:b/>
          <w:bCs/>
          <w:color w:val="000000"/>
        </w:rPr>
        <w:t>公式</w:t>
      </w:r>
    </w:p>
    <w:p w14:paraId="6AE78CDE" w14:textId="77777777" w:rsidR="00BD776B" w:rsidRDefault="00DF0C24">
      <w:pPr>
        <w:snapToGrid w:val="0"/>
        <w:jc w:val="center"/>
        <w:sectPr w:rsidR="00BD776B" w:rsidSect="007E1772">
          <w:footerReference w:type="default" r:id="rId20"/>
          <w:pgSz w:w="11906" w:h="16838"/>
          <w:pgMar w:top="1134" w:right="567" w:bottom="1134" w:left="567" w:header="720" w:footer="720" w:gutter="0"/>
          <w:cols w:space="720"/>
          <w:docGrid w:type="linesAndChars"/>
        </w:sectPr>
      </w:pPr>
      <w:r>
        <w:rPr>
          <w:rFonts w:ascii="標楷體" w:eastAsia="標楷體" w:hAnsi="標楷體"/>
          <w:b/>
          <w:noProof/>
          <w:color w:val="000000"/>
          <w:sz w:val="36"/>
          <w:szCs w:val="36"/>
        </w:rPr>
        <w:drawing>
          <wp:inline distT="0" distB="0" distL="0" distR="0" wp14:anchorId="071EB390" wp14:editId="3FDB42A6">
            <wp:extent cx="5096508" cy="6583680"/>
            <wp:effectExtent l="0" t="0" r="8892" b="7620"/>
            <wp:docPr id="12" name="圖片 1" descr="兒童"/>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096508" cy="6583680"/>
                    </a:xfrm>
                    <a:prstGeom prst="rect">
                      <a:avLst/>
                    </a:prstGeom>
                    <a:noFill/>
                    <a:ln>
                      <a:noFill/>
                      <a:prstDash/>
                    </a:ln>
                  </pic:spPr>
                </pic:pic>
              </a:graphicData>
            </a:graphic>
          </wp:inline>
        </w:drawing>
      </w:r>
    </w:p>
    <w:p w14:paraId="501418AF" w14:textId="77777777" w:rsidR="00BD776B" w:rsidRDefault="00BD776B"/>
    <w:p w14:paraId="2E03CB1D" w14:textId="77777777" w:rsidR="00BD776B" w:rsidRDefault="00DF0C24">
      <w:pPr>
        <w:spacing w:line="400" w:lineRule="exact"/>
        <w:jc w:val="center"/>
      </w:pPr>
      <w:r>
        <w:rPr>
          <w:noProof/>
        </w:rPr>
        <mc:AlternateContent>
          <mc:Choice Requires="wps">
            <w:drawing>
              <wp:anchor distT="0" distB="0" distL="114300" distR="114300" simplePos="0" relativeHeight="251655168" behindDoc="0" locked="0" layoutInCell="1" allowOverlap="1" wp14:anchorId="5998C201" wp14:editId="54578930">
                <wp:simplePos x="0" y="0"/>
                <wp:positionH relativeFrom="column">
                  <wp:posOffset>-369573</wp:posOffset>
                </wp:positionH>
                <wp:positionV relativeFrom="paragraph">
                  <wp:posOffset>-737235</wp:posOffset>
                </wp:positionV>
                <wp:extent cx="2209803" cy="805815"/>
                <wp:effectExtent l="0" t="0" r="0" b="0"/>
                <wp:wrapNone/>
                <wp:docPr id="13" name="文字方塊 6"/>
                <wp:cNvGraphicFramePr/>
                <a:graphic xmlns:a="http://schemas.openxmlformats.org/drawingml/2006/main">
                  <a:graphicData uri="http://schemas.microsoft.com/office/word/2010/wordprocessingShape">
                    <wps:wsp>
                      <wps:cNvSpPr txBox="1"/>
                      <wps:spPr>
                        <a:xfrm>
                          <a:off x="0" y="0"/>
                          <a:ext cx="2209803" cy="805815"/>
                        </a:xfrm>
                        <a:prstGeom prst="rect">
                          <a:avLst/>
                        </a:prstGeom>
                        <a:noFill/>
                        <a:ln>
                          <a:noFill/>
                          <a:prstDash/>
                        </a:ln>
                      </wps:spPr>
                      <wps:txbx>
                        <w:txbxContent>
                          <w:p w14:paraId="2615A236"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26FCBA13"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p w14:paraId="487B372E"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免疫耐受治療</w:t>
                            </w:r>
                          </w:p>
                        </w:txbxContent>
                      </wps:txbx>
                      <wps:bodyPr vert="horz" wrap="square" lIns="91440" tIns="45720" rIns="91440" bIns="45720" anchor="t" anchorCtr="0" compatLnSpc="0">
                        <a:noAutofit/>
                      </wps:bodyPr>
                    </wps:wsp>
                  </a:graphicData>
                </a:graphic>
              </wp:anchor>
            </w:drawing>
          </mc:Choice>
          <mc:Fallback>
            <w:pict>
              <v:shape w14:anchorId="5998C201" id="文字方塊 6" o:spid="_x0000_s1033" type="#_x0000_t202" style="position:absolute;left:0;text-align:left;margin-left:-29.1pt;margin-top:-58.05pt;width:174pt;height:63.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" filled="f" stroked="f">
                <v:textbox>
                  <w:txbxContent>
                    <w:p w14:paraId="2615A236"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26FCBA13"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p w14:paraId="487B372E"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免疫耐受治療</w:t>
                      </w:r>
                    </w:p>
                  </w:txbxContent>
                </v:textbox>
              </v:shape>
            </w:pict>
          </mc:Fallback>
        </mc:AlternateContent>
      </w:r>
      <w:r>
        <w:rPr>
          <w:rFonts w:ascii="標楷體" w:eastAsia="標楷體" w:hAnsi="標楷體"/>
          <w:sz w:val="36"/>
        </w:rPr>
        <w:t>附表十八之一  全民健康保險血友病患者使用「第八、第九凝血因子」在家治療紀錄表</w:t>
      </w:r>
    </w:p>
    <w:p w14:paraId="6293F3B2" w14:textId="77777777" w:rsidR="00BD776B" w:rsidRDefault="00DF0C24">
      <w:pPr>
        <w:spacing w:line="400" w:lineRule="exact"/>
      </w:pPr>
      <w:r>
        <w:rPr>
          <w:rFonts w:ascii="標楷體" w:eastAsia="標楷體" w:hAnsi="標楷體"/>
          <w:sz w:val="28"/>
        </w:rPr>
        <w:t>姓名：</w:t>
      </w:r>
      <w:r>
        <w:rPr>
          <w:rFonts w:ascii="標楷體" w:eastAsia="標楷體" w:hAnsi="標楷體"/>
          <w:sz w:val="28"/>
          <w:u w:val="single"/>
        </w:rPr>
        <w:t xml:space="preserve">　　　　　　　</w:t>
      </w:r>
      <w:r>
        <w:rPr>
          <w:rFonts w:ascii="標楷體" w:eastAsia="標楷體" w:hAnsi="標楷體"/>
          <w:sz w:val="28"/>
        </w:rPr>
        <w:t xml:space="preserve">　　　體重：</w:t>
      </w:r>
      <w:r>
        <w:rPr>
          <w:rFonts w:ascii="標楷體" w:eastAsia="標楷體" w:hAnsi="標楷體"/>
          <w:sz w:val="28"/>
          <w:u w:val="single"/>
        </w:rPr>
        <w:t xml:space="preserve">　　　　　</w:t>
      </w:r>
      <w:r>
        <w:rPr>
          <w:rFonts w:ascii="標楷體" w:eastAsia="標楷體" w:hAnsi="標楷體"/>
          <w:sz w:val="28"/>
        </w:rPr>
        <w:t>公斤    診斷：□Ａ型血友病　□輕度　□中度　□重度　□其他</w:t>
      </w:r>
    </w:p>
    <w:p w14:paraId="60F8DD89" w14:textId="77777777" w:rsidR="00BD776B" w:rsidRDefault="00DF0C24">
      <w:pPr>
        <w:spacing w:line="400" w:lineRule="exact"/>
        <w:ind w:firstLine="280"/>
        <w:rPr>
          <w:rFonts w:ascii="標楷體" w:eastAsia="標楷體" w:hAnsi="標楷體"/>
          <w:sz w:val="28"/>
        </w:rPr>
      </w:pPr>
      <w:r>
        <w:rPr>
          <w:rFonts w:ascii="標楷體" w:eastAsia="標楷體" w:hAnsi="標楷體"/>
          <w:sz w:val="28"/>
        </w:rPr>
        <w:t xml:space="preserve">　　　　　　　　　　　　　　　　　　　　　　　　　    □Ｂ型血友病　□輕度　□中度　□重度</w:t>
      </w:r>
    </w:p>
    <w:p w14:paraId="4657C3DC" w14:textId="77777777" w:rsidR="00BD776B" w:rsidRDefault="00DF0C24">
      <w:pPr>
        <w:spacing w:line="520" w:lineRule="exact"/>
      </w:pPr>
      <w:r>
        <w:rPr>
          <w:rFonts w:ascii="標楷體" w:eastAsia="標楷體" w:hAnsi="標楷體"/>
          <w:sz w:val="28"/>
        </w:rPr>
        <w:t>領藥日(年/月/日）：</w:t>
      </w:r>
      <w:r>
        <w:rPr>
          <w:rFonts w:ascii="標楷體" w:eastAsia="標楷體" w:hAnsi="標楷體"/>
          <w:sz w:val="28"/>
          <w:u w:val="single"/>
        </w:rPr>
        <w:t xml:space="preserve">　　／　　／　　</w:t>
      </w:r>
      <w:r>
        <w:rPr>
          <w:rFonts w:ascii="標楷體" w:eastAsia="標楷體" w:hAnsi="標楷體"/>
          <w:sz w:val="28"/>
        </w:rPr>
        <w:t xml:space="preserve">      </w:t>
      </w:r>
      <w:r>
        <w:rPr>
          <w:rFonts w:ascii="標楷體" w:eastAsia="標楷體" w:hAnsi="標楷體"/>
          <w:color w:val="000000"/>
          <w:sz w:val="28"/>
        </w:rPr>
        <w:t>領藥量(瓶)：</w:t>
      </w:r>
      <w:r>
        <w:rPr>
          <w:rFonts w:ascii="標楷體" w:eastAsia="標楷體" w:hAnsi="標楷體"/>
          <w:color w:val="000000"/>
          <w:sz w:val="28"/>
          <w:u w:val="single"/>
        </w:rPr>
        <w:t xml:space="preserve">               </w:t>
      </w:r>
      <w:r>
        <w:rPr>
          <w:rFonts w:ascii="標楷體" w:eastAsia="標楷體" w:hAnsi="標楷體"/>
          <w:color w:val="000000"/>
          <w:sz w:val="28"/>
        </w:rPr>
        <w:t xml:space="preserve">      藥品名稱及批號：</w:t>
      </w:r>
      <w:r>
        <w:rPr>
          <w:rFonts w:ascii="標楷體" w:eastAsia="標楷體" w:hAnsi="標楷體"/>
          <w:color w:val="000000"/>
          <w:sz w:val="28"/>
          <w:u w:val="single"/>
        </w:rPr>
        <w:t xml:space="preserve">　</w:t>
      </w:r>
      <w:r>
        <w:rPr>
          <w:rFonts w:ascii="標楷體" w:eastAsia="標楷體" w:hAnsi="標楷體"/>
          <w:sz w:val="28"/>
          <w:u w:val="single"/>
        </w:rPr>
        <w:t xml:space="preserve">　              </w:t>
      </w:r>
    </w:p>
    <w:p w14:paraId="3001A8C3" w14:textId="77777777" w:rsidR="00BD776B" w:rsidRDefault="00DF0C24">
      <w:pPr>
        <w:spacing w:line="520" w:lineRule="exact"/>
      </w:pPr>
      <w:r>
        <w:rPr>
          <w:rFonts w:ascii="標楷體" w:eastAsia="標楷體" w:hAnsi="標楷體"/>
          <w:sz w:val="28"/>
        </w:rPr>
        <w:t>繳回空瓶數量及批號：</w:t>
      </w:r>
      <w:r>
        <w:rPr>
          <w:rFonts w:ascii="標楷體" w:eastAsia="標楷體" w:hAnsi="標楷體"/>
          <w:sz w:val="28"/>
          <w:u w:val="single"/>
        </w:rPr>
        <w:t xml:space="preserve">                   </w:t>
      </w:r>
      <w:r>
        <w:rPr>
          <w:rFonts w:ascii="標楷體" w:eastAsia="標楷體" w:hAnsi="標楷體"/>
          <w:sz w:val="28"/>
        </w:rPr>
        <w:t xml:space="preserve"> 上次家中剩餘藥量</w:t>
      </w:r>
      <w:r>
        <w:rPr>
          <w:rFonts w:ascii="標楷體" w:eastAsia="標楷體" w:hAnsi="標楷體"/>
          <w:color w:val="000000"/>
          <w:sz w:val="28"/>
        </w:rPr>
        <w:t>(瓶)</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rPr>
        <w:t xml:space="preserve">  確認人員簽名(章)：</w:t>
      </w:r>
      <w:r>
        <w:rPr>
          <w:rFonts w:ascii="標楷體" w:eastAsia="標楷體" w:hAnsi="標楷體"/>
          <w:sz w:val="28"/>
          <w:u w:val="single"/>
        </w:rPr>
        <w:t xml:space="preserve">                  </w:t>
      </w:r>
    </w:p>
    <w:tbl>
      <w:tblPr>
        <w:tblW w:w="15168" w:type="dxa"/>
        <w:tblInd w:w="-162" w:type="dxa"/>
        <w:tblLayout w:type="fixed"/>
        <w:tblCellMar>
          <w:left w:w="10" w:type="dxa"/>
          <w:right w:w="10" w:type="dxa"/>
        </w:tblCellMar>
        <w:tblLook w:val="0000" w:firstRow="0" w:lastRow="0" w:firstColumn="0" w:lastColumn="0" w:noHBand="0" w:noVBand="0"/>
      </w:tblPr>
      <w:tblGrid>
        <w:gridCol w:w="993"/>
        <w:gridCol w:w="709"/>
        <w:gridCol w:w="704"/>
        <w:gridCol w:w="900"/>
        <w:gridCol w:w="720"/>
        <w:gridCol w:w="1200"/>
        <w:gridCol w:w="1320"/>
        <w:gridCol w:w="1320"/>
        <w:gridCol w:w="1320"/>
        <w:gridCol w:w="600"/>
        <w:gridCol w:w="600"/>
        <w:gridCol w:w="840"/>
        <w:gridCol w:w="840"/>
        <w:gridCol w:w="1968"/>
        <w:gridCol w:w="1134"/>
      </w:tblGrid>
      <w:tr w:rsidR="00BD776B" w14:paraId="7E488088" w14:textId="77777777">
        <w:trPr>
          <w:cantSplit/>
          <w:trHeight w:val="727"/>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B41283"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注射日</w:t>
            </w:r>
          </w:p>
        </w:tc>
        <w:tc>
          <w:tcPr>
            <w:tcW w:w="23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3704FA" w14:textId="77777777" w:rsidR="00BD776B" w:rsidRDefault="00DF0C24">
            <w:pPr>
              <w:spacing w:line="300" w:lineRule="exact"/>
              <w:jc w:val="center"/>
              <w:rPr>
                <w:rFonts w:ascii="標楷體" w:eastAsia="標楷體" w:hAnsi="標楷體"/>
              </w:rPr>
            </w:pPr>
            <w:r>
              <w:rPr>
                <w:rFonts w:ascii="標楷體" w:eastAsia="標楷體" w:hAnsi="標楷體"/>
              </w:rPr>
              <w:t>注射時間</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C6DF68" w14:textId="77777777" w:rsidR="00BD776B" w:rsidRDefault="00DF0C24">
            <w:pPr>
              <w:spacing w:line="300" w:lineRule="exact"/>
              <w:ind w:left="113" w:right="113"/>
              <w:jc w:val="center"/>
            </w:pPr>
            <w:r>
              <w:rPr>
                <w:rFonts w:ascii="標楷體" w:eastAsia="標楷體" w:hAnsi="標楷體"/>
                <w:sz w:val="22"/>
              </w:rPr>
              <w:t>注射瓶數</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758AE6"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每瓶含量</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E6588" w14:textId="77777777" w:rsidR="00BD776B" w:rsidRDefault="00DF0C24">
            <w:pPr>
              <w:spacing w:line="300" w:lineRule="exact"/>
              <w:jc w:val="center"/>
              <w:rPr>
                <w:rFonts w:ascii="標楷體" w:eastAsia="標楷體" w:hAnsi="標楷體"/>
              </w:rPr>
            </w:pPr>
            <w:r>
              <w:rPr>
                <w:rFonts w:ascii="標楷體" w:eastAsia="標楷體" w:hAnsi="標楷體"/>
              </w:rPr>
              <w:t>出血原因</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69F34A" w14:textId="77777777" w:rsidR="00BD776B" w:rsidRDefault="00DF0C24">
            <w:pPr>
              <w:spacing w:line="300" w:lineRule="exact"/>
              <w:jc w:val="center"/>
              <w:rPr>
                <w:rFonts w:ascii="標楷體" w:eastAsia="標楷體" w:hAnsi="標楷體"/>
              </w:rPr>
            </w:pPr>
            <w:r>
              <w:rPr>
                <w:rFonts w:ascii="標楷體" w:eastAsia="標楷體" w:hAnsi="標楷體"/>
              </w:rPr>
              <w:t>出血部位</w:t>
            </w:r>
          </w:p>
          <w:p w14:paraId="69A73266" w14:textId="77777777" w:rsidR="00BD776B" w:rsidRDefault="00DF0C24">
            <w:pPr>
              <w:spacing w:line="300" w:lineRule="exact"/>
              <w:jc w:val="center"/>
              <w:rPr>
                <w:rFonts w:ascii="標楷體" w:eastAsia="標楷體" w:hAnsi="標楷體"/>
              </w:rPr>
            </w:pPr>
            <w:r>
              <w:rPr>
                <w:rFonts w:ascii="標楷體" w:eastAsia="標楷體" w:hAnsi="標楷體"/>
              </w:rPr>
              <w:t>(請依背面圖示填寫)</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456F0F" w14:textId="77777777" w:rsidR="00BD776B" w:rsidRDefault="00DF0C24">
            <w:pPr>
              <w:spacing w:line="300" w:lineRule="exact"/>
              <w:jc w:val="center"/>
              <w:rPr>
                <w:rFonts w:ascii="標楷體" w:eastAsia="標楷體" w:hAnsi="標楷體"/>
              </w:rPr>
            </w:pPr>
            <w:r>
              <w:rPr>
                <w:rFonts w:ascii="標楷體" w:eastAsia="標楷體" w:hAnsi="標楷體"/>
              </w:rPr>
              <w:t>注射後效果</w:t>
            </w:r>
          </w:p>
        </w:tc>
        <w:tc>
          <w:tcPr>
            <w:tcW w:w="19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C283E4" w14:textId="77777777" w:rsidR="00BD776B" w:rsidRDefault="00DF0C24">
            <w:pPr>
              <w:spacing w:line="300" w:lineRule="exact"/>
              <w:jc w:val="center"/>
              <w:rPr>
                <w:rFonts w:ascii="標楷體" w:eastAsia="標楷體" w:hAnsi="標楷體"/>
              </w:rPr>
            </w:pPr>
            <w:r>
              <w:rPr>
                <w:rFonts w:ascii="標楷體" w:eastAsia="標楷體" w:hAnsi="標楷體"/>
              </w:rPr>
              <w:t>注射後發生之不適症狀</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4A9BD1" w14:textId="77777777" w:rsidR="00BD776B" w:rsidRDefault="00DF0C24">
            <w:pPr>
              <w:spacing w:line="300" w:lineRule="exact"/>
              <w:jc w:val="center"/>
              <w:rPr>
                <w:rFonts w:ascii="標楷體" w:eastAsia="標楷體" w:hAnsi="標楷體"/>
              </w:rPr>
            </w:pPr>
            <w:r>
              <w:rPr>
                <w:rFonts w:ascii="標楷體" w:eastAsia="標楷體" w:hAnsi="標楷體"/>
              </w:rPr>
              <w:t>注射者簽名(章)</w:t>
            </w:r>
          </w:p>
        </w:tc>
      </w:tr>
      <w:tr w:rsidR="00BD776B" w14:paraId="20216C34" w14:textId="77777777">
        <w:trPr>
          <w:cantSplit/>
          <w:trHeight w:val="42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77D8EB" w14:textId="77777777" w:rsidR="00BD776B" w:rsidRDefault="00DF0C24">
            <w:pPr>
              <w:spacing w:line="300" w:lineRule="exact"/>
              <w:jc w:val="center"/>
              <w:rPr>
                <w:rFonts w:ascii="標楷體" w:eastAsia="標楷體" w:hAnsi="標楷體"/>
              </w:rPr>
            </w:pPr>
            <w:r>
              <w:rPr>
                <w:rFonts w:ascii="標楷體" w:eastAsia="標楷體" w:hAnsi="標楷體"/>
              </w:rPr>
              <w:t>(月/日)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97E6C"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上午</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03C0E9"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下午</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0C9604" w14:textId="77777777" w:rsidR="00BD776B" w:rsidRDefault="00DF0C24">
            <w:pPr>
              <w:spacing w:line="300" w:lineRule="exact"/>
              <w:jc w:val="center"/>
              <w:rPr>
                <w:rFonts w:ascii="標楷體" w:eastAsia="標楷體" w:hAnsi="標楷體"/>
              </w:rPr>
            </w:pPr>
            <w:r>
              <w:rPr>
                <w:rFonts w:ascii="標楷體" w:eastAsia="標楷體" w:hAnsi="標楷體"/>
              </w:rPr>
              <w:t>時間</w:t>
            </w:r>
          </w:p>
          <w:p w14:paraId="7FE3FC74" w14:textId="77777777" w:rsidR="00BD776B" w:rsidRDefault="00DF0C24">
            <w:pPr>
              <w:spacing w:line="300" w:lineRule="exact"/>
              <w:jc w:val="center"/>
              <w:rPr>
                <w:rFonts w:ascii="標楷體" w:eastAsia="標楷體" w:hAnsi="標楷體"/>
              </w:rPr>
            </w:pPr>
            <w:r>
              <w:rPr>
                <w:rFonts w:ascii="標楷體" w:eastAsia="標楷體" w:hAnsi="標楷體"/>
              </w:rPr>
              <w:t>(時/分)</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8E8A5" w14:textId="77777777" w:rsidR="00BD776B" w:rsidRDefault="00DF0C24">
            <w:pPr>
              <w:spacing w:line="300" w:lineRule="exact"/>
              <w:jc w:val="center"/>
              <w:rPr>
                <w:rFonts w:ascii="標楷體" w:eastAsia="標楷體" w:hAnsi="標楷體"/>
              </w:rPr>
            </w:pPr>
            <w:r>
              <w:rPr>
                <w:rFonts w:ascii="標楷體" w:eastAsia="標楷體" w:hAnsi="標楷體"/>
              </w:rPr>
              <w:t>(瓶)</w:t>
            </w: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E2018C"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621826" w14:textId="77777777" w:rsidR="00BD776B" w:rsidRDefault="00DF0C24">
            <w:pPr>
              <w:spacing w:line="300" w:lineRule="exact"/>
              <w:jc w:val="center"/>
              <w:rPr>
                <w:rFonts w:ascii="標楷體" w:eastAsia="標楷體" w:hAnsi="標楷體"/>
              </w:rPr>
            </w:pPr>
            <w:r>
              <w:rPr>
                <w:rFonts w:ascii="標楷體" w:eastAsia="標楷體" w:hAnsi="標楷體"/>
              </w:rPr>
              <w:t>自發性出血</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453DCC" w14:textId="77777777" w:rsidR="00BD776B" w:rsidRDefault="00BD776B">
            <w:pPr>
              <w:spacing w:line="300" w:lineRule="exact"/>
              <w:jc w:val="center"/>
              <w:rPr>
                <w:rFonts w:ascii="標楷體" w:eastAsia="標楷體" w:hAnsi="標楷體"/>
              </w:rPr>
            </w:pPr>
          </w:p>
          <w:p w14:paraId="5B60ACB3" w14:textId="77777777" w:rsidR="00BD776B" w:rsidRDefault="00DF0C24">
            <w:pPr>
              <w:spacing w:line="300" w:lineRule="exact"/>
              <w:jc w:val="center"/>
              <w:rPr>
                <w:rFonts w:ascii="標楷體" w:eastAsia="標楷體" w:hAnsi="標楷體"/>
              </w:rPr>
            </w:pPr>
            <w:r>
              <w:rPr>
                <w:rFonts w:ascii="標楷體" w:eastAsia="標楷體" w:hAnsi="標楷體"/>
              </w:rPr>
              <w:t>受傷後出血</w:t>
            </w:r>
          </w:p>
          <w:p w14:paraId="26CE36F4"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1F0602" w14:textId="77777777" w:rsidR="00BD776B" w:rsidRDefault="00DF0C24">
            <w:pPr>
              <w:spacing w:line="300" w:lineRule="exact"/>
              <w:jc w:val="center"/>
              <w:rPr>
                <w:rFonts w:ascii="標楷體" w:eastAsia="標楷體" w:hAnsi="標楷體"/>
              </w:rPr>
            </w:pPr>
            <w:r>
              <w:rPr>
                <w:rFonts w:ascii="標楷體" w:eastAsia="標楷體" w:hAnsi="標楷體"/>
              </w:rPr>
              <w:t>代號或部位</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364C9F" w14:textId="77777777" w:rsidR="00BD776B" w:rsidRDefault="00DF0C24">
            <w:pPr>
              <w:spacing w:line="300" w:lineRule="exact"/>
              <w:jc w:val="center"/>
              <w:rPr>
                <w:rFonts w:ascii="標楷體" w:eastAsia="標楷體" w:hAnsi="標楷體"/>
              </w:rPr>
            </w:pPr>
            <w:r>
              <w:rPr>
                <w:rFonts w:ascii="標楷體" w:eastAsia="標楷體" w:hAnsi="標楷體"/>
              </w:rPr>
              <w:t>左</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265E0F" w14:textId="77777777" w:rsidR="00BD776B" w:rsidRDefault="00DF0C24">
            <w:pPr>
              <w:spacing w:line="300" w:lineRule="exact"/>
              <w:jc w:val="center"/>
              <w:rPr>
                <w:rFonts w:ascii="標楷體" w:eastAsia="標楷體" w:hAnsi="標楷體"/>
              </w:rPr>
            </w:pPr>
            <w:r>
              <w:rPr>
                <w:rFonts w:ascii="標楷體" w:eastAsia="標楷體" w:hAnsi="標楷體"/>
              </w:rPr>
              <w:t>右</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F3274F"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改善</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7F4F1"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未改善</w:t>
            </w:r>
          </w:p>
        </w:tc>
        <w:tc>
          <w:tcPr>
            <w:tcW w:w="19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BC831C" w14:textId="77777777" w:rsidR="00BD776B" w:rsidRDefault="00BD776B">
            <w:pPr>
              <w:spacing w:line="300" w:lineRule="exact"/>
              <w:rPr>
                <w:rFonts w:ascii="標楷體" w:eastAsia="標楷體" w:hAnsi="標楷體"/>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FEC6E7" w14:textId="77777777" w:rsidR="00BD776B" w:rsidRDefault="00BD776B">
            <w:pPr>
              <w:spacing w:line="300" w:lineRule="exact"/>
              <w:rPr>
                <w:rFonts w:ascii="標楷體" w:eastAsia="標楷體" w:hAnsi="標楷體"/>
              </w:rPr>
            </w:pPr>
          </w:p>
        </w:tc>
      </w:tr>
      <w:tr w:rsidR="00BD776B" w14:paraId="200A547F" w14:textId="77777777">
        <w:trPr>
          <w:trHeight w:val="45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0CA07"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933ECA"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CB9D4"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1C9F7"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DDB4D"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2F942"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11C1C"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054C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B2D"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97430"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B4348"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0616"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3472C" w14:textId="77777777" w:rsidR="00BD776B" w:rsidRDefault="00BD776B">
            <w:pPr>
              <w:spacing w:line="300" w:lineRule="exact"/>
              <w:rPr>
                <w:rFonts w:ascii="標楷體" w:eastAsia="標楷體" w:hAnsi="標楷體"/>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E19E9"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4B897" w14:textId="77777777" w:rsidR="00BD776B" w:rsidRDefault="00BD776B">
            <w:pPr>
              <w:spacing w:line="300" w:lineRule="exact"/>
              <w:rPr>
                <w:rFonts w:ascii="標楷體" w:eastAsia="標楷體" w:hAnsi="標楷體"/>
              </w:rPr>
            </w:pPr>
          </w:p>
        </w:tc>
      </w:tr>
      <w:tr w:rsidR="00BD776B" w14:paraId="666E5F96" w14:textId="77777777">
        <w:trPr>
          <w:trHeight w:val="536"/>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8453B"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4D203"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D96DF1"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BA0DF"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7818C"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BF7D"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BD9E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3554D"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C3169"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032BA"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70280"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7EF2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E4805" w14:textId="77777777" w:rsidR="00BD776B" w:rsidRDefault="00BD776B">
            <w:pPr>
              <w:spacing w:line="300" w:lineRule="exact"/>
              <w:rPr>
                <w:rFonts w:ascii="標楷體" w:eastAsia="標楷體" w:hAnsi="標楷體"/>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D98AC"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6C272" w14:textId="77777777" w:rsidR="00BD776B" w:rsidRDefault="00BD776B">
            <w:pPr>
              <w:spacing w:line="300" w:lineRule="exact"/>
              <w:rPr>
                <w:rFonts w:ascii="標楷體" w:eastAsia="標楷體" w:hAnsi="標楷體"/>
              </w:rPr>
            </w:pPr>
          </w:p>
        </w:tc>
      </w:tr>
      <w:tr w:rsidR="00BD776B" w14:paraId="1707FC60" w14:textId="77777777">
        <w:trPr>
          <w:trHeight w:val="57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5E4F8"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DD205"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EA7B7"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4DD2A"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576B6"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2817E1"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2904ED"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EF16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FFF9F"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E2C43"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D457"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2EAD0"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72C44" w14:textId="77777777" w:rsidR="00BD776B" w:rsidRDefault="00BD776B">
            <w:pPr>
              <w:spacing w:line="300" w:lineRule="exact"/>
              <w:rPr>
                <w:rFonts w:ascii="標楷體" w:eastAsia="標楷體" w:hAnsi="標楷體"/>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A0C76"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CE9F3" w14:textId="77777777" w:rsidR="00BD776B" w:rsidRDefault="00BD776B">
            <w:pPr>
              <w:spacing w:line="300" w:lineRule="exact"/>
              <w:rPr>
                <w:rFonts w:ascii="標楷體" w:eastAsia="標楷體" w:hAnsi="標楷體"/>
              </w:rPr>
            </w:pPr>
          </w:p>
        </w:tc>
      </w:tr>
      <w:tr w:rsidR="00BD776B" w14:paraId="1C71427F" w14:textId="77777777">
        <w:trPr>
          <w:trHeight w:val="56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9B456"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80953"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ABD4C"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CE819"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F0D89B"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27DC3"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8F784E"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39B4"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8169"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9A7CE1"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56E38"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5A2C"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A3641" w14:textId="77777777" w:rsidR="00BD776B" w:rsidRDefault="00BD776B">
            <w:pPr>
              <w:spacing w:line="300" w:lineRule="exact"/>
              <w:rPr>
                <w:rFonts w:ascii="標楷體" w:eastAsia="標楷體" w:hAnsi="標楷體"/>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04796"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71584" w14:textId="77777777" w:rsidR="00BD776B" w:rsidRDefault="00BD776B">
            <w:pPr>
              <w:spacing w:line="300" w:lineRule="exact"/>
              <w:rPr>
                <w:rFonts w:ascii="標楷體" w:eastAsia="標楷體" w:hAnsi="標楷體"/>
              </w:rPr>
            </w:pPr>
          </w:p>
        </w:tc>
      </w:tr>
      <w:tr w:rsidR="00BD776B" w14:paraId="07766075" w14:textId="77777777">
        <w:trPr>
          <w:trHeight w:val="53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0B7F0"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D35B2"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1E0C1"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825F5"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4D350"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B7D75"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8995D"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076E7"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E47E5"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8FD13"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1967F"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762C0"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426B6" w14:textId="77777777" w:rsidR="00BD776B" w:rsidRDefault="00BD776B">
            <w:pPr>
              <w:spacing w:line="300" w:lineRule="exact"/>
              <w:rPr>
                <w:rFonts w:ascii="標楷體" w:eastAsia="標楷體" w:hAnsi="標楷體"/>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DC81F"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302FD" w14:textId="77777777" w:rsidR="00BD776B" w:rsidRDefault="00BD776B">
            <w:pPr>
              <w:spacing w:line="300" w:lineRule="exact"/>
              <w:rPr>
                <w:rFonts w:ascii="標楷體" w:eastAsia="標楷體" w:hAnsi="標楷體"/>
              </w:rPr>
            </w:pPr>
          </w:p>
        </w:tc>
      </w:tr>
    </w:tbl>
    <w:p w14:paraId="635F29FD" w14:textId="77777777" w:rsidR="00BD776B" w:rsidRDefault="00DF0C24">
      <w:pPr>
        <w:spacing w:line="300" w:lineRule="exact"/>
        <w:rPr>
          <w:rFonts w:ascii="標楷體" w:eastAsia="標楷體" w:hAnsi="標楷體"/>
          <w:sz w:val="22"/>
        </w:rPr>
      </w:pPr>
      <w:r>
        <w:rPr>
          <w:rFonts w:ascii="標楷體" w:eastAsia="標楷體" w:hAnsi="標楷體"/>
          <w:sz w:val="22"/>
        </w:rPr>
        <w:t>備註：</w:t>
      </w:r>
    </w:p>
    <w:p w14:paraId="54DAC5AC" w14:textId="77777777" w:rsidR="00BD776B" w:rsidRDefault="00DF0C24">
      <w:pPr>
        <w:spacing w:line="300" w:lineRule="exact"/>
        <w:rPr>
          <w:rFonts w:ascii="標楷體" w:eastAsia="標楷體" w:hAnsi="標楷體"/>
          <w:sz w:val="22"/>
        </w:rPr>
      </w:pPr>
      <w:r>
        <w:rPr>
          <w:rFonts w:ascii="標楷體" w:eastAsia="標楷體" w:hAnsi="標楷體"/>
          <w:sz w:val="22"/>
        </w:rPr>
        <w:t xml:space="preserve">  1.病人於下次回診需攜帶此紀錄表，並請黏貼於病歷，同時繳回已注射後之空瓶備查。紀錄表未黏貼於回診病歷及未繳回空瓶，則該項費用不予支付。</w:t>
      </w:r>
    </w:p>
    <w:p w14:paraId="67DE2D80" w14:textId="77777777" w:rsidR="00BD776B" w:rsidRDefault="00DF0C24">
      <w:pPr>
        <w:spacing w:line="300" w:lineRule="exact"/>
        <w:rPr>
          <w:rFonts w:ascii="標楷體" w:eastAsia="標楷體" w:hAnsi="標楷體"/>
          <w:sz w:val="22"/>
        </w:rPr>
      </w:pPr>
      <w:r>
        <w:rPr>
          <w:rFonts w:ascii="標楷體" w:eastAsia="標楷體" w:hAnsi="標楷體"/>
          <w:sz w:val="22"/>
        </w:rPr>
        <w:t xml:space="preserve">  2.領藥量請詳記藥品規格量及瓶數，例如：500IU×2瓶，使用空瓶於繳回時，請由醫療院所相關人員進行確認(包含回收空瓶日期及總結存量等)，並請確認人員簽名(章)。</w:t>
      </w:r>
    </w:p>
    <w:p w14:paraId="5184756B" w14:textId="77777777" w:rsidR="00BD776B" w:rsidRDefault="00DF0C24">
      <w:pPr>
        <w:spacing w:line="300" w:lineRule="exact"/>
        <w:sectPr w:rsidR="00BD776B" w:rsidSect="007E1772">
          <w:footerReference w:type="default" r:id="rId22"/>
          <w:pgSz w:w="16838" w:h="11906" w:orient="landscape"/>
          <w:pgMar w:top="1247" w:right="1134" w:bottom="1247" w:left="1134" w:header="851" w:footer="964" w:gutter="0"/>
          <w:cols w:space="720"/>
          <w:docGrid w:type="linesAndChars"/>
        </w:sectPr>
      </w:pPr>
      <w:r>
        <w:rPr>
          <w:rFonts w:ascii="標楷體" w:eastAsia="標楷體" w:hAnsi="標楷體"/>
          <w:sz w:val="22"/>
        </w:rPr>
        <w:t xml:space="preserve">  3.出血部位說明請見背面圖示。</w:t>
      </w:r>
      <w:r>
        <w:rPr>
          <w:rFonts w:ascii="標楷體" w:eastAsia="標楷體" w:hAnsi="標楷體"/>
          <w:noProof/>
          <w:sz w:val="28"/>
        </w:rPr>
        <mc:AlternateContent>
          <mc:Choice Requires="wps">
            <w:drawing>
              <wp:anchor distT="0" distB="0" distL="114300" distR="114300" simplePos="0" relativeHeight="251656192" behindDoc="0" locked="0" layoutInCell="1" allowOverlap="1" wp14:anchorId="3D36D4B3" wp14:editId="7B8A9DD5">
                <wp:simplePos x="0" y="0"/>
                <wp:positionH relativeFrom="column">
                  <wp:posOffset>6345</wp:posOffset>
                </wp:positionH>
                <wp:positionV relativeFrom="paragraph">
                  <wp:posOffset>212085</wp:posOffset>
                </wp:positionV>
                <wp:extent cx="2558418" cy="322582"/>
                <wp:effectExtent l="0" t="0" r="0" b="1268"/>
                <wp:wrapNone/>
                <wp:docPr id="14" name="Text Box 100"/>
                <wp:cNvGraphicFramePr/>
                <a:graphic xmlns:a="http://schemas.openxmlformats.org/drawingml/2006/main">
                  <a:graphicData uri="http://schemas.microsoft.com/office/word/2010/wordprocessingShape">
                    <wps:wsp>
                      <wps:cNvSpPr txBox="1"/>
                      <wps:spPr>
                        <a:xfrm>
                          <a:off x="0" y="0"/>
                          <a:ext cx="2558418" cy="322582"/>
                        </a:xfrm>
                        <a:prstGeom prst="rect">
                          <a:avLst/>
                        </a:prstGeom>
                        <a:solidFill>
                          <a:srgbClr val="FFFFFF"/>
                        </a:solidFill>
                        <a:ln>
                          <a:noFill/>
                          <a:prstDash/>
                        </a:ln>
                      </wps:spPr>
                      <wps:txbx>
                        <w:txbxContent>
                          <w:p w14:paraId="4856EDD8" w14:textId="77777777" w:rsidR="00576CD7" w:rsidRDefault="00576CD7">
                            <w:pPr>
                              <w:pStyle w:val="a7"/>
                              <w:rPr>
                                <w:rFonts w:ascii="標楷體" w:eastAsia="標楷體" w:hAnsi="標楷體"/>
                                <w:sz w:val="28"/>
                                <w:szCs w:val="28"/>
                              </w:rPr>
                            </w:pPr>
                            <w:r>
                              <w:rPr>
                                <w:rFonts w:ascii="標楷體" w:eastAsia="標楷體" w:hAnsi="標楷體"/>
                                <w:sz w:val="28"/>
                                <w:szCs w:val="28"/>
                              </w:rPr>
                              <w:t>備註：灰底部分為新修訂規定</w:t>
                            </w:r>
                          </w:p>
                        </w:txbxContent>
                      </wps:txbx>
                      <wps:bodyPr vert="horz" wrap="square" lIns="91440" tIns="45720" rIns="91440" bIns="45720" anchor="t" anchorCtr="0" compatLnSpc="0">
                        <a:spAutoFit/>
                      </wps:bodyPr>
                    </wps:wsp>
                  </a:graphicData>
                </a:graphic>
              </wp:anchor>
            </w:drawing>
          </mc:Choice>
          <mc:Fallback>
            <w:pict>
              <v:shape w14:anchorId="3D36D4B3" id="Text Box 100" o:spid="_x0000_s1034" type="#_x0000_t202" style="position:absolute;margin-left:.5pt;margin-top:16.7pt;width:201.45pt;height:25.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" stroked="f">
                <v:textbox style="mso-fit-shape-to-text:t">
                  <w:txbxContent>
                    <w:p w14:paraId="4856EDD8" w14:textId="77777777" w:rsidR="00576CD7" w:rsidRDefault="00576CD7">
                      <w:pPr>
                        <w:pStyle w:val="a7"/>
                        <w:rPr>
                          <w:rFonts w:ascii="標楷體" w:eastAsia="標楷體" w:hAnsi="標楷體"/>
                          <w:sz w:val="28"/>
                          <w:szCs w:val="28"/>
                        </w:rPr>
                      </w:pPr>
                      <w:r>
                        <w:rPr>
                          <w:rFonts w:ascii="標楷體" w:eastAsia="標楷體" w:hAnsi="標楷體"/>
                          <w:sz w:val="28"/>
                          <w:szCs w:val="28"/>
                        </w:rPr>
                        <w:t>備註：灰底部分為新修訂規定</w:t>
                      </w:r>
                    </w:p>
                  </w:txbxContent>
                </v:textbox>
              </v:shape>
            </w:pict>
          </mc:Fallback>
        </mc:AlternateContent>
      </w:r>
      <w:r>
        <w:rPr>
          <w:rFonts w:ascii="標楷體" w:eastAsia="標楷體" w:hAnsi="標楷體"/>
          <w:sz w:val="28"/>
        </w:rPr>
        <w:t xml:space="preserve">               回收空瓶日期：</w:t>
      </w:r>
      <w:r>
        <w:rPr>
          <w:rFonts w:ascii="標楷體" w:eastAsia="標楷體" w:hAnsi="標楷體"/>
          <w:sz w:val="28"/>
          <w:u w:val="single"/>
        </w:rPr>
        <w:t xml:space="preserve">                </w:t>
      </w:r>
      <w:r>
        <w:rPr>
          <w:rFonts w:ascii="標楷體" w:eastAsia="標楷體" w:hAnsi="標楷體"/>
          <w:sz w:val="28"/>
        </w:rPr>
        <w:t xml:space="preserve">       總結存量</w:t>
      </w:r>
      <w:r>
        <w:rPr>
          <w:rFonts w:ascii="標楷體" w:eastAsia="標楷體" w:hAnsi="標楷體"/>
          <w:color w:val="000000"/>
          <w:sz w:val="28"/>
        </w:rPr>
        <w:t>(瓶)</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u w:val="single"/>
          <w:shd w:val="clear" w:color="auto" w:fill="FFFFFF"/>
        </w:rPr>
        <w:t xml:space="preserve"> </w:t>
      </w:r>
    </w:p>
    <w:p w14:paraId="6199759E" w14:textId="77777777" w:rsidR="00BD776B" w:rsidRDefault="002378B3">
      <w:pPr>
        <w:snapToGrid w:val="0"/>
        <w:sectPr w:rsidR="00BD776B" w:rsidSect="007E1772">
          <w:footerReference w:type="default" r:id="rId23"/>
          <w:pgSz w:w="11906" w:h="16838"/>
          <w:pgMar w:top="1134" w:right="1247" w:bottom="1134" w:left="1247" w:header="720" w:footer="720" w:gutter="0"/>
          <w:cols w:space="720"/>
          <w:docGrid w:type="linesAndChars"/>
        </w:sectPr>
      </w:pPr>
      <w:r>
        <w:rPr>
          <w:rFonts w:ascii="標楷體" w:eastAsia="標楷體" w:hAnsi="標楷體"/>
          <w:color w:val="000000"/>
        </w:rPr>
        <w:lastRenderedPageBreak/>
        <w:object w:dxaOrig="1440" w:dyaOrig="1440" w14:anchorId="0FD5E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5" o:spid="_x0000_s1027" type="#_x0000_t75" style="position:absolute;margin-left:-43.5pt;margin-top:-9pt;width:564.2pt;height:700.35pt;z-index:251673600;visibility:visible;mso-wrap-style:square;mso-position-horizontal-relative:margin;mso-position-vertical-relative:margin">
            <v:imagedata r:id="rId24" o:title=""/>
            <w10:wrap type="square" anchorx="margin" anchory="margin"/>
          </v:shape>
          <o:OLEObject Type="Embed" ProgID="Word.Picture.8" ShapeID="Object 65" DrawAspect="Content" ObjectID="_1807084888" r:id="rId25"/>
        </w:object>
      </w:r>
      <w:r w:rsidR="00DF0C24">
        <w:rPr>
          <w:noProof/>
        </w:rPr>
        <mc:AlternateContent>
          <mc:Choice Requires="wps">
            <w:drawing>
              <wp:anchor distT="0" distB="0" distL="114300" distR="114300" simplePos="0" relativeHeight="251652096" behindDoc="0" locked="0" layoutInCell="1" allowOverlap="1" wp14:anchorId="1C1240F4" wp14:editId="03528C70">
                <wp:simplePos x="0" y="0"/>
                <wp:positionH relativeFrom="column">
                  <wp:posOffset>-32388</wp:posOffset>
                </wp:positionH>
                <wp:positionV relativeFrom="paragraph">
                  <wp:posOffset>1575438</wp:posOffset>
                </wp:positionV>
                <wp:extent cx="1752603" cy="1943100"/>
                <wp:effectExtent l="0" t="0" r="0" b="0"/>
                <wp:wrapSquare wrapText="bothSides"/>
                <wp:docPr id="15" name="Text Box 66"/>
                <wp:cNvGraphicFramePr/>
                <a:graphic xmlns:a="http://schemas.openxmlformats.org/drawingml/2006/main">
                  <a:graphicData uri="http://schemas.microsoft.com/office/word/2010/wordprocessingShape">
                    <wps:wsp>
                      <wps:cNvSpPr txBox="1"/>
                      <wps:spPr>
                        <a:xfrm>
                          <a:off x="0" y="0"/>
                          <a:ext cx="1752603" cy="1943100"/>
                        </a:xfrm>
                        <a:prstGeom prst="rect">
                          <a:avLst/>
                        </a:prstGeom>
                        <a:noFill/>
                        <a:ln>
                          <a:noFill/>
                          <a:prstDash/>
                        </a:ln>
                      </wps:spPr>
                      <wps:txbx>
                        <w:txbxContent>
                          <w:p w14:paraId="00C142EC" w14:textId="77777777" w:rsidR="00576CD7" w:rsidRDefault="00576CD7">
                            <w:pPr>
                              <w:rPr>
                                <w:rFonts w:ascii="標楷體" w:eastAsia="標楷體" w:hAnsi="標楷體"/>
                              </w:rPr>
                            </w:pPr>
                            <w:r>
                              <w:rPr>
                                <w:rFonts w:ascii="標楷體" w:eastAsia="標楷體" w:hAnsi="標楷體"/>
                              </w:rPr>
                              <w:t xml:space="preserve">9  肌肉出血 </w:t>
                            </w:r>
                          </w:p>
                          <w:p w14:paraId="11310FC9" w14:textId="77777777" w:rsidR="00576CD7" w:rsidRDefault="00576CD7">
                            <w:pPr>
                              <w:rPr>
                                <w:rFonts w:ascii="標楷體" w:eastAsia="標楷體" w:hAnsi="標楷體"/>
                              </w:rPr>
                            </w:pPr>
                            <w:r>
                              <w:rPr>
                                <w:rFonts w:ascii="標楷體" w:eastAsia="標楷體" w:hAnsi="標楷體"/>
                              </w:rPr>
                              <w:t>10 皮下出血</w:t>
                            </w:r>
                          </w:p>
                          <w:p w14:paraId="22374067" w14:textId="77777777" w:rsidR="00576CD7" w:rsidRDefault="00576CD7">
                            <w:pPr>
                              <w:rPr>
                                <w:rFonts w:ascii="標楷體" w:eastAsia="標楷體" w:hAnsi="標楷體"/>
                              </w:rPr>
                            </w:pPr>
                            <w:r>
                              <w:rPr>
                                <w:rFonts w:ascii="標楷體" w:eastAsia="標楷體" w:hAnsi="標楷體"/>
                              </w:rPr>
                              <w:t>11 腸胃道出血</w:t>
                            </w:r>
                          </w:p>
                          <w:p w14:paraId="3CAE7F1B" w14:textId="77777777" w:rsidR="00576CD7" w:rsidRDefault="00576CD7">
                            <w:pPr>
                              <w:rPr>
                                <w:rFonts w:ascii="標楷體" w:eastAsia="標楷體" w:hAnsi="標楷體"/>
                              </w:rPr>
                            </w:pPr>
                            <w:r>
                              <w:rPr>
                                <w:rFonts w:ascii="標楷體" w:eastAsia="標楷體" w:hAnsi="標楷體"/>
                              </w:rPr>
                              <w:t>12 血尿</w:t>
                            </w:r>
                          </w:p>
                          <w:p w14:paraId="0D4EFC2D" w14:textId="77777777" w:rsidR="00576CD7" w:rsidRDefault="00576CD7">
                            <w:pPr>
                              <w:rPr>
                                <w:rFonts w:ascii="標楷體" w:eastAsia="標楷體" w:hAnsi="標楷體"/>
                              </w:rPr>
                            </w:pPr>
                            <w:r>
                              <w:rPr>
                                <w:rFonts w:ascii="標楷體" w:eastAsia="標楷體" w:hAnsi="標楷體"/>
                              </w:rPr>
                              <w:t>13 鼻腔出血</w:t>
                            </w:r>
                          </w:p>
                          <w:p w14:paraId="2A2CFF8C" w14:textId="77777777" w:rsidR="00576CD7" w:rsidRDefault="00576CD7">
                            <w:pPr>
                              <w:rPr>
                                <w:rFonts w:ascii="標楷體" w:eastAsia="標楷體" w:hAnsi="標楷體"/>
                              </w:rPr>
                            </w:pPr>
                            <w:r>
                              <w:rPr>
                                <w:rFonts w:ascii="標楷體" w:eastAsia="標楷體" w:hAnsi="標楷體"/>
                              </w:rPr>
                              <w:t>14 牙齦出血</w:t>
                            </w:r>
                          </w:p>
                          <w:p w14:paraId="1B54765A" w14:textId="77777777" w:rsidR="00576CD7" w:rsidRDefault="00576CD7">
                            <w:pPr>
                              <w:rPr>
                                <w:rFonts w:ascii="標楷體" w:eastAsia="標楷體" w:hAnsi="標楷體"/>
                              </w:rPr>
                            </w:pPr>
                            <w:r>
                              <w:rPr>
                                <w:rFonts w:ascii="標楷體" w:eastAsia="標楷體" w:hAnsi="標楷體"/>
                              </w:rPr>
                              <w:t>15 口腔內出血</w:t>
                            </w:r>
                          </w:p>
                          <w:p w14:paraId="124D2208" w14:textId="77777777" w:rsidR="00576CD7" w:rsidRDefault="00576CD7">
                            <w:pPr>
                              <w:rPr>
                                <w:rFonts w:ascii="標楷體" w:eastAsia="標楷體" w:hAnsi="標楷體"/>
                              </w:rPr>
                            </w:pPr>
                            <w:r>
                              <w:rPr>
                                <w:rFonts w:ascii="標楷體" w:eastAsia="標楷體" w:hAnsi="標楷體"/>
                              </w:rPr>
                              <w:t>16 腦部出血</w:t>
                            </w:r>
                          </w:p>
                          <w:p w14:paraId="341F3D63" w14:textId="77777777" w:rsidR="00576CD7" w:rsidRDefault="00576CD7">
                            <w:pPr>
                              <w:rPr>
                                <w:rFonts w:ascii="標楷體" w:eastAsia="標楷體" w:hAnsi="標楷體"/>
                              </w:rPr>
                            </w:pPr>
                          </w:p>
                        </w:txbxContent>
                      </wps:txbx>
                      <wps:bodyPr vert="horz" wrap="square" lIns="91440" tIns="45720" rIns="91440" bIns="45720" anchor="t" anchorCtr="0" compatLnSpc="0">
                        <a:noAutofit/>
                      </wps:bodyPr>
                    </wps:wsp>
                  </a:graphicData>
                </a:graphic>
              </wp:anchor>
            </w:drawing>
          </mc:Choice>
          <mc:Fallback>
            <w:pict>
              <v:shape w14:anchorId="1C1240F4" id="Text Box 66" o:spid="_x0000_s1035" type="#_x0000_t202" style="position:absolute;margin-left:-2.55pt;margin-top:124.05pt;width:138pt;height:15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" filled="f" stroked="f">
                <v:textbox>
                  <w:txbxContent>
                    <w:p w14:paraId="00C142EC" w14:textId="77777777" w:rsidR="00576CD7" w:rsidRDefault="00576CD7">
                      <w:pPr>
                        <w:rPr>
                          <w:rFonts w:ascii="標楷體" w:eastAsia="標楷體" w:hAnsi="標楷體"/>
                        </w:rPr>
                      </w:pPr>
                      <w:r>
                        <w:rPr>
                          <w:rFonts w:ascii="標楷體" w:eastAsia="標楷體" w:hAnsi="標楷體"/>
                        </w:rPr>
                        <w:t xml:space="preserve">9  肌肉出血 </w:t>
                      </w:r>
                    </w:p>
                    <w:p w14:paraId="11310FC9" w14:textId="77777777" w:rsidR="00576CD7" w:rsidRDefault="00576CD7">
                      <w:pPr>
                        <w:rPr>
                          <w:rFonts w:ascii="標楷體" w:eastAsia="標楷體" w:hAnsi="標楷體"/>
                        </w:rPr>
                      </w:pPr>
                      <w:r>
                        <w:rPr>
                          <w:rFonts w:ascii="標楷體" w:eastAsia="標楷體" w:hAnsi="標楷體"/>
                        </w:rPr>
                        <w:t>10 皮下出血</w:t>
                      </w:r>
                    </w:p>
                    <w:p w14:paraId="22374067" w14:textId="77777777" w:rsidR="00576CD7" w:rsidRDefault="00576CD7">
                      <w:pPr>
                        <w:rPr>
                          <w:rFonts w:ascii="標楷體" w:eastAsia="標楷體" w:hAnsi="標楷體"/>
                        </w:rPr>
                      </w:pPr>
                      <w:r>
                        <w:rPr>
                          <w:rFonts w:ascii="標楷體" w:eastAsia="標楷體" w:hAnsi="標楷體"/>
                        </w:rPr>
                        <w:t>11 腸胃道出血</w:t>
                      </w:r>
                    </w:p>
                    <w:p w14:paraId="3CAE7F1B" w14:textId="77777777" w:rsidR="00576CD7" w:rsidRDefault="00576CD7">
                      <w:pPr>
                        <w:rPr>
                          <w:rFonts w:ascii="標楷體" w:eastAsia="標楷體" w:hAnsi="標楷體"/>
                        </w:rPr>
                      </w:pPr>
                      <w:r>
                        <w:rPr>
                          <w:rFonts w:ascii="標楷體" w:eastAsia="標楷體" w:hAnsi="標楷體"/>
                        </w:rPr>
                        <w:t>12 血尿</w:t>
                      </w:r>
                    </w:p>
                    <w:p w14:paraId="0D4EFC2D" w14:textId="77777777" w:rsidR="00576CD7" w:rsidRDefault="00576CD7">
                      <w:pPr>
                        <w:rPr>
                          <w:rFonts w:ascii="標楷體" w:eastAsia="標楷體" w:hAnsi="標楷體"/>
                        </w:rPr>
                      </w:pPr>
                      <w:r>
                        <w:rPr>
                          <w:rFonts w:ascii="標楷體" w:eastAsia="標楷體" w:hAnsi="標楷體"/>
                        </w:rPr>
                        <w:t>13 鼻腔出血</w:t>
                      </w:r>
                    </w:p>
                    <w:p w14:paraId="2A2CFF8C" w14:textId="77777777" w:rsidR="00576CD7" w:rsidRDefault="00576CD7">
                      <w:pPr>
                        <w:rPr>
                          <w:rFonts w:ascii="標楷體" w:eastAsia="標楷體" w:hAnsi="標楷體"/>
                        </w:rPr>
                      </w:pPr>
                      <w:r>
                        <w:rPr>
                          <w:rFonts w:ascii="標楷體" w:eastAsia="標楷體" w:hAnsi="標楷體"/>
                        </w:rPr>
                        <w:t>14 牙齦出血</w:t>
                      </w:r>
                    </w:p>
                    <w:p w14:paraId="1B54765A" w14:textId="77777777" w:rsidR="00576CD7" w:rsidRDefault="00576CD7">
                      <w:pPr>
                        <w:rPr>
                          <w:rFonts w:ascii="標楷體" w:eastAsia="標楷體" w:hAnsi="標楷體"/>
                        </w:rPr>
                      </w:pPr>
                      <w:r>
                        <w:rPr>
                          <w:rFonts w:ascii="標楷體" w:eastAsia="標楷體" w:hAnsi="標楷體"/>
                        </w:rPr>
                        <w:t>15 口腔內出血</w:t>
                      </w:r>
                    </w:p>
                    <w:p w14:paraId="124D2208" w14:textId="77777777" w:rsidR="00576CD7" w:rsidRDefault="00576CD7">
                      <w:pPr>
                        <w:rPr>
                          <w:rFonts w:ascii="標楷體" w:eastAsia="標楷體" w:hAnsi="標楷體"/>
                        </w:rPr>
                      </w:pPr>
                      <w:r>
                        <w:rPr>
                          <w:rFonts w:ascii="標楷體" w:eastAsia="標楷體" w:hAnsi="標楷體"/>
                        </w:rPr>
                        <w:t>16 腦部出血</w:t>
                      </w:r>
                    </w:p>
                    <w:p w14:paraId="341F3D63" w14:textId="77777777" w:rsidR="00576CD7" w:rsidRDefault="00576CD7">
                      <w:pPr>
                        <w:rPr>
                          <w:rFonts w:ascii="標楷體" w:eastAsia="標楷體" w:hAnsi="標楷體"/>
                        </w:rPr>
                      </w:pPr>
                    </w:p>
                  </w:txbxContent>
                </v:textbox>
                <w10:wrap type="square"/>
              </v:shape>
            </w:pict>
          </mc:Fallback>
        </mc:AlternateContent>
      </w:r>
    </w:p>
    <w:p w14:paraId="57420FE1" w14:textId="77777777" w:rsidR="00BD776B" w:rsidRDefault="00DF0C24">
      <w:pPr>
        <w:spacing w:line="400" w:lineRule="exact"/>
        <w:jc w:val="center"/>
      </w:pPr>
      <w:r>
        <w:rPr>
          <w:noProof/>
        </w:rPr>
        <w:lastRenderedPageBreak/>
        <mc:AlternateContent>
          <mc:Choice Requires="wps">
            <w:drawing>
              <wp:anchor distT="0" distB="0" distL="114300" distR="114300" simplePos="0" relativeHeight="251657216" behindDoc="0" locked="0" layoutInCell="1" allowOverlap="1" wp14:anchorId="10E25638" wp14:editId="5612584B">
                <wp:simplePos x="0" y="0"/>
                <wp:positionH relativeFrom="column">
                  <wp:posOffset>-369573</wp:posOffset>
                </wp:positionH>
                <wp:positionV relativeFrom="paragraph">
                  <wp:posOffset>-616589</wp:posOffset>
                </wp:positionV>
                <wp:extent cx="2209803" cy="685800"/>
                <wp:effectExtent l="0" t="0" r="0" b="0"/>
                <wp:wrapNone/>
                <wp:docPr id="16" name="文字方塊 4"/>
                <wp:cNvGraphicFramePr/>
                <a:graphic xmlns:a="http://schemas.openxmlformats.org/drawingml/2006/main">
                  <a:graphicData uri="http://schemas.microsoft.com/office/word/2010/wordprocessingShape">
                    <wps:wsp>
                      <wps:cNvSpPr txBox="1"/>
                      <wps:spPr>
                        <a:xfrm>
                          <a:off x="0" y="0"/>
                          <a:ext cx="2209803" cy="685800"/>
                        </a:xfrm>
                        <a:prstGeom prst="rect">
                          <a:avLst/>
                        </a:prstGeom>
                        <a:noFill/>
                        <a:ln>
                          <a:noFill/>
                          <a:prstDash/>
                        </a:ln>
                      </wps:spPr>
                      <wps:txbx>
                        <w:txbxContent>
                          <w:p w14:paraId="0D03E832"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69EF8567"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txbxContent>
                      </wps:txbx>
                      <wps:bodyPr vert="horz" wrap="square" lIns="91440" tIns="45720" rIns="91440" bIns="45720" anchor="t" anchorCtr="0" compatLnSpc="0">
                        <a:noAutofit/>
                      </wps:bodyPr>
                    </wps:wsp>
                  </a:graphicData>
                </a:graphic>
              </wp:anchor>
            </w:drawing>
          </mc:Choice>
          <mc:Fallback>
            <w:pict>
              <v:shape w14:anchorId="10E25638" id="文字方塊 4" o:spid="_x0000_s1036" type="#_x0000_t202" style="position:absolute;left:0;text-align:left;margin-left:-29.1pt;margin-top:-48.55pt;width:174pt;height:5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" filled="f" stroked="f">
                <v:textbox>
                  <w:txbxContent>
                    <w:p w14:paraId="0D03E832"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69EF8567"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txbxContent>
                </v:textbox>
              </v:shape>
            </w:pict>
          </mc:Fallback>
        </mc:AlternateContent>
      </w:r>
      <w:r>
        <w:rPr>
          <w:rFonts w:ascii="標楷體" w:eastAsia="標楷體" w:hAnsi="標楷體"/>
          <w:sz w:val="36"/>
        </w:rPr>
        <w:t>附表十八之二  全民健康保險血友病患者使用「繞徑治療藥物」在家治療紀錄表</w:t>
      </w:r>
    </w:p>
    <w:p w14:paraId="1C6810A5" w14:textId="77777777" w:rsidR="00BD776B" w:rsidRDefault="00DF0C24">
      <w:pPr>
        <w:spacing w:line="400" w:lineRule="exact"/>
      </w:pPr>
      <w:r>
        <w:rPr>
          <w:rFonts w:ascii="標楷體" w:eastAsia="標楷體" w:hAnsi="標楷體"/>
          <w:sz w:val="28"/>
        </w:rPr>
        <w:t>姓名：</w:t>
      </w:r>
      <w:r>
        <w:rPr>
          <w:rFonts w:ascii="標楷體" w:eastAsia="標楷體" w:hAnsi="標楷體"/>
          <w:sz w:val="28"/>
          <w:u w:val="single"/>
        </w:rPr>
        <w:t xml:space="preserve">　　　　　　　</w:t>
      </w:r>
      <w:r>
        <w:rPr>
          <w:rFonts w:ascii="標楷體" w:eastAsia="標楷體" w:hAnsi="標楷體"/>
          <w:sz w:val="28"/>
        </w:rPr>
        <w:t xml:space="preserve">　　　體重：</w:t>
      </w:r>
      <w:r>
        <w:rPr>
          <w:rFonts w:ascii="標楷體" w:eastAsia="標楷體" w:hAnsi="標楷體"/>
          <w:sz w:val="28"/>
          <w:u w:val="single"/>
        </w:rPr>
        <w:t xml:space="preserve">　　　　　</w:t>
      </w:r>
      <w:r>
        <w:rPr>
          <w:rFonts w:ascii="標楷體" w:eastAsia="標楷體" w:hAnsi="標楷體"/>
          <w:sz w:val="28"/>
        </w:rPr>
        <w:t>公斤        診斷：□</w:t>
      </w:r>
      <w:r>
        <w:rPr>
          <w:rFonts w:ascii="標楷體" w:eastAsia="標楷體" w:hAnsi="標楷體"/>
          <w:color w:val="000000"/>
          <w:sz w:val="28"/>
        </w:rPr>
        <w:t>A</w:t>
      </w:r>
      <w:r>
        <w:rPr>
          <w:rFonts w:ascii="標楷體" w:eastAsia="標楷體" w:hAnsi="標楷體"/>
          <w:sz w:val="28"/>
        </w:rPr>
        <w:t>型血友病</w:t>
      </w:r>
      <w:r>
        <w:rPr>
          <w:rFonts w:ascii="標楷體" w:eastAsia="標楷體" w:hAnsi="標楷體"/>
          <w:color w:val="000000"/>
          <w:sz w:val="28"/>
        </w:rPr>
        <w:t>合併第八因子抗體</w:t>
      </w:r>
      <w:r>
        <w:rPr>
          <w:rFonts w:ascii="標楷體" w:eastAsia="標楷體" w:hAnsi="標楷體"/>
          <w:sz w:val="28"/>
        </w:rPr>
        <w:t xml:space="preserve">　□其他</w:t>
      </w:r>
    </w:p>
    <w:p w14:paraId="5F533E9D" w14:textId="77777777" w:rsidR="00BD776B" w:rsidRDefault="00DF0C24">
      <w:pPr>
        <w:spacing w:line="400" w:lineRule="exact"/>
        <w:ind w:firstLine="280"/>
      </w:pPr>
      <w:r>
        <w:rPr>
          <w:rFonts w:ascii="標楷體" w:eastAsia="標楷體" w:hAnsi="標楷體"/>
          <w:sz w:val="28"/>
        </w:rPr>
        <w:t xml:space="preserve">　　　　　　　　　　　　　　　　　　　　　　　　　        □</w:t>
      </w:r>
      <w:r>
        <w:rPr>
          <w:rFonts w:ascii="標楷體" w:eastAsia="標楷體" w:hAnsi="標楷體"/>
          <w:color w:val="000000"/>
          <w:sz w:val="28"/>
        </w:rPr>
        <w:t>B型血友病合併第九因子抗體</w:t>
      </w:r>
    </w:p>
    <w:p w14:paraId="1796017A" w14:textId="77777777" w:rsidR="00BD776B" w:rsidRDefault="00DF0C24">
      <w:pPr>
        <w:spacing w:line="520" w:lineRule="exact"/>
      </w:pPr>
      <w:r>
        <w:rPr>
          <w:rFonts w:ascii="標楷體" w:eastAsia="標楷體" w:hAnsi="標楷體"/>
          <w:sz w:val="28"/>
        </w:rPr>
        <w:t>領藥日(年/月/日）：</w:t>
      </w:r>
      <w:r>
        <w:rPr>
          <w:rFonts w:ascii="標楷體" w:eastAsia="標楷體" w:hAnsi="標楷體"/>
          <w:sz w:val="28"/>
          <w:u w:val="single"/>
        </w:rPr>
        <w:t xml:space="preserve">　　／　　／　　</w:t>
      </w:r>
      <w:r>
        <w:rPr>
          <w:rFonts w:ascii="標楷體" w:eastAsia="標楷體" w:hAnsi="標楷體"/>
          <w:sz w:val="28"/>
        </w:rPr>
        <w:t xml:space="preserve">      </w:t>
      </w:r>
      <w:r>
        <w:rPr>
          <w:rFonts w:ascii="標楷體" w:eastAsia="標楷體" w:hAnsi="標楷體"/>
          <w:color w:val="000000"/>
          <w:sz w:val="28"/>
        </w:rPr>
        <w:t>領藥量(瓶)：</w:t>
      </w:r>
      <w:r>
        <w:rPr>
          <w:rFonts w:ascii="標楷體" w:eastAsia="標楷體" w:hAnsi="標楷體"/>
          <w:color w:val="000000"/>
          <w:sz w:val="28"/>
          <w:u w:val="single"/>
        </w:rPr>
        <w:t xml:space="preserve">               </w:t>
      </w:r>
      <w:r>
        <w:rPr>
          <w:rFonts w:ascii="標楷體" w:eastAsia="標楷體" w:hAnsi="標楷體"/>
          <w:color w:val="000000"/>
          <w:sz w:val="28"/>
        </w:rPr>
        <w:t xml:space="preserve">      藥品名稱及批號：</w:t>
      </w:r>
      <w:r>
        <w:rPr>
          <w:rFonts w:ascii="標楷體" w:eastAsia="標楷體" w:hAnsi="標楷體"/>
          <w:color w:val="000000"/>
          <w:sz w:val="28"/>
          <w:u w:val="single"/>
        </w:rPr>
        <w:t xml:space="preserve">　</w:t>
      </w:r>
      <w:r>
        <w:rPr>
          <w:rFonts w:ascii="標楷體" w:eastAsia="標楷體" w:hAnsi="標楷體"/>
          <w:sz w:val="28"/>
          <w:u w:val="single"/>
        </w:rPr>
        <w:t xml:space="preserve">　              </w:t>
      </w:r>
    </w:p>
    <w:p w14:paraId="70C36322" w14:textId="77777777" w:rsidR="00BD776B" w:rsidRDefault="00DF0C24">
      <w:pPr>
        <w:spacing w:line="520" w:lineRule="exact"/>
      </w:pPr>
      <w:r>
        <w:rPr>
          <w:rFonts w:ascii="標楷體" w:eastAsia="標楷體" w:hAnsi="標楷體"/>
          <w:sz w:val="28"/>
        </w:rPr>
        <w:t>繳回空瓶數量及批號：</w:t>
      </w:r>
      <w:r>
        <w:rPr>
          <w:rFonts w:ascii="標楷體" w:eastAsia="標楷體" w:hAnsi="標楷體"/>
          <w:sz w:val="28"/>
          <w:u w:val="single"/>
        </w:rPr>
        <w:t xml:space="preserve">                   </w:t>
      </w:r>
      <w:r>
        <w:rPr>
          <w:rFonts w:ascii="標楷體" w:eastAsia="標楷體" w:hAnsi="標楷體"/>
          <w:sz w:val="28"/>
        </w:rPr>
        <w:t xml:space="preserve"> 上次家中剩餘藥量</w:t>
      </w:r>
      <w:r>
        <w:rPr>
          <w:rFonts w:ascii="標楷體" w:eastAsia="標楷體" w:hAnsi="標楷體"/>
          <w:color w:val="000000"/>
          <w:sz w:val="28"/>
        </w:rPr>
        <w:t>(瓶)</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rPr>
        <w:t xml:space="preserve">  確認人員簽名(章)：</w:t>
      </w:r>
      <w:r>
        <w:rPr>
          <w:rFonts w:ascii="標楷體" w:eastAsia="標楷體" w:hAnsi="標楷體"/>
          <w:sz w:val="28"/>
          <w:u w:val="single"/>
        </w:rPr>
        <w:t xml:space="preserve">                  </w:t>
      </w:r>
    </w:p>
    <w:tbl>
      <w:tblPr>
        <w:tblW w:w="15027" w:type="dxa"/>
        <w:tblInd w:w="-162" w:type="dxa"/>
        <w:tblLayout w:type="fixed"/>
        <w:tblCellMar>
          <w:left w:w="10" w:type="dxa"/>
          <w:right w:w="10" w:type="dxa"/>
        </w:tblCellMar>
        <w:tblLook w:val="0000" w:firstRow="0" w:lastRow="0" w:firstColumn="0" w:lastColumn="0" w:noHBand="0" w:noVBand="0"/>
      </w:tblPr>
      <w:tblGrid>
        <w:gridCol w:w="993"/>
        <w:gridCol w:w="709"/>
        <w:gridCol w:w="704"/>
        <w:gridCol w:w="900"/>
        <w:gridCol w:w="720"/>
        <w:gridCol w:w="1200"/>
        <w:gridCol w:w="1320"/>
        <w:gridCol w:w="1320"/>
        <w:gridCol w:w="1320"/>
        <w:gridCol w:w="600"/>
        <w:gridCol w:w="600"/>
        <w:gridCol w:w="840"/>
        <w:gridCol w:w="840"/>
        <w:gridCol w:w="1827"/>
        <w:gridCol w:w="1134"/>
      </w:tblGrid>
      <w:tr w:rsidR="00BD776B" w14:paraId="1FE86CEB" w14:textId="77777777">
        <w:trPr>
          <w:cantSplit/>
          <w:trHeight w:val="727"/>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BF09F0"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注射日</w:t>
            </w:r>
          </w:p>
        </w:tc>
        <w:tc>
          <w:tcPr>
            <w:tcW w:w="23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ECF5F5" w14:textId="77777777" w:rsidR="00BD776B" w:rsidRDefault="00DF0C24">
            <w:pPr>
              <w:spacing w:line="300" w:lineRule="exact"/>
              <w:jc w:val="center"/>
              <w:rPr>
                <w:rFonts w:ascii="標楷體" w:eastAsia="標楷體" w:hAnsi="標楷體"/>
              </w:rPr>
            </w:pPr>
            <w:r>
              <w:rPr>
                <w:rFonts w:ascii="標楷體" w:eastAsia="標楷體" w:hAnsi="標楷體"/>
              </w:rPr>
              <w:t>注射時間</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A49391" w14:textId="77777777" w:rsidR="00BD776B" w:rsidRDefault="00DF0C24">
            <w:pPr>
              <w:spacing w:line="300" w:lineRule="exact"/>
              <w:ind w:left="113" w:right="113"/>
              <w:jc w:val="center"/>
            </w:pPr>
            <w:r>
              <w:rPr>
                <w:rFonts w:ascii="標楷體" w:eastAsia="標楷體" w:hAnsi="標楷體"/>
                <w:sz w:val="22"/>
              </w:rPr>
              <w:t>注射瓶數</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BDFA2A"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每瓶含量</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330AF3" w14:textId="77777777" w:rsidR="00BD776B" w:rsidRDefault="00DF0C24">
            <w:pPr>
              <w:spacing w:line="300" w:lineRule="exact"/>
              <w:jc w:val="center"/>
              <w:rPr>
                <w:rFonts w:ascii="標楷體" w:eastAsia="標楷體" w:hAnsi="標楷體"/>
              </w:rPr>
            </w:pPr>
            <w:r>
              <w:rPr>
                <w:rFonts w:ascii="標楷體" w:eastAsia="標楷體" w:hAnsi="標楷體"/>
              </w:rPr>
              <w:t>出血原因</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8097B" w14:textId="77777777" w:rsidR="00BD776B" w:rsidRDefault="00DF0C24">
            <w:pPr>
              <w:spacing w:line="300" w:lineRule="exact"/>
              <w:jc w:val="center"/>
              <w:rPr>
                <w:rFonts w:ascii="標楷體" w:eastAsia="標楷體" w:hAnsi="標楷體"/>
              </w:rPr>
            </w:pPr>
            <w:r>
              <w:rPr>
                <w:rFonts w:ascii="標楷體" w:eastAsia="標楷體" w:hAnsi="標楷體"/>
              </w:rPr>
              <w:t>出血部位</w:t>
            </w:r>
          </w:p>
          <w:p w14:paraId="6AD0A187" w14:textId="77777777" w:rsidR="00BD776B" w:rsidRDefault="00DF0C24">
            <w:pPr>
              <w:spacing w:line="300" w:lineRule="exact"/>
              <w:jc w:val="center"/>
              <w:rPr>
                <w:rFonts w:ascii="標楷體" w:eastAsia="標楷體" w:hAnsi="標楷體"/>
              </w:rPr>
            </w:pPr>
            <w:r>
              <w:rPr>
                <w:rFonts w:ascii="標楷體" w:eastAsia="標楷體" w:hAnsi="標楷體"/>
              </w:rPr>
              <w:t>(請依背面圖示填寫)</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D19CF8" w14:textId="77777777" w:rsidR="00BD776B" w:rsidRDefault="00DF0C24">
            <w:pPr>
              <w:spacing w:line="300" w:lineRule="exact"/>
              <w:jc w:val="center"/>
              <w:rPr>
                <w:rFonts w:ascii="標楷體" w:eastAsia="標楷體" w:hAnsi="標楷體"/>
              </w:rPr>
            </w:pPr>
            <w:r>
              <w:rPr>
                <w:rFonts w:ascii="標楷體" w:eastAsia="標楷體" w:hAnsi="標楷體"/>
              </w:rPr>
              <w:t>注射後效果</w:t>
            </w:r>
          </w:p>
        </w:tc>
        <w:tc>
          <w:tcPr>
            <w:tcW w:w="1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7FC9B5" w14:textId="77777777" w:rsidR="00BD776B" w:rsidRDefault="00DF0C24">
            <w:pPr>
              <w:spacing w:line="300" w:lineRule="exact"/>
              <w:jc w:val="center"/>
              <w:rPr>
                <w:rFonts w:ascii="標楷體" w:eastAsia="標楷體" w:hAnsi="標楷體"/>
              </w:rPr>
            </w:pPr>
            <w:r>
              <w:rPr>
                <w:rFonts w:ascii="標楷體" w:eastAsia="標楷體" w:hAnsi="標楷體"/>
              </w:rPr>
              <w:t>注射後發生之不適症狀</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6A0903" w14:textId="77777777" w:rsidR="00BD776B" w:rsidRDefault="00DF0C24">
            <w:pPr>
              <w:spacing w:line="300" w:lineRule="exact"/>
              <w:jc w:val="center"/>
              <w:rPr>
                <w:rFonts w:ascii="標楷體" w:eastAsia="標楷體" w:hAnsi="標楷體"/>
              </w:rPr>
            </w:pPr>
            <w:r>
              <w:rPr>
                <w:rFonts w:ascii="標楷體" w:eastAsia="標楷體" w:hAnsi="標楷體"/>
              </w:rPr>
              <w:t>注射者簽名(章)</w:t>
            </w:r>
          </w:p>
        </w:tc>
      </w:tr>
      <w:tr w:rsidR="00BD776B" w14:paraId="50622B7C" w14:textId="77777777">
        <w:trPr>
          <w:cantSplit/>
          <w:trHeight w:val="42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A72905" w14:textId="77777777" w:rsidR="00BD776B" w:rsidRDefault="00DF0C24">
            <w:pPr>
              <w:spacing w:line="300" w:lineRule="exact"/>
              <w:jc w:val="center"/>
              <w:rPr>
                <w:rFonts w:ascii="標楷體" w:eastAsia="標楷體" w:hAnsi="標楷體"/>
              </w:rPr>
            </w:pPr>
            <w:r>
              <w:rPr>
                <w:rFonts w:ascii="標楷體" w:eastAsia="標楷體" w:hAnsi="標楷體"/>
              </w:rPr>
              <w:t>(月/日)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DD80C1"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上午</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A14115"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下午</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4A9BB7" w14:textId="77777777" w:rsidR="00BD776B" w:rsidRDefault="00DF0C24">
            <w:pPr>
              <w:spacing w:line="300" w:lineRule="exact"/>
              <w:jc w:val="center"/>
              <w:rPr>
                <w:rFonts w:ascii="標楷體" w:eastAsia="標楷體" w:hAnsi="標楷體"/>
              </w:rPr>
            </w:pPr>
            <w:r>
              <w:rPr>
                <w:rFonts w:ascii="標楷體" w:eastAsia="標楷體" w:hAnsi="標楷體"/>
              </w:rPr>
              <w:t>時間</w:t>
            </w:r>
          </w:p>
          <w:p w14:paraId="1B44BA90" w14:textId="77777777" w:rsidR="00BD776B" w:rsidRDefault="00DF0C24">
            <w:pPr>
              <w:spacing w:line="300" w:lineRule="exact"/>
              <w:jc w:val="center"/>
              <w:rPr>
                <w:rFonts w:ascii="標楷體" w:eastAsia="標楷體" w:hAnsi="標楷體"/>
              </w:rPr>
            </w:pPr>
            <w:r>
              <w:rPr>
                <w:rFonts w:ascii="標楷體" w:eastAsia="標楷體" w:hAnsi="標楷體"/>
              </w:rPr>
              <w:t>(時/分)</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B5DC30" w14:textId="77777777" w:rsidR="00BD776B" w:rsidRDefault="00DF0C24">
            <w:pPr>
              <w:spacing w:line="300" w:lineRule="exact"/>
              <w:jc w:val="center"/>
              <w:rPr>
                <w:rFonts w:ascii="標楷體" w:eastAsia="標楷體" w:hAnsi="標楷體"/>
              </w:rPr>
            </w:pPr>
            <w:r>
              <w:rPr>
                <w:rFonts w:ascii="標楷體" w:eastAsia="標楷體" w:hAnsi="標楷體"/>
              </w:rPr>
              <w:t>(瓶)</w:t>
            </w: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CE7EA"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E9EAFA" w14:textId="77777777" w:rsidR="00BD776B" w:rsidRDefault="00DF0C24">
            <w:pPr>
              <w:spacing w:line="300" w:lineRule="exact"/>
              <w:jc w:val="center"/>
              <w:rPr>
                <w:rFonts w:ascii="標楷體" w:eastAsia="標楷體" w:hAnsi="標楷體"/>
              </w:rPr>
            </w:pPr>
            <w:r>
              <w:rPr>
                <w:rFonts w:ascii="標楷體" w:eastAsia="標楷體" w:hAnsi="標楷體"/>
              </w:rPr>
              <w:t>自發性出血</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E8531C" w14:textId="77777777" w:rsidR="00BD776B" w:rsidRDefault="00BD776B">
            <w:pPr>
              <w:spacing w:line="300" w:lineRule="exact"/>
              <w:jc w:val="center"/>
              <w:rPr>
                <w:rFonts w:ascii="標楷體" w:eastAsia="標楷體" w:hAnsi="標楷體"/>
              </w:rPr>
            </w:pPr>
          </w:p>
          <w:p w14:paraId="57C92E4A" w14:textId="77777777" w:rsidR="00BD776B" w:rsidRDefault="00DF0C24">
            <w:pPr>
              <w:spacing w:line="300" w:lineRule="exact"/>
              <w:jc w:val="center"/>
              <w:rPr>
                <w:rFonts w:ascii="標楷體" w:eastAsia="標楷體" w:hAnsi="標楷體"/>
              </w:rPr>
            </w:pPr>
            <w:r>
              <w:rPr>
                <w:rFonts w:ascii="標楷體" w:eastAsia="標楷體" w:hAnsi="標楷體"/>
              </w:rPr>
              <w:t>受傷後出血</w:t>
            </w:r>
          </w:p>
          <w:p w14:paraId="5C01B3E8"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5FC21E" w14:textId="77777777" w:rsidR="00BD776B" w:rsidRDefault="00DF0C24">
            <w:pPr>
              <w:spacing w:line="300" w:lineRule="exact"/>
              <w:jc w:val="center"/>
              <w:rPr>
                <w:rFonts w:ascii="標楷體" w:eastAsia="標楷體" w:hAnsi="標楷體"/>
              </w:rPr>
            </w:pPr>
            <w:r>
              <w:rPr>
                <w:rFonts w:ascii="標楷體" w:eastAsia="標楷體" w:hAnsi="標楷體"/>
              </w:rPr>
              <w:t>代號或部位</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A6D5E3" w14:textId="77777777" w:rsidR="00BD776B" w:rsidRDefault="00DF0C24">
            <w:pPr>
              <w:spacing w:line="300" w:lineRule="exact"/>
              <w:jc w:val="center"/>
              <w:rPr>
                <w:rFonts w:ascii="標楷體" w:eastAsia="標楷體" w:hAnsi="標楷體"/>
              </w:rPr>
            </w:pPr>
            <w:r>
              <w:rPr>
                <w:rFonts w:ascii="標楷體" w:eastAsia="標楷體" w:hAnsi="標楷體"/>
              </w:rPr>
              <w:t>左</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6828E6" w14:textId="77777777" w:rsidR="00BD776B" w:rsidRDefault="00DF0C24">
            <w:pPr>
              <w:spacing w:line="300" w:lineRule="exact"/>
              <w:jc w:val="center"/>
              <w:rPr>
                <w:rFonts w:ascii="標楷體" w:eastAsia="標楷體" w:hAnsi="標楷體"/>
              </w:rPr>
            </w:pPr>
            <w:r>
              <w:rPr>
                <w:rFonts w:ascii="標楷體" w:eastAsia="標楷體" w:hAnsi="標楷體"/>
              </w:rPr>
              <w:t>右</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F5EBAE"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改善</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5F29CF"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未改善</w:t>
            </w:r>
          </w:p>
        </w:tc>
        <w:tc>
          <w:tcPr>
            <w:tcW w:w="1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D3BB80" w14:textId="77777777" w:rsidR="00BD776B" w:rsidRDefault="00BD776B">
            <w:pPr>
              <w:spacing w:line="300" w:lineRule="exact"/>
              <w:rPr>
                <w:rFonts w:ascii="標楷體" w:eastAsia="標楷體" w:hAnsi="標楷體"/>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CCEB0E" w14:textId="77777777" w:rsidR="00BD776B" w:rsidRDefault="00BD776B">
            <w:pPr>
              <w:spacing w:line="300" w:lineRule="exact"/>
              <w:rPr>
                <w:rFonts w:ascii="標楷體" w:eastAsia="標楷體" w:hAnsi="標楷體"/>
              </w:rPr>
            </w:pPr>
          </w:p>
        </w:tc>
      </w:tr>
      <w:tr w:rsidR="00BD776B" w14:paraId="4CFB8D9F" w14:textId="77777777">
        <w:trPr>
          <w:trHeight w:val="45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B251D"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3BB282"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C116C"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54129"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B56F"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A409D"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D7FFC"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9BD2"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DA6C0"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2D6F6"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D729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1A87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83A64"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4D668"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249F1" w14:textId="77777777" w:rsidR="00BD776B" w:rsidRDefault="00BD776B">
            <w:pPr>
              <w:spacing w:line="300" w:lineRule="exact"/>
              <w:rPr>
                <w:rFonts w:ascii="標楷體" w:eastAsia="標楷體" w:hAnsi="標楷體"/>
              </w:rPr>
            </w:pPr>
          </w:p>
        </w:tc>
      </w:tr>
      <w:tr w:rsidR="00BD776B" w14:paraId="53DA6F1A" w14:textId="77777777">
        <w:trPr>
          <w:trHeight w:val="536"/>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4FC41"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E2E3E"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0D830"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29735"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FAA23"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EF16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003D0"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F2505"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BFE38"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4762B"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648EE"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8AF4B"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9D279"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C3A1B"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08F4" w14:textId="77777777" w:rsidR="00BD776B" w:rsidRDefault="00BD776B">
            <w:pPr>
              <w:spacing w:line="300" w:lineRule="exact"/>
              <w:rPr>
                <w:rFonts w:ascii="標楷體" w:eastAsia="標楷體" w:hAnsi="標楷體"/>
              </w:rPr>
            </w:pPr>
          </w:p>
        </w:tc>
      </w:tr>
      <w:tr w:rsidR="00BD776B" w14:paraId="7BF85A9A" w14:textId="77777777">
        <w:trPr>
          <w:trHeight w:val="57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1906"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E008D"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8075A"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D146"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F5282"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D042B"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5AF4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1FF7A"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2A624"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C7D1C"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8605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46974"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E7968"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464B2"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7D94E" w14:textId="77777777" w:rsidR="00BD776B" w:rsidRDefault="00BD776B">
            <w:pPr>
              <w:spacing w:line="300" w:lineRule="exact"/>
              <w:rPr>
                <w:rFonts w:ascii="標楷體" w:eastAsia="標楷體" w:hAnsi="標楷體"/>
              </w:rPr>
            </w:pPr>
          </w:p>
        </w:tc>
      </w:tr>
      <w:tr w:rsidR="00BD776B" w14:paraId="73CFB6B7" w14:textId="77777777">
        <w:trPr>
          <w:trHeight w:val="56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8BAEA"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744F4"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2FD"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84CD2"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7F4DF"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9EE05"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D1BF1"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DC7F"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8B5D9"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52B24"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A4A75E"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B5B031"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53485"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C1A8"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0E473D" w14:textId="77777777" w:rsidR="00BD776B" w:rsidRDefault="00BD776B">
            <w:pPr>
              <w:spacing w:line="300" w:lineRule="exact"/>
              <w:rPr>
                <w:rFonts w:ascii="標楷體" w:eastAsia="標楷體" w:hAnsi="標楷體"/>
              </w:rPr>
            </w:pPr>
          </w:p>
        </w:tc>
      </w:tr>
      <w:tr w:rsidR="00BD776B" w14:paraId="11160EFE" w14:textId="77777777">
        <w:trPr>
          <w:trHeight w:val="53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1763B"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70B5"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D76DE"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160C6F"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01AC"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50D5C"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E4F26"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9F3EA5"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119C"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8D6D"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95CE7"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B646"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89A6"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B86A3"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8F32E" w14:textId="77777777" w:rsidR="00BD776B" w:rsidRDefault="00BD776B">
            <w:pPr>
              <w:spacing w:line="300" w:lineRule="exact"/>
              <w:rPr>
                <w:rFonts w:ascii="標楷體" w:eastAsia="標楷體" w:hAnsi="標楷體"/>
              </w:rPr>
            </w:pPr>
          </w:p>
        </w:tc>
      </w:tr>
    </w:tbl>
    <w:p w14:paraId="1649F39A" w14:textId="77777777" w:rsidR="00BD776B" w:rsidRDefault="00DF0C24">
      <w:pPr>
        <w:spacing w:line="300" w:lineRule="exact"/>
        <w:rPr>
          <w:rFonts w:ascii="標楷體" w:eastAsia="標楷體" w:hAnsi="標楷體"/>
          <w:sz w:val="22"/>
        </w:rPr>
      </w:pPr>
      <w:r>
        <w:rPr>
          <w:rFonts w:ascii="標楷體" w:eastAsia="標楷體" w:hAnsi="標楷體"/>
          <w:sz w:val="22"/>
        </w:rPr>
        <w:t>備註：</w:t>
      </w:r>
    </w:p>
    <w:p w14:paraId="2E131FCE" w14:textId="77777777" w:rsidR="00BD776B" w:rsidRDefault="00DF0C24">
      <w:pPr>
        <w:spacing w:line="300" w:lineRule="exact"/>
        <w:rPr>
          <w:rFonts w:ascii="標楷體" w:eastAsia="標楷體" w:hAnsi="標楷體"/>
          <w:sz w:val="22"/>
        </w:rPr>
      </w:pPr>
      <w:r>
        <w:rPr>
          <w:rFonts w:ascii="標楷體" w:eastAsia="標楷體" w:hAnsi="標楷體"/>
          <w:sz w:val="22"/>
        </w:rPr>
        <w:t xml:space="preserve">  1.病人於下次回診需攜帶此紀錄表，並請黏貼於病歷，同時繳回已注射後之空瓶備查。紀錄表未黏貼於回診病歷及未繳回空瓶，則該項費用不予支付。</w:t>
      </w:r>
    </w:p>
    <w:p w14:paraId="2EB7F8E7" w14:textId="77777777" w:rsidR="00BD776B" w:rsidRDefault="00DF0C24">
      <w:pPr>
        <w:spacing w:line="300" w:lineRule="exact"/>
        <w:rPr>
          <w:rFonts w:ascii="標楷體" w:eastAsia="標楷體" w:hAnsi="標楷體"/>
          <w:sz w:val="22"/>
        </w:rPr>
      </w:pPr>
      <w:r>
        <w:rPr>
          <w:rFonts w:ascii="標楷體" w:eastAsia="標楷體" w:hAnsi="標楷體"/>
          <w:sz w:val="22"/>
        </w:rPr>
        <w:t xml:space="preserve">  2.領藥量請詳記藥品規格量及瓶數，例如：500IU×2瓶，使用空瓶於繳回時，請由醫療院所相關人員進行確認(包含回收空瓶日期及總結存量等)，並請確認人員簽名(章)。</w:t>
      </w:r>
    </w:p>
    <w:p w14:paraId="62D4924E" w14:textId="77777777" w:rsidR="00BD776B" w:rsidRDefault="00DF0C24">
      <w:pPr>
        <w:spacing w:line="300" w:lineRule="exact"/>
        <w:rPr>
          <w:rFonts w:ascii="標楷體" w:eastAsia="標楷體" w:hAnsi="標楷體"/>
          <w:sz w:val="22"/>
        </w:rPr>
      </w:pPr>
      <w:r>
        <w:rPr>
          <w:rFonts w:ascii="標楷體" w:eastAsia="標楷體" w:hAnsi="標楷體"/>
          <w:sz w:val="22"/>
        </w:rPr>
        <w:t xml:space="preserve">  3.出血部位說明請見背面圖示。</w:t>
      </w:r>
    </w:p>
    <w:p w14:paraId="0FFD92C1" w14:textId="77777777" w:rsidR="00BD776B" w:rsidRDefault="00DF0C24">
      <w:pPr>
        <w:spacing w:line="300" w:lineRule="exact"/>
        <w:sectPr w:rsidR="00BD776B" w:rsidSect="007E1772">
          <w:footerReference w:type="default" r:id="rId26"/>
          <w:pgSz w:w="16838" w:h="11906" w:orient="landscape"/>
          <w:pgMar w:top="1247" w:right="1134" w:bottom="1247" w:left="1134" w:header="720" w:footer="720" w:gutter="0"/>
          <w:cols w:space="720"/>
          <w:docGrid w:type="linesAndChars"/>
        </w:sectPr>
      </w:pPr>
      <w:r>
        <w:rPr>
          <w:rFonts w:ascii="標楷體" w:eastAsia="標楷體" w:hAnsi="標楷體"/>
          <w:noProof/>
          <w:sz w:val="28"/>
        </w:rPr>
        <mc:AlternateContent>
          <mc:Choice Requires="wps">
            <w:drawing>
              <wp:anchor distT="0" distB="0" distL="114300" distR="114300" simplePos="0" relativeHeight="251658240" behindDoc="0" locked="0" layoutInCell="1" allowOverlap="1" wp14:anchorId="18D21DB3" wp14:editId="4FCA1772">
                <wp:simplePos x="0" y="0"/>
                <wp:positionH relativeFrom="column">
                  <wp:posOffset>2542</wp:posOffset>
                </wp:positionH>
                <wp:positionV relativeFrom="paragraph">
                  <wp:posOffset>255903</wp:posOffset>
                </wp:positionV>
                <wp:extent cx="2558418" cy="322582"/>
                <wp:effectExtent l="0" t="0" r="0" b="1268"/>
                <wp:wrapNone/>
                <wp:docPr id="17" name="Text Box 99"/>
                <wp:cNvGraphicFramePr/>
                <a:graphic xmlns:a="http://schemas.openxmlformats.org/drawingml/2006/main">
                  <a:graphicData uri="http://schemas.microsoft.com/office/word/2010/wordprocessingShape">
                    <wps:wsp>
                      <wps:cNvSpPr txBox="1"/>
                      <wps:spPr>
                        <a:xfrm>
                          <a:off x="0" y="0"/>
                          <a:ext cx="2558418" cy="322582"/>
                        </a:xfrm>
                        <a:prstGeom prst="rect">
                          <a:avLst/>
                        </a:prstGeom>
                        <a:solidFill>
                          <a:srgbClr val="FFFFFF"/>
                        </a:solidFill>
                        <a:ln>
                          <a:noFill/>
                          <a:prstDash/>
                        </a:ln>
                      </wps:spPr>
                      <wps:txbx>
                        <w:txbxContent>
                          <w:p w14:paraId="66341379" w14:textId="77777777" w:rsidR="00576CD7" w:rsidRDefault="00576CD7">
                            <w:pPr>
                              <w:pStyle w:val="a7"/>
                              <w:rPr>
                                <w:rFonts w:ascii="標楷體" w:eastAsia="標楷體" w:hAnsi="標楷體"/>
                                <w:sz w:val="28"/>
                                <w:szCs w:val="28"/>
                              </w:rPr>
                            </w:pPr>
                            <w:r>
                              <w:rPr>
                                <w:rFonts w:ascii="標楷體" w:eastAsia="標楷體" w:hAnsi="標楷體"/>
                                <w:sz w:val="28"/>
                                <w:szCs w:val="28"/>
                              </w:rPr>
                              <w:t>備註：灰底部分為新修訂規定</w:t>
                            </w:r>
                          </w:p>
                        </w:txbxContent>
                      </wps:txbx>
                      <wps:bodyPr vert="horz" wrap="square" lIns="91440" tIns="45720" rIns="91440" bIns="45720" anchor="t" anchorCtr="0" compatLnSpc="0">
                        <a:spAutoFit/>
                      </wps:bodyPr>
                    </wps:wsp>
                  </a:graphicData>
                </a:graphic>
              </wp:anchor>
            </w:drawing>
          </mc:Choice>
          <mc:Fallback>
            <w:pict>
              <v:shape w14:anchorId="18D21DB3" id="Text Box 99" o:spid="_x0000_s1037" type="#_x0000_t202" style="position:absolute;margin-left:.2pt;margin-top:20.15pt;width:201.45pt;height:2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" stroked="f">
                <v:textbox style="mso-fit-shape-to-text:t">
                  <w:txbxContent>
                    <w:p w14:paraId="66341379" w14:textId="77777777" w:rsidR="00576CD7" w:rsidRDefault="00576CD7">
                      <w:pPr>
                        <w:pStyle w:val="a7"/>
                        <w:rPr>
                          <w:rFonts w:ascii="標楷體" w:eastAsia="標楷體" w:hAnsi="標楷體"/>
                          <w:sz w:val="28"/>
                          <w:szCs w:val="28"/>
                        </w:rPr>
                      </w:pPr>
                      <w:r>
                        <w:rPr>
                          <w:rFonts w:ascii="標楷體" w:eastAsia="標楷體" w:hAnsi="標楷體"/>
                          <w:sz w:val="28"/>
                          <w:szCs w:val="28"/>
                        </w:rPr>
                        <w:t>備註：灰底部分為新修訂規定</w:t>
                      </w:r>
                    </w:p>
                  </w:txbxContent>
                </v:textbox>
              </v:shape>
            </w:pict>
          </mc:Fallback>
        </mc:AlternateContent>
      </w:r>
      <w:r>
        <w:rPr>
          <w:rFonts w:ascii="標楷體" w:eastAsia="標楷體" w:hAnsi="標楷體"/>
          <w:sz w:val="28"/>
        </w:rPr>
        <w:t xml:space="preserve">                                   回收空瓶日期：</w:t>
      </w:r>
      <w:r>
        <w:rPr>
          <w:rFonts w:ascii="標楷體" w:eastAsia="標楷體" w:hAnsi="標楷體"/>
          <w:sz w:val="28"/>
          <w:u w:val="single"/>
        </w:rPr>
        <w:t xml:space="preserve">                </w:t>
      </w:r>
      <w:r>
        <w:rPr>
          <w:rFonts w:ascii="標楷體" w:eastAsia="標楷體" w:hAnsi="標楷體"/>
          <w:sz w:val="28"/>
        </w:rPr>
        <w:t xml:space="preserve">       總結存量</w:t>
      </w:r>
      <w:r>
        <w:rPr>
          <w:rFonts w:ascii="標楷體" w:eastAsia="標楷體" w:hAnsi="標楷體"/>
          <w:color w:val="000000"/>
          <w:sz w:val="28"/>
        </w:rPr>
        <w:t>(瓶)</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u w:val="single"/>
          <w:shd w:val="clear" w:color="auto" w:fill="FFFFFF"/>
        </w:rPr>
        <w:t xml:space="preserve"> </w:t>
      </w:r>
    </w:p>
    <w:p w14:paraId="0DF3B67B" w14:textId="77777777" w:rsidR="00BD776B" w:rsidRDefault="002378B3">
      <w:pPr>
        <w:snapToGrid w:val="0"/>
        <w:sectPr w:rsidR="00BD776B" w:rsidSect="007E1772">
          <w:footerReference w:type="default" r:id="rId27"/>
          <w:pgSz w:w="11906" w:h="16838"/>
          <w:pgMar w:top="1134" w:right="1247" w:bottom="1134" w:left="1247" w:header="720" w:footer="720" w:gutter="0"/>
          <w:cols w:space="720"/>
          <w:docGrid w:type="linesAndChars"/>
        </w:sectPr>
      </w:pPr>
      <w:r>
        <w:rPr>
          <w:rFonts w:ascii="標楷體" w:eastAsia="標楷體" w:hAnsi="標楷體"/>
          <w:color w:val="000000"/>
        </w:rPr>
        <w:lastRenderedPageBreak/>
        <w:object w:dxaOrig="1440" w:dyaOrig="1440" w14:anchorId="16F24BD4">
          <v:shape id="Object 69" o:spid="_x0000_s1028" type="#_x0000_t75" style="position:absolute;margin-left:-32.25pt;margin-top:3pt;width:564.2pt;height:698.7pt;z-index:251672576;visibility:visible;mso-wrap-style:square;mso-position-horizontal-relative:margin;mso-position-vertical-relative:margin">
            <v:imagedata r:id="rId28" o:title=""/>
            <w10:wrap type="square" anchorx="margin" anchory="margin"/>
          </v:shape>
          <o:OLEObject Type="Embed" ProgID="Word.Picture.8" ShapeID="Object 69" DrawAspect="Content" ObjectID="_1807084889" r:id="rId29"/>
        </w:object>
      </w:r>
      <w:r w:rsidR="00DF0C24">
        <w:rPr>
          <w:noProof/>
        </w:rPr>
        <mc:AlternateContent>
          <mc:Choice Requires="wps">
            <w:drawing>
              <wp:anchor distT="0" distB="0" distL="114300" distR="114300" simplePos="0" relativeHeight="251653120" behindDoc="0" locked="0" layoutInCell="1" allowOverlap="1" wp14:anchorId="6853CE91" wp14:editId="7228869C">
                <wp:simplePos x="0" y="0"/>
                <wp:positionH relativeFrom="column">
                  <wp:posOffset>110486</wp:posOffset>
                </wp:positionH>
                <wp:positionV relativeFrom="paragraph">
                  <wp:posOffset>1727831</wp:posOffset>
                </wp:positionV>
                <wp:extent cx="1752603" cy="1943100"/>
                <wp:effectExtent l="0" t="0" r="0" b="0"/>
                <wp:wrapSquare wrapText="bothSides"/>
                <wp:docPr id="18" name="Text Box 70"/>
                <wp:cNvGraphicFramePr/>
                <a:graphic xmlns:a="http://schemas.openxmlformats.org/drawingml/2006/main">
                  <a:graphicData uri="http://schemas.microsoft.com/office/word/2010/wordprocessingShape">
                    <wps:wsp>
                      <wps:cNvSpPr txBox="1"/>
                      <wps:spPr>
                        <a:xfrm>
                          <a:off x="0" y="0"/>
                          <a:ext cx="1752603" cy="1943100"/>
                        </a:xfrm>
                        <a:prstGeom prst="rect">
                          <a:avLst/>
                        </a:prstGeom>
                        <a:noFill/>
                        <a:ln>
                          <a:noFill/>
                          <a:prstDash/>
                        </a:ln>
                      </wps:spPr>
                      <wps:txbx>
                        <w:txbxContent>
                          <w:p w14:paraId="74F90195" w14:textId="77777777" w:rsidR="00576CD7" w:rsidRDefault="00576CD7">
                            <w:pPr>
                              <w:rPr>
                                <w:rFonts w:ascii="標楷體" w:eastAsia="標楷體" w:hAnsi="標楷體"/>
                              </w:rPr>
                            </w:pPr>
                            <w:r>
                              <w:rPr>
                                <w:rFonts w:ascii="標楷體" w:eastAsia="標楷體" w:hAnsi="標楷體"/>
                              </w:rPr>
                              <w:t xml:space="preserve">9  肌肉出血 </w:t>
                            </w:r>
                          </w:p>
                          <w:p w14:paraId="0FBEB0A9" w14:textId="77777777" w:rsidR="00576CD7" w:rsidRDefault="00576CD7">
                            <w:pPr>
                              <w:rPr>
                                <w:rFonts w:ascii="標楷體" w:eastAsia="標楷體" w:hAnsi="標楷體"/>
                              </w:rPr>
                            </w:pPr>
                            <w:r>
                              <w:rPr>
                                <w:rFonts w:ascii="標楷體" w:eastAsia="標楷體" w:hAnsi="標楷體"/>
                              </w:rPr>
                              <w:t>10 皮下出血</w:t>
                            </w:r>
                          </w:p>
                          <w:p w14:paraId="218BFCDE" w14:textId="77777777" w:rsidR="00576CD7" w:rsidRDefault="00576CD7">
                            <w:pPr>
                              <w:rPr>
                                <w:rFonts w:ascii="標楷體" w:eastAsia="標楷體" w:hAnsi="標楷體"/>
                              </w:rPr>
                            </w:pPr>
                            <w:r>
                              <w:rPr>
                                <w:rFonts w:ascii="標楷體" w:eastAsia="標楷體" w:hAnsi="標楷體"/>
                              </w:rPr>
                              <w:t>11 腸胃道出血</w:t>
                            </w:r>
                          </w:p>
                          <w:p w14:paraId="12709057" w14:textId="77777777" w:rsidR="00576CD7" w:rsidRDefault="00576CD7">
                            <w:pPr>
                              <w:rPr>
                                <w:rFonts w:ascii="標楷體" w:eastAsia="標楷體" w:hAnsi="標楷體"/>
                              </w:rPr>
                            </w:pPr>
                            <w:r>
                              <w:rPr>
                                <w:rFonts w:ascii="標楷體" w:eastAsia="標楷體" w:hAnsi="標楷體"/>
                              </w:rPr>
                              <w:t>12 血尿</w:t>
                            </w:r>
                          </w:p>
                          <w:p w14:paraId="035E1C39" w14:textId="77777777" w:rsidR="00576CD7" w:rsidRDefault="00576CD7">
                            <w:pPr>
                              <w:rPr>
                                <w:rFonts w:ascii="標楷體" w:eastAsia="標楷體" w:hAnsi="標楷體"/>
                              </w:rPr>
                            </w:pPr>
                            <w:r>
                              <w:rPr>
                                <w:rFonts w:ascii="標楷體" w:eastAsia="標楷體" w:hAnsi="標楷體"/>
                              </w:rPr>
                              <w:t>13 鼻腔出血</w:t>
                            </w:r>
                          </w:p>
                          <w:p w14:paraId="4C6D562D" w14:textId="77777777" w:rsidR="00576CD7" w:rsidRDefault="00576CD7">
                            <w:pPr>
                              <w:rPr>
                                <w:rFonts w:ascii="標楷體" w:eastAsia="標楷體" w:hAnsi="標楷體"/>
                              </w:rPr>
                            </w:pPr>
                            <w:r>
                              <w:rPr>
                                <w:rFonts w:ascii="標楷體" w:eastAsia="標楷體" w:hAnsi="標楷體"/>
                              </w:rPr>
                              <w:t>14 牙齦出血</w:t>
                            </w:r>
                          </w:p>
                          <w:p w14:paraId="198FE147" w14:textId="77777777" w:rsidR="00576CD7" w:rsidRDefault="00576CD7">
                            <w:pPr>
                              <w:rPr>
                                <w:rFonts w:ascii="標楷體" w:eastAsia="標楷體" w:hAnsi="標楷體"/>
                              </w:rPr>
                            </w:pPr>
                            <w:r>
                              <w:rPr>
                                <w:rFonts w:ascii="標楷體" w:eastAsia="標楷體" w:hAnsi="標楷體"/>
                              </w:rPr>
                              <w:t>15 口腔內出血</w:t>
                            </w:r>
                          </w:p>
                          <w:p w14:paraId="3FC22DF8" w14:textId="77777777" w:rsidR="00576CD7" w:rsidRDefault="00576CD7">
                            <w:pPr>
                              <w:rPr>
                                <w:rFonts w:ascii="標楷體" w:eastAsia="標楷體" w:hAnsi="標楷體"/>
                              </w:rPr>
                            </w:pPr>
                            <w:r>
                              <w:rPr>
                                <w:rFonts w:ascii="標楷體" w:eastAsia="標楷體" w:hAnsi="標楷體"/>
                              </w:rPr>
                              <w:t>16 腦部出血</w:t>
                            </w:r>
                          </w:p>
                          <w:p w14:paraId="176A6062" w14:textId="77777777" w:rsidR="00576CD7" w:rsidRDefault="00576CD7">
                            <w:pPr>
                              <w:rPr>
                                <w:rFonts w:ascii="標楷體" w:eastAsia="標楷體" w:hAnsi="標楷體"/>
                              </w:rPr>
                            </w:pPr>
                          </w:p>
                        </w:txbxContent>
                      </wps:txbx>
                      <wps:bodyPr vert="horz" wrap="square" lIns="91440" tIns="45720" rIns="91440" bIns="45720" anchor="t" anchorCtr="0" compatLnSpc="0">
                        <a:noAutofit/>
                      </wps:bodyPr>
                    </wps:wsp>
                  </a:graphicData>
                </a:graphic>
              </wp:anchor>
            </w:drawing>
          </mc:Choice>
          <mc:Fallback>
            <w:pict>
              <v:shape w14:anchorId="6853CE91" id="Text Box 70" o:spid="_x0000_s1038" type="#_x0000_t202" style="position:absolute;margin-left:8.7pt;margin-top:136.05pt;width:138pt;height:15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" filled="f" stroked="f">
                <v:textbox>
                  <w:txbxContent>
                    <w:p w14:paraId="74F90195" w14:textId="77777777" w:rsidR="00576CD7" w:rsidRDefault="00576CD7">
                      <w:pPr>
                        <w:rPr>
                          <w:rFonts w:ascii="標楷體" w:eastAsia="標楷體" w:hAnsi="標楷體"/>
                        </w:rPr>
                      </w:pPr>
                      <w:r>
                        <w:rPr>
                          <w:rFonts w:ascii="標楷體" w:eastAsia="標楷體" w:hAnsi="標楷體"/>
                        </w:rPr>
                        <w:t xml:space="preserve">9  肌肉出血 </w:t>
                      </w:r>
                    </w:p>
                    <w:p w14:paraId="0FBEB0A9" w14:textId="77777777" w:rsidR="00576CD7" w:rsidRDefault="00576CD7">
                      <w:pPr>
                        <w:rPr>
                          <w:rFonts w:ascii="標楷體" w:eastAsia="標楷體" w:hAnsi="標楷體"/>
                        </w:rPr>
                      </w:pPr>
                      <w:r>
                        <w:rPr>
                          <w:rFonts w:ascii="標楷體" w:eastAsia="標楷體" w:hAnsi="標楷體"/>
                        </w:rPr>
                        <w:t>10 皮下出血</w:t>
                      </w:r>
                    </w:p>
                    <w:p w14:paraId="218BFCDE" w14:textId="77777777" w:rsidR="00576CD7" w:rsidRDefault="00576CD7">
                      <w:pPr>
                        <w:rPr>
                          <w:rFonts w:ascii="標楷體" w:eastAsia="標楷體" w:hAnsi="標楷體"/>
                        </w:rPr>
                      </w:pPr>
                      <w:r>
                        <w:rPr>
                          <w:rFonts w:ascii="標楷體" w:eastAsia="標楷體" w:hAnsi="標楷體"/>
                        </w:rPr>
                        <w:t>11 腸胃道出血</w:t>
                      </w:r>
                    </w:p>
                    <w:p w14:paraId="12709057" w14:textId="77777777" w:rsidR="00576CD7" w:rsidRDefault="00576CD7">
                      <w:pPr>
                        <w:rPr>
                          <w:rFonts w:ascii="標楷體" w:eastAsia="標楷體" w:hAnsi="標楷體"/>
                        </w:rPr>
                      </w:pPr>
                      <w:r>
                        <w:rPr>
                          <w:rFonts w:ascii="標楷體" w:eastAsia="標楷體" w:hAnsi="標楷體"/>
                        </w:rPr>
                        <w:t>12 血尿</w:t>
                      </w:r>
                    </w:p>
                    <w:p w14:paraId="035E1C39" w14:textId="77777777" w:rsidR="00576CD7" w:rsidRDefault="00576CD7">
                      <w:pPr>
                        <w:rPr>
                          <w:rFonts w:ascii="標楷體" w:eastAsia="標楷體" w:hAnsi="標楷體"/>
                        </w:rPr>
                      </w:pPr>
                      <w:r>
                        <w:rPr>
                          <w:rFonts w:ascii="標楷體" w:eastAsia="標楷體" w:hAnsi="標楷體"/>
                        </w:rPr>
                        <w:t>13 鼻腔出血</w:t>
                      </w:r>
                    </w:p>
                    <w:p w14:paraId="4C6D562D" w14:textId="77777777" w:rsidR="00576CD7" w:rsidRDefault="00576CD7">
                      <w:pPr>
                        <w:rPr>
                          <w:rFonts w:ascii="標楷體" w:eastAsia="標楷體" w:hAnsi="標楷體"/>
                        </w:rPr>
                      </w:pPr>
                      <w:r>
                        <w:rPr>
                          <w:rFonts w:ascii="標楷體" w:eastAsia="標楷體" w:hAnsi="標楷體"/>
                        </w:rPr>
                        <w:t>14 牙齦出血</w:t>
                      </w:r>
                    </w:p>
                    <w:p w14:paraId="198FE147" w14:textId="77777777" w:rsidR="00576CD7" w:rsidRDefault="00576CD7">
                      <w:pPr>
                        <w:rPr>
                          <w:rFonts w:ascii="標楷體" w:eastAsia="標楷體" w:hAnsi="標楷體"/>
                        </w:rPr>
                      </w:pPr>
                      <w:r>
                        <w:rPr>
                          <w:rFonts w:ascii="標楷體" w:eastAsia="標楷體" w:hAnsi="標楷體"/>
                        </w:rPr>
                        <w:t>15 口腔內出血</w:t>
                      </w:r>
                    </w:p>
                    <w:p w14:paraId="3FC22DF8" w14:textId="77777777" w:rsidR="00576CD7" w:rsidRDefault="00576CD7">
                      <w:pPr>
                        <w:rPr>
                          <w:rFonts w:ascii="標楷體" w:eastAsia="標楷體" w:hAnsi="標楷體"/>
                        </w:rPr>
                      </w:pPr>
                      <w:r>
                        <w:rPr>
                          <w:rFonts w:ascii="標楷體" w:eastAsia="標楷體" w:hAnsi="標楷體"/>
                        </w:rPr>
                        <w:t>16 腦部出血</w:t>
                      </w:r>
                    </w:p>
                    <w:p w14:paraId="176A6062" w14:textId="77777777" w:rsidR="00576CD7" w:rsidRDefault="00576CD7">
                      <w:pPr>
                        <w:rPr>
                          <w:rFonts w:ascii="標楷體" w:eastAsia="標楷體" w:hAnsi="標楷體"/>
                        </w:rPr>
                      </w:pPr>
                    </w:p>
                  </w:txbxContent>
                </v:textbox>
                <w10:wrap type="square"/>
              </v:shape>
            </w:pict>
          </mc:Fallback>
        </mc:AlternateContent>
      </w:r>
    </w:p>
    <w:p w14:paraId="59AC4148" w14:textId="77777777" w:rsidR="00BD776B" w:rsidRDefault="00DF0C24">
      <w:pPr>
        <w:spacing w:after="240"/>
        <w:jc w:val="center"/>
      </w:pPr>
      <w:r>
        <w:rPr>
          <w:rFonts w:eastAsia="標楷體"/>
        </w:rPr>
        <w:lastRenderedPageBreak/>
        <w:t>附表十八之三</w:t>
      </w:r>
      <w:r>
        <w:rPr>
          <w:rFonts w:eastAsia="標楷體"/>
        </w:rPr>
        <w:t xml:space="preserve">  </w:t>
      </w:r>
      <w:r>
        <w:rPr>
          <w:rFonts w:eastAsia="標楷體"/>
        </w:rPr>
        <w:t>全民健康保險一般型血友病患需要時治療之凝血因子建議劑量</w:t>
      </w:r>
    </w:p>
    <w:tbl>
      <w:tblPr>
        <w:tblW w:w="10206" w:type="dxa"/>
        <w:tblInd w:w="5" w:type="dxa"/>
        <w:tblLayout w:type="fixed"/>
        <w:tblCellMar>
          <w:left w:w="10" w:type="dxa"/>
          <w:right w:w="10" w:type="dxa"/>
        </w:tblCellMar>
        <w:tblLook w:val="0000" w:firstRow="0" w:lastRow="0" w:firstColumn="0" w:lastColumn="0" w:noHBand="0" w:noVBand="0"/>
      </w:tblPr>
      <w:tblGrid>
        <w:gridCol w:w="1843"/>
        <w:gridCol w:w="992"/>
        <w:gridCol w:w="992"/>
        <w:gridCol w:w="993"/>
        <w:gridCol w:w="992"/>
        <w:gridCol w:w="992"/>
        <w:gridCol w:w="993"/>
        <w:gridCol w:w="2409"/>
      </w:tblGrid>
      <w:tr w:rsidR="00BD776B" w14:paraId="23CD628F" w14:textId="77777777">
        <w:trPr>
          <w:trHeight w:val="34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154A0" w14:textId="77777777" w:rsidR="00BD776B" w:rsidRDefault="00BD776B">
            <w:pPr>
              <w:pStyle w:val="ab"/>
              <w:jc w:val="center"/>
              <w:rPr>
                <w:rFonts w:ascii="標楷體" w:eastAsia="標楷體" w:hAnsi="標楷體"/>
                <w:color w:val="000000"/>
                <w:sz w:val="20"/>
                <w:szCs w:val="20"/>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666E" w14:textId="77777777" w:rsidR="00BD776B" w:rsidRDefault="00DF0C24">
            <w:pPr>
              <w:pStyle w:val="ab"/>
              <w:jc w:val="center"/>
            </w:pPr>
            <w:r>
              <w:rPr>
                <w:rFonts w:ascii="標楷體" w:eastAsia="標楷體" w:hAnsi="標楷體"/>
                <w:color w:val="000000"/>
                <w:sz w:val="20"/>
                <w:szCs w:val="20"/>
              </w:rPr>
              <w:t>第八</w:t>
            </w:r>
            <w:r>
              <w:rPr>
                <w:rFonts w:eastAsia="標楷體"/>
                <w:sz w:val="20"/>
                <w:szCs w:val="20"/>
              </w:rPr>
              <w:t>凝血</w:t>
            </w:r>
            <w:r>
              <w:rPr>
                <w:rFonts w:ascii="標楷體" w:eastAsia="標楷體" w:hAnsi="標楷體"/>
                <w:color w:val="000000"/>
                <w:sz w:val="20"/>
                <w:szCs w:val="20"/>
              </w:rPr>
              <w:t>因子</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3772" w14:textId="77777777" w:rsidR="00BD776B" w:rsidRDefault="00DF0C24">
            <w:pPr>
              <w:pStyle w:val="ab"/>
              <w:jc w:val="center"/>
            </w:pPr>
            <w:r>
              <w:rPr>
                <w:rFonts w:ascii="標楷體" w:eastAsia="標楷體" w:hAnsi="標楷體"/>
                <w:color w:val="000000"/>
                <w:sz w:val="20"/>
                <w:szCs w:val="20"/>
              </w:rPr>
              <w:t>第九</w:t>
            </w:r>
            <w:r>
              <w:rPr>
                <w:rFonts w:eastAsia="標楷體"/>
                <w:sz w:val="20"/>
                <w:szCs w:val="20"/>
              </w:rPr>
              <w:t>凝血</w:t>
            </w:r>
            <w:r>
              <w:rPr>
                <w:rFonts w:ascii="標楷體" w:eastAsia="標楷體" w:hAnsi="標楷體"/>
                <w:color w:val="000000"/>
                <w:sz w:val="20"/>
                <w:szCs w:val="20"/>
              </w:rPr>
              <w:t>因子</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CDB4" w14:textId="77777777" w:rsidR="00BD776B" w:rsidRDefault="00BD776B">
            <w:pPr>
              <w:pStyle w:val="ab"/>
              <w:jc w:val="center"/>
              <w:rPr>
                <w:rFonts w:ascii="標楷體" w:eastAsia="標楷體" w:hAnsi="標楷體"/>
                <w:color w:val="000000"/>
                <w:sz w:val="20"/>
                <w:szCs w:val="20"/>
              </w:rPr>
            </w:pPr>
          </w:p>
        </w:tc>
      </w:tr>
      <w:tr w:rsidR="00BD776B" w14:paraId="6CC7979B" w14:textId="77777777">
        <w:trPr>
          <w:trHeight w:val="1062"/>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ADEA5" w14:textId="77777777" w:rsidR="00BD776B" w:rsidRDefault="00DF0C24">
            <w:pPr>
              <w:pStyle w:val="ab"/>
              <w:jc w:val="center"/>
            </w:pPr>
            <w:r>
              <w:rPr>
                <w:rFonts w:ascii="Arial Narrow" w:eastAsia="標楷體" w:hAnsi="Arial Narrow"/>
                <w:color w:val="000000"/>
                <w:sz w:val="20"/>
                <w:szCs w:val="20"/>
              </w:rPr>
              <w:t>出血部位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C197C" w14:textId="77777777" w:rsidR="00BD776B" w:rsidRDefault="00DF0C24">
            <w:pPr>
              <w:pStyle w:val="ab"/>
              <w:jc w:val="center"/>
            </w:pPr>
            <w:r>
              <w:rPr>
                <w:rFonts w:ascii="Arial Narrow" w:eastAsia="標楷體" w:hAnsi="Arial Narrow"/>
                <w:color w:val="000000"/>
                <w:sz w:val="20"/>
                <w:szCs w:val="20"/>
              </w:rPr>
              <w:t>欲達到濃度</w:t>
            </w:r>
          </w:p>
          <w:p w14:paraId="4A7A9711" w14:textId="77777777" w:rsidR="00BD776B" w:rsidRDefault="00DF0C24">
            <w:pPr>
              <w:pStyle w:val="ab"/>
              <w:jc w:val="center"/>
            </w:pPr>
            <w:r>
              <w:rPr>
                <w:rFonts w:ascii="Arial Narrow" w:eastAsia="標楷體" w:hAnsi="Arial Narrow"/>
                <w:color w:val="000000"/>
                <w:sz w:val="20"/>
                <w:szCs w:val="20"/>
              </w:rPr>
              <w:t>(IU/dL)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24C07" w14:textId="77777777" w:rsidR="00BD776B" w:rsidRDefault="00DF0C24">
            <w:pPr>
              <w:pStyle w:val="ab"/>
              <w:jc w:val="center"/>
            </w:pPr>
            <w:r>
              <w:rPr>
                <w:rFonts w:ascii="Arial Narrow" w:eastAsia="標楷體" w:hAnsi="Arial Narrow"/>
                <w:color w:val="000000"/>
                <w:sz w:val="20"/>
                <w:szCs w:val="20"/>
              </w:rPr>
              <w:t>建議注射劑量</w:t>
            </w:r>
            <w:r>
              <w:rPr>
                <w:rFonts w:ascii="標楷體" w:eastAsia="標楷體" w:hAnsi="標楷體"/>
                <w:color w:val="000000"/>
                <w:sz w:val="20"/>
                <w:szCs w:val="20"/>
                <w:vertAlign w:val="superscript"/>
              </w:rPr>
              <w:t>＊</w:t>
            </w:r>
            <w:r>
              <w:rPr>
                <w:rFonts w:ascii="Arial Narrow" w:eastAsia="標楷體" w:hAnsi="Arial Narrow"/>
                <w:color w:val="000000"/>
                <w:sz w:val="20"/>
                <w:szCs w:val="20"/>
              </w:rPr>
              <w:t>(IU/Kg)</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B951D" w14:textId="77777777" w:rsidR="00BD776B" w:rsidRDefault="00DF0C24">
            <w:pPr>
              <w:pStyle w:val="ab"/>
              <w:jc w:val="center"/>
            </w:pPr>
            <w:r>
              <w:rPr>
                <w:rFonts w:ascii="Arial Narrow" w:eastAsia="標楷體" w:hAnsi="Arial Narrow"/>
                <w:color w:val="000000"/>
                <w:sz w:val="20"/>
                <w:szCs w:val="20"/>
              </w:rPr>
              <w:t>使用期間</w:t>
            </w:r>
          </w:p>
          <w:p w14:paraId="26045AF2" w14:textId="77777777" w:rsidR="00BD776B" w:rsidRDefault="00DF0C24">
            <w:pPr>
              <w:pStyle w:val="ab"/>
              <w:jc w:val="center"/>
            </w:pPr>
            <w:r>
              <w:rPr>
                <w:rFonts w:ascii="Arial Narrow" w:eastAsia="標楷體" w:hAnsi="Arial Narrow"/>
                <w:color w:val="000000"/>
                <w:sz w:val="20"/>
                <w:szCs w:val="20"/>
              </w:rPr>
              <w:t>(</w:t>
            </w:r>
            <w:r>
              <w:rPr>
                <w:rFonts w:ascii="Arial Narrow" w:eastAsia="標楷體" w:hAnsi="Arial Narrow"/>
                <w:color w:val="000000"/>
                <w:sz w:val="20"/>
                <w:szCs w:val="20"/>
              </w:rPr>
              <w:t>天</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1AE7D" w14:textId="77777777" w:rsidR="00BD776B" w:rsidRDefault="00DF0C24">
            <w:pPr>
              <w:pStyle w:val="ab"/>
              <w:jc w:val="center"/>
            </w:pPr>
            <w:r>
              <w:rPr>
                <w:rFonts w:ascii="Arial Narrow" w:eastAsia="標楷體" w:hAnsi="Arial Narrow"/>
                <w:color w:val="000000"/>
                <w:sz w:val="20"/>
                <w:szCs w:val="20"/>
              </w:rPr>
              <w:t>欲達到濃度</w:t>
            </w:r>
          </w:p>
          <w:p w14:paraId="772FAA34" w14:textId="77777777" w:rsidR="00BD776B" w:rsidRDefault="00DF0C24">
            <w:pPr>
              <w:pStyle w:val="ab"/>
              <w:jc w:val="center"/>
            </w:pPr>
            <w:r>
              <w:rPr>
                <w:rFonts w:ascii="Arial Narrow" w:eastAsia="標楷體" w:hAnsi="Arial Narrow"/>
                <w:color w:val="000000"/>
                <w:sz w:val="20"/>
                <w:szCs w:val="20"/>
              </w:rPr>
              <w:t>(IU/dL)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180F4" w14:textId="77777777" w:rsidR="00BD776B" w:rsidRDefault="00DF0C24">
            <w:pPr>
              <w:pStyle w:val="ab"/>
              <w:jc w:val="center"/>
            </w:pPr>
            <w:r>
              <w:rPr>
                <w:rFonts w:ascii="Arial Narrow" w:eastAsia="標楷體" w:hAnsi="Arial Narrow"/>
                <w:color w:val="000000"/>
                <w:sz w:val="20"/>
                <w:szCs w:val="20"/>
              </w:rPr>
              <w:t>建議注射劑量</w:t>
            </w:r>
            <w:r>
              <w:rPr>
                <w:rFonts w:ascii="標楷體" w:eastAsia="標楷體" w:hAnsi="標楷體"/>
                <w:color w:val="000000"/>
                <w:sz w:val="20"/>
                <w:szCs w:val="20"/>
                <w:vertAlign w:val="superscript"/>
              </w:rPr>
              <w:t>＊</w:t>
            </w:r>
            <w:r>
              <w:rPr>
                <w:rFonts w:ascii="Arial Narrow" w:eastAsia="標楷體" w:hAnsi="Arial Narrow"/>
                <w:color w:val="000000"/>
                <w:sz w:val="20"/>
                <w:szCs w:val="20"/>
              </w:rPr>
              <w:t xml:space="preserve"> (IU/kg)</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CF86B" w14:textId="77777777" w:rsidR="00BD776B" w:rsidRDefault="00DF0C24">
            <w:pPr>
              <w:pStyle w:val="ab"/>
              <w:jc w:val="center"/>
            </w:pPr>
            <w:r>
              <w:rPr>
                <w:rFonts w:ascii="Arial Narrow" w:eastAsia="標楷體" w:hAnsi="Arial Narrow"/>
                <w:color w:val="000000"/>
                <w:sz w:val="20"/>
                <w:szCs w:val="20"/>
              </w:rPr>
              <w:t>使用期間</w:t>
            </w:r>
          </w:p>
          <w:p w14:paraId="5832EA60" w14:textId="77777777" w:rsidR="00BD776B" w:rsidRDefault="00DF0C24">
            <w:pPr>
              <w:pStyle w:val="ab"/>
              <w:jc w:val="center"/>
            </w:pPr>
            <w:r>
              <w:rPr>
                <w:rFonts w:ascii="Arial Narrow" w:eastAsia="標楷體" w:hAnsi="Arial Narrow"/>
                <w:color w:val="000000"/>
                <w:sz w:val="20"/>
                <w:szCs w:val="20"/>
              </w:rPr>
              <w:t>(</w:t>
            </w:r>
            <w:r>
              <w:rPr>
                <w:rFonts w:ascii="Arial Narrow" w:eastAsia="標楷體" w:hAnsi="Arial Narrow"/>
                <w:color w:val="000000"/>
                <w:sz w:val="20"/>
                <w:szCs w:val="20"/>
              </w:rPr>
              <w:t>天</w:t>
            </w:r>
            <w:r>
              <w:rPr>
                <w:rFonts w:ascii="Arial Narrow" w:eastAsia="標楷體" w:hAnsi="Arial Narrow"/>
                <w:color w:val="000000"/>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645FC" w14:textId="77777777" w:rsidR="00BD776B" w:rsidRDefault="00DF0C24">
            <w:pPr>
              <w:pStyle w:val="ab"/>
              <w:jc w:val="center"/>
            </w:pPr>
            <w:r>
              <w:rPr>
                <w:rFonts w:ascii="Arial Narrow" w:eastAsia="標楷體" w:hAnsi="Arial Narrow"/>
                <w:color w:val="000000"/>
                <w:sz w:val="20"/>
                <w:szCs w:val="20"/>
              </w:rPr>
              <w:t>備註事項</w:t>
            </w:r>
          </w:p>
        </w:tc>
      </w:tr>
      <w:tr w:rsidR="00BD776B" w14:paraId="366A8394" w14:textId="77777777">
        <w:trPr>
          <w:trHeight w:val="10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004F4" w14:textId="77777777" w:rsidR="00BD776B" w:rsidRDefault="00DF0C24">
            <w:pPr>
              <w:pStyle w:val="ab"/>
              <w:jc w:val="center"/>
            </w:pPr>
            <w:r>
              <w:rPr>
                <w:rFonts w:ascii="Arial Narrow" w:eastAsia="標楷體" w:hAnsi="Arial Narrow"/>
                <w:color w:val="000000"/>
                <w:sz w:val="20"/>
                <w:szCs w:val="20"/>
              </w:rPr>
              <w:t>關節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AD0FE" w14:textId="77777777" w:rsidR="00BD776B" w:rsidRDefault="00DF0C24">
            <w:pPr>
              <w:pStyle w:val="ab"/>
              <w:jc w:val="center"/>
            </w:pPr>
            <w:r>
              <w:rPr>
                <w:rFonts w:ascii="Arial Narrow" w:eastAsia="標楷體" w:hAnsi="Arial Narrow"/>
                <w:color w:val="000000"/>
                <w:sz w:val="20"/>
                <w:szCs w:val="20"/>
              </w:rPr>
              <w:t>40-60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07DA2" w14:textId="77777777" w:rsidR="00BD776B" w:rsidRDefault="00DF0C24">
            <w:pPr>
              <w:pStyle w:val="ab"/>
              <w:jc w:val="center"/>
            </w:pPr>
            <w:r>
              <w:rPr>
                <w:rFonts w:ascii="Arial Narrow" w:eastAsia="標楷體" w:hAnsi="Arial Narrow"/>
                <w:color w:val="000000"/>
                <w:sz w:val="20"/>
                <w:szCs w:val="20"/>
              </w:rPr>
              <w:t>20-30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09622" w14:textId="77777777" w:rsidR="00BD776B" w:rsidRDefault="00DF0C24">
            <w:pPr>
              <w:pStyle w:val="ab"/>
              <w:jc w:val="center"/>
            </w:pPr>
            <w:r>
              <w:rPr>
                <w:rFonts w:ascii="Arial Narrow" w:eastAsia="標楷體" w:hAnsi="Arial Narrow"/>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C4794" w14:textId="77777777" w:rsidR="00BD776B" w:rsidRDefault="00DF0C24">
            <w:pPr>
              <w:pStyle w:val="ab"/>
              <w:jc w:val="center"/>
            </w:pPr>
            <w:r>
              <w:rPr>
                <w:rFonts w:ascii="Arial Narrow" w:eastAsia="標楷體" w:hAnsi="Arial Narrow"/>
                <w:color w:val="000000"/>
                <w:sz w:val="20"/>
                <w:szCs w:val="20"/>
              </w:rPr>
              <w:t>40-60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2DF91" w14:textId="77777777" w:rsidR="00BD776B" w:rsidRDefault="00DF0C24">
            <w:pPr>
              <w:pStyle w:val="ab"/>
              <w:jc w:val="center"/>
            </w:pPr>
            <w:r>
              <w:rPr>
                <w:rFonts w:ascii="Arial Narrow" w:eastAsia="標楷體" w:hAnsi="Arial Narrow"/>
                <w:color w:val="000000"/>
                <w:sz w:val="20"/>
                <w:szCs w:val="20"/>
              </w:rPr>
              <w:t>40-60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79F9B" w14:textId="77777777" w:rsidR="00BD776B" w:rsidRDefault="00DF0C24">
            <w:pPr>
              <w:pStyle w:val="ab"/>
              <w:jc w:val="center"/>
            </w:pPr>
            <w:r>
              <w:rPr>
                <w:rFonts w:ascii="Arial Narrow" w:eastAsia="標楷體" w:hAnsi="Arial Narrow"/>
                <w:color w:val="000000"/>
                <w:sz w:val="20"/>
                <w:szCs w:val="20"/>
              </w:rPr>
              <w:t>1-2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2E6BB" w14:textId="77777777" w:rsidR="00BD776B" w:rsidRDefault="00DF0C24">
            <w:pPr>
              <w:pStyle w:val="ab"/>
            </w:pPr>
            <w:r>
              <w:rPr>
                <w:rFonts w:ascii="Arial Narrow" w:eastAsia="標楷體" w:hAnsi="Arial Narrow"/>
                <w:b/>
                <w:color w:val="000000"/>
                <w:sz w:val="20"/>
                <w:szCs w:val="20"/>
              </w:rPr>
              <w:t>如治療效果不佳時，得視病情況延長凝血因子使用期間，需於病歷記載延長治療期間之理由</w:t>
            </w:r>
          </w:p>
        </w:tc>
      </w:tr>
      <w:tr w:rsidR="00BD776B" w14:paraId="06D8B84D" w14:textId="77777777">
        <w:trPr>
          <w:trHeight w:val="508"/>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6911E" w14:textId="77777777" w:rsidR="00BD776B" w:rsidRDefault="00DF0C24">
            <w:pPr>
              <w:pStyle w:val="ab"/>
            </w:pPr>
            <w:r>
              <w:rPr>
                <w:rFonts w:ascii="Arial Narrow" w:eastAsia="標楷體" w:hAnsi="Arial Narrow"/>
                <w:color w:val="000000"/>
                <w:sz w:val="20"/>
                <w:szCs w:val="20"/>
              </w:rPr>
              <w:t>表在肌肉，沒有神經傷害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A0942" w14:textId="77777777" w:rsidR="00BD776B" w:rsidRDefault="00DF0C24">
            <w:pPr>
              <w:pStyle w:val="ab"/>
              <w:jc w:val="center"/>
            </w:pPr>
            <w:r>
              <w:rPr>
                <w:rFonts w:ascii="Arial Narrow" w:eastAsia="標楷體" w:hAnsi="Arial Narrow"/>
                <w:color w:val="000000"/>
                <w:sz w:val="20"/>
                <w:szCs w:val="20"/>
              </w:rPr>
              <w:t>40-60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0F40" w14:textId="77777777" w:rsidR="00BD776B" w:rsidRDefault="00DF0C24">
            <w:pPr>
              <w:pStyle w:val="ab"/>
              <w:jc w:val="center"/>
            </w:pPr>
            <w:r>
              <w:rPr>
                <w:rFonts w:ascii="Arial Narrow" w:eastAsia="標楷體" w:hAnsi="Arial Narrow"/>
                <w:color w:val="000000"/>
                <w:sz w:val="20"/>
                <w:szCs w:val="20"/>
              </w:rPr>
              <w:t>20-30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00822" w14:textId="77777777" w:rsidR="00BD776B" w:rsidRDefault="00DF0C24">
            <w:pPr>
              <w:pStyle w:val="ab"/>
              <w:jc w:val="center"/>
            </w:pPr>
            <w:r>
              <w:rPr>
                <w:rFonts w:ascii="Arial Narrow" w:eastAsia="標楷體" w:hAnsi="Arial Narrow"/>
                <w:color w:val="000000"/>
                <w:sz w:val="20"/>
                <w:szCs w:val="20"/>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4B9D3" w14:textId="77777777" w:rsidR="00BD776B" w:rsidRDefault="00DF0C24">
            <w:pPr>
              <w:pStyle w:val="ab"/>
              <w:jc w:val="center"/>
            </w:pPr>
            <w:r>
              <w:rPr>
                <w:rFonts w:ascii="Arial Narrow" w:eastAsia="標楷體" w:hAnsi="Arial Narrow"/>
                <w:color w:val="000000"/>
                <w:sz w:val="20"/>
                <w:szCs w:val="20"/>
              </w:rPr>
              <w:t>40-60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99358" w14:textId="77777777" w:rsidR="00BD776B" w:rsidRDefault="00DF0C24">
            <w:pPr>
              <w:pStyle w:val="ab"/>
              <w:jc w:val="center"/>
            </w:pPr>
            <w:r>
              <w:rPr>
                <w:rFonts w:ascii="Arial Narrow" w:eastAsia="標楷體" w:hAnsi="Arial Narrow"/>
                <w:color w:val="000000"/>
                <w:sz w:val="20"/>
                <w:szCs w:val="20"/>
              </w:rPr>
              <w:t>40-60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65995" w14:textId="77777777" w:rsidR="00BD776B" w:rsidRDefault="00DF0C24">
            <w:pPr>
              <w:pStyle w:val="ab"/>
              <w:jc w:val="center"/>
            </w:pPr>
            <w:r>
              <w:rPr>
                <w:rFonts w:ascii="Arial Narrow" w:eastAsia="標楷體" w:hAnsi="Arial Narrow"/>
                <w:color w:val="000000"/>
                <w:sz w:val="20"/>
                <w:szCs w:val="20"/>
              </w:rPr>
              <w:t>2-3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76EF6" w14:textId="77777777" w:rsidR="00BD776B" w:rsidRDefault="00DF0C24">
            <w:pPr>
              <w:pStyle w:val="ab"/>
            </w:pPr>
            <w:r>
              <w:rPr>
                <w:rFonts w:ascii="Arial Narrow" w:eastAsia="標楷體" w:hAnsi="Arial Narrow"/>
                <w:b/>
                <w:color w:val="000000"/>
                <w:sz w:val="20"/>
                <w:szCs w:val="20"/>
              </w:rPr>
              <w:t>如治療效果不佳時，得視病情況延長凝血因子使用期間，需於病歷記載延長治療期間之理由</w:t>
            </w:r>
          </w:p>
        </w:tc>
      </w:tr>
      <w:tr w:rsidR="00BD776B" w14:paraId="14743653" w14:textId="77777777">
        <w:trPr>
          <w:trHeight w:val="5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308C9" w14:textId="77777777" w:rsidR="00BD776B" w:rsidRDefault="00DF0C24">
            <w:pPr>
              <w:pStyle w:val="ab"/>
            </w:pPr>
            <w:r>
              <w:rPr>
                <w:rFonts w:ascii="Arial Narrow" w:eastAsia="標楷體" w:hAnsi="Arial Narrow"/>
                <w:color w:val="000000"/>
                <w:sz w:val="20"/>
                <w:szCs w:val="20"/>
              </w:rPr>
              <w:t>髂腰肌和深部肌肉，有神經傷害和相當出血</w:t>
            </w:r>
            <w:r>
              <w:rPr>
                <w:rFonts w:ascii="Arial Narrow" w:eastAsia="標楷體" w:hAnsi="Arial Narrow"/>
                <w:color w:val="000000"/>
                <w:sz w:val="20"/>
                <w:szCs w:val="20"/>
              </w:rPr>
              <w:t>(</w:t>
            </w:r>
            <w:r>
              <w:rPr>
                <w:rFonts w:ascii="Arial Narrow" w:eastAsia="標楷體" w:hAnsi="Arial Narrow"/>
                <w:color w:val="000000"/>
                <w:sz w:val="20"/>
                <w:szCs w:val="20"/>
              </w:rPr>
              <w:t>初期</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4E44E" w14:textId="77777777" w:rsidR="00BD776B" w:rsidRDefault="00DF0C24">
            <w:pPr>
              <w:pStyle w:val="ab"/>
              <w:jc w:val="center"/>
            </w:pPr>
            <w:r>
              <w:rPr>
                <w:rFonts w:ascii="Arial Narrow" w:eastAsia="標楷體" w:hAnsi="Arial Narrow"/>
                <w:color w:val="000000"/>
                <w:sz w:val="20"/>
                <w:szCs w:val="20"/>
              </w:rPr>
              <w:t>80-100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763A5" w14:textId="77777777" w:rsidR="00BD776B" w:rsidRDefault="00DF0C24">
            <w:pPr>
              <w:pStyle w:val="ab"/>
              <w:jc w:val="center"/>
            </w:pPr>
            <w:r>
              <w:rPr>
                <w:rFonts w:ascii="Arial Narrow" w:eastAsia="標楷體" w:hAnsi="Arial Narrow"/>
                <w:color w:val="000000"/>
                <w:sz w:val="20"/>
                <w:szCs w:val="20"/>
              </w:rPr>
              <w:t>40-50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68C93" w14:textId="77777777" w:rsidR="00BD776B" w:rsidRDefault="00DF0C24">
            <w:pPr>
              <w:pStyle w:val="ab"/>
              <w:jc w:val="center"/>
            </w:pPr>
            <w:r>
              <w:rPr>
                <w:rFonts w:ascii="Arial Narrow" w:eastAsia="標楷體" w:hAnsi="Arial Narrow"/>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BE939" w14:textId="77777777" w:rsidR="00BD776B" w:rsidRDefault="00DF0C24">
            <w:pPr>
              <w:pStyle w:val="ab"/>
              <w:jc w:val="center"/>
            </w:pPr>
            <w:r>
              <w:rPr>
                <w:rFonts w:ascii="Arial Narrow" w:eastAsia="標楷體" w:hAnsi="Arial Narrow"/>
                <w:color w:val="000000"/>
                <w:sz w:val="20"/>
                <w:szCs w:val="20"/>
              </w:rPr>
              <w:t>60-80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F196E" w14:textId="77777777" w:rsidR="00BD776B" w:rsidRDefault="00DF0C24">
            <w:pPr>
              <w:pStyle w:val="ab"/>
              <w:jc w:val="center"/>
            </w:pPr>
            <w:r>
              <w:rPr>
                <w:rFonts w:ascii="Arial Narrow" w:eastAsia="標楷體" w:hAnsi="Arial Narrow"/>
                <w:color w:val="000000"/>
                <w:sz w:val="20"/>
                <w:szCs w:val="20"/>
              </w:rPr>
              <w:t>60-80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F761D" w14:textId="77777777" w:rsidR="00BD776B" w:rsidRDefault="00DF0C24">
            <w:pPr>
              <w:pStyle w:val="ab"/>
              <w:jc w:val="center"/>
            </w:pPr>
            <w:r>
              <w:rPr>
                <w:rFonts w:ascii="Arial Narrow" w:eastAsia="標楷體" w:hAnsi="Arial Narrow"/>
                <w:color w:val="000000"/>
                <w:sz w:val="20"/>
                <w:szCs w:val="20"/>
              </w:rPr>
              <w:t>1-2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3189E" w14:textId="77777777" w:rsidR="00BD776B" w:rsidRDefault="00BD776B">
            <w:pPr>
              <w:pStyle w:val="ab"/>
              <w:jc w:val="center"/>
              <w:rPr>
                <w:rFonts w:ascii="Arial Narrow" w:eastAsia="標楷體" w:hAnsi="Arial Narrow"/>
                <w:b/>
                <w:color w:val="000000"/>
                <w:sz w:val="20"/>
                <w:szCs w:val="20"/>
              </w:rPr>
            </w:pPr>
          </w:p>
        </w:tc>
      </w:tr>
      <w:tr w:rsidR="00BD776B" w14:paraId="2682B9CE" w14:textId="77777777">
        <w:trPr>
          <w:trHeight w:val="855"/>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4C839" w14:textId="77777777" w:rsidR="00BD776B" w:rsidRDefault="00DF0C24">
            <w:pPr>
              <w:pStyle w:val="ab"/>
            </w:pPr>
            <w:r>
              <w:rPr>
                <w:rFonts w:ascii="Arial Narrow" w:eastAsia="標楷體" w:hAnsi="Arial Narrow"/>
                <w:color w:val="000000"/>
                <w:sz w:val="20"/>
                <w:szCs w:val="20"/>
              </w:rPr>
              <w:t>髂腰肌</w:t>
            </w:r>
            <w:r>
              <w:rPr>
                <w:rFonts w:ascii="Arial Narrow" w:eastAsia="標楷體" w:hAnsi="Arial Narrow"/>
                <w:color w:val="000000"/>
                <w:sz w:val="20"/>
                <w:szCs w:val="20"/>
              </w:rPr>
              <w:t>(</w:t>
            </w:r>
            <w:r>
              <w:rPr>
                <w:rFonts w:ascii="Arial Narrow" w:eastAsia="標楷體" w:hAnsi="Arial Narrow"/>
                <w:color w:val="000000"/>
                <w:sz w:val="20"/>
                <w:szCs w:val="20"/>
              </w:rPr>
              <w:t>維持</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203C7" w14:textId="77777777" w:rsidR="00BD776B" w:rsidRDefault="00DF0C24">
            <w:pPr>
              <w:pStyle w:val="ab"/>
              <w:jc w:val="center"/>
            </w:pPr>
            <w:r>
              <w:rPr>
                <w:rFonts w:ascii="Arial Narrow" w:eastAsia="標楷體" w:hAnsi="Arial Narrow"/>
                <w:color w:val="000000"/>
                <w:sz w:val="20"/>
                <w:szCs w:val="20"/>
              </w:rPr>
              <w:t>30-60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7D7AB" w14:textId="77777777" w:rsidR="00BD776B" w:rsidRDefault="00DF0C24">
            <w:pPr>
              <w:pStyle w:val="ab"/>
              <w:jc w:val="center"/>
            </w:pPr>
            <w:r>
              <w:rPr>
                <w:rFonts w:ascii="Arial Narrow" w:eastAsia="標楷體" w:hAnsi="Arial Narrow"/>
                <w:color w:val="000000"/>
                <w:sz w:val="20"/>
                <w:szCs w:val="20"/>
              </w:rPr>
              <w:t>15-30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95D97" w14:textId="77777777" w:rsidR="00BD776B" w:rsidRDefault="00DF0C24">
            <w:pPr>
              <w:pStyle w:val="ab"/>
              <w:jc w:val="center"/>
            </w:pPr>
            <w:r>
              <w:rPr>
                <w:rFonts w:ascii="Arial Narrow" w:eastAsia="標楷體" w:hAnsi="Arial Narrow"/>
                <w:color w:val="000000"/>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8329C" w14:textId="77777777" w:rsidR="00BD776B" w:rsidRDefault="00DF0C24">
            <w:pPr>
              <w:pStyle w:val="ab"/>
              <w:jc w:val="center"/>
            </w:pPr>
            <w:r>
              <w:rPr>
                <w:rFonts w:ascii="Arial Narrow" w:eastAsia="標楷體" w:hAnsi="Arial Narrow"/>
                <w:color w:val="000000"/>
                <w:sz w:val="20"/>
                <w:szCs w:val="20"/>
              </w:rPr>
              <w:t>30-60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7E49" w14:textId="77777777" w:rsidR="00BD776B" w:rsidRDefault="00DF0C24">
            <w:pPr>
              <w:pStyle w:val="ab"/>
              <w:jc w:val="center"/>
            </w:pPr>
            <w:r>
              <w:rPr>
                <w:rFonts w:ascii="Arial Narrow" w:eastAsia="標楷體" w:hAnsi="Arial Narrow"/>
                <w:color w:val="000000"/>
                <w:sz w:val="20"/>
                <w:szCs w:val="20"/>
              </w:rPr>
              <w:t>30-60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B9AD9" w14:textId="77777777" w:rsidR="00BD776B" w:rsidRDefault="00DF0C24">
            <w:pPr>
              <w:pStyle w:val="ab"/>
              <w:jc w:val="center"/>
            </w:pPr>
            <w:r>
              <w:rPr>
                <w:rFonts w:ascii="Arial Narrow" w:eastAsia="標楷體" w:hAnsi="Arial Narrow"/>
                <w:color w:val="000000"/>
                <w:sz w:val="20"/>
                <w:szCs w:val="20"/>
              </w:rPr>
              <w:t>3-5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058FD" w14:textId="77777777" w:rsidR="00BD776B" w:rsidRDefault="00DF0C24">
            <w:pPr>
              <w:pStyle w:val="ab"/>
            </w:pPr>
            <w:r>
              <w:rPr>
                <w:rFonts w:ascii="Arial Narrow" w:eastAsia="標楷體" w:hAnsi="Arial Narrow"/>
                <w:b/>
                <w:color w:val="000000"/>
                <w:sz w:val="20"/>
                <w:szCs w:val="20"/>
              </w:rPr>
              <w:t>復健之次級性預防用藥得延長使用期間，需於病歷記載延長治療期間之理由</w:t>
            </w:r>
          </w:p>
        </w:tc>
      </w:tr>
      <w:tr w:rsidR="00BD776B" w14:paraId="650D6B1A" w14:textId="77777777">
        <w:trPr>
          <w:trHeight w:val="12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EC9CA" w14:textId="77777777" w:rsidR="00BD776B" w:rsidRDefault="00DF0C24">
            <w:pPr>
              <w:pStyle w:val="ab"/>
            </w:pPr>
            <w:r>
              <w:rPr>
                <w:rFonts w:ascii="Arial Narrow" w:eastAsia="標楷體" w:hAnsi="Arial Narrow"/>
                <w:color w:val="000000"/>
                <w:sz w:val="20"/>
                <w:szCs w:val="20"/>
              </w:rPr>
              <w:t>中樞神經</w:t>
            </w:r>
            <w:r>
              <w:rPr>
                <w:rFonts w:ascii="Arial Narrow" w:eastAsia="標楷體" w:hAnsi="Arial Narrow"/>
                <w:color w:val="000000"/>
                <w:sz w:val="20"/>
                <w:szCs w:val="20"/>
              </w:rPr>
              <w:t>/</w:t>
            </w:r>
            <w:r>
              <w:rPr>
                <w:rFonts w:ascii="Arial Narrow" w:eastAsia="標楷體" w:hAnsi="Arial Narrow"/>
                <w:color w:val="000000"/>
                <w:sz w:val="20"/>
                <w:szCs w:val="20"/>
              </w:rPr>
              <w:t>頭部</w:t>
            </w:r>
            <w:r>
              <w:rPr>
                <w:rFonts w:ascii="Arial Narrow" w:eastAsia="標楷體" w:hAnsi="Arial Narrow"/>
                <w:color w:val="000000"/>
                <w:sz w:val="20"/>
                <w:szCs w:val="20"/>
              </w:rPr>
              <w:t>(</w:t>
            </w:r>
            <w:r>
              <w:rPr>
                <w:rFonts w:ascii="Arial Narrow" w:eastAsia="標楷體" w:hAnsi="Arial Narrow"/>
                <w:color w:val="000000"/>
                <w:sz w:val="20"/>
                <w:szCs w:val="20"/>
              </w:rPr>
              <w:t>初期</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FF578" w14:textId="77777777" w:rsidR="00BD776B" w:rsidRDefault="00DF0C24">
            <w:pPr>
              <w:pStyle w:val="ab"/>
              <w:jc w:val="center"/>
            </w:pPr>
            <w:r>
              <w:rPr>
                <w:rFonts w:ascii="Arial Narrow" w:eastAsia="標楷體" w:hAnsi="Arial Narrow"/>
                <w:color w:val="000000"/>
                <w:sz w:val="20"/>
                <w:szCs w:val="20"/>
              </w:rPr>
              <w:t>80-100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8C115" w14:textId="77777777" w:rsidR="00BD776B" w:rsidRDefault="00DF0C24">
            <w:pPr>
              <w:pStyle w:val="ab"/>
              <w:jc w:val="center"/>
            </w:pPr>
            <w:r>
              <w:rPr>
                <w:rFonts w:ascii="Arial Narrow" w:eastAsia="標楷體" w:hAnsi="Arial Narrow"/>
                <w:color w:val="000000"/>
                <w:sz w:val="20"/>
                <w:szCs w:val="20"/>
              </w:rPr>
              <w:t>40-50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4053D" w14:textId="77777777" w:rsidR="00BD776B" w:rsidRDefault="00DF0C24">
            <w:pPr>
              <w:pStyle w:val="ab"/>
              <w:jc w:val="center"/>
            </w:pPr>
            <w:r>
              <w:rPr>
                <w:rFonts w:ascii="Arial Narrow" w:eastAsia="標楷體" w:hAnsi="Arial Narrow"/>
                <w:color w:val="000000"/>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9E15C" w14:textId="77777777" w:rsidR="00BD776B" w:rsidRDefault="00DF0C24">
            <w:pPr>
              <w:pStyle w:val="ab"/>
              <w:jc w:val="center"/>
            </w:pPr>
            <w:r>
              <w:rPr>
                <w:rFonts w:ascii="Arial Narrow" w:eastAsia="標楷體" w:hAnsi="Arial Narrow"/>
                <w:color w:val="000000"/>
                <w:sz w:val="20"/>
                <w:szCs w:val="20"/>
              </w:rPr>
              <w:t>60-80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44FC" w14:textId="77777777" w:rsidR="00BD776B" w:rsidRDefault="00DF0C24">
            <w:pPr>
              <w:pStyle w:val="ab"/>
              <w:jc w:val="center"/>
            </w:pPr>
            <w:r>
              <w:rPr>
                <w:rFonts w:ascii="Arial Narrow" w:eastAsia="標楷體" w:hAnsi="Arial Narrow"/>
                <w:color w:val="000000"/>
                <w:sz w:val="20"/>
                <w:szCs w:val="20"/>
              </w:rPr>
              <w:t>60-80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E6B16" w14:textId="77777777" w:rsidR="00BD776B" w:rsidRDefault="00DF0C24">
            <w:pPr>
              <w:pStyle w:val="ab"/>
              <w:jc w:val="center"/>
            </w:pPr>
            <w:r>
              <w:rPr>
                <w:rFonts w:ascii="Arial Narrow" w:eastAsia="標楷體" w:hAnsi="Arial Narrow"/>
                <w:color w:val="000000"/>
                <w:sz w:val="20"/>
                <w:szCs w:val="20"/>
              </w:rPr>
              <w:t>1-7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F0846" w14:textId="77777777" w:rsidR="00BD776B" w:rsidRDefault="00BD776B">
            <w:pPr>
              <w:pStyle w:val="ab"/>
              <w:jc w:val="center"/>
              <w:rPr>
                <w:rFonts w:ascii="Arial Narrow" w:eastAsia="標楷體" w:hAnsi="Arial Narrow"/>
                <w:b/>
                <w:color w:val="000000"/>
                <w:sz w:val="20"/>
                <w:szCs w:val="20"/>
              </w:rPr>
            </w:pPr>
          </w:p>
        </w:tc>
      </w:tr>
      <w:tr w:rsidR="00BD776B" w14:paraId="5699E66E" w14:textId="77777777">
        <w:trPr>
          <w:trHeight w:val="248"/>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2A015" w14:textId="77777777" w:rsidR="00BD776B" w:rsidRDefault="00DF0C24">
            <w:pPr>
              <w:pStyle w:val="ab"/>
            </w:pPr>
            <w:r>
              <w:rPr>
                <w:rFonts w:ascii="Arial Narrow" w:eastAsia="標楷體" w:hAnsi="Arial Narrow"/>
                <w:color w:val="000000"/>
                <w:sz w:val="20"/>
                <w:szCs w:val="20"/>
              </w:rPr>
              <w:t>中樞神經</w:t>
            </w:r>
            <w:r>
              <w:rPr>
                <w:rFonts w:ascii="Arial Narrow" w:eastAsia="標楷體" w:hAnsi="Arial Narrow"/>
                <w:color w:val="000000"/>
                <w:sz w:val="20"/>
                <w:szCs w:val="20"/>
              </w:rPr>
              <w:t>/</w:t>
            </w:r>
            <w:r>
              <w:rPr>
                <w:rFonts w:ascii="Arial Narrow" w:eastAsia="標楷體" w:hAnsi="Arial Narrow"/>
                <w:color w:val="000000"/>
                <w:sz w:val="20"/>
                <w:szCs w:val="20"/>
              </w:rPr>
              <w:t>頭部</w:t>
            </w:r>
            <w:r>
              <w:rPr>
                <w:rFonts w:ascii="Arial Narrow" w:eastAsia="標楷體" w:hAnsi="Arial Narrow"/>
                <w:color w:val="000000"/>
                <w:sz w:val="20"/>
                <w:szCs w:val="20"/>
              </w:rPr>
              <w:t>(</w:t>
            </w:r>
            <w:r>
              <w:rPr>
                <w:rFonts w:ascii="Arial Narrow" w:eastAsia="標楷體" w:hAnsi="Arial Narrow"/>
                <w:color w:val="000000"/>
                <w:sz w:val="20"/>
                <w:szCs w:val="20"/>
              </w:rPr>
              <w:t>維持</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42517" w14:textId="77777777" w:rsidR="00BD776B" w:rsidRDefault="00DF0C24">
            <w:pPr>
              <w:pStyle w:val="ab"/>
              <w:jc w:val="center"/>
            </w:pPr>
            <w:r>
              <w:rPr>
                <w:rFonts w:ascii="Arial Narrow" w:eastAsia="標楷體" w:hAnsi="Arial Narrow"/>
                <w:color w:val="00000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FA692" w14:textId="77777777" w:rsidR="00BD776B" w:rsidRDefault="00DF0C24">
            <w:pPr>
              <w:pStyle w:val="ab"/>
              <w:jc w:val="center"/>
            </w:pPr>
            <w:r>
              <w:rPr>
                <w:rFonts w:ascii="Arial Narrow" w:eastAsia="標楷體" w:hAnsi="Arial Narrow"/>
                <w:color w:val="000000"/>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5DFE5" w14:textId="77777777" w:rsidR="00BD776B" w:rsidRDefault="00DF0C24">
            <w:pPr>
              <w:pStyle w:val="ab"/>
              <w:jc w:val="center"/>
            </w:pPr>
            <w:r>
              <w:rPr>
                <w:rFonts w:ascii="Arial Narrow" w:eastAsia="標楷體" w:hAnsi="Arial Narrow"/>
                <w:color w:val="000000"/>
                <w:sz w:val="20"/>
                <w:szCs w:val="20"/>
              </w:rPr>
              <w:t>8-21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B23A8" w14:textId="77777777" w:rsidR="00BD776B" w:rsidRDefault="00DF0C24">
            <w:pPr>
              <w:pStyle w:val="ab"/>
              <w:jc w:val="center"/>
            </w:pPr>
            <w:r>
              <w:rPr>
                <w:rFonts w:ascii="Arial Narrow" w:eastAsia="標楷體" w:hAnsi="Arial Narrow"/>
                <w:color w:val="00000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39C7D" w14:textId="77777777" w:rsidR="00BD776B" w:rsidRDefault="00DF0C24">
            <w:pPr>
              <w:pStyle w:val="ab"/>
              <w:jc w:val="center"/>
            </w:pPr>
            <w:r>
              <w:rPr>
                <w:rFonts w:ascii="Arial Narrow" w:eastAsia="標楷體" w:hAnsi="Arial Narrow"/>
                <w:color w:val="000000"/>
                <w:sz w:val="20"/>
                <w:szCs w:val="20"/>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74F4D" w14:textId="77777777" w:rsidR="00BD776B" w:rsidRDefault="00DF0C24">
            <w:pPr>
              <w:pStyle w:val="ab"/>
              <w:jc w:val="center"/>
            </w:pPr>
            <w:r>
              <w:rPr>
                <w:rFonts w:ascii="Arial Narrow" w:eastAsia="標楷體" w:hAnsi="Arial Narrow"/>
                <w:color w:val="000000"/>
                <w:sz w:val="20"/>
                <w:szCs w:val="20"/>
              </w:rPr>
              <w:t>8-21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FDC9" w14:textId="77777777" w:rsidR="00BD776B" w:rsidRDefault="00BD776B">
            <w:pPr>
              <w:pStyle w:val="ab"/>
              <w:jc w:val="center"/>
              <w:rPr>
                <w:rFonts w:ascii="Arial Narrow" w:eastAsia="標楷體" w:hAnsi="Arial Narrow"/>
                <w:b/>
                <w:color w:val="000000"/>
                <w:sz w:val="20"/>
                <w:szCs w:val="20"/>
              </w:rPr>
            </w:pPr>
          </w:p>
        </w:tc>
      </w:tr>
      <w:tr w:rsidR="00BD776B" w14:paraId="30720D43" w14:textId="77777777">
        <w:trPr>
          <w:trHeight w:val="10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9DEB4" w14:textId="77777777" w:rsidR="00BD776B" w:rsidRDefault="00DF0C24">
            <w:pPr>
              <w:pStyle w:val="ab"/>
            </w:pPr>
            <w:r>
              <w:rPr>
                <w:rFonts w:ascii="Arial Narrow" w:eastAsia="標楷體" w:hAnsi="Arial Narrow"/>
                <w:color w:val="000000"/>
                <w:sz w:val="20"/>
                <w:szCs w:val="20"/>
              </w:rPr>
              <w:t>咽喉及頸部</w:t>
            </w:r>
            <w:r>
              <w:rPr>
                <w:rFonts w:ascii="Arial Narrow" w:eastAsia="標楷體" w:hAnsi="Arial Narrow"/>
                <w:color w:val="000000"/>
                <w:sz w:val="20"/>
                <w:szCs w:val="20"/>
              </w:rPr>
              <w:t>(</w:t>
            </w:r>
            <w:r>
              <w:rPr>
                <w:rFonts w:ascii="Arial Narrow" w:eastAsia="標楷體" w:hAnsi="Arial Narrow"/>
                <w:color w:val="000000"/>
                <w:sz w:val="20"/>
                <w:szCs w:val="20"/>
              </w:rPr>
              <w:t>初期</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189F1" w14:textId="77777777" w:rsidR="00BD776B" w:rsidRDefault="00DF0C24">
            <w:pPr>
              <w:pStyle w:val="ab"/>
              <w:jc w:val="center"/>
            </w:pPr>
            <w:r>
              <w:rPr>
                <w:rFonts w:ascii="Arial Narrow" w:eastAsia="標楷體" w:hAnsi="Arial Narrow"/>
                <w:color w:val="000000"/>
                <w:sz w:val="20"/>
                <w:szCs w:val="20"/>
              </w:rPr>
              <w:t>80-100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5A145" w14:textId="77777777" w:rsidR="00BD776B" w:rsidRDefault="00DF0C24">
            <w:pPr>
              <w:pStyle w:val="ab"/>
              <w:jc w:val="center"/>
            </w:pPr>
            <w:r>
              <w:rPr>
                <w:rFonts w:ascii="Arial Narrow" w:eastAsia="標楷體" w:hAnsi="Arial Narrow"/>
                <w:color w:val="000000"/>
                <w:sz w:val="20"/>
                <w:szCs w:val="20"/>
              </w:rPr>
              <w:t>40-50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888D2" w14:textId="77777777" w:rsidR="00BD776B" w:rsidRDefault="00DF0C24">
            <w:pPr>
              <w:pStyle w:val="ab"/>
              <w:jc w:val="center"/>
            </w:pPr>
            <w:r>
              <w:rPr>
                <w:rFonts w:ascii="Arial Narrow" w:eastAsia="標楷體" w:hAnsi="Arial Narrow"/>
                <w:color w:val="000000"/>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58EF9" w14:textId="77777777" w:rsidR="00BD776B" w:rsidRDefault="00DF0C24">
            <w:pPr>
              <w:pStyle w:val="ab"/>
              <w:jc w:val="center"/>
            </w:pPr>
            <w:r>
              <w:rPr>
                <w:rFonts w:ascii="Arial Narrow" w:eastAsia="標楷體" w:hAnsi="Arial Narrow"/>
                <w:color w:val="000000"/>
                <w:sz w:val="20"/>
                <w:szCs w:val="20"/>
              </w:rPr>
              <w:t>60-80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AABA8" w14:textId="77777777" w:rsidR="00BD776B" w:rsidRDefault="00DF0C24">
            <w:pPr>
              <w:pStyle w:val="ab"/>
              <w:jc w:val="center"/>
            </w:pPr>
            <w:r>
              <w:rPr>
                <w:rFonts w:ascii="Arial Narrow" w:eastAsia="標楷體" w:hAnsi="Arial Narrow"/>
                <w:color w:val="000000"/>
                <w:sz w:val="20"/>
                <w:szCs w:val="20"/>
              </w:rPr>
              <w:t>60-80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808E8" w14:textId="77777777" w:rsidR="00BD776B" w:rsidRDefault="00DF0C24">
            <w:pPr>
              <w:pStyle w:val="ab"/>
              <w:jc w:val="center"/>
            </w:pPr>
            <w:r>
              <w:rPr>
                <w:rFonts w:ascii="Arial Narrow" w:eastAsia="標楷體" w:hAnsi="Arial Narrow"/>
                <w:color w:val="000000"/>
                <w:sz w:val="20"/>
                <w:szCs w:val="20"/>
              </w:rPr>
              <w:t>1-7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AAFAB" w14:textId="77777777" w:rsidR="00BD776B" w:rsidRDefault="00BD776B">
            <w:pPr>
              <w:pStyle w:val="ab"/>
              <w:jc w:val="center"/>
              <w:rPr>
                <w:rFonts w:ascii="Arial Narrow" w:eastAsia="標楷體" w:hAnsi="Arial Narrow"/>
                <w:b/>
                <w:color w:val="000000"/>
                <w:sz w:val="20"/>
                <w:szCs w:val="20"/>
              </w:rPr>
            </w:pPr>
          </w:p>
        </w:tc>
      </w:tr>
      <w:tr w:rsidR="00BD776B" w14:paraId="2A01EAB2" w14:textId="77777777">
        <w:trPr>
          <w:trHeight w:val="5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38A86" w14:textId="77777777" w:rsidR="00BD776B" w:rsidRDefault="00DF0C24">
            <w:pPr>
              <w:pStyle w:val="ab"/>
            </w:pPr>
            <w:r>
              <w:rPr>
                <w:rFonts w:ascii="Arial Narrow" w:eastAsia="標楷體" w:hAnsi="Arial Narrow"/>
                <w:color w:val="000000"/>
                <w:sz w:val="20"/>
                <w:szCs w:val="20"/>
              </w:rPr>
              <w:t>咽喉及頸部</w:t>
            </w:r>
            <w:r>
              <w:rPr>
                <w:rFonts w:ascii="Arial Narrow" w:eastAsia="標楷體" w:hAnsi="Arial Narrow"/>
                <w:color w:val="000000"/>
                <w:sz w:val="20"/>
                <w:szCs w:val="20"/>
              </w:rPr>
              <w:t>(</w:t>
            </w:r>
            <w:r>
              <w:rPr>
                <w:rFonts w:ascii="Arial Narrow" w:eastAsia="標楷體" w:hAnsi="Arial Narrow"/>
                <w:color w:val="000000"/>
                <w:sz w:val="20"/>
                <w:szCs w:val="20"/>
              </w:rPr>
              <w:t>維持</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5FF96" w14:textId="77777777" w:rsidR="00BD776B" w:rsidRDefault="00DF0C24">
            <w:pPr>
              <w:pStyle w:val="ab"/>
              <w:jc w:val="center"/>
            </w:pPr>
            <w:r>
              <w:rPr>
                <w:rFonts w:ascii="Arial Narrow" w:eastAsia="標楷體" w:hAnsi="Arial Narrow"/>
                <w:color w:val="00000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AED38" w14:textId="77777777" w:rsidR="00BD776B" w:rsidRDefault="00DF0C24">
            <w:pPr>
              <w:pStyle w:val="ab"/>
              <w:jc w:val="center"/>
            </w:pPr>
            <w:r>
              <w:rPr>
                <w:rFonts w:ascii="Arial Narrow" w:eastAsia="標楷體" w:hAnsi="Arial Narrow"/>
                <w:color w:val="000000"/>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B3B02" w14:textId="77777777" w:rsidR="00BD776B" w:rsidRDefault="00DF0C24">
            <w:pPr>
              <w:pStyle w:val="ab"/>
              <w:jc w:val="center"/>
            </w:pPr>
            <w:r>
              <w:rPr>
                <w:rFonts w:ascii="Arial Narrow" w:eastAsia="標楷體" w:hAnsi="Arial Narrow"/>
                <w:color w:val="000000"/>
                <w:sz w:val="20"/>
                <w:szCs w:val="20"/>
              </w:rPr>
              <w:t>8-14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3A85F" w14:textId="77777777" w:rsidR="00BD776B" w:rsidRDefault="00DF0C24">
            <w:pPr>
              <w:pStyle w:val="ab"/>
              <w:jc w:val="center"/>
            </w:pPr>
            <w:r>
              <w:rPr>
                <w:rFonts w:ascii="Arial Narrow" w:eastAsia="標楷體" w:hAnsi="Arial Narrow"/>
                <w:color w:val="00000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F2CE3" w14:textId="77777777" w:rsidR="00BD776B" w:rsidRDefault="00DF0C24">
            <w:pPr>
              <w:pStyle w:val="ab"/>
              <w:jc w:val="center"/>
            </w:pPr>
            <w:r>
              <w:rPr>
                <w:rFonts w:ascii="Arial Narrow" w:eastAsia="標楷體" w:hAnsi="Arial Narrow"/>
                <w:color w:val="000000"/>
                <w:sz w:val="20"/>
                <w:szCs w:val="20"/>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9DB48" w14:textId="77777777" w:rsidR="00BD776B" w:rsidRDefault="00DF0C24">
            <w:pPr>
              <w:pStyle w:val="ab"/>
              <w:jc w:val="center"/>
            </w:pPr>
            <w:r>
              <w:rPr>
                <w:rFonts w:ascii="Arial Narrow" w:eastAsia="標楷體" w:hAnsi="Arial Narrow"/>
                <w:color w:val="000000"/>
                <w:sz w:val="20"/>
                <w:szCs w:val="20"/>
              </w:rPr>
              <w:t>8-14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E1253" w14:textId="77777777" w:rsidR="00BD776B" w:rsidRDefault="00BD776B">
            <w:pPr>
              <w:pStyle w:val="ab"/>
              <w:jc w:val="center"/>
              <w:rPr>
                <w:rFonts w:ascii="Arial Narrow" w:eastAsia="標楷體" w:hAnsi="Arial Narrow"/>
                <w:b/>
                <w:color w:val="000000"/>
                <w:sz w:val="20"/>
                <w:szCs w:val="20"/>
              </w:rPr>
            </w:pPr>
          </w:p>
        </w:tc>
      </w:tr>
      <w:tr w:rsidR="00BD776B" w14:paraId="60758B9E" w14:textId="77777777">
        <w:trPr>
          <w:trHeight w:val="34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581C3" w14:textId="77777777" w:rsidR="00BD776B" w:rsidRDefault="00DF0C24">
            <w:pPr>
              <w:pStyle w:val="ab"/>
            </w:pPr>
            <w:r>
              <w:rPr>
                <w:rFonts w:ascii="Arial Narrow" w:eastAsia="標楷體" w:hAnsi="Arial Narrow"/>
                <w:color w:val="000000"/>
                <w:sz w:val="20"/>
                <w:szCs w:val="20"/>
              </w:rPr>
              <w:t>腸胃道</w:t>
            </w:r>
            <w:r>
              <w:rPr>
                <w:rFonts w:ascii="Arial Narrow" w:eastAsia="標楷體" w:hAnsi="Arial Narrow"/>
                <w:color w:val="000000"/>
                <w:sz w:val="20"/>
                <w:szCs w:val="20"/>
              </w:rPr>
              <w:t>(</w:t>
            </w:r>
            <w:r>
              <w:rPr>
                <w:rFonts w:ascii="Arial Narrow" w:eastAsia="標楷體" w:hAnsi="Arial Narrow"/>
                <w:color w:val="000000"/>
                <w:sz w:val="20"/>
                <w:szCs w:val="20"/>
              </w:rPr>
              <w:t>初期</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FDA2C" w14:textId="77777777" w:rsidR="00BD776B" w:rsidRDefault="00DF0C24">
            <w:pPr>
              <w:pStyle w:val="ab"/>
              <w:jc w:val="center"/>
            </w:pPr>
            <w:r>
              <w:rPr>
                <w:rFonts w:ascii="Arial Narrow" w:eastAsia="標楷體" w:hAnsi="Arial Narrow"/>
                <w:color w:val="000000"/>
                <w:sz w:val="20"/>
                <w:szCs w:val="20"/>
              </w:rPr>
              <w:t>80-100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1BD00" w14:textId="77777777" w:rsidR="00BD776B" w:rsidRDefault="00DF0C24">
            <w:pPr>
              <w:pStyle w:val="ab"/>
              <w:jc w:val="center"/>
            </w:pPr>
            <w:r>
              <w:rPr>
                <w:rFonts w:ascii="Arial Narrow" w:eastAsia="標楷體" w:hAnsi="Arial Narrow"/>
                <w:color w:val="000000"/>
                <w:sz w:val="20"/>
                <w:szCs w:val="20"/>
              </w:rPr>
              <w:t>40-50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C7BDF" w14:textId="77777777" w:rsidR="00BD776B" w:rsidRDefault="00DF0C24">
            <w:pPr>
              <w:pStyle w:val="ab"/>
              <w:jc w:val="center"/>
            </w:pPr>
            <w:r>
              <w:rPr>
                <w:rFonts w:ascii="Arial Narrow" w:eastAsia="標楷體" w:hAnsi="Arial Narrow"/>
                <w:color w:val="000000"/>
                <w:sz w:val="20"/>
                <w:szCs w:val="20"/>
              </w:rPr>
              <w:t>7-14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8EFCE" w14:textId="77777777" w:rsidR="00BD776B" w:rsidRDefault="00DF0C24">
            <w:pPr>
              <w:pStyle w:val="ab"/>
              <w:jc w:val="center"/>
            </w:pPr>
            <w:r>
              <w:rPr>
                <w:rFonts w:ascii="Arial Narrow" w:eastAsia="標楷體" w:hAnsi="Arial Narrow"/>
                <w:color w:val="000000"/>
                <w:sz w:val="20"/>
                <w:szCs w:val="20"/>
              </w:rPr>
              <w:t>60-80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48AD9" w14:textId="77777777" w:rsidR="00BD776B" w:rsidRDefault="00DF0C24">
            <w:pPr>
              <w:pStyle w:val="ab"/>
              <w:jc w:val="center"/>
            </w:pPr>
            <w:r>
              <w:rPr>
                <w:rFonts w:ascii="Arial Narrow" w:eastAsia="標楷體" w:hAnsi="Arial Narrow"/>
                <w:color w:val="000000"/>
                <w:sz w:val="20"/>
                <w:szCs w:val="20"/>
              </w:rPr>
              <w:t>60-80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F9EF1" w14:textId="77777777" w:rsidR="00BD776B" w:rsidRDefault="00DF0C24">
            <w:pPr>
              <w:pStyle w:val="ab"/>
              <w:jc w:val="center"/>
            </w:pPr>
            <w:r>
              <w:rPr>
                <w:rFonts w:ascii="Arial Narrow" w:eastAsia="標楷體" w:hAnsi="Arial Narrow"/>
                <w:color w:val="000000"/>
                <w:sz w:val="20"/>
                <w:szCs w:val="20"/>
              </w:rPr>
              <w:t>7-14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63FC" w14:textId="77777777" w:rsidR="00BD776B" w:rsidRDefault="00BD776B">
            <w:pPr>
              <w:pStyle w:val="ab"/>
              <w:jc w:val="center"/>
              <w:rPr>
                <w:rFonts w:ascii="Arial Narrow" w:eastAsia="標楷體" w:hAnsi="Arial Narrow"/>
                <w:b/>
                <w:color w:val="000000"/>
                <w:sz w:val="20"/>
                <w:szCs w:val="20"/>
              </w:rPr>
            </w:pPr>
          </w:p>
        </w:tc>
      </w:tr>
      <w:tr w:rsidR="00BD776B" w14:paraId="69AF1D64" w14:textId="77777777">
        <w:trPr>
          <w:trHeight w:val="34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A1AC5" w14:textId="77777777" w:rsidR="00BD776B" w:rsidRDefault="00DF0C24">
            <w:pPr>
              <w:pStyle w:val="ab"/>
            </w:pPr>
            <w:r>
              <w:rPr>
                <w:rFonts w:ascii="Arial Narrow" w:eastAsia="標楷體" w:hAnsi="Arial Narrow"/>
                <w:color w:val="000000"/>
                <w:sz w:val="20"/>
                <w:szCs w:val="20"/>
              </w:rPr>
              <w:t>腸胃道</w:t>
            </w:r>
            <w:r>
              <w:rPr>
                <w:rFonts w:ascii="Arial Narrow" w:eastAsia="標楷體" w:hAnsi="Arial Narrow"/>
                <w:color w:val="000000"/>
                <w:sz w:val="20"/>
                <w:szCs w:val="20"/>
              </w:rPr>
              <w:t>(</w:t>
            </w:r>
            <w:r>
              <w:rPr>
                <w:rFonts w:ascii="Arial Narrow" w:eastAsia="標楷體" w:hAnsi="Arial Narrow"/>
                <w:color w:val="000000"/>
                <w:sz w:val="20"/>
                <w:szCs w:val="20"/>
              </w:rPr>
              <w:t>維持</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1C066" w14:textId="77777777" w:rsidR="00BD776B" w:rsidRDefault="00DF0C24">
            <w:pPr>
              <w:pStyle w:val="ab"/>
              <w:jc w:val="center"/>
            </w:pPr>
            <w:r>
              <w:rPr>
                <w:rFonts w:ascii="Arial Narrow" w:eastAsia="標楷體" w:hAnsi="Arial Narrow"/>
                <w:color w:val="00000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ED1D0" w14:textId="77777777" w:rsidR="00BD776B" w:rsidRDefault="00DF0C24">
            <w:pPr>
              <w:pStyle w:val="ab"/>
              <w:jc w:val="center"/>
            </w:pPr>
            <w:r>
              <w:rPr>
                <w:rFonts w:ascii="Arial Narrow" w:eastAsia="標楷體" w:hAnsi="Arial Narrow"/>
                <w:color w:val="000000"/>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3DA5A" w14:textId="77777777" w:rsidR="00BD776B" w:rsidRDefault="00BD776B">
            <w:pPr>
              <w:pStyle w:val="ab"/>
              <w:jc w:val="center"/>
              <w:rPr>
                <w:rFonts w:ascii="Arial Narrow" w:eastAsia="標楷體" w:hAnsi="Arial Narrow"/>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C749A" w14:textId="77777777" w:rsidR="00BD776B" w:rsidRDefault="00DF0C24">
            <w:pPr>
              <w:pStyle w:val="ab"/>
              <w:jc w:val="center"/>
            </w:pPr>
            <w:r>
              <w:rPr>
                <w:rFonts w:ascii="Arial Narrow" w:eastAsia="標楷體" w:hAnsi="Arial Narrow"/>
                <w:color w:val="00000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223D7" w14:textId="77777777" w:rsidR="00BD776B" w:rsidRDefault="00DF0C24">
            <w:pPr>
              <w:pStyle w:val="ab"/>
              <w:jc w:val="center"/>
            </w:pPr>
            <w:r>
              <w:rPr>
                <w:rFonts w:ascii="Arial Narrow" w:eastAsia="標楷體" w:hAnsi="Arial Narrow"/>
                <w:color w:val="000000"/>
                <w:sz w:val="20"/>
                <w:szCs w:val="20"/>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5DE86" w14:textId="77777777" w:rsidR="00BD776B" w:rsidRDefault="00BD776B">
            <w:pPr>
              <w:pStyle w:val="ab"/>
              <w:jc w:val="center"/>
              <w:rPr>
                <w:rFonts w:ascii="Arial Narrow" w:eastAsia="標楷體" w:hAnsi="Arial Narrow"/>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69857" w14:textId="77777777" w:rsidR="00BD776B" w:rsidRDefault="00BD776B">
            <w:pPr>
              <w:pStyle w:val="ab"/>
              <w:jc w:val="center"/>
              <w:rPr>
                <w:rFonts w:ascii="Arial Narrow" w:eastAsia="標楷體" w:hAnsi="Arial Narrow"/>
                <w:b/>
                <w:color w:val="000000"/>
                <w:sz w:val="20"/>
                <w:szCs w:val="20"/>
              </w:rPr>
            </w:pPr>
          </w:p>
        </w:tc>
      </w:tr>
      <w:tr w:rsidR="00BD776B" w14:paraId="46BA21C9" w14:textId="77777777">
        <w:trPr>
          <w:trHeight w:val="34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772B8" w14:textId="77777777" w:rsidR="00BD776B" w:rsidRDefault="00DF0C24">
            <w:pPr>
              <w:pStyle w:val="ab"/>
            </w:pPr>
            <w:r>
              <w:rPr>
                <w:rFonts w:ascii="Arial Narrow" w:eastAsia="標楷體" w:hAnsi="Arial Narrow"/>
                <w:color w:val="000000"/>
                <w:sz w:val="20"/>
                <w:szCs w:val="20"/>
              </w:rPr>
              <w:t>腎臟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90489" w14:textId="77777777" w:rsidR="00BD776B" w:rsidRDefault="00DF0C24">
            <w:pPr>
              <w:pStyle w:val="ab"/>
              <w:jc w:val="center"/>
            </w:pPr>
            <w:r>
              <w:rPr>
                <w:rFonts w:ascii="Arial Narrow" w:eastAsia="標楷體" w:hAnsi="Arial Narrow"/>
                <w:color w:val="00000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FFA2E" w14:textId="77777777" w:rsidR="00BD776B" w:rsidRDefault="00DF0C24">
            <w:pPr>
              <w:pStyle w:val="ab"/>
              <w:jc w:val="center"/>
            </w:pPr>
            <w:r>
              <w:rPr>
                <w:rFonts w:ascii="Arial Narrow" w:eastAsia="標楷體" w:hAnsi="Arial Narrow"/>
                <w:color w:val="000000"/>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D544E" w14:textId="77777777" w:rsidR="00BD776B" w:rsidRDefault="00DF0C24">
            <w:pPr>
              <w:pStyle w:val="ab"/>
              <w:jc w:val="center"/>
            </w:pPr>
            <w:r>
              <w:rPr>
                <w:rFonts w:ascii="Arial Narrow" w:eastAsia="標楷體" w:hAnsi="Arial Narrow"/>
                <w:color w:val="000000"/>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82AE0" w14:textId="77777777" w:rsidR="00BD776B" w:rsidRDefault="00DF0C24">
            <w:pPr>
              <w:pStyle w:val="ab"/>
              <w:jc w:val="center"/>
            </w:pPr>
            <w:r>
              <w:rPr>
                <w:rFonts w:ascii="Arial Narrow" w:eastAsia="標楷體" w:hAnsi="Arial Narrow"/>
                <w:color w:val="00000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19FF3" w14:textId="77777777" w:rsidR="00BD776B" w:rsidRDefault="00DF0C24">
            <w:pPr>
              <w:pStyle w:val="ab"/>
              <w:jc w:val="center"/>
            </w:pPr>
            <w:r>
              <w:rPr>
                <w:rFonts w:ascii="Arial Narrow" w:eastAsia="標楷體" w:hAnsi="Arial Narrow"/>
                <w:color w:val="000000"/>
                <w:sz w:val="20"/>
                <w:szCs w:val="20"/>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21F8B" w14:textId="77777777" w:rsidR="00BD776B" w:rsidRDefault="00DF0C24">
            <w:pPr>
              <w:pStyle w:val="ab"/>
              <w:jc w:val="center"/>
            </w:pPr>
            <w:r>
              <w:rPr>
                <w:rFonts w:ascii="Arial Narrow" w:eastAsia="標楷體" w:hAnsi="Arial Narrow"/>
                <w:color w:val="000000"/>
                <w:sz w:val="20"/>
                <w:szCs w:val="20"/>
              </w:rPr>
              <w:t>3-5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0F169" w14:textId="77777777" w:rsidR="00BD776B" w:rsidRDefault="00BD776B">
            <w:pPr>
              <w:pStyle w:val="ab"/>
              <w:jc w:val="center"/>
              <w:rPr>
                <w:rFonts w:ascii="Arial Narrow" w:eastAsia="標楷體" w:hAnsi="Arial Narrow"/>
                <w:b/>
                <w:color w:val="000000"/>
                <w:sz w:val="20"/>
                <w:szCs w:val="20"/>
              </w:rPr>
            </w:pPr>
          </w:p>
        </w:tc>
      </w:tr>
      <w:tr w:rsidR="00BD776B" w14:paraId="1B59452E" w14:textId="77777777">
        <w:trPr>
          <w:trHeight w:val="3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EF149" w14:textId="77777777" w:rsidR="00BD776B" w:rsidRDefault="00DF0C24">
            <w:pPr>
              <w:pStyle w:val="ab"/>
            </w:pPr>
            <w:r>
              <w:rPr>
                <w:rFonts w:ascii="Arial Narrow" w:eastAsia="標楷體" w:hAnsi="Arial Narrow"/>
                <w:color w:val="000000"/>
                <w:sz w:val="20"/>
                <w:szCs w:val="20"/>
              </w:rPr>
              <w:t>深部撕裂傷</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B727B" w14:textId="77777777" w:rsidR="00BD776B" w:rsidRDefault="00DF0C24">
            <w:pPr>
              <w:pStyle w:val="ab"/>
              <w:jc w:val="center"/>
            </w:pPr>
            <w:r>
              <w:rPr>
                <w:rFonts w:ascii="Arial Narrow" w:eastAsia="標楷體" w:hAnsi="Arial Narrow"/>
                <w:color w:val="00000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3C75B" w14:textId="77777777" w:rsidR="00BD776B" w:rsidRDefault="00DF0C24">
            <w:pPr>
              <w:pStyle w:val="ab"/>
              <w:jc w:val="center"/>
            </w:pPr>
            <w:r>
              <w:rPr>
                <w:rFonts w:ascii="Arial Narrow" w:eastAsia="標楷體" w:hAnsi="Arial Narrow"/>
                <w:color w:val="000000"/>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3AC79" w14:textId="77777777" w:rsidR="00BD776B" w:rsidRDefault="00DF0C24">
            <w:pPr>
              <w:pStyle w:val="ab"/>
              <w:jc w:val="center"/>
            </w:pPr>
            <w:r>
              <w:rPr>
                <w:rFonts w:ascii="Arial Narrow" w:eastAsia="標楷體" w:hAnsi="Arial Narrow"/>
                <w:color w:val="000000"/>
                <w:sz w:val="20"/>
                <w:szCs w:val="20"/>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C8390" w14:textId="77777777" w:rsidR="00BD776B" w:rsidRDefault="00DF0C24">
            <w:pPr>
              <w:pStyle w:val="ab"/>
              <w:jc w:val="center"/>
            </w:pPr>
            <w:r>
              <w:rPr>
                <w:rFonts w:ascii="Arial Narrow" w:eastAsia="標楷體" w:hAnsi="Arial Narrow"/>
                <w:color w:val="00000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FEA7B" w14:textId="77777777" w:rsidR="00BD776B" w:rsidRDefault="00DF0C24">
            <w:pPr>
              <w:pStyle w:val="ab"/>
              <w:jc w:val="center"/>
            </w:pPr>
            <w:r>
              <w:rPr>
                <w:rFonts w:ascii="Arial Narrow" w:eastAsia="標楷體" w:hAnsi="Arial Narrow"/>
                <w:color w:val="000000"/>
                <w:sz w:val="20"/>
                <w:szCs w:val="20"/>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328E1" w14:textId="77777777" w:rsidR="00BD776B" w:rsidRDefault="00DF0C24">
            <w:pPr>
              <w:pStyle w:val="ab"/>
              <w:jc w:val="center"/>
            </w:pPr>
            <w:r>
              <w:rPr>
                <w:rFonts w:ascii="Arial Narrow" w:eastAsia="標楷體" w:hAnsi="Arial Narrow"/>
                <w:color w:val="000000"/>
                <w:sz w:val="20"/>
                <w:szCs w:val="20"/>
              </w:rPr>
              <w:t>5-7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4226B" w14:textId="77777777" w:rsidR="00BD776B" w:rsidRDefault="00BD776B">
            <w:pPr>
              <w:pStyle w:val="ab"/>
              <w:jc w:val="center"/>
              <w:rPr>
                <w:rFonts w:ascii="Arial Narrow" w:eastAsia="標楷體" w:hAnsi="Arial Narrow"/>
                <w:b/>
                <w:color w:val="000000"/>
                <w:sz w:val="20"/>
                <w:szCs w:val="20"/>
              </w:rPr>
            </w:pPr>
          </w:p>
        </w:tc>
      </w:tr>
      <w:tr w:rsidR="00BD776B" w14:paraId="03144B45" w14:textId="77777777">
        <w:trPr>
          <w:trHeight w:val="349"/>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FB52D" w14:textId="77777777" w:rsidR="00BD776B" w:rsidRDefault="00DF0C24">
            <w:pPr>
              <w:pStyle w:val="ab"/>
            </w:pPr>
            <w:r>
              <w:rPr>
                <w:rFonts w:ascii="Arial Narrow" w:eastAsia="標楷體" w:hAnsi="Arial Narrow"/>
                <w:color w:val="000000"/>
                <w:sz w:val="20"/>
                <w:szCs w:val="20"/>
              </w:rPr>
              <w:t>重大手術</w:t>
            </w:r>
            <w:r>
              <w:rPr>
                <w:rFonts w:ascii="Arial Narrow" w:eastAsia="標楷體" w:hAnsi="Arial Narrow"/>
                <w:color w:val="000000"/>
                <w:sz w:val="20"/>
                <w:szCs w:val="20"/>
              </w:rPr>
              <w:t xml:space="preserve"> (</w:t>
            </w:r>
            <w:r>
              <w:rPr>
                <w:rFonts w:ascii="Arial Narrow" w:eastAsia="標楷體" w:hAnsi="Arial Narrow"/>
                <w:color w:val="000000"/>
                <w:sz w:val="20"/>
                <w:szCs w:val="20"/>
              </w:rPr>
              <w:t>術前</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6536B" w14:textId="77777777" w:rsidR="00BD776B" w:rsidRDefault="00DF0C24">
            <w:pPr>
              <w:pStyle w:val="ab"/>
              <w:jc w:val="center"/>
            </w:pPr>
            <w:r>
              <w:rPr>
                <w:rFonts w:ascii="Arial Narrow" w:eastAsia="標楷體" w:hAnsi="Arial Narrow"/>
                <w:color w:val="000000"/>
                <w:sz w:val="20"/>
                <w:szCs w:val="20"/>
              </w:rPr>
              <w:t>80-100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B0212" w14:textId="77777777" w:rsidR="00BD776B" w:rsidRDefault="00DF0C24">
            <w:pPr>
              <w:pStyle w:val="ab"/>
              <w:jc w:val="center"/>
            </w:pPr>
            <w:r>
              <w:rPr>
                <w:rFonts w:ascii="Arial Narrow" w:eastAsia="標楷體" w:hAnsi="Arial Narrow"/>
                <w:color w:val="000000"/>
                <w:sz w:val="20"/>
                <w:szCs w:val="20"/>
              </w:rPr>
              <w:t>40-50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B29FB" w14:textId="77777777" w:rsidR="00BD776B" w:rsidRDefault="00BD776B">
            <w:pPr>
              <w:pStyle w:val="ab"/>
              <w:jc w:val="center"/>
              <w:rPr>
                <w:rFonts w:ascii="Arial Narrow" w:eastAsia="標楷體" w:hAnsi="Arial Narrow"/>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659ED" w14:textId="77777777" w:rsidR="00BD776B" w:rsidRDefault="00DF0C24">
            <w:pPr>
              <w:pStyle w:val="ab"/>
              <w:jc w:val="center"/>
            </w:pPr>
            <w:r>
              <w:rPr>
                <w:rFonts w:ascii="Arial Narrow" w:eastAsia="標楷體" w:hAnsi="Arial Narrow"/>
                <w:color w:val="000000"/>
                <w:sz w:val="20"/>
                <w:szCs w:val="20"/>
              </w:rPr>
              <w:t>60-80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4A779" w14:textId="77777777" w:rsidR="00BD776B" w:rsidRDefault="00DF0C24">
            <w:pPr>
              <w:pStyle w:val="ab"/>
              <w:jc w:val="center"/>
            </w:pPr>
            <w:r>
              <w:rPr>
                <w:rFonts w:ascii="Arial Narrow" w:eastAsia="標楷體" w:hAnsi="Arial Narrow"/>
                <w:color w:val="000000"/>
                <w:sz w:val="20"/>
                <w:szCs w:val="20"/>
              </w:rPr>
              <w:t>60-80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9A6A5" w14:textId="77777777" w:rsidR="00BD776B" w:rsidRDefault="00BD776B">
            <w:pPr>
              <w:pStyle w:val="ab"/>
              <w:jc w:val="center"/>
              <w:rPr>
                <w:rFonts w:ascii="Arial Narrow" w:eastAsia="標楷體" w:hAnsi="Arial Narrow"/>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F20A" w14:textId="77777777" w:rsidR="00BD776B" w:rsidRDefault="00BD776B">
            <w:pPr>
              <w:pStyle w:val="ab"/>
              <w:jc w:val="center"/>
              <w:rPr>
                <w:rFonts w:ascii="Arial Narrow" w:eastAsia="標楷體" w:hAnsi="Arial Narrow"/>
                <w:b/>
                <w:color w:val="000000"/>
                <w:sz w:val="20"/>
                <w:szCs w:val="20"/>
              </w:rPr>
            </w:pPr>
          </w:p>
        </w:tc>
      </w:tr>
      <w:tr w:rsidR="00BD776B" w14:paraId="5AF97303" w14:textId="77777777">
        <w:trPr>
          <w:trHeight w:val="1062"/>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83D2E" w14:textId="77777777" w:rsidR="00BD776B" w:rsidRDefault="00DF0C24">
            <w:pPr>
              <w:pStyle w:val="ab"/>
            </w:pPr>
            <w:r>
              <w:rPr>
                <w:rFonts w:ascii="Arial Narrow" w:eastAsia="標楷體" w:hAnsi="Arial Narrow"/>
                <w:color w:val="000000"/>
                <w:sz w:val="20"/>
                <w:szCs w:val="20"/>
              </w:rPr>
              <w:t>重大手術</w:t>
            </w:r>
            <w:r>
              <w:rPr>
                <w:rFonts w:ascii="Arial Narrow" w:eastAsia="標楷體" w:hAnsi="Arial Narrow"/>
                <w:color w:val="000000"/>
                <w:sz w:val="20"/>
                <w:szCs w:val="20"/>
              </w:rPr>
              <w:t xml:space="preserve"> (</w:t>
            </w:r>
            <w:r>
              <w:rPr>
                <w:rFonts w:ascii="Arial Narrow" w:eastAsia="標楷體" w:hAnsi="Arial Narrow"/>
                <w:color w:val="000000"/>
                <w:sz w:val="20"/>
                <w:szCs w:val="20"/>
              </w:rPr>
              <w:t>術後</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FE083" w14:textId="77777777" w:rsidR="00BD776B" w:rsidRDefault="00DF0C24">
            <w:pPr>
              <w:pStyle w:val="ab"/>
              <w:jc w:val="center"/>
            </w:pPr>
            <w:r>
              <w:rPr>
                <w:rFonts w:ascii="Arial Narrow" w:eastAsia="標楷體" w:hAnsi="Arial Narrow"/>
                <w:color w:val="000000"/>
                <w:sz w:val="20"/>
                <w:szCs w:val="20"/>
              </w:rPr>
              <w:t>60-80</w:t>
            </w:r>
          </w:p>
          <w:p w14:paraId="5A04C10E" w14:textId="77777777" w:rsidR="00BD776B" w:rsidRDefault="00DF0C24">
            <w:pPr>
              <w:pStyle w:val="ab"/>
              <w:jc w:val="center"/>
            </w:pPr>
            <w:r>
              <w:rPr>
                <w:rFonts w:ascii="Arial Narrow" w:eastAsia="標楷體" w:hAnsi="Arial Narrow"/>
                <w:color w:val="000000"/>
                <w:sz w:val="20"/>
                <w:szCs w:val="20"/>
              </w:rPr>
              <w:t>40-60</w:t>
            </w:r>
          </w:p>
          <w:p w14:paraId="036F0A29" w14:textId="77777777" w:rsidR="00BD776B" w:rsidRDefault="00DF0C24">
            <w:pPr>
              <w:pStyle w:val="ab"/>
              <w:jc w:val="center"/>
            </w:pPr>
            <w:r>
              <w:rPr>
                <w:rFonts w:ascii="Arial Narrow" w:eastAsia="標楷體" w:hAnsi="Arial Narrow"/>
                <w:color w:val="000000"/>
                <w:sz w:val="20"/>
                <w:szCs w:val="20"/>
              </w:rPr>
              <w:t>30-50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572BA" w14:textId="77777777" w:rsidR="00BD776B" w:rsidRDefault="00DF0C24">
            <w:pPr>
              <w:pStyle w:val="ab"/>
              <w:jc w:val="center"/>
            </w:pPr>
            <w:r>
              <w:rPr>
                <w:rFonts w:ascii="Arial Narrow" w:eastAsia="標楷體" w:hAnsi="Arial Narrow"/>
                <w:color w:val="000000"/>
                <w:sz w:val="20"/>
                <w:szCs w:val="20"/>
              </w:rPr>
              <w:t>30-40</w:t>
            </w:r>
          </w:p>
          <w:p w14:paraId="5E6F2D60" w14:textId="77777777" w:rsidR="00BD776B" w:rsidRDefault="00DF0C24">
            <w:pPr>
              <w:pStyle w:val="ab"/>
              <w:jc w:val="center"/>
            </w:pPr>
            <w:r>
              <w:rPr>
                <w:rFonts w:ascii="Arial Narrow" w:eastAsia="標楷體" w:hAnsi="Arial Narrow"/>
                <w:color w:val="000000"/>
                <w:sz w:val="20"/>
                <w:szCs w:val="20"/>
              </w:rPr>
              <w:t>20-30</w:t>
            </w:r>
          </w:p>
          <w:p w14:paraId="6A2C939D" w14:textId="77777777" w:rsidR="00BD776B" w:rsidRDefault="00DF0C24">
            <w:pPr>
              <w:pStyle w:val="ab"/>
              <w:jc w:val="center"/>
            </w:pPr>
            <w:r>
              <w:rPr>
                <w:rFonts w:ascii="Arial Narrow" w:eastAsia="標楷體" w:hAnsi="Arial Narrow"/>
                <w:color w:val="000000"/>
                <w:sz w:val="20"/>
                <w:szCs w:val="20"/>
              </w:rPr>
              <w:t>15-25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7E2C6" w14:textId="77777777" w:rsidR="00BD776B" w:rsidRDefault="00DF0C24">
            <w:pPr>
              <w:pStyle w:val="ab"/>
              <w:jc w:val="center"/>
            </w:pPr>
            <w:r>
              <w:rPr>
                <w:rFonts w:ascii="Arial Narrow" w:eastAsia="標楷體" w:hAnsi="Arial Narrow"/>
                <w:color w:val="000000"/>
                <w:sz w:val="20"/>
                <w:szCs w:val="20"/>
              </w:rPr>
              <w:t>1-3</w:t>
            </w:r>
          </w:p>
          <w:p w14:paraId="54339F9E" w14:textId="77777777" w:rsidR="00BD776B" w:rsidRDefault="00DF0C24">
            <w:pPr>
              <w:pStyle w:val="ab"/>
              <w:jc w:val="center"/>
            </w:pPr>
            <w:r>
              <w:rPr>
                <w:rFonts w:ascii="Arial Narrow" w:eastAsia="標楷體" w:hAnsi="Arial Narrow"/>
                <w:color w:val="000000"/>
                <w:sz w:val="20"/>
                <w:szCs w:val="20"/>
              </w:rPr>
              <w:t>4-6</w:t>
            </w:r>
          </w:p>
          <w:p w14:paraId="5B7F5A7F" w14:textId="77777777" w:rsidR="00BD776B" w:rsidRDefault="00DF0C24">
            <w:pPr>
              <w:pStyle w:val="ab"/>
              <w:jc w:val="center"/>
            </w:pPr>
            <w:r>
              <w:rPr>
                <w:rFonts w:ascii="Arial Narrow" w:eastAsia="標楷體" w:hAnsi="Arial Narrow"/>
                <w:color w:val="000000"/>
                <w:sz w:val="20"/>
                <w:szCs w:val="20"/>
              </w:rPr>
              <w:t>7-14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F9BC5" w14:textId="77777777" w:rsidR="00BD776B" w:rsidRDefault="00DF0C24">
            <w:pPr>
              <w:pStyle w:val="ab"/>
              <w:jc w:val="center"/>
            </w:pPr>
            <w:r>
              <w:rPr>
                <w:rFonts w:ascii="Arial Narrow" w:eastAsia="標楷體" w:hAnsi="Arial Narrow"/>
                <w:color w:val="000000"/>
                <w:sz w:val="20"/>
                <w:szCs w:val="20"/>
              </w:rPr>
              <w:t>40-60</w:t>
            </w:r>
          </w:p>
          <w:p w14:paraId="34C7A20B" w14:textId="77777777" w:rsidR="00BD776B" w:rsidRDefault="00DF0C24">
            <w:pPr>
              <w:pStyle w:val="ab"/>
              <w:jc w:val="center"/>
            </w:pPr>
            <w:r>
              <w:rPr>
                <w:rFonts w:ascii="Arial Narrow" w:eastAsia="標楷體" w:hAnsi="Arial Narrow"/>
                <w:color w:val="000000"/>
                <w:sz w:val="20"/>
                <w:szCs w:val="20"/>
              </w:rPr>
              <w:t>30-50</w:t>
            </w:r>
          </w:p>
          <w:p w14:paraId="69A052CA" w14:textId="77777777" w:rsidR="00BD776B" w:rsidRDefault="00DF0C24">
            <w:pPr>
              <w:pStyle w:val="ab"/>
              <w:jc w:val="center"/>
            </w:pPr>
            <w:r>
              <w:rPr>
                <w:rFonts w:ascii="Arial Narrow" w:eastAsia="標楷體" w:hAnsi="Arial Narrow"/>
                <w:color w:val="000000"/>
                <w:sz w:val="20"/>
                <w:szCs w:val="20"/>
              </w:rPr>
              <w:t>20-40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50492" w14:textId="77777777" w:rsidR="00BD776B" w:rsidRDefault="00DF0C24">
            <w:pPr>
              <w:pStyle w:val="ab"/>
              <w:jc w:val="center"/>
            </w:pPr>
            <w:r>
              <w:rPr>
                <w:rFonts w:ascii="Arial Narrow" w:eastAsia="標楷體" w:hAnsi="Arial Narrow"/>
                <w:color w:val="000000"/>
                <w:sz w:val="20"/>
                <w:szCs w:val="20"/>
              </w:rPr>
              <w:t>40-60</w:t>
            </w:r>
          </w:p>
          <w:p w14:paraId="5DDD322C" w14:textId="77777777" w:rsidR="00BD776B" w:rsidRDefault="00DF0C24">
            <w:pPr>
              <w:pStyle w:val="ab"/>
              <w:jc w:val="center"/>
            </w:pPr>
            <w:r>
              <w:rPr>
                <w:rFonts w:ascii="Arial Narrow" w:eastAsia="標楷體" w:hAnsi="Arial Narrow"/>
                <w:color w:val="000000"/>
                <w:sz w:val="20"/>
                <w:szCs w:val="20"/>
              </w:rPr>
              <w:t>30-50</w:t>
            </w:r>
          </w:p>
          <w:p w14:paraId="09DAB9B9" w14:textId="77777777" w:rsidR="00BD776B" w:rsidRDefault="00DF0C24">
            <w:pPr>
              <w:pStyle w:val="ab"/>
              <w:jc w:val="center"/>
            </w:pPr>
            <w:r>
              <w:rPr>
                <w:rFonts w:ascii="Arial Narrow" w:eastAsia="標楷體" w:hAnsi="Arial Narrow"/>
                <w:color w:val="000000"/>
                <w:sz w:val="20"/>
                <w:szCs w:val="20"/>
              </w:rPr>
              <w:t>20-40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3ABBA" w14:textId="77777777" w:rsidR="00BD776B" w:rsidRDefault="00DF0C24">
            <w:pPr>
              <w:pStyle w:val="ab"/>
              <w:jc w:val="center"/>
            </w:pPr>
            <w:r>
              <w:rPr>
                <w:rFonts w:ascii="Arial Narrow" w:eastAsia="標楷體" w:hAnsi="Arial Narrow"/>
                <w:color w:val="000000"/>
                <w:sz w:val="20"/>
                <w:szCs w:val="20"/>
              </w:rPr>
              <w:t>1-3</w:t>
            </w:r>
          </w:p>
          <w:p w14:paraId="38AFB6EB" w14:textId="77777777" w:rsidR="00BD776B" w:rsidRDefault="00DF0C24">
            <w:pPr>
              <w:pStyle w:val="ab"/>
              <w:jc w:val="center"/>
            </w:pPr>
            <w:r>
              <w:rPr>
                <w:rFonts w:ascii="Arial Narrow" w:eastAsia="標楷體" w:hAnsi="Arial Narrow"/>
                <w:color w:val="000000"/>
                <w:sz w:val="20"/>
                <w:szCs w:val="20"/>
              </w:rPr>
              <w:t>4-6</w:t>
            </w:r>
          </w:p>
          <w:p w14:paraId="48091FA0" w14:textId="77777777" w:rsidR="00BD776B" w:rsidRDefault="00DF0C24">
            <w:pPr>
              <w:pStyle w:val="ab"/>
              <w:jc w:val="center"/>
            </w:pPr>
            <w:r>
              <w:rPr>
                <w:rFonts w:ascii="Arial Narrow" w:eastAsia="標楷體" w:hAnsi="Arial Narrow"/>
                <w:color w:val="000000"/>
                <w:sz w:val="20"/>
                <w:szCs w:val="20"/>
              </w:rPr>
              <w:t>7-14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F1731" w14:textId="77777777" w:rsidR="00BD776B" w:rsidRDefault="00BD776B">
            <w:pPr>
              <w:pStyle w:val="ab"/>
              <w:jc w:val="center"/>
              <w:rPr>
                <w:rFonts w:ascii="Arial Narrow" w:eastAsia="標楷體" w:hAnsi="Arial Narrow"/>
                <w:b/>
                <w:color w:val="000000"/>
                <w:sz w:val="20"/>
                <w:szCs w:val="20"/>
              </w:rPr>
            </w:pPr>
          </w:p>
        </w:tc>
      </w:tr>
      <w:tr w:rsidR="00BD776B" w14:paraId="67E23629" w14:textId="77777777">
        <w:trPr>
          <w:trHeight w:val="34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E2D7B" w14:textId="77777777" w:rsidR="00BD776B" w:rsidRDefault="00DF0C24">
            <w:pPr>
              <w:pStyle w:val="ab"/>
            </w:pPr>
            <w:r>
              <w:rPr>
                <w:rFonts w:ascii="Arial Narrow" w:eastAsia="標楷體" w:hAnsi="Arial Narrow"/>
                <w:color w:val="000000"/>
                <w:sz w:val="20"/>
                <w:szCs w:val="20"/>
              </w:rPr>
              <w:t>小手術</w:t>
            </w:r>
            <w:r>
              <w:rPr>
                <w:rFonts w:ascii="Arial Narrow" w:eastAsia="標楷體" w:hAnsi="Arial Narrow"/>
                <w:color w:val="000000"/>
                <w:sz w:val="20"/>
                <w:szCs w:val="20"/>
              </w:rPr>
              <w:t xml:space="preserve"> (</w:t>
            </w:r>
            <w:r>
              <w:rPr>
                <w:rFonts w:ascii="Arial Narrow" w:eastAsia="標楷體" w:hAnsi="Arial Narrow"/>
                <w:color w:val="000000"/>
                <w:sz w:val="20"/>
                <w:szCs w:val="20"/>
              </w:rPr>
              <w:t>術前</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39708" w14:textId="77777777" w:rsidR="00BD776B" w:rsidRDefault="00DF0C24">
            <w:pPr>
              <w:pStyle w:val="ab"/>
              <w:jc w:val="center"/>
            </w:pPr>
            <w:r>
              <w:rPr>
                <w:rFonts w:ascii="Arial Narrow" w:eastAsia="標楷體" w:hAnsi="Arial Narrow"/>
                <w:color w:val="000000"/>
                <w:sz w:val="20"/>
                <w:szCs w:val="20"/>
              </w:rPr>
              <w:t>50-80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5F575" w14:textId="77777777" w:rsidR="00BD776B" w:rsidRDefault="00DF0C24">
            <w:pPr>
              <w:pStyle w:val="ab"/>
              <w:jc w:val="center"/>
            </w:pPr>
            <w:r>
              <w:rPr>
                <w:rFonts w:ascii="Arial Narrow" w:eastAsia="標楷體" w:hAnsi="Arial Narrow"/>
                <w:color w:val="000000"/>
                <w:sz w:val="20"/>
                <w:szCs w:val="20"/>
              </w:rPr>
              <w:t>25-40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66465" w14:textId="77777777" w:rsidR="00BD776B" w:rsidRDefault="00BD776B">
            <w:pPr>
              <w:pStyle w:val="ab"/>
              <w:jc w:val="center"/>
              <w:rPr>
                <w:rFonts w:ascii="Arial Narrow" w:eastAsia="標楷體" w:hAnsi="Arial Narrow"/>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636D4" w14:textId="77777777" w:rsidR="00BD776B" w:rsidRDefault="00DF0C24">
            <w:pPr>
              <w:pStyle w:val="ab"/>
              <w:jc w:val="center"/>
            </w:pPr>
            <w:r>
              <w:rPr>
                <w:rFonts w:ascii="Arial Narrow" w:eastAsia="標楷體" w:hAnsi="Arial Narrow"/>
                <w:color w:val="000000"/>
                <w:sz w:val="20"/>
                <w:szCs w:val="20"/>
              </w:rPr>
              <w:t>50-80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24F70" w14:textId="77777777" w:rsidR="00BD776B" w:rsidRDefault="00DF0C24">
            <w:pPr>
              <w:pStyle w:val="ab"/>
              <w:jc w:val="center"/>
            </w:pPr>
            <w:r>
              <w:rPr>
                <w:rFonts w:ascii="Arial Narrow" w:eastAsia="標楷體" w:hAnsi="Arial Narrow"/>
                <w:color w:val="000000"/>
                <w:sz w:val="20"/>
                <w:szCs w:val="20"/>
              </w:rPr>
              <w:t>50-80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E4F29" w14:textId="77777777" w:rsidR="00BD776B" w:rsidRDefault="00BD776B">
            <w:pPr>
              <w:pStyle w:val="ab"/>
              <w:jc w:val="center"/>
              <w:rPr>
                <w:rFonts w:ascii="Arial Narrow" w:eastAsia="標楷體" w:hAnsi="Arial Narrow"/>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F98B5" w14:textId="77777777" w:rsidR="00BD776B" w:rsidRDefault="00BD776B">
            <w:pPr>
              <w:pStyle w:val="ab"/>
              <w:jc w:val="center"/>
              <w:rPr>
                <w:rFonts w:ascii="Arial Narrow" w:eastAsia="標楷體" w:hAnsi="Arial Narrow"/>
                <w:b/>
                <w:color w:val="000000"/>
                <w:sz w:val="20"/>
                <w:szCs w:val="20"/>
              </w:rPr>
            </w:pPr>
          </w:p>
        </w:tc>
      </w:tr>
      <w:tr w:rsidR="00BD776B" w14:paraId="62140534" w14:textId="77777777">
        <w:trPr>
          <w:trHeight w:val="908"/>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4BE00" w14:textId="77777777" w:rsidR="00BD776B" w:rsidRDefault="00DF0C24">
            <w:pPr>
              <w:pStyle w:val="ab"/>
            </w:pPr>
            <w:r>
              <w:rPr>
                <w:rFonts w:ascii="Arial Narrow" w:eastAsia="標楷體" w:hAnsi="Arial Narrow"/>
                <w:color w:val="000000"/>
                <w:sz w:val="20"/>
                <w:szCs w:val="20"/>
              </w:rPr>
              <w:t>小手術</w:t>
            </w:r>
            <w:r>
              <w:rPr>
                <w:rFonts w:ascii="Arial Narrow" w:eastAsia="標楷體" w:hAnsi="Arial Narrow"/>
                <w:color w:val="000000"/>
                <w:sz w:val="20"/>
                <w:szCs w:val="20"/>
              </w:rPr>
              <w:t xml:space="preserve"> (</w:t>
            </w:r>
            <w:r>
              <w:rPr>
                <w:rFonts w:ascii="Arial Narrow" w:eastAsia="標楷體" w:hAnsi="Arial Narrow"/>
                <w:color w:val="000000"/>
                <w:sz w:val="20"/>
                <w:szCs w:val="20"/>
              </w:rPr>
              <w:t>術後</w:t>
            </w:r>
            <w:r>
              <w:rPr>
                <w:rFonts w:ascii="Arial Narrow" w:eastAsia="標楷體" w:hAnsi="Arial Narrow"/>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9F08D" w14:textId="77777777" w:rsidR="00BD776B" w:rsidRDefault="00DF0C24">
            <w:pPr>
              <w:pStyle w:val="ab"/>
              <w:jc w:val="center"/>
            </w:pPr>
            <w:r>
              <w:rPr>
                <w:rFonts w:ascii="Arial Narrow" w:eastAsia="標楷體" w:hAnsi="Arial Narrow"/>
                <w:color w:val="000000"/>
                <w:sz w:val="20"/>
                <w:szCs w:val="20"/>
              </w:rPr>
              <w:t>30-80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E1016" w14:textId="77777777" w:rsidR="00BD776B" w:rsidRDefault="00DF0C24">
            <w:pPr>
              <w:pStyle w:val="ab"/>
              <w:jc w:val="center"/>
            </w:pPr>
            <w:r>
              <w:rPr>
                <w:rFonts w:ascii="Arial Narrow" w:eastAsia="標楷體" w:hAnsi="Arial Narrow"/>
                <w:color w:val="000000"/>
                <w:sz w:val="20"/>
                <w:szCs w:val="20"/>
              </w:rPr>
              <w:t>15-40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C050B" w14:textId="77777777" w:rsidR="00BD776B" w:rsidRDefault="00DF0C24">
            <w:pPr>
              <w:pStyle w:val="ab"/>
              <w:jc w:val="center"/>
            </w:pPr>
            <w:r>
              <w:rPr>
                <w:rFonts w:ascii="Arial Narrow" w:eastAsia="標楷體" w:hAnsi="Arial Narrow"/>
                <w:color w:val="00000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A43CD" w14:textId="77777777" w:rsidR="00BD776B" w:rsidRDefault="00DF0C24">
            <w:pPr>
              <w:pStyle w:val="ab"/>
              <w:jc w:val="center"/>
            </w:pPr>
            <w:r>
              <w:rPr>
                <w:rFonts w:ascii="Arial Narrow" w:eastAsia="標楷體" w:hAnsi="Arial Narrow"/>
                <w:color w:val="000000"/>
                <w:sz w:val="20"/>
                <w:szCs w:val="20"/>
              </w:rPr>
              <w:t>30-80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7C9EA" w14:textId="77777777" w:rsidR="00BD776B" w:rsidRDefault="00DF0C24">
            <w:pPr>
              <w:pStyle w:val="ab"/>
              <w:jc w:val="center"/>
            </w:pPr>
            <w:r>
              <w:rPr>
                <w:rFonts w:ascii="Arial Narrow" w:eastAsia="標楷體" w:hAnsi="Arial Narrow"/>
                <w:color w:val="000000"/>
                <w:sz w:val="20"/>
                <w:szCs w:val="20"/>
              </w:rPr>
              <w:t>30-80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A09EC" w14:textId="77777777" w:rsidR="00BD776B" w:rsidRDefault="00DF0C24">
            <w:pPr>
              <w:pStyle w:val="ab"/>
              <w:jc w:val="center"/>
            </w:pPr>
            <w:r>
              <w:rPr>
                <w:rFonts w:ascii="Arial Narrow" w:eastAsia="標楷體" w:hAnsi="Arial Narrow"/>
                <w:color w:val="000000"/>
                <w:sz w:val="20"/>
                <w:szCs w:val="20"/>
              </w:rPr>
              <w:t>1-5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B7C80" w14:textId="77777777" w:rsidR="00BD776B" w:rsidRDefault="00DF0C24">
            <w:pPr>
              <w:pStyle w:val="ab"/>
            </w:pPr>
            <w:r>
              <w:rPr>
                <w:rFonts w:ascii="Arial Narrow" w:eastAsia="標楷體" w:hAnsi="Arial Narrow"/>
                <w:b/>
                <w:color w:val="000000"/>
                <w:sz w:val="20"/>
                <w:szCs w:val="20"/>
              </w:rPr>
              <w:t>得視手術方式延長治療期間，需於病歷記載延長治療期間之理由</w:t>
            </w:r>
          </w:p>
        </w:tc>
      </w:tr>
    </w:tbl>
    <w:p w14:paraId="35187967" w14:textId="609E772D" w:rsidR="00BD776B" w:rsidRPr="00125BD5" w:rsidRDefault="00DF0C24">
      <w:pPr>
        <w:rPr>
          <w:rFonts w:ascii="標楷體" w:eastAsia="標楷體" w:hAnsi="標楷體"/>
        </w:rPr>
        <w:sectPr w:rsidR="00BD776B" w:rsidRPr="00125BD5" w:rsidSect="007E1772">
          <w:footerReference w:type="default" r:id="rId30"/>
          <w:pgSz w:w="11906" w:h="16838"/>
          <w:pgMar w:top="426" w:right="1077" w:bottom="1134" w:left="1077" w:header="851" w:footer="992" w:gutter="0"/>
          <w:cols w:space="720"/>
          <w:docGrid w:type="lines"/>
        </w:sectPr>
      </w:pPr>
      <w:r w:rsidRPr="00125BD5">
        <w:rPr>
          <w:rFonts w:ascii="標楷體" w:eastAsia="標楷體" w:hAnsi="標楷體"/>
        </w:rPr>
        <w:t>＊：Eloctate、Adynovate、Kovaltry、Afstyla、Jivi、</w:t>
      </w:r>
      <w:r w:rsidR="00125BD5" w:rsidRPr="00125BD5">
        <w:rPr>
          <w:rFonts w:ascii="標楷體" w:eastAsia="標楷體" w:hAnsi="標楷體" w:hint="eastAsia"/>
        </w:rPr>
        <w:t>Altuvii</w:t>
      </w:r>
      <w:r w:rsidR="00125BD5" w:rsidRPr="00125BD5">
        <w:rPr>
          <w:rFonts w:ascii="標楷體" w:eastAsia="標楷體" w:hAnsi="標楷體"/>
        </w:rPr>
        <w:t>i</w:t>
      </w:r>
      <w:r w:rsidR="00125BD5" w:rsidRPr="00125BD5">
        <w:rPr>
          <w:rFonts w:ascii="標楷體" w:eastAsia="標楷體" w:hAnsi="標楷體" w:hint="eastAsia"/>
        </w:rPr>
        <w:t>o、</w:t>
      </w:r>
      <w:r w:rsidRPr="00125BD5">
        <w:rPr>
          <w:rFonts w:ascii="標楷體" w:eastAsia="標楷體" w:hAnsi="標楷體"/>
        </w:rPr>
        <w:t>Idelvion、Alprolix、Refixia等請參照仿單建議劑量，其他製劑依本表建議劑量使用。</w:t>
      </w:r>
    </w:p>
    <w:p w14:paraId="06F63246" w14:textId="77777777" w:rsidR="00BD776B" w:rsidRDefault="00DF0C24">
      <w:pPr>
        <w:spacing w:line="400" w:lineRule="exact"/>
        <w:jc w:val="center"/>
      </w:pPr>
      <w:r>
        <w:rPr>
          <w:noProof/>
        </w:rPr>
        <w:lastRenderedPageBreak/>
        <mc:AlternateContent>
          <mc:Choice Requires="wps">
            <w:drawing>
              <wp:anchor distT="0" distB="0" distL="114300" distR="114300" simplePos="0" relativeHeight="251659264" behindDoc="0" locked="0" layoutInCell="1" allowOverlap="1" wp14:anchorId="17C10B21" wp14:editId="63D4BF96">
                <wp:simplePos x="0" y="0"/>
                <wp:positionH relativeFrom="column">
                  <wp:posOffset>-369573</wp:posOffset>
                </wp:positionH>
                <wp:positionV relativeFrom="paragraph">
                  <wp:posOffset>-616589</wp:posOffset>
                </wp:positionV>
                <wp:extent cx="2209803" cy="685800"/>
                <wp:effectExtent l="0" t="0" r="0" b="0"/>
                <wp:wrapNone/>
                <wp:docPr id="19" name="文字方塊 3"/>
                <wp:cNvGraphicFramePr/>
                <a:graphic xmlns:a="http://schemas.openxmlformats.org/drawingml/2006/main">
                  <a:graphicData uri="http://schemas.microsoft.com/office/word/2010/wordprocessingShape">
                    <wps:wsp>
                      <wps:cNvSpPr txBox="1"/>
                      <wps:spPr>
                        <a:xfrm>
                          <a:off x="0" y="0"/>
                          <a:ext cx="2209803" cy="685800"/>
                        </a:xfrm>
                        <a:prstGeom prst="rect">
                          <a:avLst/>
                        </a:prstGeom>
                        <a:noFill/>
                        <a:ln>
                          <a:noFill/>
                          <a:prstDash/>
                        </a:ln>
                      </wps:spPr>
                      <wps:txbx>
                        <w:txbxContent>
                          <w:p w14:paraId="10EBFE80"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488F2D98"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txbxContent>
                      </wps:txbx>
                      <wps:bodyPr vert="horz" wrap="square" lIns="91440" tIns="45720" rIns="91440" bIns="45720" anchor="t" anchorCtr="0" compatLnSpc="0">
                        <a:noAutofit/>
                      </wps:bodyPr>
                    </wps:wsp>
                  </a:graphicData>
                </a:graphic>
              </wp:anchor>
            </w:drawing>
          </mc:Choice>
          <mc:Fallback>
            <w:pict>
              <v:shape w14:anchorId="17C10B21" id="文字方塊 3" o:spid="_x0000_s1039" type="#_x0000_t202" style="position:absolute;left:0;text-align:left;margin-left:-29.1pt;margin-top:-48.55pt;width:17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" filled="f" stroked="f">
                <v:textbox>
                  <w:txbxContent>
                    <w:p w14:paraId="10EBFE80"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488F2D98"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txbxContent>
                </v:textbox>
              </v:shape>
            </w:pict>
          </mc:Fallback>
        </mc:AlternateContent>
      </w:r>
      <w:r>
        <w:rPr>
          <w:rFonts w:ascii="標楷體" w:eastAsia="標楷體" w:hAnsi="標楷體"/>
          <w:sz w:val="36"/>
        </w:rPr>
        <w:t>附表十八之四  全民健康保險血友病患者使用「第十三凝血因子」在家治療紀錄表</w:t>
      </w:r>
    </w:p>
    <w:p w14:paraId="2DF35058" w14:textId="77777777" w:rsidR="00BD776B" w:rsidRDefault="00DF0C24">
      <w:pPr>
        <w:spacing w:line="400" w:lineRule="exact"/>
      </w:pPr>
      <w:r>
        <w:rPr>
          <w:rFonts w:ascii="標楷體" w:eastAsia="標楷體" w:hAnsi="標楷體"/>
          <w:sz w:val="28"/>
        </w:rPr>
        <w:t>姓名：</w:t>
      </w:r>
      <w:r>
        <w:rPr>
          <w:rFonts w:ascii="標楷體" w:eastAsia="標楷體" w:hAnsi="標楷體"/>
          <w:sz w:val="28"/>
          <w:u w:val="single"/>
        </w:rPr>
        <w:t xml:space="preserve">　　　　　　　</w:t>
      </w:r>
      <w:r>
        <w:rPr>
          <w:rFonts w:ascii="標楷體" w:eastAsia="標楷體" w:hAnsi="標楷體"/>
          <w:sz w:val="28"/>
        </w:rPr>
        <w:t xml:space="preserve">　　　體重：</w:t>
      </w:r>
      <w:r>
        <w:rPr>
          <w:rFonts w:ascii="標楷體" w:eastAsia="標楷體" w:hAnsi="標楷體"/>
          <w:sz w:val="28"/>
          <w:u w:val="single"/>
        </w:rPr>
        <w:t xml:space="preserve">　　　　　</w:t>
      </w:r>
      <w:r>
        <w:rPr>
          <w:rFonts w:ascii="標楷體" w:eastAsia="標楷體" w:hAnsi="標楷體"/>
          <w:sz w:val="28"/>
        </w:rPr>
        <w:t>公斤       診斷：□</w:t>
      </w:r>
      <w:r>
        <w:rPr>
          <w:rFonts w:ascii="標楷體" w:eastAsia="標楷體" w:hAnsi="標楷體"/>
          <w:color w:val="000000"/>
          <w:sz w:val="28"/>
        </w:rPr>
        <w:t>第十三凝血因子缺乏之病人</w:t>
      </w:r>
    </w:p>
    <w:p w14:paraId="6A5DFA30" w14:textId="77777777" w:rsidR="00BD776B" w:rsidRDefault="00DF0C24">
      <w:pPr>
        <w:spacing w:line="400" w:lineRule="exact"/>
        <w:ind w:firstLine="280"/>
      </w:pPr>
      <w:r>
        <w:rPr>
          <w:rFonts w:ascii="標楷體" w:eastAsia="標楷體" w:hAnsi="標楷體"/>
          <w:sz w:val="28"/>
        </w:rPr>
        <w:t xml:space="preserve">　　　　　　　　　　　　　　　　　　　　　　　　　       □</w:t>
      </w:r>
      <w:r>
        <w:rPr>
          <w:rFonts w:ascii="標楷體" w:eastAsia="標楷體" w:hAnsi="標楷體"/>
          <w:color w:val="000000"/>
          <w:sz w:val="28"/>
        </w:rPr>
        <w:t>輕度 □中度 □重度　□其他</w:t>
      </w:r>
    </w:p>
    <w:p w14:paraId="3253E273" w14:textId="77777777" w:rsidR="00BD776B" w:rsidRDefault="00DF0C24">
      <w:pPr>
        <w:spacing w:line="520" w:lineRule="exact"/>
      </w:pPr>
      <w:r>
        <w:rPr>
          <w:rFonts w:ascii="標楷體" w:eastAsia="標楷體" w:hAnsi="標楷體"/>
          <w:sz w:val="28"/>
        </w:rPr>
        <w:t>領藥日(年/月/日）：</w:t>
      </w:r>
      <w:r>
        <w:rPr>
          <w:rFonts w:ascii="標楷體" w:eastAsia="標楷體" w:hAnsi="標楷體"/>
          <w:sz w:val="28"/>
          <w:u w:val="single"/>
        </w:rPr>
        <w:t xml:space="preserve">　　／　　／　　</w:t>
      </w:r>
      <w:r>
        <w:rPr>
          <w:rFonts w:ascii="標楷體" w:eastAsia="標楷體" w:hAnsi="標楷體"/>
          <w:sz w:val="28"/>
        </w:rPr>
        <w:t xml:space="preserve">      </w:t>
      </w:r>
      <w:r>
        <w:rPr>
          <w:rFonts w:ascii="標楷體" w:eastAsia="標楷體" w:hAnsi="標楷體"/>
          <w:color w:val="000000"/>
          <w:sz w:val="28"/>
        </w:rPr>
        <w:t>領藥量(瓶)：</w:t>
      </w:r>
      <w:r>
        <w:rPr>
          <w:rFonts w:ascii="標楷體" w:eastAsia="標楷體" w:hAnsi="標楷體"/>
          <w:color w:val="000000"/>
          <w:sz w:val="28"/>
          <w:u w:val="single"/>
        </w:rPr>
        <w:t xml:space="preserve">               </w:t>
      </w:r>
      <w:r>
        <w:rPr>
          <w:rFonts w:ascii="標楷體" w:eastAsia="標楷體" w:hAnsi="標楷體"/>
          <w:color w:val="000000"/>
          <w:sz w:val="28"/>
        </w:rPr>
        <w:t xml:space="preserve">      藥品名稱及批號：</w:t>
      </w:r>
      <w:r>
        <w:rPr>
          <w:rFonts w:ascii="標楷體" w:eastAsia="標楷體" w:hAnsi="標楷體"/>
          <w:color w:val="000000"/>
          <w:sz w:val="28"/>
          <w:u w:val="single"/>
        </w:rPr>
        <w:t xml:space="preserve">　</w:t>
      </w:r>
      <w:r>
        <w:rPr>
          <w:rFonts w:ascii="標楷體" w:eastAsia="標楷體" w:hAnsi="標楷體"/>
          <w:sz w:val="28"/>
          <w:u w:val="single"/>
        </w:rPr>
        <w:t xml:space="preserve">　              </w:t>
      </w:r>
    </w:p>
    <w:p w14:paraId="5723158A" w14:textId="77777777" w:rsidR="00BD776B" w:rsidRDefault="00DF0C24">
      <w:pPr>
        <w:spacing w:line="520" w:lineRule="exact"/>
      </w:pPr>
      <w:r>
        <w:rPr>
          <w:rFonts w:ascii="標楷體" w:eastAsia="標楷體" w:hAnsi="標楷體"/>
          <w:sz w:val="28"/>
        </w:rPr>
        <w:t>繳回空瓶數量及批號：</w:t>
      </w:r>
      <w:r>
        <w:rPr>
          <w:rFonts w:ascii="標楷體" w:eastAsia="標楷體" w:hAnsi="標楷體"/>
          <w:sz w:val="28"/>
          <w:u w:val="single"/>
        </w:rPr>
        <w:t xml:space="preserve">                   </w:t>
      </w:r>
      <w:r>
        <w:rPr>
          <w:rFonts w:ascii="標楷體" w:eastAsia="標楷體" w:hAnsi="標楷體"/>
          <w:sz w:val="28"/>
        </w:rPr>
        <w:t xml:space="preserve"> 上次家中剩餘藥量</w:t>
      </w:r>
      <w:r>
        <w:rPr>
          <w:rFonts w:ascii="標楷體" w:eastAsia="標楷體" w:hAnsi="標楷體"/>
          <w:color w:val="000000"/>
          <w:sz w:val="28"/>
        </w:rPr>
        <w:t>(瓶)</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rPr>
        <w:t xml:space="preserve">  確認人員簽名(章)：</w:t>
      </w:r>
      <w:r>
        <w:rPr>
          <w:rFonts w:ascii="標楷體" w:eastAsia="標楷體" w:hAnsi="標楷體"/>
          <w:sz w:val="28"/>
          <w:u w:val="single"/>
        </w:rPr>
        <w:t xml:space="preserve">                  </w:t>
      </w:r>
    </w:p>
    <w:tbl>
      <w:tblPr>
        <w:tblW w:w="15027" w:type="dxa"/>
        <w:tblInd w:w="-162" w:type="dxa"/>
        <w:tblLayout w:type="fixed"/>
        <w:tblCellMar>
          <w:left w:w="10" w:type="dxa"/>
          <w:right w:w="10" w:type="dxa"/>
        </w:tblCellMar>
        <w:tblLook w:val="0000" w:firstRow="0" w:lastRow="0" w:firstColumn="0" w:lastColumn="0" w:noHBand="0" w:noVBand="0"/>
      </w:tblPr>
      <w:tblGrid>
        <w:gridCol w:w="993"/>
        <w:gridCol w:w="709"/>
        <w:gridCol w:w="704"/>
        <w:gridCol w:w="900"/>
        <w:gridCol w:w="720"/>
        <w:gridCol w:w="1200"/>
        <w:gridCol w:w="1320"/>
        <w:gridCol w:w="1320"/>
        <w:gridCol w:w="1320"/>
        <w:gridCol w:w="600"/>
        <w:gridCol w:w="600"/>
        <w:gridCol w:w="840"/>
        <w:gridCol w:w="840"/>
        <w:gridCol w:w="1827"/>
        <w:gridCol w:w="1134"/>
      </w:tblGrid>
      <w:tr w:rsidR="00BD776B" w14:paraId="257D0164" w14:textId="77777777">
        <w:trPr>
          <w:cantSplit/>
          <w:trHeight w:val="727"/>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FE3F13"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注射日</w:t>
            </w:r>
          </w:p>
        </w:tc>
        <w:tc>
          <w:tcPr>
            <w:tcW w:w="23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C6A3FA" w14:textId="77777777" w:rsidR="00BD776B" w:rsidRDefault="00DF0C24">
            <w:pPr>
              <w:spacing w:line="300" w:lineRule="exact"/>
              <w:jc w:val="center"/>
              <w:rPr>
                <w:rFonts w:ascii="標楷體" w:eastAsia="標楷體" w:hAnsi="標楷體"/>
              </w:rPr>
            </w:pPr>
            <w:r>
              <w:rPr>
                <w:rFonts w:ascii="標楷體" w:eastAsia="標楷體" w:hAnsi="標楷體"/>
              </w:rPr>
              <w:t>注射時間</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8D9333" w14:textId="77777777" w:rsidR="00BD776B" w:rsidRDefault="00DF0C24">
            <w:pPr>
              <w:spacing w:line="300" w:lineRule="exact"/>
              <w:ind w:left="113" w:right="113"/>
              <w:jc w:val="center"/>
            </w:pPr>
            <w:r>
              <w:rPr>
                <w:rFonts w:ascii="標楷體" w:eastAsia="標楷體" w:hAnsi="標楷體"/>
                <w:sz w:val="22"/>
              </w:rPr>
              <w:t>注射瓶數</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54DC39"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每瓶含量</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916899" w14:textId="77777777" w:rsidR="00BD776B" w:rsidRDefault="00DF0C24">
            <w:pPr>
              <w:spacing w:line="300" w:lineRule="exact"/>
              <w:jc w:val="center"/>
              <w:rPr>
                <w:rFonts w:ascii="標楷體" w:eastAsia="標楷體" w:hAnsi="標楷體"/>
              </w:rPr>
            </w:pPr>
            <w:r>
              <w:rPr>
                <w:rFonts w:ascii="標楷體" w:eastAsia="標楷體" w:hAnsi="標楷體"/>
              </w:rPr>
              <w:t>出血原因</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69305" w14:textId="77777777" w:rsidR="00BD776B" w:rsidRDefault="00DF0C24">
            <w:pPr>
              <w:spacing w:line="300" w:lineRule="exact"/>
              <w:jc w:val="center"/>
              <w:rPr>
                <w:rFonts w:ascii="標楷體" w:eastAsia="標楷體" w:hAnsi="標楷體"/>
              </w:rPr>
            </w:pPr>
            <w:r>
              <w:rPr>
                <w:rFonts w:ascii="標楷體" w:eastAsia="標楷體" w:hAnsi="標楷體"/>
              </w:rPr>
              <w:t>出血部位</w:t>
            </w:r>
          </w:p>
          <w:p w14:paraId="7922EDB2" w14:textId="77777777" w:rsidR="00BD776B" w:rsidRDefault="00DF0C24">
            <w:pPr>
              <w:spacing w:line="300" w:lineRule="exact"/>
              <w:jc w:val="center"/>
              <w:rPr>
                <w:rFonts w:ascii="標楷體" w:eastAsia="標楷體" w:hAnsi="標楷體"/>
              </w:rPr>
            </w:pPr>
            <w:r>
              <w:rPr>
                <w:rFonts w:ascii="標楷體" w:eastAsia="標楷體" w:hAnsi="標楷體"/>
              </w:rPr>
              <w:t>(請依背面圖示填寫)</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5BF6C" w14:textId="77777777" w:rsidR="00BD776B" w:rsidRDefault="00DF0C24">
            <w:pPr>
              <w:spacing w:line="300" w:lineRule="exact"/>
              <w:jc w:val="center"/>
              <w:rPr>
                <w:rFonts w:ascii="標楷體" w:eastAsia="標楷體" w:hAnsi="標楷體"/>
              </w:rPr>
            </w:pPr>
            <w:r>
              <w:rPr>
                <w:rFonts w:ascii="標楷體" w:eastAsia="標楷體" w:hAnsi="標楷體"/>
              </w:rPr>
              <w:t>注射後效果</w:t>
            </w:r>
          </w:p>
        </w:tc>
        <w:tc>
          <w:tcPr>
            <w:tcW w:w="1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8D7285" w14:textId="77777777" w:rsidR="00BD776B" w:rsidRDefault="00DF0C24">
            <w:pPr>
              <w:spacing w:line="300" w:lineRule="exact"/>
              <w:jc w:val="center"/>
              <w:rPr>
                <w:rFonts w:ascii="標楷體" w:eastAsia="標楷體" w:hAnsi="標楷體"/>
              </w:rPr>
            </w:pPr>
            <w:r>
              <w:rPr>
                <w:rFonts w:ascii="標楷體" w:eastAsia="標楷體" w:hAnsi="標楷體"/>
              </w:rPr>
              <w:t>注射後發生之不適症狀</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6F1B74" w14:textId="77777777" w:rsidR="00BD776B" w:rsidRDefault="00DF0C24">
            <w:pPr>
              <w:spacing w:line="300" w:lineRule="exact"/>
              <w:jc w:val="center"/>
              <w:rPr>
                <w:rFonts w:ascii="標楷體" w:eastAsia="標楷體" w:hAnsi="標楷體"/>
              </w:rPr>
            </w:pPr>
            <w:r>
              <w:rPr>
                <w:rFonts w:ascii="標楷體" w:eastAsia="標楷體" w:hAnsi="標楷體"/>
              </w:rPr>
              <w:t>注射者簽名(章)</w:t>
            </w:r>
          </w:p>
        </w:tc>
      </w:tr>
      <w:tr w:rsidR="00BD776B" w14:paraId="49DF68C6" w14:textId="77777777">
        <w:trPr>
          <w:cantSplit/>
          <w:trHeight w:val="42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AB2169" w14:textId="77777777" w:rsidR="00BD776B" w:rsidRDefault="00DF0C24">
            <w:pPr>
              <w:spacing w:line="300" w:lineRule="exact"/>
              <w:jc w:val="center"/>
              <w:rPr>
                <w:rFonts w:ascii="標楷體" w:eastAsia="標楷體" w:hAnsi="標楷體"/>
              </w:rPr>
            </w:pPr>
            <w:r>
              <w:rPr>
                <w:rFonts w:ascii="標楷體" w:eastAsia="標楷體" w:hAnsi="標楷體"/>
              </w:rPr>
              <w:t>(月/日)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2D88F2"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上午</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EB708C"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下午</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499363" w14:textId="77777777" w:rsidR="00BD776B" w:rsidRDefault="00DF0C24">
            <w:pPr>
              <w:spacing w:line="300" w:lineRule="exact"/>
              <w:jc w:val="center"/>
              <w:rPr>
                <w:rFonts w:ascii="標楷體" w:eastAsia="標楷體" w:hAnsi="標楷體"/>
              </w:rPr>
            </w:pPr>
            <w:r>
              <w:rPr>
                <w:rFonts w:ascii="標楷體" w:eastAsia="標楷體" w:hAnsi="標楷體"/>
              </w:rPr>
              <w:t>時間</w:t>
            </w:r>
          </w:p>
          <w:p w14:paraId="64A7FF6D" w14:textId="77777777" w:rsidR="00BD776B" w:rsidRDefault="00DF0C24">
            <w:pPr>
              <w:spacing w:line="300" w:lineRule="exact"/>
              <w:jc w:val="center"/>
              <w:rPr>
                <w:rFonts w:ascii="標楷體" w:eastAsia="標楷體" w:hAnsi="標楷體"/>
              </w:rPr>
            </w:pPr>
            <w:r>
              <w:rPr>
                <w:rFonts w:ascii="標楷體" w:eastAsia="標楷體" w:hAnsi="標楷體"/>
              </w:rPr>
              <w:t>(時/分)</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FED6DC" w14:textId="77777777" w:rsidR="00BD776B" w:rsidRDefault="00DF0C24">
            <w:pPr>
              <w:spacing w:line="300" w:lineRule="exact"/>
              <w:jc w:val="center"/>
              <w:rPr>
                <w:rFonts w:ascii="標楷體" w:eastAsia="標楷體" w:hAnsi="標楷體"/>
              </w:rPr>
            </w:pPr>
            <w:r>
              <w:rPr>
                <w:rFonts w:ascii="標楷體" w:eastAsia="標楷體" w:hAnsi="標楷體"/>
              </w:rPr>
              <w:t>(瓶)</w:t>
            </w: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857CBB"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0EDE5D" w14:textId="77777777" w:rsidR="00BD776B" w:rsidRDefault="00DF0C24">
            <w:pPr>
              <w:spacing w:line="300" w:lineRule="exact"/>
              <w:jc w:val="center"/>
              <w:rPr>
                <w:rFonts w:ascii="標楷體" w:eastAsia="標楷體" w:hAnsi="標楷體"/>
              </w:rPr>
            </w:pPr>
            <w:r>
              <w:rPr>
                <w:rFonts w:ascii="標楷體" w:eastAsia="標楷體" w:hAnsi="標楷體"/>
              </w:rPr>
              <w:t>自發性出血</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7553C0" w14:textId="77777777" w:rsidR="00BD776B" w:rsidRDefault="00BD776B">
            <w:pPr>
              <w:spacing w:line="300" w:lineRule="exact"/>
              <w:jc w:val="center"/>
              <w:rPr>
                <w:rFonts w:ascii="標楷體" w:eastAsia="標楷體" w:hAnsi="標楷體"/>
              </w:rPr>
            </w:pPr>
          </w:p>
          <w:p w14:paraId="0F1ACEE9" w14:textId="77777777" w:rsidR="00BD776B" w:rsidRDefault="00DF0C24">
            <w:pPr>
              <w:spacing w:line="300" w:lineRule="exact"/>
              <w:jc w:val="center"/>
              <w:rPr>
                <w:rFonts w:ascii="標楷體" w:eastAsia="標楷體" w:hAnsi="標楷體"/>
              </w:rPr>
            </w:pPr>
            <w:r>
              <w:rPr>
                <w:rFonts w:ascii="標楷體" w:eastAsia="標楷體" w:hAnsi="標楷體"/>
              </w:rPr>
              <w:t>受傷後出血</w:t>
            </w:r>
          </w:p>
          <w:p w14:paraId="12807253"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AE9E09" w14:textId="77777777" w:rsidR="00BD776B" w:rsidRDefault="00DF0C24">
            <w:pPr>
              <w:spacing w:line="300" w:lineRule="exact"/>
              <w:jc w:val="center"/>
              <w:rPr>
                <w:rFonts w:ascii="標楷體" w:eastAsia="標楷體" w:hAnsi="標楷體"/>
              </w:rPr>
            </w:pPr>
            <w:r>
              <w:rPr>
                <w:rFonts w:ascii="標楷體" w:eastAsia="標楷體" w:hAnsi="標楷體"/>
              </w:rPr>
              <w:t>代號或部位</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1AED7" w14:textId="77777777" w:rsidR="00BD776B" w:rsidRDefault="00DF0C24">
            <w:pPr>
              <w:spacing w:line="300" w:lineRule="exact"/>
              <w:jc w:val="center"/>
              <w:rPr>
                <w:rFonts w:ascii="標楷體" w:eastAsia="標楷體" w:hAnsi="標楷體"/>
              </w:rPr>
            </w:pPr>
            <w:r>
              <w:rPr>
                <w:rFonts w:ascii="標楷體" w:eastAsia="標楷體" w:hAnsi="標楷體"/>
              </w:rPr>
              <w:t>左</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3356" w14:textId="77777777" w:rsidR="00BD776B" w:rsidRDefault="00DF0C24">
            <w:pPr>
              <w:spacing w:line="300" w:lineRule="exact"/>
              <w:jc w:val="center"/>
              <w:rPr>
                <w:rFonts w:ascii="標楷體" w:eastAsia="標楷體" w:hAnsi="標楷體"/>
              </w:rPr>
            </w:pPr>
            <w:r>
              <w:rPr>
                <w:rFonts w:ascii="標楷體" w:eastAsia="標楷體" w:hAnsi="標楷體"/>
              </w:rPr>
              <w:t>右</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76427"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改善</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09F3F3"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未改善</w:t>
            </w:r>
          </w:p>
        </w:tc>
        <w:tc>
          <w:tcPr>
            <w:tcW w:w="1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E08B91" w14:textId="77777777" w:rsidR="00BD776B" w:rsidRDefault="00BD776B">
            <w:pPr>
              <w:spacing w:line="300" w:lineRule="exact"/>
              <w:rPr>
                <w:rFonts w:ascii="標楷體" w:eastAsia="標楷體" w:hAnsi="標楷體"/>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570ECA" w14:textId="77777777" w:rsidR="00BD776B" w:rsidRDefault="00BD776B">
            <w:pPr>
              <w:spacing w:line="300" w:lineRule="exact"/>
              <w:rPr>
                <w:rFonts w:ascii="標楷體" w:eastAsia="標楷體" w:hAnsi="標楷體"/>
              </w:rPr>
            </w:pPr>
          </w:p>
        </w:tc>
      </w:tr>
      <w:tr w:rsidR="00BD776B" w14:paraId="77448CCC" w14:textId="77777777">
        <w:trPr>
          <w:trHeight w:val="45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3447B"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E046"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6C31B"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7CF4E"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48BDC6"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537FC"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19D7B"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356D7"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76A2C"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00DB52"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AC19D"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8DC2"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530A1"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77291"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31BF6" w14:textId="77777777" w:rsidR="00BD776B" w:rsidRDefault="00BD776B">
            <w:pPr>
              <w:spacing w:line="300" w:lineRule="exact"/>
              <w:rPr>
                <w:rFonts w:ascii="標楷體" w:eastAsia="標楷體" w:hAnsi="標楷體"/>
              </w:rPr>
            </w:pPr>
          </w:p>
        </w:tc>
      </w:tr>
      <w:tr w:rsidR="00BD776B" w14:paraId="2ECAA63C" w14:textId="77777777">
        <w:trPr>
          <w:trHeight w:val="536"/>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A658C"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67404"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D9438"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C0F39"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0C052"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ECF9F"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FEBB1"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B27A"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8CF9B"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14C9E"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5250A"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AA9BA"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E2E24"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18A8"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7CF5B" w14:textId="77777777" w:rsidR="00BD776B" w:rsidRDefault="00BD776B">
            <w:pPr>
              <w:spacing w:line="300" w:lineRule="exact"/>
              <w:rPr>
                <w:rFonts w:ascii="標楷體" w:eastAsia="標楷體" w:hAnsi="標楷體"/>
              </w:rPr>
            </w:pPr>
          </w:p>
        </w:tc>
      </w:tr>
      <w:tr w:rsidR="00BD776B" w14:paraId="5177BBC8" w14:textId="77777777">
        <w:trPr>
          <w:trHeight w:val="569"/>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80CE9"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41A90"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BF0F0"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6ECE0"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9FE02"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41C9"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27232"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13B3A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FACE"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56699"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DCECC"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08DA"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077B7E"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98AFB"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5A2EB" w14:textId="77777777" w:rsidR="00BD776B" w:rsidRDefault="00BD776B">
            <w:pPr>
              <w:spacing w:line="300" w:lineRule="exact"/>
              <w:rPr>
                <w:rFonts w:ascii="標楷體" w:eastAsia="標楷體" w:hAnsi="標楷體"/>
              </w:rPr>
            </w:pPr>
          </w:p>
        </w:tc>
      </w:tr>
      <w:tr w:rsidR="00BD776B" w14:paraId="784A1AF4" w14:textId="77777777">
        <w:trPr>
          <w:trHeight w:val="56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BBA26"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1437C"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6B34D"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98736"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4EE38"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BEBF"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98E83"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0B6F"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C84FC"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65B23"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93324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C51C4"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997BA"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EBE5F"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FA0978" w14:textId="77777777" w:rsidR="00BD776B" w:rsidRDefault="00BD776B">
            <w:pPr>
              <w:spacing w:line="300" w:lineRule="exact"/>
              <w:rPr>
                <w:rFonts w:ascii="標楷體" w:eastAsia="標楷體" w:hAnsi="標楷體"/>
              </w:rPr>
            </w:pPr>
          </w:p>
        </w:tc>
      </w:tr>
      <w:tr w:rsidR="00BD776B" w14:paraId="7F99F1D0" w14:textId="77777777">
        <w:trPr>
          <w:trHeight w:val="53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90517"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52655"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C890F"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2D9CB"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A1650"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E589"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096E1"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914F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66920"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BD434"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8B818"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B2518"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AE248"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D8D2"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5C316" w14:textId="77777777" w:rsidR="00BD776B" w:rsidRDefault="00BD776B">
            <w:pPr>
              <w:spacing w:line="300" w:lineRule="exact"/>
              <w:rPr>
                <w:rFonts w:ascii="標楷體" w:eastAsia="標楷體" w:hAnsi="標楷體"/>
              </w:rPr>
            </w:pPr>
          </w:p>
        </w:tc>
      </w:tr>
    </w:tbl>
    <w:p w14:paraId="4FDEBC10" w14:textId="77777777" w:rsidR="00BD776B" w:rsidRDefault="00DF0C24">
      <w:pPr>
        <w:spacing w:line="300" w:lineRule="exact"/>
        <w:rPr>
          <w:rFonts w:ascii="標楷體" w:eastAsia="標楷體" w:hAnsi="標楷體"/>
          <w:sz w:val="22"/>
        </w:rPr>
      </w:pPr>
      <w:r>
        <w:rPr>
          <w:rFonts w:ascii="標楷體" w:eastAsia="標楷體" w:hAnsi="標楷體"/>
          <w:sz w:val="22"/>
        </w:rPr>
        <w:t>備註：</w:t>
      </w:r>
    </w:p>
    <w:p w14:paraId="2EE18343" w14:textId="77777777" w:rsidR="00BD776B" w:rsidRDefault="00DF0C24">
      <w:pPr>
        <w:spacing w:line="240" w:lineRule="exact"/>
        <w:rPr>
          <w:rFonts w:ascii="標楷體" w:eastAsia="標楷體" w:hAnsi="標楷體"/>
          <w:sz w:val="22"/>
        </w:rPr>
      </w:pPr>
      <w:r>
        <w:rPr>
          <w:rFonts w:ascii="標楷體" w:eastAsia="標楷體" w:hAnsi="標楷體"/>
          <w:sz w:val="22"/>
        </w:rPr>
        <w:t xml:space="preserve">  1.病人於下次回診需攜帶此紀錄表，並請黏貼於病歷，同時繳回已注射後之空瓶備查。紀錄表未黏貼於回診病歷及未繳回空瓶，則該項費用不予支付。</w:t>
      </w:r>
    </w:p>
    <w:p w14:paraId="1C7565D4" w14:textId="77777777" w:rsidR="00BD776B" w:rsidRDefault="00DF0C24">
      <w:pPr>
        <w:spacing w:line="240" w:lineRule="exact"/>
        <w:rPr>
          <w:rFonts w:ascii="標楷體" w:eastAsia="標楷體" w:hAnsi="標楷體"/>
          <w:sz w:val="22"/>
        </w:rPr>
      </w:pPr>
      <w:r>
        <w:rPr>
          <w:rFonts w:ascii="標楷體" w:eastAsia="標楷體" w:hAnsi="標楷體"/>
          <w:sz w:val="22"/>
        </w:rPr>
        <w:t xml:space="preserve">  2.領藥量請詳記藥品規格量及瓶數，例如：500IU×2瓶，使用空瓶於繳回時，請由醫療院所相關人員進行確認(包含回收空瓶日期及總結存量等)，並請確認人員簽名(章)。</w:t>
      </w:r>
    </w:p>
    <w:p w14:paraId="5ED02A3D" w14:textId="77777777" w:rsidR="00BD776B" w:rsidRDefault="00DF0C24">
      <w:pPr>
        <w:spacing w:line="240" w:lineRule="exact"/>
        <w:rPr>
          <w:rFonts w:ascii="標楷體" w:eastAsia="標楷體" w:hAnsi="標楷體"/>
          <w:sz w:val="22"/>
        </w:rPr>
      </w:pPr>
      <w:r>
        <w:rPr>
          <w:rFonts w:ascii="標楷體" w:eastAsia="標楷體" w:hAnsi="標楷體"/>
          <w:sz w:val="22"/>
        </w:rPr>
        <w:t xml:space="preserve">  3.出血部位說明請見背面圖示。</w:t>
      </w:r>
    </w:p>
    <w:p w14:paraId="72F15726" w14:textId="77777777" w:rsidR="00BD776B" w:rsidRDefault="00DF0C24">
      <w:pPr>
        <w:spacing w:line="240" w:lineRule="exact"/>
        <w:ind w:left="708" w:hanging="708"/>
        <w:rPr>
          <w:rFonts w:ascii="標楷體" w:eastAsia="標楷體" w:hAnsi="標楷體"/>
          <w:sz w:val="22"/>
        </w:rPr>
      </w:pPr>
      <w:r>
        <w:rPr>
          <w:rFonts w:ascii="標楷體" w:eastAsia="標楷體" w:hAnsi="標楷體"/>
          <w:sz w:val="22"/>
        </w:rPr>
        <w:t xml:space="preserve">  4.初次使用十三凝血因子，須經事前審查核准後方予給付。</w:t>
      </w:r>
    </w:p>
    <w:p w14:paraId="2FA949B6" w14:textId="77777777" w:rsidR="00BD776B" w:rsidRDefault="00DF0C24">
      <w:pPr>
        <w:spacing w:line="300" w:lineRule="exact"/>
        <w:sectPr w:rsidR="00BD776B" w:rsidSect="007E1772">
          <w:footerReference w:type="default" r:id="rId31"/>
          <w:pgSz w:w="16838" w:h="11906" w:orient="landscape"/>
          <w:pgMar w:top="1021" w:right="1134" w:bottom="1021" w:left="1134" w:header="720" w:footer="720" w:gutter="0"/>
          <w:cols w:space="720"/>
        </w:sectPr>
      </w:pPr>
      <w:r>
        <w:rPr>
          <w:noProof/>
        </w:rPr>
        <mc:AlternateContent>
          <mc:Choice Requires="wps">
            <w:drawing>
              <wp:anchor distT="0" distB="0" distL="114300" distR="114300" simplePos="0" relativeHeight="251660288" behindDoc="0" locked="0" layoutInCell="1" allowOverlap="1" wp14:anchorId="73C6CC15" wp14:editId="2C9045BB">
                <wp:simplePos x="0" y="0"/>
                <wp:positionH relativeFrom="column">
                  <wp:posOffset>24131</wp:posOffset>
                </wp:positionH>
                <wp:positionV relativeFrom="paragraph">
                  <wp:posOffset>365129</wp:posOffset>
                </wp:positionV>
                <wp:extent cx="2558418" cy="322582"/>
                <wp:effectExtent l="0" t="0" r="0" b="1268"/>
                <wp:wrapNone/>
                <wp:docPr id="20" name="文字方塊 2"/>
                <wp:cNvGraphicFramePr/>
                <a:graphic xmlns:a="http://schemas.openxmlformats.org/drawingml/2006/main">
                  <a:graphicData uri="http://schemas.microsoft.com/office/word/2010/wordprocessingShape">
                    <wps:wsp>
                      <wps:cNvSpPr txBox="1"/>
                      <wps:spPr>
                        <a:xfrm>
                          <a:off x="0" y="0"/>
                          <a:ext cx="2558418" cy="322582"/>
                        </a:xfrm>
                        <a:prstGeom prst="rect">
                          <a:avLst/>
                        </a:prstGeom>
                        <a:solidFill>
                          <a:srgbClr val="FFFFFF"/>
                        </a:solidFill>
                        <a:ln>
                          <a:noFill/>
                          <a:prstDash/>
                        </a:ln>
                      </wps:spPr>
                      <wps:txbx>
                        <w:txbxContent>
                          <w:p w14:paraId="02E587F7" w14:textId="77777777" w:rsidR="00576CD7" w:rsidRDefault="00576CD7">
                            <w:pPr>
                              <w:pStyle w:val="a7"/>
                              <w:rPr>
                                <w:rFonts w:ascii="標楷體" w:eastAsia="標楷體" w:hAnsi="標楷體"/>
                                <w:sz w:val="28"/>
                                <w:szCs w:val="28"/>
                              </w:rPr>
                            </w:pPr>
                            <w:r>
                              <w:rPr>
                                <w:rFonts w:ascii="標楷體" w:eastAsia="標楷體" w:hAnsi="標楷體"/>
                                <w:sz w:val="28"/>
                                <w:szCs w:val="28"/>
                              </w:rPr>
                              <w:t>備註：灰底部分為新修訂規定</w:t>
                            </w:r>
                          </w:p>
                        </w:txbxContent>
                      </wps:txbx>
                      <wps:bodyPr vert="horz" wrap="square" lIns="91440" tIns="45720" rIns="91440" bIns="45720" anchor="t" anchorCtr="0" compatLnSpc="0">
                        <a:spAutoFit/>
                      </wps:bodyPr>
                    </wps:wsp>
                  </a:graphicData>
                </a:graphic>
              </wp:anchor>
            </w:drawing>
          </mc:Choice>
          <mc:Fallback>
            <w:pict>
              <v:shape w14:anchorId="73C6CC15" id="_x0000_s1040" type="#_x0000_t202" style="position:absolute;margin-left:1.9pt;margin-top:28.75pt;width:201.45pt;height:2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" stroked="f">
                <v:textbox style="mso-fit-shape-to-text:t">
                  <w:txbxContent>
                    <w:p w14:paraId="02E587F7" w14:textId="77777777" w:rsidR="00576CD7" w:rsidRDefault="00576CD7">
                      <w:pPr>
                        <w:pStyle w:val="a7"/>
                        <w:rPr>
                          <w:rFonts w:ascii="標楷體" w:eastAsia="標楷體" w:hAnsi="標楷體"/>
                          <w:sz w:val="28"/>
                          <w:szCs w:val="28"/>
                        </w:rPr>
                      </w:pPr>
                      <w:r>
                        <w:rPr>
                          <w:rFonts w:ascii="標楷體" w:eastAsia="標楷體" w:hAnsi="標楷體"/>
                          <w:sz w:val="28"/>
                          <w:szCs w:val="28"/>
                        </w:rPr>
                        <w:t>備註：灰底部分為新修訂規定</w:t>
                      </w:r>
                    </w:p>
                  </w:txbxContent>
                </v:textbox>
              </v:shape>
            </w:pict>
          </mc:Fallback>
        </mc:AlternateContent>
      </w:r>
      <w:r>
        <w:rPr>
          <w:rFonts w:ascii="標楷體" w:eastAsia="標楷體" w:hAnsi="標楷體"/>
          <w:sz w:val="28"/>
        </w:rPr>
        <w:t xml:space="preserve">                                   回收空瓶日期：</w:t>
      </w:r>
      <w:r>
        <w:rPr>
          <w:rFonts w:ascii="標楷體" w:eastAsia="標楷體" w:hAnsi="標楷體"/>
          <w:sz w:val="28"/>
          <w:u w:val="single"/>
        </w:rPr>
        <w:t xml:space="preserve">                </w:t>
      </w:r>
      <w:r>
        <w:rPr>
          <w:rFonts w:ascii="標楷體" w:eastAsia="標楷體" w:hAnsi="標楷體"/>
          <w:sz w:val="28"/>
        </w:rPr>
        <w:t xml:space="preserve">       總結存量</w:t>
      </w:r>
      <w:r>
        <w:rPr>
          <w:rFonts w:ascii="標楷體" w:eastAsia="標楷體" w:hAnsi="標楷體"/>
          <w:color w:val="000000"/>
          <w:sz w:val="28"/>
        </w:rPr>
        <w:t>(瓶)</w:t>
      </w:r>
      <w:r>
        <w:rPr>
          <w:rFonts w:ascii="標楷體" w:eastAsia="標楷體" w:hAnsi="標楷體"/>
          <w:sz w:val="28"/>
        </w:rPr>
        <w:t>：</w:t>
      </w:r>
      <w:r>
        <w:rPr>
          <w:rFonts w:ascii="標楷體" w:eastAsia="標楷體" w:hAnsi="標楷體"/>
          <w:sz w:val="28"/>
          <w:u w:val="single"/>
        </w:rPr>
        <w:t xml:space="preserve">                 </w:t>
      </w:r>
    </w:p>
    <w:p w14:paraId="0C7D9D2B" w14:textId="77777777" w:rsidR="00BD776B" w:rsidRDefault="002378B3">
      <w:pPr>
        <w:snapToGrid w:val="0"/>
        <w:spacing w:line="360" w:lineRule="exact"/>
        <w:ind w:left="708" w:hanging="708"/>
      </w:pPr>
      <w:r>
        <w:lastRenderedPageBreak/>
        <w:object w:dxaOrig="1440" w:dyaOrig="1440" w14:anchorId="35CFD367">
          <v:shape id="Object 10" o:spid="_x0000_s1029" type="#_x0000_t75" style="position:absolute;left:0;text-align:left;margin-left:14.8pt;margin-top:24.55pt;width:564.2pt;height:698.7pt;z-index:251670528;visibility:visible;mso-wrap-style:square;mso-position-horizontal-relative:margin;mso-position-vertical-relative:margin">
            <v:imagedata r:id="rId28" o:title=""/>
            <w10:wrap type="square" anchorx="margin" anchory="margin"/>
          </v:shape>
          <o:OLEObject Type="Embed" ProgID="Word.Picture.8" ShapeID="Object 10" DrawAspect="Content" ObjectID="_1807084890" r:id="rId32"/>
        </w:object>
      </w:r>
      <w:r w:rsidR="00DF0C24">
        <w:rPr>
          <w:noProof/>
        </w:rPr>
        <mc:AlternateContent>
          <mc:Choice Requires="wps">
            <w:drawing>
              <wp:anchor distT="0" distB="0" distL="114300" distR="114300" simplePos="0" relativeHeight="251650048" behindDoc="0" locked="0" layoutInCell="1" allowOverlap="1" wp14:anchorId="00EDE04D" wp14:editId="40C2A132">
                <wp:simplePos x="0" y="0"/>
                <wp:positionH relativeFrom="column">
                  <wp:posOffset>708029</wp:posOffset>
                </wp:positionH>
                <wp:positionV relativeFrom="paragraph">
                  <wp:posOffset>2001521</wp:posOffset>
                </wp:positionV>
                <wp:extent cx="1752603" cy="1943100"/>
                <wp:effectExtent l="0" t="0" r="0" b="0"/>
                <wp:wrapSquare wrapText="bothSides"/>
                <wp:docPr id="21" name="Text Box 11"/>
                <wp:cNvGraphicFramePr/>
                <a:graphic xmlns:a="http://schemas.openxmlformats.org/drawingml/2006/main">
                  <a:graphicData uri="http://schemas.microsoft.com/office/word/2010/wordprocessingShape">
                    <wps:wsp>
                      <wps:cNvSpPr txBox="1"/>
                      <wps:spPr>
                        <a:xfrm>
                          <a:off x="0" y="0"/>
                          <a:ext cx="1752603" cy="1943100"/>
                        </a:xfrm>
                        <a:prstGeom prst="rect">
                          <a:avLst/>
                        </a:prstGeom>
                        <a:noFill/>
                        <a:ln>
                          <a:noFill/>
                          <a:prstDash/>
                        </a:ln>
                      </wps:spPr>
                      <wps:txbx>
                        <w:txbxContent>
                          <w:p w14:paraId="21B1D38B" w14:textId="77777777" w:rsidR="00576CD7" w:rsidRDefault="00576CD7">
                            <w:pPr>
                              <w:rPr>
                                <w:rFonts w:ascii="標楷體" w:eastAsia="標楷體" w:hAnsi="標楷體"/>
                              </w:rPr>
                            </w:pPr>
                            <w:r>
                              <w:rPr>
                                <w:rFonts w:ascii="標楷體" w:eastAsia="標楷體" w:hAnsi="標楷體"/>
                              </w:rPr>
                              <w:t xml:space="preserve">9  肌肉出血 </w:t>
                            </w:r>
                          </w:p>
                          <w:p w14:paraId="3E0D4095" w14:textId="77777777" w:rsidR="00576CD7" w:rsidRDefault="00576CD7">
                            <w:pPr>
                              <w:rPr>
                                <w:rFonts w:ascii="標楷體" w:eastAsia="標楷體" w:hAnsi="標楷體"/>
                              </w:rPr>
                            </w:pPr>
                            <w:r>
                              <w:rPr>
                                <w:rFonts w:ascii="標楷體" w:eastAsia="標楷體" w:hAnsi="標楷體"/>
                              </w:rPr>
                              <w:t>10 皮下出血</w:t>
                            </w:r>
                          </w:p>
                          <w:p w14:paraId="1D7359BD" w14:textId="77777777" w:rsidR="00576CD7" w:rsidRDefault="00576CD7">
                            <w:pPr>
                              <w:rPr>
                                <w:rFonts w:ascii="標楷體" w:eastAsia="標楷體" w:hAnsi="標楷體"/>
                              </w:rPr>
                            </w:pPr>
                            <w:r>
                              <w:rPr>
                                <w:rFonts w:ascii="標楷體" w:eastAsia="標楷體" w:hAnsi="標楷體"/>
                              </w:rPr>
                              <w:t>11 腸胃道出血</w:t>
                            </w:r>
                          </w:p>
                          <w:p w14:paraId="6D4677AE" w14:textId="77777777" w:rsidR="00576CD7" w:rsidRDefault="00576CD7">
                            <w:pPr>
                              <w:rPr>
                                <w:rFonts w:ascii="標楷體" w:eastAsia="標楷體" w:hAnsi="標楷體"/>
                              </w:rPr>
                            </w:pPr>
                            <w:r>
                              <w:rPr>
                                <w:rFonts w:ascii="標楷體" w:eastAsia="標楷體" w:hAnsi="標楷體"/>
                              </w:rPr>
                              <w:t>12 血尿</w:t>
                            </w:r>
                          </w:p>
                          <w:p w14:paraId="436A4E1D" w14:textId="77777777" w:rsidR="00576CD7" w:rsidRDefault="00576CD7">
                            <w:pPr>
                              <w:rPr>
                                <w:rFonts w:ascii="標楷體" w:eastAsia="標楷體" w:hAnsi="標楷體"/>
                              </w:rPr>
                            </w:pPr>
                            <w:r>
                              <w:rPr>
                                <w:rFonts w:ascii="標楷體" w:eastAsia="標楷體" w:hAnsi="標楷體"/>
                              </w:rPr>
                              <w:t>13 鼻腔出血</w:t>
                            </w:r>
                          </w:p>
                          <w:p w14:paraId="60438AC5" w14:textId="77777777" w:rsidR="00576CD7" w:rsidRDefault="00576CD7">
                            <w:pPr>
                              <w:rPr>
                                <w:rFonts w:ascii="標楷體" w:eastAsia="標楷體" w:hAnsi="標楷體"/>
                              </w:rPr>
                            </w:pPr>
                            <w:r>
                              <w:rPr>
                                <w:rFonts w:ascii="標楷體" w:eastAsia="標楷體" w:hAnsi="標楷體"/>
                              </w:rPr>
                              <w:t>14 牙齦出血</w:t>
                            </w:r>
                          </w:p>
                          <w:p w14:paraId="1A2F9869" w14:textId="77777777" w:rsidR="00576CD7" w:rsidRDefault="00576CD7">
                            <w:pPr>
                              <w:rPr>
                                <w:rFonts w:ascii="標楷體" w:eastAsia="標楷體" w:hAnsi="標楷體"/>
                              </w:rPr>
                            </w:pPr>
                            <w:r>
                              <w:rPr>
                                <w:rFonts w:ascii="標楷體" w:eastAsia="標楷體" w:hAnsi="標楷體"/>
                              </w:rPr>
                              <w:t>15 口腔內出血</w:t>
                            </w:r>
                          </w:p>
                          <w:p w14:paraId="2EF6BCC0" w14:textId="77777777" w:rsidR="00576CD7" w:rsidRDefault="00576CD7">
                            <w:pPr>
                              <w:rPr>
                                <w:rFonts w:ascii="標楷體" w:eastAsia="標楷體" w:hAnsi="標楷體"/>
                              </w:rPr>
                            </w:pPr>
                            <w:r>
                              <w:rPr>
                                <w:rFonts w:ascii="標楷體" w:eastAsia="標楷體" w:hAnsi="標楷體"/>
                              </w:rPr>
                              <w:t>16 腦部出血</w:t>
                            </w:r>
                          </w:p>
                          <w:p w14:paraId="4AB3EBF7" w14:textId="77777777" w:rsidR="00576CD7" w:rsidRDefault="00576CD7">
                            <w:pPr>
                              <w:rPr>
                                <w:rFonts w:ascii="標楷體" w:eastAsia="標楷體" w:hAnsi="標楷體"/>
                              </w:rPr>
                            </w:pPr>
                          </w:p>
                        </w:txbxContent>
                      </wps:txbx>
                      <wps:bodyPr vert="horz" wrap="square" lIns="91440" tIns="45720" rIns="91440" bIns="45720" anchor="t" anchorCtr="0" compatLnSpc="0">
                        <a:noAutofit/>
                      </wps:bodyPr>
                    </wps:wsp>
                  </a:graphicData>
                </a:graphic>
              </wp:anchor>
            </w:drawing>
          </mc:Choice>
          <mc:Fallback>
            <w:pict>
              <v:shape w14:anchorId="00EDE04D" id="Text Box 11" o:spid="_x0000_s1041" type="#_x0000_t202" style="position:absolute;left:0;text-align:left;margin-left:55.75pt;margin-top:157.6pt;width:138pt;height:15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" filled="f" stroked="f">
                <v:textbox>
                  <w:txbxContent>
                    <w:p w14:paraId="21B1D38B" w14:textId="77777777" w:rsidR="00576CD7" w:rsidRDefault="00576CD7">
                      <w:pPr>
                        <w:rPr>
                          <w:rFonts w:ascii="標楷體" w:eastAsia="標楷體" w:hAnsi="標楷體"/>
                        </w:rPr>
                      </w:pPr>
                      <w:r>
                        <w:rPr>
                          <w:rFonts w:ascii="標楷體" w:eastAsia="標楷體" w:hAnsi="標楷體"/>
                        </w:rPr>
                        <w:t xml:space="preserve">9  肌肉出血 </w:t>
                      </w:r>
                    </w:p>
                    <w:p w14:paraId="3E0D4095" w14:textId="77777777" w:rsidR="00576CD7" w:rsidRDefault="00576CD7">
                      <w:pPr>
                        <w:rPr>
                          <w:rFonts w:ascii="標楷體" w:eastAsia="標楷體" w:hAnsi="標楷體"/>
                        </w:rPr>
                      </w:pPr>
                      <w:r>
                        <w:rPr>
                          <w:rFonts w:ascii="標楷體" w:eastAsia="標楷體" w:hAnsi="標楷體"/>
                        </w:rPr>
                        <w:t>10 皮下出血</w:t>
                      </w:r>
                    </w:p>
                    <w:p w14:paraId="1D7359BD" w14:textId="77777777" w:rsidR="00576CD7" w:rsidRDefault="00576CD7">
                      <w:pPr>
                        <w:rPr>
                          <w:rFonts w:ascii="標楷體" w:eastAsia="標楷體" w:hAnsi="標楷體"/>
                        </w:rPr>
                      </w:pPr>
                      <w:r>
                        <w:rPr>
                          <w:rFonts w:ascii="標楷體" w:eastAsia="標楷體" w:hAnsi="標楷體"/>
                        </w:rPr>
                        <w:t>11 腸胃道出血</w:t>
                      </w:r>
                    </w:p>
                    <w:p w14:paraId="6D4677AE" w14:textId="77777777" w:rsidR="00576CD7" w:rsidRDefault="00576CD7">
                      <w:pPr>
                        <w:rPr>
                          <w:rFonts w:ascii="標楷體" w:eastAsia="標楷體" w:hAnsi="標楷體"/>
                        </w:rPr>
                      </w:pPr>
                      <w:r>
                        <w:rPr>
                          <w:rFonts w:ascii="標楷體" w:eastAsia="標楷體" w:hAnsi="標楷體"/>
                        </w:rPr>
                        <w:t>12 血尿</w:t>
                      </w:r>
                    </w:p>
                    <w:p w14:paraId="436A4E1D" w14:textId="77777777" w:rsidR="00576CD7" w:rsidRDefault="00576CD7">
                      <w:pPr>
                        <w:rPr>
                          <w:rFonts w:ascii="標楷體" w:eastAsia="標楷體" w:hAnsi="標楷體"/>
                        </w:rPr>
                      </w:pPr>
                      <w:r>
                        <w:rPr>
                          <w:rFonts w:ascii="標楷體" w:eastAsia="標楷體" w:hAnsi="標楷體"/>
                        </w:rPr>
                        <w:t>13 鼻腔出血</w:t>
                      </w:r>
                    </w:p>
                    <w:p w14:paraId="60438AC5" w14:textId="77777777" w:rsidR="00576CD7" w:rsidRDefault="00576CD7">
                      <w:pPr>
                        <w:rPr>
                          <w:rFonts w:ascii="標楷體" w:eastAsia="標楷體" w:hAnsi="標楷體"/>
                        </w:rPr>
                      </w:pPr>
                      <w:r>
                        <w:rPr>
                          <w:rFonts w:ascii="標楷體" w:eastAsia="標楷體" w:hAnsi="標楷體"/>
                        </w:rPr>
                        <w:t>14 牙齦出血</w:t>
                      </w:r>
                    </w:p>
                    <w:p w14:paraId="1A2F9869" w14:textId="77777777" w:rsidR="00576CD7" w:rsidRDefault="00576CD7">
                      <w:pPr>
                        <w:rPr>
                          <w:rFonts w:ascii="標楷體" w:eastAsia="標楷體" w:hAnsi="標楷體"/>
                        </w:rPr>
                      </w:pPr>
                      <w:r>
                        <w:rPr>
                          <w:rFonts w:ascii="標楷體" w:eastAsia="標楷體" w:hAnsi="標楷體"/>
                        </w:rPr>
                        <w:t>15 口腔內出血</w:t>
                      </w:r>
                    </w:p>
                    <w:p w14:paraId="2EF6BCC0" w14:textId="77777777" w:rsidR="00576CD7" w:rsidRDefault="00576CD7">
                      <w:pPr>
                        <w:rPr>
                          <w:rFonts w:ascii="標楷體" w:eastAsia="標楷體" w:hAnsi="標楷體"/>
                        </w:rPr>
                      </w:pPr>
                      <w:r>
                        <w:rPr>
                          <w:rFonts w:ascii="標楷體" w:eastAsia="標楷體" w:hAnsi="標楷體"/>
                        </w:rPr>
                        <w:t>16 腦部出血</w:t>
                      </w:r>
                    </w:p>
                    <w:p w14:paraId="4AB3EBF7" w14:textId="77777777" w:rsidR="00576CD7" w:rsidRDefault="00576CD7">
                      <w:pPr>
                        <w:rPr>
                          <w:rFonts w:ascii="標楷體" w:eastAsia="標楷體" w:hAnsi="標楷體"/>
                        </w:rPr>
                      </w:pPr>
                    </w:p>
                  </w:txbxContent>
                </v:textbox>
                <w10:wrap type="square"/>
              </v:shape>
            </w:pict>
          </mc:Fallback>
        </mc:AlternateContent>
      </w:r>
    </w:p>
    <w:p w14:paraId="4A032A20" w14:textId="77777777" w:rsidR="00BD776B" w:rsidRDefault="00DF0C24">
      <w:pPr>
        <w:spacing w:after="180" w:line="440" w:lineRule="exact"/>
        <w:jc w:val="center"/>
      </w:pPr>
      <w:r>
        <w:rPr>
          <w:rFonts w:ascii="標楷體" w:eastAsia="標楷體" w:hAnsi="標楷體" w:cs="BiauKai"/>
          <w:b/>
          <w:sz w:val="32"/>
          <w:szCs w:val="32"/>
        </w:rPr>
        <w:lastRenderedPageBreak/>
        <w:t>附表十八之五 重型血友病患「醫療評估追蹤紀錄表」</w:t>
      </w:r>
    </w:p>
    <w:p w14:paraId="7673ED9B" w14:textId="77777777" w:rsidR="00BD776B" w:rsidRDefault="00DF0C24">
      <w:pPr>
        <w:rPr>
          <w:rFonts w:ascii="標楷體" w:eastAsia="標楷體" w:hAnsi="標楷體" w:cs="BiauKai"/>
          <w:color w:val="000000"/>
        </w:rPr>
      </w:pPr>
      <w:r>
        <w:rPr>
          <w:rFonts w:ascii="標楷體" w:eastAsia="標楷體" w:hAnsi="標楷體" w:cs="BiauKai"/>
          <w:color w:val="000000"/>
        </w:rPr>
        <w:t xml:space="preserve">病人本人至少需於3個月回診時由醫師填寫一次醫療評估追蹤紀錄表 </w:t>
      </w:r>
    </w:p>
    <w:p w14:paraId="586F474C" w14:textId="77777777" w:rsidR="00BD776B" w:rsidRDefault="00DF0C24">
      <w:pPr>
        <w:jc w:val="both"/>
        <w:rPr>
          <w:rFonts w:ascii="標楷體" w:eastAsia="標楷體" w:hAnsi="標楷體" w:cs="BiauKai"/>
        </w:rPr>
      </w:pPr>
      <w:r>
        <w:rPr>
          <w:rFonts w:ascii="標楷體" w:eastAsia="標楷體" w:hAnsi="標楷體" w:cs="BiauKai"/>
        </w:rPr>
        <w:t xml:space="preserve">基本資料: </w:t>
      </w:r>
    </w:p>
    <w:p w14:paraId="400F0F58" w14:textId="77777777" w:rsidR="00BD776B" w:rsidRDefault="00DF0C24">
      <w:pPr>
        <w:ind w:right="-88"/>
        <w:jc w:val="both"/>
      </w:pPr>
      <w:r>
        <w:rPr>
          <w:rFonts w:ascii="標楷體" w:eastAsia="標楷體" w:hAnsi="標楷體" w:cs="BiauKai"/>
          <w:b/>
        </w:rPr>
        <w:t>姓名: ________病歷號碼:__________</w:t>
      </w:r>
      <w:r>
        <w:rPr>
          <w:rFonts w:ascii="標楷體" w:eastAsia="標楷體" w:hAnsi="標楷體" w:cs="BiauKai"/>
        </w:rPr>
        <w:t>年齡:______ 歲 體重: _______ 公斤 身高: ______ 公分</w:t>
      </w:r>
    </w:p>
    <w:p w14:paraId="1CCC698E" w14:textId="77777777" w:rsidR="00BD776B" w:rsidRDefault="00DF0C24">
      <w:pPr>
        <w:jc w:val="both"/>
      </w:pPr>
      <w:r>
        <w:rPr>
          <w:rFonts w:ascii="標楷體" w:eastAsia="標楷體" w:hAnsi="標楷體" w:cs="BiauKai"/>
        </w:rPr>
        <w:t>血友病: □A型 □B型</w:t>
      </w:r>
      <w:r>
        <w:rPr>
          <w:rFonts w:ascii="標楷體" w:eastAsia="標楷體" w:hAnsi="標楷體" w:cs="BiauKai"/>
          <w:color w:val="FF0000"/>
        </w:rPr>
        <w:t xml:space="preserve"> </w:t>
      </w:r>
      <w:r>
        <w:rPr>
          <w:rFonts w:ascii="標楷體" w:eastAsia="標楷體" w:hAnsi="標楷體"/>
          <w:color w:val="000000"/>
        </w:rPr>
        <w:t>□其他</w:t>
      </w:r>
      <w:r>
        <w:rPr>
          <w:rFonts w:ascii="標楷體" w:eastAsia="標楷體" w:hAnsi="標楷體"/>
          <w:b/>
          <w:color w:val="000000"/>
        </w:rPr>
        <w:t>______</w:t>
      </w:r>
    </w:p>
    <w:p w14:paraId="68FA241B" w14:textId="77777777" w:rsidR="00BD776B" w:rsidRDefault="00DF0C24">
      <w:pPr>
        <w:spacing w:line="320" w:lineRule="exact"/>
        <w:jc w:val="both"/>
        <w:rPr>
          <w:rFonts w:ascii="標楷體" w:eastAsia="標楷體" w:hAnsi="標楷體" w:cs="BiauKai"/>
        </w:rPr>
      </w:pPr>
      <w:r>
        <w:rPr>
          <w:rFonts w:ascii="標楷體" w:eastAsia="標楷體" w:hAnsi="標楷體" w:cs="BiauKai"/>
        </w:rPr>
        <w:t>回診分類:</w:t>
      </w:r>
    </w:p>
    <w:p w14:paraId="5F481080" w14:textId="77777777" w:rsidR="00BD776B" w:rsidRDefault="00DF0C24">
      <w:pPr>
        <w:spacing w:line="320" w:lineRule="exact"/>
        <w:jc w:val="both"/>
      </w:pPr>
      <w:r>
        <w:rPr>
          <w:rFonts w:ascii="標楷體" w:eastAsia="標楷體" w:hAnsi="標楷體" w:cs="BiauKai"/>
        </w:rPr>
        <w:t xml:space="preserve">□ </w:t>
      </w:r>
      <w:r>
        <w:rPr>
          <w:rFonts w:ascii="標楷體" w:eastAsia="標楷體" w:hAnsi="標楷體" w:cs="BiauKai"/>
          <w:b/>
          <w:color w:val="000000"/>
          <w:u w:val="single"/>
        </w:rPr>
        <w:t>預防性注射</w:t>
      </w:r>
      <w:r>
        <w:rPr>
          <w:rFonts w:ascii="標楷體" w:eastAsia="標楷體" w:hAnsi="標楷體" w:cs="BiauKai"/>
          <w:color w:val="000000"/>
        </w:rPr>
        <w:t>4歲及以下之病人，每2至4週應至少回診一次。</w:t>
      </w:r>
    </w:p>
    <w:p w14:paraId="6AADDF88" w14:textId="77777777" w:rsidR="00BD776B" w:rsidRDefault="00DF0C24">
      <w:pPr>
        <w:spacing w:line="320" w:lineRule="exact"/>
        <w:jc w:val="both"/>
      </w:pPr>
      <w:r>
        <w:rPr>
          <w:rFonts w:ascii="標楷體" w:eastAsia="標楷體" w:hAnsi="標楷體" w:cs="BiauKai"/>
          <w:color w:val="000000"/>
        </w:rPr>
        <w:t xml:space="preserve">□ </w:t>
      </w:r>
      <w:r>
        <w:rPr>
          <w:rFonts w:ascii="標楷體" w:eastAsia="標楷體" w:hAnsi="標楷體" w:cs="BiauKai"/>
          <w:b/>
          <w:color w:val="000000"/>
          <w:u w:val="single"/>
        </w:rPr>
        <w:t>預防性注射</w:t>
      </w:r>
      <w:r>
        <w:rPr>
          <w:rFonts w:ascii="標楷體" w:eastAsia="標楷體" w:hAnsi="標楷體" w:cs="BiauKai"/>
          <w:color w:val="000000"/>
        </w:rPr>
        <w:t>4歲以上至12歲之病人，每4至6週應至少回診一次。</w:t>
      </w:r>
    </w:p>
    <w:p w14:paraId="2B6546DD" w14:textId="77777777" w:rsidR="00BD776B" w:rsidRDefault="00DF0C24">
      <w:pPr>
        <w:spacing w:line="320" w:lineRule="exact"/>
        <w:jc w:val="both"/>
      </w:pPr>
      <w:r>
        <w:rPr>
          <w:rFonts w:ascii="標楷體" w:eastAsia="標楷體" w:hAnsi="標楷體" w:cs="BiauKai"/>
          <w:color w:val="000000"/>
        </w:rPr>
        <w:t xml:space="preserve">□ </w:t>
      </w:r>
      <w:r>
        <w:rPr>
          <w:rFonts w:ascii="標楷體" w:eastAsia="標楷體" w:hAnsi="標楷體" w:cs="BiauKai"/>
          <w:b/>
          <w:color w:val="000000"/>
          <w:u w:val="single"/>
        </w:rPr>
        <w:t>預防性注射</w:t>
      </w:r>
      <w:r>
        <w:rPr>
          <w:rFonts w:ascii="標楷體" w:eastAsia="標楷體" w:hAnsi="標楷體" w:cs="BiauKai"/>
        </w:rPr>
        <w:t>12歲以上之病人，每6至8週應至少回診一次。</w:t>
      </w:r>
    </w:p>
    <w:p w14:paraId="675C59AF" w14:textId="77777777" w:rsidR="00BD776B" w:rsidRDefault="00DF0C24">
      <w:pPr>
        <w:spacing w:line="320" w:lineRule="exact"/>
        <w:jc w:val="both"/>
      </w:pPr>
      <w:r>
        <w:rPr>
          <w:rFonts w:ascii="標楷體" w:eastAsia="標楷體" w:hAnsi="標楷體" w:cs="BiauKai"/>
        </w:rPr>
        <w:t>□ 有抗體之病人</w:t>
      </w:r>
      <w:r>
        <w:rPr>
          <w:rFonts w:ascii="標楷體" w:eastAsia="標楷體" w:hAnsi="標楷體" w:cs="BiauKai"/>
          <w:b/>
          <w:color w:val="000000"/>
          <w:u w:val="single"/>
        </w:rPr>
        <w:t>治療時</w:t>
      </w:r>
      <w:r>
        <w:rPr>
          <w:rFonts w:ascii="標楷體" w:eastAsia="標楷體" w:hAnsi="標楷體" w:cs="BiauKai"/>
        </w:rPr>
        <w:t>(抗體最高歷史數值:</w:t>
      </w:r>
      <w:r>
        <w:rPr>
          <w:rFonts w:ascii="標楷體" w:eastAsia="標楷體" w:hAnsi="標楷體" w:cs="BiauKai"/>
          <w:u w:val="single"/>
        </w:rPr>
        <w:t xml:space="preserve">     </w:t>
      </w:r>
      <w:r>
        <w:rPr>
          <w:rFonts w:ascii="標楷體" w:eastAsia="標楷體" w:hAnsi="標楷體" w:cs="BiauKai"/>
        </w:rPr>
        <w:t>BU/mL)，應該每4週至少回診一次</w:t>
      </w:r>
    </w:p>
    <w:p w14:paraId="5CE980C3" w14:textId="77777777" w:rsidR="00BD776B" w:rsidRDefault="00DF0C24">
      <w:pPr>
        <w:spacing w:line="320" w:lineRule="exact"/>
        <w:ind w:left="2160" w:hanging="2160"/>
      </w:pPr>
      <w:r>
        <w:rPr>
          <w:rFonts w:ascii="標楷體" w:eastAsia="標楷體" w:hAnsi="標楷體" w:cs="BiauKai"/>
        </w:rPr>
        <w:t xml:space="preserve">□ </w:t>
      </w:r>
      <w:r>
        <w:rPr>
          <w:rFonts w:ascii="標楷體" w:eastAsia="標楷體" w:hAnsi="標楷體"/>
          <w:b/>
          <w:color w:val="000000"/>
          <w:u w:val="single"/>
        </w:rPr>
        <w:t>需要時治療之無抗體重型血友病患，每3個月</w:t>
      </w:r>
      <w:r>
        <w:rPr>
          <w:rFonts w:ascii="標楷體" w:eastAsia="標楷體" w:hAnsi="標楷體" w:cs="BiauKai"/>
          <w:b/>
          <w:color w:val="000000"/>
          <w:u w:val="single"/>
        </w:rPr>
        <w:t>應至少回診一次</w:t>
      </w:r>
    </w:p>
    <w:p w14:paraId="04FDB227" w14:textId="77777777" w:rsidR="00BD776B" w:rsidRDefault="00DF0C24">
      <w:pPr>
        <w:spacing w:line="320" w:lineRule="exact"/>
        <w:jc w:val="both"/>
      </w:pPr>
      <w:r>
        <w:rPr>
          <w:rFonts w:ascii="標楷體" w:eastAsia="標楷體" w:hAnsi="標楷體" w:cs="BiauKai"/>
          <w:color w:val="000000"/>
        </w:rPr>
        <w:t xml:space="preserve">□ </w:t>
      </w:r>
      <w:r>
        <w:rPr>
          <w:rFonts w:ascii="標楷體" w:eastAsia="標楷體" w:hAnsi="標楷體" w:cs="BiauKai"/>
          <w:b/>
          <w:color w:val="000000"/>
          <w:u w:val="single"/>
        </w:rPr>
        <w:t>接受「皮下非補充製劑」的治療時，視同Prophylaxis 追蹤</w:t>
      </w:r>
    </w:p>
    <w:p w14:paraId="13A83892" w14:textId="77777777" w:rsidR="00BD776B" w:rsidRDefault="00DF0C24">
      <w:pPr>
        <w:spacing w:line="320" w:lineRule="exact"/>
      </w:pPr>
      <w:r>
        <w:rPr>
          <w:rFonts w:ascii="標楷體" w:eastAsia="標楷體" w:hAnsi="標楷體"/>
        </w:rPr>
        <w:t>治療期間：</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 xml:space="preserve">日 至 </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14:paraId="378EE792" w14:textId="77777777" w:rsidR="00BD776B" w:rsidRDefault="00DF0C24" w:rsidP="008A7063">
      <w:pPr>
        <w:pStyle w:val="af"/>
        <w:numPr>
          <w:ilvl w:val="0"/>
          <w:numId w:val="79"/>
        </w:numPr>
        <w:spacing w:before="180" w:line="320" w:lineRule="exact"/>
        <w:ind w:left="482" w:hanging="482"/>
        <w:textAlignment w:val="auto"/>
      </w:pPr>
      <w:r>
        <w:rPr>
          <w:rFonts w:ascii="標楷體" w:eastAsia="標楷體" w:hAnsi="標楷體"/>
        </w:rPr>
        <w:t>預防注射：使用劑量: 每公斤</w:t>
      </w:r>
      <w:r>
        <w:rPr>
          <w:rFonts w:ascii="標楷體" w:eastAsia="標楷體" w:hAnsi="標楷體"/>
          <w:u w:val="single"/>
        </w:rPr>
        <w:t xml:space="preserve">       </w:t>
      </w:r>
      <w:r>
        <w:rPr>
          <w:rFonts w:ascii="標楷體" w:eastAsia="標楷體" w:hAnsi="標楷體"/>
          <w:b/>
          <w:color w:val="000000"/>
          <w:u w:val="single"/>
        </w:rPr>
        <w:t xml:space="preserve">(單位:IU/μg/mg) </w:t>
      </w:r>
    </w:p>
    <w:p w14:paraId="00569E2A" w14:textId="77777777" w:rsidR="00BD776B" w:rsidRDefault="00DF0C24">
      <w:pPr>
        <w:pStyle w:val="af"/>
        <w:spacing w:line="320" w:lineRule="exact"/>
        <w:ind w:firstLine="1219"/>
      </w:pPr>
      <w:r>
        <w:rPr>
          <w:rFonts w:ascii="標楷體" w:eastAsia="標楷體" w:hAnsi="標楷體"/>
        </w:rPr>
        <w:t>使用頻次：每</w:t>
      </w:r>
      <w:r>
        <w:rPr>
          <w:rFonts w:ascii="標楷體" w:eastAsia="標楷體" w:hAnsi="標楷體"/>
          <w:u w:val="single"/>
        </w:rPr>
        <w:t xml:space="preserve">       </w:t>
      </w:r>
      <w:r>
        <w:rPr>
          <w:rFonts w:ascii="標楷體" w:eastAsia="標楷體" w:hAnsi="標楷體"/>
        </w:rPr>
        <w:t>週使用</w:t>
      </w:r>
      <w:r>
        <w:rPr>
          <w:rFonts w:ascii="標楷體" w:eastAsia="標楷體" w:hAnsi="標楷體"/>
          <w:u w:val="single"/>
        </w:rPr>
        <w:t xml:space="preserve">       </w:t>
      </w:r>
      <w:r>
        <w:rPr>
          <w:rFonts w:ascii="標楷體" w:eastAsia="標楷體" w:hAnsi="標楷體"/>
        </w:rPr>
        <w:t xml:space="preserve">次 共 </w:t>
      </w: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單位/月</w:t>
      </w:r>
    </w:p>
    <w:p w14:paraId="15FE67BC" w14:textId="77777777" w:rsidR="00BD776B" w:rsidRDefault="00DF0C24">
      <w:pPr>
        <w:pStyle w:val="af"/>
        <w:spacing w:line="320" w:lineRule="exact"/>
        <w:ind w:firstLine="1219"/>
      </w:pPr>
      <w:r>
        <w:rPr>
          <w:rFonts w:ascii="標楷體" w:eastAsia="標楷體" w:hAnsi="標楷體"/>
        </w:rPr>
        <w:t>□第八因子</w:t>
      </w:r>
      <w:r>
        <w:rPr>
          <w:rFonts w:ascii="標楷體" w:eastAsia="標楷體" w:hAnsi="標楷體"/>
          <w:color w:val="000000"/>
        </w:rPr>
        <w:t>(藥名：______)</w:t>
      </w:r>
    </w:p>
    <w:p w14:paraId="5BDE4CCC" w14:textId="77777777" w:rsidR="00BD776B" w:rsidRDefault="00DF0C24">
      <w:pPr>
        <w:pStyle w:val="af"/>
        <w:spacing w:line="320" w:lineRule="exact"/>
        <w:ind w:firstLine="1219"/>
      </w:pPr>
      <w:r>
        <w:rPr>
          <w:rFonts w:ascii="標楷體" w:eastAsia="標楷體" w:hAnsi="標楷體"/>
        </w:rPr>
        <w:t>□第九因子</w:t>
      </w:r>
      <w:r>
        <w:rPr>
          <w:rFonts w:ascii="標楷體" w:eastAsia="標楷體" w:hAnsi="標楷體"/>
          <w:color w:val="000000"/>
        </w:rPr>
        <w:t>(藥名：______)</w:t>
      </w:r>
    </w:p>
    <w:p w14:paraId="7A350A79" w14:textId="77777777" w:rsidR="00BD776B" w:rsidRDefault="00DF0C24">
      <w:pPr>
        <w:pStyle w:val="af"/>
        <w:spacing w:line="320" w:lineRule="exact"/>
        <w:ind w:firstLine="1219"/>
      </w:pPr>
      <w:r>
        <w:rPr>
          <w:rFonts w:ascii="標楷體" w:eastAsia="標楷體" w:hAnsi="標楷體"/>
        </w:rPr>
        <w:t>□其他</w:t>
      </w:r>
      <w:r>
        <w:rPr>
          <w:rFonts w:ascii="標楷體" w:eastAsia="標楷體" w:hAnsi="標楷體"/>
          <w:color w:val="000000"/>
        </w:rPr>
        <w:t>(藥名：______)</w:t>
      </w:r>
    </w:p>
    <w:p w14:paraId="5FDFCA9A" w14:textId="77777777" w:rsidR="00BD776B" w:rsidRDefault="00DF0C24">
      <w:pPr>
        <w:spacing w:line="320" w:lineRule="exact"/>
        <w:ind w:left="1699" w:firstLine="1"/>
      </w:pP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(activated) PCC</w:t>
      </w:r>
      <w:r>
        <w:rPr>
          <w:rFonts w:ascii="標楷體" w:eastAsia="標楷體" w:hAnsi="標楷體"/>
          <w:color w:val="000000"/>
        </w:rPr>
        <w:t>(藥名：______)</w:t>
      </w:r>
      <w:r>
        <w:rPr>
          <w:rFonts w:ascii="標楷體" w:eastAsia="標楷體" w:hAnsi="標楷體"/>
        </w:rPr>
        <w:br/>
      </w: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recombinant factor VII</w:t>
      </w:r>
      <w:r>
        <w:rPr>
          <w:rFonts w:ascii="標楷體" w:eastAsia="標楷體" w:hAnsi="標楷體"/>
          <w:color w:val="000000"/>
        </w:rPr>
        <w:t>(藥名：______)</w:t>
      </w:r>
    </w:p>
    <w:p w14:paraId="276C5F85" w14:textId="77777777" w:rsidR="00BD776B" w:rsidRDefault="00DF0C24">
      <w:pPr>
        <w:spacing w:line="320" w:lineRule="exact"/>
        <w:ind w:left="1699" w:firstLine="1"/>
      </w:pP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___________________</w:t>
      </w:r>
      <w:r>
        <w:rPr>
          <w:rFonts w:ascii="標楷體" w:eastAsia="標楷體" w:hAnsi="標楷體"/>
          <w:color w:val="000000"/>
        </w:rPr>
        <w:t>(藥名：______)</w:t>
      </w:r>
    </w:p>
    <w:p w14:paraId="03994889" w14:textId="77777777" w:rsidR="00BD776B" w:rsidRDefault="00DF0C24">
      <w:pPr>
        <w:spacing w:line="320" w:lineRule="exact"/>
        <w:rPr>
          <w:rFonts w:ascii="標楷體" w:eastAsia="標楷體" w:hAnsi="標楷體"/>
        </w:rPr>
      </w:pPr>
      <w:r>
        <w:rPr>
          <w:rFonts w:ascii="標楷體" w:eastAsia="標楷體" w:hAnsi="標楷體"/>
        </w:rPr>
        <w:t xml:space="preserve">二、出血時注射(突破性出血)：  </w:t>
      </w:r>
    </w:p>
    <w:p w14:paraId="2A8073BB" w14:textId="77777777" w:rsidR="00BD776B" w:rsidRDefault="00DF0C24">
      <w:pPr>
        <w:spacing w:line="320" w:lineRule="exact"/>
      </w:pPr>
      <w:r>
        <w:rPr>
          <w:rFonts w:ascii="標楷體" w:eastAsia="標楷體" w:hAnsi="標楷體"/>
        </w:rPr>
        <w:t xml:space="preserve">    出血部位：□腦部 □腸胃道 □呼吸道 □肌肉 □關節 □其他:</w:t>
      </w:r>
      <w:r>
        <w:rPr>
          <w:rFonts w:ascii="標楷體" w:eastAsia="標楷體" w:hAnsi="標楷體"/>
          <w:u w:val="single"/>
        </w:rPr>
        <w:t xml:space="preserve">           </w:t>
      </w:r>
    </w:p>
    <w:p w14:paraId="1CE49D1C" w14:textId="77777777" w:rsidR="00BD776B" w:rsidRDefault="00DF0C24">
      <w:pPr>
        <w:spacing w:line="320" w:lineRule="exact"/>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□第八因子  □第九因子 □其他</w:t>
      </w:r>
    </w:p>
    <w:p w14:paraId="096BFC4A" w14:textId="77777777" w:rsidR="00BD776B" w:rsidRDefault="00DF0C24">
      <w:pPr>
        <w:spacing w:line="320" w:lineRule="exact"/>
        <w:ind w:left="1699" w:firstLine="1"/>
      </w:pP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(activated) PCC(藥名：            )</w:t>
      </w:r>
      <w:r>
        <w:rPr>
          <w:rFonts w:ascii="標楷體" w:eastAsia="標楷體" w:hAnsi="標楷體"/>
        </w:rPr>
        <w:br/>
      </w: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recombinant factor VII(藥名：       )</w:t>
      </w:r>
    </w:p>
    <w:p w14:paraId="0EBA5071" w14:textId="77777777" w:rsidR="00BD776B" w:rsidRDefault="00DF0C24">
      <w:pPr>
        <w:spacing w:line="320" w:lineRule="exact"/>
        <w:ind w:left="1699" w:firstLine="1"/>
      </w:pPr>
      <w:r>
        <w:rPr>
          <w:rFonts w:ascii="標楷體" w:eastAsia="標楷體" w:hAnsi="標楷體"/>
          <w:u w:val="single"/>
        </w:rPr>
        <w:t xml:space="preserve">      </w:t>
      </w:r>
      <w:r>
        <w:rPr>
          <w:rFonts w:ascii="標楷體" w:eastAsia="標楷體" w:hAnsi="標楷體"/>
        </w:rPr>
        <w:t xml:space="preserve">次數  共 </w:t>
      </w:r>
      <w:r>
        <w:rPr>
          <w:rFonts w:ascii="標楷體" w:eastAsia="標楷體" w:hAnsi="標楷體"/>
          <w:u w:val="single"/>
        </w:rPr>
        <w:t xml:space="preserve">      </w:t>
      </w:r>
      <w:r>
        <w:rPr>
          <w:rFonts w:ascii="標楷體" w:eastAsia="標楷體" w:hAnsi="標楷體"/>
        </w:rPr>
        <w:t>單位 ___________________(藥名：       )</w:t>
      </w:r>
    </w:p>
    <w:p w14:paraId="1CACC350" w14:textId="77777777" w:rsidR="00BD776B" w:rsidRDefault="00DF0C24">
      <w:pPr>
        <w:spacing w:line="320" w:lineRule="exact"/>
        <w:ind w:left="2160" w:hanging="2160"/>
      </w:pPr>
      <w:r>
        <w:rPr>
          <w:rFonts w:ascii="標楷體" w:eastAsia="標楷體" w:hAnsi="標楷體"/>
        </w:rPr>
        <w:t>三、手術或侵入性處置: □  無  □ 有  請說明:</w:t>
      </w:r>
      <w:r>
        <w:rPr>
          <w:rFonts w:ascii="標楷體" w:eastAsia="標楷體" w:hAnsi="標楷體"/>
          <w:u w:val="single"/>
        </w:rPr>
        <w:t xml:space="preserve">               </w:t>
      </w:r>
    </w:p>
    <w:p w14:paraId="2ACD99BF" w14:textId="77777777" w:rsidR="00BD776B" w:rsidRDefault="00DF0C24">
      <w:pPr>
        <w:spacing w:line="320" w:lineRule="exact"/>
      </w:pPr>
      <w:r>
        <w:rPr>
          <w:rFonts w:ascii="標楷體" w:eastAsia="標楷體" w:hAnsi="標楷體"/>
        </w:rPr>
        <w:t>四、抗體數值：</w:t>
      </w:r>
      <w:r>
        <w:rPr>
          <w:rFonts w:ascii="標楷體" w:eastAsia="標楷體" w:hAnsi="標楷體"/>
          <w:u w:val="single"/>
        </w:rPr>
        <w:t xml:space="preserve">       </w:t>
      </w:r>
      <w:r>
        <w:rPr>
          <w:rFonts w:ascii="標楷體" w:eastAsia="標楷體" w:hAnsi="標楷體"/>
        </w:rPr>
        <w:t>BU /mL 檢驗日期:________________</w:t>
      </w:r>
    </w:p>
    <w:p w14:paraId="2C900B61" w14:textId="77777777" w:rsidR="00BD776B" w:rsidRDefault="00DF0C24">
      <w:pPr>
        <w:spacing w:line="320" w:lineRule="exact"/>
        <w:rPr>
          <w:rFonts w:ascii="標楷體" w:eastAsia="標楷體" w:hAnsi="標楷體" w:cs="BiauKai"/>
          <w:color w:val="000000"/>
          <w:sz w:val="22"/>
        </w:rPr>
      </w:pPr>
      <w:r>
        <w:rPr>
          <w:rFonts w:ascii="標楷體" w:eastAsia="標楷體" w:hAnsi="標楷體" w:cs="BiauKai"/>
          <w:color w:val="000000"/>
          <w:sz w:val="22"/>
        </w:rPr>
        <w:t xml:space="preserve">   (有抗體之病人請註明三個月內抗體檢測數值；無抗體之病人請註明一年內抗體檢測數值)</w:t>
      </w:r>
    </w:p>
    <w:p w14:paraId="2D115DA8" w14:textId="77777777" w:rsidR="00BD776B" w:rsidRDefault="00DF0C24">
      <w:pPr>
        <w:spacing w:line="320" w:lineRule="exact"/>
      </w:pPr>
      <w:r>
        <w:rPr>
          <w:rFonts w:ascii="標楷體" w:eastAsia="標楷體" w:hAnsi="標楷體" w:cs="BiauKai"/>
          <w:color w:val="000000"/>
        </w:rPr>
        <w:t>五、每三個月至少一次檢測最低凝血因子濃度(trough level)</w:t>
      </w:r>
      <w:r>
        <w:rPr>
          <w:rFonts w:ascii="標楷體" w:eastAsia="標楷體" w:hAnsi="標楷體" w:cs="BiauKai"/>
          <w:color w:val="000000"/>
          <w:sz w:val="22"/>
        </w:rPr>
        <w:t xml:space="preserve">________ </w:t>
      </w:r>
      <w:r>
        <w:rPr>
          <w:rFonts w:ascii="標楷體" w:eastAsia="標楷體" w:hAnsi="標楷體"/>
        </w:rPr>
        <w:t>檢驗日:________</w:t>
      </w:r>
    </w:p>
    <w:p w14:paraId="0E42D292" w14:textId="77777777" w:rsidR="00BD776B" w:rsidRDefault="00DF0C24">
      <w:pPr>
        <w:spacing w:line="320" w:lineRule="exact"/>
        <w:rPr>
          <w:rFonts w:ascii="標楷體" w:eastAsia="標楷體" w:hAnsi="標楷體"/>
          <w:color w:val="000000"/>
        </w:rPr>
      </w:pPr>
      <w:r>
        <w:rPr>
          <w:rFonts w:ascii="標楷體" w:eastAsia="標楷體" w:hAnsi="標楷體"/>
          <w:color w:val="000000"/>
        </w:rPr>
        <w:t>六、治療計畫：</w:t>
      </w:r>
    </w:p>
    <w:p w14:paraId="3494EB07" w14:textId="77777777" w:rsidR="00BD776B" w:rsidRDefault="00DF0C24">
      <w:pPr>
        <w:spacing w:line="320" w:lineRule="exact"/>
        <w:rPr>
          <w:rFonts w:ascii="標楷體" w:eastAsia="標楷體" w:hAnsi="標楷體"/>
          <w:color w:val="000000"/>
        </w:rPr>
      </w:pPr>
      <w:r>
        <w:rPr>
          <w:rFonts w:ascii="標楷體" w:eastAsia="標楷體" w:hAnsi="標楷體"/>
          <w:color w:val="000000"/>
        </w:rPr>
        <w:t xml:space="preserve">□維持治療 </w:t>
      </w:r>
    </w:p>
    <w:p w14:paraId="50094A07" w14:textId="77777777" w:rsidR="00BD776B" w:rsidRDefault="00DF0C24">
      <w:pPr>
        <w:spacing w:line="320" w:lineRule="exact"/>
        <w:rPr>
          <w:rFonts w:ascii="標楷體" w:eastAsia="標楷體" w:hAnsi="標楷體"/>
          <w:color w:val="000000"/>
        </w:rPr>
      </w:pPr>
      <w:r>
        <w:rPr>
          <w:rFonts w:ascii="標楷體" w:eastAsia="標楷體" w:hAnsi="標楷體"/>
          <w:color w:val="000000"/>
        </w:rPr>
        <w:t xml:space="preserve">□調整治療 </w:t>
      </w:r>
    </w:p>
    <w:p w14:paraId="0F69CA42" w14:textId="77777777" w:rsidR="00BD776B" w:rsidRDefault="00DF0C24">
      <w:pPr>
        <w:spacing w:line="320" w:lineRule="exact"/>
      </w:pPr>
      <w:r>
        <w:rPr>
          <w:rFonts w:ascii="標楷體" w:eastAsia="標楷體" w:hAnsi="標楷體"/>
          <w:color w:val="000000"/>
        </w:rPr>
        <w:t>請說明:</w:t>
      </w:r>
      <w:r>
        <w:rPr>
          <w:rFonts w:ascii="標楷體" w:eastAsia="標楷體" w:hAnsi="標楷體"/>
          <w:color w:val="000000"/>
          <w:u w:val="single"/>
        </w:rPr>
        <w:t xml:space="preserve">                                                                                    </w:t>
      </w:r>
      <w:r>
        <w:rPr>
          <w:rFonts w:ascii="標楷體" w:eastAsia="標楷體" w:hAnsi="標楷體"/>
          <w:color w:val="000000"/>
        </w:rPr>
        <w:t xml:space="preserve">        </w:t>
      </w:r>
    </w:p>
    <w:p w14:paraId="6881060A" w14:textId="77777777" w:rsidR="00BD776B" w:rsidRDefault="00DF0C24">
      <w:pPr>
        <w:spacing w:line="320" w:lineRule="exact"/>
      </w:pPr>
      <w:r>
        <w:rPr>
          <w:rFonts w:ascii="標楷體" w:eastAsia="標楷體" w:hAnsi="標楷體"/>
          <w:color w:val="000000"/>
        </w:rPr>
        <w:t>□進一步檢查</w:t>
      </w:r>
      <w:r>
        <w:rPr>
          <w:rFonts w:ascii="標楷體" w:eastAsia="標楷體" w:hAnsi="標楷體"/>
          <w:b/>
          <w:color w:val="000000"/>
          <w:u w:val="single"/>
        </w:rPr>
        <w:t>(例如:藥物動力學檢測)</w:t>
      </w:r>
    </w:p>
    <w:p w14:paraId="38D19316" w14:textId="77777777" w:rsidR="00BD776B" w:rsidRDefault="00DF0C24">
      <w:pPr>
        <w:spacing w:line="320" w:lineRule="exact"/>
      </w:pPr>
      <w:r>
        <w:rPr>
          <w:rFonts w:ascii="標楷體" w:eastAsia="標楷體" w:hAnsi="標楷體"/>
          <w:color w:val="000000"/>
        </w:rPr>
        <w:t>請說明:</w:t>
      </w:r>
      <w:r>
        <w:rPr>
          <w:rFonts w:ascii="標楷體" w:eastAsia="標楷體" w:hAnsi="標楷體"/>
          <w:color w:val="000000"/>
          <w:u w:val="single"/>
        </w:rPr>
        <w:t xml:space="preserve">                                                                       </w:t>
      </w:r>
    </w:p>
    <w:p w14:paraId="5B048A95" w14:textId="77777777" w:rsidR="00BD776B" w:rsidRDefault="00DF0C24">
      <w:pPr>
        <w:spacing w:line="320" w:lineRule="exact"/>
        <w:ind w:left="283" w:hanging="283"/>
      </w:pPr>
      <w:r>
        <w:rPr>
          <w:rFonts w:ascii="標楷體" w:eastAsia="標楷體" w:hAnsi="標楷體"/>
          <w:color w:val="000000"/>
        </w:rPr>
        <w:t>□療效評估</w:t>
      </w:r>
      <w:r>
        <w:rPr>
          <w:rFonts w:ascii="標楷體" w:eastAsia="標楷體" w:hAnsi="標楷體"/>
          <w:b/>
          <w:color w:val="000000"/>
          <w:u w:val="single"/>
        </w:rPr>
        <w:t>(每年評估一次)</w:t>
      </w:r>
    </w:p>
    <w:p w14:paraId="58455CEE"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1.Pettersson score、HJHS、肌肉骨骼超音波：</w:t>
      </w:r>
    </w:p>
    <w:p w14:paraId="780AF864"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 xml:space="preserve">    請說明:______________________________________________________________________</w:t>
      </w:r>
    </w:p>
    <w:p w14:paraId="57E7FDAD"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 xml:space="preserve">    評估醫師:_______________</w:t>
      </w:r>
    </w:p>
    <w:p w14:paraId="79FBBEAB"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 xml:space="preserve">          </w:t>
      </w:r>
    </w:p>
    <w:p w14:paraId="49CEAABE"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lastRenderedPageBreak/>
        <w:t xml:space="preserve">2.HAL、QoL： </w:t>
      </w:r>
    </w:p>
    <w:p w14:paraId="18792859"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 xml:space="preserve">    請說明: _____________________________________________________________________                                                                        </w:t>
      </w:r>
    </w:p>
    <w:p w14:paraId="7B0D9254"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3.不良事件反應：</w:t>
      </w:r>
    </w:p>
    <w:p w14:paraId="52B3A2F7"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 xml:space="preserve">    請說明: _____________________________________________________________________                                                                        </w:t>
      </w:r>
    </w:p>
    <w:p w14:paraId="507FC0B6"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4.併發症：</w:t>
      </w:r>
    </w:p>
    <w:p w14:paraId="5010DDEF" w14:textId="77777777" w:rsidR="00BD776B" w:rsidRDefault="00DF0C24">
      <w:pPr>
        <w:spacing w:line="320" w:lineRule="exact"/>
        <w:ind w:left="283" w:hanging="283"/>
        <w:rPr>
          <w:rFonts w:ascii="標楷體" w:eastAsia="標楷體" w:hAnsi="標楷體"/>
          <w:color w:val="000000"/>
        </w:rPr>
      </w:pPr>
      <w:r>
        <w:rPr>
          <w:rFonts w:ascii="標楷體" w:eastAsia="標楷體" w:hAnsi="標楷體"/>
          <w:color w:val="000000"/>
        </w:rPr>
        <w:t xml:space="preserve">    請說明: _____________________________________________________________________   </w:t>
      </w:r>
    </w:p>
    <w:p w14:paraId="321EEF2B" w14:textId="77777777" w:rsidR="00BD776B" w:rsidRDefault="00DF0C24">
      <w:pPr>
        <w:spacing w:line="320" w:lineRule="exact"/>
        <w:ind w:left="283" w:hanging="283"/>
        <w:sectPr w:rsidR="00BD776B" w:rsidSect="007E1772">
          <w:footerReference w:type="default" r:id="rId33"/>
          <w:pgSz w:w="11906" w:h="16838"/>
          <w:pgMar w:top="567" w:right="567" w:bottom="567" w:left="567" w:header="851" w:footer="992" w:gutter="0"/>
          <w:cols w:space="720"/>
          <w:docGrid w:type="lines"/>
        </w:sectPr>
      </w:pPr>
      <w:r>
        <w:rPr>
          <w:rFonts w:ascii="標楷體" w:eastAsia="標楷體" w:hAnsi="標楷體"/>
          <w:color w:val="000000"/>
        </w:rPr>
        <w:t xml:space="preserve">                    </w:t>
      </w:r>
      <w:r>
        <w:rPr>
          <w:rFonts w:ascii="標楷體" w:eastAsia="標楷體" w:hAnsi="標楷體"/>
          <w:b/>
          <w:color w:val="000000"/>
          <w:u w:val="single"/>
        </w:rPr>
        <w:t xml:space="preserve">                                                                                                                       評估醫師:</w:t>
      </w:r>
      <w:r>
        <w:rPr>
          <w:rFonts w:ascii="標楷體" w:eastAsia="標楷體" w:hAnsi="標楷體"/>
          <w:b/>
          <w:color w:val="000000"/>
        </w:rPr>
        <w:t xml:space="preserve">                        </w:t>
      </w:r>
      <w:r>
        <w:rPr>
          <w:rFonts w:ascii="標楷體" w:eastAsia="標楷體" w:hAnsi="標楷體"/>
          <w:color w:val="000000"/>
        </w:rPr>
        <w:t xml:space="preserve">            </w:t>
      </w:r>
      <w:r>
        <w:rPr>
          <w:rFonts w:ascii="標楷體" w:eastAsia="標楷體" w:hAnsi="標楷體"/>
          <w:b/>
          <w:color w:val="000000"/>
          <w:u w:val="single"/>
        </w:rPr>
        <w:t>日期:</w:t>
      </w:r>
      <w:r>
        <w:rPr>
          <w:rFonts w:ascii="標楷體" w:eastAsia="標楷體" w:hAnsi="標楷體"/>
          <w:b/>
          <w:color w:val="000000"/>
        </w:rPr>
        <w:t xml:space="preserve"> </w:t>
      </w:r>
    </w:p>
    <w:p w14:paraId="67CA1A30" w14:textId="77777777" w:rsidR="00BD776B" w:rsidRDefault="00DF0C24">
      <w:pPr>
        <w:widowControl/>
      </w:pPr>
      <w:r>
        <w:rPr>
          <w:rFonts w:ascii="標楷體" w:eastAsia="標楷體" w:hAnsi="標楷體"/>
          <w:noProof/>
        </w:rPr>
        <w:lastRenderedPageBreak/>
        <mc:AlternateContent>
          <mc:Choice Requires="wps">
            <w:drawing>
              <wp:anchor distT="0" distB="0" distL="114300" distR="114300" simplePos="0" relativeHeight="251661312" behindDoc="0" locked="0" layoutInCell="1" allowOverlap="1" wp14:anchorId="05AECFFD" wp14:editId="1E6DCD2B">
                <wp:simplePos x="0" y="0"/>
                <wp:positionH relativeFrom="column">
                  <wp:posOffset>-369573</wp:posOffset>
                </wp:positionH>
                <wp:positionV relativeFrom="paragraph">
                  <wp:posOffset>-616589</wp:posOffset>
                </wp:positionV>
                <wp:extent cx="2209803" cy="685800"/>
                <wp:effectExtent l="0" t="0" r="0" b="0"/>
                <wp:wrapNone/>
                <wp:docPr id="22" name="文字方塊 17"/>
                <wp:cNvGraphicFramePr/>
                <a:graphic xmlns:a="http://schemas.openxmlformats.org/drawingml/2006/main">
                  <a:graphicData uri="http://schemas.microsoft.com/office/word/2010/wordprocessingShape">
                    <wps:wsp>
                      <wps:cNvSpPr txBox="1"/>
                      <wps:spPr>
                        <a:xfrm>
                          <a:off x="0" y="0"/>
                          <a:ext cx="2209803" cy="685800"/>
                        </a:xfrm>
                        <a:prstGeom prst="rect">
                          <a:avLst/>
                        </a:prstGeom>
                        <a:noFill/>
                        <a:ln>
                          <a:noFill/>
                          <a:prstDash/>
                        </a:ln>
                      </wps:spPr>
                      <wps:txbx>
                        <w:txbxContent>
                          <w:p w14:paraId="321012E3"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2DB15EB7"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txbxContent>
                      </wps:txbx>
                      <wps:bodyPr vert="horz" wrap="square" lIns="91440" tIns="45720" rIns="91440" bIns="45720" anchor="t" anchorCtr="0" compatLnSpc="0">
                        <a:noAutofit/>
                      </wps:bodyPr>
                    </wps:wsp>
                  </a:graphicData>
                </a:graphic>
              </wp:anchor>
            </w:drawing>
          </mc:Choice>
          <mc:Fallback>
            <w:pict>
              <v:shape w14:anchorId="05AECFFD" id="文字方塊 17" o:spid="_x0000_s1042" type="#_x0000_t202" style="position:absolute;margin-left:-29.1pt;margin-top:-48.55pt;width:174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" filled="f" stroked="f">
                <v:textbox>
                  <w:txbxContent>
                    <w:p w14:paraId="321012E3"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預防性注射</w:t>
                      </w:r>
                    </w:p>
                    <w:p w14:paraId="2DB15EB7" w14:textId="77777777" w:rsidR="00576CD7" w:rsidRDefault="00576CD7" w:rsidP="008A7063">
                      <w:pPr>
                        <w:numPr>
                          <w:ilvl w:val="0"/>
                          <w:numId w:val="78"/>
                        </w:numPr>
                        <w:spacing w:line="360" w:lineRule="exact"/>
                        <w:rPr>
                          <w:rFonts w:eastAsia="標楷體"/>
                          <w:b/>
                          <w:sz w:val="28"/>
                          <w:szCs w:val="28"/>
                        </w:rPr>
                      </w:pPr>
                      <w:r>
                        <w:rPr>
                          <w:rFonts w:eastAsia="標楷體"/>
                          <w:b/>
                          <w:sz w:val="28"/>
                          <w:szCs w:val="28"/>
                        </w:rPr>
                        <w:t>出血時注射</w:t>
                      </w:r>
                    </w:p>
                  </w:txbxContent>
                </v:textbox>
              </v:shape>
            </w:pict>
          </mc:Fallback>
        </mc:AlternateContent>
      </w:r>
      <w:r>
        <w:rPr>
          <w:rFonts w:ascii="標楷體" w:eastAsia="標楷體" w:hAnsi="標楷體"/>
          <w:sz w:val="36"/>
        </w:rPr>
        <w:t>附表十八之六  全民健康保險血友病患者使用「雙特異性單株抗體藥物」在家治療紀錄表</w:t>
      </w:r>
    </w:p>
    <w:p w14:paraId="4F5B8DE9" w14:textId="77777777" w:rsidR="00BD776B" w:rsidRDefault="00DF0C24">
      <w:pPr>
        <w:spacing w:line="400" w:lineRule="exact"/>
      </w:pPr>
      <w:r>
        <w:rPr>
          <w:rFonts w:ascii="標楷體" w:eastAsia="標楷體" w:hAnsi="標楷體"/>
          <w:sz w:val="28"/>
        </w:rPr>
        <w:t>姓名：</w:t>
      </w:r>
      <w:r>
        <w:rPr>
          <w:rFonts w:ascii="標楷體" w:eastAsia="標楷體" w:hAnsi="標楷體"/>
          <w:sz w:val="28"/>
          <w:u w:val="single"/>
        </w:rPr>
        <w:t xml:space="preserve">　　　　　　　</w:t>
      </w:r>
      <w:r>
        <w:rPr>
          <w:rFonts w:ascii="標楷體" w:eastAsia="標楷體" w:hAnsi="標楷體"/>
          <w:sz w:val="28"/>
        </w:rPr>
        <w:t xml:space="preserve">　　　體重：</w:t>
      </w:r>
      <w:r>
        <w:rPr>
          <w:rFonts w:ascii="標楷體" w:eastAsia="標楷體" w:hAnsi="標楷體"/>
          <w:sz w:val="28"/>
          <w:u w:val="single"/>
        </w:rPr>
        <w:t xml:space="preserve">　　　　　</w:t>
      </w:r>
      <w:r>
        <w:rPr>
          <w:rFonts w:ascii="標楷體" w:eastAsia="標楷體" w:hAnsi="標楷體"/>
          <w:sz w:val="28"/>
        </w:rPr>
        <w:t>公斤        診斷：□A型血友病合併第八因子抗體　□其他</w:t>
      </w:r>
    </w:p>
    <w:p w14:paraId="066001C2" w14:textId="77777777" w:rsidR="00BD776B" w:rsidRDefault="00DF0C24">
      <w:pPr>
        <w:spacing w:line="400" w:lineRule="exact"/>
        <w:ind w:firstLine="280"/>
        <w:rPr>
          <w:rFonts w:ascii="標楷體" w:eastAsia="標楷體" w:hAnsi="標楷體"/>
          <w:sz w:val="28"/>
        </w:rPr>
      </w:pPr>
      <w:r>
        <w:rPr>
          <w:rFonts w:ascii="標楷體" w:eastAsia="標楷體" w:hAnsi="標楷體"/>
          <w:sz w:val="28"/>
        </w:rPr>
        <w:t xml:space="preserve">　　　　　　　　　　　　　　　　　　　　　　　　　        □B型血友病合併第九因子抗體</w:t>
      </w:r>
    </w:p>
    <w:p w14:paraId="2C302859" w14:textId="77777777" w:rsidR="00BD776B" w:rsidRDefault="00DF0C24">
      <w:pPr>
        <w:spacing w:line="520" w:lineRule="exact"/>
      </w:pPr>
      <w:r>
        <w:rPr>
          <w:rFonts w:ascii="標楷體" w:eastAsia="標楷體" w:hAnsi="標楷體"/>
          <w:sz w:val="28"/>
        </w:rPr>
        <w:t>領藥日(年/月/日）：</w:t>
      </w:r>
      <w:r>
        <w:rPr>
          <w:rFonts w:ascii="標楷體" w:eastAsia="標楷體" w:hAnsi="標楷體"/>
          <w:sz w:val="28"/>
          <w:u w:val="single"/>
        </w:rPr>
        <w:t xml:space="preserve">　　／　　／　　</w:t>
      </w:r>
      <w:r>
        <w:rPr>
          <w:rFonts w:ascii="標楷體" w:eastAsia="標楷體" w:hAnsi="標楷體"/>
          <w:sz w:val="28"/>
        </w:rPr>
        <w:t xml:space="preserve">      領藥量(瓶)：</w:t>
      </w:r>
      <w:r>
        <w:rPr>
          <w:rFonts w:ascii="標楷體" w:eastAsia="標楷體" w:hAnsi="標楷體"/>
          <w:sz w:val="28"/>
          <w:u w:val="single"/>
        </w:rPr>
        <w:t xml:space="preserve">               </w:t>
      </w:r>
      <w:r>
        <w:rPr>
          <w:rFonts w:ascii="標楷體" w:eastAsia="標楷體" w:hAnsi="標楷體"/>
          <w:sz w:val="28"/>
        </w:rPr>
        <w:t xml:space="preserve">      藥品名稱及批號：</w:t>
      </w:r>
      <w:r>
        <w:rPr>
          <w:rFonts w:ascii="標楷體" w:eastAsia="標楷體" w:hAnsi="標楷體"/>
          <w:sz w:val="28"/>
          <w:u w:val="single"/>
        </w:rPr>
        <w:t xml:space="preserve">　　              </w:t>
      </w:r>
    </w:p>
    <w:p w14:paraId="4E88B300" w14:textId="77777777" w:rsidR="00BD776B" w:rsidRDefault="00DF0C24">
      <w:pPr>
        <w:spacing w:line="520" w:lineRule="exact"/>
      </w:pPr>
      <w:r>
        <w:rPr>
          <w:rFonts w:ascii="標楷體" w:eastAsia="標楷體" w:hAnsi="標楷體"/>
          <w:sz w:val="28"/>
        </w:rPr>
        <w:t>繳回空瓶數量及批號：</w:t>
      </w:r>
      <w:r>
        <w:rPr>
          <w:rFonts w:ascii="標楷體" w:eastAsia="標楷體" w:hAnsi="標楷體"/>
          <w:sz w:val="28"/>
          <w:u w:val="single"/>
        </w:rPr>
        <w:t xml:space="preserve">                   </w:t>
      </w:r>
      <w:r>
        <w:rPr>
          <w:rFonts w:ascii="標楷體" w:eastAsia="標楷體" w:hAnsi="標楷體"/>
          <w:sz w:val="28"/>
        </w:rPr>
        <w:t xml:space="preserve"> 上次家中剩餘藥量(瓶)：</w:t>
      </w:r>
      <w:r>
        <w:rPr>
          <w:rFonts w:ascii="標楷體" w:eastAsia="標楷體" w:hAnsi="標楷體"/>
          <w:sz w:val="28"/>
          <w:u w:val="single"/>
        </w:rPr>
        <w:t xml:space="preserve">         </w:t>
      </w:r>
      <w:r>
        <w:rPr>
          <w:rFonts w:ascii="標楷體" w:eastAsia="標楷體" w:hAnsi="標楷體"/>
          <w:sz w:val="28"/>
        </w:rPr>
        <w:t xml:space="preserve">  確認人員簽名(章)：</w:t>
      </w:r>
      <w:r>
        <w:rPr>
          <w:rFonts w:ascii="標楷體" w:eastAsia="標楷體" w:hAnsi="標楷體"/>
          <w:sz w:val="28"/>
          <w:u w:val="single"/>
        </w:rPr>
        <w:t xml:space="preserve">                  </w:t>
      </w:r>
    </w:p>
    <w:tbl>
      <w:tblPr>
        <w:tblW w:w="15027" w:type="dxa"/>
        <w:jc w:val="center"/>
        <w:tblLayout w:type="fixed"/>
        <w:tblCellMar>
          <w:left w:w="10" w:type="dxa"/>
          <w:right w:w="10" w:type="dxa"/>
        </w:tblCellMar>
        <w:tblLook w:val="0000" w:firstRow="0" w:lastRow="0" w:firstColumn="0" w:lastColumn="0" w:noHBand="0" w:noVBand="0"/>
      </w:tblPr>
      <w:tblGrid>
        <w:gridCol w:w="993"/>
        <w:gridCol w:w="709"/>
        <w:gridCol w:w="704"/>
        <w:gridCol w:w="900"/>
        <w:gridCol w:w="720"/>
        <w:gridCol w:w="1200"/>
        <w:gridCol w:w="1320"/>
        <w:gridCol w:w="1320"/>
        <w:gridCol w:w="1320"/>
        <w:gridCol w:w="600"/>
        <w:gridCol w:w="600"/>
        <w:gridCol w:w="840"/>
        <w:gridCol w:w="840"/>
        <w:gridCol w:w="1827"/>
        <w:gridCol w:w="1134"/>
      </w:tblGrid>
      <w:tr w:rsidR="00BD776B" w14:paraId="4D5B377C" w14:textId="77777777">
        <w:trPr>
          <w:cantSplit/>
          <w:trHeight w:val="727"/>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47EA94"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注射日</w:t>
            </w:r>
          </w:p>
        </w:tc>
        <w:tc>
          <w:tcPr>
            <w:tcW w:w="23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FF18F6" w14:textId="77777777" w:rsidR="00BD776B" w:rsidRDefault="00DF0C24">
            <w:pPr>
              <w:spacing w:line="300" w:lineRule="exact"/>
              <w:jc w:val="center"/>
              <w:rPr>
                <w:rFonts w:ascii="標楷體" w:eastAsia="標楷體" w:hAnsi="標楷體"/>
              </w:rPr>
            </w:pPr>
            <w:r>
              <w:rPr>
                <w:rFonts w:ascii="標楷體" w:eastAsia="標楷體" w:hAnsi="標楷體"/>
              </w:rPr>
              <w:t>注射時間</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6D9678" w14:textId="77777777" w:rsidR="00BD776B" w:rsidRDefault="00DF0C24">
            <w:pPr>
              <w:spacing w:line="300" w:lineRule="exact"/>
              <w:ind w:left="113" w:right="113"/>
              <w:jc w:val="center"/>
            </w:pPr>
            <w:r>
              <w:rPr>
                <w:rFonts w:ascii="標楷體" w:eastAsia="標楷體" w:hAnsi="標楷體"/>
                <w:sz w:val="22"/>
              </w:rPr>
              <w:t>注射瓶數</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32523C"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每瓶含量</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99D11" w14:textId="77777777" w:rsidR="00BD776B" w:rsidRDefault="00DF0C24">
            <w:pPr>
              <w:spacing w:line="300" w:lineRule="exact"/>
              <w:jc w:val="center"/>
              <w:rPr>
                <w:rFonts w:ascii="標楷體" w:eastAsia="標楷體" w:hAnsi="標楷體"/>
              </w:rPr>
            </w:pPr>
            <w:r>
              <w:rPr>
                <w:rFonts w:ascii="標楷體" w:eastAsia="標楷體" w:hAnsi="標楷體"/>
              </w:rPr>
              <w:t>出血原因</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5B63C6" w14:textId="77777777" w:rsidR="00BD776B" w:rsidRDefault="00DF0C24">
            <w:pPr>
              <w:spacing w:line="300" w:lineRule="exact"/>
              <w:jc w:val="center"/>
              <w:rPr>
                <w:rFonts w:ascii="標楷體" w:eastAsia="標楷體" w:hAnsi="標楷體"/>
              </w:rPr>
            </w:pPr>
            <w:r>
              <w:rPr>
                <w:rFonts w:ascii="標楷體" w:eastAsia="標楷體" w:hAnsi="標楷體"/>
              </w:rPr>
              <w:t>出血部位</w:t>
            </w:r>
          </w:p>
          <w:p w14:paraId="660F9186" w14:textId="77777777" w:rsidR="00BD776B" w:rsidRDefault="00DF0C24">
            <w:pPr>
              <w:spacing w:line="300" w:lineRule="exact"/>
              <w:jc w:val="center"/>
              <w:rPr>
                <w:rFonts w:ascii="標楷體" w:eastAsia="標楷體" w:hAnsi="標楷體"/>
              </w:rPr>
            </w:pPr>
            <w:r>
              <w:rPr>
                <w:rFonts w:ascii="標楷體" w:eastAsia="標楷體" w:hAnsi="標楷體"/>
              </w:rPr>
              <w:t>(請依背面圖示填寫)</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9F69" w14:textId="77777777" w:rsidR="00BD776B" w:rsidRDefault="00DF0C24">
            <w:pPr>
              <w:spacing w:line="300" w:lineRule="exact"/>
              <w:jc w:val="center"/>
              <w:rPr>
                <w:rFonts w:ascii="標楷體" w:eastAsia="標楷體" w:hAnsi="標楷體"/>
              </w:rPr>
            </w:pPr>
            <w:r>
              <w:rPr>
                <w:rFonts w:ascii="標楷體" w:eastAsia="標楷體" w:hAnsi="標楷體"/>
              </w:rPr>
              <w:t>注射後效果</w:t>
            </w:r>
          </w:p>
        </w:tc>
        <w:tc>
          <w:tcPr>
            <w:tcW w:w="1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468844" w14:textId="77777777" w:rsidR="00BD776B" w:rsidRDefault="00DF0C24">
            <w:pPr>
              <w:spacing w:line="300" w:lineRule="exact"/>
              <w:jc w:val="center"/>
              <w:rPr>
                <w:rFonts w:ascii="標楷體" w:eastAsia="標楷體" w:hAnsi="標楷體"/>
              </w:rPr>
            </w:pPr>
            <w:r>
              <w:rPr>
                <w:rFonts w:ascii="標楷體" w:eastAsia="標楷體" w:hAnsi="標楷體"/>
              </w:rPr>
              <w:t>注射後發生之不適症狀</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E65BC4" w14:textId="77777777" w:rsidR="00BD776B" w:rsidRDefault="00DF0C24">
            <w:pPr>
              <w:spacing w:line="300" w:lineRule="exact"/>
              <w:jc w:val="center"/>
              <w:rPr>
                <w:rFonts w:ascii="標楷體" w:eastAsia="標楷體" w:hAnsi="標楷體"/>
              </w:rPr>
            </w:pPr>
            <w:r>
              <w:rPr>
                <w:rFonts w:ascii="標楷體" w:eastAsia="標楷體" w:hAnsi="標楷體"/>
              </w:rPr>
              <w:t>注射者簽名(章)</w:t>
            </w:r>
          </w:p>
        </w:tc>
      </w:tr>
      <w:tr w:rsidR="00BD776B" w14:paraId="77573B4B" w14:textId="77777777">
        <w:trPr>
          <w:cantSplit/>
          <w:trHeight w:val="424"/>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6C5C40" w14:textId="77777777" w:rsidR="00BD776B" w:rsidRDefault="00DF0C24">
            <w:pPr>
              <w:spacing w:line="300" w:lineRule="exact"/>
              <w:jc w:val="center"/>
              <w:rPr>
                <w:rFonts w:ascii="標楷體" w:eastAsia="標楷體" w:hAnsi="標楷體"/>
              </w:rPr>
            </w:pPr>
            <w:r>
              <w:rPr>
                <w:rFonts w:ascii="標楷體" w:eastAsia="標楷體" w:hAnsi="標楷體"/>
              </w:rPr>
              <w:t>(月/日)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1BD2AD"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上午</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6DFF01"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下午</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DCA021" w14:textId="77777777" w:rsidR="00BD776B" w:rsidRDefault="00DF0C24">
            <w:pPr>
              <w:spacing w:line="300" w:lineRule="exact"/>
              <w:jc w:val="center"/>
              <w:rPr>
                <w:rFonts w:ascii="標楷體" w:eastAsia="標楷體" w:hAnsi="標楷體"/>
              </w:rPr>
            </w:pPr>
            <w:r>
              <w:rPr>
                <w:rFonts w:ascii="標楷體" w:eastAsia="標楷體" w:hAnsi="標楷體"/>
              </w:rPr>
              <w:t>時間</w:t>
            </w:r>
          </w:p>
          <w:p w14:paraId="45F7F8DD" w14:textId="77777777" w:rsidR="00BD776B" w:rsidRDefault="00DF0C24">
            <w:pPr>
              <w:spacing w:line="300" w:lineRule="exact"/>
              <w:jc w:val="center"/>
              <w:rPr>
                <w:rFonts w:ascii="標楷體" w:eastAsia="標楷體" w:hAnsi="標楷體"/>
              </w:rPr>
            </w:pPr>
            <w:r>
              <w:rPr>
                <w:rFonts w:ascii="標楷體" w:eastAsia="標楷體" w:hAnsi="標楷體"/>
              </w:rPr>
              <w:t>(時/分)</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131F2F" w14:textId="77777777" w:rsidR="00BD776B" w:rsidRDefault="00DF0C24">
            <w:pPr>
              <w:spacing w:line="300" w:lineRule="exact"/>
              <w:jc w:val="center"/>
              <w:rPr>
                <w:rFonts w:ascii="標楷體" w:eastAsia="標楷體" w:hAnsi="標楷體"/>
              </w:rPr>
            </w:pPr>
            <w:r>
              <w:rPr>
                <w:rFonts w:ascii="標楷體" w:eastAsia="標楷體" w:hAnsi="標楷體"/>
              </w:rPr>
              <w:t>(瓶)</w:t>
            </w: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A0334D"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DCFA05" w14:textId="77777777" w:rsidR="00BD776B" w:rsidRDefault="00DF0C24">
            <w:pPr>
              <w:spacing w:line="300" w:lineRule="exact"/>
              <w:jc w:val="center"/>
              <w:rPr>
                <w:rFonts w:ascii="標楷體" w:eastAsia="標楷體" w:hAnsi="標楷體"/>
              </w:rPr>
            </w:pPr>
            <w:r>
              <w:rPr>
                <w:rFonts w:ascii="標楷體" w:eastAsia="標楷體" w:hAnsi="標楷體"/>
              </w:rPr>
              <w:t>自發性出血</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084FB" w14:textId="77777777" w:rsidR="00BD776B" w:rsidRDefault="00BD776B">
            <w:pPr>
              <w:spacing w:line="300" w:lineRule="exact"/>
              <w:jc w:val="center"/>
              <w:rPr>
                <w:rFonts w:ascii="標楷體" w:eastAsia="標楷體" w:hAnsi="標楷體"/>
              </w:rPr>
            </w:pPr>
          </w:p>
          <w:p w14:paraId="08AA7212" w14:textId="77777777" w:rsidR="00BD776B" w:rsidRDefault="00DF0C24">
            <w:pPr>
              <w:spacing w:line="300" w:lineRule="exact"/>
              <w:jc w:val="center"/>
              <w:rPr>
                <w:rFonts w:ascii="標楷體" w:eastAsia="標楷體" w:hAnsi="標楷體"/>
              </w:rPr>
            </w:pPr>
            <w:r>
              <w:rPr>
                <w:rFonts w:ascii="標楷體" w:eastAsia="標楷體" w:hAnsi="標楷體"/>
              </w:rPr>
              <w:t>受傷後出血</w:t>
            </w:r>
          </w:p>
          <w:p w14:paraId="0DE6CAB3" w14:textId="77777777" w:rsidR="00BD776B" w:rsidRDefault="00BD776B">
            <w:pPr>
              <w:spacing w:line="300" w:lineRule="exact"/>
              <w:jc w:val="center"/>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FAE44E" w14:textId="77777777" w:rsidR="00BD776B" w:rsidRDefault="00DF0C24">
            <w:pPr>
              <w:spacing w:line="300" w:lineRule="exact"/>
              <w:jc w:val="center"/>
              <w:rPr>
                <w:rFonts w:ascii="標楷體" w:eastAsia="標楷體" w:hAnsi="標楷體"/>
              </w:rPr>
            </w:pPr>
            <w:r>
              <w:rPr>
                <w:rFonts w:ascii="標楷體" w:eastAsia="標楷體" w:hAnsi="標楷體"/>
              </w:rPr>
              <w:t>代號或部位</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1575C7" w14:textId="77777777" w:rsidR="00BD776B" w:rsidRDefault="00DF0C24">
            <w:pPr>
              <w:spacing w:line="300" w:lineRule="exact"/>
              <w:jc w:val="center"/>
              <w:rPr>
                <w:rFonts w:ascii="標楷體" w:eastAsia="標楷體" w:hAnsi="標楷體"/>
              </w:rPr>
            </w:pPr>
            <w:r>
              <w:rPr>
                <w:rFonts w:ascii="標楷體" w:eastAsia="標楷體" w:hAnsi="標楷體"/>
              </w:rPr>
              <w:t>左</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42D49" w14:textId="77777777" w:rsidR="00BD776B" w:rsidRDefault="00DF0C24">
            <w:pPr>
              <w:spacing w:line="300" w:lineRule="exact"/>
              <w:jc w:val="center"/>
              <w:rPr>
                <w:rFonts w:ascii="標楷體" w:eastAsia="標楷體" w:hAnsi="標楷體"/>
              </w:rPr>
            </w:pPr>
            <w:r>
              <w:rPr>
                <w:rFonts w:ascii="標楷體" w:eastAsia="標楷體" w:hAnsi="標楷體"/>
              </w:rPr>
              <w:t>右</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5A02C3"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改善</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28EA5B" w14:textId="77777777" w:rsidR="00BD776B" w:rsidRDefault="00DF0C24">
            <w:pPr>
              <w:spacing w:line="300" w:lineRule="exact"/>
              <w:ind w:left="113" w:right="113"/>
              <w:jc w:val="center"/>
              <w:rPr>
                <w:rFonts w:ascii="標楷體" w:eastAsia="標楷體" w:hAnsi="標楷體"/>
              </w:rPr>
            </w:pPr>
            <w:r>
              <w:rPr>
                <w:rFonts w:ascii="標楷體" w:eastAsia="標楷體" w:hAnsi="標楷體"/>
              </w:rPr>
              <w:t>未改善</w:t>
            </w:r>
          </w:p>
        </w:tc>
        <w:tc>
          <w:tcPr>
            <w:tcW w:w="1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B34DAC" w14:textId="77777777" w:rsidR="00BD776B" w:rsidRDefault="00BD776B">
            <w:pPr>
              <w:spacing w:line="300" w:lineRule="exact"/>
              <w:rPr>
                <w:rFonts w:ascii="標楷體" w:eastAsia="標楷體" w:hAnsi="標楷體"/>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B78432" w14:textId="77777777" w:rsidR="00BD776B" w:rsidRDefault="00BD776B">
            <w:pPr>
              <w:spacing w:line="300" w:lineRule="exact"/>
              <w:rPr>
                <w:rFonts w:ascii="標楷體" w:eastAsia="標楷體" w:hAnsi="標楷體"/>
              </w:rPr>
            </w:pPr>
          </w:p>
        </w:tc>
      </w:tr>
      <w:tr w:rsidR="00BD776B" w14:paraId="6CFCBB40" w14:textId="77777777">
        <w:trPr>
          <w:trHeight w:val="458"/>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A90DF"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4B91E"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E8246"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911E"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415FF"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2CB944"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598B"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3FC4A"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29812"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0C7AC"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90938"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38D60"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36229"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980E7"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31F18" w14:textId="77777777" w:rsidR="00BD776B" w:rsidRDefault="00BD776B">
            <w:pPr>
              <w:spacing w:line="300" w:lineRule="exact"/>
              <w:rPr>
                <w:rFonts w:ascii="標楷體" w:eastAsia="標楷體" w:hAnsi="標楷體"/>
              </w:rPr>
            </w:pPr>
          </w:p>
        </w:tc>
      </w:tr>
      <w:tr w:rsidR="00BD776B" w14:paraId="17E938A0" w14:textId="77777777">
        <w:trPr>
          <w:trHeight w:val="536"/>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876CB"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1CFD"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F0E8C"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5DD56A"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D14B6E"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7819E"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46F40"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CD6D2"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17B3"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BE699"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A5ABD"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7F8BA"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DB8FB"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E64F9"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4A4F5" w14:textId="77777777" w:rsidR="00BD776B" w:rsidRDefault="00BD776B">
            <w:pPr>
              <w:spacing w:line="300" w:lineRule="exact"/>
              <w:rPr>
                <w:rFonts w:ascii="標楷體" w:eastAsia="標楷體" w:hAnsi="標楷體"/>
              </w:rPr>
            </w:pPr>
          </w:p>
        </w:tc>
      </w:tr>
      <w:tr w:rsidR="00BD776B" w14:paraId="29B80F4E" w14:textId="77777777">
        <w:trPr>
          <w:trHeight w:val="572"/>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E21FF"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B259B"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E6959"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C6476"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6B046"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54A1E"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2ED3"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62AE5"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86FA8"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0390E"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98A5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C93DA"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FC24"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5EB48"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00332D" w14:textId="77777777" w:rsidR="00BD776B" w:rsidRDefault="00BD776B">
            <w:pPr>
              <w:spacing w:line="300" w:lineRule="exact"/>
              <w:rPr>
                <w:rFonts w:ascii="標楷體" w:eastAsia="標楷體" w:hAnsi="標楷體"/>
              </w:rPr>
            </w:pPr>
          </w:p>
        </w:tc>
      </w:tr>
      <w:tr w:rsidR="00BD776B" w14:paraId="66050E36" w14:textId="77777777">
        <w:trPr>
          <w:trHeight w:val="514"/>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FE188"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C8BD"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EC8D"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FBAA9"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8AC47"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5F330"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F58A5"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8947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4BA54"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CF060"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E4DC5"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F91"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B2EB7"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EF6E"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0D3DB5" w14:textId="77777777" w:rsidR="00BD776B" w:rsidRDefault="00BD776B">
            <w:pPr>
              <w:spacing w:line="300" w:lineRule="exact"/>
              <w:rPr>
                <w:rFonts w:ascii="標楷體" w:eastAsia="標楷體" w:hAnsi="標楷體"/>
              </w:rPr>
            </w:pPr>
          </w:p>
        </w:tc>
      </w:tr>
      <w:tr w:rsidR="00BD776B" w14:paraId="12A0A86E" w14:textId="77777777">
        <w:trPr>
          <w:trHeight w:val="564"/>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F1611" w14:textId="77777777" w:rsidR="00BD776B" w:rsidRDefault="00BD776B">
            <w:pPr>
              <w:spacing w:line="300" w:lineRule="exact"/>
              <w:rPr>
                <w:rFonts w:ascii="標楷體" w:eastAsia="標楷體" w:hAnsi="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6BF5" w14:textId="77777777" w:rsidR="00BD776B" w:rsidRDefault="00BD776B">
            <w:pPr>
              <w:spacing w:line="300" w:lineRule="exact"/>
              <w:rPr>
                <w:rFonts w:ascii="標楷體" w:eastAsia="標楷體" w:hAnsi="標楷體"/>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0717D" w14:textId="77777777" w:rsidR="00BD776B" w:rsidRDefault="00BD776B">
            <w:pPr>
              <w:spacing w:line="30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EC04B" w14:textId="77777777" w:rsidR="00BD776B" w:rsidRDefault="00BD776B">
            <w:pPr>
              <w:spacing w:line="300" w:lineRule="exact"/>
              <w:rPr>
                <w:rFonts w:ascii="標楷體" w:eastAsia="標楷體" w:hAnsi="標楷體"/>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3EF10" w14:textId="77777777" w:rsidR="00BD776B" w:rsidRDefault="00BD776B">
            <w:pPr>
              <w:spacing w:line="300" w:lineRule="exact"/>
              <w:rPr>
                <w:rFonts w:ascii="標楷體" w:eastAsia="標楷體" w:hAnsi="標楷體"/>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70F48"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20829"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FDFEA" w14:textId="77777777" w:rsidR="00BD776B" w:rsidRDefault="00BD776B">
            <w:pPr>
              <w:spacing w:line="300" w:lineRule="exact"/>
              <w:rPr>
                <w:rFonts w:ascii="標楷體" w:eastAsia="標楷體" w:hAnsi="標楷體"/>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DF7BD"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5DE6E" w14:textId="77777777" w:rsidR="00BD776B" w:rsidRDefault="00BD776B">
            <w:pPr>
              <w:spacing w:line="300" w:lineRule="exact"/>
              <w:rPr>
                <w:rFonts w:ascii="標楷體" w:eastAsia="標楷體" w:hAnsi="標楷體"/>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31AD2"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8C3AE" w14:textId="77777777" w:rsidR="00BD776B" w:rsidRDefault="00BD776B">
            <w:pPr>
              <w:spacing w:line="300" w:lineRule="exact"/>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27B870" w14:textId="77777777" w:rsidR="00BD776B" w:rsidRDefault="00BD776B">
            <w:pPr>
              <w:spacing w:line="300" w:lineRule="exact"/>
              <w:rPr>
                <w:rFonts w:ascii="標楷體" w:eastAsia="標楷體" w:hAnsi="標楷體"/>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B6C71" w14:textId="77777777" w:rsidR="00BD776B" w:rsidRDefault="00BD776B">
            <w:pPr>
              <w:spacing w:line="300" w:lineRule="exact"/>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F706" w14:textId="77777777" w:rsidR="00BD776B" w:rsidRDefault="00BD776B">
            <w:pPr>
              <w:spacing w:line="300" w:lineRule="exact"/>
              <w:rPr>
                <w:rFonts w:ascii="標楷體" w:eastAsia="標楷體" w:hAnsi="標楷體"/>
              </w:rPr>
            </w:pPr>
          </w:p>
        </w:tc>
      </w:tr>
    </w:tbl>
    <w:p w14:paraId="386A3231" w14:textId="77777777" w:rsidR="00BD776B" w:rsidRDefault="00DF0C24">
      <w:pPr>
        <w:spacing w:line="300" w:lineRule="exact"/>
        <w:ind w:left="1" w:hanging="284"/>
        <w:rPr>
          <w:rFonts w:ascii="標楷體" w:eastAsia="標楷體" w:hAnsi="標楷體"/>
          <w:sz w:val="22"/>
        </w:rPr>
      </w:pPr>
      <w:r>
        <w:rPr>
          <w:rFonts w:ascii="標楷體" w:eastAsia="標楷體" w:hAnsi="標楷體"/>
          <w:sz w:val="22"/>
        </w:rPr>
        <w:t>備註：</w:t>
      </w:r>
    </w:p>
    <w:p w14:paraId="5D145E69" w14:textId="77777777" w:rsidR="00BD776B" w:rsidRDefault="00DF0C24">
      <w:pPr>
        <w:spacing w:line="300" w:lineRule="exact"/>
        <w:ind w:hanging="425"/>
        <w:rPr>
          <w:rFonts w:ascii="標楷體" w:eastAsia="標楷體" w:hAnsi="標楷體"/>
          <w:sz w:val="22"/>
        </w:rPr>
      </w:pPr>
      <w:r>
        <w:rPr>
          <w:rFonts w:ascii="標楷體" w:eastAsia="標楷體" w:hAnsi="標楷體"/>
          <w:sz w:val="22"/>
        </w:rPr>
        <w:t xml:space="preserve"> 1.病人於下次回診需攜帶此紀錄表，並請黏貼於病歷，同時繳回已注射後之空瓶備查。紀錄表未黏貼於回診病歷及未繳回空瓶，則該項費用不予支付。</w:t>
      </w:r>
    </w:p>
    <w:p w14:paraId="7176CF76" w14:textId="77777777" w:rsidR="00BD776B" w:rsidRDefault="00DF0C24">
      <w:pPr>
        <w:spacing w:line="300" w:lineRule="exact"/>
        <w:ind w:left="-143" w:hanging="282"/>
        <w:rPr>
          <w:rFonts w:ascii="標楷體" w:eastAsia="標楷體" w:hAnsi="標楷體"/>
          <w:sz w:val="22"/>
        </w:rPr>
      </w:pPr>
      <w:r>
        <w:rPr>
          <w:rFonts w:ascii="標楷體" w:eastAsia="標楷體" w:hAnsi="標楷體"/>
          <w:sz w:val="22"/>
        </w:rPr>
        <w:t xml:space="preserve"> 2.領藥量請詳記藥品規格量及瓶數，例如：500IU×2瓶，使用空瓶於繳回時，請由醫療院所相關人員進行確認(包含回收空瓶日期及總結存量等)，並請確認人員簽名(章)。</w:t>
      </w:r>
    </w:p>
    <w:p w14:paraId="7601E297" w14:textId="77777777" w:rsidR="00BD776B" w:rsidRDefault="00DF0C24">
      <w:pPr>
        <w:spacing w:line="300" w:lineRule="exact"/>
        <w:ind w:hanging="425"/>
        <w:rPr>
          <w:rFonts w:ascii="標楷體" w:eastAsia="標楷體" w:hAnsi="標楷體"/>
          <w:sz w:val="22"/>
        </w:rPr>
      </w:pPr>
      <w:r>
        <w:rPr>
          <w:rFonts w:ascii="標楷體" w:eastAsia="標楷體" w:hAnsi="標楷體"/>
          <w:sz w:val="22"/>
        </w:rPr>
        <w:t xml:space="preserve"> 3.出血部位說明請見背面圖示。</w:t>
      </w:r>
    </w:p>
    <w:p w14:paraId="415EBD75" w14:textId="77777777" w:rsidR="00BD776B" w:rsidRDefault="00DF0C24">
      <w:pPr>
        <w:spacing w:line="300" w:lineRule="exact"/>
        <w:sectPr w:rsidR="00BD776B" w:rsidSect="007E1772">
          <w:footerReference w:type="default" r:id="rId34"/>
          <w:pgSz w:w="16838" w:h="11906" w:orient="landscape"/>
          <w:pgMar w:top="567" w:right="567" w:bottom="567" w:left="567" w:header="720" w:footer="720" w:gutter="0"/>
          <w:cols w:space="720"/>
          <w:docGrid w:type="lines" w:linePitch="317"/>
        </w:sectPr>
      </w:pPr>
      <w:r>
        <w:rPr>
          <w:rFonts w:ascii="標楷體" w:eastAsia="標楷體" w:hAnsi="標楷體"/>
          <w:sz w:val="28"/>
        </w:rPr>
        <w:t xml:space="preserve">                                   回收空瓶日期：</w:t>
      </w:r>
      <w:r>
        <w:rPr>
          <w:rFonts w:ascii="標楷體" w:eastAsia="標楷體" w:hAnsi="標楷體"/>
          <w:sz w:val="28"/>
          <w:u w:val="single"/>
        </w:rPr>
        <w:t xml:space="preserve">                </w:t>
      </w:r>
      <w:r>
        <w:rPr>
          <w:rFonts w:ascii="標楷體" w:eastAsia="標楷體" w:hAnsi="標楷體"/>
          <w:sz w:val="28"/>
        </w:rPr>
        <w:t xml:space="preserve">       總結存量(瓶)：</w:t>
      </w:r>
      <w:r>
        <w:rPr>
          <w:rFonts w:ascii="標楷體" w:eastAsia="標楷體" w:hAnsi="標楷體"/>
          <w:sz w:val="28"/>
          <w:u w:val="single"/>
        </w:rPr>
        <w:t xml:space="preserve">          </w:t>
      </w:r>
    </w:p>
    <w:p w14:paraId="6A96FC0E" w14:textId="77777777" w:rsidR="00BD776B" w:rsidRDefault="002378B3">
      <w:pPr>
        <w:widowControl/>
        <w:suppressAutoHyphens w:val="0"/>
        <w:snapToGrid w:val="0"/>
        <w:jc w:val="both"/>
      </w:pPr>
      <w:r>
        <w:rPr>
          <w:rFonts w:ascii="標楷體" w:eastAsia="標楷體" w:hAnsi="標楷體"/>
          <w:color w:val="000000"/>
        </w:rPr>
        <w:lastRenderedPageBreak/>
        <w:object w:dxaOrig="1440" w:dyaOrig="1440" w14:anchorId="75649D32">
          <v:shape id="Object 20" o:spid="_x0000_s1030" type="#_x0000_t75" style="position:absolute;left:0;text-align:left;margin-left:-4.1pt;margin-top:-4.35pt;width:564.2pt;height:698.7pt;z-index:251671552;visibility:visible;mso-wrap-style:square;mso-position-horizontal-relative:margin;mso-position-vertical-relative:margin">
            <v:imagedata r:id="rId28" o:title=""/>
            <w10:wrap type="square" anchorx="margin" anchory="margin"/>
          </v:shape>
          <o:OLEObject Type="Embed" ProgID="Word.Picture.8" ShapeID="Object 20" DrawAspect="Content" ObjectID="_1807084891" r:id="rId35"/>
        </w:object>
      </w:r>
      <w:r w:rsidR="00DF0C24">
        <w:rPr>
          <w:rFonts w:ascii="標楷體" w:eastAsia="標楷體" w:hAnsi="標楷體"/>
          <w:noProof/>
          <w:color w:val="000000"/>
        </w:rPr>
        <mc:AlternateContent>
          <mc:Choice Requires="wps">
            <w:drawing>
              <wp:anchor distT="0" distB="0" distL="114300" distR="114300" simplePos="0" relativeHeight="251651072" behindDoc="0" locked="0" layoutInCell="1" allowOverlap="1" wp14:anchorId="2FEF784F" wp14:editId="10E72CF8">
                <wp:simplePos x="0" y="0"/>
                <wp:positionH relativeFrom="column">
                  <wp:posOffset>467999</wp:posOffset>
                </wp:positionH>
                <wp:positionV relativeFrom="paragraph">
                  <wp:posOffset>1634490</wp:posOffset>
                </wp:positionV>
                <wp:extent cx="1752603" cy="1943100"/>
                <wp:effectExtent l="0" t="0" r="0" b="0"/>
                <wp:wrapSquare wrapText="bothSides"/>
                <wp:docPr id="23" name="Text Box 21"/>
                <wp:cNvGraphicFramePr/>
                <a:graphic xmlns:a="http://schemas.openxmlformats.org/drawingml/2006/main">
                  <a:graphicData uri="http://schemas.microsoft.com/office/word/2010/wordprocessingShape">
                    <wps:wsp>
                      <wps:cNvSpPr txBox="1"/>
                      <wps:spPr>
                        <a:xfrm>
                          <a:off x="0" y="0"/>
                          <a:ext cx="1752603" cy="1943100"/>
                        </a:xfrm>
                        <a:prstGeom prst="rect">
                          <a:avLst/>
                        </a:prstGeom>
                        <a:noFill/>
                        <a:ln>
                          <a:noFill/>
                          <a:prstDash/>
                        </a:ln>
                      </wps:spPr>
                      <wps:txbx>
                        <w:txbxContent>
                          <w:p w14:paraId="7F762924" w14:textId="77777777" w:rsidR="00576CD7" w:rsidRDefault="00576CD7">
                            <w:pPr>
                              <w:rPr>
                                <w:rFonts w:ascii="標楷體" w:eastAsia="標楷體" w:hAnsi="標楷體"/>
                              </w:rPr>
                            </w:pPr>
                            <w:r>
                              <w:rPr>
                                <w:rFonts w:ascii="標楷體" w:eastAsia="標楷體" w:hAnsi="標楷體"/>
                              </w:rPr>
                              <w:t xml:space="preserve">9  肌肉出血 </w:t>
                            </w:r>
                          </w:p>
                          <w:p w14:paraId="73155930" w14:textId="77777777" w:rsidR="00576CD7" w:rsidRDefault="00576CD7">
                            <w:pPr>
                              <w:rPr>
                                <w:rFonts w:ascii="標楷體" w:eastAsia="標楷體" w:hAnsi="標楷體"/>
                              </w:rPr>
                            </w:pPr>
                            <w:r>
                              <w:rPr>
                                <w:rFonts w:ascii="標楷體" w:eastAsia="標楷體" w:hAnsi="標楷體"/>
                              </w:rPr>
                              <w:t>10 皮下出血</w:t>
                            </w:r>
                          </w:p>
                          <w:p w14:paraId="150B843F" w14:textId="77777777" w:rsidR="00576CD7" w:rsidRDefault="00576CD7">
                            <w:pPr>
                              <w:rPr>
                                <w:rFonts w:ascii="標楷體" w:eastAsia="標楷體" w:hAnsi="標楷體"/>
                              </w:rPr>
                            </w:pPr>
                            <w:r>
                              <w:rPr>
                                <w:rFonts w:ascii="標楷體" w:eastAsia="標楷體" w:hAnsi="標楷體"/>
                              </w:rPr>
                              <w:t>11 腸胃道出血</w:t>
                            </w:r>
                          </w:p>
                          <w:p w14:paraId="75DD1776" w14:textId="77777777" w:rsidR="00576CD7" w:rsidRDefault="00576CD7">
                            <w:pPr>
                              <w:rPr>
                                <w:rFonts w:ascii="標楷體" w:eastAsia="標楷體" w:hAnsi="標楷體"/>
                              </w:rPr>
                            </w:pPr>
                            <w:r>
                              <w:rPr>
                                <w:rFonts w:ascii="標楷體" w:eastAsia="標楷體" w:hAnsi="標楷體"/>
                              </w:rPr>
                              <w:t>12 血尿</w:t>
                            </w:r>
                          </w:p>
                          <w:p w14:paraId="3DD9FB02" w14:textId="77777777" w:rsidR="00576CD7" w:rsidRDefault="00576CD7">
                            <w:pPr>
                              <w:rPr>
                                <w:rFonts w:ascii="標楷體" w:eastAsia="標楷體" w:hAnsi="標楷體"/>
                              </w:rPr>
                            </w:pPr>
                            <w:r>
                              <w:rPr>
                                <w:rFonts w:ascii="標楷體" w:eastAsia="標楷體" w:hAnsi="標楷體"/>
                              </w:rPr>
                              <w:t>13 鼻腔出血</w:t>
                            </w:r>
                          </w:p>
                          <w:p w14:paraId="6E7F605A" w14:textId="77777777" w:rsidR="00576CD7" w:rsidRDefault="00576CD7">
                            <w:pPr>
                              <w:rPr>
                                <w:rFonts w:ascii="標楷體" w:eastAsia="標楷體" w:hAnsi="標楷體"/>
                              </w:rPr>
                            </w:pPr>
                            <w:r>
                              <w:rPr>
                                <w:rFonts w:ascii="標楷體" w:eastAsia="標楷體" w:hAnsi="標楷體"/>
                              </w:rPr>
                              <w:t>14 牙齦出血</w:t>
                            </w:r>
                          </w:p>
                          <w:p w14:paraId="27A05ABA" w14:textId="77777777" w:rsidR="00576CD7" w:rsidRDefault="00576CD7">
                            <w:pPr>
                              <w:rPr>
                                <w:rFonts w:ascii="標楷體" w:eastAsia="標楷體" w:hAnsi="標楷體"/>
                              </w:rPr>
                            </w:pPr>
                            <w:r>
                              <w:rPr>
                                <w:rFonts w:ascii="標楷體" w:eastAsia="標楷體" w:hAnsi="標楷體"/>
                              </w:rPr>
                              <w:t>15 口腔內出血</w:t>
                            </w:r>
                          </w:p>
                          <w:p w14:paraId="4DC55920" w14:textId="77777777" w:rsidR="00576CD7" w:rsidRDefault="00576CD7">
                            <w:pPr>
                              <w:rPr>
                                <w:rFonts w:ascii="標楷體" w:eastAsia="標楷體" w:hAnsi="標楷體"/>
                              </w:rPr>
                            </w:pPr>
                            <w:r>
                              <w:rPr>
                                <w:rFonts w:ascii="標楷體" w:eastAsia="標楷體" w:hAnsi="標楷體"/>
                              </w:rPr>
                              <w:t>16 腦部出血</w:t>
                            </w:r>
                          </w:p>
                          <w:p w14:paraId="26F90C60" w14:textId="77777777" w:rsidR="00576CD7" w:rsidRDefault="00576CD7">
                            <w:pPr>
                              <w:rPr>
                                <w:rFonts w:ascii="標楷體" w:eastAsia="標楷體" w:hAnsi="標楷體"/>
                              </w:rPr>
                            </w:pPr>
                          </w:p>
                        </w:txbxContent>
                      </wps:txbx>
                      <wps:bodyPr vert="horz" wrap="square" lIns="91440" tIns="45720" rIns="91440" bIns="45720" anchor="t" anchorCtr="0" compatLnSpc="0">
                        <a:noAutofit/>
                      </wps:bodyPr>
                    </wps:wsp>
                  </a:graphicData>
                </a:graphic>
              </wp:anchor>
            </w:drawing>
          </mc:Choice>
          <mc:Fallback>
            <w:pict>
              <v:shape w14:anchorId="2FEF784F" id="Text Box 21" o:spid="_x0000_s1043" type="#_x0000_t202" style="position:absolute;left:0;text-align:left;margin-left:36.85pt;margin-top:128.7pt;width:138pt;height:15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" filled="f" stroked="f">
                <v:textbox>
                  <w:txbxContent>
                    <w:p w14:paraId="7F762924" w14:textId="77777777" w:rsidR="00576CD7" w:rsidRDefault="00576CD7">
                      <w:pPr>
                        <w:rPr>
                          <w:rFonts w:ascii="標楷體" w:eastAsia="標楷體" w:hAnsi="標楷體"/>
                        </w:rPr>
                      </w:pPr>
                      <w:r>
                        <w:rPr>
                          <w:rFonts w:ascii="標楷體" w:eastAsia="標楷體" w:hAnsi="標楷體"/>
                        </w:rPr>
                        <w:t xml:space="preserve">9  肌肉出血 </w:t>
                      </w:r>
                    </w:p>
                    <w:p w14:paraId="73155930" w14:textId="77777777" w:rsidR="00576CD7" w:rsidRDefault="00576CD7">
                      <w:pPr>
                        <w:rPr>
                          <w:rFonts w:ascii="標楷體" w:eastAsia="標楷體" w:hAnsi="標楷體"/>
                        </w:rPr>
                      </w:pPr>
                      <w:r>
                        <w:rPr>
                          <w:rFonts w:ascii="標楷體" w:eastAsia="標楷體" w:hAnsi="標楷體"/>
                        </w:rPr>
                        <w:t>10 皮下出血</w:t>
                      </w:r>
                    </w:p>
                    <w:p w14:paraId="150B843F" w14:textId="77777777" w:rsidR="00576CD7" w:rsidRDefault="00576CD7">
                      <w:pPr>
                        <w:rPr>
                          <w:rFonts w:ascii="標楷體" w:eastAsia="標楷體" w:hAnsi="標楷體"/>
                        </w:rPr>
                      </w:pPr>
                      <w:r>
                        <w:rPr>
                          <w:rFonts w:ascii="標楷體" w:eastAsia="標楷體" w:hAnsi="標楷體"/>
                        </w:rPr>
                        <w:t>11 腸胃道出血</w:t>
                      </w:r>
                    </w:p>
                    <w:p w14:paraId="75DD1776" w14:textId="77777777" w:rsidR="00576CD7" w:rsidRDefault="00576CD7">
                      <w:pPr>
                        <w:rPr>
                          <w:rFonts w:ascii="標楷體" w:eastAsia="標楷體" w:hAnsi="標楷體"/>
                        </w:rPr>
                      </w:pPr>
                      <w:r>
                        <w:rPr>
                          <w:rFonts w:ascii="標楷體" w:eastAsia="標楷體" w:hAnsi="標楷體"/>
                        </w:rPr>
                        <w:t>12 血尿</w:t>
                      </w:r>
                    </w:p>
                    <w:p w14:paraId="3DD9FB02" w14:textId="77777777" w:rsidR="00576CD7" w:rsidRDefault="00576CD7">
                      <w:pPr>
                        <w:rPr>
                          <w:rFonts w:ascii="標楷體" w:eastAsia="標楷體" w:hAnsi="標楷體"/>
                        </w:rPr>
                      </w:pPr>
                      <w:r>
                        <w:rPr>
                          <w:rFonts w:ascii="標楷體" w:eastAsia="標楷體" w:hAnsi="標楷體"/>
                        </w:rPr>
                        <w:t>13 鼻腔出血</w:t>
                      </w:r>
                    </w:p>
                    <w:p w14:paraId="6E7F605A" w14:textId="77777777" w:rsidR="00576CD7" w:rsidRDefault="00576CD7">
                      <w:pPr>
                        <w:rPr>
                          <w:rFonts w:ascii="標楷體" w:eastAsia="標楷體" w:hAnsi="標楷體"/>
                        </w:rPr>
                      </w:pPr>
                      <w:r>
                        <w:rPr>
                          <w:rFonts w:ascii="標楷體" w:eastAsia="標楷體" w:hAnsi="標楷體"/>
                        </w:rPr>
                        <w:t>14 牙齦出血</w:t>
                      </w:r>
                    </w:p>
                    <w:p w14:paraId="27A05ABA" w14:textId="77777777" w:rsidR="00576CD7" w:rsidRDefault="00576CD7">
                      <w:pPr>
                        <w:rPr>
                          <w:rFonts w:ascii="標楷體" w:eastAsia="標楷體" w:hAnsi="標楷體"/>
                        </w:rPr>
                      </w:pPr>
                      <w:r>
                        <w:rPr>
                          <w:rFonts w:ascii="標楷體" w:eastAsia="標楷體" w:hAnsi="標楷體"/>
                        </w:rPr>
                        <w:t>15 口腔內出血</w:t>
                      </w:r>
                    </w:p>
                    <w:p w14:paraId="4DC55920" w14:textId="77777777" w:rsidR="00576CD7" w:rsidRDefault="00576CD7">
                      <w:pPr>
                        <w:rPr>
                          <w:rFonts w:ascii="標楷體" w:eastAsia="標楷體" w:hAnsi="標楷體"/>
                        </w:rPr>
                      </w:pPr>
                      <w:r>
                        <w:rPr>
                          <w:rFonts w:ascii="標楷體" w:eastAsia="標楷體" w:hAnsi="標楷體"/>
                        </w:rPr>
                        <w:t>16 腦部出血</w:t>
                      </w:r>
                    </w:p>
                    <w:p w14:paraId="26F90C60" w14:textId="77777777" w:rsidR="00576CD7" w:rsidRDefault="00576CD7">
                      <w:pPr>
                        <w:rPr>
                          <w:rFonts w:ascii="標楷體" w:eastAsia="標楷體" w:hAnsi="標楷體"/>
                        </w:rPr>
                      </w:pPr>
                    </w:p>
                  </w:txbxContent>
                </v:textbox>
                <w10:wrap type="square"/>
              </v:shape>
            </w:pict>
          </mc:Fallback>
        </mc:AlternateContent>
      </w:r>
    </w:p>
    <w:p w14:paraId="3D509B06" w14:textId="77777777" w:rsidR="00BD776B" w:rsidRDefault="00BD776B">
      <w:pPr>
        <w:pageBreakBefore/>
        <w:widowControl/>
        <w:suppressAutoHyphens w:val="0"/>
        <w:snapToGrid w:val="0"/>
        <w:rPr>
          <w:rFonts w:ascii="標楷體" w:eastAsia="標楷體" w:hAnsi="標楷體"/>
          <w:color w:val="000000"/>
        </w:rPr>
      </w:pPr>
    </w:p>
    <w:p w14:paraId="58580B45" w14:textId="77777777" w:rsidR="00BD776B" w:rsidRDefault="00DF0C24">
      <w:pPr>
        <w:snapToGrid w:val="0"/>
        <w:spacing w:line="400" w:lineRule="exact"/>
        <w:ind w:left="1200" w:hanging="1200"/>
        <w:jc w:val="center"/>
      </w:pPr>
      <w:r>
        <w:rPr>
          <w:rFonts w:ascii="標楷體" w:eastAsia="標楷體" w:hAnsi="標楷體"/>
          <w:color w:val="000000"/>
        </w:rPr>
        <w:t>附表十九全民健康保險使用Pilocarpinehydrochloride口服劑型治療後，</w:t>
      </w:r>
    </w:p>
    <w:p w14:paraId="44B54AF4" w14:textId="77777777" w:rsidR="00BD776B" w:rsidRDefault="00DF0C24">
      <w:pPr>
        <w:snapToGrid w:val="0"/>
        <w:spacing w:line="400" w:lineRule="exact"/>
        <w:ind w:left="1200" w:hanging="1200"/>
        <w:jc w:val="center"/>
      </w:pPr>
      <w:r>
        <w:rPr>
          <w:rFonts w:ascii="標楷體" w:eastAsia="標楷體" w:hAnsi="標楷體"/>
          <w:color w:val="000000"/>
        </w:rPr>
        <w:t>症狀改善評量表</w:t>
      </w:r>
    </w:p>
    <w:p w14:paraId="7A095A43" w14:textId="77777777" w:rsidR="00BD776B" w:rsidRDefault="00DF0C24">
      <w:pPr>
        <w:snapToGrid w:val="0"/>
        <w:ind w:firstLine="720"/>
        <w:jc w:val="both"/>
      </w:pPr>
      <w:r>
        <w:rPr>
          <w:rFonts w:ascii="標楷體" w:eastAsia="標楷體" w:hAnsi="標楷體" w:cs="標楷體"/>
          <w:color w:val="000000"/>
        </w:rPr>
        <w:t>病人姓名：病歷號碼：</w:t>
      </w:r>
    </w:p>
    <w:p w14:paraId="53D8C48F" w14:textId="77777777" w:rsidR="00BD776B" w:rsidRDefault="00DF0C24">
      <w:pPr>
        <w:snapToGrid w:val="0"/>
        <w:ind w:left="958"/>
        <w:jc w:val="both"/>
      </w:pPr>
      <w:r>
        <w:rPr>
          <w:rFonts w:ascii="標楷體" w:eastAsia="標楷體" w:hAnsi="標楷體" w:cs="標楷體"/>
          <w:color w:val="000000"/>
        </w:rPr>
        <w:t>（請依自覺程度給分）：</w:t>
      </w:r>
    </w:p>
    <w:p w14:paraId="3DF9847B" w14:textId="77777777" w:rsidR="00BD776B" w:rsidRDefault="00DF0C24">
      <w:pPr>
        <w:snapToGrid w:val="0"/>
        <w:ind w:left="720"/>
        <w:jc w:val="both"/>
      </w:pPr>
      <w:r>
        <w:rPr>
          <w:rFonts w:ascii="標楷體" w:eastAsia="標楷體" w:hAnsi="標楷體"/>
          <w:color w:val="000000"/>
        </w:rPr>
        <w:t>1.使用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後，以前口腔乾燥的情形是否有改善？</w:t>
      </w:r>
    </w:p>
    <w:p w14:paraId="285C370E"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74B8DBCA" w14:textId="77777777" w:rsidR="00BD776B" w:rsidRDefault="00DF0C24">
      <w:pPr>
        <w:snapToGrid w:val="0"/>
        <w:ind w:left="720"/>
        <w:jc w:val="both"/>
      </w:pPr>
      <w:r>
        <w:rPr>
          <w:rFonts w:ascii="標楷體" w:eastAsia="標楷體" w:hAnsi="標楷體"/>
          <w:color w:val="000000"/>
        </w:rPr>
        <w:t>2.使用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後，以前晚上睡覺時，需要起來喝水的次數是</w:t>
      </w:r>
    </w:p>
    <w:p w14:paraId="72D4CE10" w14:textId="77777777" w:rsidR="00BD776B" w:rsidRDefault="00DF0C24">
      <w:pPr>
        <w:snapToGrid w:val="0"/>
        <w:ind w:left="831" w:firstLine="129"/>
        <w:jc w:val="both"/>
      </w:pPr>
      <w:r>
        <w:rPr>
          <w:rFonts w:ascii="標楷體" w:eastAsia="標楷體" w:hAnsi="標楷體" w:cs="標楷體"/>
          <w:color w:val="000000"/>
        </w:rPr>
        <w:t>否有改善？</w:t>
      </w:r>
    </w:p>
    <w:p w14:paraId="68F23B6A"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2FDE383C" w14:textId="77777777" w:rsidR="00BD776B" w:rsidRDefault="00DF0C24">
      <w:pPr>
        <w:snapToGrid w:val="0"/>
        <w:ind w:left="720"/>
        <w:jc w:val="both"/>
      </w:pPr>
      <w:r>
        <w:rPr>
          <w:rFonts w:ascii="標楷體" w:eastAsia="標楷體" w:hAnsi="標楷體"/>
          <w:color w:val="000000"/>
        </w:rPr>
        <w:t>3.使用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後，以前隨身準備水的習慣是否有改善？</w:t>
      </w:r>
    </w:p>
    <w:p w14:paraId="7B2030C2"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1CFB6FF3" w14:textId="77777777" w:rsidR="00BD776B" w:rsidRDefault="00DF0C24">
      <w:pPr>
        <w:snapToGrid w:val="0"/>
        <w:ind w:left="720"/>
        <w:jc w:val="both"/>
      </w:pPr>
      <w:r>
        <w:rPr>
          <w:rFonts w:ascii="標楷體" w:eastAsia="標楷體" w:hAnsi="標楷體"/>
          <w:color w:val="000000"/>
        </w:rPr>
        <w:t>4.使用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後，以前口渴的情況是否有改善？</w:t>
      </w:r>
    </w:p>
    <w:p w14:paraId="75027F49"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7BDA14B1" w14:textId="77777777" w:rsidR="00BD776B" w:rsidRDefault="00DF0C24">
      <w:pPr>
        <w:snapToGrid w:val="0"/>
        <w:ind w:left="720"/>
        <w:jc w:val="both"/>
      </w:pPr>
      <w:r>
        <w:rPr>
          <w:rFonts w:ascii="標楷體" w:eastAsia="標楷體" w:hAnsi="標楷體"/>
          <w:color w:val="000000"/>
        </w:rPr>
        <w:t>5.使用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後，以前吞東西困難的情況是否有改善？</w:t>
      </w:r>
    </w:p>
    <w:p w14:paraId="7858D032"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0237FEC9" w14:textId="77777777" w:rsidR="00BD776B" w:rsidRDefault="00DF0C24">
      <w:pPr>
        <w:snapToGrid w:val="0"/>
        <w:ind w:left="720"/>
        <w:jc w:val="both"/>
      </w:pPr>
      <w:r>
        <w:rPr>
          <w:rFonts w:ascii="標楷體" w:eastAsia="標楷體" w:hAnsi="標楷體"/>
          <w:color w:val="000000"/>
        </w:rPr>
        <w:t>6.使用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後，以前說話困難的情況是否有改善？</w:t>
      </w:r>
    </w:p>
    <w:p w14:paraId="393618CC"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6B62114B" w14:textId="77777777" w:rsidR="00BD776B" w:rsidRDefault="00DF0C24">
      <w:pPr>
        <w:snapToGrid w:val="0"/>
        <w:ind w:left="720"/>
        <w:jc w:val="both"/>
      </w:pPr>
      <w:r>
        <w:rPr>
          <w:rFonts w:ascii="標楷體" w:eastAsia="標楷體" w:hAnsi="標楷體"/>
          <w:color w:val="000000"/>
        </w:rPr>
        <w:t>7.使用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後，以前舌頭燒灼的感覺是否有改善？</w:t>
      </w:r>
    </w:p>
    <w:p w14:paraId="2C3E4A28"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6CAFA730" w14:textId="77777777" w:rsidR="00BD776B" w:rsidRDefault="00DF0C24">
      <w:pPr>
        <w:snapToGrid w:val="0"/>
        <w:ind w:left="720"/>
        <w:jc w:val="both"/>
      </w:pPr>
      <w:r>
        <w:rPr>
          <w:rFonts w:ascii="標楷體" w:eastAsia="標楷體" w:hAnsi="標楷體"/>
          <w:color w:val="000000"/>
        </w:rPr>
        <w:t>8.使用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後，以前嘴唇乾燥，龜裂的症狀是否有改善？</w:t>
      </w:r>
    </w:p>
    <w:p w14:paraId="29ADC14B"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09DD209B" w14:textId="77777777" w:rsidR="00BD776B" w:rsidRDefault="00DF0C24">
      <w:pPr>
        <w:snapToGrid w:val="0"/>
        <w:ind w:left="720"/>
        <w:jc w:val="both"/>
      </w:pPr>
      <w:r>
        <w:rPr>
          <w:rFonts w:ascii="標楷體" w:eastAsia="標楷體" w:hAnsi="標楷體"/>
          <w:color w:val="000000"/>
        </w:rPr>
        <w:t>9.</w:t>
      </w:r>
      <w:r>
        <w:rPr>
          <w:rFonts w:ascii="標楷體" w:eastAsia="標楷體" w:hAnsi="標楷體" w:cs="標楷體"/>
          <w:color w:val="000000"/>
        </w:rPr>
        <w:t>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後，以前感覺不到味覺的症狀是否有改善？</w:t>
      </w:r>
    </w:p>
    <w:p w14:paraId="0338A34B"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2EDD2494" w14:textId="77777777" w:rsidR="00BD776B" w:rsidRDefault="00DF0C24">
      <w:pPr>
        <w:snapToGrid w:val="0"/>
        <w:ind w:left="1080" w:hanging="360"/>
        <w:jc w:val="both"/>
      </w:pPr>
      <w:r>
        <w:rPr>
          <w:rFonts w:ascii="標楷體" w:eastAsia="標楷體" w:hAnsi="標楷體"/>
          <w:color w:val="000000"/>
        </w:rPr>
        <w:t>10.</w:t>
      </w:r>
      <w:r>
        <w:rPr>
          <w:rFonts w:ascii="標楷體" w:eastAsia="標楷體" w:hAnsi="標楷體" w:cs="標楷體"/>
          <w:color w:val="000000"/>
        </w:rPr>
        <w:t>使用</w:t>
      </w:r>
      <w:r>
        <w:rPr>
          <w:rFonts w:ascii="標楷體" w:eastAsia="標楷體" w:hAnsi="標楷體"/>
          <w:color w:val="000000"/>
          <w:u w:val="single"/>
        </w:rPr>
        <w:t>pilocarpinehydrochloride</w:t>
      </w:r>
      <w:r>
        <w:rPr>
          <w:rFonts w:ascii="標楷體" w:eastAsia="標楷體" w:hAnsi="標楷體" w:cs="標楷體"/>
          <w:color w:val="000000"/>
          <w:u w:val="single"/>
        </w:rPr>
        <w:t>口服劑型</w:t>
      </w:r>
      <w:r>
        <w:rPr>
          <w:rFonts w:ascii="標楷體" w:eastAsia="標楷體" w:hAnsi="標楷體" w:cs="標楷體"/>
          <w:color w:val="000000"/>
        </w:rPr>
        <w:t>後，以前聲音沙啞或改變的情形是否有改善？</w:t>
      </w:r>
    </w:p>
    <w:p w14:paraId="74D0FB4F"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104609BA" w14:textId="77777777" w:rsidR="00BD776B" w:rsidRDefault="00DF0C24">
      <w:pPr>
        <w:snapToGrid w:val="0"/>
        <w:jc w:val="both"/>
      </w:pPr>
      <w:r>
        <w:rPr>
          <w:rFonts w:ascii="標楷體" w:eastAsia="標楷體" w:hAnsi="標楷體" w:cs="標楷體"/>
          <w:color w:val="000000"/>
        </w:rPr>
        <w:t>勾選完後，請交由醫師評量你口乾的症狀</w:t>
      </w:r>
    </w:p>
    <w:p w14:paraId="69EFDA24" w14:textId="77777777" w:rsidR="00BD776B" w:rsidRDefault="00DF0C24">
      <w:pPr>
        <w:snapToGrid w:val="0"/>
        <w:ind w:left="7680" w:hanging="7680"/>
        <w:jc w:val="both"/>
      </w:pPr>
      <w:r>
        <w:rPr>
          <w:rFonts w:ascii="標楷體" w:eastAsia="標楷體" w:hAnsi="標楷體" w:cs="標楷體"/>
          <w:b/>
          <w:bCs/>
          <w:color w:val="000000"/>
        </w:rPr>
        <w:t>總分：□繼續服用</w:t>
      </w:r>
      <w:r>
        <w:rPr>
          <w:rFonts w:ascii="標楷體" w:eastAsia="標楷體" w:hAnsi="標楷體"/>
          <w:b/>
          <w:bCs/>
          <w:color w:val="000000"/>
          <w:u w:val="single"/>
        </w:rPr>
        <w:t>pilocarpinehydrochloride</w:t>
      </w:r>
      <w:r>
        <w:rPr>
          <w:rFonts w:ascii="標楷體" w:eastAsia="標楷體" w:hAnsi="標楷體" w:cs="標楷體"/>
          <w:b/>
          <w:bCs/>
          <w:color w:val="000000"/>
          <w:u w:val="single"/>
        </w:rPr>
        <w:t>口服劑型</w:t>
      </w:r>
    </w:p>
    <w:p w14:paraId="31909269" w14:textId="77777777" w:rsidR="00BD776B" w:rsidRDefault="00DF0C24">
      <w:pPr>
        <w:tabs>
          <w:tab w:val="left" w:pos="2520"/>
        </w:tabs>
        <w:snapToGrid w:val="0"/>
        <w:ind w:left="2880"/>
        <w:jc w:val="both"/>
      </w:pPr>
      <w:r>
        <w:rPr>
          <w:rFonts w:ascii="標楷體" w:eastAsia="標楷體" w:hAnsi="標楷體" w:cs="標楷體"/>
          <w:b/>
          <w:bCs/>
          <w:color w:val="000000"/>
        </w:rPr>
        <w:t>□不建議服用</w:t>
      </w:r>
      <w:r>
        <w:rPr>
          <w:rFonts w:ascii="標楷體" w:eastAsia="標楷體" w:hAnsi="標楷體"/>
          <w:b/>
          <w:bCs/>
          <w:color w:val="000000"/>
          <w:u w:val="single"/>
        </w:rPr>
        <w:t>pilocarpinehydrochloride</w:t>
      </w:r>
      <w:r>
        <w:rPr>
          <w:rFonts w:ascii="標楷體" w:eastAsia="標楷體" w:hAnsi="標楷體" w:cs="標楷體"/>
          <w:b/>
          <w:bCs/>
          <w:color w:val="000000"/>
          <w:u w:val="single"/>
        </w:rPr>
        <w:t>口服劑型</w:t>
      </w:r>
    </w:p>
    <w:p w14:paraId="124D9F3D" w14:textId="77777777" w:rsidR="00BD776B" w:rsidRDefault="00DF0C24">
      <w:pPr>
        <w:tabs>
          <w:tab w:val="left" w:pos="2520"/>
        </w:tabs>
        <w:snapToGrid w:val="0"/>
        <w:ind w:left="2880" w:firstLine="4584"/>
        <w:jc w:val="both"/>
      </w:pPr>
      <w:r>
        <w:rPr>
          <w:rFonts w:ascii="標楷體" w:eastAsia="標楷體" w:hAnsi="標楷體" w:cs="標楷體"/>
          <w:b/>
          <w:bCs/>
          <w:color w:val="000000"/>
        </w:rPr>
        <w:t>醫師簽章：</w:t>
      </w:r>
    </w:p>
    <w:p w14:paraId="46E29983" w14:textId="77777777" w:rsidR="00BD776B" w:rsidRDefault="00DF0C24">
      <w:pPr>
        <w:snapToGrid w:val="0"/>
        <w:jc w:val="both"/>
      </w:pPr>
      <w:r>
        <w:rPr>
          <w:rFonts w:ascii="標楷體" w:eastAsia="標楷體" w:hAnsi="標楷體" w:cs="標楷體"/>
          <w:b/>
          <w:bCs/>
          <w:color w:val="000000"/>
        </w:rPr>
        <w:t>日期：</w:t>
      </w:r>
    </w:p>
    <w:p w14:paraId="7E2812D3" w14:textId="77777777" w:rsidR="00BD776B" w:rsidRDefault="00DF0C24">
      <w:pPr>
        <w:snapToGrid w:val="0"/>
        <w:ind w:left="1200" w:hanging="1200"/>
        <w:jc w:val="both"/>
      </w:pPr>
      <w:r>
        <w:rPr>
          <w:rFonts w:ascii="標楷體" w:eastAsia="標楷體" w:hAnsi="標楷體"/>
          <w:color w:val="000000"/>
          <w:sz w:val="20"/>
          <w:szCs w:val="20"/>
        </w:rPr>
        <w:t>附註：總分大於十分（含）以上者，証明病人服用</w:t>
      </w:r>
      <w:r>
        <w:rPr>
          <w:rFonts w:ascii="標楷體" w:eastAsia="標楷體" w:hAnsi="標楷體"/>
          <w:color w:val="000000"/>
          <w:sz w:val="20"/>
          <w:szCs w:val="20"/>
          <w:u w:val="single"/>
        </w:rPr>
        <w:t>pilocarpinehydrochloride口服劑型</w:t>
      </w:r>
      <w:r>
        <w:rPr>
          <w:rFonts w:ascii="標楷體" w:eastAsia="標楷體" w:hAnsi="標楷體"/>
          <w:color w:val="000000"/>
          <w:sz w:val="20"/>
          <w:szCs w:val="20"/>
        </w:rPr>
        <w:t>的確有改善，可以繼續服用。若低於10分，則不建議服用。</w:t>
      </w:r>
      <w:r>
        <w:rPr>
          <w:noProof/>
        </w:rPr>
        <mc:AlternateContent>
          <mc:Choice Requires="wps">
            <w:drawing>
              <wp:anchor distT="0" distB="0" distL="114300" distR="114300" simplePos="0" relativeHeight="251642880" behindDoc="0" locked="0" layoutInCell="1" allowOverlap="1" wp14:anchorId="0FB4D766" wp14:editId="27B82B77">
                <wp:simplePos x="0" y="0"/>
                <wp:positionH relativeFrom="column">
                  <wp:posOffset>5181603</wp:posOffset>
                </wp:positionH>
                <wp:positionV relativeFrom="paragraph">
                  <wp:posOffset>7632697</wp:posOffset>
                </wp:positionV>
                <wp:extent cx="914400" cy="457200"/>
                <wp:effectExtent l="0" t="0" r="0" b="0"/>
                <wp:wrapNone/>
                <wp:docPr id="24" name="Rectangle 48"/>
                <wp:cNvGraphicFramePr/>
                <a:graphic xmlns:a="http://schemas.openxmlformats.org/drawingml/2006/main">
                  <a:graphicData uri="http://schemas.microsoft.com/office/word/2010/wordprocessingShape">
                    <wps:wsp>
                      <wps:cNvSpPr/>
                      <wps:spPr>
                        <a:xfrm>
                          <a:off x="0" y="0"/>
                          <a:ext cx="914400" cy="457200"/>
                        </a:xfrm>
                        <a:prstGeom prst="rect">
                          <a:avLst/>
                        </a:prstGeom>
                        <a:solidFill>
                          <a:srgbClr val="FFFFFF"/>
                        </a:solidFill>
                        <a:ln cap="flat">
                          <a:noFill/>
                          <a:prstDash val="solid"/>
                        </a:ln>
                      </wps:spPr>
                      <wps:bodyPr lIns="0" tIns="0" rIns="0" bIns="0"/>
                    </wps:wsp>
                  </a:graphicData>
                </a:graphic>
              </wp:anchor>
            </w:drawing>
          </mc:Choice>
          <mc:Fallback>
            <w:pict>
              <v:rect w14:anchorId="69B016D0" id="Rectangle 48" o:spid="_x0000_s1026" style="position:absolute;margin-left:408pt;margin-top:601pt;width:1in;height:3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" stroked="f">
                <v:textbox inset="0,0,0,0"/>
              </v:rect>
            </w:pict>
          </mc:Fallback>
        </mc:AlternateContent>
      </w:r>
    </w:p>
    <w:p w14:paraId="6267197E" w14:textId="77777777" w:rsidR="00BD776B" w:rsidRDefault="00DF0C24">
      <w:pPr>
        <w:pageBreakBefore/>
        <w:snapToGrid w:val="0"/>
        <w:spacing w:line="380" w:lineRule="exact"/>
        <w:ind w:right="6"/>
        <w:jc w:val="center"/>
      </w:pPr>
      <w:r>
        <w:rPr>
          <w:rFonts w:ascii="標楷體" w:eastAsia="標楷體" w:hAnsi="標楷體"/>
          <w:color w:val="000000"/>
        </w:rPr>
        <w:lastRenderedPageBreak/>
        <w:t>附表二十全民健康保險使用</w:t>
      </w:r>
      <w:r>
        <w:rPr>
          <w:rFonts w:ascii="標楷體" w:eastAsia="標楷體" w:hAnsi="標楷體"/>
          <w:color w:val="000000"/>
          <w:kern w:val="0"/>
        </w:rPr>
        <w:t>Cevimelinehydrochloride</w:t>
      </w:r>
      <w:r>
        <w:rPr>
          <w:rFonts w:ascii="標楷體" w:eastAsia="標楷體" w:hAnsi="標楷體"/>
          <w:color w:val="000000"/>
        </w:rPr>
        <w:t>治療後，</w:t>
      </w:r>
    </w:p>
    <w:p w14:paraId="2849E5E5" w14:textId="77777777" w:rsidR="00BD776B" w:rsidRDefault="00DF0C24">
      <w:pPr>
        <w:autoSpaceDE w:val="0"/>
        <w:snapToGrid w:val="0"/>
        <w:jc w:val="center"/>
      </w:pPr>
      <w:r>
        <w:rPr>
          <w:rFonts w:ascii="標楷體" w:eastAsia="標楷體" w:hAnsi="標楷體"/>
          <w:color w:val="000000"/>
        </w:rPr>
        <w:t>症狀改善評量表</w:t>
      </w:r>
    </w:p>
    <w:p w14:paraId="360543FB" w14:textId="77777777" w:rsidR="00BD776B" w:rsidRDefault="00DF0C24">
      <w:pPr>
        <w:snapToGrid w:val="0"/>
        <w:ind w:firstLine="720"/>
        <w:jc w:val="both"/>
      </w:pPr>
      <w:r>
        <w:rPr>
          <w:rFonts w:ascii="標楷體" w:eastAsia="標楷體" w:hAnsi="標楷體" w:cs="標楷體"/>
          <w:color w:val="000000"/>
        </w:rPr>
        <w:t>病人姓名：病歷號碼：</w:t>
      </w:r>
    </w:p>
    <w:p w14:paraId="030DBA19" w14:textId="77777777" w:rsidR="00BD776B" w:rsidRDefault="00DF0C24">
      <w:pPr>
        <w:snapToGrid w:val="0"/>
        <w:ind w:left="958"/>
        <w:jc w:val="both"/>
      </w:pPr>
      <w:r>
        <w:rPr>
          <w:rFonts w:ascii="標楷體" w:eastAsia="標楷體" w:hAnsi="標楷體" w:cs="標楷體"/>
          <w:color w:val="000000"/>
        </w:rPr>
        <w:t>（請依自覺程度給分）：</w:t>
      </w:r>
    </w:p>
    <w:p w14:paraId="40A8F041" w14:textId="77777777" w:rsidR="00BD776B" w:rsidRDefault="00DF0C24">
      <w:pPr>
        <w:snapToGrid w:val="0"/>
        <w:ind w:left="720"/>
        <w:jc w:val="both"/>
      </w:pPr>
      <w:r>
        <w:rPr>
          <w:rFonts w:ascii="標楷體" w:eastAsia="標楷體" w:hAnsi="標楷體"/>
          <w:color w:val="000000"/>
        </w:rPr>
        <w:t>1.</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後，以前口腔乾燥的情形是否有改善？</w:t>
      </w:r>
    </w:p>
    <w:p w14:paraId="2C15B6AC"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580DB2C9" w14:textId="77777777" w:rsidR="00BD776B" w:rsidRDefault="00DF0C24">
      <w:pPr>
        <w:snapToGrid w:val="0"/>
        <w:ind w:left="924" w:hanging="209"/>
        <w:jc w:val="both"/>
      </w:pPr>
      <w:r>
        <w:rPr>
          <w:rFonts w:ascii="標楷體" w:eastAsia="標楷體" w:hAnsi="標楷體"/>
          <w:color w:val="000000"/>
        </w:rPr>
        <w:t>2.</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後，以前晚上睡覺時，需要起來喝水的次數是否有改善？</w:t>
      </w:r>
    </w:p>
    <w:p w14:paraId="20909BBE"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66B38FE1" w14:textId="77777777" w:rsidR="00BD776B" w:rsidRDefault="00DF0C24">
      <w:pPr>
        <w:snapToGrid w:val="0"/>
        <w:ind w:left="720"/>
        <w:jc w:val="both"/>
      </w:pPr>
      <w:r>
        <w:rPr>
          <w:rFonts w:ascii="標楷體" w:eastAsia="標楷體" w:hAnsi="標楷體"/>
          <w:color w:val="000000"/>
        </w:rPr>
        <w:t>3.</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後，以前隨身準備水的習慣是否有改善？</w:t>
      </w:r>
    </w:p>
    <w:p w14:paraId="11A38C00" w14:textId="77777777" w:rsidR="00BD776B" w:rsidRDefault="00DF0C24" w:rsidP="008A7063">
      <w:pPr>
        <w:numPr>
          <w:ilvl w:val="0"/>
          <w:numId w:val="80"/>
        </w:numPr>
        <w:snapToGrid w:val="0"/>
        <w:jc w:val="both"/>
      </w:pPr>
      <w:r>
        <w:rPr>
          <w:rFonts w:ascii="標楷體" w:eastAsia="標楷體" w:hAnsi="標楷體" w:cs="標楷體"/>
          <w:color w:val="000000"/>
        </w:rPr>
        <w:t>完全改善（3）□明顯改善（2）□輕微改善（1）□沒有改善（0）□更加嚴重（-1）</w:t>
      </w:r>
    </w:p>
    <w:p w14:paraId="4A3E86A2" w14:textId="77777777" w:rsidR="00BD776B" w:rsidRDefault="00DF0C24">
      <w:pPr>
        <w:snapToGrid w:val="0"/>
        <w:ind w:left="720"/>
        <w:jc w:val="both"/>
      </w:pPr>
      <w:r>
        <w:rPr>
          <w:rFonts w:ascii="標楷體" w:eastAsia="標楷體" w:hAnsi="標楷體"/>
          <w:color w:val="000000"/>
        </w:rPr>
        <w:t>4.</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後，以前口渴的情況是否有改善？</w:t>
      </w:r>
    </w:p>
    <w:p w14:paraId="5BBFDC40" w14:textId="77777777" w:rsidR="00BD776B" w:rsidRDefault="00DF0C24" w:rsidP="008A7063">
      <w:pPr>
        <w:numPr>
          <w:ilvl w:val="0"/>
          <w:numId w:val="80"/>
        </w:numPr>
        <w:snapToGrid w:val="0"/>
        <w:jc w:val="both"/>
      </w:pPr>
      <w:r>
        <w:rPr>
          <w:rFonts w:ascii="標楷體" w:eastAsia="標楷體" w:hAnsi="標楷體" w:cs="標楷體"/>
          <w:color w:val="000000"/>
        </w:rPr>
        <w:t>完全改善（3）□明顯改善（2）□輕微改善（1）□沒有改善（0）□更加嚴重（-1）</w:t>
      </w:r>
    </w:p>
    <w:p w14:paraId="6A717690" w14:textId="77777777" w:rsidR="00BD776B" w:rsidRDefault="00DF0C24">
      <w:pPr>
        <w:snapToGrid w:val="0"/>
        <w:ind w:left="720"/>
        <w:jc w:val="both"/>
      </w:pPr>
      <w:r>
        <w:rPr>
          <w:rFonts w:ascii="標楷體" w:eastAsia="標楷體" w:hAnsi="標楷體"/>
          <w:color w:val="000000"/>
        </w:rPr>
        <w:t>5.</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後，以前吞東西困難的情況是否有改善？</w:t>
      </w:r>
    </w:p>
    <w:p w14:paraId="1DDE610F"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773E41C1" w14:textId="77777777" w:rsidR="00BD776B" w:rsidRDefault="00DF0C24">
      <w:pPr>
        <w:snapToGrid w:val="0"/>
        <w:ind w:left="720"/>
        <w:jc w:val="both"/>
      </w:pPr>
      <w:r>
        <w:rPr>
          <w:rFonts w:ascii="標楷體" w:eastAsia="標楷體" w:hAnsi="標楷體"/>
          <w:color w:val="000000"/>
        </w:rPr>
        <w:t>6.</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後，以前說話困難的情況是否有改善？</w:t>
      </w:r>
    </w:p>
    <w:p w14:paraId="2A6D89FE"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475398EF" w14:textId="77777777" w:rsidR="00BD776B" w:rsidRDefault="00DF0C24">
      <w:pPr>
        <w:snapToGrid w:val="0"/>
        <w:ind w:left="720"/>
        <w:jc w:val="both"/>
      </w:pPr>
      <w:r>
        <w:rPr>
          <w:rFonts w:ascii="標楷體" w:eastAsia="標楷體" w:hAnsi="標楷體"/>
          <w:color w:val="000000"/>
        </w:rPr>
        <w:t>7.</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後，以前舌頭燒灼的感覺是否有改善？</w:t>
      </w:r>
    </w:p>
    <w:p w14:paraId="6D1EE37C"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550A0402" w14:textId="77777777" w:rsidR="00BD776B" w:rsidRDefault="00DF0C24">
      <w:pPr>
        <w:snapToGrid w:val="0"/>
        <w:ind w:left="720"/>
        <w:jc w:val="both"/>
      </w:pPr>
      <w:r>
        <w:rPr>
          <w:rFonts w:ascii="標楷體" w:eastAsia="標楷體" w:hAnsi="標楷體"/>
          <w:color w:val="000000"/>
        </w:rPr>
        <w:t>8.</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後，以前嘴唇乾燥，龜裂的症狀是否有改善？</w:t>
      </w:r>
    </w:p>
    <w:p w14:paraId="7C489338"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0744CB06" w14:textId="77777777" w:rsidR="00BD776B" w:rsidRDefault="00DF0C24">
      <w:pPr>
        <w:snapToGrid w:val="0"/>
        <w:ind w:left="720"/>
        <w:jc w:val="both"/>
      </w:pPr>
      <w:r>
        <w:rPr>
          <w:rFonts w:ascii="標楷體" w:eastAsia="標楷體" w:hAnsi="標楷體"/>
          <w:color w:val="000000"/>
        </w:rPr>
        <w:t>9.</w:t>
      </w:r>
      <w:r>
        <w:rPr>
          <w:rFonts w:ascii="標楷體" w:eastAsia="標楷體" w:hAnsi="標楷體" w:cs="標楷體"/>
          <w:color w:val="000000"/>
        </w:rPr>
        <w:t>使用</w:t>
      </w:r>
      <w:r>
        <w:rPr>
          <w:rFonts w:ascii="標楷體" w:eastAsia="標楷體" w:hAnsi="標楷體"/>
          <w:color w:val="000000"/>
          <w:kern w:val="0"/>
          <w:u w:val="single"/>
        </w:rPr>
        <w:t>cevimelinehydrochloride</w:t>
      </w:r>
      <w:r>
        <w:rPr>
          <w:rFonts w:ascii="標楷體" w:eastAsia="標楷體" w:hAnsi="標楷體" w:cs="標楷體"/>
          <w:color w:val="000000"/>
        </w:rPr>
        <w:t>後，以前感覺不到味覺的症狀是否有改善？</w:t>
      </w:r>
    </w:p>
    <w:p w14:paraId="752D6C6F"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6AA5D48F" w14:textId="77777777" w:rsidR="00BD776B" w:rsidRDefault="00DF0C24">
      <w:pPr>
        <w:snapToGrid w:val="0"/>
        <w:ind w:left="720"/>
        <w:jc w:val="both"/>
      </w:pPr>
      <w:r>
        <w:rPr>
          <w:rFonts w:ascii="標楷體" w:eastAsia="標楷體" w:hAnsi="標楷體"/>
          <w:color w:val="000000"/>
        </w:rPr>
        <w:t>10.使</w:t>
      </w:r>
      <w:r>
        <w:rPr>
          <w:rFonts w:ascii="標楷體" w:eastAsia="標楷體" w:hAnsi="標楷體" w:cs="標楷體"/>
          <w:color w:val="000000"/>
        </w:rPr>
        <w:t>用</w:t>
      </w:r>
      <w:r>
        <w:rPr>
          <w:rFonts w:ascii="標楷體" w:eastAsia="標楷體" w:hAnsi="標楷體"/>
          <w:color w:val="000000"/>
          <w:kern w:val="0"/>
          <w:u w:val="single"/>
        </w:rPr>
        <w:t>cevimelinehydrochloride</w:t>
      </w:r>
      <w:r>
        <w:rPr>
          <w:rFonts w:ascii="標楷體" w:eastAsia="標楷體" w:hAnsi="標楷體" w:cs="標楷體"/>
          <w:color w:val="000000"/>
        </w:rPr>
        <w:t>後，以前聲音沙啞或改變的情形是否有改善？</w:t>
      </w:r>
    </w:p>
    <w:p w14:paraId="76D86410" w14:textId="77777777" w:rsidR="00BD776B" w:rsidRDefault="00DF0C24" w:rsidP="008A7063">
      <w:pPr>
        <w:numPr>
          <w:ilvl w:val="0"/>
          <w:numId w:val="80"/>
        </w:numPr>
        <w:snapToGrid w:val="0"/>
        <w:jc w:val="both"/>
      </w:pPr>
      <w:r>
        <w:rPr>
          <w:rFonts w:ascii="標楷體" w:eastAsia="標楷體" w:hAnsi="標楷體" w:cs="標楷體"/>
          <w:color w:val="000000"/>
        </w:rPr>
        <w:t>完全改善</w:t>
      </w:r>
      <w:r>
        <w:rPr>
          <w:rFonts w:ascii="標楷體" w:eastAsia="標楷體" w:hAnsi="標楷體"/>
          <w:color w:val="000000"/>
        </w:rPr>
        <w:t>（3）</w:t>
      </w:r>
      <w:r>
        <w:rPr>
          <w:rFonts w:ascii="標楷體" w:eastAsia="標楷體" w:hAnsi="標楷體" w:cs="標楷體"/>
          <w:color w:val="000000"/>
        </w:rPr>
        <w:t>□明顯改善</w:t>
      </w:r>
      <w:r>
        <w:rPr>
          <w:rFonts w:ascii="標楷體" w:eastAsia="標楷體" w:hAnsi="標楷體"/>
          <w:color w:val="000000"/>
        </w:rPr>
        <w:t>（2）</w:t>
      </w:r>
      <w:r>
        <w:rPr>
          <w:rFonts w:ascii="標楷體" w:eastAsia="標楷體" w:hAnsi="標楷體" w:cs="標楷體"/>
          <w:color w:val="000000"/>
        </w:rPr>
        <w:t>□輕微改善</w:t>
      </w:r>
      <w:r>
        <w:rPr>
          <w:rFonts w:ascii="標楷體" w:eastAsia="標楷體" w:hAnsi="標楷體"/>
          <w:color w:val="000000"/>
        </w:rPr>
        <w:t>（1）</w:t>
      </w:r>
      <w:r>
        <w:rPr>
          <w:rFonts w:ascii="標楷體" w:eastAsia="標楷體" w:hAnsi="標楷體" w:cs="標楷體"/>
          <w:color w:val="000000"/>
        </w:rPr>
        <w:t>□沒有改善</w:t>
      </w:r>
      <w:r>
        <w:rPr>
          <w:rFonts w:ascii="標楷體" w:eastAsia="標楷體" w:hAnsi="標楷體"/>
          <w:color w:val="000000"/>
        </w:rPr>
        <w:t>（0）</w:t>
      </w:r>
      <w:r>
        <w:rPr>
          <w:rFonts w:ascii="標楷體" w:eastAsia="標楷體" w:hAnsi="標楷體" w:cs="標楷體"/>
          <w:color w:val="000000"/>
        </w:rPr>
        <w:t>□更加嚴重</w:t>
      </w:r>
      <w:r>
        <w:rPr>
          <w:rFonts w:ascii="標楷體" w:eastAsia="標楷體" w:hAnsi="標楷體"/>
          <w:color w:val="000000"/>
        </w:rPr>
        <w:t>（-1）</w:t>
      </w:r>
    </w:p>
    <w:p w14:paraId="6683AC27" w14:textId="77777777" w:rsidR="00BD776B" w:rsidRDefault="00DF0C24">
      <w:pPr>
        <w:snapToGrid w:val="0"/>
        <w:jc w:val="both"/>
      </w:pPr>
      <w:r>
        <w:rPr>
          <w:rFonts w:ascii="標楷體" w:eastAsia="標楷體" w:hAnsi="標楷體" w:cs="標楷體"/>
          <w:color w:val="000000"/>
        </w:rPr>
        <w:t>勾選完後，請交由醫師評量你口乾的症狀</w:t>
      </w:r>
    </w:p>
    <w:p w14:paraId="64703533" w14:textId="77777777" w:rsidR="00BD776B" w:rsidRDefault="00DF0C24">
      <w:pPr>
        <w:snapToGrid w:val="0"/>
        <w:ind w:left="7680" w:hanging="7680"/>
        <w:jc w:val="both"/>
      </w:pPr>
      <w:r>
        <w:rPr>
          <w:rFonts w:ascii="標楷體" w:eastAsia="標楷體" w:hAnsi="標楷體" w:cs="標楷體"/>
          <w:b/>
          <w:bCs/>
          <w:color w:val="000000"/>
        </w:rPr>
        <w:t>總分：□繼續服用</w:t>
      </w:r>
      <w:r>
        <w:rPr>
          <w:rFonts w:ascii="標楷體" w:eastAsia="標楷體" w:hAnsi="標楷體"/>
          <w:b/>
          <w:color w:val="000000"/>
          <w:kern w:val="0"/>
          <w:u w:val="single"/>
        </w:rPr>
        <w:t>cevimelinehydrochloride</w:t>
      </w:r>
    </w:p>
    <w:p w14:paraId="3FB5C7FC" w14:textId="77777777" w:rsidR="00BD776B" w:rsidRDefault="00DF0C24">
      <w:pPr>
        <w:tabs>
          <w:tab w:val="left" w:pos="2520"/>
        </w:tabs>
        <w:snapToGrid w:val="0"/>
        <w:ind w:left="2880"/>
        <w:jc w:val="both"/>
      </w:pPr>
      <w:r>
        <w:rPr>
          <w:rFonts w:ascii="標楷體" w:eastAsia="標楷體" w:hAnsi="標楷體" w:cs="標楷體"/>
          <w:b/>
          <w:bCs/>
          <w:color w:val="000000"/>
        </w:rPr>
        <w:t>□不建議服用</w:t>
      </w:r>
      <w:r>
        <w:rPr>
          <w:rFonts w:ascii="標楷體" w:eastAsia="標楷體" w:hAnsi="標楷體"/>
          <w:b/>
          <w:color w:val="000000"/>
          <w:kern w:val="0"/>
          <w:u w:val="single"/>
        </w:rPr>
        <w:t>cevimelinehydrochloride</w:t>
      </w:r>
    </w:p>
    <w:p w14:paraId="3BC5DBF3" w14:textId="77777777" w:rsidR="00BD776B" w:rsidRDefault="00DF0C24">
      <w:pPr>
        <w:tabs>
          <w:tab w:val="left" w:pos="2520"/>
        </w:tabs>
        <w:snapToGrid w:val="0"/>
        <w:ind w:left="2880" w:firstLine="4584"/>
        <w:jc w:val="both"/>
      </w:pPr>
      <w:r>
        <w:rPr>
          <w:rFonts w:ascii="標楷體" w:eastAsia="標楷體" w:hAnsi="標楷體" w:cs="標楷體"/>
          <w:b/>
          <w:bCs/>
          <w:color w:val="000000"/>
        </w:rPr>
        <w:t>醫師簽章：</w:t>
      </w:r>
    </w:p>
    <w:p w14:paraId="3093C51B" w14:textId="77777777" w:rsidR="00BD776B" w:rsidRDefault="00DF0C24">
      <w:pPr>
        <w:snapToGrid w:val="0"/>
        <w:jc w:val="both"/>
      </w:pPr>
      <w:r>
        <w:rPr>
          <w:rFonts w:ascii="標楷體" w:eastAsia="標楷體" w:hAnsi="標楷體" w:cs="標楷體"/>
          <w:b/>
          <w:bCs/>
          <w:color w:val="000000"/>
        </w:rPr>
        <w:t>日期：</w:t>
      </w:r>
    </w:p>
    <w:p w14:paraId="2FFD6FC1" w14:textId="77777777" w:rsidR="00BD776B" w:rsidRDefault="00DF0C24">
      <w:pPr>
        <w:snapToGrid w:val="0"/>
        <w:ind w:left="1162" w:hanging="1162"/>
      </w:pPr>
      <w:r>
        <w:rPr>
          <w:rFonts w:ascii="標楷體" w:eastAsia="標楷體" w:hAnsi="標楷體"/>
          <w:color w:val="000000"/>
          <w:sz w:val="20"/>
          <w:szCs w:val="20"/>
        </w:rPr>
        <w:t>附註：總分大於十分（含）以上者，証明病人服用</w:t>
      </w:r>
      <w:r>
        <w:rPr>
          <w:rFonts w:ascii="標楷體" w:eastAsia="標楷體" w:hAnsi="標楷體"/>
          <w:color w:val="000000"/>
          <w:kern w:val="0"/>
          <w:u w:val="single"/>
        </w:rPr>
        <w:t>cevimelinehydrochloride</w:t>
      </w:r>
      <w:r>
        <w:rPr>
          <w:rFonts w:ascii="標楷體" w:eastAsia="標楷體" w:hAnsi="標楷體"/>
          <w:color w:val="000000"/>
          <w:sz w:val="20"/>
          <w:szCs w:val="20"/>
        </w:rPr>
        <w:t>的確有改善，可以繼續服用。若低於10分，則不建議服用。</w:t>
      </w:r>
    </w:p>
    <w:p w14:paraId="28B51BE0" w14:textId="77777777" w:rsidR="00BD776B" w:rsidRDefault="00DF0C24">
      <w:pPr>
        <w:pageBreakBefore/>
        <w:snapToGrid w:val="0"/>
        <w:spacing w:line="380" w:lineRule="exact"/>
        <w:ind w:left="-130" w:right="-284"/>
        <w:jc w:val="center"/>
        <w:rPr>
          <w:rFonts w:ascii="標楷體" w:eastAsia="標楷體" w:hAnsi="標楷體"/>
        </w:rPr>
      </w:pPr>
      <w:r>
        <w:rPr>
          <w:rFonts w:ascii="標楷體" w:eastAsia="標楷體" w:hAnsi="標楷體"/>
        </w:rPr>
        <w:lastRenderedPageBreak/>
        <w:t>附表二十一之一全民健康保險僵直性脊椎炎使用生物製劑申請表</w:t>
      </w:r>
    </w:p>
    <w:p w14:paraId="46FB3545" w14:textId="77777777" w:rsidR="00BD776B" w:rsidRDefault="00BD776B">
      <w:pPr>
        <w:snapToGrid w:val="0"/>
        <w:spacing w:line="380" w:lineRule="exact"/>
        <w:ind w:left="-130" w:right="-284"/>
        <w:jc w:val="center"/>
        <w:rPr>
          <w:rFonts w:ascii="標楷體" w:eastAsia="標楷體" w:hAnsi="標楷體"/>
        </w:rPr>
      </w:pPr>
    </w:p>
    <w:tbl>
      <w:tblPr>
        <w:tblW w:w="9575" w:type="dxa"/>
        <w:tblInd w:w="309" w:type="dxa"/>
        <w:tblLayout w:type="fixed"/>
        <w:tblCellMar>
          <w:left w:w="10" w:type="dxa"/>
          <w:right w:w="10" w:type="dxa"/>
        </w:tblCellMar>
        <w:tblLook w:val="0000" w:firstRow="0" w:lastRow="0" w:firstColumn="0" w:lastColumn="0" w:noHBand="0" w:noVBand="0"/>
      </w:tblPr>
      <w:tblGrid>
        <w:gridCol w:w="1477"/>
        <w:gridCol w:w="1547"/>
        <w:gridCol w:w="1408"/>
        <w:gridCol w:w="1601"/>
        <w:gridCol w:w="1050"/>
        <w:gridCol w:w="2492"/>
      </w:tblGrid>
      <w:tr w:rsidR="00BD776B" w14:paraId="43F85811" w14:textId="77777777">
        <w:trPr>
          <w:cantSplit/>
          <w:trHeight w:val="50"/>
        </w:trPr>
        <w:tc>
          <w:tcPr>
            <w:tcW w:w="1477"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E376A30" w14:textId="77777777" w:rsidR="00BD776B" w:rsidRDefault="00DF0C24">
            <w:pPr>
              <w:snapToGrid w:val="0"/>
              <w:spacing w:line="240" w:lineRule="exact"/>
              <w:rPr>
                <w:rFonts w:ascii="標楷體" w:eastAsia="標楷體" w:hAnsi="標楷體"/>
              </w:rPr>
            </w:pPr>
            <w:r>
              <w:rPr>
                <w:rFonts w:ascii="標楷體" w:eastAsia="標楷體" w:hAnsi="標楷體"/>
              </w:rPr>
              <w:t>醫院代號</w:t>
            </w:r>
          </w:p>
        </w:tc>
        <w:tc>
          <w:tcPr>
            <w:tcW w:w="154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EF19047" w14:textId="77777777" w:rsidR="00BD776B" w:rsidRDefault="00BD776B">
            <w:pPr>
              <w:snapToGrid w:val="0"/>
              <w:spacing w:line="240" w:lineRule="exact"/>
              <w:rPr>
                <w:rFonts w:ascii="標楷體" w:eastAsia="標楷體" w:hAnsi="標楷體"/>
              </w:rPr>
            </w:pPr>
          </w:p>
        </w:tc>
        <w:tc>
          <w:tcPr>
            <w:tcW w:w="140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438A94B" w14:textId="77777777" w:rsidR="00BD776B" w:rsidRDefault="00DF0C24">
            <w:pPr>
              <w:snapToGrid w:val="0"/>
              <w:spacing w:line="240" w:lineRule="exact"/>
              <w:rPr>
                <w:rFonts w:ascii="標楷體" w:eastAsia="標楷體" w:hAnsi="標楷體"/>
              </w:rPr>
            </w:pPr>
            <w:r>
              <w:rPr>
                <w:rFonts w:ascii="標楷體" w:eastAsia="標楷體" w:hAnsi="標楷體"/>
              </w:rPr>
              <w:t>醫院名稱</w:t>
            </w:r>
          </w:p>
        </w:tc>
        <w:tc>
          <w:tcPr>
            <w:tcW w:w="16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CC3703E" w14:textId="77777777" w:rsidR="00BD776B" w:rsidRDefault="00BD776B">
            <w:pPr>
              <w:snapToGrid w:val="0"/>
              <w:spacing w:line="240" w:lineRule="exact"/>
              <w:rPr>
                <w:rFonts w:ascii="標楷體" w:eastAsia="標楷體" w:hAnsi="標楷體"/>
              </w:rPr>
            </w:pPr>
          </w:p>
        </w:tc>
        <w:tc>
          <w:tcPr>
            <w:tcW w:w="105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B5FE18" w14:textId="77777777" w:rsidR="00BD776B" w:rsidRDefault="00DF0C24">
            <w:pPr>
              <w:snapToGrid w:val="0"/>
              <w:spacing w:line="240" w:lineRule="exact"/>
              <w:rPr>
                <w:rFonts w:ascii="標楷體" w:eastAsia="標楷體" w:hAnsi="標楷體"/>
              </w:rPr>
            </w:pPr>
            <w:r>
              <w:rPr>
                <w:rFonts w:ascii="標楷體" w:eastAsia="標楷體" w:hAnsi="標楷體"/>
              </w:rPr>
              <w:t>申請日期</w:t>
            </w:r>
          </w:p>
        </w:tc>
        <w:tc>
          <w:tcPr>
            <w:tcW w:w="2492"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0E1DD6D" w14:textId="77777777" w:rsidR="00BD776B" w:rsidRDefault="00BD776B">
            <w:pPr>
              <w:snapToGrid w:val="0"/>
              <w:spacing w:line="240" w:lineRule="exact"/>
              <w:rPr>
                <w:rFonts w:ascii="標楷體" w:eastAsia="標楷體" w:hAnsi="標楷體"/>
              </w:rPr>
            </w:pPr>
          </w:p>
        </w:tc>
      </w:tr>
      <w:tr w:rsidR="00BD776B" w14:paraId="1808CFD1" w14:textId="77777777">
        <w:trPr>
          <w:cantSplit/>
          <w:trHeight w:val="83"/>
        </w:trPr>
        <w:tc>
          <w:tcPr>
            <w:tcW w:w="147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9576A3B" w14:textId="77777777" w:rsidR="00BD776B" w:rsidRDefault="00DF0C24">
            <w:pPr>
              <w:snapToGrid w:val="0"/>
              <w:spacing w:line="240" w:lineRule="exact"/>
              <w:rPr>
                <w:rFonts w:ascii="標楷體" w:eastAsia="標楷體" w:hAnsi="標楷體"/>
              </w:rPr>
            </w:pPr>
            <w:r>
              <w:rPr>
                <w:rFonts w:ascii="標楷體" w:eastAsia="標楷體" w:hAnsi="標楷體"/>
              </w:rPr>
              <w:t>病人姓名</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931C0C" w14:textId="77777777" w:rsidR="00BD776B" w:rsidRDefault="00BD776B">
            <w:pPr>
              <w:snapToGrid w:val="0"/>
              <w:spacing w:line="240" w:lineRule="exact"/>
              <w:rPr>
                <w:rFonts w:ascii="標楷體" w:eastAsia="標楷體" w:hAnsi="標楷體"/>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A7BE31" w14:textId="77777777" w:rsidR="00BD776B" w:rsidRDefault="00DF0C24">
            <w:pPr>
              <w:snapToGrid w:val="0"/>
              <w:spacing w:line="240" w:lineRule="exact"/>
              <w:rPr>
                <w:rFonts w:ascii="標楷體" w:eastAsia="標楷體" w:hAnsi="標楷體"/>
              </w:rPr>
            </w:pPr>
            <w:r>
              <w:rPr>
                <w:rFonts w:ascii="標楷體" w:eastAsia="標楷體" w:hAnsi="標楷體"/>
              </w:rPr>
              <w:t>性別</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3842BB" w14:textId="77777777" w:rsidR="00BD776B" w:rsidRDefault="00BD776B">
            <w:pPr>
              <w:snapToGrid w:val="0"/>
              <w:spacing w:line="240" w:lineRule="exact"/>
              <w:rPr>
                <w:rFonts w:ascii="標楷體" w:eastAsia="標楷體" w:hAnsi="標楷體"/>
              </w:rPr>
            </w:pP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264CD1C" w14:textId="77777777" w:rsidR="00BD776B" w:rsidRDefault="00DF0C24">
            <w:pPr>
              <w:snapToGrid w:val="0"/>
              <w:spacing w:line="240" w:lineRule="exact"/>
              <w:rPr>
                <w:rFonts w:ascii="標楷體" w:eastAsia="標楷體" w:hAnsi="標楷體"/>
              </w:rPr>
            </w:pPr>
            <w:r>
              <w:rPr>
                <w:rFonts w:ascii="標楷體" w:eastAsia="標楷體" w:hAnsi="標楷體"/>
              </w:rPr>
              <w:t>出生日期</w:t>
            </w:r>
          </w:p>
        </w:tc>
        <w:tc>
          <w:tcPr>
            <w:tcW w:w="2492"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01D8875" w14:textId="77777777" w:rsidR="00BD776B" w:rsidRDefault="00BD776B">
            <w:pPr>
              <w:snapToGrid w:val="0"/>
              <w:spacing w:line="240" w:lineRule="exact"/>
              <w:rPr>
                <w:rFonts w:ascii="標楷體" w:eastAsia="標楷體" w:hAnsi="標楷體"/>
              </w:rPr>
            </w:pPr>
          </w:p>
        </w:tc>
      </w:tr>
      <w:tr w:rsidR="00BD776B" w14:paraId="34923E03" w14:textId="77777777">
        <w:trPr>
          <w:cantSplit/>
          <w:trHeight w:val="51"/>
        </w:trPr>
        <w:tc>
          <w:tcPr>
            <w:tcW w:w="147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5193A34" w14:textId="77777777" w:rsidR="00BD776B" w:rsidRDefault="00DF0C24">
            <w:pPr>
              <w:snapToGrid w:val="0"/>
              <w:spacing w:line="240" w:lineRule="exact"/>
              <w:rPr>
                <w:rFonts w:ascii="標楷體" w:eastAsia="標楷體" w:hAnsi="標楷體"/>
              </w:rPr>
            </w:pPr>
            <w:r>
              <w:rPr>
                <w:rFonts w:ascii="標楷體" w:eastAsia="標楷體" w:hAnsi="標楷體"/>
              </w:rPr>
              <w:t>身分證號</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DA95FC" w14:textId="77777777" w:rsidR="00BD776B" w:rsidRDefault="00BD776B">
            <w:pPr>
              <w:snapToGrid w:val="0"/>
              <w:spacing w:line="240" w:lineRule="exact"/>
              <w:rPr>
                <w:rFonts w:ascii="標楷體" w:eastAsia="標楷體" w:hAnsi="標楷體"/>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3B8CE20" w14:textId="77777777" w:rsidR="00BD776B" w:rsidRDefault="00DF0C24">
            <w:pPr>
              <w:snapToGrid w:val="0"/>
              <w:spacing w:line="240" w:lineRule="exact"/>
              <w:rPr>
                <w:rFonts w:ascii="標楷體" w:eastAsia="標楷體" w:hAnsi="標楷體"/>
              </w:rPr>
            </w:pPr>
            <w:r>
              <w:rPr>
                <w:rFonts w:ascii="標楷體" w:eastAsia="標楷體" w:hAnsi="標楷體"/>
              </w:rPr>
              <w:t>病歷號碼</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C8527A" w14:textId="77777777" w:rsidR="00BD776B" w:rsidRDefault="00BD776B">
            <w:pPr>
              <w:snapToGrid w:val="0"/>
              <w:spacing w:line="240" w:lineRule="exact"/>
              <w:rPr>
                <w:rFonts w:ascii="標楷體" w:eastAsia="標楷體" w:hAnsi="標楷體"/>
              </w:rPr>
            </w:pPr>
          </w:p>
        </w:tc>
        <w:tc>
          <w:tcPr>
            <w:tcW w:w="1050"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1710FCA5" w14:textId="77777777" w:rsidR="00BD776B" w:rsidRDefault="00DF0C24">
            <w:pPr>
              <w:snapToGrid w:val="0"/>
              <w:spacing w:line="240" w:lineRule="exact"/>
              <w:rPr>
                <w:rFonts w:ascii="標楷體" w:eastAsia="標楷體" w:hAnsi="標楷體"/>
              </w:rPr>
            </w:pPr>
            <w:r>
              <w:rPr>
                <w:rFonts w:ascii="標楷體" w:eastAsia="標楷體" w:hAnsi="標楷體"/>
              </w:rPr>
              <w:t>使用期間</w:t>
            </w:r>
          </w:p>
        </w:tc>
        <w:tc>
          <w:tcPr>
            <w:tcW w:w="2492"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1B9161E" w14:textId="77777777" w:rsidR="00BD776B" w:rsidRDefault="00DF0C24">
            <w:pPr>
              <w:snapToGrid w:val="0"/>
              <w:spacing w:line="240" w:lineRule="exact"/>
              <w:rPr>
                <w:rFonts w:ascii="標楷體" w:eastAsia="標楷體" w:hAnsi="標楷體"/>
              </w:rPr>
            </w:pPr>
            <w:r>
              <w:rPr>
                <w:rFonts w:ascii="標楷體" w:eastAsia="標楷體" w:hAnsi="標楷體"/>
              </w:rPr>
              <w:t>自　　年　　月　　日</w:t>
            </w:r>
          </w:p>
        </w:tc>
      </w:tr>
      <w:tr w:rsidR="00BD776B" w14:paraId="06A2F191" w14:textId="77777777">
        <w:trPr>
          <w:cantSplit/>
          <w:trHeight w:val="133"/>
        </w:trPr>
        <w:tc>
          <w:tcPr>
            <w:tcW w:w="1477"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6961CD02" w14:textId="77777777" w:rsidR="00BD776B" w:rsidRDefault="00DF0C24">
            <w:pPr>
              <w:snapToGrid w:val="0"/>
              <w:spacing w:line="240" w:lineRule="exact"/>
              <w:rPr>
                <w:rFonts w:ascii="標楷體" w:eastAsia="標楷體" w:hAnsi="標楷體"/>
              </w:rPr>
            </w:pPr>
            <w:r>
              <w:rPr>
                <w:rFonts w:ascii="標楷體" w:eastAsia="標楷體" w:hAnsi="標楷體"/>
              </w:rPr>
              <w:t>藥品代碼</w:t>
            </w:r>
          </w:p>
        </w:tc>
        <w:tc>
          <w:tcPr>
            <w:tcW w:w="154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802C75A" w14:textId="77777777" w:rsidR="00BD776B" w:rsidRDefault="00BD776B">
            <w:pPr>
              <w:snapToGrid w:val="0"/>
              <w:spacing w:line="240" w:lineRule="exact"/>
              <w:rPr>
                <w:rFonts w:ascii="標楷體" w:eastAsia="標楷體" w:hAnsi="標楷體"/>
              </w:rPr>
            </w:pPr>
          </w:p>
        </w:tc>
        <w:tc>
          <w:tcPr>
            <w:tcW w:w="140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4DA6AAAD" w14:textId="77777777" w:rsidR="00BD776B" w:rsidRDefault="00DF0C24">
            <w:pPr>
              <w:snapToGrid w:val="0"/>
              <w:spacing w:line="240" w:lineRule="exact"/>
              <w:rPr>
                <w:rFonts w:ascii="標楷體" w:eastAsia="標楷體" w:hAnsi="標楷體"/>
              </w:rPr>
            </w:pPr>
            <w:r>
              <w:rPr>
                <w:rFonts w:ascii="標楷體" w:eastAsia="標楷體" w:hAnsi="標楷體"/>
              </w:rPr>
              <w:t>用法用量</w:t>
            </w:r>
          </w:p>
        </w:tc>
        <w:tc>
          <w:tcPr>
            <w:tcW w:w="16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DEE86AB" w14:textId="77777777" w:rsidR="00BD776B" w:rsidRDefault="00BD776B">
            <w:pPr>
              <w:snapToGrid w:val="0"/>
              <w:spacing w:line="240" w:lineRule="exact"/>
              <w:rPr>
                <w:rFonts w:ascii="標楷體" w:eastAsia="標楷體" w:hAnsi="標楷體"/>
              </w:rPr>
            </w:pPr>
          </w:p>
        </w:tc>
        <w:tc>
          <w:tcPr>
            <w:tcW w:w="1050"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12B0FD1B" w14:textId="77777777" w:rsidR="00BD776B" w:rsidRDefault="00BD776B">
            <w:pPr>
              <w:snapToGrid w:val="0"/>
              <w:spacing w:line="240" w:lineRule="exact"/>
              <w:rPr>
                <w:rFonts w:ascii="標楷體" w:eastAsia="標楷體" w:hAnsi="標楷體"/>
              </w:rPr>
            </w:pPr>
          </w:p>
        </w:tc>
        <w:tc>
          <w:tcPr>
            <w:tcW w:w="2492"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2AEAA404" w14:textId="77777777" w:rsidR="00BD776B" w:rsidRDefault="00DF0C24">
            <w:pPr>
              <w:snapToGrid w:val="0"/>
              <w:spacing w:line="240" w:lineRule="exact"/>
              <w:rPr>
                <w:rFonts w:ascii="標楷體" w:eastAsia="標楷體" w:hAnsi="標楷體"/>
              </w:rPr>
            </w:pPr>
            <w:r>
              <w:rPr>
                <w:rFonts w:ascii="標楷體" w:eastAsia="標楷體" w:hAnsi="標楷體"/>
              </w:rPr>
              <w:t>至　　年　　月　　日</w:t>
            </w:r>
          </w:p>
        </w:tc>
      </w:tr>
    </w:tbl>
    <w:p w14:paraId="3419FF6C" w14:textId="77777777" w:rsidR="00BD776B" w:rsidRDefault="00BD776B">
      <w:pPr>
        <w:snapToGrid w:val="0"/>
        <w:spacing w:line="240" w:lineRule="exact"/>
        <w:rPr>
          <w:rFonts w:ascii="標楷體" w:eastAsia="標楷體" w:hAnsi="標楷體"/>
          <w:sz w:val="20"/>
        </w:rPr>
      </w:pPr>
    </w:p>
    <w:tbl>
      <w:tblPr>
        <w:tblW w:w="9571" w:type="dxa"/>
        <w:tblInd w:w="392" w:type="dxa"/>
        <w:tblCellMar>
          <w:left w:w="10" w:type="dxa"/>
          <w:right w:w="10" w:type="dxa"/>
        </w:tblCellMar>
        <w:tblLook w:val="0000" w:firstRow="0" w:lastRow="0" w:firstColumn="0" w:lastColumn="0" w:noHBand="0" w:noVBand="0"/>
      </w:tblPr>
      <w:tblGrid>
        <w:gridCol w:w="9571"/>
      </w:tblGrid>
      <w:tr w:rsidR="00BD776B" w14:paraId="6A305802" w14:textId="77777777">
        <w:trPr>
          <w:trHeight w:val="124"/>
        </w:trPr>
        <w:tc>
          <w:tcPr>
            <w:tcW w:w="9571"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468B177" w14:textId="77777777" w:rsidR="00BD776B" w:rsidRDefault="00DF0C24" w:rsidP="008A7063">
            <w:pPr>
              <w:numPr>
                <w:ilvl w:val="0"/>
                <w:numId w:val="81"/>
              </w:numPr>
              <w:snapToGrid w:val="0"/>
              <w:spacing w:before="180" w:line="330" w:lineRule="exact"/>
              <w:ind w:left="357" w:hanging="357"/>
            </w:pPr>
            <w:r>
              <w:rPr>
                <w:rFonts w:ascii="標楷體" w:eastAsia="標楷體" w:hAnsi="標楷體"/>
                <w:b/>
                <w:bCs/>
                <w:szCs w:val="17"/>
              </w:rPr>
              <w:t>符合下列所有條件：</w:t>
            </w:r>
          </w:p>
          <w:p w14:paraId="1F6D1D44" w14:textId="77777777" w:rsidR="00BD776B" w:rsidRDefault="00DF0C24" w:rsidP="008A7063">
            <w:pPr>
              <w:numPr>
                <w:ilvl w:val="0"/>
                <w:numId w:val="82"/>
              </w:numPr>
              <w:tabs>
                <w:tab w:val="left" w:pos="657"/>
              </w:tabs>
              <w:snapToGrid w:val="0"/>
              <w:spacing w:line="330" w:lineRule="exact"/>
              <w:ind w:left="657" w:hanging="283"/>
            </w:pPr>
            <w:r>
              <w:rPr>
                <w:rFonts w:ascii="Webdings" w:eastAsia="Webdings" w:hAnsi="Webdings" w:cs="Webdings"/>
              </w:rPr>
              <w:t></w:t>
            </w:r>
            <w:r>
              <w:rPr>
                <w:rFonts w:ascii="標楷體" w:eastAsia="標楷體" w:hAnsi="標楷體"/>
              </w:rPr>
              <w:t>年齡18歲以上</w:t>
            </w:r>
          </w:p>
          <w:p w14:paraId="380876EC" w14:textId="77777777" w:rsidR="00BD776B" w:rsidRDefault="00DF0C24" w:rsidP="008A7063">
            <w:pPr>
              <w:numPr>
                <w:ilvl w:val="0"/>
                <w:numId w:val="82"/>
              </w:numPr>
              <w:tabs>
                <w:tab w:val="left" w:pos="657"/>
              </w:tabs>
              <w:snapToGrid w:val="0"/>
              <w:spacing w:line="330" w:lineRule="exact"/>
              <w:ind w:left="657" w:hanging="283"/>
            </w:pPr>
            <w:r>
              <w:rPr>
                <w:rFonts w:ascii="Webdings" w:eastAsia="Webdings" w:hAnsi="Webdings" w:cs="Webdings"/>
              </w:rPr>
              <w:t></w:t>
            </w:r>
            <w:r>
              <w:rPr>
                <w:rFonts w:ascii="標楷體" w:eastAsia="標楷體" w:hAnsi="標楷體"/>
              </w:rPr>
              <w:t>HLAB27陽性(檢附報告影本)</w:t>
            </w:r>
          </w:p>
          <w:p w14:paraId="37C6FE92"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標楷體" w:eastAsia="標楷體" w:hAnsi="標楷體"/>
              </w:rPr>
              <w:t>符合1984年修定的僵直性關節炎診斷條件(1984ModifiedNewYorkCriteria)：臨床症狀及身體檢查，下列三條件至少需符合二項</w:t>
            </w:r>
          </w:p>
          <w:p w14:paraId="682101C6" w14:textId="77777777" w:rsidR="00BD776B" w:rsidRDefault="00DF0C24" w:rsidP="008A7063">
            <w:pPr>
              <w:numPr>
                <w:ilvl w:val="1"/>
                <w:numId w:val="82"/>
              </w:numPr>
              <w:tabs>
                <w:tab w:val="left" w:pos="1224"/>
              </w:tabs>
              <w:snapToGrid w:val="0"/>
              <w:spacing w:line="330" w:lineRule="exact"/>
              <w:ind w:left="1224" w:hanging="283"/>
            </w:pPr>
            <w:r>
              <w:rPr>
                <w:rFonts w:ascii="Webdings" w:eastAsia="Webdings" w:hAnsi="Webdings" w:cs="Webdings"/>
              </w:rPr>
              <w:t></w:t>
            </w:r>
            <w:r>
              <w:rPr>
                <w:rFonts w:ascii="標楷體" w:eastAsia="標楷體" w:hAnsi="標楷體"/>
              </w:rPr>
              <w:t>下背痛及晨間僵硬的症狀持續3個月以上</w:t>
            </w:r>
          </w:p>
          <w:p w14:paraId="554E07DB" w14:textId="77777777" w:rsidR="00BD776B" w:rsidRDefault="00DF0C24" w:rsidP="008A7063">
            <w:pPr>
              <w:numPr>
                <w:ilvl w:val="1"/>
                <w:numId w:val="82"/>
              </w:numPr>
              <w:tabs>
                <w:tab w:val="left" w:pos="1224"/>
              </w:tabs>
              <w:snapToGrid w:val="0"/>
              <w:spacing w:line="330" w:lineRule="exact"/>
              <w:ind w:left="1224" w:hanging="283"/>
            </w:pPr>
            <w:r>
              <w:rPr>
                <w:rFonts w:ascii="Webdings" w:eastAsia="Webdings" w:hAnsi="Webdings" w:cs="Webdings"/>
              </w:rPr>
              <w:t></w:t>
            </w:r>
            <w:r>
              <w:rPr>
                <w:rFonts w:ascii="標楷體" w:eastAsia="標楷體" w:hAnsi="標楷體"/>
                <w:color w:val="000000"/>
              </w:rPr>
              <w:t>腰椎額狀面與矢狀面活動受限</w:t>
            </w:r>
          </w:p>
          <w:p w14:paraId="2D905139" w14:textId="77777777" w:rsidR="00BD776B" w:rsidRDefault="00DF0C24" w:rsidP="008A7063">
            <w:pPr>
              <w:numPr>
                <w:ilvl w:val="1"/>
                <w:numId w:val="82"/>
              </w:numPr>
              <w:tabs>
                <w:tab w:val="left" w:pos="1224"/>
              </w:tabs>
              <w:snapToGrid w:val="0"/>
              <w:spacing w:line="330" w:lineRule="exact"/>
              <w:ind w:left="1224" w:hanging="283"/>
            </w:pPr>
            <w:r>
              <w:rPr>
                <w:rFonts w:ascii="Webdings" w:eastAsia="Webdings" w:hAnsi="Webdings" w:cs="Webdings"/>
              </w:rPr>
              <w:t></w:t>
            </w:r>
            <w:r>
              <w:rPr>
                <w:rFonts w:ascii="標楷體" w:eastAsia="標楷體" w:hAnsi="標楷體"/>
                <w:color w:val="000000"/>
              </w:rPr>
              <w:t>胸廓擴張受限</w:t>
            </w:r>
          </w:p>
          <w:p w14:paraId="1488CA6E"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Webdings" w:eastAsia="Webdings" w:hAnsi="Webdings" w:cs="Webdings"/>
              </w:rPr>
              <w:t></w:t>
            </w:r>
            <w:r>
              <w:rPr>
                <w:rFonts w:ascii="標楷體" w:eastAsia="標楷體" w:hAnsi="標楷體"/>
              </w:rPr>
              <w:t>X光(plainXRay)檢查需有薦腸關節炎：雙側性二級以上，或單側性三級以上、附有報告影印或X光影像光碟。</w:t>
            </w:r>
          </w:p>
          <w:p w14:paraId="5ECAA5D1"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標楷體" w:eastAsia="標楷體" w:hAnsi="標楷體"/>
              </w:rPr>
              <w:t>所有的病患都必須曾經使用過至少2種(NSAIDs)進行充分的治療，但療效不彰。充分治療的定義為：使用最高建議劑量或最高耐受劑量的NSAID抗發炎藥物在同一家醫院連續治療三個月以上，且每種NSAID至少使用四週以上，除非出現毒性而停藥，需以附表二十一之二為根據記錄NSAID之毒性送審。</w:t>
            </w:r>
          </w:p>
          <w:p w14:paraId="1F48242F" w14:textId="77777777" w:rsidR="00BD776B" w:rsidRDefault="00DF0C24">
            <w:pPr>
              <w:snapToGrid w:val="0"/>
              <w:spacing w:line="330" w:lineRule="exact"/>
              <w:ind w:left="941"/>
              <w:rPr>
                <w:rFonts w:ascii="標楷體" w:eastAsia="標楷體" w:hAnsi="標楷體"/>
              </w:rPr>
            </w:pPr>
            <w:r>
              <w:rPr>
                <w:rFonts w:ascii="標楷體" w:eastAsia="標楷體" w:hAnsi="標楷體"/>
              </w:rPr>
              <w:t>NSAID1藥名________劑量_______________使用期限___________________</w:t>
            </w:r>
          </w:p>
          <w:p w14:paraId="2DA0F013" w14:textId="77777777" w:rsidR="00BD776B" w:rsidRDefault="00DF0C24">
            <w:pPr>
              <w:snapToGrid w:val="0"/>
              <w:spacing w:line="330" w:lineRule="exact"/>
              <w:ind w:left="941"/>
              <w:rPr>
                <w:rFonts w:ascii="標楷體" w:eastAsia="標楷體" w:hAnsi="標楷體"/>
              </w:rPr>
            </w:pPr>
            <w:r>
              <w:rPr>
                <w:rFonts w:ascii="標楷體" w:eastAsia="標楷體" w:hAnsi="標楷體"/>
              </w:rPr>
              <w:t>NSAID2藥名________劑量_______________使用期限___________________</w:t>
            </w:r>
          </w:p>
          <w:p w14:paraId="1226C9F1"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標楷體" w:eastAsia="標楷體" w:hAnsi="標楷體"/>
              </w:rPr>
              <w:t>周邊關節炎患者必須曾經同時使用NSAIDs和sulfasalazine進行充分的治療，sulfasalazine需以2g/day之標準治療4個月或以上，除非有相関毒性發生而停藥，並有適當病歷記載者。</w:t>
            </w:r>
          </w:p>
          <w:p w14:paraId="751DEF80" w14:textId="77777777" w:rsidR="00BD776B" w:rsidRDefault="00DF0C24">
            <w:pPr>
              <w:snapToGrid w:val="0"/>
              <w:spacing w:line="330" w:lineRule="exact"/>
              <w:ind w:left="941"/>
              <w:rPr>
                <w:rFonts w:ascii="標楷體" w:eastAsia="標楷體" w:hAnsi="標楷體"/>
              </w:rPr>
            </w:pPr>
            <w:r>
              <w:rPr>
                <w:rFonts w:ascii="標楷體" w:eastAsia="標楷體" w:hAnsi="標楷體"/>
              </w:rPr>
              <w:t>Sulfasalazine劑量_______________使用期限____________________________</w:t>
            </w:r>
          </w:p>
          <w:p w14:paraId="1879F03F"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標楷體" w:eastAsia="標楷體" w:hAnsi="標楷體"/>
              </w:rPr>
              <w:t>必須附有(1)</w:t>
            </w:r>
            <w:r>
              <w:rPr>
                <w:rFonts w:ascii="標楷體" w:eastAsia="標楷體" w:hAnsi="標楷體"/>
                <w:color w:val="000000"/>
              </w:rPr>
              <w:t>風</w:t>
            </w:r>
            <w:r>
              <w:rPr>
                <w:rFonts w:ascii="標楷體" w:eastAsia="標楷體" w:hAnsi="標楷體"/>
              </w:rPr>
              <w:t>濕或免疫專科醫師且具有保險人核定復健處方權之醫師所開立之運動衛教証明書和(2)病患自身在家運動狀况聲明書。</w:t>
            </w:r>
          </w:p>
          <w:p w14:paraId="19026659"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標楷體" w:eastAsia="標楷體" w:hAnsi="標楷體"/>
              </w:rPr>
              <w:t>活動性疾病持續四週以上。（需連續二次檢查BASDAI</w:t>
            </w:r>
            <w:r>
              <w:rPr>
                <w:rFonts w:ascii="標楷體" w:eastAsia="標楷體" w:hAnsi="標楷體" w:cs="Symbol"/>
              </w:rPr>
              <w:t></w:t>
            </w:r>
            <w:r>
              <w:rPr>
                <w:rFonts w:ascii="標楷體" w:eastAsia="標楷體" w:hAnsi="標楷體"/>
              </w:rPr>
              <w:t>6、ESR&gt;28mm/1hr且CRP&gt;1mg/dL，且二次檢查之間隔需經過至少4周以上充分治療）</w:t>
            </w:r>
          </w:p>
          <w:p w14:paraId="0C1D266C" w14:textId="77777777" w:rsidR="00BD776B" w:rsidRDefault="00DF0C24">
            <w:pPr>
              <w:snapToGrid w:val="0"/>
              <w:spacing w:line="330" w:lineRule="exact"/>
              <w:ind w:left="941"/>
            </w:pPr>
            <w:r>
              <w:rPr>
                <w:rFonts w:ascii="標楷體" w:eastAsia="標楷體" w:hAnsi="標楷體"/>
              </w:rPr>
              <w:t>評估日期</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14:paraId="5557B8A7" w14:textId="77777777" w:rsidR="00BD776B" w:rsidRDefault="00DF0C24">
            <w:pPr>
              <w:snapToGrid w:val="0"/>
              <w:spacing w:line="330" w:lineRule="exact"/>
              <w:ind w:left="941"/>
              <w:rPr>
                <w:rFonts w:ascii="標楷體" w:eastAsia="標楷體" w:hAnsi="標楷體"/>
              </w:rPr>
            </w:pPr>
            <w:r>
              <w:rPr>
                <w:rFonts w:ascii="標楷體" w:eastAsia="標楷體" w:hAnsi="標楷體"/>
              </w:rPr>
              <w:t>BASDAI分數_________________________________</w:t>
            </w:r>
          </w:p>
          <w:p w14:paraId="2153BA15" w14:textId="77777777" w:rsidR="00BD776B" w:rsidRDefault="00DF0C24">
            <w:pPr>
              <w:snapToGrid w:val="0"/>
              <w:spacing w:line="330" w:lineRule="exact"/>
              <w:ind w:left="941"/>
              <w:rPr>
                <w:rFonts w:ascii="標楷體" w:eastAsia="標楷體" w:hAnsi="標楷體"/>
              </w:rPr>
            </w:pPr>
            <w:r>
              <w:rPr>
                <w:rFonts w:ascii="標楷體" w:eastAsia="標楷體" w:hAnsi="標楷體"/>
              </w:rPr>
              <w:t>ESR(mm/1hr)________________________________</w:t>
            </w:r>
          </w:p>
          <w:p w14:paraId="2416822F" w14:textId="77777777" w:rsidR="00BD776B" w:rsidRDefault="00DF0C24">
            <w:pPr>
              <w:snapToGrid w:val="0"/>
              <w:spacing w:line="330" w:lineRule="exact"/>
              <w:ind w:left="941"/>
              <w:rPr>
                <w:rFonts w:ascii="標楷體" w:eastAsia="標楷體" w:hAnsi="標楷體"/>
              </w:rPr>
            </w:pPr>
            <w:r>
              <w:rPr>
                <w:rFonts w:ascii="標楷體" w:eastAsia="標楷體" w:hAnsi="標楷體"/>
              </w:rPr>
              <w:t>CRP(mg/dL)_________________________________</w:t>
            </w:r>
          </w:p>
          <w:p w14:paraId="0E8D14A7" w14:textId="77777777" w:rsidR="00BD776B" w:rsidRDefault="00DF0C24" w:rsidP="008A7063">
            <w:pPr>
              <w:numPr>
                <w:ilvl w:val="0"/>
                <w:numId w:val="82"/>
              </w:numPr>
              <w:tabs>
                <w:tab w:val="left" w:pos="657"/>
              </w:tabs>
              <w:snapToGrid w:val="0"/>
              <w:spacing w:line="330" w:lineRule="exact"/>
              <w:ind w:left="941" w:hanging="567"/>
            </w:pPr>
            <w:r>
              <w:rPr>
                <w:rFonts w:ascii="Webdings" w:eastAsia="Webdings" w:hAnsi="Webdings" w:cs="Webdings"/>
              </w:rPr>
              <w:t></w:t>
            </w:r>
            <w:r>
              <w:rPr>
                <w:rFonts w:ascii="標楷體" w:eastAsia="標楷體" w:hAnsi="標楷體"/>
              </w:rPr>
              <w:t>病患需填具藥物使用同意書以示瞭解本藥物之適應症、禁忌及副作用。</w:t>
            </w:r>
          </w:p>
          <w:p w14:paraId="555DFA65" w14:textId="77777777" w:rsidR="00BD776B" w:rsidRDefault="00DF0C24">
            <w:pPr>
              <w:snapToGrid w:val="0"/>
              <w:spacing w:before="180" w:line="330" w:lineRule="exact"/>
            </w:pPr>
            <w:r>
              <w:rPr>
                <w:rFonts w:ascii="標楷體" w:eastAsia="標楷體" w:hAnsi="標楷體"/>
                <w:b/>
                <w:color w:val="292526"/>
              </w:rPr>
              <w:t>□</w:t>
            </w:r>
            <w:r>
              <w:rPr>
                <w:rFonts w:ascii="標楷體" w:eastAsia="標楷體" w:hAnsi="標楷體"/>
                <w:b/>
                <w:bCs/>
                <w:szCs w:val="17"/>
              </w:rPr>
              <w:t>符合</w:t>
            </w:r>
            <w:r>
              <w:rPr>
                <w:rFonts w:ascii="標楷體" w:eastAsia="標楷體" w:hAnsi="標楷體"/>
                <w:b/>
                <w:color w:val="292526"/>
              </w:rPr>
              <w:t>繼續使用之療效評估：</w:t>
            </w:r>
          </w:p>
          <w:p w14:paraId="115BE995" w14:textId="77777777" w:rsidR="00BD776B" w:rsidRDefault="00DF0C24" w:rsidP="008A7063">
            <w:pPr>
              <w:numPr>
                <w:ilvl w:val="0"/>
                <w:numId w:val="83"/>
              </w:numPr>
              <w:snapToGrid w:val="0"/>
              <w:spacing w:line="330" w:lineRule="exact"/>
              <w:ind w:left="657" w:hanging="297"/>
            </w:pPr>
            <w:r>
              <w:rPr>
                <w:rFonts w:ascii="標楷體" w:eastAsia="標楷體" w:hAnsi="標楷體"/>
              </w:rPr>
              <w:t>初次使用者治療</w:t>
            </w:r>
            <w:r>
              <w:rPr>
                <w:rFonts w:ascii="標楷體" w:eastAsia="標楷體" w:hAnsi="標楷體"/>
                <w:kern w:val="0"/>
              </w:rPr>
              <w:t>12週</w:t>
            </w:r>
            <w:r>
              <w:rPr>
                <w:rFonts w:ascii="標楷體" w:eastAsia="標楷體" w:hAnsi="標楷體"/>
              </w:rPr>
              <w:t>評估BASDAI：與使用前比較，出現50%以上的進步或減少2分以上，方得繼續使用。</w:t>
            </w:r>
          </w:p>
          <w:p w14:paraId="0E1CBA65" w14:textId="77777777" w:rsidR="00BD776B" w:rsidRDefault="00DF0C24" w:rsidP="008A7063">
            <w:pPr>
              <w:numPr>
                <w:ilvl w:val="0"/>
                <w:numId w:val="83"/>
              </w:numPr>
              <w:snapToGrid w:val="0"/>
              <w:spacing w:line="330" w:lineRule="exact"/>
              <w:ind w:left="657" w:hanging="297"/>
            </w:pPr>
            <w:r>
              <w:rPr>
                <w:rFonts w:ascii="標楷體" w:eastAsia="標楷體" w:hAnsi="標楷體"/>
              </w:rPr>
              <w:t>繼續使用者，需</w:t>
            </w:r>
            <w:r>
              <w:rPr>
                <w:rFonts w:ascii="標楷體" w:eastAsia="標楷體" w:hAnsi="標楷體"/>
                <w:kern w:val="0"/>
              </w:rPr>
              <w:t>每12週評估一次，再次提出申請續用</w:t>
            </w:r>
            <w:r>
              <w:rPr>
                <w:rFonts w:ascii="標楷體" w:eastAsia="標楷體" w:hAnsi="標楷體"/>
              </w:rPr>
              <w:t>。</w:t>
            </w:r>
          </w:p>
          <w:p w14:paraId="7F27702E" w14:textId="77777777" w:rsidR="00BD776B" w:rsidRDefault="00DF0C24">
            <w:pPr>
              <w:snapToGrid w:val="0"/>
              <w:spacing w:line="330" w:lineRule="exact"/>
              <w:ind w:firstLine="372"/>
            </w:pPr>
            <w:r>
              <w:rPr>
                <w:rFonts w:ascii="標楷體" w:eastAsia="標楷體" w:hAnsi="標楷體"/>
                <w:kern w:val="0"/>
              </w:rPr>
              <w:t>請填寫初次</w:t>
            </w:r>
            <w:r>
              <w:rPr>
                <w:rFonts w:ascii="標楷體" w:eastAsia="標楷體" w:hAnsi="標楷體"/>
              </w:rPr>
              <w:t>使用adalimumab/etanercept/golimumab治療前之BASDAI分數</w:t>
            </w:r>
          </w:p>
          <w:p w14:paraId="27079D75" w14:textId="77777777" w:rsidR="00BD776B" w:rsidRDefault="00DF0C24">
            <w:pPr>
              <w:snapToGrid w:val="0"/>
              <w:spacing w:line="330" w:lineRule="exact"/>
              <w:ind w:left="372"/>
            </w:pPr>
            <w:r>
              <w:rPr>
                <w:rFonts w:ascii="標楷體" w:eastAsia="標楷體" w:hAnsi="標楷體"/>
              </w:rPr>
              <w:t>BASDAI分數：_______(評估日期：</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tc>
      </w:tr>
    </w:tbl>
    <w:p w14:paraId="5BAD4201" w14:textId="77777777" w:rsidR="00BD776B" w:rsidRDefault="00BD776B">
      <w:pPr>
        <w:pageBreakBefore/>
        <w:snapToGrid w:val="0"/>
        <w:spacing w:line="240" w:lineRule="exact"/>
        <w:rPr>
          <w:rFonts w:ascii="標楷體" w:eastAsia="標楷體" w:hAnsi="標楷體"/>
          <w:sz w:val="20"/>
        </w:rPr>
      </w:pPr>
    </w:p>
    <w:p w14:paraId="20CA152E" w14:textId="77777777" w:rsidR="00BD776B" w:rsidRDefault="00DF0C24">
      <w:pPr>
        <w:snapToGrid w:val="0"/>
        <w:spacing w:line="420" w:lineRule="exact"/>
        <w:ind w:left="-132" w:right="18"/>
        <w:jc w:val="center"/>
        <w:rPr>
          <w:rFonts w:ascii="標楷體" w:eastAsia="標楷體" w:hAnsi="標楷體"/>
        </w:rPr>
      </w:pPr>
      <w:r>
        <w:rPr>
          <w:rFonts w:ascii="標楷體" w:eastAsia="標楷體" w:hAnsi="標楷體"/>
        </w:rPr>
        <w:t>附表二十一之一全民健康保險僵直性脊椎炎使用生物製劑申請表</w:t>
      </w:r>
    </w:p>
    <w:tbl>
      <w:tblPr>
        <w:tblW w:w="9533" w:type="dxa"/>
        <w:tblInd w:w="332" w:type="dxa"/>
        <w:tblCellMar>
          <w:left w:w="10" w:type="dxa"/>
          <w:right w:w="10" w:type="dxa"/>
        </w:tblCellMar>
        <w:tblLook w:val="0000" w:firstRow="0" w:lastRow="0" w:firstColumn="0" w:lastColumn="0" w:noHBand="0" w:noVBand="0"/>
      </w:tblPr>
      <w:tblGrid>
        <w:gridCol w:w="670"/>
        <w:gridCol w:w="1320"/>
        <w:gridCol w:w="7543"/>
      </w:tblGrid>
      <w:tr w:rsidR="00BD776B" w14:paraId="75F34C56" w14:textId="77777777">
        <w:trPr>
          <w:cantSplit/>
          <w:trHeight w:val="281"/>
        </w:trPr>
        <w:tc>
          <w:tcPr>
            <w:tcW w:w="9533" w:type="dxa"/>
            <w:gridSpan w:val="3"/>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039B4002" w14:textId="77777777" w:rsidR="00BD776B" w:rsidRDefault="00DF0C24">
            <w:pPr>
              <w:snapToGrid w:val="0"/>
              <w:spacing w:before="180" w:line="360" w:lineRule="auto"/>
              <w:ind w:left="120"/>
            </w:pPr>
            <w:r>
              <w:rPr>
                <w:rFonts w:ascii="標楷體" w:eastAsia="標楷體" w:hAnsi="標楷體" w:cs="Webdings"/>
              </w:rPr>
              <w:t></w:t>
            </w:r>
            <w:r>
              <w:rPr>
                <w:rFonts w:ascii="標楷體" w:eastAsia="標楷體" w:hAnsi="標楷體"/>
                <w:b/>
              </w:rPr>
              <w:t>符合「需排除或停止生物製劑使用之情形」</w:t>
            </w:r>
          </w:p>
        </w:tc>
      </w:tr>
      <w:tr w:rsidR="00BD776B" w14:paraId="5AC2EBFD" w14:textId="77777777">
        <w:trPr>
          <w:cantSplit/>
          <w:trHeight w:val="400"/>
        </w:trPr>
        <w:tc>
          <w:tcPr>
            <w:tcW w:w="67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1C4879D"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935BFD"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1F3CDD77"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D08EEED" w14:textId="77777777" w:rsidR="00BD776B" w:rsidRDefault="00DF0C24">
            <w:pPr>
              <w:snapToGrid w:val="0"/>
              <w:textAlignment w:val="center"/>
              <w:rPr>
                <w:rFonts w:ascii="標楷體" w:eastAsia="標楷體" w:hAnsi="標楷體"/>
              </w:rPr>
            </w:pPr>
            <w:r>
              <w:rPr>
                <w:rFonts w:ascii="標楷體" w:eastAsia="標楷體" w:hAnsi="標楷體"/>
              </w:rPr>
              <w:t>是否有藥品仿單記載之禁忌情形。</w:t>
            </w:r>
          </w:p>
        </w:tc>
      </w:tr>
      <w:tr w:rsidR="00BD776B" w14:paraId="402A6B72" w14:textId="77777777">
        <w:trPr>
          <w:cantSplit/>
          <w:trHeight w:val="400"/>
        </w:trPr>
        <w:tc>
          <w:tcPr>
            <w:tcW w:w="67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2E4265A"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9FEB38"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630F7060"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2570A13" w14:textId="77777777" w:rsidR="00BD776B" w:rsidRDefault="00DF0C24">
            <w:pPr>
              <w:snapToGrid w:val="0"/>
              <w:textAlignment w:val="center"/>
              <w:rPr>
                <w:rFonts w:ascii="標楷體" w:eastAsia="標楷體" w:hAnsi="標楷體"/>
              </w:rPr>
            </w:pPr>
            <w:r>
              <w:rPr>
                <w:rFonts w:ascii="標楷體" w:eastAsia="標楷體" w:hAnsi="標楷體"/>
              </w:rPr>
              <w:t>婦女是否正在懷孕或授乳。</w:t>
            </w:r>
          </w:p>
        </w:tc>
      </w:tr>
      <w:tr w:rsidR="00BD776B" w14:paraId="62F8016C" w14:textId="77777777">
        <w:trPr>
          <w:cantSplit/>
          <w:trHeight w:val="400"/>
        </w:trPr>
        <w:tc>
          <w:tcPr>
            <w:tcW w:w="67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668C783"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BAB0E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512240C0"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A1AD8B3" w14:textId="77777777" w:rsidR="00BD776B" w:rsidRDefault="00DF0C24">
            <w:pPr>
              <w:snapToGrid w:val="0"/>
              <w:textAlignment w:val="center"/>
            </w:pPr>
            <w:r>
              <w:rPr>
                <w:rFonts w:ascii="標楷體" w:eastAsia="標楷體" w:hAnsi="標楷體"/>
              </w:rPr>
              <w:t>病患是否罹患活動性感染之疾病</w:t>
            </w:r>
            <w:r>
              <w:rPr>
                <w:rFonts w:ascii="標楷體" w:eastAsia="標楷體" w:hAnsi="標楷體"/>
                <w:bCs/>
              </w:rPr>
              <w:t>或有Ｂ肝、Ｃ肝活動性感染或結核病</w:t>
            </w:r>
            <w:r>
              <w:rPr>
                <w:rFonts w:ascii="標楷體" w:eastAsia="標楷體" w:hAnsi="標楷體"/>
              </w:rPr>
              <w:t>。</w:t>
            </w:r>
          </w:p>
        </w:tc>
      </w:tr>
      <w:tr w:rsidR="00BD776B" w14:paraId="2F1BF89A" w14:textId="77777777">
        <w:trPr>
          <w:cantSplit/>
          <w:trHeight w:val="400"/>
        </w:trPr>
        <w:tc>
          <w:tcPr>
            <w:tcW w:w="67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F5B877D"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69BEE5"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54CD3407" w14:textId="77777777" w:rsidR="00BD776B" w:rsidRDefault="00BD776B">
            <w:pPr>
              <w:snapToGrid w:val="0"/>
              <w:ind w:left="92"/>
              <w:textAlignment w:val="center"/>
              <w:rPr>
                <w:rFonts w:ascii="標楷體" w:eastAsia="標楷體" w:hAnsi="標楷體"/>
              </w:rPr>
            </w:pPr>
          </w:p>
          <w:p w14:paraId="5F51CC67"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01B7FC8" w14:textId="77777777" w:rsidR="00BD776B" w:rsidRDefault="00DF0C24">
            <w:pPr>
              <w:snapToGrid w:val="0"/>
              <w:textAlignment w:val="center"/>
              <w:rPr>
                <w:rFonts w:ascii="標楷體" w:eastAsia="標楷體" w:hAnsi="標楷體"/>
              </w:rPr>
            </w:pPr>
            <w:r>
              <w:rPr>
                <w:rFonts w:ascii="標楷體" w:eastAsia="標楷體" w:hAnsi="標楷體"/>
              </w:rPr>
              <w:t>病患是否具有高度感染機會之情形，其中包括：</w:t>
            </w:r>
          </w:p>
          <w:p w14:paraId="1A01F8DF" w14:textId="77777777" w:rsidR="00BD776B" w:rsidRDefault="00DF0C24">
            <w:pPr>
              <w:snapToGrid w:val="0"/>
              <w:textAlignment w:val="center"/>
              <w:rPr>
                <w:rFonts w:ascii="標楷體" w:eastAsia="標楷體" w:hAnsi="標楷體"/>
              </w:rPr>
            </w:pPr>
            <w:r>
              <w:rPr>
                <w:rFonts w:ascii="標楷體" w:eastAsia="標楷體" w:hAnsi="標楷體"/>
              </w:rPr>
              <w:t>1.慢性腿部潰瘍。</w:t>
            </w:r>
          </w:p>
          <w:p w14:paraId="58B534FD" w14:textId="77777777" w:rsidR="00BD776B" w:rsidRDefault="00DF0C24">
            <w:pPr>
              <w:snapToGrid w:val="0"/>
              <w:ind w:left="197" w:hanging="197"/>
              <w:textAlignment w:val="center"/>
              <w:rPr>
                <w:rFonts w:ascii="標楷體" w:eastAsia="標楷體" w:hAnsi="標楷體"/>
              </w:rPr>
            </w:pPr>
            <w:r>
              <w:rPr>
                <w:rFonts w:ascii="標楷體" w:eastAsia="標楷體" w:hAnsi="標楷體"/>
              </w:rPr>
              <w:t>2.未經完整治療之結核病的病患（包括潛伏結核感染治療未達四週者，申請時應檢附潛伏結核感染篩檢紀錄及治療紀錄供審查）。</w:t>
            </w:r>
          </w:p>
          <w:p w14:paraId="3ABEADAB" w14:textId="77777777" w:rsidR="00BD776B" w:rsidRDefault="00DF0C24">
            <w:pPr>
              <w:snapToGrid w:val="0"/>
              <w:ind w:left="240" w:hanging="240"/>
              <w:textAlignment w:val="center"/>
              <w:rPr>
                <w:rFonts w:ascii="標楷體" w:eastAsia="標楷體" w:hAnsi="標楷體"/>
              </w:rPr>
            </w:pPr>
            <w:r>
              <w:rPr>
                <w:rFonts w:ascii="標楷體" w:eastAsia="標楷體" w:hAnsi="標楷體"/>
              </w:rPr>
              <w:t>3.過去12個月內曾罹患感染性關節炎者。</w:t>
            </w:r>
          </w:p>
          <w:p w14:paraId="40195835" w14:textId="77777777" w:rsidR="00BD776B" w:rsidRDefault="00DF0C24">
            <w:pPr>
              <w:snapToGrid w:val="0"/>
              <w:ind w:left="240" w:hanging="240"/>
              <w:textAlignment w:val="center"/>
              <w:rPr>
                <w:rFonts w:ascii="標楷體" w:eastAsia="標楷體" w:hAnsi="標楷體"/>
              </w:rPr>
            </w:pPr>
            <w:r>
              <w:rPr>
                <w:rFonts w:ascii="標楷體" w:eastAsia="標楷體" w:hAnsi="標楷體"/>
              </w:rPr>
              <w:t>4.曾有人工關節感染，若該人工關節未去除前，不可使用。</w:t>
            </w:r>
          </w:p>
          <w:p w14:paraId="2759AFFD" w14:textId="77777777" w:rsidR="00BD776B" w:rsidRDefault="00DF0C24">
            <w:pPr>
              <w:snapToGrid w:val="0"/>
              <w:ind w:left="240" w:hanging="240"/>
              <w:textAlignment w:val="center"/>
              <w:rPr>
                <w:rFonts w:ascii="標楷體" w:eastAsia="標楷體" w:hAnsi="標楷體"/>
              </w:rPr>
            </w:pPr>
            <w:r>
              <w:rPr>
                <w:rFonts w:ascii="標楷體" w:eastAsia="標楷體" w:hAnsi="標楷體"/>
              </w:rPr>
              <w:t>5.頑固性或復發性的胸腔感染疾病。</w:t>
            </w:r>
          </w:p>
          <w:p w14:paraId="36C1425F" w14:textId="77777777" w:rsidR="00BD776B" w:rsidRDefault="00DF0C24">
            <w:pPr>
              <w:snapToGrid w:val="0"/>
              <w:ind w:left="240" w:hanging="240"/>
              <w:textAlignment w:val="center"/>
              <w:rPr>
                <w:rFonts w:ascii="標楷體" w:eastAsia="標楷體" w:hAnsi="標楷體"/>
              </w:rPr>
            </w:pPr>
            <w:r>
              <w:rPr>
                <w:rFonts w:ascii="標楷體" w:eastAsia="標楷體" w:hAnsi="標楷體"/>
              </w:rPr>
              <w:t>6.具有留置導尿管之情形。</w:t>
            </w:r>
          </w:p>
        </w:tc>
      </w:tr>
      <w:tr w:rsidR="00BD776B" w14:paraId="66E736DA" w14:textId="77777777">
        <w:trPr>
          <w:cantSplit/>
          <w:trHeight w:val="400"/>
        </w:trPr>
        <w:tc>
          <w:tcPr>
            <w:tcW w:w="67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F1CE75D"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E4B632"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4B2E8D15"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3E72E47" w14:textId="77777777" w:rsidR="00BD776B" w:rsidRDefault="00DF0C24">
            <w:pPr>
              <w:snapToGrid w:val="0"/>
              <w:textAlignment w:val="center"/>
              <w:rPr>
                <w:rFonts w:ascii="標楷體" w:eastAsia="標楷體" w:hAnsi="標楷體"/>
              </w:rPr>
            </w:pPr>
            <w:r>
              <w:rPr>
                <w:rFonts w:ascii="標楷體" w:eastAsia="標楷體" w:hAnsi="標楷體"/>
              </w:rPr>
              <w:t>病患是否罹患惡性腫瘤或癌前狀態之腫瘤</w:t>
            </w:r>
          </w:p>
        </w:tc>
      </w:tr>
      <w:tr w:rsidR="00BD776B" w14:paraId="4E9AF6F5" w14:textId="77777777">
        <w:trPr>
          <w:cantSplit/>
          <w:trHeight w:val="400"/>
        </w:trPr>
        <w:tc>
          <w:tcPr>
            <w:tcW w:w="67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F3039F6"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2C7A5F"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2D5F467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B1FD0D3" w14:textId="77777777" w:rsidR="00BD776B" w:rsidRDefault="00DF0C24">
            <w:pPr>
              <w:snapToGrid w:val="0"/>
              <w:textAlignment w:val="center"/>
            </w:pPr>
            <w:r>
              <w:rPr>
                <w:rFonts w:ascii="標楷體" w:eastAsia="標楷體" w:hAnsi="標楷體"/>
              </w:rPr>
              <w:t>病患是否罹患</w:t>
            </w:r>
            <w:r>
              <w:rPr>
                <w:rFonts w:ascii="標楷體" w:eastAsia="標楷體" w:hAnsi="標楷體"/>
                <w:bCs/>
              </w:rPr>
              <w:t>狼瘡或</w:t>
            </w:r>
            <w:r>
              <w:rPr>
                <w:rFonts w:ascii="標楷體" w:eastAsia="標楷體" w:hAnsi="標楷體"/>
              </w:rPr>
              <w:t>多發性硬化症(multiplesclerosis)</w:t>
            </w:r>
          </w:p>
        </w:tc>
      </w:tr>
      <w:tr w:rsidR="00BD776B" w14:paraId="134A488D" w14:textId="77777777">
        <w:trPr>
          <w:cantSplit/>
          <w:trHeight w:val="400"/>
        </w:trPr>
        <w:tc>
          <w:tcPr>
            <w:tcW w:w="670"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2A00F9B6"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0278736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61EF869D"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3" w:type="dxa"/>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3D0C1339" w14:textId="77777777" w:rsidR="00BD776B" w:rsidRDefault="00DF0C24">
            <w:pPr>
              <w:snapToGrid w:val="0"/>
              <w:textAlignment w:val="center"/>
              <w:rPr>
                <w:rFonts w:ascii="標楷體" w:eastAsia="標楷體" w:hAnsi="標楷體"/>
              </w:rPr>
            </w:pPr>
            <w:r>
              <w:rPr>
                <w:rFonts w:ascii="標楷體" w:eastAsia="標楷體" w:hAnsi="標楷體"/>
              </w:rPr>
              <w:t>使用藥品懷孕或不良事件(包括：惡性腫瘤、該藥物引起的嚴重毒性、嚴重的感染性疾病)</w:t>
            </w:r>
          </w:p>
        </w:tc>
      </w:tr>
    </w:tbl>
    <w:p w14:paraId="23CE10B5" w14:textId="77777777" w:rsidR="00BD776B" w:rsidRDefault="00BD776B">
      <w:pPr>
        <w:snapToGrid w:val="0"/>
        <w:spacing w:line="360" w:lineRule="exact"/>
        <w:rPr>
          <w:rFonts w:ascii="標楷體" w:eastAsia="標楷體" w:hAnsi="標楷體"/>
        </w:rPr>
      </w:pPr>
    </w:p>
    <w:p w14:paraId="3363AE2C" w14:textId="77777777" w:rsidR="00BD776B" w:rsidRDefault="00DF0C24">
      <w:pPr>
        <w:pageBreakBefore/>
        <w:widowControl/>
        <w:snapToGrid w:val="0"/>
      </w:pPr>
      <w:r>
        <w:rPr>
          <w:rFonts w:ascii="標楷體" w:eastAsia="標楷體" w:hAnsi="標楷體"/>
          <w:b/>
          <w:bCs/>
          <w:color w:val="000000"/>
          <w:sz w:val="28"/>
          <w:szCs w:val="28"/>
        </w:rPr>
        <w:lastRenderedPageBreak/>
        <w:t>附表二十一之二NSAID藥物副作用：</w:t>
      </w:r>
    </w:p>
    <w:p w14:paraId="121D8D3A" w14:textId="77777777" w:rsidR="00BD776B" w:rsidRDefault="00DF0C24">
      <w:pPr>
        <w:autoSpaceDE w:val="0"/>
        <w:snapToGrid w:val="0"/>
        <w:ind w:right="929"/>
      </w:pPr>
      <w:r>
        <w:rPr>
          <w:rFonts w:ascii="標楷體" w:eastAsia="標楷體" w:hAnsi="標楷體" w:cs="Arial"/>
          <w:b/>
          <w:kern w:val="0"/>
        </w:rPr>
        <w:t>準備使用TNF</w:t>
      </w:r>
      <w:r>
        <w:rPr>
          <w:rFonts w:ascii="標楷體" w:eastAsia="標楷體" w:hAnsi="標楷體" w:cs="Symbol"/>
          <w:b/>
          <w:kern w:val="0"/>
        </w:rPr>
        <w:t></w:t>
      </w:r>
      <w:r>
        <w:rPr>
          <w:rFonts w:ascii="標楷體" w:eastAsia="標楷體" w:hAnsi="標楷體" w:cs="Arial"/>
          <w:b/>
          <w:kern w:val="0"/>
        </w:rPr>
        <w:t>拮抗劑治療僵直性脊椎炎與乾癬性關節炎時的非類固醇類消炎止痛劑(NSAIDs)毒性標準及嚴重度說明</w:t>
      </w:r>
    </w:p>
    <w:p w14:paraId="12BFA93D" w14:textId="77777777" w:rsidR="00BD776B" w:rsidRDefault="00BD776B">
      <w:pPr>
        <w:snapToGrid w:val="0"/>
        <w:rPr>
          <w:rFonts w:ascii="標楷體" w:eastAsia="標楷體" w:hAnsi="標楷體" w:cs="Arial"/>
        </w:rPr>
      </w:pPr>
    </w:p>
    <w:p w14:paraId="5DCC415B" w14:textId="77777777" w:rsidR="00BD776B" w:rsidRDefault="00DF0C24">
      <w:pPr>
        <w:snapToGrid w:val="0"/>
        <w:jc w:val="center"/>
      </w:pPr>
      <w:r>
        <w:rPr>
          <w:rFonts w:ascii="標楷體" w:eastAsia="標楷體" w:hAnsi="標楷體" w:cs="Arial"/>
          <w:b/>
          <w:bCs/>
          <w:kern w:val="0"/>
        </w:rPr>
        <w:t>ULN=正常值上限</w:t>
      </w:r>
      <w:r>
        <w:rPr>
          <w:rFonts w:ascii="標楷體" w:eastAsia="標楷體" w:hAnsi="標楷體" w:cs="Arial"/>
          <w:b/>
          <w:bCs/>
          <w:kern w:val="0"/>
        </w:rPr>
        <w:tab/>
      </w:r>
      <w:r>
        <w:rPr>
          <w:rFonts w:ascii="標楷體" w:eastAsia="標楷體" w:hAnsi="標楷體" w:cs="Arial"/>
          <w:b/>
          <w:bCs/>
          <w:kern w:val="0"/>
        </w:rPr>
        <w:tab/>
        <w:t>LLN=正常值下限</w:t>
      </w:r>
    </w:p>
    <w:tbl>
      <w:tblPr>
        <w:tblW w:w="10353" w:type="dxa"/>
        <w:tblCellMar>
          <w:left w:w="10" w:type="dxa"/>
          <w:right w:w="10" w:type="dxa"/>
        </w:tblCellMar>
        <w:tblLook w:val="0000" w:firstRow="0" w:lastRow="0" w:firstColumn="0" w:lastColumn="0" w:noHBand="0" w:noVBand="0"/>
      </w:tblPr>
      <w:tblGrid>
        <w:gridCol w:w="2285"/>
        <w:gridCol w:w="6792"/>
        <w:gridCol w:w="1276"/>
      </w:tblGrid>
      <w:tr w:rsidR="00BD776B" w14:paraId="2FEC6505" w14:textId="77777777">
        <w:trPr>
          <w:trHeight w:val="515"/>
        </w:trPr>
        <w:tc>
          <w:tcPr>
            <w:tcW w:w="2285"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vAlign w:val="center"/>
          </w:tcPr>
          <w:p w14:paraId="7FF422BC" w14:textId="77777777" w:rsidR="00BD776B" w:rsidRDefault="00DF0C24">
            <w:pPr>
              <w:snapToGrid w:val="0"/>
              <w:ind w:left="113" w:right="113"/>
            </w:pPr>
            <w:r>
              <w:rPr>
                <w:rFonts w:ascii="標楷體" w:eastAsia="標楷體" w:hAnsi="標楷體" w:cs="Arial"/>
                <w:b/>
                <w:bCs/>
                <w:kern w:val="0"/>
              </w:rPr>
              <w:t>不良事件</w:t>
            </w:r>
          </w:p>
        </w:tc>
        <w:tc>
          <w:tcPr>
            <w:tcW w:w="6792"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vAlign w:val="center"/>
          </w:tcPr>
          <w:p w14:paraId="53E58EF7" w14:textId="77777777" w:rsidR="00BD776B" w:rsidRDefault="00DF0C24">
            <w:pPr>
              <w:snapToGrid w:val="0"/>
              <w:ind w:left="113" w:right="113"/>
            </w:pPr>
            <w:r>
              <w:rPr>
                <w:rFonts w:ascii="標楷體" w:eastAsia="標楷體" w:hAnsi="標楷體" w:cs="Arial"/>
                <w:b/>
                <w:bCs/>
                <w:kern w:val="0"/>
              </w:rPr>
              <w:t>最低等級簡述</w:t>
            </w:r>
          </w:p>
        </w:tc>
        <w:tc>
          <w:tcPr>
            <w:tcW w:w="1276"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vAlign w:val="center"/>
          </w:tcPr>
          <w:p w14:paraId="28AA7F8F" w14:textId="77777777" w:rsidR="00BD776B" w:rsidRDefault="00DF0C24">
            <w:pPr>
              <w:snapToGrid w:val="0"/>
              <w:ind w:left="113" w:right="113"/>
            </w:pPr>
            <w:r>
              <w:rPr>
                <w:rFonts w:ascii="標楷體" w:eastAsia="標楷體" w:hAnsi="標楷體" w:cs="Arial"/>
                <w:b/>
                <w:bCs/>
                <w:kern w:val="0"/>
              </w:rPr>
              <w:t>毒性分級</w:t>
            </w:r>
          </w:p>
        </w:tc>
      </w:tr>
      <w:tr w:rsidR="00BD776B" w14:paraId="74D3ADE4"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1AEC4304" w14:textId="77777777" w:rsidR="00BD776B" w:rsidRDefault="00DF0C24">
            <w:pPr>
              <w:snapToGrid w:val="0"/>
              <w:spacing w:before="60" w:after="60"/>
              <w:ind w:left="113" w:right="113"/>
            </w:pPr>
            <w:r>
              <w:rPr>
                <w:rFonts w:ascii="標楷體" w:eastAsia="標楷體" w:hAnsi="標楷體" w:cs="Arial"/>
                <w:b/>
                <w:kern w:val="0"/>
                <w:sz w:val="28"/>
                <w:szCs w:val="28"/>
              </w:rPr>
              <w:t>消化道</w:t>
            </w:r>
          </w:p>
        </w:tc>
      </w:tr>
      <w:tr w:rsidR="00BD776B" w14:paraId="4CAB13D7"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C301EE" w14:textId="77777777" w:rsidR="00BD776B" w:rsidRDefault="00DF0C24">
            <w:pPr>
              <w:snapToGrid w:val="0"/>
              <w:ind w:left="113" w:right="113"/>
            </w:pPr>
            <w:r>
              <w:rPr>
                <w:rFonts w:ascii="標楷體" w:eastAsia="標楷體" w:hAnsi="標楷體" w:cs="Arial"/>
                <w:kern w:val="0"/>
                <w:sz w:val="22"/>
              </w:rPr>
              <w:t>厭食</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2DFC47" w14:textId="77777777" w:rsidR="00BD776B" w:rsidRDefault="00DF0C24">
            <w:pPr>
              <w:snapToGrid w:val="0"/>
              <w:ind w:left="113" w:right="113"/>
            </w:pPr>
            <w:r>
              <w:rPr>
                <w:rFonts w:ascii="標楷體" w:eastAsia="標楷體" w:hAnsi="標楷體" w:cs="Arial"/>
                <w:kern w:val="0"/>
                <w:sz w:val="22"/>
              </w:rPr>
              <w:t>食量改變，但無體重明顯減輕的現象。需使用口服營養補充劑。</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33EA29" w14:textId="77777777" w:rsidR="00BD776B" w:rsidRDefault="00DF0C24">
            <w:pPr>
              <w:snapToGrid w:val="0"/>
              <w:ind w:left="113" w:right="113"/>
            </w:pPr>
            <w:r>
              <w:rPr>
                <w:rFonts w:ascii="標楷體" w:eastAsia="標楷體" w:hAnsi="標楷體" w:cs="Arial"/>
                <w:kern w:val="0"/>
                <w:sz w:val="22"/>
              </w:rPr>
              <w:t>2(</w:t>
            </w:r>
            <w:r>
              <w:rPr>
                <w:rFonts w:ascii="標楷體" w:eastAsia="標楷體" w:hAnsi="標楷體" w:cs="Arial"/>
                <w:sz w:val="22"/>
              </w:rPr>
              <w:t>或更高</w:t>
            </w:r>
            <w:r>
              <w:rPr>
                <w:rFonts w:ascii="標楷體" w:eastAsia="標楷體" w:hAnsi="標楷體" w:cs="Arial"/>
                <w:kern w:val="0"/>
                <w:sz w:val="22"/>
              </w:rPr>
              <w:t>)</w:t>
            </w:r>
          </w:p>
        </w:tc>
      </w:tr>
      <w:tr w:rsidR="00BD776B" w14:paraId="3B8AB3AF"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24FD24" w14:textId="77777777" w:rsidR="00BD776B" w:rsidRDefault="00DF0C24">
            <w:pPr>
              <w:snapToGrid w:val="0"/>
              <w:ind w:left="113" w:right="113"/>
            </w:pPr>
            <w:r>
              <w:rPr>
                <w:rFonts w:ascii="標楷體" w:eastAsia="標楷體" w:hAnsi="標楷體" w:cs="Arial"/>
                <w:kern w:val="0"/>
                <w:sz w:val="22"/>
              </w:rPr>
              <w:t>便秘</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102658" w14:textId="77777777" w:rsidR="00BD776B" w:rsidRDefault="00DF0C24">
            <w:pPr>
              <w:snapToGrid w:val="0"/>
              <w:ind w:left="113" w:right="113"/>
            </w:pPr>
            <w:r>
              <w:rPr>
                <w:rFonts w:ascii="標楷體" w:eastAsia="標楷體" w:hAnsi="標楷體" w:cs="Arial"/>
                <w:kern w:val="0"/>
                <w:sz w:val="22"/>
              </w:rPr>
              <w:t>症狀會對日常生活(ADLs)造成干擾，需按時使用緩瀉劑或使用灌腸劑。</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BD6C1" w14:textId="77777777" w:rsidR="00BD776B" w:rsidRDefault="00DF0C24">
            <w:pPr>
              <w:snapToGrid w:val="0"/>
              <w:ind w:left="113" w:right="113"/>
            </w:pPr>
            <w:r>
              <w:rPr>
                <w:rFonts w:ascii="標楷體" w:eastAsia="標楷體" w:hAnsi="標楷體" w:cs="Arial"/>
                <w:sz w:val="22"/>
              </w:rPr>
              <w:t>3(或更高)</w:t>
            </w:r>
          </w:p>
        </w:tc>
      </w:tr>
      <w:tr w:rsidR="00BD776B" w14:paraId="4E391B07"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C06EE" w14:textId="77777777" w:rsidR="00BD776B" w:rsidRDefault="00DF0C24">
            <w:pPr>
              <w:snapToGrid w:val="0"/>
              <w:ind w:left="113" w:right="113"/>
            </w:pPr>
            <w:r>
              <w:rPr>
                <w:rFonts w:ascii="標楷體" w:eastAsia="標楷體" w:hAnsi="標楷體" w:cs="Arial"/>
                <w:kern w:val="0"/>
                <w:sz w:val="22"/>
              </w:rPr>
              <w:t>腹瀉</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42C7CD" w14:textId="77777777" w:rsidR="00BD776B" w:rsidRDefault="00DF0C24">
            <w:pPr>
              <w:snapToGrid w:val="0"/>
              <w:ind w:left="113" w:right="113"/>
            </w:pPr>
            <w:r>
              <w:rPr>
                <w:rFonts w:ascii="標楷體" w:eastAsia="標楷體" w:hAnsi="標楷體" w:cs="Arial"/>
                <w:kern w:val="0"/>
                <w:sz w:val="22"/>
              </w:rPr>
              <w:t>比治療之前，每日排便次數增加4-6次。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80088" w14:textId="77777777" w:rsidR="00BD776B" w:rsidRDefault="00DF0C24">
            <w:pPr>
              <w:snapToGrid w:val="0"/>
              <w:ind w:left="113" w:right="113"/>
            </w:pPr>
            <w:r>
              <w:rPr>
                <w:rFonts w:ascii="標楷體" w:eastAsia="標楷體" w:hAnsi="標楷體" w:cs="Arial"/>
                <w:sz w:val="22"/>
              </w:rPr>
              <w:t>2(或更高)</w:t>
            </w:r>
          </w:p>
        </w:tc>
      </w:tr>
      <w:tr w:rsidR="00BD776B" w14:paraId="511D2555"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EA92A" w14:textId="77777777" w:rsidR="00BD776B" w:rsidRDefault="00DF0C24">
            <w:pPr>
              <w:snapToGrid w:val="0"/>
              <w:ind w:left="113" w:right="113"/>
            </w:pPr>
            <w:r>
              <w:rPr>
                <w:rFonts w:ascii="標楷體" w:eastAsia="標楷體" w:hAnsi="標楷體" w:cs="Arial"/>
                <w:kern w:val="0"/>
                <w:sz w:val="22"/>
              </w:rPr>
              <w:t>噁心</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CB75B" w14:textId="77777777" w:rsidR="00BD776B" w:rsidRDefault="00DF0C24">
            <w:pPr>
              <w:snapToGrid w:val="0"/>
              <w:ind w:left="113" w:right="113"/>
            </w:pPr>
            <w:r>
              <w:rPr>
                <w:rFonts w:ascii="標楷體" w:eastAsia="標楷體" w:hAnsi="標楷體" w:cs="Arial"/>
                <w:kern w:val="0"/>
                <w:sz w:val="22"/>
              </w:rPr>
              <w:t>食量明顯降低。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2E4B7" w14:textId="77777777" w:rsidR="00BD776B" w:rsidRDefault="00DF0C24">
            <w:pPr>
              <w:snapToGrid w:val="0"/>
              <w:ind w:left="113" w:right="113"/>
            </w:pPr>
            <w:r>
              <w:rPr>
                <w:rFonts w:ascii="標楷體" w:eastAsia="標楷體" w:hAnsi="標楷體" w:cs="Arial"/>
                <w:sz w:val="22"/>
              </w:rPr>
              <w:t>2(或更高)</w:t>
            </w:r>
          </w:p>
        </w:tc>
      </w:tr>
      <w:tr w:rsidR="00BD776B" w14:paraId="004974E4"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E1A73" w14:textId="77777777" w:rsidR="00BD776B" w:rsidRDefault="00DF0C24">
            <w:pPr>
              <w:snapToGrid w:val="0"/>
              <w:ind w:left="113" w:right="113"/>
            </w:pPr>
            <w:r>
              <w:rPr>
                <w:rFonts w:ascii="標楷體" w:eastAsia="標楷體" w:hAnsi="標楷體" w:cs="Arial"/>
                <w:kern w:val="0"/>
                <w:sz w:val="22"/>
              </w:rPr>
              <w:t>非潰瘍性消化不良</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98F30" w14:textId="77777777" w:rsidR="00BD776B" w:rsidRDefault="00DF0C24">
            <w:pPr>
              <w:snapToGrid w:val="0"/>
              <w:ind w:left="113" w:right="113"/>
            </w:pPr>
            <w:r>
              <w:rPr>
                <w:rFonts w:ascii="標楷體" w:eastAsia="標楷體" w:hAnsi="標楷體" w:cs="Arial"/>
                <w:kern w:val="0"/>
                <w:sz w:val="22"/>
              </w:rPr>
              <w:t>每24小時發作大於2次，至少連續5天，且無法對同時施行的標準消化不良治療產生反應。重新使用NSAID治療至少一次，結果仍然失敗。</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B6DD03" w14:textId="77777777" w:rsidR="00BD776B" w:rsidRDefault="00DF0C24">
            <w:pPr>
              <w:snapToGrid w:val="0"/>
              <w:ind w:left="113" w:right="113"/>
            </w:pPr>
            <w:r>
              <w:rPr>
                <w:rFonts w:ascii="標楷體" w:eastAsia="標楷體" w:hAnsi="標楷體" w:cs="Arial"/>
                <w:sz w:val="22"/>
              </w:rPr>
              <w:t>2(或更高)</w:t>
            </w:r>
          </w:p>
        </w:tc>
      </w:tr>
      <w:tr w:rsidR="00BD776B" w14:paraId="138F5D86"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15F62B" w14:textId="77777777" w:rsidR="00BD776B" w:rsidRDefault="00DF0C24">
            <w:pPr>
              <w:snapToGrid w:val="0"/>
              <w:ind w:left="113" w:right="113"/>
            </w:pPr>
            <w:r>
              <w:rPr>
                <w:rFonts w:ascii="標楷體" w:eastAsia="標楷體" w:hAnsi="標楷體" w:cs="Arial"/>
                <w:kern w:val="0"/>
                <w:sz w:val="22"/>
              </w:rPr>
              <w:t>口腔炎</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190F5" w14:textId="77777777" w:rsidR="00BD776B" w:rsidRDefault="00DF0C24">
            <w:pPr>
              <w:snapToGrid w:val="0"/>
              <w:ind w:left="113" w:right="113"/>
            </w:pPr>
            <w:r>
              <w:rPr>
                <w:rFonts w:ascii="標楷體" w:eastAsia="標楷體" w:hAnsi="標楷體" w:cs="Arial"/>
                <w:kern w:val="0"/>
                <w:sz w:val="22"/>
              </w:rPr>
              <w:t>出現疼痛性紅斑、水腫或潰瘍，但仍可進食或吞嚥。</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72FE37" w14:textId="77777777" w:rsidR="00BD776B" w:rsidRDefault="00DF0C24">
            <w:pPr>
              <w:snapToGrid w:val="0"/>
              <w:ind w:left="113" w:right="113"/>
            </w:pPr>
            <w:r>
              <w:rPr>
                <w:rFonts w:ascii="標楷體" w:eastAsia="標楷體" w:hAnsi="標楷體" w:cs="Arial"/>
                <w:sz w:val="22"/>
              </w:rPr>
              <w:t>2(或更高)</w:t>
            </w:r>
          </w:p>
        </w:tc>
      </w:tr>
      <w:tr w:rsidR="00BD776B" w14:paraId="7FDEE789"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3937A" w14:textId="77777777" w:rsidR="00BD776B" w:rsidRDefault="00DF0C24">
            <w:pPr>
              <w:snapToGrid w:val="0"/>
              <w:ind w:left="113" w:right="113"/>
            </w:pPr>
            <w:r>
              <w:rPr>
                <w:rFonts w:ascii="標楷體" w:eastAsia="標楷體" w:hAnsi="標楷體" w:cs="Arial"/>
                <w:kern w:val="0"/>
                <w:sz w:val="22"/>
              </w:rPr>
              <w:t>嘔吐</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D9931" w14:textId="77777777" w:rsidR="00BD776B" w:rsidRDefault="00DF0C24">
            <w:pPr>
              <w:snapToGrid w:val="0"/>
              <w:ind w:left="113" w:right="113"/>
            </w:pPr>
            <w:r>
              <w:rPr>
                <w:rFonts w:ascii="標楷體" w:eastAsia="標楷體" w:hAnsi="標楷體" w:cs="Arial"/>
                <w:kern w:val="0"/>
                <w:sz w:val="22"/>
              </w:rPr>
              <w:t>24小時內發生兩次(含)以上。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ADFF7" w14:textId="77777777" w:rsidR="00BD776B" w:rsidRDefault="00DF0C24">
            <w:pPr>
              <w:snapToGrid w:val="0"/>
              <w:ind w:left="113" w:right="113"/>
            </w:pPr>
            <w:r>
              <w:rPr>
                <w:rFonts w:ascii="標楷體" w:eastAsia="標楷體" w:hAnsi="標楷體" w:cs="Arial"/>
                <w:sz w:val="22"/>
              </w:rPr>
              <w:t>1(或更高)</w:t>
            </w:r>
          </w:p>
        </w:tc>
      </w:tr>
      <w:tr w:rsidR="00BD776B" w14:paraId="13990B1A"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6566B0" w14:textId="77777777" w:rsidR="00BD776B" w:rsidRDefault="00DF0C24">
            <w:pPr>
              <w:snapToGrid w:val="0"/>
              <w:ind w:left="113" w:right="113"/>
            </w:pPr>
            <w:r>
              <w:rPr>
                <w:rFonts w:ascii="標楷體" w:eastAsia="標楷體" w:hAnsi="標楷體" w:cs="Arial"/>
                <w:kern w:val="0"/>
                <w:sz w:val="22"/>
              </w:rPr>
              <w:t>體重增加/減輕</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21216A" w14:textId="77777777" w:rsidR="00BD776B" w:rsidRDefault="00DF0C24">
            <w:pPr>
              <w:snapToGrid w:val="0"/>
              <w:ind w:left="113" w:right="113"/>
            </w:pPr>
            <w:r>
              <w:rPr>
                <w:rFonts w:ascii="標楷體" w:eastAsia="標楷體" w:hAnsi="標楷體" w:cs="Arial"/>
                <w:kern w:val="0"/>
                <w:sz w:val="22"/>
              </w:rPr>
              <w:t>體重增加或減輕20%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0BB12F" w14:textId="77777777" w:rsidR="00BD776B" w:rsidRDefault="00DF0C24">
            <w:pPr>
              <w:snapToGrid w:val="0"/>
              <w:ind w:left="113" w:right="113"/>
            </w:pPr>
            <w:r>
              <w:rPr>
                <w:rFonts w:ascii="標楷體" w:eastAsia="標楷體" w:hAnsi="標楷體" w:cs="Arial"/>
                <w:sz w:val="22"/>
              </w:rPr>
              <w:t>3(或更高)</w:t>
            </w:r>
          </w:p>
        </w:tc>
      </w:tr>
      <w:tr w:rsidR="00BD776B" w14:paraId="00123C3E"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714BB2AB" w14:textId="77777777" w:rsidR="00BD776B" w:rsidRDefault="00DF0C24">
            <w:pPr>
              <w:snapToGrid w:val="0"/>
              <w:spacing w:before="60" w:after="60"/>
              <w:ind w:left="113" w:right="113"/>
            </w:pPr>
            <w:r>
              <w:rPr>
                <w:rFonts w:ascii="標楷體" w:eastAsia="標楷體" w:hAnsi="標楷體" w:cs="Arial"/>
                <w:b/>
                <w:kern w:val="0"/>
                <w:sz w:val="28"/>
                <w:szCs w:val="28"/>
              </w:rPr>
              <w:t>血液</w:t>
            </w:r>
          </w:p>
        </w:tc>
      </w:tr>
      <w:tr w:rsidR="00BD776B" w14:paraId="6E43B0D4"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DBC36" w14:textId="77777777" w:rsidR="00BD776B" w:rsidRDefault="00DF0C24">
            <w:pPr>
              <w:snapToGrid w:val="0"/>
              <w:ind w:left="113" w:right="113"/>
            </w:pPr>
            <w:r>
              <w:rPr>
                <w:rFonts w:ascii="標楷體" w:eastAsia="標楷體" w:hAnsi="標楷體" w:cs="Wingdings"/>
                <w:kern w:val="0"/>
                <w:sz w:val="22"/>
              </w:rPr>
              <w:t></w:t>
            </w:r>
            <w:r>
              <w:rPr>
                <w:rFonts w:ascii="標楷體" w:eastAsia="標楷體" w:hAnsi="標楷體" w:cs="Arial"/>
                <w:kern w:val="0"/>
                <w:sz w:val="22"/>
              </w:rPr>
              <w:t>凝血酶原時間(PT)</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A4B77" w14:textId="77777777" w:rsidR="00BD776B" w:rsidRDefault="00DF0C24">
            <w:pPr>
              <w:snapToGrid w:val="0"/>
              <w:ind w:left="113" w:right="113"/>
            </w:pPr>
            <w:r>
              <w:rPr>
                <w:rFonts w:ascii="標楷體" w:eastAsia="標楷體" w:hAnsi="標楷體" w:cs="Arial"/>
                <w:kern w:val="0"/>
                <w:sz w:val="22"/>
              </w:rPr>
              <w:t>PT&gt;2xULN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3E18A1" w14:textId="77777777" w:rsidR="00BD776B" w:rsidRDefault="00DF0C24">
            <w:pPr>
              <w:snapToGrid w:val="0"/>
              <w:ind w:left="113" w:right="113"/>
            </w:pPr>
            <w:r>
              <w:rPr>
                <w:rFonts w:ascii="標楷體" w:eastAsia="標楷體" w:hAnsi="標楷體" w:cs="Arial"/>
                <w:sz w:val="22"/>
              </w:rPr>
              <w:t>3(或更高)</w:t>
            </w:r>
          </w:p>
        </w:tc>
      </w:tr>
      <w:tr w:rsidR="00BD776B" w14:paraId="0ED4B1D5"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394C6" w14:textId="77777777" w:rsidR="00BD776B" w:rsidRDefault="00DF0C24">
            <w:pPr>
              <w:snapToGrid w:val="0"/>
              <w:ind w:left="113" w:right="113"/>
            </w:pPr>
            <w:r>
              <w:rPr>
                <w:rFonts w:ascii="標楷體" w:eastAsia="標楷體" w:hAnsi="標楷體" w:cs="Arial"/>
                <w:kern w:val="0"/>
                <w:sz w:val="22"/>
              </w:rPr>
              <w:t>貧血</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CF4F29" w14:textId="77777777" w:rsidR="00BD776B" w:rsidRDefault="00DF0C24">
            <w:pPr>
              <w:snapToGrid w:val="0"/>
              <w:ind w:left="113" w:right="113"/>
            </w:pPr>
            <w:r>
              <w:rPr>
                <w:rFonts w:ascii="標楷體" w:eastAsia="標楷體" w:hAnsi="標楷體" w:cs="Arial"/>
                <w:kern w:val="0"/>
                <w:sz w:val="22"/>
              </w:rPr>
              <w:t>Hb&lt;8.0g/dL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CD2EE" w14:textId="77777777" w:rsidR="00BD776B" w:rsidRDefault="00DF0C24">
            <w:pPr>
              <w:snapToGrid w:val="0"/>
              <w:ind w:left="113" w:right="113"/>
            </w:pPr>
            <w:r>
              <w:rPr>
                <w:rFonts w:ascii="標楷體" w:eastAsia="標楷體" w:hAnsi="標楷體" w:cs="Arial"/>
                <w:sz w:val="22"/>
              </w:rPr>
              <w:t>3(或更高)</w:t>
            </w:r>
          </w:p>
        </w:tc>
      </w:tr>
      <w:tr w:rsidR="00BD776B" w14:paraId="2C720658"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6E2CB" w14:textId="77777777" w:rsidR="00BD776B" w:rsidRDefault="00DF0C24">
            <w:pPr>
              <w:snapToGrid w:val="0"/>
              <w:ind w:left="113" w:right="113"/>
            </w:pPr>
            <w:r>
              <w:rPr>
                <w:rFonts w:ascii="標楷體" w:eastAsia="標楷體" w:hAnsi="標楷體" w:cs="Arial"/>
                <w:kern w:val="0"/>
                <w:sz w:val="22"/>
              </w:rPr>
              <w:t>溶血現象</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731E1" w14:textId="77777777" w:rsidR="00BD776B" w:rsidRDefault="00DF0C24">
            <w:pPr>
              <w:snapToGrid w:val="0"/>
              <w:ind w:left="113" w:right="113"/>
            </w:pPr>
            <w:r>
              <w:rPr>
                <w:rFonts w:ascii="標楷體" w:eastAsia="標楷體" w:hAnsi="標楷體" w:cs="Arial"/>
                <w:kern w:val="0"/>
                <w:sz w:val="22"/>
              </w:rPr>
              <w:t>有證據顯示紅血球破壞程度且Hb下降</w:t>
            </w:r>
            <w:r>
              <w:rPr>
                <w:rFonts w:ascii="標楷體" w:eastAsia="標楷體" w:hAnsi="標楷體" w:cs="Symbol"/>
                <w:kern w:val="0"/>
                <w:sz w:val="22"/>
              </w:rPr>
              <w:t></w:t>
            </w:r>
            <w:r>
              <w:rPr>
                <w:rFonts w:ascii="標楷體" w:eastAsia="標楷體" w:hAnsi="標楷體" w:cs="Arial"/>
                <w:kern w:val="0"/>
                <w:sz w:val="22"/>
              </w:rPr>
              <w:t>2gm/dL，但不需輸血。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15E0E" w14:textId="77777777" w:rsidR="00BD776B" w:rsidRDefault="00DF0C24">
            <w:pPr>
              <w:snapToGrid w:val="0"/>
              <w:ind w:left="113" w:right="113"/>
            </w:pPr>
            <w:r>
              <w:rPr>
                <w:rFonts w:ascii="標楷體" w:eastAsia="標楷體" w:hAnsi="標楷體" w:cs="Arial"/>
                <w:sz w:val="22"/>
              </w:rPr>
              <w:t>2(或更高)</w:t>
            </w:r>
          </w:p>
        </w:tc>
      </w:tr>
      <w:tr w:rsidR="00BD776B" w14:paraId="31D15FAD"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A2DD8" w14:textId="77777777" w:rsidR="00BD776B" w:rsidRDefault="00DF0C24">
            <w:pPr>
              <w:snapToGrid w:val="0"/>
              <w:ind w:left="113" w:right="113"/>
            </w:pPr>
            <w:r>
              <w:rPr>
                <w:rFonts w:ascii="標楷體" w:eastAsia="標楷體" w:hAnsi="標楷體" w:cs="Arial"/>
                <w:kern w:val="0"/>
                <w:sz w:val="22"/>
              </w:rPr>
              <w:t>出血</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6D8312" w14:textId="77777777" w:rsidR="00BD776B" w:rsidRDefault="00DF0C24">
            <w:pPr>
              <w:snapToGrid w:val="0"/>
              <w:ind w:left="113" w:right="113"/>
            </w:pPr>
            <w:r>
              <w:rPr>
                <w:rFonts w:ascii="標楷體" w:eastAsia="標楷體" w:hAnsi="標楷體" w:cs="Arial"/>
                <w:kern w:val="0"/>
                <w:sz w:val="22"/>
              </w:rPr>
              <w:t>出現症狀，需進行輸血/手術或內視鏡治療。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A2DF1" w14:textId="77777777" w:rsidR="00BD776B" w:rsidRDefault="00DF0C24">
            <w:pPr>
              <w:snapToGrid w:val="0"/>
              <w:ind w:left="113" w:right="113"/>
            </w:pPr>
            <w:r>
              <w:rPr>
                <w:rFonts w:ascii="標楷體" w:eastAsia="標楷體" w:hAnsi="標楷體" w:cs="Arial"/>
                <w:sz w:val="22"/>
              </w:rPr>
              <w:t>3(或更高)</w:t>
            </w:r>
          </w:p>
        </w:tc>
      </w:tr>
      <w:tr w:rsidR="00BD776B" w14:paraId="6A3ACB9C"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50439E" w14:textId="77777777" w:rsidR="00BD776B" w:rsidRDefault="00DF0C24">
            <w:pPr>
              <w:snapToGrid w:val="0"/>
              <w:ind w:left="113" w:right="113"/>
            </w:pPr>
            <w:r>
              <w:rPr>
                <w:rFonts w:ascii="標楷體" w:eastAsia="標楷體" w:hAnsi="標楷體" w:cs="Arial"/>
                <w:kern w:val="0"/>
                <w:sz w:val="22"/>
              </w:rPr>
              <w:t>白血球減少症</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3EE116" w14:textId="77777777" w:rsidR="00BD776B" w:rsidRDefault="00DF0C24">
            <w:pPr>
              <w:snapToGrid w:val="0"/>
              <w:ind w:left="113" w:right="113"/>
            </w:pPr>
            <w:r>
              <w:rPr>
                <w:rFonts w:ascii="標楷體" w:eastAsia="標楷體" w:hAnsi="標楷體" w:cs="Arial"/>
                <w:kern w:val="0"/>
                <w:sz w:val="22"/>
              </w:rPr>
              <w:t>WBC&lt;3,000/mm</w:t>
            </w:r>
            <w:r>
              <w:rPr>
                <w:rFonts w:ascii="標楷體" w:eastAsia="標楷體" w:hAnsi="標楷體" w:cs="Arial"/>
                <w:kern w:val="0"/>
                <w:position w:val="6"/>
                <w:sz w:val="22"/>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DD6EA" w14:textId="77777777" w:rsidR="00BD776B" w:rsidRDefault="00DF0C24">
            <w:pPr>
              <w:snapToGrid w:val="0"/>
              <w:ind w:left="113" w:right="113"/>
            </w:pPr>
            <w:r>
              <w:rPr>
                <w:rFonts w:ascii="標楷體" w:eastAsia="標楷體" w:hAnsi="標楷體" w:cs="Arial"/>
                <w:sz w:val="22"/>
              </w:rPr>
              <w:t>3(或更高)</w:t>
            </w:r>
          </w:p>
        </w:tc>
      </w:tr>
      <w:tr w:rsidR="00BD776B" w14:paraId="5750B1F1"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A2227F" w14:textId="77777777" w:rsidR="00BD776B" w:rsidRDefault="00DF0C24">
            <w:pPr>
              <w:snapToGrid w:val="0"/>
              <w:ind w:left="113" w:right="113"/>
            </w:pPr>
            <w:r>
              <w:rPr>
                <w:rFonts w:ascii="標楷體" w:eastAsia="標楷體" w:hAnsi="標楷體" w:cs="Arial"/>
                <w:kern w:val="0"/>
                <w:sz w:val="22"/>
              </w:rPr>
              <w:t>嗜中性白血球低下症</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24186" w14:textId="77777777" w:rsidR="00BD776B" w:rsidRDefault="00DF0C24">
            <w:pPr>
              <w:snapToGrid w:val="0"/>
              <w:ind w:left="113" w:right="113"/>
            </w:pPr>
            <w:r>
              <w:rPr>
                <w:rFonts w:ascii="標楷體" w:eastAsia="標楷體" w:hAnsi="標楷體" w:cs="Arial"/>
                <w:kern w:val="0"/>
                <w:sz w:val="22"/>
              </w:rPr>
              <w:t>嗜中性白血球計數&lt;1,500/mm</w:t>
            </w:r>
            <w:r>
              <w:rPr>
                <w:rFonts w:ascii="標楷體" w:eastAsia="標楷體" w:hAnsi="標楷體" w:cs="Arial"/>
                <w:kern w:val="0"/>
                <w:position w:val="6"/>
                <w:sz w:val="22"/>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686E00" w14:textId="77777777" w:rsidR="00BD776B" w:rsidRDefault="00DF0C24">
            <w:pPr>
              <w:snapToGrid w:val="0"/>
              <w:ind w:left="113" w:right="113"/>
            </w:pPr>
            <w:r>
              <w:rPr>
                <w:rFonts w:ascii="標楷體" w:eastAsia="標楷體" w:hAnsi="標楷體" w:cs="Arial"/>
                <w:sz w:val="22"/>
              </w:rPr>
              <w:t>2(或更高)</w:t>
            </w:r>
          </w:p>
        </w:tc>
      </w:tr>
      <w:tr w:rsidR="00BD776B" w14:paraId="269DD213"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75061" w14:textId="77777777" w:rsidR="00BD776B" w:rsidRDefault="00DF0C24">
            <w:pPr>
              <w:snapToGrid w:val="0"/>
              <w:ind w:left="113" w:right="113"/>
            </w:pPr>
            <w:r>
              <w:rPr>
                <w:rFonts w:ascii="標楷體" w:eastAsia="標楷體" w:hAnsi="標楷體" w:cs="Arial"/>
                <w:kern w:val="0"/>
                <w:sz w:val="22"/>
              </w:rPr>
              <w:t>靜脈炎</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36D4E" w14:textId="77777777" w:rsidR="00BD776B" w:rsidRDefault="00DF0C24">
            <w:pPr>
              <w:snapToGrid w:val="0"/>
              <w:ind w:left="113" w:right="113"/>
            </w:pPr>
            <w:r>
              <w:rPr>
                <w:rFonts w:ascii="標楷體" w:eastAsia="標楷體" w:hAnsi="標楷體" w:cs="Arial"/>
                <w:kern w:val="0"/>
                <w:sz w:val="22"/>
              </w:rPr>
              <w:t>發生靜脈炎。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541E5" w14:textId="77777777" w:rsidR="00BD776B" w:rsidRDefault="00DF0C24">
            <w:pPr>
              <w:snapToGrid w:val="0"/>
              <w:ind w:left="113" w:right="113"/>
            </w:pPr>
            <w:r>
              <w:rPr>
                <w:rFonts w:ascii="標楷體" w:eastAsia="標楷體" w:hAnsi="標楷體" w:cs="Arial"/>
                <w:sz w:val="22"/>
              </w:rPr>
              <w:t>2(或更高)</w:t>
            </w:r>
          </w:p>
        </w:tc>
      </w:tr>
      <w:tr w:rsidR="00BD776B" w14:paraId="631CE0E0"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0DB54" w14:textId="77777777" w:rsidR="00BD776B" w:rsidRDefault="00DF0C24">
            <w:pPr>
              <w:snapToGrid w:val="0"/>
              <w:ind w:left="113" w:right="113"/>
            </w:pPr>
            <w:r>
              <w:rPr>
                <w:rFonts w:ascii="標楷體" w:eastAsia="標楷體" w:hAnsi="標楷體" w:cs="Arial"/>
                <w:kern w:val="0"/>
                <w:sz w:val="22"/>
              </w:rPr>
              <w:t>血小板減少症</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AD060" w14:textId="77777777" w:rsidR="00BD776B" w:rsidRDefault="00DF0C24">
            <w:pPr>
              <w:snapToGrid w:val="0"/>
              <w:ind w:left="113" w:right="113"/>
            </w:pPr>
            <w:r>
              <w:rPr>
                <w:rFonts w:ascii="標楷體" w:eastAsia="標楷體" w:hAnsi="標楷體" w:cs="Arial"/>
                <w:kern w:val="0"/>
                <w:sz w:val="22"/>
              </w:rPr>
              <w:t>血小板計數&lt;100,000/mm</w:t>
            </w:r>
            <w:r>
              <w:rPr>
                <w:rFonts w:ascii="標楷體" w:eastAsia="標楷體" w:hAnsi="標楷體" w:cs="Arial"/>
                <w:kern w:val="0"/>
                <w:position w:val="6"/>
                <w:sz w:val="22"/>
              </w:rPr>
              <w:t>3</w:t>
            </w:r>
            <w:r>
              <w:rPr>
                <w:rFonts w:ascii="標楷體" w:eastAsia="標楷體" w:hAnsi="標楷體" w:cs="Arial"/>
                <w:kern w:val="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58C8D1" w14:textId="77777777" w:rsidR="00BD776B" w:rsidRDefault="00DF0C24">
            <w:pPr>
              <w:snapToGrid w:val="0"/>
              <w:ind w:left="113" w:right="113"/>
            </w:pPr>
            <w:r>
              <w:rPr>
                <w:rFonts w:ascii="標楷體" w:eastAsia="標楷體" w:hAnsi="標楷體" w:cs="Arial"/>
                <w:sz w:val="22"/>
              </w:rPr>
              <w:t>3(或更高)</w:t>
            </w:r>
          </w:p>
        </w:tc>
      </w:tr>
      <w:tr w:rsidR="00BD776B" w14:paraId="252CE8A2"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65EBE13E" w14:textId="77777777" w:rsidR="00BD776B" w:rsidRDefault="00DF0C24">
            <w:pPr>
              <w:snapToGrid w:val="0"/>
              <w:spacing w:before="60" w:after="60"/>
              <w:ind w:left="113" w:right="113"/>
              <w:rPr>
                <w:rFonts w:ascii="標楷體" w:eastAsia="標楷體" w:hAnsi="標楷體" w:cs="Arial"/>
                <w:b/>
                <w:sz w:val="28"/>
              </w:rPr>
            </w:pPr>
            <w:r>
              <w:rPr>
                <w:rFonts w:ascii="標楷體" w:eastAsia="標楷體" w:hAnsi="標楷體" w:cs="Arial"/>
                <w:b/>
                <w:sz w:val="28"/>
              </w:rPr>
              <w:t>心血管</w:t>
            </w:r>
          </w:p>
        </w:tc>
      </w:tr>
      <w:tr w:rsidR="00BD776B" w14:paraId="1DB6516B"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551EA" w14:textId="77777777" w:rsidR="00BD776B" w:rsidRDefault="00DF0C24">
            <w:pPr>
              <w:snapToGrid w:val="0"/>
              <w:ind w:left="113" w:right="113"/>
            </w:pPr>
            <w:r>
              <w:rPr>
                <w:rFonts w:ascii="標楷體" w:eastAsia="標楷體" w:hAnsi="標楷體" w:cs="Arial"/>
                <w:kern w:val="0"/>
                <w:sz w:val="22"/>
              </w:rPr>
              <w:t>心律不整</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844749" w14:textId="77777777" w:rsidR="00BD776B" w:rsidRDefault="00DF0C24">
            <w:pPr>
              <w:snapToGrid w:val="0"/>
              <w:ind w:left="113" w:right="113"/>
            </w:pPr>
            <w:r>
              <w:rPr>
                <w:rFonts w:ascii="標楷體" w:eastAsia="標楷體" w:hAnsi="標楷體" w:cs="Arial"/>
                <w:kern w:val="0"/>
                <w:sz w:val="22"/>
              </w:rPr>
              <w:t>出現症狀且需接受治療。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FAE15" w14:textId="77777777" w:rsidR="00BD776B" w:rsidRDefault="00DF0C24">
            <w:pPr>
              <w:snapToGrid w:val="0"/>
              <w:ind w:left="113" w:right="113"/>
            </w:pPr>
            <w:r>
              <w:rPr>
                <w:rFonts w:ascii="標楷體" w:eastAsia="標楷體" w:hAnsi="標楷體" w:cs="Arial"/>
                <w:sz w:val="22"/>
              </w:rPr>
              <w:t>3(或更高)</w:t>
            </w:r>
          </w:p>
        </w:tc>
      </w:tr>
      <w:tr w:rsidR="00BD776B" w14:paraId="04F8CA0C"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E3E06" w14:textId="77777777" w:rsidR="00BD776B" w:rsidRDefault="00DF0C24">
            <w:pPr>
              <w:snapToGrid w:val="0"/>
              <w:ind w:left="113" w:right="113"/>
            </w:pPr>
            <w:r>
              <w:rPr>
                <w:rFonts w:ascii="標楷體" w:eastAsia="標楷體" w:hAnsi="標楷體" w:cs="Arial"/>
                <w:kern w:val="0"/>
                <w:sz w:val="22"/>
              </w:rPr>
              <w:t>心臟功能</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E6950" w14:textId="77777777" w:rsidR="00BD776B" w:rsidRDefault="00DF0C24">
            <w:pPr>
              <w:snapToGrid w:val="0"/>
              <w:ind w:left="113" w:right="113"/>
            </w:pPr>
            <w:r>
              <w:rPr>
                <w:rFonts w:ascii="標楷體" w:eastAsia="標楷體" w:hAnsi="標楷體" w:cs="Arial"/>
                <w:kern w:val="0"/>
                <w:sz w:val="22"/>
              </w:rPr>
              <w:t>對治療產生鬱血性心臟衰竭。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9AE2BA" w14:textId="77777777" w:rsidR="00BD776B" w:rsidRDefault="00DF0C24">
            <w:pPr>
              <w:snapToGrid w:val="0"/>
              <w:ind w:left="113" w:right="113"/>
            </w:pPr>
            <w:r>
              <w:rPr>
                <w:rFonts w:ascii="標楷體" w:eastAsia="標楷體" w:hAnsi="標楷體" w:cs="Arial"/>
                <w:sz w:val="22"/>
              </w:rPr>
              <w:t>3(或更高)</w:t>
            </w:r>
          </w:p>
        </w:tc>
      </w:tr>
      <w:tr w:rsidR="00BD776B" w14:paraId="099EFD4D"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BE4FB" w14:textId="77777777" w:rsidR="00BD776B" w:rsidRDefault="00DF0C24">
            <w:pPr>
              <w:snapToGrid w:val="0"/>
              <w:ind w:left="113" w:right="113"/>
            </w:pPr>
            <w:r>
              <w:rPr>
                <w:rFonts w:ascii="標楷體" w:eastAsia="標楷體" w:hAnsi="標楷體" w:cs="Arial"/>
                <w:kern w:val="0"/>
                <w:sz w:val="22"/>
              </w:rPr>
              <w:t>高血壓</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C5AFB" w14:textId="77777777" w:rsidR="00BD776B" w:rsidRDefault="00DF0C24">
            <w:pPr>
              <w:snapToGrid w:val="0"/>
              <w:ind w:left="113" w:right="113"/>
            </w:pPr>
            <w:r>
              <w:rPr>
                <w:rFonts w:ascii="標楷體" w:eastAsia="標楷體" w:hAnsi="標楷體" w:cs="Arial"/>
                <w:kern w:val="0"/>
                <w:sz w:val="22"/>
              </w:rPr>
              <w:t>收縮壓上升20mmHg，或原本正常的血壓升高至&gt;150/100。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7B3B4E" w14:textId="77777777" w:rsidR="00BD776B" w:rsidRDefault="00DF0C24">
            <w:pPr>
              <w:snapToGrid w:val="0"/>
              <w:ind w:left="113" w:right="113"/>
            </w:pPr>
            <w:r>
              <w:rPr>
                <w:rFonts w:ascii="標楷體" w:eastAsia="標楷體" w:hAnsi="標楷體" w:cs="Arial"/>
                <w:sz w:val="22"/>
              </w:rPr>
              <w:t>2(或更高)</w:t>
            </w:r>
          </w:p>
        </w:tc>
      </w:tr>
      <w:tr w:rsidR="00BD776B" w14:paraId="520D1CBB"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681DE8" w14:textId="77777777" w:rsidR="00BD776B" w:rsidRDefault="00DF0C24">
            <w:pPr>
              <w:snapToGrid w:val="0"/>
              <w:ind w:left="113" w:right="113"/>
            </w:pPr>
            <w:r>
              <w:rPr>
                <w:rFonts w:ascii="標楷體" w:eastAsia="標楷體" w:hAnsi="標楷體" w:cs="Arial"/>
                <w:kern w:val="0"/>
                <w:sz w:val="22"/>
              </w:rPr>
              <w:t>局部缺血</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02A31" w14:textId="77777777" w:rsidR="00BD776B" w:rsidRDefault="00DF0C24">
            <w:pPr>
              <w:snapToGrid w:val="0"/>
              <w:ind w:left="113" w:right="113"/>
            </w:pPr>
            <w:r>
              <w:rPr>
                <w:rFonts w:ascii="標楷體" w:eastAsia="標楷體" w:hAnsi="標楷體" w:cs="Arial"/>
                <w:kern w:val="0"/>
                <w:sz w:val="22"/>
              </w:rPr>
              <w:t>需接受手術治療。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6F7CA1" w14:textId="77777777" w:rsidR="00BD776B" w:rsidRDefault="00DF0C24">
            <w:pPr>
              <w:snapToGrid w:val="0"/>
              <w:ind w:left="113" w:right="113"/>
            </w:pPr>
            <w:r>
              <w:rPr>
                <w:rFonts w:ascii="標楷體" w:eastAsia="標楷體" w:hAnsi="標楷體" w:cs="Arial"/>
                <w:sz w:val="22"/>
              </w:rPr>
              <w:t>3(或更高)</w:t>
            </w:r>
          </w:p>
        </w:tc>
      </w:tr>
      <w:tr w:rsidR="00BD776B" w14:paraId="6CDDD09A"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40F85" w14:textId="77777777" w:rsidR="00BD776B" w:rsidRDefault="00DF0C24">
            <w:pPr>
              <w:snapToGrid w:val="0"/>
              <w:ind w:left="113" w:right="113"/>
            </w:pPr>
            <w:r>
              <w:rPr>
                <w:rFonts w:ascii="標楷體" w:eastAsia="標楷體" w:hAnsi="標楷體" w:cs="Arial"/>
                <w:kern w:val="0"/>
                <w:sz w:val="22"/>
              </w:rPr>
              <w:t>心包積水/心包炎</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43624" w14:textId="77777777" w:rsidR="00BD776B" w:rsidRDefault="00DF0C24">
            <w:pPr>
              <w:snapToGrid w:val="0"/>
              <w:ind w:left="113" w:right="113"/>
            </w:pPr>
            <w:r>
              <w:rPr>
                <w:rFonts w:ascii="標楷體" w:eastAsia="標楷體" w:hAnsi="標楷體" w:cs="Arial"/>
                <w:kern w:val="0"/>
                <w:sz w:val="22"/>
              </w:rPr>
              <w:t>心包炎(心包摩擦音、ECG出現變化、或胸痛)。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DA7DF" w14:textId="77777777" w:rsidR="00BD776B" w:rsidRDefault="00DF0C24">
            <w:pPr>
              <w:snapToGrid w:val="0"/>
              <w:ind w:left="113" w:right="113"/>
            </w:pPr>
            <w:r>
              <w:rPr>
                <w:rFonts w:ascii="標楷體" w:eastAsia="標楷體" w:hAnsi="標楷體" w:cs="Arial"/>
                <w:sz w:val="22"/>
              </w:rPr>
              <w:t>2(或更高)</w:t>
            </w:r>
          </w:p>
        </w:tc>
      </w:tr>
      <w:tr w:rsidR="00BD776B" w14:paraId="3F1D54B5"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1498A5CD" w14:textId="77777777" w:rsidR="00BD776B" w:rsidRDefault="00DF0C24">
            <w:pPr>
              <w:snapToGrid w:val="0"/>
              <w:spacing w:before="60" w:after="60"/>
              <w:ind w:left="113" w:right="113"/>
            </w:pPr>
            <w:r>
              <w:rPr>
                <w:rFonts w:ascii="標楷體" w:eastAsia="標楷體" w:hAnsi="標楷體" w:cs="Arial"/>
                <w:b/>
                <w:kern w:val="0"/>
                <w:sz w:val="28"/>
                <w:szCs w:val="28"/>
              </w:rPr>
              <w:t>中樞神經系統</w:t>
            </w:r>
          </w:p>
        </w:tc>
      </w:tr>
      <w:tr w:rsidR="00BD776B" w14:paraId="7E766B7E"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47762C" w14:textId="77777777" w:rsidR="00BD776B" w:rsidRDefault="00DF0C24">
            <w:pPr>
              <w:snapToGrid w:val="0"/>
              <w:ind w:left="113" w:right="113"/>
            </w:pPr>
            <w:r>
              <w:rPr>
                <w:rFonts w:ascii="標楷體" w:eastAsia="標楷體" w:hAnsi="標楷體" w:cs="Arial"/>
                <w:kern w:val="0"/>
                <w:sz w:val="22"/>
              </w:rPr>
              <w:t>運動失調</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D6EB2" w14:textId="77777777" w:rsidR="00BD776B" w:rsidRDefault="00DF0C24">
            <w:pPr>
              <w:snapToGrid w:val="0"/>
              <w:ind w:left="113" w:right="113"/>
            </w:pPr>
            <w:r>
              <w:rPr>
                <w:rFonts w:ascii="標楷體" w:eastAsia="標楷體" w:hAnsi="標楷體" w:cs="Arial"/>
                <w:kern w:val="0"/>
                <w:sz w:val="22"/>
              </w:rPr>
              <w:t>出現輕度症狀，會干擾身體功能，但不影響日常活動。</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C6E0B" w14:textId="77777777" w:rsidR="00BD776B" w:rsidRDefault="00DF0C24">
            <w:pPr>
              <w:snapToGrid w:val="0"/>
              <w:ind w:left="113" w:right="113"/>
            </w:pPr>
            <w:r>
              <w:rPr>
                <w:rFonts w:ascii="標楷體" w:eastAsia="標楷體" w:hAnsi="標楷體" w:cs="Arial"/>
                <w:kern w:val="0"/>
                <w:sz w:val="22"/>
              </w:rPr>
              <w:t>2(</w:t>
            </w:r>
            <w:r>
              <w:rPr>
                <w:rFonts w:ascii="標楷體" w:eastAsia="標楷體" w:hAnsi="標楷體" w:cs="Arial"/>
                <w:sz w:val="22"/>
              </w:rPr>
              <w:t>或更高</w:t>
            </w:r>
            <w:r>
              <w:rPr>
                <w:rFonts w:ascii="標楷體" w:eastAsia="標楷體" w:hAnsi="標楷體" w:cs="Arial"/>
                <w:kern w:val="0"/>
                <w:sz w:val="22"/>
              </w:rPr>
              <w:t>)</w:t>
            </w:r>
          </w:p>
        </w:tc>
      </w:tr>
      <w:tr w:rsidR="00BD776B" w14:paraId="2B7F837D"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6B643" w14:textId="77777777" w:rsidR="00BD776B" w:rsidRDefault="00DF0C24">
            <w:pPr>
              <w:snapToGrid w:val="0"/>
              <w:ind w:left="113" w:right="113"/>
            </w:pPr>
            <w:r>
              <w:rPr>
                <w:rFonts w:ascii="標楷體" w:eastAsia="標楷體" w:hAnsi="標楷體" w:cs="Arial"/>
                <w:kern w:val="0"/>
                <w:sz w:val="22"/>
              </w:rPr>
              <w:t>意識程度降低</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AFAFC" w14:textId="77777777" w:rsidR="00BD776B" w:rsidRDefault="00DF0C24">
            <w:pPr>
              <w:snapToGrid w:val="0"/>
              <w:ind w:left="113" w:right="113"/>
            </w:pPr>
            <w:r>
              <w:rPr>
                <w:rFonts w:ascii="標楷體" w:eastAsia="標楷體" w:hAnsi="標楷體" w:cs="Arial"/>
                <w:kern w:val="0"/>
                <w:sz w:val="22"/>
              </w:rPr>
              <w:t>出現嗜睡或鎮靜反應，會干擾身體功能，但不影響日常活動。</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B7CCC" w14:textId="77777777" w:rsidR="00BD776B" w:rsidRDefault="00DF0C24">
            <w:pPr>
              <w:snapToGrid w:val="0"/>
              <w:ind w:left="113" w:right="113"/>
            </w:pPr>
            <w:r>
              <w:rPr>
                <w:rFonts w:ascii="標楷體" w:eastAsia="標楷體" w:hAnsi="標楷體" w:cs="Arial"/>
                <w:sz w:val="22"/>
              </w:rPr>
              <w:t>2(或更高)</w:t>
            </w:r>
          </w:p>
        </w:tc>
      </w:tr>
      <w:tr w:rsidR="00BD776B" w14:paraId="29498FE9"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E42308" w14:textId="77777777" w:rsidR="00BD776B" w:rsidRDefault="00DF0C24">
            <w:pPr>
              <w:snapToGrid w:val="0"/>
              <w:ind w:left="113" w:right="113"/>
            </w:pPr>
            <w:r>
              <w:rPr>
                <w:rFonts w:ascii="標楷體" w:eastAsia="標楷體" w:hAnsi="標楷體" w:cs="Arial"/>
                <w:kern w:val="0"/>
                <w:sz w:val="22"/>
              </w:rPr>
              <w:t>頭痛(嚴重)</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0D4D5" w14:textId="77777777" w:rsidR="00BD776B" w:rsidRDefault="00DF0C24">
            <w:pPr>
              <w:snapToGrid w:val="0"/>
              <w:ind w:left="113" w:right="113"/>
            </w:pPr>
            <w:r>
              <w:rPr>
                <w:rFonts w:ascii="標楷體" w:eastAsia="標楷體" w:hAnsi="標楷體" w:cs="Arial"/>
                <w:kern w:val="0"/>
                <w:sz w:val="22"/>
              </w:rPr>
              <w:t>嚴重頭痛(需使用複合鎮痛劑)，且疼痛程度或鎮痛劑的使用會對日常生活造成干擾。非細菌性腦膜炎。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1AA94" w14:textId="77777777" w:rsidR="00BD776B" w:rsidRDefault="00DF0C24">
            <w:pPr>
              <w:snapToGrid w:val="0"/>
              <w:ind w:left="113" w:right="113"/>
            </w:pPr>
            <w:r>
              <w:rPr>
                <w:rFonts w:ascii="標楷體" w:eastAsia="標楷體" w:hAnsi="標楷體" w:cs="Arial"/>
                <w:sz w:val="22"/>
              </w:rPr>
              <w:t>3(或更高)</w:t>
            </w:r>
          </w:p>
        </w:tc>
      </w:tr>
      <w:tr w:rsidR="00BD776B" w14:paraId="5D38759F"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2B491" w14:textId="77777777" w:rsidR="00BD776B" w:rsidRDefault="00DF0C24">
            <w:pPr>
              <w:snapToGrid w:val="0"/>
              <w:ind w:left="113" w:right="113"/>
            </w:pPr>
            <w:r>
              <w:rPr>
                <w:rFonts w:ascii="標楷體" w:eastAsia="標楷體" w:hAnsi="標楷體" w:cs="Arial"/>
                <w:kern w:val="0"/>
                <w:sz w:val="22"/>
              </w:rPr>
              <w:t>聽力</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5DDC3" w14:textId="77777777" w:rsidR="00BD776B" w:rsidRDefault="00DF0C24">
            <w:pPr>
              <w:snapToGrid w:val="0"/>
              <w:ind w:left="113" w:right="113"/>
            </w:pPr>
            <w:r>
              <w:rPr>
                <w:rFonts w:ascii="標楷體" w:eastAsia="標楷體" w:hAnsi="標楷體" w:cs="Arial"/>
                <w:kern w:val="0"/>
                <w:sz w:val="22"/>
              </w:rPr>
              <w:t>耳鳴或聽力減弱，但不需治療。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97FCB" w14:textId="77777777" w:rsidR="00BD776B" w:rsidRDefault="00DF0C24">
            <w:pPr>
              <w:snapToGrid w:val="0"/>
              <w:ind w:left="113" w:right="113"/>
            </w:pPr>
            <w:r>
              <w:rPr>
                <w:rFonts w:ascii="標楷體" w:eastAsia="標楷體" w:hAnsi="標楷體" w:cs="Arial"/>
                <w:sz w:val="22"/>
              </w:rPr>
              <w:t>2(或更高)</w:t>
            </w:r>
          </w:p>
        </w:tc>
      </w:tr>
      <w:tr w:rsidR="00BD776B" w14:paraId="5C886D5D"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53DA9" w14:textId="77777777" w:rsidR="00BD776B" w:rsidRDefault="00DF0C24">
            <w:pPr>
              <w:snapToGrid w:val="0"/>
              <w:ind w:left="113" w:right="113"/>
            </w:pPr>
            <w:r>
              <w:rPr>
                <w:rFonts w:ascii="標楷體" w:eastAsia="標楷體" w:hAnsi="標楷體" w:cs="Arial"/>
                <w:kern w:val="0"/>
                <w:sz w:val="22"/>
              </w:rPr>
              <w:t>失眠</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B61A0" w14:textId="77777777" w:rsidR="00BD776B" w:rsidRDefault="00DF0C24">
            <w:pPr>
              <w:snapToGrid w:val="0"/>
              <w:ind w:left="113" w:right="113"/>
            </w:pPr>
            <w:r>
              <w:rPr>
                <w:rFonts w:ascii="標楷體" w:eastAsia="標楷體" w:hAnsi="標楷體" w:cs="Arial"/>
                <w:kern w:val="0"/>
                <w:sz w:val="22"/>
              </w:rPr>
              <w:t>經常難以入睡，並會對日常生活造成干擾。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7CF9D0" w14:textId="77777777" w:rsidR="00BD776B" w:rsidRDefault="00DF0C24">
            <w:pPr>
              <w:snapToGrid w:val="0"/>
              <w:ind w:left="113" w:right="113"/>
            </w:pPr>
            <w:r>
              <w:rPr>
                <w:rFonts w:ascii="標楷體" w:eastAsia="標楷體" w:hAnsi="標楷體" w:cs="Arial"/>
                <w:sz w:val="22"/>
              </w:rPr>
              <w:t>3(或更高)</w:t>
            </w:r>
          </w:p>
        </w:tc>
      </w:tr>
      <w:tr w:rsidR="00BD776B" w14:paraId="3C102B74"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86997" w14:textId="77777777" w:rsidR="00BD776B" w:rsidRDefault="00DF0C24">
            <w:pPr>
              <w:snapToGrid w:val="0"/>
              <w:ind w:left="113" w:right="113"/>
            </w:pPr>
            <w:r>
              <w:rPr>
                <w:rFonts w:ascii="標楷體" w:eastAsia="標楷體" w:hAnsi="標楷體" w:cs="Arial"/>
                <w:kern w:val="0"/>
                <w:sz w:val="22"/>
              </w:rPr>
              <w:t>情緒轉變</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7B9C6" w14:textId="77777777" w:rsidR="00BD776B" w:rsidRDefault="00DF0C24">
            <w:pPr>
              <w:snapToGrid w:val="0"/>
              <w:ind w:left="113" w:right="113"/>
            </w:pPr>
            <w:r>
              <w:rPr>
                <w:rFonts w:ascii="標楷體" w:eastAsia="標楷體" w:hAnsi="標楷體" w:cs="Arial"/>
                <w:kern w:val="0"/>
                <w:sz w:val="22"/>
              </w:rPr>
              <w:t>情緒轉變，會干擾身體功能，但不影響日常活動。</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E9468" w14:textId="77777777" w:rsidR="00BD776B" w:rsidRDefault="00DF0C24">
            <w:pPr>
              <w:snapToGrid w:val="0"/>
              <w:ind w:left="113" w:right="113"/>
            </w:pPr>
            <w:r>
              <w:rPr>
                <w:rFonts w:ascii="標楷體" w:eastAsia="標楷體" w:hAnsi="標楷體" w:cs="Arial"/>
                <w:sz w:val="22"/>
              </w:rPr>
              <w:t>2(或更高)</w:t>
            </w:r>
          </w:p>
        </w:tc>
      </w:tr>
      <w:tr w:rsidR="00BD776B" w14:paraId="0737B94A"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FDA87" w14:textId="77777777" w:rsidR="00BD776B" w:rsidRDefault="00DF0C24">
            <w:pPr>
              <w:snapToGrid w:val="0"/>
              <w:ind w:left="113" w:right="113"/>
            </w:pPr>
            <w:r>
              <w:rPr>
                <w:rFonts w:ascii="標楷體" w:eastAsia="標楷體" w:hAnsi="標楷體" w:cs="Arial"/>
                <w:kern w:val="0"/>
                <w:sz w:val="22"/>
              </w:rPr>
              <w:t>感覺(神經病變)</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4F61A2" w14:textId="77777777" w:rsidR="00BD776B" w:rsidRDefault="00DF0C24">
            <w:pPr>
              <w:snapToGrid w:val="0"/>
              <w:ind w:left="113" w:right="113"/>
            </w:pPr>
            <w:r>
              <w:rPr>
                <w:rFonts w:ascii="標楷體" w:eastAsia="標楷體" w:hAnsi="標楷體" w:cs="Arial"/>
                <w:kern w:val="0"/>
                <w:sz w:val="22"/>
              </w:rPr>
              <w:t>深部肌腱反射減弱或出現感覺異常的現象，但不影響身體功能。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14F9B" w14:textId="77777777" w:rsidR="00BD776B" w:rsidRDefault="00DF0C24">
            <w:pPr>
              <w:snapToGrid w:val="0"/>
              <w:ind w:left="113" w:right="113"/>
            </w:pPr>
            <w:r>
              <w:rPr>
                <w:rFonts w:ascii="標楷體" w:eastAsia="標楷體" w:hAnsi="標楷體" w:cs="Arial"/>
                <w:sz w:val="22"/>
              </w:rPr>
              <w:t>1(或更高)</w:t>
            </w:r>
          </w:p>
        </w:tc>
      </w:tr>
      <w:tr w:rsidR="00BD776B" w14:paraId="33828B75"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C0666" w14:textId="77777777" w:rsidR="00BD776B" w:rsidRDefault="00DF0C24">
            <w:pPr>
              <w:snapToGrid w:val="0"/>
              <w:ind w:left="113" w:right="113"/>
            </w:pPr>
            <w:r>
              <w:rPr>
                <w:rFonts w:ascii="標楷體" w:eastAsia="標楷體" w:hAnsi="標楷體" w:cs="Arial"/>
                <w:kern w:val="0"/>
                <w:sz w:val="22"/>
              </w:rPr>
              <w:t>動作協調不良</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E71F0" w14:textId="77777777" w:rsidR="00BD776B" w:rsidRDefault="00DF0C24">
            <w:pPr>
              <w:snapToGrid w:val="0"/>
              <w:ind w:left="113" w:right="113"/>
            </w:pPr>
            <w:r>
              <w:rPr>
                <w:rFonts w:ascii="標楷體" w:eastAsia="標楷體" w:hAnsi="標楷體" w:cs="Arial"/>
                <w:kern w:val="0"/>
                <w:sz w:val="22"/>
              </w:rPr>
              <w:t>出現輕度症狀，會干擾身體功能，但不影響日常活動。</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05D9D5" w14:textId="77777777" w:rsidR="00BD776B" w:rsidRDefault="00DF0C24">
            <w:pPr>
              <w:snapToGrid w:val="0"/>
              <w:ind w:left="113" w:right="113"/>
            </w:pPr>
            <w:r>
              <w:rPr>
                <w:rFonts w:ascii="標楷體" w:eastAsia="標楷體" w:hAnsi="標楷體" w:cs="Arial"/>
                <w:sz w:val="22"/>
              </w:rPr>
              <w:t>2(或更高)</w:t>
            </w:r>
          </w:p>
        </w:tc>
      </w:tr>
      <w:tr w:rsidR="00BD776B" w14:paraId="433B02CD"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2CE17E" w14:textId="77777777" w:rsidR="00BD776B" w:rsidRDefault="00DF0C24">
            <w:pPr>
              <w:snapToGrid w:val="0"/>
              <w:ind w:left="113" w:right="113"/>
            </w:pPr>
            <w:r>
              <w:rPr>
                <w:rFonts w:ascii="標楷體" w:eastAsia="標楷體" w:hAnsi="標楷體" w:cs="Arial"/>
                <w:kern w:val="0"/>
                <w:sz w:val="22"/>
              </w:rPr>
              <w:t>視力</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D37E61" w14:textId="77777777" w:rsidR="00BD776B" w:rsidRDefault="00DF0C24">
            <w:pPr>
              <w:snapToGrid w:val="0"/>
              <w:ind w:left="113" w:right="113"/>
            </w:pPr>
            <w:r>
              <w:rPr>
                <w:rFonts w:ascii="標楷體" w:eastAsia="標楷體" w:hAnsi="標楷體" w:cs="Arial"/>
                <w:kern w:val="0"/>
                <w:sz w:val="22"/>
              </w:rPr>
              <w:t>出現症狀並會干擾身體功能，但不影響日常活動。</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446C1" w14:textId="77777777" w:rsidR="00BD776B" w:rsidRDefault="00DF0C24">
            <w:pPr>
              <w:snapToGrid w:val="0"/>
              <w:ind w:left="113" w:right="113"/>
            </w:pPr>
            <w:r>
              <w:rPr>
                <w:rFonts w:ascii="標楷體" w:eastAsia="標楷體" w:hAnsi="標楷體" w:cs="Arial"/>
                <w:sz w:val="22"/>
              </w:rPr>
              <w:t>3(或更高)</w:t>
            </w:r>
          </w:p>
        </w:tc>
      </w:tr>
      <w:tr w:rsidR="00BD776B" w14:paraId="4748232D"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49E73E26" w14:textId="77777777" w:rsidR="00BD776B" w:rsidRDefault="00DF0C24">
            <w:pPr>
              <w:snapToGrid w:val="0"/>
              <w:spacing w:before="60" w:after="60"/>
              <w:ind w:left="113" w:right="113"/>
            </w:pPr>
            <w:r>
              <w:rPr>
                <w:rFonts w:ascii="標楷體" w:eastAsia="標楷體" w:hAnsi="標楷體" w:cs="Arial"/>
                <w:b/>
                <w:kern w:val="0"/>
                <w:sz w:val="28"/>
                <w:szCs w:val="28"/>
              </w:rPr>
              <w:lastRenderedPageBreak/>
              <w:t>皮膚</w:t>
            </w:r>
          </w:p>
        </w:tc>
      </w:tr>
      <w:tr w:rsidR="00BD776B" w14:paraId="5F68F5C0"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A5A5A" w14:textId="77777777" w:rsidR="00BD776B" w:rsidRDefault="00DF0C24">
            <w:pPr>
              <w:snapToGrid w:val="0"/>
              <w:ind w:left="113" w:right="113"/>
            </w:pPr>
            <w:r>
              <w:rPr>
                <w:rFonts w:ascii="標楷體" w:eastAsia="標楷體" w:hAnsi="標楷體" w:cs="Arial"/>
                <w:kern w:val="0"/>
                <w:sz w:val="22"/>
              </w:rPr>
              <w:t>禿髮</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902D7" w14:textId="77777777" w:rsidR="00BD776B" w:rsidRDefault="00DF0C24">
            <w:pPr>
              <w:snapToGrid w:val="0"/>
              <w:ind w:left="113" w:right="113"/>
            </w:pPr>
            <w:r>
              <w:rPr>
                <w:rFonts w:ascii="標楷體" w:eastAsia="標楷體" w:hAnsi="標楷體" w:cs="Arial"/>
                <w:kern w:val="0"/>
                <w:sz w:val="22"/>
              </w:rPr>
              <w:t>毛髮明顯減少。</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ECB45" w14:textId="77777777" w:rsidR="00BD776B" w:rsidRDefault="00DF0C24">
            <w:pPr>
              <w:snapToGrid w:val="0"/>
              <w:ind w:left="113" w:right="113"/>
            </w:pPr>
            <w:r>
              <w:rPr>
                <w:rFonts w:ascii="標楷體" w:eastAsia="標楷體" w:hAnsi="標楷體" w:cs="Arial"/>
                <w:sz w:val="22"/>
              </w:rPr>
              <w:t>2(或更高)</w:t>
            </w:r>
          </w:p>
        </w:tc>
      </w:tr>
      <w:tr w:rsidR="00BD776B" w14:paraId="738821E2"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89EDD" w14:textId="77777777" w:rsidR="00BD776B" w:rsidRDefault="00DF0C24">
            <w:pPr>
              <w:snapToGrid w:val="0"/>
              <w:ind w:left="113" w:right="113"/>
            </w:pPr>
            <w:r>
              <w:rPr>
                <w:rFonts w:ascii="標楷體" w:eastAsia="標楷體" w:hAnsi="標楷體" w:cs="Arial"/>
                <w:kern w:val="0"/>
                <w:sz w:val="22"/>
              </w:rPr>
              <w:t>發癢</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37580" w14:textId="77777777" w:rsidR="00BD776B" w:rsidRDefault="00DF0C24">
            <w:pPr>
              <w:snapToGrid w:val="0"/>
              <w:ind w:left="113" w:right="113"/>
            </w:pPr>
            <w:r>
              <w:rPr>
                <w:rFonts w:ascii="標楷體" w:eastAsia="標楷體" w:hAnsi="標楷體" w:cs="Arial"/>
                <w:kern w:val="0"/>
                <w:sz w:val="22"/>
              </w:rPr>
              <w:t>症狀強烈且分佈範圍廣泛，並會對日常生活造成干擾。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1F9AF2" w14:textId="77777777" w:rsidR="00BD776B" w:rsidRDefault="00DF0C24">
            <w:pPr>
              <w:snapToGrid w:val="0"/>
              <w:ind w:left="113" w:right="113"/>
            </w:pPr>
            <w:r>
              <w:rPr>
                <w:rFonts w:ascii="標楷體" w:eastAsia="標楷體" w:hAnsi="標楷體" w:cs="Arial"/>
                <w:sz w:val="22"/>
              </w:rPr>
              <w:t>3(或更高)</w:t>
            </w:r>
          </w:p>
        </w:tc>
      </w:tr>
      <w:tr w:rsidR="00BD776B" w14:paraId="656B698F"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8D17D" w14:textId="77777777" w:rsidR="00BD776B" w:rsidRDefault="00DF0C24">
            <w:pPr>
              <w:snapToGrid w:val="0"/>
              <w:ind w:left="113" w:right="113"/>
            </w:pPr>
            <w:r>
              <w:rPr>
                <w:rFonts w:ascii="標楷體" w:eastAsia="標楷體" w:hAnsi="標楷體" w:cs="Arial"/>
                <w:kern w:val="0"/>
                <w:sz w:val="22"/>
              </w:rPr>
              <w:t>光敏感</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981F3" w14:textId="77777777" w:rsidR="00BD776B" w:rsidRDefault="00DF0C24">
            <w:pPr>
              <w:snapToGrid w:val="0"/>
              <w:ind w:left="113" w:right="113"/>
            </w:pPr>
            <w:r>
              <w:rPr>
                <w:rFonts w:ascii="標楷體" w:eastAsia="標楷體" w:hAnsi="標楷體" w:cs="Arial"/>
                <w:kern w:val="0"/>
                <w:sz w:val="22"/>
              </w:rPr>
              <w:t>出現疼痛性紅斑及(或)水泡。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B2371" w14:textId="77777777" w:rsidR="00BD776B" w:rsidRDefault="00DF0C24">
            <w:pPr>
              <w:snapToGrid w:val="0"/>
              <w:ind w:left="113" w:right="113"/>
            </w:pPr>
            <w:r>
              <w:rPr>
                <w:rFonts w:ascii="標楷體" w:eastAsia="標楷體" w:hAnsi="標楷體" w:cs="Arial"/>
                <w:sz w:val="22"/>
              </w:rPr>
              <w:t>2(或更高)</w:t>
            </w:r>
          </w:p>
        </w:tc>
      </w:tr>
      <w:tr w:rsidR="00BD776B" w14:paraId="44D1BFE1"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BD860A" w14:textId="77777777" w:rsidR="00BD776B" w:rsidRDefault="00DF0C24">
            <w:pPr>
              <w:snapToGrid w:val="0"/>
              <w:ind w:left="113" w:right="113"/>
            </w:pPr>
            <w:r>
              <w:rPr>
                <w:rFonts w:ascii="標楷體" w:eastAsia="標楷體" w:hAnsi="標楷體" w:cs="Arial"/>
                <w:kern w:val="0"/>
                <w:sz w:val="22"/>
              </w:rPr>
              <w:t>皮疹/脫皮</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CC0779" w14:textId="77777777" w:rsidR="00BD776B" w:rsidRDefault="00DF0C24">
            <w:pPr>
              <w:snapToGrid w:val="0"/>
              <w:ind w:left="113" w:right="113"/>
            </w:pPr>
            <w:r>
              <w:rPr>
                <w:rFonts w:ascii="標楷體" w:eastAsia="標楷體" w:hAnsi="標楷體" w:cs="Arial"/>
                <w:kern w:val="0"/>
                <w:sz w:val="22"/>
              </w:rPr>
              <w:t>出現分散的斑狀或丘狀皮疹或紅斑，並有搔癢或其它相關症狀，分佈範圍&lt;50%體表面積；或出現局部脫皮的現象或其它病變，分佈範圍&lt;50%體表面積。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477EA2" w14:textId="77777777" w:rsidR="00BD776B" w:rsidRDefault="00DF0C24">
            <w:pPr>
              <w:snapToGrid w:val="0"/>
              <w:ind w:left="113" w:right="113"/>
            </w:pPr>
            <w:r>
              <w:rPr>
                <w:rFonts w:ascii="標楷體" w:eastAsia="標楷體" w:hAnsi="標楷體" w:cs="Arial"/>
                <w:sz w:val="22"/>
              </w:rPr>
              <w:t>2(或更高)</w:t>
            </w:r>
          </w:p>
        </w:tc>
      </w:tr>
      <w:tr w:rsidR="00BD776B" w14:paraId="20AF1310"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AE8F7" w14:textId="77777777" w:rsidR="00BD776B" w:rsidRDefault="00DF0C24">
            <w:pPr>
              <w:snapToGrid w:val="0"/>
              <w:ind w:left="113" w:right="113"/>
            </w:pPr>
            <w:r>
              <w:rPr>
                <w:rFonts w:ascii="標楷體" w:eastAsia="標楷體" w:hAnsi="標楷體" w:cs="Arial"/>
                <w:kern w:val="0"/>
                <w:sz w:val="22"/>
              </w:rPr>
              <w:t>蕁麻疹</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88177C" w14:textId="77777777" w:rsidR="00BD776B" w:rsidRDefault="00DF0C24">
            <w:pPr>
              <w:snapToGrid w:val="0"/>
              <w:ind w:left="113" w:right="113"/>
            </w:pPr>
            <w:r>
              <w:rPr>
                <w:rFonts w:ascii="標楷體" w:eastAsia="標楷體" w:hAnsi="標楷體" w:cs="Arial"/>
                <w:kern w:val="0"/>
                <w:sz w:val="22"/>
              </w:rPr>
              <w:t>需接受&lt;24小時的藥物治療。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F9BC06" w14:textId="77777777" w:rsidR="00BD776B" w:rsidRDefault="00DF0C24">
            <w:pPr>
              <w:snapToGrid w:val="0"/>
              <w:ind w:left="113" w:right="113"/>
            </w:pPr>
            <w:r>
              <w:rPr>
                <w:rFonts w:ascii="標楷體" w:eastAsia="標楷體" w:hAnsi="標楷體" w:cs="Arial"/>
                <w:sz w:val="22"/>
              </w:rPr>
              <w:t>3(或更高)</w:t>
            </w:r>
          </w:p>
        </w:tc>
      </w:tr>
      <w:tr w:rsidR="00BD776B" w14:paraId="2A8E86AB"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7B2167" w14:textId="77777777" w:rsidR="00BD776B" w:rsidRDefault="00DF0C24">
            <w:pPr>
              <w:snapToGrid w:val="0"/>
              <w:ind w:left="113" w:right="113"/>
            </w:pPr>
            <w:r>
              <w:rPr>
                <w:rFonts w:ascii="標楷體" w:eastAsia="標楷體" w:hAnsi="標楷體" w:cs="Arial"/>
                <w:kern w:val="0"/>
                <w:sz w:val="22"/>
              </w:rPr>
              <w:t>血管炎</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BD6F64" w14:textId="77777777" w:rsidR="00BD776B" w:rsidRDefault="00DF0C24">
            <w:pPr>
              <w:snapToGrid w:val="0"/>
              <w:ind w:left="113" w:right="113"/>
            </w:pPr>
            <w:r>
              <w:rPr>
                <w:rFonts w:ascii="標楷體" w:eastAsia="標楷體" w:hAnsi="標楷體" w:cs="Arial"/>
                <w:kern w:val="0"/>
                <w:sz w:val="22"/>
              </w:rPr>
              <w:t>需使用類固醇治療。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673CA7" w14:textId="77777777" w:rsidR="00BD776B" w:rsidRDefault="00DF0C24">
            <w:pPr>
              <w:snapToGrid w:val="0"/>
              <w:ind w:left="113" w:right="113"/>
            </w:pPr>
            <w:r>
              <w:rPr>
                <w:rFonts w:ascii="標楷體" w:eastAsia="標楷體" w:hAnsi="標楷體" w:cs="Arial"/>
                <w:sz w:val="22"/>
              </w:rPr>
              <w:t>3(或更高)</w:t>
            </w:r>
          </w:p>
        </w:tc>
      </w:tr>
      <w:tr w:rsidR="00BD776B" w14:paraId="4B4D1629"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38D12A35" w14:textId="77777777" w:rsidR="00BD776B" w:rsidRDefault="00DF0C24">
            <w:pPr>
              <w:snapToGrid w:val="0"/>
              <w:spacing w:before="60" w:after="60"/>
              <w:ind w:left="113" w:right="113"/>
            </w:pPr>
            <w:r>
              <w:rPr>
                <w:rFonts w:ascii="標楷體" w:eastAsia="標楷體" w:hAnsi="標楷體" w:cs="Arial"/>
                <w:b/>
                <w:kern w:val="0"/>
                <w:sz w:val="28"/>
                <w:szCs w:val="28"/>
              </w:rPr>
              <w:t>肝臟</w:t>
            </w:r>
          </w:p>
        </w:tc>
      </w:tr>
      <w:tr w:rsidR="00BD776B" w14:paraId="2B8672F1"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57F3BD"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血清鹼性磷酸酶</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E997D" w14:textId="77777777" w:rsidR="00BD776B" w:rsidRDefault="00DF0C24">
            <w:pPr>
              <w:snapToGrid w:val="0"/>
              <w:ind w:left="113" w:right="113"/>
            </w:pPr>
            <w:r>
              <w:rPr>
                <w:rFonts w:ascii="標楷體" w:eastAsia="標楷體" w:hAnsi="標楷體" w:cs="Arial"/>
                <w:kern w:val="0"/>
                <w:sz w:val="22"/>
              </w:rPr>
              <w:t>2.5xULN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3259A" w14:textId="77777777" w:rsidR="00BD776B" w:rsidRDefault="00DF0C24">
            <w:pPr>
              <w:snapToGrid w:val="0"/>
              <w:ind w:left="113" w:right="113"/>
            </w:pPr>
            <w:r>
              <w:rPr>
                <w:rFonts w:ascii="標楷體" w:eastAsia="標楷體" w:hAnsi="標楷體" w:cs="Arial"/>
                <w:sz w:val="22"/>
              </w:rPr>
              <w:t>2(或更高)</w:t>
            </w:r>
          </w:p>
        </w:tc>
      </w:tr>
      <w:tr w:rsidR="00BD776B" w14:paraId="45CCDE0E"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453E7" w14:textId="77777777" w:rsidR="00BD776B" w:rsidRDefault="00DF0C24">
            <w:pPr>
              <w:snapToGrid w:val="0"/>
              <w:ind w:left="113" w:right="113"/>
            </w:pPr>
            <w:r>
              <w:rPr>
                <w:rFonts w:ascii="標楷體" w:eastAsia="標楷體" w:hAnsi="標楷體" w:cs="Arial"/>
                <w:kern w:val="0"/>
                <w:sz w:val="22"/>
              </w:rPr>
              <w:t>膽紅素升高</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43A247" w14:textId="77777777" w:rsidR="00BD776B" w:rsidRDefault="00DF0C24">
            <w:pPr>
              <w:snapToGrid w:val="0"/>
              <w:ind w:left="113" w:right="113"/>
            </w:pPr>
            <w:r>
              <w:rPr>
                <w:rFonts w:ascii="標楷體" w:eastAsia="標楷體" w:hAnsi="標楷體" w:cs="Arial"/>
                <w:kern w:val="0"/>
                <w:sz w:val="22"/>
              </w:rPr>
              <w:t>&gt;1.5xULN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56412" w14:textId="77777777" w:rsidR="00BD776B" w:rsidRDefault="00DF0C24">
            <w:pPr>
              <w:snapToGrid w:val="0"/>
              <w:ind w:left="113" w:right="113"/>
            </w:pPr>
            <w:r>
              <w:rPr>
                <w:rFonts w:ascii="標楷體" w:eastAsia="標楷體" w:hAnsi="標楷體" w:cs="Arial"/>
                <w:sz w:val="22"/>
              </w:rPr>
              <w:t>3(或更高)</w:t>
            </w:r>
          </w:p>
        </w:tc>
      </w:tr>
      <w:tr w:rsidR="00BD776B" w14:paraId="12047074"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6F9EEB" w14:textId="77777777" w:rsidR="00BD776B" w:rsidRDefault="00DF0C24">
            <w:pPr>
              <w:snapToGrid w:val="0"/>
              <w:ind w:left="113" w:right="113"/>
            </w:pPr>
            <w:r>
              <w:rPr>
                <w:rFonts w:ascii="標楷體" w:eastAsia="標楷體" w:hAnsi="標楷體" w:cs="Arial"/>
                <w:kern w:val="0"/>
                <w:sz w:val="22"/>
              </w:rPr>
              <w:t>轉胺酶升高</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0836C" w14:textId="77777777" w:rsidR="00BD776B" w:rsidRDefault="00DF0C24">
            <w:pPr>
              <w:snapToGrid w:val="0"/>
              <w:ind w:left="113" w:right="113"/>
            </w:pPr>
            <w:r>
              <w:rPr>
                <w:rFonts w:ascii="標楷體" w:eastAsia="標楷體" w:hAnsi="標楷體" w:cs="Arial"/>
                <w:kern w:val="0"/>
                <w:sz w:val="22"/>
              </w:rPr>
              <w:t>一次檢查的結果顯示ALT及(或)AST&gt;2.5xULN，或3次檢查的結果顯示&gt;1.5xULN。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EAF35" w14:textId="77777777" w:rsidR="00BD776B" w:rsidRDefault="00DF0C24">
            <w:pPr>
              <w:snapToGrid w:val="0"/>
              <w:ind w:left="113" w:right="113"/>
            </w:pPr>
            <w:r>
              <w:rPr>
                <w:rFonts w:ascii="標楷體" w:eastAsia="標楷體" w:hAnsi="標楷體" w:cs="Arial"/>
                <w:sz w:val="22"/>
              </w:rPr>
              <w:t>2(或更高)</w:t>
            </w:r>
          </w:p>
        </w:tc>
      </w:tr>
      <w:tr w:rsidR="00BD776B" w14:paraId="6A057CEE"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4F5AD0B5" w14:textId="77777777" w:rsidR="00BD776B" w:rsidRDefault="00DF0C24">
            <w:pPr>
              <w:snapToGrid w:val="0"/>
              <w:spacing w:before="60" w:after="60"/>
              <w:ind w:left="113" w:right="113"/>
              <w:rPr>
                <w:rFonts w:ascii="標楷體" w:eastAsia="標楷體" w:hAnsi="標楷體" w:cs="Arial"/>
                <w:b/>
                <w:sz w:val="28"/>
              </w:rPr>
            </w:pPr>
            <w:r>
              <w:rPr>
                <w:rFonts w:ascii="標楷體" w:eastAsia="標楷體" w:hAnsi="標楷體" w:cs="Arial"/>
                <w:b/>
                <w:sz w:val="28"/>
              </w:rPr>
              <w:t>呼吸道</w:t>
            </w:r>
          </w:p>
        </w:tc>
      </w:tr>
      <w:tr w:rsidR="00BD776B" w14:paraId="48079E82"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9693BE" w14:textId="77777777" w:rsidR="00BD776B" w:rsidRDefault="00DF0C24">
            <w:pPr>
              <w:snapToGrid w:val="0"/>
              <w:ind w:left="113" w:right="113"/>
            </w:pPr>
            <w:r>
              <w:rPr>
                <w:rFonts w:ascii="標楷體" w:eastAsia="標楷體" w:hAnsi="標楷體" w:cs="Arial"/>
                <w:kern w:val="0"/>
                <w:sz w:val="22"/>
              </w:rPr>
              <w:t>咳嗽(嚴重)</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EE5B1" w14:textId="77777777" w:rsidR="00BD776B" w:rsidRDefault="00DF0C24">
            <w:pPr>
              <w:snapToGrid w:val="0"/>
              <w:ind w:left="113" w:right="113"/>
            </w:pPr>
            <w:r>
              <w:rPr>
                <w:rFonts w:ascii="標楷體" w:eastAsia="標楷體" w:hAnsi="標楷體" w:cs="Arial"/>
                <w:kern w:val="0"/>
                <w:sz w:val="22"/>
              </w:rPr>
              <w:t>嚴重咳嗽或咳嗽性痙攣，且治療控制效果不佳或無法對治療產生反應。證據顯示停止治療後可恢復正常。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AEB94E" w14:textId="77777777" w:rsidR="00BD776B" w:rsidRDefault="00DF0C24">
            <w:pPr>
              <w:snapToGrid w:val="0"/>
              <w:ind w:left="113" w:right="113"/>
            </w:pPr>
            <w:r>
              <w:rPr>
                <w:rFonts w:ascii="標楷體" w:eastAsia="標楷體" w:hAnsi="標楷體" w:cs="Arial"/>
                <w:sz w:val="22"/>
              </w:rPr>
              <w:t>3(或更高)</w:t>
            </w:r>
          </w:p>
        </w:tc>
      </w:tr>
      <w:tr w:rsidR="00BD776B" w14:paraId="76C3B08D"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58AB67" w14:textId="77777777" w:rsidR="00BD776B" w:rsidRDefault="00DF0C24">
            <w:pPr>
              <w:snapToGrid w:val="0"/>
              <w:ind w:left="113" w:right="113"/>
            </w:pPr>
            <w:r>
              <w:rPr>
                <w:rFonts w:ascii="標楷體" w:eastAsia="標楷體" w:hAnsi="標楷體" w:cs="Arial"/>
                <w:kern w:val="0"/>
                <w:sz w:val="22"/>
              </w:rPr>
              <w:t>呼吸困難</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487E0" w14:textId="77777777" w:rsidR="00BD776B" w:rsidRDefault="00DF0C24">
            <w:pPr>
              <w:snapToGrid w:val="0"/>
              <w:ind w:left="113" w:right="113"/>
            </w:pPr>
            <w:r>
              <w:rPr>
                <w:rFonts w:ascii="標楷體" w:eastAsia="標楷體" w:hAnsi="標楷體" w:cs="Arial"/>
                <w:kern w:val="0"/>
                <w:sz w:val="22"/>
              </w:rPr>
              <w:t>用力時會出現呼吸短促的現象，進行一般的日常活動時也會出現症狀。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CD8712" w14:textId="77777777" w:rsidR="00BD776B" w:rsidRDefault="00DF0C24">
            <w:pPr>
              <w:snapToGrid w:val="0"/>
              <w:ind w:left="113" w:right="113"/>
            </w:pPr>
            <w:r>
              <w:rPr>
                <w:rFonts w:ascii="標楷體" w:eastAsia="標楷體" w:hAnsi="標楷體" w:cs="Arial"/>
                <w:sz w:val="22"/>
              </w:rPr>
              <w:t>2(或更高)</w:t>
            </w:r>
          </w:p>
        </w:tc>
      </w:tr>
      <w:tr w:rsidR="00BD776B" w14:paraId="0C326BA8"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90A75" w14:textId="77777777" w:rsidR="00BD776B" w:rsidRDefault="00DF0C24">
            <w:pPr>
              <w:snapToGrid w:val="0"/>
              <w:ind w:left="113" w:right="113"/>
            </w:pPr>
            <w:r>
              <w:rPr>
                <w:rFonts w:ascii="標楷體" w:eastAsia="標楷體" w:hAnsi="標楷體" w:cs="Arial"/>
                <w:kern w:val="0"/>
                <w:sz w:val="22"/>
              </w:rPr>
              <w:t>肺炎/肺浸潤</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30073" w14:textId="77777777" w:rsidR="00BD776B" w:rsidRDefault="00DF0C24">
            <w:pPr>
              <w:snapToGrid w:val="0"/>
              <w:ind w:left="113" w:right="113"/>
            </w:pPr>
            <w:r>
              <w:rPr>
                <w:rFonts w:ascii="標楷體" w:eastAsia="標楷體" w:hAnsi="標楷體" w:cs="Arial"/>
                <w:kern w:val="0"/>
                <w:sz w:val="22"/>
              </w:rPr>
              <w:t>X光檢查發現變化，且需使用類固醇或利尿劑治療。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4FC5E" w14:textId="77777777" w:rsidR="00BD776B" w:rsidRDefault="00DF0C24">
            <w:pPr>
              <w:snapToGrid w:val="0"/>
              <w:ind w:left="113" w:right="113"/>
            </w:pPr>
            <w:r>
              <w:rPr>
                <w:rFonts w:ascii="標楷體" w:eastAsia="標楷體" w:hAnsi="標楷體" w:cs="Arial"/>
                <w:sz w:val="22"/>
              </w:rPr>
              <w:t>2(或更高)</w:t>
            </w:r>
          </w:p>
        </w:tc>
      </w:tr>
      <w:tr w:rsidR="00BD776B" w14:paraId="7696ECCE"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58C6C7" w14:textId="77777777" w:rsidR="00BD776B" w:rsidRDefault="00DF0C24">
            <w:pPr>
              <w:snapToGrid w:val="0"/>
              <w:ind w:left="113" w:right="113"/>
            </w:pPr>
            <w:r>
              <w:rPr>
                <w:rFonts w:ascii="標楷體" w:eastAsia="標楷體" w:hAnsi="標楷體" w:cs="Arial"/>
                <w:kern w:val="0"/>
                <w:sz w:val="22"/>
              </w:rPr>
              <w:t>肺纖維化</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CE835B" w14:textId="77777777" w:rsidR="00BD776B" w:rsidRDefault="00DF0C24">
            <w:pPr>
              <w:snapToGrid w:val="0"/>
              <w:ind w:left="113" w:right="113"/>
            </w:pPr>
            <w:r>
              <w:rPr>
                <w:rFonts w:ascii="標楷體" w:eastAsia="標楷體" w:hAnsi="標楷體" w:cs="Arial"/>
                <w:kern w:val="0"/>
                <w:sz w:val="22"/>
              </w:rPr>
              <w:t>需使用類固醇或利尿劑治療。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20357" w14:textId="77777777" w:rsidR="00BD776B" w:rsidRDefault="00DF0C24">
            <w:pPr>
              <w:snapToGrid w:val="0"/>
              <w:ind w:left="113" w:right="113"/>
            </w:pPr>
            <w:r>
              <w:rPr>
                <w:rFonts w:ascii="標楷體" w:eastAsia="標楷體" w:hAnsi="標楷體" w:cs="Arial"/>
                <w:sz w:val="22"/>
              </w:rPr>
              <w:t>2(或更高)</w:t>
            </w:r>
          </w:p>
        </w:tc>
      </w:tr>
      <w:tr w:rsidR="00BD776B" w14:paraId="18441249"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170790A0" w14:textId="77777777" w:rsidR="00BD776B" w:rsidRDefault="00DF0C24">
            <w:pPr>
              <w:snapToGrid w:val="0"/>
              <w:spacing w:before="60" w:after="60"/>
              <w:ind w:left="113" w:right="113"/>
              <w:rPr>
                <w:rFonts w:ascii="標楷體" w:eastAsia="標楷體" w:hAnsi="標楷體" w:cs="Arial"/>
                <w:b/>
                <w:sz w:val="28"/>
                <w:szCs w:val="28"/>
              </w:rPr>
            </w:pPr>
            <w:r>
              <w:rPr>
                <w:rFonts w:ascii="標楷體" w:eastAsia="標楷體" w:hAnsi="標楷體" w:cs="Arial"/>
                <w:b/>
                <w:sz w:val="28"/>
                <w:szCs w:val="28"/>
              </w:rPr>
              <w:t>腎臟</w:t>
            </w:r>
          </w:p>
        </w:tc>
      </w:tr>
      <w:tr w:rsidR="00BD776B" w14:paraId="60878144"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E2AED"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尿素</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41869D"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2.5xULN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5F792" w14:textId="77777777" w:rsidR="00BD776B" w:rsidRDefault="00DF0C24">
            <w:pPr>
              <w:snapToGrid w:val="0"/>
              <w:ind w:left="113" w:right="113"/>
            </w:pPr>
            <w:r>
              <w:rPr>
                <w:rFonts w:ascii="標楷體" w:eastAsia="標楷體" w:hAnsi="標楷體" w:cs="Arial"/>
                <w:sz w:val="22"/>
              </w:rPr>
              <w:t>2(或更高)</w:t>
            </w:r>
          </w:p>
        </w:tc>
      </w:tr>
      <w:tr w:rsidR="00BD776B" w14:paraId="2378F27B"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76F6C1"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膀胱炎</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516E9"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經常排尿困難；有肉眼可見的血尿現象；細菌培養呈陰性反應。重新治療仍會再度發生。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CEFD1" w14:textId="77777777" w:rsidR="00BD776B" w:rsidRDefault="00DF0C24">
            <w:pPr>
              <w:snapToGrid w:val="0"/>
              <w:ind w:left="113" w:right="113"/>
            </w:pPr>
            <w:r>
              <w:rPr>
                <w:rFonts w:ascii="標楷體" w:eastAsia="標楷體" w:hAnsi="標楷體" w:cs="Arial"/>
                <w:sz w:val="22"/>
              </w:rPr>
              <w:t>2(或更高)</w:t>
            </w:r>
          </w:p>
        </w:tc>
      </w:tr>
      <w:tr w:rsidR="00BD776B" w14:paraId="20161012"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FB0C15"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血鉀升高</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B72B2"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6.0mmol/L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BF440" w14:textId="77777777" w:rsidR="00BD776B" w:rsidRDefault="00DF0C24">
            <w:pPr>
              <w:snapToGrid w:val="0"/>
              <w:ind w:left="113" w:right="113"/>
            </w:pPr>
            <w:r>
              <w:rPr>
                <w:rFonts w:ascii="標楷體" w:eastAsia="標楷體" w:hAnsi="標楷體" w:cs="Arial"/>
                <w:sz w:val="22"/>
              </w:rPr>
              <w:t>3(或更高)</w:t>
            </w:r>
          </w:p>
        </w:tc>
      </w:tr>
      <w:tr w:rsidR="00BD776B" w14:paraId="4F1F69C0"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734DB2"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血尿</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786043"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血尿現象肉眼明顯可見。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119F77" w14:textId="77777777" w:rsidR="00BD776B" w:rsidRDefault="00DF0C24">
            <w:pPr>
              <w:snapToGrid w:val="0"/>
              <w:ind w:left="113" w:right="113"/>
            </w:pPr>
            <w:r>
              <w:rPr>
                <w:rFonts w:ascii="標楷體" w:eastAsia="標楷體" w:hAnsi="標楷體" w:cs="Arial"/>
                <w:sz w:val="22"/>
              </w:rPr>
              <w:t>2(或更高)</w:t>
            </w:r>
          </w:p>
        </w:tc>
      </w:tr>
      <w:tr w:rsidR="00BD776B" w14:paraId="7B68626F"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8DC92"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水腫</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27D24"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膝部或較高的部位出現凹陷性水腫。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7BF72" w14:textId="77777777" w:rsidR="00BD776B" w:rsidRDefault="00DF0C24">
            <w:pPr>
              <w:snapToGrid w:val="0"/>
              <w:ind w:left="113" w:right="113"/>
            </w:pPr>
            <w:r>
              <w:rPr>
                <w:rFonts w:ascii="標楷體" w:eastAsia="標楷體" w:hAnsi="標楷體" w:cs="Arial"/>
                <w:sz w:val="22"/>
              </w:rPr>
              <w:t>3(或更高)</w:t>
            </w:r>
          </w:p>
        </w:tc>
      </w:tr>
      <w:tr w:rsidR="00BD776B" w14:paraId="4E7D0832"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53D59"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蛋白尿</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5F7771"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2+級(含)以上(或1.0–3.5克/24小時)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60A7B" w14:textId="77777777" w:rsidR="00BD776B" w:rsidRDefault="00DF0C24">
            <w:pPr>
              <w:snapToGrid w:val="0"/>
              <w:ind w:left="113" w:right="113"/>
            </w:pPr>
            <w:r>
              <w:rPr>
                <w:rFonts w:ascii="標楷體" w:eastAsia="標楷體" w:hAnsi="標楷體" w:cs="Arial"/>
                <w:sz w:val="22"/>
              </w:rPr>
              <w:t>2(或更高)</w:t>
            </w:r>
          </w:p>
        </w:tc>
      </w:tr>
      <w:tr w:rsidR="00BD776B" w14:paraId="5B38D638"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03524" w14:textId="77777777" w:rsidR="00BD776B" w:rsidRDefault="00DF0C24">
            <w:pPr>
              <w:snapToGrid w:val="0"/>
              <w:ind w:left="113" w:right="113"/>
            </w:pPr>
            <w:r>
              <w:rPr>
                <w:rFonts w:ascii="標楷體" w:eastAsia="標楷體" w:hAnsi="標楷體" w:cs="Arial"/>
                <w:kern w:val="0"/>
                <w:sz w:val="22"/>
              </w:rPr>
              <w:t>腎功能損害</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6AC9" w14:textId="77777777" w:rsidR="00BD776B" w:rsidRDefault="00DF0C24">
            <w:pPr>
              <w:snapToGrid w:val="0"/>
              <w:ind w:left="113" w:right="113"/>
            </w:pPr>
            <w:r>
              <w:rPr>
                <w:rFonts w:ascii="標楷體" w:eastAsia="標楷體" w:hAnsi="標楷體" w:cs="Arial"/>
                <w:kern w:val="0"/>
                <w:sz w:val="22"/>
              </w:rPr>
              <w:t>肌酸酐廓清率&lt;30毫升/分鐘。</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49084" w14:textId="77777777" w:rsidR="00BD776B" w:rsidRDefault="00DF0C24">
            <w:pPr>
              <w:snapToGrid w:val="0"/>
              <w:ind w:left="113" w:right="113"/>
            </w:pPr>
            <w:r>
              <w:rPr>
                <w:rFonts w:ascii="標楷體" w:eastAsia="標楷體" w:hAnsi="標楷體" w:cs="Arial"/>
                <w:sz w:val="22"/>
              </w:rPr>
              <w:t>3(或更高)</w:t>
            </w:r>
          </w:p>
        </w:tc>
      </w:tr>
      <w:tr w:rsidR="00BD776B" w14:paraId="584A0C7F"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2E7EFA03" w14:textId="77777777" w:rsidR="00BD776B" w:rsidRDefault="00DF0C24">
            <w:pPr>
              <w:snapToGrid w:val="0"/>
              <w:spacing w:before="60" w:after="60"/>
              <w:ind w:left="113" w:right="113"/>
            </w:pPr>
            <w:r>
              <w:rPr>
                <w:rFonts w:ascii="標楷體" w:eastAsia="標楷體" w:hAnsi="標楷體" w:cs="Arial"/>
                <w:b/>
                <w:sz w:val="28"/>
                <w:szCs w:val="28"/>
              </w:rPr>
              <w:t>其它</w:t>
            </w:r>
          </w:p>
        </w:tc>
      </w:tr>
      <w:tr w:rsidR="00BD776B" w14:paraId="4D7A5C3B"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E41F3" w14:textId="77777777" w:rsidR="00BD776B" w:rsidRDefault="00DF0C24">
            <w:pPr>
              <w:snapToGrid w:val="0"/>
              <w:ind w:left="113" w:right="113"/>
            </w:pPr>
            <w:r>
              <w:rPr>
                <w:rFonts w:ascii="標楷體" w:eastAsia="標楷體" w:hAnsi="標楷體" w:cs="Arial"/>
                <w:kern w:val="0"/>
                <w:sz w:val="22"/>
              </w:rPr>
              <w:t>過敏</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4CAA4" w14:textId="77777777" w:rsidR="00BD776B" w:rsidRDefault="00DF0C24">
            <w:pPr>
              <w:snapToGrid w:val="0"/>
              <w:ind w:left="113" w:right="113"/>
            </w:pPr>
            <w:r>
              <w:rPr>
                <w:rFonts w:ascii="標楷體" w:eastAsia="標楷體" w:hAnsi="標楷體" w:cs="Arial"/>
                <w:kern w:val="0"/>
                <w:sz w:val="22"/>
              </w:rPr>
              <w:t>蕁麻疹、藥物熱&gt;38°C、或支氣管痙攣。</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9EB45E" w14:textId="77777777" w:rsidR="00BD776B" w:rsidRDefault="00DF0C24">
            <w:pPr>
              <w:snapToGrid w:val="0"/>
              <w:ind w:left="113" w:right="113"/>
            </w:pPr>
            <w:r>
              <w:rPr>
                <w:rFonts w:ascii="標楷體" w:eastAsia="標楷體" w:hAnsi="標楷體" w:cs="Arial"/>
                <w:sz w:val="22"/>
              </w:rPr>
              <w:t>2(或更高)</w:t>
            </w:r>
          </w:p>
        </w:tc>
      </w:tr>
      <w:tr w:rsidR="00BD776B" w14:paraId="2B86861E"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1146E" w14:textId="77777777" w:rsidR="00BD776B" w:rsidRDefault="00DF0C24">
            <w:pPr>
              <w:snapToGrid w:val="0"/>
              <w:ind w:left="113" w:right="113"/>
            </w:pPr>
            <w:r>
              <w:rPr>
                <w:rFonts w:ascii="標楷體" w:eastAsia="標楷體" w:hAnsi="標楷體" w:cs="Arial"/>
                <w:kern w:val="0"/>
                <w:sz w:val="22"/>
              </w:rPr>
              <w:t>發燒(未出現嗜中性白血球減少的現象)</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9A75C" w14:textId="77777777" w:rsidR="00BD776B" w:rsidRDefault="00DF0C24">
            <w:pPr>
              <w:snapToGrid w:val="0"/>
              <w:ind w:left="113" w:right="113"/>
            </w:pPr>
            <w:r>
              <w:rPr>
                <w:rFonts w:ascii="標楷體" w:eastAsia="標楷體" w:hAnsi="標楷體" w:cs="Arial"/>
                <w:kern w:val="0"/>
                <w:sz w:val="22"/>
              </w:rPr>
              <w:t>體溫&gt;39°C(口溫或耳溫)。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667BC" w14:textId="77777777" w:rsidR="00BD776B" w:rsidRDefault="00DF0C24">
            <w:pPr>
              <w:snapToGrid w:val="0"/>
              <w:ind w:left="113" w:right="113"/>
            </w:pPr>
            <w:r>
              <w:rPr>
                <w:rFonts w:ascii="標楷體" w:eastAsia="標楷體" w:hAnsi="標楷體" w:cs="Arial"/>
                <w:sz w:val="22"/>
              </w:rPr>
              <w:t>2(或更高)</w:t>
            </w:r>
          </w:p>
        </w:tc>
      </w:tr>
      <w:tr w:rsidR="00BD776B" w14:paraId="7E675096"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3F92C" w14:textId="77777777" w:rsidR="00BD776B" w:rsidRDefault="00DF0C24">
            <w:pPr>
              <w:snapToGrid w:val="0"/>
              <w:ind w:left="113" w:right="113"/>
            </w:pPr>
            <w:r>
              <w:rPr>
                <w:rFonts w:ascii="標楷體" w:eastAsia="標楷體" w:hAnsi="標楷體" w:cs="Arial"/>
                <w:kern w:val="0"/>
                <w:sz w:val="22"/>
              </w:rPr>
              <w:t>感染</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B09BD" w14:textId="77777777" w:rsidR="00BD776B" w:rsidRDefault="00DF0C24">
            <w:pPr>
              <w:snapToGrid w:val="0"/>
              <w:ind w:left="113" w:right="113"/>
            </w:pPr>
            <w:r>
              <w:rPr>
                <w:rFonts w:ascii="標楷體" w:eastAsia="標楷體" w:hAnsi="標楷體" w:cs="Arial"/>
                <w:kern w:val="0"/>
                <w:sz w:val="22"/>
              </w:rPr>
              <w:t>嚴重的全身性感染，需接受IV抗菌治療或住院治療。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81820F" w14:textId="77777777" w:rsidR="00BD776B" w:rsidRDefault="00DF0C24">
            <w:pPr>
              <w:snapToGrid w:val="0"/>
              <w:ind w:left="113" w:right="113"/>
            </w:pPr>
            <w:r>
              <w:rPr>
                <w:rFonts w:ascii="標楷體" w:eastAsia="標楷體" w:hAnsi="標楷體" w:cs="Arial"/>
                <w:sz w:val="22"/>
              </w:rPr>
              <w:t>3(或更高)</w:t>
            </w:r>
          </w:p>
        </w:tc>
      </w:tr>
      <w:tr w:rsidR="00BD776B" w14:paraId="51609EC2" w14:textId="77777777">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8B9435"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冒汗</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C1B00F"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經常發生，並會汗濕全身，72小時內發生&gt;4次。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C247D" w14:textId="77777777" w:rsidR="00BD776B" w:rsidRDefault="00DF0C24">
            <w:pPr>
              <w:snapToGrid w:val="0"/>
              <w:ind w:left="113" w:right="113"/>
            </w:pPr>
            <w:r>
              <w:rPr>
                <w:rFonts w:ascii="標楷體" w:eastAsia="標楷體" w:hAnsi="標楷體" w:cs="Arial"/>
                <w:sz w:val="22"/>
              </w:rPr>
              <w:t>2(或更高)</w:t>
            </w:r>
          </w:p>
        </w:tc>
      </w:tr>
    </w:tbl>
    <w:p w14:paraId="02B76008" w14:textId="77777777" w:rsidR="00BD776B" w:rsidRDefault="00BD776B">
      <w:pPr>
        <w:snapToGrid w:val="0"/>
        <w:rPr>
          <w:rFonts w:ascii="標楷體" w:eastAsia="標楷體" w:hAnsi="標楷體" w:cs="Arial"/>
        </w:rPr>
      </w:pPr>
    </w:p>
    <w:p w14:paraId="4FEBC76E" w14:textId="77777777" w:rsidR="00BD776B" w:rsidRDefault="00DF0C24">
      <w:pPr>
        <w:pageBreakBefore/>
        <w:snapToGrid w:val="0"/>
        <w:spacing w:line="380" w:lineRule="exact"/>
        <w:ind w:left="-628" w:right="-352" w:firstLine="242"/>
        <w:jc w:val="center"/>
      </w:pPr>
      <w:r>
        <w:rPr>
          <w:rFonts w:ascii="標楷體" w:eastAsia="標楷體" w:hAnsi="標楷體"/>
          <w:sz w:val="28"/>
          <w:szCs w:val="28"/>
        </w:rPr>
        <w:lastRenderedPageBreak/>
        <w:t>附表二十二之一：全民健康保險乾癬性周邊關節炎使用生物製劑</w:t>
      </w:r>
      <w:r>
        <w:rPr>
          <w:rFonts w:ascii="標楷體" w:eastAsia="標楷體" w:hAnsi="標楷體"/>
          <w:sz w:val="28"/>
          <w:szCs w:val="28"/>
          <w:vertAlign w:val="superscript"/>
        </w:rPr>
        <w:t>註</w:t>
      </w:r>
      <w:r>
        <w:rPr>
          <w:rFonts w:ascii="標楷體" w:eastAsia="標楷體" w:hAnsi="標楷體"/>
          <w:sz w:val="28"/>
          <w:szCs w:val="28"/>
        </w:rPr>
        <w:t>申請表(第一頁)</w:t>
      </w:r>
    </w:p>
    <w:p w14:paraId="234EAD78" w14:textId="77777777" w:rsidR="00BD776B" w:rsidRDefault="00BD776B">
      <w:pPr>
        <w:snapToGrid w:val="0"/>
        <w:spacing w:line="380" w:lineRule="exact"/>
        <w:ind w:right="-286"/>
        <w:rPr>
          <w:rFonts w:ascii="標楷體" w:eastAsia="標楷體" w:hAnsi="標楷體"/>
          <w:sz w:val="32"/>
        </w:rPr>
      </w:pPr>
    </w:p>
    <w:tbl>
      <w:tblPr>
        <w:tblW w:w="9547" w:type="dxa"/>
        <w:jc w:val="center"/>
        <w:tblLayout w:type="fixed"/>
        <w:tblCellMar>
          <w:left w:w="10" w:type="dxa"/>
          <w:right w:w="10" w:type="dxa"/>
        </w:tblCellMar>
        <w:tblLook w:val="0000" w:firstRow="0" w:lastRow="0" w:firstColumn="0" w:lastColumn="0" w:noHBand="0" w:noVBand="0"/>
      </w:tblPr>
      <w:tblGrid>
        <w:gridCol w:w="1449"/>
        <w:gridCol w:w="1547"/>
        <w:gridCol w:w="1408"/>
        <w:gridCol w:w="1601"/>
        <w:gridCol w:w="1050"/>
        <w:gridCol w:w="2492"/>
      </w:tblGrid>
      <w:tr w:rsidR="00BD776B" w14:paraId="65BE38A5" w14:textId="77777777">
        <w:trPr>
          <w:cantSplit/>
          <w:trHeight w:val="376"/>
          <w:jc w:val="center"/>
        </w:trPr>
        <w:tc>
          <w:tcPr>
            <w:tcW w:w="1449"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C618B4B" w14:textId="77777777" w:rsidR="00BD776B" w:rsidRDefault="00DF0C24">
            <w:pPr>
              <w:snapToGrid w:val="0"/>
              <w:spacing w:line="380" w:lineRule="exact"/>
              <w:rPr>
                <w:rFonts w:ascii="標楷體" w:eastAsia="標楷體" w:hAnsi="標楷體"/>
              </w:rPr>
            </w:pPr>
            <w:r>
              <w:rPr>
                <w:rFonts w:ascii="標楷體" w:eastAsia="標楷體" w:hAnsi="標楷體"/>
              </w:rPr>
              <w:t>醫院代號</w:t>
            </w:r>
          </w:p>
        </w:tc>
        <w:tc>
          <w:tcPr>
            <w:tcW w:w="154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2986A6" w14:textId="77777777" w:rsidR="00BD776B" w:rsidRDefault="00BD776B">
            <w:pPr>
              <w:snapToGrid w:val="0"/>
              <w:spacing w:line="380" w:lineRule="exact"/>
              <w:rPr>
                <w:rFonts w:ascii="標楷體" w:eastAsia="標楷體" w:hAnsi="標楷體"/>
              </w:rPr>
            </w:pPr>
          </w:p>
        </w:tc>
        <w:tc>
          <w:tcPr>
            <w:tcW w:w="140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1F764F" w14:textId="77777777" w:rsidR="00BD776B" w:rsidRDefault="00DF0C24">
            <w:pPr>
              <w:snapToGrid w:val="0"/>
              <w:spacing w:line="380" w:lineRule="exact"/>
              <w:rPr>
                <w:rFonts w:ascii="標楷體" w:eastAsia="標楷體" w:hAnsi="標楷體"/>
              </w:rPr>
            </w:pPr>
            <w:r>
              <w:rPr>
                <w:rFonts w:ascii="標楷體" w:eastAsia="標楷體" w:hAnsi="標楷體"/>
              </w:rPr>
              <w:t>醫院名稱</w:t>
            </w:r>
          </w:p>
        </w:tc>
        <w:tc>
          <w:tcPr>
            <w:tcW w:w="16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0A6CAC" w14:textId="77777777" w:rsidR="00BD776B" w:rsidRDefault="00BD776B">
            <w:pPr>
              <w:snapToGrid w:val="0"/>
              <w:spacing w:line="380" w:lineRule="exact"/>
              <w:rPr>
                <w:rFonts w:ascii="標楷體" w:eastAsia="標楷體" w:hAnsi="標楷體"/>
              </w:rPr>
            </w:pPr>
          </w:p>
        </w:tc>
        <w:tc>
          <w:tcPr>
            <w:tcW w:w="105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F7D042" w14:textId="77777777" w:rsidR="00BD776B" w:rsidRDefault="00DF0C24">
            <w:pPr>
              <w:snapToGrid w:val="0"/>
              <w:spacing w:line="380" w:lineRule="exact"/>
              <w:rPr>
                <w:rFonts w:ascii="標楷體" w:eastAsia="標楷體" w:hAnsi="標楷體"/>
              </w:rPr>
            </w:pPr>
            <w:r>
              <w:rPr>
                <w:rFonts w:ascii="標楷體" w:eastAsia="標楷體" w:hAnsi="標楷體"/>
              </w:rPr>
              <w:t>申請日期</w:t>
            </w:r>
          </w:p>
        </w:tc>
        <w:tc>
          <w:tcPr>
            <w:tcW w:w="2492"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AFD62A4" w14:textId="77777777" w:rsidR="00BD776B" w:rsidRDefault="00BD776B">
            <w:pPr>
              <w:snapToGrid w:val="0"/>
              <w:spacing w:line="380" w:lineRule="exact"/>
              <w:rPr>
                <w:rFonts w:ascii="標楷體" w:eastAsia="標楷體" w:hAnsi="標楷體"/>
              </w:rPr>
            </w:pPr>
          </w:p>
        </w:tc>
      </w:tr>
      <w:tr w:rsidR="00BD776B" w14:paraId="528B98A9" w14:textId="77777777">
        <w:trPr>
          <w:cantSplit/>
          <w:trHeight w:val="332"/>
          <w:jc w:val="center"/>
        </w:trPr>
        <w:tc>
          <w:tcPr>
            <w:tcW w:w="1449"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D8FF093" w14:textId="77777777" w:rsidR="00BD776B" w:rsidRDefault="00DF0C24">
            <w:pPr>
              <w:snapToGrid w:val="0"/>
              <w:spacing w:line="380" w:lineRule="exact"/>
              <w:rPr>
                <w:rFonts w:ascii="標楷體" w:eastAsia="標楷體" w:hAnsi="標楷體"/>
              </w:rPr>
            </w:pPr>
            <w:r>
              <w:rPr>
                <w:rFonts w:ascii="標楷體" w:eastAsia="標楷體" w:hAnsi="標楷體"/>
              </w:rPr>
              <w:t>病人姓名</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0D210E" w14:textId="77777777" w:rsidR="00BD776B" w:rsidRDefault="00BD776B">
            <w:pPr>
              <w:snapToGrid w:val="0"/>
              <w:spacing w:line="380" w:lineRule="exact"/>
              <w:rPr>
                <w:rFonts w:ascii="標楷體" w:eastAsia="標楷體" w:hAnsi="標楷體"/>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0B9CDE8" w14:textId="77777777" w:rsidR="00BD776B" w:rsidRDefault="00DF0C24">
            <w:pPr>
              <w:snapToGrid w:val="0"/>
              <w:spacing w:line="380" w:lineRule="exact"/>
              <w:rPr>
                <w:rFonts w:ascii="標楷體" w:eastAsia="標楷體" w:hAnsi="標楷體"/>
              </w:rPr>
            </w:pPr>
            <w:r>
              <w:rPr>
                <w:rFonts w:ascii="標楷體" w:eastAsia="標楷體" w:hAnsi="標楷體"/>
              </w:rPr>
              <w:t>性別</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1D237C" w14:textId="77777777" w:rsidR="00BD776B" w:rsidRDefault="00BD776B">
            <w:pPr>
              <w:snapToGrid w:val="0"/>
              <w:spacing w:line="380" w:lineRule="exact"/>
              <w:rPr>
                <w:rFonts w:ascii="標楷體" w:eastAsia="標楷體" w:hAnsi="標楷體"/>
              </w:rPr>
            </w:pP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E71C99" w14:textId="77777777" w:rsidR="00BD776B" w:rsidRDefault="00DF0C24">
            <w:pPr>
              <w:snapToGrid w:val="0"/>
              <w:spacing w:line="380" w:lineRule="exact"/>
              <w:rPr>
                <w:rFonts w:ascii="標楷體" w:eastAsia="標楷體" w:hAnsi="標楷體"/>
              </w:rPr>
            </w:pPr>
            <w:r>
              <w:rPr>
                <w:rFonts w:ascii="標楷體" w:eastAsia="標楷體" w:hAnsi="標楷體"/>
              </w:rPr>
              <w:t>出生日期</w:t>
            </w:r>
          </w:p>
        </w:tc>
        <w:tc>
          <w:tcPr>
            <w:tcW w:w="2492"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040D72D" w14:textId="77777777" w:rsidR="00BD776B" w:rsidRDefault="00BD776B">
            <w:pPr>
              <w:snapToGrid w:val="0"/>
              <w:spacing w:line="380" w:lineRule="exact"/>
              <w:rPr>
                <w:rFonts w:ascii="標楷體" w:eastAsia="標楷體" w:hAnsi="標楷體"/>
              </w:rPr>
            </w:pPr>
          </w:p>
        </w:tc>
      </w:tr>
      <w:tr w:rsidR="00BD776B" w14:paraId="7995C9E5" w14:textId="77777777">
        <w:trPr>
          <w:cantSplit/>
          <w:trHeight w:val="356"/>
          <w:jc w:val="center"/>
        </w:trPr>
        <w:tc>
          <w:tcPr>
            <w:tcW w:w="1449"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06C77E4" w14:textId="77777777" w:rsidR="00BD776B" w:rsidRDefault="00DF0C24">
            <w:pPr>
              <w:snapToGrid w:val="0"/>
              <w:spacing w:line="380" w:lineRule="exact"/>
              <w:rPr>
                <w:rFonts w:ascii="標楷體" w:eastAsia="標楷體" w:hAnsi="標楷體"/>
              </w:rPr>
            </w:pPr>
            <w:r>
              <w:rPr>
                <w:rFonts w:ascii="標楷體" w:eastAsia="標楷體" w:hAnsi="標楷體"/>
              </w:rPr>
              <w:t>身分證號</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404EA7" w14:textId="77777777" w:rsidR="00BD776B" w:rsidRDefault="00BD776B">
            <w:pPr>
              <w:snapToGrid w:val="0"/>
              <w:spacing w:line="380" w:lineRule="exact"/>
              <w:rPr>
                <w:rFonts w:ascii="標楷體" w:eastAsia="標楷體" w:hAnsi="標楷體"/>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163AED" w14:textId="77777777" w:rsidR="00BD776B" w:rsidRDefault="00DF0C24">
            <w:pPr>
              <w:snapToGrid w:val="0"/>
              <w:spacing w:line="380" w:lineRule="exact"/>
              <w:rPr>
                <w:rFonts w:ascii="標楷體" w:eastAsia="標楷體" w:hAnsi="標楷體"/>
              </w:rPr>
            </w:pPr>
            <w:r>
              <w:rPr>
                <w:rFonts w:ascii="標楷體" w:eastAsia="標楷體" w:hAnsi="標楷體"/>
              </w:rPr>
              <w:t>病歷號碼</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DF836B" w14:textId="77777777" w:rsidR="00BD776B" w:rsidRDefault="00BD776B">
            <w:pPr>
              <w:snapToGrid w:val="0"/>
              <w:spacing w:line="380" w:lineRule="exact"/>
              <w:rPr>
                <w:rFonts w:ascii="標楷體" w:eastAsia="標楷體" w:hAnsi="標楷體"/>
              </w:rPr>
            </w:pPr>
          </w:p>
        </w:tc>
        <w:tc>
          <w:tcPr>
            <w:tcW w:w="1050"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36C17A4F" w14:textId="77777777" w:rsidR="00BD776B" w:rsidRDefault="00DF0C24">
            <w:pPr>
              <w:snapToGrid w:val="0"/>
              <w:spacing w:line="380" w:lineRule="exact"/>
              <w:rPr>
                <w:rFonts w:ascii="標楷體" w:eastAsia="標楷體" w:hAnsi="標楷體"/>
              </w:rPr>
            </w:pPr>
            <w:r>
              <w:rPr>
                <w:rFonts w:ascii="標楷體" w:eastAsia="標楷體" w:hAnsi="標楷體"/>
              </w:rPr>
              <w:t>使用期間</w:t>
            </w:r>
          </w:p>
        </w:tc>
        <w:tc>
          <w:tcPr>
            <w:tcW w:w="2492"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77E0BC1" w14:textId="77777777" w:rsidR="00BD776B" w:rsidRDefault="00DF0C24">
            <w:pPr>
              <w:snapToGrid w:val="0"/>
              <w:spacing w:line="380" w:lineRule="exact"/>
              <w:rPr>
                <w:rFonts w:ascii="標楷體" w:eastAsia="標楷體" w:hAnsi="標楷體"/>
              </w:rPr>
            </w:pPr>
            <w:r>
              <w:rPr>
                <w:rFonts w:ascii="標楷體" w:eastAsia="標楷體" w:hAnsi="標楷體"/>
              </w:rPr>
              <w:t>自　　年　　月　　日</w:t>
            </w:r>
          </w:p>
        </w:tc>
      </w:tr>
      <w:tr w:rsidR="00BD776B" w14:paraId="6AAD6BBA" w14:textId="77777777">
        <w:trPr>
          <w:cantSplit/>
          <w:trHeight w:val="337"/>
          <w:jc w:val="center"/>
        </w:trPr>
        <w:tc>
          <w:tcPr>
            <w:tcW w:w="1449"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026F4DC8" w14:textId="77777777" w:rsidR="00BD776B" w:rsidRDefault="00DF0C24">
            <w:pPr>
              <w:snapToGrid w:val="0"/>
              <w:spacing w:line="380" w:lineRule="exact"/>
              <w:rPr>
                <w:rFonts w:ascii="標楷體" w:eastAsia="標楷體" w:hAnsi="標楷體"/>
              </w:rPr>
            </w:pPr>
            <w:r>
              <w:rPr>
                <w:rFonts w:ascii="標楷體" w:eastAsia="標楷體" w:hAnsi="標楷體"/>
              </w:rPr>
              <w:t>藥品代碼</w:t>
            </w:r>
          </w:p>
        </w:tc>
        <w:tc>
          <w:tcPr>
            <w:tcW w:w="154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307A13D" w14:textId="77777777" w:rsidR="00BD776B" w:rsidRDefault="00BD776B">
            <w:pPr>
              <w:snapToGrid w:val="0"/>
              <w:spacing w:line="380" w:lineRule="exact"/>
              <w:rPr>
                <w:rFonts w:ascii="標楷體" w:eastAsia="標楷體" w:hAnsi="標楷體"/>
              </w:rPr>
            </w:pPr>
          </w:p>
        </w:tc>
        <w:tc>
          <w:tcPr>
            <w:tcW w:w="140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6C161C0" w14:textId="77777777" w:rsidR="00BD776B" w:rsidRDefault="00DF0C24">
            <w:pPr>
              <w:snapToGrid w:val="0"/>
              <w:spacing w:line="380" w:lineRule="exact"/>
              <w:rPr>
                <w:rFonts w:ascii="標楷體" w:eastAsia="標楷體" w:hAnsi="標楷體"/>
              </w:rPr>
            </w:pPr>
            <w:r>
              <w:rPr>
                <w:rFonts w:ascii="標楷體" w:eastAsia="標楷體" w:hAnsi="標楷體"/>
              </w:rPr>
              <w:t>用法用量</w:t>
            </w:r>
          </w:p>
        </w:tc>
        <w:tc>
          <w:tcPr>
            <w:tcW w:w="16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3CFE341" w14:textId="77777777" w:rsidR="00BD776B" w:rsidRDefault="00BD776B">
            <w:pPr>
              <w:snapToGrid w:val="0"/>
              <w:spacing w:line="380" w:lineRule="exact"/>
              <w:rPr>
                <w:rFonts w:ascii="標楷體" w:eastAsia="標楷體" w:hAnsi="標楷體"/>
              </w:rPr>
            </w:pPr>
          </w:p>
        </w:tc>
        <w:tc>
          <w:tcPr>
            <w:tcW w:w="1050"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694E0502" w14:textId="77777777" w:rsidR="00BD776B" w:rsidRDefault="00BD776B">
            <w:pPr>
              <w:snapToGrid w:val="0"/>
              <w:spacing w:line="380" w:lineRule="exact"/>
              <w:rPr>
                <w:rFonts w:ascii="標楷體" w:eastAsia="標楷體" w:hAnsi="標楷體"/>
              </w:rPr>
            </w:pPr>
          </w:p>
        </w:tc>
        <w:tc>
          <w:tcPr>
            <w:tcW w:w="2492"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71231A1B" w14:textId="77777777" w:rsidR="00BD776B" w:rsidRDefault="00DF0C24">
            <w:pPr>
              <w:snapToGrid w:val="0"/>
              <w:spacing w:line="380" w:lineRule="exact"/>
              <w:rPr>
                <w:rFonts w:ascii="標楷體" w:eastAsia="標楷體" w:hAnsi="標楷體"/>
              </w:rPr>
            </w:pPr>
            <w:r>
              <w:rPr>
                <w:rFonts w:ascii="標楷體" w:eastAsia="標楷體" w:hAnsi="標楷體"/>
              </w:rPr>
              <w:t>至　　年　　月　　日</w:t>
            </w:r>
          </w:p>
        </w:tc>
      </w:tr>
    </w:tbl>
    <w:p w14:paraId="1A0AAA65" w14:textId="77777777" w:rsidR="00BD776B" w:rsidRDefault="00BD776B">
      <w:pPr>
        <w:snapToGrid w:val="0"/>
        <w:spacing w:line="380" w:lineRule="exact"/>
        <w:ind w:right="-286"/>
        <w:rPr>
          <w:rFonts w:ascii="標楷體" w:eastAsia="標楷體" w:hAnsi="標楷體"/>
          <w:sz w:val="20"/>
        </w:rPr>
      </w:pPr>
    </w:p>
    <w:tbl>
      <w:tblPr>
        <w:tblW w:w="9536" w:type="dxa"/>
        <w:jc w:val="center"/>
        <w:tblCellMar>
          <w:left w:w="10" w:type="dxa"/>
          <w:right w:w="10" w:type="dxa"/>
        </w:tblCellMar>
        <w:tblLook w:val="0000" w:firstRow="0" w:lastRow="0" w:firstColumn="0" w:lastColumn="0" w:noHBand="0" w:noVBand="0"/>
      </w:tblPr>
      <w:tblGrid>
        <w:gridCol w:w="9536"/>
      </w:tblGrid>
      <w:tr w:rsidR="00BD776B" w14:paraId="56F4F45F" w14:textId="77777777">
        <w:trPr>
          <w:trHeight w:val="9893"/>
          <w:jc w:val="center"/>
        </w:trPr>
        <w:tc>
          <w:tcPr>
            <w:tcW w:w="9536"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2637A6C8" w14:textId="77777777" w:rsidR="00BD776B" w:rsidRDefault="00DF0C24" w:rsidP="008A7063">
            <w:pPr>
              <w:numPr>
                <w:ilvl w:val="0"/>
                <w:numId w:val="85"/>
              </w:numPr>
              <w:snapToGrid w:val="0"/>
              <w:spacing w:before="180" w:line="276" w:lineRule="auto"/>
            </w:pPr>
            <w:r>
              <w:rPr>
                <w:rFonts w:ascii="標楷體" w:eastAsia="標楷體" w:hAnsi="標楷體"/>
                <w:b/>
                <w:bCs/>
                <w:szCs w:val="17"/>
              </w:rPr>
              <w:t>符合下列所有條件：</w:t>
            </w:r>
          </w:p>
          <w:p w14:paraId="40060213" w14:textId="77777777" w:rsidR="00BD776B" w:rsidRDefault="00DF0C24">
            <w:pPr>
              <w:snapToGrid w:val="0"/>
              <w:spacing w:line="276" w:lineRule="auto"/>
              <w:ind w:left="653" w:hanging="283"/>
            </w:pPr>
            <w:r>
              <w:rPr>
                <w:rFonts w:ascii="Webdings" w:eastAsia="Webdings" w:hAnsi="Webdings" w:cs="Webdings"/>
                <w:color w:val="000000"/>
              </w:rPr>
              <w:t></w:t>
            </w:r>
            <w:r>
              <w:rPr>
                <w:rFonts w:ascii="標楷體" w:eastAsia="標楷體" w:hAnsi="標楷體"/>
              </w:rPr>
              <w:t>經</w:t>
            </w:r>
            <w:r>
              <w:rPr>
                <w:rFonts w:ascii="標楷體" w:eastAsia="標楷體" w:hAnsi="標楷體"/>
                <w:szCs w:val="13"/>
              </w:rPr>
              <w:t>內科專科醫師且具有風濕或免疫專科醫師證書者診斷為乾癬性關節炎患者。</w:t>
            </w:r>
          </w:p>
          <w:p w14:paraId="418A6E51" w14:textId="77777777" w:rsidR="00BD776B" w:rsidRDefault="00DF0C24">
            <w:pPr>
              <w:snapToGrid w:val="0"/>
              <w:spacing w:line="276" w:lineRule="auto"/>
              <w:ind w:left="653" w:hanging="283"/>
            </w:pPr>
            <w:r>
              <w:rPr>
                <w:rFonts w:ascii="Webdings" w:eastAsia="Webdings" w:hAnsi="Webdings" w:cs="Webdings"/>
                <w:color w:val="000000"/>
              </w:rPr>
              <w:t></w:t>
            </w:r>
            <w:r>
              <w:rPr>
                <w:rFonts w:ascii="標楷體" w:eastAsia="標楷體" w:hAnsi="標楷體"/>
              </w:rPr>
              <w:t>曾</w:t>
            </w:r>
            <w:r>
              <w:rPr>
                <w:rFonts w:ascii="標楷體" w:eastAsia="標楷體" w:hAnsi="標楷體"/>
                <w:szCs w:val="13"/>
              </w:rPr>
              <w:t>經皮膚科醫師診斷為乾癬患者，或經皮膚切片診斷為乾癬患者。</w:t>
            </w:r>
          </w:p>
          <w:p w14:paraId="76B6E3FA" w14:textId="77777777" w:rsidR="00BD776B" w:rsidRDefault="00DF0C24">
            <w:pPr>
              <w:snapToGrid w:val="0"/>
              <w:spacing w:line="276" w:lineRule="auto"/>
              <w:ind w:left="653" w:hanging="283"/>
            </w:pPr>
            <w:r>
              <w:rPr>
                <w:rFonts w:ascii="Webdings" w:eastAsia="Webdings" w:hAnsi="Webdings" w:cs="Webdings"/>
                <w:color w:val="000000"/>
              </w:rPr>
              <w:t></w:t>
            </w:r>
            <w:r>
              <w:rPr>
                <w:rFonts w:ascii="標楷體" w:eastAsia="標楷體" w:hAnsi="標楷體"/>
              </w:rPr>
              <w:t>三個或是三個以上的疼痛關節及三個或三個以上的腫脹關節，且至少間隔一個月或一個月以上之連續兩次評估均符合上述條件。(需附關節腫脹相關X-光片或照片輔証)。</w:t>
            </w:r>
          </w:p>
          <w:p w14:paraId="6154E3C1" w14:textId="77777777" w:rsidR="00BD776B" w:rsidRDefault="00DF0C24">
            <w:pPr>
              <w:snapToGrid w:val="0"/>
              <w:spacing w:line="276" w:lineRule="auto"/>
            </w:pPr>
            <w:r>
              <w:rPr>
                <w:rFonts w:ascii="Webdings" w:eastAsia="Webdings" w:hAnsi="Webdings" w:cs="Webdings"/>
                <w:color w:val="000000"/>
              </w:rPr>
              <w:t></w:t>
            </w:r>
            <w:r>
              <w:rPr>
                <w:rFonts w:ascii="標楷體" w:eastAsia="標楷體" w:hAnsi="標楷體"/>
              </w:rPr>
              <w:t>已先使用非類固醇類消炎止痛劑(NSAIDs)及疾病修飾治療藥物(DMARDs)。</w:t>
            </w:r>
          </w:p>
          <w:p w14:paraId="10B25FB9" w14:textId="77777777" w:rsidR="00BD776B" w:rsidRDefault="00DF0C24">
            <w:pPr>
              <w:snapToGrid w:val="0"/>
              <w:spacing w:line="276" w:lineRule="auto"/>
              <w:ind w:left="655" w:firstLine="2"/>
              <w:rPr>
                <w:rFonts w:ascii="標楷體" w:eastAsia="標楷體" w:hAnsi="標楷體"/>
              </w:rPr>
            </w:pPr>
            <w:r>
              <w:rPr>
                <w:rFonts w:ascii="標楷體" w:eastAsia="標楷體" w:hAnsi="標楷體"/>
              </w:rPr>
              <w:t>且曾經使用過至少2種疾病修飾治療藥物(DMARDs)進行充分的治療，但療效不彰。（定義請參照給付規定）</w:t>
            </w:r>
          </w:p>
          <w:p w14:paraId="260EF24F" w14:textId="77777777" w:rsidR="00BD776B" w:rsidRDefault="00DF0C24">
            <w:pPr>
              <w:snapToGrid w:val="0"/>
              <w:spacing w:line="276" w:lineRule="auto"/>
              <w:ind w:left="360"/>
            </w:pPr>
            <w:r>
              <w:rPr>
                <w:rFonts w:ascii="標楷體" w:eastAsia="標楷體" w:hAnsi="標楷體"/>
                <w:szCs w:val="13"/>
              </w:rPr>
              <w:t>(1)DMARD1藥名__________</w:t>
            </w:r>
            <w:r>
              <w:rPr>
                <w:rFonts w:ascii="標楷體" w:eastAsia="標楷體" w:hAnsi="標楷體"/>
                <w:szCs w:val="17"/>
              </w:rPr>
              <w:t>劑量</w:t>
            </w:r>
            <w:r>
              <w:rPr>
                <w:rFonts w:ascii="標楷體" w:eastAsia="標楷體" w:hAnsi="標楷體"/>
                <w:szCs w:val="13"/>
              </w:rPr>
              <w:t>_________使用期限___________________</w:t>
            </w:r>
          </w:p>
          <w:p w14:paraId="267279B9" w14:textId="77777777" w:rsidR="00BD776B" w:rsidRDefault="00DF0C24">
            <w:pPr>
              <w:snapToGrid w:val="0"/>
              <w:spacing w:line="276" w:lineRule="auto"/>
              <w:ind w:left="360"/>
            </w:pPr>
            <w:r>
              <w:rPr>
                <w:rFonts w:ascii="標楷體" w:eastAsia="標楷體" w:hAnsi="標楷體"/>
                <w:szCs w:val="13"/>
              </w:rPr>
              <w:t>副作用說明__________________________________________</w:t>
            </w:r>
          </w:p>
          <w:p w14:paraId="10B46A74" w14:textId="77777777" w:rsidR="00BD776B" w:rsidRDefault="00DF0C24">
            <w:pPr>
              <w:snapToGrid w:val="0"/>
              <w:spacing w:line="276" w:lineRule="auto"/>
              <w:ind w:left="360"/>
              <w:rPr>
                <w:rFonts w:ascii="標楷體" w:eastAsia="標楷體" w:hAnsi="標楷體"/>
                <w:szCs w:val="13"/>
              </w:rPr>
            </w:pPr>
            <w:r>
              <w:rPr>
                <w:rFonts w:ascii="標楷體" w:eastAsia="標楷體" w:hAnsi="標楷體"/>
                <w:szCs w:val="13"/>
              </w:rPr>
              <w:t>(2)DMARD2藥名__________劑量_________使用期限___________________</w:t>
            </w:r>
          </w:p>
          <w:p w14:paraId="7464991D" w14:textId="77777777" w:rsidR="00BD776B" w:rsidRDefault="00DF0C24">
            <w:pPr>
              <w:snapToGrid w:val="0"/>
              <w:spacing w:line="276" w:lineRule="auto"/>
              <w:ind w:left="360"/>
            </w:pPr>
            <w:r>
              <w:rPr>
                <w:rFonts w:ascii="標楷體" w:eastAsia="標楷體" w:hAnsi="標楷體"/>
                <w:szCs w:val="13"/>
              </w:rPr>
              <w:t>副作用說明__________________________________________</w:t>
            </w:r>
          </w:p>
          <w:p w14:paraId="5252D77C" w14:textId="77777777" w:rsidR="00BD776B" w:rsidRDefault="00DF0C24">
            <w:pPr>
              <w:snapToGrid w:val="0"/>
              <w:spacing w:line="276" w:lineRule="auto"/>
              <w:ind w:left="360"/>
            </w:pPr>
            <w:r>
              <w:rPr>
                <w:rFonts w:ascii="標楷體" w:eastAsia="標楷體" w:hAnsi="標楷體"/>
                <w:szCs w:val="13"/>
              </w:rPr>
              <w:t>(3)DMARD3藥名__________</w:t>
            </w:r>
            <w:r>
              <w:rPr>
                <w:rFonts w:ascii="標楷體" w:eastAsia="標楷體" w:hAnsi="標楷體"/>
                <w:szCs w:val="17"/>
              </w:rPr>
              <w:t>劑量</w:t>
            </w:r>
            <w:r>
              <w:rPr>
                <w:rFonts w:ascii="標楷體" w:eastAsia="標楷體" w:hAnsi="標楷體"/>
                <w:szCs w:val="13"/>
              </w:rPr>
              <w:t>_________使用期限___________________</w:t>
            </w:r>
          </w:p>
          <w:p w14:paraId="4F2183E4" w14:textId="77777777" w:rsidR="00BD776B" w:rsidRDefault="00DF0C24">
            <w:pPr>
              <w:snapToGrid w:val="0"/>
              <w:spacing w:line="276" w:lineRule="auto"/>
              <w:ind w:left="360"/>
            </w:pPr>
            <w:r>
              <w:rPr>
                <w:rFonts w:ascii="標楷體" w:eastAsia="標楷體" w:hAnsi="標楷體"/>
                <w:szCs w:val="13"/>
              </w:rPr>
              <w:t>副作用說明__________________________________________</w:t>
            </w:r>
          </w:p>
          <w:p w14:paraId="53CDA57B" w14:textId="77777777" w:rsidR="00BD776B" w:rsidRDefault="00DF0C24">
            <w:pPr>
              <w:snapToGrid w:val="0"/>
              <w:spacing w:before="180" w:line="276" w:lineRule="auto"/>
            </w:pPr>
            <w:r>
              <w:rPr>
                <w:rFonts w:ascii="標楷體" w:eastAsia="標楷體" w:hAnsi="標楷體"/>
                <w:b/>
                <w:color w:val="292526"/>
                <w:szCs w:val="13"/>
              </w:rPr>
              <w:t>□符合繼續使用之療效評估：</w:t>
            </w:r>
          </w:p>
          <w:p w14:paraId="13524FDB" w14:textId="77777777" w:rsidR="00BD776B" w:rsidRDefault="00DF0C24">
            <w:pPr>
              <w:snapToGrid w:val="0"/>
              <w:spacing w:line="276" w:lineRule="auto"/>
              <w:ind w:left="1648" w:hanging="1274"/>
            </w:pPr>
            <w:r>
              <w:rPr>
                <w:rFonts w:ascii="標楷體" w:eastAsia="標楷體" w:hAnsi="標楷體"/>
                <w:bCs/>
                <w:color w:val="000000"/>
              </w:rPr>
              <w:t>療效定義：</w:t>
            </w:r>
            <w:r>
              <w:rPr>
                <w:rFonts w:ascii="標楷體" w:eastAsia="標楷體" w:hAnsi="標楷體"/>
              </w:rPr>
              <w:t>治療12週後，評估乾癬關節炎反應標準﹝附表二十二之三﹞，其標準為</w:t>
            </w:r>
            <w:r>
              <w:rPr>
                <w:rFonts w:ascii="標楷體" w:eastAsia="標楷體" w:hAnsi="標楷體"/>
                <w:color w:val="000000"/>
              </w:rPr>
              <w:t>下列四項中至少有二項較原基礎值改善，且其中一項需為疼痛關節或腫脹關節的關節總數，且下述各種指標不得有任一項惡化</w:t>
            </w:r>
            <w:r>
              <w:rPr>
                <w:rFonts w:ascii="標楷體" w:eastAsia="標楷體" w:hAnsi="標楷體"/>
              </w:rPr>
              <w:t>，方得繼續使用。</w:t>
            </w:r>
          </w:p>
          <w:p w14:paraId="57CE34D0" w14:textId="77777777" w:rsidR="00BD776B" w:rsidRDefault="00DF0C24">
            <w:pPr>
              <w:snapToGrid w:val="0"/>
              <w:spacing w:line="276" w:lineRule="auto"/>
              <w:ind w:left="655" w:hanging="281"/>
            </w:pPr>
            <w:r>
              <w:rPr>
                <w:rFonts w:ascii="標楷體" w:eastAsia="標楷體" w:hAnsi="標楷體"/>
                <w:szCs w:val="13"/>
              </w:rPr>
              <w:t>□</w:t>
            </w:r>
            <w:r>
              <w:rPr>
                <w:rFonts w:ascii="標楷體" w:eastAsia="標楷體" w:hAnsi="標楷體"/>
                <w:color w:val="000000"/>
              </w:rPr>
              <w:t>疼痛關節的關節總數較原基礎值改善。</w:t>
            </w:r>
          </w:p>
          <w:p w14:paraId="1CCCE881" w14:textId="77777777" w:rsidR="00BD776B" w:rsidRDefault="00DF0C24">
            <w:pPr>
              <w:snapToGrid w:val="0"/>
              <w:spacing w:line="276" w:lineRule="auto"/>
              <w:ind w:left="655" w:hanging="281"/>
            </w:pPr>
            <w:r>
              <w:rPr>
                <w:rFonts w:ascii="標楷體" w:eastAsia="標楷體" w:hAnsi="標楷體"/>
                <w:szCs w:val="13"/>
              </w:rPr>
              <w:t>□</w:t>
            </w:r>
            <w:r>
              <w:rPr>
                <w:rFonts w:ascii="標楷體" w:eastAsia="標楷體" w:hAnsi="標楷體"/>
                <w:color w:val="000000"/>
              </w:rPr>
              <w:t>腫脹關節的關節總數較原基礎值改善</w:t>
            </w:r>
            <w:r>
              <w:rPr>
                <w:rFonts w:ascii="標楷體" w:eastAsia="標楷體" w:hAnsi="標楷體"/>
                <w:szCs w:val="13"/>
              </w:rPr>
              <w:t>。</w:t>
            </w:r>
          </w:p>
          <w:p w14:paraId="7C0067A3" w14:textId="77777777" w:rsidR="00BD776B" w:rsidRDefault="00DF0C24">
            <w:pPr>
              <w:snapToGrid w:val="0"/>
              <w:spacing w:line="276" w:lineRule="auto"/>
              <w:ind w:left="655" w:hanging="281"/>
            </w:pPr>
            <w:r>
              <w:rPr>
                <w:rFonts w:ascii="標楷體" w:eastAsia="標楷體" w:hAnsi="標楷體"/>
                <w:szCs w:val="13"/>
              </w:rPr>
              <w:t>□醫師的整體評估</w:t>
            </w:r>
            <w:r>
              <w:rPr>
                <w:rFonts w:ascii="標楷體" w:eastAsia="標楷體" w:hAnsi="標楷體"/>
                <w:color w:val="000000"/>
              </w:rPr>
              <w:t>較原基礎值改善</w:t>
            </w:r>
            <w:r>
              <w:rPr>
                <w:rFonts w:ascii="標楷體" w:eastAsia="標楷體" w:hAnsi="標楷體"/>
                <w:szCs w:val="13"/>
              </w:rPr>
              <w:t>。</w:t>
            </w:r>
          </w:p>
          <w:p w14:paraId="3694E30F" w14:textId="77777777" w:rsidR="00BD776B" w:rsidRDefault="00DF0C24">
            <w:pPr>
              <w:snapToGrid w:val="0"/>
              <w:spacing w:line="276" w:lineRule="auto"/>
              <w:ind w:left="655" w:hanging="281"/>
            </w:pPr>
            <w:r>
              <w:rPr>
                <w:rFonts w:ascii="標楷體" w:eastAsia="標楷體" w:hAnsi="標楷體"/>
                <w:szCs w:val="13"/>
              </w:rPr>
              <w:t>□病患的整體評估</w:t>
            </w:r>
            <w:r>
              <w:rPr>
                <w:rFonts w:ascii="標楷體" w:eastAsia="標楷體" w:hAnsi="標楷體"/>
                <w:color w:val="000000"/>
              </w:rPr>
              <w:t>較原基礎值改善</w:t>
            </w:r>
            <w:r>
              <w:rPr>
                <w:rFonts w:ascii="標楷體" w:eastAsia="標楷體" w:hAnsi="標楷體"/>
                <w:szCs w:val="13"/>
              </w:rPr>
              <w:t>。</w:t>
            </w:r>
          </w:p>
          <w:p w14:paraId="08D78042" w14:textId="77777777" w:rsidR="00BD776B" w:rsidRDefault="00DF0C24">
            <w:pPr>
              <w:snapToGrid w:val="0"/>
              <w:spacing w:line="276" w:lineRule="auto"/>
              <w:ind w:left="655" w:hanging="281"/>
            </w:pPr>
            <w:r>
              <w:rPr>
                <w:rFonts w:ascii="標楷體" w:eastAsia="標楷體" w:hAnsi="標楷體"/>
                <w:szCs w:val="13"/>
              </w:rPr>
              <w:t>□上述4種指標皆無惡化。</w:t>
            </w:r>
          </w:p>
          <w:p w14:paraId="4E60143B" w14:textId="77777777" w:rsidR="00BD776B" w:rsidRDefault="00DF0C24">
            <w:pPr>
              <w:snapToGrid w:val="0"/>
              <w:spacing w:line="360" w:lineRule="auto"/>
              <w:ind w:left="372"/>
            </w:pPr>
            <w:r>
              <w:rPr>
                <w:rFonts w:ascii="標楷體" w:eastAsia="標楷體" w:hAnsi="標楷體"/>
              </w:rPr>
              <w:t>註：</w:t>
            </w:r>
            <w:r>
              <w:rPr>
                <w:rFonts w:ascii="標楷體" w:eastAsia="標楷體" w:hAnsi="標楷體"/>
                <w:color w:val="000000"/>
              </w:rPr>
              <w:t>改善之</w:t>
            </w:r>
            <w:r>
              <w:rPr>
                <w:rFonts w:ascii="標楷體" w:eastAsia="標楷體" w:hAnsi="標楷體"/>
              </w:rPr>
              <w:t>定義請參照給付規定</w:t>
            </w:r>
          </w:p>
        </w:tc>
      </w:tr>
    </w:tbl>
    <w:p w14:paraId="0E4FD1A8" w14:textId="77777777" w:rsidR="00BD776B" w:rsidRDefault="00DF0C24">
      <w:pPr>
        <w:snapToGrid w:val="0"/>
        <w:spacing w:line="380" w:lineRule="exact"/>
        <w:ind w:left="-628" w:right="-352" w:firstLine="283"/>
        <w:jc w:val="center"/>
        <w:rPr>
          <w:rFonts w:ascii="標楷體" w:eastAsia="標楷體" w:hAnsi="標楷體"/>
          <w:szCs w:val="24"/>
        </w:rPr>
      </w:pPr>
      <w:r>
        <w:rPr>
          <w:rFonts w:ascii="標楷體" w:eastAsia="標楷體" w:hAnsi="標楷體"/>
          <w:szCs w:val="24"/>
        </w:rPr>
        <w:t>註：全民健康保險乾癬性周邊關節炎申請Ustekinumab/ixekizumab使用附表二十二之六</w:t>
      </w:r>
    </w:p>
    <w:p w14:paraId="272AD826" w14:textId="77777777" w:rsidR="00BD776B" w:rsidRDefault="00BD776B">
      <w:pPr>
        <w:snapToGrid w:val="0"/>
        <w:spacing w:line="380" w:lineRule="exact"/>
        <w:ind w:left="-628" w:right="-352" w:firstLine="283"/>
        <w:jc w:val="center"/>
        <w:rPr>
          <w:rFonts w:ascii="標楷體" w:eastAsia="標楷體" w:hAnsi="標楷體"/>
          <w:sz w:val="28"/>
          <w:szCs w:val="28"/>
        </w:rPr>
      </w:pPr>
    </w:p>
    <w:p w14:paraId="31B2F389" w14:textId="77777777" w:rsidR="00BD776B" w:rsidRDefault="00BD776B">
      <w:pPr>
        <w:snapToGrid w:val="0"/>
        <w:spacing w:line="380" w:lineRule="exact"/>
        <w:ind w:left="-628" w:right="-352" w:firstLine="283"/>
        <w:jc w:val="center"/>
        <w:rPr>
          <w:rFonts w:ascii="標楷體" w:eastAsia="標楷體" w:hAnsi="標楷體"/>
          <w:sz w:val="28"/>
          <w:szCs w:val="28"/>
        </w:rPr>
      </w:pPr>
    </w:p>
    <w:p w14:paraId="39359E6B" w14:textId="77777777" w:rsidR="00BD776B" w:rsidRDefault="00BD776B">
      <w:pPr>
        <w:snapToGrid w:val="0"/>
        <w:spacing w:line="380" w:lineRule="exact"/>
        <w:ind w:left="-628" w:right="-352" w:firstLine="283"/>
        <w:jc w:val="center"/>
        <w:rPr>
          <w:rFonts w:ascii="標楷體" w:eastAsia="標楷體" w:hAnsi="標楷體"/>
          <w:sz w:val="28"/>
          <w:szCs w:val="28"/>
        </w:rPr>
      </w:pPr>
    </w:p>
    <w:p w14:paraId="590B4BEE" w14:textId="77777777" w:rsidR="00BD776B" w:rsidRDefault="00DF0C24">
      <w:pPr>
        <w:snapToGrid w:val="0"/>
        <w:spacing w:line="380" w:lineRule="exact"/>
        <w:ind w:left="-628" w:right="-352" w:firstLine="283"/>
        <w:jc w:val="center"/>
        <w:rPr>
          <w:rFonts w:ascii="標楷體" w:eastAsia="標楷體" w:hAnsi="標楷體"/>
          <w:sz w:val="28"/>
          <w:szCs w:val="28"/>
        </w:rPr>
      </w:pPr>
      <w:r>
        <w:rPr>
          <w:rFonts w:ascii="標楷體" w:eastAsia="標楷體" w:hAnsi="標楷體"/>
          <w:sz w:val="28"/>
          <w:szCs w:val="28"/>
        </w:rPr>
        <w:lastRenderedPageBreak/>
        <w:t>附表二十二之一：全民健康保險乾癬性周邊關節炎使用生物製劑申請表(第二頁)</w:t>
      </w:r>
    </w:p>
    <w:tbl>
      <w:tblPr>
        <w:tblW w:w="9536" w:type="dxa"/>
        <w:tblInd w:w="616" w:type="dxa"/>
        <w:tblCellMar>
          <w:left w:w="10" w:type="dxa"/>
          <w:right w:w="10" w:type="dxa"/>
        </w:tblCellMar>
        <w:tblLook w:val="0000" w:firstRow="0" w:lastRow="0" w:firstColumn="0" w:lastColumn="0" w:noHBand="0" w:noVBand="0"/>
      </w:tblPr>
      <w:tblGrid>
        <w:gridCol w:w="656"/>
        <w:gridCol w:w="1320"/>
        <w:gridCol w:w="4080"/>
        <w:gridCol w:w="3480"/>
      </w:tblGrid>
      <w:tr w:rsidR="00BD776B" w14:paraId="67FCCB12" w14:textId="77777777">
        <w:trPr>
          <w:cantSplit/>
          <w:trHeight w:val="281"/>
        </w:trPr>
        <w:tc>
          <w:tcPr>
            <w:tcW w:w="9536" w:type="dxa"/>
            <w:gridSpan w:val="4"/>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216CDA3B" w14:textId="77777777" w:rsidR="00BD776B" w:rsidRDefault="00DF0C24">
            <w:pPr>
              <w:snapToGrid w:val="0"/>
              <w:spacing w:before="180" w:line="360" w:lineRule="auto"/>
              <w:ind w:left="120"/>
            </w:pPr>
            <w:r>
              <w:rPr>
                <w:rFonts w:ascii="Webdings" w:eastAsia="Webdings" w:hAnsi="Webdings" w:cs="Webdings"/>
                <w:color w:val="000000"/>
              </w:rPr>
              <w:t></w:t>
            </w:r>
            <w:r>
              <w:rPr>
                <w:rFonts w:eastAsia="標楷體"/>
                <w:b/>
                <w:color w:val="000000"/>
                <w:szCs w:val="20"/>
              </w:rPr>
              <w:t>無「需排除或停止</w:t>
            </w:r>
            <w:r>
              <w:rPr>
                <w:rFonts w:eastAsia="標楷體"/>
                <w:b/>
                <w:szCs w:val="18"/>
                <w:u w:val="single"/>
              </w:rPr>
              <w:t>生物製劑</w:t>
            </w:r>
            <w:r>
              <w:rPr>
                <w:rFonts w:eastAsia="標楷體"/>
                <w:b/>
                <w:color w:val="000000"/>
                <w:szCs w:val="20"/>
              </w:rPr>
              <w:t>使用之情形」</w:t>
            </w:r>
          </w:p>
        </w:tc>
      </w:tr>
      <w:tr w:rsidR="00BD776B" w14:paraId="3FF239E6"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8074FDF"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901226"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61152A79"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40B48BD" w14:textId="77777777" w:rsidR="00BD776B" w:rsidRDefault="00DF0C24">
            <w:pPr>
              <w:snapToGrid w:val="0"/>
              <w:textAlignment w:val="center"/>
            </w:pPr>
            <w:r>
              <w:rPr>
                <w:rFonts w:eastAsia="標楷體"/>
                <w:color w:val="000000"/>
                <w:szCs w:val="20"/>
              </w:rPr>
              <w:t>是</w:t>
            </w:r>
            <w:r>
              <w:rPr>
                <w:rFonts w:eastAsia="標楷體"/>
                <w:szCs w:val="20"/>
              </w:rPr>
              <w:t>否有</w:t>
            </w:r>
            <w:r>
              <w:rPr>
                <w:rFonts w:eastAsia="標楷體"/>
                <w:szCs w:val="18"/>
              </w:rPr>
              <w:t>藥名</w:t>
            </w:r>
            <w:r>
              <w:rPr>
                <w:rFonts w:eastAsia="標楷體"/>
                <w:szCs w:val="18"/>
                <w:u w:val="single"/>
              </w:rPr>
              <w:t>_____________</w:t>
            </w:r>
            <w:r>
              <w:rPr>
                <w:rFonts w:eastAsia="標楷體"/>
                <w:szCs w:val="20"/>
              </w:rPr>
              <w:t>仿單記載之禁忌情形。</w:t>
            </w:r>
          </w:p>
        </w:tc>
      </w:tr>
      <w:tr w:rsidR="00BD776B" w14:paraId="0FF367B9"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AA41215"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568E31"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7A99AA1D"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4202334" w14:textId="77777777" w:rsidR="00BD776B" w:rsidRDefault="00DF0C24">
            <w:pPr>
              <w:snapToGrid w:val="0"/>
              <w:textAlignment w:val="center"/>
              <w:rPr>
                <w:rFonts w:ascii="標楷體" w:eastAsia="標楷體" w:hAnsi="標楷體"/>
              </w:rPr>
            </w:pPr>
            <w:r>
              <w:rPr>
                <w:rFonts w:ascii="標楷體" w:eastAsia="標楷體" w:hAnsi="標楷體"/>
              </w:rPr>
              <w:t>婦女是否正在懷孕或授乳。</w:t>
            </w:r>
          </w:p>
        </w:tc>
      </w:tr>
      <w:tr w:rsidR="00BD776B" w14:paraId="73A9DD86"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7DED1FE"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2AB01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22B1A896"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49D5A9C" w14:textId="77777777" w:rsidR="00BD776B" w:rsidRDefault="00DF0C24">
            <w:pPr>
              <w:snapToGrid w:val="0"/>
              <w:textAlignment w:val="center"/>
            </w:pPr>
            <w:r>
              <w:rPr>
                <w:rFonts w:ascii="標楷體" w:eastAsia="標楷體" w:hAnsi="標楷體"/>
              </w:rPr>
              <w:t>病患是否罹患活動性感染之疾病</w:t>
            </w:r>
            <w:r>
              <w:rPr>
                <w:rFonts w:ascii="標楷體" w:eastAsia="標楷體" w:hAnsi="標楷體"/>
                <w:bCs/>
              </w:rPr>
              <w:t>或有Ｂ肝、Ｃ肝活動性感染或結核病</w:t>
            </w:r>
            <w:r>
              <w:rPr>
                <w:rFonts w:ascii="標楷體" w:eastAsia="標楷體" w:hAnsi="標楷體"/>
              </w:rPr>
              <w:t>。</w:t>
            </w:r>
          </w:p>
        </w:tc>
      </w:tr>
      <w:tr w:rsidR="00BD776B" w14:paraId="18E96085"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6A44920"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963CBE"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59A54958"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4FBACC8" w14:textId="77777777" w:rsidR="00BD776B" w:rsidRDefault="00DF0C24">
            <w:pPr>
              <w:snapToGrid w:val="0"/>
              <w:textAlignment w:val="center"/>
              <w:rPr>
                <w:rFonts w:ascii="標楷體" w:eastAsia="標楷體" w:hAnsi="標楷體"/>
              </w:rPr>
            </w:pPr>
            <w:r>
              <w:rPr>
                <w:rFonts w:ascii="標楷體" w:eastAsia="標楷體" w:hAnsi="標楷體"/>
              </w:rPr>
              <w:t>病患是否具有高度感染機會之情形，其中包括：</w:t>
            </w:r>
          </w:p>
          <w:p w14:paraId="36203924" w14:textId="77777777" w:rsidR="00BD776B" w:rsidRDefault="00DF0C24">
            <w:pPr>
              <w:snapToGrid w:val="0"/>
              <w:textAlignment w:val="center"/>
              <w:rPr>
                <w:rFonts w:ascii="標楷體" w:eastAsia="標楷體" w:hAnsi="標楷體"/>
              </w:rPr>
            </w:pPr>
            <w:r>
              <w:rPr>
                <w:rFonts w:ascii="標楷體" w:eastAsia="標楷體" w:hAnsi="標楷體"/>
              </w:rPr>
              <w:t>1.慢性腿部潰瘍。</w:t>
            </w:r>
          </w:p>
          <w:p w14:paraId="0D3CF4AB" w14:textId="77777777" w:rsidR="00BD776B" w:rsidRDefault="00DF0C24">
            <w:pPr>
              <w:snapToGrid w:val="0"/>
              <w:ind w:left="290" w:hanging="290"/>
              <w:textAlignment w:val="center"/>
              <w:rPr>
                <w:rFonts w:ascii="標楷體" w:eastAsia="標楷體" w:hAnsi="標楷體"/>
              </w:rPr>
            </w:pPr>
            <w:r>
              <w:rPr>
                <w:rFonts w:ascii="標楷體" w:eastAsia="標楷體" w:hAnsi="標楷體"/>
              </w:rPr>
              <w:t>2.未經完整治療之結核病的病患（包括潛伏結核感染治療未達四週者，申請時應檢附潛伏結核感染篩檢紀錄及治療紀錄供審查）。</w:t>
            </w:r>
          </w:p>
          <w:p w14:paraId="76830EBF" w14:textId="77777777" w:rsidR="00BD776B" w:rsidRDefault="00DF0C24">
            <w:pPr>
              <w:snapToGrid w:val="0"/>
              <w:ind w:left="240" w:hanging="240"/>
              <w:textAlignment w:val="center"/>
              <w:rPr>
                <w:rFonts w:ascii="標楷體" w:eastAsia="標楷體" w:hAnsi="標楷體"/>
              </w:rPr>
            </w:pPr>
            <w:r>
              <w:rPr>
                <w:rFonts w:ascii="標楷體" w:eastAsia="標楷體" w:hAnsi="標楷體"/>
              </w:rPr>
              <w:t>3.過去12個月內曾罹患感染性關節炎者。</w:t>
            </w:r>
          </w:p>
          <w:p w14:paraId="1CD9B24B" w14:textId="77777777" w:rsidR="00BD776B" w:rsidRDefault="00DF0C24">
            <w:pPr>
              <w:snapToGrid w:val="0"/>
              <w:ind w:left="240" w:hanging="240"/>
              <w:textAlignment w:val="center"/>
            </w:pPr>
            <w:r>
              <w:rPr>
                <w:rFonts w:ascii="標楷體" w:eastAsia="標楷體" w:hAnsi="標楷體"/>
              </w:rPr>
              <w:t>4.曾有</w:t>
            </w:r>
            <w:r>
              <w:rPr>
                <w:rFonts w:ascii="標楷體" w:eastAsia="標楷體" w:hAnsi="標楷體"/>
                <w:bCs/>
              </w:rPr>
              <w:t>人工關節感染，若該人工關節未去除前，不可使用。</w:t>
            </w:r>
          </w:p>
          <w:p w14:paraId="6699B94A" w14:textId="77777777" w:rsidR="00BD776B" w:rsidRDefault="00DF0C24">
            <w:pPr>
              <w:snapToGrid w:val="0"/>
              <w:ind w:left="240" w:hanging="240"/>
              <w:textAlignment w:val="center"/>
              <w:rPr>
                <w:rFonts w:ascii="標楷體" w:eastAsia="標楷體" w:hAnsi="標楷體"/>
              </w:rPr>
            </w:pPr>
            <w:r>
              <w:rPr>
                <w:rFonts w:ascii="標楷體" w:eastAsia="標楷體" w:hAnsi="標楷體"/>
              </w:rPr>
              <w:t>5.頑固性或復發性的胸腔感染疾病。</w:t>
            </w:r>
          </w:p>
          <w:p w14:paraId="3266481D" w14:textId="77777777" w:rsidR="00BD776B" w:rsidRDefault="00DF0C24">
            <w:pPr>
              <w:snapToGrid w:val="0"/>
              <w:ind w:left="240" w:hanging="240"/>
              <w:textAlignment w:val="center"/>
              <w:rPr>
                <w:rFonts w:ascii="標楷體" w:eastAsia="標楷體" w:hAnsi="標楷體"/>
              </w:rPr>
            </w:pPr>
            <w:r>
              <w:rPr>
                <w:rFonts w:ascii="標楷體" w:eastAsia="標楷體" w:hAnsi="標楷體"/>
              </w:rPr>
              <w:t>6.具有留置導尿管之情形。</w:t>
            </w:r>
          </w:p>
        </w:tc>
      </w:tr>
      <w:tr w:rsidR="00BD776B" w14:paraId="49C48E35"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C289BF1"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F34D48"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2CE8B01A"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5B8B354" w14:textId="77777777" w:rsidR="00BD776B" w:rsidRDefault="00DF0C24">
            <w:pPr>
              <w:snapToGrid w:val="0"/>
              <w:textAlignment w:val="center"/>
              <w:rPr>
                <w:rFonts w:ascii="標楷體" w:eastAsia="標楷體" w:hAnsi="標楷體"/>
              </w:rPr>
            </w:pPr>
            <w:r>
              <w:rPr>
                <w:rFonts w:ascii="標楷體" w:eastAsia="標楷體" w:hAnsi="標楷體"/>
              </w:rPr>
              <w:t>病患是否罹患惡性腫瘤或癌前狀態之腫瘤</w:t>
            </w:r>
          </w:p>
        </w:tc>
      </w:tr>
      <w:tr w:rsidR="00BD776B" w14:paraId="6C9515B7"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490684A"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FD9AFB"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562F3638"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C3FF489" w14:textId="77777777" w:rsidR="00BD776B" w:rsidRDefault="00DF0C24">
            <w:pPr>
              <w:snapToGrid w:val="0"/>
              <w:textAlignment w:val="center"/>
            </w:pPr>
            <w:r>
              <w:rPr>
                <w:rFonts w:ascii="標楷體" w:eastAsia="標楷體" w:hAnsi="標楷體"/>
              </w:rPr>
              <w:t>病患是否罹患</w:t>
            </w:r>
            <w:r>
              <w:rPr>
                <w:rFonts w:ascii="標楷體" w:eastAsia="標楷體" w:hAnsi="標楷體"/>
                <w:bCs/>
              </w:rPr>
              <w:t>狼瘡或</w:t>
            </w:r>
            <w:r>
              <w:rPr>
                <w:rFonts w:ascii="標楷體" w:eastAsia="標楷體" w:hAnsi="標楷體"/>
              </w:rPr>
              <w:t>多發性硬化症(multiplesclerosis)</w:t>
            </w:r>
          </w:p>
        </w:tc>
      </w:tr>
      <w:tr w:rsidR="00BD776B" w14:paraId="1DEEA612" w14:textId="77777777">
        <w:trPr>
          <w:cantSplit/>
          <w:trHeight w:val="400"/>
        </w:trPr>
        <w:tc>
          <w:tcPr>
            <w:tcW w:w="656"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2E6F07B1"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7486CEAA"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72B346E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62B391D6" w14:textId="77777777" w:rsidR="00BD776B" w:rsidRDefault="00DF0C24">
            <w:pPr>
              <w:snapToGrid w:val="0"/>
              <w:textAlignment w:val="center"/>
            </w:pPr>
            <w:r>
              <w:rPr>
                <w:rFonts w:eastAsia="標楷體"/>
                <w:color w:val="000000"/>
                <w:szCs w:val="20"/>
              </w:rPr>
              <w:t>使</w:t>
            </w:r>
            <w:r>
              <w:rPr>
                <w:rFonts w:eastAsia="標楷體"/>
                <w:szCs w:val="20"/>
              </w:rPr>
              <w:t>用藥名</w:t>
            </w:r>
            <w:r>
              <w:rPr>
                <w:rFonts w:eastAsia="標楷體"/>
                <w:szCs w:val="20"/>
              </w:rPr>
              <w:t>____________</w:t>
            </w:r>
            <w:r>
              <w:rPr>
                <w:rFonts w:ascii="標楷體" w:eastAsia="標楷體" w:hAnsi="標楷體"/>
              </w:rPr>
              <w:t>發生懷孕或不良事件(包括：惡性腫瘤、該藥物引起的嚴重毒性、嚴重的感染性疾病)</w:t>
            </w:r>
          </w:p>
        </w:tc>
      </w:tr>
      <w:tr w:rsidR="00BD776B" w14:paraId="49F505BE" w14:textId="77777777">
        <w:trPr>
          <w:cantSplit/>
          <w:trHeight w:val="1048"/>
        </w:trPr>
        <w:tc>
          <w:tcPr>
            <w:tcW w:w="6056" w:type="dxa"/>
            <w:gridSpan w:val="3"/>
            <w:shd w:val="clear" w:color="auto" w:fill="auto"/>
            <w:tcMar>
              <w:top w:w="0" w:type="dxa"/>
              <w:left w:w="28" w:type="dxa"/>
              <w:bottom w:w="0" w:type="dxa"/>
              <w:right w:w="28" w:type="dxa"/>
            </w:tcMar>
          </w:tcPr>
          <w:p w14:paraId="6765C685" w14:textId="77777777" w:rsidR="00BD776B" w:rsidRDefault="00BD776B">
            <w:pPr>
              <w:snapToGrid w:val="0"/>
              <w:textAlignment w:val="center"/>
              <w:rPr>
                <w:rFonts w:ascii="標楷體" w:eastAsia="標楷體" w:hAnsi="標楷體"/>
              </w:rPr>
            </w:pPr>
          </w:p>
          <w:p w14:paraId="467DCF2E" w14:textId="77777777" w:rsidR="00BD776B" w:rsidRDefault="00DF0C24">
            <w:pPr>
              <w:snapToGrid w:val="0"/>
              <w:textAlignment w:val="center"/>
            </w:pPr>
            <w:r>
              <w:rPr>
                <w:rFonts w:ascii="標楷體" w:eastAsia="標楷體" w:hAnsi="標楷體"/>
              </w:rPr>
              <w:t>申請醫師（簽名蓋章）：</w:t>
            </w:r>
            <w:r>
              <w:rPr>
                <w:rFonts w:ascii="標楷體" w:eastAsia="標楷體" w:hAnsi="標楷體"/>
                <w:u w:val="single"/>
              </w:rPr>
              <w:t xml:space="preserve">　　　　　　　</w:t>
            </w:r>
          </w:p>
          <w:p w14:paraId="63820302" w14:textId="77777777" w:rsidR="00BD776B" w:rsidRDefault="00DF0C24">
            <w:pPr>
              <w:snapToGrid w:val="0"/>
              <w:textAlignment w:val="center"/>
            </w:pPr>
            <w:r>
              <w:rPr>
                <w:rFonts w:ascii="標楷體" w:eastAsia="標楷體" w:hAnsi="標楷體"/>
              </w:rPr>
              <w:t>內科專科醫師證書：內專字第</w:t>
            </w:r>
            <w:r>
              <w:rPr>
                <w:rFonts w:ascii="標楷體" w:eastAsia="標楷體" w:hAnsi="標楷體"/>
                <w:u w:val="single"/>
              </w:rPr>
              <w:t xml:space="preserve">　　　　　</w:t>
            </w:r>
            <w:r>
              <w:rPr>
                <w:rFonts w:ascii="標楷體" w:eastAsia="標楷體" w:hAnsi="標楷體"/>
              </w:rPr>
              <w:t>號</w:t>
            </w:r>
          </w:p>
          <w:p w14:paraId="0DBA41C4" w14:textId="77777777" w:rsidR="00BD776B" w:rsidRDefault="00DF0C24">
            <w:pPr>
              <w:tabs>
                <w:tab w:val="left" w:pos="2912"/>
              </w:tabs>
              <w:snapToGrid w:val="0"/>
              <w:textAlignment w:val="center"/>
            </w:pPr>
            <w:r>
              <w:rPr>
                <w:rFonts w:ascii="標楷體" w:eastAsia="標楷體" w:hAnsi="標楷體"/>
              </w:rPr>
              <w:t>風濕病專科醫師證書：中僂字第</w:t>
            </w:r>
            <w:r>
              <w:rPr>
                <w:rFonts w:ascii="標楷體" w:eastAsia="標楷體" w:hAnsi="標楷體"/>
                <w:u w:val="single"/>
              </w:rPr>
              <w:t xml:space="preserve">　　　　　　</w:t>
            </w:r>
            <w:r>
              <w:rPr>
                <w:rFonts w:ascii="標楷體" w:eastAsia="標楷體" w:hAnsi="標楷體"/>
              </w:rPr>
              <w:t>號</w:t>
            </w:r>
          </w:p>
          <w:p w14:paraId="3D79AE1B" w14:textId="77777777" w:rsidR="00BD776B" w:rsidRDefault="00DF0C24">
            <w:pPr>
              <w:tabs>
                <w:tab w:val="left" w:pos="2912"/>
              </w:tabs>
              <w:snapToGrid w:val="0"/>
              <w:textAlignment w:val="center"/>
            </w:pPr>
            <w:r>
              <w:rPr>
                <w:rFonts w:ascii="標楷體" w:eastAsia="標楷體" w:hAnsi="標楷體"/>
              </w:rPr>
              <w:t>免疫專科醫師證書：中免專字第</w:t>
            </w:r>
            <w:r>
              <w:rPr>
                <w:rFonts w:ascii="標楷體" w:eastAsia="標楷體" w:hAnsi="標楷體"/>
                <w:u w:val="single"/>
              </w:rPr>
              <w:t xml:space="preserve">　　　　　　</w:t>
            </w:r>
            <w:r>
              <w:rPr>
                <w:rFonts w:ascii="標楷體" w:eastAsia="標楷體" w:hAnsi="標楷體"/>
              </w:rPr>
              <w:t>號</w:t>
            </w:r>
          </w:p>
        </w:tc>
        <w:tc>
          <w:tcPr>
            <w:tcW w:w="3480" w:type="dxa"/>
            <w:shd w:val="clear" w:color="auto" w:fill="auto"/>
            <w:tcMar>
              <w:top w:w="0" w:type="dxa"/>
              <w:left w:w="28" w:type="dxa"/>
              <w:bottom w:w="0" w:type="dxa"/>
              <w:right w:w="28" w:type="dxa"/>
            </w:tcMar>
          </w:tcPr>
          <w:p w14:paraId="00191A9A" w14:textId="77777777" w:rsidR="00BD776B" w:rsidRDefault="00BD776B">
            <w:pPr>
              <w:snapToGrid w:val="0"/>
              <w:textAlignment w:val="center"/>
              <w:rPr>
                <w:rFonts w:ascii="標楷體" w:eastAsia="標楷體" w:hAnsi="標楷體"/>
              </w:rPr>
            </w:pPr>
          </w:p>
          <w:p w14:paraId="5E1E42C9" w14:textId="77777777" w:rsidR="00BD776B" w:rsidRDefault="00DF0C24">
            <w:pPr>
              <w:snapToGrid w:val="0"/>
              <w:textAlignment w:val="center"/>
              <w:rPr>
                <w:rFonts w:ascii="標楷體" w:eastAsia="標楷體" w:hAnsi="標楷體"/>
              </w:rPr>
            </w:pPr>
            <w:r>
              <w:rPr>
                <w:rFonts w:ascii="標楷體" w:eastAsia="標楷體" w:hAnsi="標楷體"/>
              </w:rPr>
              <w:t>醫事機構章戳：</w:t>
            </w:r>
          </w:p>
        </w:tc>
      </w:tr>
    </w:tbl>
    <w:p w14:paraId="57EA20A4" w14:textId="77777777" w:rsidR="00BD776B" w:rsidRDefault="00BD776B">
      <w:pPr>
        <w:snapToGrid w:val="0"/>
        <w:spacing w:line="380" w:lineRule="exact"/>
        <w:ind w:right="-286"/>
        <w:rPr>
          <w:rFonts w:ascii="標楷體" w:eastAsia="標楷體" w:hAnsi="標楷體"/>
          <w:sz w:val="32"/>
        </w:rPr>
      </w:pPr>
    </w:p>
    <w:p w14:paraId="4BF30C85" w14:textId="77777777" w:rsidR="00BD776B" w:rsidRDefault="00DF0C24">
      <w:pPr>
        <w:pageBreakBefore/>
        <w:snapToGrid w:val="0"/>
        <w:spacing w:line="312" w:lineRule="auto"/>
        <w:jc w:val="center"/>
      </w:pPr>
      <w:r>
        <w:rPr>
          <w:rFonts w:ascii="標楷體" w:eastAsia="標楷體" w:hAnsi="標楷體"/>
          <w:bCs/>
          <w:sz w:val="28"/>
          <w:szCs w:val="28"/>
        </w:rPr>
        <w:lastRenderedPageBreak/>
        <w:t>附表二十二之二：乾癬性周邊關節炎使用DMARDs標準目標劑量及有效治療劑量的定義</w:t>
      </w:r>
    </w:p>
    <w:p w14:paraId="46341518" w14:textId="77777777" w:rsidR="00BD776B" w:rsidRDefault="00BD776B">
      <w:pPr>
        <w:snapToGrid w:val="0"/>
        <w:rPr>
          <w:rFonts w:ascii="標楷體" w:eastAsia="標楷體" w:hAnsi="標楷體"/>
          <w:sz w:val="22"/>
        </w:rPr>
      </w:pPr>
    </w:p>
    <w:p w14:paraId="571A1E32" w14:textId="77777777" w:rsidR="00BD776B" w:rsidRDefault="00DF0C24" w:rsidP="008A7063">
      <w:pPr>
        <w:numPr>
          <w:ilvl w:val="0"/>
          <w:numId w:val="86"/>
        </w:numPr>
        <w:snapToGrid w:val="0"/>
        <w:rPr>
          <w:rFonts w:ascii="標楷體" w:eastAsia="標楷體" w:hAnsi="標楷體"/>
        </w:rPr>
      </w:pPr>
      <w:r>
        <w:rPr>
          <w:rFonts w:ascii="標楷體" w:eastAsia="標楷體" w:hAnsi="標楷體"/>
        </w:rPr>
        <w:t>符合標準疾病修飾類藥物(DMARDs)療法失敗的定義之前，應達到使用的標準目標劑量(standardtargetdoses)：</w:t>
      </w:r>
    </w:p>
    <w:p w14:paraId="20055442"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Sulphasalazine2g/天(分次使用)</w:t>
      </w:r>
    </w:p>
    <w:p w14:paraId="077E37A1"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Methotrexate15mg/週</w:t>
      </w:r>
    </w:p>
    <w:p w14:paraId="1028D230"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Cyclosporine3-5mg/kg/天</w:t>
      </w:r>
    </w:p>
    <w:p w14:paraId="091445D8"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Leflunomide20mg/天</w:t>
      </w:r>
    </w:p>
    <w:p w14:paraId="69C8311B" w14:textId="77777777" w:rsidR="00BD776B" w:rsidRDefault="00BD776B">
      <w:pPr>
        <w:snapToGrid w:val="0"/>
        <w:rPr>
          <w:rFonts w:ascii="標楷體" w:eastAsia="標楷體" w:hAnsi="標楷體"/>
        </w:rPr>
      </w:pPr>
    </w:p>
    <w:p w14:paraId="4010B725" w14:textId="77777777" w:rsidR="00BD776B" w:rsidRDefault="00DF0C24">
      <w:pPr>
        <w:snapToGrid w:val="0"/>
        <w:rPr>
          <w:rFonts w:ascii="標楷體" w:eastAsia="標楷體" w:hAnsi="標楷體"/>
        </w:rPr>
      </w:pPr>
      <w:r>
        <w:rPr>
          <w:rFonts w:ascii="標楷體" w:eastAsia="標楷體" w:hAnsi="標楷體"/>
        </w:rPr>
        <w:t>(2)疾病修飾類藥物(DMARDs)有效治療劑量(therapeuticdoses)的定義：</w:t>
      </w:r>
    </w:p>
    <w:p w14:paraId="5C4ED437"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Sulphasalazine1-2g/天(分次使用)</w:t>
      </w:r>
    </w:p>
    <w:p w14:paraId="573030A6"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Methotrexate7.5mg/週</w:t>
      </w:r>
    </w:p>
    <w:p w14:paraId="6EC73501" w14:textId="77777777" w:rsidR="00BD776B" w:rsidRDefault="00DF0C24" w:rsidP="008A7063">
      <w:pPr>
        <w:numPr>
          <w:ilvl w:val="0"/>
          <w:numId w:val="87"/>
        </w:numPr>
        <w:snapToGrid w:val="0"/>
        <w:ind w:hanging="120"/>
        <w:rPr>
          <w:rFonts w:ascii="標楷體" w:eastAsia="標楷體" w:hAnsi="標楷體"/>
        </w:rPr>
      </w:pPr>
      <w:r>
        <w:rPr>
          <w:rFonts w:ascii="標楷體" w:eastAsia="標楷體" w:hAnsi="標楷體"/>
        </w:rPr>
        <w:t>Cyclosporine3mg/kg/天</w:t>
      </w:r>
    </w:p>
    <w:p w14:paraId="6B496C5C" w14:textId="77777777" w:rsidR="00BD776B" w:rsidRDefault="00DF0C24" w:rsidP="008A7063">
      <w:pPr>
        <w:numPr>
          <w:ilvl w:val="0"/>
          <w:numId w:val="87"/>
        </w:numPr>
        <w:snapToGrid w:val="0"/>
        <w:ind w:hanging="120"/>
        <w:rPr>
          <w:rFonts w:ascii="標楷體" w:eastAsia="標楷體" w:hAnsi="標楷體"/>
        </w:rPr>
        <w:sectPr w:rsidR="00BD776B" w:rsidSect="007E1772">
          <w:footerReference w:type="default" r:id="rId36"/>
          <w:pgSz w:w="11906" w:h="16838"/>
          <w:pgMar w:top="567" w:right="567" w:bottom="567" w:left="567" w:header="720" w:footer="720" w:gutter="0"/>
          <w:cols w:space="720"/>
          <w:docGrid w:type="lines"/>
        </w:sectPr>
      </w:pPr>
      <w:r>
        <w:rPr>
          <w:rFonts w:ascii="標楷體" w:eastAsia="標楷體" w:hAnsi="標楷體"/>
        </w:rPr>
        <w:t>Leflunomide10mg/天</w:t>
      </w:r>
    </w:p>
    <w:p w14:paraId="7ACEEF24" w14:textId="77777777" w:rsidR="00BD776B" w:rsidRDefault="00DF0C24">
      <w:pPr>
        <w:snapToGrid w:val="0"/>
        <w:spacing w:line="380" w:lineRule="exact"/>
        <w:ind w:right="-286"/>
        <w:jc w:val="center"/>
      </w:pPr>
      <w:r>
        <w:rPr>
          <w:rFonts w:ascii="標楷體" w:eastAsia="標楷體" w:hAnsi="標楷體"/>
          <w:bCs/>
          <w:sz w:val="28"/>
          <w:szCs w:val="28"/>
        </w:rPr>
        <w:lastRenderedPageBreak/>
        <w:t>附表二十二之三：</w:t>
      </w:r>
      <w:r>
        <w:rPr>
          <w:rFonts w:ascii="標楷體" w:eastAsia="標楷體" w:hAnsi="標楷體"/>
          <w:bCs/>
          <w:color w:val="000000"/>
          <w:sz w:val="28"/>
          <w:szCs w:val="28"/>
        </w:rPr>
        <w:t>乾癬性關節炎評估表</w:t>
      </w:r>
    </w:p>
    <w:p w14:paraId="6FB943AB" w14:textId="77777777" w:rsidR="00BD776B" w:rsidRDefault="00DF0C24">
      <w:pPr>
        <w:snapToGrid w:val="0"/>
        <w:spacing w:line="380" w:lineRule="exact"/>
        <w:ind w:right="197"/>
      </w:pPr>
      <w:r>
        <w:rPr>
          <w:rFonts w:ascii="標楷體" w:eastAsia="標楷體" w:hAnsi="標楷體"/>
          <w:bCs/>
          <w:szCs w:val="20"/>
        </w:rPr>
        <w:t>有78個可能疼痛及76個可能腫脹關節，</w:t>
      </w:r>
      <w:r>
        <w:rPr>
          <w:rFonts w:ascii="標楷體" w:eastAsia="標楷體" w:hAnsi="標楷體"/>
          <w:bCs/>
          <w:color w:val="000000"/>
          <w:szCs w:val="20"/>
        </w:rPr>
        <w:t>應記錄其症狀；有症狀為1分，沒症狀為0分。</w:t>
      </w:r>
    </w:p>
    <w:p w14:paraId="3165E03F" w14:textId="77777777" w:rsidR="00BD776B" w:rsidRDefault="00DF0C24">
      <w:pPr>
        <w:snapToGrid w:val="0"/>
        <w:spacing w:line="380" w:lineRule="exact"/>
        <w:ind w:right="197"/>
      </w:pPr>
      <w:r>
        <w:rPr>
          <w:rFonts w:ascii="標楷體" w:eastAsia="標楷體" w:hAnsi="標楷體"/>
          <w:bCs/>
          <w:szCs w:val="20"/>
        </w:rPr>
        <w:t>(申請續用時填原始評估日期及分數)</w:t>
      </w:r>
    </w:p>
    <w:tbl>
      <w:tblPr>
        <w:tblW w:w="9388" w:type="dxa"/>
        <w:tblCellMar>
          <w:left w:w="10" w:type="dxa"/>
          <w:right w:w="10" w:type="dxa"/>
        </w:tblCellMar>
        <w:tblLook w:val="0000" w:firstRow="0" w:lastRow="0" w:firstColumn="0" w:lastColumn="0" w:noHBand="0" w:noVBand="0"/>
      </w:tblPr>
      <w:tblGrid>
        <w:gridCol w:w="2096"/>
        <w:gridCol w:w="1821"/>
        <w:gridCol w:w="1825"/>
        <w:gridCol w:w="1821"/>
        <w:gridCol w:w="1825"/>
      </w:tblGrid>
      <w:tr w:rsidR="00BD776B" w14:paraId="60BED103"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8A4BC"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JOINT</w:t>
            </w:r>
          </w:p>
        </w:tc>
        <w:tc>
          <w:tcPr>
            <w:tcW w:w="3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47D96"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RIGHT右邊</w:t>
            </w:r>
          </w:p>
        </w:tc>
        <w:tc>
          <w:tcPr>
            <w:tcW w:w="3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2D3A9"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LEFT左邊</w:t>
            </w:r>
          </w:p>
        </w:tc>
      </w:tr>
      <w:tr w:rsidR="00BD776B" w14:paraId="11963B77"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53908"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B2B0"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Tender</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8C80D"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Swollen</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F8AD2"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Tender</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7D4393"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Swollen</w:t>
            </w:r>
          </w:p>
        </w:tc>
      </w:tr>
      <w:tr w:rsidR="00BD776B" w14:paraId="3DE32CF2"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0EA2"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Temp.Mandibular</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244DA"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83D87"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D583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CCB62" w14:textId="77777777" w:rsidR="00BD776B" w:rsidRDefault="00BD776B">
            <w:pPr>
              <w:snapToGrid w:val="0"/>
              <w:spacing w:line="0" w:lineRule="atLeast"/>
              <w:rPr>
                <w:rFonts w:ascii="標楷體" w:eastAsia="標楷體" w:hAnsi="標楷體"/>
                <w:color w:val="000000"/>
                <w:szCs w:val="20"/>
              </w:rPr>
            </w:pPr>
          </w:p>
        </w:tc>
      </w:tr>
      <w:tr w:rsidR="00BD776B" w14:paraId="5A1A25B1"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0068D"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Sternoclavicular</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83BF1"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07BE4"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DD6E2"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97C17" w14:textId="77777777" w:rsidR="00BD776B" w:rsidRDefault="00BD776B">
            <w:pPr>
              <w:snapToGrid w:val="0"/>
              <w:spacing w:line="0" w:lineRule="atLeast"/>
              <w:rPr>
                <w:rFonts w:ascii="標楷體" w:eastAsia="標楷體" w:hAnsi="標楷體"/>
                <w:color w:val="000000"/>
                <w:szCs w:val="20"/>
              </w:rPr>
            </w:pPr>
          </w:p>
        </w:tc>
      </w:tr>
      <w:tr w:rsidR="00BD776B" w14:paraId="59F330C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4DF01"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Acromioclavicular</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BEBD2"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2DBEA"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B66F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9EC19" w14:textId="77777777" w:rsidR="00BD776B" w:rsidRDefault="00BD776B">
            <w:pPr>
              <w:snapToGrid w:val="0"/>
              <w:spacing w:line="0" w:lineRule="atLeast"/>
              <w:rPr>
                <w:rFonts w:ascii="標楷體" w:eastAsia="標楷體" w:hAnsi="標楷體"/>
                <w:color w:val="000000"/>
                <w:szCs w:val="20"/>
              </w:rPr>
            </w:pPr>
          </w:p>
        </w:tc>
      </w:tr>
      <w:tr w:rsidR="00BD776B" w14:paraId="77AD1C9F"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431BD"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Shoulder</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516DE"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B427B"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D217AA"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2AA54" w14:textId="77777777" w:rsidR="00BD776B" w:rsidRDefault="00BD776B">
            <w:pPr>
              <w:snapToGrid w:val="0"/>
              <w:spacing w:line="0" w:lineRule="atLeast"/>
              <w:rPr>
                <w:rFonts w:ascii="標楷體" w:eastAsia="標楷體" w:hAnsi="標楷體"/>
                <w:color w:val="000000"/>
                <w:szCs w:val="20"/>
              </w:rPr>
            </w:pPr>
          </w:p>
        </w:tc>
      </w:tr>
      <w:tr w:rsidR="00BD776B" w14:paraId="546C3657"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0043C"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Elbow</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F5109"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47494"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90EF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09C62" w14:textId="77777777" w:rsidR="00BD776B" w:rsidRDefault="00BD776B">
            <w:pPr>
              <w:snapToGrid w:val="0"/>
              <w:spacing w:line="0" w:lineRule="atLeast"/>
              <w:rPr>
                <w:rFonts w:ascii="標楷體" w:eastAsia="標楷體" w:hAnsi="標楷體"/>
                <w:color w:val="000000"/>
                <w:szCs w:val="20"/>
              </w:rPr>
            </w:pPr>
          </w:p>
        </w:tc>
      </w:tr>
      <w:tr w:rsidR="00BD776B" w14:paraId="3D204E69"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D972C"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Wrist</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D5E95"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24DAD"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AADA1"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3D3C7" w14:textId="77777777" w:rsidR="00BD776B" w:rsidRDefault="00BD776B">
            <w:pPr>
              <w:snapToGrid w:val="0"/>
              <w:spacing w:line="0" w:lineRule="atLeast"/>
              <w:rPr>
                <w:rFonts w:ascii="標楷體" w:eastAsia="標楷體" w:hAnsi="標楷體"/>
                <w:color w:val="000000"/>
                <w:szCs w:val="20"/>
              </w:rPr>
            </w:pPr>
          </w:p>
        </w:tc>
      </w:tr>
      <w:tr w:rsidR="00BD776B" w14:paraId="66157CD5"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CF92C"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CMC</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FDD75"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FAE7E"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5DB36"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6C61" w14:textId="77777777" w:rsidR="00BD776B" w:rsidRDefault="00BD776B">
            <w:pPr>
              <w:snapToGrid w:val="0"/>
              <w:spacing w:line="0" w:lineRule="atLeast"/>
              <w:rPr>
                <w:rFonts w:ascii="標楷體" w:eastAsia="標楷體" w:hAnsi="標楷體"/>
                <w:color w:val="000000"/>
                <w:szCs w:val="20"/>
              </w:rPr>
            </w:pPr>
          </w:p>
        </w:tc>
      </w:tr>
      <w:tr w:rsidR="00BD776B" w14:paraId="056B10E6"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62EF0A"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MCP1</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468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4429F"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CBED4"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A887" w14:textId="77777777" w:rsidR="00BD776B" w:rsidRDefault="00BD776B">
            <w:pPr>
              <w:snapToGrid w:val="0"/>
              <w:spacing w:line="0" w:lineRule="atLeast"/>
              <w:rPr>
                <w:rFonts w:ascii="標楷體" w:eastAsia="標楷體" w:hAnsi="標楷體"/>
                <w:color w:val="000000"/>
                <w:szCs w:val="20"/>
              </w:rPr>
            </w:pPr>
          </w:p>
        </w:tc>
      </w:tr>
      <w:tr w:rsidR="00BD776B" w14:paraId="6A7EB1C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3F076"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MCP2</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E5D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93BA5"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2160A"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44318" w14:textId="77777777" w:rsidR="00BD776B" w:rsidRDefault="00BD776B">
            <w:pPr>
              <w:snapToGrid w:val="0"/>
              <w:spacing w:line="0" w:lineRule="atLeast"/>
              <w:rPr>
                <w:rFonts w:ascii="標楷體" w:eastAsia="標楷體" w:hAnsi="標楷體"/>
                <w:color w:val="000000"/>
                <w:szCs w:val="20"/>
              </w:rPr>
            </w:pPr>
          </w:p>
        </w:tc>
      </w:tr>
      <w:tr w:rsidR="00BD776B" w14:paraId="5891F63F"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80D9F"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MCP3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F41D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931E"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4B579"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2B90D" w14:textId="77777777" w:rsidR="00BD776B" w:rsidRDefault="00BD776B">
            <w:pPr>
              <w:snapToGrid w:val="0"/>
              <w:spacing w:line="0" w:lineRule="atLeast"/>
              <w:rPr>
                <w:rFonts w:ascii="標楷體" w:eastAsia="標楷體" w:hAnsi="標楷體"/>
                <w:color w:val="000000"/>
                <w:szCs w:val="20"/>
              </w:rPr>
            </w:pPr>
          </w:p>
        </w:tc>
      </w:tr>
      <w:tr w:rsidR="00BD776B" w14:paraId="70857863"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0B683"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MCP4</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86A173"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C74F2"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F3C49"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88439" w14:textId="77777777" w:rsidR="00BD776B" w:rsidRDefault="00BD776B">
            <w:pPr>
              <w:snapToGrid w:val="0"/>
              <w:spacing w:line="0" w:lineRule="atLeast"/>
              <w:rPr>
                <w:rFonts w:ascii="標楷體" w:eastAsia="標楷體" w:hAnsi="標楷體"/>
                <w:color w:val="000000"/>
                <w:szCs w:val="20"/>
              </w:rPr>
            </w:pPr>
          </w:p>
        </w:tc>
      </w:tr>
      <w:tr w:rsidR="00BD776B" w14:paraId="6FC22E19"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86D91"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MCP5</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03A6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5C62"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DE2B7"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0F3070" w14:textId="77777777" w:rsidR="00BD776B" w:rsidRDefault="00BD776B">
            <w:pPr>
              <w:snapToGrid w:val="0"/>
              <w:spacing w:line="0" w:lineRule="atLeast"/>
              <w:rPr>
                <w:rFonts w:ascii="標楷體" w:eastAsia="標楷體" w:hAnsi="標楷體"/>
                <w:color w:val="000000"/>
                <w:szCs w:val="20"/>
              </w:rPr>
            </w:pPr>
          </w:p>
        </w:tc>
      </w:tr>
      <w:tr w:rsidR="00BD776B" w14:paraId="74104EE0"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6720"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PIP1</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3FBC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F1A98"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C2B7D"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D0E09" w14:textId="77777777" w:rsidR="00BD776B" w:rsidRDefault="00BD776B">
            <w:pPr>
              <w:snapToGrid w:val="0"/>
              <w:spacing w:line="0" w:lineRule="atLeast"/>
              <w:rPr>
                <w:rFonts w:ascii="標楷體" w:eastAsia="標楷體" w:hAnsi="標楷體"/>
                <w:color w:val="000000"/>
                <w:szCs w:val="20"/>
              </w:rPr>
            </w:pPr>
          </w:p>
        </w:tc>
      </w:tr>
      <w:tr w:rsidR="00BD776B" w14:paraId="143B8F3F"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EDEE3"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PIP2</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984"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788A1"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173DD"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6A3EC" w14:textId="77777777" w:rsidR="00BD776B" w:rsidRDefault="00BD776B">
            <w:pPr>
              <w:snapToGrid w:val="0"/>
              <w:spacing w:line="0" w:lineRule="atLeast"/>
              <w:rPr>
                <w:rFonts w:ascii="標楷體" w:eastAsia="標楷體" w:hAnsi="標楷體"/>
                <w:color w:val="000000"/>
                <w:szCs w:val="20"/>
              </w:rPr>
            </w:pPr>
          </w:p>
        </w:tc>
      </w:tr>
      <w:tr w:rsidR="00BD776B" w14:paraId="252E87F2"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316B0"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PIP3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3D9F"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AD4E0"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5869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93A4E" w14:textId="77777777" w:rsidR="00BD776B" w:rsidRDefault="00BD776B">
            <w:pPr>
              <w:snapToGrid w:val="0"/>
              <w:spacing w:line="0" w:lineRule="atLeast"/>
              <w:rPr>
                <w:rFonts w:ascii="標楷體" w:eastAsia="標楷體" w:hAnsi="標楷體"/>
                <w:color w:val="000000"/>
                <w:szCs w:val="20"/>
              </w:rPr>
            </w:pPr>
          </w:p>
        </w:tc>
      </w:tr>
      <w:tr w:rsidR="00BD776B" w14:paraId="5BC32EEF"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21EF1"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PIP4</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B6BB"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3D9BB"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C4CF"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F05ED" w14:textId="77777777" w:rsidR="00BD776B" w:rsidRDefault="00BD776B">
            <w:pPr>
              <w:snapToGrid w:val="0"/>
              <w:spacing w:line="0" w:lineRule="atLeast"/>
              <w:rPr>
                <w:rFonts w:ascii="標楷體" w:eastAsia="標楷體" w:hAnsi="標楷體"/>
                <w:color w:val="000000"/>
                <w:szCs w:val="20"/>
              </w:rPr>
            </w:pPr>
          </w:p>
        </w:tc>
      </w:tr>
      <w:tr w:rsidR="00BD776B" w14:paraId="5AB59DAF"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C7EDB" w14:textId="77777777" w:rsidR="00BD776B" w:rsidRDefault="00DF0C24">
            <w:pPr>
              <w:snapToGrid w:val="0"/>
              <w:spacing w:line="0" w:lineRule="atLeast"/>
              <w:rPr>
                <w:rFonts w:ascii="標楷體" w:eastAsia="標楷體" w:hAnsi="標楷體"/>
                <w:color w:val="000000"/>
                <w:szCs w:val="20"/>
              </w:rPr>
            </w:pPr>
            <w:r>
              <w:rPr>
                <w:rFonts w:ascii="標楷體" w:eastAsia="標楷體" w:hAnsi="標楷體"/>
                <w:color w:val="000000"/>
                <w:szCs w:val="20"/>
              </w:rPr>
              <w:t>PIP5</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B975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8A64B"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030A2"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6A930" w14:textId="77777777" w:rsidR="00BD776B" w:rsidRDefault="00BD776B">
            <w:pPr>
              <w:snapToGrid w:val="0"/>
              <w:spacing w:line="0" w:lineRule="atLeast"/>
              <w:rPr>
                <w:rFonts w:ascii="標楷體" w:eastAsia="標楷體" w:hAnsi="標楷體"/>
                <w:color w:val="000000"/>
                <w:szCs w:val="20"/>
              </w:rPr>
            </w:pPr>
          </w:p>
        </w:tc>
      </w:tr>
      <w:tr w:rsidR="00BD776B" w14:paraId="7F328F6D"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6F172C"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DIP2</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8A93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129C0"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BAB7A"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E438E" w14:textId="77777777" w:rsidR="00BD776B" w:rsidRDefault="00BD776B">
            <w:pPr>
              <w:snapToGrid w:val="0"/>
              <w:spacing w:line="0" w:lineRule="atLeast"/>
              <w:rPr>
                <w:rFonts w:ascii="標楷體" w:eastAsia="標楷體" w:hAnsi="標楷體"/>
                <w:color w:val="000000"/>
                <w:szCs w:val="20"/>
              </w:rPr>
            </w:pPr>
          </w:p>
        </w:tc>
      </w:tr>
      <w:tr w:rsidR="00BD776B" w14:paraId="26BDA1A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3791"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18FF7"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9CCBDA"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52AD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A0A66" w14:textId="77777777" w:rsidR="00BD776B" w:rsidRDefault="00BD776B">
            <w:pPr>
              <w:snapToGrid w:val="0"/>
              <w:spacing w:line="0" w:lineRule="atLeast"/>
              <w:rPr>
                <w:rFonts w:ascii="標楷體" w:eastAsia="標楷體" w:hAnsi="標楷體"/>
                <w:color w:val="000000"/>
                <w:szCs w:val="20"/>
              </w:rPr>
            </w:pPr>
          </w:p>
        </w:tc>
      </w:tr>
      <w:tr w:rsidR="00BD776B" w14:paraId="73358A03"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053A5"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DIP4</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CD1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8BCC6"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EC939"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92FC" w14:textId="77777777" w:rsidR="00BD776B" w:rsidRDefault="00BD776B">
            <w:pPr>
              <w:snapToGrid w:val="0"/>
              <w:spacing w:line="0" w:lineRule="atLeast"/>
              <w:rPr>
                <w:rFonts w:ascii="標楷體" w:eastAsia="標楷體" w:hAnsi="標楷體"/>
                <w:color w:val="000000"/>
                <w:szCs w:val="20"/>
              </w:rPr>
            </w:pPr>
          </w:p>
        </w:tc>
      </w:tr>
      <w:tr w:rsidR="00BD776B" w14:paraId="73FB431A"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C8555"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DIP5</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3EB9D"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2C8CB"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DD6A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40CCBC" w14:textId="77777777" w:rsidR="00BD776B" w:rsidRDefault="00BD776B">
            <w:pPr>
              <w:snapToGrid w:val="0"/>
              <w:spacing w:line="0" w:lineRule="atLeast"/>
              <w:rPr>
                <w:rFonts w:ascii="標楷體" w:eastAsia="標楷體" w:hAnsi="標楷體"/>
                <w:color w:val="000000"/>
                <w:szCs w:val="20"/>
              </w:rPr>
            </w:pPr>
          </w:p>
        </w:tc>
      </w:tr>
      <w:tr w:rsidR="00BD776B" w14:paraId="6282FFA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A3190"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Hip</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C113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C6144"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不計</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C26DF" w14:textId="77777777" w:rsidR="00BD776B" w:rsidRDefault="00BD776B">
            <w:pPr>
              <w:snapToGrid w:val="0"/>
              <w:spacing w:line="0" w:lineRule="atLeast"/>
              <w:jc w:val="center"/>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6C298E" w14:textId="77777777" w:rsidR="00BD776B" w:rsidRDefault="00DF0C24">
            <w:pPr>
              <w:snapToGrid w:val="0"/>
              <w:spacing w:line="0" w:lineRule="atLeast"/>
              <w:jc w:val="center"/>
              <w:rPr>
                <w:rFonts w:ascii="標楷體" w:eastAsia="標楷體" w:hAnsi="標楷體"/>
                <w:color w:val="000000"/>
                <w:szCs w:val="20"/>
              </w:rPr>
            </w:pPr>
            <w:r>
              <w:rPr>
                <w:rFonts w:ascii="標楷體" w:eastAsia="標楷體" w:hAnsi="標楷體"/>
                <w:color w:val="000000"/>
                <w:szCs w:val="20"/>
              </w:rPr>
              <w:t>不計</w:t>
            </w:r>
          </w:p>
        </w:tc>
      </w:tr>
      <w:tr w:rsidR="00BD776B" w14:paraId="2D2CAAF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7A0E8"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Knee</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4D74D"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517A"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17A"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36E55" w14:textId="77777777" w:rsidR="00BD776B" w:rsidRDefault="00BD776B">
            <w:pPr>
              <w:snapToGrid w:val="0"/>
              <w:spacing w:line="0" w:lineRule="atLeast"/>
              <w:rPr>
                <w:rFonts w:ascii="標楷體" w:eastAsia="標楷體" w:hAnsi="標楷體"/>
                <w:color w:val="000000"/>
                <w:szCs w:val="20"/>
              </w:rPr>
            </w:pPr>
          </w:p>
        </w:tc>
      </w:tr>
      <w:tr w:rsidR="00BD776B" w14:paraId="3FD9849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C45"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Ankle</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FD2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D1C"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519FE"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2F18E" w14:textId="77777777" w:rsidR="00BD776B" w:rsidRDefault="00BD776B">
            <w:pPr>
              <w:snapToGrid w:val="0"/>
              <w:spacing w:line="0" w:lineRule="atLeast"/>
              <w:rPr>
                <w:rFonts w:ascii="標楷體" w:eastAsia="標楷體" w:hAnsi="標楷體"/>
                <w:color w:val="000000"/>
                <w:szCs w:val="20"/>
              </w:rPr>
            </w:pPr>
          </w:p>
        </w:tc>
      </w:tr>
      <w:tr w:rsidR="00BD776B" w14:paraId="7933CAB3"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C16570"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Tarsi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D2A7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2FA96"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420CA"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2AA61F" w14:textId="77777777" w:rsidR="00BD776B" w:rsidRDefault="00BD776B">
            <w:pPr>
              <w:snapToGrid w:val="0"/>
              <w:spacing w:line="0" w:lineRule="atLeast"/>
              <w:rPr>
                <w:rFonts w:ascii="標楷體" w:eastAsia="標楷體" w:hAnsi="標楷體"/>
                <w:color w:val="000000"/>
                <w:szCs w:val="20"/>
              </w:rPr>
            </w:pPr>
          </w:p>
        </w:tc>
      </w:tr>
      <w:tr w:rsidR="00BD776B" w14:paraId="663FAD5C"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43441"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MTP1</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58BEF"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6465D"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D61F0D"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71F138" w14:textId="77777777" w:rsidR="00BD776B" w:rsidRDefault="00BD776B">
            <w:pPr>
              <w:snapToGrid w:val="0"/>
              <w:spacing w:line="0" w:lineRule="atLeast"/>
              <w:rPr>
                <w:rFonts w:ascii="標楷體" w:eastAsia="標楷體" w:hAnsi="標楷體"/>
                <w:color w:val="000000"/>
                <w:szCs w:val="20"/>
              </w:rPr>
            </w:pPr>
          </w:p>
        </w:tc>
      </w:tr>
      <w:tr w:rsidR="00BD776B" w14:paraId="264C525D"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A8F38"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MTP2</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274B"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13AD1"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4435"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78EC0" w14:textId="77777777" w:rsidR="00BD776B" w:rsidRDefault="00BD776B">
            <w:pPr>
              <w:snapToGrid w:val="0"/>
              <w:spacing w:line="0" w:lineRule="atLeast"/>
              <w:rPr>
                <w:rFonts w:ascii="標楷體" w:eastAsia="標楷體" w:hAnsi="標楷體"/>
                <w:color w:val="000000"/>
                <w:szCs w:val="20"/>
              </w:rPr>
            </w:pPr>
          </w:p>
        </w:tc>
      </w:tr>
      <w:tr w:rsidR="00BD776B" w14:paraId="1F622F4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081DD"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MTP3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2F173"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758D69"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EDDA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4AD1DF" w14:textId="77777777" w:rsidR="00BD776B" w:rsidRDefault="00BD776B">
            <w:pPr>
              <w:snapToGrid w:val="0"/>
              <w:spacing w:line="0" w:lineRule="atLeast"/>
              <w:rPr>
                <w:rFonts w:ascii="標楷體" w:eastAsia="標楷體" w:hAnsi="標楷體"/>
                <w:color w:val="000000"/>
                <w:szCs w:val="20"/>
              </w:rPr>
            </w:pPr>
          </w:p>
        </w:tc>
      </w:tr>
      <w:tr w:rsidR="00BD776B" w14:paraId="4A6B8148"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D8E44"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MTP4</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792C1"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5DDF8"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711D20"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75102" w14:textId="77777777" w:rsidR="00BD776B" w:rsidRDefault="00BD776B">
            <w:pPr>
              <w:snapToGrid w:val="0"/>
              <w:spacing w:line="0" w:lineRule="atLeast"/>
              <w:rPr>
                <w:rFonts w:ascii="標楷體" w:eastAsia="標楷體" w:hAnsi="標楷體"/>
                <w:color w:val="000000"/>
                <w:szCs w:val="20"/>
              </w:rPr>
            </w:pPr>
          </w:p>
        </w:tc>
      </w:tr>
      <w:tr w:rsidR="00BD776B" w14:paraId="423A9404"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4B92E8"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MTP5</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F8967"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6F3F6"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9D90C"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86013" w14:textId="77777777" w:rsidR="00BD776B" w:rsidRDefault="00BD776B">
            <w:pPr>
              <w:snapToGrid w:val="0"/>
              <w:spacing w:line="0" w:lineRule="atLeast"/>
              <w:rPr>
                <w:rFonts w:ascii="標楷體" w:eastAsia="標楷體" w:hAnsi="標楷體"/>
                <w:color w:val="000000"/>
                <w:szCs w:val="20"/>
              </w:rPr>
            </w:pPr>
          </w:p>
        </w:tc>
      </w:tr>
      <w:tr w:rsidR="00BD776B" w14:paraId="0BDC7F6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D327F"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Toes(PIP)1</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1233"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1DCC1"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DB17"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7C84F" w14:textId="77777777" w:rsidR="00BD776B" w:rsidRDefault="00BD776B">
            <w:pPr>
              <w:snapToGrid w:val="0"/>
              <w:spacing w:line="0" w:lineRule="atLeast"/>
              <w:rPr>
                <w:rFonts w:ascii="標楷體" w:eastAsia="標楷體" w:hAnsi="標楷體"/>
                <w:color w:val="000000"/>
                <w:szCs w:val="20"/>
              </w:rPr>
            </w:pPr>
          </w:p>
        </w:tc>
      </w:tr>
      <w:tr w:rsidR="00BD776B" w14:paraId="6BD7E3B2"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154D6"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PIP2</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06039"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83350"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55E47"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E97F2" w14:textId="77777777" w:rsidR="00BD776B" w:rsidRDefault="00BD776B">
            <w:pPr>
              <w:snapToGrid w:val="0"/>
              <w:spacing w:line="0" w:lineRule="atLeast"/>
              <w:rPr>
                <w:rFonts w:ascii="標楷體" w:eastAsia="標楷體" w:hAnsi="標楷體"/>
                <w:color w:val="000000"/>
                <w:szCs w:val="20"/>
              </w:rPr>
            </w:pPr>
          </w:p>
        </w:tc>
      </w:tr>
      <w:tr w:rsidR="00BD776B" w14:paraId="23260F10"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71A20"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PIP3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21E35"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DB644"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60E7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5DB2C" w14:textId="77777777" w:rsidR="00BD776B" w:rsidRDefault="00BD776B">
            <w:pPr>
              <w:snapToGrid w:val="0"/>
              <w:spacing w:line="0" w:lineRule="atLeast"/>
              <w:rPr>
                <w:rFonts w:ascii="標楷體" w:eastAsia="標楷體" w:hAnsi="標楷體"/>
                <w:color w:val="000000"/>
                <w:szCs w:val="20"/>
              </w:rPr>
            </w:pPr>
          </w:p>
        </w:tc>
      </w:tr>
      <w:tr w:rsidR="00BD776B" w14:paraId="2EA06D1B"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C97D5"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PIP4</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970A4"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30824"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C0845"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62BF0" w14:textId="77777777" w:rsidR="00BD776B" w:rsidRDefault="00BD776B">
            <w:pPr>
              <w:snapToGrid w:val="0"/>
              <w:spacing w:line="0" w:lineRule="atLeast"/>
              <w:rPr>
                <w:rFonts w:ascii="標楷體" w:eastAsia="標楷體" w:hAnsi="標楷體"/>
                <w:color w:val="000000"/>
                <w:szCs w:val="20"/>
              </w:rPr>
            </w:pPr>
          </w:p>
        </w:tc>
      </w:tr>
      <w:tr w:rsidR="00BD776B" w14:paraId="1BFD62E8"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67342"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PIP5</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08BA2"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9ABD4"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1C605"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69E22" w14:textId="77777777" w:rsidR="00BD776B" w:rsidRDefault="00BD776B">
            <w:pPr>
              <w:snapToGrid w:val="0"/>
              <w:spacing w:line="0" w:lineRule="atLeast"/>
              <w:rPr>
                <w:rFonts w:ascii="標楷體" w:eastAsia="標楷體" w:hAnsi="標楷體"/>
                <w:color w:val="000000"/>
                <w:szCs w:val="20"/>
              </w:rPr>
            </w:pPr>
          </w:p>
        </w:tc>
      </w:tr>
      <w:tr w:rsidR="00BD776B" w14:paraId="5D44CB1E"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C82EFA"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Toes(DIP)2</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F1EB6"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A098E"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D5378"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7F5FE" w14:textId="77777777" w:rsidR="00BD776B" w:rsidRDefault="00BD776B">
            <w:pPr>
              <w:snapToGrid w:val="0"/>
              <w:spacing w:line="0" w:lineRule="atLeast"/>
              <w:rPr>
                <w:rFonts w:ascii="標楷體" w:eastAsia="標楷體" w:hAnsi="標楷體"/>
                <w:color w:val="000000"/>
                <w:szCs w:val="20"/>
              </w:rPr>
            </w:pPr>
          </w:p>
        </w:tc>
      </w:tr>
      <w:tr w:rsidR="00BD776B" w14:paraId="2B507604"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1206E"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5F054"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1B496"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9B1E4"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FA31AC" w14:textId="77777777" w:rsidR="00BD776B" w:rsidRDefault="00BD776B">
            <w:pPr>
              <w:snapToGrid w:val="0"/>
              <w:spacing w:line="0" w:lineRule="atLeast"/>
              <w:rPr>
                <w:rFonts w:ascii="標楷體" w:eastAsia="標楷體" w:hAnsi="標楷體"/>
                <w:color w:val="000000"/>
                <w:szCs w:val="20"/>
              </w:rPr>
            </w:pPr>
          </w:p>
        </w:tc>
      </w:tr>
      <w:tr w:rsidR="00BD776B" w14:paraId="75074E58"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C4BD2"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DIP4</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5A55B"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58DBF"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B8B43"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DA6FFF" w14:textId="77777777" w:rsidR="00BD776B" w:rsidRDefault="00BD776B">
            <w:pPr>
              <w:snapToGrid w:val="0"/>
              <w:spacing w:line="0" w:lineRule="atLeast"/>
              <w:rPr>
                <w:rFonts w:ascii="標楷體" w:eastAsia="標楷體" w:hAnsi="標楷體"/>
                <w:color w:val="000000"/>
                <w:szCs w:val="20"/>
              </w:rPr>
            </w:pPr>
          </w:p>
        </w:tc>
      </w:tr>
      <w:tr w:rsidR="00BD776B" w14:paraId="6BE8138C" w14:textId="77777777">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57577" w14:textId="77777777" w:rsidR="00BD776B" w:rsidRDefault="00DF0C24">
            <w:pPr>
              <w:snapToGrid w:val="0"/>
              <w:spacing w:line="0" w:lineRule="atLeast"/>
              <w:rPr>
                <w:rFonts w:ascii="標楷體" w:eastAsia="標楷體" w:hAnsi="標楷體"/>
                <w:szCs w:val="20"/>
              </w:rPr>
            </w:pPr>
            <w:r>
              <w:rPr>
                <w:rFonts w:ascii="標楷體" w:eastAsia="標楷體" w:hAnsi="標楷體"/>
                <w:szCs w:val="20"/>
              </w:rPr>
              <w:t>DIP5</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47F"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23CD" w14:textId="77777777" w:rsidR="00BD776B" w:rsidRDefault="00BD776B">
            <w:pPr>
              <w:snapToGrid w:val="0"/>
              <w:spacing w:line="0" w:lineRule="atLeast"/>
              <w:rPr>
                <w:rFonts w:ascii="標楷體" w:eastAsia="標楷體" w:hAnsi="標楷體"/>
                <w:color w:val="000000"/>
                <w:szCs w:val="20"/>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55D3D" w14:textId="77777777" w:rsidR="00BD776B" w:rsidRDefault="00BD776B">
            <w:pPr>
              <w:snapToGrid w:val="0"/>
              <w:spacing w:line="0" w:lineRule="atLeast"/>
              <w:rPr>
                <w:rFonts w:ascii="標楷體" w:eastAsia="標楷體" w:hAnsi="標楷體"/>
                <w:color w:val="00000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6F168" w14:textId="77777777" w:rsidR="00BD776B" w:rsidRDefault="00BD776B">
            <w:pPr>
              <w:snapToGrid w:val="0"/>
              <w:spacing w:line="0" w:lineRule="atLeast"/>
              <w:rPr>
                <w:rFonts w:ascii="標楷體" w:eastAsia="標楷體" w:hAnsi="標楷體"/>
                <w:color w:val="000000"/>
                <w:szCs w:val="20"/>
              </w:rPr>
            </w:pPr>
          </w:p>
        </w:tc>
      </w:tr>
    </w:tbl>
    <w:p w14:paraId="4142C9EF" w14:textId="77777777" w:rsidR="00BD776B" w:rsidRDefault="00DF0C24" w:rsidP="008A7063">
      <w:pPr>
        <w:numPr>
          <w:ilvl w:val="0"/>
          <w:numId w:val="88"/>
        </w:numPr>
        <w:snapToGrid w:val="0"/>
        <w:spacing w:line="320" w:lineRule="exact"/>
        <w:ind w:left="284" w:right="-428" w:hanging="284"/>
      </w:pPr>
      <w:r>
        <w:rPr>
          <w:rFonts w:ascii="標楷體" w:eastAsia="標楷體" w:hAnsi="標楷體"/>
          <w:szCs w:val="20"/>
        </w:rPr>
        <w:t>目前評估日期：年月日1.Tenderjointscore:_______2.Swollenjointscore:_______</w:t>
      </w:r>
    </w:p>
    <w:p w14:paraId="3A49BB34" w14:textId="77777777" w:rsidR="00BD776B" w:rsidRDefault="00DF0C24" w:rsidP="008A7063">
      <w:pPr>
        <w:numPr>
          <w:ilvl w:val="0"/>
          <w:numId w:val="88"/>
        </w:numPr>
        <w:snapToGrid w:val="0"/>
        <w:spacing w:line="320" w:lineRule="exact"/>
        <w:ind w:left="284" w:right="-428" w:hanging="284"/>
      </w:pPr>
      <w:r>
        <w:rPr>
          <w:rFonts w:ascii="標楷體" w:eastAsia="標楷體" w:hAnsi="標楷體"/>
          <w:szCs w:val="20"/>
        </w:rPr>
        <w:lastRenderedPageBreak/>
        <w:t>原始評估日期：年月日1.Tenderjointscore:_______2.Swollenjointscore:_______</w:t>
      </w:r>
    </w:p>
    <w:p w14:paraId="399F8A84" w14:textId="77777777" w:rsidR="00BD776B" w:rsidRDefault="00DF0C24" w:rsidP="008A7063">
      <w:pPr>
        <w:numPr>
          <w:ilvl w:val="0"/>
          <w:numId w:val="89"/>
        </w:numPr>
        <w:snapToGrid w:val="0"/>
        <w:spacing w:line="320" w:lineRule="exact"/>
        <w:ind w:left="284" w:hanging="284"/>
      </w:pPr>
      <w:r>
        <w:rPr>
          <w:rFonts w:ascii="標楷體" w:eastAsia="標楷體" w:hAnsi="標楷體"/>
          <w:szCs w:val="20"/>
        </w:rPr>
        <w:t>病人自我評估目前(0-5分)_______，評估日期：年月日</w:t>
      </w:r>
      <w:r>
        <w:rPr>
          <w:rFonts w:ascii="標楷體" w:eastAsia="標楷體" w:hAnsi="標楷體"/>
          <w:szCs w:val="20"/>
        </w:rPr>
        <w:br/>
        <w:t>病人自我評估原始(0-5分)_______，評估日期：年月日</w:t>
      </w:r>
    </w:p>
    <w:p w14:paraId="3891AE83" w14:textId="77777777" w:rsidR="00BD776B" w:rsidRDefault="00DF0C24" w:rsidP="008A7063">
      <w:pPr>
        <w:numPr>
          <w:ilvl w:val="0"/>
          <w:numId w:val="89"/>
        </w:numPr>
        <w:snapToGrid w:val="0"/>
        <w:spacing w:line="320" w:lineRule="exact"/>
        <w:ind w:left="284" w:hanging="284"/>
      </w:pPr>
      <w:r>
        <w:rPr>
          <w:rFonts w:ascii="標楷體" w:eastAsia="標楷體" w:hAnsi="標楷體"/>
          <w:szCs w:val="20"/>
        </w:rPr>
        <w:t>醫師整體評估目前(0-5分)_______，評估日期：年月日</w:t>
      </w:r>
      <w:r>
        <w:rPr>
          <w:rFonts w:ascii="標楷體" w:eastAsia="標楷體" w:hAnsi="標楷體"/>
          <w:szCs w:val="20"/>
        </w:rPr>
        <w:br/>
        <w:t>醫師整體評估原始(0-5分)_______，評估日期：年月日</w:t>
      </w:r>
    </w:p>
    <w:p w14:paraId="47E0B925" w14:textId="77777777" w:rsidR="00BD776B" w:rsidRDefault="00BD776B">
      <w:pPr>
        <w:pageBreakBefore/>
        <w:widowControl/>
        <w:suppressAutoHyphens w:val="0"/>
        <w:rPr>
          <w:rFonts w:ascii="標楷體" w:eastAsia="標楷體" w:hAnsi="標楷體"/>
          <w:sz w:val="28"/>
          <w:szCs w:val="28"/>
        </w:rPr>
      </w:pPr>
    </w:p>
    <w:p w14:paraId="132BAD51" w14:textId="77777777" w:rsidR="00BD776B" w:rsidRDefault="00DF0C24">
      <w:pPr>
        <w:snapToGrid w:val="0"/>
        <w:spacing w:line="380" w:lineRule="exact"/>
        <w:ind w:left="3" w:right="-352" w:hanging="490"/>
        <w:jc w:val="center"/>
      </w:pPr>
      <w:r>
        <w:rPr>
          <w:rFonts w:eastAsia="標楷體"/>
          <w:color w:val="000000"/>
          <w:sz w:val="28"/>
          <w:szCs w:val="28"/>
        </w:rPr>
        <w:t>附表二十二之四：全民健康保險乾癬性脊椎病變使用</w:t>
      </w:r>
      <w:r>
        <w:rPr>
          <w:rFonts w:eastAsia="標楷體"/>
          <w:sz w:val="28"/>
          <w:szCs w:val="28"/>
        </w:rPr>
        <w:t>生物製劑</w:t>
      </w:r>
      <w:r>
        <w:rPr>
          <w:rFonts w:eastAsia="標楷體"/>
          <w:color w:val="000000"/>
          <w:sz w:val="28"/>
          <w:szCs w:val="28"/>
        </w:rPr>
        <w:t>申請表</w:t>
      </w:r>
      <w:r>
        <w:rPr>
          <w:rFonts w:eastAsia="標楷體"/>
          <w:color w:val="000000"/>
          <w:sz w:val="28"/>
          <w:szCs w:val="28"/>
        </w:rPr>
        <w:t>(</w:t>
      </w:r>
      <w:r>
        <w:rPr>
          <w:rFonts w:eastAsia="標楷體"/>
          <w:color w:val="000000"/>
          <w:sz w:val="28"/>
          <w:szCs w:val="28"/>
        </w:rPr>
        <w:t>第一頁</w:t>
      </w:r>
      <w:r>
        <w:rPr>
          <w:rFonts w:eastAsia="標楷體"/>
          <w:color w:val="000000"/>
          <w:sz w:val="28"/>
          <w:szCs w:val="28"/>
        </w:rPr>
        <w:t>)</w:t>
      </w:r>
    </w:p>
    <w:tbl>
      <w:tblPr>
        <w:tblW w:w="9575" w:type="dxa"/>
        <w:tblInd w:w="309" w:type="dxa"/>
        <w:tblLayout w:type="fixed"/>
        <w:tblCellMar>
          <w:left w:w="10" w:type="dxa"/>
          <w:right w:w="10" w:type="dxa"/>
        </w:tblCellMar>
        <w:tblLook w:val="0000" w:firstRow="0" w:lastRow="0" w:firstColumn="0" w:lastColumn="0" w:noHBand="0" w:noVBand="0"/>
      </w:tblPr>
      <w:tblGrid>
        <w:gridCol w:w="1477"/>
        <w:gridCol w:w="1547"/>
        <w:gridCol w:w="1408"/>
        <w:gridCol w:w="1601"/>
        <w:gridCol w:w="1050"/>
        <w:gridCol w:w="2492"/>
      </w:tblGrid>
      <w:tr w:rsidR="00BD776B" w14:paraId="25E61E00" w14:textId="77777777">
        <w:trPr>
          <w:cantSplit/>
          <w:trHeight w:val="376"/>
        </w:trPr>
        <w:tc>
          <w:tcPr>
            <w:tcW w:w="1477"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DA4ACFC" w14:textId="77777777" w:rsidR="00BD776B" w:rsidRDefault="00DF0C24">
            <w:pPr>
              <w:snapToGrid w:val="0"/>
              <w:spacing w:line="380" w:lineRule="exact"/>
              <w:rPr>
                <w:rFonts w:ascii="標楷體" w:eastAsia="標楷體" w:hAnsi="標楷體"/>
              </w:rPr>
            </w:pPr>
            <w:r>
              <w:rPr>
                <w:rFonts w:ascii="標楷體" w:eastAsia="標楷體" w:hAnsi="標楷體"/>
              </w:rPr>
              <w:t>醫院代號</w:t>
            </w:r>
          </w:p>
        </w:tc>
        <w:tc>
          <w:tcPr>
            <w:tcW w:w="154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8CE7A3" w14:textId="77777777" w:rsidR="00BD776B" w:rsidRDefault="00BD776B">
            <w:pPr>
              <w:snapToGrid w:val="0"/>
              <w:spacing w:line="380" w:lineRule="exact"/>
              <w:rPr>
                <w:rFonts w:ascii="標楷體" w:eastAsia="標楷體" w:hAnsi="標楷體"/>
              </w:rPr>
            </w:pPr>
          </w:p>
        </w:tc>
        <w:tc>
          <w:tcPr>
            <w:tcW w:w="140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9F1283" w14:textId="77777777" w:rsidR="00BD776B" w:rsidRDefault="00DF0C24">
            <w:pPr>
              <w:snapToGrid w:val="0"/>
              <w:spacing w:line="380" w:lineRule="exact"/>
              <w:rPr>
                <w:rFonts w:ascii="標楷體" w:eastAsia="標楷體" w:hAnsi="標楷體"/>
              </w:rPr>
            </w:pPr>
            <w:r>
              <w:rPr>
                <w:rFonts w:ascii="標楷體" w:eastAsia="標楷體" w:hAnsi="標楷體"/>
              </w:rPr>
              <w:t>醫院名稱</w:t>
            </w:r>
          </w:p>
        </w:tc>
        <w:tc>
          <w:tcPr>
            <w:tcW w:w="16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95EB35" w14:textId="77777777" w:rsidR="00BD776B" w:rsidRDefault="00BD776B">
            <w:pPr>
              <w:snapToGrid w:val="0"/>
              <w:spacing w:line="380" w:lineRule="exact"/>
              <w:rPr>
                <w:rFonts w:ascii="標楷體" w:eastAsia="標楷體" w:hAnsi="標楷體"/>
              </w:rPr>
            </w:pPr>
          </w:p>
        </w:tc>
        <w:tc>
          <w:tcPr>
            <w:tcW w:w="105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C6D1767" w14:textId="77777777" w:rsidR="00BD776B" w:rsidRDefault="00DF0C24">
            <w:pPr>
              <w:snapToGrid w:val="0"/>
              <w:spacing w:line="380" w:lineRule="exact"/>
              <w:rPr>
                <w:rFonts w:ascii="標楷體" w:eastAsia="標楷體" w:hAnsi="標楷體"/>
              </w:rPr>
            </w:pPr>
            <w:r>
              <w:rPr>
                <w:rFonts w:ascii="標楷體" w:eastAsia="標楷體" w:hAnsi="標楷體"/>
              </w:rPr>
              <w:t>申請日期</w:t>
            </w:r>
          </w:p>
        </w:tc>
        <w:tc>
          <w:tcPr>
            <w:tcW w:w="2492"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0277CA9" w14:textId="77777777" w:rsidR="00BD776B" w:rsidRDefault="00BD776B">
            <w:pPr>
              <w:snapToGrid w:val="0"/>
              <w:spacing w:line="380" w:lineRule="exact"/>
              <w:rPr>
                <w:rFonts w:ascii="標楷體" w:eastAsia="標楷體" w:hAnsi="標楷體"/>
              </w:rPr>
            </w:pPr>
          </w:p>
        </w:tc>
      </w:tr>
      <w:tr w:rsidR="00BD776B" w14:paraId="286081E2" w14:textId="77777777">
        <w:trPr>
          <w:cantSplit/>
          <w:trHeight w:val="332"/>
        </w:trPr>
        <w:tc>
          <w:tcPr>
            <w:tcW w:w="147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819A37B" w14:textId="77777777" w:rsidR="00BD776B" w:rsidRDefault="00DF0C24">
            <w:pPr>
              <w:snapToGrid w:val="0"/>
              <w:spacing w:line="380" w:lineRule="exact"/>
              <w:rPr>
                <w:rFonts w:ascii="標楷體" w:eastAsia="標楷體" w:hAnsi="標楷體"/>
              </w:rPr>
            </w:pPr>
            <w:r>
              <w:rPr>
                <w:rFonts w:ascii="標楷體" w:eastAsia="標楷體" w:hAnsi="標楷體"/>
              </w:rPr>
              <w:t>病人姓名</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A16DBA" w14:textId="77777777" w:rsidR="00BD776B" w:rsidRDefault="00BD776B">
            <w:pPr>
              <w:snapToGrid w:val="0"/>
              <w:spacing w:line="380" w:lineRule="exact"/>
              <w:rPr>
                <w:rFonts w:ascii="標楷體" w:eastAsia="標楷體" w:hAnsi="標楷體"/>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FB5810" w14:textId="77777777" w:rsidR="00BD776B" w:rsidRDefault="00DF0C24">
            <w:pPr>
              <w:snapToGrid w:val="0"/>
              <w:spacing w:line="380" w:lineRule="exact"/>
              <w:rPr>
                <w:rFonts w:ascii="標楷體" w:eastAsia="標楷體" w:hAnsi="標楷體"/>
              </w:rPr>
            </w:pPr>
            <w:r>
              <w:rPr>
                <w:rFonts w:ascii="標楷體" w:eastAsia="標楷體" w:hAnsi="標楷體"/>
              </w:rPr>
              <w:t>性別</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E6E5E17" w14:textId="77777777" w:rsidR="00BD776B" w:rsidRDefault="00BD776B">
            <w:pPr>
              <w:snapToGrid w:val="0"/>
              <w:spacing w:line="380" w:lineRule="exact"/>
              <w:rPr>
                <w:rFonts w:ascii="標楷體" w:eastAsia="標楷體" w:hAnsi="標楷體"/>
              </w:rPr>
            </w:pP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1C70FF" w14:textId="77777777" w:rsidR="00BD776B" w:rsidRDefault="00DF0C24">
            <w:pPr>
              <w:snapToGrid w:val="0"/>
              <w:spacing w:line="380" w:lineRule="exact"/>
              <w:rPr>
                <w:rFonts w:ascii="標楷體" w:eastAsia="標楷體" w:hAnsi="標楷體"/>
              </w:rPr>
            </w:pPr>
            <w:r>
              <w:rPr>
                <w:rFonts w:ascii="標楷體" w:eastAsia="標楷體" w:hAnsi="標楷體"/>
              </w:rPr>
              <w:t>出生日期</w:t>
            </w:r>
          </w:p>
        </w:tc>
        <w:tc>
          <w:tcPr>
            <w:tcW w:w="2492"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D27BBE7" w14:textId="77777777" w:rsidR="00BD776B" w:rsidRDefault="00BD776B">
            <w:pPr>
              <w:snapToGrid w:val="0"/>
              <w:spacing w:line="380" w:lineRule="exact"/>
              <w:rPr>
                <w:rFonts w:ascii="標楷體" w:eastAsia="標楷體" w:hAnsi="標楷體"/>
              </w:rPr>
            </w:pPr>
          </w:p>
        </w:tc>
      </w:tr>
      <w:tr w:rsidR="00BD776B" w14:paraId="7BCDBFA2" w14:textId="77777777">
        <w:trPr>
          <w:cantSplit/>
          <w:trHeight w:val="356"/>
        </w:trPr>
        <w:tc>
          <w:tcPr>
            <w:tcW w:w="147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9638369" w14:textId="77777777" w:rsidR="00BD776B" w:rsidRDefault="00DF0C24">
            <w:pPr>
              <w:snapToGrid w:val="0"/>
              <w:spacing w:line="380" w:lineRule="exact"/>
              <w:rPr>
                <w:rFonts w:ascii="標楷體" w:eastAsia="標楷體" w:hAnsi="標楷體"/>
              </w:rPr>
            </w:pPr>
            <w:r>
              <w:rPr>
                <w:rFonts w:ascii="標楷體" w:eastAsia="標楷體" w:hAnsi="標楷體"/>
              </w:rPr>
              <w:t>身分證號</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B5117D" w14:textId="77777777" w:rsidR="00BD776B" w:rsidRDefault="00BD776B">
            <w:pPr>
              <w:snapToGrid w:val="0"/>
              <w:spacing w:line="380" w:lineRule="exact"/>
              <w:rPr>
                <w:rFonts w:ascii="標楷體" w:eastAsia="標楷體" w:hAnsi="標楷體"/>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6CA0AE" w14:textId="77777777" w:rsidR="00BD776B" w:rsidRDefault="00DF0C24">
            <w:pPr>
              <w:snapToGrid w:val="0"/>
              <w:spacing w:line="380" w:lineRule="exact"/>
              <w:rPr>
                <w:rFonts w:ascii="標楷體" w:eastAsia="標楷體" w:hAnsi="標楷體"/>
              </w:rPr>
            </w:pPr>
            <w:r>
              <w:rPr>
                <w:rFonts w:ascii="標楷體" w:eastAsia="標楷體" w:hAnsi="標楷體"/>
              </w:rPr>
              <w:t>病歷號碼</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5D1CDD" w14:textId="77777777" w:rsidR="00BD776B" w:rsidRDefault="00BD776B">
            <w:pPr>
              <w:snapToGrid w:val="0"/>
              <w:spacing w:line="380" w:lineRule="exact"/>
              <w:rPr>
                <w:rFonts w:ascii="標楷體" w:eastAsia="標楷體" w:hAnsi="標楷體"/>
              </w:rPr>
            </w:pPr>
          </w:p>
        </w:tc>
        <w:tc>
          <w:tcPr>
            <w:tcW w:w="1050"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0B29021C" w14:textId="77777777" w:rsidR="00BD776B" w:rsidRDefault="00DF0C24">
            <w:pPr>
              <w:snapToGrid w:val="0"/>
              <w:spacing w:line="380" w:lineRule="exact"/>
              <w:rPr>
                <w:rFonts w:ascii="標楷體" w:eastAsia="標楷體" w:hAnsi="標楷體"/>
              </w:rPr>
            </w:pPr>
            <w:r>
              <w:rPr>
                <w:rFonts w:ascii="標楷體" w:eastAsia="標楷體" w:hAnsi="標楷體"/>
              </w:rPr>
              <w:t>使用期間</w:t>
            </w:r>
          </w:p>
        </w:tc>
        <w:tc>
          <w:tcPr>
            <w:tcW w:w="2492"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F42AC03" w14:textId="77777777" w:rsidR="00BD776B" w:rsidRDefault="00DF0C24">
            <w:pPr>
              <w:snapToGrid w:val="0"/>
              <w:spacing w:line="380" w:lineRule="exact"/>
              <w:rPr>
                <w:rFonts w:ascii="標楷體" w:eastAsia="標楷體" w:hAnsi="標楷體"/>
              </w:rPr>
            </w:pPr>
            <w:r>
              <w:rPr>
                <w:rFonts w:ascii="標楷體" w:eastAsia="標楷體" w:hAnsi="標楷體"/>
              </w:rPr>
              <w:t>自　　年　　月　　日</w:t>
            </w:r>
          </w:p>
        </w:tc>
      </w:tr>
      <w:tr w:rsidR="00BD776B" w14:paraId="4D07DE47" w14:textId="77777777">
        <w:trPr>
          <w:cantSplit/>
          <w:trHeight w:val="337"/>
        </w:trPr>
        <w:tc>
          <w:tcPr>
            <w:tcW w:w="1477"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1F3DB42C" w14:textId="77777777" w:rsidR="00BD776B" w:rsidRDefault="00DF0C24">
            <w:pPr>
              <w:snapToGrid w:val="0"/>
              <w:spacing w:line="380" w:lineRule="exact"/>
              <w:rPr>
                <w:rFonts w:ascii="標楷體" w:eastAsia="標楷體" w:hAnsi="標楷體"/>
              </w:rPr>
            </w:pPr>
            <w:r>
              <w:rPr>
                <w:rFonts w:ascii="標楷體" w:eastAsia="標楷體" w:hAnsi="標楷體"/>
              </w:rPr>
              <w:t>藥品代碼</w:t>
            </w:r>
          </w:p>
        </w:tc>
        <w:tc>
          <w:tcPr>
            <w:tcW w:w="154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1D35BB73" w14:textId="77777777" w:rsidR="00BD776B" w:rsidRDefault="00BD776B">
            <w:pPr>
              <w:snapToGrid w:val="0"/>
              <w:spacing w:line="380" w:lineRule="exact"/>
              <w:rPr>
                <w:rFonts w:ascii="標楷體" w:eastAsia="標楷體" w:hAnsi="標楷體"/>
              </w:rPr>
            </w:pPr>
          </w:p>
        </w:tc>
        <w:tc>
          <w:tcPr>
            <w:tcW w:w="140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3164FED9" w14:textId="77777777" w:rsidR="00BD776B" w:rsidRDefault="00DF0C24">
            <w:pPr>
              <w:snapToGrid w:val="0"/>
              <w:spacing w:line="380" w:lineRule="exact"/>
              <w:rPr>
                <w:rFonts w:ascii="標楷體" w:eastAsia="標楷體" w:hAnsi="標楷體"/>
              </w:rPr>
            </w:pPr>
            <w:r>
              <w:rPr>
                <w:rFonts w:ascii="標楷體" w:eastAsia="標楷體" w:hAnsi="標楷體"/>
              </w:rPr>
              <w:t>用法用量</w:t>
            </w:r>
          </w:p>
        </w:tc>
        <w:tc>
          <w:tcPr>
            <w:tcW w:w="16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A919D08" w14:textId="77777777" w:rsidR="00BD776B" w:rsidRDefault="00BD776B">
            <w:pPr>
              <w:snapToGrid w:val="0"/>
              <w:spacing w:line="380" w:lineRule="exact"/>
              <w:rPr>
                <w:rFonts w:ascii="標楷體" w:eastAsia="標楷體" w:hAnsi="標楷體"/>
              </w:rPr>
            </w:pPr>
          </w:p>
        </w:tc>
        <w:tc>
          <w:tcPr>
            <w:tcW w:w="1050"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0F41F95A" w14:textId="77777777" w:rsidR="00BD776B" w:rsidRDefault="00BD776B">
            <w:pPr>
              <w:snapToGrid w:val="0"/>
              <w:spacing w:line="380" w:lineRule="exact"/>
              <w:rPr>
                <w:rFonts w:ascii="標楷體" w:eastAsia="標楷體" w:hAnsi="標楷體"/>
              </w:rPr>
            </w:pPr>
          </w:p>
        </w:tc>
        <w:tc>
          <w:tcPr>
            <w:tcW w:w="2492"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7107A312" w14:textId="77777777" w:rsidR="00BD776B" w:rsidRDefault="00DF0C24">
            <w:pPr>
              <w:snapToGrid w:val="0"/>
              <w:spacing w:line="380" w:lineRule="exact"/>
              <w:rPr>
                <w:rFonts w:ascii="標楷體" w:eastAsia="標楷體" w:hAnsi="標楷體"/>
              </w:rPr>
            </w:pPr>
            <w:r>
              <w:rPr>
                <w:rFonts w:ascii="標楷體" w:eastAsia="標楷體" w:hAnsi="標楷體"/>
              </w:rPr>
              <w:t>至　　年　　月　　日</w:t>
            </w:r>
          </w:p>
        </w:tc>
      </w:tr>
    </w:tbl>
    <w:p w14:paraId="41E723A2" w14:textId="77777777" w:rsidR="00BD776B" w:rsidRDefault="00BD776B">
      <w:pPr>
        <w:snapToGrid w:val="0"/>
        <w:rPr>
          <w:rFonts w:ascii="標楷體" w:eastAsia="標楷體" w:hAnsi="標楷體"/>
          <w:sz w:val="28"/>
        </w:rPr>
      </w:pPr>
    </w:p>
    <w:tbl>
      <w:tblPr>
        <w:tblW w:w="9536" w:type="dxa"/>
        <w:tblInd w:w="332" w:type="dxa"/>
        <w:tblCellMar>
          <w:left w:w="10" w:type="dxa"/>
          <w:right w:w="10" w:type="dxa"/>
        </w:tblCellMar>
        <w:tblLook w:val="0000" w:firstRow="0" w:lastRow="0" w:firstColumn="0" w:lastColumn="0" w:noHBand="0" w:noVBand="0"/>
      </w:tblPr>
      <w:tblGrid>
        <w:gridCol w:w="9536"/>
      </w:tblGrid>
      <w:tr w:rsidR="00BD776B" w14:paraId="1AB5A609" w14:textId="77777777">
        <w:trPr>
          <w:trHeight w:val="10460"/>
        </w:trPr>
        <w:tc>
          <w:tcPr>
            <w:tcW w:w="9536"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5B4ECF86" w14:textId="77777777" w:rsidR="00BD776B" w:rsidRDefault="00DF0C24">
            <w:pPr>
              <w:snapToGrid w:val="0"/>
              <w:spacing w:before="180" w:line="360" w:lineRule="auto"/>
            </w:pPr>
            <w:r>
              <w:rPr>
                <w:rFonts w:ascii="Webdings" w:eastAsia="Webdings" w:hAnsi="Webdings" w:cs="Webdings"/>
                <w:bCs/>
                <w:color w:val="000000"/>
              </w:rPr>
              <w:t></w:t>
            </w:r>
            <w:r>
              <w:rPr>
                <w:rFonts w:ascii="Times New Roman" w:eastAsia="標楷體" w:hAnsi="Times New Roman"/>
                <w:b/>
                <w:bCs/>
                <w:color w:val="000000"/>
              </w:rPr>
              <w:t xml:space="preserve"> </w:t>
            </w:r>
            <w:r>
              <w:rPr>
                <w:rFonts w:ascii="Times New Roman" w:eastAsia="標楷體" w:hAnsi="Times New Roman"/>
                <w:b/>
                <w:bCs/>
              </w:rPr>
              <w:t>符合下列所有條件：</w:t>
            </w:r>
          </w:p>
          <w:p w14:paraId="797C2111" w14:textId="77777777" w:rsidR="00BD776B" w:rsidRDefault="00DF0C24" w:rsidP="008A7063">
            <w:pPr>
              <w:numPr>
                <w:ilvl w:val="0"/>
                <w:numId w:val="90"/>
              </w:numPr>
              <w:tabs>
                <w:tab w:val="left" w:pos="515"/>
              </w:tabs>
              <w:snapToGrid w:val="0"/>
              <w:spacing w:line="276" w:lineRule="auto"/>
              <w:ind w:left="941" w:hanging="709"/>
            </w:pPr>
            <w:r>
              <w:rPr>
                <w:rFonts w:ascii="Webdings" w:eastAsia="Webdings" w:hAnsi="Webdings" w:cs="Webdings"/>
                <w:bCs/>
                <w:color w:val="000000"/>
              </w:rPr>
              <w:t></w:t>
            </w:r>
            <w:r>
              <w:rPr>
                <w:rFonts w:ascii="Times New Roman" w:eastAsia="標楷體" w:hAnsi="Times New Roman"/>
                <w:b/>
                <w:bCs/>
                <w:color w:val="000000"/>
              </w:rPr>
              <w:t xml:space="preserve"> </w:t>
            </w:r>
            <w:r>
              <w:rPr>
                <w:rFonts w:ascii="Times New Roman" w:eastAsia="標楷體" w:hAnsi="Times New Roman"/>
                <w:szCs w:val="13"/>
              </w:rPr>
              <w:t>經內科專科醫師且具有風濕或免疫專科醫師證書者診斷為乾癬性關節炎患者。</w:t>
            </w:r>
          </w:p>
          <w:p w14:paraId="2A0D7DC4" w14:textId="77777777" w:rsidR="00BD776B" w:rsidRDefault="00DF0C24" w:rsidP="008A7063">
            <w:pPr>
              <w:numPr>
                <w:ilvl w:val="0"/>
                <w:numId w:val="90"/>
              </w:numPr>
              <w:tabs>
                <w:tab w:val="left" w:pos="515"/>
              </w:tabs>
              <w:snapToGrid w:val="0"/>
              <w:spacing w:line="276" w:lineRule="auto"/>
              <w:ind w:left="941" w:hanging="709"/>
            </w:pPr>
            <w:r>
              <w:rPr>
                <w:rFonts w:ascii="Webdings" w:eastAsia="Webdings" w:hAnsi="Webdings" w:cs="Webdings"/>
                <w:bCs/>
                <w:color w:val="000000"/>
              </w:rPr>
              <w:t></w:t>
            </w:r>
            <w:r>
              <w:rPr>
                <w:rFonts w:ascii="Times New Roman" w:eastAsia="標楷體" w:hAnsi="Times New Roman"/>
              </w:rPr>
              <w:t xml:space="preserve"> </w:t>
            </w:r>
            <w:r>
              <w:rPr>
                <w:rFonts w:ascii="Times New Roman" w:eastAsia="標楷體" w:hAnsi="Times New Roman"/>
              </w:rPr>
              <w:t>曾經皮膚科醫師診斷為乾癬者，或經皮膚切片診斷為乾癬患者。</w:t>
            </w:r>
          </w:p>
          <w:p w14:paraId="629E93F4" w14:textId="77777777" w:rsidR="00BD776B" w:rsidRDefault="00DF0C24" w:rsidP="008A7063">
            <w:pPr>
              <w:numPr>
                <w:ilvl w:val="0"/>
                <w:numId w:val="90"/>
              </w:numPr>
              <w:tabs>
                <w:tab w:val="left" w:pos="515"/>
              </w:tabs>
              <w:snapToGrid w:val="0"/>
              <w:spacing w:line="276" w:lineRule="auto"/>
              <w:ind w:left="941" w:hanging="709"/>
            </w:pPr>
            <w:r>
              <w:rPr>
                <w:rFonts w:ascii="Webdings" w:eastAsia="Webdings" w:hAnsi="Webdings" w:cs="Webdings"/>
                <w:bCs/>
                <w:color w:val="000000"/>
              </w:rPr>
              <w:t></w:t>
            </w:r>
            <w:r>
              <w:rPr>
                <w:rFonts w:ascii="Times New Roman" w:eastAsia="標楷體" w:hAnsi="Times New Roman"/>
                <w:b/>
                <w:bCs/>
                <w:color w:val="000000"/>
              </w:rPr>
              <w:t xml:space="preserve"> </w:t>
            </w:r>
            <w:r>
              <w:rPr>
                <w:rFonts w:ascii="Times New Roman" w:eastAsia="標楷體" w:hAnsi="Times New Roman"/>
              </w:rPr>
              <w:t>下列三條件至少需符合二項</w:t>
            </w:r>
          </w:p>
          <w:p w14:paraId="789EE9FA" w14:textId="77777777" w:rsidR="00BD776B" w:rsidRDefault="00DF0C24" w:rsidP="008A7063">
            <w:pPr>
              <w:numPr>
                <w:ilvl w:val="1"/>
                <w:numId w:val="82"/>
              </w:numPr>
              <w:tabs>
                <w:tab w:val="left" w:pos="941"/>
              </w:tabs>
              <w:snapToGrid w:val="0"/>
              <w:spacing w:line="276" w:lineRule="auto"/>
              <w:ind w:left="1224" w:hanging="744"/>
            </w:pPr>
            <w:r>
              <w:rPr>
                <w:rFonts w:ascii="Webdings" w:eastAsia="Webdings" w:hAnsi="Webdings" w:cs="Webdings"/>
                <w:bCs/>
                <w:color w:val="000000"/>
              </w:rPr>
              <w:t></w:t>
            </w:r>
            <w:r>
              <w:rPr>
                <w:rFonts w:ascii="Times New Roman" w:eastAsia="標楷體" w:hAnsi="Times New Roman"/>
                <w:bCs/>
                <w:color w:val="000000"/>
              </w:rPr>
              <w:t xml:space="preserve"> </w:t>
            </w:r>
            <w:r>
              <w:rPr>
                <w:rFonts w:ascii="Times New Roman" w:eastAsia="標楷體" w:hAnsi="Times New Roman"/>
                <w:bCs/>
                <w:color w:val="000000"/>
              </w:rPr>
              <w:t>下背痛及晨間僵硬的症狀持續</w:t>
            </w:r>
            <w:r>
              <w:rPr>
                <w:rFonts w:ascii="Times New Roman" w:eastAsia="標楷體" w:hAnsi="Times New Roman"/>
                <w:bCs/>
                <w:color w:val="000000"/>
              </w:rPr>
              <w:t>3</w:t>
            </w:r>
            <w:r>
              <w:rPr>
                <w:rFonts w:ascii="Times New Roman" w:eastAsia="標楷體" w:hAnsi="Times New Roman"/>
                <w:bCs/>
                <w:color w:val="000000"/>
              </w:rPr>
              <w:t>個月以上</w:t>
            </w:r>
          </w:p>
          <w:p w14:paraId="03832312" w14:textId="77777777" w:rsidR="00BD776B" w:rsidRDefault="00DF0C24" w:rsidP="008A7063">
            <w:pPr>
              <w:numPr>
                <w:ilvl w:val="1"/>
                <w:numId w:val="82"/>
              </w:numPr>
              <w:tabs>
                <w:tab w:val="left" w:pos="941"/>
              </w:tabs>
              <w:snapToGrid w:val="0"/>
              <w:spacing w:line="276" w:lineRule="auto"/>
              <w:ind w:left="1224" w:hanging="744"/>
            </w:pPr>
            <w:r>
              <w:rPr>
                <w:rFonts w:ascii="Webdings" w:eastAsia="Webdings" w:hAnsi="Webdings" w:cs="Webdings"/>
                <w:bCs/>
                <w:color w:val="000000"/>
              </w:rPr>
              <w:t></w:t>
            </w:r>
            <w:r>
              <w:rPr>
                <w:rFonts w:ascii="Times New Roman" w:eastAsia="標楷體" w:hAnsi="Times New Roman"/>
                <w:bCs/>
                <w:color w:val="000000"/>
              </w:rPr>
              <w:t xml:space="preserve"> </w:t>
            </w:r>
            <w:r>
              <w:rPr>
                <w:rFonts w:ascii="Times New Roman" w:eastAsia="標楷體" w:hAnsi="Times New Roman"/>
                <w:bCs/>
                <w:color w:val="000000"/>
              </w:rPr>
              <w:t>腰椎前屈活動受限</w:t>
            </w:r>
          </w:p>
          <w:p w14:paraId="58E517C5" w14:textId="77777777" w:rsidR="00BD776B" w:rsidRDefault="00DF0C24" w:rsidP="008A7063">
            <w:pPr>
              <w:numPr>
                <w:ilvl w:val="1"/>
                <w:numId w:val="82"/>
              </w:numPr>
              <w:tabs>
                <w:tab w:val="left" w:pos="941"/>
              </w:tabs>
              <w:snapToGrid w:val="0"/>
              <w:spacing w:line="276" w:lineRule="auto"/>
              <w:ind w:left="1224" w:hanging="744"/>
            </w:pPr>
            <w:r>
              <w:rPr>
                <w:rFonts w:ascii="Webdings" w:eastAsia="Webdings" w:hAnsi="Webdings" w:cs="Webdings"/>
                <w:bCs/>
                <w:color w:val="000000"/>
              </w:rPr>
              <w:t></w:t>
            </w:r>
            <w:r>
              <w:rPr>
                <w:rFonts w:ascii="Times New Roman" w:eastAsia="標楷體" w:hAnsi="Times New Roman"/>
                <w:bCs/>
                <w:color w:val="000000"/>
              </w:rPr>
              <w:t xml:space="preserve"> </w:t>
            </w:r>
            <w:r>
              <w:rPr>
                <w:rFonts w:ascii="Times New Roman" w:eastAsia="標楷體" w:hAnsi="Times New Roman"/>
                <w:bCs/>
                <w:color w:val="000000"/>
              </w:rPr>
              <w:t>胸廓擴張受限</w:t>
            </w:r>
          </w:p>
          <w:p w14:paraId="67CDBD2D" w14:textId="77777777" w:rsidR="00BD776B" w:rsidRDefault="00DF0C24" w:rsidP="008A7063">
            <w:pPr>
              <w:numPr>
                <w:ilvl w:val="0"/>
                <w:numId w:val="90"/>
              </w:numPr>
              <w:tabs>
                <w:tab w:val="left" w:pos="515"/>
              </w:tabs>
              <w:snapToGrid w:val="0"/>
              <w:spacing w:line="276" w:lineRule="auto"/>
              <w:ind w:left="941" w:hanging="709"/>
            </w:pPr>
            <w:r>
              <w:rPr>
                <w:rFonts w:ascii="Times New Roman" w:eastAsia="標楷體" w:hAnsi="Times New Roman"/>
              </w:rPr>
              <w:t>X</w:t>
            </w:r>
            <w:r>
              <w:rPr>
                <w:rFonts w:ascii="Times New Roman" w:eastAsia="標楷體" w:hAnsi="Times New Roman"/>
              </w:rPr>
              <w:t>光</w:t>
            </w:r>
            <w:r>
              <w:rPr>
                <w:rFonts w:ascii="Times New Roman" w:eastAsia="標楷體" w:hAnsi="Times New Roman"/>
              </w:rPr>
              <w:t>(plainXRay)</w:t>
            </w:r>
            <w:r>
              <w:rPr>
                <w:rFonts w:ascii="Times New Roman" w:eastAsia="標楷體" w:hAnsi="Times New Roman"/>
              </w:rPr>
              <w:t>檢查需有薦腸關節炎：單側性二級以上、附有報告影印及</w:t>
            </w:r>
            <w:r>
              <w:rPr>
                <w:rFonts w:ascii="Times New Roman" w:eastAsia="標楷體" w:hAnsi="Times New Roman"/>
              </w:rPr>
              <w:t>X</w:t>
            </w:r>
            <w:r>
              <w:rPr>
                <w:rFonts w:ascii="Times New Roman" w:eastAsia="標楷體" w:hAnsi="Times New Roman"/>
              </w:rPr>
              <w:t>光影像光碟。</w:t>
            </w:r>
          </w:p>
          <w:p w14:paraId="5ADF54AB" w14:textId="77777777" w:rsidR="00BD776B" w:rsidRDefault="00DF0C24" w:rsidP="008A7063">
            <w:pPr>
              <w:numPr>
                <w:ilvl w:val="0"/>
                <w:numId w:val="90"/>
              </w:numPr>
              <w:tabs>
                <w:tab w:val="left" w:pos="515"/>
              </w:tabs>
              <w:snapToGrid w:val="0"/>
              <w:spacing w:line="276" w:lineRule="auto"/>
              <w:ind w:left="941" w:hanging="709"/>
            </w:pPr>
            <w:r>
              <w:rPr>
                <w:rFonts w:ascii="Times New Roman" w:eastAsia="標楷體" w:hAnsi="Times New Roman"/>
              </w:rPr>
              <w:t>病患必須曾使用過至少</w:t>
            </w:r>
            <w:r>
              <w:rPr>
                <w:rFonts w:ascii="Times New Roman" w:eastAsia="標楷體" w:hAnsi="Times New Roman"/>
              </w:rPr>
              <w:t>2</w:t>
            </w:r>
            <w:r>
              <w:rPr>
                <w:rFonts w:ascii="Times New Roman" w:eastAsia="標楷體" w:hAnsi="Times New Roman"/>
              </w:rPr>
              <w:t>種</w:t>
            </w:r>
            <w:r>
              <w:rPr>
                <w:rFonts w:ascii="Times New Roman" w:eastAsia="標楷體" w:hAnsi="Times New Roman"/>
              </w:rPr>
              <w:t>(NSAIDs)</w:t>
            </w:r>
            <w:r>
              <w:rPr>
                <w:rFonts w:ascii="Times New Roman" w:eastAsia="標楷體" w:hAnsi="Times New Roman"/>
              </w:rPr>
              <w:t>進行充分的治療，但療效不彰。（定義請參照給付規定）</w:t>
            </w:r>
          </w:p>
          <w:p w14:paraId="44BFFE7C" w14:textId="77777777" w:rsidR="00BD776B" w:rsidRDefault="00DF0C24">
            <w:pPr>
              <w:snapToGrid w:val="0"/>
              <w:spacing w:line="276" w:lineRule="auto"/>
              <w:ind w:left="799" w:hanging="2"/>
              <w:rPr>
                <w:rFonts w:ascii="Times New Roman" w:eastAsia="標楷體" w:hAnsi="Times New Roman"/>
              </w:rPr>
            </w:pPr>
            <w:r>
              <w:rPr>
                <w:rFonts w:ascii="Times New Roman" w:eastAsia="標楷體" w:hAnsi="Times New Roman"/>
              </w:rPr>
              <w:t>NSAID1</w:t>
            </w:r>
            <w:r>
              <w:rPr>
                <w:rFonts w:ascii="Times New Roman" w:eastAsia="標楷體" w:hAnsi="Times New Roman"/>
              </w:rPr>
              <w:t>藥名</w:t>
            </w:r>
            <w:r>
              <w:rPr>
                <w:rFonts w:ascii="Times New Roman" w:eastAsia="標楷體" w:hAnsi="Times New Roman"/>
              </w:rPr>
              <w:t>________</w:t>
            </w:r>
            <w:r>
              <w:rPr>
                <w:rFonts w:ascii="Times New Roman" w:eastAsia="標楷體" w:hAnsi="Times New Roman"/>
              </w:rPr>
              <w:t>劑量</w:t>
            </w:r>
            <w:r>
              <w:rPr>
                <w:rFonts w:ascii="Times New Roman" w:eastAsia="標楷體" w:hAnsi="Times New Roman"/>
              </w:rPr>
              <w:t>_______________</w:t>
            </w:r>
            <w:r>
              <w:rPr>
                <w:rFonts w:ascii="Times New Roman" w:eastAsia="標楷體" w:hAnsi="Times New Roman"/>
              </w:rPr>
              <w:t>使用期限</w:t>
            </w:r>
            <w:r>
              <w:rPr>
                <w:rFonts w:ascii="Times New Roman" w:eastAsia="標楷體" w:hAnsi="Times New Roman"/>
              </w:rPr>
              <w:t>___________________</w:t>
            </w:r>
          </w:p>
          <w:p w14:paraId="1492B723" w14:textId="77777777" w:rsidR="00BD776B" w:rsidRDefault="00DF0C24">
            <w:pPr>
              <w:snapToGrid w:val="0"/>
              <w:spacing w:line="276" w:lineRule="auto"/>
              <w:ind w:left="799" w:hanging="2"/>
              <w:rPr>
                <w:rFonts w:ascii="Times New Roman" w:eastAsia="標楷體" w:hAnsi="Times New Roman"/>
              </w:rPr>
            </w:pPr>
            <w:r>
              <w:rPr>
                <w:rFonts w:ascii="Times New Roman" w:eastAsia="標楷體" w:hAnsi="Times New Roman"/>
              </w:rPr>
              <w:t>NSAID2</w:t>
            </w:r>
            <w:r>
              <w:rPr>
                <w:rFonts w:ascii="Times New Roman" w:eastAsia="標楷體" w:hAnsi="Times New Roman"/>
              </w:rPr>
              <w:t>藥名</w:t>
            </w:r>
            <w:r>
              <w:rPr>
                <w:rFonts w:ascii="Times New Roman" w:eastAsia="標楷體" w:hAnsi="Times New Roman"/>
              </w:rPr>
              <w:t>________</w:t>
            </w:r>
            <w:r>
              <w:rPr>
                <w:rFonts w:ascii="Times New Roman" w:eastAsia="標楷體" w:hAnsi="Times New Roman"/>
              </w:rPr>
              <w:t>劑量</w:t>
            </w:r>
            <w:r>
              <w:rPr>
                <w:rFonts w:ascii="Times New Roman" w:eastAsia="標楷體" w:hAnsi="Times New Roman"/>
              </w:rPr>
              <w:t>_______________</w:t>
            </w:r>
            <w:r>
              <w:rPr>
                <w:rFonts w:ascii="Times New Roman" w:eastAsia="標楷體" w:hAnsi="Times New Roman"/>
              </w:rPr>
              <w:t>使用期限</w:t>
            </w:r>
            <w:r>
              <w:rPr>
                <w:rFonts w:ascii="Times New Roman" w:eastAsia="標楷體" w:hAnsi="Times New Roman"/>
              </w:rPr>
              <w:t>___________________</w:t>
            </w:r>
          </w:p>
          <w:p w14:paraId="5B887641" w14:textId="77777777" w:rsidR="00BD776B" w:rsidRDefault="00DF0C24" w:rsidP="008A7063">
            <w:pPr>
              <w:numPr>
                <w:ilvl w:val="0"/>
                <w:numId w:val="90"/>
              </w:numPr>
              <w:tabs>
                <w:tab w:val="left" w:pos="515"/>
              </w:tabs>
              <w:snapToGrid w:val="0"/>
              <w:spacing w:line="276" w:lineRule="auto"/>
              <w:ind w:left="941" w:hanging="709"/>
            </w:pPr>
            <w:r>
              <w:rPr>
                <w:rFonts w:ascii="Times New Roman" w:eastAsia="標楷體" w:hAnsi="Times New Roman"/>
              </w:rPr>
              <w:t>活動性疾病持續四週以上。（需連續二次檢查</w:t>
            </w:r>
            <w:r>
              <w:rPr>
                <w:rFonts w:ascii="Times New Roman" w:eastAsia="標楷體" w:hAnsi="Times New Roman"/>
              </w:rPr>
              <w:t>BASDAI</w:t>
            </w:r>
            <w:r>
              <w:rPr>
                <w:rFonts w:ascii="Times New Roman" w:eastAsia="標楷體" w:hAnsi="Times New Roman"/>
              </w:rPr>
              <w:t>6</w:t>
            </w:r>
            <w:r>
              <w:rPr>
                <w:rFonts w:ascii="Times New Roman" w:eastAsia="標楷體" w:hAnsi="Times New Roman"/>
              </w:rPr>
              <w:t>、</w:t>
            </w:r>
            <w:r>
              <w:rPr>
                <w:rFonts w:ascii="Times New Roman" w:eastAsia="標楷體" w:hAnsi="Times New Roman"/>
              </w:rPr>
              <w:t>ESR&gt;28mm/1hr</w:t>
            </w:r>
            <w:r>
              <w:rPr>
                <w:rFonts w:ascii="Times New Roman" w:eastAsia="標楷體" w:hAnsi="Times New Roman"/>
              </w:rPr>
              <w:t>且</w:t>
            </w:r>
            <w:r>
              <w:rPr>
                <w:rFonts w:ascii="Times New Roman" w:eastAsia="標楷體" w:hAnsi="Times New Roman"/>
              </w:rPr>
              <w:t>CRP&gt;1mg/dL</w:t>
            </w:r>
            <w:r>
              <w:rPr>
                <w:rFonts w:ascii="Times New Roman" w:eastAsia="標楷體" w:hAnsi="Times New Roman"/>
              </w:rPr>
              <w:t>，且二次檢查之間隔需經過至少</w:t>
            </w:r>
            <w:r>
              <w:rPr>
                <w:rFonts w:ascii="Times New Roman" w:eastAsia="標楷體" w:hAnsi="Times New Roman"/>
              </w:rPr>
              <w:t>4</w:t>
            </w:r>
            <w:r>
              <w:rPr>
                <w:rFonts w:ascii="Times New Roman" w:eastAsia="標楷體" w:hAnsi="Times New Roman"/>
              </w:rPr>
              <w:t>周以上充分治療）</w:t>
            </w:r>
          </w:p>
          <w:p w14:paraId="1D2D92D4" w14:textId="77777777" w:rsidR="00BD776B" w:rsidRDefault="00DF0C24">
            <w:pPr>
              <w:snapToGrid w:val="0"/>
              <w:spacing w:line="276" w:lineRule="auto"/>
              <w:ind w:left="799" w:hanging="2"/>
            </w:pPr>
            <w:r>
              <w:rPr>
                <w:rFonts w:ascii="Times New Roman" w:eastAsia="標楷體" w:hAnsi="Times New Roman"/>
              </w:rPr>
              <w:t>評估日期</w:t>
            </w:r>
            <w:r>
              <w:rPr>
                <w:rFonts w:ascii="Times New Roman" w:eastAsia="標楷體" w:hAnsi="Times New Roman"/>
                <w:u w:val="single"/>
              </w:rPr>
              <w:t xml:space="preserve">　　</w:t>
            </w:r>
            <w:r>
              <w:rPr>
                <w:rFonts w:ascii="Times New Roman" w:eastAsia="標楷體" w:hAnsi="Times New Roman"/>
              </w:rPr>
              <w:t>年</w:t>
            </w:r>
            <w:r>
              <w:rPr>
                <w:rFonts w:ascii="Times New Roman" w:eastAsia="標楷體" w:hAnsi="Times New Roman"/>
                <w:u w:val="single"/>
              </w:rPr>
              <w:t xml:space="preserve">　　</w:t>
            </w:r>
            <w:r>
              <w:rPr>
                <w:rFonts w:ascii="Times New Roman" w:eastAsia="標楷體" w:hAnsi="Times New Roman"/>
              </w:rPr>
              <w:t>月</w:t>
            </w:r>
            <w:r>
              <w:rPr>
                <w:rFonts w:ascii="Times New Roman" w:eastAsia="標楷體" w:hAnsi="Times New Roman"/>
                <w:u w:val="single"/>
              </w:rPr>
              <w:t xml:space="preserve">　　</w:t>
            </w:r>
            <w:r>
              <w:rPr>
                <w:rFonts w:ascii="Times New Roman" w:eastAsia="標楷體" w:hAnsi="Times New Roman"/>
              </w:rPr>
              <w:t>日</w:t>
            </w:r>
            <w:r>
              <w:rPr>
                <w:rFonts w:ascii="Times New Roman" w:eastAsia="標楷體" w:hAnsi="Times New Roman"/>
                <w:u w:val="single"/>
              </w:rPr>
              <w:t xml:space="preserve">　　</w:t>
            </w:r>
            <w:r>
              <w:rPr>
                <w:rFonts w:ascii="Times New Roman" w:eastAsia="標楷體" w:hAnsi="Times New Roman"/>
              </w:rPr>
              <w:t>年</w:t>
            </w:r>
            <w:r>
              <w:rPr>
                <w:rFonts w:ascii="Times New Roman" w:eastAsia="標楷體" w:hAnsi="Times New Roman"/>
                <w:u w:val="single"/>
              </w:rPr>
              <w:t xml:space="preserve">　　</w:t>
            </w:r>
            <w:r>
              <w:rPr>
                <w:rFonts w:ascii="Times New Roman" w:eastAsia="標楷體" w:hAnsi="Times New Roman"/>
              </w:rPr>
              <w:t>月</w:t>
            </w:r>
            <w:r>
              <w:rPr>
                <w:rFonts w:ascii="Times New Roman" w:eastAsia="標楷體" w:hAnsi="Times New Roman"/>
                <w:u w:val="single"/>
              </w:rPr>
              <w:t xml:space="preserve">　　</w:t>
            </w:r>
            <w:r>
              <w:rPr>
                <w:rFonts w:ascii="Times New Roman" w:eastAsia="標楷體" w:hAnsi="Times New Roman"/>
              </w:rPr>
              <w:t>日</w:t>
            </w:r>
          </w:p>
          <w:p w14:paraId="7866821D" w14:textId="77777777" w:rsidR="00BD776B" w:rsidRDefault="00DF0C24">
            <w:pPr>
              <w:snapToGrid w:val="0"/>
              <w:spacing w:line="276" w:lineRule="auto"/>
              <w:ind w:left="799" w:hanging="2"/>
              <w:rPr>
                <w:rFonts w:ascii="Times New Roman" w:eastAsia="標楷體" w:hAnsi="Times New Roman"/>
              </w:rPr>
            </w:pPr>
            <w:r>
              <w:rPr>
                <w:rFonts w:ascii="Times New Roman" w:eastAsia="標楷體" w:hAnsi="Times New Roman"/>
              </w:rPr>
              <w:t>BASDAI</w:t>
            </w:r>
            <w:r>
              <w:rPr>
                <w:rFonts w:ascii="Times New Roman" w:eastAsia="標楷體" w:hAnsi="Times New Roman"/>
              </w:rPr>
              <w:t>分數</w:t>
            </w:r>
            <w:r>
              <w:rPr>
                <w:rFonts w:ascii="Times New Roman" w:eastAsia="標楷體" w:hAnsi="Times New Roman"/>
              </w:rPr>
              <w:t>_________________________________</w:t>
            </w:r>
          </w:p>
          <w:p w14:paraId="0F9A8E18" w14:textId="77777777" w:rsidR="00BD776B" w:rsidRDefault="00DF0C24">
            <w:pPr>
              <w:snapToGrid w:val="0"/>
              <w:spacing w:line="276" w:lineRule="auto"/>
              <w:ind w:left="799" w:hanging="2"/>
              <w:rPr>
                <w:rFonts w:ascii="Times New Roman" w:eastAsia="標楷體" w:hAnsi="Times New Roman"/>
              </w:rPr>
            </w:pPr>
            <w:r>
              <w:rPr>
                <w:rFonts w:ascii="Times New Roman" w:eastAsia="標楷體" w:hAnsi="Times New Roman"/>
              </w:rPr>
              <w:t>ESR(mm/1hr)________________________________</w:t>
            </w:r>
          </w:p>
          <w:p w14:paraId="3749F66D" w14:textId="77777777" w:rsidR="00BD776B" w:rsidRDefault="00DF0C24">
            <w:pPr>
              <w:snapToGrid w:val="0"/>
              <w:spacing w:line="276" w:lineRule="auto"/>
              <w:ind w:left="799" w:hanging="2"/>
              <w:rPr>
                <w:rFonts w:ascii="Times New Roman" w:eastAsia="標楷體" w:hAnsi="Times New Roman"/>
              </w:rPr>
            </w:pPr>
            <w:r>
              <w:rPr>
                <w:rFonts w:ascii="Times New Roman" w:eastAsia="標楷體" w:hAnsi="Times New Roman"/>
              </w:rPr>
              <w:t>CRP(mg/dL)_________________________________</w:t>
            </w:r>
          </w:p>
          <w:p w14:paraId="2B7F86EB" w14:textId="77777777" w:rsidR="00BD776B" w:rsidRDefault="00DF0C24" w:rsidP="008A7063">
            <w:pPr>
              <w:numPr>
                <w:ilvl w:val="0"/>
                <w:numId w:val="85"/>
              </w:numPr>
              <w:snapToGrid w:val="0"/>
              <w:spacing w:line="360" w:lineRule="auto"/>
            </w:pPr>
            <w:r>
              <w:rPr>
                <w:rFonts w:ascii="Times New Roman" w:eastAsia="標楷體" w:hAnsi="Times New Roman"/>
                <w:b/>
                <w:bCs/>
              </w:rPr>
              <w:t>符合</w:t>
            </w:r>
            <w:r>
              <w:rPr>
                <w:rFonts w:ascii="Times New Roman" w:eastAsia="標楷體" w:hAnsi="Times New Roman"/>
                <w:b/>
                <w:color w:val="292526"/>
              </w:rPr>
              <w:t>繼續使用之療效評估：</w:t>
            </w:r>
          </w:p>
          <w:p w14:paraId="5667BE9C" w14:textId="77777777" w:rsidR="00BD776B" w:rsidRDefault="00DF0C24" w:rsidP="008A7063">
            <w:pPr>
              <w:numPr>
                <w:ilvl w:val="0"/>
                <w:numId w:val="91"/>
              </w:numPr>
              <w:snapToGrid w:val="0"/>
              <w:spacing w:line="276" w:lineRule="auto"/>
              <w:ind w:left="657" w:hanging="297"/>
            </w:pPr>
            <w:r>
              <w:rPr>
                <w:rFonts w:ascii="Times New Roman" w:eastAsia="標楷體" w:hAnsi="Times New Roman"/>
                <w:sz w:val="26"/>
                <w:szCs w:val="26"/>
              </w:rPr>
              <w:t>初次使用者治療</w:t>
            </w:r>
            <w:r>
              <w:rPr>
                <w:rFonts w:ascii="Times New Roman" w:eastAsia="標楷體" w:hAnsi="Times New Roman"/>
                <w:kern w:val="0"/>
                <w:sz w:val="26"/>
                <w:szCs w:val="26"/>
              </w:rPr>
              <w:t>12</w:t>
            </w:r>
            <w:r>
              <w:rPr>
                <w:rFonts w:ascii="Times New Roman" w:eastAsia="標楷體" w:hAnsi="Times New Roman"/>
                <w:kern w:val="0"/>
                <w:sz w:val="26"/>
                <w:szCs w:val="26"/>
              </w:rPr>
              <w:t>週</w:t>
            </w:r>
            <w:r>
              <w:rPr>
                <w:rFonts w:ascii="Times New Roman" w:eastAsia="標楷體" w:hAnsi="Times New Roman"/>
                <w:sz w:val="26"/>
                <w:szCs w:val="26"/>
              </w:rPr>
              <w:t>評估</w:t>
            </w:r>
            <w:r>
              <w:rPr>
                <w:rFonts w:ascii="Times New Roman" w:eastAsia="標楷體" w:hAnsi="Times New Roman"/>
                <w:sz w:val="26"/>
                <w:szCs w:val="26"/>
              </w:rPr>
              <w:t>BASDAI</w:t>
            </w:r>
            <w:r>
              <w:rPr>
                <w:rFonts w:ascii="Times New Roman" w:eastAsia="標楷體" w:hAnsi="Times New Roman"/>
                <w:sz w:val="26"/>
                <w:szCs w:val="26"/>
              </w:rPr>
              <w:t>：與使用前比較，出現</w:t>
            </w:r>
            <w:r>
              <w:rPr>
                <w:rFonts w:ascii="Times New Roman" w:eastAsia="標楷體" w:hAnsi="Times New Roman"/>
                <w:sz w:val="26"/>
                <w:szCs w:val="26"/>
              </w:rPr>
              <w:t>50%</w:t>
            </w:r>
            <w:r>
              <w:rPr>
                <w:rFonts w:ascii="Times New Roman" w:eastAsia="標楷體" w:hAnsi="Times New Roman"/>
                <w:sz w:val="26"/>
                <w:szCs w:val="26"/>
              </w:rPr>
              <w:t>以上的進步或減少</w:t>
            </w:r>
            <w:r>
              <w:rPr>
                <w:rFonts w:ascii="Times New Roman" w:eastAsia="標楷體" w:hAnsi="Times New Roman"/>
                <w:sz w:val="26"/>
                <w:szCs w:val="26"/>
              </w:rPr>
              <w:t>2</w:t>
            </w:r>
            <w:r>
              <w:rPr>
                <w:rFonts w:ascii="Times New Roman" w:eastAsia="標楷體" w:hAnsi="Times New Roman"/>
                <w:sz w:val="26"/>
                <w:szCs w:val="26"/>
              </w:rPr>
              <w:t>分以上，方得繼續使用。</w:t>
            </w:r>
          </w:p>
          <w:p w14:paraId="65084D52" w14:textId="77777777" w:rsidR="00BD776B" w:rsidRDefault="00DF0C24" w:rsidP="008A7063">
            <w:pPr>
              <w:numPr>
                <w:ilvl w:val="0"/>
                <w:numId w:val="91"/>
              </w:numPr>
              <w:snapToGrid w:val="0"/>
              <w:spacing w:line="276" w:lineRule="auto"/>
              <w:ind w:left="657" w:hanging="297"/>
            </w:pPr>
            <w:r>
              <w:rPr>
                <w:rFonts w:ascii="Times New Roman" w:eastAsia="標楷體" w:hAnsi="Times New Roman"/>
                <w:sz w:val="26"/>
                <w:szCs w:val="26"/>
              </w:rPr>
              <w:t>繼續使用者，需</w:t>
            </w:r>
            <w:r>
              <w:rPr>
                <w:rFonts w:ascii="Times New Roman" w:eastAsia="標楷體" w:hAnsi="Times New Roman"/>
                <w:kern w:val="0"/>
                <w:sz w:val="26"/>
                <w:szCs w:val="26"/>
              </w:rPr>
              <w:t>每</w:t>
            </w:r>
            <w:r>
              <w:rPr>
                <w:rFonts w:ascii="Times New Roman" w:eastAsia="標楷體" w:hAnsi="Times New Roman"/>
                <w:kern w:val="0"/>
                <w:sz w:val="26"/>
                <w:szCs w:val="26"/>
              </w:rPr>
              <w:t>12</w:t>
            </w:r>
            <w:r>
              <w:rPr>
                <w:rFonts w:ascii="Times New Roman" w:eastAsia="標楷體" w:hAnsi="Times New Roman"/>
                <w:kern w:val="0"/>
                <w:sz w:val="26"/>
                <w:szCs w:val="26"/>
              </w:rPr>
              <w:t>週評估一次，再次提出申請續用</w:t>
            </w:r>
            <w:r>
              <w:rPr>
                <w:rFonts w:ascii="Times New Roman" w:eastAsia="標楷體" w:hAnsi="Times New Roman"/>
                <w:sz w:val="26"/>
                <w:szCs w:val="26"/>
              </w:rPr>
              <w:t>。</w:t>
            </w:r>
          </w:p>
          <w:p w14:paraId="0A8B3D27" w14:textId="77777777" w:rsidR="00BD776B" w:rsidRDefault="00DF0C24">
            <w:pPr>
              <w:snapToGrid w:val="0"/>
              <w:spacing w:line="276" w:lineRule="auto"/>
              <w:ind w:left="372" w:hanging="2"/>
            </w:pPr>
            <w:r>
              <w:rPr>
                <w:rFonts w:ascii="Times New Roman" w:eastAsia="標楷體" w:hAnsi="Times New Roman"/>
                <w:kern w:val="0"/>
                <w:sz w:val="26"/>
                <w:szCs w:val="26"/>
              </w:rPr>
              <w:t>申請續用者</w:t>
            </w:r>
            <w:r>
              <w:rPr>
                <w:rFonts w:ascii="Times New Roman" w:eastAsia="標楷體" w:hAnsi="Times New Roman"/>
                <w:sz w:val="26"/>
                <w:szCs w:val="26"/>
              </w:rPr>
              <w:t>，</w:t>
            </w:r>
            <w:r>
              <w:rPr>
                <w:rFonts w:ascii="Times New Roman" w:eastAsia="標楷體" w:hAnsi="Times New Roman"/>
                <w:kern w:val="0"/>
                <w:sz w:val="26"/>
                <w:szCs w:val="26"/>
              </w:rPr>
              <w:t>請填寫初次</w:t>
            </w:r>
            <w:r>
              <w:rPr>
                <w:rFonts w:ascii="Times New Roman" w:eastAsia="標楷體" w:hAnsi="Times New Roman"/>
                <w:sz w:val="26"/>
                <w:szCs w:val="26"/>
              </w:rPr>
              <w:t>使用</w:t>
            </w:r>
            <w:r>
              <w:rPr>
                <w:rFonts w:eastAsia="標楷體"/>
                <w:bCs/>
                <w:sz w:val="26"/>
                <w:szCs w:val="26"/>
              </w:rPr>
              <w:t>治療藥名</w:t>
            </w:r>
            <w:r>
              <w:rPr>
                <w:rFonts w:eastAsia="標楷體"/>
                <w:bCs/>
                <w:sz w:val="26"/>
                <w:szCs w:val="26"/>
                <w:u w:val="single"/>
              </w:rPr>
              <w:t>____________</w:t>
            </w:r>
            <w:r>
              <w:rPr>
                <w:rFonts w:ascii="Times New Roman" w:eastAsia="標楷體" w:hAnsi="Times New Roman"/>
                <w:sz w:val="26"/>
                <w:szCs w:val="26"/>
              </w:rPr>
              <w:t>前之</w:t>
            </w:r>
            <w:r>
              <w:rPr>
                <w:rFonts w:ascii="Times New Roman" w:eastAsia="標楷體" w:hAnsi="Times New Roman"/>
                <w:sz w:val="26"/>
                <w:szCs w:val="26"/>
              </w:rPr>
              <w:t>BASDAI</w:t>
            </w:r>
            <w:r>
              <w:rPr>
                <w:rFonts w:ascii="Times New Roman" w:eastAsia="標楷體" w:hAnsi="Times New Roman"/>
                <w:sz w:val="26"/>
                <w:szCs w:val="26"/>
              </w:rPr>
              <w:t>分數</w:t>
            </w:r>
            <w:r>
              <w:rPr>
                <w:rFonts w:ascii="Times New Roman" w:eastAsia="標楷體" w:hAnsi="Times New Roman"/>
                <w:sz w:val="26"/>
                <w:szCs w:val="26"/>
              </w:rPr>
              <w:t>BASDAI</w:t>
            </w:r>
            <w:r>
              <w:rPr>
                <w:rFonts w:ascii="Times New Roman" w:eastAsia="標楷體" w:hAnsi="Times New Roman"/>
                <w:sz w:val="26"/>
                <w:szCs w:val="26"/>
              </w:rPr>
              <w:t>分數：</w:t>
            </w:r>
            <w:r>
              <w:rPr>
                <w:rFonts w:ascii="Times New Roman" w:eastAsia="標楷體" w:hAnsi="Times New Roman"/>
                <w:sz w:val="26"/>
                <w:szCs w:val="26"/>
              </w:rPr>
              <w:t>_______(</w:t>
            </w:r>
            <w:r>
              <w:rPr>
                <w:rFonts w:ascii="Times New Roman" w:eastAsia="標楷體" w:hAnsi="Times New Roman"/>
                <w:sz w:val="26"/>
                <w:szCs w:val="26"/>
              </w:rPr>
              <w:t>評估日期：</w:t>
            </w:r>
            <w:r>
              <w:rPr>
                <w:rFonts w:ascii="Times New Roman" w:eastAsia="標楷體" w:hAnsi="Times New Roman"/>
                <w:sz w:val="26"/>
                <w:szCs w:val="26"/>
                <w:u w:val="single"/>
              </w:rPr>
              <w:t xml:space="preserve">　　</w:t>
            </w:r>
            <w:r>
              <w:rPr>
                <w:rFonts w:ascii="Times New Roman" w:eastAsia="標楷體" w:hAnsi="Times New Roman"/>
                <w:sz w:val="26"/>
                <w:szCs w:val="26"/>
              </w:rPr>
              <w:t>年</w:t>
            </w:r>
            <w:r>
              <w:rPr>
                <w:rFonts w:ascii="Times New Roman" w:eastAsia="標楷體" w:hAnsi="Times New Roman"/>
                <w:sz w:val="26"/>
                <w:szCs w:val="26"/>
                <w:u w:val="single"/>
              </w:rPr>
              <w:t xml:space="preserve">　　</w:t>
            </w:r>
            <w:r>
              <w:rPr>
                <w:rFonts w:ascii="Times New Roman" w:eastAsia="標楷體" w:hAnsi="Times New Roman"/>
                <w:sz w:val="26"/>
                <w:szCs w:val="26"/>
              </w:rPr>
              <w:t>月</w:t>
            </w:r>
            <w:r>
              <w:rPr>
                <w:rFonts w:ascii="Times New Roman" w:eastAsia="標楷體" w:hAnsi="Times New Roman"/>
                <w:sz w:val="26"/>
                <w:szCs w:val="26"/>
                <w:u w:val="single"/>
              </w:rPr>
              <w:t xml:space="preserve">　　</w:t>
            </w:r>
            <w:r>
              <w:rPr>
                <w:rFonts w:ascii="Times New Roman" w:eastAsia="標楷體" w:hAnsi="Times New Roman"/>
                <w:sz w:val="26"/>
                <w:szCs w:val="26"/>
              </w:rPr>
              <w:t>日</w:t>
            </w:r>
            <w:r>
              <w:rPr>
                <w:rFonts w:ascii="Times New Roman" w:eastAsia="標楷體" w:hAnsi="Times New Roman"/>
                <w:sz w:val="26"/>
                <w:szCs w:val="26"/>
              </w:rPr>
              <w:t>)</w:t>
            </w:r>
          </w:p>
        </w:tc>
      </w:tr>
    </w:tbl>
    <w:p w14:paraId="45AF68D5" w14:textId="77777777" w:rsidR="00BD776B" w:rsidRDefault="00BD776B">
      <w:pPr>
        <w:snapToGrid w:val="0"/>
        <w:spacing w:line="380" w:lineRule="exact"/>
        <w:ind w:left="-628" w:right="-704"/>
        <w:jc w:val="center"/>
        <w:rPr>
          <w:rFonts w:ascii="標楷體" w:eastAsia="標楷體" w:hAnsi="標楷體"/>
          <w:sz w:val="28"/>
          <w:szCs w:val="28"/>
        </w:rPr>
      </w:pPr>
    </w:p>
    <w:p w14:paraId="75558ABE" w14:textId="77777777" w:rsidR="00BD776B" w:rsidRDefault="00BD776B">
      <w:pPr>
        <w:snapToGrid w:val="0"/>
        <w:spacing w:line="380" w:lineRule="exact"/>
        <w:ind w:left="-628" w:right="-704"/>
        <w:jc w:val="center"/>
        <w:rPr>
          <w:rFonts w:ascii="標楷體" w:eastAsia="標楷體" w:hAnsi="標楷體"/>
          <w:szCs w:val="24"/>
        </w:rPr>
      </w:pPr>
    </w:p>
    <w:p w14:paraId="6DB89348" w14:textId="77777777" w:rsidR="00BD776B" w:rsidRDefault="00BD776B">
      <w:pPr>
        <w:snapToGrid w:val="0"/>
        <w:spacing w:line="380" w:lineRule="exact"/>
        <w:ind w:left="-628" w:right="-704"/>
        <w:jc w:val="center"/>
        <w:rPr>
          <w:rFonts w:ascii="標楷體" w:eastAsia="標楷體" w:hAnsi="標楷體"/>
          <w:szCs w:val="24"/>
        </w:rPr>
      </w:pPr>
    </w:p>
    <w:p w14:paraId="5CF71F86" w14:textId="77777777" w:rsidR="00BD776B" w:rsidRDefault="00BD776B">
      <w:pPr>
        <w:pageBreakBefore/>
        <w:widowControl/>
        <w:suppressAutoHyphens w:val="0"/>
        <w:rPr>
          <w:rFonts w:ascii="標楷體" w:eastAsia="標楷體" w:hAnsi="標楷體"/>
          <w:sz w:val="28"/>
          <w:szCs w:val="28"/>
        </w:rPr>
      </w:pPr>
    </w:p>
    <w:p w14:paraId="0F8146F4" w14:textId="77777777" w:rsidR="00BD776B" w:rsidRDefault="00DF0C24">
      <w:pPr>
        <w:snapToGrid w:val="0"/>
        <w:spacing w:line="380" w:lineRule="exact"/>
        <w:ind w:left="-628" w:right="-352" w:firstLine="283"/>
        <w:jc w:val="center"/>
      </w:pPr>
      <w:r>
        <w:rPr>
          <w:rFonts w:ascii="標楷體" w:eastAsia="標楷體" w:hAnsi="標楷體"/>
          <w:sz w:val="28"/>
          <w:szCs w:val="28"/>
        </w:rPr>
        <w:t>附表二十二之四：全民健康保險乾癬性脊椎病變使用生物製劑申請表(第二頁)</w:t>
      </w:r>
    </w:p>
    <w:tbl>
      <w:tblPr>
        <w:tblW w:w="9536" w:type="dxa"/>
        <w:tblInd w:w="12" w:type="dxa"/>
        <w:tblCellMar>
          <w:left w:w="10" w:type="dxa"/>
          <w:right w:w="10" w:type="dxa"/>
        </w:tblCellMar>
        <w:tblLook w:val="0000" w:firstRow="0" w:lastRow="0" w:firstColumn="0" w:lastColumn="0" w:noHBand="0" w:noVBand="0"/>
      </w:tblPr>
      <w:tblGrid>
        <w:gridCol w:w="656"/>
        <w:gridCol w:w="1320"/>
        <w:gridCol w:w="4080"/>
        <w:gridCol w:w="3480"/>
      </w:tblGrid>
      <w:tr w:rsidR="00BD776B" w14:paraId="21B8EC08" w14:textId="77777777">
        <w:trPr>
          <w:cantSplit/>
          <w:trHeight w:val="281"/>
        </w:trPr>
        <w:tc>
          <w:tcPr>
            <w:tcW w:w="9536" w:type="dxa"/>
            <w:gridSpan w:val="4"/>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6D8BA800" w14:textId="77777777" w:rsidR="00BD776B" w:rsidRDefault="00DF0C24">
            <w:pPr>
              <w:snapToGrid w:val="0"/>
              <w:spacing w:before="180" w:line="360" w:lineRule="auto"/>
              <w:ind w:left="120"/>
            </w:pPr>
            <w:r>
              <w:rPr>
                <w:rFonts w:ascii="Webdings" w:eastAsia="Webdings" w:hAnsi="Webdings" w:cs="Webdings"/>
                <w:color w:val="000000"/>
              </w:rPr>
              <w:t></w:t>
            </w:r>
            <w:r>
              <w:rPr>
                <w:rFonts w:ascii="標楷體" w:eastAsia="標楷體" w:hAnsi="標楷體"/>
                <w:b/>
              </w:rPr>
              <w:t xml:space="preserve"> 無「需排除或停止生物製劑使用之情形」</w:t>
            </w:r>
          </w:p>
        </w:tc>
      </w:tr>
      <w:tr w:rsidR="00BD776B" w14:paraId="6F754FB1"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E43B543"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8DBAB0"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563FA24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240EA9C" w14:textId="77777777" w:rsidR="00BD776B" w:rsidRDefault="00DF0C24">
            <w:pPr>
              <w:snapToGrid w:val="0"/>
              <w:textAlignment w:val="center"/>
            </w:pPr>
            <w:r>
              <w:rPr>
                <w:rFonts w:ascii="標楷體" w:eastAsia="標楷體" w:hAnsi="標楷體"/>
              </w:rPr>
              <w:t>是否有藥名_____________仿單記載之禁忌情形。</w:t>
            </w:r>
          </w:p>
        </w:tc>
      </w:tr>
      <w:tr w:rsidR="00BD776B" w14:paraId="79AD2F08"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27F1E29"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B4AAE3"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6B0CB5CF"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1A7B3E4" w14:textId="77777777" w:rsidR="00BD776B" w:rsidRDefault="00DF0C24">
            <w:pPr>
              <w:snapToGrid w:val="0"/>
              <w:textAlignment w:val="center"/>
              <w:rPr>
                <w:rFonts w:ascii="標楷體" w:eastAsia="標楷體" w:hAnsi="標楷體"/>
              </w:rPr>
            </w:pPr>
            <w:r>
              <w:rPr>
                <w:rFonts w:ascii="標楷體" w:eastAsia="標楷體" w:hAnsi="標楷體"/>
              </w:rPr>
              <w:t>婦女是否正在懷孕或授乳。</w:t>
            </w:r>
          </w:p>
        </w:tc>
      </w:tr>
      <w:tr w:rsidR="00BD776B" w14:paraId="7385124C"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3F233C1"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B831AD"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1E56AD6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E468C66" w14:textId="77777777" w:rsidR="00BD776B" w:rsidRDefault="00DF0C24">
            <w:pPr>
              <w:snapToGrid w:val="0"/>
              <w:textAlignment w:val="center"/>
            </w:pPr>
            <w:r>
              <w:rPr>
                <w:rFonts w:ascii="標楷體" w:eastAsia="標楷體" w:hAnsi="標楷體"/>
              </w:rPr>
              <w:t>病患是否罹患活動性感染之疾病</w:t>
            </w:r>
            <w:r>
              <w:rPr>
                <w:rFonts w:ascii="標楷體" w:eastAsia="標楷體" w:hAnsi="標楷體"/>
                <w:bCs/>
              </w:rPr>
              <w:t>或有Ｂ肝、Ｃ肝活動性感染或結核病</w:t>
            </w:r>
            <w:r>
              <w:rPr>
                <w:rFonts w:ascii="標楷體" w:eastAsia="標楷體" w:hAnsi="標楷體"/>
              </w:rPr>
              <w:t>。</w:t>
            </w:r>
          </w:p>
        </w:tc>
      </w:tr>
      <w:tr w:rsidR="00BD776B" w14:paraId="36763708"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31BE784"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8DA12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046CF63F"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32F79AB" w14:textId="77777777" w:rsidR="00BD776B" w:rsidRDefault="00DF0C24">
            <w:pPr>
              <w:snapToGrid w:val="0"/>
              <w:textAlignment w:val="center"/>
              <w:rPr>
                <w:rFonts w:ascii="標楷體" w:eastAsia="標楷體" w:hAnsi="標楷體"/>
              </w:rPr>
            </w:pPr>
            <w:r>
              <w:rPr>
                <w:rFonts w:ascii="標楷體" w:eastAsia="標楷體" w:hAnsi="標楷體"/>
              </w:rPr>
              <w:t>病患是否具有高度感染機會之情形，其中包括：</w:t>
            </w:r>
          </w:p>
          <w:p w14:paraId="2F5B8A76" w14:textId="77777777" w:rsidR="00BD776B" w:rsidRDefault="00DF0C24">
            <w:pPr>
              <w:snapToGrid w:val="0"/>
              <w:textAlignment w:val="center"/>
              <w:rPr>
                <w:rFonts w:ascii="標楷體" w:eastAsia="標楷體" w:hAnsi="標楷體"/>
              </w:rPr>
            </w:pPr>
            <w:r>
              <w:rPr>
                <w:rFonts w:ascii="標楷體" w:eastAsia="標楷體" w:hAnsi="標楷體"/>
              </w:rPr>
              <w:t>1.慢性腿部潰瘍。</w:t>
            </w:r>
          </w:p>
          <w:p w14:paraId="65DB9593" w14:textId="77777777" w:rsidR="00BD776B" w:rsidRDefault="00DF0C24">
            <w:pPr>
              <w:snapToGrid w:val="0"/>
              <w:ind w:left="290" w:hanging="290"/>
              <w:textAlignment w:val="center"/>
              <w:rPr>
                <w:rFonts w:ascii="標楷體" w:eastAsia="標楷體" w:hAnsi="標楷體"/>
              </w:rPr>
            </w:pPr>
            <w:r>
              <w:rPr>
                <w:rFonts w:ascii="標楷體" w:eastAsia="標楷體" w:hAnsi="標楷體"/>
              </w:rPr>
              <w:t>2.未經完整治療之結核病的病患（包括潛伏結核感染治療未達四週者，申請時應檢附潛伏結核感染篩檢紀錄及治療紀錄供審查）。</w:t>
            </w:r>
          </w:p>
          <w:p w14:paraId="340617E6" w14:textId="77777777" w:rsidR="00BD776B" w:rsidRDefault="00DF0C24">
            <w:pPr>
              <w:snapToGrid w:val="0"/>
              <w:ind w:left="240" w:hanging="240"/>
              <w:textAlignment w:val="center"/>
              <w:rPr>
                <w:rFonts w:ascii="標楷體" w:eastAsia="標楷體" w:hAnsi="標楷體"/>
              </w:rPr>
            </w:pPr>
            <w:r>
              <w:rPr>
                <w:rFonts w:ascii="標楷體" w:eastAsia="標楷體" w:hAnsi="標楷體"/>
              </w:rPr>
              <w:t>3.過去12個月內曾罹患感染性關節炎者。</w:t>
            </w:r>
          </w:p>
          <w:p w14:paraId="68CF90D1" w14:textId="77777777" w:rsidR="00BD776B" w:rsidRDefault="00DF0C24">
            <w:pPr>
              <w:snapToGrid w:val="0"/>
              <w:ind w:left="240" w:hanging="240"/>
              <w:textAlignment w:val="center"/>
            </w:pPr>
            <w:r>
              <w:rPr>
                <w:rFonts w:ascii="標楷體" w:eastAsia="標楷體" w:hAnsi="標楷體"/>
              </w:rPr>
              <w:t>4.曾有</w:t>
            </w:r>
            <w:r>
              <w:rPr>
                <w:rFonts w:ascii="標楷體" w:eastAsia="標楷體" w:hAnsi="標楷體"/>
                <w:bCs/>
              </w:rPr>
              <w:t>人工關節感染，若該人工關節未去除前，不可使用。</w:t>
            </w:r>
          </w:p>
          <w:p w14:paraId="7DF39FF4" w14:textId="77777777" w:rsidR="00BD776B" w:rsidRDefault="00DF0C24">
            <w:pPr>
              <w:snapToGrid w:val="0"/>
              <w:ind w:left="240" w:hanging="240"/>
              <w:textAlignment w:val="center"/>
              <w:rPr>
                <w:rFonts w:ascii="標楷體" w:eastAsia="標楷體" w:hAnsi="標楷體"/>
              </w:rPr>
            </w:pPr>
            <w:r>
              <w:rPr>
                <w:rFonts w:ascii="標楷體" w:eastAsia="標楷體" w:hAnsi="標楷體"/>
              </w:rPr>
              <w:t>5.頑固性或復發性的胸腔感染疾病。</w:t>
            </w:r>
          </w:p>
          <w:p w14:paraId="064C416A" w14:textId="77777777" w:rsidR="00BD776B" w:rsidRDefault="00DF0C24">
            <w:pPr>
              <w:snapToGrid w:val="0"/>
              <w:ind w:left="240" w:hanging="240"/>
              <w:textAlignment w:val="center"/>
              <w:rPr>
                <w:rFonts w:ascii="標楷體" w:eastAsia="標楷體" w:hAnsi="標楷體"/>
              </w:rPr>
            </w:pPr>
            <w:r>
              <w:rPr>
                <w:rFonts w:ascii="標楷體" w:eastAsia="標楷體" w:hAnsi="標楷體"/>
              </w:rPr>
              <w:t>6.具有留置導尿管之情形。</w:t>
            </w:r>
          </w:p>
        </w:tc>
      </w:tr>
      <w:tr w:rsidR="00BD776B" w14:paraId="6D5ABF23"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029F83C"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24F6D5"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461E058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8C7A03B" w14:textId="77777777" w:rsidR="00BD776B" w:rsidRDefault="00DF0C24">
            <w:pPr>
              <w:snapToGrid w:val="0"/>
              <w:textAlignment w:val="center"/>
              <w:rPr>
                <w:rFonts w:ascii="標楷體" w:eastAsia="標楷體" w:hAnsi="標楷體"/>
              </w:rPr>
            </w:pPr>
            <w:r>
              <w:rPr>
                <w:rFonts w:ascii="標楷體" w:eastAsia="標楷體" w:hAnsi="標楷體"/>
              </w:rPr>
              <w:t>病患是否罹患惡性腫瘤或癌前狀態之腫瘤</w:t>
            </w:r>
          </w:p>
        </w:tc>
      </w:tr>
      <w:tr w:rsidR="00BD776B" w14:paraId="5F07E6F3" w14:textId="77777777">
        <w:trPr>
          <w:cantSplit/>
          <w:trHeight w:val="400"/>
        </w:trPr>
        <w:tc>
          <w:tcPr>
            <w:tcW w:w="65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D639B66"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4D714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130030E7"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960BB8E" w14:textId="77777777" w:rsidR="00BD776B" w:rsidRDefault="00DF0C24">
            <w:pPr>
              <w:snapToGrid w:val="0"/>
              <w:textAlignment w:val="center"/>
            </w:pPr>
            <w:r>
              <w:rPr>
                <w:rFonts w:ascii="標楷體" w:eastAsia="標楷體" w:hAnsi="標楷體"/>
              </w:rPr>
              <w:t>病患是否罹患</w:t>
            </w:r>
            <w:r>
              <w:rPr>
                <w:rFonts w:ascii="標楷體" w:eastAsia="標楷體" w:hAnsi="標楷體"/>
                <w:bCs/>
              </w:rPr>
              <w:t>狼瘡或</w:t>
            </w:r>
            <w:r>
              <w:rPr>
                <w:rFonts w:ascii="標楷體" w:eastAsia="標楷體" w:hAnsi="標楷體"/>
              </w:rPr>
              <w:t>多發性硬化症(multiplesclerosis)</w:t>
            </w:r>
          </w:p>
        </w:tc>
      </w:tr>
      <w:tr w:rsidR="00BD776B" w14:paraId="5385B54D" w14:textId="77777777">
        <w:trPr>
          <w:cantSplit/>
          <w:trHeight w:val="400"/>
        </w:trPr>
        <w:tc>
          <w:tcPr>
            <w:tcW w:w="656"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4D33EEDA" w14:textId="77777777" w:rsidR="00BD776B" w:rsidRDefault="00BD776B">
            <w:pPr>
              <w:snapToGrid w:val="0"/>
              <w:textAlignment w:val="center"/>
              <w:rPr>
                <w:rFonts w:ascii="標楷體" w:eastAsia="標楷體" w:hAnsi="標楷體"/>
              </w:rPr>
            </w:pPr>
          </w:p>
        </w:tc>
        <w:tc>
          <w:tcPr>
            <w:tcW w:w="132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5C5EF903"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4283BD6F"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60"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530720E4" w14:textId="77777777" w:rsidR="00BD776B" w:rsidRDefault="00DF0C24">
            <w:pPr>
              <w:snapToGrid w:val="0"/>
              <w:textAlignment w:val="center"/>
            </w:pPr>
            <w:r>
              <w:rPr>
                <w:rFonts w:ascii="標楷體" w:eastAsia="標楷體" w:hAnsi="標楷體"/>
              </w:rPr>
              <w:t>使用藥名_____________發生懷孕或不良事件(包括：惡性腫瘤、該藥物引起的嚴重毒性、嚴重的感染性疾病)</w:t>
            </w:r>
          </w:p>
        </w:tc>
      </w:tr>
      <w:tr w:rsidR="00BD776B" w14:paraId="317E0223" w14:textId="77777777">
        <w:trPr>
          <w:cantSplit/>
          <w:trHeight w:val="1048"/>
        </w:trPr>
        <w:tc>
          <w:tcPr>
            <w:tcW w:w="6056" w:type="dxa"/>
            <w:gridSpan w:val="3"/>
            <w:shd w:val="clear" w:color="auto" w:fill="auto"/>
            <w:tcMar>
              <w:top w:w="0" w:type="dxa"/>
              <w:left w:w="28" w:type="dxa"/>
              <w:bottom w:w="0" w:type="dxa"/>
              <w:right w:w="28" w:type="dxa"/>
            </w:tcMar>
          </w:tcPr>
          <w:p w14:paraId="4B892915" w14:textId="77777777" w:rsidR="00BD776B" w:rsidRDefault="00BD776B">
            <w:pPr>
              <w:snapToGrid w:val="0"/>
              <w:textAlignment w:val="center"/>
              <w:rPr>
                <w:rFonts w:ascii="標楷體" w:eastAsia="標楷體" w:hAnsi="標楷體"/>
              </w:rPr>
            </w:pPr>
          </w:p>
          <w:p w14:paraId="67F9E9DC" w14:textId="77777777" w:rsidR="00BD776B" w:rsidRDefault="00BD776B">
            <w:pPr>
              <w:snapToGrid w:val="0"/>
              <w:textAlignment w:val="center"/>
              <w:rPr>
                <w:rFonts w:ascii="標楷體" w:eastAsia="標楷體" w:hAnsi="標楷體"/>
              </w:rPr>
            </w:pPr>
          </w:p>
          <w:p w14:paraId="798D97F3" w14:textId="77777777" w:rsidR="00BD776B" w:rsidRDefault="00DF0C24">
            <w:pPr>
              <w:snapToGrid w:val="0"/>
              <w:textAlignment w:val="center"/>
            </w:pPr>
            <w:r>
              <w:rPr>
                <w:rFonts w:ascii="標楷體" w:eastAsia="標楷體" w:hAnsi="標楷體"/>
              </w:rPr>
              <w:t>申請醫師（簽名蓋章）：</w:t>
            </w:r>
            <w:r>
              <w:rPr>
                <w:rFonts w:ascii="標楷體" w:eastAsia="標楷體" w:hAnsi="標楷體"/>
                <w:u w:val="single"/>
              </w:rPr>
              <w:t xml:space="preserve">　　　　　　　</w:t>
            </w:r>
          </w:p>
          <w:p w14:paraId="480B4F38" w14:textId="77777777" w:rsidR="00BD776B" w:rsidRDefault="00DF0C24">
            <w:pPr>
              <w:snapToGrid w:val="0"/>
              <w:textAlignment w:val="center"/>
            </w:pPr>
            <w:r>
              <w:rPr>
                <w:rFonts w:ascii="標楷體" w:eastAsia="標楷體" w:hAnsi="標楷體"/>
              </w:rPr>
              <w:t>內科專科醫師證書：內專字第</w:t>
            </w:r>
            <w:r>
              <w:rPr>
                <w:rFonts w:ascii="標楷體" w:eastAsia="標楷體" w:hAnsi="標楷體"/>
                <w:u w:val="single"/>
              </w:rPr>
              <w:t xml:space="preserve">　　　　　</w:t>
            </w:r>
            <w:r>
              <w:rPr>
                <w:rFonts w:ascii="標楷體" w:eastAsia="標楷體" w:hAnsi="標楷體"/>
              </w:rPr>
              <w:t>號</w:t>
            </w:r>
          </w:p>
          <w:p w14:paraId="74EB009D" w14:textId="77777777" w:rsidR="00BD776B" w:rsidRDefault="00DF0C24">
            <w:pPr>
              <w:tabs>
                <w:tab w:val="left" w:pos="2912"/>
              </w:tabs>
              <w:snapToGrid w:val="0"/>
              <w:textAlignment w:val="center"/>
            </w:pPr>
            <w:r>
              <w:rPr>
                <w:rFonts w:ascii="標楷體" w:eastAsia="標楷體" w:hAnsi="標楷體"/>
              </w:rPr>
              <w:t>風濕病專科醫師證書：中僂字第</w:t>
            </w:r>
            <w:r>
              <w:rPr>
                <w:rFonts w:ascii="標楷體" w:eastAsia="標楷體" w:hAnsi="標楷體"/>
                <w:u w:val="single"/>
              </w:rPr>
              <w:t xml:space="preserve">　　　　　　</w:t>
            </w:r>
            <w:r>
              <w:rPr>
                <w:rFonts w:ascii="標楷體" w:eastAsia="標楷體" w:hAnsi="標楷體"/>
              </w:rPr>
              <w:t>號</w:t>
            </w:r>
          </w:p>
          <w:p w14:paraId="76838F1A" w14:textId="77777777" w:rsidR="00BD776B" w:rsidRDefault="00DF0C24">
            <w:pPr>
              <w:tabs>
                <w:tab w:val="left" w:pos="2912"/>
              </w:tabs>
              <w:snapToGrid w:val="0"/>
              <w:textAlignment w:val="center"/>
            </w:pPr>
            <w:r>
              <w:rPr>
                <w:rFonts w:ascii="標楷體" w:eastAsia="標楷體" w:hAnsi="標楷體"/>
              </w:rPr>
              <w:t>免疫專科醫師證書：中免專字第</w:t>
            </w:r>
            <w:r>
              <w:rPr>
                <w:rFonts w:ascii="標楷體" w:eastAsia="標楷體" w:hAnsi="標楷體"/>
                <w:u w:val="single"/>
              </w:rPr>
              <w:t xml:space="preserve">　　　　　　</w:t>
            </w:r>
            <w:r>
              <w:rPr>
                <w:rFonts w:ascii="標楷體" w:eastAsia="標楷體" w:hAnsi="標楷體"/>
              </w:rPr>
              <w:t>號</w:t>
            </w:r>
          </w:p>
        </w:tc>
        <w:tc>
          <w:tcPr>
            <w:tcW w:w="3480" w:type="dxa"/>
            <w:shd w:val="clear" w:color="auto" w:fill="auto"/>
            <w:tcMar>
              <w:top w:w="0" w:type="dxa"/>
              <w:left w:w="28" w:type="dxa"/>
              <w:bottom w:w="0" w:type="dxa"/>
              <w:right w:w="28" w:type="dxa"/>
            </w:tcMar>
          </w:tcPr>
          <w:p w14:paraId="3015D341" w14:textId="77777777" w:rsidR="00BD776B" w:rsidRDefault="00BD776B">
            <w:pPr>
              <w:snapToGrid w:val="0"/>
              <w:textAlignment w:val="center"/>
              <w:rPr>
                <w:rFonts w:ascii="標楷體" w:eastAsia="標楷體" w:hAnsi="標楷體"/>
              </w:rPr>
            </w:pPr>
          </w:p>
          <w:p w14:paraId="5056335D" w14:textId="77777777" w:rsidR="00BD776B" w:rsidRDefault="00BD776B">
            <w:pPr>
              <w:snapToGrid w:val="0"/>
              <w:textAlignment w:val="center"/>
              <w:rPr>
                <w:rFonts w:ascii="標楷體" w:eastAsia="標楷體" w:hAnsi="標楷體"/>
              </w:rPr>
            </w:pPr>
          </w:p>
          <w:p w14:paraId="15FD4CF5" w14:textId="77777777" w:rsidR="00BD776B" w:rsidRDefault="00DF0C24">
            <w:pPr>
              <w:snapToGrid w:val="0"/>
              <w:textAlignment w:val="center"/>
              <w:rPr>
                <w:rFonts w:ascii="標楷體" w:eastAsia="標楷體" w:hAnsi="標楷體"/>
              </w:rPr>
            </w:pPr>
            <w:r>
              <w:rPr>
                <w:rFonts w:ascii="標楷體" w:eastAsia="標楷體" w:hAnsi="標楷體"/>
              </w:rPr>
              <w:t>醫事機構章戳：</w:t>
            </w:r>
          </w:p>
        </w:tc>
      </w:tr>
    </w:tbl>
    <w:p w14:paraId="4A24B5DB" w14:textId="77777777" w:rsidR="00BD776B" w:rsidRDefault="00BD776B">
      <w:pPr>
        <w:snapToGrid w:val="0"/>
        <w:rPr>
          <w:rFonts w:ascii="標楷體" w:eastAsia="標楷體" w:hAnsi="標楷體"/>
        </w:rPr>
      </w:pPr>
    </w:p>
    <w:p w14:paraId="7D6174C9" w14:textId="77777777" w:rsidR="00BD776B" w:rsidRDefault="00DF0C24">
      <w:pPr>
        <w:pageBreakBefore/>
        <w:snapToGrid w:val="0"/>
      </w:pPr>
      <w:r>
        <w:rPr>
          <w:rFonts w:ascii="標楷體" w:eastAsia="標楷體" w:hAnsi="標楷體"/>
          <w:bCs/>
          <w:color w:val="000000"/>
          <w:sz w:val="28"/>
          <w:szCs w:val="28"/>
        </w:rPr>
        <w:lastRenderedPageBreak/>
        <w:t>附表二十二之五：NSAID藥物副作用</w:t>
      </w:r>
    </w:p>
    <w:p w14:paraId="1ECA483F" w14:textId="77777777" w:rsidR="00BD776B" w:rsidRDefault="00DF0C24">
      <w:pPr>
        <w:autoSpaceDE w:val="0"/>
        <w:snapToGrid w:val="0"/>
      </w:pPr>
      <w:r>
        <w:rPr>
          <w:rFonts w:ascii="標楷體" w:eastAsia="標楷體" w:hAnsi="標楷體" w:cs="Arial"/>
          <w:kern w:val="0"/>
        </w:rPr>
        <w:t>準備使用TNF</w:t>
      </w:r>
      <w:r>
        <w:rPr>
          <w:rFonts w:ascii="標楷體" w:eastAsia="標楷體" w:hAnsi="標楷體" w:cs="Symbol"/>
          <w:kern w:val="0"/>
        </w:rPr>
        <w:t></w:t>
      </w:r>
      <w:r>
        <w:rPr>
          <w:rFonts w:ascii="標楷體" w:eastAsia="標楷體" w:hAnsi="標楷體" w:cs="Arial"/>
          <w:kern w:val="0"/>
        </w:rPr>
        <w:t>拮抗劑治療僵直性脊椎炎與乾癬性關節炎時的非類固醇類消炎止痛劑(NSAIDs)毒性標準及嚴重度說明</w:t>
      </w:r>
    </w:p>
    <w:p w14:paraId="51424ADD" w14:textId="77777777" w:rsidR="00BD776B" w:rsidRDefault="00BD776B">
      <w:pPr>
        <w:snapToGrid w:val="0"/>
        <w:rPr>
          <w:rFonts w:ascii="標楷體" w:eastAsia="標楷體" w:hAnsi="標楷體" w:cs="Arial"/>
        </w:rPr>
      </w:pPr>
    </w:p>
    <w:p w14:paraId="773EE00A" w14:textId="77777777" w:rsidR="00BD776B" w:rsidRDefault="00DF0C24">
      <w:pPr>
        <w:snapToGrid w:val="0"/>
        <w:jc w:val="center"/>
      </w:pPr>
      <w:r>
        <w:rPr>
          <w:rFonts w:ascii="標楷體" w:eastAsia="標楷體" w:hAnsi="標楷體" w:cs="Arial"/>
          <w:b/>
          <w:bCs/>
          <w:kern w:val="0"/>
        </w:rPr>
        <w:t>ULN=正常值上限</w:t>
      </w:r>
      <w:r>
        <w:rPr>
          <w:rFonts w:ascii="標楷體" w:eastAsia="標楷體" w:hAnsi="標楷體" w:cs="Arial"/>
          <w:b/>
          <w:bCs/>
          <w:kern w:val="0"/>
        </w:rPr>
        <w:tab/>
      </w:r>
      <w:r>
        <w:rPr>
          <w:rFonts w:ascii="標楷體" w:eastAsia="標楷體" w:hAnsi="標楷體" w:cs="Arial"/>
          <w:b/>
          <w:bCs/>
          <w:kern w:val="0"/>
        </w:rPr>
        <w:tab/>
        <w:t>LLN=正常值下限</w:t>
      </w:r>
    </w:p>
    <w:tbl>
      <w:tblPr>
        <w:tblW w:w="9564" w:type="dxa"/>
        <w:tblCellMar>
          <w:left w:w="10" w:type="dxa"/>
          <w:right w:w="10" w:type="dxa"/>
        </w:tblCellMar>
        <w:tblLook w:val="0000" w:firstRow="0" w:lastRow="0" w:firstColumn="0" w:lastColumn="0" w:noHBand="0" w:noVBand="0"/>
      </w:tblPr>
      <w:tblGrid>
        <w:gridCol w:w="2140"/>
        <w:gridCol w:w="6086"/>
        <w:gridCol w:w="1338"/>
      </w:tblGrid>
      <w:tr w:rsidR="00BD776B" w14:paraId="125022DE" w14:textId="77777777">
        <w:trPr>
          <w:trHeight w:val="515"/>
        </w:trPr>
        <w:tc>
          <w:tcPr>
            <w:tcW w:w="2140"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vAlign w:val="center"/>
          </w:tcPr>
          <w:p w14:paraId="4225E515" w14:textId="77777777" w:rsidR="00BD776B" w:rsidRDefault="00DF0C24">
            <w:pPr>
              <w:snapToGrid w:val="0"/>
              <w:ind w:left="113" w:right="113"/>
            </w:pPr>
            <w:r>
              <w:rPr>
                <w:rFonts w:ascii="標楷體" w:eastAsia="標楷體" w:hAnsi="標楷體" w:cs="Arial"/>
                <w:b/>
                <w:bCs/>
                <w:kern w:val="0"/>
              </w:rPr>
              <w:t>不良事件</w:t>
            </w:r>
          </w:p>
        </w:tc>
        <w:tc>
          <w:tcPr>
            <w:tcW w:w="6086"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vAlign w:val="center"/>
          </w:tcPr>
          <w:p w14:paraId="42D21D70" w14:textId="77777777" w:rsidR="00BD776B" w:rsidRDefault="00DF0C24">
            <w:pPr>
              <w:snapToGrid w:val="0"/>
              <w:ind w:left="113" w:right="113"/>
            </w:pPr>
            <w:r>
              <w:rPr>
                <w:rFonts w:ascii="標楷體" w:eastAsia="標楷體" w:hAnsi="標楷體" w:cs="Arial"/>
                <w:b/>
                <w:bCs/>
                <w:kern w:val="0"/>
              </w:rPr>
              <w:t>最低等級簡述</w:t>
            </w:r>
          </w:p>
        </w:tc>
        <w:tc>
          <w:tcPr>
            <w:tcW w:w="1338"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vAlign w:val="center"/>
          </w:tcPr>
          <w:p w14:paraId="11C01E1E" w14:textId="77777777" w:rsidR="00BD776B" w:rsidRDefault="00DF0C24">
            <w:pPr>
              <w:snapToGrid w:val="0"/>
              <w:ind w:left="113" w:right="113"/>
            </w:pPr>
            <w:r>
              <w:rPr>
                <w:rFonts w:ascii="標楷體" w:eastAsia="標楷體" w:hAnsi="標楷體" w:cs="Arial"/>
                <w:b/>
                <w:bCs/>
                <w:kern w:val="0"/>
              </w:rPr>
              <w:t>毒性分級</w:t>
            </w:r>
          </w:p>
        </w:tc>
      </w:tr>
      <w:tr w:rsidR="00BD776B" w14:paraId="36D878F1"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27565A71" w14:textId="77777777" w:rsidR="00BD776B" w:rsidRDefault="00DF0C24">
            <w:pPr>
              <w:snapToGrid w:val="0"/>
              <w:spacing w:before="60" w:after="60"/>
              <w:ind w:left="113" w:right="113"/>
            </w:pPr>
            <w:r>
              <w:rPr>
                <w:rFonts w:ascii="標楷體" w:eastAsia="標楷體" w:hAnsi="標楷體" w:cs="Arial"/>
                <w:b/>
                <w:kern w:val="0"/>
                <w:sz w:val="28"/>
                <w:szCs w:val="28"/>
              </w:rPr>
              <w:t>消化道</w:t>
            </w:r>
          </w:p>
        </w:tc>
      </w:tr>
      <w:tr w:rsidR="00BD776B" w14:paraId="02AC7F40"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A491DD" w14:textId="77777777" w:rsidR="00BD776B" w:rsidRDefault="00DF0C24">
            <w:pPr>
              <w:snapToGrid w:val="0"/>
              <w:ind w:left="113" w:right="113"/>
            </w:pPr>
            <w:r>
              <w:rPr>
                <w:rFonts w:ascii="標楷體" w:eastAsia="標楷體" w:hAnsi="標楷體" w:cs="Arial"/>
                <w:kern w:val="0"/>
                <w:sz w:val="22"/>
              </w:rPr>
              <w:t>厭食</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C9CBC" w14:textId="77777777" w:rsidR="00BD776B" w:rsidRDefault="00DF0C24">
            <w:pPr>
              <w:snapToGrid w:val="0"/>
              <w:ind w:left="113" w:right="113"/>
            </w:pPr>
            <w:r>
              <w:rPr>
                <w:rFonts w:ascii="標楷體" w:eastAsia="標楷體" w:hAnsi="標楷體" w:cs="Arial"/>
                <w:kern w:val="0"/>
                <w:sz w:val="22"/>
              </w:rPr>
              <w:t>食量改變，但無體重明顯減輕的現象。需使用口服營養補充劑。</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59CC8" w14:textId="77777777" w:rsidR="00BD776B" w:rsidRDefault="00DF0C24">
            <w:pPr>
              <w:snapToGrid w:val="0"/>
              <w:ind w:left="113" w:right="113"/>
            </w:pPr>
            <w:r>
              <w:rPr>
                <w:rFonts w:ascii="標楷體" w:eastAsia="標楷體" w:hAnsi="標楷體" w:cs="Arial"/>
                <w:kern w:val="0"/>
                <w:sz w:val="22"/>
              </w:rPr>
              <w:t>2(</w:t>
            </w:r>
            <w:r>
              <w:rPr>
                <w:rFonts w:ascii="標楷體" w:eastAsia="標楷體" w:hAnsi="標楷體" w:cs="Arial"/>
                <w:sz w:val="22"/>
              </w:rPr>
              <w:t>或更高</w:t>
            </w:r>
            <w:r>
              <w:rPr>
                <w:rFonts w:ascii="標楷體" w:eastAsia="標楷體" w:hAnsi="標楷體" w:cs="Arial"/>
                <w:kern w:val="0"/>
                <w:sz w:val="22"/>
              </w:rPr>
              <w:t>)</w:t>
            </w:r>
          </w:p>
        </w:tc>
      </w:tr>
      <w:tr w:rsidR="00BD776B" w14:paraId="73278F71"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A5E84" w14:textId="77777777" w:rsidR="00BD776B" w:rsidRDefault="00DF0C24">
            <w:pPr>
              <w:snapToGrid w:val="0"/>
              <w:ind w:left="113" w:right="113"/>
            </w:pPr>
            <w:r>
              <w:rPr>
                <w:rFonts w:ascii="標楷體" w:eastAsia="標楷體" w:hAnsi="標楷體" w:cs="Arial"/>
                <w:kern w:val="0"/>
                <w:sz w:val="22"/>
              </w:rPr>
              <w:t>便秘</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8C47F" w14:textId="77777777" w:rsidR="00BD776B" w:rsidRDefault="00DF0C24">
            <w:pPr>
              <w:snapToGrid w:val="0"/>
              <w:ind w:left="113" w:right="113"/>
            </w:pPr>
            <w:r>
              <w:rPr>
                <w:rFonts w:ascii="標楷體" w:eastAsia="標楷體" w:hAnsi="標楷體" w:cs="Arial"/>
                <w:kern w:val="0"/>
                <w:sz w:val="22"/>
              </w:rPr>
              <w:t>症狀會對日常生活(ADLs)造成干擾，需按時使用緩瀉劑或使用灌腸劑。</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7251C" w14:textId="77777777" w:rsidR="00BD776B" w:rsidRDefault="00DF0C24">
            <w:pPr>
              <w:snapToGrid w:val="0"/>
              <w:ind w:left="113" w:right="113"/>
            </w:pPr>
            <w:r>
              <w:rPr>
                <w:rFonts w:ascii="標楷體" w:eastAsia="標楷體" w:hAnsi="標楷體" w:cs="Arial"/>
                <w:sz w:val="22"/>
              </w:rPr>
              <w:t>3(或更高)</w:t>
            </w:r>
          </w:p>
        </w:tc>
      </w:tr>
      <w:tr w:rsidR="00BD776B" w14:paraId="40DF4204"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6CE06" w14:textId="77777777" w:rsidR="00BD776B" w:rsidRDefault="00DF0C24">
            <w:pPr>
              <w:snapToGrid w:val="0"/>
              <w:ind w:left="113" w:right="113"/>
            </w:pPr>
            <w:r>
              <w:rPr>
                <w:rFonts w:ascii="標楷體" w:eastAsia="標楷體" w:hAnsi="標楷體" w:cs="Arial"/>
                <w:kern w:val="0"/>
                <w:sz w:val="22"/>
              </w:rPr>
              <w:t>腹瀉</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0A8C47" w14:textId="77777777" w:rsidR="00BD776B" w:rsidRDefault="00DF0C24">
            <w:pPr>
              <w:snapToGrid w:val="0"/>
              <w:ind w:left="113" w:right="113"/>
            </w:pPr>
            <w:r>
              <w:rPr>
                <w:rFonts w:ascii="標楷體" w:eastAsia="標楷體" w:hAnsi="標楷體" w:cs="Arial"/>
                <w:kern w:val="0"/>
                <w:sz w:val="22"/>
              </w:rPr>
              <w:t>比治療之前，每日排便次數增加4-6次。</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4604D" w14:textId="77777777" w:rsidR="00BD776B" w:rsidRDefault="00DF0C24">
            <w:pPr>
              <w:snapToGrid w:val="0"/>
              <w:ind w:left="113" w:right="113"/>
            </w:pPr>
            <w:r>
              <w:rPr>
                <w:rFonts w:ascii="標楷體" w:eastAsia="標楷體" w:hAnsi="標楷體" w:cs="Arial"/>
                <w:sz w:val="22"/>
              </w:rPr>
              <w:t>2(或更高)</w:t>
            </w:r>
          </w:p>
        </w:tc>
      </w:tr>
      <w:tr w:rsidR="00BD776B" w14:paraId="2DCF2AA8"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F45756" w14:textId="77777777" w:rsidR="00BD776B" w:rsidRDefault="00DF0C24">
            <w:pPr>
              <w:snapToGrid w:val="0"/>
              <w:ind w:left="113" w:right="113"/>
            </w:pPr>
            <w:r>
              <w:rPr>
                <w:rFonts w:ascii="標楷體" w:eastAsia="標楷體" w:hAnsi="標楷體" w:cs="Arial"/>
                <w:kern w:val="0"/>
                <w:sz w:val="22"/>
              </w:rPr>
              <w:t>噁心</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C76DCF" w14:textId="77777777" w:rsidR="00BD776B" w:rsidRDefault="00DF0C24">
            <w:pPr>
              <w:snapToGrid w:val="0"/>
              <w:ind w:left="113" w:right="113"/>
            </w:pPr>
            <w:r>
              <w:rPr>
                <w:rFonts w:ascii="標楷體" w:eastAsia="標楷體" w:hAnsi="標楷體" w:cs="Arial"/>
                <w:kern w:val="0"/>
                <w:sz w:val="22"/>
              </w:rPr>
              <w:t>食量明顯降低。</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C89CB" w14:textId="77777777" w:rsidR="00BD776B" w:rsidRDefault="00DF0C24">
            <w:pPr>
              <w:snapToGrid w:val="0"/>
              <w:ind w:left="113" w:right="113"/>
            </w:pPr>
            <w:r>
              <w:rPr>
                <w:rFonts w:ascii="標楷體" w:eastAsia="標楷體" w:hAnsi="標楷體" w:cs="Arial"/>
                <w:sz w:val="22"/>
              </w:rPr>
              <w:t>2(或更高)</w:t>
            </w:r>
          </w:p>
        </w:tc>
      </w:tr>
      <w:tr w:rsidR="00BD776B" w14:paraId="16493EF6"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A436CF" w14:textId="77777777" w:rsidR="00BD776B" w:rsidRDefault="00DF0C24">
            <w:pPr>
              <w:snapToGrid w:val="0"/>
              <w:ind w:left="113" w:right="113"/>
            </w:pPr>
            <w:r>
              <w:rPr>
                <w:rFonts w:ascii="標楷體" w:eastAsia="標楷體" w:hAnsi="標楷體" w:cs="Arial"/>
                <w:kern w:val="0"/>
                <w:sz w:val="22"/>
              </w:rPr>
              <w:t>非潰瘍性消化不良</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7A3DA" w14:textId="77777777" w:rsidR="00BD776B" w:rsidRDefault="00DF0C24">
            <w:pPr>
              <w:snapToGrid w:val="0"/>
              <w:ind w:left="113" w:right="113"/>
            </w:pPr>
            <w:r>
              <w:rPr>
                <w:rFonts w:ascii="標楷體" w:eastAsia="標楷體" w:hAnsi="標楷體" w:cs="Arial"/>
                <w:kern w:val="0"/>
                <w:sz w:val="22"/>
              </w:rPr>
              <w:t>每24小時發作大於2次，至少連續5天，且無法對同時施行的標準消化不良治療產生反應。重新使用NSAID治療至少一次，結果仍然失敗。</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5B764" w14:textId="77777777" w:rsidR="00BD776B" w:rsidRDefault="00DF0C24">
            <w:pPr>
              <w:snapToGrid w:val="0"/>
              <w:ind w:left="113" w:right="113"/>
            </w:pPr>
            <w:r>
              <w:rPr>
                <w:rFonts w:ascii="標楷體" w:eastAsia="標楷體" w:hAnsi="標楷體" w:cs="Arial"/>
                <w:sz w:val="22"/>
              </w:rPr>
              <w:t>2(或更高)</w:t>
            </w:r>
          </w:p>
        </w:tc>
      </w:tr>
      <w:tr w:rsidR="00BD776B" w14:paraId="4A0B7123"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012FB9" w14:textId="77777777" w:rsidR="00BD776B" w:rsidRDefault="00DF0C24">
            <w:pPr>
              <w:snapToGrid w:val="0"/>
              <w:ind w:left="113" w:right="113"/>
            </w:pPr>
            <w:r>
              <w:rPr>
                <w:rFonts w:ascii="標楷體" w:eastAsia="標楷體" w:hAnsi="標楷體" w:cs="Arial"/>
                <w:kern w:val="0"/>
                <w:sz w:val="22"/>
              </w:rPr>
              <w:t>口腔炎</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08335" w14:textId="77777777" w:rsidR="00BD776B" w:rsidRDefault="00DF0C24">
            <w:pPr>
              <w:snapToGrid w:val="0"/>
              <w:ind w:left="113" w:right="113"/>
            </w:pPr>
            <w:r>
              <w:rPr>
                <w:rFonts w:ascii="標楷體" w:eastAsia="標楷體" w:hAnsi="標楷體" w:cs="Arial"/>
                <w:kern w:val="0"/>
                <w:sz w:val="22"/>
              </w:rPr>
              <w:t>出現疼痛性紅斑、水腫或潰瘍，但仍可進食或吞嚥。</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06482B" w14:textId="77777777" w:rsidR="00BD776B" w:rsidRDefault="00DF0C24">
            <w:pPr>
              <w:snapToGrid w:val="0"/>
              <w:ind w:left="113" w:right="113"/>
            </w:pPr>
            <w:r>
              <w:rPr>
                <w:rFonts w:ascii="標楷體" w:eastAsia="標楷體" w:hAnsi="標楷體" w:cs="Arial"/>
                <w:sz w:val="22"/>
              </w:rPr>
              <w:t>2(或更高)</w:t>
            </w:r>
          </w:p>
        </w:tc>
      </w:tr>
      <w:tr w:rsidR="00BD776B" w14:paraId="1B67F799"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002B8D" w14:textId="77777777" w:rsidR="00BD776B" w:rsidRDefault="00DF0C24">
            <w:pPr>
              <w:snapToGrid w:val="0"/>
              <w:ind w:left="113" w:right="113"/>
            </w:pPr>
            <w:r>
              <w:rPr>
                <w:rFonts w:ascii="標楷體" w:eastAsia="標楷體" w:hAnsi="標楷體" w:cs="Arial"/>
                <w:kern w:val="0"/>
                <w:sz w:val="22"/>
              </w:rPr>
              <w:t>嘔吐</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937FEA" w14:textId="77777777" w:rsidR="00BD776B" w:rsidRDefault="00DF0C24">
            <w:pPr>
              <w:snapToGrid w:val="0"/>
              <w:ind w:left="113" w:right="113"/>
            </w:pPr>
            <w:r>
              <w:rPr>
                <w:rFonts w:ascii="標楷體" w:eastAsia="標楷體" w:hAnsi="標楷體" w:cs="Arial"/>
                <w:kern w:val="0"/>
                <w:sz w:val="22"/>
              </w:rPr>
              <w:t>24小時內發生兩次(含)以上。</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EF69F" w14:textId="77777777" w:rsidR="00BD776B" w:rsidRDefault="00DF0C24">
            <w:pPr>
              <w:snapToGrid w:val="0"/>
              <w:ind w:left="113" w:right="113"/>
            </w:pPr>
            <w:r>
              <w:rPr>
                <w:rFonts w:ascii="標楷體" w:eastAsia="標楷體" w:hAnsi="標楷體" w:cs="Arial"/>
                <w:sz w:val="22"/>
              </w:rPr>
              <w:t>1(或更高)</w:t>
            </w:r>
          </w:p>
        </w:tc>
      </w:tr>
      <w:tr w:rsidR="00BD776B" w14:paraId="2375DDA5"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26725" w14:textId="77777777" w:rsidR="00BD776B" w:rsidRDefault="00DF0C24">
            <w:pPr>
              <w:snapToGrid w:val="0"/>
              <w:ind w:left="113" w:right="113"/>
            </w:pPr>
            <w:r>
              <w:rPr>
                <w:rFonts w:ascii="標楷體" w:eastAsia="標楷體" w:hAnsi="標楷體" w:cs="Arial"/>
                <w:kern w:val="0"/>
                <w:sz w:val="22"/>
              </w:rPr>
              <w:t>體重增加/減輕</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8BE9FB" w14:textId="77777777" w:rsidR="00BD776B" w:rsidRDefault="00DF0C24">
            <w:pPr>
              <w:snapToGrid w:val="0"/>
              <w:ind w:left="113" w:right="113"/>
            </w:pPr>
            <w:r>
              <w:rPr>
                <w:rFonts w:ascii="標楷體" w:eastAsia="標楷體" w:hAnsi="標楷體" w:cs="Arial"/>
                <w:kern w:val="0"/>
                <w:sz w:val="22"/>
              </w:rPr>
              <w:t>體重增加或減輕20%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C1F9E" w14:textId="77777777" w:rsidR="00BD776B" w:rsidRDefault="00DF0C24">
            <w:pPr>
              <w:snapToGrid w:val="0"/>
              <w:ind w:left="113" w:right="113"/>
            </w:pPr>
            <w:r>
              <w:rPr>
                <w:rFonts w:ascii="標楷體" w:eastAsia="標楷體" w:hAnsi="標楷體" w:cs="Arial"/>
                <w:sz w:val="22"/>
              </w:rPr>
              <w:t>3(或更高)</w:t>
            </w:r>
          </w:p>
        </w:tc>
      </w:tr>
      <w:tr w:rsidR="00BD776B" w14:paraId="49654131"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7BC4D67C" w14:textId="77777777" w:rsidR="00BD776B" w:rsidRDefault="00DF0C24">
            <w:pPr>
              <w:snapToGrid w:val="0"/>
              <w:spacing w:before="60" w:after="60"/>
              <w:ind w:left="113" w:right="113"/>
            </w:pPr>
            <w:r>
              <w:rPr>
                <w:rFonts w:ascii="標楷體" w:eastAsia="標楷體" w:hAnsi="標楷體" w:cs="Arial"/>
                <w:b/>
                <w:kern w:val="0"/>
                <w:sz w:val="28"/>
                <w:szCs w:val="28"/>
              </w:rPr>
              <w:t>血液</w:t>
            </w:r>
          </w:p>
        </w:tc>
      </w:tr>
      <w:tr w:rsidR="00BD776B" w14:paraId="21B9E66D"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2CF3D" w14:textId="77777777" w:rsidR="00BD776B" w:rsidRDefault="00DF0C24">
            <w:pPr>
              <w:snapToGrid w:val="0"/>
              <w:ind w:left="113" w:right="113"/>
            </w:pPr>
            <w:r>
              <w:rPr>
                <w:rFonts w:ascii="標楷體" w:eastAsia="標楷體" w:hAnsi="標楷體" w:cs="Wingdings"/>
                <w:kern w:val="0"/>
                <w:sz w:val="22"/>
              </w:rPr>
              <w:t></w:t>
            </w:r>
            <w:r>
              <w:rPr>
                <w:rFonts w:ascii="標楷體" w:eastAsia="標楷體" w:hAnsi="標楷體" w:cs="Arial"/>
                <w:kern w:val="0"/>
                <w:sz w:val="22"/>
              </w:rPr>
              <w:t>凝血酶原時間(PT)</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53A37" w14:textId="77777777" w:rsidR="00BD776B" w:rsidRDefault="00DF0C24">
            <w:pPr>
              <w:snapToGrid w:val="0"/>
              <w:ind w:left="113" w:right="113"/>
            </w:pPr>
            <w:r>
              <w:rPr>
                <w:rFonts w:ascii="標楷體" w:eastAsia="標楷體" w:hAnsi="標楷體" w:cs="Arial"/>
                <w:kern w:val="0"/>
                <w:sz w:val="22"/>
              </w:rPr>
              <w:t>PT&gt;2xULN</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72EC4" w14:textId="77777777" w:rsidR="00BD776B" w:rsidRDefault="00DF0C24">
            <w:pPr>
              <w:snapToGrid w:val="0"/>
              <w:ind w:left="113" w:right="113"/>
            </w:pPr>
            <w:r>
              <w:rPr>
                <w:rFonts w:ascii="標楷體" w:eastAsia="標楷體" w:hAnsi="標楷體" w:cs="Arial"/>
                <w:sz w:val="22"/>
              </w:rPr>
              <w:t>3(或更高)</w:t>
            </w:r>
          </w:p>
        </w:tc>
      </w:tr>
      <w:tr w:rsidR="00BD776B" w14:paraId="6CF2E3FC"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9B98A" w14:textId="77777777" w:rsidR="00BD776B" w:rsidRDefault="00DF0C24">
            <w:pPr>
              <w:snapToGrid w:val="0"/>
              <w:ind w:left="113" w:right="113"/>
            </w:pPr>
            <w:r>
              <w:rPr>
                <w:rFonts w:ascii="標楷體" w:eastAsia="標楷體" w:hAnsi="標楷體" w:cs="Arial"/>
                <w:kern w:val="0"/>
                <w:sz w:val="22"/>
              </w:rPr>
              <w:t>貧血</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FCA16" w14:textId="77777777" w:rsidR="00BD776B" w:rsidRDefault="00DF0C24">
            <w:pPr>
              <w:snapToGrid w:val="0"/>
              <w:ind w:left="113" w:right="113"/>
            </w:pPr>
            <w:r>
              <w:rPr>
                <w:rFonts w:ascii="標楷體" w:eastAsia="標楷體" w:hAnsi="標楷體" w:cs="Arial"/>
                <w:kern w:val="0"/>
                <w:sz w:val="22"/>
              </w:rPr>
              <w:t>Hb&lt;8.0g/dL</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877A5" w14:textId="77777777" w:rsidR="00BD776B" w:rsidRDefault="00DF0C24">
            <w:pPr>
              <w:snapToGrid w:val="0"/>
              <w:ind w:left="113" w:right="113"/>
            </w:pPr>
            <w:r>
              <w:rPr>
                <w:rFonts w:ascii="標楷體" w:eastAsia="標楷體" w:hAnsi="標楷體" w:cs="Arial"/>
                <w:sz w:val="22"/>
              </w:rPr>
              <w:t>3(或更高)</w:t>
            </w:r>
          </w:p>
        </w:tc>
      </w:tr>
      <w:tr w:rsidR="00BD776B" w14:paraId="02D6174D"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11BBB" w14:textId="77777777" w:rsidR="00BD776B" w:rsidRDefault="00DF0C24">
            <w:pPr>
              <w:snapToGrid w:val="0"/>
              <w:ind w:left="113" w:right="113"/>
            </w:pPr>
            <w:r>
              <w:rPr>
                <w:rFonts w:ascii="標楷體" w:eastAsia="標楷體" w:hAnsi="標楷體" w:cs="Arial"/>
                <w:kern w:val="0"/>
                <w:sz w:val="22"/>
              </w:rPr>
              <w:t>溶血現象</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19F0A" w14:textId="77777777" w:rsidR="00BD776B" w:rsidRDefault="00DF0C24">
            <w:pPr>
              <w:snapToGrid w:val="0"/>
              <w:ind w:left="113" w:right="113"/>
            </w:pPr>
            <w:r>
              <w:rPr>
                <w:rFonts w:ascii="標楷體" w:eastAsia="標楷體" w:hAnsi="標楷體" w:cs="Arial"/>
                <w:kern w:val="0"/>
                <w:sz w:val="22"/>
              </w:rPr>
              <w:t>有證據顯示紅血球破壞程度且Hb下降</w:t>
            </w:r>
            <w:r>
              <w:rPr>
                <w:rFonts w:ascii="標楷體" w:eastAsia="標楷體" w:hAnsi="標楷體" w:cs="Symbol"/>
                <w:kern w:val="0"/>
                <w:sz w:val="22"/>
              </w:rPr>
              <w:t></w:t>
            </w:r>
            <w:r>
              <w:rPr>
                <w:rFonts w:ascii="標楷體" w:eastAsia="標楷體" w:hAnsi="標楷體" w:cs="Arial"/>
                <w:kern w:val="0"/>
                <w:sz w:val="22"/>
              </w:rPr>
              <w:t>2gm/dL，但不需輸血。</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AF0EC3" w14:textId="77777777" w:rsidR="00BD776B" w:rsidRDefault="00DF0C24">
            <w:pPr>
              <w:snapToGrid w:val="0"/>
              <w:ind w:left="113" w:right="113"/>
            </w:pPr>
            <w:r>
              <w:rPr>
                <w:rFonts w:ascii="標楷體" w:eastAsia="標楷體" w:hAnsi="標楷體" w:cs="Arial"/>
                <w:sz w:val="22"/>
              </w:rPr>
              <w:t>2(或更高)</w:t>
            </w:r>
          </w:p>
        </w:tc>
      </w:tr>
      <w:tr w:rsidR="00BD776B" w14:paraId="59F8D184"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88AE2" w14:textId="77777777" w:rsidR="00BD776B" w:rsidRDefault="00DF0C24">
            <w:pPr>
              <w:snapToGrid w:val="0"/>
              <w:ind w:left="113" w:right="113"/>
            </w:pPr>
            <w:r>
              <w:rPr>
                <w:rFonts w:ascii="標楷體" w:eastAsia="標楷體" w:hAnsi="標楷體" w:cs="Arial"/>
                <w:kern w:val="0"/>
                <w:sz w:val="22"/>
              </w:rPr>
              <w:t>出血</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04FCDB" w14:textId="77777777" w:rsidR="00BD776B" w:rsidRDefault="00DF0C24">
            <w:pPr>
              <w:snapToGrid w:val="0"/>
              <w:ind w:left="113" w:right="113"/>
            </w:pPr>
            <w:r>
              <w:rPr>
                <w:rFonts w:ascii="標楷體" w:eastAsia="標楷體" w:hAnsi="標楷體" w:cs="Arial"/>
                <w:kern w:val="0"/>
                <w:sz w:val="22"/>
              </w:rPr>
              <w:t>出現症狀，需進行輸血/手術或內視鏡治療。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55EF5" w14:textId="77777777" w:rsidR="00BD776B" w:rsidRDefault="00DF0C24">
            <w:pPr>
              <w:snapToGrid w:val="0"/>
              <w:ind w:left="113" w:right="113"/>
            </w:pPr>
            <w:r>
              <w:rPr>
                <w:rFonts w:ascii="標楷體" w:eastAsia="標楷體" w:hAnsi="標楷體" w:cs="Arial"/>
                <w:sz w:val="22"/>
              </w:rPr>
              <w:t>3(或更高)</w:t>
            </w:r>
          </w:p>
        </w:tc>
      </w:tr>
      <w:tr w:rsidR="00BD776B" w14:paraId="649DFC67"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8AA01A" w14:textId="77777777" w:rsidR="00BD776B" w:rsidRDefault="00DF0C24">
            <w:pPr>
              <w:snapToGrid w:val="0"/>
              <w:ind w:left="113" w:right="113"/>
            </w:pPr>
            <w:r>
              <w:rPr>
                <w:rFonts w:ascii="標楷體" w:eastAsia="標楷體" w:hAnsi="標楷體" w:cs="Arial"/>
                <w:kern w:val="0"/>
                <w:sz w:val="22"/>
              </w:rPr>
              <w:t>白血球減少症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CD58C" w14:textId="77777777" w:rsidR="00BD776B" w:rsidRDefault="00DF0C24">
            <w:pPr>
              <w:snapToGrid w:val="0"/>
              <w:ind w:left="113" w:right="113"/>
            </w:pPr>
            <w:r>
              <w:rPr>
                <w:rFonts w:ascii="標楷體" w:eastAsia="標楷體" w:hAnsi="標楷體" w:cs="Arial"/>
                <w:kern w:val="0"/>
                <w:sz w:val="22"/>
              </w:rPr>
              <w:t>WBC&lt;3,000/mm</w:t>
            </w:r>
            <w:r>
              <w:rPr>
                <w:rFonts w:ascii="標楷體" w:eastAsia="標楷體" w:hAnsi="標楷體" w:cs="Arial"/>
                <w:kern w:val="0"/>
                <w:position w:val="6"/>
                <w:sz w:val="22"/>
              </w:rPr>
              <w:t>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91601" w14:textId="77777777" w:rsidR="00BD776B" w:rsidRDefault="00DF0C24">
            <w:pPr>
              <w:snapToGrid w:val="0"/>
              <w:ind w:left="113" w:right="113"/>
            </w:pPr>
            <w:r>
              <w:rPr>
                <w:rFonts w:ascii="標楷體" w:eastAsia="標楷體" w:hAnsi="標楷體" w:cs="Arial"/>
                <w:sz w:val="22"/>
              </w:rPr>
              <w:t>3(或更高)</w:t>
            </w:r>
          </w:p>
        </w:tc>
      </w:tr>
      <w:tr w:rsidR="00BD776B" w14:paraId="7803924B"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8E5AB" w14:textId="77777777" w:rsidR="00BD776B" w:rsidRDefault="00DF0C24">
            <w:pPr>
              <w:snapToGrid w:val="0"/>
              <w:ind w:left="113" w:right="113"/>
            </w:pPr>
            <w:r>
              <w:rPr>
                <w:rFonts w:ascii="標楷體" w:eastAsia="標楷體" w:hAnsi="標楷體" w:cs="Arial"/>
                <w:kern w:val="0"/>
                <w:sz w:val="22"/>
              </w:rPr>
              <w:t>嗜中性白血球低下症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BF9A53" w14:textId="77777777" w:rsidR="00BD776B" w:rsidRDefault="00DF0C24">
            <w:pPr>
              <w:snapToGrid w:val="0"/>
              <w:ind w:left="113" w:right="113"/>
            </w:pPr>
            <w:r>
              <w:rPr>
                <w:rFonts w:ascii="標楷體" w:eastAsia="標楷體" w:hAnsi="標楷體" w:cs="Arial"/>
                <w:kern w:val="0"/>
                <w:sz w:val="22"/>
              </w:rPr>
              <w:t>嗜中性白血球計數&lt;1,500/mm</w:t>
            </w:r>
            <w:r>
              <w:rPr>
                <w:rFonts w:ascii="標楷體" w:eastAsia="標楷體" w:hAnsi="標楷體" w:cs="Arial"/>
                <w:kern w:val="0"/>
                <w:position w:val="6"/>
                <w:sz w:val="22"/>
              </w:rPr>
              <w:t>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04DBF" w14:textId="77777777" w:rsidR="00BD776B" w:rsidRDefault="00DF0C24">
            <w:pPr>
              <w:snapToGrid w:val="0"/>
              <w:ind w:left="113" w:right="113"/>
            </w:pPr>
            <w:r>
              <w:rPr>
                <w:rFonts w:ascii="標楷體" w:eastAsia="標楷體" w:hAnsi="標楷體" w:cs="Arial"/>
                <w:sz w:val="22"/>
              </w:rPr>
              <w:t>2(或更高)</w:t>
            </w:r>
          </w:p>
        </w:tc>
      </w:tr>
      <w:tr w:rsidR="00BD776B" w14:paraId="43CECBC3"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03564" w14:textId="77777777" w:rsidR="00BD776B" w:rsidRDefault="00DF0C24">
            <w:pPr>
              <w:snapToGrid w:val="0"/>
              <w:ind w:left="113" w:right="113"/>
            </w:pPr>
            <w:r>
              <w:rPr>
                <w:rFonts w:ascii="標楷體" w:eastAsia="標楷體" w:hAnsi="標楷體" w:cs="Arial"/>
                <w:kern w:val="0"/>
                <w:sz w:val="22"/>
              </w:rPr>
              <w:t>靜脈炎</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DD17C4" w14:textId="77777777" w:rsidR="00BD776B" w:rsidRDefault="00DF0C24">
            <w:pPr>
              <w:snapToGrid w:val="0"/>
              <w:ind w:left="113" w:right="113"/>
            </w:pPr>
            <w:r>
              <w:rPr>
                <w:rFonts w:ascii="標楷體" w:eastAsia="標楷體" w:hAnsi="標楷體" w:cs="Arial"/>
                <w:kern w:val="0"/>
                <w:sz w:val="22"/>
              </w:rPr>
              <w:t>發生靜脈炎。</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59D42" w14:textId="77777777" w:rsidR="00BD776B" w:rsidRDefault="00DF0C24">
            <w:pPr>
              <w:snapToGrid w:val="0"/>
              <w:ind w:left="113" w:right="113"/>
            </w:pPr>
            <w:r>
              <w:rPr>
                <w:rFonts w:ascii="標楷體" w:eastAsia="標楷體" w:hAnsi="標楷體" w:cs="Arial"/>
                <w:sz w:val="22"/>
              </w:rPr>
              <w:t>2(或更高)</w:t>
            </w:r>
          </w:p>
        </w:tc>
      </w:tr>
      <w:tr w:rsidR="00BD776B" w14:paraId="3E3D1C8D"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BC90F" w14:textId="77777777" w:rsidR="00BD776B" w:rsidRDefault="00DF0C24">
            <w:pPr>
              <w:snapToGrid w:val="0"/>
              <w:ind w:left="113" w:right="113"/>
            </w:pPr>
            <w:r>
              <w:rPr>
                <w:rFonts w:ascii="標楷體" w:eastAsia="標楷體" w:hAnsi="標楷體" w:cs="Arial"/>
                <w:kern w:val="0"/>
                <w:sz w:val="22"/>
              </w:rPr>
              <w:t>血小板減少症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0D40C2" w14:textId="77777777" w:rsidR="00BD776B" w:rsidRDefault="00DF0C24">
            <w:pPr>
              <w:snapToGrid w:val="0"/>
              <w:ind w:left="113" w:right="113"/>
            </w:pPr>
            <w:r>
              <w:rPr>
                <w:rFonts w:ascii="標楷體" w:eastAsia="標楷體" w:hAnsi="標楷體" w:cs="Arial"/>
                <w:kern w:val="0"/>
                <w:sz w:val="22"/>
              </w:rPr>
              <w:t>血小板計數&lt;100,000/mm</w:t>
            </w:r>
            <w:r>
              <w:rPr>
                <w:rFonts w:ascii="標楷體" w:eastAsia="標楷體" w:hAnsi="標楷體" w:cs="Arial"/>
                <w:kern w:val="0"/>
                <w:position w:val="6"/>
                <w:sz w:val="22"/>
              </w:rPr>
              <w:t>3</w:t>
            </w:r>
            <w:r>
              <w:rPr>
                <w:rFonts w:ascii="標楷體" w:eastAsia="標楷體" w:hAnsi="標楷體" w:cs="Arial"/>
                <w:kern w:val="0"/>
                <w:sz w:val="22"/>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7A1324" w14:textId="77777777" w:rsidR="00BD776B" w:rsidRDefault="00DF0C24">
            <w:pPr>
              <w:snapToGrid w:val="0"/>
              <w:ind w:left="113" w:right="113"/>
            </w:pPr>
            <w:r>
              <w:rPr>
                <w:rFonts w:ascii="標楷體" w:eastAsia="標楷體" w:hAnsi="標楷體" w:cs="Arial"/>
                <w:sz w:val="22"/>
              </w:rPr>
              <w:t>3(或更高)</w:t>
            </w:r>
          </w:p>
        </w:tc>
      </w:tr>
      <w:tr w:rsidR="00BD776B" w14:paraId="61C91D0D"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497D2A35" w14:textId="77777777" w:rsidR="00BD776B" w:rsidRDefault="00DF0C24">
            <w:pPr>
              <w:snapToGrid w:val="0"/>
              <w:spacing w:before="60" w:after="60"/>
              <w:ind w:left="113" w:right="113"/>
              <w:rPr>
                <w:rFonts w:ascii="標楷體" w:eastAsia="標楷體" w:hAnsi="標楷體" w:cs="Arial"/>
                <w:b/>
                <w:sz w:val="28"/>
              </w:rPr>
            </w:pPr>
            <w:r>
              <w:rPr>
                <w:rFonts w:ascii="標楷體" w:eastAsia="標楷體" w:hAnsi="標楷體" w:cs="Arial"/>
                <w:b/>
                <w:sz w:val="28"/>
              </w:rPr>
              <w:t>心血管</w:t>
            </w:r>
          </w:p>
        </w:tc>
      </w:tr>
      <w:tr w:rsidR="00BD776B" w14:paraId="4C9598A1"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6C67D7" w14:textId="77777777" w:rsidR="00BD776B" w:rsidRDefault="00DF0C24">
            <w:pPr>
              <w:snapToGrid w:val="0"/>
              <w:ind w:left="113" w:right="113"/>
            </w:pPr>
            <w:r>
              <w:rPr>
                <w:rFonts w:ascii="標楷體" w:eastAsia="標楷體" w:hAnsi="標楷體" w:cs="Arial"/>
                <w:kern w:val="0"/>
                <w:sz w:val="22"/>
              </w:rPr>
              <w:t>心律不整</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8A76F" w14:textId="77777777" w:rsidR="00BD776B" w:rsidRDefault="00DF0C24">
            <w:pPr>
              <w:snapToGrid w:val="0"/>
              <w:ind w:left="113" w:right="113"/>
            </w:pPr>
            <w:r>
              <w:rPr>
                <w:rFonts w:ascii="標楷體" w:eastAsia="標楷體" w:hAnsi="標楷體" w:cs="Arial"/>
                <w:kern w:val="0"/>
                <w:sz w:val="22"/>
              </w:rPr>
              <w:t>出現症狀且需接受治療。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9BF868" w14:textId="77777777" w:rsidR="00BD776B" w:rsidRDefault="00DF0C24">
            <w:pPr>
              <w:snapToGrid w:val="0"/>
              <w:ind w:left="113" w:right="113"/>
            </w:pPr>
            <w:r>
              <w:rPr>
                <w:rFonts w:ascii="標楷體" w:eastAsia="標楷體" w:hAnsi="標楷體" w:cs="Arial"/>
                <w:sz w:val="22"/>
              </w:rPr>
              <w:t>3(或更高)</w:t>
            </w:r>
          </w:p>
        </w:tc>
      </w:tr>
      <w:tr w:rsidR="00BD776B" w14:paraId="629099BF"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D333B" w14:textId="77777777" w:rsidR="00BD776B" w:rsidRDefault="00DF0C24">
            <w:pPr>
              <w:snapToGrid w:val="0"/>
              <w:ind w:left="113" w:right="113"/>
            </w:pPr>
            <w:r>
              <w:rPr>
                <w:rFonts w:ascii="標楷體" w:eastAsia="標楷體" w:hAnsi="標楷體" w:cs="Arial"/>
                <w:kern w:val="0"/>
                <w:sz w:val="22"/>
              </w:rPr>
              <w:t>心臟功能</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7310A2" w14:textId="77777777" w:rsidR="00BD776B" w:rsidRDefault="00DF0C24">
            <w:pPr>
              <w:snapToGrid w:val="0"/>
              <w:ind w:left="113" w:right="113"/>
            </w:pPr>
            <w:r>
              <w:rPr>
                <w:rFonts w:ascii="標楷體" w:eastAsia="標楷體" w:hAnsi="標楷體" w:cs="Arial"/>
                <w:kern w:val="0"/>
                <w:sz w:val="22"/>
              </w:rPr>
              <w:t>對治療產生鬱血性心臟衰竭。</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20B84" w14:textId="77777777" w:rsidR="00BD776B" w:rsidRDefault="00DF0C24">
            <w:pPr>
              <w:snapToGrid w:val="0"/>
              <w:ind w:left="113" w:right="113"/>
            </w:pPr>
            <w:r>
              <w:rPr>
                <w:rFonts w:ascii="標楷體" w:eastAsia="標楷體" w:hAnsi="標楷體" w:cs="Arial"/>
                <w:sz w:val="22"/>
              </w:rPr>
              <w:t>3(或更高)</w:t>
            </w:r>
          </w:p>
        </w:tc>
      </w:tr>
      <w:tr w:rsidR="00BD776B" w14:paraId="60EA2CE4"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72993" w14:textId="77777777" w:rsidR="00BD776B" w:rsidRDefault="00DF0C24">
            <w:pPr>
              <w:snapToGrid w:val="0"/>
              <w:ind w:left="113" w:right="113"/>
            </w:pPr>
            <w:r>
              <w:rPr>
                <w:rFonts w:ascii="標楷體" w:eastAsia="標楷體" w:hAnsi="標楷體" w:cs="Arial"/>
                <w:kern w:val="0"/>
                <w:sz w:val="22"/>
              </w:rPr>
              <w:t>高血壓</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B2C989" w14:textId="77777777" w:rsidR="00BD776B" w:rsidRDefault="00DF0C24">
            <w:pPr>
              <w:snapToGrid w:val="0"/>
              <w:ind w:left="113" w:right="113"/>
            </w:pPr>
            <w:r>
              <w:rPr>
                <w:rFonts w:ascii="標楷體" w:eastAsia="標楷體" w:hAnsi="標楷體" w:cs="Arial"/>
                <w:kern w:val="0"/>
                <w:sz w:val="22"/>
              </w:rPr>
              <w:t>收縮壓上升20mmHg，或原本正常的血壓升高至&gt;150/100。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A8482" w14:textId="77777777" w:rsidR="00BD776B" w:rsidRDefault="00DF0C24">
            <w:pPr>
              <w:snapToGrid w:val="0"/>
              <w:ind w:left="113" w:right="113"/>
            </w:pPr>
            <w:r>
              <w:rPr>
                <w:rFonts w:ascii="標楷體" w:eastAsia="標楷體" w:hAnsi="標楷體" w:cs="Arial"/>
                <w:sz w:val="22"/>
              </w:rPr>
              <w:t>2(或更高)</w:t>
            </w:r>
          </w:p>
        </w:tc>
      </w:tr>
      <w:tr w:rsidR="00BD776B" w14:paraId="096379D7"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9137A" w14:textId="77777777" w:rsidR="00BD776B" w:rsidRDefault="00DF0C24">
            <w:pPr>
              <w:snapToGrid w:val="0"/>
              <w:ind w:left="113" w:right="113"/>
            </w:pPr>
            <w:r>
              <w:rPr>
                <w:rFonts w:ascii="標楷體" w:eastAsia="標楷體" w:hAnsi="標楷體" w:cs="Arial"/>
                <w:kern w:val="0"/>
                <w:sz w:val="22"/>
              </w:rPr>
              <w:t>局部缺血</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FCF155" w14:textId="77777777" w:rsidR="00BD776B" w:rsidRDefault="00DF0C24">
            <w:pPr>
              <w:snapToGrid w:val="0"/>
              <w:ind w:left="113" w:right="113"/>
            </w:pPr>
            <w:r>
              <w:rPr>
                <w:rFonts w:ascii="標楷體" w:eastAsia="標楷體" w:hAnsi="標楷體" w:cs="Arial"/>
                <w:kern w:val="0"/>
                <w:sz w:val="22"/>
              </w:rPr>
              <w:t>需接受手術治療。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324B0" w14:textId="77777777" w:rsidR="00BD776B" w:rsidRDefault="00DF0C24">
            <w:pPr>
              <w:snapToGrid w:val="0"/>
              <w:ind w:left="113" w:right="113"/>
            </w:pPr>
            <w:r>
              <w:rPr>
                <w:rFonts w:ascii="標楷體" w:eastAsia="標楷體" w:hAnsi="標楷體" w:cs="Arial"/>
                <w:sz w:val="22"/>
              </w:rPr>
              <w:t>3(或更高)</w:t>
            </w:r>
          </w:p>
        </w:tc>
      </w:tr>
      <w:tr w:rsidR="00BD776B" w14:paraId="3FCCDC56"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5D0FF" w14:textId="77777777" w:rsidR="00BD776B" w:rsidRDefault="00DF0C24">
            <w:pPr>
              <w:snapToGrid w:val="0"/>
              <w:ind w:left="113" w:right="113"/>
            </w:pPr>
            <w:r>
              <w:rPr>
                <w:rFonts w:ascii="標楷體" w:eastAsia="標楷體" w:hAnsi="標楷體" w:cs="Arial"/>
                <w:kern w:val="0"/>
                <w:sz w:val="22"/>
              </w:rPr>
              <w:t>心包積水/心包炎</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6FA0B4" w14:textId="77777777" w:rsidR="00BD776B" w:rsidRDefault="00DF0C24">
            <w:pPr>
              <w:snapToGrid w:val="0"/>
              <w:ind w:left="113" w:right="113"/>
            </w:pPr>
            <w:r>
              <w:rPr>
                <w:rFonts w:ascii="標楷體" w:eastAsia="標楷體" w:hAnsi="標楷體" w:cs="Arial"/>
                <w:kern w:val="0"/>
                <w:sz w:val="22"/>
              </w:rPr>
              <w:t>心包炎(心包摩擦音、ECG出現變化、或胸痛)。</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4D99C" w14:textId="77777777" w:rsidR="00BD776B" w:rsidRDefault="00DF0C24">
            <w:pPr>
              <w:snapToGrid w:val="0"/>
              <w:ind w:left="113" w:right="113"/>
            </w:pPr>
            <w:r>
              <w:rPr>
                <w:rFonts w:ascii="標楷體" w:eastAsia="標楷體" w:hAnsi="標楷體" w:cs="Arial"/>
                <w:sz w:val="22"/>
              </w:rPr>
              <w:t>2(或更高)</w:t>
            </w:r>
          </w:p>
        </w:tc>
      </w:tr>
      <w:tr w:rsidR="00BD776B" w14:paraId="3E29EE68"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312D9E98" w14:textId="77777777" w:rsidR="00BD776B" w:rsidRDefault="00DF0C24">
            <w:pPr>
              <w:snapToGrid w:val="0"/>
              <w:spacing w:before="60" w:after="60"/>
              <w:ind w:left="113" w:right="113"/>
            </w:pPr>
            <w:r>
              <w:rPr>
                <w:rFonts w:ascii="標楷體" w:eastAsia="標楷體" w:hAnsi="標楷體" w:cs="Arial"/>
                <w:b/>
                <w:kern w:val="0"/>
                <w:sz w:val="28"/>
                <w:szCs w:val="28"/>
              </w:rPr>
              <w:t>中樞神經系統</w:t>
            </w:r>
          </w:p>
        </w:tc>
      </w:tr>
      <w:tr w:rsidR="00BD776B" w14:paraId="1626528D"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ABE6AB" w14:textId="77777777" w:rsidR="00BD776B" w:rsidRDefault="00DF0C24">
            <w:pPr>
              <w:snapToGrid w:val="0"/>
              <w:ind w:left="113" w:right="113"/>
            </w:pPr>
            <w:r>
              <w:rPr>
                <w:rFonts w:ascii="標楷體" w:eastAsia="標楷體" w:hAnsi="標楷體" w:cs="Arial"/>
                <w:kern w:val="0"/>
                <w:sz w:val="22"/>
              </w:rPr>
              <w:t>運動失調</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BD14A1" w14:textId="77777777" w:rsidR="00BD776B" w:rsidRDefault="00DF0C24">
            <w:pPr>
              <w:snapToGrid w:val="0"/>
              <w:ind w:left="113" w:right="113"/>
            </w:pPr>
            <w:r>
              <w:rPr>
                <w:rFonts w:ascii="標楷體" w:eastAsia="標楷體" w:hAnsi="標楷體" w:cs="Arial"/>
                <w:kern w:val="0"/>
                <w:sz w:val="22"/>
              </w:rPr>
              <w:t>出現輕度症狀，會干擾身體功能，但不影響日常活動。</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CD042F" w14:textId="77777777" w:rsidR="00BD776B" w:rsidRDefault="00DF0C24">
            <w:pPr>
              <w:snapToGrid w:val="0"/>
              <w:ind w:left="113" w:right="113"/>
            </w:pPr>
            <w:r>
              <w:rPr>
                <w:rFonts w:ascii="標楷體" w:eastAsia="標楷體" w:hAnsi="標楷體" w:cs="Arial"/>
                <w:kern w:val="0"/>
                <w:sz w:val="22"/>
              </w:rPr>
              <w:t>2(</w:t>
            </w:r>
            <w:r>
              <w:rPr>
                <w:rFonts w:ascii="標楷體" w:eastAsia="標楷體" w:hAnsi="標楷體" w:cs="Arial"/>
                <w:sz w:val="22"/>
              </w:rPr>
              <w:t>或更高</w:t>
            </w:r>
            <w:r>
              <w:rPr>
                <w:rFonts w:ascii="標楷體" w:eastAsia="標楷體" w:hAnsi="標楷體" w:cs="Arial"/>
                <w:kern w:val="0"/>
                <w:sz w:val="22"/>
              </w:rPr>
              <w:t>)</w:t>
            </w:r>
          </w:p>
        </w:tc>
      </w:tr>
      <w:tr w:rsidR="00BD776B" w14:paraId="66C5B79F"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399CAD" w14:textId="77777777" w:rsidR="00BD776B" w:rsidRDefault="00DF0C24">
            <w:pPr>
              <w:snapToGrid w:val="0"/>
              <w:ind w:left="113" w:right="113"/>
            </w:pPr>
            <w:r>
              <w:rPr>
                <w:rFonts w:ascii="標楷體" w:eastAsia="標楷體" w:hAnsi="標楷體" w:cs="Arial"/>
                <w:kern w:val="0"/>
                <w:sz w:val="22"/>
              </w:rPr>
              <w:t>意識程度降低</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C6E31" w14:textId="77777777" w:rsidR="00BD776B" w:rsidRDefault="00DF0C24">
            <w:pPr>
              <w:snapToGrid w:val="0"/>
              <w:ind w:left="113" w:right="113"/>
            </w:pPr>
            <w:r>
              <w:rPr>
                <w:rFonts w:ascii="標楷體" w:eastAsia="標楷體" w:hAnsi="標楷體" w:cs="Arial"/>
                <w:kern w:val="0"/>
                <w:sz w:val="22"/>
              </w:rPr>
              <w:t>出現嗜睡或鎮靜反應，會干擾身體功能，但不影響日常活動。</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C235F" w14:textId="77777777" w:rsidR="00BD776B" w:rsidRDefault="00DF0C24">
            <w:pPr>
              <w:snapToGrid w:val="0"/>
              <w:ind w:left="113" w:right="113"/>
            </w:pPr>
            <w:r>
              <w:rPr>
                <w:rFonts w:ascii="標楷體" w:eastAsia="標楷體" w:hAnsi="標楷體" w:cs="Arial"/>
                <w:sz w:val="22"/>
              </w:rPr>
              <w:t>2(或更高)</w:t>
            </w:r>
          </w:p>
        </w:tc>
      </w:tr>
      <w:tr w:rsidR="00BD776B" w14:paraId="637C322A"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222CDF" w14:textId="77777777" w:rsidR="00BD776B" w:rsidRDefault="00DF0C24">
            <w:pPr>
              <w:snapToGrid w:val="0"/>
              <w:ind w:left="113" w:right="113"/>
            </w:pPr>
            <w:r>
              <w:rPr>
                <w:rFonts w:ascii="標楷體" w:eastAsia="標楷體" w:hAnsi="標楷體" w:cs="Arial"/>
                <w:kern w:val="0"/>
                <w:sz w:val="22"/>
              </w:rPr>
              <w:t>頭痛(嚴重)</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204640" w14:textId="77777777" w:rsidR="00BD776B" w:rsidRDefault="00DF0C24">
            <w:pPr>
              <w:snapToGrid w:val="0"/>
              <w:ind w:left="113" w:right="113"/>
            </w:pPr>
            <w:r>
              <w:rPr>
                <w:rFonts w:ascii="標楷體" w:eastAsia="標楷體" w:hAnsi="標楷體" w:cs="Arial"/>
                <w:kern w:val="0"/>
                <w:sz w:val="22"/>
              </w:rPr>
              <w:t>嚴重頭痛(需使用複合鎮痛劑)，且疼痛程度或鎮痛劑的使用會對日常生活造成干擾。非細菌性腦膜炎。</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3B38F" w14:textId="77777777" w:rsidR="00BD776B" w:rsidRDefault="00DF0C24">
            <w:pPr>
              <w:snapToGrid w:val="0"/>
              <w:ind w:left="113" w:right="113"/>
            </w:pPr>
            <w:r>
              <w:rPr>
                <w:rFonts w:ascii="標楷體" w:eastAsia="標楷體" w:hAnsi="標楷體" w:cs="Arial"/>
                <w:sz w:val="22"/>
              </w:rPr>
              <w:t>3(或更高)</w:t>
            </w:r>
          </w:p>
        </w:tc>
      </w:tr>
      <w:tr w:rsidR="00BD776B" w14:paraId="26C288A8"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D5E75" w14:textId="77777777" w:rsidR="00BD776B" w:rsidRDefault="00DF0C24">
            <w:pPr>
              <w:snapToGrid w:val="0"/>
              <w:ind w:left="113" w:right="113"/>
            </w:pPr>
            <w:r>
              <w:rPr>
                <w:rFonts w:ascii="標楷體" w:eastAsia="標楷體" w:hAnsi="標楷體" w:cs="Arial"/>
                <w:kern w:val="0"/>
                <w:sz w:val="22"/>
              </w:rPr>
              <w:t>聽力</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3D893D" w14:textId="77777777" w:rsidR="00BD776B" w:rsidRDefault="00DF0C24">
            <w:pPr>
              <w:snapToGrid w:val="0"/>
              <w:ind w:left="113" w:right="113"/>
            </w:pPr>
            <w:r>
              <w:rPr>
                <w:rFonts w:ascii="標楷體" w:eastAsia="標楷體" w:hAnsi="標楷體" w:cs="Arial"/>
                <w:kern w:val="0"/>
                <w:sz w:val="22"/>
              </w:rPr>
              <w:t>耳鳴或聽力減弱，但不需治療。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6E816" w14:textId="77777777" w:rsidR="00BD776B" w:rsidRDefault="00DF0C24">
            <w:pPr>
              <w:snapToGrid w:val="0"/>
              <w:ind w:left="113" w:right="113"/>
            </w:pPr>
            <w:r>
              <w:rPr>
                <w:rFonts w:ascii="標楷體" w:eastAsia="標楷體" w:hAnsi="標楷體" w:cs="Arial"/>
                <w:sz w:val="22"/>
              </w:rPr>
              <w:t>2(或更高)</w:t>
            </w:r>
          </w:p>
        </w:tc>
      </w:tr>
      <w:tr w:rsidR="00BD776B" w14:paraId="614DDAB1"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167C1" w14:textId="77777777" w:rsidR="00BD776B" w:rsidRDefault="00DF0C24">
            <w:pPr>
              <w:snapToGrid w:val="0"/>
              <w:ind w:left="113" w:right="113"/>
            </w:pPr>
            <w:r>
              <w:rPr>
                <w:rFonts w:ascii="標楷體" w:eastAsia="標楷體" w:hAnsi="標楷體" w:cs="Arial"/>
                <w:kern w:val="0"/>
                <w:sz w:val="22"/>
              </w:rPr>
              <w:t>失眠</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F61EF9" w14:textId="77777777" w:rsidR="00BD776B" w:rsidRDefault="00DF0C24">
            <w:pPr>
              <w:snapToGrid w:val="0"/>
              <w:ind w:left="113" w:right="113"/>
            </w:pPr>
            <w:r>
              <w:rPr>
                <w:rFonts w:ascii="標楷體" w:eastAsia="標楷體" w:hAnsi="標楷體" w:cs="Arial"/>
                <w:kern w:val="0"/>
                <w:sz w:val="22"/>
              </w:rPr>
              <w:t>經常難以入睡，並會對日常生活造成干擾。</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EF15A" w14:textId="77777777" w:rsidR="00BD776B" w:rsidRDefault="00DF0C24">
            <w:pPr>
              <w:snapToGrid w:val="0"/>
              <w:ind w:left="113" w:right="113"/>
            </w:pPr>
            <w:r>
              <w:rPr>
                <w:rFonts w:ascii="標楷體" w:eastAsia="標楷體" w:hAnsi="標楷體" w:cs="Arial"/>
                <w:sz w:val="22"/>
              </w:rPr>
              <w:t>3(或更高)</w:t>
            </w:r>
          </w:p>
        </w:tc>
      </w:tr>
      <w:tr w:rsidR="00BD776B" w14:paraId="66F40201"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B9FB5" w14:textId="77777777" w:rsidR="00BD776B" w:rsidRDefault="00DF0C24">
            <w:pPr>
              <w:snapToGrid w:val="0"/>
              <w:ind w:left="113" w:right="113"/>
            </w:pPr>
            <w:r>
              <w:rPr>
                <w:rFonts w:ascii="標楷體" w:eastAsia="標楷體" w:hAnsi="標楷體" w:cs="Arial"/>
                <w:kern w:val="0"/>
                <w:sz w:val="22"/>
              </w:rPr>
              <w:t>情緒轉變</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BA8957" w14:textId="77777777" w:rsidR="00BD776B" w:rsidRDefault="00DF0C24">
            <w:pPr>
              <w:snapToGrid w:val="0"/>
              <w:ind w:left="113" w:right="113"/>
            </w:pPr>
            <w:r>
              <w:rPr>
                <w:rFonts w:ascii="標楷體" w:eastAsia="標楷體" w:hAnsi="標楷體" w:cs="Arial"/>
                <w:kern w:val="0"/>
                <w:sz w:val="22"/>
              </w:rPr>
              <w:t>情緒轉變，會干擾身體功能，但不影響日常活動。</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3BD5B" w14:textId="77777777" w:rsidR="00BD776B" w:rsidRDefault="00DF0C24">
            <w:pPr>
              <w:snapToGrid w:val="0"/>
              <w:ind w:left="113" w:right="113"/>
            </w:pPr>
            <w:r>
              <w:rPr>
                <w:rFonts w:ascii="標楷體" w:eastAsia="標楷體" w:hAnsi="標楷體" w:cs="Arial"/>
                <w:sz w:val="22"/>
              </w:rPr>
              <w:t>2(或更高)</w:t>
            </w:r>
          </w:p>
        </w:tc>
      </w:tr>
      <w:tr w:rsidR="00BD776B" w14:paraId="41B3CFB9"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DD82D" w14:textId="77777777" w:rsidR="00BD776B" w:rsidRDefault="00DF0C24">
            <w:pPr>
              <w:snapToGrid w:val="0"/>
              <w:ind w:left="113" w:right="113"/>
            </w:pPr>
            <w:r>
              <w:rPr>
                <w:rFonts w:ascii="標楷體" w:eastAsia="標楷體" w:hAnsi="標楷體" w:cs="Arial"/>
                <w:kern w:val="0"/>
                <w:sz w:val="22"/>
              </w:rPr>
              <w:lastRenderedPageBreak/>
              <w:t>感覺(神經病變)</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AFAD5" w14:textId="77777777" w:rsidR="00BD776B" w:rsidRDefault="00DF0C24">
            <w:pPr>
              <w:snapToGrid w:val="0"/>
              <w:ind w:left="113" w:right="113"/>
            </w:pPr>
            <w:r>
              <w:rPr>
                <w:rFonts w:ascii="標楷體" w:eastAsia="標楷體" w:hAnsi="標楷體" w:cs="Arial"/>
                <w:kern w:val="0"/>
                <w:sz w:val="22"/>
              </w:rPr>
              <w:t>深部肌腱反射減弱或出現感覺異常的現象，但不影響身體功能。</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597F7" w14:textId="77777777" w:rsidR="00BD776B" w:rsidRDefault="00DF0C24">
            <w:pPr>
              <w:snapToGrid w:val="0"/>
              <w:ind w:left="113" w:right="113"/>
            </w:pPr>
            <w:r>
              <w:rPr>
                <w:rFonts w:ascii="標楷體" w:eastAsia="標楷體" w:hAnsi="標楷體" w:cs="Arial"/>
                <w:sz w:val="22"/>
              </w:rPr>
              <w:t>1(或更高)</w:t>
            </w:r>
          </w:p>
        </w:tc>
      </w:tr>
      <w:tr w:rsidR="00BD776B" w14:paraId="1EB4B0EA"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34C2C0" w14:textId="77777777" w:rsidR="00BD776B" w:rsidRDefault="00DF0C24">
            <w:pPr>
              <w:snapToGrid w:val="0"/>
              <w:ind w:left="113" w:right="113"/>
            </w:pPr>
            <w:r>
              <w:rPr>
                <w:rFonts w:ascii="標楷體" w:eastAsia="標楷體" w:hAnsi="標楷體" w:cs="Arial"/>
                <w:kern w:val="0"/>
                <w:sz w:val="22"/>
              </w:rPr>
              <w:t>動作協調不良</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011B9" w14:textId="77777777" w:rsidR="00BD776B" w:rsidRDefault="00DF0C24">
            <w:pPr>
              <w:snapToGrid w:val="0"/>
              <w:ind w:left="113" w:right="113"/>
            </w:pPr>
            <w:r>
              <w:rPr>
                <w:rFonts w:ascii="標楷體" w:eastAsia="標楷體" w:hAnsi="標楷體" w:cs="Arial"/>
                <w:kern w:val="0"/>
                <w:sz w:val="22"/>
              </w:rPr>
              <w:t>出現輕度症狀，會干擾身體功能，但不影響日常活動。</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4B51A" w14:textId="77777777" w:rsidR="00BD776B" w:rsidRDefault="00DF0C24">
            <w:pPr>
              <w:snapToGrid w:val="0"/>
              <w:ind w:left="113" w:right="113"/>
            </w:pPr>
            <w:r>
              <w:rPr>
                <w:rFonts w:ascii="標楷體" w:eastAsia="標楷體" w:hAnsi="標楷體" w:cs="Arial"/>
                <w:sz w:val="22"/>
              </w:rPr>
              <w:t>2(或更高)</w:t>
            </w:r>
          </w:p>
        </w:tc>
      </w:tr>
      <w:tr w:rsidR="00BD776B" w14:paraId="24B067C7"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3CE43" w14:textId="77777777" w:rsidR="00BD776B" w:rsidRDefault="00DF0C24">
            <w:pPr>
              <w:snapToGrid w:val="0"/>
              <w:ind w:left="113" w:right="113"/>
            </w:pPr>
            <w:r>
              <w:rPr>
                <w:rFonts w:ascii="標楷體" w:eastAsia="標楷體" w:hAnsi="標楷體" w:cs="Arial"/>
                <w:kern w:val="0"/>
                <w:sz w:val="22"/>
              </w:rPr>
              <w:t>視力</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C9E3A" w14:textId="77777777" w:rsidR="00BD776B" w:rsidRDefault="00DF0C24">
            <w:pPr>
              <w:snapToGrid w:val="0"/>
              <w:ind w:left="113" w:right="113"/>
            </w:pPr>
            <w:r>
              <w:rPr>
                <w:rFonts w:ascii="標楷體" w:eastAsia="標楷體" w:hAnsi="標楷體" w:cs="Arial"/>
                <w:kern w:val="0"/>
                <w:sz w:val="22"/>
              </w:rPr>
              <w:t>出現症狀並會干擾身體功能，但不影響日常活動。</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F189E" w14:textId="77777777" w:rsidR="00BD776B" w:rsidRDefault="00DF0C24">
            <w:pPr>
              <w:snapToGrid w:val="0"/>
              <w:ind w:left="113" w:right="113"/>
            </w:pPr>
            <w:r>
              <w:rPr>
                <w:rFonts w:ascii="標楷體" w:eastAsia="標楷體" w:hAnsi="標楷體" w:cs="Arial"/>
                <w:sz w:val="22"/>
              </w:rPr>
              <w:t>3(或更高)</w:t>
            </w:r>
          </w:p>
        </w:tc>
      </w:tr>
      <w:tr w:rsidR="00BD776B" w14:paraId="2D37039E"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1E89F2DE" w14:textId="77777777" w:rsidR="00BD776B" w:rsidRDefault="00DF0C24">
            <w:pPr>
              <w:snapToGrid w:val="0"/>
              <w:spacing w:before="60" w:after="60"/>
              <w:ind w:left="113" w:right="113"/>
            </w:pPr>
            <w:r>
              <w:rPr>
                <w:rFonts w:ascii="標楷體" w:eastAsia="標楷體" w:hAnsi="標楷體" w:cs="Arial"/>
                <w:b/>
                <w:kern w:val="0"/>
                <w:sz w:val="28"/>
                <w:szCs w:val="28"/>
              </w:rPr>
              <w:t>皮膚</w:t>
            </w:r>
          </w:p>
        </w:tc>
      </w:tr>
      <w:tr w:rsidR="00BD776B" w14:paraId="05F5D8C5"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29D7D" w14:textId="77777777" w:rsidR="00BD776B" w:rsidRDefault="00DF0C24">
            <w:pPr>
              <w:snapToGrid w:val="0"/>
              <w:ind w:left="113" w:right="113"/>
            </w:pPr>
            <w:r>
              <w:rPr>
                <w:rFonts w:ascii="標楷體" w:eastAsia="標楷體" w:hAnsi="標楷體" w:cs="Arial"/>
                <w:kern w:val="0"/>
                <w:sz w:val="22"/>
              </w:rPr>
              <w:t>禿髮</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09D20" w14:textId="77777777" w:rsidR="00BD776B" w:rsidRDefault="00DF0C24">
            <w:pPr>
              <w:snapToGrid w:val="0"/>
              <w:ind w:left="113" w:right="113"/>
            </w:pPr>
            <w:r>
              <w:rPr>
                <w:rFonts w:ascii="標楷體" w:eastAsia="標楷體" w:hAnsi="標楷體" w:cs="Arial"/>
                <w:kern w:val="0"/>
                <w:sz w:val="22"/>
              </w:rPr>
              <w:t>毛髮明顯減少。</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8B0DD" w14:textId="77777777" w:rsidR="00BD776B" w:rsidRDefault="00DF0C24">
            <w:pPr>
              <w:snapToGrid w:val="0"/>
              <w:ind w:left="113" w:right="113"/>
            </w:pPr>
            <w:r>
              <w:rPr>
                <w:rFonts w:ascii="標楷體" w:eastAsia="標楷體" w:hAnsi="標楷體" w:cs="Arial"/>
                <w:sz w:val="22"/>
              </w:rPr>
              <w:t>2(或更高)</w:t>
            </w:r>
          </w:p>
        </w:tc>
      </w:tr>
      <w:tr w:rsidR="00BD776B" w14:paraId="33AF3A2E"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899FCF" w14:textId="77777777" w:rsidR="00BD776B" w:rsidRDefault="00DF0C24">
            <w:pPr>
              <w:snapToGrid w:val="0"/>
              <w:ind w:left="113" w:right="113"/>
            </w:pPr>
            <w:r>
              <w:rPr>
                <w:rFonts w:ascii="標楷體" w:eastAsia="標楷體" w:hAnsi="標楷體" w:cs="Arial"/>
                <w:kern w:val="0"/>
                <w:sz w:val="22"/>
              </w:rPr>
              <w:t>發癢</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4A26B" w14:textId="77777777" w:rsidR="00BD776B" w:rsidRDefault="00DF0C24">
            <w:pPr>
              <w:snapToGrid w:val="0"/>
              <w:ind w:left="113" w:right="113"/>
            </w:pPr>
            <w:r>
              <w:rPr>
                <w:rFonts w:ascii="標楷體" w:eastAsia="標楷體" w:hAnsi="標楷體" w:cs="Arial"/>
                <w:kern w:val="0"/>
                <w:sz w:val="22"/>
              </w:rPr>
              <w:t>症狀強烈且分佈範圍廣泛，並會對日常生活造成干擾。</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978AA9" w14:textId="77777777" w:rsidR="00BD776B" w:rsidRDefault="00DF0C24">
            <w:pPr>
              <w:snapToGrid w:val="0"/>
              <w:ind w:left="113" w:right="113"/>
            </w:pPr>
            <w:r>
              <w:rPr>
                <w:rFonts w:ascii="標楷體" w:eastAsia="標楷體" w:hAnsi="標楷體" w:cs="Arial"/>
                <w:sz w:val="22"/>
              </w:rPr>
              <w:t>3(或更高)</w:t>
            </w:r>
          </w:p>
        </w:tc>
      </w:tr>
      <w:tr w:rsidR="00BD776B" w14:paraId="3A48BBFF"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7C6CF" w14:textId="77777777" w:rsidR="00BD776B" w:rsidRDefault="00DF0C24">
            <w:pPr>
              <w:snapToGrid w:val="0"/>
              <w:ind w:left="113" w:right="113"/>
            </w:pPr>
            <w:r>
              <w:rPr>
                <w:rFonts w:ascii="標楷體" w:eastAsia="標楷體" w:hAnsi="標楷體" w:cs="Arial"/>
                <w:kern w:val="0"/>
                <w:sz w:val="22"/>
              </w:rPr>
              <w:t>光敏感</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72D3B6" w14:textId="77777777" w:rsidR="00BD776B" w:rsidRDefault="00DF0C24">
            <w:pPr>
              <w:snapToGrid w:val="0"/>
              <w:ind w:left="113" w:right="113"/>
            </w:pPr>
            <w:r>
              <w:rPr>
                <w:rFonts w:ascii="標楷體" w:eastAsia="標楷體" w:hAnsi="標楷體" w:cs="Arial"/>
                <w:kern w:val="0"/>
                <w:sz w:val="22"/>
              </w:rPr>
              <w:t>出現疼痛性紅斑及(或)水泡。</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09ECB" w14:textId="77777777" w:rsidR="00BD776B" w:rsidRDefault="00DF0C24">
            <w:pPr>
              <w:snapToGrid w:val="0"/>
              <w:ind w:left="113" w:right="113"/>
            </w:pPr>
            <w:r>
              <w:rPr>
                <w:rFonts w:ascii="標楷體" w:eastAsia="標楷體" w:hAnsi="標楷體" w:cs="Arial"/>
                <w:sz w:val="22"/>
              </w:rPr>
              <w:t>2(或更高)</w:t>
            </w:r>
          </w:p>
        </w:tc>
      </w:tr>
      <w:tr w:rsidR="00BD776B" w14:paraId="6C09FBF7"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60EED8" w14:textId="77777777" w:rsidR="00BD776B" w:rsidRDefault="00DF0C24">
            <w:pPr>
              <w:snapToGrid w:val="0"/>
              <w:ind w:left="113" w:right="113"/>
            </w:pPr>
            <w:r>
              <w:rPr>
                <w:rFonts w:ascii="標楷體" w:eastAsia="標楷體" w:hAnsi="標楷體" w:cs="Arial"/>
                <w:kern w:val="0"/>
                <w:sz w:val="22"/>
              </w:rPr>
              <w:t>皮疹/脫皮</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799B5" w14:textId="77777777" w:rsidR="00BD776B" w:rsidRDefault="00DF0C24">
            <w:pPr>
              <w:snapToGrid w:val="0"/>
              <w:ind w:left="113" w:right="113"/>
            </w:pPr>
            <w:r>
              <w:rPr>
                <w:rFonts w:ascii="標楷體" w:eastAsia="標楷體" w:hAnsi="標楷體" w:cs="Arial"/>
                <w:kern w:val="0"/>
                <w:sz w:val="22"/>
              </w:rPr>
              <w:t>出現分散的斑狀或丘狀皮疹或紅斑，並有搔癢或其它相關症狀，分佈範圍&lt;50%體表面積；或出現局部脫皮的現象或其它病變，分佈範圍&lt;50%體表面積。</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061F1" w14:textId="77777777" w:rsidR="00BD776B" w:rsidRDefault="00DF0C24">
            <w:pPr>
              <w:snapToGrid w:val="0"/>
              <w:ind w:left="113" w:right="113"/>
            </w:pPr>
            <w:r>
              <w:rPr>
                <w:rFonts w:ascii="標楷體" w:eastAsia="標楷體" w:hAnsi="標楷體" w:cs="Arial"/>
                <w:sz w:val="22"/>
              </w:rPr>
              <w:t>2(或更高)</w:t>
            </w:r>
          </w:p>
        </w:tc>
      </w:tr>
      <w:tr w:rsidR="00BD776B" w14:paraId="7D6A3D5F"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143362" w14:textId="77777777" w:rsidR="00BD776B" w:rsidRDefault="00DF0C24">
            <w:pPr>
              <w:snapToGrid w:val="0"/>
              <w:ind w:left="113" w:right="113"/>
            </w:pPr>
            <w:r>
              <w:rPr>
                <w:rFonts w:ascii="標楷體" w:eastAsia="標楷體" w:hAnsi="標楷體" w:cs="Arial"/>
                <w:kern w:val="0"/>
                <w:sz w:val="22"/>
              </w:rPr>
              <w:t>蕁麻疹</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40BCB" w14:textId="77777777" w:rsidR="00BD776B" w:rsidRDefault="00DF0C24">
            <w:pPr>
              <w:snapToGrid w:val="0"/>
              <w:ind w:left="113" w:right="113"/>
            </w:pPr>
            <w:r>
              <w:rPr>
                <w:rFonts w:ascii="標楷體" w:eastAsia="標楷體" w:hAnsi="標楷體" w:cs="Arial"/>
                <w:kern w:val="0"/>
                <w:sz w:val="22"/>
              </w:rPr>
              <w:t>需接受&lt;24小時的藥物治療。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558BE" w14:textId="77777777" w:rsidR="00BD776B" w:rsidRDefault="00DF0C24">
            <w:pPr>
              <w:snapToGrid w:val="0"/>
              <w:ind w:left="113" w:right="113"/>
            </w:pPr>
            <w:r>
              <w:rPr>
                <w:rFonts w:ascii="標楷體" w:eastAsia="標楷體" w:hAnsi="標楷體" w:cs="Arial"/>
                <w:sz w:val="22"/>
              </w:rPr>
              <w:t>3(或更高)</w:t>
            </w:r>
          </w:p>
        </w:tc>
      </w:tr>
      <w:tr w:rsidR="00BD776B" w14:paraId="7DD29D5A"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1693C" w14:textId="77777777" w:rsidR="00BD776B" w:rsidRDefault="00DF0C24">
            <w:pPr>
              <w:snapToGrid w:val="0"/>
              <w:ind w:left="113" w:right="113"/>
            </w:pPr>
            <w:r>
              <w:rPr>
                <w:rFonts w:ascii="標楷體" w:eastAsia="標楷體" w:hAnsi="標楷體" w:cs="Arial"/>
                <w:kern w:val="0"/>
                <w:sz w:val="22"/>
              </w:rPr>
              <w:t>血管炎</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EF0939" w14:textId="77777777" w:rsidR="00BD776B" w:rsidRDefault="00DF0C24">
            <w:pPr>
              <w:snapToGrid w:val="0"/>
              <w:ind w:left="113" w:right="113"/>
            </w:pPr>
            <w:r>
              <w:rPr>
                <w:rFonts w:ascii="標楷體" w:eastAsia="標楷體" w:hAnsi="標楷體" w:cs="Arial"/>
                <w:kern w:val="0"/>
                <w:sz w:val="22"/>
              </w:rPr>
              <w:t>需使用類固醇治療。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41B53D" w14:textId="77777777" w:rsidR="00BD776B" w:rsidRDefault="00DF0C24">
            <w:pPr>
              <w:snapToGrid w:val="0"/>
              <w:ind w:left="113" w:right="113"/>
            </w:pPr>
            <w:r>
              <w:rPr>
                <w:rFonts w:ascii="標楷體" w:eastAsia="標楷體" w:hAnsi="標楷體" w:cs="Arial"/>
                <w:sz w:val="22"/>
              </w:rPr>
              <w:t>3(或更高)</w:t>
            </w:r>
          </w:p>
        </w:tc>
      </w:tr>
      <w:tr w:rsidR="00BD776B" w14:paraId="4ECFCB0A"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13EB8EBE" w14:textId="77777777" w:rsidR="00BD776B" w:rsidRDefault="00DF0C24">
            <w:pPr>
              <w:snapToGrid w:val="0"/>
              <w:spacing w:before="60" w:after="60"/>
              <w:ind w:left="113" w:right="113"/>
            </w:pPr>
            <w:r>
              <w:rPr>
                <w:rFonts w:ascii="標楷體" w:eastAsia="標楷體" w:hAnsi="標楷體" w:cs="Arial"/>
                <w:b/>
                <w:kern w:val="0"/>
                <w:sz w:val="28"/>
                <w:szCs w:val="28"/>
              </w:rPr>
              <w:t>肝臟</w:t>
            </w:r>
          </w:p>
        </w:tc>
      </w:tr>
      <w:tr w:rsidR="00BD776B" w14:paraId="12D38144"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D2B6F"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血清鹼性磷酸酶</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7EAE9" w14:textId="77777777" w:rsidR="00BD776B" w:rsidRDefault="00DF0C24">
            <w:pPr>
              <w:snapToGrid w:val="0"/>
              <w:ind w:left="113" w:right="113"/>
            </w:pPr>
            <w:r>
              <w:rPr>
                <w:rFonts w:ascii="標楷體" w:eastAsia="標楷體" w:hAnsi="標楷體" w:cs="Arial"/>
                <w:kern w:val="0"/>
                <w:sz w:val="22"/>
              </w:rPr>
              <w:t>2.5xULN</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ABBF36" w14:textId="77777777" w:rsidR="00BD776B" w:rsidRDefault="00DF0C24">
            <w:pPr>
              <w:snapToGrid w:val="0"/>
              <w:ind w:left="113" w:right="113"/>
            </w:pPr>
            <w:r>
              <w:rPr>
                <w:rFonts w:ascii="標楷體" w:eastAsia="標楷體" w:hAnsi="標楷體" w:cs="Arial"/>
                <w:sz w:val="22"/>
              </w:rPr>
              <w:t>2(或更高)</w:t>
            </w:r>
          </w:p>
        </w:tc>
      </w:tr>
      <w:tr w:rsidR="00BD776B" w14:paraId="45FABC14"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12D0EA" w14:textId="77777777" w:rsidR="00BD776B" w:rsidRDefault="00DF0C24">
            <w:pPr>
              <w:snapToGrid w:val="0"/>
              <w:ind w:left="113" w:right="113"/>
            </w:pPr>
            <w:r>
              <w:rPr>
                <w:rFonts w:ascii="標楷體" w:eastAsia="標楷體" w:hAnsi="標楷體" w:cs="Arial"/>
                <w:kern w:val="0"/>
                <w:sz w:val="22"/>
              </w:rPr>
              <w:t>膽紅素升高</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5783A" w14:textId="77777777" w:rsidR="00BD776B" w:rsidRDefault="00DF0C24">
            <w:pPr>
              <w:snapToGrid w:val="0"/>
              <w:ind w:left="113" w:right="113"/>
            </w:pPr>
            <w:r>
              <w:rPr>
                <w:rFonts w:ascii="標楷體" w:eastAsia="標楷體" w:hAnsi="標楷體" w:cs="Arial"/>
                <w:kern w:val="0"/>
                <w:sz w:val="22"/>
              </w:rPr>
              <w:t>&gt;1.5xULN</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420D09" w14:textId="77777777" w:rsidR="00BD776B" w:rsidRDefault="00DF0C24">
            <w:pPr>
              <w:snapToGrid w:val="0"/>
              <w:ind w:left="113" w:right="113"/>
            </w:pPr>
            <w:r>
              <w:rPr>
                <w:rFonts w:ascii="標楷體" w:eastAsia="標楷體" w:hAnsi="標楷體" w:cs="Arial"/>
                <w:sz w:val="22"/>
              </w:rPr>
              <w:t>3(或更高)</w:t>
            </w:r>
          </w:p>
        </w:tc>
      </w:tr>
      <w:tr w:rsidR="00BD776B" w14:paraId="4FF31208"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0E32BE" w14:textId="77777777" w:rsidR="00BD776B" w:rsidRDefault="00DF0C24">
            <w:pPr>
              <w:snapToGrid w:val="0"/>
              <w:ind w:left="113" w:right="113"/>
            </w:pPr>
            <w:r>
              <w:rPr>
                <w:rFonts w:ascii="標楷體" w:eastAsia="標楷體" w:hAnsi="標楷體" w:cs="Arial"/>
                <w:kern w:val="0"/>
                <w:sz w:val="22"/>
              </w:rPr>
              <w:t>轉胺酶升高</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D76F2" w14:textId="77777777" w:rsidR="00BD776B" w:rsidRDefault="00DF0C24">
            <w:pPr>
              <w:snapToGrid w:val="0"/>
              <w:ind w:left="113" w:right="113"/>
            </w:pPr>
            <w:r>
              <w:rPr>
                <w:rFonts w:ascii="標楷體" w:eastAsia="標楷體" w:hAnsi="標楷體" w:cs="Arial"/>
                <w:kern w:val="0"/>
                <w:sz w:val="22"/>
              </w:rPr>
              <w:t>一次檢查的結果顯示ALT及(或)AST&gt;2.5xULN，或3次檢查的結果顯示&gt;1.5xULN。</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8E62C" w14:textId="77777777" w:rsidR="00BD776B" w:rsidRDefault="00DF0C24">
            <w:pPr>
              <w:snapToGrid w:val="0"/>
              <w:ind w:left="113" w:right="113"/>
            </w:pPr>
            <w:r>
              <w:rPr>
                <w:rFonts w:ascii="標楷體" w:eastAsia="標楷體" w:hAnsi="標楷體" w:cs="Arial"/>
                <w:sz w:val="22"/>
              </w:rPr>
              <w:t>2(或更高)</w:t>
            </w:r>
          </w:p>
        </w:tc>
      </w:tr>
      <w:tr w:rsidR="00BD776B" w14:paraId="2CC1B3F9"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3B0793E6" w14:textId="77777777" w:rsidR="00BD776B" w:rsidRDefault="00DF0C24">
            <w:pPr>
              <w:snapToGrid w:val="0"/>
              <w:spacing w:before="60" w:after="60"/>
              <w:ind w:left="113" w:right="113"/>
              <w:rPr>
                <w:rFonts w:ascii="標楷體" w:eastAsia="標楷體" w:hAnsi="標楷體" w:cs="Arial"/>
                <w:b/>
                <w:sz w:val="28"/>
              </w:rPr>
            </w:pPr>
            <w:r>
              <w:rPr>
                <w:rFonts w:ascii="標楷體" w:eastAsia="標楷體" w:hAnsi="標楷體" w:cs="Arial"/>
                <w:b/>
                <w:sz w:val="28"/>
              </w:rPr>
              <w:t>呼吸道</w:t>
            </w:r>
          </w:p>
        </w:tc>
      </w:tr>
      <w:tr w:rsidR="00BD776B" w14:paraId="4BBAD962"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233FF" w14:textId="77777777" w:rsidR="00BD776B" w:rsidRDefault="00DF0C24">
            <w:pPr>
              <w:snapToGrid w:val="0"/>
              <w:ind w:left="113" w:right="113"/>
            </w:pPr>
            <w:r>
              <w:rPr>
                <w:rFonts w:ascii="標楷體" w:eastAsia="標楷體" w:hAnsi="標楷體" w:cs="Arial"/>
                <w:kern w:val="0"/>
                <w:sz w:val="22"/>
              </w:rPr>
              <w:t>咳嗽(嚴重)</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17DA1" w14:textId="77777777" w:rsidR="00BD776B" w:rsidRDefault="00DF0C24">
            <w:pPr>
              <w:snapToGrid w:val="0"/>
              <w:ind w:left="113" w:right="113"/>
            </w:pPr>
            <w:r>
              <w:rPr>
                <w:rFonts w:ascii="標楷體" w:eastAsia="標楷體" w:hAnsi="標楷體" w:cs="Arial"/>
                <w:kern w:val="0"/>
                <w:sz w:val="22"/>
              </w:rPr>
              <w:t>嚴重咳嗽或咳嗽性痙攣，且治療控制效果不佳或無法對治療產生反應。證據顯示停止治療後可恢復正常。</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419D" w14:textId="77777777" w:rsidR="00BD776B" w:rsidRDefault="00DF0C24">
            <w:pPr>
              <w:snapToGrid w:val="0"/>
              <w:ind w:left="113" w:right="113"/>
            </w:pPr>
            <w:r>
              <w:rPr>
                <w:rFonts w:ascii="標楷體" w:eastAsia="標楷體" w:hAnsi="標楷體" w:cs="Arial"/>
                <w:sz w:val="22"/>
              </w:rPr>
              <w:t>3(或更高)</w:t>
            </w:r>
          </w:p>
        </w:tc>
      </w:tr>
      <w:tr w:rsidR="00BD776B" w14:paraId="7E99FA4D"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26B08" w14:textId="77777777" w:rsidR="00BD776B" w:rsidRDefault="00DF0C24">
            <w:pPr>
              <w:snapToGrid w:val="0"/>
              <w:ind w:left="113" w:right="113"/>
            </w:pPr>
            <w:r>
              <w:rPr>
                <w:rFonts w:ascii="標楷體" w:eastAsia="標楷體" w:hAnsi="標楷體" w:cs="Arial"/>
                <w:kern w:val="0"/>
                <w:sz w:val="22"/>
              </w:rPr>
              <w:t>呼吸困難</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40E7FF" w14:textId="77777777" w:rsidR="00BD776B" w:rsidRDefault="00DF0C24">
            <w:pPr>
              <w:snapToGrid w:val="0"/>
              <w:ind w:left="113" w:right="113"/>
            </w:pPr>
            <w:r>
              <w:rPr>
                <w:rFonts w:ascii="標楷體" w:eastAsia="標楷體" w:hAnsi="標楷體" w:cs="Arial"/>
                <w:kern w:val="0"/>
                <w:sz w:val="22"/>
              </w:rPr>
              <w:t>用力時會出現呼吸短促的現象，進行一般的日常活動時也會出現症狀。</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11686" w14:textId="77777777" w:rsidR="00BD776B" w:rsidRDefault="00DF0C24">
            <w:pPr>
              <w:snapToGrid w:val="0"/>
              <w:ind w:left="113" w:right="113"/>
            </w:pPr>
            <w:r>
              <w:rPr>
                <w:rFonts w:ascii="標楷體" w:eastAsia="標楷體" w:hAnsi="標楷體" w:cs="Arial"/>
                <w:sz w:val="22"/>
              </w:rPr>
              <w:t>2(或更高)</w:t>
            </w:r>
          </w:p>
        </w:tc>
      </w:tr>
      <w:tr w:rsidR="00BD776B" w14:paraId="557269D3"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46430" w14:textId="77777777" w:rsidR="00BD776B" w:rsidRDefault="00DF0C24">
            <w:pPr>
              <w:snapToGrid w:val="0"/>
              <w:ind w:left="113" w:right="113"/>
            </w:pPr>
            <w:r>
              <w:rPr>
                <w:rFonts w:ascii="標楷體" w:eastAsia="標楷體" w:hAnsi="標楷體" w:cs="Arial"/>
                <w:kern w:val="0"/>
                <w:sz w:val="22"/>
              </w:rPr>
              <w:t>肺炎/肺浸潤</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248E55" w14:textId="77777777" w:rsidR="00BD776B" w:rsidRDefault="00DF0C24">
            <w:pPr>
              <w:snapToGrid w:val="0"/>
              <w:ind w:left="113" w:right="113"/>
            </w:pPr>
            <w:r>
              <w:rPr>
                <w:rFonts w:ascii="標楷體" w:eastAsia="標楷體" w:hAnsi="標楷體" w:cs="Arial"/>
                <w:kern w:val="0"/>
                <w:sz w:val="22"/>
              </w:rPr>
              <w:t>X光檢查發現變化，且需使用類固醇或利尿劑治療。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52753" w14:textId="77777777" w:rsidR="00BD776B" w:rsidRDefault="00DF0C24">
            <w:pPr>
              <w:snapToGrid w:val="0"/>
              <w:ind w:left="113" w:right="113"/>
            </w:pPr>
            <w:r>
              <w:rPr>
                <w:rFonts w:ascii="標楷體" w:eastAsia="標楷體" w:hAnsi="標楷體" w:cs="Arial"/>
                <w:sz w:val="22"/>
              </w:rPr>
              <w:t>2(或更高)</w:t>
            </w:r>
          </w:p>
        </w:tc>
      </w:tr>
      <w:tr w:rsidR="00BD776B" w14:paraId="02FAAA2A"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2B938" w14:textId="77777777" w:rsidR="00BD776B" w:rsidRDefault="00DF0C24">
            <w:pPr>
              <w:snapToGrid w:val="0"/>
              <w:ind w:left="113" w:right="113"/>
            </w:pPr>
            <w:r>
              <w:rPr>
                <w:rFonts w:ascii="標楷體" w:eastAsia="標楷體" w:hAnsi="標楷體" w:cs="Arial"/>
                <w:kern w:val="0"/>
                <w:sz w:val="22"/>
              </w:rPr>
              <w:t>肺纖維化</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984C97" w14:textId="77777777" w:rsidR="00BD776B" w:rsidRDefault="00DF0C24">
            <w:pPr>
              <w:snapToGrid w:val="0"/>
              <w:ind w:left="113" w:right="113"/>
            </w:pPr>
            <w:r>
              <w:rPr>
                <w:rFonts w:ascii="標楷體" w:eastAsia="標楷體" w:hAnsi="標楷體" w:cs="Arial"/>
                <w:kern w:val="0"/>
                <w:sz w:val="22"/>
              </w:rPr>
              <w:t>需使用類固醇或利尿劑治療。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F4659" w14:textId="77777777" w:rsidR="00BD776B" w:rsidRDefault="00DF0C24">
            <w:pPr>
              <w:snapToGrid w:val="0"/>
              <w:ind w:left="113" w:right="113"/>
            </w:pPr>
            <w:r>
              <w:rPr>
                <w:rFonts w:ascii="標楷體" w:eastAsia="標楷體" w:hAnsi="標楷體" w:cs="Arial"/>
                <w:sz w:val="22"/>
              </w:rPr>
              <w:t>2(或更高)</w:t>
            </w:r>
          </w:p>
        </w:tc>
      </w:tr>
      <w:tr w:rsidR="00BD776B" w14:paraId="7E3767ED"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655EBAF6" w14:textId="77777777" w:rsidR="00BD776B" w:rsidRDefault="00DF0C24">
            <w:pPr>
              <w:snapToGrid w:val="0"/>
              <w:spacing w:before="60" w:after="60"/>
              <w:ind w:left="113" w:right="113"/>
              <w:rPr>
                <w:rFonts w:ascii="標楷體" w:eastAsia="標楷體" w:hAnsi="標楷體" w:cs="Arial"/>
                <w:b/>
                <w:sz w:val="28"/>
                <w:szCs w:val="28"/>
              </w:rPr>
            </w:pPr>
            <w:r>
              <w:rPr>
                <w:rFonts w:ascii="標楷體" w:eastAsia="標楷體" w:hAnsi="標楷體" w:cs="Arial"/>
                <w:b/>
                <w:sz w:val="28"/>
                <w:szCs w:val="28"/>
              </w:rPr>
              <w:t>腎臟</w:t>
            </w:r>
          </w:p>
        </w:tc>
      </w:tr>
      <w:tr w:rsidR="00BD776B" w14:paraId="236EEB66"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AE9E8"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尿素</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C3809"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2.5xULN</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E6113" w14:textId="77777777" w:rsidR="00BD776B" w:rsidRDefault="00DF0C24">
            <w:pPr>
              <w:snapToGrid w:val="0"/>
              <w:ind w:left="113" w:right="113"/>
            </w:pPr>
            <w:r>
              <w:rPr>
                <w:rFonts w:ascii="標楷體" w:eastAsia="標楷體" w:hAnsi="標楷體" w:cs="Arial"/>
                <w:sz w:val="22"/>
              </w:rPr>
              <w:t>2(或更高)</w:t>
            </w:r>
          </w:p>
        </w:tc>
      </w:tr>
      <w:tr w:rsidR="00BD776B" w14:paraId="56AD8F48"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496532"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膀胱炎</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BC1166"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經常排尿困難；有肉眼可見的血尿現象；細菌培養呈陰性反應。重新治療仍會再度發生。</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42E9F" w14:textId="77777777" w:rsidR="00BD776B" w:rsidRDefault="00DF0C24">
            <w:pPr>
              <w:snapToGrid w:val="0"/>
              <w:ind w:left="113" w:right="113"/>
            </w:pPr>
            <w:r>
              <w:rPr>
                <w:rFonts w:ascii="標楷體" w:eastAsia="標楷體" w:hAnsi="標楷體" w:cs="Arial"/>
                <w:sz w:val="22"/>
              </w:rPr>
              <w:t>2(或更高)</w:t>
            </w:r>
          </w:p>
        </w:tc>
      </w:tr>
      <w:tr w:rsidR="00BD776B" w14:paraId="7618ADF4"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EB15E"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血鉀升高</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C758C9" w14:textId="77777777" w:rsidR="00BD776B" w:rsidRDefault="00DF0C24">
            <w:pPr>
              <w:snapToGrid w:val="0"/>
              <w:ind w:left="113" w:right="113"/>
            </w:pPr>
            <w:r>
              <w:rPr>
                <w:rFonts w:ascii="標楷體" w:eastAsia="標楷體" w:hAnsi="標楷體" w:cs="Symbol"/>
                <w:kern w:val="0"/>
                <w:sz w:val="22"/>
              </w:rPr>
              <w:t></w:t>
            </w:r>
            <w:r>
              <w:rPr>
                <w:rFonts w:ascii="標楷體" w:eastAsia="標楷體" w:hAnsi="標楷體" w:cs="Arial"/>
                <w:kern w:val="0"/>
                <w:sz w:val="22"/>
              </w:rPr>
              <w:t>6.0mmol/L</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5F79B" w14:textId="77777777" w:rsidR="00BD776B" w:rsidRDefault="00DF0C24">
            <w:pPr>
              <w:snapToGrid w:val="0"/>
              <w:ind w:left="113" w:right="113"/>
            </w:pPr>
            <w:r>
              <w:rPr>
                <w:rFonts w:ascii="標楷體" w:eastAsia="標楷體" w:hAnsi="標楷體" w:cs="Arial"/>
                <w:sz w:val="22"/>
              </w:rPr>
              <w:t>3(或更高)</w:t>
            </w:r>
          </w:p>
        </w:tc>
      </w:tr>
      <w:tr w:rsidR="00BD776B" w14:paraId="039F7027"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D64FC5"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血尿</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BF0238"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血尿現象肉眼明顯可見。</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C50D63" w14:textId="77777777" w:rsidR="00BD776B" w:rsidRDefault="00DF0C24">
            <w:pPr>
              <w:snapToGrid w:val="0"/>
              <w:ind w:left="113" w:right="113"/>
            </w:pPr>
            <w:r>
              <w:rPr>
                <w:rFonts w:ascii="標楷體" w:eastAsia="標楷體" w:hAnsi="標楷體" w:cs="Arial"/>
                <w:sz w:val="22"/>
              </w:rPr>
              <w:t>2(或更高)</w:t>
            </w:r>
          </w:p>
        </w:tc>
      </w:tr>
      <w:tr w:rsidR="00BD776B" w14:paraId="12F6330B"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E2BD6"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水腫</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475E7"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膝部或較高的部位出現凹陷性水腫。</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BEB7F" w14:textId="77777777" w:rsidR="00BD776B" w:rsidRDefault="00DF0C24">
            <w:pPr>
              <w:snapToGrid w:val="0"/>
              <w:ind w:left="113" w:right="113"/>
            </w:pPr>
            <w:r>
              <w:rPr>
                <w:rFonts w:ascii="標楷體" w:eastAsia="標楷體" w:hAnsi="標楷體" w:cs="Arial"/>
                <w:sz w:val="22"/>
              </w:rPr>
              <w:t>3(或更高)</w:t>
            </w:r>
          </w:p>
        </w:tc>
      </w:tr>
      <w:tr w:rsidR="00BD776B" w14:paraId="6AE7762A"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0E08D"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蛋白尿</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33380"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2+級(含)以上(或1.0–3.5克/24小時)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B8AC4" w14:textId="77777777" w:rsidR="00BD776B" w:rsidRDefault="00DF0C24">
            <w:pPr>
              <w:snapToGrid w:val="0"/>
              <w:ind w:left="113" w:right="113"/>
            </w:pPr>
            <w:r>
              <w:rPr>
                <w:rFonts w:ascii="標楷體" w:eastAsia="標楷體" w:hAnsi="標楷體" w:cs="Arial"/>
                <w:sz w:val="22"/>
              </w:rPr>
              <w:t>2(或更高)</w:t>
            </w:r>
          </w:p>
        </w:tc>
      </w:tr>
      <w:tr w:rsidR="00BD776B" w14:paraId="3CBA5559"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D17ED" w14:textId="77777777" w:rsidR="00BD776B" w:rsidRDefault="00DF0C24">
            <w:pPr>
              <w:snapToGrid w:val="0"/>
              <w:ind w:left="113" w:right="113"/>
            </w:pPr>
            <w:r>
              <w:rPr>
                <w:rFonts w:ascii="標楷體" w:eastAsia="標楷體" w:hAnsi="標楷體" w:cs="Arial"/>
                <w:kern w:val="0"/>
                <w:sz w:val="22"/>
              </w:rPr>
              <w:t>腎功能損害</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7BC3E1" w14:textId="77777777" w:rsidR="00BD776B" w:rsidRDefault="00DF0C24">
            <w:pPr>
              <w:snapToGrid w:val="0"/>
              <w:ind w:left="113" w:right="113"/>
            </w:pPr>
            <w:r>
              <w:rPr>
                <w:rFonts w:ascii="標楷體" w:eastAsia="標楷體" w:hAnsi="標楷體" w:cs="Arial"/>
                <w:kern w:val="0"/>
                <w:sz w:val="22"/>
              </w:rPr>
              <w:t>肌酸酐廓清率&lt;30毫升/分鐘。</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164DFA" w14:textId="77777777" w:rsidR="00BD776B" w:rsidRDefault="00DF0C24">
            <w:pPr>
              <w:snapToGrid w:val="0"/>
              <w:ind w:left="113" w:right="113"/>
            </w:pPr>
            <w:r>
              <w:rPr>
                <w:rFonts w:ascii="標楷體" w:eastAsia="標楷體" w:hAnsi="標楷體" w:cs="Arial"/>
                <w:sz w:val="22"/>
              </w:rPr>
              <w:t>3(或更高)</w:t>
            </w:r>
          </w:p>
        </w:tc>
      </w:tr>
      <w:tr w:rsidR="00BD776B" w14:paraId="0179AE83" w14:textId="77777777">
        <w:tc>
          <w:tcPr>
            <w:tcW w:w="9564" w:type="dxa"/>
            <w:gridSpan w:val="3"/>
            <w:tcBorders>
              <w:top w:val="single" w:sz="4" w:space="0" w:color="000000"/>
              <w:left w:val="single" w:sz="4" w:space="0" w:color="000000"/>
              <w:bottom w:val="single" w:sz="4" w:space="0" w:color="000000"/>
              <w:right w:val="single" w:sz="4" w:space="0" w:color="000000"/>
            </w:tcBorders>
            <w:shd w:val="clear" w:color="auto" w:fill="68B1E2"/>
            <w:tcMar>
              <w:top w:w="0" w:type="dxa"/>
              <w:left w:w="0" w:type="dxa"/>
              <w:bottom w:w="0" w:type="dxa"/>
              <w:right w:w="0" w:type="dxa"/>
            </w:tcMar>
          </w:tcPr>
          <w:p w14:paraId="536915E4" w14:textId="77777777" w:rsidR="00BD776B" w:rsidRDefault="00DF0C24">
            <w:pPr>
              <w:snapToGrid w:val="0"/>
              <w:spacing w:before="60" w:after="60"/>
              <w:ind w:left="113" w:right="113"/>
            </w:pPr>
            <w:r>
              <w:rPr>
                <w:rFonts w:ascii="標楷體" w:eastAsia="標楷體" w:hAnsi="標楷體" w:cs="Arial"/>
                <w:b/>
                <w:sz w:val="28"/>
                <w:szCs w:val="28"/>
              </w:rPr>
              <w:t>其它</w:t>
            </w:r>
          </w:p>
        </w:tc>
      </w:tr>
      <w:tr w:rsidR="00BD776B" w14:paraId="6908DDFE"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89389" w14:textId="77777777" w:rsidR="00BD776B" w:rsidRDefault="00DF0C24">
            <w:pPr>
              <w:snapToGrid w:val="0"/>
              <w:ind w:left="113" w:right="113"/>
            </w:pPr>
            <w:r>
              <w:rPr>
                <w:rFonts w:ascii="標楷體" w:eastAsia="標楷體" w:hAnsi="標楷體" w:cs="Arial"/>
                <w:kern w:val="0"/>
                <w:sz w:val="22"/>
              </w:rPr>
              <w:t>過敏</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0AE3D" w14:textId="77777777" w:rsidR="00BD776B" w:rsidRDefault="00DF0C24">
            <w:pPr>
              <w:snapToGrid w:val="0"/>
              <w:ind w:left="113" w:right="113"/>
            </w:pPr>
            <w:r>
              <w:rPr>
                <w:rFonts w:ascii="標楷體" w:eastAsia="標楷體" w:hAnsi="標楷體" w:cs="Arial"/>
                <w:kern w:val="0"/>
                <w:sz w:val="22"/>
              </w:rPr>
              <w:t>蕁麻疹、藥物熱&gt;38°C、或支氣管痙攣。</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9135D" w14:textId="77777777" w:rsidR="00BD776B" w:rsidRDefault="00DF0C24">
            <w:pPr>
              <w:snapToGrid w:val="0"/>
              <w:ind w:left="113" w:right="113"/>
            </w:pPr>
            <w:r>
              <w:rPr>
                <w:rFonts w:ascii="標楷體" w:eastAsia="標楷體" w:hAnsi="標楷體" w:cs="Arial"/>
                <w:sz w:val="22"/>
              </w:rPr>
              <w:t>2(或更高)</w:t>
            </w:r>
          </w:p>
        </w:tc>
      </w:tr>
      <w:tr w:rsidR="00BD776B" w14:paraId="35DCBFA1"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393D9B" w14:textId="77777777" w:rsidR="00BD776B" w:rsidRDefault="00DF0C24">
            <w:pPr>
              <w:snapToGrid w:val="0"/>
              <w:ind w:left="113" w:right="113"/>
            </w:pPr>
            <w:r>
              <w:rPr>
                <w:rFonts w:ascii="標楷體" w:eastAsia="標楷體" w:hAnsi="標楷體" w:cs="Arial"/>
                <w:kern w:val="0"/>
                <w:sz w:val="22"/>
              </w:rPr>
              <w:t>發燒(未出現嗜中性白血球減少的現象)</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FD1F19" w14:textId="77777777" w:rsidR="00BD776B" w:rsidRDefault="00DF0C24">
            <w:pPr>
              <w:snapToGrid w:val="0"/>
              <w:ind w:left="113" w:right="113"/>
            </w:pPr>
            <w:r>
              <w:rPr>
                <w:rFonts w:ascii="標楷體" w:eastAsia="標楷體" w:hAnsi="標楷體" w:cs="Arial"/>
                <w:kern w:val="0"/>
                <w:sz w:val="22"/>
              </w:rPr>
              <w:t>體溫&gt;39°C(口溫或耳溫)。</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9F0055" w14:textId="77777777" w:rsidR="00BD776B" w:rsidRDefault="00DF0C24">
            <w:pPr>
              <w:snapToGrid w:val="0"/>
              <w:ind w:left="113" w:right="113"/>
            </w:pPr>
            <w:r>
              <w:rPr>
                <w:rFonts w:ascii="標楷體" w:eastAsia="標楷體" w:hAnsi="標楷體" w:cs="Arial"/>
                <w:sz w:val="22"/>
              </w:rPr>
              <w:t>2(或更高)</w:t>
            </w:r>
          </w:p>
        </w:tc>
      </w:tr>
      <w:tr w:rsidR="00BD776B" w14:paraId="73670A97"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B05BFA" w14:textId="77777777" w:rsidR="00BD776B" w:rsidRDefault="00DF0C24">
            <w:pPr>
              <w:snapToGrid w:val="0"/>
              <w:ind w:left="113" w:right="113"/>
            </w:pPr>
            <w:r>
              <w:rPr>
                <w:rFonts w:ascii="標楷體" w:eastAsia="標楷體" w:hAnsi="標楷體" w:cs="Arial"/>
                <w:kern w:val="0"/>
                <w:sz w:val="22"/>
              </w:rPr>
              <w:t>感染</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C57384" w14:textId="77777777" w:rsidR="00BD776B" w:rsidRDefault="00DF0C24">
            <w:pPr>
              <w:snapToGrid w:val="0"/>
              <w:ind w:left="113" w:right="113"/>
            </w:pPr>
            <w:r>
              <w:rPr>
                <w:rFonts w:ascii="標楷體" w:eastAsia="標楷體" w:hAnsi="標楷體" w:cs="Arial"/>
                <w:kern w:val="0"/>
                <w:sz w:val="22"/>
              </w:rPr>
              <w:t>嚴重的全身性感染，需接受IV抗菌治療或住院治療。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D65CC" w14:textId="77777777" w:rsidR="00BD776B" w:rsidRDefault="00DF0C24">
            <w:pPr>
              <w:snapToGrid w:val="0"/>
              <w:ind w:left="113" w:right="113"/>
            </w:pPr>
            <w:r>
              <w:rPr>
                <w:rFonts w:ascii="標楷體" w:eastAsia="標楷體" w:hAnsi="標楷體" w:cs="Arial"/>
                <w:sz w:val="22"/>
              </w:rPr>
              <w:t>3(或更高)</w:t>
            </w:r>
          </w:p>
        </w:tc>
      </w:tr>
      <w:tr w:rsidR="00BD776B" w14:paraId="4A610292" w14:textId="77777777">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E27A2"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冒汗</w:t>
            </w:r>
          </w:p>
        </w:tc>
        <w:tc>
          <w:tcPr>
            <w:tcW w:w="60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135787" w14:textId="77777777" w:rsidR="00BD776B" w:rsidRDefault="00DF0C24">
            <w:pPr>
              <w:snapToGrid w:val="0"/>
              <w:ind w:left="113" w:right="113"/>
              <w:rPr>
                <w:rFonts w:ascii="標楷體" w:eastAsia="標楷體" w:hAnsi="標楷體" w:cs="Arial"/>
                <w:kern w:val="0"/>
                <w:sz w:val="22"/>
              </w:rPr>
            </w:pPr>
            <w:r>
              <w:rPr>
                <w:rFonts w:ascii="標楷體" w:eastAsia="標楷體" w:hAnsi="標楷體" w:cs="Arial"/>
                <w:kern w:val="0"/>
                <w:sz w:val="22"/>
              </w:rPr>
              <w:t>經常發生，並會汗濕全身，72小時內發生&gt;4次。</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11C28A" w14:textId="77777777" w:rsidR="00BD776B" w:rsidRDefault="00DF0C24">
            <w:pPr>
              <w:snapToGrid w:val="0"/>
              <w:ind w:left="113" w:right="113"/>
            </w:pPr>
            <w:r>
              <w:rPr>
                <w:rFonts w:ascii="標楷體" w:eastAsia="標楷體" w:hAnsi="標楷體" w:cs="Arial"/>
                <w:sz w:val="22"/>
              </w:rPr>
              <w:t>2(或更高)</w:t>
            </w:r>
          </w:p>
        </w:tc>
      </w:tr>
    </w:tbl>
    <w:p w14:paraId="06AC7E19" w14:textId="77777777" w:rsidR="00BD776B" w:rsidRDefault="00BD776B">
      <w:pPr>
        <w:snapToGrid w:val="0"/>
        <w:rPr>
          <w:rFonts w:ascii="標楷體" w:eastAsia="標楷體" w:hAnsi="標楷體" w:cs="Arial"/>
        </w:rPr>
      </w:pPr>
    </w:p>
    <w:p w14:paraId="226E3D81" w14:textId="77777777" w:rsidR="00BD776B" w:rsidRDefault="00BD776B">
      <w:pPr>
        <w:pageBreakBefore/>
        <w:widowControl/>
        <w:suppressAutoHyphens w:val="0"/>
        <w:rPr>
          <w:rFonts w:ascii="標楷體" w:eastAsia="標楷體" w:hAnsi="標楷體" w:cs="Arial"/>
        </w:rPr>
      </w:pPr>
    </w:p>
    <w:p w14:paraId="1C41AF5C" w14:textId="77777777" w:rsidR="004A3E16" w:rsidRPr="004A3E16" w:rsidRDefault="004A3E16" w:rsidP="004A3E16">
      <w:pPr>
        <w:widowControl/>
        <w:jc w:val="center"/>
        <w:rPr>
          <w:rFonts w:ascii="標楷體" w:eastAsia="標楷體" w:hAnsi="標楷體"/>
          <w:szCs w:val="24"/>
        </w:rPr>
      </w:pPr>
      <w:r w:rsidRPr="004A3E16">
        <w:rPr>
          <w:rFonts w:ascii="標楷體" w:eastAsia="標楷體" w:hAnsi="標楷體" w:hint="eastAsia"/>
          <w:szCs w:val="24"/>
        </w:rPr>
        <w:t>附表二十二之六：全民健康保險乾癬性周邊關節炎使用</w:t>
      </w:r>
    </w:p>
    <w:p w14:paraId="1EF10C27" w14:textId="77777777" w:rsidR="004A3E16" w:rsidRPr="004A3E16" w:rsidRDefault="004A3E16" w:rsidP="004A3E16">
      <w:pPr>
        <w:widowControl/>
        <w:jc w:val="center"/>
        <w:rPr>
          <w:rFonts w:ascii="標楷體" w:eastAsia="標楷體" w:hAnsi="標楷體"/>
          <w:szCs w:val="24"/>
        </w:rPr>
      </w:pPr>
      <w:r w:rsidRPr="004A3E16">
        <w:rPr>
          <w:rFonts w:ascii="標楷體" w:eastAsia="標楷體" w:hAnsi="標楷體" w:hint="eastAsia"/>
          <w:szCs w:val="24"/>
        </w:rPr>
        <w:t>ustekinumab/guselkumab/risankizumab申請表(第一頁)</w:t>
      </w:r>
    </w:p>
    <w:tbl>
      <w:tblPr>
        <w:tblW w:w="9930" w:type="dxa"/>
        <w:tblCellSpacing w:w="7" w:type="dxa"/>
        <w:tblCellMar>
          <w:top w:w="15" w:type="dxa"/>
          <w:left w:w="15" w:type="dxa"/>
          <w:bottom w:w="15" w:type="dxa"/>
          <w:right w:w="15" w:type="dxa"/>
        </w:tblCellMar>
        <w:tblLook w:val="04A0" w:firstRow="1" w:lastRow="0" w:firstColumn="1" w:lastColumn="0" w:noHBand="0" w:noVBand="1"/>
      </w:tblPr>
      <w:tblGrid>
        <w:gridCol w:w="1560"/>
        <w:gridCol w:w="1524"/>
        <w:gridCol w:w="1388"/>
        <w:gridCol w:w="470"/>
        <w:gridCol w:w="1114"/>
        <w:gridCol w:w="1025"/>
        <w:gridCol w:w="2849"/>
      </w:tblGrid>
      <w:tr w:rsidR="004A3E16" w:rsidRPr="004A3E16" w14:paraId="6B01276A" w14:textId="77777777" w:rsidTr="00590552">
        <w:trPr>
          <w:trHeight w:val="300"/>
          <w:tblCellSpacing w:w="7" w:type="dxa"/>
        </w:trPr>
        <w:tc>
          <w:tcPr>
            <w:tcW w:w="1530" w:type="dxa"/>
            <w:tcBorders>
              <w:top w:val="double" w:sz="6" w:space="0" w:color="000000"/>
              <w:left w:val="double" w:sz="6" w:space="0" w:color="000000"/>
              <w:bottom w:val="single" w:sz="6" w:space="0" w:color="000000"/>
              <w:right w:val="single" w:sz="6" w:space="0" w:color="000000"/>
            </w:tcBorders>
            <w:tcMar>
              <w:top w:w="0" w:type="dxa"/>
              <w:left w:w="28" w:type="dxa"/>
              <w:bottom w:w="0" w:type="dxa"/>
              <w:right w:w="28" w:type="dxa"/>
            </w:tcMar>
            <w:hideMark/>
          </w:tcPr>
          <w:p w14:paraId="206C02B2"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醫院代號</w:t>
            </w:r>
          </w:p>
        </w:tc>
        <w:tc>
          <w:tcPr>
            <w:tcW w:w="1500"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AB027ED"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365"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2F890F5"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醫院名稱</w:t>
            </w:r>
          </w:p>
        </w:tc>
        <w:tc>
          <w:tcPr>
            <w:tcW w:w="1560" w:type="dxa"/>
            <w:gridSpan w:val="2"/>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4DDC306"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005"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A8F839E"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申請日期</w:t>
            </w:r>
          </w:p>
        </w:tc>
        <w:tc>
          <w:tcPr>
            <w:tcW w:w="2655" w:type="dxa"/>
            <w:tcBorders>
              <w:top w:val="double" w:sz="6" w:space="0" w:color="000000"/>
              <w:left w:val="single" w:sz="6" w:space="0" w:color="000000"/>
              <w:bottom w:val="single" w:sz="6" w:space="0" w:color="000000"/>
              <w:right w:val="double" w:sz="6" w:space="0" w:color="000000"/>
            </w:tcBorders>
            <w:tcMar>
              <w:top w:w="0" w:type="dxa"/>
              <w:left w:w="28" w:type="dxa"/>
              <w:bottom w:w="0" w:type="dxa"/>
              <w:right w:w="28" w:type="dxa"/>
            </w:tcMar>
            <w:hideMark/>
          </w:tcPr>
          <w:p w14:paraId="0EB904FD"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r>
      <w:tr w:rsidR="004A3E16" w:rsidRPr="004A3E16" w14:paraId="35E4BEEC" w14:textId="77777777" w:rsidTr="00590552">
        <w:trPr>
          <w:trHeight w:val="285"/>
          <w:tblCellSpacing w:w="7" w:type="dxa"/>
        </w:trPr>
        <w:tc>
          <w:tcPr>
            <w:tcW w:w="1530" w:type="dxa"/>
            <w:tcBorders>
              <w:top w:val="single" w:sz="6" w:space="0" w:color="000000"/>
              <w:left w:val="double" w:sz="6" w:space="0" w:color="000000"/>
              <w:bottom w:val="single" w:sz="6" w:space="0" w:color="000000"/>
              <w:right w:val="single" w:sz="6" w:space="0" w:color="000000"/>
            </w:tcBorders>
            <w:tcMar>
              <w:top w:w="0" w:type="dxa"/>
              <w:left w:w="28" w:type="dxa"/>
              <w:bottom w:w="0" w:type="dxa"/>
              <w:right w:w="28" w:type="dxa"/>
            </w:tcMar>
            <w:hideMark/>
          </w:tcPr>
          <w:p w14:paraId="2651EE9E"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病人姓名</w:t>
            </w:r>
          </w:p>
        </w:tc>
        <w:tc>
          <w:tcPr>
            <w:tcW w:w="15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03BE676"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3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5050627"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性別</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CC9AC02"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FD89826"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出生日期</w:t>
            </w:r>
          </w:p>
        </w:tc>
        <w:tc>
          <w:tcPr>
            <w:tcW w:w="2655" w:type="dxa"/>
            <w:tcBorders>
              <w:top w:val="single" w:sz="6" w:space="0" w:color="000000"/>
              <w:left w:val="single" w:sz="6" w:space="0" w:color="000000"/>
              <w:bottom w:val="single" w:sz="6" w:space="0" w:color="000000"/>
              <w:right w:val="double" w:sz="6" w:space="0" w:color="000000"/>
            </w:tcBorders>
            <w:tcMar>
              <w:top w:w="0" w:type="dxa"/>
              <w:left w:w="28" w:type="dxa"/>
              <w:bottom w:w="0" w:type="dxa"/>
              <w:right w:w="28" w:type="dxa"/>
            </w:tcMar>
            <w:hideMark/>
          </w:tcPr>
          <w:p w14:paraId="4351D853"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r>
      <w:tr w:rsidR="004A3E16" w:rsidRPr="004A3E16" w14:paraId="050EC766" w14:textId="77777777" w:rsidTr="00590552">
        <w:trPr>
          <w:trHeight w:val="315"/>
          <w:tblCellSpacing w:w="7" w:type="dxa"/>
        </w:trPr>
        <w:tc>
          <w:tcPr>
            <w:tcW w:w="1530" w:type="dxa"/>
            <w:tcBorders>
              <w:top w:val="single" w:sz="6" w:space="0" w:color="000000"/>
              <w:left w:val="double" w:sz="6" w:space="0" w:color="000000"/>
              <w:bottom w:val="single" w:sz="6" w:space="0" w:color="000000"/>
              <w:right w:val="single" w:sz="6" w:space="0" w:color="000000"/>
            </w:tcBorders>
            <w:tcMar>
              <w:top w:w="0" w:type="dxa"/>
              <w:left w:w="28" w:type="dxa"/>
              <w:bottom w:w="0" w:type="dxa"/>
              <w:right w:w="28" w:type="dxa"/>
            </w:tcMar>
            <w:hideMark/>
          </w:tcPr>
          <w:p w14:paraId="237D2440"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身分證號</w:t>
            </w:r>
          </w:p>
        </w:tc>
        <w:tc>
          <w:tcPr>
            <w:tcW w:w="15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2E46DCA"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3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0549D3F"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病歷號碼</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92162F0"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005" w:type="dxa"/>
            <w:vMerge w:val="restart"/>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vAlign w:val="center"/>
            <w:hideMark/>
          </w:tcPr>
          <w:p w14:paraId="00DD5DFE"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使用期間</w:t>
            </w:r>
          </w:p>
        </w:tc>
        <w:tc>
          <w:tcPr>
            <w:tcW w:w="2655" w:type="dxa"/>
            <w:tcBorders>
              <w:top w:val="single" w:sz="6" w:space="0" w:color="000000"/>
              <w:left w:val="single" w:sz="6" w:space="0" w:color="000000"/>
              <w:bottom w:val="single" w:sz="6" w:space="0" w:color="000000"/>
              <w:right w:val="double" w:sz="6" w:space="0" w:color="000000"/>
            </w:tcBorders>
            <w:tcMar>
              <w:top w:w="0" w:type="dxa"/>
              <w:left w:w="28" w:type="dxa"/>
              <w:bottom w:w="0" w:type="dxa"/>
              <w:right w:w="28" w:type="dxa"/>
            </w:tcMar>
            <w:hideMark/>
          </w:tcPr>
          <w:p w14:paraId="476B93B8"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自　　年　　月　　日</w:t>
            </w:r>
          </w:p>
        </w:tc>
      </w:tr>
      <w:tr w:rsidR="004A3E16" w:rsidRPr="004A3E16" w14:paraId="20E9561A" w14:textId="77777777" w:rsidTr="00590552">
        <w:trPr>
          <w:trHeight w:val="285"/>
          <w:tblCellSpacing w:w="7" w:type="dxa"/>
        </w:trPr>
        <w:tc>
          <w:tcPr>
            <w:tcW w:w="1530" w:type="dxa"/>
            <w:tcBorders>
              <w:top w:val="single" w:sz="6" w:space="0" w:color="000000"/>
              <w:left w:val="double" w:sz="6" w:space="0" w:color="000000"/>
              <w:bottom w:val="double" w:sz="6" w:space="0" w:color="000000"/>
              <w:right w:val="single" w:sz="6" w:space="0" w:color="000000"/>
            </w:tcBorders>
            <w:tcMar>
              <w:top w:w="0" w:type="dxa"/>
              <w:left w:w="28" w:type="dxa"/>
              <w:bottom w:w="0" w:type="dxa"/>
              <w:right w:w="28" w:type="dxa"/>
            </w:tcMar>
            <w:hideMark/>
          </w:tcPr>
          <w:p w14:paraId="230452EC"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藥品代碼</w:t>
            </w:r>
          </w:p>
        </w:tc>
        <w:tc>
          <w:tcPr>
            <w:tcW w:w="1500" w:type="dxa"/>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77EDEA6B"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365" w:type="dxa"/>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7D46FE08"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用法用量</w:t>
            </w:r>
          </w:p>
        </w:tc>
        <w:tc>
          <w:tcPr>
            <w:tcW w:w="1560" w:type="dxa"/>
            <w:gridSpan w:val="2"/>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278C8027"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c>
          <w:tcPr>
            <w:tcW w:w="0" w:type="auto"/>
            <w:vMerge/>
            <w:tcBorders>
              <w:top w:val="single" w:sz="6" w:space="0" w:color="000000"/>
              <w:left w:val="single" w:sz="6" w:space="0" w:color="000000"/>
              <w:bottom w:val="double" w:sz="6" w:space="0" w:color="000000"/>
              <w:right w:val="single" w:sz="6" w:space="0" w:color="000000"/>
            </w:tcBorders>
            <w:vAlign w:val="center"/>
            <w:hideMark/>
          </w:tcPr>
          <w:p w14:paraId="541D2CC3" w14:textId="77777777" w:rsidR="004A3E16" w:rsidRPr="004A3E16" w:rsidRDefault="004A3E16" w:rsidP="004A3E16">
            <w:pPr>
              <w:suppressAutoHyphens w:val="0"/>
              <w:autoSpaceDN/>
              <w:textAlignment w:val="auto"/>
              <w:rPr>
                <w:rFonts w:ascii="新細明體" w:hAnsi="新細明體"/>
                <w:szCs w:val="24"/>
              </w:rPr>
            </w:pPr>
          </w:p>
        </w:tc>
        <w:tc>
          <w:tcPr>
            <w:tcW w:w="2655" w:type="dxa"/>
            <w:tcBorders>
              <w:top w:val="single" w:sz="6" w:space="0" w:color="000000"/>
              <w:left w:val="single" w:sz="6" w:space="0" w:color="000000"/>
              <w:bottom w:val="double" w:sz="6" w:space="0" w:color="000000"/>
              <w:right w:val="double" w:sz="6" w:space="0" w:color="000000"/>
            </w:tcBorders>
            <w:tcMar>
              <w:top w:w="0" w:type="dxa"/>
              <w:left w:w="28" w:type="dxa"/>
              <w:bottom w:w="0" w:type="dxa"/>
              <w:right w:w="28" w:type="dxa"/>
            </w:tcMar>
            <w:hideMark/>
          </w:tcPr>
          <w:p w14:paraId="7E4B1173"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標楷體" w:eastAsia="標楷體" w:hAnsi="標楷體" w:cs="新細明體"/>
                <w:kern w:val="0"/>
                <w:sz w:val="20"/>
                <w:szCs w:val="20"/>
              </w:rPr>
              <w:t>至　　年　　月　　日</w:t>
            </w:r>
          </w:p>
        </w:tc>
      </w:tr>
      <w:tr w:rsidR="004A3E16" w:rsidRPr="004A3E16" w14:paraId="5CA1C687" w14:textId="77777777" w:rsidTr="00590552">
        <w:trPr>
          <w:trHeight w:val="2175"/>
          <w:tblCellSpacing w:w="7" w:type="dxa"/>
        </w:trPr>
        <w:tc>
          <w:tcPr>
            <w:tcW w:w="9840" w:type="dxa"/>
            <w:gridSpan w:val="7"/>
            <w:tcBorders>
              <w:top w:val="double" w:sz="4" w:space="0" w:color="000000"/>
              <w:left w:val="double" w:sz="4" w:space="0" w:color="000000"/>
              <w:bottom w:val="single" w:sz="6" w:space="0" w:color="000000"/>
              <w:right w:val="double" w:sz="4" w:space="0" w:color="000000"/>
            </w:tcBorders>
            <w:tcMar>
              <w:top w:w="0" w:type="dxa"/>
              <w:left w:w="28" w:type="dxa"/>
              <w:bottom w:w="0" w:type="dxa"/>
              <w:right w:w="28" w:type="dxa"/>
            </w:tcMar>
            <w:hideMark/>
          </w:tcPr>
          <w:p w14:paraId="3298D786" w14:textId="77777777" w:rsidR="004A3E16" w:rsidRPr="004A3E16" w:rsidRDefault="004A3E16" w:rsidP="004A3E16">
            <w:pPr>
              <w:widowControl/>
              <w:suppressAutoHyphens w:val="0"/>
              <w:autoSpaceDN/>
              <w:spacing w:before="100" w:beforeAutospacing="1" w:after="100" w:afterAutospacing="1"/>
              <w:ind w:left="188" w:hangingChars="94" w:hanging="188"/>
              <w:textAlignment w:val="auto"/>
              <w:rPr>
                <w:rFonts w:ascii="標楷體" w:eastAsia="標楷體" w:hAnsi="標楷體" w:cs="新細明體"/>
                <w:kern w:val="0"/>
                <w:sz w:val="20"/>
                <w:szCs w:val="20"/>
              </w:rPr>
            </w:pPr>
            <w:r w:rsidRPr="004A3E16">
              <w:rPr>
                <w:rFonts w:ascii="標楷體" w:eastAsia="標楷體" w:hAnsi="標楷體" w:cs="新細明體"/>
                <w:kern w:val="0"/>
                <w:sz w:val="20"/>
                <w:szCs w:val="20"/>
              </w:rPr>
              <w:t>符合抗腫瘤壞死因子（</w:t>
            </w:r>
            <w:r w:rsidRPr="004A3E16">
              <w:rPr>
                <w:rFonts w:ascii="Times New Roman" w:hAnsi="Times New Roman"/>
                <w:kern w:val="0"/>
                <w:sz w:val="20"/>
                <w:szCs w:val="20"/>
              </w:rPr>
              <w:t>anti-TNF</w:t>
            </w:r>
            <w:r w:rsidRPr="004A3E16">
              <w:rPr>
                <w:rFonts w:ascii="標楷體" w:eastAsia="標楷體" w:hAnsi="標楷體" w:cs="新細明體"/>
                <w:kern w:val="0"/>
                <w:sz w:val="20"/>
                <w:szCs w:val="20"/>
              </w:rPr>
              <w:t>）、</w:t>
            </w:r>
            <w:r w:rsidRPr="004A3E16">
              <w:rPr>
                <w:rFonts w:ascii="Times New Roman" w:hAnsi="Times New Roman"/>
                <w:kern w:val="0"/>
                <w:sz w:val="20"/>
                <w:szCs w:val="20"/>
              </w:rPr>
              <w:t>secukinumab</w:t>
            </w:r>
            <w:r w:rsidRPr="004A3E16">
              <w:rPr>
                <w:rFonts w:ascii="標楷體" w:eastAsia="標楷體" w:hAnsi="標楷體" w:cs="新細明體"/>
                <w:kern w:val="0"/>
                <w:sz w:val="20"/>
                <w:szCs w:val="20"/>
              </w:rPr>
              <w:t>、</w:t>
            </w:r>
            <w:r w:rsidRPr="004A3E16">
              <w:rPr>
                <w:rFonts w:ascii="Times New Roman" w:hAnsi="Times New Roman"/>
                <w:kern w:val="0"/>
                <w:sz w:val="20"/>
                <w:szCs w:val="20"/>
              </w:rPr>
              <w:t>ixekizumab</w:t>
            </w:r>
            <w:r w:rsidRPr="004A3E16">
              <w:rPr>
                <w:rFonts w:ascii="新細明體" w:hAnsi="新細明體" w:cs="新細明體"/>
                <w:kern w:val="0"/>
                <w:szCs w:val="24"/>
              </w:rPr>
              <w:t>、</w:t>
            </w:r>
            <w:r w:rsidRPr="004A3E16">
              <w:rPr>
                <w:rFonts w:ascii="Times New Roman" w:hAnsi="Times New Roman"/>
                <w:kern w:val="0"/>
                <w:sz w:val="20"/>
                <w:szCs w:val="20"/>
              </w:rPr>
              <w:t>tofacitinib</w:t>
            </w:r>
            <w:r w:rsidRPr="004A3E16">
              <w:rPr>
                <w:rFonts w:ascii="標楷體" w:eastAsia="標楷體" w:hAnsi="標楷體" w:cs="新細明體"/>
                <w:kern w:val="0"/>
                <w:sz w:val="20"/>
                <w:szCs w:val="20"/>
              </w:rPr>
              <w:t>、</w:t>
            </w:r>
            <w:r w:rsidRPr="004A3E16">
              <w:rPr>
                <w:rFonts w:ascii="Times New Roman" w:hAnsi="Times New Roman"/>
                <w:kern w:val="0"/>
                <w:sz w:val="20"/>
                <w:szCs w:val="20"/>
              </w:rPr>
              <w:t>upadacitinib</w:t>
            </w:r>
            <w:r w:rsidRPr="004A3E16">
              <w:rPr>
                <w:rFonts w:ascii="標楷體" w:eastAsia="標楷體" w:hAnsi="標楷體" w:cs="新細明體"/>
                <w:kern w:val="0"/>
                <w:sz w:val="20"/>
                <w:szCs w:val="20"/>
              </w:rPr>
              <w:t>或</w:t>
            </w:r>
            <w:r w:rsidRPr="004A3E16">
              <w:rPr>
                <w:rFonts w:ascii="Times New Roman" w:hAnsi="Times New Roman"/>
                <w:color w:val="000000"/>
                <w:kern w:val="0"/>
                <w:sz w:val="20"/>
                <w:szCs w:val="20"/>
              </w:rPr>
              <w:t>brodalumab</w:t>
            </w:r>
            <w:r w:rsidRPr="004A3E16">
              <w:rPr>
                <w:rFonts w:ascii="標楷體" w:eastAsia="標楷體" w:hAnsi="標楷體" w:cs="新細明體"/>
                <w:kern w:val="0"/>
                <w:sz w:val="20"/>
                <w:szCs w:val="20"/>
              </w:rPr>
              <w:t>未達療效療效定義：治療</w:t>
            </w:r>
            <w:r w:rsidRPr="004A3E16">
              <w:rPr>
                <w:rFonts w:ascii="Times New Roman" w:hAnsi="Times New Roman"/>
                <w:kern w:val="0"/>
                <w:sz w:val="20"/>
                <w:szCs w:val="20"/>
              </w:rPr>
              <w:t>12</w:t>
            </w:r>
            <w:r w:rsidRPr="004A3E16">
              <w:rPr>
                <w:rFonts w:ascii="標楷體" w:eastAsia="標楷體" w:hAnsi="標楷體" w:cs="新細明體"/>
                <w:kern w:val="0"/>
                <w:sz w:val="20"/>
                <w:szCs w:val="20"/>
              </w:rPr>
              <w:t>週後，評估乾癬關節炎反應標準﹝附表二十二之三﹞，其標準為下列四項中至少有二項較原基礎值改善，且其中一項需為疼痛關節或腫脹關節的關節總數，且下述各種指標不得有任一項惡化。</w:t>
            </w:r>
          </w:p>
          <w:p w14:paraId="2C90EC60" w14:textId="77777777" w:rsidR="004A3E16" w:rsidRPr="004A3E16" w:rsidRDefault="004A3E16" w:rsidP="004A3E16">
            <w:pPr>
              <w:widowControl/>
              <w:suppressAutoHyphens w:val="0"/>
              <w:autoSpaceDN/>
              <w:spacing w:before="100" w:beforeAutospacing="1" w:after="100" w:afterAutospacing="1"/>
              <w:ind w:leftChars="137" w:left="329"/>
              <w:textAlignment w:val="auto"/>
              <w:rPr>
                <w:rFonts w:ascii="標楷體" w:eastAsia="標楷體" w:hAnsi="標楷體" w:cs="新細明體"/>
                <w:kern w:val="0"/>
                <w:sz w:val="20"/>
                <w:szCs w:val="20"/>
              </w:rPr>
            </w:pPr>
            <w:r w:rsidRPr="004A3E16">
              <w:rPr>
                <w:rFonts w:ascii="標楷體" w:eastAsia="標楷體" w:hAnsi="標楷體" w:cs="新細明體"/>
                <w:kern w:val="0"/>
                <w:sz w:val="20"/>
                <w:szCs w:val="20"/>
              </w:rPr>
              <w:t>□ 疼痛關節的關節總數較原基礎值改善。</w:t>
            </w:r>
          </w:p>
          <w:p w14:paraId="4EC8D74C" w14:textId="77777777" w:rsidR="004A3E16" w:rsidRPr="004A3E16" w:rsidRDefault="004A3E16" w:rsidP="004A3E16">
            <w:pPr>
              <w:widowControl/>
              <w:suppressAutoHyphens w:val="0"/>
              <w:autoSpaceDN/>
              <w:spacing w:before="100" w:beforeAutospacing="1" w:after="100" w:afterAutospacing="1"/>
              <w:ind w:leftChars="137" w:left="329"/>
              <w:textAlignment w:val="auto"/>
              <w:rPr>
                <w:rFonts w:ascii="標楷體" w:eastAsia="標楷體" w:hAnsi="標楷體" w:cs="新細明體"/>
                <w:kern w:val="0"/>
                <w:sz w:val="20"/>
                <w:szCs w:val="20"/>
              </w:rPr>
            </w:pPr>
            <w:r w:rsidRPr="004A3E16">
              <w:rPr>
                <w:rFonts w:ascii="標楷體" w:eastAsia="標楷體" w:hAnsi="標楷體" w:cs="新細明體"/>
                <w:kern w:val="0"/>
                <w:sz w:val="20"/>
                <w:szCs w:val="20"/>
              </w:rPr>
              <w:t>□ 腫脹關節的關節總數較原基礎值改善。</w:t>
            </w:r>
          </w:p>
          <w:p w14:paraId="09F84FD6" w14:textId="77777777" w:rsidR="004A3E16" w:rsidRPr="004A3E16" w:rsidRDefault="004A3E16" w:rsidP="004A3E16">
            <w:pPr>
              <w:widowControl/>
              <w:suppressAutoHyphens w:val="0"/>
              <w:autoSpaceDN/>
              <w:spacing w:before="100" w:beforeAutospacing="1" w:after="100" w:afterAutospacing="1"/>
              <w:ind w:leftChars="137" w:left="329"/>
              <w:textAlignment w:val="auto"/>
              <w:rPr>
                <w:rFonts w:ascii="標楷體" w:eastAsia="標楷體" w:hAnsi="標楷體" w:cs="新細明體"/>
                <w:kern w:val="0"/>
                <w:sz w:val="20"/>
                <w:szCs w:val="20"/>
              </w:rPr>
            </w:pPr>
            <w:r w:rsidRPr="004A3E16">
              <w:rPr>
                <w:rFonts w:ascii="標楷體" w:eastAsia="標楷體" w:hAnsi="標楷體" w:cs="新細明體"/>
                <w:kern w:val="0"/>
                <w:sz w:val="20"/>
                <w:szCs w:val="20"/>
              </w:rPr>
              <w:t>□ 醫師的整體評估較原基礎值改善。</w:t>
            </w:r>
          </w:p>
          <w:p w14:paraId="161B7453" w14:textId="77777777" w:rsidR="004A3E16" w:rsidRPr="004A3E16" w:rsidRDefault="004A3E16" w:rsidP="004A3E16">
            <w:pPr>
              <w:widowControl/>
              <w:suppressAutoHyphens w:val="0"/>
              <w:autoSpaceDN/>
              <w:spacing w:before="100" w:beforeAutospacing="1" w:after="100" w:afterAutospacing="1"/>
              <w:ind w:leftChars="137" w:left="329"/>
              <w:textAlignment w:val="auto"/>
              <w:rPr>
                <w:rFonts w:ascii="標楷體" w:eastAsia="標楷體" w:hAnsi="標楷體" w:cs="新細明體"/>
                <w:kern w:val="0"/>
                <w:sz w:val="20"/>
                <w:szCs w:val="20"/>
              </w:rPr>
            </w:pPr>
            <w:r w:rsidRPr="004A3E16">
              <w:rPr>
                <w:rFonts w:ascii="標楷體" w:eastAsia="標楷體" w:hAnsi="標楷體" w:cs="新細明體"/>
                <w:kern w:val="0"/>
                <w:sz w:val="20"/>
                <w:szCs w:val="20"/>
              </w:rPr>
              <w:t>□ 病患的整體評估較原基礎值改善。</w:t>
            </w:r>
          </w:p>
          <w:p w14:paraId="364A54BE" w14:textId="77777777" w:rsidR="004A3E16" w:rsidRPr="004A3E16" w:rsidRDefault="004A3E16" w:rsidP="004A3E16">
            <w:pPr>
              <w:widowControl/>
              <w:suppressAutoHyphens w:val="0"/>
              <w:autoSpaceDN/>
              <w:spacing w:before="100" w:beforeAutospacing="1" w:after="100" w:afterAutospacing="1"/>
              <w:ind w:leftChars="137" w:left="329"/>
              <w:textAlignment w:val="auto"/>
              <w:rPr>
                <w:rFonts w:ascii="新細明體" w:hAnsi="新細明體" w:cs="新細明體"/>
                <w:kern w:val="0"/>
                <w:szCs w:val="24"/>
              </w:rPr>
            </w:pPr>
            <w:r w:rsidRPr="004A3E16">
              <w:rPr>
                <w:rFonts w:ascii="標楷體" w:eastAsia="標楷體" w:hAnsi="標楷體" w:cs="新細明體"/>
                <w:kern w:val="0"/>
                <w:sz w:val="20"/>
                <w:szCs w:val="20"/>
              </w:rPr>
              <w:t>□ 上述4種指標皆無惡化。</w:t>
            </w:r>
          </w:p>
        </w:tc>
      </w:tr>
      <w:tr w:rsidR="004A3E16" w:rsidRPr="004A3E16" w14:paraId="3A5DC9B7" w14:textId="77777777" w:rsidTr="00590552">
        <w:trPr>
          <w:trHeight w:val="195"/>
          <w:tblCellSpacing w:w="7" w:type="dxa"/>
        </w:trPr>
        <w:tc>
          <w:tcPr>
            <w:tcW w:w="4890" w:type="dxa"/>
            <w:gridSpan w:val="4"/>
            <w:tcBorders>
              <w:top w:val="single" w:sz="6" w:space="0" w:color="000000"/>
              <w:left w:val="double" w:sz="4" w:space="0" w:color="000000"/>
              <w:bottom w:val="single" w:sz="6" w:space="0" w:color="A6A6A6" w:themeColor="background1" w:themeShade="A6"/>
              <w:right w:val="single" w:sz="6" w:space="0" w:color="A6A6A6" w:themeColor="background1" w:themeShade="A6"/>
            </w:tcBorders>
            <w:tcMar>
              <w:top w:w="0" w:type="dxa"/>
              <w:left w:w="28" w:type="dxa"/>
              <w:bottom w:w="0" w:type="dxa"/>
              <w:right w:w="0" w:type="dxa"/>
            </w:tcMar>
            <w:vAlign w:val="center"/>
            <w:hideMark/>
          </w:tcPr>
          <w:p w14:paraId="454A0A26" w14:textId="77777777" w:rsidR="004A3E16" w:rsidRPr="004A3E16" w:rsidRDefault="004A3E16" w:rsidP="004A3E16">
            <w:pPr>
              <w:suppressAutoHyphens w:val="0"/>
              <w:autoSpaceDN/>
              <w:spacing w:before="100" w:beforeAutospacing="1" w:after="100" w:afterAutospacing="1"/>
              <w:textAlignment w:val="auto"/>
              <w:rPr>
                <w:rFonts w:ascii="新細明體" w:hAnsi="新細明體" w:cs="新細明體"/>
                <w:szCs w:val="24"/>
              </w:rPr>
            </w:pPr>
            <w:r w:rsidRPr="004A3E16">
              <w:rPr>
                <w:rFonts w:ascii="新細明體" w:hAnsi="新細明體" w:cs="新細明體"/>
                <w:szCs w:val="24"/>
              </w:rPr>
              <w:t xml:space="preserve">□ </w:t>
            </w:r>
            <w:r w:rsidRPr="004A3E16">
              <w:rPr>
                <w:rFonts w:ascii="Times New Roman" w:hAnsi="Times New Roman"/>
                <w:sz w:val="20"/>
                <w:szCs w:val="20"/>
              </w:rPr>
              <w:t xml:space="preserve">Etanercept </w:t>
            </w:r>
            <w:r w:rsidRPr="004A3E16">
              <w:rPr>
                <w:rFonts w:ascii="Times New Roman" w:hAnsi="Times New Roman"/>
                <w:sz w:val="20"/>
                <w:szCs w:val="20"/>
                <w:u w:val="single"/>
              </w:rPr>
              <w:t xml:space="preserve">    </w:t>
            </w:r>
            <w:r w:rsidRPr="004A3E16">
              <w:rPr>
                <w:rFonts w:ascii="Times New Roman" w:hAnsi="Times New Roman"/>
                <w:sz w:val="20"/>
                <w:szCs w:val="20"/>
              </w:rPr>
              <w:t>mg/ week</w:t>
            </w:r>
          </w:p>
        </w:tc>
        <w:tc>
          <w:tcPr>
            <w:tcW w:w="4890" w:type="dxa"/>
            <w:gridSpan w:val="3"/>
            <w:tcBorders>
              <w:top w:val="single" w:sz="6" w:space="0" w:color="000000"/>
              <w:left w:val="single" w:sz="6" w:space="0" w:color="A6A6A6" w:themeColor="background1" w:themeShade="A6"/>
              <w:bottom w:val="single" w:sz="6" w:space="0" w:color="A6A6A6" w:themeColor="background1" w:themeShade="A6"/>
              <w:right w:val="double" w:sz="4" w:space="0" w:color="000000"/>
            </w:tcBorders>
            <w:tcMar>
              <w:top w:w="0" w:type="dxa"/>
              <w:left w:w="0" w:type="dxa"/>
              <w:bottom w:w="0" w:type="dxa"/>
              <w:right w:w="11" w:type="dxa"/>
            </w:tcMar>
            <w:vAlign w:val="center"/>
            <w:hideMark/>
          </w:tcPr>
          <w:p w14:paraId="44743D3B"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Secukinumab </w:t>
            </w:r>
            <w:r w:rsidRPr="004A3E16">
              <w:rPr>
                <w:rFonts w:ascii="Times New Roman" w:hAnsi="Times New Roman"/>
                <w:sz w:val="20"/>
                <w:szCs w:val="20"/>
                <w:u w:val="single"/>
              </w:rPr>
              <w:t xml:space="preserve">    </w:t>
            </w:r>
            <w:r w:rsidRPr="004A3E16">
              <w:rPr>
                <w:rFonts w:ascii="Times New Roman" w:hAnsi="Times New Roman"/>
                <w:kern w:val="0"/>
                <w:sz w:val="20"/>
                <w:szCs w:val="20"/>
              </w:rPr>
              <w:t>mg/four weeks</w:t>
            </w:r>
          </w:p>
        </w:tc>
      </w:tr>
      <w:tr w:rsidR="004A3E16" w:rsidRPr="004A3E16" w14:paraId="2359F228" w14:textId="77777777" w:rsidTr="00590552">
        <w:trPr>
          <w:trHeight w:val="300"/>
          <w:tblCellSpacing w:w="7" w:type="dxa"/>
        </w:trPr>
        <w:tc>
          <w:tcPr>
            <w:tcW w:w="4890" w:type="dxa"/>
            <w:gridSpan w:val="4"/>
            <w:tcBorders>
              <w:top w:val="single" w:sz="6" w:space="0" w:color="A6A6A6" w:themeColor="background1" w:themeShade="A6"/>
              <w:left w:val="double" w:sz="4" w:space="0" w:color="000000"/>
              <w:bottom w:val="single" w:sz="6" w:space="0" w:color="A6A6A6" w:themeColor="background1" w:themeShade="A6"/>
              <w:right w:val="single" w:sz="6" w:space="0" w:color="A6A6A6" w:themeColor="background1" w:themeShade="A6"/>
            </w:tcBorders>
            <w:tcMar>
              <w:top w:w="0" w:type="dxa"/>
              <w:left w:w="28" w:type="dxa"/>
              <w:bottom w:w="0" w:type="dxa"/>
              <w:right w:w="0" w:type="dxa"/>
            </w:tcMar>
            <w:vAlign w:val="center"/>
            <w:hideMark/>
          </w:tcPr>
          <w:p w14:paraId="3B103DAF"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Adalimumab </w:t>
            </w:r>
            <w:r w:rsidRPr="004A3E16">
              <w:rPr>
                <w:rFonts w:ascii="Times New Roman" w:hAnsi="Times New Roman"/>
                <w:sz w:val="20"/>
                <w:szCs w:val="20"/>
                <w:u w:val="single"/>
              </w:rPr>
              <w:t xml:space="preserve">    </w:t>
            </w:r>
            <w:r w:rsidRPr="004A3E16">
              <w:rPr>
                <w:rFonts w:ascii="Times New Roman" w:hAnsi="Times New Roman"/>
                <w:kern w:val="0"/>
                <w:sz w:val="20"/>
                <w:szCs w:val="20"/>
              </w:rPr>
              <w:t>mg/ two weeks</w:t>
            </w:r>
          </w:p>
        </w:tc>
        <w:tc>
          <w:tcPr>
            <w:tcW w:w="489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double" w:sz="4" w:space="0" w:color="000000"/>
            </w:tcBorders>
            <w:tcMar>
              <w:top w:w="0" w:type="dxa"/>
              <w:left w:w="0" w:type="dxa"/>
              <w:bottom w:w="0" w:type="dxa"/>
              <w:right w:w="11" w:type="dxa"/>
            </w:tcMar>
            <w:vAlign w:val="center"/>
            <w:hideMark/>
          </w:tcPr>
          <w:p w14:paraId="791B31FF"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Ixekizumab </w:t>
            </w:r>
            <w:r w:rsidRPr="004A3E16">
              <w:rPr>
                <w:rFonts w:ascii="Times New Roman" w:hAnsi="Times New Roman"/>
                <w:sz w:val="20"/>
                <w:szCs w:val="20"/>
                <w:u w:val="single"/>
              </w:rPr>
              <w:t xml:space="preserve">    </w:t>
            </w:r>
            <w:r w:rsidRPr="004A3E16">
              <w:rPr>
                <w:rFonts w:ascii="Times New Roman" w:hAnsi="Times New Roman"/>
                <w:kern w:val="0"/>
                <w:sz w:val="20"/>
                <w:szCs w:val="20"/>
              </w:rPr>
              <w:t>mg/ four weeks</w:t>
            </w:r>
          </w:p>
        </w:tc>
      </w:tr>
      <w:tr w:rsidR="004A3E16" w:rsidRPr="004A3E16" w14:paraId="7C10C0D5" w14:textId="77777777" w:rsidTr="00590552">
        <w:trPr>
          <w:trHeight w:val="195"/>
          <w:tblCellSpacing w:w="7" w:type="dxa"/>
        </w:trPr>
        <w:tc>
          <w:tcPr>
            <w:tcW w:w="4890" w:type="dxa"/>
            <w:gridSpan w:val="4"/>
            <w:tcBorders>
              <w:top w:val="single" w:sz="6" w:space="0" w:color="A6A6A6" w:themeColor="background1" w:themeShade="A6"/>
              <w:left w:val="double" w:sz="4" w:space="0" w:color="000000"/>
              <w:bottom w:val="single" w:sz="6" w:space="0" w:color="A6A6A6" w:themeColor="background1" w:themeShade="A6"/>
              <w:right w:val="single" w:sz="6" w:space="0" w:color="A6A6A6" w:themeColor="background1" w:themeShade="A6"/>
            </w:tcBorders>
            <w:tcMar>
              <w:top w:w="0" w:type="dxa"/>
              <w:left w:w="28" w:type="dxa"/>
              <w:bottom w:w="0" w:type="dxa"/>
              <w:right w:w="0" w:type="dxa"/>
            </w:tcMar>
            <w:vAlign w:val="center"/>
            <w:hideMark/>
          </w:tcPr>
          <w:p w14:paraId="4CABBF5F"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Golimumab </w:t>
            </w:r>
            <w:r w:rsidRPr="004A3E16">
              <w:rPr>
                <w:rFonts w:ascii="Times New Roman" w:hAnsi="Times New Roman"/>
                <w:sz w:val="20"/>
                <w:szCs w:val="20"/>
                <w:u w:val="single"/>
              </w:rPr>
              <w:t xml:space="preserve">    </w:t>
            </w:r>
            <w:r w:rsidRPr="004A3E16">
              <w:rPr>
                <w:rFonts w:ascii="Times New Roman" w:hAnsi="Times New Roman"/>
                <w:kern w:val="0"/>
                <w:sz w:val="20"/>
                <w:szCs w:val="20"/>
              </w:rPr>
              <w:t>mg/ month</w:t>
            </w:r>
          </w:p>
        </w:tc>
        <w:tc>
          <w:tcPr>
            <w:tcW w:w="489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double" w:sz="4" w:space="0" w:color="000000"/>
            </w:tcBorders>
            <w:tcMar>
              <w:top w:w="0" w:type="dxa"/>
              <w:left w:w="0" w:type="dxa"/>
              <w:bottom w:w="0" w:type="dxa"/>
              <w:right w:w="11" w:type="dxa"/>
            </w:tcMar>
            <w:vAlign w:val="center"/>
            <w:hideMark/>
          </w:tcPr>
          <w:p w14:paraId="73D98D5B"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Tofacitinib </w:t>
            </w:r>
            <w:r w:rsidRPr="004A3E16">
              <w:rPr>
                <w:rFonts w:ascii="Times New Roman" w:hAnsi="Times New Roman"/>
                <w:sz w:val="20"/>
                <w:szCs w:val="20"/>
                <w:u w:val="single"/>
              </w:rPr>
              <w:t xml:space="preserve">    </w:t>
            </w:r>
            <w:r w:rsidRPr="004A3E16">
              <w:rPr>
                <w:rFonts w:ascii="Times New Roman" w:hAnsi="Times New Roman"/>
                <w:kern w:val="0"/>
                <w:sz w:val="20"/>
                <w:szCs w:val="20"/>
              </w:rPr>
              <w:t>mg/</w:t>
            </w:r>
            <w:r w:rsidRPr="004A3E16">
              <w:rPr>
                <w:rFonts w:ascii="標楷體" w:eastAsia="標楷體" w:hAnsi="標楷體" w:cs="新細明體"/>
                <w:kern w:val="0"/>
                <w:sz w:val="20"/>
                <w:szCs w:val="20"/>
              </w:rPr>
              <w:t xml:space="preserve">次 </w:t>
            </w:r>
            <w:r w:rsidRPr="004A3E16">
              <w:rPr>
                <w:rFonts w:ascii="Times New Roman" w:hAnsi="Times New Roman"/>
                <w:sz w:val="20"/>
                <w:szCs w:val="20"/>
                <w:u w:val="single"/>
              </w:rPr>
              <w:t xml:space="preserve">    </w:t>
            </w:r>
            <w:r w:rsidRPr="004A3E16">
              <w:rPr>
                <w:rFonts w:ascii="標楷體" w:eastAsia="標楷體" w:hAnsi="標楷體" w:cs="新細明體"/>
                <w:kern w:val="0"/>
                <w:sz w:val="20"/>
                <w:szCs w:val="20"/>
              </w:rPr>
              <w:t>次</w:t>
            </w:r>
            <w:r w:rsidRPr="004A3E16">
              <w:rPr>
                <w:rFonts w:ascii="Times New Roman" w:hAnsi="Times New Roman"/>
                <w:kern w:val="0"/>
                <w:sz w:val="20"/>
                <w:szCs w:val="20"/>
              </w:rPr>
              <w:t>/ day</w:t>
            </w:r>
          </w:p>
        </w:tc>
      </w:tr>
      <w:tr w:rsidR="002E66C2" w:rsidRPr="004A3E16" w14:paraId="2EC87284" w14:textId="77777777" w:rsidTr="00590552">
        <w:trPr>
          <w:trHeight w:val="195"/>
          <w:tblCellSpacing w:w="7" w:type="dxa"/>
        </w:trPr>
        <w:tc>
          <w:tcPr>
            <w:tcW w:w="4890" w:type="dxa"/>
            <w:gridSpan w:val="4"/>
            <w:tcBorders>
              <w:top w:val="single" w:sz="6" w:space="0" w:color="A6A6A6" w:themeColor="background1" w:themeShade="A6"/>
              <w:left w:val="double" w:sz="4" w:space="0" w:color="000000"/>
              <w:bottom w:val="single" w:sz="6" w:space="0" w:color="A6A6A6" w:themeColor="background1" w:themeShade="A6"/>
              <w:right w:val="single" w:sz="6" w:space="0" w:color="A6A6A6" w:themeColor="background1" w:themeShade="A6"/>
            </w:tcBorders>
            <w:tcMar>
              <w:top w:w="0" w:type="dxa"/>
              <w:left w:w="28" w:type="dxa"/>
              <w:bottom w:w="0" w:type="dxa"/>
              <w:right w:w="0" w:type="dxa"/>
            </w:tcMar>
            <w:vAlign w:val="center"/>
          </w:tcPr>
          <w:p w14:paraId="4906A7C8" w14:textId="4528AF18" w:rsidR="002E66C2" w:rsidRPr="004A3E16" w:rsidRDefault="002E66C2"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Certolizumab </w:t>
            </w:r>
            <w:r w:rsidRPr="004A3E16">
              <w:rPr>
                <w:rFonts w:ascii="Times New Roman" w:hAnsi="Times New Roman"/>
                <w:sz w:val="20"/>
                <w:szCs w:val="20"/>
                <w:u w:val="single"/>
              </w:rPr>
              <w:t xml:space="preserve">    </w:t>
            </w:r>
            <w:r w:rsidRPr="004A3E16">
              <w:rPr>
                <w:rFonts w:ascii="Times New Roman" w:hAnsi="Times New Roman"/>
                <w:kern w:val="0"/>
                <w:sz w:val="20"/>
                <w:szCs w:val="20"/>
              </w:rPr>
              <w:t>mg/ weeks</w:t>
            </w:r>
          </w:p>
        </w:tc>
        <w:tc>
          <w:tcPr>
            <w:tcW w:w="489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double" w:sz="4" w:space="0" w:color="000000"/>
            </w:tcBorders>
            <w:tcMar>
              <w:top w:w="0" w:type="dxa"/>
              <w:left w:w="0" w:type="dxa"/>
              <w:bottom w:w="0" w:type="dxa"/>
              <w:right w:w="11" w:type="dxa"/>
            </w:tcMar>
            <w:vAlign w:val="center"/>
          </w:tcPr>
          <w:p w14:paraId="1F5F86F0" w14:textId="7117A552" w:rsidR="002E66C2" w:rsidRPr="004A3E16" w:rsidRDefault="002E66C2"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w:t>
            </w:r>
            <w:r w:rsidRPr="004A3E16">
              <w:rPr>
                <w:rFonts w:ascii="新細明體" w:hAnsi="新細明體" w:cs="新細明體"/>
                <w:color w:val="FF0000"/>
                <w:kern w:val="0"/>
                <w:szCs w:val="24"/>
              </w:rPr>
              <w:t xml:space="preserve"> </w:t>
            </w:r>
            <w:r w:rsidRPr="004A3E16">
              <w:rPr>
                <w:rFonts w:ascii="Times New Roman" w:hAnsi="Times New Roman"/>
                <w:color w:val="000000"/>
                <w:kern w:val="0"/>
                <w:sz w:val="20"/>
                <w:szCs w:val="20"/>
              </w:rPr>
              <w:t xml:space="preserve">Brodalumab </w:t>
            </w:r>
            <w:r w:rsidRPr="004A3E16">
              <w:rPr>
                <w:rFonts w:ascii="Times New Roman" w:hAnsi="Times New Roman"/>
                <w:sz w:val="20"/>
                <w:szCs w:val="20"/>
                <w:u w:val="single"/>
              </w:rPr>
              <w:t xml:space="preserve">    </w:t>
            </w:r>
            <w:r w:rsidRPr="004A3E16">
              <w:rPr>
                <w:rFonts w:ascii="Times New Roman" w:hAnsi="Times New Roman"/>
                <w:color w:val="000000"/>
                <w:kern w:val="0"/>
                <w:sz w:val="20"/>
                <w:szCs w:val="20"/>
              </w:rPr>
              <w:t>mg/ two weeks</w:t>
            </w:r>
          </w:p>
        </w:tc>
      </w:tr>
      <w:tr w:rsidR="004A3E16" w:rsidRPr="004A3E16" w14:paraId="1C35E771" w14:textId="77777777" w:rsidTr="002E66C2">
        <w:trPr>
          <w:trHeight w:val="201"/>
          <w:tblCellSpacing w:w="7" w:type="dxa"/>
        </w:trPr>
        <w:tc>
          <w:tcPr>
            <w:tcW w:w="4890" w:type="dxa"/>
            <w:gridSpan w:val="4"/>
            <w:tcBorders>
              <w:top w:val="single" w:sz="6" w:space="0" w:color="A6A6A6" w:themeColor="background1" w:themeShade="A6"/>
              <w:left w:val="double" w:sz="4" w:space="0" w:color="000000"/>
              <w:bottom w:val="single" w:sz="6" w:space="0" w:color="000000"/>
              <w:right w:val="single" w:sz="6" w:space="0" w:color="A6A6A6" w:themeColor="background1" w:themeShade="A6"/>
            </w:tcBorders>
            <w:tcMar>
              <w:top w:w="0" w:type="dxa"/>
              <w:left w:w="28" w:type="dxa"/>
              <w:bottom w:w="0" w:type="dxa"/>
              <w:right w:w="0" w:type="dxa"/>
            </w:tcMar>
            <w:vAlign w:val="center"/>
            <w:hideMark/>
          </w:tcPr>
          <w:p w14:paraId="2E037072"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 xml:space="preserve">Upadacitinib </w:t>
            </w:r>
            <w:r w:rsidRPr="004A3E16">
              <w:rPr>
                <w:rFonts w:ascii="Times New Roman" w:hAnsi="Times New Roman"/>
                <w:sz w:val="20"/>
                <w:szCs w:val="20"/>
                <w:u w:val="single"/>
              </w:rPr>
              <w:t xml:space="preserve">    </w:t>
            </w:r>
            <w:r w:rsidRPr="004A3E16">
              <w:rPr>
                <w:rFonts w:ascii="Times New Roman" w:hAnsi="Times New Roman"/>
                <w:kern w:val="0"/>
                <w:sz w:val="20"/>
                <w:szCs w:val="20"/>
              </w:rPr>
              <w:t>mg/</w:t>
            </w:r>
            <w:r w:rsidRPr="004A3E16">
              <w:rPr>
                <w:rFonts w:ascii="標楷體" w:eastAsia="標楷體" w:hAnsi="標楷體" w:cs="新細明體"/>
                <w:kern w:val="0"/>
                <w:sz w:val="20"/>
                <w:szCs w:val="20"/>
              </w:rPr>
              <w:t xml:space="preserve">次 </w:t>
            </w:r>
            <w:r w:rsidRPr="004A3E16">
              <w:rPr>
                <w:rFonts w:ascii="Times New Roman" w:hAnsi="Times New Roman"/>
                <w:sz w:val="20"/>
                <w:szCs w:val="20"/>
                <w:u w:val="single"/>
              </w:rPr>
              <w:t xml:space="preserve">    </w:t>
            </w:r>
            <w:r w:rsidRPr="004A3E16">
              <w:rPr>
                <w:rFonts w:ascii="標楷體" w:eastAsia="標楷體" w:hAnsi="標楷體" w:cs="新細明體"/>
                <w:kern w:val="0"/>
                <w:sz w:val="20"/>
                <w:szCs w:val="20"/>
              </w:rPr>
              <w:t>次</w:t>
            </w:r>
            <w:r w:rsidRPr="004A3E16">
              <w:rPr>
                <w:rFonts w:ascii="Times New Roman" w:hAnsi="Times New Roman"/>
                <w:kern w:val="0"/>
                <w:sz w:val="20"/>
                <w:szCs w:val="20"/>
              </w:rPr>
              <w:t>/ day</w:t>
            </w:r>
          </w:p>
        </w:tc>
        <w:tc>
          <w:tcPr>
            <w:tcW w:w="4890" w:type="dxa"/>
            <w:gridSpan w:val="3"/>
            <w:tcBorders>
              <w:top w:val="single" w:sz="6" w:space="0" w:color="A6A6A6" w:themeColor="background1" w:themeShade="A6"/>
              <w:left w:val="single" w:sz="6" w:space="0" w:color="A6A6A6" w:themeColor="background1" w:themeShade="A6"/>
              <w:bottom w:val="single" w:sz="6" w:space="0" w:color="000000"/>
              <w:right w:val="double" w:sz="4" w:space="0" w:color="000000"/>
            </w:tcBorders>
            <w:tcMar>
              <w:top w:w="0" w:type="dxa"/>
              <w:left w:w="0" w:type="dxa"/>
              <w:bottom w:w="0" w:type="dxa"/>
              <w:right w:w="11" w:type="dxa"/>
            </w:tcMar>
            <w:vAlign w:val="center"/>
            <w:hideMark/>
          </w:tcPr>
          <w:p w14:paraId="54FD8075" w14:textId="035BBABD"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p>
        </w:tc>
      </w:tr>
      <w:tr w:rsidR="004A3E16" w:rsidRPr="004A3E16" w14:paraId="269A5C89" w14:textId="77777777" w:rsidTr="00590552">
        <w:trPr>
          <w:trHeight w:val="405"/>
          <w:tblCellSpacing w:w="7" w:type="dxa"/>
        </w:trPr>
        <w:tc>
          <w:tcPr>
            <w:tcW w:w="9840" w:type="dxa"/>
            <w:gridSpan w:val="7"/>
            <w:tcBorders>
              <w:top w:val="single" w:sz="6" w:space="0" w:color="000000"/>
              <w:left w:val="double" w:sz="4" w:space="0" w:color="000000"/>
              <w:bottom w:val="single" w:sz="6" w:space="0" w:color="000000"/>
              <w:right w:val="double" w:sz="4" w:space="0" w:color="000000"/>
            </w:tcBorders>
            <w:tcMar>
              <w:top w:w="0" w:type="dxa"/>
              <w:left w:w="28" w:type="dxa"/>
              <w:bottom w:w="0" w:type="dxa"/>
              <w:right w:w="28" w:type="dxa"/>
            </w:tcMar>
            <w:hideMark/>
          </w:tcPr>
          <w:p w14:paraId="5AFC92D8" w14:textId="77777777" w:rsidR="004A3E16" w:rsidRPr="004A3E16" w:rsidRDefault="004A3E16" w:rsidP="004A3E16">
            <w:pPr>
              <w:widowControl/>
              <w:suppressAutoHyphens w:val="0"/>
              <w:autoSpaceDN/>
              <w:spacing w:before="100" w:beforeAutospacing="1" w:after="100" w:afterAutospacing="1"/>
              <w:textAlignment w:val="auto"/>
              <w:rPr>
                <w:rFonts w:ascii="新細明體" w:hAnsi="新細明體" w:cs="新細明體"/>
                <w:kern w:val="0"/>
                <w:szCs w:val="24"/>
              </w:rPr>
            </w:pPr>
            <w:r w:rsidRPr="004A3E16">
              <w:rPr>
                <w:rFonts w:ascii="Times New Roman" w:hAnsi="Times New Roman"/>
                <w:kern w:val="0"/>
                <w:sz w:val="20"/>
                <w:szCs w:val="20"/>
              </w:rPr>
              <w:t>(</w:t>
            </w:r>
            <w:r w:rsidRPr="004A3E16">
              <w:rPr>
                <w:rFonts w:ascii="標楷體" w:eastAsia="標楷體" w:hAnsi="標楷體" w:cs="新細明體"/>
                <w:kern w:val="0"/>
                <w:sz w:val="20"/>
                <w:szCs w:val="20"/>
              </w:rPr>
              <w:t>請檢附使用</w:t>
            </w:r>
            <w:r w:rsidRPr="004A3E16">
              <w:rPr>
                <w:rFonts w:ascii="Times New Roman" w:hAnsi="Times New Roman"/>
                <w:kern w:val="0"/>
                <w:sz w:val="20"/>
                <w:szCs w:val="20"/>
              </w:rPr>
              <w:t>etanercept</w:t>
            </w:r>
            <w:r w:rsidRPr="004A3E16">
              <w:rPr>
                <w:rFonts w:ascii="標楷體" w:eastAsia="標楷體" w:hAnsi="標楷體" w:cs="新細明體"/>
                <w:kern w:val="0"/>
                <w:sz w:val="20"/>
                <w:szCs w:val="20"/>
              </w:rPr>
              <w:t>、</w:t>
            </w:r>
            <w:r w:rsidRPr="004A3E16">
              <w:rPr>
                <w:rFonts w:ascii="Times New Roman" w:hAnsi="Times New Roman"/>
                <w:kern w:val="0"/>
                <w:sz w:val="20"/>
                <w:szCs w:val="20"/>
              </w:rPr>
              <w:t>adalimumab</w:t>
            </w:r>
            <w:r w:rsidRPr="004A3E16">
              <w:rPr>
                <w:rFonts w:ascii="標楷體" w:eastAsia="標楷體" w:hAnsi="標楷體" w:cs="新細明體"/>
                <w:kern w:val="0"/>
                <w:sz w:val="20"/>
                <w:szCs w:val="20"/>
              </w:rPr>
              <w:t>、</w:t>
            </w:r>
            <w:r w:rsidRPr="004A3E16">
              <w:rPr>
                <w:rFonts w:ascii="Times New Roman" w:hAnsi="Times New Roman"/>
                <w:kern w:val="0"/>
                <w:sz w:val="20"/>
                <w:szCs w:val="20"/>
              </w:rPr>
              <w:t>golimumab</w:t>
            </w:r>
            <w:r w:rsidRPr="004A3E16">
              <w:rPr>
                <w:rFonts w:ascii="標楷體" w:eastAsia="標楷體" w:hAnsi="標楷體" w:cs="新細明體"/>
                <w:kern w:val="0"/>
                <w:sz w:val="20"/>
                <w:szCs w:val="20"/>
              </w:rPr>
              <w:t>、</w:t>
            </w:r>
            <w:r w:rsidRPr="004A3E16">
              <w:rPr>
                <w:rFonts w:ascii="Times New Roman" w:hAnsi="Times New Roman"/>
                <w:kern w:val="0"/>
                <w:sz w:val="20"/>
                <w:szCs w:val="20"/>
              </w:rPr>
              <w:t>certolizumab</w:t>
            </w:r>
            <w:r w:rsidRPr="004A3E16">
              <w:rPr>
                <w:rFonts w:ascii="標楷體" w:eastAsia="標楷體" w:hAnsi="標楷體" w:cs="新細明體"/>
                <w:kern w:val="0"/>
                <w:sz w:val="20"/>
                <w:szCs w:val="20"/>
              </w:rPr>
              <w:t>、</w:t>
            </w:r>
            <w:r w:rsidRPr="004A3E16">
              <w:rPr>
                <w:rFonts w:ascii="Times New Roman" w:hAnsi="Times New Roman"/>
                <w:kern w:val="0"/>
                <w:sz w:val="20"/>
                <w:szCs w:val="20"/>
              </w:rPr>
              <w:t>secukinumab</w:t>
            </w:r>
            <w:r w:rsidRPr="004A3E16">
              <w:rPr>
                <w:rFonts w:ascii="標楷體" w:eastAsia="標楷體" w:hAnsi="標楷體" w:cs="新細明體"/>
                <w:kern w:val="0"/>
                <w:sz w:val="20"/>
                <w:szCs w:val="20"/>
              </w:rPr>
              <w:t>、</w:t>
            </w:r>
            <w:r w:rsidRPr="004A3E16">
              <w:rPr>
                <w:rFonts w:ascii="Times New Roman" w:hAnsi="Times New Roman"/>
                <w:kern w:val="0"/>
                <w:sz w:val="20"/>
                <w:szCs w:val="20"/>
              </w:rPr>
              <w:t>ixekizumab</w:t>
            </w:r>
            <w:r w:rsidRPr="004A3E16">
              <w:rPr>
                <w:rFonts w:ascii="新細明體" w:hAnsi="新細明體" w:cs="新細明體"/>
                <w:kern w:val="0"/>
                <w:szCs w:val="24"/>
              </w:rPr>
              <w:t>、</w:t>
            </w:r>
            <w:r w:rsidRPr="004A3E16">
              <w:rPr>
                <w:rFonts w:ascii="Times New Roman" w:hAnsi="Times New Roman"/>
                <w:kern w:val="0"/>
                <w:sz w:val="20"/>
                <w:szCs w:val="20"/>
              </w:rPr>
              <w:t>tofacitinib</w:t>
            </w:r>
            <w:r w:rsidRPr="004A3E16">
              <w:rPr>
                <w:rFonts w:ascii="標楷體" w:eastAsia="標楷體" w:hAnsi="標楷體" w:cs="新細明體"/>
                <w:kern w:val="0"/>
                <w:sz w:val="20"/>
                <w:szCs w:val="20"/>
              </w:rPr>
              <w:t>、</w:t>
            </w:r>
            <w:r w:rsidRPr="004A3E16">
              <w:rPr>
                <w:rFonts w:ascii="Times New Roman" w:hAnsi="Times New Roman"/>
                <w:kern w:val="0"/>
                <w:sz w:val="20"/>
                <w:szCs w:val="20"/>
              </w:rPr>
              <w:t>upadacitinib</w:t>
            </w:r>
            <w:r w:rsidRPr="004A3E16">
              <w:rPr>
                <w:rFonts w:ascii="標楷體" w:eastAsia="標楷體" w:hAnsi="標楷體" w:cs="新細明體"/>
                <w:kern w:val="0"/>
                <w:sz w:val="20"/>
                <w:szCs w:val="20"/>
              </w:rPr>
              <w:t>或</w:t>
            </w:r>
            <w:r w:rsidRPr="004A3E16">
              <w:rPr>
                <w:rFonts w:ascii="Times New Roman" w:hAnsi="Times New Roman"/>
                <w:color w:val="000000"/>
                <w:kern w:val="0"/>
                <w:sz w:val="20"/>
                <w:szCs w:val="20"/>
              </w:rPr>
              <w:t>brodalumab</w:t>
            </w:r>
            <w:r w:rsidRPr="004A3E16">
              <w:rPr>
                <w:rFonts w:ascii="標楷體" w:eastAsia="標楷體" w:hAnsi="標楷體" w:cs="新細明體"/>
                <w:kern w:val="0"/>
                <w:sz w:val="20"/>
                <w:szCs w:val="20"/>
              </w:rPr>
              <w:t>或</w:t>
            </w:r>
            <w:r w:rsidRPr="004A3E16">
              <w:rPr>
                <w:rFonts w:ascii="Times New Roman" w:hAnsi="Times New Roman"/>
                <w:kern w:val="0"/>
                <w:sz w:val="20"/>
                <w:szCs w:val="20"/>
              </w:rPr>
              <w:t>12</w:t>
            </w:r>
            <w:r w:rsidRPr="004A3E16">
              <w:rPr>
                <w:rFonts w:ascii="標楷體" w:eastAsia="標楷體" w:hAnsi="標楷體" w:cs="新細明體"/>
                <w:kern w:val="0"/>
                <w:sz w:val="20"/>
                <w:szCs w:val="20"/>
              </w:rPr>
              <w:t>週或以上之病歷影本</w:t>
            </w:r>
            <w:r w:rsidRPr="004A3E16">
              <w:rPr>
                <w:rFonts w:ascii="Times New Roman" w:hAnsi="Times New Roman"/>
                <w:kern w:val="0"/>
                <w:sz w:val="20"/>
                <w:szCs w:val="20"/>
              </w:rPr>
              <w:t>)</w:t>
            </w:r>
          </w:p>
        </w:tc>
      </w:tr>
    </w:tbl>
    <w:p w14:paraId="0ADCB51C" w14:textId="7190203B" w:rsidR="004A3E16" w:rsidRPr="004A3E16" w:rsidRDefault="004A3E16" w:rsidP="004A3E16">
      <w:pPr>
        <w:widowControl/>
        <w:rPr>
          <w:rFonts w:ascii="Times New Roman" w:hAnsi="Times New Roman"/>
          <w:sz w:val="28"/>
          <w:szCs w:val="20"/>
        </w:rPr>
      </w:pPr>
    </w:p>
    <w:tbl>
      <w:tblPr>
        <w:tblW w:w="9915" w:type="dxa"/>
        <w:tblCellSpacing w:w="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30" w:type="dxa"/>
          <w:left w:w="30" w:type="dxa"/>
          <w:bottom w:w="30" w:type="dxa"/>
          <w:right w:w="30" w:type="dxa"/>
        </w:tblCellMar>
        <w:tblLook w:val="04A0" w:firstRow="1" w:lastRow="0" w:firstColumn="1" w:lastColumn="0" w:noHBand="0" w:noVBand="1"/>
      </w:tblPr>
      <w:tblGrid>
        <w:gridCol w:w="1793"/>
        <w:gridCol w:w="8122"/>
      </w:tblGrid>
      <w:tr w:rsidR="004A3E16" w:rsidRPr="004A3E16" w14:paraId="7870E61C" w14:textId="77777777" w:rsidTr="002438A9">
        <w:trPr>
          <w:trHeight w:val="180"/>
          <w:tblCellSpacing w:w="7" w:type="dxa"/>
        </w:trPr>
        <w:tc>
          <w:tcPr>
            <w:tcW w:w="9887" w:type="dxa"/>
            <w:gridSpan w:val="2"/>
            <w:tcMar>
              <w:top w:w="0" w:type="dxa"/>
              <w:left w:w="28" w:type="dxa"/>
              <w:bottom w:w="0" w:type="dxa"/>
              <w:right w:w="28" w:type="dxa"/>
            </w:tcMar>
            <w:hideMark/>
          </w:tcPr>
          <w:p w14:paraId="501CB5A2" w14:textId="77777777" w:rsidR="004A3E16" w:rsidRPr="004A3E16" w:rsidRDefault="004A3E16" w:rsidP="004A3E16">
            <w:pPr>
              <w:widowControl/>
              <w:suppressAutoHyphens w:val="0"/>
              <w:autoSpaceDN/>
              <w:spacing w:before="100" w:beforeAutospacing="1" w:after="100" w:afterAutospacing="1"/>
              <w:ind w:left="56"/>
              <w:textAlignment w:val="auto"/>
              <w:rPr>
                <w:rFonts w:ascii="新細明體" w:hAnsi="新細明體" w:cs="新細明體"/>
                <w:kern w:val="0"/>
                <w:szCs w:val="24"/>
              </w:rPr>
            </w:pPr>
            <w:r w:rsidRPr="004A3E16">
              <w:rPr>
                <w:rFonts w:ascii="新細明體" w:hAnsi="新細明體" w:cs="新細明體"/>
                <w:kern w:val="0"/>
                <w:szCs w:val="24"/>
              </w:rPr>
              <w:t>□</w:t>
            </w:r>
            <w:r w:rsidRPr="004A3E16">
              <w:rPr>
                <w:rFonts w:ascii="標楷體" w:eastAsia="標楷體" w:hAnsi="標楷體" w:cs="新細明體"/>
                <w:kern w:val="0"/>
                <w:sz w:val="20"/>
                <w:szCs w:val="20"/>
              </w:rPr>
              <w:t>符合腫瘤壞死因子</w:t>
            </w:r>
            <w:r w:rsidRPr="004A3E16">
              <w:rPr>
                <w:rFonts w:ascii="Times New Roman" w:hAnsi="Times New Roman"/>
                <w:kern w:val="0"/>
                <w:sz w:val="20"/>
                <w:szCs w:val="20"/>
              </w:rPr>
              <w:t>(TNF)</w:t>
            </w:r>
            <w:r w:rsidRPr="004A3E16">
              <w:rPr>
                <w:rFonts w:ascii="標楷體" w:eastAsia="標楷體" w:hAnsi="標楷體" w:cs="新細明體"/>
                <w:kern w:val="0"/>
                <w:sz w:val="20"/>
                <w:szCs w:val="20"/>
              </w:rPr>
              <w:t>抑制、</w:t>
            </w:r>
            <w:r w:rsidRPr="004A3E16">
              <w:rPr>
                <w:rFonts w:ascii="Times New Roman" w:hAnsi="Times New Roman"/>
                <w:kern w:val="0"/>
                <w:sz w:val="20"/>
                <w:szCs w:val="20"/>
              </w:rPr>
              <w:t>secukinumab</w:t>
            </w:r>
            <w:r w:rsidRPr="004A3E16">
              <w:rPr>
                <w:rFonts w:ascii="標楷體" w:eastAsia="標楷體" w:hAnsi="標楷體" w:cs="新細明體"/>
                <w:kern w:val="0"/>
                <w:sz w:val="20"/>
                <w:szCs w:val="20"/>
              </w:rPr>
              <w:t>、</w:t>
            </w:r>
            <w:r w:rsidRPr="004A3E16">
              <w:rPr>
                <w:rFonts w:ascii="Times New Roman" w:hAnsi="Times New Roman"/>
                <w:kern w:val="0"/>
                <w:sz w:val="20"/>
                <w:szCs w:val="20"/>
              </w:rPr>
              <w:t>ixekizumab</w:t>
            </w:r>
            <w:r w:rsidRPr="004A3E16">
              <w:rPr>
                <w:rFonts w:ascii="新細明體" w:hAnsi="新細明體" w:cs="新細明體"/>
                <w:kern w:val="0"/>
                <w:szCs w:val="24"/>
              </w:rPr>
              <w:t>、</w:t>
            </w:r>
            <w:r w:rsidRPr="004A3E16">
              <w:rPr>
                <w:rFonts w:ascii="Times New Roman" w:hAnsi="Times New Roman"/>
                <w:kern w:val="0"/>
                <w:sz w:val="20"/>
                <w:szCs w:val="20"/>
              </w:rPr>
              <w:t>tofacitinib</w:t>
            </w:r>
            <w:r w:rsidRPr="004A3E16">
              <w:rPr>
                <w:rFonts w:ascii="標楷體" w:eastAsia="標楷體" w:hAnsi="標楷體" w:cs="新細明體"/>
                <w:kern w:val="0"/>
                <w:sz w:val="20"/>
                <w:szCs w:val="20"/>
              </w:rPr>
              <w:t>、</w:t>
            </w:r>
            <w:r w:rsidRPr="004A3E16">
              <w:rPr>
                <w:rFonts w:ascii="Times New Roman" w:hAnsi="Times New Roman"/>
                <w:kern w:val="0"/>
                <w:sz w:val="20"/>
                <w:szCs w:val="20"/>
              </w:rPr>
              <w:t>upadacitinib</w:t>
            </w:r>
            <w:r w:rsidRPr="004A3E16">
              <w:rPr>
                <w:rFonts w:ascii="標楷體" w:eastAsia="標楷體" w:hAnsi="標楷體" w:cs="新細明體"/>
                <w:kern w:val="0"/>
                <w:sz w:val="20"/>
                <w:szCs w:val="20"/>
              </w:rPr>
              <w:t>或</w:t>
            </w:r>
            <w:r w:rsidRPr="004A3E16">
              <w:rPr>
                <w:rFonts w:ascii="Times New Roman" w:hAnsi="Times New Roman"/>
                <w:color w:val="000000"/>
                <w:kern w:val="0"/>
                <w:sz w:val="20"/>
                <w:szCs w:val="20"/>
              </w:rPr>
              <w:t>brodalumab</w:t>
            </w:r>
            <w:r w:rsidRPr="004A3E16">
              <w:rPr>
                <w:rFonts w:ascii="標楷體" w:eastAsia="標楷體" w:hAnsi="標楷體" w:cs="新細明體"/>
                <w:kern w:val="0"/>
                <w:sz w:val="20"/>
                <w:szCs w:val="20"/>
              </w:rPr>
              <w:t xml:space="preserve">療法無法耐受 </w:t>
            </w:r>
            <w:r w:rsidRPr="004A3E16">
              <w:rPr>
                <w:rFonts w:ascii="Times New Roman" w:hAnsi="Times New Roman"/>
                <w:kern w:val="0"/>
                <w:sz w:val="20"/>
                <w:szCs w:val="20"/>
              </w:rPr>
              <w:t>(</w:t>
            </w:r>
            <w:r w:rsidRPr="004A3E16">
              <w:rPr>
                <w:rFonts w:ascii="標楷體" w:eastAsia="標楷體" w:hAnsi="標楷體" w:cs="新細明體"/>
                <w:kern w:val="0"/>
                <w:sz w:val="20"/>
                <w:szCs w:val="20"/>
              </w:rPr>
              <w:t>請檢附病歷影本</w:t>
            </w:r>
            <w:r w:rsidRPr="004A3E16">
              <w:rPr>
                <w:rFonts w:ascii="Times New Roman" w:hAnsi="Times New Roman"/>
                <w:kern w:val="0"/>
                <w:sz w:val="20"/>
                <w:szCs w:val="20"/>
              </w:rPr>
              <w:t>)(</w:t>
            </w:r>
            <w:r w:rsidRPr="004A3E16">
              <w:rPr>
                <w:rFonts w:ascii="標楷體" w:eastAsia="標楷體" w:hAnsi="標楷體" w:cs="新細明體"/>
                <w:kern w:val="0"/>
                <w:sz w:val="20"/>
                <w:szCs w:val="20"/>
              </w:rPr>
              <w:t>請說明藥物引起不良反應之情形如副作用、發生</w:t>
            </w:r>
            <w:r w:rsidRPr="004A3E16">
              <w:rPr>
                <w:rFonts w:ascii="Times New Roman" w:hAnsi="Times New Roman"/>
                <w:kern w:val="0"/>
                <w:sz w:val="20"/>
                <w:szCs w:val="20"/>
              </w:rPr>
              <w:t>TB</w:t>
            </w:r>
            <w:r w:rsidRPr="004A3E16">
              <w:rPr>
                <w:rFonts w:ascii="標楷體" w:eastAsia="標楷體" w:hAnsi="標楷體" w:cs="新細明體"/>
                <w:kern w:val="0"/>
                <w:sz w:val="20"/>
                <w:szCs w:val="20"/>
              </w:rPr>
              <w:t>或惡性腫瘤等</w:t>
            </w:r>
            <w:r w:rsidRPr="004A3E16">
              <w:rPr>
                <w:rFonts w:ascii="Times New Roman" w:hAnsi="Times New Roman"/>
                <w:kern w:val="0"/>
                <w:sz w:val="20"/>
                <w:szCs w:val="20"/>
              </w:rPr>
              <w:t>)</w:t>
            </w:r>
            <w:r w:rsidRPr="004A3E16">
              <w:rPr>
                <w:rFonts w:ascii="標楷體" w:eastAsia="標楷體" w:hAnsi="標楷體" w:cs="新細明體"/>
                <w:kern w:val="0"/>
                <w:sz w:val="20"/>
                <w:szCs w:val="20"/>
              </w:rPr>
              <w:t>：</w:t>
            </w:r>
          </w:p>
        </w:tc>
      </w:tr>
      <w:tr w:rsidR="004A3E16" w:rsidRPr="004A3E16" w14:paraId="743047E3" w14:textId="77777777" w:rsidTr="002438A9">
        <w:trPr>
          <w:trHeight w:val="454"/>
          <w:tblCellSpacing w:w="7" w:type="dxa"/>
        </w:trPr>
        <w:tc>
          <w:tcPr>
            <w:tcW w:w="1772" w:type="dxa"/>
            <w:tcMar>
              <w:top w:w="0" w:type="dxa"/>
              <w:left w:w="28" w:type="dxa"/>
              <w:bottom w:w="0" w:type="dxa"/>
              <w:right w:w="0" w:type="dxa"/>
            </w:tcMar>
            <w:hideMark/>
          </w:tcPr>
          <w:p w14:paraId="1E38AD58"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Etanercept</w:t>
            </w:r>
          </w:p>
        </w:tc>
        <w:tc>
          <w:tcPr>
            <w:tcW w:w="8101" w:type="dxa"/>
            <w:tcMar>
              <w:top w:w="0" w:type="dxa"/>
              <w:left w:w="0" w:type="dxa"/>
              <w:bottom w:w="0" w:type="dxa"/>
              <w:right w:w="0" w:type="dxa"/>
            </w:tcMar>
            <w:hideMark/>
          </w:tcPr>
          <w:p w14:paraId="7F5ED578"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_______mg/ week</w:t>
            </w:r>
            <w:r w:rsidRPr="004A3E16">
              <w:rPr>
                <w:rFonts w:ascii="標楷體" w:eastAsia="標楷體" w:hAnsi="標楷體" w:cs="新細明體"/>
                <w:kern w:val="0"/>
                <w:sz w:val="20"/>
                <w:szCs w:val="20"/>
              </w:rPr>
              <w:t>引起之不良事件：</w:t>
            </w:r>
          </w:p>
        </w:tc>
      </w:tr>
      <w:tr w:rsidR="004A3E16" w:rsidRPr="004A3E16" w14:paraId="5799E2F5" w14:textId="77777777" w:rsidTr="002438A9">
        <w:trPr>
          <w:trHeight w:val="454"/>
          <w:tblCellSpacing w:w="7" w:type="dxa"/>
        </w:trPr>
        <w:tc>
          <w:tcPr>
            <w:tcW w:w="1772" w:type="dxa"/>
            <w:tcMar>
              <w:top w:w="0" w:type="dxa"/>
              <w:left w:w="28" w:type="dxa"/>
              <w:bottom w:w="0" w:type="dxa"/>
              <w:right w:w="0" w:type="dxa"/>
            </w:tcMar>
            <w:hideMark/>
          </w:tcPr>
          <w:p w14:paraId="7B42D3DC"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Adalimumab</w:t>
            </w:r>
          </w:p>
        </w:tc>
        <w:tc>
          <w:tcPr>
            <w:tcW w:w="8101" w:type="dxa"/>
            <w:tcMar>
              <w:top w:w="0" w:type="dxa"/>
              <w:left w:w="0" w:type="dxa"/>
              <w:bottom w:w="0" w:type="dxa"/>
              <w:right w:w="0" w:type="dxa"/>
            </w:tcMar>
            <w:hideMark/>
          </w:tcPr>
          <w:p w14:paraId="4DC69DA0" w14:textId="77777777" w:rsidR="004A3E16" w:rsidRPr="004A3E16" w:rsidRDefault="004A3E16" w:rsidP="004A3E16">
            <w:pPr>
              <w:widowControl/>
              <w:suppressAutoHyphens w:val="0"/>
              <w:autoSpaceDN/>
              <w:spacing w:before="100" w:beforeAutospacing="1" w:after="100" w:afterAutospacing="1"/>
              <w:ind w:left="663"/>
              <w:textAlignment w:val="auto"/>
              <w:rPr>
                <w:rFonts w:ascii="新細明體" w:hAnsi="新細明體" w:cs="新細明體"/>
                <w:kern w:val="0"/>
                <w:szCs w:val="24"/>
              </w:rPr>
            </w:pPr>
            <w:r w:rsidRPr="004A3E16">
              <w:rPr>
                <w:rFonts w:ascii="Times New Roman" w:hAnsi="Times New Roman"/>
                <w:kern w:val="0"/>
                <w:sz w:val="20"/>
                <w:szCs w:val="20"/>
              </w:rPr>
              <w:t>______ mg/ two weeks</w:t>
            </w:r>
            <w:r w:rsidRPr="004A3E16">
              <w:rPr>
                <w:rFonts w:ascii="標楷體" w:eastAsia="標楷體" w:hAnsi="標楷體" w:cs="新細明體"/>
                <w:kern w:val="0"/>
                <w:sz w:val="20"/>
                <w:szCs w:val="20"/>
              </w:rPr>
              <w:t>引起之不良事件：</w:t>
            </w:r>
          </w:p>
        </w:tc>
      </w:tr>
      <w:tr w:rsidR="004A3E16" w:rsidRPr="004A3E16" w14:paraId="7C3D94A4" w14:textId="77777777" w:rsidTr="002438A9">
        <w:trPr>
          <w:trHeight w:val="454"/>
          <w:tblCellSpacing w:w="7" w:type="dxa"/>
        </w:trPr>
        <w:tc>
          <w:tcPr>
            <w:tcW w:w="1772" w:type="dxa"/>
            <w:tcMar>
              <w:top w:w="0" w:type="dxa"/>
              <w:left w:w="28" w:type="dxa"/>
              <w:bottom w:w="0" w:type="dxa"/>
              <w:right w:w="0" w:type="dxa"/>
            </w:tcMar>
            <w:hideMark/>
          </w:tcPr>
          <w:p w14:paraId="45A4B70E"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Golimumab</w:t>
            </w:r>
          </w:p>
        </w:tc>
        <w:tc>
          <w:tcPr>
            <w:tcW w:w="8101" w:type="dxa"/>
            <w:tcMar>
              <w:top w:w="0" w:type="dxa"/>
              <w:left w:w="0" w:type="dxa"/>
              <w:bottom w:w="0" w:type="dxa"/>
              <w:right w:w="0" w:type="dxa"/>
            </w:tcMar>
            <w:hideMark/>
          </w:tcPr>
          <w:p w14:paraId="5B0F7D0F"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______mg/ month</w:t>
            </w:r>
          </w:p>
        </w:tc>
      </w:tr>
      <w:tr w:rsidR="004A3E16" w:rsidRPr="004A3E16" w14:paraId="54343898" w14:textId="77777777" w:rsidTr="002438A9">
        <w:trPr>
          <w:trHeight w:val="454"/>
          <w:tblCellSpacing w:w="7" w:type="dxa"/>
        </w:trPr>
        <w:tc>
          <w:tcPr>
            <w:tcW w:w="1772" w:type="dxa"/>
            <w:tcMar>
              <w:top w:w="0" w:type="dxa"/>
              <w:left w:w="28" w:type="dxa"/>
              <w:bottom w:w="0" w:type="dxa"/>
              <w:right w:w="0" w:type="dxa"/>
            </w:tcMar>
            <w:hideMark/>
          </w:tcPr>
          <w:p w14:paraId="617C62DE"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Certolizumab</w:t>
            </w:r>
          </w:p>
        </w:tc>
        <w:tc>
          <w:tcPr>
            <w:tcW w:w="8101" w:type="dxa"/>
            <w:tcMar>
              <w:top w:w="0" w:type="dxa"/>
              <w:left w:w="0" w:type="dxa"/>
              <w:bottom w:w="0" w:type="dxa"/>
              <w:right w:w="0" w:type="dxa"/>
            </w:tcMar>
            <w:hideMark/>
          </w:tcPr>
          <w:p w14:paraId="7BE9D242"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_______mg/ weeks</w:t>
            </w:r>
            <w:r w:rsidRPr="004A3E16">
              <w:rPr>
                <w:rFonts w:ascii="標楷體" w:eastAsia="標楷體" w:hAnsi="標楷體" w:cs="新細明體"/>
                <w:kern w:val="0"/>
                <w:sz w:val="20"/>
                <w:szCs w:val="20"/>
              </w:rPr>
              <w:t>引起之不良事件：</w:t>
            </w:r>
          </w:p>
        </w:tc>
      </w:tr>
      <w:tr w:rsidR="004A3E16" w:rsidRPr="004A3E16" w14:paraId="1E2C729E" w14:textId="77777777" w:rsidTr="002438A9">
        <w:trPr>
          <w:trHeight w:val="454"/>
          <w:tblCellSpacing w:w="7" w:type="dxa"/>
        </w:trPr>
        <w:tc>
          <w:tcPr>
            <w:tcW w:w="1772" w:type="dxa"/>
            <w:tcMar>
              <w:top w:w="0" w:type="dxa"/>
              <w:left w:w="28" w:type="dxa"/>
              <w:bottom w:w="0" w:type="dxa"/>
              <w:right w:w="0" w:type="dxa"/>
            </w:tcMar>
            <w:hideMark/>
          </w:tcPr>
          <w:p w14:paraId="726BFA8E"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Secukinumab</w:t>
            </w:r>
          </w:p>
        </w:tc>
        <w:tc>
          <w:tcPr>
            <w:tcW w:w="8101" w:type="dxa"/>
            <w:tcMar>
              <w:top w:w="0" w:type="dxa"/>
              <w:left w:w="0" w:type="dxa"/>
              <w:bottom w:w="0" w:type="dxa"/>
              <w:right w:w="0" w:type="dxa"/>
            </w:tcMar>
            <w:hideMark/>
          </w:tcPr>
          <w:p w14:paraId="33780389"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_______mg/ four weeks</w:t>
            </w:r>
            <w:r w:rsidRPr="004A3E16">
              <w:rPr>
                <w:rFonts w:ascii="標楷體" w:eastAsia="標楷體" w:hAnsi="標楷體" w:cs="新細明體"/>
                <w:kern w:val="0"/>
                <w:sz w:val="20"/>
                <w:szCs w:val="20"/>
              </w:rPr>
              <w:t>引起之不良事件：</w:t>
            </w:r>
          </w:p>
        </w:tc>
      </w:tr>
      <w:tr w:rsidR="004A3E16" w:rsidRPr="004A3E16" w14:paraId="5C00666D" w14:textId="77777777" w:rsidTr="002438A9">
        <w:trPr>
          <w:trHeight w:val="454"/>
          <w:tblCellSpacing w:w="7" w:type="dxa"/>
        </w:trPr>
        <w:tc>
          <w:tcPr>
            <w:tcW w:w="1772" w:type="dxa"/>
            <w:tcMar>
              <w:top w:w="0" w:type="dxa"/>
              <w:left w:w="28" w:type="dxa"/>
              <w:bottom w:w="0" w:type="dxa"/>
              <w:right w:w="0" w:type="dxa"/>
            </w:tcMar>
            <w:hideMark/>
          </w:tcPr>
          <w:p w14:paraId="2A35D4B1"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Ixekizumab</w:t>
            </w:r>
          </w:p>
        </w:tc>
        <w:tc>
          <w:tcPr>
            <w:tcW w:w="8101" w:type="dxa"/>
            <w:tcMar>
              <w:top w:w="0" w:type="dxa"/>
              <w:left w:w="0" w:type="dxa"/>
              <w:bottom w:w="0" w:type="dxa"/>
              <w:right w:w="0" w:type="dxa"/>
            </w:tcMar>
            <w:hideMark/>
          </w:tcPr>
          <w:p w14:paraId="6E2D541A"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_______mg/ four weeks</w:t>
            </w:r>
            <w:r w:rsidRPr="004A3E16">
              <w:rPr>
                <w:rFonts w:ascii="標楷體" w:eastAsia="標楷體" w:hAnsi="標楷體" w:cs="新細明體"/>
                <w:kern w:val="0"/>
                <w:sz w:val="20"/>
                <w:szCs w:val="20"/>
              </w:rPr>
              <w:t>引起之不良事件：</w:t>
            </w:r>
          </w:p>
        </w:tc>
      </w:tr>
      <w:tr w:rsidR="004A3E16" w:rsidRPr="004A3E16" w14:paraId="42B98320" w14:textId="77777777" w:rsidTr="002438A9">
        <w:trPr>
          <w:trHeight w:val="454"/>
          <w:tblCellSpacing w:w="7" w:type="dxa"/>
        </w:trPr>
        <w:tc>
          <w:tcPr>
            <w:tcW w:w="1772" w:type="dxa"/>
            <w:tcMar>
              <w:top w:w="0" w:type="dxa"/>
              <w:left w:w="28" w:type="dxa"/>
              <w:bottom w:w="0" w:type="dxa"/>
              <w:right w:w="0" w:type="dxa"/>
            </w:tcMar>
            <w:hideMark/>
          </w:tcPr>
          <w:p w14:paraId="16663C8A"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Tofacitinib</w:t>
            </w:r>
          </w:p>
        </w:tc>
        <w:tc>
          <w:tcPr>
            <w:tcW w:w="8101" w:type="dxa"/>
            <w:tcMar>
              <w:top w:w="0" w:type="dxa"/>
              <w:left w:w="0" w:type="dxa"/>
              <w:bottom w:w="0" w:type="dxa"/>
              <w:right w:w="0" w:type="dxa"/>
            </w:tcMar>
            <w:hideMark/>
          </w:tcPr>
          <w:p w14:paraId="6B2D44E9"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color w:val="000000"/>
                <w:kern w:val="0"/>
                <w:sz w:val="20"/>
                <w:szCs w:val="20"/>
              </w:rPr>
              <w:t>______</w:t>
            </w:r>
            <w:r w:rsidRPr="004A3E16">
              <w:rPr>
                <w:rFonts w:ascii="Times New Roman" w:hAnsi="Times New Roman"/>
                <w:color w:val="000000"/>
                <w:kern w:val="0"/>
                <w:sz w:val="20"/>
                <w:szCs w:val="20"/>
                <w:u w:val="single"/>
              </w:rPr>
              <w:t xml:space="preserve"> </w:t>
            </w:r>
            <w:r w:rsidRPr="004A3E16">
              <w:rPr>
                <w:rFonts w:ascii="Times New Roman" w:hAnsi="Times New Roman"/>
                <w:color w:val="000000"/>
                <w:kern w:val="0"/>
                <w:sz w:val="20"/>
                <w:szCs w:val="20"/>
              </w:rPr>
              <w:t>mg/ two weeks</w:t>
            </w:r>
            <w:r w:rsidRPr="004A3E16">
              <w:rPr>
                <w:rFonts w:ascii="標楷體" w:eastAsia="標楷體" w:hAnsi="標楷體" w:cs="新細明體"/>
                <w:color w:val="000000"/>
                <w:kern w:val="0"/>
                <w:sz w:val="20"/>
                <w:szCs w:val="20"/>
              </w:rPr>
              <w:t>引起之不良事件：</w:t>
            </w:r>
          </w:p>
        </w:tc>
      </w:tr>
      <w:tr w:rsidR="004A3E16" w:rsidRPr="004A3E16" w14:paraId="6ABC5CB4" w14:textId="77777777" w:rsidTr="002438A9">
        <w:trPr>
          <w:trHeight w:val="454"/>
          <w:tblCellSpacing w:w="7" w:type="dxa"/>
        </w:trPr>
        <w:tc>
          <w:tcPr>
            <w:tcW w:w="1772" w:type="dxa"/>
            <w:tcMar>
              <w:top w:w="0" w:type="dxa"/>
              <w:left w:w="28" w:type="dxa"/>
              <w:bottom w:w="0" w:type="dxa"/>
              <w:right w:w="0" w:type="dxa"/>
            </w:tcMar>
            <w:hideMark/>
          </w:tcPr>
          <w:p w14:paraId="61E82C6D"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kern w:val="0"/>
                <w:sz w:val="20"/>
                <w:szCs w:val="20"/>
              </w:rPr>
              <w:t>Upadacitinib</w:t>
            </w:r>
          </w:p>
        </w:tc>
        <w:tc>
          <w:tcPr>
            <w:tcW w:w="8101" w:type="dxa"/>
            <w:tcMar>
              <w:top w:w="0" w:type="dxa"/>
              <w:left w:w="0" w:type="dxa"/>
              <w:bottom w:w="0" w:type="dxa"/>
              <w:right w:w="0" w:type="dxa"/>
            </w:tcMar>
            <w:hideMark/>
          </w:tcPr>
          <w:p w14:paraId="22FD4E95"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______mg/</w:t>
            </w:r>
            <w:r w:rsidRPr="004A3E16">
              <w:rPr>
                <w:rFonts w:ascii="標楷體" w:eastAsia="標楷體" w:hAnsi="標楷體" w:cs="新細明體"/>
                <w:kern w:val="0"/>
                <w:sz w:val="20"/>
                <w:szCs w:val="20"/>
              </w:rPr>
              <w:t>次</w:t>
            </w:r>
            <w:r w:rsidRPr="004A3E16">
              <w:rPr>
                <w:rFonts w:ascii="標楷體" w:eastAsia="標楷體" w:hAnsi="標楷體" w:cs="新細明體"/>
                <w:kern w:val="0"/>
                <w:sz w:val="20"/>
                <w:szCs w:val="20"/>
                <w:u w:val="single"/>
              </w:rPr>
              <w:t xml:space="preserve"> </w:t>
            </w:r>
            <w:r w:rsidRPr="004A3E16">
              <w:rPr>
                <w:rFonts w:ascii="標楷體" w:eastAsia="標楷體" w:hAnsi="標楷體" w:cs="新細明體"/>
                <w:kern w:val="0"/>
                <w:sz w:val="20"/>
                <w:szCs w:val="20"/>
              </w:rPr>
              <w:t>次</w:t>
            </w:r>
            <w:r w:rsidRPr="004A3E16">
              <w:rPr>
                <w:rFonts w:ascii="Times New Roman" w:hAnsi="Times New Roman"/>
                <w:kern w:val="0"/>
                <w:sz w:val="20"/>
                <w:szCs w:val="20"/>
              </w:rPr>
              <w:t>/ day</w:t>
            </w:r>
            <w:r w:rsidRPr="004A3E16">
              <w:rPr>
                <w:rFonts w:ascii="標楷體" w:eastAsia="標楷體" w:hAnsi="標楷體" w:cs="新細明體"/>
                <w:kern w:val="0"/>
                <w:sz w:val="20"/>
                <w:szCs w:val="20"/>
              </w:rPr>
              <w:t>引起之不良事件：</w:t>
            </w:r>
          </w:p>
        </w:tc>
      </w:tr>
      <w:tr w:rsidR="004A3E16" w:rsidRPr="004A3E16" w14:paraId="58296531" w14:textId="77777777" w:rsidTr="002438A9">
        <w:trPr>
          <w:trHeight w:val="454"/>
          <w:tblCellSpacing w:w="7" w:type="dxa"/>
        </w:trPr>
        <w:tc>
          <w:tcPr>
            <w:tcW w:w="1772" w:type="dxa"/>
            <w:tcMar>
              <w:top w:w="0" w:type="dxa"/>
              <w:left w:w="28" w:type="dxa"/>
              <w:bottom w:w="0" w:type="dxa"/>
              <w:right w:w="0" w:type="dxa"/>
            </w:tcMar>
            <w:hideMark/>
          </w:tcPr>
          <w:p w14:paraId="573D5688" w14:textId="77777777" w:rsidR="004A3E16" w:rsidRPr="004A3E16" w:rsidRDefault="004A3E16" w:rsidP="004A3E16">
            <w:pPr>
              <w:widowControl/>
              <w:suppressAutoHyphens w:val="0"/>
              <w:autoSpaceDN/>
              <w:spacing w:before="100" w:beforeAutospacing="1" w:after="100" w:afterAutospacing="1"/>
              <w:ind w:left="261"/>
              <w:textAlignment w:val="auto"/>
              <w:rPr>
                <w:rFonts w:ascii="新細明體" w:hAnsi="新細明體" w:cs="新細明體"/>
                <w:kern w:val="0"/>
                <w:szCs w:val="24"/>
              </w:rPr>
            </w:pPr>
            <w:r w:rsidRPr="004A3E16">
              <w:rPr>
                <w:rFonts w:ascii="新細明體" w:hAnsi="新細明體" w:cs="新細明體"/>
                <w:kern w:val="0"/>
                <w:szCs w:val="24"/>
              </w:rPr>
              <w:t xml:space="preserve">□ </w:t>
            </w:r>
            <w:r w:rsidRPr="004A3E16">
              <w:rPr>
                <w:rFonts w:ascii="Times New Roman" w:hAnsi="Times New Roman"/>
                <w:color w:val="000000"/>
                <w:kern w:val="0"/>
                <w:sz w:val="20"/>
                <w:szCs w:val="20"/>
              </w:rPr>
              <w:t>Brodalumab</w:t>
            </w:r>
            <w:r w:rsidRPr="004A3E16">
              <w:rPr>
                <w:rFonts w:ascii="Times New Roman" w:hAnsi="Times New Roman"/>
                <w:kern w:val="0"/>
                <w:sz w:val="20"/>
                <w:szCs w:val="20"/>
              </w:rPr>
              <w:t xml:space="preserve"> </w:t>
            </w:r>
          </w:p>
        </w:tc>
        <w:tc>
          <w:tcPr>
            <w:tcW w:w="8101" w:type="dxa"/>
            <w:tcMar>
              <w:top w:w="0" w:type="dxa"/>
              <w:left w:w="0" w:type="dxa"/>
              <w:bottom w:w="0" w:type="dxa"/>
              <w:right w:w="0" w:type="dxa"/>
            </w:tcMar>
            <w:hideMark/>
          </w:tcPr>
          <w:p w14:paraId="672D83E2" w14:textId="77777777" w:rsidR="004A3E16" w:rsidRPr="004A3E16" w:rsidRDefault="004A3E16" w:rsidP="004A3E16">
            <w:pPr>
              <w:widowControl/>
              <w:suppressAutoHyphens w:val="0"/>
              <w:autoSpaceDN/>
              <w:spacing w:before="100" w:beforeAutospacing="1" w:after="100" w:afterAutospacing="1"/>
              <w:ind w:left="709"/>
              <w:textAlignment w:val="auto"/>
              <w:rPr>
                <w:rFonts w:ascii="新細明體" w:hAnsi="新細明體" w:cs="新細明體"/>
                <w:kern w:val="0"/>
                <w:szCs w:val="24"/>
              </w:rPr>
            </w:pPr>
            <w:r w:rsidRPr="004A3E16">
              <w:rPr>
                <w:rFonts w:ascii="Times New Roman" w:hAnsi="Times New Roman"/>
                <w:kern w:val="0"/>
                <w:sz w:val="20"/>
                <w:szCs w:val="20"/>
              </w:rPr>
              <w:t>______mg/</w:t>
            </w:r>
            <w:r w:rsidRPr="004A3E16">
              <w:rPr>
                <w:rFonts w:ascii="標楷體" w:eastAsia="標楷體" w:hAnsi="標楷體" w:cs="新細明體"/>
                <w:kern w:val="0"/>
                <w:sz w:val="20"/>
                <w:szCs w:val="20"/>
              </w:rPr>
              <w:t>次</w:t>
            </w:r>
            <w:r w:rsidRPr="004A3E16">
              <w:rPr>
                <w:rFonts w:ascii="標楷體" w:eastAsia="標楷體" w:hAnsi="標楷體" w:cs="新細明體"/>
                <w:kern w:val="0"/>
                <w:sz w:val="20"/>
                <w:szCs w:val="20"/>
                <w:u w:val="single"/>
              </w:rPr>
              <w:t xml:space="preserve"> </w:t>
            </w:r>
            <w:r w:rsidRPr="004A3E16">
              <w:rPr>
                <w:rFonts w:ascii="標楷體" w:eastAsia="標楷體" w:hAnsi="標楷體" w:cs="新細明體"/>
                <w:kern w:val="0"/>
                <w:sz w:val="20"/>
                <w:szCs w:val="20"/>
              </w:rPr>
              <w:t>次</w:t>
            </w:r>
            <w:r w:rsidRPr="004A3E16">
              <w:rPr>
                <w:rFonts w:ascii="Times New Roman" w:hAnsi="Times New Roman"/>
                <w:kern w:val="0"/>
                <w:sz w:val="20"/>
                <w:szCs w:val="20"/>
              </w:rPr>
              <w:t>/ day</w:t>
            </w:r>
            <w:r w:rsidRPr="004A3E16">
              <w:rPr>
                <w:rFonts w:ascii="標楷體" w:eastAsia="標楷體" w:hAnsi="標楷體" w:cs="新細明體"/>
                <w:kern w:val="0"/>
                <w:sz w:val="20"/>
                <w:szCs w:val="20"/>
              </w:rPr>
              <w:t>引起之不良事件：</w:t>
            </w:r>
          </w:p>
        </w:tc>
      </w:tr>
    </w:tbl>
    <w:p w14:paraId="36DE47E1" w14:textId="77777777" w:rsidR="002438A9" w:rsidRDefault="002438A9" w:rsidP="002438A9">
      <w:pPr>
        <w:widowControl/>
        <w:rPr>
          <w:rFonts w:ascii="標楷體" w:eastAsia="標楷體" w:hAnsi="標楷體"/>
          <w:sz w:val="20"/>
          <w:szCs w:val="20"/>
        </w:rPr>
      </w:pPr>
    </w:p>
    <w:p w14:paraId="0ABB7702" w14:textId="77777777" w:rsidR="002438A9" w:rsidRDefault="002438A9">
      <w:pPr>
        <w:widowControl/>
        <w:suppressAutoHyphens w:val="0"/>
        <w:rPr>
          <w:rFonts w:ascii="標楷體" w:eastAsia="標楷體" w:hAnsi="標楷體"/>
          <w:sz w:val="20"/>
          <w:szCs w:val="20"/>
        </w:rPr>
      </w:pPr>
      <w:r>
        <w:rPr>
          <w:rFonts w:ascii="標楷體" w:eastAsia="標楷體" w:hAnsi="標楷體"/>
          <w:sz w:val="20"/>
          <w:szCs w:val="20"/>
        </w:rPr>
        <w:br w:type="page"/>
      </w:r>
    </w:p>
    <w:p w14:paraId="3D0493F9" w14:textId="087850AB" w:rsidR="002438A9" w:rsidRPr="002438A9" w:rsidRDefault="002438A9" w:rsidP="002438A9">
      <w:pPr>
        <w:widowControl/>
        <w:jc w:val="center"/>
        <w:rPr>
          <w:rFonts w:ascii="標楷體" w:eastAsia="標楷體" w:hAnsi="標楷體"/>
          <w:sz w:val="20"/>
          <w:szCs w:val="20"/>
        </w:rPr>
      </w:pPr>
      <w:r w:rsidRPr="002438A9">
        <w:rPr>
          <w:rFonts w:ascii="標楷體" w:eastAsia="標楷體" w:hAnsi="標楷體" w:hint="eastAsia"/>
          <w:sz w:val="20"/>
          <w:szCs w:val="20"/>
        </w:rPr>
        <w:lastRenderedPageBreak/>
        <w:t>附表二十二之六：全民健康保險乾癬性周邊關節炎使用</w:t>
      </w:r>
    </w:p>
    <w:p w14:paraId="2B98F668" w14:textId="647F514E" w:rsidR="002438A9" w:rsidRPr="002438A9" w:rsidRDefault="002438A9" w:rsidP="002438A9">
      <w:pPr>
        <w:widowControl/>
        <w:jc w:val="center"/>
        <w:rPr>
          <w:rFonts w:ascii="Times New Roman" w:hAnsi="Times New Roman"/>
          <w:sz w:val="36"/>
          <w:szCs w:val="20"/>
        </w:rPr>
      </w:pPr>
      <w:r w:rsidRPr="002438A9">
        <w:rPr>
          <w:rFonts w:ascii="標楷體" w:eastAsia="標楷體" w:hAnsi="標楷體" w:hint="eastAsia"/>
          <w:sz w:val="20"/>
          <w:szCs w:val="20"/>
        </w:rPr>
        <w:t>ustekinumab/ guselkumab/ risankizumab申請表(第二頁)</w:t>
      </w:r>
      <w:r w:rsidRPr="002438A9">
        <w:rPr>
          <w:rFonts w:ascii="Times New Roman" w:hAnsi="Times New Roman"/>
          <w:sz w:val="36"/>
          <w:szCs w:val="20"/>
        </w:rPr>
        <w:t xml:space="preserve"> </w:t>
      </w:r>
    </w:p>
    <w:tbl>
      <w:tblPr>
        <w:tblW w:w="9450" w:type="dxa"/>
        <w:tblCellSpacing w:w="7" w:type="dxa"/>
        <w:tblCellMar>
          <w:top w:w="30" w:type="dxa"/>
          <w:left w:w="30" w:type="dxa"/>
          <w:bottom w:w="30" w:type="dxa"/>
          <w:right w:w="30" w:type="dxa"/>
        </w:tblCellMar>
        <w:tblLook w:val="04A0" w:firstRow="1" w:lastRow="0" w:firstColumn="1" w:lastColumn="0" w:noHBand="0" w:noVBand="1"/>
      </w:tblPr>
      <w:tblGrid>
        <w:gridCol w:w="582"/>
        <w:gridCol w:w="1271"/>
        <w:gridCol w:w="7597"/>
      </w:tblGrid>
      <w:tr w:rsidR="002438A9" w:rsidRPr="002438A9" w14:paraId="508FAA2C" w14:textId="77777777" w:rsidTr="00590552">
        <w:trPr>
          <w:trHeight w:val="3813"/>
          <w:tblCellSpacing w:w="7" w:type="dxa"/>
        </w:trPr>
        <w:tc>
          <w:tcPr>
            <w:tcW w:w="9330" w:type="dxa"/>
            <w:gridSpan w:val="3"/>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14:paraId="2631C202" w14:textId="77777777" w:rsidR="002438A9" w:rsidRPr="002438A9" w:rsidRDefault="002438A9" w:rsidP="002438A9">
            <w:pPr>
              <w:rPr>
                <w:rFonts w:ascii="標楷體" w:eastAsia="標楷體" w:hAnsi="標楷體"/>
                <w:sz w:val="22"/>
              </w:rPr>
            </w:pPr>
            <w:r w:rsidRPr="002438A9">
              <w:rPr>
                <w:rFonts w:ascii="標楷體" w:eastAsia="標楷體" w:hAnsi="標楷體"/>
                <w:sz w:val="22"/>
              </w:rPr>
              <w:t xml:space="preserve">□ </w:t>
            </w:r>
            <w:r w:rsidRPr="002438A9">
              <w:rPr>
                <w:rFonts w:ascii="標楷體" w:eastAsia="標楷體" w:hAnsi="標楷體"/>
                <w:b/>
                <w:sz w:val="22"/>
              </w:rPr>
              <w:t>符合繼續使用之療效評估：</w:t>
            </w:r>
          </w:p>
          <w:p w14:paraId="5DEC927A" w14:textId="77777777" w:rsidR="002438A9" w:rsidRPr="002438A9" w:rsidRDefault="002438A9" w:rsidP="002438A9">
            <w:pPr>
              <w:ind w:left="970" w:hangingChars="441" w:hanging="970"/>
              <w:rPr>
                <w:rFonts w:ascii="標楷體" w:eastAsia="標楷體" w:hAnsi="標楷體"/>
                <w:sz w:val="22"/>
              </w:rPr>
            </w:pPr>
            <w:r w:rsidRPr="002438A9">
              <w:rPr>
                <w:rFonts w:ascii="標楷體" w:eastAsia="標楷體" w:hAnsi="標楷體"/>
                <w:sz w:val="22"/>
              </w:rPr>
              <w:t>療效定義：初次申請後，Ustekinumab</w:t>
            </w:r>
            <w:r w:rsidRPr="002438A9">
              <w:rPr>
                <w:rFonts w:ascii="標楷體" w:eastAsia="標楷體" w:hAnsi="標楷體"/>
                <w:color w:val="000000"/>
                <w:sz w:val="22"/>
              </w:rPr>
              <w:t>、guselkumab</w:t>
            </w:r>
            <w:r w:rsidRPr="002438A9">
              <w:rPr>
                <w:rFonts w:ascii="標楷體" w:eastAsia="標楷體" w:hAnsi="標楷體"/>
                <w:sz w:val="22"/>
              </w:rPr>
              <w:t xml:space="preserve"> 及</w:t>
            </w:r>
            <w:r w:rsidRPr="002438A9">
              <w:rPr>
                <w:rFonts w:ascii="標楷體" w:eastAsia="標楷體" w:hAnsi="標楷體"/>
                <w:color w:val="000000"/>
                <w:sz w:val="22"/>
              </w:rPr>
              <w:t>risankizumab</w:t>
            </w:r>
            <w:r w:rsidRPr="002438A9">
              <w:rPr>
                <w:rFonts w:ascii="標楷體" w:eastAsia="標楷體" w:hAnsi="標楷體"/>
                <w:sz w:val="22"/>
              </w:rPr>
              <w:t>於24週評估乾癬關節炎反應</w:t>
            </w:r>
          </w:p>
          <w:p w14:paraId="57BC44A9" w14:textId="77777777" w:rsidR="002438A9" w:rsidRPr="002438A9" w:rsidRDefault="002438A9" w:rsidP="002438A9">
            <w:pPr>
              <w:ind w:leftChars="109" w:left="262" w:firstLine="1"/>
              <w:rPr>
                <w:rFonts w:ascii="標楷體" w:eastAsia="標楷體" w:hAnsi="標楷體"/>
                <w:sz w:val="22"/>
              </w:rPr>
            </w:pPr>
            <w:r w:rsidRPr="002438A9">
              <w:rPr>
                <w:rFonts w:ascii="標楷體" w:eastAsia="標楷體" w:hAnsi="標楷體"/>
                <w:sz w:val="22"/>
              </w:rPr>
              <w:t>標準﹝附表二十二之三﹞，其標準為下列四項中至少有二項較原基礎值改善，且其中一項需為疼痛關節或腫脹關節的關節總數，且下述各種指標不得有任一項惡化，方得繼續使用。繼續使用者，需每12週評估一次，再次提出申請續用。</w:t>
            </w:r>
          </w:p>
          <w:p w14:paraId="6CA2E846" w14:textId="77777777" w:rsidR="002438A9" w:rsidRPr="002438A9" w:rsidRDefault="002438A9" w:rsidP="002438A9">
            <w:pPr>
              <w:ind w:firstLineChars="55" w:firstLine="121"/>
              <w:rPr>
                <w:rFonts w:ascii="標楷體" w:eastAsia="標楷體" w:hAnsi="標楷體"/>
                <w:sz w:val="22"/>
              </w:rPr>
            </w:pPr>
            <w:r w:rsidRPr="002438A9">
              <w:rPr>
                <w:rFonts w:ascii="標楷體" w:eastAsia="標楷體" w:hAnsi="標楷體"/>
                <w:sz w:val="22"/>
              </w:rPr>
              <w:t>□ 疼痛關節的關節總數較原基礎值改善。</w:t>
            </w:r>
          </w:p>
          <w:p w14:paraId="40B5C050" w14:textId="77777777" w:rsidR="002438A9" w:rsidRPr="002438A9" w:rsidRDefault="002438A9" w:rsidP="002438A9">
            <w:pPr>
              <w:ind w:firstLineChars="55" w:firstLine="121"/>
              <w:rPr>
                <w:rFonts w:ascii="標楷體" w:eastAsia="標楷體" w:hAnsi="標楷體"/>
                <w:sz w:val="22"/>
              </w:rPr>
            </w:pPr>
            <w:r w:rsidRPr="002438A9">
              <w:rPr>
                <w:rFonts w:ascii="標楷體" w:eastAsia="標楷體" w:hAnsi="標楷體"/>
                <w:sz w:val="22"/>
              </w:rPr>
              <w:t>□ 腫脹關節的關節總數較原基礎值改善。</w:t>
            </w:r>
          </w:p>
          <w:p w14:paraId="179F92B5" w14:textId="77777777" w:rsidR="002438A9" w:rsidRPr="002438A9" w:rsidRDefault="002438A9" w:rsidP="002438A9">
            <w:pPr>
              <w:ind w:firstLineChars="55" w:firstLine="121"/>
              <w:rPr>
                <w:rFonts w:ascii="標楷體" w:eastAsia="標楷體" w:hAnsi="標楷體"/>
                <w:sz w:val="22"/>
              </w:rPr>
            </w:pPr>
            <w:r w:rsidRPr="002438A9">
              <w:rPr>
                <w:rFonts w:ascii="標楷體" w:eastAsia="標楷體" w:hAnsi="標楷體"/>
                <w:sz w:val="22"/>
              </w:rPr>
              <w:t>□ 醫師的整體評估較原基礎值改善。</w:t>
            </w:r>
          </w:p>
          <w:p w14:paraId="5FCBF4D5" w14:textId="77777777" w:rsidR="002438A9" w:rsidRPr="002438A9" w:rsidRDefault="002438A9" w:rsidP="002438A9">
            <w:pPr>
              <w:ind w:firstLineChars="55" w:firstLine="121"/>
              <w:rPr>
                <w:rFonts w:ascii="標楷體" w:eastAsia="標楷體" w:hAnsi="標楷體"/>
                <w:sz w:val="22"/>
              </w:rPr>
            </w:pPr>
            <w:r w:rsidRPr="002438A9">
              <w:rPr>
                <w:rFonts w:ascii="標楷體" w:eastAsia="標楷體" w:hAnsi="標楷體"/>
                <w:sz w:val="22"/>
              </w:rPr>
              <w:t>□ 病患的整體評估較原基礎值改善。</w:t>
            </w:r>
          </w:p>
          <w:p w14:paraId="2E7C695F" w14:textId="77777777" w:rsidR="002438A9" w:rsidRPr="002438A9" w:rsidRDefault="002438A9" w:rsidP="002438A9">
            <w:pPr>
              <w:ind w:firstLineChars="55" w:firstLine="121"/>
              <w:rPr>
                <w:rFonts w:ascii="標楷體" w:eastAsia="標楷體" w:hAnsi="標楷體"/>
                <w:sz w:val="22"/>
              </w:rPr>
            </w:pPr>
            <w:r w:rsidRPr="002438A9">
              <w:rPr>
                <w:rFonts w:ascii="標楷體" w:eastAsia="標楷體" w:hAnsi="標楷體"/>
                <w:sz w:val="22"/>
              </w:rPr>
              <w:t>□ 上述4種指標皆無惡化。</w:t>
            </w:r>
          </w:p>
          <w:p w14:paraId="75E31AC1" w14:textId="77777777" w:rsidR="002438A9" w:rsidRPr="002438A9" w:rsidRDefault="002438A9" w:rsidP="002438A9">
            <w:pPr>
              <w:rPr>
                <w:rFonts w:ascii="標楷體" w:eastAsia="標楷體" w:hAnsi="標楷體" w:cs="新細明體"/>
                <w:kern w:val="0"/>
                <w:sz w:val="22"/>
              </w:rPr>
            </w:pPr>
          </w:p>
          <w:p w14:paraId="248655A0" w14:textId="77777777" w:rsidR="002438A9" w:rsidRPr="002438A9" w:rsidRDefault="002438A9" w:rsidP="002438A9">
            <w:pPr>
              <w:rPr>
                <w:rFonts w:ascii="新細明體" w:hAnsi="新細明體" w:cs="新細明體"/>
                <w:kern w:val="0"/>
                <w:szCs w:val="24"/>
              </w:rPr>
            </w:pPr>
            <w:r w:rsidRPr="002438A9">
              <w:rPr>
                <w:rFonts w:ascii="標楷體" w:eastAsia="標楷體" w:hAnsi="標楷體" w:cs="新細明體"/>
                <w:kern w:val="0"/>
                <w:sz w:val="22"/>
              </w:rPr>
              <w:t>註：改善之定義請參照給付規定</w:t>
            </w:r>
          </w:p>
        </w:tc>
      </w:tr>
      <w:tr w:rsidR="002438A9" w:rsidRPr="002438A9" w14:paraId="7EF16D8C" w14:textId="77777777" w:rsidTr="00590552">
        <w:trPr>
          <w:trHeight w:val="210"/>
          <w:tblCellSpacing w:w="7" w:type="dxa"/>
        </w:trPr>
        <w:tc>
          <w:tcPr>
            <w:tcW w:w="9330" w:type="dxa"/>
            <w:gridSpan w:val="3"/>
            <w:tcBorders>
              <w:top w:val="double" w:sz="4" w:space="0" w:color="000000"/>
              <w:left w:val="double" w:sz="4" w:space="0" w:color="000000"/>
              <w:bottom w:val="nil"/>
              <w:right w:val="double" w:sz="4" w:space="0" w:color="000000"/>
            </w:tcBorders>
            <w:tcMar>
              <w:top w:w="0" w:type="dxa"/>
              <w:left w:w="28" w:type="dxa"/>
              <w:bottom w:w="0" w:type="dxa"/>
              <w:right w:w="28" w:type="dxa"/>
            </w:tcMar>
            <w:hideMark/>
          </w:tcPr>
          <w:p w14:paraId="32804C07" w14:textId="77777777" w:rsidR="002438A9" w:rsidRPr="002438A9" w:rsidRDefault="002438A9" w:rsidP="002438A9">
            <w:pPr>
              <w:jc w:val="center"/>
              <w:rPr>
                <w:rFonts w:ascii="新細明體" w:hAnsi="新細明體" w:cs="新細明體"/>
                <w:b/>
                <w:szCs w:val="24"/>
              </w:rPr>
            </w:pPr>
            <w:r w:rsidRPr="002438A9">
              <w:rPr>
                <w:rFonts w:ascii="新細明體" w:hAnsi="新細明體" w:cs="新細明體"/>
                <w:sz w:val="22"/>
                <w:szCs w:val="24"/>
              </w:rPr>
              <w:t xml:space="preserve">□ </w:t>
            </w:r>
            <w:r w:rsidRPr="002438A9">
              <w:rPr>
                <w:rFonts w:ascii="標楷體" w:eastAsia="標楷體" w:hAnsi="標楷體" w:cs="新細明體"/>
                <w:b/>
                <w:sz w:val="22"/>
                <w:szCs w:val="24"/>
              </w:rPr>
              <w:t>無「需排除或停止</w:t>
            </w:r>
            <w:r w:rsidRPr="002438A9">
              <w:rPr>
                <w:rFonts w:ascii="Times New Roman" w:hAnsi="Times New Roman"/>
                <w:b/>
                <w:sz w:val="22"/>
                <w:szCs w:val="24"/>
              </w:rPr>
              <w:t>ustekinumab</w:t>
            </w:r>
            <w:r w:rsidRPr="002438A9">
              <w:rPr>
                <w:rFonts w:ascii="標楷體" w:eastAsia="標楷體" w:hAnsi="標楷體" w:cs="新細明體"/>
                <w:b/>
                <w:sz w:val="22"/>
                <w:szCs w:val="24"/>
              </w:rPr>
              <w:t>、</w:t>
            </w:r>
            <w:r w:rsidRPr="002438A9">
              <w:rPr>
                <w:rFonts w:ascii="Times New Roman" w:hAnsi="Times New Roman"/>
                <w:b/>
                <w:sz w:val="22"/>
                <w:szCs w:val="24"/>
              </w:rPr>
              <w:t>guselkumab</w:t>
            </w:r>
            <w:r w:rsidRPr="002438A9">
              <w:rPr>
                <w:rFonts w:ascii="標楷體" w:eastAsia="標楷體" w:hAnsi="標楷體" w:cs="新細明體"/>
                <w:b/>
                <w:sz w:val="22"/>
                <w:szCs w:val="24"/>
              </w:rPr>
              <w:t>及</w:t>
            </w:r>
            <w:r w:rsidRPr="002438A9">
              <w:rPr>
                <w:rFonts w:ascii="Times New Roman" w:hAnsi="Times New Roman"/>
                <w:b/>
                <w:color w:val="000000"/>
                <w:sz w:val="22"/>
                <w:szCs w:val="24"/>
              </w:rPr>
              <w:t>risankizumab</w:t>
            </w:r>
            <w:r w:rsidRPr="002438A9">
              <w:rPr>
                <w:rFonts w:ascii="標楷體" w:eastAsia="標楷體" w:hAnsi="標楷體" w:cs="新細明體"/>
                <w:b/>
                <w:sz w:val="22"/>
                <w:szCs w:val="24"/>
              </w:rPr>
              <w:t>使用之情形</w:t>
            </w:r>
            <w:r w:rsidRPr="002438A9">
              <w:rPr>
                <w:rFonts w:ascii="標楷體" w:eastAsia="標楷體" w:hAnsi="標楷體" w:cs="新細明體"/>
                <w:b/>
                <w:szCs w:val="24"/>
              </w:rPr>
              <w:t>」</w:t>
            </w:r>
          </w:p>
        </w:tc>
      </w:tr>
      <w:tr w:rsidR="002438A9" w:rsidRPr="002438A9" w14:paraId="2040F9D1" w14:textId="77777777" w:rsidTr="00590552">
        <w:trPr>
          <w:trHeight w:val="284"/>
          <w:tblCellSpacing w:w="7" w:type="dxa"/>
        </w:trPr>
        <w:tc>
          <w:tcPr>
            <w:tcW w:w="555" w:type="dxa"/>
            <w:tcBorders>
              <w:top w:val="single" w:sz="6" w:space="0" w:color="000000"/>
              <w:left w:val="double" w:sz="4" w:space="0" w:color="000000"/>
              <w:bottom w:val="single" w:sz="6" w:space="0" w:color="000000"/>
              <w:right w:val="nil"/>
            </w:tcBorders>
            <w:tcMar>
              <w:top w:w="0" w:type="dxa"/>
              <w:left w:w="28" w:type="dxa"/>
              <w:bottom w:w="0" w:type="dxa"/>
              <w:right w:w="0" w:type="dxa"/>
            </w:tcMar>
            <w:vAlign w:val="center"/>
            <w:hideMark/>
          </w:tcPr>
          <w:p w14:paraId="0F049F3B"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28" w:type="dxa"/>
            </w:tcMar>
            <w:vAlign w:val="center"/>
            <w:hideMark/>
          </w:tcPr>
          <w:p w14:paraId="3F5D4837"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78A83F24"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hideMark/>
          </w:tcPr>
          <w:p w14:paraId="698B4E1F"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cs="新細明體"/>
                <w:sz w:val="22"/>
                <w:szCs w:val="20"/>
              </w:rPr>
              <w:t>是否有藥名</w:t>
            </w:r>
            <w:r w:rsidRPr="002438A9">
              <w:rPr>
                <w:rFonts w:ascii="標楷體" w:eastAsia="標楷體" w:hAnsi="標楷體"/>
                <w:sz w:val="22"/>
                <w:szCs w:val="20"/>
              </w:rPr>
              <w:t>_____________</w:t>
            </w:r>
            <w:r w:rsidRPr="002438A9">
              <w:rPr>
                <w:rFonts w:ascii="標楷體" w:eastAsia="標楷體" w:hAnsi="標楷體" w:cs="新細明體"/>
                <w:sz w:val="22"/>
                <w:szCs w:val="20"/>
              </w:rPr>
              <w:t>仿單記載之禁忌情形。</w:t>
            </w:r>
          </w:p>
        </w:tc>
      </w:tr>
      <w:tr w:rsidR="002438A9" w:rsidRPr="002438A9" w14:paraId="498ED01F" w14:textId="77777777" w:rsidTr="00590552">
        <w:trPr>
          <w:trHeight w:val="723"/>
          <w:tblCellSpacing w:w="7" w:type="dxa"/>
        </w:trPr>
        <w:tc>
          <w:tcPr>
            <w:tcW w:w="555" w:type="dxa"/>
            <w:tcBorders>
              <w:top w:val="single" w:sz="6" w:space="0" w:color="000000"/>
              <w:left w:val="double" w:sz="4" w:space="0" w:color="000000"/>
              <w:bottom w:val="single" w:sz="6" w:space="0" w:color="000000"/>
              <w:right w:val="nil"/>
            </w:tcBorders>
            <w:tcMar>
              <w:top w:w="0" w:type="dxa"/>
              <w:left w:w="28" w:type="dxa"/>
              <w:bottom w:w="0" w:type="dxa"/>
              <w:right w:w="0" w:type="dxa"/>
            </w:tcMar>
            <w:vAlign w:val="center"/>
            <w:hideMark/>
          </w:tcPr>
          <w:p w14:paraId="77BC98BF"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28" w:type="dxa"/>
            </w:tcMar>
            <w:vAlign w:val="center"/>
            <w:hideMark/>
          </w:tcPr>
          <w:p w14:paraId="193CBEB7"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4A6D388A"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hideMark/>
          </w:tcPr>
          <w:p w14:paraId="5B1ED99A"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cs="新細明體"/>
                <w:sz w:val="22"/>
                <w:szCs w:val="20"/>
              </w:rPr>
              <w:t>婦女是否正在懷孕或授乳。</w:t>
            </w:r>
          </w:p>
        </w:tc>
      </w:tr>
      <w:tr w:rsidR="002438A9" w:rsidRPr="002438A9" w14:paraId="124A6A70" w14:textId="77777777" w:rsidTr="00590552">
        <w:trPr>
          <w:trHeight w:val="330"/>
          <w:tblCellSpacing w:w="7" w:type="dxa"/>
        </w:trPr>
        <w:tc>
          <w:tcPr>
            <w:tcW w:w="555" w:type="dxa"/>
            <w:tcBorders>
              <w:top w:val="single" w:sz="6" w:space="0" w:color="000000"/>
              <w:left w:val="double" w:sz="4" w:space="0" w:color="000000"/>
              <w:bottom w:val="single" w:sz="6" w:space="0" w:color="000000"/>
              <w:right w:val="nil"/>
            </w:tcBorders>
            <w:tcMar>
              <w:top w:w="0" w:type="dxa"/>
              <w:left w:w="28" w:type="dxa"/>
              <w:bottom w:w="0" w:type="dxa"/>
              <w:right w:w="0" w:type="dxa"/>
            </w:tcMar>
            <w:vAlign w:val="center"/>
            <w:hideMark/>
          </w:tcPr>
          <w:p w14:paraId="06D313AD"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28" w:type="dxa"/>
            </w:tcMar>
            <w:vAlign w:val="center"/>
            <w:hideMark/>
          </w:tcPr>
          <w:p w14:paraId="6AA6823A"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10DED59F"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hideMark/>
          </w:tcPr>
          <w:p w14:paraId="4FB5F37A"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cs="新細明體"/>
                <w:sz w:val="22"/>
                <w:szCs w:val="20"/>
              </w:rPr>
              <w:t>病患是否罹患活動性感染之疾病或有Ｂ肝、Ｃ肝活動性感染或結核病。</w:t>
            </w:r>
          </w:p>
        </w:tc>
      </w:tr>
      <w:tr w:rsidR="002438A9" w:rsidRPr="002438A9" w14:paraId="03D8D7FF" w14:textId="77777777" w:rsidTr="00590552">
        <w:trPr>
          <w:trHeight w:val="330"/>
          <w:tblCellSpacing w:w="7" w:type="dxa"/>
        </w:trPr>
        <w:tc>
          <w:tcPr>
            <w:tcW w:w="555" w:type="dxa"/>
            <w:tcBorders>
              <w:top w:val="single" w:sz="6" w:space="0" w:color="000000"/>
              <w:left w:val="double" w:sz="4" w:space="0" w:color="000000"/>
              <w:bottom w:val="single" w:sz="6" w:space="0" w:color="000000"/>
              <w:right w:val="nil"/>
            </w:tcBorders>
            <w:tcMar>
              <w:top w:w="0" w:type="dxa"/>
              <w:left w:w="28" w:type="dxa"/>
              <w:bottom w:w="0" w:type="dxa"/>
              <w:right w:w="0" w:type="dxa"/>
            </w:tcMar>
            <w:vAlign w:val="center"/>
            <w:hideMark/>
          </w:tcPr>
          <w:p w14:paraId="4BE1F95E"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28" w:type="dxa"/>
            </w:tcMar>
            <w:vAlign w:val="center"/>
            <w:hideMark/>
          </w:tcPr>
          <w:p w14:paraId="37286B35"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24A5A4DA"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hideMark/>
          </w:tcPr>
          <w:p w14:paraId="01B1F573"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cs="新細明體"/>
                <w:sz w:val="22"/>
                <w:szCs w:val="20"/>
              </w:rPr>
              <w:t>病患是否具有高度感染機會之情形，其中包括：</w:t>
            </w:r>
          </w:p>
          <w:p w14:paraId="2321DD60"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sz w:val="22"/>
                <w:szCs w:val="20"/>
              </w:rPr>
              <w:t>1.</w:t>
            </w:r>
            <w:r w:rsidRPr="002438A9">
              <w:rPr>
                <w:rFonts w:ascii="標楷體" w:eastAsia="標楷體" w:hAnsi="標楷體" w:cs="新細明體"/>
                <w:sz w:val="22"/>
                <w:szCs w:val="20"/>
              </w:rPr>
              <w:t>慢性腿部潰瘍。</w:t>
            </w:r>
          </w:p>
          <w:p w14:paraId="65365FE0" w14:textId="77777777" w:rsidR="002438A9" w:rsidRPr="002438A9" w:rsidRDefault="002438A9" w:rsidP="002438A9">
            <w:pPr>
              <w:ind w:left="220" w:hangingChars="100" w:hanging="220"/>
              <w:rPr>
                <w:rFonts w:ascii="標楷體" w:eastAsia="標楷體" w:hAnsi="標楷體" w:cs="新細明體"/>
                <w:sz w:val="22"/>
                <w:szCs w:val="20"/>
              </w:rPr>
            </w:pPr>
            <w:r w:rsidRPr="002438A9">
              <w:rPr>
                <w:rFonts w:ascii="標楷體" w:eastAsia="標楷體" w:hAnsi="標楷體"/>
                <w:sz w:val="22"/>
                <w:szCs w:val="20"/>
              </w:rPr>
              <w:t>2.</w:t>
            </w:r>
            <w:r w:rsidRPr="002438A9">
              <w:rPr>
                <w:rFonts w:ascii="標楷體" w:eastAsia="標楷體" w:hAnsi="標楷體" w:cs="新細明體"/>
                <w:sz w:val="22"/>
                <w:szCs w:val="20"/>
              </w:rPr>
              <w:t>未經完整治療之結核病的病患（包括潛伏結核感染治療未達四週者，申請時應檢附潛伏結核感染篩檢紀錄及治療紀錄供審查）。</w:t>
            </w:r>
          </w:p>
          <w:p w14:paraId="72090776"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sz w:val="22"/>
                <w:szCs w:val="20"/>
              </w:rPr>
              <w:t>3.</w:t>
            </w:r>
            <w:r w:rsidRPr="002438A9">
              <w:rPr>
                <w:rFonts w:ascii="標楷體" w:eastAsia="標楷體" w:hAnsi="標楷體" w:cs="新細明體"/>
                <w:sz w:val="22"/>
                <w:szCs w:val="20"/>
              </w:rPr>
              <w:t>過去</w:t>
            </w:r>
            <w:r w:rsidRPr="002438A9">
              <w:rPr>
                <w:rFonts w:ascii="標楷體" w:eastAsia="標楷體" w:hAnsi="標楷體"/>
                <w:sz w:val="22"/>
                <w:szCs w:val="20"/>
              </w:rPr>
              <w:t>12</w:t>
            </w:r>
            <w:r w:rsidRPr="002438A9">
              <w:rPr>
                <w:rFonts w:ascii="標楷體" w:eastAsia="標楷體" w:hAnsi="標楷體" w:cs="新細明體"/>
                <w:sz w:val="22"/>
                <w:szCs w:val="20"/>
              </w:rPr>
              <w:t>個月內曾罹患感染性關節炎者。</w:t>
            </w:r>
          </w:p>
          <w:p w14:paraId="5F703A11"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sz w:val="22"/>
                <w:szCs w:val="20"/>
              </w:rPr>
              <w:t>4.</w:t>
            </w:r>
            <w:r w:rsidRPr="002438A9">
              <w:rPr>
                <w:rFonts w:ascii="標楷體" w:eastAsia="標楷體" w:hAnsi="標楷體" w:cs="新細明體"/>
                <w:sz w:val="22"/>
                <w:szCs w:val="20"/>
              </w:rPr>
              <w:t>曾有人工關節感染，若該人工關節未去除前，不可使用。</w:t>
            </w:r>
          </w:p>
          <w:p w14:paraId="6F709649"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sz w:val="22"/>
                <w:szCs w:val="20"/>
              </w:rPr>
              <w:t>5.</w:t>
            </w:r>
            <w:r w:rsidRPr="002438A9">
              <w:rPr>
                <w:rFonts w:ascii="標楷體" w:eastAsia="標楷體" w:hAnsi="標楷體" w:cs="新細明體"/>
                <w:sz w:val="22"/>
                <w:szCs w:val="20"/>
              </w:rPr>
              <w:t>頑固性或復發性的胸腔感染疾病。</w:t>
            </w:r>
          </w:p>
          <w:p w14:paraId="4D424EE0"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sz w:val="22"/>
                <w:szCs w:val="20"/>
              </w:rPr>
              <w:t>6.</w:t>
            </w:r>
            <w:r w:rsidRPr="002438A9">
              <w:rPr>
                <w:rFonts w:ascii="標楷體" w:eastAsia="標楷體" w:hAnsi="標楷體" w:cs="新細明體"/>
                <w:sz w:val="22"/>
                <w:szCs w:val="20"/>
              </w:rPr>
              <w:t>具有留置導尿管之情形。</w:t>
            </w:r>
          </w:p>
        </w:tc>
      </w:tr>
      <w:tr w:rsidR="002438A9" w:rsidRPr="002438A9" w14:paraId="5EBCAC8E" w14:textId="77777777" w:rsidTr="00590552">
        <w:trPr>
          <w:trHeight w:val="330"/>
          <w:tblCellSpacing w:w="7" w:type="dxa"/>
        </w:trPr>
        <w:tc>
          <w:tcPr>
            <w:tcW w:w="555" w:type="dxa"/>
            <w:tcBorders>
              <w:top w:val="single" w:sz="6" w:space="0" w:color="000000"/>
              <w:left w:val="double" w:sz="4" w:space="0" w:color="000000"/>
              <w:bottom w:val="single" w:sz="6" w:space="0" w:color="000000"/>
              <w:right w:val="nil"/>
            </w:tcBorders>
            <w:tcMar>
              <w:top w:w="0" w:type="dxa"/>
              <w:left w:w="28" w:type="dxa"/>
              <w:bottom w:w="0" w:type="dxa"/>
              <w:right w:w="0" w:type="dxa"/>
            </w:tcMar>
            <w:vAlign w:val="center"/>
            <w:hideMark/>
          </w:tcPr>
          <w:p w14:paraId="30E30557"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28" w:type="dxa"/>
            </w:tcMar>
            <w:vAlign w:val="center"/>
            <w:hideMark/>
          </w:tcPr>
          <w:p w14:paraId="10509AD2"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7F503750"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hideMark/>
          </w:tcPr>
          <w:p w14:paraId="4366EDC6"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cs="新細明體"/>
                <w:sz w:val="22"/>
                <w:szCs w:val="20"/>
              </w:rPr>
              <w:t>病患是否罹患惡性腫瘤或癌前狀態之腫瘤</w:t>
            </w:r>
          </w:p>
        </w:tc>
      </w:tr>
      <w:tr w:rsidR="002438A9" w:rsidRPr="002438A9" w14:paraId="0EF9B42D" w14:textId="77777777" w:rsidTr="00590552">
        <w:trPr>
          <w:trHeight w:val="330"/>
          <w:tblCellSpacing w:w="7" w:type="dxa"/>
        </w:trPr>
        <w:tc>
          <w:tcPr>
            <w:tcW w:w="555" w:type="dxa"/>
            <w:tcBorders>
              <w:top w:val="single" w:sz="6" w:space="0" w:color="000000"/>
              <w:left w:val="double" w:sz="4" w:space="0" w:color="000000"/>
              <w:bottom w:val="single" w:sz="6" w:space="0" w:color="000000"/>
              <w:right w:val="nil"/>
            </w:tcBorders>
            <w:tcMar>
              <w:top w:w="0" w:type="dxa"/>
              <w:left w:w="28" w:type="dxa"/>
              <w:bottom w:w="0" w:type="dxa"/>
              <w:right w:w="0" w:type="dxa"/>
            </w:tcMar>
            <w:vAlign w:val="center"/>
            <w:hideMark/>
          </w:tcPr>
          <w:p w14:paraId="0734A572"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28" w:type="dxa"/>
            </w:tcMar>
            <w:vAlign w:val="center"/>
            <w:hideMark/>
          </w:tcPr>
          <w:p w14:paraId="09BBC26F"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031EE2C3"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hideMark/>
          </w:tcPr>
          <w:p w14:paraId="52EDFC6D" w14:textId="77777777" w:rsidR="002438A9" w:rsidRPr="002438A9" w:rsidRDefault="002438A9" w:rsidP="002438A9">
            <w:pPr>
              <w:rPr>
                <w:rFonts w:ascii="標楷體" w:eastAsia="標楷體" w:hAnsi="標楷體" w:cs="新細明體"/>
                <w:sz w:val="22"/>
                <w:szCs w:val="20"/>
              </w:rPr>
            </w:pPr>
            <w:r w:rsidRPr="002438A9">
              <w:rPr>
                <w:rFonts w:ascii="標楷體" w:eastAsia="標楷體" w:hAnsi="標楷體" w:cs="新細明體"/>
                <w:sz w:val="22"/>
                <w:szCs w:val="20"/>
              </w:rPr>
              <w:t>病患是否罹患狼瘡或多發性硬化症</w:t>
            </w:r>
            <w:r w:rsidRPr="002438A9">
              <w:rPr>
                <w:rFonts w:ascii="標楷體" w:eastAsia="標楷體" w:hAnsi="標楷體"/>
                <w:sz w:val="22"/>
                <w:szCs w:val="20"/>
              </w:rPr>
              <w:t>(multiple sclerosis)</w:t>
            </w:r>
          </w:p>
        </w:tc>
      </w:tr>
      <w:tr w:rsidR="002438A9" w:rsidRPr="002438A9" w14:paraId="7A77A81F" w14:textId="77777777" w:rsidTr="00590552">
        <w:trPr>
          <w:trHeight w:val="315"/>
          <w:tblCellSpacing w:w="7" w:type="dxa"/>
        </w:trPr>
        <w:tc>
          <w:tcPr>
            <w:tcW w:w="555" w:type="dxa"/>
            <w:tcBorders>
              <w:top w:val="single" w:sz="6" w:space="0" w:color="000000"/>
              <w:left w:val="double" w:sz="4" w:space="0" w:color="000000"/>
              <w:bottom w:val="double" w:sz="4" w:space="0" w:color="000000"/>
              <w:right w:val="nil"/>
            </w:tcBorders>
            <w:tcMar>
              <w:top w:w="0" w:type="dxa"/>
              <w:left w:w="28" w:type="dxa"/>
              <w:bottom w:w="0" w:type="dxa"/>
              <w:right w:w="0" w:type="dxa"/>
            </w:tcMar>
            <w:vAlign w:val="center"/>
            <w:hideMark/>
          </w:tcPr>
          <w:p w14:paraId="1C81CCE9" w14:textId="77777777" w:rsidR="002438A9" w:rsidRPr="002438A9" w:rsidRDefault="002438A9" w:rsidP="002438A9">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245" w:type="dxa"/>
            <w:tcBorders>
              <w:top w:val="single" w:sz="6" w:space="0" w:color="000000"/>
              <w:left w:val="nil"/>
              <w:bottom w:val="double" w:sz="4" w:space="0" w:color="000000"/>
              <w:right w:val="single" w:sz="6" w:space="0" w:color="000000"/>
            </w:tcBorders>
            <w:tcMar>
              <w:top w:w="0" w:type="dxa"/>
              <w:left w:w="0" w:type="dxa"/>
              <w:bottom w:w="0" w:type="dxa"/>
              <w:right w:w="28" w:type="dxa"/>
            </w:tcMar>
            <w:vAlign w:val="center"/>
            <w:hideMark/>
          </w:tcPr>
          <w:p w14:paraId="3A9EC0B7"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是</w:t>
            </w:r>
          </w:p>
          <w:p w14:paraId="7753FD8D" w14:textId="77777777" w:rsidR="002438A9" w:rsidRPr="002438A9" w:rsidRDefault="002438A9" w:rsidP="002438A9">
            <w:pPr>
              <w:jc w:val="center"/>
              <w:rPr>
                <w:rFonts w:ascii="Times New Roman" w:hAnsi="Times New Roman"/>
                <w:sz w:val="20"/>
                <w:szCs w:val="20"/>
              </w:rPr>
            </w:pPr>
            <w:r w:rsidRPr="002438A9">
              <w:rPr>
                <w:rFonts w:ascii="Times New Roman" w:hAnsi="Times New Roman"/>
                <w:sz w:val="20"/>
                <w:szCs w:val="20"/>
              </w:rPr>
              <w:t>□</w:t>
            </w:r>
            <w:r w:rsidRPr="002438A9">
              <w:rPr>
                <w:rFonts w:ascii="標楷體" w:eastAsia="標楷體" w:hAnsi="標楷體"/>
                <w:sz w:val="20"/>
                <w:szCs w:val="20"/>
              </w:rPr>
              <w:t>否</w:t>
            </w:r>
          </w:p>
        </w:tc>
        <w:tc>
          <w:tcPr>
            <w:tcW w:w="7380" w:type="dxa"/>
            <w:tcBorders>
              <w:top w:val="single" w:sz="6" w:space="0" w:color="000000"/>
              <w:left w:val="single" w:sz="6" w:space="0" w:color="000000"/>
              <w:bottom w:val="double" w:sz="4" w:space="0" w:color="000000"/>
              <w:right w:val="double" w:sz="4" w:space="0" w:color="000000"/>
            </w:tcBorders>
            <w:tcMar>
              <w:top w:w="0" w:type="dxa"/>
              <w:left w:w="28" w:type="dxa"/>
              <w:bottom w:w="0" w:type="dxa"/>
              <w:right w:w="28" w:type="dxa"/>
            </w:tcMar>
            <w:vAlign w:val="center"/>
            <w:hideMark/>
          </w:tcPr>
          <w:p w14:paraId="6C32F897" w14:textId="77777777" w:rsidR="002438A9" w:rsidRPr="002438A9" w:rsidRDefault="002438A9" w:rsidP="002438A9">
            <w:pPr>
              <w:widowControl/>
              <w:suppressAutoHyphens w:val="0"/>
              <w:autoSpaceDN/>
              <w:spacing w:before="100" w:beforeAutospacing="1" w:after="100" w:afterAutospacing="1"/>
              <w:textAlignment w:val="auto"/>
              <w:rPr>
                <w:rFonts w:ascii="標楷體" w:eastAsia="標楷體" w:hAnsi="標楷體" w:cs="新細明體"/>
                <w:kern w:val="0"/>
                <w:sz w:val="22"/>
                <w:szCs w:val="20"/>
              </w:rPr>
            </w:pPr>
            <w:r w:rsidRPr="002438A9">
              <w:rPr>
                <w:rFonts w:ascii="標楷體" w:eastAsia="標楷體" w:hAnsi="標楷體" w:cs="新細明體"/>
                <w:kern w:val="0"/>
                <w:sz w:val="22"/>
                <w:szCs w:val="20"/>
              </w:rPr>
              <w:t>使用</w:t>
            </w:r>
            <w:r w:rsidRPr="002438A9">
              <w:rPr>
                <w:rFonts w:ascii="標楷體" w:eastAsia="標楷體" w:hAnsi="標楷體"/>
                <w:kern w:val="0"/>
                <w:sz w:val="22"/>
                <w:szCs w:val="20"/>
              </w:rPr>
              <w:t>ustekinumab/ guselkumab/risankizumab</w:t>
            </w:r>
            <w:r w:rsidRPr="002438A9">
              <w:rPr>
                <w:rFonts w:ascii="標楷體" w:eastAsia="標楷體" w:hAnsi="標楷體" w:cs="新細明體"/>
                <w:kern w:val="0"/>
                <w:sz w:val="22"/>
                <w:szCs w:val="20"/>
              </w:rPr>
              <w:t>發生懷孕或不良事件</w:t>
            </w:r>
            <w:r w:rsidRPr="002438A9">
              <w:rPr>
                <w:rFonts w:ascii="標楷體" w:eastAsia="標楷體" w:hAnsi="標楷體"/>
                <w:kern w:val="0"/>
                <w:sz w:val="22"/>
                <w:szCs w:val="20"/>
              </w:rPr>
              <w:t>(</w:t>
            </w:r>
            <w:r w:rsidRPr="002438A9">
              <w:rPr>
                <w:rFonts w:ascii="標楷體" w:eastAsia="標楷體" w:hAnsi="標楷體" w:cs="新細明體"/>
                <w:kern w:val="0"/>
                <w:sz w:val="22"/>
                <w:szCs w:val="20"/>
              </w:rPr>
              <w:t>包括：惡性腫瘤、該藥物引起的嚴重毒性、嚴重的感染性疾病</w:t>
            </w:r>
            <w:r w:rsidRPr="002438A9">
              <w:rPr>
                <w:rFonts w:ascii="標楷體" w:eastAsia="標楷體" w:hAnsi="標楷體"/>
                <w:kern w:val="0"/>
                <w:sz w:val="22"/>
                <w:szCs w:val="20"/>
              </w:rPr>
              <w:t>)</w:t>
            </w:r>
          </w:p>
        </w:tc>
      </w:tr>
    </w:tbl>
    <w:p w14:paraId="5B79A36C" w14:textId="77777777" w:rsidR="002438A9" w:rsidRPr="002438A9" w:rsidRDefault="002438A9" w:rsidP="002438A9">
      <w:pPr>
        <w:widowControl/>
        <w:jc w:val="center"/>
        <w:rPr>
          <w:rFonts w:ascii="Times New Roman" w:hAnsi="Times New Roman"/>
          <w:sz w:val="28"/>
          <w:szCs w:val="20"/>
        </w:rPr>
      </w:pPr>
    </w:p>
    <w:p w14:paraId="707C05A4" w14:textId="77777777" w:rsidR="002438A9" w:rsidRDefault="002438A9">
      <w:pPr>
        <w:widowControl/>
        <w:suppressAutoHyphens w:val="0"/>
        <w:rPr>
          <w:rFonts w:ascii="標楷體" w:eastAsia="標楷體" w:hAnsi="標楷體"/>
          <w:szCs w:val="24"/>
        </w:rPr>
      </w:pPr>
      <w:r>
        <w:rPr>
          <w:rFonts w:ascii="標楷體" w:eastAsia="標楷體" w:hAnsi="標楷體"/>
          <w:szCs w:val="24"/>
        </w:rPr>
        <w:br w:type="page"/>
      </w:r>
    </w:p>
    <w:p w14:paraId="0D69A44A" w14:textId="035F0CD5" w:rsidR="00BD776B" w:rsidRDefault="00DF0C24" w:rsidP="002438A9">
      <w:pPr>
        <w:widowControl/>
        <w:jc w:val="center"/>
      </w:pPr>
      <w:r>
        <w:rPr>
          <w:rFonts w:ascii="標楷體" w:eastAsia="標楷體" w:hAnsi="標楷體"/>
          <w:szCs w:val="24"/>
        </w:rPr>
        <w:lastRenderedPageBreak/>
        <w:t>附表二十三</w:t>
      </w:r>
      <w:r>
        <w:rPr>
          <w:rFonts w:ascii="標楷體" w:eastAsia="標楷體" w:hAnsi="標楷體"/>
          <w:color w:val="000000"/>
          <w:szCs w:val="24"/>
        </w:rPr>
        <w:t>：</w:t>
      </w:r>
      <w:r>
        <w:rPr>
          <w:rFonts w:ascii="標楷體" w:eastAsia="標楷體" w:hAnsi="標楷體"/>
          <w:szCs w:val="24"/>
        </w:rPr>
        <w:t>全民健康保險使用</w:t>
      </w:r>
      <w:r>
        <w:rPr>
          <w:rFonts w:ascii="標楷體" w:eastAsia="標楷體" w:hAnsi="標楷體"/>
          <w:color w:val="000000"/>
          <w:szCs w:val="24"/>
        </w:rPr>
        <w:t>rituximab申</w:t>
      </w:r>
      <w:r>
        <w:rPr>
          <w:rFonts w:ascii="標楷體" w:eastAsia="標楷體" w:hAnsi="標楷體"/>
          <w:szCs w:val="24"/>
        </w:rPr>
        <w:t>請表</w:t>
      </w:r>
    </w:p>
    <w:p w14:paraId="28D075BD" w14:textId="77777777" w:rsidR="00BD776B" w:rsidRDefault="00DF0C24">
      <w:pPr>
        <w:snapToGrid w:val="0"/>
        <w:spacing w:line="380" w:lineRule="exact"/>
        <w:ind w:left="13606" w:right="126" w:hanging="13606"/>
        <w:jc w:val="right"/>
      </w:pPr>
      <w:r>
        <w:rPr>
          <w:rFonts w:ascii="標楷體" w:eastAsia="標楷體" w:hAnsi="標楷體" w:cs="Webdings"/>
          <w:sz w:val="32"/>
          <w:szCs w:val="32"/>
        </w:rPr>
        <w:t></w:t>
      </w:r>
      <w:r>
        <w:rPr>
          <w:rFonts w:ascii="標楷體" w:eastAsia="標楷體" w:hAnsi="標楷體"/>
          <w:sz w:val="32"/>
          <w:szCs w:val="32"/>
        </w:rPr>
        <w:t>初次治療</w:t>
      </w:r>
    </w:p>
    <w:tbl>
      <w:tblPr>
        <w:tblW w:w="9639" w:type="dxa"/>
        <w:tblInd w:w="28" w:type="dxa"/>
        <w:tblLayout w:type="fixed"/>
        <w:tblCellMar>
          <w:left w:w="10" w:type="dxa"/>
          <w:right w:w="10" w:type="dxa"/>
        </w:tblCellMar>
        <w:tblLook w:val="0000" w:firstRow="0" w:lastRow="0" w:firstColumn="0" w:lastColumn="0" w:noHBand="0" w:noVBand="0"/>
      </w:tblPr>
      <w:tblGrid>
        <w:gridCol w:w="1246"/>
        <w:gridCol w:w="1638"/>
        <w:gridCol w:w="1148"/>
        <w:gridCol w:w="1889"/>
        <w:gridCol w:w="1218"/>
        <w:gridCol w:w="2500"/>
      </w:tblGrid>
      <w:tr w:rsidR="00BD776B" w14:paraId="6546CEB3" w14:textId="77777777">
        <w:trPr>
          <w:cantSplit/>
          <w:trHeight w:val="376"/>
        </w:trPr>
        <w:tc>
          <w:tcPr>
            <w:tcW w:w="1246"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04198BE" w14:textId="77777777" w:rsidR="00BD776B" w:rsidRDefault="00DF0C24">
            <w:pPr>
              <w:snapToGrid w:val="0"/>
              <w:spacing w:line="380" w:lineRule="exact"/>
              <w:rPr>
                <w:rFonts w:ascii="標楷體" w:eastAsia="標楷體" w:hAnsi="標楷體"/>
              </w:rPr>
            </w:pPr>
            <w:r>
              <w:rPr>
                <w:rFonts w:ascii="標楷體" w:eastAsia="標楷體" w:hAnsi="標楷體"/>
              </w:rPr>
              <w:t>醫院代號</w:t>
            </w:r>
          </w:p>
        </w:tc>
        <w:tc>
          <w:tcPr>
            <w:tcW w:w="163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8D9CFF" w14:textId="77777777" w:rsidR="00BD776B" w:rsidRDefault="00BD776B">
            <w:pPr>
              <w:snapToGrid w:val="0"/>
              <w:spacing w:line="380" w:lineRule="exact"/>
              <w:rPr>
                <w:rFonts w:ascii="標楷體" w:eastAsia="標楷體" w:hAnsi="標楷體"/>
              </w:rPr>
            </w:pPr>
          </w:p>
        </w:tc>
        <w:tc>
          <w:tcPr>
            <w:tcW w:w="114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6CCB2AA" w14:textId="77777777" w:rsidR="00BD776B" w:rsidRDefault="00DF0C24">
            <w:pPr>
              <w:snapToGrid w:val="0"/>
              <w:spacing w:line="380" w:lineRule="exact"/>
              <w:rPr>
                <w:rFonts w:ascii="標楷體" w:eastAsia="標楷體" w:hAnsi="標楷體"/>
              </w:rPr>
            </w:pPr>
            <w:r>
              <w:rPr>
                <w:rFonts w:ascii="標楷體" w:eastAsia="標楷體" w:hAnsi="標楷體"/>
              </w:rPr>
              <w:t>醫院名稱</w:t>
            </w:r>
          </w:p>
        </w:tc>
        <w:tc>
          <w:tcPr>
            <w:tcW w:w="1889"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EED6EE" w14:textId="77777777" w:rsidR="00BD776B" w:rsidRDefault="00BD776B">
            <w:pPr>
              <w:snapToGrid w:val="0"/>
              <w:spacing w:line="380" w:lineRule="exact"/>
              <w:rPr>
                <w:rFonts w:ascii="標楷體" w:eastAsia="標楷體" w:hAnsi="標楷體"/>
              </w:rPr>
            </w:pPr>
          </w:p>
        </w:tc>
        <w:tc>
          <w:tcPr>
            <w:tcW w:w="121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6B86AFC" w14:textId="77777777" w:rsidR="00BD776B" w:rsidRDefault="00DF0C24">
            <w:pPr>
              <w:snapToGrid w:val="0"/>
              <w:spacing w:line="380" w:lineRule="exact"/>
              <w:rPr>
                <w:rFonts w:ascii="標楷體" w:eastAsia="標楷體" w:hAnsi="標楷體"/>
              </w:rPr>
            </w:pPr>
            <w:r>
              <w:rPr>
                <w:rFonts w:ascii="標楷體" w:eastAsia="標楷體" w:hAnsi="標楷體"/>
              </w:rPr>
              <w:t>申請日期</w:t>
            </w:r>
          </w:p>
        </w:tc>
        <w:tc>
          <w:tcPr>
            <w:tcW w:w="2500"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BED2F92" w14:textId="77777777" w:rsidR="00BD776B" w:rsidRDefault="00BD776B">
            <w:pPr>
              <w:snapToGrid w:val="0"/>
              <w:spacing w:line="380" w:lineRule="exact"/>
              <w:rPr>
                <w:rFonts w:ascii="標楷體" w:eastAsia="標楷體" w:hAnsi="標楷體"/>
              </w:rPr>
            </w:pPr>
          </w:p>
        </w:tc>
      </w:tr>
      <w:tr w:rsidR="00BD776B" w14:paraId="38E66651" w14:textId="77777777">
        <w:trPr>
          <w:cantSplit/>
          <w:trHeight w:val="332"/>
        </w:trPr>
        <w:tc>
          <w:tcPr>
            <w:tcW w:w="1246"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874A0FC" w14:textId="77777777" w:rsidR="00BD776B" w:rsidRDefault="00DF0C24">
            <w:pPr>
              <w:snapToGrid w:val="0"/>
              <w:spacing w:line="380" w:lineRule="exact"/>
              <w:rPr>
                <w:rFonts w:ascii="標楷體" w:eastAsia="標楷體" w:hAnsi="標楷體"/>
              </w:rPr>
            </w:pPr>
            <w:r>
              <w:rPr>
                <w:rFonts w:ascii="標楷體" w:eastAsia="標楷體" w:hAnsi="標楷體"/>
              </w:rPr>
              <w:t>病人姓名</w:t>
            </w:r>
          </w:p>
        </w:tc>
        <w:tc>
          <w:tcPr>
            <w:tcW w:w="16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D50DC54" w14:textId="77777777" w:rsidR="00BD776B" w:rsidRDefault="00BD776B">
            <w:pPr>
              <w:snapToGrid w:val="0"/>
              <w:spacing w:line="380" w:lineRule="exact"/>
              <w:rPr>
                <w:rFonts w:ascii="標楷體" w:eastAsia="標楷體" w:hAnsi="標楷體"/>
              </w:rPr>
            </w:pP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217B3B" w14:textId="77777777" w:rsidR="00BD776B" w:rsidRDefault="00DF0C24">
            <w:pPr>
              <w:snapToGrid w:val="0"/>
              <w:spacing w:line="380" w:lineRule="exact"/>
              <w:rPr>
                <w:rFonts w:ascii="標楷體" w:eastAsia="標楷體" w:hAnsi="標楷體"/>
              </w:rPr>
            </w:pPr>
            <w:r>
              <w:rPr>
                <w:rFonts w:ascii="標楷體" w:eastAsia="標楷體" w:hAnsi="標楷體"/>
              </w:rPr>
              <w:t>性別</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9812B72" w14:textId="77777777" w:rsidR="00BD776B" w:rsidRDefault="00BD776B">
            <w:pPr>
              <w:snapToGrid w:val="0"/>
              <w:spacing w:line="380" w:lineRule="exact"/>
              <w:rPr>
                <w:rFonts w:ascii="標楷體" w:eastAsia="標楷體" w:hAnsi="標楷體"/>
              </w:rPr>
            </w:pP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6CAA47" w14:textId="77777777" w:rsidR="00BD776B" w:rsidRDefault="00DF0C24">
            <w:pPr>
              <w:snapToGrid w:val="0"/>
              <w:spacing w:line="380" w:lineRule="exact"/>
              <w:rPr>
                <w:rFonts w:ascii="標楷體" w:eastAsia="標楷體" w:hAnsi="標楷體"/>
              </w:rPr>
            </w:pPr>
            <w:r>
              <w:rPr>
                <w:rFonts w:ascii="標楷體" w:eastAsia="標楷體" w:hAnsi="標楷體"/>
              </w:rPr>
              <w:t>出生日期</w:t>
            </w:r>
          </w:p>
        </w:tc>
        <w:tc>
          <w:tcPr>
            <w:tcW w:w="2500"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2CD4BEC" w14:textId="77777777" w:rsidR="00BD776B" w:rsidRDefault="00BD776B">
            <w:pPr>
              <w:snapToGrid w:val="0"/>
              <w:spacing w:line="380" w:lineRule="exact"/>
              <w:rPr>
                <w:rFonts w:ascii="標楷體" w:eastAsia="標楷體" w:hAnsi="標楷體"/>
              </w:rPr>
            </w:pPr>
          </w:p>
        </w:tc>
      </w:tr>
      <w:tr w:rsidR="00BD776B" w14:paraId="57A5B026" w14:textId="77777777">
        <w:trPr>
          <w:cantSplit/>
          <w:trHeight w:val="356"/>
        </w:trPr>
        <w:tc>
          <w:tcPr>
            <w:tcW w:w="1246"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9EFF322" w14:textId="77777777" w:rsidR="00BD776B" w:rsidRDefault="00DF0C24">
            <w:pPr>
              <w:snapToGrid w:val="0"/>
              <w:spacing w:line="380" w:lineRule="exact"/>
              <w:rPr>
                <w:rFonts w:ascii="標楷體" w:eastAsia="標楷體" w:hAnsi="標楷體"/>
              </w:rPr>
            </w:pPr>
            <w:r>
              <w:rPr>
                <w:rFonts w:ascii="標楷體" w:eastAsia="標楷體" w:hAnsi="標楷體"/>
              </w:rPr>
              <w:t>身分證號</w:t>
            </w:r>
          </w:p>
        </w:tc>
        <w:tc>
          <w:tcPr>
            <w:tcW w:w="16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4F6B06" w14:textId="77777777" w:rsidR="00BD776B" w:rsidRDefault="00BD776B">
            <w:pPr>
              <w:snapToGrid w:val="0"/>
              <w:spacing w:line="380" w:lineRule="exact"/>
              <w:rPr>
                <w:rFonts w:ascii="標楷體" w:eastAsia="標楷體" w:hAnsi="標楷體"/>
              </w:rPr>
            </w:pP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C96878" w14:textId="77777777" w:rsidR="00BD776B" w:rsidRDefault="00DF0C24">
            <w:pPr>
              <w:snapToGrid w:val="0"/>
              <w:spacing w:line="380" w:lineRule="exact"/>
              <w:rPr>
                <w:rFonts w:ascii="標楷體" w:eastAsia="標楷體" w:hAnsi="標楷體"/>
              </w:rPr>
            </w:pPr>
            <w:r>
              <w:rPr>
                <w:rFonts w:ascii="標楷體" w:eastAsia="標楷體" w:hAnsi="標楷體"/>
              </w:rPr>
              <w:t>病歷號碼</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3B9B2A4" w14:textId="77777777" w:rsidR="00BD776B" w:rsidRDefault="00BD776B">
            <w:pPr>
              <w:snapToGrid w:val="0"/>
              <w:spacing w:line="380" w:lineRule="exact"/>
              <w:rPr>
                <w:rFonts w:ascii="標楷體" w:eastAsia="標楷體" w:hAnsi="標楷體"/>
              </w:rPr>
            </w:pPr>
          </w:p>
        </w:tc>
        <w:tc>
          <w:tcPr>
            <w:tcW w:w="1218"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5606F865" w14:textId="77777777" w:rsidR="00BD776B" w:rsidRDefault="00DF0C24">
            <w:pPr>
              <w:snapToGrid w:val="0"/>
              <w:spacing w:line="380" w:lineRule="exact"/>
              <w:rPr>
                <w:rFonts w:ascii="標楷體" w:eastAsia="標楷體" w:hAnsi="標楷體"/>
              </w:rPr>
            </w:pPr>
            <w:r>
              <w:rPr>
                <w:rFonts w:ascii="標楷體" w:eastAsia="標楷體" w:hAnsi="標楷體"/>
              </w:rPr>
              <w:t>使用期間</w:t>
            </w:r>
          </w:p>
        </w:tc>
        <w:tc>
          <w:tcPr>
            <w:tcW w:w="2500"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4742B15" w14:textId="77777777" w:rsidR="00BD776B" w:rsidRDefault="00DF0C24">
            <w:pPr>
              <w:snapToGrid w:val="0"/>
              <w:spacing w:line="380" w:lineRule="exact"/>
              <w:rPr>
                <w:rFonts w:ascii="標楷體" w:eastAsia="標楷體" w:hAnsi="標楷體"/>
              </w:rPr>
            </w:pPr>
            <w:r>
              <w:rPr>
                <w:rFonts w:ascii="標楷體" w:eastAsia="標楷體" w:hAnsi="標楷體"/>
              </w:rPr>
              <w:t>自　　年　　月　　日</w:t>
            </w:r>
          </w:p>
        </w:tc>
      </w:tr>
      <w:tr w:rsidR="00BD776B" w14:paraId="4CE09F1A" w14:textId="77777777">
        <w:trPr>
          <w:cantSplit/>
          <w:trHeight w:val="337"/>
        </w:trPr>
        <w:tc>
          <w:tcPr>
            <w:tcW w:w="1246"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0A6394C0" w14:textId="77777777" w:rsidR="00BD776B" w:rsidRDefault="00DF0C24">
            <w:pPr>
              <w:snapToGrid w:val="0"/>
              <w:spacing w:line="380" w:lineRule="exact"/>
              <w:rPr>
                <w:rFonts w:ascii="標楷體" w:eastAsia="標楷體" w:hAnsi="標楷體"/>
              </w:rPr>
            </w:pPr>
            <w:r>
              <w:rPr>
                <w:rFonts w:ascii="標楷體" w:eastAsia="標楷體" w:hAnsi="標楷體"/>
              </w:rPr>
              <w:t>藥品代碼</w:t>
            </w:r>
          </w:p>
        </w:tc>
        <w:tc>
          <w:tcPr>
            <w:tcW w:w="163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294E2F4A" w14:textId="77777777" w:rsidR="00BD776B" w:rsidRDefault="00BD776B">
            <w:pPr>
              <w:snapToGrid w:val="0"/>
              <w:spacing w:line="380" w:lineRule="exact"/>
              <w:rPr>
                <w:rFonts w:ascii="標楷體" w:eastAsia="標楷體" w:hAnsi="標楷體"/>
              </w:rPr>
            </w:pPr>
          </w:p>
        </w:tc>
        <w:tc>
          <w:tcPr>
            <w:tcW w:w="114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377903CC" w14:textId="77777777" w:rsidR="00BD776B" w:rsidRDefault="00DF0C24">
            <w:pPr>
              <w:snapToGrid w:val="0"/>
              <w:spacing w:line="380" w:lineRule="exact"/>
              <w:rPr>
                <w:rFonts w:ascii="標楷體" w:eastAsia="標楷體" w:hAnsi="標楷體"/>
              </w:rPr>
            </w:pPr>
            <w:r>
              <w:rPr>
                <w:rFonts w:ascii="標楷體" w:eastAsia="標楷體" w:hAnsi="標楷體"/>
              </w:rPr>
              <w:t>用法用量</w:t>
            </w:r>
          </w:p>
        </w:tc>
        <w:tc>
          <w:tcPr>
            <w:tcW w:w="1889"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389381C0" w14:textId="77777777" w:rsidR="00BD776B" w:rsidRDefault="00BD776B">
            <w:pPr>
              <w:snapToGrid w:val="0"/>
              <w:spacing w:line="380" w:lineRule="exact"/>
              <w:rPr>
                <w:rFonts w:ascii="標楷體" w:eastAsia="標楷體" w:hAnsi="標楷體"/>
              </w:rPr>
            </w:pPr>
          </w:p>
        </w:tc>
        <w:tc>
          <w:tcPr>
            <w:tcW w:w="1218"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0DE57806" w14:textId="77777777" w:rsidR="00BD776B" w:rsidRDefault="00BD776B">
            <w:pPr>
              <w:snapToGrid w:val="0"/>
              <w:spacing w:line="380" w:lineRule="exact"/>
              <w:rPr>
                <w:rFonts w:ascii="標楷體" w:eastAsia="標楷體" w:hAnsi="標楷體"/>
              </w:rPr>
            </w:pPr>
          </w:p>
        </w:tc>
        <w:tc>
          <w:tcPr>
            <w:tcW w:w="2500"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373A266B" w14:textId="77777777" w:rsidR="00BD776B" w:rsidRDefault="00DF0C24">
            <w:pPr>
              <w:snapToGrid w:val="0"/>
              <w:spacing w:line="380" w:lineRule="exact"/>
              <w:rPr>
                <w:rFonts w:ascii="標楷體" w:eastAsia="標楷體" w:hAnsi="標楷體"/>
              </w:rPr>
            </w:pPr>
            <w:r>
              <w:rPr>
                <w:rFonts w:ascii="標楷體" w:eastAsia="標楷體" w:hAnsi="標楷體"/>
              </w:rPr>
              <w:t>至　　年　　月　　日</w:t>
            </w:r>
          </w:p>
        </w:tc>
      </w:tr>
    </w:tbl>
    <w:p w14:paraId="6044862E" w14:textId="77777777" w:rsidR="00BD776B" w:rsidRDefault="00BD776B">
      <w:pPr>
        <w:snapToGrid w:val="0"/>
        <w:spacing w:line="380" w:lineRule="exact"/>
        <w:ind w:left="-540" w:right="-286" w:firstLine="540"/>
        <w:rPr>
          <w:rFonts w:ascii="標楷體" w:eastAsia="標楷體" w:hAnsi="標楷體"/>
          <w:sz w:val="20"/>
        </w:rPr>
      </w:pPr>
    </w:p>
    <w:tbl>
      <w:tblPr>
        <w:tblW w:w="9639" w:type="dxa"/>
        <w:tblInd w:w="28" w:type="dxa"/>
        <w:tblLayout w:type="fixed"/>
        <w:tblCellMar>
          <w:left w:w="10" w:type="dxa"/>
          <w:right w:w="10" w:type="dxa"/>
        </w:tblCellMar>
        <w:tblLook w:val="0000" w:firstRow="0" w:lastRow="0" w:firstColumn="0" w:lastColumn="0" w:noHBand="0" w:noVBand="0"/>
      </w:tblPr>
      <w:tblGrid>
        <w:gridCol w:w="9639"/>
      </w:tblGrid>
      <w:tr w:rsidR="00BD776B" w14:paraId="18831969" w14:textId="77777777">
        <w:trPr>
          <w:cantSplit/>
          <w:trHeight w:val="1589"/>
        </w:trPr>
        <w:tc>
          <w:tcPr>
            <w:tcW w:w="9639" w:type="dxa"/>
            <w:tcBorders>
              <w:top w:val="double" w:sz="4" w:space="0" w:color="000000"/>
              <w:left w:val="double" w:sz="4" w:space="0" w:color="000000"/>
              <w:bottom w:val="single" w:sz="6" w:space="0" w:color="000000"/>
              <w:right w:val="double" w:sz="4" w:space="0" w:color="000000"/>
            </w:tcBorders>
            <w:shd w:val="clear" w:color="auto" w:fill="auto"/>
            <w:tcMar>
              <w:top w:w="0" w:type="dxa"/>
              <w:left w:w="28" w:type="dxa"/>
              <w:bottom w:w="0" w:type="dxa"/>
              <w:right w:w="28" w:type="dxa"/>
            </w:tcMar>
          </w:tcPr>
          <w:p w14:paraId="3FDC7577" w14:textId="77777777" w:rsidR="00BD776B" w:rsidRDefault="00DF0C24">
            <w:pPr>
              <w:snapToGrid w:val="0"/>
              <w:spacing w:line="300" w:lineRule="exact"/>
              <w:ind w:left="120"/>
            </w:pPr>
            <w:r>
              <w:rPr>
                <w:rFonts w:ascii="標楷體" w:eastAsia="標楷體" w:hAnsi="標楷體" w:cs="Webdings"/>
                <w:sz w:val="28"/>
              </w:rPr>
              <w:t></w:t>
            </w:r>
            <w:r>
              <w:rPr>
                <w:rFonts w:ascii="標楷體" w:eastAsia="標楷體" w:hAnsi="標楷體"/>
                <w:sz w:val="28"/>
              </w:rPr>
              <w:t>符合</w:t>
            </w:r>
            <w:r>
              <w:rPr>
                <w:rFonts w:ascii="標楷體" w:eastAsia="標楷體" w:hAnsi="標楷體"/>
                <w:sz w:val="28"/>
                <w:szCs w:val="28"/>
              </w:rPr>
              <w:t>抗腫瘤壞死因子（anti-TNF）未達療效</w:t>
            </w:r>
          </w:p>
          <w:p w14:paraId="07933F82" w14:textId="77777777" w:rsidR="00BD776B" w:rsidRDefault="00DF0C24">
            <w:pPr>
              <w:snapToGrid w:val="0"/>
              <w:ind w:left="120"/>
            </w:pPr>
            <w:r>
              <w:rPr>
                <w:rFonts w:ascii="標楷體" w:eastAsia="標楷體" w:hAnsi="標楷體" w:cs="Webdings"/>
              </w:rPr>
              <w:t></w:t>
            </w:r>
            <w:r>
              <w:rPr>
                <w:rFonts w:ascii="標楷體" w:eastAsia="標楷體" w:hAnsi="標楷體"/>
              </w:rPr>
              <w:t>Etanercept</w:t>
            </w:r>
            <w:r>
              <w:rPr>
                <w:rFonts w:ascii="標楷體" w:eastAsia="標楷體" w:hAnsi="標楷體"/>
                <w:u w:val="single"/>
              </w:rPr>
              <w:t xml:space="preserve">　　　</w:t>
            </w:r>
            <w:r>
              <w:rPr>
                <w:rFonts w:ascii="標楷體" w:eastAsia="標楷體" w:hAnsi="標楷體"/>
              </w:rPr>
              <w:t>mg/week</w:t>
            </w:r>
            <w:r>
              <w:rPr>
                <w:rFonts w:ascii="標楷體" w:eastAsia="標楷體" w:hAnsi="標楷體" w:cs="Webdings"/>
              </w:rPr>
              <w:t></w:t>
            </w:r>
            <w:r>
              <w:rPr>
                <w:rFonts w:ascii="標楷體" w:eastAsia="標楷體" w:hAnsi="標楷體"/>
              </w:rPr>
              <w:t>DAS28總積分下降程度＜1.2</w:t>
            </w:r>
          </w:p>
          <w:p w14:paraId="36F81992" w14:textId="77777777" w:rsidR="00BD776B" w:rsidRDefault="00DF0C24">
            <w:pPr>
              <w:tabs>
                <w:tab w:val="left" w:pos="752"/>
              </w:tabs>
              <w:snapToGrid w:val="0"/>
              <w:ind w:left="92"/>
              <w:textAlignment w:val="center"/>
            </w:pPr>
            <w:r>
              <w:rPr>
                <w:rFonts w:ascii="標楷體" w:eastAsia="標楷體" w:hAnsi="標楷體" w:cs="Webdings"/>
              </w:rPr>
              <w:t></w:t>
            </w:r>
            <w:r>
              <w:rPr>
                <w:rFonts w:ascii="標楷體" w:eastAsia="標楷體" w:hAnsi="標楷體"/>
              </w:rPr>
              <w:t>Adalimumab</w:t>
            </w:r>
            <w:r>
              <w:rPr>
                <w:rFonts w:ascii="標楷體" w:eastAsia="標楷體" w:hAnsi="標楷體"/>
                <w:u w:val="single"/>
              </w:rPr>
              <w:t xml:space="preserve">　　　</w:t>
            </w:r>
            <w:r>
              <w:rPr>
                <w:rFonts w:ascii="標楷體" w:eastAsia="標楷體" w:hAnsi="標楷體"/>
              </w:rPr>
              <w:t>mg/twoweeks</w:t>
            </w:r>
            <w:r>
              <w:rPr>
                <w:rFonts w:ascii="標楷體" w:eastAsia="標楷體" w:hAnsi="標楷體" w:cs="Webdings"/>
              </w:rPr>
              <w:t></w:t>
            </w:r>
            <w:r>
              <w:rPr>
                <w:rFonts w:ascii="標楷體" w:eastAsia="標楷體" w:hAnsi="標楷體"/>
              </w:rPr>
              <w:t>DAS28總積分仍≧3.2者</w:t>
            </w:r>
          </w:p>
          <w:p w14:paraId="66F9CA7B" w14:textId="77777777" w:rsidR="00BD776B" w:rsidRDefault="00DF0C24">
            <w:pPr>
              <w:tabs>
                <w:tab w:val="left" w:pos="462"/>
                <w:tab w:val="left" w:pos="630"/>
              </w:tabs>
              <w:snapToGrid w:val="0"/>
              <w:ind w:left="538"/>
            </w:pPr>
            <w:r>
              <w:rPr>
                <w:rFonts w:ascii="標楷體" w:eastAsia="標楷體" w:hAnsi="標楷體" w:cs="Webdings"/>
              </w:rPr>
              <w:t></w:t>
            </w:r>
            <w:r>
              <w:rPr>
                <w:rFonts w:ascii="標楷體" w:eastAsia="標楷體" w:hAnsi="標楷體"/>
              </w:rPr>
              <w:t>Golimumab</w:t>
            </w:r>
            <w:r>
              <w:rPr>
                <w:rFonts w:ascii="標楷體" w:eastAsia="標楷體" w:hAnsi="標楷體"/>
                <w:u w:val="single"/>
              </w:rPr>
              <w:t xml:space="preserve">　　　</w:t>
            </w:r>
            <w:r>
              <w:rPr>
                <w:rFonts w:ascii="標楷體" w:eastAsia="標楷體" w:hAnsi="標楷體"/>
              </w:rPr>
              <w:t>mg/month</w:t>
            </w:r>
          </w:p>
          <w:p w14:paraId="17D9C5B9" w14:textId="77777777" w:rsidR="00BD776B" w:rsidRDefault="00DF0C24">
            <w:pPr>
              <w:snapToGrid w:val="0"/>
              <w:spacing w:line="300" w:lineRule="exact"/>
            </w:pPr>
            <w:r>
              <w:rPr>
                <w:rFonts w:ascii="標楷體" w:eastAsia="標楷體" w:hAnsi="標楷體"/>
                <w:sz w:val="28"/>
                <w:szCs w:val="28"/>
              </w:rPr>
              <w:t>(請檢附使用etanercept、adalimumab或golimumab六個月或以上之病歷影本)</w:t>
            </w:r>
          </w:p>
        </w:tc>
      </w:tr>
      <w:tr w:rsidR="00BD776B" w14:paraId="3675D31E" w14:textId="77777777">
        <w:trPr>
          <w:cantSplit/>
          <w:trHeight w:val="281"/>
        </w:trPr>
        <w:tc>
          <w:tcPr>
            <w:tcW w:w="9639" w:type="dxa"/>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78728464" w14:textId="77777777" w:rsidR="00BD776B" w:rsidRDefault="00DF0C24">
            <w:pPr>
              <w:snapToGrid w:val="0"/>
              <w:ind w:left="86"/>
              <w:jc w:val="both"/>
              <w:textAlignment w:val="center"/>
            </w:pPr>
            <w:r>
              <w:rPr>
                <w:rFonts w:ascii="標楷體" w:eastAsia="標楷體" w:hAnsi="標楷體" w:cs="Webdings"/>
                <w:sz w:val="28"/>
              </w:rPr>
              <w:t></w:t>
            </w:r>
            <w:r>
              <w:rPr>
                <w:rFonts w:ascii="標楷體" w:eastAsia="標楷體" w:hAnsi="標楷體"/>
                <w:sz w:val="28"/>
              </w:rPr>
              <w:t>符合腫瘤壞死因子(TNF)抑制療法無法耐受</w:t>
            </w:r>
            <w:r>
              <w:rPr>
                <w:rFonts w:ascii="標楷體" w:eastAsia="標楷體" w:hAnsi="標楷體"/>
                <w:sz w:val="28"/>
                <w:szCs w:val="28"/>
              </w:rPr>
              <w:t>(請檢附病歷影本)</w:t>
            </w:r>
          </w:p>
          <w:p w14:paraId="5C4DF9D2" w14:textId="77777777" w:rsidR="00BD776B" w:rsidRDefault="00DF0C24">
            <w:pPr>
              <w:snapToGrid w:val="0"/>
              <w:ind w:left="120"/>
            </w:pPr>
            <w:r>
              <w:rPr>
                <w:rFonts w:ascii="標楷體" w:eastAsia="標楷體" w:hAnsi="標楷體"/>
                <w:sz w:val="28"/>
              </w:rPr>
              <w:t>(</w:t>
            </w:r>
            <w:r>
              <w:rPr>
                <w:rFonts w:ascii="標楷體" w:eastAsia="標楷體" w:hAnsi="標楷體"/>
              </w:rPr>
              <w:t>請說明藥物引起不良反應之情形如副作用、發生TB或惡性腫瘤等)：</w:t>
            </w:r>
          </w:p>
        </w:tc>
      </w:tr>
      <w:tr w:rsidR="00BD776B" w14:paraId="6F095B36" w14:textId="77777777">
        <w:trPr>
          <w:cantSplit/>
          <w:trHeight w:val="2847"/>
        </w:trPr>
        <w:tc>
          <w:tcPr>
            <w:tcW w:w="9639" w:type="dxa"/>
            <w:tcBorders>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6130F9F7" w14:textId="77777777" w:rsidR="00BD776B" w:rsidRDefault="00DF0C24">
            <w:pPr>
              <w:snapToGrid w:val="0"/>
              <w:ind w:left="92"/>
              <w:textAlignment w:val="center"/>
            </w:pPr>
            <w:r>
              <w:rPr>
                <w:rFonts w:ascii="標楷體" w:eastAsia="標楷體" w:hAnsi="標楷體" w:cs="Webdings"/>
              </w:rPr>
              <w:t></w:t>
            </w:r>
            <w:r>
              <w:rPr>
                <w:rFonts w:ascii="標楷體" w:eastAsia="標楷體" w:hAnsi="標楷體"/>
                <w:sz w:val="22"/>
              </w:rPr>
              <w:t>Etanercept</w:t>
            </w:r>
          </w:p>
          <w:p w14:paraId="2EF2714B" w14:textId="77777777" w:rsidR="00BD776B" w:rsidRDefault="00DF0C24">
            <w:pPr>
              <w:snapToGrid w:val="0"/>
              <w:ind w:left="91"/>
              <w:textAlignment w:val="center"/>
            </w:pPr>
            <w:r>
              <w:rPr>
                <w:rFonts w:ascii="標楷體" w:eastAsia="標楷體" w:hAnsi="標楷體"/>
                <w:sz w:val="22"/>
                <w:u w:val="single"/>
              </w:rPr>
              <w:t xml:space="preserve">　　　</w:t>
            </w:r>
            <w:r>
              <w:rPr>
                <w:rFonts w:ascii="標楷體" w:eastAsia="標楷體" w:hAnsi="標楷體"/>
                <w:sz w:val="22"/>
              </w:rPr>
              <w:t>mg/week引起之不良事件:________________________________________________</w:t>
            </w:r>
          </w:p>
          <w:p w14:paraId="25F107B0" w14:textId="77777777" w:rsidR="00BD776B" w:rsidRDefault="00DF0C24">
            <w:pPr>
              <w:snapToGrid w:val="0"/>
              <w:ind w:left="91"/>
              <w:textAlignment w:val="center"/>
              <w:rPr>
                <w:rFonts w:ascii="標楷體" w:eastAsia="標楷體" w:hAnsi="標楷體"/>
              </w:rPr>
            </w:pPr>
            <w:r>
              <w:rPr>
                <w:rFonts w:ascii="標楷體" w:eastAsia="標楷體" w:hAnsi="標楷體"/>
              </w:rPr>
              <w:t>____________________________________________</w:t>
            </w:r>
          </w:p>
          <w:p w14:paraId="2AC0C2AE" w14:textId="77777777" w:rsidR="00BD776B" w:rsidRDefault="00DF0C24">
            <w:pPr>
              <w:snapToGrid w:val="0"/>
              <w:ind w:left="91"/>
              <w:textAlignment w:val="center"/>
              <w:rPr>
                <w:rFonts w:ascii="標楷體" w:eastAsia="標楷體" w:hAnsi="標楷體"/>
              </w:rPr>
            </w:pPr>
            <w:r>
              <w:rPr>
                <w:rFonts w:ascii="標楷體" w:eastAsia="標楷體" w:hAnsi="標楷體"/>
              </w:rPr>
              <w:t>____________________________________________</w:t>
            </w:r>
          </w:p>
          <w:p w14:paraId="3FF95B96" w14:textId="77777777" w:rsidR="00BD776B" w:rsidRDefault="00DF0C24">
            <w:pPr>
              <w:snapToGrid w:val="0"/>
              <w:ind w:left="92"/>
              <w:textAlignment w:val="center"/>
            </w:pPr>
            <w:r>
              <w:rPr>
                <w:rFonts w:ascii="標楷體" w:eastAsia="標楷體" w:hAnsi="標楷體" w:cs="Webdings"/>
              </w:rPr>
              <w:t></w:t>
            </w:r>
            <w:r>
              <w:rPr>
                <w:rFonts w:ascii="標楷體" w:eastAsia="標楷體" w:hAnsi="標楷體"/>
                <w:sz w:val="22"/>
              </w:rPr>
              <w:t>Adalimumab</w:t>
            </w:r>
          </w:p>
          <w:p w14:paraId="5C3B632E" w14:textId="77777777" w:rsidR="00BD776B" w:rsidRDefault="00DF0C24">
            <w:pPr>
              <w:snapToGrid w:val="0"/>
              <w:ind w:left="92"/>
              <w:textAlignment w:val="center"/>
            </w:pPr>
            <w:r>
              <w:rPr>
                <w:rFonts w:ascii="標楷體" w:eastAsia="標楷體" w:hAnsi="標楷體"/>
                <w:sz w:val="22"/>
                <w:u w:val="single"/>
              </w:rPr>
              <w:t xml:space="preserve">　　　</w:t>
            </w:r>
            <w:r>
              <w:rPr>
                <w:rFonts w:ascii="標楷體" w:eastAsia="標楷體" w:hAnsi="標楷體"/>
                <w:sz w:val="22"/>
              </w:rPr>
              <w:t>mg/twoweeks</w:t>
            </w:r>
            <w:r>
              <w:rPr>
                <w:rFonts w:ascii="標楷體" w:eastAsia="標楷體" w:hAnsi="標楷體"/>
              </w:rPr>
              <w:t>引起之不良事件:__________________________________________</w:t>
            </w:r>
          </w:p>
          <w:p w14:paraId="6D58C5CF" w14:textId="77777777" w:rsidR="00BD776B" w:rsidRDefault="00DF0C24">
            <w:pPr>
              <w:snapToGrid w:val="0"/>
              <w:ind w:left="92"/>
              <w:textAlignment w:val="center"/>
              <w:rPr>
                <w:rFonts w:ascii="標楷體" w:eastAsia="標楷體" w:hAnsi="標楷體"/>
              </w:rPr>
            </w:pPr>
            <w:r>
              <w:rPr>
                <w:rFonts w:ascii="標楷體" w:eastAsia="標楷體" w:hAnsi="標楷體"/>
              </w:rPr>
              <w:t>__________________________________________</w:t>
            </w:r>
          </w:p>
          <w:p w14:paraId="01A977D6" w14:textId="77777777" w:rsidR="00BD776B" w:rsidRDefault="00DF0C24">
            <w:pPr>
              <w:snapToGrid w:val="0"/>
              <w:ind w:left="92"/>
              <w:textAlignment w:val="center"/>
              <w:rPr>
                <w:rFonts w:ascii="標楷體" w:eastAsia="標楷體" w:hAnsi="標楷體"/>
              </w:rPr>
            </w:pPr>
            <w:r>
              <w:rPr>
                <w:rFonts w:ascii="標楷體" w:eastAsia="標楷體" w:hAnsi="標楷體"/>
              </w:rPr>
              <w:t>__________________________________________</w:t>
            </w:r>
          </w:p>
          <w:p w14:paraId="5D66F3EE" w14:textId="77777777" w:rsidR="00BD776B" w:rsidRDefault="00DF0C24">
            <w:pPr>
              <w:snapToGrid w:val="0"/>
              <w:ind w:left="92"/>
              <w:textAlignment w:val="center"/>
            </w:pPr>
            <w:r>
              <w:rPr>
                <w:rFonts w:ascii="標楷體" w:eastAsia="標楷體" w:hAnsi="標楷體" w:cs="Webdings"/>
                <w:sz w:val="22"/>
              </w:rPr>
              <w:t></w:t>
            </w:r>
            <w:r>
              <w:rPr>
                <w:rFonts w:ascii="標楷體" w:eastAsia="標楷體" w:hAnsi="標楷體"/>
                <w:sz w:val="22"/>
              </w:rPr>
              <w:t>Golimumab</w:t>
            </w:r>
          </w:p>
          <w:p w14:paraId="51A8CB3A" w14:textId="77777777" w:rsidR="00BD776B" w:rsidRDefault="00DF0C24">
            <w:pPr>
              <w:snapToGrid w:val="0"/>
              <w:ind w:left="92"/>
              <w:textAlignment w:val="center"/>
            </w:pPr>
            <w:r>
              <w:rPr>
                <w:rFonts w:ascii="標楷體" w:eastAsia="標楷體" w:hAnsi="標楷體"/>
                <w:sz w:val="22"/>
                <w:u w:val="single"/>
              </w:rPr>
              <w:t xml:space="preserve">　　　</w:t>
            </w:r>
            <w:r>
              <w:rPr>
                <w:rFonts w:ascii="標楷體" w:eastAsia="標楷體" w:hAnsi="標楷體"/>
                <w:sz w:val="22"/>
              </w:rPr>
              <w:t>mg/month</w:t>
            </w:r>
            <w:r>
              <w:rPr>
                <w:rFonts w:ascii="標楷體" w:eastAsia="標楷體" w:hAnsi="標楷體"/>
              </w:rPr>
              <w:t>引起之不良事件:__________________________________________</w:t>
            </w:r>
          </w:p>
          <w:p w14:paraId="5389463D" w14:textId="77777777" w:rsidR="00BD776B" w:rsidRDefault="00DF0C24">
            <w:pPr>
              <w:snapToGrid w:val="0"/>
              <w:ind w:left="92"/>
              <w:textAlignment w:val="center"/>
              <w:rPr>
                <w:rFonts w:ascii="標楷體" w:eastAsia="標楷體" w:hAnsi="標楷體"/>
              </w:rPr>
            </w:pPr>
            <w:r>
              <w:rPr>
                <w:rFonts w:ascii="標楷體" w:eastAsia="標楷體" w:hAnsi="標楷體"/>
              </w:rPr>
              <w:t>__________________________________________</w:t>
            </w:r>
          </w:p>
          <w:p w14:paraId="545867A7" w14:textId="77777777" w:rsidR="00BD776B" w:rsidRDefault="00DF0C24">
            <w:pPr>
              <w:snapToGrid w:val="0"/>
              <w:ind w:left="92"/>
              <w:textAlignment w:val="center"/>
              <w:rPr>
                <w:rFonts w:ascii="標楷體" w:eastAsia="標楷體" w:hAnsi="標楷體"/>
              </w:rPr>
            </w:pPr>
            <w:r>
              <w:rPr>
                <w:rFonts w:ascii="標楷體" w:eastAsia="標楷體" w:hAnsi="標楷體"/>
              </w:rPr>
              <w:t>__________________________________________</w:t>
            </w:r>
          </w:p>
          <w:p w14:paraId="5E8D552C" w14:textId="77777777" w:rsidR="00BD776B" w:rsidRDefault="00BD776B">
            <w:pPr>
              <w:snapToGrid w:val="0"/>
              <w:textAlignment w:val="center"/>
              <w:rPr>
                <w:rFonts w:ascii="標楷體" w:eastAsia="標楷體" w:hAnsi="標楷體"/>
                <w:sz w:val="22"/>
              </w:rPr>
            </w:pPr>
          </w:p>
        </w:tc>
      </w:tr>
    </w:tbl>
    <w:p w14:paraId="54FD2BD7" w14:textId="77777777" w:rsidR="00BD776B" w:rsidRDefault="00BD776B">
      <w:pPr>
        <w:snapToGrid w:val="0"/>
        <w:spacing w:line="300" w:lineRule="exact"/>
        <w:jc w:val="both"/>
        <w:rPr>
          <w:rFonts w:ascii="標楷體" w:eastAsia="標楷體" w:hAnsi="標楷體"/>
        </w:rPr>
      </w:pPr>
    </w:p>
    <w:tbl>
      <w:tblPr>
        <w:tblW w:w="9639" w:type="dxa"/>
        <w:tblInd w:w="28" w:type="dxa"/>
        <w:tblLayout w:type="fixed"/>
        <w:tblCellMar>
          <w:left w:w="10" w:type="dxa"/>
          <w:right w:w="10" w:type="dxa"/>
        </w:tblCellMar>
        <w:tblLook w:val="0000" w:firstRow="0" w:lastRow="0" w:firstColumn="0" w:lastColumn="0" w:noHBand="0" w:noVBand="0"/>
      </w:tblPr>
      <w:tblGrid>
        <w:gridCol w:w="9639"/>
      </w:tblGrid>
      <w:tr w:rsidR="00BD776B" w14:paraId="6362882C" w14:textId="77777777">
        <w:trPr>
          <w:cantSplit/>
          <w:trHeight w:val="373"/>
        </w:trPr>
        <w:tc>
          <w:tcPr>
            <w:tcW w:w="9639" w:type="dxa"/>
            <w:tcBorders>
              <w:top w:val="double" w:sz="4" w:space="0" w:color="000000"/>
              <w:left w:val="double" w:sz="4" w:space="0" w:color="000000"/>
              <w:bottom w:val="single" w:sz="6" w:space="0" w:color="000000"/>
              <w:right w:val="double" w:sz="4" w:space="0" w:color="000000"/>
            </w:tcBorders>
            <w:shd w:val="clear" w:color="auto" w:fill="auto"/>
            <w:tcMar>
              <w:top w:w="0" w:type="dxa"/>
              <w:left w:w="28" w:type="dxa"/>
              <w:bottom w:w="0" w:type="dxa"/>
              <w:right w:w="28" w:type="dxa"/>
            </w:tcMar>
          </w:tcPr>
          <w:p w14:paraId="0F87AF73" w14:textId="77777777" w:rsidR="00BD776B" w:rsidRDefault="00DF0C24">
            <w:pPr>
              <w:snapToGrid w:val="0"/>
              <w:spacing w:line="300" w:lineRule="exact"/>
            </w:pPr>
            <w:r>
              <w:rPr>
                <w:rFonts w:ascii="標楷體" w:eastAsia="標楷體" w:hAnsi="標楷體" w:cs="Webdings"/>
              </w:rPr>
              <w:t></w:t>
            </w:r>
            <w:r>
              <w:rPr>
                <w:rFonts w:ascii="標楷體" w:eastAsia="標楷體" w:hAnsi="標楷體"/>
              </w:rPr>
              <w:t>HBsAg＋－</w:t>
            </w:r>
            <w:r>
              <w:rPr>
                <w:rFonts w:ascii="標楷體" w:eastAsia="標楷體" w:hAnsi="標楷體" w:cs="Webdings"/>
              </w:rPr>
              <w:t></w:t>
            </w:r>
            <w:r>
              <w:rPr>
                <w:rFonts w:ascii="標楷體" w:eastAsia="標楷體" w:hAnsi="標楷體"/>
              </w:rPr>
              <w:t>Anti-HCV＋－</w:t>
            </w:r>
          </w:p>
        </w:tc>
      </w:tr>
    </w:tbl>
    <w:p w14:paraId="560EDF11" w14:textId="77777777" w:rsidR="00BD776B" w:rsidRDefault="00BD776B">
      <w:pPr>
        <w:snapToGrid w:val="0"/>
        <w:spacing w:line="300" w:lineRule="exact"/>
        <w:jc w:val="both"/>
        <w:rPr>
          <w:rFonts w:ascii="標楷體" w:eastAsia="標楷體" w:hAnsi="標楷體"/>
        </w:rPr>
      </w:pPr>
    </w:p>
    <w:tbl>
      <w:tblPr>
        <w:tblW w:w="9639" w:type="dxa"/>
        <w:tblInd w:w="28" w:type="dxa"/>
        <w:tblLayout w:type="fixed"/>
        <w:tblCellMar>
          <w:left w:w="10" w:type="dxa"/>
          <w:right w:w="10" w:type="dxa"/>
        </w:tblCellMar>
        <w:tblLook w:val="0000" w:firstRow="0" w:lastRow="0" w:firstColumn="0" w:lastColumn="0" w:noHBand="0" w:noVBand="0"/>
      </w:tblPr>
      <w:tblGrid>
        <w:gridCol w:w="740"/>
        <w:gridCol w:w="1320"/>
        <w:gridCol w:w="7579"/>
      </w:tblGrid>
      <w:tr w:rsidR="00BD776B" w14:paraId="28FC4EE4" w14:textId="77777777">
        <w:trPr>
          <w:cantSplit/>
          <w:trHeight w:val="450"/>
        </w:trPr>
        <w:tc>
          <w:tcPr>
            <w:tcW w:w="9639" w:type="dxa"/>
            <w:gridSpan w:val="3"/>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14:paraId="13907C46" w14:textId="77777777" w:rsidR="00BD776B" w:rsidRDefault="00DF0C24">
            <w:pPr>
              <w:snapToGrid w:val="0"/>
              <w:spacing w:line="300" w:lineRule="exact"/>
              <w:ind w:left="120"/>
              <w:jc w:val="both"/>
            </w:pPr>
            <w:r>
              <w:rPr>
                <w:rFonts w:ascii="標楷體" w:eastAsia="標楷體" w:hAnsi="標楷體" w:cs="Webdings"/>
                <w:sz w:val="28"/>
              </w:rPr>
              <w:t></w:t>
            </w:r>
            <w:r>
              <w:rPr>
                <w:rFonts w:ascii="標楷體" w:eastAsia="標楷體" w:hAnsi="標楷體"/>
                <w:sz w:val="28"/>
              </w:rPr>
              <w:t>符合「須排除或停止rituximab使用之情形」</w:t>
            </w:r>
          </w:p>
        </w:tc>
      </w:tr>
      <w:tr w:rsidR="00BD776B" w14:paraId="276FDB39" w14:textId="77777777">
        <w:trPr>
          <w:cantSplit/>
          <w:trHeight w:val="400"/>
        </w:trPr>
        <w:tc>
          <w:tcPr>
            <w:tcW w:w="74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26B42EA" w14:textId="77777777" w:rsidR="00BD776B" w:rsidRDefault="00BD776B">
            <w:pPr>
              <w:snapToGrid w:val="0"/>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F2ECCB"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是</w:t>
            </w:r>
          </w:p>
          <w:p w14:paraId="5D72DCDE"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否</w:t>
            </w:r>
          </w:p>
        </w:tc>
        <w:tc>
          <w:tcPr>
            <w:tcW w:w="7579"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A902889" w14:textId="77777777" w:rsidR="00BD776B" w:rsidRDefault="00DF0C24">
            <w:pPr>
              <w:snapToGrid w:val="0"/>
              <w:textAlignment w:val="center"/>
              <w:rPr>
                <w:rFonts w:ascii="標楷體" w:eastAsia="標楷體" w:hAnsi="標楷體"/>
                <w:sz w:val="22"/>
              </w:rPr>
            </w:pPr>
            <w:r>
              <w:rPr>
                <w:rFonts w:ascii="標楷體" w:eastAsia="標楷體" w:hAnsi="標楷體"/>
                <w:sz w:val="22"/>
              </w:rPr>
              <w:t>是否有rituximab仿單記載之禁忌情形。</w:t>
            </w:r>
          </w:p>
        </w:tc>
      </w:tr>
      <w:tr w:rsidR="00BD776B" w14:paraId="26DB9C77" w14:textId="77777777">
        <w:trPr>
          <w:cantSplit/>
          <w:trHeight w:val="400"/>
        </w:trPr>
        <w:tc>
          <w:tcPr>
            <w:tcW w:w="74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939F02E" w14:textId="77777777" w:rsidR="00BD776B" w:rsidRDefault="00BD776B">
            <w:pPr>
              <w:snapToGrid w:val="0"/>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BFB95B"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是</w:t>
            </w:r>
          </w:p>
          <w:p w14:paraId="6C3684B7"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否</w:t>
            </w:r>
          </w:p>
        </w:tc>
        <w:tc>
          <w:tcPr>
            <w:tcW w:w="7579"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28E4437" w14:textId="77777777" w:rsidR="00BD776B" w:rsidRDefault="00DF0C24">
            <w:pPr>
              <w:snapToGrid w:val="0"/>
              <w:textAlignment w:val="center"/>
            </w:pPr>
            <w:r>
              <w:rPr>
                <w:rFonts w:ascii="標楷體" w:eastAsia="標楷體" w:hAnsi="標楷體"/>
                <w:sz w:val="22"/>
              </w:rPr>
              <w:t>是否對rituximab過敏。</w:t>
            </w:r>
          </w:p>
        </w:tc>
      </w:tr>
      <w:tr w:rsidR="00BD776B" w14:paraId="5350DFCC" w14:textId="77777777">
        <w:trPr>
          <w:cantSplit/>
          <w:trHeight w:val="400"/>
        </w:trPr>
        <w:tc>
          <w:tcPr>
            <w:tcW w:w="74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20E5AB2" w14:textId="77777777" w:rsidR="00BD776B" w:rsidRDefault="00BD776B">
            <w:pPr>
              <w:snapToGrid w:val="0"/>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BA4ADD"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是</w:t>
            </w:r>
          </w:p>
          <w:p w14:paraId="04D6BEDB"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否</w:t>
            </w:r>
          </w:p>
        </w:tc>
        <w:tc>
          <w:tcPr>
            <w:tcW w:w="7579"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D647E5F" w14:textId="77777777" w:rsidR="00BD776B" w:rsidRDefault="00DF0C24">
            <w:pPr>
              <w:snapToGrid w:val="0"/>
              <w:textAlignment w:val="center"/>
              <w:rPr>
                <w:rFonts w:ascii="標楷體" w:eastAsia="標楷體" w:hAnsi="標楷體"/>
                <w:sz w:val="22"/>
              </w:rPr>
            </w:pPr>
            <w:r>
              <w:rPr>
                <w:rFonts w:ascii="標楷體" w:eastAsia="標楷體" w:hAnsi="標楷體"/>
                <w:sz w:val="22"/>
              </w:rPr>
              <w:t>病患是否罹患重度活動性感染症。</w:t>
            </w:r>
          </w:p>
        </w:tc>
      </w:tr>
      <w:tr w:rsidR="00BD776B" w14:paraId="029BD1C4" w14:textId="77777777">
        <w:trPr>
          <w:cantSplit/>
          <w:trHeight w:val="400"/>
        </w:trPr>
        <w:tc>
          <w:tcPr>
            <w:tcW w:w="74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0A6746B" w14:textId="77777777" w:rsidR="00BD776B" w:rsidRDefault="00BD776B">
            <w:pPr>
              <w:snapToGrid w:val="0"/>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CD0882"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是</w:t>
            </w:r>
          </w:p>
          <w:p w14:paraId="10CC42B0"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否</w:t>
            </w:r>
          </w:p>
        </w:tc>
        <w:tc>
          <w:tcPr>
            <w:tcW w:w="7579"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7271D4D" w14:textId="77777777" w:rsidR="00BD776B" w:rsidRDefault="00DF0C24">
            <w:pPr>
              <w:snapToGrid w:val="0"/>
              <w:textAlignment w:val="center"/>
              <w:rPr>
                <w:rFonts w:ascii="標楷體" w:eastAsia="標楷體" w:hAnsi="標楷體"/>
                <w:sz w:val="22"/>
              </w:rPr>
            </w:pPr>
            <w:r>
              <w:rPr>
                <w:rFonts w:ascii="標楷體" w:eastAsia="標楷體" w:hAnsi="標楷體"/>
                <w:sz w:val="22"/>
              </w:rPr>
              <w:t>未經完整治療之結核病的病患（包括潛伏結核感染治療未達四週者，申請時應檢附潛伏結核感染篩檢紀錄及治療紀錄供審查）。</w:t>
            </w:r>
          </w:p>
        </w:tc>
      </w:tr>
      <w:tr w:rsidR="00BD776B" w14:paraId="353B94DA" w14:textId="77777777">
        <w:trPr>
          <w:cantSplit/>
          <w:trHeight w:val="400"/>
        </w:trPr>
        <w:tc>
          <w:tcPr>
            <w:tcW w:w="740"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2ECB07EC" w14:textId="77777777" w:rsidR="00BD776B" w:rsidRDefault="00BD776B">
            <w:pPr>
              <w:snapToGrid w:val="0"/>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FBB9A9"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是</w:t>
            </w:r>
          </w:p>
          <w:p w14:paraId="7D0E5977"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否</w:t>
            </w:r>
          </w:p>
        </w:tc>
        <w:tc>
          <w:tcPr>
            <w:tcW w:w="7579"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A8B189A" w14:textId="77777777" w:rsidR="00BD776B" w:rsidRDefault="00DF0C24">
            <w:pPr>
              <w:snapToGrid w:val="0"/>
              <w:textAlignment w:val="center"/>
              <w:rPr>
                <w:rFonts w:ascii="標楷體" w:eastAsia="標楷體" w:hAnsi="標楷體"/>
                <w:sz w:val="22"/>
              </w:rPr>
            </w:pPr>
            <w:r>
              <w:rPr>
                <w:rFonts w:ascii="標楷體" w:eastAsia="標楷體" w:hAnsi="標楷體"/>
                <w:sz w:val="22"/>
              </w:rPr>
              <w:t>病患是否罹患重度心衰竭（NewYorkHeartAssociationclassIV）。</w:t>
            </w:r>
          </w:p>
        </w:tc>
      </w:tr>
      <w:tr w:rsidR="00BD776B" w14:paraId="40B0BAF9" w14:textId="77777777">
        <w:trPr>
          <w:cantSplit/>
          <w:trHeight w:val="400"/>
        </w:trPr>
        <w:tc>
          <w:tcPr>
            <w:tcW w:w="740"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49CA3EEB" w14:textId="77777777" w:rsidR="00BD776B" w:rsidRDefault="00BD776B">
            <w:pPr>
              <w:snapToGrid w:val="0"/>
              <w:textAlignment w:val="center"/>
              <w:rPr>
                <w:rFonts w:ascii="標楷體" w:eastAsia="標楷體" w:hAnsi="標楷體"/>
                <w:sz w:val="22"/>
              </w:rPr>
            </w:pPr>
          </w:p>
        </w:tc>
        <w:tc>
          <w:tcPr>
            <w:tcW w:w="132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6EDCA166"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是</w:t>
            </w:r>
          </w:p>
          <w:p w14:paraId="2128B2B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sz w:val="22"/>
              </w:rPr>
            </w:pPr>
            <w:r>
              <w:rPr>
                <w:rFonts w:ascii="標楷體" w:eastAsia="標楷體" w:hAnsi="標楷體"/>
                <w:sz w:val="22"/>
              </w:rPr>
              <w:t>否</w:t>
            </w:r>
          </w:p>
        </w:tc>
        <w:tc>
          <w:tcPr>
            <w:tcW w:w="7579" w:type="dxa"/>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315C658E" w14:textId="77777777" w:rsidR="00BD776B" w:rsidRDefault="00DF0C24">
            <w:pPr>
              <w:snapToGrid w:val="0"/>
              <w:textAlignment w:val="center"/>
              <w:rPr>
                <w:rFonts w:ascii="標楷體" w:eastAsia="標楷體" w:hAnsi="標楷體"/>
                <w:sz w:val="22"/>
              </w:rPr>
            </w:pPr>
            <w:r>
              <w:rPr>
                <w:rFonts w:ascii="標楷體" w:eastAsia="標楷體" w:hAnsi="標楷體"/>
                <w:sz w:val="22"/>
              </w:rPr>
              <w:t>婦女是否正在懷孕或授乳。</w:t>
            </w:r>
          </w:p>
        </w:tc>
      </w:tr>
    </w:tbl>
    <w:p w14:paraId="5701B9BF" w14:textId="77777777" w:rsidR="00BD776B" w:rsidRDefault="00DF0C24">
      <w:pPr>
        <w:pageBreakBefore/>
        <w:snapToGrid w:val="0"/>
        <w:spacing w:line="380" w:lineRule="exact"/>
        <w:ind w:right="-286"/>
        <w:jc w:val="right"/>
      </w:pPr>
      <w:r>
        <w:rPr>
          <w:rFonts w:ascii="標楷體" w:eastAsia="標楷體" w:hAnsi="標楷體" w:cs="Webdings"/>
          <w:sz w:val="32"/>
          <w:szCs w:val="32"/>
        </w:rPr>
        <w:lastRenderedPageBreak/>
        <w:t></w:t>
      </w:r>
      <w:r>
        <w:rPr>
          <w:rFonts w:ascii="標楷體" w:eastAsia="標楷體" w:hAnsi="標楷體"/>
          <w:sz w:val="32"/>
          <w:szCs w:val="32"/>
        </w:rPr>
        <w:t>重複療程</w:t>
      </w:r>
    </w:p>
    <w:tbl>
      <w:tblPr>
        <w:tblW w:w="9795" w:type="dxa"/>
        <w:tblInd w:w="14" w:type="dxa"/>
        <w:tblLayout w:type="fixed"/>
        <w:tblCellMar>
          <w:left w:w="10" w:type="dxa"/>
          <w:right w:w="10" w:type="dxa"/>
        </w:tblCellMar>
        <w:tblLook w:val="0000" w:firstRow="0" w:lastRow="0" w:firstColumn="0" w:lastColumn="0" w:noHBand="0" w:noVBand="0"/>
      </w:tblPr>
      <w:tblGrid>
        <w:gridCol w:w="1274"/>
        <w:gridCol w:w="1717"/>
        <w:gridCol w:w="1190"/>
        <w:gridCol w:w="1787"/>
        <w:gridCol w:w="1232"/>
        <w:gridCol w:w="2595"/>
      </w:tblGrid>
      <w:tr w:rsidR="00BD776B" w14:paraId="66BBF39F" w14:textId="77777777">
        <w:trPr>
          <w:cantSplit/>
          <w:trHeight w:val="376"/>
        </w:trPr>
        <w:tc>
          <w:tcPr>
            <w:tcW w:w="1274"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83FC5AD" w14:textId="77777777" w:rsidR="00BD776B" w:rsidRDefault="00DF0C24">
            <w:pPr>
              <w:snapToGrid w:val="0"/>
              <w:spacing w:line="380" w:lineRule="exact"/>
              <w:rPr>
                <w:rFonts w:ascii="標楷體" w:eastAsia="標楷體" w:hAnsi="標楷體"/>
              </w:rPr>
            </w:pPr>
            <w:r>
              <w:rPr>
                <w:rFonts w:ascii="標楷體" w:eastAsia="標楷體" w:hAnsi="標楷體"/>
              </w:rPr>
              <w:t>醫院代號</w:t>
            </w:r>
          </w:p>
        </w:tc>
        <w:tc>
          <w:tcPr>
            <w:tcW w:w="171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8F7043" w14:textId="77777777" w:rsidR="00BD776B" w:rsidRDefault="00BD776B">
            <w:pPr>
              <w:snapToGrid w:val="0"/>
              <w:spacing w:line="380" w:lineRule="exact"/>
              <w:rPr>
                <w:rFonts w:ascii="標楷體" w:eastAsia="標楷體" w:hAnsi="標楷體"/>
              </w:rPr>
            </w:pPr>
          </w:p>
        </w:tc>
        <w:tc>
          <w:tcPr>
            <w:tcW w:w="119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6D2A244" w14:textId="77777777" w:rsidR="00BD776B" w:rsidRDefault="00DF0C24">
            <w:pPr>
              <w:snapToGrid w:val="0"/>
              <w:spacing w:line="380" w:lineRule="exact"/>
              <w:rPr>
                <w:rFonts w:ascii="標楷體" w:eastAsia="標楷體" w:hAnsi="標楷體"/>
              </w:rPr>
            </w:pPr>
            <w:r>
              <w:rPr>
                <w:rFonts w:ascii="標楷體" w:eastAsia="標楷體" w:hAnsi="標楷體"/>
              </w:rPr>
              <w:t>醫院名稱</w:t>
            </w:r>
          </w:p>
        </w:tc>
        <w:tc>
          <w:tcPr>
            <w:tcW w:w="178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9A7E212" w14:textId="77777777" w:rsidR="00BD776B" w:rsidRDefault="00BD776B">
            <w:pPr>
              <w:snapToGrid w:val="0"/>
              <w:spacing w:line="380" w:lineRule="exact"/>
              <w:rPr>
                <w:rFonts w:ascii="標楷體" w:eastAsia="標楷體" w:hAnsi="標楷體"/>
              </w:rPr>
            </w:pPr>
          </w:p>
        </w:tc>
        <w:tc>
          <w:tcPr>
            <w:tcW w:w="1232"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989E6F" w14:textId="77777777" w:rsidR="00BD776B" w:rsidRDefault="00DF0C24">
            <w:pPr>
              <w:snapToGrid w:val="0"/>
              <w:spacing w:line="380" w:lineRule="exact"/>
              <w:rPr>
                <w:rFonts w:ascii="標楷體" w:eastAsia="標楷體" w:hAnsi="標楷體"/>
              </w:rPr>
            </w:pPr>
            <w:r>
              <w:rPr>
                <w:rFonts w:ascii="標楷體" w:eastAsia="標楷體" w:hAnsi="標楷體"/>
              </w:rPr>
              <w:t>申請日期</w:t>
            </w:r>
          </w:p>
        </w:tc>
        <w:tc>
          <w:tcPr>
            <w:tcW w:w="2595"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202F69F" w14:textId="77777777" w:rsidR="00BD776B" w:rsidRDefault="00BD776B">
            <w:pPr>
              <w:snapToGrid w:val="0"/>
              <w:spacing w:line="380" w:lineRule="exact"/>
              <w:rPr>
                <w:rFonts w:ascii="標楷體" w:eastAsia="標楷體" w:hAnsi="標楷體"/>
              </w:rPr>
            </w:pPr>
          </w:p>
        </w:tc>
      </w:tr>
      <w:tr w:rsidR="00BD776B" w14:paraId="72597FA5" w14:textId="77777777">
        <w:trPr>
          <w:cantSplit/>
          <w:trHeight w:val="332"/>
        </w:trPr>
        <w:tc>
          <w:tcPr>
            <w:tcW w:w="1274"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37E0E00" w14:textId="77777777" w:rsidR="00BD776B" w:rsidRDefault="00DF0C24">
            <w:pPr>
              <w:snapToGrid w:val="0"/>
              <w:spacing w:line="380" w:lineRule="exact"/>
              <w:rPr>
                <w:rFonts w:ascii="標楷體" w:eastAsia="標楷體" w:hAnsi="標楷體"/>
              </w:rPr>
            </w:pPr>
            <w:r>
              <w:rPr>
                <w:rFonts w:ascii="標楷體" w:eastAsia="標楷體" w:hAnsi="標楷體"/>
              </w:rPr>
              <w:t>病人姓名</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EBFDC7" w14:textId="77777777" w:rsidR="00BD776B" w:rsidRDefault="00BD776B">
            <w:pPr>
              <w:snapToGrid w:val="0"/>
              <w:spacing w:line="380" w:lineRule="exact"/>
              <w:rPr>
                <w:rFonts w:ascii="標楷體" w:eastAsia="標楷體" w:hAnsi="標楷體"/>
              </w:rPr>
            </w:pP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97384B8" w14:textId="77777777" w:rsidR="00BD776B" w:rsidRDefault="00DF0C24">
            <w:pPr>
              <w:snapToGrid w:val="0"/>
              <w:spacing w:line="380" w:lineRule="exact"/>
              <w:rPr>
                <w:rFonts w:ascii="標楷體" w:eastAsia="標楷體" w:hAnsi="標楷體"/>
              </w:rPr>
            </w:pPr>
            <w:r>
              <w:rPr>
                <w:rFonts w:ascii="標楷體" w:eastAsia="標楷體" w:hAnsi="標楷體"/>
              </w:rPr>
              <w:t>性別</w:t>
            </w:r>
          </w:p>
        </w:tc>
        <w:tc>
          <w:tcPr>
            <w:tcW w:w="17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B78759" w14:textId="77777777" w:rsidR="00BD776B" w:rsidRDefault="00BD776B">
            <w:pPr>
              <w:snapToGrid w:val="0"/>
              <w:spacing w:line="380" w:lineRule="exact"/>
              <w:rPr>
                <w:rFonts w:ascii="標楷體" w:eastAsia="標楷體" w:hAnsi="標楷體"/>
              </w:rPr>
            </w:pPr>
          </w:p>
        </w:tc>
        <w:tc>
          <w:tcPr>
            <w:tcW w:w="12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D02884" w14:textId="77777777" w:rsidR="00BD776B" w:rsidRDefault="00DF0C24">
            <w:pPr>
              <w:snapToGrid w:val="0"/>
              <w:spacing w:line="380" w:lineRule="exact"/>
              <w:rPr>
                <w:rFonts w:ascii="標楷體" w:eastAsia="標楷體" w:hAnsi="標楷體"/>
              </w:rPr>
            </w:pPr>
            <w:r>
              <w:rPr>
                <w:rFonts w:ascii="標楷體" w:eastAsia="標楷體" w:hAnsi="標楷體"/>
              </w:rPr>
              <w:t>出生日期</w:t>
            </w:r>
          </w:p>
        </w:tc>
        <w:tc>
          <w:tcPr>
            <w:tcW w:w="2595"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2AF18DB" w14:textId="77777777" w:rsidR="00BD776B" w:rsidRDefault="00BD776B">
            <w:pPr>
              <w:snapToGrid w:val="0"/>
              <w:spacing w:line="380" w:lineRule="exact"/>
              <w:rPr>
                <w:rFonts w:ascii="標楷體" w:eastAsia="標楷體" w:hAnsi="標楷體"/>
              </w:rPr>
            </w:pPr>
          </w:p>
        </w:tc>
      </w:tr>
      <w:tr w:rsidR="00BD776B" w14:paraId="0F9B64D8" w14:textId="77777777">
        <w:trPr>
          <w:cantSplit/>
          <w:trHeight w:val="356"/>
        </w:trPr>
        <w:tc>
          <w:tcPr>
            <w:tcW w:w="1274"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E82C0F8" w14:textId="77777777" w:rsidR="00BD776B" w:rsidRDefault="00DF0C24">
            <w:pPr>
              <w:snapToGrid w:val="0"/>
              <w:spacing w:line="380" w:lineRule="exact"/>
              <w:rPr>
                <w:rFonts w:ascii="標楷體" w:eastAsia="標楷體" w:hAnsi="標楷體"/>
              </w:rPr>
            </w:pPr>
            <w:r>
              <w:rPr>
                <w:rFonts w:ascii="標楷體" w:eastAsia="標楷體" w:hAnsi="標楷體"/>
              </w:rPr>
              <w:t>身分證號</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31D6D1" w14:textId="77777777" w:rsidR="00BD776B" w:rsidRDefault="00BD776B">
            <w:pPr>
              <w:snapToGrid w:val="0"/>
              <w:spacing w:line="380" w:lineRule="exact"/>
              <w:rPr>
                <w:rFonts w:ascii="標楷體" w:eastAsia="標楷體" w:hAnsi="標楷體"/>
              </w:rPr>
            </w:pP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0AD8FA" w14:textId="77777777" w:rsidR="00BD776B" w:rsidRDefault="00DF0C24">
            <w:pPr>
              <w:snapToGrid w:val="0"/>
              <w:spacing w:line="380" w:lineRule="exact"/>
              <w:rPr>
                <w:rFonts w:ascii="標楷體" w:eastAsia="標楷體" w:hAnsi="標楷體"/>
              </w:rPr>
            </w:pPr>
            <w:r>
              <w:rPr>
                <w:rFonts w:ascii="標楷體" w:eastAsia="標楷體" w:hAnsi="標楷體"/>
              </w:rPr>
              <w:t>病歷號碼</w:t>
            </w:r>
          </w:p>
        </w:tc>
        <w:tc>
          <w:tcPr>
            <w:tcW w:w="17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32F2D8" w14:textId="77777777" w:rsidR="00BD776B" w:rsidRDefault="00BD776B">
            <w:pPr>
              <w:snapToGrid w:val="0"/>
              <w:spacing w:line="380" w:lineRule="exact"/>
              <w:rPr>
                <w:rFonts w:ascii="標楷體" w:eastAsia="標楷體" w:hAnsi="標楷體"/>
              </w:rPr>
            </w:pPr>
          </w:p>
        </w:tc>
        <w:tc>
          <w:tcPr>
            <w:tcW w:w="1232"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649B2467" w14:textId="77777777" w:rsidR="00BD776B" w:rsidRDefault="00DF0C24">
            <w:pPr>
              <w:snapToGrid w:val="0"/>
              <w:spacing w:line="380" w:lineRule="exact"/>
              <w:rPr>
                <w:rFonts w:ascii="標楷體" w:eastAsia="標楷體" w:hAnsi="標楷體"/>
              </w:rPr>
            </w:pPr>
            <w:r>
              <w:rPr>
                <w:rFonts w:ascii="標楷體" w:eastAsia="標楷體" w:hAnsi="標楷體"/>
              </w:rPr>
              <w:t>使用期間</w:t>
            </w:r>
          </w:p>
        </w:tc>
        <w:tc>
          <w:tcPr>
            <w:tcW w:w="2595"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ED07EC0" w14:textId="77777777" w:rsidR="00BD776B" w:rsidRDefault="00DF0C24">
            <w:pPr>
              <w:snapToGrid w:val="0"/>
              <w:spacing w:line="380" w:lineRule="exact"/>
              <w:rPr>
                <w:rFonts w:ascii="標楷體" w:eastAsia="標楷體" w:hAnsi="標楷體"/>
              </w:rPr>
            </w:pPr>
            <w:r>
              <w:rPr>
                <w:rFonts w:ascii="標楷體" w:eastAsia="標楷體" w:hAnsi="標楷體"/>
              </w:rPr>
              <w:t>自　　年　　月　　日</w:t>
            </w:r>
          </w:p>
        </w:tc>
      </w:tr>
      <w:tr w:rsidR="00BD776B" w14:paraId="21EC5AA3" w14:textId="77777777">
        <w:trPr>
          <w:cantSplit/>
          <w:trHeight w:val="337"/>
        </w:trPr>
        <w:tc>
          <w:tcPr>
            <w:tcW w:w="1274"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577864D2" w14:textId="77777777" w:rsidR="00BD776B" w:rsidRDefault="00DF0C24">
            <w:pPr>
              <w:snapToGrid w:val="0"/>
              <w:spacing w:line="380" w:lineRule="exact"/>
              <w:rPr>
                <w:rFonts w:ascii="標楷體" w:eastAsia="標楷體" w:hAnsi="標楷體"/>
              </w:rPr>
            </w:pPr>
            <w:r>
              <w:rPr>
                <w:rFonts w:ascii="標楷體" w:eastAsia="標楷體" w:hAnsi="標楷體"/>
              </w:rPr>
              <w:t>藥品代碼</w:t>
            </w:r>
          </w:p>
        </w:tc>
        <w:tc>
          <w:tcPr>
            <w:tcW w:w="171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40C0A887" w14:textId="77777777" w:rsidR="00BD776B" w:rsidRDefault="00BD776B">
            <w:pPr>
              <w:snapToGrid w:val="0"/>
              <w:spacing w:line="380" w:lineRule="exact"/>
              <w:rPr>
                <w:rFonts w:ascii="標楷體" w:eastAsia="標楷體" w:hAnsi="標楷體"/>
              </w:rPr>
            </w:pPr>
          </w:p>
        </w:tc>
        <w:tc>
          <w:tcPr>
            <w:tcW w:w="1190"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3A0E0D86" w14:textId="77777777" w:rsidR="00BD776B" w:rsidRDefault="00DF0C24">
            <w:pPr>
              <w:snapToGrid w:val="0"/>
              <w:spacing w:line="380" w:lineRule="exact"/>
              <w:rPr>
                <w:rFonts w:ascii="標楷體" w:eastAsia="標楷體" w:hAnsi="標楷體"/>
              </w:rPr>
            </w:pPr>
            <w:r>
              <w:rPr>
                <w:rFonts w:ascii="標楷體" w:eastAsia="標楷體" w:hAnsi="標楷體"/>
              </w:rPr>
              <w:t>用法用量</w:t>
            </w:r>
          </w:p>
        </w:tc>
        <w:tc>
          <w:tcPr>
            <w:tcW w:w="178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48299649" w14:textId="77777777" w:rsidR="00BD776B" w:rsidRDefault="00BD776B">
            <w:pPr>
              <w:snapToGrid w:val="0"/>
              <w:spacing w:line="380" w:lineRule="exact"/>
              <w:rPr>
                <w:rFonts w:ascii="標楷體" w:eastAsia="標楷體" w:hAnsi="標楷體"/>
              </w:rPr>
            </w:pPr>
          </w:p>
        </w:tc>
        <w:tc>
          <w:tcPr>
            <w:tcW w:w="1232"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7E7748BB" w14:textId="77777777" w:rsidR="00BD776B" w:rsidRDefault="00BD776B">
            <w:pPr>
              <w:snapToGrid w:val="0"/>
              <w:spacing w:line="380" w:lineRule="exact"/>
              <w:rPr>
                <w:rFonts w:ascii="標楷體" w:eastAsia="標楷體" w:hAnsi="標楷體"/>
              </w:rPr>
            </w:pPr>
          </w:p>
        </w:tc>
        <w:tc>
          <w:tcPr>
            <w:tcW w:w="2595"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412E2273" w14:textId="77777777" w:rsidR="00BD776B" w:rsidRDefault="00DF0C24">
            <w:pPr>
              <w:snapToGrid w:val="0"/>
              <w:spacing w:line="380" w:lineRule="exact"/>
              <w:rPr>
                <w:rFonts w:ascii="標楷體" w:eastAsia="標楷體" w:hAnsi="標楷體"/>
              </w:rPr>
            </w:pPr>
            <w:r>
              <w:rPr>
                <w:rFonts w:ascii="標楷體" w:eastAsia="標楷體" w:hAnsi="標楷體"/>
              </w:rPr>
              <w:t>至　　年　　月　　日</w:t>
            </w:r>
          </w:p>
        </w:tc>
      </w:tr>
    </w:tbl>
    <w:p w14:paraId="035DF649" w14:textId="77777777" w:rsidR="00BD776B" w:rsidRDefault="00BD776B">
      <w:pPr>
        <w:snapToGrid w:val="0"/>
        <w:ind w:left="120"/>
        <w:rPr>
          <w:rFonts w:ascii="標楷體" w:eastAsia="標楷體" w:hAnsi="標楷體"/>
          <w:sz w:val="28"/>
        </w:rPr>
      </w:pPr>
    </w:p>
    <w:tbl>
      <w:tblPr>
        <w:tblW w:w="9837" w:type="dxa"/>
        <w:tblInd w:w="52" w:type="dxa"/>
        <w:tblCellMar>
          <w:left w:w="10" w:type="dxa"/>
          <w:right w:w="10" w:type="dxa"/>
        </w:tblCellMar>
        <w:tblLook w:val="0000" w:firstRow="0" w:lastRow="0" w:firstColumn="0" w:lastColumn="0" w:noHBand="0" w:noVBand="0"/>
      </w:tblPr>
      <w:tblGrid>
        <w:gridCol w:w="9837"/>
      </w:tblGrid>
      <w:tr w:rsidR="00BD776B" w14:paraId="076D5FE4" w14:textId="77777777">
        <w:tc>
          <w:tcPr>
            <w:tcW w:w="9837"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46BE048B" w14:textId="77777777" w:rsidR="00BD776B" w:rsidRDefault="00DF0C24">
            <w:pPr>
              <w:snapToGrid w:val="0"/>
              <w:spacing w:line="320" w:lineRule="exact"/>
              <w:rPr>
                <w:rFonts w:ascii="標楷體" w:eastAsia="標楷體" w:hAnsi="標楷體"/>
                <w:sz w:val="28"/>
                <w:szCs w:val="28"/>
              </w:rPr>
            </w:pPr>
            <w:r>
              <w:rPr>
                <w:rFonts w:ascii="標楷體" w:eastAsia="標楷體" w:hAnsi="標楷體"/>
                <w:sz w:val="28"/>
                <w:szCs w:val="28"/>
              </w:rPr>
              <w:t>使用rituximab療效：</w:t>
            </w:r>
          </w:p>
          <w:p w14:paraId="02C120EA" w14:textId="77777777" w:rsidR="00BD776B" w:rsidRDefault="00DF0C24">
            <w:pPr>
              <w:snapToGrid w:val="0"/>
              <w:spacing w:line="320" w:lineRule="exact"/>
              <w:rPr>
                <w:rFonts w:ascii="標楷體" w:eastAsia="標楷體" w:hAnsi="標楷體"/>
                <w:sz w:val="28"/>
                <w:szCs w:val="28"/>
              </w:rPr>
            </w:pPr>
            <w:r>
              <w:rPr>
                <w:rFonts w:ascii="標楷體" w:eastAsia="標楷體" w:hAnsi="標楷體"/>
                <w:sz w:val="28"/>
                <w:szCs w:val="28"/>
              </w:rPr>
              <w:t>(申請第1次重複療程者，填寫初次療效;申請第2次以上重複療程者，填寫前兩次療效)</w:t>
            </w:r>
          </w:p>
          <w:p w14:paraId="4618715F" w14:textId="77777777" w:rsidR="00BD776B" w:rsidRDefault="00DF0C24">
            <w:pPr>
              <w:snapToGrid w:val="0"/>
              <w:spacing w:line="320" w:lineRule="exact"/>
            </w:pPr>
            <w:r>
              <w:rPr>
                <w:rFonts w:ascii="標楷體" w:eastAsia="標楷體" w:hAnsi="標楷體"/>
                <w:sz w:val="28"/>
                <w:szCs w:val="28"/>
              </w:rPr>
              <w:t>Day1</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r>
              <w:rPr>
                <w:rFonts w:ascii="標楷體" w:eastAsia="標楷體" w:hAnsi="標楷體"/>
                <w:sz w:val="28"/>
                <w:szCs w:val="28"/>
              </w:rPr>
              <w:t>mg,</w:t>
            </w:r>
            <w:r>
              <w:rPr>
                <w:rFonts w:ascii="標楷體" w:eastAsia="標楷體" w:hAnsi="標楷體"/>
              </w:rPr>
              <w:t>DAS28總積分</w:t>
            </w:r>
          </w:p>
          <w:p w14:paraId="32C2247A" w14:textId="77777777" w:rsidR="00BD776B" w:rsidRDefault="00DF0C24">
            <w:pPr>
              <w:snapToGrid w:val="0"/>
              <w:spacing w:line="320" w:lineRule="exact"/>
            </w:pPr>
            <w:r>
              <w:rPr>
                <w:rFonts w:ascii="標楷體" w:eastAsia="標楷體" w:hAnsi="標楷體"/>
                <w:sz w:val="28"/>
                <w:szCs w:val="28"/>
              </w:rPr>
              <w:t>Day15</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r>
              <w:rPr>
                <w:rFonts w:ascii="標楷體" w:eastAsia="標楷體" w:hAnsi="標楷體"/>
                <w:sz w:val="28"/>
                <w:szCs w:val="28"/>
              </w:rPr>
              <w:t>mg,</w:t>
            </w:r>
          </w:p>
          <w:p w14:paraId="5CFE3A6E" w14:textId="77777777" w:rsidR="00BD776B" w:rsidRDefault="00DF0C24">
            <w:pPr>
              <w:snapToGrid w:val="0"/>
              <w:spacing w:line="320" w:lineRule="exact"/>
            </w:pPr>
            <w:r>
              <w:rPr>
                <w:rFonts w:ascii="標楷體" w:eastAsia="標楷體" w:hAnsi="標楷體"/>
                <w:sz w:val="28"/>
                <w:szCs w:val="28"/>
              </w:rPr>
              <w:t>Week21</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日,DAS28總積分</w:t>
            </w:r>
          </w:p>
          <w:p w14:paraId="20146D32" w14:textId="77777777" w:rsidR="00BD776B" w:rsidRDefault="00DF0C24">
            <w:pPr>
              <w:snapToGrid w:val="0"/>
              <w:spacing w:line="320" w:lineRule="exact"/>
              <w:ind w:left="120"/>
            </w:pPr>
            <w:r>
              <w:rPr>
                <w:rFonts w:ascii="標楷體" w:eastAsia="標楷體" w:hAnsi="標楷體" w:cs="Webdings"/>
              </w:rPr>
              <w:t></w:t>
            </w:r>
            <w:r>
              <w:rPr>
                <w:rFonts w:ascii="標楷體" w:eastAsia="標楷體" w:hAnsi="標楷體"/>
              </w:rPr>
              <w:t>DAS28總積分下降程度≧1.2(下降_________分)，或</w:t>
            </w:r>
            <w:r>
              <w:rPr>
                <w:rFonts w:ascii="標楷體" w:eastAsia="標楷體" w:hAnsi="標楷體" w:cs="Webdings"/>
              </w:rPr>
              <w:t></w:t>
            </w:r>
            <w:r>
              <w:rPr>
                <w:rFonts w:ascii="標楷體" w:eastAsia="標楷體" w:hAnsi="標楷體"/>
              </w:rPr>
              <w:t>DAS28總積分&lt;3.2者</w:t>
            </w:r>
          </w:p>
          <w:p w14:paraId="4AADEBD5" w14:textId="77777777" w:rsidR="00BD776B" w:rsidRDefault="00BD776B">
            <w:pPr>
              <w:snapToGrid w:val="0"/>
              <w:spacing w:line="320" w:lineRule="exact"/>
              <w:ind w:left="120"/>
              <w:rPr>
                <w:rFonts w:ascii="標楷體" w:eastAsia="標楷體" w:hAnsi="標楷體"/>
              </w:rPr>
            </w:pPr>
          </w:p>
          <w:p w14:paraId="0D3D2DF6" w14:textId="77777777" w:rsidR="00BD776B" w:rsidRDefault="00DF0C24">
            <w:pPr>
              <w:snapToGrid w:val="0"/>
              <w:spacing w:line="320" w:lineRule="exact"/>
            </w:pPr>
            <w:r>
              <w:rPr>
                <w:rFonts w:ascii="標楷體" w:eastAsia="標楷體" w:hAnsi="標楷體"/>
                <w:sz w:val="28"/>
                <w:szCs w:val="28"/>
              </w:rPr>
              <w:t>Day1</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r>
              <w:rPr>
                <w:rFonts w:ascii="標楷體" w:eastAsia="標楷體" w:hAnsi="標楷體"/>
                <w:sz w:val="28"/>
                <w:szCs w:val="28"/>
              </w:rPr>
              <w:t>mg,</w:t>
            </w:r>
            <w:r>
              <w:rPr>
                <w:rFonts w:ascii="標楷體" w:eastAsia="標楷體" w:hAnsi="標楷體"/>
              </w:rPr>
              <w:t>DAS28總積分</w:t>
            </w:r>
          </w:p>
          <w:p w14:paraId="7F18F933" w14:textId="77777777" w:rsidR="00BD776B" w:rsidRDefault="00DF0C24">
            <w:pPr>
              <w:snapToGrid w:val="0"/>
              <w:spacing w:line="320" w:lineRule="exact"/>
            </w:pPr>
            <w:r>
              <w:rPr>
                <w:rFonts w:ascii="標楷體" w:eastAsia="標楷體" w:hAnsi="標楷體"/>
                <w:sz w:val="28"/>
                <w:szCs w:val="28"/>
              </w:rPr>
              <w:t>Day15</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r>
              <w:rPr>
                <w:rFonts w:ascii="標楷體" w:eastAsia="標楷體" w:hAnsi="標楷體"/>
                <w:sz w:val="28"/>
                <w:szCs w:val="28"/>
              </w:rPr>
              <w:t>mg(</w:t>
            </w:r>
            <w:r>
              <w:rPr>
                <w:rFonts w:ascii="標楷體" w:eastAsia="標楷體" w:hAnsi="標楷體"/>
              </w:rPr>
              <w:t>給藥時機為</w:t>
            </w:r>
            <w:r>
              <w:rPr>
                <w:rFonts w:ascii="標楷體" w:eastAsia="標楷體" w:hAnsi="標楷體" w:cs="Webdings"/>
              </w:rPr>
              <w:t></w:t>
            </w:r>
            <w:r>
              <w:rPr>
                <w:rFonts w:ascii="標楷體" w:eastAsia="標楷體" w:hAnsi="標楷體"/>
              </w:rPr>
              <w:t>DAS28總積分≧3.2</w:t>
            </w:r>
          </w:p>
          <w:p w14:paraId="7C1D1AA0" w14:textId="77777777" w:rsidR="00BD776B" w:rsidRDefault="00DF0C24">
            <w:pPr>
              <w:snapToGrid w:val="0"/>
              <w:spacing w:line="320" w:lineRule="exact"/>
            </w:pPr>
            <w:r>
              <w:rPr>
                <w:rFonts w:ascii="標楷體" w:eastAsia="標楷體" w:hAnsi="標楷體"/>
              </w:rPr>
              <w:t>者，或</w:t>
            </w:r>
            <w:r>
              <w:rPr>
                <w:rFonts w:ascii="標楷體" w:eastAsia="標楷體" w:hAnsi="標楷體" w:cs="Webdings"/>
              </w:rPr>
              <w:t></w:t>
            </w:r>
            <w:r>
              <w:rPr>
                <w:rFonts w:ascii="標楷體" w:eastAsia="標楷體" w:hAnsi="標楷體"/>
              </w:rPr>
              <w:t>DAS28總積分上升≧0.6)</w:t>
            </w:r>
          </w:p>
          <w:p w14:paraId="03936B22" w14:textId="77777777" w:rsidR="00BD776B" w:rsidRDefault="00DF0C24">
            <w:pPr>
              <w:snapToGrid w:val="0"/>
              <w:spacing w:line="320" w:lineRule="exact"/>
            </w:pPr>
            <w:r>
              <w:rPr>
                <w:rFonts w:ascii="標楷體" w:eastAsia="標楷體" w:hAnsi="標楷體"/>
                <w:sz w:val="28"/>
                <w:szCs w:val="28"/>
              </w:rPr>
              <w:t>Week21</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日,DAS28總積分</w:t>
            </w:r>
          </w:p>
          <w:p w14:paraId="4981A655" w14:textId="77777777" w:rsidR="00BD776B" w:rsidRDefault="00DF0C24">
            <w:pPr>
              <w:snapToGrid w:val="0"/>
              <w:spacing w:line="320" w:lineRule="exact"/>
              <w:ind w:left="120"/>
            </w:pPr>
            <w:r>
              <w:rPr>
                <w:rFonts w:ascii="標楷體" w:eastAsia="標楷體" w:hAnsi="標楷體" w:cs="Webdings"/>
              </w:rPr>
              <w:t></w:t>
            </w:r>
            <w:r>
              <w:rPr>
                <w:rFonts w:ascii="標楷體" w:eastAsia="標楷體" w:hAnsi="標楷體"/>
              </w:rPr>
              <w:t>DAS28總積分下降程度≧1.2(下降_________分)，或</w:t>
            </w:r>
            <w:r>
              <w:rPr>
                <w:rFonts w:ascii="標楷體" w:eastAsia="標楷體" w:hAnsi="標楷體" w:cs="Webdings"/>
              </w:rPr>
              <w:t></w:t>
            </w:r>
            <w:r>
              <w:rPr>
                <w:rFonts w:ascii="標楷體" w:eastAsia="標楷體" w:hAnsi="標楷體"/>
              </w:rPr>
              <w:t>DAS28總積分&lt;3.2者</w:t>
            </w:r>
          </w:p>
          <w:p w14:paraId="0DD6E073" w14:textId="77777777" w:rsidR="00BD776B" w:rsidRDefault="00DF0C24">
            <w:pPr>
              <w:snapToGrid w:val="0"/>
              <w:spacing w:line="320" w:lineRule="exact"/>
            </w:pPr>
            <w:r>
              <w:rPr>
                <w:rFonts w:ascii="標楷體" w:eastAsia="標楷體" w:hAnsi="標楷體"/>
                <w:sz w:val="28"/>
                <w:szCs w:val="28"/>
              </w:rPr>
              <w:t>(請檢附當時申報rituximab之相關資料)</w:t>
            </w:r>
          </w:p>
        </w:tc>
      </w:tr>
    </w:tbl>
    <w:p w14:paraId="0A046594" w14:textId="77777777" w:rsidR="00BD776B" w:rsidRDefault="00BD776B">
      <w:pPr>
        <w:snapToGrid w:val="0"/>
        <w:spacing w:line="380" w:lineRule="exact"/>
        <w:ind w:left="-540" w:right="-286" w:firstLine="540"/>
        <w:rPr>
          <w:rFonts w:ascii="標楷體" w:eastAsia="標楷體" w:hAnsi="標楷體"/>
          <w:sz w:val="20"/>
        </w:rPr>
      </w:pPr>
    </w:p>
    <w:tbl>
      <w:tblPr>
        <w:tblW w:w="9837" w:type="dxa"/>
        <w:tblInd w:w="12" w:type="dxa"/>
        <w:tblLayout w:type="fixed"/>
        <w:tblCellMar>
          <w:left w:w="10" w:type="dxa"/>
          <w:right w:w="10" w:type="dxa"/>
        </w:tblCellMar>
        <w:tblLook w:val="0000" w:firstRow="0" w:lastRow="0" w:firstColumn="0" w:lastColumn="0" w:noHBand="0" w:noVBand="0"/>
      </w:tblPr>
      <w:tblGrid>
        <w:gridCol w:w="9837"/>
      </w:tblGrid>
      <w:tr w:rsidR="00BD776B" w14:paraId="2B9E1569" w14:textId="77777777">
        <w:trPr>
          <w:cantSplit/>
          <w:trHeight w:val="1721"/>
        </w:trPr>
        <w:tc>
          <w:tcPr>
            <w:tcW w:w="9837" w:type="dxa"/>
            <w:tcBorders>
              <w:top w:val="double" w:sz="4" w:space="0" w:color="000000"/>
              <w:left w:val="double" w:sz="4" w:space="0" w:color="000000"/>
              <w:bottom w:val="double" w:sz="4" w:space="0" w:color="000000"/>
              <w:right w:val="double" w:sz="4" w:space="0" w:color="000000"/>
            </w:tcBorders>
            <w:shd w:val="clear" w:color="auto" w:fill="auto"/>
            <w:tcMar>
              <w:top w:w="0" w:type="dxa"/>
              <w:left w:w="28" w:type="dxa"/>
              <w:bottom w:w="0" w:type="dxa"/>
              <w:right w:w="28" w:type="dxa"/>
            </w:tcMar>
          </w:tcPr>
          <w:p w14:paraId="65B997A2" w14:textId="77777777" w:rsidR="00BD776B" w:rsidRDefault="00DF0C24">
            <w:pPr>
              <w:widowControl/>
              <w:snapToGrid w:val="0"/>
            </w:pPr>
            <w:r>
              <w:rPr>
                <w:rFonts w:ascii="標楷體" w:eastAsia="標楷體" w:hAnsi="標楷體"/>
                <w:sz w:val="28"/>
              </w:rPr>
              <w:t>治療過程中是否發生不良事件(</w:t>
            </w:r>
            <w:r>
              <w:rPr>
                <w:rFonts w:ascii="標楷體" w:eastAsia="標楷體" w:hAnsi="標楷體"/>
              </w:rPr>
              <w:t>請說明不良事件:如肝炎或嚴重感染等,及不良事件發生之時間)：</w:t>
            </w:r>
          </w:p>
          <w:p w14:paraId="1BFB1CE3" w14:textId="77777777" w:rsidR="00BD776B" w:rsidRDefault="00BD776B">
            <w:pPr>
              <w:snapToGrid w:val="0"/>
              <w:textAlignment w:val="center"/>
              <w:rPr>
                <w:rFonts w:ascii="標楷體" w:eastAsia="標楷體" w:hAnsi="標楷體"/>
                <w:sz w:val="28"/>
              </w:rPr>
            </w:pPr>
          </w:p>
          <w:p w14:paraId="0B8FEDAF" w14:textId="77777777" w:rsidR="00BD776B" w:rsidRDefault="00BD776B">
            <w:pPr>
              <w:snapToGrid w:val="0"/>
              <w:textAlignment w:val="center"/>
              <w:rPr>
                <w:rFonts w:ascii="標楷體" w:eastAsia="標楷體" w:hAnsi="標楷體"/>
                <w:sz w:val="22"/>
              </w:rPr>
            </w:pPr>
          </w:p>
        </w:tc>
      </w:tr>
    </w:tbl>
    <w:p w14:paraId="6AA837E1" w14:textId="77777777" w:rsidR="00BD776B" w:rsidRDefault="00BD776B">
      <w:pPr>
        <w:snapToGrid w:val="0"/>
        <w:jc w:val="both"/>
        <w:rPr>
          <w:rFonts w:ascii="標楷體" w:eastAsia="標楷體" w:hAnsi="標楷體"/>
        </w:rPr>
      </w:pPr>
    </w:p>
    <w:tbl>
      <w:tblPr>
        <w:tblW w:w="9809" w:type="dxa"/>
        <w:tblLayout w:type="fixed"/>
        <w:tblCellMar>
          <w:left w:w="10" w:type="dxa"/>
          <w:right w:w="10" w:type="dxa"/>
        </w:tblCellMar>
        <w:tblLook w:val="0000" w:firstRow="0" w:lastRow="0" w:firstColumn="0" w:lastColumn="0" w:noHBand="0" w:noVBand="0"/>
      </w:tblPr>
      <w:tblGrid>
        <w:gridCol w:w="628"/>
        <w:gridCol w:w="1320"/>
        <w:gridCol w:w="7861"/>
      </w:tblGrid>
      <w:tr w:rsidR="00BD776B" w14:paraId="61D0BB6B" w14:textId="77777777">
        <w:trPr>
          <w:cantSplit/>
          <w:trHeight w:val="281"/>
        </w:trPr>
        <w:tc>
          <w:tcPr>
            <w:tcW w:w="9809" w:type="dxa"/>
            <w:gridSpan w:val="3"/>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5274B1AA" w14:textId="77777777" w:rsidR="00BD776B" w:rsidRDefault="00DF0C24">
            <w:pPr>
              <w:snapToGrid w:val="0"/>
              <w:spacing w:line="380" w:lineRule="exact"/>
              <w:ind w:left="120"/>
            </w:pPr>
            <w:r>
              <w:rPr>
                <w:rFonts w:ascii="標楷體" w:eastAsia="標楷體" w:hAnsi="標楷體" w:cs="Webdings"/>
                <w:sz w:val="28"/>
              </w:rPr>
              <w:t></w:t>
            </w:r>
            <w:r>
              <w:rPr>
                <w:rFonts w:ascii="標楷體" w:eastAsia="標楷體" w:hAnsi="標楷體"/>
                <w:sz w:val="28"/>
              </w:rPr>
              <w:t>符合「須排除或停止rituximab使用之情形」</w:t>
            </w:r>
          </w:p>
        </w:tc>
      </w:tr>
      <w:tr w:rsidR="00BD776B" w14:paraId="61708F27" w14:textId="77777777">
        <w:trPr>
          <w:cantSplit/>
          <w:trHeight w:val="400"/>
        </w:trPr>
        <w:tc>
          <w:tcPr>
            <w:tcW w:w="628"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FB2F0F5"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D2AEDD"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638B0F2D"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8D228B5" w14:textId="77777777" w:rsidR="00BD776B" w:rsidRDefault="00DF0C24">
            <w:pPr>
              <w:snapToGrid w:val="0"/>
              <w:spacing w:line="60" w:lineRule="atLeast"/>
              <w:textAlignment w:val="center"/>
              <w:rPr>
                <w:rFonts w:ascii="標楷體" w:eastAsia="標楷體" w:hAnsi="標楷體"/>
                <w:sz w:val="22"/>
              </w:rPr>
            </w:pPr>
            <w:r>
              <w:rPr>
                <w:rFonts w:ascii="標楷體" w:eastAsia="標楷體" w:hAnsi="標楷體"/>
                <w:sz w:val="22"/>
              </w:rPr>
              <w:t>是否有rituximab仿單記載之禁忌情形。</w:t>
            </w:r>
          </w:p>
        </w:tc>
      </w:tr>
      <w:tr w:rsidR="00BD776B" w14:paraId="0F4CDCCB" w14:textId="77777777">
        <w:trPr>
          <w:cantSplit/>
          <w:trHeight w:val="400"/>
        </w:trPr>
        <w:tc>
          <w:tcPr>
            <w:tcW w:w="628"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630BE7C"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08636E"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67DB3844"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00A8994" w14:textId="77777777" w:rsidR="00BD776B" w:rsidRDefault="00DF0C24">
            <w:pPr>
              <w:snapToGrid w:val="0"/>
              <w:spacing w:line="60" w:lineRule="atLeast"/>
              <w:textAlignment w:val="center"/>
            </w:pPr>
            <w:r>
              <w:rPr>
                <w:rFonts w:ascii="標楷體" w:eastAsia="標楷體" w:hAnsi="標楷體"/>
                <w:sz w:val="22"/>
              </w:rPr>
              <w:t>是否對rituximab過敏。</w:t>
            </w:r>
          </w:p>
        </w:tc>
      </w:tr>
      <w:tr w:rsidR="00BD776B" w14:paraId="7059A84A" w14:textId="77777777">
        <w:trPr>
          <w:cantSplit/>
          <w:trHeight w:val="400"/>
        </w:trPr>
        <w:tc>
          <w:tcPr>
            <w:tcW w:w="628"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2BF0C0D"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3DF9F5"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52AAFE6D"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4EF6DF3" w14:textId="77777777" w:rsidR="00BD776B" w:rsidRDefault="00DF0C24">
            <w:pPr>
              <w:snapToGrid w:val="0"/>
              <w:spacing w:line="60" w:lineRule="atLeast"/>
              <w:textAlignment w:val="center"/>
              <w:rPr>
                <w:rFonts w:ascii="標楷體" w:eastAsia="標楷體" w:hAnsi="標楷體"/>
                <w:sz w:val="22"/>
              </w:rPr>
            </w:pPr>
            <w:r>
              <w:rPr>
                <w:rFonts w:ascii="標楷體" w:eastAsia="標楷體" w:hAnsi="標楷體"/>
                <w:sz w:val="22"/>
              </w:rPr>
              <w:t>病患是否罹患重度活動性感染症。</w:t>
            </w:r>
          </w:p>
        </w:tc>
      </w:tr>
      <w:tr w:rsidR="00BD776B" w14:paraId="6901C0F0" w14:textId="77777777">
        <w:trPr>
          <w:cantSplit/>
          <w:trHeight w:val="400"/>
        </w:trPr>
        <w:tc>
          <w:tcPr>
            <w:tcW w:w="628"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A9A14BF"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1AB296"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4F41FE1B"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1BE34F1" w14:textId="77777777" w:rsidR="00BD776B" w:rsidRDefault="00DF0C24">
            <w:pPr>
              <w:snapToGrid w:val="0"/>
              <w:spacing w:line="60" w:lineRule="atLeast"/>
              <w:textAlignment w:val="center"/>
              <w:rPr>
                <w:rFonts w:ascii="標楷體" w:eastAsia="標楷體" w:hAnsi="標楷體"/>
                <w:sz w:val="22"/>
              </w:rPr>
            </w:pPr>
            <w:r>
              <w:rPr>
                <w:rFonts w:ascii="標楷體" w:eastAsia="標楷體" w:hAnsi="標楷體"/>
                <w:sz w:val="22"/>
              </w:rPr>
              <w:t>未經完整治療之結核病的病患（包括潛伏結核感染治療未達四週者，申請時應檢附潛伏結核感染篩檢紀錄及治療紀錄供審查）。</w:t>
            </w:r>
          </w:p>
        </w:tc>
      </w:tr>
      <w:tr w:rsidR="00BD776B" w14:paraId="2199B6E9" w14:textId="77777777">
        <w:trPr>
          <w:cantSplit/>
          <w:trHeight w:val="400"/>
        </w:trPr>
        <w:tc>
          <w:tcPr>
            <w:tcW w:w="628"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353AAA8"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C69EFC"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4DCE0CFB"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4D4C515" w14:textId="77777777" w:rsidR="00BD776B" w:rsidRDefault="00DF0C24">
            <w:pPr>
              <w:snapToGrid w:val="0"/>
              <w:spacing w:line="60" w:lineRule="atLeast"/>
              <w:textAlignment w:val="center"/>
              <w:rPr>
                <w:rFonts w:ascii="標楷體" w:eastAsia="標楷體" w:hAnsi="標楷體"/>
                <w:sz w:val="22"/>
              </w:rPr>
            </w:pPr>
            <w:r>
              <w:rPr>
                <w:rFonts w:ascii="標楷體" w:eastAsia="標楷體" w:hAnsi="標楷體"/>
                <w:sz w:val="22"/>
              </w:rPr>
              <w:t>病患是否罹患重度心衰竭（NewYorkHeartAssociationclassIV）。</w:t>
            </w:r>
          </w:p>
        </w:tc>
      </w:tr>
      <w:tr w:rsidR="00BD776B" w14:paraId="7D1AE719" w14:textId="77777777">
        <w:trPr>
          <w:cantSplit/>
          <w:trHeight w:val="400"/>
        </w:trPr>
        <w:tc>
          <w:tcPr>
            <w:tcW w:w="628"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210ABAEC"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B1C501"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45DF85F7"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B231CF7" w14:textId="77777777" w:rsidR="00BD776B" w:rsidRDefault="00DF0C24">
            <w:pPr>
              <w:snapToGrid w:val="0"/>
              <w:spacing w:line="60" w:lineRule="atLeast"/>
              <w:textAlignment w:val="center"/>
              <w:rPr>
                <w:rFonts w:ascii="標楷體" w:eastAsia="標楷體" w:hAnsi="標楷體"/>
                <w:sz w:val="22"/>
              </w:rPr>
            </w:pPr>
            <w:r>
              <w:rPr>
                <w:rFonts w:ascii="標楷體" w:eastAsia="標楷體" w:hAnsi="標楷體"/>
                <w:sz w:val="22"/>
              </w:rPr>
              <w:t>婦女是否正在懷孕或授乳。</w:t>
            </w:r>
          </w:p>
        </w:tc>
      </w:tr>
      <w:tr w:rsidR="00BD776B" w14:paraId="0C7F709D" w14:textId="77777777">
        <w:trPr>
          <w:cantSplit/>
          <w:trHeight w:val="400"/>
        </w:trPr>
        <w:tc>
          <w:tcPr>
            <w:tcW w:w="628"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0C20B334" w14:textId="77777777" w:rsidR="00BD776B" w:rsidRDefault="00BD776B">
            <w:pPr>
              <w:snapToGrid w:val="0"/>
              <w:spacing w:line="60" w:lineRule="atLeast"/>
              <w:textAlignment w:val="center"/>
              <w:rPr>
                <w:rFonts w:ascii="標楷體" w:eastAsia="標楷體" w:hAnsi="標楷體"/>
                <w:sz w:val="22"/>
              </w:rPr>
            </w:pPr>
          </w:p>
        </w:tc>
        <w:tc>
          <w:tcPr>
            <w:tcW w:w="132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5D8794F3"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是</w:t>
            </w:r>
          </w:p>
          <w:p w14:paraId="356A1DEC" w14:textId="77777777" w:rsidR="00BD776B" w:rsidRDefault="00DF0C24" w:rsidP="008A7063">
            <w:pPr>
              <w:numPr>
                <w:ilvl w:val="0"/>
                <w:numId w:val="84"/>
              </w:numPr>
              <w:tabs>
                <w:tab w:val="left" w:pos="425"/>
              </w:tabs>
              <w:snapToGrid w:val="0"/>
              <w:spacing w:line="60" w:lineRule="atLeast"/>
              <w:ind w:left="425" w:hanging="333"/>
              <w:textAlignment w:val="center"/>
              <w:rPr>
                <w:rFonts w:ascii="標楷體" w:eastAsia="標楷體" w:hAnsi="標楷體"/>
                <w:sz w:val="22"/>
              </w:rPr>
            </w:pPr>
            <w:r>
              <w:rPr>
                <w:rFonts w:ascii="標楷體" w:eastAsia="標楷體" w:hAnsi="標楷體"/>
                <w:sz w:val="22"/>
              </w:rPr>
              <w:t>否</w:t>
            </w:r>
          </w:p>
        </w:tc>
        <w:tc>
          <w:tcPr>
            <w:tcW w:w="7861" w:type="dxa"/>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430AB2F0" w14:textId="77777777" w:rsidR="00BD776B" w:rsidRDefault="00DF0C24">
            <w:pPr>
              <w:snapToGrid w:val="0"/>
              <w:spacing w:line="60" w:lineRule="atLeast"/>
              <w:textAlignment w:val="center"/>
              <w:rPr>
                <w:rFonts w:ascii="標楷體" w:eastAsia="標楷體" w:hAnsi="標楷體"/>
                <w:sz w:val="22"/>
              </w:rPr>
            </w:pPr>
            <w:r>
              <w:rPr>
                <w:rFonts w:ascii="標楷體" w:eastAsia="標楷體" w:hAnsi="標楷體"/>
                <w:sz w:val="22"/>
              </w:rPr>
              <w:t>使用rituximab發生不良事件(如藥物引起的嚴重毒性、嚴重的感染性疾病)</w:t>
            </w:r>
          </w:p>
        </w:tc>
      </w:tr>
    </w:tbl>
    <w:p w14:paraId="100FFF32" w14:textId="77777777" w:rsidR="00BD776B" w:rsidRDefault="00BD776B">
      <w:pPr>
        <w:pageBreakBefore/>
        <w:snapToGrid w:val="0"/>
        <w:spacing w:line="380" w:lineRule="exact"/>
        <w:ind w:right="-286"/>
        <w:rPr>
          <w:rFonts w:ascii="標楷體" w:eastAsia="標楷體" w:hAnsi="標楷體"/>
          <w:sz w:val="32"/>
        </w:rPr>
      </w:pPr>
    </w:p>
    <w:tbl>
      <w:tblPr>
        <w:tblW w:w="9800" w:type="dxa"/>
        <w:tblInd w:w="12" w:type="dxa"/>
        <w:tblLayout w:type="fixed"/>
        <w:tblCellMar>
          <w:left w:w="10" w:type="dxa"/>
          <w:right w:w="10" w:type="dxa"/>
        </w:tblCellMar>
        <w:tblLook w:val="0000" w:firstRow="0" w:lastRow="0" w:firstColumn="0" w:lastColumn="0" w:noHBand="0" w:noVBand="0"/>
      </w:tblPr>
      <w:tblGrid>
        <w:gridCol w:w="2540"/>
        <w:gridCol w:w="907"/>
        <w:gridCol w:w="907"/>
        <w:gridCol w:w="907"/>
        <w:gridCol w:w="907"/>
        <w:gridCol w:w="907"/>
        <w:gridCol w:w="907"/>
        <w:gridCol w:w="907"/>
        <w:gridCol w:w="911"/>
      </w:tblGrid>
      <w:tr w:rsidR="00BD776B" w14:paraId="1D1D8E8E" w14:textId="77777777">
        <w:trPr>
          <w:cantSplit/>
          <w:trHeight w:val="402"/>
        </w:trPr>
        <w:tc>
          <w:tcPr>
            <w:tcW w:w="9800" w:type="dxa"/>
            <w:gridSpan w:val="9"/>
            <w:tcBorders>
              <w:top w:val="double" w:sz="4" w:space="0" w:color="000000"/>
              <w:left w:val="double" w:sz="4" w:space="0" w:color="000000"/>
              <w:bottom w:val="single" w:sz="6" w:space="0" w:color="000000"/>
              <w:right w:val="double" w:sz="4" w:space="0" w:color="000000"/>
            </w:tcBorders>
            <w:shd w:val="clear" w:color="auto" w:fill="auto"/>
            <w:tcMar>
              <w:top w:w="0" w:type="dxa"/>
              <w:left w:w="28" w:type="dxa"/>
              <w:bottom w:w="0" w:type="dxa"/>
              <w:right w:w="28" w:type="dxa"/>
            </w:tcMar>
          </w:tcPr>
          <w:p w14:paraId="50BDD191" w14:textId="77777777" w:rsidR="00BD776B" w:rsidRDefault="00DF0C24">
            <w:pPr>
              <w:snapToGrid w:val="0"/>
              <w:spacing w:line="340" w:lineRule="exact"/>
              <w:jc w:val="center"/>
            </w:pPr>
            <w:r>
              <w:rPr>
                <w:rFonts w:ascii="標楷體" w:eastAsia="標楷體" w:hAnsi="標楷體"/>
                <w:sz w:val="28"/>
              </w:rPr>
              <w:t>28處關節疾病活動度評估〈DiseaseActivityScore,DAS28〉</w:t>
            </w:r>
          </w:p>
        </w:tc>
      </w:tr>
      <w:tr w:rsidR="00BD776B" w14:paraId="617DECD9" w14:textId="77777777">
        <w:trPr>
          <w:cantSplit/>
          <w:trHeight w:hRule="exact" w:val="851"/>
        </w:trPr>
        <w:tc>
          <w:tcPr>
            <w:tcW w:w="2540" w:type="dxa"/>
            <w:vMerge w:val="restart"/>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F2A020" w14:textId="77777777" w:rsidR="00BD776B" w:rsidRDefault="00BD776B">
            <w:pPr>
              <w:snapToGrid w:val="0"/>
              <w:spacing w:line="340" w:lineRule="exact"/>
              <w:rPr>
                <w:rFonts w:ascii="標楷體" w:eastAsia="標楷體" w:hAnsi="標楷體"/>
                <w:sz w:val="22"/>
              </w:rPr>
            </w:pPr>
          </w:p>
          <w:p w14:paraId="23F5AA7E" w14:textId="77777777" w:rsidR="00BD776B" w:rsidRDefault="00BD776B">
            <w:pPr>
              <w:snapToGrid w:val="0"/>
              <w:spacing w:line="340" w:lineRule="exact"/>
              <w:rPr>
                <w:rFonts w:ascii="標楷體" w:eastAsia="標楷體" w:hAnsi="標楷體"/>
                <w:sz w:val="22"/>
              </w:rPr>
            </w:pPr>
          </w:p>
          <w:p w14:paraId="229A6676" w14:textId="77777777" w:rsidR="00BD776B" w:rsidRDefault="00BD776B">
            <w:pPr>
              <w:snapToGrid w:val="0"/>
              <w:spacing w:line="340" w:lineRule="exact"/>
              <w:rPr>
                <w:rFonts w:ascii="標楷體" w:eastAsia="標楷體" w:hAnsi="標楷體"/>
                <w:sz w:val="22"/>
              </w:rPr>
            </w:pPr>
          </w:p>
          <w:p w14:paraId="185989AC" w14:textId="77777777" w:rsidR="00BD776B" w:rsidRDefault="00BD776B">
            <w:pPr>
              <w:snapToGrid w:val="0"/>
              <w:spacing w:line="340" w:lineRule="exact"/>
              <w:rPr>
                <w:rFonts w:ascii="標楷體" w:eastAsia="標楷體" w:hAnsi="標楷體"/>
                <w:sz w:val="22"/>
              </w:rPr>
            </w:pPr>
          </w:p>
        </w:tc>
        <w:tc>
          <w:tcPr>
            <w:tcW w:w="362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0345EE" w14:textId="77777777" w:rsidR="00BD776B" w:rsidRDefault="00DF0C24">
            <w:pPr>
              <w:snapToGrid w:val="0"/>
              <w:spacing w:line="340" w:lineRule="exact"/>
            </w:pPr>
            <w:r>
              <w:rPr>
                <w:rFonts w:ascii="標楷體" w:eastAsia="標楷體" w:hAnsi="標楷體"/>
              </w:rPr>
              <w:t>評估時間</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14:paraId="1E9E8904" w14:textId="77777777" w:rsidR="00BD776B" w:rsidRDefault="00DF0C24">
            <w:pPr>
              <w:snapToGrid w:val="0"/>
              <w:spacing w:line="340" w:lineRule="exact"/>
              <w:rPr>
                <w:rFonts w:ascii="標楷體" w:eastAsia="標楷體" w:hAnsi="標楷體"/>
              </w:rPr>
            </w:pPr>
            <w:r>
              <w:rPr>
                <w:rFonts w:ascii="標楷體" w:eastAsia="標楷體" w:hAnsi="標楷體"/>
              </w:rPr>
              <w:t>DAS28積分：________________</w:t>
            </w:r>
          </w:p>
        </w:tc>
        <w:tc>
          <w:tcPr>
            <w:tcW w:w="3632"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2FB11DB" w14:textId="77777777" w:rsidR="00BD776B" w:rsidRDefault="00DF0C24">
            <w:pPr>
              <w:snapToGrid w:val="0"/>
              <w:spacing w:line="340" w:lineRule="exact"/>
            </w:pPr>
            <w:r>
              <w:rPr>
                <w:rFonts w:ascii="標楷體" w:eastAsia="標楷體" w:hAnsi="標楷體"/>
              </w:rPr>
              <w:t>評估時間</w:t>
            </w:r>
            <w:r>
              <w:rPr>
                <w:rFonts w:ascii="標楷體" w:eastAsia="標楷體" w:hAnsi="標楷體"/>
                <w:u w:val="single"/>
              </w:rPr>
              <w:t xml:space="preserve">　　</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14:paraId="34E8C943" w14:textId="77777777" w:rsidR="00BD776B" w:rsidRDefault="00DF0C24">
            <w:pPr>
              <w:snapToGrid w:val="0"/>
              <w:spacing w:line="340" w:lineRule="exact"/>
              <w:ind w:left="240" w:hanging="240"/>
              <w:rPr>
                <w:rFonts w:ascii="標楷體" w:eastAsia="標楷體" w:hAnsi="標楷體"/>
              </w:rPr>
            </w:pPr>
            <w:r>
              <w:rPr>
                <w:rFonts w:ascii="標楷體" w:eastAsia="標楷體" w:hAnsi="標楷體"/>
              </w:rPr>
              <w:t>DAS28積分：</w:t>
            </w:r>
          </w:p>
        </w:tc>
      </w:tr>
      <w:tr w:rsidR="00BD776B" w14:paraId="5A72F54E" w14:textId="77777777">
        <w:trPr>
          <w:cantSplit/>
          <w:trHeight w:hRule="exact" w:val="340"/>
        </w:trPr>
        <w:tc>
          <w:tcPr>
            <w:tcW w:w="2540"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F4350C" w14:textId="77777777" w:rsidR="00BD776B" w:rsidRDefault="00BD776B">
            <w:pPr>
              <w:pStyle w:val="a7"/>
              <w:tabs>
                <w:tab w:val="clear" w:pos="4153"/>
                <w:tab w:val="clear" w:pos="8306"/>
              </w:tabs>
              <w:spacing w:line="340" w:lineRule="exact"/>
              <w:rPr>
                <w:rFonts w:ascii="標楷體" w:eastAsia="標楷體" w:hAnsi="標楷體"/>
              </w:rPr>
            </w:pPr>
          </w:p>
        </w:tc>
        <w:tc>
          <w:tcPr>
            <w:tcW w:w="18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A3DCA2"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右</w:t>
            </w:r>
          </w:p>
        </w:tc>
        <w:tc>
          <w:tcPr>
            <w:tcW w:w="18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541370"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左</w:t>
            </w:r>
          </w:p>
        </w:tc>
        <w:tc>
          <w:tcPr>
            <w:tcW w:w="181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7A6856"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右</w:t>
            </w:r>
          </w:p>
        </w:tc>
        <w:tc>
          <w:tcPr>
            <w:tcW w:w="18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D016B02"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左</w:t>
            </w:r>
          </w:p>
        </w:tc>
      </w:tr>
      <w:tr w:rsidR="00BD776B" w14:paraId="5EAAC3FA" w14:textId="77777777">
        <w:trPr>
          <w:cantSplit/>
          <w:trHeight w:hRule="exact" w:val="440"/>
        </w:trPr>
        <w:tc>
          <w:tcPr>
            <w:tcW w:w="2540"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39996A" w14:textId="77777777" w:rsidR="00BD776B" w:rsidRDefault="00BD776B">
            <w:pPr>
              <w:snapToGrid w:val="0"/>
              <w:spacing w:line="340" w:lineRule="exact"/>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BF3673"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觸痛</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98A36F"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腫脹</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C2A201"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觸痛</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CCDE18B"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腫脹</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5281E4"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觸痛</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4DCCFD"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腫脹</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4BDD27D"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觸痛</w:t>
            </w: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7140D14F" w14:textId="77777777" w:rsidR="00BD776B" w:rsidRDefault="00DF0C24">
            <w:pPr>
              <w:snapToGrid w:val="0"/>
              <w:spacing w:line="340" w:lineRule="exact"/>
              <w:jc w:val="center"/>
              <w:rPr>
                <w:rFonts w:ascii="標楷體" w:eastAsia="標楷體" w:hAnsi="標楷體"/>
                <w:sz w:val="22"/>
              </w:rPr>
            </w:pPr>
            <w:r>
              <w:rPr>
                <w:rFonts w:ascii="標楷體" w:eastAsia="標楷體" w:hAnsi="標楷體"/>
                <w:sz w:val="22"/>
              </w:rPr>
              <w:t>腫脹</w:t>
            </w:r>
          </w:p>
        </w:tc>
      </w:tr>
      <w:tr w:rsidR="00BD776B" w14:paraId="56DC4CE2"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582D2676" w14:textId="77777777" w:rsidR="00BD776B" w:rsidRDefault="00DF0C24">
            <w:pPr>
              <w:pStyle w:val="a7"/>
              <w:tabs>
                <w:tab w:val="clear" w:pos="4153"/>
                <w:tab w:val="clear" w:pos="8306"/>
              </w:tabs>
              <w:spacing w:line="340" w:lineRule="exact"/>
              <w:ind w:firstLine="452"/>
              <w:rPr>
                <w:rFonts w:ascii="標楷體" w:eastAsia="標楷體" w:hAnsi="標楷體"/>
                <w:sz w:val="22"/>
              </w:rPr>
            </w:pPr>
            <w:r>
              <w:rPr>
                <w:rFonts w:ascii="標楷體" w:eastAsia="標楷體" w:hAnsi="標楷體"/>
                <w:sz w:val="22"/>
              </w:rPr>
              <w:t>肩關節</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29522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740D750"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9106A8"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B938C3"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C399F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F6356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6C865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1369A499"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726E09FC" w14:textId="77777777">
        <w:trPr>
          <w:cantSplit/>
          <w:trHeight w:hRule="exact" w:val="38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5C7E68FE"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手肘關節</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8ED1E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169D60"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A0306F"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C6EF3E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8EEBC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F75655"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B7C116"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63774A66"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10416291"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02820E13"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手腕關節</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62966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30499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684908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A98759"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0BA485C"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576C1E5"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F94B2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31C5E726"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1394149B"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376F0C46"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MCP關節I</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A36AAB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407E7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411783"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2FECD5"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9D851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088C4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FADC2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4ADCCC3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2B052F4D"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32E74CFC"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MCP關節II</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E812EB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EB2F00"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76F62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CD35D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E9666FF"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FA16D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74ACD2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3BAE5BD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2B3515DD"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00F476AA"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MCP關節III</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791B7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20926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9D78B8"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2D1BF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F97772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0C3D116"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392DB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539C389F"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7BF0A138"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2E947A8E"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MCP關節IV</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2E671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C34A39C"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A75667F"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E9F34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E2695C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94DBD5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66047C"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62C6B3E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0CC728D5"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5965EEA8"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MCP關節V</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681930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F32268"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7BAA9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04C9FF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A1FEF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BFAFC3"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C697BF"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38B82DF0"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6A1342C6"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4F762249"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姆指指間關節</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0E1920"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E6827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28F983"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5F8E9FC"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93548C0"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C34F6A6"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6E6EC6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440760A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3139DA7B"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7FF5A5E7"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PIP關節II</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EA986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E5D9F8"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E7F98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5C826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0301B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B654C4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2B28D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4AC98D2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72019080" w14:textId="77777777">
        <w:trPr>
          <w:cantSplit/>
          <w:trHeight w:hRule="exact" w:val="440"/>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137F6013"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PIP關節III</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95860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42AAA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9AB8A5"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AA46D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06C8917"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ED3E8C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297228C"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7B150F86"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1E7027EC" w14:textId="77777777">
        <w:trPr>
          <w:cantSplit/>
          <w:trHeight w:hRule="exact" w:val="442"/>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411162FB"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PIP關節IV</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0F00F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A5C088"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ED7D3F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EC355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8C6A119"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71EFDC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FB3A0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02EECE6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389FB47C" w14:textId="77777777">
        <w:trPr>
          <w:cantSplit/>
          <w:trHeight w:hRule="exact" w:val="442"/>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4FB8438E"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PIP關節V</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047F9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A0B2D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FA491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D390F1"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6C120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FCF514"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52EC3D"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6B3DB04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6AA98A95" w14:textId="77777777">
        <w:trPr>
          <w:cantSplit/>
          <w:trHeight w:hRule="exact" w:val="442"/>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tcPr>
          <w:p w14:paraId="61DBD116" w14:textId="77777777" w:rsidR="00BD776B" w:rsidRDefault="00DF0C24">
            <w:pPr>
              <w:snapToGrid w:val="0"/>
              <w:spacing w:line="340" w:lineRule="exact"/>
              <w:ind w:firstLine="452"/>
              <w:rPr>
                <w:rFonts w:ascii="標楷體" w:eastAsia="標楷體" w:hAnsi="標楷體"/>
                <w:sz w:val="22"/>
              </w:rPr>
            </w:pPr>
            <w:r>
              <w:rPr>
                <w:rFonts w:ascii="標楷體" w:eastAsia="標楷體" w:hAnsi="標楷體"/>
                <w:sz w:val="22"/>
              </w:rPr>
              <w:t>膝關節</w:t>
            </w: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F1233E"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E1CAB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22B2D2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D709E2A"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709F68"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A00CDB"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1A109C"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c>
          <w:tcPr>
            <w:tcW w:w="911"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54FC35D2" w14:textId="77777777" w:rsidR="00BD776B" w:rsidRDefault="00BD776B" w:rsidP="008A7063">
            <w:pPr>
              <w:numPr>
                <w:ilvl w:val="0"/>
                <w:numId w:val="92"/>
              </w:numPr>
              <w:tabs>
                <w:tab w:val="left" w:pos="425"/>
              </w:tabs>
              <w:snapToGrid w:val="0"/>
              <w:spacing w:line="340" w:lineRule="exact"/>
              <w:ind w:left="425" w:hanging="213"/>
              <w:textAlignment w:val="center"/>
              <w:rPr>
                <w:rFonts w:ascii="標楷體" w:eastAsia="標楷體" w:hAnsi="標楷體"/>
                <w:sz w:val="20"/>
              </w:rPr>
            </w:pPr>
          </w:p>
        </w:tc>
      </w:tr>
      <w:tr w:rsidR="00BD776B" w14:paraId="4AD4A4DC" w14:textId="77777777">
        <w:trPr>
          <w:cantSplit/>
          <w:trHeight w:hRule="exact" w:val="902"/>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367968" w14:textId="77777777" w:rsidR="00BD776B" w:rsidRDefault="00DF0C24">
            <w:pPr>
              <w:snapToGrid w:val="0"/>
              <w:spacing w:line="340" w:lineRule="exact"/>
              <w:rPr>
                <w:rFonts w:ascii="標楷體" w:eastAsia="標楷體" w:hAnsi="標楷體"/>
              </w:rPr>
            </w:pPr>
            <w:r>
              <w:rPr>
                <w:rFonts w:ascii="標楷體" w:eastAsia="標楷體" w:hAnsi="標楷體"/>
              </w:rPr>
              <w:t>觸痛關節之總數(左邊+右邊)</w:t>
            </w:r>
          </w:p>
        </w:tc>
        <w:tc>
          <w:tcPr>
            <w:tcW w:w="362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DC4740" w14:textId="77777777" w:rsidR="00BD776B" w:rsidRDefault="00BD776B">
            <w:pPr>
              <w:snapToGrid w:val="0"/>
              <w:spacing w:line="340" w:lineRule="exact"/>
              <w:rPr>
                <w:rFonts w:ascii="標楷體" w:eastAsia="標楷體" w:hAnsi="標楷體"/>
                <w:sz w:val="22"/>
              </w:rPr>
            </w:pPr>
          </w:p>
          <w:p w14:paraId="3EA62C21" w14:textId="77777777" w:rsidR="00BD776B" w:rsidRDefault="00BD776B">
            <w:pPr>
              <w:snapToGrid w:val="0"/>
              <w:spacing w:line="340" w:lineRule="exact"/>
              <w:rPr>
                <w:rFonts w:ascii="標楷體" w:eastAsia="標楷體" w:hAnsi="標楷體"/>
              </w:rPr>
            </w:pPr>
          </w:p>
        </w:tc>
        <w:tc>
          <w:tcPr>
            <w:tcW w:w="3632"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07F7CB94" w14:textId="77777777" w:rsidR="00BD776B" w:rsidRDefault="00BD776B">
            <w:pPr>
              <w:snapToGrid w:val="0"/>
              <w:spacing w:line="340" w:lineRule="exact"/>
              <w:rPr>
                <w:rFonts w:ascii="標楷體" w:eastAsia="標楷體" w:hAnsi="標楷體"/>
                <w:sz w:val="22"/>
              </w:rPr>
            </w:pPr>
          </w:p>
          <w:p w14:paraId="48499B39" w14:textId="77777777" w:rsidR="00BD776B" w:rsidRDefault="00BD776B">
            <w:pPr>
              <w:snapToGrid w:val="0"/>
              <w:spacing w:line="340" w:lineRule="exact"/>
              <w:rPr>
                <w:rFonts w:ascii="標楷體" w:eastAsia="標楷體" w:hAnsi="標楷體"/>
              </w:rPr>
            </w:pPr>
          </w:p>
        </w:tc>
      </w:tr>
      <w:tr w:rsidR="00BD776B" w14:paraId="68561283" w14:textId="77777777">
        <w:trPr>
          <w:cantSplit/>
          <w:trHeight w:hRule="exact" w:val="843"/>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C56CE1" w14:textId="77777777" w:rsidR="00BD776B" w:rsidRDefault="00DF0C24">
            <w:pPr>
              <w:snapToGrid w:val="0"/>
              <w:spacing w:line="340" w:lineRule="exact"/>
              <w:rPr>
                <w:rFonts w:ascii="標楷體" w:eastAsia="標楷體" w:hAnsi="標楷體"/>
              </w:rPr>
            </w:pPr>
            <w:r>
              <w:rPr>
                <w:rFonts w:ascii="標楷體" w:eastAsia="標楷體" w:hAnsi="標楷體"/>
              </w:rPr>
              <w:t>腫脹關節之總數(左邊+右邊)</w:t>
            </w:r>
          </w:p>
        </w:tc>
        <w:tc>
          <w:tcPr>
            <w:tcW w:w="362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2EECF39" w14:textId="77777777" w:rsidR="00BD776B" w:rsidRDefault="00BD776B">
            <w:pPr>
              <w:snapToGrid w:val="0"/>
              <w:spacing w:line="340" w:lineRule="exact"/>
              <w:rPr>
                <w:rFonts w:ascii="標楷體" w:eastAsia="標楷體" w:hAnsi="標楷體"/>
                <w:sz w:val="22"/>
              </w:rPr>
            </w:pPr>
          </w:p>
          <w:p w14:paraId="7E90B597" w14:textId="77777777" w:rsidR="00BD776B" w:rsidRDefault="00BD776B">
            <w:pPr>
              <w:snapToGrid w:val="0"/>
              <w:spacing w:line="340" w:lineRule="exact"/>
              <w:rPr>
                <w:rFonts w:ascii="標楷體" w:eastAsia="標楷體" w:hAnsi="標楷體"/>
              </w:rPr>
            </w:pPr>
          </w:p>
        </w:tc>
        <w:tc>
          <w:tcPr>
            <w:tcW w:w="3632"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109353AD" w14:textId="77777777" w:rsidR="00BD776B" w:rsidRDefault="00BD776B">
            <w:pPr>
              <w:snapToGrid w:val="0"/>
              <w:spacing w:line="340" w:lineRule="exact"/>
              <w:rPr>
                <w:rFonts w:ascii="標楷體" w:eastAsia="標楷體" w:hAnsi="標楷體"/>
                <w:sz w:val="22"/>
              </w:rPr>
            </w:pPr>
          </w:p>
          <w:p w14:paraId="7EFDC406" w14:textId="77777777" w:rsidR="00BD776B" w:rsidRDefault="00BD776B">
            <w:pPr>
              <w:snapToGrid w:val="0"/>
              <w:spacing w:line="340" w:lineRule="exact"/>
              <w:rPr>
                <w:rFonts w:ascii="標楷體" w:eastAsia="標楷體" w:hAnsi="標楷體"/>
              </w:rPr>
            </w:pPr>
          </w:p>
        </w:tc>
      </w:tr>
      <w:tr w:rsidR="00BD776B" w14:paraId="6F1D915D" w14:textId="77777777">
        <w:trPr>
          <w:cantSplit/>
          <w:trHeight w:hRule="exact" w:val="558"/>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112101" w14:textId="77777777" w:rsidR="00BD776B" w:rsidRDefault="00DF0C24">
            <w:pPr>
              <w:snapToGrid w:val="0"/>
              <w:spacing w:line="340" w:lineRule="exact"/>
            </w:pPr>
            <w:r>
              <w:rPr>
                <w:rFonts w:ascii="標楷體" w:eastAsia="標楷體" w:hAnsi="標楷體"/>
                <w:sz w:val="22"/>
              </w:rPr>
              <w:t>紅</w:t>
            </w:r>
            <w:r>
              <w:rPr>
                <w:rFonts w:ascii="標楷體" w:eastAsia="標楷體" w:hAnsi="標楷體"/>
              </w:rPr>
              <w:t>血球沉降速率</w:t>
            </w:r>
          </w:p>
        </w:tc>
        <w:tc>
          <w:tcPr>
            <w:tcW w:w="362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12BEF0B" w14:textId="77777777" w:rsidR="00BD776B" w:rsidRDefault="00DF0C24">
            <w:pPr>
              <w:snapToGrid w:val="0"/>
              <w:spacing w:line="340" w:lineRule="exact"/>
            </w:pPr>
            <w:r>
              <w:rPr>
                <w:rFonts w:ascii="標楷體" w:eastAsia="標楷體" w:hAnsi="標楷體"/>
                <w:sz w:val="20"/>
              </w:rPr>
              <w:t>毫米/小時</w:t>
            </w:r>
          </w:p>
        </w:tc>
        <w:tc>
          <w:tcPr>
            <w:tcW w:w="3632"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7D7E3E00" w14:textId="77777777" w:rsidR="00BD776B" w:rsidRDefault="00DF0C24">
            <w:pPr>
              <w:snapToGrid w:val="0"/>
              <w:spacing w:line="340" w:lineRule="exact"/>
            </w:pPr>
            <w:r>
              <w:rPr>
                <w:rFonts w:ascii="標楷體" w:eastAsia="標楷體" w:hAnsi="標楷體"/>
                <w:sz w:val="20"/>
              </w:rPr>
              <w:t>毫米/小時</w:t>
            </w:r>
          </w:p>
        </w:tc>
      </w:tr>
      <w:tr w:rsidR="00BD776B" w14:paraId="7C68A468" w14:textId="77777777">
        <w:trPr>
          <w:cantSplit/>
          <w:trHeight w:hRule="exact" w:val="454"/>
        </w:trPr>
        <w:tc>
          <w:tcPr>
            <w:tcW w:w="254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5E974B" w14:textId="77777777" w:rsidR="00BD776B" w:rsidRDefault="00DF0C24">
            <w:pPr>
              <w:snapToGrid w:val="0"/>
              <w:spacing w:line="340" w:lineRule="exact"/>
              <w:rPr>
                <w:rFonts w:ascii="標楷體" w:eastAsia="標楷體" w:hAnsi="標楷體"/>
              </w:rPr>
            </w:pPr>
            <w:r>
              <w:rPr>
                <w:rFonts w:ascii="標楷體" w:eastAsia="標楷體" w:hAnsi="標楷體"/>
              </w:rPr>
              <w:t>整體健康狀態評估</w:t>
            </w:r>
          </w:p>
        </w:tc>
        <w:tc>
          <w:tcPr>
            <w:tcW w:w="362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DEF17D" w14:textId="77777777" w:rsidR="00BD776B" w:rsidRDefault="00BD776B">
            <w:pPr>
              <w:snapToGrid w:val="0"/>
              <w:spacing w:line="340" w:lineRule="exact"/>
              <w:rPr>
                <w:rFonts w:ascii="標楷體" w:eastAsia="標楷體" w:hAnsi="標楷體"/>
                <w:sz w:val="22"/>
              </w:rPr>
            </w:pPr>
          </w:p>
          <w:p w14:paraId="0AE308B4" w14:textId="77777777" w:rsidR="00BD776B" w:rsidRDefault="00BD776B">
            <w:pPr>
              <w:snapToGrid w:val="0"/>
              <w:spacing w:line="340" w:lineRule="exact"/>
              <w:rPr>
                <w:rFonts w:ascii="標楷體" w:eastAsia="標楷體" w:hAnsi="標楷體"/>
                <w:sz w:val="22"/>
              </w:rPr>
            </w:pPr>
          </w:p>
        </w:tc>
        <w:tc>
          <w:tcPr>
            <w:tcW w:w="3632"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14:paraId="42D18F06" w14:textId="77777777" w:rsidR="00BD776B" w:rsidRDefault="00BD776B">
            <w:pPr>
              <w:snapToGrid w:val="0"/>
              <w:spacing w:line="340" w:lineRule="exact"/>
              <w:rPr>
                <w:rFonts w:ascii="標楷體" w:eastAsia="標楷體" w:hAnsi="標楷體"/>
                <w:sz w:val="22"/>
              </w:rPr>
            </w:pPr>
          </w:p>
        </w:tc>
      </w:tr>
      <w:tr w:rsidR="00BD776B" w14:paraId="7A4C2431" w14:textId="77777777">
        <w:trPr>
          <w:cantSplit/>
          <w:trHeight w:val="400"/>
        </w:trPr>
        <w:tc>
          <w:tcPr>
            <w:tcW w:w="9800" w:type="dxa"/>
            <w:gridSpan w:val="9"/>
            <w:tcBorders>
              <w:top w:val="single" w:sz="6" w:space="0" w:color="000000"/>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557811B5" w14:textId="77777777" w:rsidR="00BD776B" w:rsidRDefault="00DF0C24">
            <w:pPr>
              <w:snapToGrid w:val="0"/>
              <w:spacing w:line="340" w:lineRule="exact"/>
              <w:ind w:left="92"/>
              <w:jc w:val="center"/>
              <w:textAlignment w:val="center"/>
              <w:rPr>
                <w:rFonts w:ascii="標楷體" w:eastAsia="標楷體" w:hAnsi="標楷體"/>
                <w:sz w:val="22"/>
              </w:rPr>
            </w:pPr>
            <w:r>
              <w:rPr>
                <w:rFonts w:ascii="標楷體" w:eastAsia="標楷體" w:hAnsi="標楷體"/>
                <w:sz w:val="22"/>
              </w:rPr>
              <w:t>整體健康狀態評估(generalhealthassessment)：100mm圖像模擬量表中所呈現的整體健康狀態。</w:t>
            </w:r>
          </w:p>
        </w:tc>
      </w:tr>
      <w:tr w:rsidR="00BD776B" w14:paraId="4F53931F" w14:textId="77777777">
        <w:trPr>
          <w:cantSplit/>
          <w:trHeight w:val="2347"/>
        </w:trPr>
        <w:tc>
          <w:tcPr>
            <w:tcW w:w="9800" w:type="dxa"/>
            <w:gridSpan w:val="9"/>
            <w:tcBorders>
              <w:top w:val="single" w:sz="6" w:space="0" w:color="000000"/>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56156B07" w14:textId="77777777" w:rsidR="00BD776B" w:rsidRDefault="00DF0C24">
            <w:pPr>
              <w:snapToGrid w:val="0"/>
              <w:spacing w:line="340" w:lineRule="exact"/>
              <w:textAlignment w:val="center"/>
            </w:pPr>
            <w:r>
              <w:rPr>
                <w:rFonts w:ascii="標楷體" w:eastAsia="標楷體" w:hAnsi="標楷體"/>
                <w:sz w:val="28"/>
              </w:rPr>
              <w:t>申請醫師（簽名蓋章）</w:t>
            </w:r>
            <w:r>
              <w:rPr>
                <w:rFonts w:ascii="標楷體" w:eastAsia="標楷體" w:hAnsi="標楷體"/>
              </w:rPr>
              <w:t>：</w:t>
            </w:r>
            <w:r>
              <w:rPr>
                <w:rFonts w:ascii="標楷體" w:eastAsia="標楷體" w:hAnsi="標楷體"/>
                <w:u w:val="single"/>
              </w:rPr>
              <w:t xml:space="preserve">　　　　　　　</w:t>
            </w:r>
            <w:r>
              <w:rPr>
                <w:rFonts w:ascii="標楷體" w:eastAsia="標楷體" w:hAnsi="標楷體"/>
                <w:sz w:val="28"/>
              </w:rPr>
              <w:t>醫事機構章戳：</w:t>
            </w:r>
          </w:p>
          <w:p w14:paraId="0EB7D5DF" w14:textId="77777777" w:rsidR="00BD776B" w:rsidRDefault="00DF0C24">
            <w:pPr>
              <w:snapToGrid w:val="0"/>
              <w:spacing w:line="340" w:lineRule="exact"/>
              <w:textAlignment w:val="center"/>
            </w:pPr>
            <w:r>
              <w:rPr>
                <w:rFonts w:ascii="標楷體" w:eastAsia="標楷體" w:hAnsi="標楷體"/>
                <w:sz w:val="28"/>
              </w:rPr>
              <w:t>內科專科醫師證書</w:t>
            </w:r>
            <w:r>
              <w:rPr>
                <w:rFonts w:ascii="標楷體" w:eastAsia="標楷體" w:hAnsi="標楷體"/>
              </w:rPr>
              <w:t>：內專字第</w:t>
            </w:r>
            <w:r>
              <w:rPr>
                <w:rFonts w:ascii="標楷體" w:eastAsia="標楷體" w:hAnsi="標楷體"/>
                <w:u w:val="single"/>
              </w:rPr>
              <w:t xml:space="preserve">　　　　　　號</w:t>
            </w:r>
          </w:p>
          <w:p w14:paraId="3D9475D2" w14:textId="77777777" w:rsidR="00BD776B" w:rsidRDefault="00DF0C24">
            <w:pPr>
              <w:tabs>
                <w:tab w:val="left" w:pos="2912"/>
              </w:tabs>
              <w:snapToGrid w:val="0"/>
              <w:spacing w:line="340" w:lineRule="exact"/>
              <w:textAlignment w:val="center"/>
            </w:pPr>
            <w:r>
              <w:rPr>
                <w:rFonts w:ascii="標楷體" w:eastAsia="標楷體" w:hAnsi="標楷體"/>
                <w:sz w:val="28"/>
              </w:rPr>
              <w:t>風濕病專科醫師證書</w:t>
            </w:r>
            <w:r>
              <w:rPr>
                <w:rFonts w:ascii="標楷體" w:eastAsia="標楷體" w:hAnsi="標楷體"/>
              </w:rPr>
              <w:t>：中僂專字第</w:t>
            </w:r>
            <w:r>
              <w:rPr>
                <w:rFonts w:ascii="標楷體" w:eastAsia="標楷體" w:hAnsi="標楷體"/>
                <w:u w:val="single"/>
              </w:rPr>
              <w:t xml:space="preserve">　　　　　　號</w:t>
            </w:r>
          </w:p>
          <w:p w14:paraId="0378E0C5" w14:textId="77777777" w:rsidR="00BD776B" w:rsidRDefault="00DF0C24">
            <w:pPr>
              <w:snapToGrid w:val="0"/>
              <w:spacing w:line="340" w:lineRule="exact"/>
              <w:textAlignment w:val="center"/>
            </w:pPr>
            <w:r>
              <w:rPr>
                <w:rFonts w:ascii="標楷體" w:eastAsia="標楷體" w:hAnsi="標楷體"/>
                <w:sz w:val="28"/>
              </w:rPr>
              <w:t>免疫專科醫師證書</w:t>
            </w:r>
            <w:r>
              <w:rPr>
                <w:rFonts w:ascii="標楷體" w:eastAsia="標楷體" w:hAnsi="標楷體"/>
              </w:rPr>
              <w:t>：中免專字第</w:t>
            </w:r>
            <w:r>
              <w:rPr>
                <w:rFonts w:ascii="標楷體" w:eastAsia="標楷體" w:hAnsi="標楷體"/>
                <w:u w:val="single"/>
              </w:rPr>
              <w:t xml:space="preserve">　　　　　　號</w:t>
            </w:r>
          </w:p>
        </w:tc>
      </w:tr>
    </w:tbl>
    <w:p w14:paraId="543FF6E2" w14:textId="77777777" w:rsidR="00BD776B" w:rsidRDefault="00BD776B">
      <w:pPr>
        <w:widowControl/>
        <w:snapToGrid w:val="0"/>
        <w:rPr>
          <w:rFonts w:ascii="標楷體" w:eastAsia="標楷體" w:hAnsi="標楷體"/>
        </w:rPr>
      </w:pPr>
    </w:p>
    <w:p w14:paraId="34EF2826" w14:textId="77777777" w:rsidR="00BD776B" w:rsidRDefault="00BD776B">
      <w:pPr>
        <w:pageBreakBefore/>
        <w:widowControl/>
        <w:snapToGrid w:val="0"/>
        <w:rPr>
          <w:rFonts w:ascii="標楷體" w:eastAsia="標楷體" w:hAnsi="標楷體"/>
        </w:rPr>
      </w:pPr>
    </w:p>
    <w:p w14:paraId="55E410CC" w14:textId="77777777" w:rsidR="00BD776B" w:rsidRDefault="00DF0C24">
      <w:pPr>
        <w:pStyle w:val="a7"/>
        <w:spacing w:after="360"/>
        <w:jc w:val="center"/>
        <w:rPr>
          <w:rFonts w:eastAsia="標楷體"/>
          <w:b/>
          <w:sz w:val="28"/>
          <w:szCs w:val="28"/>
        </w:rPr>
      </w:pPr>
      <w:r>
        <w:rPr>
          <w:rFonts w:eastAsia="標楷體"/>
          <w:b/>
          <w:sz w:val="28"/>
          <w:szCs w:val="28"/>
        </w:rPr>
        <w:t>附表二十四之一：全民健康保險乾癬使用生物製劑申請表</w:t>
      </w:r>
    </w:p>
    <w:tbl>
      <w:tblPr>
        <w:tblW w:w="9547" w:type="dxa"/>
        <w:tblInd w:w="266" w:type="dxa"/>
        <w:tblLayout w:type="fixed"/>
        <w:tblCellMar>
          <w:left w:w="10" w:type="dxa"/>
          <w:right w:w="10" w:type="dxa"/>
        </w:tblCellMar>
        <w:tblLook w:val="0000" w:firstRow="0" w:lastRow="0" w:firstColumn="0" w:lastColumn="0" w:noHBand="0" w:noVBand="0"/>
      </w:tblPr>
      <w:tblGrid>
        <w:gridCol w:w="1322"/>
        <w:gridCol w:w="1701"/>
        <w:gridCol w:w="1275"/>
        <w:gridCol w:w="1560"/>
        <w:gridCol w:w="1134"/>
        <w:gridCol w:w="2555"/>
      </w:tblGrid>
      <w:tr w:rsidR="00BD776B" w14:paraId="62E209DC" w14:textId="77777777">
        <w:trPr>
          <w:cantSplit/>
          <w:trHeight w:val="376"/>
        </w:trPr>
        <w:tc>
          <w:tcPr>
            <w:tcW w:w="1322"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9653788" w14:textId="77777777" w:rsidR="00BD776B" w:rsidRDefault="00DF0C24">
            <w:pPr>
              <w:snapToGrid w:val="0"/>
              <w:spacing w:line="380" w:lineRule="exact"/>
              <w:rPr>
                <w:rFonts w:eastAsia="標楷體"/>
              </w:rPr>
            </w:pPr>
            <w:r>
              <w:rPr>
                <w:rFonts w:eastAsia="標楷體"/>
              </w:rPr>
              <w:t>醫院代號</w:t>
            </w:r>
          </w:p>
        </w:tc>
        <w:tc>
          <w:tcPr>
            <w:tcW w:w="17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101295" w14:textId="77777777" w:rsidR="00BD776B" w:rsidRDefault="00BD776B">
            <w:pPr>
              <w:snapToGrid w:val="0"/>
              <w:spacing w:line="380" w:lineRule="exact"/>
              <w:rPr>
                <w:rFonts w:eastAsia="標楷體"/>
              </w:rPr>
            </w:pPr>
          </w:p>
        </w:tc>
        <w:tc>
          <w:tcPr>
            <w:tcW w:w="1275"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2A59E1F" w14:textId="77777777" w:rsidR="00BD776B" w:rsidRDefault="00DF0C24">
            <w:pPr>
              <w:snapToGrid w:val="0"/>
              <w:spacing w:line="380" w:lineRule="exact"/>
              <w:rPr>
                <w:rFonts w:eastAsia="標楷體"/>
              </w:rPr>
            </w:pPr>
            <w:r>
              <w:rPr>
                <w:rFonts w:eastAsia="標楷體"/>
              </w:rPr>
              <w:t>醫院名稱</w:t>
            </w:r>
          </w:p>
        </w:tc>
        <w:tc>
          <w:tcPr>
            <w:tcW w:w="156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6AFC362" w14:textId="77777777" w:rsidR="00BD776B" w:rsidRDefault="00BD776B">
            <w:pPr>
              <w:snapToGrid w:val="0"/>
              <w:spacing w:line="380" w:lineRule="exact"/>
              <w:rPr>
                <w:rFonts w:eastAsia="標楷體"/>
              </w:rPr>
            </w:pPr>
          </w:p>
        </w:tc>
        <w:tc>
          <w:tcPr>
            <w:tcW w:w="1134"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E76250" w14:textId="77777777" w:rsidR="00BD776B" w:rsidRDefault="00DF0C24">
            <w:pPr>
              <w:snapToGrid w:val="0"/>
              <w:spacing w:line="380" w:lineRule="exact"/>
              <w:rPr>
                <w:rFonts w:eastAsia="標楷體"/>
              </w:rPr>
            </w:pPr>
            <w:r>
              <w:rPr>
                <w:rFonts w:eastAsia="標楷體"/>
              </w:rPr>
              <w:t>申請日期</w:t>
            </w:r>
          </w:p>
        </w:tc>
        <w:tc>
          <w:tcPr>
            <w:tcW w:w="2555"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AB37D7D" w14:textId="77777777" w:rsidR="00BD776B" w:rsidRDefault="00BD776B">
            <w:pPr>
              <w:snapToGrid w:val="0"/>
              <w:spacing w:line="380" w:lineRule="exact"/>
              <w:rPr>
                <w:rFonts w:eastAsia="標楷體"/>
              </w:rPr>
            </w:pPr>
          </w:p>
        </w:tc>
      </w:tr>
      <w:tr w:rsidR="00BD776B" w14:paraId="066D7BBE" w14:textId="77777777">
        <w:trPr>
          <w:cantSplit/>
          <w:trHeight w:val="332"/>
        </w:trPr>
        <w:tc>
          <w:tcPr>
            <w:tcW w:w="1322"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4A13AE1" w14:textId="77777777" w:rsidR="00BD776B" w:rsidRDefault="00DF0C24">
            <w:pPr>
              <w:spacing w:line="380" w:lineRule="exact"/>
              <w:rPr>
                <w:rFonts w:eastAsia="標楷體"/>
              </w:rPr>
            </w:pPr>
            <w:r>
              <w:rPr>
                <w:rFonts w:eastAsia="標楷體"/>
              </w:rPr>
              <w:t>病人姓名</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5C8A2E" w14:textId="77777777" w:rsidR="00BD776B" w:rsidRDefault="00BD776B">
            <w:pPr>
              <w:spacing w:line="380" w:lineRule="exact"/>
              <w:rPr>
                <w:rFonts w:eastAsia="標楷體"/>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2DC247" w14:textId="77777777" w:rsidR="00BD776B" w:rsidRDefault="00DF0C24">
            <w:pPr>
              <w:spacing w:line="380" w:lineRule="exact"/>
              <w:rPr>
                <w:rFonts w:eastAsia="標楷體"/>
              </w:rPr>
            </w:pPr>
            <w:r>
              <w:rPr>
                <w:rFonts w:eastAsia="標楷體"/>
              </w:rPr>
              <w:t>性別</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830725" w14:textId="77777777" w:rsidR="00BD776B" w:rsidRDefault="00BD776B">
            <w:pPr>
              <w:spacing w:line="380" w:lineRule="exact"/>
              <w:rPr>
                <w:rFonts w:eastAsia="標楷體"/>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4B5D8C1" w14:textId="77777777" w:rsidR="00BD776B" w:rsidRDefault="00DF0C24">
            <w:pPr>
              <w:spacing w:line="380" w:lineRule="exact"/>
              <w:rPr>
                <w:rFonts w:eastAsia="標楷體"/>
              </w:rPr>
            </w:pPr>
            <w:r>
              <w:rPr>
                <w:rFonts w:eastAsia="標楷體"/>
              </w:rPr>
              <w:t>出生日期</w:t>
            </w:r>
          </w:p>
        </w:tc>
        <w:tc>
          <w:tcPr>
            <w:tcW w:w="2555"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F493471" w14:textId="77777777" w:rsidR="00BD776B" w:rsidRDefault="00BD776B">
            <w:pPr>
              <w:spacing w:line="380" w:lineRule="exact"/>
              <w:rPr>
                <w:rFonts w:eastAsia="標楷體"/>
              </w:rPr>
            </w:pPr>
          </w:p>
        </w:tc>
      </w:tr>
      <w:tr w:rsidR="00BD776B" w14:paraId="57245A4B" w14:textId="77777777">
        <w:trPr>
          <w:cantSplit/>
          <w:trHeight w:val="356"/>
        </w:trPr>
        <w:tc>
          <w:tcPr>
            <w:tcW w:w="1322"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130CD57" w14:textId="77777777" w:rsidR="00BD776B" w:rsidRDefault="00DF0C24">
            <w:pPr>
              <w:spacing w:line="380" w:lineRule="exact"/>
              <w:rPr>
                <w:rFonts w:eastAsia="標楷體"/>
              </w:rPr>
            </w:pPr>
            <w:r>
              <w:rPr>
                <w:rFonts w:eastAsia="標楷體"/>
              </w:rPr>
              <w:t>身分證號</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42479D" w14:textId="77777777" w:rsidR="00BD776B" w:rsidRDefault="00BD776B">
            <w:pPr>
              <w:spacing w:line="380" w:lineRule="exact"/>
              <w:rPr>
                <w:rFonts w:eastAsia="標楷體"/>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C23709" w14:textId="77777777" w:rsidR="00BD776B" w:rsidRDefault="00DF0C24">
            <w:pPr>
              <w:spacing w:line="380" w:lineRule="exact"/>
              <w:rPr>
                <w:rFonts w:eastAsia="標楷體"/>
              </w:rPr>
            </w:pPr>
            <w:r>
              <w:rPr>
                <w:rFonts w:eastAsia="標楷體"/>
              </w:rPr>
              <w:t>病歷號碼</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2C64EC6" w14:textId="77777777" w:rsidR="00BD776B" w:rsidRDefault="00BD776B">
            <w:pPr>
              <w:spacing w:line="380" w:lineRule="exact"/>
              <w:rPr>
                <w:rFonts w:eastAsia="標楷體"/>
              </w:rPr>
            </w:pPr>
          </w:p>
        </w:tc>
        <w:tc>
          <w:tcPr>
            <w:tcW w:w="1134"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3CC90175" w14:textId="77777777" w:rsidR="00BD776B" w:rsidRDefault="00DF0C24">
            <w:pPr>
              <w:spacing w:line="380" w:lineRule="exact"/>
              <w:rPr>
                <w:rFonts w:eastAsia="標楷體"/>
              </w:rPr>
            </w:pPr>
            <w:r>
              <w:rPr>
                <w:rFonts w:eastAsia="標楷體"/>
              </w:rPr>
              <w:t>使用期間</w:t>
            </w:r>
          </w:p>
        </w:tc>
        <w:tc>
          <w:tcPr>
            <w:tcW w:w="2555"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649C557" w14:textId="77777777" w:rsidR="00BD776B" w:rsidRDefault="00DF0C24">
            <w:pPr>
              <w:spacing w:line="380" w:lineRule="exact"/>
              <w:rPr>
                <w:rFonts w:eastAsia="標楷體"/>
              </w:rPr>
            </w:pPr>
            <w:r>
              <w:rPr>
                <w:rFonts w:eastAsia="標楷體"/>
              </w:rPr>
              <w:t>自　　年　　月　　日</w:t>
            </w:r>
          </w:p>
        </w:tc>
      </w:tr>
      <w:tr w:rsidR="00BD776B" w14:paraId="69CA7ACB" w14:textId="77777777">
        <w:trPr>
          <w:cantSplit/>
          <w:trHeight w:val="337"/>
        </w:trPr>
        <w:tc>
          <w:tcPr>
            <w:tcW w:w="1322"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28A8D839" w14:textId="77777777" w:rsidR="00BD776B" w:rsidRDefault="00DF0C24">
            <w:pPr>
              <w:spacing w:line="380" w:lineRule="exact"/>
              <w:rPr>
                <w:rFonts w:eastAsia="標楷體"/>
              </w:rPr>
            </w:pPr>
            <w:r>
              <w:rPr>
                <w:rFonts w:eastAsia="標楷體"/>
              </w:rPr>
              <w:t>藥品代碼</w:t>
            </w:r>
          </w:p>
        </w:tc>
        <w:tc>
          <w:tcPr>
            <w:tcW w:w="17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07BC88A" w14:textId="77777777" w:rsidR="00BD776B" w:rsidRDefault="00BD776B">
            <w:pPr>
              <w:spacing w:line="380" w:lineRule="exact"/>
              <w:rPr>
                <w:rFonts w:eastAsia="標楷體"/>
              </w:rPr>
            </w:pPr>
          </w:p>
        </w:tc>
        <w:tc>
          <w:tcPr>
            <w:tcW w:w="1275"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7C93B0F" w14:textId="77777777" w:rsidR="00BD776B" w:rsidRDefault="00DF0C24">
            <w:pPr>
              <w:spacing w:line="380" w:lineRule="exact"/>
              <w:rPr>
                <w:rFonts w:eastAsia="標楷體"/>
              </w:rPr>
            </w:pPr>
            <w:r>
              <w:rPr>
                <w:rFonts w:eastAsia="標楷體"/>
              </w:rPr>
              <w:t>用法用量</w:t>
            </w:r>
          </w:p>
        </w:tc>
        <w:tc>
          <w:tcPr>
            <w:tcW w:w="1560"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DEBA210" w14:textId="77777777" w:rsidR="00BD776B" w:rsidRDefault="00BD776B">
            <w:pPr>
              <w:spacing w:line="380" w:lineRule="exact"/>
              <w:rPr>
                <w:rFonts w:eastAsia="標楷體"/>
              </w:rPr>
            </w:pPr>
          </w:p>
        </w:tc>
        <w:tc>
          <w:tcPr>
            <w:tcW w:w="1134"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33B52411" w14:textId="77777777" w:rsidR="00BD776B" w:rsidRDefault="00BD776B">
            <w:pPr>
              <w:spacing w:line="380" w:lineRule="exact"/>
              <w:rPr>
                <w:rFonts w:eastAsia="標楷體"/>
              </w:rPr>
            </w:pPr>
          </w:p>
        </w:tc>
        <w:tc>
          <w:tcPr>
            <w:tcW w:w="2555"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47357B5D" w14:textId="77777777" w:rsidR="00BD776B" w:rsidRDefault="00DF0C24">
            <w:pPr>
              <w:spacing w:line="380" w:lineRule="exact"/>
              <w:rPr>
                <w:rFonts w:eastAsia="標楷體"/>
              </w:rPr>
            </w:pPr>
            <w:r>
              <w:rPr>
                <w:rFonts w:eastAsia="標楷體"/>
              </w:rPr>
              <w:t>至　　年　　月　　日</w:t>
            </w:r>
          </w:p>
        </w:tc>
      </w:tr>
    </w:tbl>
    <w:p w14:paraId="17D5C00D" w14:textId="77777777" w:rsidR="00BD776B" w:rsidRDefault="00BD776B">
      <w:pPr>
        <w:snapToGrid w:val="0"/>
        <w:rPr>
          <w:rFonts w:ascii="Arial" w:eastAsia="標楷體" w:hAnsi="Arial" w:cs="Arial"/>
        </w:rPr>
      </w:pPr>
    </w:p>
    <w:tbl>
      <w:tblPr>
        <w:tblW w:w="9562" w:type="dxa"/>
        <w:tblInd w:w="332" w:type="dxa"/>
        <w:tblCellMar>
          <w:left w:w="10" w:type="dxa"/>
          <w:right w:w="10" w:type="dxa"/>
        </w:tblCellMar>
        <w:tblLook w:val="0000" w:firstRow="0" w:lastRow="0" w:firstColumn="0" w:lastColumn="0" w:noHBand="0" w:noVBand="0"/>
      </w:tblPr>
      <w:tblGrid>
        <w:gridCol w:w="26"/>
        <w:gridCol w:w="649"/>
        <w:gridCol w:w="1320"/>
        <w:gridCol w:w="4159"/>
        <w:gridCol w:w="3381"/>
        <w:gridCol w:w="27"/>
      </w:tblGrid>
      <w:tr w:rsidR="00BD776B" w14:paraId="4C565A01" w14:textId="77777777">
        <w:tc>
          <w:tcPr>
            <w:tcW w:w="26" w:type="dxa"/>
            <w:shd w:val="clear" w:color="auto" w:fill="auto"/>
            <w:tcMar>
              <w:top w:w="0" w:type="dxa"/>
              <w:left w:w="10" w:type="dxa"/>
              <w:bottom w:w="0" w:type="dxa"/>
              <w:right w:w="10" w:type="dxa"/>
            </w:tcMar>
          </w:tcPr>
          <w:p w14:paraId="7E356153" w14:textId="77777777" w:rsidR="00BD776B" w:rsidRDefault="00BD776B">
            <w:pPr>
              <w:spacing w:line="276" w:lineRule="auto"/>
              <w:ind w:left="372" w:hanging="372"/>
            </w:pPr>
          </w:p>
        </w:tc>
        <w:tc>
          <w:tcPr>
            <w:tcW w:w="9536" w:type="dxa"/>
            <w:gridSpan w:val="5"/>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0E3AC9B" w14:textId="77777777" w:rsidR="00BD776B" w:rsidRDefault="00DF0C24">
            <w:pPr>
              <w:spacing w:line="276" w:lineRule="auto"/>
              <w:ind w:left="372" w:hanging="372"/>
            </w:pPr>
            <w:r>
              <w:rPr>
                <w:rFonts w:eastAsia="標楷體"/>
                <w:sz w:val="26"/>
                <w:szCs w:val="26"/>
              </w:rPr>
              <w:t xml:space="preserve">□ </w:t>
            </w:r>
            <w:r>
              <w:rPr>
                <w:rFonts w:eastAsia="標楷體"/>
                <w:b/>
                <w:sz w:val="26"/>
                <w:szCs w:val="26"/>
              </w:rPr>
              <w:t>符合照光治療及其他全身性治療無效，或因醫療因素而無法接受其他系統性治療之全身慢性中、重度之乾癬或頑固之掌蹠性乾癬，且影響功能：（定義請參照給付規定）</w:t>
            </w:r>
          </w:p>
          <w:p w14:paraId="19618F1A" w14:textId="77777777" w:rsidR="00BD776B" w:rsidRDefault="00DF0C24" w:rsidP="008A7063">
            <w:pPr>
              <w:numPr>
                <w:ilvl w:val="1"/>
                <w:numId w:val="93"/>
              </w:numPr>
              <w:spacing w:line="276" w:lineRule="auto"/>
              <w:ind w:left="601" w:hanging="317"/>
            </w:pPr>
            <w:r>
              <w:rPr>
                <w:rFonts w:eastAsia="標楷體"/>
                <w:sz w:val="26"/>
                <w:szCs w:val="26"/>
              </w:rPr>
              <w:t xml:space="preserve"> □ </w:t>
            </w:r>
            <w:r>
              <w:rPr>
                <w:rFonts w:eastAsia="標楷體"/>
                <w:sz w:val="26"/>
                <w:szCs w:val="26"/>
              </w:rPr>
              <w:t>符合照光治療無效（檢附詳細</w:t>
            </w:r>
            <w:r>
              <w:rPr>
                <w:rFonts w:eastAsia="標楷體"/>
                <w:sz w:val="26"/>
                <w:szCs w:val="26"/>
              </w:rPr>
              <w:t>3</w:t>
            </w:r>
            <w:r>
              <w:rPr>
                <w:rFonts w:eastAsia="標楷體"/>
                <w:sz w:val="26"/>
                <w:szCs w:val="26"/>
              </w:rPr>
              <w:t>個月照光劑量記錄</w:t>
            </w:r>
            <w:r>
              <w:rPr>
                <w:rFonts w:eastAsia="標楷體"/>
                <w:b/>
                <w:sz w:val="26"/>
                <w:szCs w:val="26"/>
              </w:rPr>
              <w:t>）</w:t>
            </w:r>
            <w:r>
              <w:rPr>
                <w:rFonts w:eastAsia="標楷體"/>
                <w:sz w:val="26"/>
                <w:szCs w:val="26"/>
              </w:rPr>
              <w:t>。</w:t>
            </w:r>
          </w:p>
          <w:p w14:paraId="4EBB9549" w14:textId="77777777" w:rsidR="00BD776B" w:rsidRDefault="00DF0C24" w:rsidP="008A7063">
            <w:pPr>
              <w:numPr>
                <w:ilvl w:val="1"/>
                <w:numId w:val="93"/>
              </w:numPr>
              <w:tabs>
                <w:tab w:val="left" w:pos="244"/>
              </w:tabs>
              <w:spacing w:line="276" w:lineRule="auto"/>
              <w:ind w:left="669" w:hanging="425"/>
              <w:rPr>
                <w:rFonts w:eastAsia="標楷體"/>
                <w:sz w:val="26"/>
                <w:szCs w:val="26"/>
              </w:rPr>
            </w:pPr>
            <w:r>
              <w:rPr>
                <w:rFonts w:eastAsia="標楷體"/>
                <w:sz w:val="26"/>
                <w:szCs w:val="26"/>
              </w:rPr>
              <w:t xml:space="preserve">□ </w:t>
            </w:r>
            <w:r>
              <w:rPr>
                <w:rFonts w:eastAsia="標楷體"/>
                <w:sz w:val="26"/>
                <w:szCs w:val="26"/>
              </w:rPr>
              <w:t>符合其他全身性治療無效（目前未達</w:t>
            </w:r>
            <w:r>
              <w:rPr>
                <w:rFonts w:eastAsia="標楷體"/>
                <w:sz w:val="26"/>
                <w:szCs w:val="26"/>
              </w:rPr>
              <w:t>PASI</w:t>
            </w:r>
            <w:r>
              <w:rPr>
                <w:rFonts w:eastAsia="標楷體"/>
                <w:sz w:val="26"/>
                <w:szCs w:val="26"/>
              </w:rPr>
              <w:t>或</w:t>
            </w:r>
            <w:r>
              <w:rPr>
                <w:rFonts w:eastAsia="標楷體"/>
                <w:sz w:val="26"/>
                <w:szCs w:val="26"/>
              </w:rPr>
              <w:t>BSA</w:t>
            </w:r>
            <w:r>
              <w:rPr>
                <w:rFonts w:eastAsia="標楷體"/>
                <w:sz w:val="26"/>
                <w:szCs w:val="26"/>
              </w:rPr>
              <w:t>申請標準者，需同時附治療前後資料）。</w:t>
            </w:r>
          </w:p>
          <w:p w14:paraId="0D5AFE3E" w14:textId="77777777" w:rsidR="00BD776B" w:rsidRDefault="00DF0C24">
            <w:pPr>
              <w:spacing w:line="276" w:lineRule="auto"/>
              <w:ind w:left="2" w:firstLine="31"/>
              <w:jc w:val="center"/>
              <w:rPr>
                <w:rFonts w:eastAsia="標楷體"/>
                <w:b/>
              </w:rPr>
            </w:pPr>
            <w:r>
              <w:rPr>
                <w:rFonts w:eastAsia="標楷體"/>
                <w:b/>
              </w:rPr>
              <w:t>至少</w:t>
            </w:r>
            <w:r>
              <w:rPr>
                <w:rFonts w:eastAsia="標楷體"/>
                <w:b/>
              </w:rPr>
              <w:t>2</w:t>
            </w:r>
            <w:r>
              <w:rPr>
                <w:rFonts w:eastAsia="標楷體"/>
                <w:b/>
              </w:rPr>
              <w:t>種其他系統性用藥之使用時間、劑量及停用理由</w:t>
            </w:r>
          </w:p>
          <w:tbl>
            <w:tblPr>
              <w:tblW w:w="7797" w:type="dxa"/>
              <w:tblInd w:w="1021" w:type="dxa"/>
              <w:tblCellMar>
                <w:left w:w="10" w:type="dxa"/>
                <w:right w:w="10" w:type="dxa"/>
              </w:tblCellMar>
              <w:tblLook w:val="0000" w:firstRow="0" w:lastRow="0" w:firstColumn="0" w:lastColumn="0" w:noHBand="0" w:noVBand="0"/>
            </w:tblPr>
            <w:tblGrid>
              <w:gridCol w:w="1656"/>
              <w:gridCol w:w="1455"/>
              <w:gridCol w:w="2056"/>
              <w:gridCol w:w="2630"/>
            </w:tblGrid>
            <w:tr w:rsidR="00BD776B" w14:paraId="06D7AF7E"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85980" w14:textId="77777777" w:rsidR="00BD776B" w:rsidRDefault="00BD776B">
                  <w:pPr>
                    <w:spacing w:line="360" w:lineRule="auto"/>
                    <w:rPr>
                      <w:rFonts w:ascii="標楷體" w:eastAsia="標楷體" w:hAnsi="標楷體"/>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808E" w14:textId="77777777" w:rsidR="00BD776B" w:rsidRDefault="00DF0C24">
                  <w:pPr>
                    <w:spacing w:line="360" w:lineRule="auto"/>
                    <w:rPr>
                      <w:rFonts w:ascii="標楷體" w:eastAsia="標楷體" w:hAnsi="標楷體"/>
                    </w:rPr>
                  </w:pPr>
                  <w:r>
                    <w:rPr>
                      <w:rFonts w:ascii="標楷體" w:eastAsia="標楷體" w:hAnsi="標楷體"/>
                    </w:rPr>
                    <w:t>使用劑量</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6A792" w14:textId="77777777" w:rsidR="00BD776B" w:rsidRDefault="00DF0C24">
                  <w:pPr>
                    <w:spacing w:line="360" w:lineRule="auto"/>
                    <w:jc w:val="center"/>
                    <w:rPr>
                      <w:rFonts w:ascii="標楷體" w:eastAsia="標楷體" w:hAnsi="標楷體"/>
                    </w:rPr>
                  </w:pPr>
                  <w:r>
                    <w:rPr>
                      <w:rFonts w:ascii="標楷體" w:eastAsia="標楷體" w:hAnsi="標楷體"/>
                    </w:rPr>
                    <w:t>使用時間</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759AA" w14:textId="77777777" w:rsidR="00BD776B" w:rsidRDefault="00DF0C24">
                  <w:pPr>
                    <w:spacing w:line="360" w:lineRule="auto"/>
                    <w:rPr>
                      <w:rFonts w:ascii="標楷體" w:eastAsia="標楷體" w:hAnsi="標楷體"/>
                    </w:rPr>
                  </w:pPr>
                  <w:r>
                    <w:rPr>
                      <w:rFonts w:ascii="標楷體" w:eastAsia="標楷體" w:hAnsi="標楷體"/>
                    </w:rPr>
                    <w:t>停用理由</w:t>
                  </w:r>
                </w:p>
              </w:tc>
            </w:tr>
            <w:tr w:rsidR="00BD776B" w14:paraId="4ED0DD65"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43B5C" w14:textId="77777777" w:rsidR="00BD776B" w:rsidRDefault="00DF0C24">
                  <w:pPr>
                    <w:spacing w:line="360" w:lineRule="auto"/>
                    <w:rPr>
                      <w:rFonts w:ascii="標楷體" w:eastAsia="標楷體" w:hAnsi="標楷體"/>
                    </w:rPr>
                  </w:pPr>
                  <w:r>
                    <w:rPr>
                      <w:rFonts w:ascii="標楷體" w:eastAsia="標楷體" w:hAnsi="標楷體"/>
                    </w:rPr>
                    <w:t>Acitretin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5EFF1" w14:textId="77777777" w:rsidR="00BD776B" w:rsidRDefault="00DF0C24">
                  <w:pPr>
                    <w:spacing w:line="360" w:lineRule="auto"/>
                    <w:rPr>
                      <w:rFonts w:ascii="標楷體" w:eastAsia="標楷體" w:hAnsi="標楷體"/>
                    </w:rPr>
                  </w:pPr>
                  <w:r>
                    <w:rPr>
                      <w:rFonts w:ascii="標楷體" w:eastAsia="標楷體" w:hAnsi="標楷體"/>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2E13E" w14:textId="77777777" w:rsidR="00BD776B" w:rsidRDefault="00DF0C24">
                  <w:pPr>
                    <w:rPr>
                      <w:rFonts w:ascii="標楷體" w:eastAsia="標楷體" w:hAnsi="標楷體"/>
                    </w:rPr>
                  </w:pPr>
                  <w:r>
                    <w:rPr>
                      <w:rFonts w:ascii="標楷體" w:eastAsia="標楷體" w:hAnsi="標楷體"/>
                    </w:rPr>
                    <w:t xml:space="preserve">__年__月__日至 </w:t>
                  </w:r>
                </w:p>
                <w:p w14:paraId="14A7E88F" w14:textId="77777777" w:rsidR="00BD776B" w:rsidRDefault="00DF0C24">
                  <w:pPr>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720C" w14:textId="77777777" w:rsidR="00BD776B" w:rsidRDefault="00BD776B">
                  <w:pPr>
                    <w:spacing w:line="360" w:lineRule="auto"/>
                    <w:rPr>
                      <w:rFonts w:ascii="標楷體" w:eastAsia="標楷體" w:hAnsi="標楷體"/>
                    </w:rPr>
                  </w:pPr>
                </w:p>
              </w:tc>
            </w:tr>
            <w:tr w:rsidR="00BD776B" w14:paraId="50F12481"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A5DE2" w14:textId="77777777" w:rsidR="00BD776B" w:rsidRDefault="00DF0C24">
                  <w:pPr>
                    <w:spacing w:line="360" w:lineRule="auto"/>
                    <w:rPr>
                      <w:rFonts w:ascii="標楷體" w:eastAsia="標楷體" w:hAnsi="標楷體"/>
                    </w:rPr>
                  </w:pPr>
                  <w:r>
                    <w:rPr>
                      <w:rFonts w:ascii="標楷體" w:eastAsia="標楷體" w:hAnsi="標楷體"/>
                    </w:rPr>
                    <w:t>Methotrexate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07A0D" w14:textId="77777777" w:rsidR="00BD776B" w:rsidRDefault="00DF0C24">
                  <w:pPr>
                    <w:spacing w:line="360" w:lineRule="auto"/>
                    <w:rPr>
                      <w:rFonts w:ascii="標楷體" w:eastAsia="標楷體" w:hAnsi="標楷體"/>
                    </w:rPr>
                  </w:pPr>
                  <w:r>
                    <w:rPr>
                      <w:rFonts w:ascii="標楷體" w:eastAsia="標楷體" w:hAnsi="標楷體"/>
                    </w:rPr>
                    <w:t>___mg/week</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6FB1F" w14:textId="77777777" w:rsidR="00BD776B" w:rsidRDefault="00DF0C24">
                  <w:pPr>
                    <w:rPr>
                      <w:rFonts w:ascii="標楷體" w:eastAsia="標楷體" w:hAnsi="標楷體"/>
                    </w:rPr>
                  </w:pPr>
                  <w:r>
                    <w:rPr>
                      <w:rFonts w:ascii="標楷體" w:eastAsia="標楷體" w:hAnsi="標楷體"/>
                    </w:rPr>
                    <w:t>__年__月__日至</w:t>
                  </w:r>
                </w:p>
                <w:p w14:paraId="706CA927" w14:textId="77777777" w:rsidR="00BD776B" w:rsidRDefault="00DF0C24">
                  <w:pPr>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235A8" w14:textId="77777777" w:rsidR="00BD776B" w:rsidRDefault="00BD776B">
                  <w:pPr>
                    <w:spacing w:line="360" w:lineRule="auto"/>
                    <w:rPr>
                      <w:rFonts w:ascii="標楷體" w:eastAsia="標楷體" w:hAnsi="標楷體"/>
                    </w:rPr>
                  </w:pPr>
                </w:p>
              </w:tc>
            </w:tr>
            <w:tr w:rsidR="00BD776B" w14:paraId="3A60F41F"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244BA" w14:textId="77777777" w:rsidR="00BD776B" w:rsidRDefault="00DF0C24">
                  <w:pPr>
                    <w:spacing w:line="360" w:lineRule="auto"/>
                    <w:rPr>
                      <w:rFonts w:ascii="標楷體" w:eastAsia="標楷體" w:hAnsi="標楷體"/>
                    </w:rPr>
                  </w:pPr>
                  <w:r>
                    <w:rPr>
                      <w:rFonts w:ascii="標楷體" w:eastAsia="標楷體" w:hAnsi="標楷體"/>
                    </w:rPr>
                    <w:t>Cyclosporin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36192" w14:textId="77777777" w:rsidR="00BD776B" w:rsidRDefault="00DF0C24">
                  <w:pPr>
                    <w:spacing w:line="360" w:lineRule="auto"/>
                    <w:rPr>
                      <w:rFonts w:ascii="標楷體" w:eastAsia="標楷體" w:hAnsi="標楷體"/>
                    </w:rPr>
                  </w:pPr>
                  <w:r>
                    <w:rPr>
                      <w:rFonts w:ascii="標楷體" w:eastAsia="標楷體" w:hAnsi="標楷體"/>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2FB41" w14:textId="77777777" w:rsidR="00BD776B" w:rsidRDefault="00DF0C24">
                  <w:pPr>
                    <w:rPr>
                      <w:rFonts w:ascii="標楷體" w:eastAsia="標楷體" w:hAnsi="標楷體"/>
                    </w:rPr>
                  </w:pPr>
                  <w:r>
                    <w:rPr>
                      <w:rFonts w:ascii="標楷體" w:eastAsia="標楷體" w:hAnsi="標楷體"/>
                    </w:rPr>
                    <w:t>__年__月__日至</w:t>
                  </w:r>
                </w:p>
                <w:p w14:paraId="640D9E97" w14:textId="77777777" w:rsidR="00BD776B" w:rsidRDefault="00DF0C24">
                  <w:pPr>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9E69C" w14:textId="77777777" w:rsidR="00BD776B" w:rsidRDefault="00BD776B">
                  <w:pPr>
                    <w:spacing w:line="360" w:lineRule="auto"/>
                    <w:rPr>
                      <w:rFonts w:ascii="標楷體" w:eastAsia="標楷體" w:hAnsi="標楷體"/>
                    </w:rPr>
                  </w:pPr>
                </w:p>
              </w:tc>
            </w:tr>
            <w:tr w:rsidR="00BD776B" w14:paraId="1A1C739A"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1012" w14:textId="77777777" w:rsidR="00BD776B" w:rsidRDefault="00DF0C24">
                  <w:pPr>
                    <w:snapToGrid w:val="0"/>
                    <w:spacing w:line="360" w:lineRule="auto"/>
                    <w:jc w:val="both"/>
                    <w:rPr>
                      <w:rFonts w:ascii="標楷體" w:eastAsia="標楷體" w:hAnsi="標楷體"/>
                    </w:rPr>
                  </w:pPr>
                  <w:r>
                    <w:rPr>
                      <w:rFonts w:ascii="標楷體" w:eastAsia="標楷體" w:hAnsi="標楷體"/>
                    </w:rPr>
                    <w:t>Apremilast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F4EF6" w14:textId="77777777" w:rsidR="00BD776B" w:rsidRDefault="00DF0C24">
                  <w:pPr>
                    <w:snapToGrid w:val="0"/>
                    <w:spacing w:line="360" w:lineRule="auto"/>
                    <w:ind w:hanging="134"/>
                    <w:jc w:val="both"/>
                    <w:rPr>
                      <w:rFonts w:ascii="標楷體" w:eastAsia="標楷體" w:hAnsi="標楷體"/>
                    </w:rPr>
                  </w:pPr>
                  <w:r>
                    <w:rPr>
                      <w:rFonts w:ascii="標楷體" w:eastAsia="標楷體" w:hAnsi="標楷體"/>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53E0F" w14:textId="77777777" w:rsidR="00BD776B" w:rsidRDefault="00DF0C24">
                  <w:pPr>
                    <w:ind w:firstLine="108"/>
                    <w:jc w:val="both"/>
                    <w:rPr>
                      <w:rFonts w:ascii="標楷體" w:eastAsia="標楷體" w:hAnsi="標楷體"/>
                    </w:rPr>
                  </w:pPr>
                  <w:r>
                    <w:rPr>
                      <w:rFonts w:ascii="標楷體" w:eastAsia="標楷體" w:hAnsi="標楷體"/>
                    </w:rPr>
                    <w:t>__年__月__日至</w:t>
                  </w:r>
                </w:p>
                <w:p w14:paraId="68DAA7AE" w14:textId="77777777" w:rsidR="00BD776B" w:rsidRDefault="00DF0C24">
                  <w:pPr>
                    <w:ind w:firstLine="108"/>
                    <w:jc w:val="both"/>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F9D26" w14:textId="77777777" w:rsidR="00BD776B" w:rsidRDefault="00BD776B">
                  <w:pPr>
                    <w:spacing w:line="360" w:lineRule="auto"/>
                    <w:ind w:hanging="567"/>
                    <w:jc w:val="both"/>
                    <w:rPr>
                      <w:rFonts w:ascii="標楷體" w:eastAsia="標楷體" w:hAnsi="標楷體"/>
                    </w:rPr>
                  </w:pPr>
                </w:p>
              </w:tc>
            </w:tr>
          </w:tbl>
          <w:p w14:paraId="508BA8A5" w14:textId="77777777" w:rsidR="00BD776B" w:rsidRDefault="00DF0C24">
            <w:pPr>
              <w:spacing w:line="360" w:lineRule="auto"/>
              <w:ind w:left="1025"/>
            </w:pPr>
            <w:r>
              <w:rPr>
                <w:rFonts w:eastAsia="標楷體"/>
              </w:rPr>
              <w:t>患者體重</w:t>
            </w:r>
            <w:r>
              <w:rPr>
                <w:rFonts w:eastAsia="標楷體"/>
              </w:rPr>
              <w:t>: _____ kg</w:t>
            </w:r>
          </w:p>
          <w:p w14:paraId="18D1A9A5" w14:textId="77777777" w:rsidR="00BD776B" w:rsidRDefault="00DF0C24">
            <w:pPr>
              <w:spacing w:line="276" w:lineRule="auto"/>
              <w:ind w:left="1167" w:hanging="850"/>
              <w:rPr>
                <w:rFonts w:eastAsia="標楷體"/>
                <w:sz w:val="26"/>
                <w:szCs w:val="26"/>
              </w:rPr>
            </w:pPr>
            <w:r>
              <w:rPr>
                <w:rFonts w:eastAsia="標楷體"/>
                <w:sz w:val="26"/>
                <w:szCs w:val="26"/>
              </w:rPr>
              <w:t xml:space="preserve">3-1 □ </w:t>
            </w:r>
            <w:r>
              <w:rPr>
                <w:rFonts w:eastAsia="標楷體"/>
                <w:sz w:val="26"/>
                <w:szCs w:val="26"/>
              </w:rPr>
              <w:t>符合全身慢性中、重度之乾癬（檢附至少</w:t>
            </w:r>
            <w:r>
              <w:rPr>
                <w:rFonts w:eastAsia="標楷體"/>
                <w:sz w:val="26"/>
                <w:szCs w:val="26"/>
              </w:rPr>
              <w:t>6</w:t>
            </w:r>
            <w:r>
              <w:rPr>
                <w:rFonts w:eastAsia="標楷體"/>
                <w:sz w:val="26"/>
                <w:szCs w:val="26"/>
              </w:rPr>
              <w:t>個月病歷影本，治療已滿</w:t>
            </w:r>
            <w:r>
              <w:rPr>
                <w:rFonts w:eastAsia="標楷體"/>
                <w:sz w:val="26"/>
                <w:szCs w:val="26"/>
              </w:rPr>
              <w:t>3</w:t>
            </w:r>
            <w:r>
              <w:rPr>
                <w:rFonts w:eastAsia="標楷體"/>
                <w:sz w:val="26"/>
                <w:szCs w:val="26"/>
              </w:rPr>
              <w:t>個月，未滿</w:t>
            </w:r>
            <w:r>
              <w:rPr>
                <w:rFonts w:eastAsia="標楷體"/>
                <w:sz w:val="26"/>
                <w:szCs w:val="26"/>
              </w:rPr>
              <w:t>6</w:t>
            </w:r>
            <w:r>
              <w:rPr>
                <w:rFonts w:eastAsia="標楷體"/>
                <w:sz w:val="26"/>
                <w:szCs w:val="26"/>
              </w:rPr>
              <w:t>個月，得合併它院就診病歷）。</w:t>
            </w:r>
          </w:p>
          <w:p w14:paraId="3E65E167" w14:textId="77777777" w:rsidR="00BD776B" w:rsidRDefault="00DF0C24">
            <w:pPr>
              <w:spacing w:line="276" w:lineRule="auto"/>
              <w:ind w:left="1167" w:hanging="850"/>
              <w:rPr>
                <w:rFonts w:eastAsia="標楷體"/>
                <w:sz w:val="26"/>
                <w:szCs w:val="26"/>
              </w:rPr>
            </w:pPr>
            <w:r>
              <w:rPr>
                <w:rFonts w:eastAsia="標楷體"/>
                <w:sz w:val="26"/>
                <w:szCs w:val="26"/>
              </w:rPr>
              <w:t xml:space="preserve">3-2 □ </w:t>
            </w:r>
            <w:r>
              <w:rPr>
                <w:rFonts w:eastAsia="標楷體"/>
                <w:sz w:val="26"/>
                <w:szCs w:val="26"/>
              </w:rPr>
              <w:t>符合頑固之掌蹠性乾癬者（檢附照片應包括前、後、左、右至少四張，並視需要加附頭部、掌、蹠照片）。</w:t>
            </w:r>
          </w:p>
          <w:p w14:paraId="65850AAD" w14:textId="77777777" w:rsidR="00BD776B" w:rsidRDefault="00DF0C24" w:rsidP="008A7063">
            <w:pPr>
              <w:numPr>
                <w:ilvl w:val="0"/>
                <w:numId w:val="94"/>
              </w:numPr>
              <w:spacing w:line="276" w:lineRule="auto"/>
              <w:ind w:left="601" w:hanging="284"/>
              <w:rPr>
                <w:rFonts w:eastAsia="標楷體"/>
                <w:sz w:val="26"/>
                <w:szCs w:val="26"/>
              </w:rPr>
            </w:pPr>
            <w:r>
              <w:rPr>
                <w:rFonts w:eastAsia="標楷體"/>
                <w:sz w:val="26"/>
                <w:szCs w:val="26"/>
              </w:rPr>
              <w:t xml:space="preserve">□ </w:t>
            </w:r>
            <w:r>
              <w:rPr>
                <w:rFonts w:eastAsia="標楷體"/>
                <w:sz w:val="26"/>
                <w:szCs w:val="26"/>
              </w:rPr>
              <w:t>乾癬面積暨嚴重度指數〔</w:t>
            </w:r>
            <w:r>
              <w:rPr>
                <w:rFonts w:eastAsia="標楷體"/>
                <w:sz w:val="26"/>
                <w:szCs w:val="26"/>
              </w:rPr>
              <w:t>Psoriasis Area Severity Index</w:t>
            </w:r>
            <w:r>
              <w:rPr>
                <w:rFonts w:eastAsia="標楷體"/>
                <w:sz w:val="26"/>
                <w:szCs w:val="26"/>
              </w:rPr>
              <w:t>（</w:t>
            </w:r>
            <w:r>
              <w:rPr>
                <w:rFonts w:eastAsia="標楷體"/>
                <w:sz w:val="26"/>
                <w:szCs w:val="26"/>
              </w:rPr>
              <w:t>PASI</w:t>
            </w:r>
            <w:r>
              <w:rPr>
                <w:rFonts w:eastAsia="標楷體"/>
                <w:sz w:val="26"/>
                <w:szCs w:val="26"/>
              </w:rPr>
              <w:t>）〕</w:t>
            </w:r>
            <w:r>
              <w:rPr>
                <w:rFonts w:eastAsia="標楷體"/>
                <w:sz w:val="26"/>
                <w:szCs w:val="26"/>
              </w:rPr>
              <w:t>≧10 (</w:t>
            </w:r>
            <w:r>
              <w:rPr>
                <w:rFonts w:eastAsia="標楷體"/>
                <w:sz w:val="26"/>
                <w:szCs w:val="26"/>
              </w:rPr>
              <w:t>不適</w:t>
            </w:r>
          </w:p>
          <w:p w14:paraId="3BF77C05" w14:textId="77777777" w:rsidR="00BD776B" w:rsidRDefault="00DF0C24">
            <w:pPr>
              <w:spacing w:line="276" w:lineRule="auto"/>
              <w:ind w:left="1017" w:hanging="52"/>
              <w:rPr>
                <w:rFonts w:eastAsia="標楷體"/>
                <w:sz w:val="26"/>
                <w:szCs w:val="26"/>
              </w:rPr>
            </w:pPr>
            <w:r>
              <w:rPr>
                <w:rFonts w:eastAsia="標楷體"/>
                <w:sz w:val="26"/>
                <w:szCs w:val="26"/>
              </w:rPr>
              <w:t>用</w:t>
            </w:r>
            <w:r>
              <w:rPr>
                <w:rFonts w:eastAsia="標楷體"/>
                <w:sz w:val="26"/>
                <w:szCs w:val="26"/>
              </w:rPr>
              <w:t>PASI</w:t>
            </w:r>
            <w:r>
              <w:rPr>
                <w:rFonts w:eastAsia="標楷體"/>
                <w:sz w:val="26"/>
                <w:szCs w:val="26"/>
              </w:rPr>
              <w:t>測定如膿疱性乾癬，則以範圍</w:t>
            </w:r>
            <w:r>
              <w:rPr>
                <w:rFonts w:eastAsia="標楷體"/>
                <w:sz w:val="26"/>
                <w:szCs w:val="26"/>
              </w:rPr>
              <w:t xml:space="preserve"> ≧10%</w:t>
            </w:r>
            <w:r>
              <w:rPr>
                <w:rFonts w:eastAsia="標楷體"/>
                <w:sz w:val="26"/>
                <w:szCs w:val="26"/>
              </w:rPr>
              <w:t>體表面積</w:t>
            </w:r>
            <w:r>
              <w:rPr>
                <w:rFonts w:eastAsia="標楷體"/>
                <w:sz w:val="26"/>
                <w:szCs w:val="26"/>
              </w:rPr>
              <w:t>)</w:t>
            </w:r>
            <w:r>
              <w:rPr>
                <w:rFonts w:eastAsia="標楷體"/>
                <w:sz w:val="26"/>
                <w:szCs w:val="26"/>
              </w:rPr>
              <w:t>。</w:t>
            </w:r>
          </w:p>
          <w:p w14:paraId="205D983F" w14:textId="77777777" w:rsidR="00BD776B" w:rsidRDefault="00DF0C24">
            <w:pPr>
              <w:spacing w:line="276" w:lineRule="auto"/>
              <w:ind w:left="905"/>
            </w:pPr>
            <w:r>
              <w:rPr>
                <w:rFonts w:ascii="Arial" w:eastAsia="標楷體" w:hAnsi="Arial"/>
              </w:rPr>
              <w:t xml:space="preserve">  </w:t>
            </w:r>
            <w:r>
              <w:rPr>
                <w:rFonts w:eastAsia="標楷體"/>
                <w:sz w:val="26"/>
                <w:szCs w:val="26"/>
              </w:rPr>
              <w:t>PASI</w:t>
            </w:r>
            <w:r>
              <w:rPr>
                <w:rFonts w:ascii="Arial" w:eastAsia="標楷體" w:hAnsi="Arial"/>
              </w:rPr>
              <w:t>＝</w:t>
            </w:r>
            <w:r>
              <w:rPr>
                <w:rFonts w:ascii="Arial" w:eastAsia="標楷體" w:hAnsi="Arial"/>
              </w:rPr>
              <w:t>0.1 x</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x___</w:t>
            </w:r>
            <w:r>
              <w:rPr>
                <w:rFonts w:ascii="Arial" w:eastAsia="標楷體" w:hAnsi="Arial"/>
              </w:rPr>
              <w:t>＋</w:t>
            </w:r>
            <w:r>
              <w:rPr>
                <w:rFonts w:ascii="Arial" w:eastAsia="標楷體" w:hAnsi="Arial"/>
              </w:rPr>
              <w:t>0.3 x</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x___</w:t>
            </w:r>
            <w:r>
              <w:rPr>
                <w:rFonts w:ascii="Arial" w:eastAsia="標楷體" w:hAnsi="Arial"/>
              </w:rPr>
              <w:t>＋</w:t>
            </w:r>
          </w:p>
          <w:p w14:paraId="41A666DA" w14:textId="77777777" w:rsidR="00BD776B" w:rsidRDefault="00DF0C24">
            <w:pPr>
              <w:spacing w:line="276" w:lineRule="auto"/>
              <w:ind w:left="1910" w:hanging="12"/>
              <w:rPr>
                <w:rFonts w:ascii="Arial" w:eastAsia="標楷體" w:hAnsi="Arial"/>
              </w:rPr>
            </w:pPr>
            <w:r>
              <w:rPr>
                <w:rFonts w:ascii="Arial" w:eastAsia="標楷體" w:hAnsi="Arial"/>
              </w:rPr>
              <w:t>0.2 x</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x___</w:t>
            </w:r>
            <w:r>
              <w:rPr>
                <w:rFonts w:ascii="Arial" w:eastAsia="標楷體" w:hAnsi="Arial"/>
              </w:rPr>
              <w:t>＋</w:t>
            </w:r>
            <w:r>
              <w:rPr>
                <w:rFonts w:ascii="Arial" w:eastAsia="標楷體" w:hAnsi="Arial"/>
              </w:rPr>
              <w:t>0.4 x</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x___</w:t>
            </w:r>
          </w:p>
          <w:p w14:paraId="27C49B5A" w14:textId="77777777" w:rsidR="00BD776B" w:rsidRDefault="00DF0C24">
            <w:pPr>
              <w:tabs>
                <w:tab w:val="left" w:pos="1504"/>
              </w:tabs>
              <w:spacing w:line="276" w:lineRule="auto"/>
              <w:ind w:left="1644"/>
            </w:pPr>
            <w:r>
              <w:rPr>
                <w:rFonts w:ascii="Arial" w:eastAsia="標楷體" w:hAnsi="Arial"/>
              </w:rPr>
              <w:t>＝</w:t>
            </w:r>
            <w:r>
              <w:rPr>
                <w:rFonts w:ascii="Arial" w:eastAsia="標楷體" w:hAnsi="Arial"/>
              </w:rPr>
              <w:t xml:space="preserve">           </w:t>
            </w:r>
          </w:p>
          <w:p w14:paraId="3C88A396" w14:textId="77777777" w:rsidR="00BD776B" w:rsidRDefault="00DF0C24">
            <w:pPr>
              <w:spacing w:line="276" w:lineRule="auto"/>
              <w:ind w:left="372" w:hanging="372"/>
            </w:pPr>
            <w:r>
              <w:rPr>
                <w:rFonts w:eastAsia="標楷體"/>
                <w:sz w:val="26"/>
                <w:szCs w:val="26"/>
              </w:rPr>
              <w:t xml:space="preserve"> </w:t>
            </w:r>
            <w:r>
              <w:rPr>
                <w:rFonts w:eastAsia="標楷體"/>
                <w:b/>
                <w:sz w:val="26"/>
                <w:szCs w:val="26"/>
              </w:rPr>
              <w:t>暫緩續用後疾病再復發之重新申請：</w:t>
            </w:r>
          </w:p>
          <w:p w14:paraId="60F88DCD" w14:textId="77777777" w:rsidR="00BD776B" w:rsidRDefault="00DF0C24">
            <w:pPr>
              <w:tabs>
                <w:tab w:val="left" w:pos="1386"/>
                <w:tab w:val="left" w:pos="1788"/>
              </w:tabs>
              <w:spacing w:line="276" w:lineRule="auto"/>
              <w:ind w:left="905" w:hanging="250"/>
            </w:pPr>
            <w:r>
              <w:rPr>
                <w:rFonts w:eastAsia="標楷體"/>
                <w:sz w:val="26"/>
                <w:szCs w:val="26"/>
              </w:rPr>
              <w:t xml:space="preserve">□ </w:t>
            </w:r>
            <w:r>
              <w:rPr>
                <w:rFonts w:eastAsia="標楷體"/>
                <w:sz w:val="26"/>
                <w:szCs w:val="26"/>
              </w:rPr>
              <w:t>符合至少有</w:t>
            </w:r>
            <w:r>
              <w:rPr>
                <w:rFonts w:eastAsia="標楷體"/>
                <w:sz w:val="26"/>
                <w:szCs w:val="26"/>
              </w:rPr>
              <w:t>50%</w:t>
            </w:r>
            <w:r>
              <w:rPr>
                <w:rFonts w:eastAsia="標楷體"/>
                <w:sz w:val="26"/>
                <w:szCs w:val="26"/>
              </w:rPr>
              <w:t>復發（需附上次療程治療前、後，及本次照片</w:t>
            </w:r>
            <w:r>
              <w:rPr>
                <w:rFonts w:eastAsia="標楷體"/>
                <w:b/>
                <w:sz w:val="26"/>
                <w:szCs w:val="26"/>
              </w:rPr>
              <w:t>）</w:t>
            </w:r>
            <w:r>
              <w:rPr>
                <w:rFonts w:eastAsia="標楷體"/>
                <w:sz w:val="26"/>
                <w:szCs w:val="26"/>
              </w:rPr>
              <w:t>。</w:t>
            </w:r>
          </w:p>
          <w:p w14:paraId="3A64E949" w14:textId="77777777" w:rsidR="00BD776B" w:rsidRDefault="00DF0C24">
            <w:pPr>
              <w:tabs>
                <w:tab w:val="left" w:pos="1386"/>
                <w:tab w:val="left" w:pos="1788"/>
              </w:tabs>
              <w:spacing w:line="276" w:lineRule="auto"/>
              <w:ind w:left="905" w:hanging="250"/>
            </w:pPr>
            <w:r>
              <w:rPr>
                <w:rFonts w:eastAsia="標楷體"/>
                <w:sz w:val="26"/>
                <w:szCs w:val="26"/>
              </w:rPr>
              <w:t xml:space="preserve">□ </w:t>
            </w:r>
            <w:r>
              <w:rPr>
                <w:rFonts w:eastAsia="標楷體"/>
                <w:sz w:val="26"/>
                <w:szCs w:val="26"/>
              </w:rPr>
              <w:t>符合連續兩次暫緩用藥後復發病史者（停藥後</w:t>
            </w:r>
            <w:r>
              <w:rPr>
                <w:rFonts w:eastAsia="標楷體"/>
                <w:sz w:val="26"/>
                <w:szCs w:val="26"/>
              </w:rPr>
              <w:t>6</w:t>
            </w:r>
            <w:r>
              <w:rPr>
                <w:rFonts w:eastAsia="標楷體"/>
                <w:sz w:val="26"/>
                <w:szCs w:val="26"/>
              </w:rPr>
              <w:t>個月內</w:t>
            </w:r>
            <w:r>
              <w:rPr>
                <w:rFonts w:eastAsia="標楷體"/>
                <w:sz w:val="26"/>
                <w:szCs w:val="26"/>
              </w:rPr>
              <w:t>PASI&gt;10</w:t>
            </w:r>
            <w:r>
              <w:rPr>
                <w:rFonts w:eastAsia="標楷體"/>
                <w:sz w:val="26"/>
                <w:szCs w:val="26"/>
              </w:rPr>
              <w:t>或</w:t>
            </w:r>
            <w:r>
              <w:rPr>
                <w:rFonts w:eastAsia="標楷體"/>
                <w:sz w:val="26"/>
                <w:szCs w:val="26"/>
              </w:rPr>
              <w:t>50%</w:t>
            </w:r>
            <w:r>
              <w:rPr>
                <w:rFonts w:eastAsia="標楷體"/>
                <w:sz w:val="26"/>
                <w:szCs w:val="26"/>
              </w:rPr>
              <w:t>復發）</w:t>
            </w:r>
          </w:p>
        </w:tc>
      </w:tr>
      <w:tr w:rsidR="00BD776B" w14:paraId="497F9B78" w14:textId="77777777">
        <w:trPr>
          <w:trHeight w:val="11452"/>
        </w:trPr>
        <w:tc>
          <w:tcPr>
            <w:tcW w:w="9535" w:type="dxa"/>
            <w:gridSpan w:val="5"/>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27C7B2F4" w14:textId="77777777" w:rsidR="00BD776B" w:rsidRDefault="00DF0C24">
            <w:pPr>
              <w:spacing w:before="180" w:line="276" w:lineRule="auto"/>
            </w:pPr>
            <w:r>
              <w:rPr>
                <w:rFonts w:eastAsia="標楷體"/>
                <w:sz w:val="26"/>
                <w:szCs w:val="26"/>
              </w:rPr>
              <w:lastRenderedPageBreak/>
              <w:t xml:space="preserve">□ </w:t>
            </w:r>
            <w:r>
              <w:rPr>
                <w:rFonts w:eastAsia="標楷體"/>
                <w:b/>
                <w:sz w:val="26"/>
                <w:szCs w:val="26"/>
              </w:rPr>
              <w:t>符合繼續使用之療效評估：</w:t>
            </w:r>
          </w:p>
          <w:p w14:paraId="33290545" w14:textId="77777777" w:rsidR="00BD776B" w:rsidRDefault="00DF0C24">
            <w:pPr>
              <w:ind w:left="317"/>
              <w:rPr>
                <w:rFonts w:eastAsia="標楷體"/>
                <w:b/>
                <w:sz w:val="26"/>
                <w:szCs w:val="26"/>
              </w:rPr>
            </w:pPr>
            <w:r>
              <w:rPr>
                <w:rFonts w:eastAsia="標楷體"/>
                <w:b/>
                <w:sz w:val="26"/>
                <w:szCs w:val="26"/>
              </w:rPr>
              <w:t>初次療程</w:t>
            </w:r>
          </w:p>
          <w:p w14:paraId="47BBFE9C" w14:textId="77777777" w:rsidR="00BD776B" w:rsidRDefault="00DF0C24" w:rsidP="008A7063">
            <w:pPr>
              <w:numPr>
                <w:ilvl w:val="1"/>
                <w:numId w:val="95"/>
              </w:numPr>
              <w:spacing w:line="400" w:lineRule="exact"/>
              <w:ind w:left="601" w:hanging="317"/>
              <w:rPr>
                <w:rFonts w:eastAsia="標楷體"/>
                <w:sz w:val="26"/>
                <w:szCs w:val="26"/>
              </w:rPr>
            </w:pPr>
            <w:r>
              <w:rPr>
                <w:rFonts w:eastAsia="標楷體"/>
                <w:sz w:val="26"/>
                <w:szCs w:val="26"/>
              </w:rPr>
              <w:t xml:space="preserve">□ </w:t>
            </w:r>
            <w:r>
              <w:rPr>
                <w:rFonts w:eastAsia="標楷體"/>
                <w:sz w:val="26"/>
                <w:szCs w:val="26"/>
              </w:rPr>
              <w:t>於初次療程之第</w:t>
            </w:r>
            <w:r>
              <w:rPr>
                <w:rFonts w:eastAsia="標楷體"/>
                <w:sz w:val="26"/>
                <w:szCs w:val="26"/>
              </w:rPr>
              <w:t>12</w:t>
            </w:r>
            <w:r>
              <w:rPr>
                <w:rFonts w:eastAsia="標楷體"/>
                <w:sz w:val="26"/>
                <w:szCs w:val="26"/>
              </w:rPr>
              <w:t>週（使用</w:t>
            </w:r>
            <w:r>
              <w:rPr>
                <w:rFonts w:eastAsia="標楷體"/>
                <w:sz w:val="26"/>
                <w:szCs w:val="26"/>
              </w:rPr>
              <w:t>ustekinumab</w:t>
            </w:r>
            <w:r>
              <w:rPr>
                <w:rFonts w:eastAsia="標楷體"/>
                <w:sz w:val="26"/>
                <w:szCs w:val="26"/>
              </w:rPr>
              <w:t>者為第</w:t>
            </w:r>
            <w:r>
              <w:rPr>
                <w:rFonts w:eastAsia="標楷體"/>
                <w:sz w:val="26"/>
                <w:szCs w:val="26"/>
              </w:rPr>
              <w:t>16</w:t>
            </w:r>
            <w:r>
              <w:rPr>
                <w:rFonts w:eastAsia="標楷體"/>
                <w:sz w:val="26"/>
                <w:szCs w:val="26"/>
              </w:rPr>
              <w:t>週）評估時，至少有</w:t>
            </w:r>
            <w:r>
              <w:rPr>
                <w:rFonts w:eastAsia="標楷體"/>
                <w:sz w:val="26"/>
                <w:szCs w:val="26"/>
              </w:rPr>
              <w:t>PASI 25</w:t>
            </w:r>
            <w:r>
              <w:rPr>
                <w:rFonts w:eastAsia="標楷體"/>
                <w:sz w:val="26"/>
                <w:szCs w:val="26"/>
              </w:rPr>
              <w:t>療效。</w:t>
            </w:r>
            <w:r>
              <w:rPr>
                <w:rFonts w:eastAsia="標楷體"/>
                <w:sz w:val="26"/>
                <w:szCs w:val="26"/>
              </w:rPr>
              <w:t>risankizumab</w:t>
            </w:r>
            <w:r>
              <w:rPr>
                <w:rFonts w:eastAsia="標楷體"/>
                <w:sz w:val="26"/>
                <w:szCs w:val="26"/>
              </w:rPr>
              <w:t>於</w:t>
            </w:r>
            <w:r>
              <w:rPr>
                <w:rFonts w:eastAsia="標楷體"/>
                <w:sz w:val="26"/>
                <w:szCs w:val="26"/>
              </w:rPr>
              <w:t>16</w:t>
            </w:r>
            <w:r>
              <w:rPr>
                <w:rFonts w:eastAsia="標楷體"/>
                <w:sz w:val="26"/>
                <w:szCs w:val="26"/>
              </w:rPr>
              <w:t>週時，須先行評估至少有</w:t>
            </w:r>
            <w:r>
              <w:rPr>
                <w:rFonts w:eastAsia="標楷體"/>
                <w:sz w:val="26"/>
                <w:szCs w:val="26"/>
              </w:rPr>
              <w:t>PASI 75</w:t>
            </w:r>
            <w:r>
              <w:rPr>
                <w:rFonts w:eastAsia="標楷體"/>
                <w:sz w:val="26"/>
                <w:szCs w:val="26"/>
              </w:rPr>
              <w:t>療效。</w:t>
            </w:r>
          </w:p>
          <w:p w14:paraId="122378A6" w14:textId="77777777" w:rsidR="00BD776B" w:rsidRDefault="00DF0C24" w:rsidP="008A7063">
            <w:pPr>
              <w:numPr>
                <w:ilvl w:val="1"/>
                <w:numId w:val="95"/>
              </w:numPr>
              <w:spacing w:line="400" w:lineRule="exact"/>
              <w:ind w:left="601" w:hanging="317"/>
              <w:rPr>
                <w:rFonts w:eastAsia="標楷體"/>
                <w:sz w:val="26"/>
                <w:szCs w:val="26"/>
              </w:rPr>
            </w:pPr>
            <w:r>
              <w:rPr>
                <w:rFonts w:eastAsia="標楷體"/>
                <w:sz w:val="26"/>
                <w:szCs w:val="26"/>
              </w:rPr>
              <w:t xml:space="preserve">□ </w:t>
            </w:r>
            <w:r>
              <w:rPr>
                <w:rFonts w:eastAsia="標楷體"/>
                <w:sz w:val="26"/>
                <w:szCs w:val="26"/>
              </w:rPr>
              <w:t>於初次療程，經過</w:t>
            </w:r>
            <w:r>
              <w:rPr>
                <w:rFonts w:eastAsia="標楷體"/>
                <w:sz w:val="26"/>
                <w:szCs w:val="26"/>
              </w:rPr>
              <w:t>6</w:t>
            </w:r>
            <w:r>
              <w:rPr>
                <w:rFonts w:eastAsia="標楷體"/>
                <w:sz w:val="26"/>
                <w:szCs w:val="26"/>
              </w:rPr>
              <w:t>個月治療後，</w:t>
            </w:r>
            <w:r>
              <w:rPr>
                <w:rFonts w:eastAsia="標楷體"/>
                <w:sz w:val="26"/>
                <w:szCs w:val="26"/>
              </w:rPr>
              <w:t>PASI</w:t>
            </w:r>
            <w:r>
              <w:rPr>
                <w:rFonts w:eastAsia="標楷體"/>
                <w:sz w:val="26"/>
                <w:szCs w:val="26"/>
              </w:rPr>
              <w:t>或體表面積改善達</w:t>
            </w:r>
            <w:r>
              <w:rPr>
                <w:rFonts w:eastAsia="標楷體"/>
                <w:sz w:val="26"/>
                <w:szCs w:val="26"/>
              </w:rPr>
              <w:t>50%</w:t>
            </w:r>
            <w:r>
              <w:rPr>
                <w:rFonts w:eastAsia="標楷體"/>
                <w:sz w:val="26"/>
                <w:szCs w:val="26"/>
              </w:rPr>
              <w:t>。</w:t>
            </w:r>
          </w:p>
          <w:p w14:paraId="75D820D7" w14:textId="77777777" w:rsidR="00BD776B" w:rsidRDefault="00DF0C24" w:rsidP="008A7063">
            <w:pPr>
              <w:numPr>
                <w:ilvl w:val="1"/>
                <w:numId w:val="95"/>
              </w:numPr>
              <w:spacing w:line="400" w:lineRule="exact"/>
              <w:ind w:left="601" w:hanging="317"/>
              <w:rPr>
                <w:rFonts w:eastAsia="標楷體"/>
                <w:sz w:val="26"/>
                <w:szCs w:val="26"/>
              </w:rPr>
            </w:pPr>
            <w:r>
              <w:rPr>
                <w:rFonts w:eastAsia="標楷體"/>
                <w:sz w:val="26"/>
                <w:szCs w:val="26"/>
              </w:rPr>
              <w:t xml:space="preserve">□ </w:t>
            </w:r>
            <w:r>
              <w:rPr>
                <w:rFonts w:eastAsia="標楷體"/>
                <w:sz w:val="26"/>
                <w:szCs w:val="26"/>
              </w:rPr>
              <w:t>原先使用</w:t>
            </w:r>
            <w:r>
              <w:rPr>
                <w:rFonts w:eastAsia="標楷體"/>
                <w:sz w:val="26"/>
                <w:szCs w:val="26"/>
              </w:rPr>
              <w:t>cyclosporin</w:t>
            </w:r>
            <w:r>
              <w:rPr>
                <w:rFonts w:eastAsia="標楷體"/>
                <w:sz w:val="26"/>
                <w:szCs w:val="26"/>
              </w:rPr>
              <w:t>控制有效且腎功能異常（</w:t>
            </w:r>
            <w:r>
              <w:rPr>
                <w:rFonts w:eastAsia="標楷體"/>
                <w:sz w:val="26"/>
                <w:szCs w:val="26"/>
              </w:rPr>
              <w:t>Creatinine</w:t>
            </w:r>
            <w:r>
              <w:rPr>
                <w:rFonts w:eastAsia="標楷體"/>
                <w:sz w:val="26"/>
                <w:szCs w:val="26"/>
              </w:rPr>
              <w:t>基礎值上升</w:t>
            </w:r>
            <w:r>
              <w:rPr>
                <w:rFonts w:eastAsia="標楷體"/>
                <w:sz w:val="26"/>
                <w:szCs w:val="26"/>
              </w:rPr>
              <w:t>≧30%</w:t>
            </w:r>
            <w:r>
              <w:rPr>
                <w:rFonts w:eastAsia="標楷體"/>
                <w:sz w:val="26"/>
                <w:szCs w:val="26"/>
              </w:rPr>
              <w:t>）者，於</w:t>
            </w:r>
            <w:r>
              <w:rPr>
                <w:rFonts w:eastAsia="標楷體"/>
                <w:sz w:val="26"/>
                <w:szCs w:val="26"/>
              </w:rPr>
              <w:t>6</w:t>
            </w:r>
            <w:r>
              <w:rPr>
                <w:rFonts w:eastAsia="標楷體"/>
                <w:sz w:val="26"/>
                <w:szCs w:val="26"/>
              </w:rPr>
              <w:t>個月療程（初次療程）結束後，因回復使用</w:t>
            </w:r>
            <w:r>
              <w:rPr>
                <w:rFonts w:eastAsia="標楷體"/>
                <w:sz w:val="26"/>
                <w:szCs w:val="26"/>
              </w:rPr>
              <w:t>cyclosporin</w:t>
            </w:r>
            <w:r>
              <w:rPr>
                <w:rFonts w:eastAsia="標楷體"/>
                <w:sz w:val="26"/>
                <w:szCs w:val="26"/>
              </w:rPr>
              <w:t>產生腎功能異常，或其他無法有效控制之副作用，經減藥後仍無法有效控制乾癬。（不符合者下次申請應於</w:t>
            </w:r>
            <w:r>
              <w:rPr>
                <w:rFonts w:eastAsia="標楷體"/>
                <w:sz w:val="26"/>
                <w:szCs w:val="26"/>
              </w:rPr>
              <w:t>1</w:t>
            </w:r>
            <w:r>
              <w:rPr>
                <w:rFonts w:eastAsia="標楷體"/>
                <w:sz w:val="26"/>
                <w:szCs w:val="26"/>
              </w:rPr>
              <w:t>年後）</w:t>
            </w:r>
          </w:p>
          <w:p w14:paraId="7F70BC35" w14:textId="77777777" w:rsidR="00BD776B" w:rsidRDefault="00DF0C24" w:rsidP="008A7063">
            <w:pPr>
              <w:numPr>
                <w:ilvl w:val="1"/>
                <w:numId w:val="95"/>
              </w:numPr>
              <w:spacing w:line="400" w:lineRule="exact"/>
              <w:ind w:left="601" w:hanging="317"/>
            </w:pPr>
            <w:r>
              <w:rPr>
                <w:rFonts w:eastAsia="標楷體"/>
                <w:sz w:val="26"/>
                <w:szCs w:val="26"/>
              </w:rPr>
              <w:t xml:space="preserve">□ </w:t>
            </w:r>
            <w:r>
              <w:rPr>
                <w:rFonts w:eastAsia="標楷體"/>
                <w:sz w:val="26"/>
                <w:szCs w:val="26"/>
              </w:rPr>
              <w:t>符合連續兩次暫緩用藥後復發病史者。</w:t>
            </w:r>
          </w:p>
          <w:p w14:paraId="22F130DF" w14:textId="77777777" w:rsidR="00BD776B" w:rsidRDefault="00DF0C24">
            <w:pPr>
              <w:spacing w:line="400" w:lineRule="exact"/>
              <w:ind w:left="317"/>
              <w:rPr>
                <w:rFonts w:eastAsia="標楷體"/>
                <w:b/>
                <w:sz w:val="26"/>
                <w:szCs w:val="26"/>
              </w:rPr>
            </w:pPr>
            <w:r>
              <w:rPr>
                <w:rFonts w:eastAsia="標楷體"/>
                <w:b/>
                <w:sz w:val="26"/>
                <w:szCs w:val="26"/>
              </w:rPr>
              <w:t>重複療程</w:t>
            </w:r>
          </w:p>
          <w:p w14:paraId="19EC98FB" w14:textId="77777777" w:rsidR="00BD776B" w:rsidRDefault="00DF0C24" w:rsidP="008A7063">
            <w:pPr>
              <w:numPr>
                <w:ilvl w:val="1"/>
                <w:numId w:val="95"/>
              </w:numPr>
              <w:spacing w:line="400" w:lineRule="exact"/>
              <w:ind w:left="601" w:hanging="317"/>
              <w:rPr>
                <w:rFonts w:eastAsia="標楷體"/>
                <w:sz w:val="26"/>
                <w:szCs w:val="26"/>
              </w:rPr>
            </w:pPr>
            <w:r>
              <w:rPr>
                <w:rFonts w:eastAsia="標楷體"/>
                <w:sz w:val="26"/>
                <w:szCs w:val="26"/>
              </w:rPr>
              <w:t xml:space="preserve"> □ </w:t>
            </w:r>
            <w:r>
              <w:rPr>
                <w:rFonts w:eastAsia="標楷體"/>
                <w:sz w:val="26"/>
                <w:szCs w:val="26"/>
              </w:rPr>
              <w:t>再次申請時，符合下列條件之一：</w:t>
            </w:r>
          </w:p>
          <w:p w14:paraId="24B590FA" w14:textId="77777777" w:rsidR="00BD776B" w:rsidRDefault="00DF0C24" w:rsidP="008A7063">
            <w:pPr>
              <w:numPr>
                <w:ilvl w:val="2"/>
                <w:numId w:val="95"/>
              </w:numPr>
              <w:spacing w:line="400" w:lineRule="exact"/>
              <w:ind w:left="1086" w:hanging="360"/>
              <w:rPr>
                <w:rFonts w:eastAsia="標楷體"/>
                <w:sz w:val="26"/>
                <w:szCs w:val="26"/>
              </w:rPr>
            </w:pPr>
            <w:r>
              <w:rPr>
                <w:rFonts w:eastAsia="標楷體"/>
                <w:sz w:val="26"/>
                <w:szCs w:val="26"/>
              </w:rPr>
              <w:t xml:space="preserve">□ </w:t>
            </w:r>
            <w:r>
              <w:rPr>
                <w:rFonts w:eastAsia="標楷體"/>
                <w:sz w:val="26"/>
                <w:szCs w:val="26"/>
              </w:rPr>
              <w:t>與初次治療前之療效達</w:t>
            </w:r>
            <w:r>
              <w:rPr>
                <w:rFonts w:eastAsia="標楷體"/>
                <w:sz w:val="26"/>
                <w:szCs w:val="26"/>
              </w:rPr>
              <w:t>PASI 50</w:t>
            </w:r>
            <w:r>
              <w:rPr>
                <w:rFonts w:eastAsia="標楷體"/>
                <w:sz w:val="26"/>
                <w:szCs w:val="26"/>
              </w:rPr>
              <w:t>；</w:t>
            </w:r>
            <w:r>
              <w:rPr>
                <w:rFonts w:eastAsia="標楷體"/>
                <w:sz w:val="26"/>
                <w:szCs w:val="26"/>
              </w:rPr>
              <w:t>risankizumab</w:t>
            </w:r>
            <w:r>
              <w:rPr>
                <w:rFonts w:eastAsia="標楷體"/>
                <w:sz w:val="26"/>
                <w:szCs w:val="26"/>
              </w:rPr>
              <w:t>於</w:t>
            </w:r>
            <w:r>
              <w:rPr>
                <w:rFonts w:eastAsia="標楷體"/>
                <w:sz w:val="26"/>
                <w:szCs w:val="26"/>
              </w:rPr>
              <w:t>16</w:t>
            </w:r>
            <w:r>
              <w:rPr>
                <w:rFonts w:eastAsia="標楷體"/>
                <w:sz w:val="26"/>
                <w:szCs w:val="26"/>
              </w:rPr>
              <w:t>週時，須先行評估至少有</w:t>
            </w:r>
            <w:r>
              <w:rPr>
                <w:rFonts w:eastAsia="標楷體"/>
                <w:sz w:val="26"/>
                <w:szCs w:val="26"/>
              </w:rPr>
              <w:t>PASI 75</w:t>
            </w:r>
            <w:r>
              <w:rPr>
                <w:rFonts w:eastAsia="標楷體"/>
                <w:sz w:val="26"/>
                <w:szCs w:val="26"/>
              </w:rPr>
              <w:t>療效。</w:t>
            </w:r>
          </w:p>
          <w:p w14:paraId="64879EB6" w14:textId="77777777" w:rsidR="00BD776B" w:rsidRDefault="00DF0C24" w:rsidP="008A7063">
            <w:pPr>
              <w:numPr>
                <w:ilvl w:val="2"/>
                <w:numId w:val="95"/>
              </w:numPr>
              <w:spacing w:line="400" w:lineRule="exact"/>
              <w:ind w:left="1086" w:hanging="360"/>
              <w:rPr>
                <w:rFonts w:eastAsia="標楷體"/>
                <w:sz w:val="26"/>
                <w:szCs w:val="26"/>
              </w:rPr>
            </w:pPr>
            <w:r>
              <w:rPr>
                <w:rFonts w:eastAsia="標楷體"/>
                <w:sz w:val="26"/>
                <w:szCs w:val="26"/>
              </w:rPr>
              <w:t xml:space="preserve">□ </w:t>
            </w:r>
            <w:r>
              <w:rPr>
                <w:rFonts w:eastAsia="標楷體"/>
                <w:sz w:val="26"/>
                <w:szCs w:val="26"/>
              </w:rPr>
              <w:t>暫緩續用後至少有</w:t>
            </w:r>
            <w:r>
              <w:rPr>
                <w:rFonts w:eastAsia="標楷體"/>
                <w:sz w:val="26"/>
                <w:szCs w:val="26"/>
              </w:rPr>
              <w:t>50%</w:t>
            </w:r>
            <w:r>
              <w:rPr>
                <w:rFonts w:eastAsia="標楷體"/>
                <w:sz w:val="26"/>
                <w:szCs w:val="26"/>
              </w:rPr>
              <w:t>復發（需附上次療程治療前、後及本次照片）。</w:t>
            </w:r>
          </w:p>
          <w:p w14:paraId="41E0886E" w14:textId="77777777" w:rsidR="00BD776B" w:rsidRDefault="00DF0C24" w:rsidP="008A7063">
            <w:pPr>
              <w:numPr>
                <w:ilvl w:val="2"/>
                <w:numId w:val="95"/>
              </w:numPr>
              <w:spacing w:line="400" w:lineRule="exact"/>
              <w:ind w:left="1086" w:hanging="360"/>
            </w:pPr>
            <w:r>
              <w:rPr>
                <w:rFonts w:eastAsia="標楷體"/>
                <w:sz w:val="26"/>
                <w:szCs w:val="26"/>
              </w:rPr>
              <w:t xml:space="preserve">□ </w:t>
            </w:r>
            <w:r>
              <w:rPr>
                <w:rFonts w:eastAsia="標楷體"/>
                <w:sz w:val="26"/>
                <w:szCs w:val="26"/>
              </w:rPr>
              <w:t>符合連續兩次暫緩用藥後復發病史者。</w:t>
            </w:r>
          </w:p>
          <w:p w14:paraId="5DDEB568" w14:textId="77777777" w:rsidR="00BD776B" w:rsidRDefault="00DF0C24" w:rsidP="008A7063">
            <w:pPr>
              <w:numPr>
                <w:ilvl w:val="1"/>
                <w:numId w:val="95"/>
              </w:numPr>
              <w:spacing w:line="400" w:lineRule="exact"/>
              <w:ind w:left="601" w:hanging="317"/>
              <w:rPr>
                <w:rFonts w:eastAsia="標楷體"/>
                <w:sz w:val="26"/>
                <w:szCs w:val="26"/>
              </w:rPr>
            </w:pPr>
            <w:r>
              <w:rPr>
                <w:rFonts w:eastAsia="標楷體"/>
                <w:sz w:val="26"/>
                <w:szCs w:val="26"/>
              </w:rPr>
              <w:t xml:space="preserve"> □ </w:t>
            </w:r>
            <w:r>
              <w:rPr>
                <w:rFonts w:eastAsia="標楷體"/>
                <w:sz w:val="26"/>
                <w:szCs w:val="26"/>
              </w:rPr>
              <w:t>上次治療至今病歷影本</w:t>
            </w:r>
            <w:r>
              <w:rPr>
                <w:rFonts w:eastAsia="標楷體"/>
                <w:sz w:val="26"/>
                <w:szCs w:val="26"/>
              </w:rPr>
              <w:t>(</w:t>
            </w:r>
            <w:r>
              <w:rPr>
                <w:rFonts w:eastAsia="標楷體"/>
                <w:sz w:val="26"/>
                <w:szCs w:val="26"/>
              </w:rPr>
              <w:t>至多附</w:t>
            </w:r>
            <w:r>
              <w:rPr>
                <w:rFonts w:eastAsia="標楷體"/>
                <w:sz w:val="26"/>
                <w:szCs w:val="26"/>
              </w:rPr>
              <w:t>6</w:t>
            </w:r>
            <w:r>
              <w:rPr>
                <w:rFonts w:eastAsia="標楷體"/>
                <w:sz w:val="26"/>
                <w:szCs w:val="26"/>
              </w:rPr>
              <w:t>個月</w:t>
            </w:r>
            <w:r>
              <w:rPr>
                <w:rFonts w:eastAsia="標楷體"/>
                <w:sz w:val="26"/>
                <w:szCs w:val="26"/>
              </w:rPr>
              <w:t>)</w:t>
            </w:r>
            <w:r>
              <w:rPr>
                <w:rFonts w:eastAsia="標楷體"/>
                <w:sz w:val="26"/>
                <w:szCs w:val="26"/>
              </w:rPr>
              <w:t>，以及申請日期之臨床照片。</w:t>
            </w:r>
          </w:p>
          <w:p w14:paraId="43E241A1" w14:textId="77777777" w:rsidR="00BD776B" w:rsidRDefault="00DF0C24">
            <w:pPr>
              <w:spacing w:line="276" w:lineRule="auto"/>
              <w:ind w:left="960" w:firstLine="1"/>
              <w:rPr>
                <w:rFonts w:eastAsia="標楷體"/>
                <w:b/>
              </w:rPr>
            </w:pPr>
            <w:r>
              <w:rPr>
                <w:rFonts w:eastAsia="標楷體"/>
                <w:b/>
              </w:rPr>
              <w:t>上次申請之生物製劑使用時間及使用劑量：</w:t>
            </w:r>
          </w:p>
          <w:tbl>
            <w:tblPr>
              <w:tblW w:w="8394" w:type="dxa"/>
              <w:tblInd w:w="915" w:type="dxa"/>
              <w:tblCellMar>
                <w:left w:w="10" w:type="dxa"/>
                <w:right w:w="10" w:type="dxa"/>
              </w:tblCellMar>
              <w:tblLook w:val="0000" w:firstRow="0" w:lastRow="0" w:firstColumn="0" w:lastColumn="0" w:noHBand="0" w:noVBand="0"/>
            </w:tblPr>
            <w:tblGrid>
              <w:gridCol w:w="2075"/>
              <w:gridCol w:w="1776"/>
              <w:gridCol w:w="2127"/>
              <w:gridCol w:w="2416"/>
            </w:tblGrid>
            <w:tr w:rsidR="00BD776B" w14:paraId="6F370FF7"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C9813" w14:textId="77777777" w:rsidR="00BD776B" w:rsidRDefault="00DF0C24">
                  <w:pPr>
                    <w:spacing w:line="360" w:lineRule="auto"/>
                    <w:jc w:val="center"/>
                    <w:rPr>
                      <w:rFonts w:eastAsia="標楷體"/>
                    </w:rPr>
                  </w:pPr>
                  <w:r>
                    <w:rPr>
                      <w:rFonts w:eastAsia="標楷體"/>
                    </w:rPr>
                    <w:t>使用生物製劑</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301E5" w14:textId="77777777" w:rsidR="00BD776B" w:rsidRDefault="00DF0C24">
                  <w:pPr>
                    <w:spacing w:line="360" w:lineRule="auto"/>
                    <w:jc w:val="center"/>
                  </w:pPr>
                  <w:r>
                    <w:rPr>
                      <w:rFonts w:eastAsia="標楷體"/>
                    </w:rPr>
                    <w:t>使用劑量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84BC" w14:textId="77777777" w:rsidR="00BD776B" w:rsidRDefault="00DF0C24">
                  <w:pPr>
                    <w:spacing w:line="360" w:lineRule="auto"/>
                    <w:jc w:val="center"/>
                  </w:pPr>
                  <w:r>
                    <w:rPr>
                      <w:rFonts w:eastAsia="標楷體"/>
                    </w:rPr>
                    <w:t>使用時間</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F245" w14:textId="77777777" w:rsidR="00BD776B" w:rsidRDefault="00DF0C24">
                  <w:pPr>
                    <w:spacing w:line="360" w:lineRule="auto"/>
                    <w:jc w:val="center"/>
                  </w:pPr>
                  <w:r>
                    <w:rPr>
                      <w:rFonts w:eastAsia="標楷體"/>
                    </w:rPr>
                    <w:t>PASI</w:t>
                  </w:r>
                  <w:r>
                    <w:rPr>
                      <w:rFonts w:eastAsia="標楷體"/>
                    </w:rPr>
                    <w:t>治療前後數值</w:t>
                  </w:r>
                </w:p>
              </w:tc>
            </w:tr>
            <w:tr w:rsidR="00BD776B" w14:paraId="76C39259"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C5AD6" w14:textId="77777777" w:rsidR="00BD776B" w:rsidRDefault="00BD776B">
                  <w:pPr>
                    <w:spacing w:line="360" w:lineRule="auto"/>
                    <w:rPr>
                      <w:rFonts w:eastAsia="標楷體"/>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590FF" w14:textId="77777777" w:rsidR="00BD776B" w:rsidRDefault="00DF0C24">
                  <w:pPr>
                    <w:spacing w:line="360" w:lineRule="auto"/>
                    <w:rPr>
                      <w:rFonts w:eastAsia="標楷體"/>
                    </w:rPr>
                  </w:pPr>
                  <w:r>
                    <w:rPr>
                      <w:rFonts w:eastAsia="標楷體"/>
                    </w:rPr>
                    <w:t>___mg/___</w:t>
                  </w:r>
                  <w:r>
                    <w:rPr>
                      <w:rFonts w:eastAsia="標楷體"/>
                    </w:rPr>
                    <w:t>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4487" w14:textId="77777777" w:rsidR="00BD776B" w:rsidRDefault="00DF0C24">
                  <w:pPr>
                    <w:spacing w:line="360" w:lineRule="auto"/>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p>
                <w:p w14:paraId="6169CA3B" w14:textId="77777777" w:rsidR="00BD776B" w:rsidRDefault="00DF0C24">
                  <w:pPr>
                    <w:spacing w:line="360" w:lineRule="auto"/>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01572" w14:textId="77777777" w:rsidR="00BD776B" w:rsidRDefault="00BD776B">
                  <w:pPr>
                    <w:spacing w:line="360" w:lineRule="auto"/>
                    <w:rPr>
                      <w:rFonts w:eastAsia="標楷體"/>
                    </w:rPr>
                  </w:pPr>
                </w:p>
              </w:tc>
            </w:tr>
            <w:tr w:rsidR="00BD776B" w14:paraId="47F97570"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25BAA" w14:textId="77777777" w:rsidR="00BD776B" w:rsidRDefault="00BD776B">
                  <w:pPr>
                    <w:spacing w:line="360" w:lineRule="auto"/>
                    <w:rPr>
                      <w:rFonts w:eastAsia="標楷體"/>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361FF" w14:textId="77777777" w:rsidR="00BD776B" w:rsidRDefault="00DF0C24">
                  <w:pPr>
                    <w:spacing w:line="360" w:lineRule="auto"/>
                    <w:rPr>
                      <w:rFonts w:eastAsia="標楷體"/>
                    </w:rPr>
                  </w:pPr>
                  <w:r>
                    <w:rPr>
                      <w:rFonts w:eastAsia="標楷體"/>
                    </w:rPr>
                    <w:t>___mg/___</w:t>
                  </w:r>
                  <w:r>
                    <w:rPr>
                      <w:rFonts w:eastAsia="標楷體"/>
                    </w:rPr>
                    <w:t>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5A4A" w14:textId="77777777" w:rsidR="00BD776B" w:rsidRDefault="00DF0C24">
                  <w:pPr>
                    <w:spacing w:line="360" w:lineRule="auto"/>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p>
                <w:p w14:paraId="1BCB9D08" w14:textId="77777777" w:rsidR="00BD776B" w:rsidRDefault="00DF0C24">
                  <w:pPr>
                    <w:spacing w:line="360" w:lineRule="auto"/>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3EEB5" w14:textId="77777777" w:rsidR="00BD776B" w:rsidRDefault="00BD776B">
                  <w:pPr>
                    <w:spacing w:line="360" w:lineRule="auto"/>
                    <w:rPr>
                      <w:rFonts w:eastAsia="標楷體"/>
                    </w:rPr>
                  </w:pPr>
                </w:p>
              </w:tc>
            </w:tr>
            <w:tr w:rsidR="00BD776B" w14:paraId="408B3D0B"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B21E1" w14:textId="77777777" w:rsidR="00BD776B" w:rsidRDefault="00BD776B">
                  <w:pPr>
                    <w:spacing w:line="360" w:lineRule="auto"/>
                    <w:rPr>
                      <w:rFonts w:eastAsia="標楷體"/>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F868F" w14:textId="77777777" w:rsidR="00BD776B" w:rsidRDefault="00DF0C24">
                  <w:pPr>
                    <w:spacing w:line="360" w:lineRule="auto"/>
                    <w:rPr>
                      <w:rFonts w:eastAsia="標楷體"/>
                    </w:rPr>
                  </w:pPr>
                  <w:r>
                    <w:rPr>
                      <w:rFonts w:eastAsia="標楷體"/>
                    </w:rPr>
                    <w:t>___mg/___</w:t>
                  </w:r>
                  <w:r>
                    <w:rPr>
                      <w:rFonts w:eastAsia="標楷體"/>
                    </w:rPr>
                    <w:t>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A0347" w14:textId="77777777" w:rsidR="00BD776B" w:rsidRDefault="00DF0C24">
                  <w:pPr>
                    <w:spacing w:line="360" w:lineRule="auto"/>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p>
                <w:p w14:paraId="462C80C7" w14:textId="77777777" w:rsidR="00BD776B" w:rsidRDefault="00DF0C24">
                  <w:pPr>
                    <w:spacing w:line="360" w:lineRule="auto"/>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51ECC" w14:textId="77777777" w:rsidR="00BD776B" w:rsidRDefault="00BD776B">
                  <w:pPr>
                    <w:spacing w:line="360" w:lineRule="auto"/>
                    <w:rPr>
                      <w:rFonts w:eastAsia="標楷體"/>
                    </w:rPr>
                  </w:pPr>
                </w:p>
              </w:tc>
            </w:tr>
            <w:tr w:rsidR="00BD776B" w14:paraId="3FA50DE2" w14:textId="77777777">
              <w:trPr>
                <w:trHeight w:val="997"/>
              </w:trPr>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1AD08" w14:textId="77777777" w:rsidR="00BD776B" w:rsidRDefault="00BD776B">
                  <w:pPr>
                    <w:spacing w:line="360" w:lineRule="auto"/>
                    <w:rPr>
                      <w:rFonts w:eastAsia="標楷體"/>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7E42D" w14:textId="77777777" w:rsidR="00BD776B" w:rsidRDefault="00BD776B">
                  <w:pPr>
                    <w:spacing w:line="360" w:lineRule="auto"/>
                    <w:rPr>
                      <w:rFonts w:eastAsia="標楷體"/>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944C6" w14:textId="77777777" w:rsidR="00BD776B" w:rsidRDefault="00BD776B">
                  <w:pPr>
                    <w:spacing w:line="360" w:lineRule="auto"/>
                    <w:rPr>
                      <w:rFonts w:eastAsia="標楷體"/>
                    </w:rPr>
                  </w:pPr>
                </w:p>
                <w:p w14:paraId="26A04323" w14:textId="77777777" w:rsidR="00BD776B" w:rsidRDefault="00BD776B">
                  <w:pPr>
                    <w:spacing w:line="360" w:lineRule="auto"/>
                    <w:rPr>
                      <w:rFonts w:eastAsia="標楷體"/>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C5C12" w14:textId="77777777" w:rsidR="00BD776B" w:rsidRDefault="00BD776B">
                  <w:pPr>
                    <w:spacing w:line="360" w:lineRule="auto"/>
                    <w:rPr>
                      <w:rFonts w:eastAsia="標楷體"/>
                    </w:rPr>
                  </w:pPr>
                </w:p>
              </w:tc>
            </w:tr>
          </w:tbl>
          <w:p w14:paraId="3A126DF2" w14:textId="77777777" w:rsidR="00BD776B" w:rsidRDefault="00BD776B">
            <w:pPr>
              <w:ind w:left="338"/>
              <w:rPr>
                <w:rFonts w:eastAsia="標楷體"/>
              </w:rPr>
            </w:pPr>
          </w:p>
        </w:tc>
        <w:tc>
          <w:tcPr>
            <w:tcW w:w="27" w:type="dxa"/>
            <w:shd w:val="clear" w:color="auto" w:fill="auto"/>
            <w:tcMar>
              <w:top w:w="0" w:type="dxa"/>
              <w:left w:w="10" w:type="dxa"/>
              <w:bottom w:w="0" w:type="dxa"/>
              <w:right w:w="10" w:type="dxa"/>
            </w:tcMar>
          </w:tcPr>
          <w:p w14:paraId="7010A465" w14:textId="77777777" w:rsidR="00BD776B" w:rsidRDefault="00BD776B">
            <w:pPr>
              <w:ind w:left="338"/>
              <w:rPr>
                <w:rFonts w:eastAsia="標楷體"/>
              </w:rPr>
            </w:pPr>
          </w:p>
        </w:tc>
      </w:tr>
      <w:tr w:rsidR="00BD776B" w14:paraId="3E7975C0" w14:textId="77777777">
        <w:trPr>
          <w:cantSplit/>
          <w:trHeight w:val="281"/>
        </w:trPr>
        <w:tc>
          <w:tcPr>
            <w:tcW w:w="9535" w:type="dxa"/>
            <w:gridSpan w:val="5"/>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3F7C3046" w14:textId="77777777" w:rsidR="00BD776B" w:rsidRDefault="00DF0C24">
            <w:pPr>
              <w:ind w:left="120"/>
            </w:pPr>
            <w:r>
              <w:rPr>
                <w:rFonts w:ascii="Webdings" w:eastAsia="Webdings" w:hAnsi="Webdings" w:cs="Webdings"/>
                <w:sz w:val="28"/>
                <w:szCs w:val="28"/>
              </w:rPr>
              <w:t></w:t>
            </w:r>
            <w:r>
              <w:rPr>
                <w:rFonts w:eastAsia="標楷體"/>
                <w:b/>
                <w:sz w:val="28"/>
                <w:szCs w:val="28"/>
              </w:rPr>
              <w:t>無「需排</w:t>
            </w:r>
            <w:r>
              <w:rPr>
                <w:rFonts w:eastAsia="標楷體"/>
                <w:b/>
                <w:sz w:val="28"/>
              </w:rPr>
              <w:t>除或停止使用之情形」</w:t>
            </w:r>
          </w:p>
        </w:tc>
        <w:tc>
          <w:tcPr>
            <w:tcW w:w="27" w:type="dxa"/>
            <w:shd w:val="clear" w:color="auto" w:fill="auto"/>
            <w:tcMar>
              <w:top w:w="0" w:type="dxa"/>
              <w:left w:w="10" w:type="dxa"/>
              <w:bottom w:w="0" w:type="dxa"/>
              <w:right w:w="10" w:type="dxa"/>
            </w:tcMar>
          </w:tcPr>
          <w:p w14:paraId="1A54B391" w14:textId="77777777" w:rsidR="00BD776B" w:rsidRDefault="00BD776B">
            <w:pPr>
              <w:ind w:left="120"/>
            </w:pPr>
          </w:p>
        </w:tc>
      </w:tr>
      <w:tr w:rsidR="00BD776B" w14:paraId="3ECB0A29" w14:textId="77777777">
        <w:trPr>
          <w:cantSplit/>
          <w:trHeight w:val="799"/>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4A729CE"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BA29F" w14:textId="77777777" w:rsidR="00BD776B" w:rsidRDefault="00DF0C24" w:rsidP="008A7063">
            <w:pPr>
              <w:numPr>
                <w:ilvl w:val="0"/>
                <w:numId w:val="96"/>
              </w:numPr>
              <w:tabs>
                <w:tab w:val="left" w:pos="520"/>
              </w:tabs>
              <w:ind w:left="425" w:hanging="255"/>
              <w:textAlignment w:val="center"/>
              <w:rPr>
                <w:rFonts w:eastAsia="標楷體"/>
              </w:rPr>
            </w:pPr>
            <w:r>
              <w:rPr>
                <w:rFonts w:eastAsia="標楷體"/>
              </w:rPr>
              <w:t>是</w:t>
            </w:r>
          </w:p>
          <w:p w14:paraId="6F9A7EFB" w14:textId="77777777" w:rsidR="00BD776B" w:rsidRDefault="00DF0C24" w:rsidP="008A7063">
            <w:pPr>
              <w:numPr>
                <w:ilvl w:val="0"/>
                <w:numId w:val="96"/>
              </w:numPr>
              <w:tabs>
                <w:tab w:val="left" w:pos="520"/>
              </w:tabs>
              <w:ind w:left="425" w:hanging="255"/>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5065F7E" w14:textId="77777777" w:rsidR="00BD776B" w:rsidRDefault="00DF0C24">
            <w:pPr>
              <w:textAlignment w:val="center"/>
              <w:rPr>
                <w:rFonts w:eastAsia="標楷體"/>
              </w:rPr>
            </w:pPr>
            <w:r>
              <w:rPr>
                <w:rFonts w:eastAsia="標楷體"/>
              </w:rPr>
              <w:t>是否有生物製劑仿單記載之禁忌情形。</w:t>
            </w:r>
          </w:p>
        </w:tc>
        <w:tc>
          <w:tcPr>
            <w:tcW w:w="27" w:type="dxa"/>
            <w:shd w:val="clear" w:color="auto" w:fill="auto"/>
            <w:tcMar>
              <w:top w:w="0" w:type="dxa"/>
              <w:left w:w="10" w:type="dxa"/>
              <w:bottom w:w="0" w:type="dxa"/>
              <w:right w:w="10" w:type="dxa"/>
            </w:tcMar>
          </w:tcPr>
          <w:p w14:paraId="308A2570" w14:textId="77777777" w:rsidR="00BD776B" w:rsidRDefault="00BD776B">
            <w:pPr>
              <w:textAlignment w:val="center"/>
              <w:rPr>
                <w:rFonts w:eastAsia="標楷體"/>
              </w:rPr>
            </w:pPr>
          </w:p>
        </w:tc>
      </w:tr>
      <w:tr w:rsidR="00BD776B" w14:paraId="6AC4514B" w14:textId="77777777">
        <w:trPr>
          <w:cantSplit/>
          <w:trHeight w:val="400"/>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E51A3E2" w14:textId="77777777" w:rsidR="00BD776B" w:rsidRDefault="00BD776B">
            <w:pPr>
              <w:textAlignment w:val="center"/>
              <w:rPr>
                <w:rFonts w:eastAsia="標楷體"/>
                <w:sz w:val="28"/>
                <w:szCs w:val="28"/>
              </w:rPr>
            </w:pPr>
          </w:p>
          <w:p w14:paraId="6D08D889"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67EBE5"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38D167DD"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48A618D" w14:textId="77777777" w:rsidR="00BD776B" w:rsidRDefault="00DF0C24">
            <w:pPr>
              <w:textAlignment w:val="center"/>
              <w:rPr>
                <w:rFonts w:eastAsia="標楷體"/>
              </w:rPr>
            </w:pPr>
            <w:r>
              <w:rPr>
                <w:rFonts w:eastAsia="標楷體"/>
              </w:rPr>
              <w:t>婦女是否正在懷孕或授乳。</w:t>
            </w:r>
          </w:p>
        </w:tc>
        <w:tc>
          <w:tcPr>
            <w:tcW w:w="27" w:type="dxa"/>
            <w:shd w:val="clear" w:color="auto" w:fill="auto"/>
            <w:tcMar>
              <w:top w:w="0" w:type="dxa"/>
              <w:left w:w="10" w:type="dxa"/>
              <w:bottom w:w="0" w:type="dxa"/>
              <w:right w:w="10" w:type="dxa"/>
            </w:tcMar>
          </w:tcPr>
          <w:p w14:paraId="5BCD3703" w14:textId="77777777" w:rsidR="00BD776B" w:rsidRDefault="00BD776B">
            <w:pPr>
              <w:textAlignment w:val="center"/>
              <w:rPr>
                <w:rFonts w:eastAsia="標楷體"/>
              </w:rPr>
            </w:pPr>
          </w:p>
        </w:tc>
      </w:tr>
      <w:tr w:rsidR="00BD776B" w14:paraId="39D8192A" w14:textId="77777777">
        <w:trPr>
          <w:cantSplit/>
          <w:trHeight w:val="400"/>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86F96F9"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FF7126"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51A49C77"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3135D05" w14:textId="77777777" w:rsidR="00BD776B" w:rsidRDefault="00DF0C24">
            <w:pPr>
              <w:textAlignment w:val="center"/>
              <w:rPr>
                <w:rFonts w:eastAsia="標楷體"/>
              </w:rPr>
            </w:pPr>
            <w:r>
              <w:rPr>
                <w:rFonts w:eastAsia="標楷體"/>
              </w:rPr>
              <w:t>病患是否罹患活動性感染之疾病。</w:t>
            </w:r>
          </w:p>
        </w:tc>
        <w:tc>
          <w:tcPr>
            <w:tcW w:w="27" w:type="dxa"/>
            <w:shd w:val="clear" w:color="auto" w:fill="auto"/>
            <w:tcMar>
              <w:top w:w="0" w:type="dxa"/>
              <w:left w:w="10" w:type="dxa"/>
              <w:bottom w:w="0" w:type="dxa"/>
              <w:right w:w="10" w:type="dxa"/>
            </w:tcMar>
          </w:tcPr>
          <w:p w14:paraId="08E44FDA" w14:textId="77777777" w:rsidR="00BD776B" w:rsidRDefault="00BD776B">
            <w:pPr>
              <w:textAlignment w:val="center"/>
              <w:rPr>
                <w:rFonts w:eastAsia="標楷體"/>
              </w:rPr>
            </w:pPr>
          </w:p>
        </w:tc>
      </w:tr>
      <w:tr w:rsidR="00BD776B" w14:paraId="32BF917D" w14:textId="77777777">
        <w:trPr>
          <w:cantSplit/>
          <w:trHeight w:val="400"/>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24A383A"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5BC5FC"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2FC7483D"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B2B1106" w14:textId="77777777" w:rsidR="00BD776B" w:rsidRDefault="00DF0C24">
            <w:pPr>
              <w:textAlignment w:val="center"/>
              <w:rPr>
                <w:rFonts w:eastAsia="標楷體"/>
              </w:rPr>
            </w:pPr>
            <w:r>
              <w:rPr>
                <w:rFonts w:eastAsia="標楷體"/>
              </w:rPr>
              <w:t>病患是否具有高度感染機會之情形，其中包括</w:t>
            </w:r>
            <w:r>
              <w:rPr>
                <w:rFonts w:eastAsia="標楷體"/>
              </w:rPr>
              <w:t>1.</w:t>
            </w:r>
            <w:r>
              <w:rPr>
                <w:rFonts w:eastAsia="標楷體"/>
              </w:rPr>
              <w:t>慢性腿部潰瘍，</w:t>
            </w:r>
            <w:r>
              <w:rPr>
                <w:rFonts w:eastAsia="標楷體"/>
              </w:rPr>
              <w:t>2.</w:t>
            </w:r>
            <w:r>
              <w:rPr>
                <w:rFonts w:eastAsia="標楷體"/>
              </w:rPr>
              <w:t>未經完整治療之結核病的病患（包括潛伏結核感染治療未達四週者，申請時應檢附潛伏結核感染篩檢紀錄及治療紀錄供審查），</w:t>
            </w:r>
            <w:r>
              <w:rPr>
                <w:rFonts w:eastAsia="標楷體"/>
              </w:rPr>
              <w:t>3.</w:t>
            </w:r>
            <w:r>
              <w:rPr>
                <w:rFonts w:eastAsia="標楷體"/>
              </w:rPr>
              <w:t>過去</w:t>
            </w:r>
            <w:r>
              <w:rPr>
                <w:rFonts w:eastAsia="標楷體"/>
              </w:rPr>
              <w:t>12</w:t>
            </w:r>
            <w:r>
              <w:rPr>
                <w:rFonts w:eastAsia="標楷體"/>
              </w:rPr>
              <w:t>個月內曾罹患感染性關節炎者，</w:t>
            </w:r>
            <w:r>
              <w:rPr>
                <w:rFonts w:eastAsia="標楷體"/>
              </w:rPr>
              <w:t>4.</w:t>
            </w:r>
            <w:r>
              <w:rPr>
                <w:rFonts w:eastAsia="標楷體"/>
              </w:rPr>
              <w:t>人工關節受到感染〈該人工關節未除去前，不可使用生物製劑〉，</w:t>
            </w:r>
            <w:r>
              <w:rPr>
                <w:rFonts w:eastAsia="標楷體"/>
              </w:rPr>
              <w:t>5.</w:t>
            </w:r>
            <w:r>
              <w:rPr>
                <w:rFonts w:eastAsia="標楷體"/>
              </w:rPr>
              <w:t>頑固性或復發性的胸腔感染疾病，</w:t>
            </w:r>
            <w:r>
              <w:rPr>
                <w:rFonts w:eastAsia="標楷體"/>
              </w:rPr>
              <w:t>6.</w:t>
            </w:r>
            <w:r>
              <w:rPr>
                <w:rFonts w:eastAsia="標楷體"/>
              </w:rPr>
              <w:t>具有留置導尿管之情形。</w:t>
            </w:r>
          </w:p>
        </w:tc>
        <w:tc>
          <w:tcPr>
            <w:tcW w:w="27" w:type="dxa"/>
            <w:shd w:val="clear" w:color="auto" w:fill="auto"/>
            <w:tcMar>
              <w:top w:w="0" w:type="dxa"/>
              <w:left w:w="10" w:type="dxa"/>
              <w:bottom w:w="0" w:type="dxa"/>
              <w:right w:w="10" w:type="dxa"/>
            </w:tcMar>
          </w:tcPr>
          <w:p w14:paraId="0E38C3E3" w14:textId="77777777" w:rsidR="00BD776B" w:rsidRDefault="00BD776B">
            <w:pPr>
              <w:textAlignment w:val="center"/>
              <w:rPr>
                <w:rFonts w:eastAsia="標楷體"/>
              </w:rPr>
            </w:pPr>
          </w:p>
        </w:tc>
      </w:tr>
      <w:tr w:rsidR="00BD776B" w14:paraId="6FEEA34F" w14:textId="77777777">
        <w:trPr>
          <w:cantSplit/>
          <w:trHeight w:val="400"/>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A3D40D3"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ECC562"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085CF548"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13A72DE" w14:textId="77777777" w:rsidR="00BD776B" w:rsidRDefault="00DF0C24">
            <w:pPr>
              <w:textAlignment w:val="center"/>
              <w:rPr>
                <w:rFonts w:eastAsia="標楷體"/>
              </w:rPr>
            </w:pPr>
            <w:r>
              <w:rPr>
                <w:rFonts w:eastAsia="標楷體"/>
              </w:rPr>
              <w:t>病患是否罹患惡性腫瘤或癌前狀態之腫瘤</w:t>
            </w:r>
          </w:p>
        </w:tc>
        <w:tc>
          <w:tcPr>
            <w:tcW w:w="27" w:type="dxa"/>
            <w:shd w:val="clear" w:color="auto" w:fill="auto"/>
            <w:tcMar>
              <w:top w:w="0" w:type="dxa"/>
              <w:left w:w="10" w:type="dxa"/>
              <w:bottom w:w="0" w:type="dxa"/>
              <w:right w:w="10" w:type="dxa"/>
            </w:tcMar>
          </w:tcPr>
          <w:p w14:paraId="6A5592D3" w14:textId="77777777" w:rsidR="00BD776B" w:rsidRDefault="00BD776B">
            <w:pPr>
              <w:textAlignment w:val="center"/>
              <w:rPr>
                <w:rFonts w:eastAsia="標楷體"/>
              </w:rPr>
            </w:pPr>
          </w:p>
        </w:tc>
      </w:tr>
      <w:tr w:rsidR="00BD776B" w14:paraId="2D1DCA13" w14:textId="77777777">
        <w:trPr>
          <w:cantSplit/>
          <w:trHeight w:val="400"/>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0FBF4CD"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EB33EA"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763370DF"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E7E0530" w14:textId="77777777" w:rsidR="00BD776B" w:rsidRDefault="00DF0C24">
            <w:pPr>
              <w:textAlignment w:val="center"/>
              <w:rPr>
                <w:rFonts w:eastAsia="標楷體"/>
              </w:rPr>
            </w:pPr>
            <w:r>
              <w:rPr>
                <w:rFonts w:eastAsia="標楷體"/>
              </w:rPr>
              <w:t>病患是否罹患多發性硬化症</w:t>
            </w:r>
            <w:r>
              <w:rPr>
                <w:rFonts w:eastAsia="標楷體"/>
              </w:rPr>
              <w:t>(multiple sclerosis)</w:t>
            </w:r>
          </w:p>
        </w:tc>
        <w:tc>
          <w:tcPr>
            <w:tcW w:w="27" w:type="dxa"/>
            <w:shd w:val="clear" w:color="auto" w:fill="auto"/>
            <w:tcMar>
              <w:top w:w="0" w:type="dxa"/>
              <w:left w:w="10" w:type="dxa"/>
              <w:bottom w:w="0" w:type="dxa"/>
              <w:right w:w="10" w:type="dxa"/>
            </w:tcMar>
          </w:tcPr>
          <w:p w14:paraId="3399C4C0" w14:textId="77777777" w:rsidR="00BD776B" w:rsidRDefault="00BD776B">
            <w:pPr>
              <w:textAlignment w:val="center"/>
              <w:rPr>
                <w:rFonts w:eastAsia="標楷體"/>
              </w:rPr>
            </w:pPr>
          </w:p>
        </w:tc>
      </w:tr>
      <w:tr w:rsidR="00BD776B" w14:paraId="0867AEC9" w14:textId="77777777">
        <w:trPr>
          <w:cantSplit/>
          <w:trHeight w:val="400"/>
        </w:trPr>
        <w:tc>
          <w:tcPr>
            <w:tcW w:w="675"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ADE09F3" w14:textId="77777777" w:rsidR="00BD776B" w:rsidRDefault="00BD776B">
            <w:pPr>
              <w:textAlignment w:val="center"/>
              <w:rPr>
                <w:rFonts w:eastAsia="標楷體"/>
              </w:rPr>
            </w:pPr>
          </w:p>
        </w:tc>
        <w:tc>
          <w:tcPr>
            <w:tcW w:w="132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30A151"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5BA98BF2"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26AB5DB" w14:textId="77777777" w:rsidR="00BD776B" w:rsidRDefault="00DF0C24">
            <w:pPr>
              <w:textAlignment w:val="center"/>
              <w:rPr>
                <w:rFonts w:eastAsia="標楷體"/>
              </w:rPr>
            </w:pPr>
            <w:r>
              <w:rPr>
                <w:rFonts w:eastAsia="標楷體"/>
              </w:rPr>
              <w:t>於初次療程，經過</w:t>
            </w:r>
            <w:r>
              <w:rPr>
                <w:rFonts w:eastAsia="標楷體"/>
              </w:rPr>
              <w:t>6</w:t>
            </w:r>
            <w:r>
              <w:rPr>
                <w:rFonts w:eastAsia="標楷體"/>
              </w:rPr>
              <w:t>個月治療後</w:t>
            </w:r>
            <w:r>
              <w:rPr>
                <w:rFonts w:eastAsia="標楷體"/>
              </w:rPr>
              <w:t>PASI</w:t>
            </w:r>
            <w:r>
              <w:rPr>
                <w:rFonts w:eastAsia="標楷體"/>
              </w:rPr>
              <w:t>下降程度未達</w:t>
            </w:r>
            <w:r>
              <w:rPr>
                <w:rFonts w:eastAsia="標楷體"/>
              </w:rPr>
              <w:t>50%</w:t>
            </w:r>
          </w:p>
        </w:tc>
        <w:tc>
          <w:tcPr>
            <w:tcW w:w="27" w:type="dxa"/>
            <w:shd w:val="clear" w:color="auto" w:fill="auto"/>
            <w:tcMar>
              <w:top w:w="0" w:type="dxa"/>
              <w:left w:w="10" w:type="dxa"/>
              <w:bottom w:w="0" w:type="dxa"/>
              <w:right w:w="10" w:type="dxa"/>
            </w:tcMar>
          </w:tcPr>
          <w:p w14:paraId="22CF5E77" w14:textId="77777777" w:rsidR="00BD776B" w:rsidRDefault="00BD776B">
            <w:pPr>
              <w:textAlignment w:val="center"/>
              <w:rPr>
                <w:rFonts w:eastAsia="標楷體"/>
              </w:rPr>
            </w:pPr>
          </w:p>
        </w:tc>
      </w:tr>
      <w:tr w:rsidR="00BD776B" w14:paraId="3703E814" w14:textId="77777777">
        <w:trPr>
          <w:cantSplit/>
          <w:trHeight w:val="834"/>
        </w:trPr>
        <w:tc>
          <w:tcPr>
            <w:tcW w:w="675" w:type="dxa"/>
            <w:gridSpan w:val="2"/>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0CA9074D" w14:textId="77777777" w:rsidR="00BD776B" w:rsidRDefault="00BD776B">
            <w:pPr>
              <w:textAlignment w:val="center"/>
              <w:rPr>
                <w:rFonts w:eastAsia="標楷體"/>
              </w:rPr>
            </w:pPr>
          </w:p>
        </w:tc>
        <w:tc>
          <w:tcPr>
            <w:tcW w:w="132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4B89C3E1"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7F2C5D56"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64059AD6" w14:textId="77777777" w:rsidR="00BD776B" w:rsidRDefault="00DF0C24">
            <w:pPr>
              <w:textAlignment w:val="center"/>
            </w:pPr>
            <w:r>
              <w:rPr>
                <w:rFonts w:eastAsia="標楷體"/>
              </w:rPr>
              <w:t>使用</w:t>
            </w:r>
            <w:r>
              <w:rPr>
                <w:rFonts w:eastAsia="標楷體"/>
                <w:u w:val="single"/>
              </w:rPr>
              <w:t>生物製劑期間</w:t>
            </w:r>
            <w:r>
              <w:rPr>
                <w:rFonts w:eastAsia="標楷體"/>
              </w:rPr>
              <w:t>發生懷孕或不良事件</w:t>
            </w:r>
            <w:r>
              <w:rPr>
                <w:rFonts w:eastAsia="標楷體"/>
              </w:rPr>
              <w:t>(</w:t>
            </w:r>
            <w:r>
              <w:rPr>
                <w:rFonts w:eastAsia="標楷體"/>
              </w:rPr>
              <w:t>包括：惡性腫瘤、該藥物引起的嚴重毒性、嚴重的感染性疾病</w:t>
            </w:r>
            <w:r>
              <w:rPr>
                <w:rFonts w:eastAsia="標楷體"/>
              </w:rPr>
              <w:t>)</w:t>
            </w:r>
          </w:p>
        </w:tc>
        <w:tc>
          <w:tcPr>
            <w:tcW w:w="27" w:type="dxa"/>
            <w:shd w:val="clear" w:color="auto" w:fill="auto"/>
            <w:tcMar>
              <w:top w:w="0" w:type="dxa"/>
              <w:left w:w="10" w:type="dxa"/>
              <w:bottom w:w="0" w:type="dxa"/>
              <w:right w:w="10" w:type="dxa"/>
            </w:tcMar>
          </w:tcPr>
          <w:p w14:paraId="4611E17A" w14:textId="77777777" w:rsidR="00BD776B" w:rsidRDefault="00BD776B">
            <w:pPr>
              <w:textAlignment w:val="center"/>
            </w:pPr>
          </w:p>
        </w:tc>
      </w:tr>
      <w:tr w:rsidR="00BD776B" w14:paraId="52DCE788" w14:textId="77777777">
        <w:trPr>
          <w:cantSplit/>
          <w:trHeight w:val="663"/>
        </w:trPr>
        <w:tc>
          <w:tcPr>
            <w:tcW w:w="9535" w:type="dxa"/>
            <w:gridSpan w:val="5"/>
            <w:tcBorders>
              <w:top w:val="double" w:sz="4" w:space="0" w:color="000000"/>
              <w:left w:val="doub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2BEB0A2E" w14:textId="77777777" w:rsidR="00BD776B" w:rsidRDefault="00DF0C24">
            <w:pPr>
              <w:textAlignment w:val="center"/>
            </w:pPr>
            <w:r>
              <w:rPr>
                <w:rFonts w:ascii="Webdings" w:eastAsia="Webdings" w:hAnsi="Webdings" w:cs="Webdings"/>
                <w:sz w:val="28"/>
                <w:szCs w:val="28"/>
              </w:rPr>
              <w:t></w:t>
            </w:r>
            <w:r>
              <w:rPr>
                <w:rFonts w:eastAsia="標楷體"/>
                <w:b/>
                <w:sz w:val="28"/>
                <w:szCs w:val="28"/>
              </w:rPr>
              <w:t>無「需暫緩續用</w:t>
            </w:r>
            <w:r>
              <w:rPr>
                <w:rFonts w:eastAsia="標楷體"/>
                <w:b/>
                <w:sz w:val="28"/>
              </w:rPr>
              <w:t>之情形」</w:t>
            </w:r>
          </w:p>
        </w:tc>
        <w:tc>
          <w:tcPr>
            <w:tcW w:w="27" w:type="dxa"/>
            <w:shd w:val="clear" w:color="auto" w:fill="auto"/>
            <w:tcMar>
              <w:top w:w="0" w:type="dxa"/>
              <w:left w:w="10" w:type="dxa"/>
              <w:bottom w:w="0" w:type="dxa"/>
              <w:right w:w="10" w:type="dxa"/>
            </w:tcMar>
          </w:tcPr>
          <w:p w14:paraId="72F2420D" w14:textId="77777777" w:rsidR="00BD776B" w:rsidRDefault="00BD776B">
            <w:pPr>
              <w:textAlignment w:val="center"/>
            </w:pPr>
          </w:p>
        </w:tc>
      </w:tr>
      <w:tr w:rsidR="00BD776B" w14:paraId="07276010" w14:textId="77777777">
        <w:trPr>
          <w:cantSplit/>
          <w:trHeight w:val="834"/>
        </w:trPr>
        <w:tc>
          <w:tcPr>
            <w:tcW w:w="675" w:type="dxa"/>
            <w:gridSpan w:val="2"/>
            <w:tcBorders>
              <w:top w:val="single" w:sz="4"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7FAB1B27" w14:textId="77777777" w:rsidR="00BD776B" w:rsidRDefault="00BD776B">
            <w:pPr>
              <w:textAlignment w:val="center"/>
              <w:rPr>
                <w:rFonts w:eastAsia="標楷體"/>
              </w:rPr>
            </w:pPr>
          </w:p>
        </w:tc>
        <w:tc>
          <w:tcPr>
            <w:tcW w:w="1320" w:type="dxa"/>
            <w:tcBorders>
              <w:top w:val="sing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623DA3B2"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是</w:t>
            </w:r>
          </w:p>
          <w:p w14:paraId="71BDDFAB" w14:textId="77777777" w:rsidR="00BD776B" w:rsidRDefault="00DF0C24" w:rsidP="008A7063">
            <w:pPr>
              <w:numPr>
                <w:ilvl w:val="0"/>
                <w:numId w:val="96"/>
              </w:numPr>
              <w:tabs>
                <w:tab w:val="left" w:pos="425"/>
              </w:tabs>
              <w:ind w:left="425" w:hanging="333"/>
              <w:textAlignment w:val="center"/>
              <w:rPr>
                <w:rFonts w:eastAsia="標楷體"/>
              </w:rPr>
            </w:pPr>
            <w:r>
              <w:rPr>
                <w:rFonts w:eastAsia="標楷體"/>
              </w:rPr>
              <w:t>否</w:t>
            </w:r>
          </w:p>
        </w:tc>
        <w:tc>
          <w:tcPr>
            <w:tcW w:w="7540" w:type="dxa"/>
            <w:gridSpan w:val="2"/>
            <w:tcBorders>
              <w:top w:val="sing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1C3A9491" w14:textId="77777777" w:rsidR="00BD776B" w:rsidRDefault="00DF0C24">
            <w:pPr>
              <w:textAlignment w:val="center"/>
              <w:rPr>
                <w:rFonts w:eastAsia="標楷體"/>
              </w:rPr>
            </w:pPr>
            <w:r>
              <w:rPr>
                <w:rFonts w:eastAsia="標楷體"/>
              </w:rPr>
              <w:t>使用生物製劑治療</w:t>
            </w:r>
            <w:r>
              <w:rPr>
                <w:rFonts w:eastAsia="標楷體"/>
              </w:rPr>
              <w:t>2</w:t>
            </w:r>
            <w:r>
              <w:rPr>
                <w:rFonts w:eastAsia="標楷體"/>
              </w:rPr>
              <w:t>年後符合</w:t>
            </w:r>
            <w:r>
              <w:rPr>
                <w:rFonts w:eastAsia="標楷體"/>
              </w:rPr>
              <w:t>PASI≦10</w:t>
            </w:r>
          </w:p>
          <w:p w14:paraId="0E623274" w14:textId="77777777" w:rsidR="00BD776B" w:rsidRDefault="00DF0C24">
            <w:pPr>
              <w:textAlignment w:val="center"/>
              <w:rPr>
                <w:rFonts w:eastAsia="標楷體"/>
              </w:rPr>
            </w:pPr>
            <w:r>
              <w:rPr>
                <w:rFonts w:eastAsia="標楷體"/>
              </w:rPr>
              <w:t>（生物製劑使用</w:t>
            </w:r>
            <w:r>
              <w:rPr>
                <w:rFonts w:eastAsia="標楷體"/>
              </w:rPr>
              <w:t>/</w:t>
            </w:r>
            <w:r>
              <w:rPr>
                <w:rFonts w:eastAsia="標楷體"/>
              </w:rPr>
              <w:t>轉用時間計算方式之定義請參照給付規定）</w:t>
            </w:r>
          </w:p>
        </w:tc>
        <w:tc>
          <w:tcPr>
            <w:tcW w:w="27" w:type="dxa"/>
            <w:shd w:val="clear" w:color="auto" w:fill="auto"/>
            <w:tcMar>
              <w:top w:w="0" w:type="dxa"/>
              <w:left w:w="10" w:type="dxa"/>
              <w:bottom w:w="0" w:type="dxa"/>
              <w:right w:w="10" w:type="dxa"/>
            </w:tcMar>
          </w:tcPr>
          <w:p w14:paraId="68365352" w14:textId="77777777" w:rsidR="00BD776B" w:rsidRDefault="00BD776B">
            <w:pPr>
              <w:textAlignment w:val="center"/>
              <w:rPr>
                <w:rFonts w:eastAsia="標楷體"/>
              </w:rPr>
            </w:pPr>
          </w:p>
        </w:tc>
      </w:tr>
      <w:tr w:rsidR="00BD776B" w14:paraId="4ABBF498" w14:textId="77777777">
        <w:trPr>
          <w:cantSplit/>
          <w:trHeight w:val="1048"/>
        </w:trPr>
        <w:tc>
          <w:tcPr>
            <w:tcW w:w="6154" w:type="dxa"/>
            <w:gridSpan w:val="4"/>
            <w:shd w:val="clear" w:color="auto" w:fill="auto"/>
            <w:tcMar>
              <w:top w:w="0" w:type="dxa"/>
              <w:left w:w="28" w:type="dxa"/>
              <w:bottom w:w="0" w:type="dxa"/>
              <w:right w:w="28" w:type="dxa"/>
            </w:tcMar>
          </w:tcPr>
          <w:p w14:paraId="0C9CEF2D" w14:textId="77777777" w:rsidR="00BD776B" w:rsidRDefault="00BD776B">
            <w:pPr>
              <w:spacing w:line="276" w:lineRule="auto"/>
              <w:textAlignment w:val="center"/>
              <w:rPr>
                <w:rFonts w:eastAsia="標楷體"/>
                <w:sz w:val="26"/>
                <w:szCs w:val="26"/>
              </w:rPr>
            </w:pPr>
          </w:p>
          <w:p w14:paraId="7B904F03" w14:textId="77777777" w:rsidR="00BD776B" w:rsidRDefault="00DF0C24">
            <w:pPr>
              <w:spacing w:line="276" w:lineRule="auto"/>
              <w:textAlignment w:val="center"/>
            </w:pPr>
            <w:r>
              <w:rPr>
                <w:rFonts w:eastAsia="標楷體"/>
                <w:sz w:val="26"/>
                <w:szCs w:val="26"/>
              </w:rPr>
              <w:t>申請醫師（簽名蓋章）：</w:t>
            </w:r>
            <w:r>
              <w:rPr>
                <w:rFonts w:eastAsia="標楷體"/>
                <w:sz w:val="26"/>
                <w:szCs w:val="26"/>
                <w:u w:val="single"/>
              </w:rPr>
              <w:t xml:space="preserve">　　　　　　　</w:t>
            </w:r>
            <w:r>
              <w:rPr>
                <w:rFonts w:eastAsia="標楷體"/>
                <w:sz w:val="26"/>
                <w:szCs w:val="26"/>
                <w:u w:val="single"/>
              </w:rPr>
              <w:t xml:space="preserve">  </w:t>
            </w:r>
            <w:r>
              <w:rPr>
                <w:rFonts w:eastAsia="標楷體"/>
                <w:sz w:val="26"/>
                <w:szCs w:val="26"/>
              </w:rPr>
              <w:t xml:space="preserve">  </w:t>
            </w:r>
          </w:p>
          <w:p w14:paraId="6A3412BC" w14:textId="77777777" w:rsidR="00BD776B" w:rsidRDefault="00DF0C24">
            <w:pPr>
              <w:spacing w:line="276" w:lineRule="auto"/>
              <w:textAlignment w:val="center"/>
            </w:pPr>
            <w:r>
              <w:rPr>
                <w:rFonts w:eastAsia="標楷體"/>
                <w:sz w:val="26"/>
                <w:szCs w:val="26"/>
              </w:rPr>
              <w:t>專科醫師證書：</w:t>
            </w:r>
            <w:r>
              <w:rPr>
                <w:rFonts w:eastAsia="標楷體"/>
                <w:sz w:val="26"/>
                <w:szCs w:val="26"/>
                <w:u w:val="single"/>
              </w:rPr>
              <w:t xml:space="preserve">    </w:t>
            </w:r>
            <w:r>
              <w:rPr>
                <w:rFonts w:eastAsia="標楷體"/>
                <w:sz w:val="26"/>
                <w:szCs w:val="26"/>
              </w:rPr>
              <w:t>專字第</w:t>
            </w:r>
            <w:r>
              <w:rPr>
                <w:rFonts w:eastAsia="標楷體"/>
                <w:sz w:val="26"/>
                <w:szCs w:val="26"/>
                <w:u w:val="single"/>
              </w:rPr>
              <w:t xml:space="preserve">　　　　</w:t>
            </w:r>
            <w:r>
              <w:rPr>
                <w:rFonts w:eastAsia="標楷體"/>
                <w:sz w:val="26"/>
                <w:szCs w:val="26"/>
                <w:u w:val="single"/>
              </w:rPr>
              <w:t xml:space="preserve"> </w:t>
            </w:r>
            <w:r>
              <w:rPr>
                <w:rFonts w:eastAsia="標楷體"/>
                <w:sz w:val="26"/>
                <w:szCs w:val="26"/>
                <w:u w:val="single"/>
              </w:rPr>
              <w:t xml:space="preserve">　</w:t>
            </w:r>
            <w:r>
              <w:rPr>
                <w:rFonts w:eastAsia="標楷體"/>
                <w:sz w:val="26"/>
                <w:szCs w:val="26"/>
                <w:u w:val="single"/>
              </w:rPr>
              <w:t xml:space="preserve">  </w:t>
            </w:r>
            <w:r>
              <w:rPr>
                <w:rFonts w:eastAsia="標楷體"/>
                <w:sz w:val="26"/>
                <w:szCs w:val="26"/>
              </w:rPr>
              <w:t>號</w:t>
            </w:r>
          </w:p>
          <w:p w14:paraId="6ABF9ED2" w14:textId="77777777" w:rsidR="00BD776B" w:rsidRDefault="00BD776B">
            <w:pPr>
              <w:tabs>
                <w:tab w:val="left" w:pos="2912"/>
              </w:tabs>
              <w:spacing w:line="276" w:lineRule="auto"/>
              <w:textAlignment w:val="center"/>
              <w:rPr>
                <w:rFonts w:eastAsia="標楷體"/>
                <w:sz w:val="26"/>
                <w:szCs w:val="26"/>
                <w:u w:val="single"/>
              </w:rPr>
            </w:pPr>
          </w:p>
        </w:tc>
        <w:tc>
          <w:tcPr>
            <w:tcW w:w="3381" w:type="dxa"/>
            <w:shd w:val="clear" w:color="auto" w:fill="auto"/>
            <w:tcMar>
              <w:top w:w="0" w:type="dxa"/>
              <w:left w:w="28" w:type="dxa"/>
              <w:bottom w:w="0" w:type="dxa"/>
              <w:right w:w="28" w:type="dxa"/>
            </w:tcMar>
          </w:tcPr>
          <w:p w14:paraId="543CC70A" w14:textId="77777777" w:rsidR="00BD776B" w:rsidRDefault="00BD776B">
            <w:pPr>
              <w:spacing w:line="276" w:lineRule="auto"/>
              <w:textAlignment w:val="center"/>
              <w:rPr>
                <w:rFonts w:eastAsia="標楷體"/>
                <w:sz w:val="26"/>
                <w:szCs w:val="26"/>
              </w:rPr>
            </w:pPr>
          </w:p>
          <w:p w14:paraId="3AACA1ED" w14:textId="77777777" w:rsidR="00BD776B" w:rsidRDefault="00DF0C24">
            <w:pPr>
              <w:spacing w:line="276" w:lineRule="auto"/>
              <w:textAlignment w:val="center"/>
            </w:pPr>
            <w:r>
              <w:rPr>
                <w:rFonts w:eastAsia="標楷體"/>
                <w:sz w:val="26"/>
                <w:szCs w:val="26"/>
              </w:rPr>
              <w:t>醫事機構章戳：</w:t>
            </w:r>
          </w:p>
        </w:tc>
        <w:tc>
          <w:tcPr>
            <w:tcW w:w="27" w:type="dxa"/>
            <w:shd w:val="clear" w:color="auto" w:fill="auto"/>
            <w:tcMar>
              <w:top w:w="0" w:type="dxa"/>
              <w:left w:w="10" w:type="dxa"/>
              <w:bottom w:w="0" w:type="dxa"/>
              <w:right w:w="10" w:type="dxa"/>
            </w:tcMar>
          </w:tcPr>
          <w:p w14:paraId="0BCCCC08" w14:textId="77777777" w:rsidR="00BD776B" w:rsidRDefault="00BD776B">
            <w:pPr>
              <w:spacing w:line="276" w:lineRule="auto"/>
              <w:textAlignment w:val="center"/>
            </w:pPr>
          </w:p>
        </w:tc>
      </w:tr>
    </w:tbl>
    <w:p w14:paraId="27A35312" w14:textId="77777777" w:rsidR="00BD776B" w:rsidRDefault="00BD776B">
      <w:pPr>
        <w:snapToGrid w:val="0"/>
        <w:rPr>
          <w:rFonts w:ascii="標楷體" w:eastAsia="標楷體" w:hAnsi="標楷體"/>
        </w:rPr>
      </w:pPr>
    </w:p>
    <w:p w14:paraId="3FB6A9F0" w14:textId="77777777" w:rsidR="00BD776B" w:rsidRDefault="00DF0C24">
      <w:pPr>
        <w:pStyle w:val="a7"/>
        <w:pageBreakBefore/>
        <w:spacing w:after="180"/>
        <w:jc w:val="center"/>
      </w:pPr>
      <w:r>
        <w:rPr>
          <w:rFonts w:ascii="標楷體" w:eastAsia="標楷體" w:hAnsi="標楷體"/>
          <w:b/>
          <w:sz w:val="28"/>
          <w:szCs w:val="28"/>
        </w:rPr>
        <w:lastRenderedPageBreak/>
        <w:t>附表二十四之二：全民健康保險乾癬（慢性紅皮症乾癬部分）使用Etanercept/Adalimumab/Ustekinumab/Secukinumab申請表</w:t>
      </w:r>
    </w:p>
    <w:tbl>
      <w:tblPr>
        <w:tblW w:w="9547" w:type="dxa"/>
        <w:tblInd w:w="266" w:type="dxa"/>
        <w:tblLayout w:type="fixed"/>
        <w:tblCellMar>
          <w:left w:w="10" w:type="dxa"/>
          <w:right w:w="10" w:type="dxa"/>
        </w:tblCellMar>
        <w:tblLook w:val="0000" w:firstRow="0" w:lastRow="0" w:firstColumn="0" w:lastColumn="0" w:noHBand="0" w:noVBand="0"/>
      </w:tblPr>
      <w:tblGrid>
        <w:gridCol w:w="1322"/>
        <w:gridCol w:w="1701"/>
        <w:gridCol w:w="1275"/>
        <w:gridCol w:w="1560"/>
        <w:gridCol w:w="1134"/>
        <w:gridCol w:w="2555"/>
      </w:tblGrid>
      <w:tr w:rsidR="00BD776B" w14:paraId="3D10B721" w14:textId="77777777">
        <w:trPr>
          <w:cantSplit/>
          <w:trHeight w:val="376"/>
        </w:trPr>
        <w:tc>
          <w:tcPr>
            <w:tcW w:w="1322"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DA23234" w14:textId="77777777" w:rsidR="00BD776B" w:rsidRDefault="00DF0C24">
            <w:pPr>
              <w:snapToGrid w:val="0"/>
              <w:spacing w:line="380" w:lineRule="exact"/>
              <w:rPr>
                <w:rFonts w:ascii="標楷體" w:eastAsia="標楷體" w:hAnsi="標楷體"/>
              </w:rPr>
            </w:pPr>
            <w:r>
              <w:rPr>
                <w:rFonts w:ascii="標楷體" w:eastAsia="標楷體" w:hAnsi="標楷體"/>
              </w:rPr>
              <w:t>醫院代號</w:t>
            </w:r>
          </w:p>
        </w:tc>
        <w:tc>
          <w:tcPr>
            <w:tcW w:w="17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6CE2D0" w14:textId="77777777" w:rsidR="00BD776B" w:rsidRDefault="00BD776B">
            <w:pPr>
              <w:snapToGrid w:val="0"/>
              <w:spacing w:line="380" w:lineRule="exact"/>
              <w:rPr>
                <w:rFonts w:ascii="標楷體" w:eastAsia="標楷體" w:hAnsi="標楷體"/>
              </w:rPr>
            </w:pPr>
          </w:p>
        </w:tc>
        <w:tc>
          <w:tcPr>
            <w:tcW w:w="1275"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460AF3" w14:textId="77777777" w:rsidR="00BD776B" w:rsidRDefault="00DF0C24">
            <w:pPr>
              <w:snapToGrid w:val="0"/>
              <w:spacing w:line="380" w:lineRule="exact"/>
              <w:rPr>
                <w:rFonts w:ascii="標楷體" w:eastAsia="標楷體" w:hAnsi="標楷體"/>
              </w:rPr>
            </w:pPr>
            <w:r>
              <w:rPr>
                <w:rFonts w:ascii="標楷體" w:eastAsia="標楷體" w:hAnsi="標楷體"/>
              </w:rPr>
              <w:t>醫院名稱</w:t>
            </w:r>
          </w:p>
        </w:tc>
        <w:tc>
          <w:tcPr>
            <w:tcW w:w="156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1EC766" w14:textId="77777777" w:rsidR="00BD776B" w:rsidRDefault="00BD776B">
            <w:pPr>
              <w:snapToGrid w:val="0"/>
              <w:spacing w:line="380" w:lineRule="exact"/>
              <w:rPr>
                <w:rFonts w:ascii="標楷體" w:eastAsia="標楷體" w:hAnsi="標楷體"/>
              </w:rPr>
            </w:pPr>
          </w:p>
        </w:tc>
        <w:tc>
          <w:tcPr>
            <w:tcW w:w="1134"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D45397" w14:textId="77777777" w:rsidR="00BD776B" w:rsidRDefault="00DF0C24">
            <w:pPr>
              <w:snapToGrid w:val="0"/>
              <w:spacing w:line="380" w:lineRule="exact"/>
              <w:rPr>
                <w:rFonts w:ascii="標楷體" w:eastAsia="標楷體" w:hAnsi="標楷體"/>
              </w:rPr>
            </w:pPr>
            <w:r>
              <w:rPr>
                <w:rFonts w:ascii="標楷體" w:eastAsia="標楷體" w:hAnsi="標楷體"/>
              </w:rPr>
              <w:t>申請日期</w:t>
            </w:r>
          </w:p>
        </w:tc>
        <w:tc>
          <w:tcPr>
            <w:tcW w:w="2555"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F97C942" w14:textId="77777777" w:rsidR="00BD776B" w:rsidRDefault="00BD776B">
            <w:pPr>
              <w:snapToGrid w:val="0"/>
              <w:spacing w:line="380" w:lineRule="exact"/>
              <w:rPr>
                <w:rFonts w:ascii="標楷體" w:eastAsia="標楷體" w:hAnsi="標楷體"/>
              </w:rPr>
            </w:pPr>
          </w:p>
        </w:tc>
      </w:tr>
      <w:tr w:rsidR="00BD776B" w14:paraId="1AA7B171" w14:textId="77777777">
        <w:trPr>
          <w:cantSplit/>
          <w:trHeight w:val="332"/>
        </w:trPr>
        <w:tc>
          <w:tcPr>
            <w:tcW w:w="1322"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54E31C6" w14:textId="77777777" w:rsidR="00BD776B" w:rsidRDefault="00DF0C24">
            <w:pPr>
              <w:snapToGrid w:val="0"/>
              <w:spacing w:line="380" w:lineRule="exact"/>
              <w:rPr>
                <w:rFonts w:ascii="標楷體" w:eastAsia="標楷體" w:hAnsi="標楷體"/>
              </w:rPr>
            </w:pPr>
            <w:r>
              <w:rPr>
                <w:rFonts w:ascii="標楷體" w:eastAsia="標楷體" w:hAnsi="標楷體"/>
              </w:rPr>
              <w:t>病人姓名</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D84907" w14:textId="77777777" w:rsidR="00BD776B" w:rsidRDefault="00BD776B">
            <w:pPr>
              <w:snapToGrid w:val="0"/>
              <w:spacing w:line="380" w:lineRule="exact"/>
              <w:rPr>
                <w:rFonts w:ascii="標楷體" w:eastAsia="標楷體" w:hAnsi="標楷體"/>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76720C" w14:textId="77777777" w:rsidR="00BD776B" w:rsidRDefault="00DF0C24">
            <w:pPr>
              <w:snapToGrid w:val="0"/>
              <w:spacing w:line="380" w:lineRule="exact"/>
              <w:rPr>
                <w:rFonts w:ascii="標楷體" w:eastAsia="標楷體" w:hAnsi="標楷體"/>
              </w:rPr>
            </w:pPr>
            <w:r>
              <w:rPr>
                <w:rFonts w:ascii="標楷體" w:eastAsia="標楷體" w:hAnsi="標楷體"/>
              </w:rPr>
              <w:t>性別</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0234C4" w14:textId="77777777" w:rsidR="00BD776B" w:rsidRDefault="00BD776B">
            <w:pPr>
              <w:snapToGrid w:val="0"/>
              <w:spacing w:line="380" w:lineRule="exact"/>
              <w:rPr>
                <w:rFonts w:ascii="標楷體" w:eastAsia="標楷體" w:hAnsi="標楷體"/>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AF072B" w14:textId="77777777" w:rsidR="00BD776B" w:rsidRDefault="00DF0C24">
            <w:pPr>
              <w:snapToGrid w:val="0"/>
              <w:spacing w:line="380" w:lineRule="exact"/>
              <w:rPr>
                <w:rFonts w:ascii="標楷體" w:eastAsia="標楷體" w:hAnsi="標楷體"/>
              </w:rPr>
            </w:pPr>
            <w:r>
              <w:rPr>
                <w:rFonts w:ascii="標楷體" w:eastAsia="標楷體" w:hAnsi="標楷體"/>
              </w:rPr>
              <w:t>出生日期</w:t>
            </w:r>
          </w:p>
        </w:tc>
        <w:tc>
          <w:tcPr>
            <w:tcW w:w="2555"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2B2A66F" w14:textId="77777777" w:rsidR="00BD776B" w:rsidRDefault="00BD776B">
            <w:pPr>
              <w:snapToGrid w:val="0"/>
              <w:spacing w:line="380" w:lineRule="exact"/>
              <w:rPr>
                <w:rFonts w:ascii="標楷體" w:eastAsia="標楷體" w:hAnsi="標楷體"/>
              </w:rPr>
            </w:pPr>
          </w:p>
        </w:tc>
      </w:tr>
      <w:tr w:rsidR="00BD776B" w14:paraId="30840CA8" w14:textId="77777777">
        <w:trPr>
          <w:cantSplit/>
          <w:trHeight w:val="356"/>
        </w:trPr>
        <w:tc>
          <w:tcPr>
            <w:tcW w:w="1322"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E4EE99C" w14:textId="77777777" w:rsidR="00BD776B" w:rsidRDefault="00DF0C24">
            <w:pPr>
              <w:snapToGrid w:val="0"/>
              <w:spacing w:line="380" w:lineRule="exact"/>
              <w:rPr>
                <w:rFonts w:ascii="標楷體" w:eastAsia="標楷體" w:hAnsi="標楷體"/>
              </w:rPr>
            </w:pPr>
            <w:r>
              <w:rPr>
                <w:rFonts w:ascii="標楷體" w:eastAsia="標楷體" w:hAnsi="標楷體"/>
              </w:rPr>
              <w:t>身分證號</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464E0F0" w14:textId="77777777" w:rsidR="00BD776B" w:rsidRDefault="00BD776B">
            <w:pPr>
              <w:snapToGrid w:val="0"/>
              <w:spacing w:line="380" w:lineRule="exact"/>
              <w:rPr>
                <w:rFonts w:ascii="標楷體" w:eastAsia="標楷體" w:hAnsi="標楷體"/>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D1613CE" w14:textId="77777777" w:rsidR="00BD776B" w:rsidRDefault="00DF0C24">
            <w:pPr>
              <w:snapToGrid w:val="0"/>
              <w:spacing w:line="380" w:lineRule="exact"/>
              <w:rPr>
                <w:rFonts w:ascii="標楷體" w:eastAsia="標楷體" w:hAnsi="標楷體"/>
              </w:rPr>
            </w:pPr>
            <w:r>
              <w:rPr>
                <w:rFonts w:ascii="標楷體" w:eastAsia="標楷體" w:hAnsi="標楷體"/>
              </w:rPr>
              <w:t>病歷號碼</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029DA6" w14:textId="77777777" w:rsidR="00BD776B" w:rsidRDefault="00BD776B">
            <w:pPr>
              <w:snapToGrid w:val="0"/>
              <w:spacing w:line="380" w:lineRule="exact"/>
              <w:rPr>
                <w:rFonts w:ascii="標楷體" w:eastAsia="標楷體" w:hAnsi="標楷體"/>
              </w:rPr>
            </w:pPr>
          </w:p>
        </w:tc>
        <w:tc>
          <w:tcPr>
            <w:tcW w:w="1134"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7666E502" w14:textId="77777777" w:rsidR="00BD776B" w:rsidRDefault="00DF0C24">
            <w:pPr>
              <w:snapToGrid w:val="0"/>
              <w:spacing w:line="380" w:lineRule="exact"/>
              <w:rPr>
                <w:rFonts w:ascii="標楷體" w:eastAsia="標楷體" w:hAnsi="標楷體"/>
              </w:rPr>
            </w:pPr>
            <w:r>
              <w:rPr>
                <w:rFonts w:ascii="標楷體" w:eastAsia="標楷體" w:hAnsi="標楷體"/>
              </w:rPr>
              <w:t>使用期間</w:t>
            </w:r>
          </w:p>
        </w:tc>
        <w:tc>
          <w:tcPr>
            <w:tcW w:w="2555"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46C79A8" w14:textId="77777777" w:rsidR="00BD776B" w:rsidRDefault="00DF0C24">
            <w:pPr>
              <w:snapToGrid w:val="0"/>
              <w:spacing w:line="380" w:lineRule="exact"/>
              <w:rPr>
                <w:rFonts w:ascii="標楷體" w:eastAsia="標楷體" w:hAnsi="標楷體"/>
              </w:rPr>
            </w:pPr>
            <w:r>
              <w:rPr>
                <w:rFonts w:ascii="標楷體" w:eastAsia="標楷體" w:hAnsi="標楷體"/>
              </w:rPr>
              <w:t>自　　年　　月　　日</w:t>
            </w:r>
          </w:p>
        </w:tc>
      </w:tr>
      <w:tr w:rsidR="00BD776B" w14:paraId="63BAB637" w14:textId="77777777">
        <w:trPr>
          <w:cantSplit/>
          <w:trHeight w:val="337"/>
        </w:trPr>
        <w:tc>
          <w:tcPr>
            <w:tcW w:w="1322"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54E64EB7" w14:textId="77777777" w:rsidR="00BD776B" w:rsidRDefault="00DF0C24">
            <w:pPr>
              <w:snapToGrid w:val="0"/>
              <w:spacing w:line="380" w:lineRule="exact"/>
              <w:rPr>
                <w:rFonts w:ascii="標楷體" w:eastAsia="標楷體" w:hAnsi="標楷體"/>
              </w:rPr>
            </w:pPr>
            <w:r>
              <w:rPr>
                <w:rFonts w:ascii="標楷體" w:eastAsia="標楷體" w:hAnsi="標楷體"/>
              </w:rPr>
              <w:t>藥品代碼</w:t>
            </w:r>
          </w:p>
        </w:tc>
        <w:tc>
          <w:tcPr>
            <w:tcW w:w="17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22669979" w14:textId="77777777" w:rsidR="00BD776B" w:rsidRDefault="00BD776B">
            <w:pPr>
              <w:snapToGrid w:val="0"/>
              <w:spacing w:line="380" w:lineRule="exact"/>
              <w:rPr>
                <w:rFonts w:ascii="標楷體" w:eastAsia="標楷體" w:hAnsi="標楷體"/>
              </w:rPr>
            </w:pPr>
          </w:p>
        </w:tc>
        <w:tc>
          <w:tcPr>
            <w:tcW w:w="1275"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51A8C60" w14:textId="77777777" w:rsidR="00BD776B" w:rsidRDefault="00DF0C24">
            <w:pPr>
              <w:snapToGrid w:val="0"/>
              <w:spacing w:line="380" w:lineRule="exact"/>
              <w:rPr>
                <w:rFonts w:ascii="標楷體" w:eastAsia="標楷體" w:hAnsi="標楷體"/>
              </w:rPr>
            </w:pPr>
            <w:r>
              <w:rPr>
                <w:rFonts w:ascii="標楷體" w:eastAsia="標楷體" w:hAnsi="標楷體"/>
              </w:rPr>
              <w:t>用法用量</w:t>
            </w:r>
          </w:p>
        </w:tc>
        <w:tc>
          <w:tcPr>
            <w:tcW w:w="1560"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6881B69" w14:textId="77777777" w:rsidR="00BD776B" w:rsidRDefault="00BD776B">
            <w:pPr>
              <w:snapToGrid w:val="0"/>
              <w:spacing w:line="380" w:lineRule="exact"/>
              <w:rPr>
                <w:rFonts w:ascii="標楷體" w:eastAsia="標楷體" w:hAnsi="標楷體"/>
              </w:rPr>
            </w:pPr>
          </w:p>
        </w:tc>
        <w:tc>
          <w:tcPr>
            <w:tcW w:w="1134"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5E90717F" w14:textId="77777777" w:rsidR="00BD776B" w:rsidRDefault="00BD776B">
            <w:pPr>
              <w:snapToGrid w:val="0"/>
              <w:spacing w:line="380" w:lineRule="exact"/>
              <w:rPr>
                <w:rFonts w:ascii="標楷體" w:eastAsia="標楷體" w:hAnsi="標楷體"/>
              </w:rPr>
            </w:pPr>
          </w:p>
        </w:tc>
        <w:tc>
          <w:tcPr>
            <w:tcW w:w="2555"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665EF3C5" w14:textId="77777777" w:rsidR="00BD776B" w:rsidRDefault="00DF0C24">
            <w:pPr>
              <w:snapToGrid w:val="0"/>
              <w:spacing w:line="380" w:lineRule="exact"/>
              <w:rPr>
                <w:rFonts w:ascii="標楷體" w:eastAsia="標楷體" w:hAnsi="標楷體"/>
              </w:rPr>
            </w:pPr>
            <w:r>
              <w:rPr>
                <w:rFonts w:ascii="標楷體" w:eastAsia="標楷體" w:hAnsi="標楷體"/>
              </w:rPr>
              <w:t>至　　年　　月　　日</w:t>
            </w:r>
          </w:p>
        </w:tc>
      </w:tr>
    </w:tbl>
    <w:p w14:paraId="0CED3A2B" w14:textId="77777777" w:rsidR="00BD776B" w:rsidRDefault="00BD776B">
      <w:pPr>
        <w:snapToGrid w:val="0"/>
        <w:rPr>
          <w:rFonts w:ascii="標楷體" w:eastAsia="標楷體" w:hAnsi="標楷體" w:cs="Arial"/>
        </w:rPr>
      </w:pPr>
    </w:p>
    <w:tbl>
      <w:tblPr>
        <w:tblW w:w="9536" w:type="dxa"/>
        <w:tblInd w:w="339" w:type="dxa"/>
        <w:tblCellMar>
          <w:left w:w="10" w:type="dxa"/>
          <w:right w:w="10" w:type="dxa"/>
        </w:tblCellMar>
        <w:tblLook w:val="0000" w:firstRow="0" w:lastRow="0" w:firstColumn="0" w:lastColumn="0" w:noHBand="0" w:noVBand="0"/>
      </w:tblPr>
      <w:tblGrid>
        <w:gridCol w:w="649"/>
        <w:gridCol w:w="80"/>
        <w:gridCol w:w="1240"/>
        <w:gridCol w:w="4150"/>
        <w:gridCol w:w="3391"/>
        <w:gridCol w:w="26"/>
      </w:tblGrid>
      <w:tr w:rsidR="00BD776B" w14:paraId="2E3B5CF7" w14:textId="77777777">
        <w:tc>
          <w:tcPr>
            <w:tcW w:w="9536" w:type="dxa"/>
            <w:gridSpan w:val="6"/>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03DD4377" w14:textId="77777777" w:rsidR="00BD776B" w:rsidRDefault="00DF0C24">
            <w:pPr>
              <w:snapToGrid w:val="0"/>
              <w:spacing w:line="276" w:lineRule="auto"/>
              <w:ind w:left="372" w:hanging="372"/>
            </w:pPr>
            <w:r>
              <w:rPr>
                <w:rFonts w:ascii="標楷體" w:eastAsia="標楷體" w:hAnsi="標楷體"/>
                <w:sz w:val="26"/>
                <w:szCs w:val="26"/>
              </w:rPr>
              <w:t>□</w:t>
            </w:r>
            <w:r>
              <w:rPr>
                <w:rFonts w:ascii="標楷體" w:eastAsia="標楷體" w:hAnsi="標楷體"/>
                <w:b/>
                <w:sz w:val="26"/>
                <w:szCs w:val="26"/>
              </w:rPr>
              <w:t>符合經系統性治療無效，或因醫療因素而無法接受其他系統性治療之慢性紅皮症乾癬：（定義請參照給付規定）</w:t>
            </w:r>
          </w:p>
          <w:p w14:paraId="5A71D66A" w14:textId="77777777" w:rsidR="00BD776B" w:rsidRDefault="00DF0C24" w:rsidP="008A7063">
            <w:pPr>
              <w:numPr>
                <w:ilvl w:val="0"/>
                <w:numId w:val="97"/>
              </w:numPr>
              <w:snapToGrid w:val="0"/>
              <w:spacing w:line="276" w:lineRule="auto"/>
              <w:ind w:left="512" w:hanging="197"/>
              <w:rPr>
                <w:rFonts w:ascii="標楷體" w:eastAsia="標楷體" w:hAnsi="標楷體"/>
                <w:sz w:val="26"/>
                <w:szCs w:val="26"/>
              </w:rPr>
            </w:pPr>
            <w:r>
              <w:rPr>
                <w:rFonts w:ascii="標楷體" w:eastAsia="標楷體" w:hAnsi="標楷體"/>
                <w:sz w:val="26"/>
                <w:szCs w:val="26"/>
              </w:rPr>
              <w:t>□符合範圍≧75%體表面積，且病史超過1年。</w:t>
            </w:r>
          </w:p>
          <w:p w14:paraId="5C3B8476" w14:textId="77777777" w:rsidR="00BD776B" w:rsidRDefault="00DF0C24" w:rsidP="008A7063">
            <w:pPr>
              <w:numPr>
                <w:ilvl w:val="0"/>
                <w:numId w:val="97"/>
              </w:numPr>
              <w:snapToGrid w:val="0"/>
              <w:spacing w:line="276" w:lineRule="auto"/>
              <w:ind w:left="1019" w:hanging="704"/>
              <w:rPr>
                <w:rFonts w:ascii="標楷體" w:eastAsia="標楷體" w:hAnsi="標楷體"/>
                <w:sz w:val="26"/>
                <w:szCs w:val="26"/>
              </w:rPr>
            </w:pPr>
            <w:r>
              <w:rPr>
                <w:rFonts w:ascii="標楷體" w:eastAsia="標楷體" w:hAnsi="標楷體"/>
                <w:sz w:val="26"/>
                <w:szCs w:val="26"/>
              </w:rPr>
              <w:t>□符合以cyclosporin足量（5mg/kg/d，除非有明顯不良反應）治療6個月以上，停藥未滿3個月即復發到PASI＞10或體表面積＞30（需經皮膚科醫師評估）。</w:t>
            </w:r>
          </w:p>
          <w:tbl>
            <w:tblPr>
              <w:tblW w:w="7797" w:type="dxa"/>
              <w:tblInd w:w="1021" w:type="dxa"/>
              <w:tblCellMar>
                <w:left w:w="10" w:type="dxa"/>
                <w:right w:w="10" w:type="dxa"/>
              </w:tblCellMar>
              <w:tblLook w:val="0000" w:firstRow="0" w:lastRow="0" w:firstColumn="0" w:lastColumn="0" w:noHBand="0" w:noVBand="0"/>
            </w:tblPr>
            <w:tblGrid>
              <w:gridCol w:w="1656"/>
              <w:gridCol w:w="1455"/>
              <w:gridCol w:w="2056"/>
              <w:gridCol w:w="2630"/>
            </w:tblGrid>
            <w:tr w:rsidR="00BD776B" w14:paraId="5DB0DDC4"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5888B" w14:textId="77777777" w:rsidR="00BD776B" w:rsidRDefault="00BD776B">
                  <w:pPr>
                    <w:snapToGrid w:val="0"/>
                    <w:spacing w:line="360" w:lineRule="auto"/>
                    <w:rPr>
                      <w:rFonts w:ascii="標楷體" w:eastAsia="標楷體" w:hAnsi="標楷體"/>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428FE" w14:textId="77777777" w:rsidR="00BD776B" w:rsidRDefault="00DF0C24">
                  <w:pPr>
                    <w:snapToGrid w:val="0"/>
                    <w:spacing w:line="360" w:lineRule="auto"/>
                    <w:rPr>
                      <w:rFonts w:ascii="標楷體" w:eastAsia="標楷體" w:hAnsi="標楷體"/>
                    </w:rPr>
                  </w:pPr>
                  <w:r>
                    <w:rPr>
                      <w:rFonts w:ascii="標楷體" w:eastAsia="標楷體" w:hAnsi="標楷體"/>
                    </w:rPr>
                    <w:t>使用劑量</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572B6" w14:textId="77777777" w:rsidR="00BD776B" w:rsidRDefault="00DF0C24">
                  <w:pPr>
                    <w:snapToGrid w:val="0"/>
                    <w:spacing w:line="360" w:lineRule="auto"/>
                    <w:jc w:val="center"/>
                    <w:rPr>
                      <w:rFonts w:ascii="標楷體" w:eastAsia="標楷體" w:hAnsi="標楷體"/>
                    </w:rPr>
                  </w:pPr>
                  <w:r>
                    <w:rPr>
                      <w:rFonts w:ascii="標楷體" w:eastAsia="標楷體" w:hAnsi="標楷體"/>
                    </w:rPr>
                    <w:t>使用時間</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E932D" w14:textId="77777777" w:rsidR="00BD776B" w:rsidRDefault="00DF0C24">
                  <w:pPr>
                    <w:snapToGrid w:val="0"/>
                    <w:spacing w:line="360" w:lineRule="auto"/>
                    <w:rPr>
                      <w:rFonts w:ascii="標楷體" w:eastAsia="標楷體" w:hAnsi="標楷體"/>
                    </w:rPr>
                  </w:pPr>
                  <w:r>
                    <w:rPr>
                      <w:rFonts w:ascii="標楷體" w:eastAsia="標楷體" w:hAnsi="標楷體"/>
                    </w:rPr>
                    <w:t>停用理由</w:t>
                  </w:r>
                </w:p>
              </w:tc>
            </w:tr>
            <w:tr w:rsidR="00BD776B" w14:paraId="073C2F0D"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89FC9" w14:textId="77777777" w:rsidR="00BD776B" w:rsidRDefault="00DF0C24">
                  <w:pPr>
                    <w:snapToGrid w:val="0"/>
                    <w:spacing w:line="360" w:lineRule="auto"/>
                    <w:rPr>
                      <w:rFonts w:ascii="標楷體" w:eastAsia="標楷體" w:hAnsi="標楷體"/>
                    </w:rPr>
                  </w:pPr>
                  <w:r>
                    <w:rPr>
                      <w:rFonts w:ascii="標楷體" w:eastAsia="標楷體" w:hAnsi="標楷體"/>
                    </w:rPr>
                    <w:t>cyclosporin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6DE53" w14:textId="77777777" w:rsidR="00BD776B" w:rsidRDefault="00DF0C24">
                  <w:pPr>
                    <w:snapToGrid w:val="0"/>
                    <w:spacing w:line="360" w:lineRule="auto"/>
                    <w:rPr>
                      <w:rFonts w:ascii="標楷體" w:eastAsia="標楷體" w:hAnsi="標楷體"/>
                    </w:rPr>
                  </w:pPr>
                  <w:r>
                    <w:rPr>
                      <w:rFonts w:ascii="標楷體" w:eastAsia="標楷體" w:hAnsi="標楷體"/>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BFD1B" w14:textId="77777777" w:rsidR="00BD776B" w:rsidRDefault="00DF0C24">
                  <w:pPr>
                    <w:snapToGrid w:val="0"/>
                    <w:rPr>
                      <w:rFonts w:ascii="標楷體" w:eastAsia="標楷體" w:hAnsi="標楷體"/>
                    </w:rPr>
                  </w:pPr>
                  <w:r>
                    <w:rPr>
                      <w:rFonts w:ascii="標楷體" w:eastAsia="標楷體" w:hAnsi="標楷體"/>
                    </w:rPr>
                    <w:t>__年__月__日至</w:t>
                  </w:r>
                </w:p>
                <w:p w14:paraId="4649BE50" w14:textId="77777777" w:rsidR="00BD776B" w:rsidRDefault="00DF0C24">
                  <w:pPr>
                    <w:snapToGrid w:val="0"/>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6E42C" w14:textId="77777777" w:rsidR="00BD776B" w:rsidRDefault="00BD776B">
                  <w:pPr>
                    <w:snapToGrid w:val="0"/>
                    <w:spacing w:line="360" w:lineRule="auto"/>
                    <w:rPr>
                      <w:rFonts w:ascii="標楷體" w:eastAsia="標楷體" w:hAnsi="標楷體"/>
                    </w:rPr>
                  </w:pPr>
                </w:p>
              </w:tc>
            </w:tr>
          </w:tbl>
          <w:p w14:paraId="2AE5A8A4" w14:textId="77777777" w:rsidR="00BD776B" w:rsidRDefault="00DF0C24" w:rsidP="008A7063">
            <w:pPr>
              <w:numPr>
                <w:ilvl w:val="0"/>
                <w:numId w:val="97"/>
              </w:numPr>
              <w:snapToGrid w:val="0"/>
              <w:spacing w:line="276" w:lineRule="auto"/>
              <w:ind w:left="1019" w:hanging="704"/>
              <w:rPr>
                <w:rFonts w:ascii="標楷體" w:eastAsia="標楷體" w:hAnsi="標楷體"/>
                <w:sz w:val="26"/>
                <w:szCs w:val="26"/>
              </w:rPr>
            </w:pPr>
            <w:r>
              <w:rPr>
                <w:rFonts w:ascii="標楷體" w:eastAsia="標楷體" w:hAnsi="標楷體"/>
                <w:sz w:val="26"/>
                <w:szCs w:val="26"/>
              </w:rPr>
              <w:t>□符合以methotrexate及acitretin治療無效（目前未達PASI或BSA申請標準者，需同時附治療前後資料）。</w:t>
            </w:r>
          </w:p>
          <w:tbl>
            <w:tblPr>
              <w:tblW w:w="7797" w:type="dxa"/>
              <w:tblInd w:w="1021" w:type="dxa"/>
              <w:tblCellMar>
                <w:left w:w="10" w:type="dxa"/>
                <w:right w:w="10" w:type="dxa"/>
              </w:tblCellMar>
              <w:tblLook w:val="0000" w:firstRow="0" w:lastRow="0" w:firstColumn="0" w:lastColumn="0" w:noHBand="0" w:noVBand="0"/>
            </w:tblPr>
            <w:tblGrid>
              <w:gridCol w:w="1656"/>
              <w:gridCol w:w="1455"/>
              <w:gridCol w:w="2056"/>
              <w:gridCol w:w="2630"/>
            </w:tblGrid>
            <w:tr w:rsidR="00BD776B" w14:paraId="1B6C1AE6"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67C8" w14:textId="77777777" w:rsidR="00BD776B" w:rsidRDefault="00BD776B">
                  <w:pPr>
                    <w:snapToGrid w:val="0"/>
                    <w:spacing w:line="360" w:lineRule="auto"/>
                    <w:rPr>
                      <w:rFonts w:ascii="標楷體" w:eastAsia="標楷體" w:hAnsi="標楷體"/>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13315" w14:textId="77777777" w:rsidR="00BD776B" w:rsidRDefault="00DF0C24">
                  <w:pPr>
                    <w:snapToGrid w:val="0"/>
                    <w:spacing w:line="360" w:lineRule="auto"/>
                    <w:rPr>
                      <w:rFonts w:ascii="標楷體" w:eastAsia="標楷體" w:hAnsi="標楷體"/>
                    </w:rPr>
                  </w:pPr>
                  <w:r>
                    <w:rPr>
                      <w:rFonts w:ascii="標楷體" w:eastAsia="標楷體" w:hAnsi="標楷體"/>
                    </w:rPr>
                    <w:t>使用劑量</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74C9" w14:textId="77777777" w:rsidR="00BD776B" w:rsidRDefault="00DF0C24">
                  <w:pPr>
                    <w:snapToGrid w:val="0"/>
                    <w:spacing w:line="360" w:lineRule="auto"/>
                    <w:jc w:val="center"/>
                    <w:rPr>
                      <w:rFonts w:ascii="標楷體" w:eastAsia="標楷體" w:hAnsi="標楷體"/>
                    </w:rPr>
                  </w:pPr>
                  <w:r>
                    <w:rPr>
                      <w:rFonts w:ascii="標楷體" w:eastAsia="標楷體" w:hAnsi="標楷體"/>
                    </w:rPr>
                    <w:t>使用時間</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A19C9" w14:textId="77777777" w:rsidR="00BD776B" w:rsidRDefault="00DF0C24">
                  <w:pPr>
                    <w:snapToGrid w:val="0"/>
                    <w:spacing w:line="360" w:lineRule="auto"/>
                    <w:rPr>
                      <w:rFonts w:ascii="標楷體" w:eastAsia="標楷體" w:hAnsi="標楷體"/>
                    </w:rPr>
                  </w:pPr>
                  <w:r>
                    <w:rPr>
                      <w:rFonts w:ascii="標楷體" w:eastAsia="標楷體" w:hAnsi="標楷體"/>
                    </w:rPr>
                    <w:t>停用理由</w:t>
                  </w:r>
                </w:p>
              </w:tc>
            </w:tr>
            <w:tr w:rsidR="00BD776B" w14:paraId="5009BD9B"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0AC18" w14:textId="77777777" w:rsidR="00BD776B" w:rsidRDefault="00DF0C24">
                  <w:pPr>
                    <w:snapToGrid w:val="0"/>
                    <w:spacing w:line="360" w:lineRule="auto"/>
                    <w:rPr>
                      <w:rFonts w:ascii="標楷體" w:eastAsia="標楷體" w:hAnsi="標楷體"/>
                    </w:rPr>
                  </w:pPr>
                  <w:r>
                    <w:rPr>
                      <w:rFonts w:ascii="標楷體" w:eastAsia="標楷體" w:hAnsi="標楷體"/>
                    </w:rPr>
                    <w:t>Acitretin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6D396" w14:textId="77777777" w:rsidR="00BD776B" w:rsidRDefault="00DF0C24">
                  <w:pPr>
                    <w:snapToGrid w:val="0"/>
                    <w:spacing w:line="360" w:lineRule="auto"/>
                    <w:rPr>
                      <w:rFonts w:ascii="標楷體" w:eastAsia="標楷體" w:hAnsi="標楷體"/>
                    </w:rPr>
                  </w:pPr>
                  <w:r>
                    <w:rPr>
                      <w:rFonts w:ascii="標楷體" w:eastAsia="標楷體" w:hAnsi="標楷體"/>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FE42E" w14:textId="77777777" w:rsidR="00BD776B" w:rsidRDefault="00DF0C24">
                  <w:pPr>
                    <w:snapToGrid w:val="0"/>
                    <w:rPr>
                      <w:rFonts w:ascii="標楷體" w:eastAsia="標楷體" w:hAnsi="標楷體"/>
                    </w:rPr>
                  </w:pPr>
                  <w:r>
                    <w:rPr>
                      <w:rFonts w:ascii="標楷體" w:eastAsia="標楷體" w:hAnsi="標楷體"/>
                    </w:rPr>
                    <w:t>__年__月__日至</w:t>
                  </w:r>
                </w:p>
                <w:p w14:paraId="47F18583" w14:textId="77777777" w:rsidR="00BD776B" w:rsidRDefault="00DF0C24">
                  <w:pPr>
                    <w:snapToGrid w:val="0"/>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BD366" w14:textId="77777777" w:rsidR="00BD776B" w:rsidRDefault="00BD776B">
                  <w:pPr>
                    <w:snapToGrid w:val="0"/>
                    <w:spacing w:line="360" w:lineRule="auto"/>
                    <w:rPr>
                      <w:rFonts w:ascii="標楷體" w:eastAsia="標楷體" w:hAnsi="標楷體"/>
                    </w:rPr>
                  </w:pPr>
                </w:p>
              </w:tc>
            </w:tr>
            <w:tr w:rsidR="00BD776B" w14:paraId="777FB646"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BD13" w14:textId="77777777" w:rsidR="00BD776B" w:rsidRDefault="00DF0C24">
                  <w:pPr>
                    <w:snapToGrid w:val="0"/>
                    <w:spacing w:line="360" w:lineRule="auto"/>
                    <w:rPr>
                      <w:rFonts w:ascii="標楷體" w:eastAsia="標楷體" w:hAnsi="標楷體"/>
                    </w:rPr>
                  </w:pPr>
                  <w:r>
                    <w:rPr>
                      <w:rFonts w:ascii="標楷體" w:eastAsia="標楷體" w:hAnsi="標楷體"/>
                    </w:rPr>
                    <w:t>Methotrexate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14C9B" w14:textId="77777777" w:rsidR="00BD776B" w:rsidRDefault="00DF0C24">
                  <w:pPr>
                    <w:snapToGrid w:val="0"/>
                    <w:spacing w:line="360" w:lineRule="auto"/>
                    <w:rPr>
                      <w:rFonts w:ascii="標楷體" w:eastAsia="標楷體" w:hAnsi="標楷體"/>
                    </w:rPr>
                  </w:pPr>
                  <w:r>
                    <w:rPr>
                      <w:rFonts w:ascii="標楷體" w:eastAsia="標楷體" w:hAnsi="標楷體"/>
                    </w:rPr>
                    <w:t>___mg/week</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4B3D2" w14:textId="77777777" w:rsidR="00BD776B" w:rsidRDefault="00DF0C24">
                  <w:pPr>
                    <w:snapToGrid w:val="0"/>
                    <w:rPr>
                      <w:rFonts w:ascii="標楷體" w:eastAsia="標楷體" w:hAnsi="標楷體"/>
                    </w:rPr>
                  </w:pPr>
                  <w:r>
                    <w:rPr>
                      <w:rFonts w:ascii="標楷體" w:eastAsia="標楷體" w:hAnsi="標楷體"/>
                    </w:rPr>
                    <w:t>__年__月__日至</w:t>
                  </w:r>
                </w:p>
                <w:p w14:paraId="50A34D24" w14:textId="77777777" w:rsidR="00BD776B" w:rsidRDefault="00DF0C24">
                  <w:pPr>
                    <w:snapToGrid w:val="0"/>
                    <w:rPr>
                      <w:rFonts w:ascii="標楷體" w:eastAsia="標楷體" w:hAnsi="標楷體"/>
                    </w:rPr>
                  </w:pPr>
                  <w:r>
                    <w:rPr>
                      <w:rFonts w:ascii="標楷體" w:eastAsia="標楷體" w:hAnsi="標楷體"/>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32D5B" w14:textId="77777777" w:rsidR="00BD776B" w:rsidRDefault="00BD776B">
                  <w:pPr>
                    <w:snapToGrid w:val="0"/>
                    <w:spacing w:line="360" w:lineRule="auto"/>
                    <w:rPr>
                      <w:rFonts w:ascii="標楷體" w:eastAsia="標楷體" w:hAnsi="標楷體"/>
                    </w:rPr>
                  </w:pPr>
                </w:p>
              </w:tc>
            </w:tr>
          </w:tbl>
          <w:p w14:paraId="7980A0CD" w14:textId="77777777" w:rsidR="00BD776B" w:rsidRDefault="00DF0C24">
            <w:pPr>
              <w:snapToGrid w:val="0"/>
              <w:spacing w:line="360" w:lineRule="auto"/>
              <w:ind w:left="1025"/>
              <w:rPr>
                <w:rFonts w:ascii="標楷體" w:eastAsia="標楷體" w:hAnsi="標楷體"/>
              </w:rPr>
            </w:pPr>
            <w:r>
              <w:rPr>
                <w:rFonts w:ascii="標楷體" w:eastAsia="標楷體" w:hAnsi="標楷體"/>
              </w:rPr>
              <w:t>患者體重:_____kg</w:t>
            </w:r>
          </w:p>
          <w:p w14:paraId="56A5BE99" w14:textId="77777777" w:rsidR="00BD776B" w:rsidRDefault="00DF0C24" w:rsidP="008A7063">
            <w:pPr>
              <w:numPr>
                <w:ilvl w:val="0"/>
                <w:numId w:val="97"/>
              </w:numPr>
              <w:snapToGrid w:val="0"/>
              <w:spacing w:line="276" w:lineRule="auto"/>
              <w:ind w:left="1019" w:hanging="704"/>
              <w:rPr>
                <w:rFonts w:ascii="標楷體" w:eastAsia="標楷體" w:hAnsi="標楷體"/>
                <w:sz w:val="26"/>
                <w:szCs w:val="26"/>
              </w:rPr>
            </w:pPr>
            <w:r>
              <w:rPr>
                <w:rFonts w:ascii="標楷體" w:eastAsia="標楷體" w:hAnsi="標楷體"/>
                <w:sz w:val="26"/>
                <w:szCs w:val="26"/>
              </w:rPr>
              <w:t>□乾癬面積暨嚴重度指數〔PsoriasisAreaSeverityIndex（PASI）〕≧10(不適用PASI測定如膿疱性乾癬，則以範圍≧10%體表面積)。</w:t>
            </w:r>
          </w:p>
          <w:p w14:paraId="2F8DE39A" w14:textId="77777777" w:rsidR="00BD776B" w:rsidRDefault="00DF0C24">
            <w:pPr>
              <w:snapToGrid w:val="0"/>
              <w:spacing w:line="276" w:lineRule="auto"/>
              <w:ind w:left="905"/>
              <w:rPr>
                <w:rFonts w:ascii="標楷體" w:eastAsia="標楷體" w:hAnsi="標楷體"/>
              </w:rPr>
            </w:pPr>
            <w:r>
              <w:rPr>
                <w:rFonts w:ascii="標楷體" w:eastAsia="標楷體" w:hAnsi="標楷體"/>
              </w:rPr>
              <w:t>PASI＝0.1*（___＋___＋___）*___＋0.3*（___＋___＋___）*___＋</w:t>
            </w:r>
          </w:p>
          <w:p w14:paraId="716153A0" w14:textId="77777777" w:rsidR="00BD776B" w:rsidRDefault="00DF0C24">
            <w:pPr>
              <w:snapToGrid w:val="0"/>
              <w:spacing w:line="276" w:lineRule="auto"/>
              <w:ind w:left="1910" w:hanging="12"/>
              <w:rPr>
                <w:rFonts w:ascii="標楷體" w:eastAsia="標楷體" w:hAnsi="標楷體"/>
              </w:rPr>
            </w:pPr>
            <w:r>
              <w:rPr>
                <w:rFonts w:ascii="標楷體" w:eastAsia="標楷體" w:hAnsi="標楷體"/>
              </w:rPr>
              <w:t>0.2*（___＋___＋___）*___＋0.4*（___＋___＋___）*___</w:t>
            </w:r>
          </w:p>
          <w:p w14:paraId="3DD2024F" w14:textId="77777777" w:rsidR="00BD776B" w:rsidRDefault="00DF0C24">
            <w:pPr>
              <w:tabs>
                <w:tab w:val="left" w:pos="1504"/>
              </w:tabs>
              <w:snapToGrid w:val="0"/>
              <w:spacing w:line="276" w:lineRule="auto"/>
              <w:ind w:left="1690"/>
              <w:rPr>
                <w:rFonts w:ascii="標楷體" w:eastAsia="標楷體" w:hAnsi="標楷體"/>
              </w:rPr>
            </w:pPr>
            <w:r>
              <w:rPr>
                <w:rFonts w:ascii="標楷體" w:eastAsia="標楷體" w:hAnsi="標楷體"/>
              </w:rPr>
              <w:t>＝</w:t>
            </w:r>
          </w:p>
          <w:p w14:paraId="3CAF5ACE" w14:textId="77777777" w:rsidR="00BD776B" w:rsidRDefault="00BD776B">
            <w:pPr>
              <w:tabs>
                <w:tab w:val="left" w:pos="1386"/>
                <w:tab w:val="left" w:pos="1788"/>
              </w:tabs>
              <w:snapToGrid w:val="0"/>
              <w:spacing w:line="276" w:lineRule="auto"/>
              <w:ind w:left="905"/>
              <w:rPr>
                <w:rFonts w:ascii="標楷體" w:eastAsia="標楷體" w:hAnsi="標楷體"/>
              </w:rPr>
            </w:pPr>
          </w:p>
        </w:tc>
      </w:tr>
      <w:tr w:rsidR="00BD776B" w14:paraId="4D8968F2" w14:textId="77777777">
        <w:tc>
          <w:tcPr>
            <w:tcW w:w="9510" w:type="dxa"/>
            <w:gridSpan w:val="5"/>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366A3830" w14:textId="77777777" w:rsidR="00BD776B" w:rsidRDefault="00DF0C24">
            <w:pPr>
              <w:snapToGrid w:val="0"/>
              <w:spacing w:before="360" w:line="276" w:lineRule="auto"/>
            </w:pPr>
            <w:r>
              <w:rPr>
                <w:rFonts w:ascii="標楷體" w:eastAsia="標楷體" w:hAnsi="標楷體"/>
                <w:sz w:val="26"/>
                <w:szCs w:val="26"/>
              </w:rPr>
              <w:t>□</w:t>
            </w:r>
            <w:r>
              <w:rPr>
                <w:rFonts w:ascii="標楷體" w:eastAsia="標楷體" w:hAnsi="標楷體"/>
                <w:b/>
                <w:sz w:val="26"/>
                <w:szCs w:val="26"/>
              </w:rPr>
              <w:t>符合繼續使用之療效評估：</w:t>
            </w:r>
          </w:p>
          <w:p w14:paraId="23FA55B7" w14:textId="77777777" w:rsidR="00BD776B" w:rsidRDefault="00DF0C24">
            <w:pPr>
              <w:snapToGrid w:val="0"/>
              <w:ind w:left="317"/>
              <w:rPr>
                <w:rFonts w:ascii="標楷體" w:eastAsia="標楷體" w:hAnsi="標楷體"/>
                <w:b/>
                <w:sz w:val="26"/>
                <w:szCs w:val="26"/>
              </w:rPr>
            </w:pPr>
            <w:r>
              <w:rPr>
                <w:rFonts w:ascii="標楷體" w:eastAsia="標楷體" w:hAnsi="標楷體"/>
                <w:b/>
                <w:sz w:val="26"/>
                <w:szCs w:val="26"/>
              </w:rPr>
              <w:t>初次療程</w:t>
            </w:r>
          </w:p>
          <w:p w14:paraId="55B723DF" w14:textId="77777777" w:rsidR="00BD776B" w:rsidRDefault="00DF0C24" w:rsidP="008A7063">
            <w:pPr>
              <w:numPr>
                <w:ilvl w:val="0"/>
                <w:numId w:val="98"/>
              </w:numPr>
              <w:snapToGrid w:val="0"/>
              <w:spacing w:line="276" w:lineRule="auto"/>
              <w:ind w:left="1019" w:hanging="702"/>
              <w:rPr>
                <w:rFonts w:ascii="標楷體" w:eastAsia="標楷體" w:hAnsi="標楷體"/>
                <w:sz w:val="26"/>
                <w:szCs w:val="26"/>
              </w:rPr>
            </w:pPr>
            <w:r>
              <w:rPr>
                <w:rFonts w:ascii="標楷體" w:eastAsia="標楷體" w:hAnsi="標楷體"/>
                <w:sz w:val="26"/>
                <w:szCs w:val="26"/>
              </w:rPr>
              <w:t>□於初次療程之第12週（使用ustekinumab者為第16週）評估時，至少有PASI25療效。</w:t>
            </w:r>
          </w:p>
          <w:p w14:paraId="6DE80C68" w14:textId="77777777" w:rsidR="00BD776B" w:rsidRDefault="00DF0C24" w:rsidP="008A7063">
            <w:pPr>
              <w:numPr>
                <w:ilvl w:val="0"/>
                <w:numId w:val="98"/>
              </w:numPr>
              <w:snapToGrid w:val="0"/>
              <w:spacing w:line="276" w:lineRule="auto"/>
              <w:ind w:left="1019" w:hanging="702"/>
              <w:rPr>
                <w:rFonts w:ascii="標楷體" w:eastAsia="標楷體" w:hAnsi="標楷體"/>
                <w:sz w:val="26"/>
                <w:szCs w:val="26"/>
              </w:rPr>
            </w:pPr>
            <w:r>
              <w:rPr>
                <w:rFonts w:ascii="標楷體" w:eastAsia="標楷體" w:hAnsi="標楷體"/>
                <w:sz w:val="26"/>
                <w:szCs w:val="26"/>
              </w:rPr>
              <w:t>□經過6個月療程治療後，因回復使用cyclosporin而產生腎功能異常（Creatinine基礎值上升≧30%），或其他無法有效控制之副作用，經減藥後仍無法有效控制乾癬。</w:t>
            </w:r>
          </w:p>
          <w:p w14:paraId="7A30EF48" w14:textId="77777777" w:rsidR="00BD776B" w:rsidRDefault="00DF0C24">
            <w:pPr>
              <w:snapToGrid w:val="0"/>
              <w:ind w:left="317"/>
              <w:rPr>
                <w:rFonts w:ascii="標楷體" w:eastAsia="標楷體" w:hAnsi="標楷體"/>
                <w:b/>
                <w:sz w:val="26"/>
                <w:szCs w:val="26"/>
              </w:rPr>
            </w:pPr>
            <w:r>
              <w:rPr>
                <w:rFonts w:ascii="標楷體" w:eastAsia="標楷體" w:hAnsi="標楷體"/>
                <w:b/>
                <w:sz w:val="26"/>
                <w:szCs w:val="26"/>
              </w:rPr>
              <w:lastRenderedPageBreak/>
              <w:t>重複療程</w:t>
            </w:r>
          </w:p>
          <w:p w14:paraId="4258A6F3" w14:textId="77777777" w:rsidR="00BD776B" w:rsidRDefault="00DF0C24" w:rsidP="008A7063">
            <w:pPr>
              <w:numPr>
                <w:ilvl w:val="0"/>
                <w:numId w:val="98"/>
              </w:numPr>
              <w:snapToGrid w:val="0"/>
              <w:spacing w:line="276" w:lineRule="auto"/>
              <w:ind w:left="865" w:hanging="548"/>
              <w:rPr>
                <w:rFonts w:ascii="標楷體" w:eastAsia="標楷體" w:hAnsi="標楷體"/>
                <w:sz w:val="26"/>
                <w:szCs w:val="26"/>
              </w:rPr>
            </w:pPr>
            <w:r>
              <w:rPr>
                <w:rFonts w:ascii="標楷體" w:eastAsia="標楷體" w:hAnsi="標楷體"/>
                <w:sz w:val="26"/>
                <w:szCs w:val="26"/>
              </w:rPr>
              <w:t>□再次申請時，符合下列條件之一：</w:t>
            </w:r>
          </w:p>
          <w:p w14:paraId="5E09939D" w14:textId="77777777" w:rsidR="00BD776B" w:rsidRDefault="00DF0C24" w:rsidP="008A7063">
            <w:pPr>
              <w:numPr>
                <w:ilvl w:val="0"/>
                <w:numId w:val="99"/>
              </w:numPr>
              <w:snapToGrid w:val="0"/>
              <w:spacing w:line="276" w:lineRule="auto"/>
              <w:ind w:left="793" w:hanging="164"/>
              <w:rPr>
                <w:rFonts w:ascii="標楷體" w:eastAsia="標楷體" w:hAnsi="標楷體"/>
                <w:sz w:val="26"/>
                <w:szCs w:val="26"/>
              </w:rPr>
            </w:pPr>
            <w:r>
              <w:rPr>
                <w:rFonts w:ascii="標楷體" w:eastAsia="標楷體" w:hAnsi="標楷體"/>
                <w:sz w:val="26"/>
                <w:szCs w:val="26"/>
              </w:rPr>
              <w:t>□與初次治療前之療效達PASI50；</w:t>
            </w:r>
          </w:p>
          <w:p w14:paraId="3070D7FC" w14:textId="77777777" w:rsidR="00BD776B" w:rsidRDefault="00DF0C24" w:rsidP="008A7063">
            <w:pPr>
              <w:numPr>
                <w:ilvl w:val="0"/>
                <w:numId w:val="99"/>
              </w:numPr>
              <w:snapToGrid w:val="0"/>
              <w:spacing w:line="276" w:lineRule="auto"/>
              <w:ind w:left="795" w:hanging="69"/>
              <w:rPr>
                <w:rFonts w:ascii="標楷體" w:eastAsia="標楷體" w:hAnsi="標楷體"/>
                <w:sz w:val="26"/>
                <w:szCs w:val="26"/>
              </w:rPr>
            </w:pPr>
            <w:r>
              <w:rPr>
                <w:rFonts w:ascii="標楷體" w:eastAsia="標楷體" w:hAnsi="標楷體"/>
                <w:sz w:val="26"/>
                <w:szCs w:val="26"/>
              </w:rPr>
              <w:t>□暫緩續用後至少有50%復發（需附上次療程治療前、後及本次照片）。</w:t>
            </w:r>
          </w:p>
          <w:p w14:paraId="741AB23D" w14:textId="77777777" w:rsidR="00BD776B" w:rsidRDefault="00DF0C24" w:rsidP="008A7063">
            <w:pPr>
              <w:numPr>
                <w:ilvl w:val="0"/>
                <w:numId w:val="98"/>
              </w:numPr>
              <w:snapToGrid w:val="0"/>
              <w:spacing w:line="276" w:lineRule="auto"/>
              <w:rPr>
                <w:rFonts w:ascii="標楷體" w:eastAsia="標楷體" w:hAnsi="標楷體"/>
                <w:sz w:val="26"/>
                <w:szCs w:val="26"/>
              </w:rPr>
            </w:pPr>
            <w:r>
              <w:rPr>
                <w:rFonts w:ascii="標楷體" w:eastAsia="標楷體" w:hAnsi="標楷體"/>
                <w:sz w:val="26"/>
                <w:szCs w:val="26"/>
              </w:rPr>
              <w:t>□上次治療至今病歷影本(至多附6個月)，以及申請日期之臨床照片。</w:t>
            </w:r>
          </w:p>
          <w:p w14:paraId="3F34CA3E" w14:textId="77777777" w:rsidR="00BD776B" w:rsidRDefault="00DF0C24">
            <w:pPr>
              <w:snapToGrid w:val="0"/>
              <w:spacing w:line="276" w:lineRule="auto"/>
              <w:ind w:left="2" w:firstLine="1"/>
              <w:jc w:val="center"/>
              <w:rPr>
                <w:rFonts w:ascii="標楷體" w:eastAsia="標楷體" w:hAnsi="標楷體"/>
                <w:b/>
              </w:rPr>
            </w:pPr>
            <w:r>
              <w:rPr>
                <w:rFonts w:ascii="標楷體" w:eastAsia="標楷體" w:hAnsi="標楷體"/>
                <w:b/>
              </w:rPr>
              <w:t>上次申請之Etanercept/Adalimumab/Ustekinumab/Secukinumab使用時間及使用劑量：</w:t>
            </w:r>
          </w:p>
          <w:tbl>
            <w:tblPr>
              <w:tblW w:w="7859" w:type="dxa"/>
              <w:tblInd w:w="675" w:type="dxa"/>
              <w:tblCellMar>
                <w:left w:w="10" w:type="dxa"/>
                <w:right w:w="10" w:type="dxa"/>
              </w:tblCellMar>
              <w:tblLook w:val="0000" w:firstRow="0" w:lastRow="0" w:firstColumn="0" w:lastColumn="0" w:noHBand="0" w:noVBand="0"/>
            </w:tblPr>
            <w:tblGrid>
              <w:gridCol w:w="2189"/>
              <w:gridCol w:w="2977"/>
              <w:gridCol w:w="2693"/>
            </w:tblGrid>
            <w:tr w:rsidR="00BD776B" w14:paraId="3F09EE54" w14:textId="77777777">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F7E91" w14:textId="77777777" w:rsidR="00BD776B" w:rsidRDefault="00DF0C24">
                  <w:pPr>
                    <w:snapToGrid w:val="0"/>
                    <w:spacing w:line="360" w:lineRule="auto"/>
                    <w:rPr>
                      <w:rFonts w:ascii="標楷體" w:eastAsia="標楷體" w:hAnsi="標楷體"/>
                    </w:rPr>
                  </w:pPr>
                  <w:r>
                    <w:rPr>
                      <w:rFonts w:ascii="標楷體" w:eastAsia="標楷體" w:hAnsi="標楷體"/>
                    </w:rPr>
                    <w:t>使用劑量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77CE9" w14:textId="77777777" w:rsidR="00BD776B" w:rsidRDefault="00DF0C24">
                  <w:pPr>
                    <w:snapToGrid w:val="0"/>
                    <w:spacing w:line="360" w:lineRule="auto"/>
                    <w:jc w:val="center"/>
                    <w:rPr>
                      <w:rFonts w:ascii="標楷體" w:eastAsia="標楷體" w:hAnsi="標楷體"/>
                    </w:rPr>
                  </w:pPr>
                  <w:r>
                    <w:rPr>
                      <w:rFonts w:ascii="標楷體" w:eastAsia="標楷體" w:hAnsi="標楷體"/>
                    </w:rPr>
                    <w:t>使用時間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FB045" w14:textId="77777777" w:rsidR="00BD776B" w:rsidRDefault="00DF0C24">
                  <w:pPr>
                    <w:snapToGrid w:val="0"/>
                    <w:spacing w:line="360" w:lineRule="auto"/>
                    <w:rPr>
                      <w:rFonts w:ascii="標楷體" w:eastAsia="標楷體" w:hAnsi="標楷體"/>
                    </w:rPr>
                  </w:pPr>
                  <w:r>
                    <w:rPr>
                      <w:rFonts w:ascii="標楷體" w:eastAsia="標楷體" w:hAnsi="標楷體"/>
                    </w:rPr>
                    <w:t>PASI治療前後數值</w:t>
                  </w:r>
                </w:p>
              </w:tc>
            </w:tr>
            <w:tr w:rsidR="00BD776B" w14:paraId="668135B8" w14:textId="77777777">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8ED3F" w14:textId="77777777" w:rsidR="00BD776B" w:rsidRDefault="00DF0C24">
                  <w:pPr>
                    <w:snapToGrid w:val="0"/>
                    <w:spacing w:line="360" w:lineRule="auto"/>
                    <w:rPr>
                      <w:rFonts w:ascii="標楷體" w:eastAsia="標楷體" w:hAnsi="標楷體"/>
                    </w:rPr>
                  </w:pPr>
                  <w:r>
                    <w:rPr>
                      <w:rFonts w:ascii="標楷體" w:eastAsia="標楷體" w:hAnsi="標楷體"/>
                    </w:rPr>
                    <w:t>___mg/week</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276D6" w14:textId="77777777" w:rsidR="00BD776B" w:rsidRDefault="00DF0C24">
                  <w:pPr>
                    <w:snapToGrid w:val="0"/>
                    <w:spacing w:line="360" w:lineRule="auto"/>
                    <w:rPr>
                      <w:rFonts w:ascii="標楷體" w:eastAsia="標楷體" w:hAnsi="標楷體"/>
                    </w:rPr>
                  </w:pPr>
                  <w:r>
                    <w:rPr>
                      <w:rFonts w:ascii="標楷體" w:eastAsia="標楷體" w:hAnsi="標楷體"/>
                    </w:rPr>
                    <w:t>__年__月__日至</w:t>
                  </w:r>
                </w:p>
                <w:p w14:paraId="4815A76A" w14:textId="77777777" w:rsidR="00BD776B" w:rsidRDefault="00DF0C24">
                  <w:pPr>
                    <w:snapToGrid w:val="0"/>
                    <w:spacing w:line="360" w:lineRule="auto"/>
                    <w:rPr>
                      <w:rFonts w:ascii="標楷體" w:eastAsia="標楷體" w:hAnsi="標楷體"/>
                    </w:rPr>
                  </w:pPr>
                  <w:r>
                    <w:rPr>
                      <w:rFonts w:ascii="標楷體" w:eastAsia="標楷體" w:hAnsi="標楷體"/>
                    </w:rPr>
                    <w:t>__年__月__日</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465C7" w14:textId="77777777" w:rsidR="00BD776B" w:rsidRDefault="00BD776B">
                  <w:pPr>
                    <w:snapToGrid w:val="0"/>
                    <w:spacing w:line="360" w:lineRule="auto"/>
                    <w:rPr>
                      <w:rFonts w:ascii="標楷體" w:eastAsia="標楷體" w:hAnsi="標楷體"/>
                    </w:rPr>
                  </w:pPr>
                </w:p>
              </w:tc>
            </w:tr>
            <w:tr w:rsidR="00BD776B" w14:paraId="6506DAF1" w14:textId="77777777">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B70E" w14:textId="77777777" w:rsidR="00BD776B" w:rsidRDefault="00DF0C24">
                  <w:pPr>
                    <w:snapToGrid w:val="0"/>
                    <w:spacing w:line="360" w:lineRule="auto"/>
                    <w:rPr>
                      <w:rFonts w:ascii="標楷體" w:eastAsia="標楷體" w:hAnsi="標楷體"/>
                    </w:rPr>
                  </w:pPr>
                  <w:r>
                    <w:rPr>
                      <w:rFonts w:ascii="標楷體" w:eastAsia="標楷體" w:hAnsi="標楷體"/>
                    </w:rPr>
                    <w:t>___mg/week</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4B15" w14:textId="77777777" w:rsidR="00BD776B" w:rsidRDefault="00DF0C24">
                  <w:pPr>
                    <w:snapToGrid w:val="0"/>
                    <w:spacing w:line="360" w:lineRule="auto"/>
                    <w:rPr>
                      <w:rFonts w:ascii="標楷體" w:eastAsia="標楷體" w:hAnsi="標楷體"/>
                    </w:rPr>
                  </w:pPr>
                  <w:r>
                    <w:rPr>
                      <w:rFonts w:ascii="標楷體" w:eastAsia="標楷體" w:hAnsi="標楷體"/>
                    </w:rPr>
                    <w:t>__年__月__日至</w:t>
                  </w:r>
                </w:p>
                <w:p w14:paraId="7F224AE7" w14:textId="77777777" w:rsidR="00BD776B" w:rsidRDefault="00DF0C24">
                  <w:pPr>
                    <w:snapToGrid w:val="0"/>
                    <w:spacing w:line="360" w:lineRule="auto"/>
                    <w:rPr>
                      <w:rFonts w:ascii="標楷體" w:eastAsia="標楷體" w:hAnsi="標楷體"/>
                    </w:rPr>
                  </w:pPr>
                  <w:r>
                    <w:rPr>
                      <w:rFonts w:ascii="標楷體" w:eastAsia="標楷體" w:hAnsi="標楷體"/>
                    </w:rPr>
                    <w:t>__年__月__日</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07DCC" w14:textId="77777777" w:rsidR="00BD776B" w:rsidRDefault="00BD776B">
                  <w:pPr>
                    <w:snapToGrid w:val="0"/>
                    <w:spacing w:line="360" w:lineRule="auto"/>
                    <w:rPr>
                      <w:rFonts w:ascii="標楷體" w:eastAsia="標楷體" w:hAnsi="標楷體"/>
                    </w:rPr>
                  </w:pPr>
                </w:p>
              </w:tc>
            </w:tr>
            <w:tr w:rsidR="00BD776B" w14:paraId="7930767B" w14:textId="77777777">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A359A" w14:textId="77777777" w:rsidR="00BD776B" w:rsidRDefault="00DF0C24">
                  <w:pPr>
                    <w:snapToGrid w:val="0"/>
                    <w:spacing w:line="360" w:lineRule="auto"/>
                    <w:rPr>
                      <w:rFonts w:ascii="標楷體" w:eastAsia="標楷體" w:hAnsi="標楷體"/>
                    </w:rPr>
                  </w:pPr>
                  <w:r>
                    <w:rPr>
                      <w:rFonts w:ascii="標楷體" w:eastAsia="標楷體" w:hAnsi="標楷體"/>
                    </w:rPr>
                    <w:t>___mg/week</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73DEB" w14:textId="77777777" w:rsidR="00BD776B" w:rsidRDefault="00DF0C24">
                  <w:pPr>
                    <w:snapToGrid w:val="0"/>
                    <w:spacing w:line="360" w:lineRule="auto"/>
                    <w:rPr>
                      <w:rFonts w:ascii="標楷體" w:eastAsia="標楷體" w:hAnsi="標楷體"/>
                    </w:rPr>
                  </w:pPr>
                  <w:r>
                    <w:rPr>
                      <w:rFonts w:ascii="標楷體" w:eastAsia="標楷體" w:hAnsi="標楷體"/>
                    </w:rPr>
                    <w:t>__年__月__日至</w:t>
                  </w:r>
                </w:p>
                <w:p w14:paraId="15CF4C92" w14:textId="77777777" w:rsidR="00BD776B" w:rsidRDefault="00DF0C24">
                  <w:pPr>
                    <w:snapToGrid w:val="0"/>
                    <w:spacing w:line="360" w:lineRule="auto"/>
                    <w:rPr>
                      <w:rFonts w:ascii="標楷體" w:eastAsia="標楷體" w:hAnsi="標楷體"/>
                    </w:rPr>
                  </w:pPr>
                  <w:r>
                    <w:rPr>
                      <w:rFonts w:ascii="標楷體" w:eastAsia="標楷體" w:hAnsi="標楷體"/>
                    </w:rPr>
                    <w:t>__年__月__日</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93B9B" w14:textId="77777777" w:rsidR="00BD776B" w:rsidRDefault="00BD776B">
                  <w:pPr>
                    <w:snapToGrid w:val="0"/>
                    <w:spacing w:line="360" w:lineRule="auto"/>
                    <w:rPr>
                      <w:rFonts w:ascii="標楷體" w:eastAsia="標楷體" w:hAnsi="標楷體"/>
                    </w:rPr>
                  </w:pPr>
                </w:p>
              </w:tc>
            </w:tr>
          </w:tbl>
          <w:p w14:paraId="533E5055" w14:textId="77777777" w:rsidR="00BD776B" w:rsidRDefault="00BD776B">
            <w:pPr>
              <w:snapToGrid w:val="0"/>
              <w:ind w:left="338"/>
              <w:rPr>
                <w:rFonts w:ascii="標楷體" w:eastAsia="標楷體" w:hAnsi="標楷體"/>
              </w:rPr>
            </w:pPr>
          </w:p>
        </w:tc>
        <w:tc>
          <w:tcPr>
            <w:tcW w:w="26" w:type="dxa"/>
            <w:shd w:val="clear" w:color="auto" w:fill="auto"/>
            <w:tcMar>
              <w:top w:w="0" w:type="dxa"/>
              <w:left w:w="10" w:type="dxa"/>
              <w:bottom w:w="0" w:type="dxa"/>
              <w:right w:w="10" w:type="dxa"/>
            </w:tcMar>
          </w:tcPr>
          <w:p w14:paraId="189CAC44" w14:textId="77777777" w:rsidR="00BD776B" w:rsidRDefault="00BD776B">
            <w:pPr>
              <w:snapToGrid w:val="0"/>
              <w:ind w:left="338"/>
              <w:rPr>
                <w:rFonts w:ascii="標楷體" w:eastAsia="標楷體" w:hAnsi="標楷體"/>
              </w:rPr>
            </w:pPr>
          </w:p>
        </w:tc>
      </w:tr>
      <w:tr w:rsidR="00BD776B" w14:paraId="1CCAB43A" w14:textId="77777777">
        <w:trPr>
          <w:cantSplit/>
          <w:trHeight w:val="281"/>
        </w:trPr>
        <w:tc>
          <w:tcPr>
            <w:tcW w:w="9510" w:type="dxa"/>
            <w:gridSpan w:val="5"/>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2B8BE741" w14:textId="77777777" w:rsidR="00BD776B" w:rsidRDefault="00DF0C24">
            <w:pPr>
              <w:snapToGrid w:val="0"/>
              <w:ind w:left="120"/>
            </w:pPr>
            <w:r>
              <w:rPr>
                <w:rFonts w:ascii="標楷體" w:eastAsia="標楷體" w:hAnsi="標楷體" w:cs="Webdings"/>
              </w:rPr>
              <w:t></w:t>
            </w:r>
            <w:r>
              <w:rPr>
                <w:rFonts w:ascii="標楷體" w:eastAsia="標楷體" w:hAnsi="標楷體"/>
                <w:b/>
                <w:sz w:val="28"/>
              </w:rPr>
              <w:t>符合「需排除或停止使用之情形」</w:t>
            </w:r>
          </w:p>
        </w:tc>
        <w:tc>
          <w:tcPr>
            <w:tcW w:w="26" w:type="dxa"/>
            <w:shd w:val="clear" w:color="auto" w:fill="auto"/>
            <w:tcMar>
              <w:top w:w="0" w:type="dxa"/>
              <w:left w:w="10" w:type="dxa"/>
              <w:bottom w:w="0" w:type="dxa"/>
              <w:right w:w="10" w:type="dxa"/>
            </w:tcMar>
          </w:tcPr>
          <w:p w14:paraId="31336C33" w14:textId="77777777" w:rsidR="00BD776B" w:rsidRDefault="00BD776B">
            <w:pPr>
              <w:snapToGrid w:val="0"/>
              <w:ind w:left="120"/>
              <w:rPr>
                <w:rFonts w:ascii="標楷體" w:eastAsia="標楷體" w:hAnsi="標楷體"/>
              </w:rPr>
            </w:pPr>
          </w:p>
        </w:tc>
      </w:tr>
      <w:tr w:rsidR="00BD776B" w14:paraId="013C0EC4" w14:textId="77777777">
        <w:trPr>
          <w:cantSplit/>
          <w:trHeight w:val="799"/>
        </w:trPr>
        <w:tc>
          <w:tcPr>
            <w:tcW w:w="64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2770C46D" w14:textId="77777777" w:rsidR="00BD776B" w:rsidRDefault="00BD776B">
            <w:pPr>
              <w:snapToGrid w:val="0"/>
              <w:textAlignment w:val="center"/>
              <w:rPr>
                <w:rFonts w:ascii="標楷體" w:eastAsia="標楷體" w:hAnsi="標楷體"/>
              </w:rPr>
            </w:pPr>
          </w:p>
        </w:tc>
        <w:tc>
          <w:tcPr>
            <w:tcW w:w="1320"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2C5BA5" w14:textId="77777777" w:rsidR="00BD776B" w:rsidRDefault="00DF0C24" w:rsidP="008A7063">
            <w:pPr>
              <w:numPr>
                <w:ilvl w:val="0"/>
                <w:numId w:val="84"/>
              </w:numPr>
              <w:tabs>
                <w:tab w:val="left" w:pos="492"/>
              </w:tabs>
              <w:snapToGrid w:val="0"/>
              <w:ind w:left="425" w:hanging="333"/>
              <w:textAlignment w:val="center"/>
              <w:rPr>
                <w:rFonts w:ascii="標楷體" w:eastAsia="標楷體" w:hAnsi="標楷體"/>
              </w:rPr>
            </w:pPr>
            <w:r>
              <w:rPr>
                <w:rFonts w:ascii="標楷體" w:eastAsia="標楷體" w:hAnsi="標楷體"/>
              </w:rPr>
              <w:t>是</w:t>
            </w:r>
          </w:p>
          <w:p w14:paraId="3CC49ECF"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E0D4B2E" w14:textId="77777777" w:rsidR="00BD776B" w:rsidRDefault="00DF0C24">
            <w:pPr>
              <w:snapToGrid w:val="0"/>
              <w:textAlignment w:val="center"/>
              <w:rPr>
                <w:rFonts w:ascii="標楷體" w:eastAsia="標楷體" w:hAnsi="標楷體"/>
              </w:rPr>
            </w:pPr>
            <w:r>
              <w:rPr>
                <w:rFonts w:ascii="標楷體" w:eastAsia="標楷體" w:hAnsi="標楷體"/>
              </w:rPr>
              <w:t>是否有Etanercept/Adalimumab/Ustekinumab/Secukinumab仿單記載之禁忌情形。</w:t>
            </w:r>
          </w:p>
        </w:tc>
        <w:tc>
          <w:tcPr>
            <w:tcW w:w="26" w:type="dxa"/>
            <w:shd w:val="clear" w:color="auto" w:fill="auto"/>
            <w:tcMar>
              <w:top w:w="0" w:type="dxa"/>
              <w:left w:w="10" w:type="dxa"/>
              <w:bottom w:w="0" w:type="dxa"/>
              <w:right w:w="10" w:type="dxa"/>
            </w:tcMar>
          </w:tcPr>
          <w:p w14:paraId="3F0A17B3" w14:textId="77777777" w:rsidR="00BD776B" w:rsidRDefault="00BD776B">
            <w:pPr>
              <w:snapToGrid w:val="0"/>
              <w:textAlignment w:val="center"/>
              <w:rPr>
                <w:rFonts w:ascii="標楷體" w:eastAsia="標楷體" w:hAnsi="標楷體"/>
              </w:rPr>
            </w:pPr>
          </w:p>
        </w:tc>
      </w:tr>
      <w:tr w:rsidR="00BD776B" w14:paraId="779B2FF0" w14:textId="77777777">
        <w:trPr>
          <w:cantSplit/>
          <w:trHeight w:val="400"/>
        </w:trPr>
        <w:tc>
          <w:tcPr>
            <w:tcW w:w="72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80F156B" w14:textId="77777777" w:rsidR="00BD776B" w:rsidRDefault="00BD776B">
            <w:pPr>
              <w:snapToGrid w:val="0"/>
              <w:textAlignment w:val="center"/>
              <w:rPr>
                <w:rFonts w:ascii="標楷體" w:eastAsia="標楷體" w:hAnsi="標楷體"/>
                <w:sz w:val="28"/>
                <w:szCs w:val="28"/>
              </w:rPr>
            </w:pPr>
          </w:p>
          <w:p w14:paraId="75B5AE1E"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E5B134"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67CBFEEA"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7FF4DD9" w14:textId="77777777" w:rsidR="00BD776B" w:rsidRDefault="00DF0C24">
            <w:pPr>
              <w:snapToGrid w:val="0"/>
              <w:textAlignment w:val="center"/>
              <w:rPr>
                <w:rFonts w:ascii="標楷體" w:eastAsia="標楷體" w:hAnsi="標楷體"/>
              </w:rPr>
            </w:pPr>
            <w:r>
              <w:rPr>
                <w:rFonts w:ascii="標楷體" w:eastAsia="標楷體" w:hAnsi="標楷體"/>
              </w:rPr>
              <w:t>婦女是否正在懷孕或授乳。</w:t>
            </w:r>
          </w:p>
        </w:tc>
        <w:tc>
          <w:tcPr>
            <w:tcW w:w="26" w:type="dxa"/>
            <w:shd w:val="clear" w:color="auto" w:fill="auto"/>
            <w:tcMar>
              <w:top w:w="0" w:type="dxa"/>
              <w:left w:w="10" w:type="dxa"/>
              <w:bottom w:w="0" w:type="dxa"/>
              <w:right w:w="10" w:type="dxa"/>
            </w:tcMar>
          </w:tcPr>
          <w:p w14:paraId="385A3475" w14:textId="77777777" w:rsidR="00BD776B" w:rsidRDefault="00BD776B">
            <w:pPr>
              <w:snapToGrid w:val="0"/>
              <w:textAlignment w:val="center"/>
              <w:rPr>
                <w:rFonts w:ascii="標楷體" w:eastAsia="標楷體" w:hAnsi="標楷體"/>
              </w:rPr>
            </w:pPr>
          </w:p>
        </w:tc>
      </w:tr>
      <w:tr w:rsidR="00BD776B" w14:paraId="7440D006" w14:textId="77777777">
        <w:trPr>
          <w:cantSplit/>
          <w:trHeight w:val="400"/>
        </w:trPr>
        <w:tc>
          <w:tcPr>
            <w:tcW w:w="72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78AF650"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1812B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3B938E90"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6D1031B" w14:textId="77777777" w:rsidR="00BD776B" w:rsidRDefault="00DF0C24">
            <w:pPr>
              <w:snapToGrid w:val="0"/>
              <w:textAlignment w:val="center"/>
              <w:rPr>
                <w:rFonts w:ascii="標楷體" w:eastAsia="標楷體" w:hAnsi="標楷體"/>
              </w:rPr>
            </w:pPr>
            <w:r>
              <w:rPr>
                <w:rFonts w:ascii="標楷體" w:eastAsia="標楷體" w:hAnsi="標楷體"/>
              </w:rPr>
              <w:t>病患是否罹患活動性感染之疾病。</w:t>
            </w:r>
          </w:p>
        </w:tc>
        <w:tc>
          <w:tcPr>
            <w:tcW w:w="26" w:type="dxa"/>
            <w:shd w:val="clear" w:color="auto" w:fill="auto"/>
            <w:tcMar>
              <w:top w:w="0" w:type="dxa"/>
              <w:left w:w="10" w:type="dxa"/>
              <w:bottom w:w="0" w:type="dxa"/>
              <w:right w:w="10" w:type="dxa"/>
            </w:tcMar>
          </w:tcPr>
          <w:p w14:paraId="3B70DFA7" w14:textId="77777777" w:rsidR="00BD776B" w:rsidRDefault="00BD776B">
            <w:pPr>
              <w:snapToGrid w:val="0"/>
              <w:textAlignment w:val="center"/>
              <w:rPr>
                <w:rFonts w:ascii="標楷體" w:eastAsia="標楷體" w:hAnsi="標楷體"/>
              </w:rPr>
            </w:pPr>
          </w:p>
        </w:tc>
      </w:tr>
      <w:tr w:rsidR="00BD776B" w14:paraId="1907B6BA" w14:textId="77777777">
        <w:trPr>
          <w:cantSplit/>
          <w:trHeight w:val="400"/>
        </w:trPr>
        <w:tc>
          <w:tcPr>
            <w:tcW w:w="72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5796585"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389C85"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0FD9883D"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74C518C" w14:textId="77777777" w:rsidR="00BD776B" w:rsidRDefault="00DF0C24">
            <w:pPr>
              <w:snapToGrid w:val="0"/>
              <w:textAlignment w:val="center"/>
              <w:rPr>
                <w:rFonts w:ascii="標楷體" w:eastAsia="標楷體" w:hAnsi="標楷體"/>
              </w:rPr>
            </w:pPr>
            <w:r>
              <w:rPr>
                <w:rFonts w:ascii="標楷體" w:eastAsia="標楷體" w:hAnsi="標楷體"/>
              </w:rPr>
              <w:t>病患是否具有高度感染機會之情形，其中包括1.慢性腿部潰瘍，2.未經完整治療之結核病的病患（包括潛伏結核感染治療未達四週者，申請時應檢附潛伏結核感染篩檢紀錄及治療紀錄供審查），3.過去12個月內曾罹患感染性關節炎者，4.人工關節受到感染〈該人工關節未除去前，不可使用Etanercept/Adalimumab/Ustekinumab/Secukinumab，5.頑固性或復發性的胸腔感染疾病，6.具有留置導尿管之情形。</w:t>
            </w:r>
          </w:p>
        </w:tc>
        <w:tc>
          <w:tcPr>
            <w:tcW w:w="26" w:type="dxa"/>
            <w:shd w:val="clear" w:color="auto" w:fill="auto"/>
            <w:tcMar>
              <w:top w:w="0" w:type="dxa"/>
              <w:left w:w="10" w:type="dxa"/>
              <w:bottom w:w="0" w:type="dxa"/>
              <w:right w:w="10" w:type="dxa"/>
            </w:tcMar>
          </w:tcPr>
          <w:p w14:paraId="35E122FB" w14:textId="77777777" w:rsidR="00BD776B" w:rsidRDefault="00BD776B">
            <w:pPr>
              <w:snapToGrid w:val="0"/>
              <w:textAlignment w:val="center"/>
              <w:rPr>
                <w:rFonts w:ascii="標楷體" w:eastAsia="標楷體" w:hAnsi="標楷體"/>
              </w:rPr>
            </w:pPr>
          </w:p>
        </w:tc>
      </w:tr>
      <w:tr w:rsidR="00BD776B" w14:paraId="1615DB9F" w14:textId="77777777">
        <w:trPr>
          <w:cantSplit/>
          <w:trHeight w:val="400"/>
        </w:trPr>
        <w:tc>
          <w:tcPr>
            <w:tcW w:w="72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7F9B23E"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37E8F7"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78F1098B"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2081414" w14:textId="77777777" w:rsidR="00BD776B" w:rsidRDefault="00DF0C24">
            <w:pPr>
              <w:snapToGrid w:val="0"/>
              <w:textAlignment w:val="center"/>
              <w:rPr>
                <w:rFonts w:ascii="標楷體" w:eastAsia="標楷體" w:hAnsi="標楷體"/>
              </w:rPr>
            </w:pPr>
            <w:r>
              <w:rPr>
                <w:rFonts w:ascii="標楷體" w:eastAsia="標楷體" w:hAnsi="標楷體"/>
              </w:rPr>
              <w:t>病患是否罹患惡性腫瘤或癌前狀態之腫瘤</w:t>
            </w:r>
          </w:p>
        </w:tc>
        <w:tc>
          <w:tcPr>
            <w:tcW w:w="26" w:type="dxa"/>
            <w:shd w:val="clear" w:color="auto" w:fill="auto"/>
            <w:tcMar>
              <w:top w:w="0" w:type="dxa"/>
              <w:left w:w="10" w:type="dxa"/>
              <w:bottom w:w="0" w:type="dxa"/>
              <w:right w:w="10" w:type="dxa"/>
            </w:tcMar>
          </w:tcPr>
          <w:p w14:paraId="1AF72367" w14:textId="77777777" w:rsidR="00BD776B" w:rsidRDefault="00BD776B">
            <w:pPr>
              <w:snapToGrid w:val="0"/>
              <w:textAlignment w:val="center"/>
              <w:rPr>
                <w:rFonts w:ascii="標楷體" w:eastAsia="標楷體" w:hAnsi="標楷體"/>
              </w:rPr>
            </w:pPr>
          </w:p>
        </w:tc>
      </w:tr>
      <w:tr w:rsidR="00BD776B" w14:paraId="53DB62E7" w14:textId="77777777">
        <w:trPr>
          <w:cantSplit/>
          <w:trHeight w:val="400"/>
        </w:trPr>
        <w:tc>
          <w:tcPr>
            <w:tcW w:w="72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F9714E3"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093629"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766F99BC"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269AF25" w14:textId="77777777" w:rsidR="00BD776B" w:rsidRDefault="00DF0C24">
            <w:pPr>
              <w:snapToGrid w:val="0"/>
              <w:textAlignment w:val="center"/>
              <w:rPr>
                <w:rFonts w:ascii="標楷體" w:eastAsia="標楷體" w:hAnsi="標楷體"/>
              </w:rPr>
            </w:pPr>
            <w:r>
              <w:rPr>
                <w:rFonts w:ascii="標楷體" w:eastAsia="標楷體" w:hAnsi="標楷體"/>
              </w:rPr>
              <w:t>病患是否罹患多發性硬化症(multiplesclerosis)</w:t>
            </w:r>
          </w:p>
        </w:tc>
        <w:tc>
          <w:tcPr>
            <w:tcW w:w="26" w:type="dxa"/>
            <w:shd w:val="clear" w:color="auto" w:fill="auto"/>
            <w:tcMar>
              <w:top w:w="0" w:type="dxa"/>
              <w:left w:w="10" w:type="dxa"/>
              <w:bottom w:w="0" w:type="dxa"/>
              <w:right w:w="10" w:type="dxa"/>
            </w:tcMar>
          </w:tcPr>
          <w:p w14:paraId="1B70DD02" w14:textId="77777777" w:rsidR="00BD776B" w:rsidRDefault="00BD776B">
            <w:pPr>
              <w:snapToGrid w:val="0"/>
              <w:textAlignment w:val="center"/>
              <w:rPr>
                <w:rFonts w:ascii="標楷體" w:eastAsia="標楷體" w:hAnsi="標楷體"/>
              </w:rPr>
            </w:pPr>
          </w:p>
        </w:tc>
      </w:tr>
      <w:tr w:rsidR="00BD776B" w14:paraId="56D22D10" w14:textId="77777777">
        <w:trPr>
          <w:cantSplit/>
          <w:trHeight w:val="400"/>
        </w:trPr>
        <w:tc>
          <w:tcPr>
            <w:tcW w:w="72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226E1535"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304B32"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7BC1BF29"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2CF8DCA" w14:textId="77777777" w:rsidR="00BD776B" w:rsidRDefault="00DF0C24">
            <w:pPr>
              <w:snapToGrid w:val="0"/>
              <w:textAlignment w:val="center"/>
              <w:rPr>
                <w:rFonts w:ascii="標楷體" w:eastAsia="標楷體" w:hAnsi="標楷體"/>
              </w:rPr>
            </w:pPr>
            <w:r>
              <w:rPr>
                <w:rFonts w:ascii="標楷體" w:eastAsia="標楷體" w:hAnsi="標楷體"/>
              </w:rPr>
              <w:t>於初次療程，經過6個月治療後PASI下降程度未達50%</w:t>
            </w:r>
          </w:p>
        </w:tc>
        <w:tc>
          <w:tcPr>
            <w:tcW w:w="26" w:type="dxa"/>
            <w:shd w:val="clear" w:color="auto" w:fill="auto"/>
            <w:tcMar>
              <w:top w:w="0" w:type="dxa"/>
              <w:left w:w="10" w:type="dxa"/>
              <w:bottom w:w="0" w:type="dxa"/>
              <w:right w:w="10" w:type="dxa"/>
            </w:tcMar>
          </w:tcPr>
          <w:p w14:paraId="7F7F6EFF" w14:textId="77777777" w:rsidR="00BD776B" w:rsidRDefault="00BD776B">
            <w:pPr>
              <w:snapToGrid w:val="0"/>
              <w:textAlignment w:val="center"/>
              <w:rPr>
                <w:rFonts w:ascii="標楷體" w:eastAsia="標楷體" w:hAnsi="標楷體"/>
              </w:rPr>
            </w:pPr>
          </w:p>
        </w:tc>
      </w:tr>
      <w:tr w:rsidR="00BD776B" w14:paraId="0C85DF85" w14:textId="77777777">
        <w:trPr>
          <w:cantSplit/>
          <w:trHeight w:val="834"/>
        </w:trPr>
        <w:tc>
          <w:tcPr>
            <w:tcW w:w="729" w:type="dxa"/>
            <w:gridSpan w:val="2"/>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5817A58A" w14:textId="77777777" w:rsidR="00BD776B" w:rsidRDefault="00BD776B">
            <w:pPr>
              <w:snapToGrid w:val="0"/>
              <w:textAlignment w:val="center"/>
              <w:rPr>
                <w:rFonts w:ascii="標楷體" w:eastAsia="標楷體" w:hAnsi="標楷體"/>
              </w:rPr>
            </w:pPr>
          </w:p>
        </w:tc>
        <w:tc>
          <w:tcPr>
            <w:tcW w:w="1240"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1E367A19"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是</w:t>
            </w:r>
          </w:p>
          <w:p w14:paraId="2AF6D831" w14:textId="77777777" w:rsidR="00BD776B" w:rsidRDefault="00DF0C24" w:rsidP="008A7063">
            <w:pPr>
              <w:numPr>
                <w:ilvl w:val="0"/>
                <w:numId w:val="84"/>
              </w:numPr>
              <w:tabs>
                <w:tab w:val="left" w:pos="425"/>
              </w:tabs>
              <w:snapToGrid w:val="0"/>
              <w:ind w:left="425" w:hanging="333"/>
              <w:textAlignment w:val="center"/>
              <w:rPr>
                <w:rFonts w:ascii="標楷體" w:eastAsia="標楷體" w:hAnsi="標楷體"/>
              </w:rPr>
            </w:pPr>
            <w:r>
              <w:rPr>
                <w:rFonts w:ascii="標楷體" w:eastAsia="標楷體" w:hAnsi="標楷體"/>
              </w:rPr>
              <w:t>否</w:t>
            </w:r>
          </w:p>
        </w:tc>
        <w:tc>
          <w:tcPr>
            <w:tcW w:w="7541"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5AD091BD" w14:textId="77777777" w:rsidR="00BD776B" w:rsidRDefault="00DF0C24">
            <w:pPr>
              <w:snapToGrid w:val="0"/>
              <w:textAlignment w:val="center"/>
              <w:rPr>
                <w:rFonts w:ascii="標楷體" w:eastAsia="標楷體" w:hAnsi="標楷體"/>
              </w:rPr>
            </w:pPr>
            <w:r>
              <w:rPr>
                <w:rFonts w:ascii="標楷體" w:eastAsia="標楷體" w:hAnsi="標楷體"/>
              </w:rPr>
              <w:t>使用Etanercept/Adalimumab/Ustekinumab/Secukinumab發生懷孕或不良事件(包括：惡性腫瘤、該藥物引起的嚴重毒性、嚴重的感染性疾病)</w:t>
            </w:r>
          </w:p>
        </w:tc>
        <w:tc>
          <w:tcPr>
            <w:tcW w:w="26" w:type="dxa"/>
            <w:shd w:val="clear" w:color="auto" w:fill="auto"/>
            <w:tcMar>
              <w:top w:w="0" w:type="dxa"/>
              <w:left w:w="10" w:type="dxa"/>
              <w:bottom w:w="0" w:type="dxa"/>
              <w:right w:w="10" w:type="dxa"/>
            </w:tcMar>
          </w:tcPr>
          <w:p w14:paraId="0E73D382" w14:textId="77777777" w:rsidR="00BD776B" w:rsidRDefault="00BD776B">
            <w:pPr>
              <w:snapToGrid w:val="0"/>
              <w:textAlignment w:val="center"/>
              <w:rPr>
                <w:rFonts w:ascii="標楷體" w:eastAsia="標楷體" w:hAnsi="標楷體"/>
              </w:rPr>
            </w:pPr>
          </w:p>
        </w:tc>
      </w:tr>
      <w:tr w:rsidR="00BD776B" w14:paraId="49A3A225" w14:textId="77777777">
        <w:trPr>
          <w:cantSplit/>
          <w:trHeight w:val="1048"/>
        </w:trPr>
        <w:tc>
          <w:tcPr>
            <w:tcW w:w="6119" w:type="dxa"/>
            <w:gridSpan w:val="4"/>
            <w:shd w:val="clear" w:color="auto" w:fill="auto"/>
            <w:tcMar>
              <w:top w:w="0" w:type="dxa"/>
              <w:left w:w="28" w:type="dxa"/>
              <w:bottom w:w="0" w:type="dxa"/>
              <w:right w:w="28" w:type="dxa"/>
            </w:tcMar>
          </w:tcPr>
          <w:p w14:paraId="06DCBB20" w14:textId="77777777" w:rsidR="00BD776B" w:rsidRDefault="00BD776B">
            <w:pPr>
              <w:snapToGrid w:val="0"/>
              <w:spacing w:line="276" w:lineRule="auto"/>
              <w:textAlignment w:val="center"/>
              <w:rPr>
                <w:rFonts w:ascii="標楷體" w:eastAsia="標楷體" w:hAnsi="標楷體"/>
                <w:sz w:val="26"/>
                <w:szCs w:val="26"/>
              </w:rPr>
            </w:pPr>
          </w:p>
          <w:p w14:paraId="5D036AE1" w14:textId="77777777" w:rsidR="00BD776B" w:rsidRDefault="00DF0C24">
            <w:pPr>
              <w:snapToGrid w:val="0"/>
              <w:spacing w:line="276" w:lineRule="auto"/>
              <w:textAlignment w:val="center"/>
            </w:pPr>
            <w:r>
              <w:rPr>
                <w:rFonts w:ascii="標楷體" w:eastAsia="標楷體" w:hAnsi="標楷體"/>
                <w:sz w:val="26"/>
                <w:szCs w:val="26"/>
              </w:rPr>
              <w:t>申請醫師（簽名蓋章）：</w:t>
            </w:r>
            <w:r>
              <w:rPr>
                <w:rFonts w:ascii="標楷體" w:eastAsia="標楷體" w:hAnsi="標楷體"/>
                <w:sz w:val="26"/>
                <w:szCs w:val="26"/>
                <w:u w:val="single"/>
              </w:rPr>
              <w:t xml:space="preserve">　　　　　　　</w:t>
            </w:r>
          </w:p>
          <w:p w14:paraId="672812AD" w14:textId="77777777" w:rsidR="00BD776B" w:rsidRDefault="00DF0C24">
            <w:pPr>
              <w:snapToGrid w:val="0"/>
              <w:spacing w:line="276" w:lineRule="auto"/>
              <w:textAlignment w:val="center"/>
            </w:pPr>
            <w:r>
              <w:rPr>
                <w:rFonts w:ascii="標楷體" w:eastAsia="標楷體" w:hAnsi="標楷體"/>
                <w:sz w:val="26"/>
                <w:szCs w:val="26"/>
              </w:rPr>
              <w:t>專科醫師證書：專字第</w:t>
            </w:r>
            <w:r>
              <w:rPr>
                <w:rFonts w:ascii="標楷體" w:eastAsia="標楷體" w:hAnsi="標楷體"/>
                <w:sz w:val="26"/>
                <w:szCs w:val="26"/>
                <w:u w:val="single"/>
              </w:rPr>
              <w:t xml:space="preserve">　　　　　</w:t>
            </w:r>
            <w:r>
              <w:rPr>
                <w:rFonts w:ascii="標楷體" w:eastAsia="標楷體" w:hAnsi="標楷體"/>
                <w:sz w:val="26"/>
                <w:szCs w:val="26"/>
              </w:rPr>
              <w:t>號</w:t>
            </w:r>
          </w:p>
          <w:p w14:paraId="076167FE" w14:textId="77777777" w:rsidR="00BD776B" w:rsidRDefault="00BD776B">
            <w:pPr>
              <w:tabs>
                <w:tab w:val="left" w:pos="2912"/>
              </w:tabs>
              <w:snapToGrid w:val="0"/>
              <w:spacing w:line="276" w:lineRule="auto"/>
              <w:textAlignment w:val="center"/>
              <w:rPr>
                <w:rFonts w:ascii="標楷體" w:eastAsia="標楷體" w:hAnsi="標楷體"/>
                <w:sz w:val="26"/>
                <w:szCs w:val="26"/>
                <w:u w:val="single"/>
              </w:rPr>
            </w:pPr>
          </w:p>
        </w:tc>
        <w:tc>
          <w:tcPr>
            <w:tcW w:w="3391" w:type="dxa"/>
            <w:shd w:val="clear" w:color="auto" w:fill="auto"/>
            <w:tcMar>
              <w:top w:w="0" w:type="dxa"/>
              <w:left w:w="28" w:type="dxa"/>
              <w:bottom w:w="0" w:type="dxa"/>
              <w:right w:w="28" w:type="dxa"/>
            </w:tcMar>
          </w:tcPr>
          <w:p w14:paraId="3EDF3964" w14:textId="77777777" w:rsidR="00BD776B" w:rsidRDefault="00BD776B">
            <w:pPr>
              <w:snapToGrid w:val="0"/>
              <w:spacing w:line="276" w:lineRule="auto"/>
              <w:textAlignment w:val="center"/>
              <w:rPr>
                <w:rFonts w:ascii="標楷體" w:eastAsia="標楷體" w:hAnsi="標楷體"/>
                <w:sz w:val="26"/>
                <w:szCs w:val="26"/>
              </w:rPr>
            </w:pPr>
          </w:p>
          <w:p w14:paraId="14A97B0F" w14:textId="77777777" w:rsidR="00BD776B" w:rsidRDefault="00DF0C24">
            <w:pPr>
              <w:snapToGrid w:val="0"/>
              <w:spacing w:line="276" w:lineRule="auto"/>
              <w:textAlignment w:val="center"/>
            </w:pPr>
            <w:r>
              <w:rPr>
                <w:rFonts w:ascii="標楷體" w:eastAsia="標楷體" w:hAnsi="標楷體"/>
                <w:sz w:val="26"/>
                <w:szCs w:val="26"/>
              </w:rPr>
              <w:t>醫事機構章戳：</w:t>
            </w:r>
          </w:p>
        </w:tc>
        <w:tc>
          <w:tcPr>
            <w:tcW w:w="26" w:type="dxa"/>
            <w:shd w:val="clear" w:color="auto" w:fill="auto"/>
            <w:tcMar>
              <w:top w:w="0" w:type="dxa"/>
              <w:left w:w="10" w:type="dxa"/>
              <w:bottom w:w="0" w:type="dxa"/>
              <w:right w:w="10" w:type="dxa"/>
            </w:tcMar>
          </w:tcPr>
          <w:p w14:paraId="44E2BE19" w14:textId="77777777" w:rsidR="00BD776B" w:rsidRDefault="00BD776B">
            <w:pPr>
              <w:snapToGrid w:val="0"/>
              <w:spacing w:line="276" w:lineRule="auto"/>
              <w:textAlignment w:val="center"/>
              <w:rPr>
                <w:rFonts w:ascii="標楷體" w:eastAsia="標楷體" w:hAnsi="標楷體"/>
              </w:rPr>
            </w:pPr>
          </w:p>
        </w:tc>
      </w:tr>
    </w:tbl>
    <w:p w14:paraId="25902FD9" w14:textId="77777777" w:rsidR="00BD776B" w:rsidRDefault="00BD776B">
      <w:pPr>
        <w:snapToGrid w:val="0"/>
        <w:rPr>
          <w:rFonts w:ascii="標楷體" w:eastAsia="標楷體" w:hAnsi="標楷體"/>
        </w:rPr>
      </w:pPr>
    </w:p>
    <w:p w14:paraId="27885979" w14:textId="77777777" w:rsidR="00BD776B" w:rsidRDefault="00DF0C24">
      <w:pPr>
        <w:pageBreakBefore/>
        <w:widowControl/>
        <w:snapToGrid w:val="0"/>
        <w:jc w:val="center"/>
      </w:pPr>
      <w:r>
        <w:rPr>
          <w:rFonts w:ascii="標楷體" w:eastAsia="標楷體" w:hAnsi="標楷體"/>
          <w:b/>
        </w:rPr>
        <w:lastRenderedPageBreak/>
        <w:t>附表二十四之三：</w:t>
      </w:r>
      <w:r>
        <w:rPr>
          <w:rFonts w:ascii="標楷體" w:eastAsia="標楷體" w:hAnsi="標楷體"/>
          <w:b/>
          <w:bCs/>
        </w:rPr>
        <w:t>乾癬面積暨嚴重度指數【PsoriasisAreaSeverityIndex(PASI)】</w:t>
      </w:r>
    </w:p>
    <w:p w14:paraId="34DD2EEE" w14:textId="77777777" w:rsidR="00BD776B" w:rsidRDefault="00BD776B">
      <w:pPr>
        <w:snapToGrid w:val="0"/>
        <w:ind w:left="2"/>
        <w:rPr>
          <w:rFonts w:ascii="標楷體" w:eastAsia="標楷體" w:hAnsi="標楷體"/>
          <w:b/>
          <w:u w:val="single"/>
        </w:rPr>
      </w:pPr>
    </w:p>
    <w:p w14:paraId="245E2E3D" w14:textId="77777777" w:rsidR="00BD776B" w:rsidRDefault="00DF0C24">
      <w:pPr>
        <w:snapToGrid w:val="0"/>
        <w:ind w:left="2"/>
      </w:pPr>
      <w:r>
        <w:rPr>
          <w:rFonts w:ascii="標楷體" w:eastAsia="標楷體" w:hAnsi="標楷體"/>
          <w:b/>
          <w:u w:val="single"/>
        </w:rPr>
        <w:t>乾癬面積</w:t>
      </w:r>
      <w:r>
        <w:rPr>
          <w:rFonts w:ascii="標楷體" w:eastAsia="標楷體" w:hAnsi="標楷體"/>
          <w:u w:val="single"/>
        </w:rPr>
        <w:t>（</w:t>
      </w:r>
      <w:r>
        <w:rPr>
          <w:rFonts w:ascii="標楷體" w:eastAsia="標楷體" w:hAnsi="標楷體"/>
          <w:bCs/>
          <w:u w:val="single"/>
        </w:rPr>
        <w:t>A</w:t>
      </w:r>
      <w:r>
        <w:rPr>
          <w:rFonts w:ascii="標楷體" w:eastAsia="標楷體" w:hAnsi="標楷體"/>
          <w:u w:val="single"/>
        </w:rPr>
        <w:t>rea）</w:t>
      </w:r>
      <w:r>
        <w:rPr>
          <w:rFonts w:ascii="標楷體" w:eastAsia="標楷體" w:hAnsi="標楷體"/>
        </w:rPr>
        <w:t>：合併總面積佔體表%____________</w:t>
      </w:r>
    </w:p>
    <w:tbl>
      <w:tblPr>
        <w:tblW w:w="5000" w:type="pct"/>
        <w:tblCellMar>
          <w:left w:w="10" w:type="dxa"/>
          <w:right w:w="10" w:type="dxa"/>
        </w:tblCellMar>
        <w:tblLook w:val="0000" w:firstRow="0" w:lastRow="0" w:firstColumn="0" w:lastColumn="0" w:noHBand="0" w:noVBand="0"/>
      </w:tblPr>
      <w:tblGrid>
        <w:gridCol w:w="1064"/>
        <w:gridCol w:w="1062"/>
        <w:gridCol w:w="1062"/>
        <w:gridCol w:w="1213"/>
        <w:gridCol w:w="1213"/>
        <w:gridCol w:w="1152"/>
        <w:gridCol w:w="1276"/>
        <w:gridCol w:w="1466"/>
      </w:tblGrid>
      <w:tr w:rsidR="00BD776B" w14:paraId="3A0D516E" w14:textId="77777777">
        <w:tc>
          <w:tcPr>
            <w:tcW w:w="1064" w:type="dxa"/>
            <w:tcBorders>
              <w:top w:val="double" w:sz="6" w:space="0" w:color="000000"/>
              <w:left w:val="doub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C20A277" w14:textId="77777777" w:rsidR="00BD776B" w:rsidRDefault="00DF0C24">
            <w:pPr>
              <w:snapToGrid w:val="0"/>
              <w:jc w:val="center"/>
              <w:rPr>
                <w:rFonts w:ascii="標楷體" w:eastAsia="標楷體" w:hAnsi="標楷體"/>
                <w:caps/>
              </w:rPr>
            </w:pPr>
            <w:r>
              <w:rPr>
                <w:rFonts w:ascii="標楷體" w:eastAsia="標楷體" w:hAnsi="標楷體"/>
                <w:caps/>
              </w:rPr>
              <w:t>涵蓋</w:t>
            </w:r>
          </w:p>
          <w:p w14:paraId="1B0593F0" w14:textId="77777777" w:rsidR="00BD776B" w:rsidRDefault="00DF0C24">
            <w:pPr>
              <w:snapToGrid w:val="0"/>
              <w:jc w:val="center"/>
              <w:rPr>
                <w:rFonts w:ascii="標楷體" w:eastAsia="標楷體" w:hAnsi="標楷體"/>
                <w:caps/>
              </w:rPr>
            </w:pPr>
            <w:r>
              <w:rPr>
                <w:rFonts w:ascii="標楷體" w:eastAsia="標楷體" w:hAnsi="標楷體"/>
                <w:caps/>
              </w:rPr>
              <w:t>程度</w:t>
            </w:r>
          </w:p>
        </w:tc>
        <w:tc>
          <w:tcPr>
            <w:tcW w:w="1062"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0091675" w14:textId="77777777" w:rsidR="00BD776B" w:rsidRDefault="00DF0C24">
            <w:pPr>
              <w:snapToGrid w:val="0"/>
              <w:jc w:val="center"/>
              <w:rPr>
                <w:rFonts w:ascii="標楷體" w:eastAsia="標楷體" w:hAnsi="標楷體"/>
                <w:caps/>
              </w:rPr>
            </w:pPr>
            <w:r>
              <w:rPr>
                <w:rFonts w:ascii="標楷體" w:eastAsia="標楷體" w:hAnsi="標楷體"/>
                <w:caps/>
              </w:rPr>
              <w:t>0﹪</w:t>
            </w:r>
          </w:p>
        </w:tc>
        <w:tc>
          <w:tcPr>
            <w:tcW w:w="1062"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7AF7027" w14:textId="77777777" w:rsidR="00BD776B" w:rsidRDefault="00DF0C24">
            <w:pPr>
              <w:snapToGrid w:val="0"/>
              <w:jc w:val="center"/>
              <w:rPr>
                <w:rFonts w:ascii="標楷體" w:eastAsia="標楷體" w:hAnsi="標楷體"/>
                <w:caps/>
              </w:rPr>
            </w:pPr>
            <w:r>
              <w:rPr>
                <w:rFonts w:ascii="標楷體" w:eastAsia="標楷體" w:hAnsi="標楷體"/>
                <w:caps/>
              </w:rPr>
              <w:t>＜10﹪</w:t>
            </w:r>
          </w:p>
        </w:tc>
        <w:tc>
          <w:tcPr>
            <w:tcW w:w="1213"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06E665A" w14:textId="77777777" w:rsidR="00BD776B" w:rsidRDefault="00DF0C24">
            <w:pPr>
              <w:snapToGrid w:val="0"/>
              <w:jc w:val="center"/>
              <w:rPr>
                <w:rFonts w:ascii="標楷體" w:eastAsia="標楷體" w:hAnsi="標楷體"/>
                <w:caps/>
              </w:rPr>
            </w:pPr>
            <w:r>
              <w:rPr>
                <w:rFonts w:ascii="標楷體" w:eastAsia="標楷體" w:hAnsi="標楷體"/>
                <w:caps/>
              </w:rPr>
              <w:t>10-29﹪</w:t>
            </w:r>
          </w:p>
        </w:tc>
        <w:tc>
          <w:tcPr>
            <w:tcW w:w="1213"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65970E7" w14:textId="77777777" w:rsidR="00BD776B" w:rsidRDefault="00DF0C24">
            <w:pPr>
              <w:snapToGrid w:val="0"/>
              <w:jc w:val="center"/>
              <w:rPr>
                <w:rFonts w:ascii="標楷體" w:eastAsia="標楷體" w:hAnsi="標楷體"/>
                <w:caps/>
              </w:rPr>
            </w:pPr>
            <w:r>
              <w:rPr>
                <w:rFonts w:ascii="標楷體" w:eastAsia="標楷體" w:hAnsi="標楷體"/>
                <w:caps/>
              </w:rPr>
              <w:t>30-49﹪</w:t>
            </w:r>
          </w:p>
        </w:tc>
        <w:tc>
          <w:tcPr>
            <w:tcW w:w="1152"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04CF81B" w14:textId="77777777" w:rsidR="00BD776B" w:rsidRDefault="00DF0C24">
            <w:pPr>
              <w:snapToGrid w:val="0"/>
              <w:jc w:val="center"/>
              <w:rPr>
                <w:rFonts w:ascii="標楷體" w:eastAsia="標楷體" w:hAnsi="標楷體"/>
                <w:caps/>
              </w:rPr>
            </w:pPr>
            <w:r>
              <w:rPr>
                <w:rFonts w:ascii="標楷體" w:eastAsia="標楷體" w:hAnsi="標楷體"/>
                <w:caps/>
              </w:rPr>
              <w:t>50-69﹪</w:t>
            </w:r>
          </w:p>
        </w:tc>
        <w:tc>
          <w:tcPr>
            <w:tcW w:w="1276"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3D6E167" w14:textId="77777777" w:rsidR="00BD776B" w:rsidRDefault="00DF0C24">
            <w:pPr>
              <w:snapToGrid w:val="0"/>
              <w:jc w:val="center"/>
              <w:rPr>
                <w:rFonts w:ascii="標楷體" w:eastAsia="標楷體" w:hAnsi="標楷體"/>
                <w:caps/>
              </w:rPr>
            </w:pPr>
            <w:r>
              <w:rPr>
                <w:rFonts w:ascii="標楷體" w:eastAsia="標楷體" w:hAnsi="標楷體"/>
                <w:caps/>
              </w:rPr>
              <w:t>70-89﹪</w:t>
            </w:r>
          </w:p>
        </w:tc>
        <w:tc>
          <w:tcPr>
            <w:tcW w:w="1466" w:type="dxa"/>
            <w:tcBorders>
              <w:top w:val="double" w:sz="6" w:space="0" w:color="000000"/>
              <w:left w:val="single" w:sz="6" w:space="0" w:color="000000"/>
              <w:bottom w:val="single" w:sz="6" w:space="0" w:color="000000"/>
              <w:right w:val="double" w:sz="6" w:space="0" w:color="000000"/>
            </w:tcBorders>
            <w:shd w:val="clear" w:color="auto" w:fill="E6E6E6"/>
            <w:tcMar>
              <w:top w:w="0" w:type="dxa"/>
              <w:left w:w="108" w:type="dxa"/>
              <w:bottom w:w="0" w:type="dxa"/>
              <w:right w:w="108" w:type="dxa"/>
            </w:tcMar>
            <w:vAlign w:val="center"/>
          </w:tcPr>
          <w:p w14:paraId="3591EBBC" w14:textId="77777777" w:rsidR="00BD776B" w:rsidRDefault="00DF0C24">
            <w:pPr>
              <w:snapToGrid w:val="0"/>
              <w:jc w:val="center"/>
              <w:rPr>
                <w:rFonts w:ascii="標楷體" w:eastAsia="標楷體" w:hAnsi="標楷體"/>
                <w:caps/>
              </w:rPr>
            </w:pPr>
            <w:r>
              <w:rPr>
                <w:rFonts w:ascii="標楷體" w:eastAsia="標楷體" w:hAnsi="標楷體"/>
                <w:caps/>
              </w:rPr>
              <w:t>90-100﹪</w:t>
            </w:r>
          </w:p>
        </w:tc>
      </w:tr>
      <w:tr w:rsidR="00BD776B" w14:paraId="4F52EC84" w14:textId="77777777">
        <w:trPr>
          <w:trHeight w:val="777"/>
        </w:trPr>
        <w:tc>
          <w:tcPr>
            <w:tcW w:w="1064" w:type="dxa"/>
            <w:tcBorders>
              <w:top w:val="single" w:sz="6" w:space="0" w:color="000000"/>
              <w:left w:val="double" w:sz="6" w:space="0" w:color="000000"/>
              <w:bottom w:val="double" w:sz="4" w:space="0" w:color="000000"/>
              <w:right w:val="single" w:sz="6" w:space="0" w:color="000000"/>
            </w:tcBorders>
            <w:shd w:val="clear" w:color="auto" w:fill="E6E6E6"/>
            <w:tcMar>
              <w:top w:w="0" w:type="dxa"/>
              <w:left w:w="108" w:type="dxa"/>
              <w:bottom w:w="0" w:type="dxa"/>
              <w:right w:w="108" w:type="dxa"/>
            </w:tcMar>
          </w:tcPr>
          <w:p w14:paraId="2BF9C367" w14:textId="77777777" w:rsidR="00BD776B" w:rsidRDefault="00DF0C24">
            <w:pPr>
              <w:snapToGrid w:val="0"/>
              <w:jc w:val="center"/>
              <w:rPr>
                <w:rFonts w:ascii="標楷體" w:eastAsia="標楷體" w:hAnsi="標楷體"/>
                <w:sz w:val="22"/>
              </w:rPr>
            </w:pPr>
            <w:r>
              <w:rPr>
                <w:rFonts w:ascii="標楷體" w:eastAsia="標楷體" w:hAnsi="標楷體"/>
                <w:sz w:val="22"/>
              </w:rPr>
              <w:t>分數</w:t>
            </w:r>
          </w:p>
          <w:p w14:paraId="27CA031D" w14:textId="77777777" w:rsidR="00BD776B" w:rsidRDefault="00BD776B">
            <w:pPr>
              <w:snapToGrid w:val="0"/>
              <w:jc w:val="center"/>
              <w:rPr>
                <w:rFonts w:ascii="標楷體" w:eastAsia="標楷體" w:hAnsi="標楷體"/>
                <w:sz w:val="22"/>
              </w:rPr>
            </w:pPr>
          </w:p>
          <w:p w14:paraId="0BE627F6" w14:textId="77777777" w:rsidR="00BD776B" w:rsidRDefault="00DF0C24">
            <w:pPr>
              <w:snapToGrid w:val="0"/>
              <w:jc w:val="center"/>
              <w:rPr>
                <w:rFonts w:ascii="標楷體" w:eastAsia="標楷體" w:hAnsi="標楷體"/>
                <w:sz w:val="22"/>
              </w:rPr>
            </w:pPr>
            <w:r>
              <w:rPr>
                <w:rFonts w:ascii="標楷體" w:eastAsia="標楷體" w:hAnsi="標楷體"/>
                <w:sz w:val="22"/>
              </w:rPr>
              <w:t>皮膚</w:t>
            </w:r>
          </w:p>
          <w:p w14:paraId="1797B33B" w14:textId="77777777" w:rsidR="00BD776B" w:rsidRDefault="00DF0C24">
            <w:pPr>
              <w:snapToGrid w:val="0"/>
              <w:jc w:val="center"/>
              <w:rPr>
                <w:rFonts w:ascii="標楷體" w:eastAsia="標楷體" w:hAnsi="標楷體"/>
                <w:sz w:val="22"/>
              </w:rPr>
            </w:pPr>
            <w:r>
              <w:rPr>
                <w:rFonts w:ascii="標楷體" w:eastAsia="標楷體" w:hAnsi="標楷體"/>
                <w:sz w:val="22"/>
              </w:rPr>
              <w:t>部位</w:t>
            </w:r>
          </w:p>
        </w:tc>
        <w:tc>
          <w:tcPr>
            <w:tcW w:w="1062" w:type="dxa"/>
            <w:tcBorders>
              <w:top w:val="single" w:sz="6" w:space="0" w:color="000000"/>
              <w:left w:val="single" w:sz="6" w:space="0" w:color="000000"/>
              <w:bottom w:val="double" w:sz="4" w:space="0" w:color="000000"/>
              <w:right w:val="single" w:sz="6" w:space="0" w:color="000000"/>
            </w:tcBorders>
            <w:shd w:val="clear" w:color="auto" w:fill="E6E6E6"/>
            <w:tcMar>
              <w:top w:w="0" w:type="dxa"/>
              <w:left w:w="108" w:type="dxa"/>
              <w:bottom w:w="0" w:type="dxa"/>
              <w:right w:w="108" w:type="dxa"/>
            </w:tcMar>
            <w:vAlign w:val="center"/>
          </w:tcPr>
          <w:p w14:paraId="31C38E04" w14:textId="77777777" w:rsidR="00BD776B" w:rsidRDefault="00DF0C24">
            <w:pPr>
              <w:snapToGrid w:val="0"/>
              <w:jc w:val="center"/>
              <w:rPr>
                <w:rFonts w:ascii="標楷體" w:eastAsia="標楷體" w:hAnsi="標楷體"/>
              </w:rPr>
            </w:pPr>
            <w:r>
              <w:rPr>
                <w:rFonts w:ascii="標楷體" w:eastAsia="標楷體" w:hAnsi="標楷體"/>
              </w:rPr>
              <w:t>0</w:t>
            </w:r>
          </w:p>
        </w:tc>
        <w:tc>
          <w:tcPr>
            <w:tcW w:w="1062" w:type="dxa"/>
            <w:tcBorders>
              <w:top w:val="single" w:sz="6" w:space="0" w:color="000000"/>
              <w:left w:val="single" w:sz="6" w:space="0" w:color="000000"/>
              <w:bottom w:val="double" w:sz="4" w:space="0" w:color="000000"/>
              <w:right w:val="single" w:sz="6" w:space="0" w:color="000000"/>
            </w:tcBorders>
            <w:shd w:val="clear" w:color="auto" w:fill="E6E6E6"/>
            <w:tcMar>
              <w:top w:w="0" w:type="dxa"/>
              <w:left w:w="108" w:type="dxa"/>
              <w:bottom w:w="0" w:type="dxa"/>
              <w:right w:w="108" w:type="dxa"/>
            </w:tcMar>
            <w:vAlign w:val="center"/>
          </w:tcPr>
          <w:p w14:paraId="362BF00B" w14:textId="77777777" w:rsidR="00BD776B" w:rsidRDefault="00DF0C24">
            <w:pPr>
              <w:snapToGrid w:val="0"/>
              <w:jc w:val="center"/>
              <w:rPr>
                <w:rFonts w:ascii="標楷體" w:eastAsia="標楷體" w:hAnsi="標楷體"/>
              </w:rPr>
            </w:pPr>
            <w:r>
              <w:rPr>
                <w:rFonts w:ascii="標楷體" w:eastAsia="標楷體" w:hAnsi="標楷體"/>
              </w:rPr>
              <w:t>1</w:t>
            </w:r>
          </w:p>
        </w:tc>
        <w:tc>
          <w:tcPr>
            <w:tcW w:w="1213"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4EA49F80" w14:textId="77777777" w:rsidR="00BD776B" w:rsidRDefault="00DF0C24">
            <w:pPr>
              <w:snapToGrid w:val="0"/>
              <w:jc w:val="center"/>
              <w:rPr>
                <w:rFonts w:ascii="標楷體" w:eastAsia="標楷體" w:hAnsi="標楷體"/>
              </w:rPr>
            </w:pPr>
            <w:r>
              <w:rPr>
                <w:rFonts w:ascii="標楷體" w:eastAsia="標楷體" w:hAnsi="標楷體"/>
              </w:rPr>
              <w:t>2</w:t>
            </w:r>
          </w:p>
        </w:tc>
        <w:tc>
          <w:tcPr>
            <w:tcW w:w="1213"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1C87D29C" w14:textId="77777777" w:rsidR="00BD776B" w:rsidRDefault="00DF0C24">
            <w:pPr>
              <w:snapToGrid w:val="0"/>
              <w:jc w:val="center"/>
              <w:rPr>
                <w:rFonts w:ascii="標楷體" w:eastAsia="標楷體" w:hAnsi="標楷體"/>
              </w:rPr>
            </w:pPr>
            <w:r>
              <w:rPr>
                <w:rFonts w:ascii="標楷體" w:eastAsia="標楷體" w:hAnsi="標楷體"/>
              </w:rPr>
              <w:t>3</w:t>
            </w:r>
          </w:p>
        </w:tc>
        <w:tc>
          <w:tcPr>
            <w:tcW w:w="1152"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21A76DBC" w14:textId="77777777" w:rsidR="00BD776B" w:rsidRDefault="00DF0C24">
            <w:pPr>
              <w:snapToGrid w:val="0"/>
              <w:jc w:val="center"/>
              <w:rPr>
                <w:rFonts w:ascii="標楷體" w:eastAsia="標楷體" w:hAnsi="標楷體"/>
              </w:rPr>
            </w:pPr>
            <w:r>
              <w:rPr>
                <w:rFonts w:ascii="標楷體" w:eastAsia="標楷體" w:hAnsi="標楷體"/>
              </w:rPr>
              <w:t>4</w:t>
            </w:r>
          </w:p>
        </w:tc>
        <w:tc>
          <w:tcPr>
            <w:tcW w:w="1276"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2F298E94" w14:textId="77777777" w:rsidR="00BD776B" w:rsidRDefault="00DF0C24">
            <w:pPr>
              <w:snapToGrid w:val="0"/>
              <w:jc w:val="center"/>
              <w:rPr>
                <w:rFonts w:ascii="標楷體" w:eastAsia="標楷體" w:hAnsi="標楷體"/>
              </w:rPr>
            </w:pPr>
            <w:r>
              <w:rPr>
                <w:rFonts w:ascii="標楷體" w:eastAsia="標楷體" w:hAnsi="標楷體"/>
              </w:rPr>
              <w:t>5</w:t>
            </w:r>
          </w:p>
        </w:tc>
        <w:tc>
          <w:tcPr>
            <w:tcW w:w="1466" w:type="dxa"/>
            <w:tcBorders>
              <w:top w:val="single" w:sz="6" w:space="0" w:color="000000"/>
              <w:left w:val="single" w:sz="6" w:space="0" w:color="000000"/>
              <w:bottom w:val="double" w:sz="6" w:space="0" w:color="000000"/>
              <w:right w:val="double" w:sz="6" w:space="0" w:color="000000"/>
            </w:tcBorders>
            <w:shd w:val="clear" w:color="auto" w:fill="E6E6E6"/>
            <w:tcMar>
              <w:top w:w="0" w:type="dxa"/>
              <w:left w:w="108" w:type="dxa"/>
              <w:bottom w:w="0" w:type="dxa"/>
              <w:right w:w="108" w:type="dxa"/>
            </w:tcMar>
            <w:vAlign w:val="center"/>
          </w:tcPr>
          <w:p w14:paraId="684F8FF7" w14:textId="77777777" w:rsidR="00BD776B" w:rsidRDefault="00DF0C24">
            <w:pPr>
              <w:snapToGrid w:val="0"/>
              <w:jc w:val="center"/>
              <w:rPr>
                <w:rFonts w:ascii="標楷體" w:eastAsia="標楷體" w:hAnsi="標楷體"/>
              </w:rPr>
            </w:pPr>
            <w:r>
              <w:rPr>
                <w:rFonts w:ascii="標楷體" w:eastAsia="標楷體" w:hAnsi="標楷體"/>
              </w:rPr>
              <w:t>6</w:t>
            </w:r>
          </w:p>
        </w:tc>
      </w:tr>
    </w:tbl>
    <w:p w14:paraId="3B487279" w14:textId="77777777" w:rsidR="00BD776B" w:rsidRDefault="00DF0C24">
      <w:pPr>
        <w:snapToGrid w:val="0"/>
        <w:ind w:firstLine="720"/>
        <w:rPr>
          <w:rFonts w:ascii="標楷體" w:eastAsia="標楷體" w:hAnsi="標楷體"/>
        </w:rPr>
      </w:pPr>
      <w:r>
        <w:rPr>
          <w:rFonts w:ascii="標楷體" w:eastAsia="標楷體" w:hAnsi="標楷體"/>
        </w:rPr>
        <w:t>部位：頭部(h)、軀幹(t)、上肢(u)、下肢(l)</w:t>
      </w:r>
    </w:p>
    <w:p w14:paraId="655C62B9" w14:textId="77777777" w:rsidR="00BD776B" w:rsidRDefault="00BD776B">
      <w:pPr>
        <w:snapToGrid w:val="0"/>
        <w:ind w:left="763"/>
        <w:rPr>
          <w:rFonts w:ascii="標楷體" w:eastAsia="標楷體" w:hAnsi="標楷體"/>
          <w:u w:val="single"/>
        </w:rPr>
      </w:pPr>
    </w:p>
    <w:p w14:paraId="24443A16" w14:textId="77777777" w:rsidR="00BD776B" w:rsidRDefault="00DF0C24">
      <w:pPr>
        <w:snapToGrid w:val="0"/>
      </w:pPr>
      <w:r>
        <w:rPr>
          <w:rFonts w:ascii="標楷體" w:eastAsia="標楷體" w:hAnsi="標楷體"/>
          <w:b/>
          <w:u w:val="single"/>
        </w:rPr>
        <w:t>乾癬嚴重度</w:t>
      </w:r>
      <w:r>
        <w:rPr>
          <w:rFonts w:ascii="標楷體" w:eastAsia="標楷體" w:hAnsi="標楷體"/>
          <w:u w:val="single"/>
        </w:rPr>
        <w:t>（Severity）</w:t>
      </w:r>
      <w:r>
        <w:rPr>
          <w:rFonts w:ascii="標楷體" w:eastAsia="標楷體" w:hAnsi="標楷體"/>
        </w:rPr>
        <w:t>：</w:t>
      </w:r>
    </w:p>
    <w:tbl>
      <w:tblPr>
        <w:tblW w:w="9508" w:type="dxa"/>
        <w:tblLayout w:type="fixed"/>
        <w:tblCellMar>
          <w:left w:w="10" w:type="dxa"/>
          <w:right w:w="10" w:type="dxa"/>
        </w:tblCellMar>
        <w:tblLook w:val="0000" w:firstRow="0" w:lastRow="0" w:firstColumn="0" w:lastColumn="0" w:noHBand="0" w:noVBand="0"/>
      </w:tblPr>
      <w:tblGrid>
        <w:gridCol w:w="828"/>
        <w:gridCol w:w="850"/>
        <w:gridCol w:w="1560"/>
        <w:gridCol w:w="1984"/>
        <w:gridCol w:w="2126"/>
        <w:gridCol w:w="2160"/>
      </w:tblGrid>
      <w:tr w:rsidR="00BD776B" w14:paraId="5AB47C28" w14:textId="77777777">
        <w:tc>
          <w:tcPr>
            <w:tcW w:w="828" w:type="dxa"/>
            <w:tcBorders>
              <w:top w:val="double" w:sz="6" w:space="0" w:color="000000"/>
              <w:left w:val="doub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8752087" w14:textId="77777777" w:rsidR="00BD776B" w:rsidRDefault="00DF0C24">
            <w:pPr>
              <w:snapToGrid w:val="0"/>
              <w:jc w:val="center"/>
              <w:rPr>
                <w:rFonts w:ascii="標楷體" w:eastAsia="標楷體" w:hAnsi="標楷體"/>
              </w:rPr>
            </w:pPr>
            <w:r>
              <w:rPr>
                <w:rFonts w:ascii="標楷體" w:eastAsia="標楷體" w:hAnsi="標楷體"/>
              </w:rPr>
              <w:t>嚴重度</w:t>
            </w:r>
          </w:p>
        </w:tc>
        <w:tc>
          <w:tcPr>
            <w:tcW w:w="850"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06DC045" w14:textId="77777777" w:rsidR="00BD776B" w:rsidRDefault="00DF0C24">
            <w:pPr>
              <w:snapToGrid w:val="0"/>
              <w:jc w:val="center"/>
              <w:rPr>
                <w:rFonts w:ascii="標楷體" w:eastAsia="標楷體" w:hAnsi="標楷體"/>
              </w:rPr>
            </w:pPr>
            <w:r>
              <w:rPr>
                <w:rFonts w:ascii="標楷體" w:eastAsia="標楷體" w:hAnsi="標楷體"/>
              </w:rPr>
              <w:t>None</w:t>
            </w:r>
          </w:p>
        </w:tc>
        <w:tc>
          <w:tcPr>
            <w:tcW w:w="1560"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D76001E" w14:textId="77777777" w:rsidR="00BD776B" w:rsidRDefault="00DF0C24">
            <w:pPr>
              <w:snapToGrid w:val="0"/>
              <w:jc w:val="center"/>
              <w:rPr>
                <w:rFonts w:ascii="標楷體" w:eastAsia="標楷體" w:hAnsi="標楷體"/>
              </w:rPr>
            </w:pPr>
            <w:r>
              <w:rPr>
                <w:rFonts w:ascii="標楷體" w:eastAsia="標楷體" w:hAnsi="標楷體"/>
              </w:rPr>
              <w:t>Some</w:t>
            </w:r>
          </w:p>
        </w:tc>
        <w:tc>
          <w:tcPr>
            <w:tcW w:w="1984"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2EF4BD9" w14:textId="77777777" w:rsidR="00BD776B" w:rsidRDefault="00DF0C24">
            <w:pPr>
              <w:snapToGrid w:val="0"/>
              <w:jc w:val="center"/>
              <w:rPr>
                <w:rFonts w:ascii="標楷體" w:eastAsia="標楷體" w:hAnsi="標楷體"/>
              </w:rPr>
            </w:pPr>
            <w:r>
              <w:rPr>
                <w:rFonts w:ascii="標楷體" w:eastAsia="標楷體" w:hAnsi="標楷體"/>
              </w:rPr>
              <w:t>Moderate</w:t>
            </w:r>
          </w:p>
        </w:tc>
        <w:tc>
          <w:tcPr>
            <w:tcW w:w="2126"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13DB293" w14:textId="77777777" w:rsidR="00BD776B" w:rsidRDefault="00DF0C24">
            <w:pPr>
              <w:snapToGrid w:val="0"/>
              <w:jc w:val="center"/>
              <w:rPr>
                <w:rFonts w:ascii="標楷體" w:eastAsia="標楷體" w:hAnsi="標楷體"/>
              </w:rPr>
            </w:pPr>
            <w:r>
              <w:rPr>
                <w:rFonts w:ascii="標楷體" w:eastAsia="標楷體" w:hAnsi="標楷體"/>
              </w:rPr>
              <w:t>Severe</w:t>
            </w:r>
          </w:p>
        </w:tc>
        <w:tc>
          <w:tcPr>
            <w:tcW w:w="2160" w:type="dxa"/>
            <w:tcBorders>
              <w:top w:val="double" w:sz="6" w:space="0" w:color="000000"/>
              <w:left w:val="single" w:sz="6" w:space="0" w:color="000000"/>
              <w:bottom w:val="single" w:sz="6" w:space="0" w:color="000000"/>
              <w:right w:val="double" w:sz="6" w:space="0" w:color="000000"/>
            </w:tcBorders>
            <w:shd w:val="clear" w:color="auto" w:fill="E6E6E6"/>
            <w:tcMar>
              <w:top w:w="0" w:type="dxa"/>
              <w:left w:w="108" w:type="dxa"/>
              <w:bottom w:w="0" w:type="dxa"/>
              <w:right w:w="108" w:type="dxa"/>
            </w:tcMar>
            <w:vAlign w:val="center"/>
          </w:tcPr>
          <w:p w14:paraId="16F89D3A" w14:textId="77777777" w:rsidR="00BD776B" w:rsidRDefault="00DF0C24">
            <w:pPr>
              <w:snapToGrid w:val="0"/>
              <w:jc w:val="center"/>
              <w:rPr>
                <w:rFonts w:ascii="標楷體" w:eastAsia="標楷體" w:hAnsi="標楷體"/>
              </w:rPr>
            </w:pPr>
            <w:r>
              <w:rPr>
                <w:rFonts w:ascii="標楷體" w:eastAsia="標楷體" w:hAnsi="標楷體"/>
              </w:rPr>
              <w:t>Maximum</w:t>
            </w:r>
          </w:p>
        </w:tc>
      </w:tr>
      <w:tr w:rsidR="00BD776B" w14:paraId="3408E9D4" w14:textId="77777777">
        <w:tc>
          <w:tcPr>
            <w:tcW w:w="828" w:type="dxa"/>
            <w:tcBorders>
              <w:top w:val="single" w:sz="6" w:space="0" w:color="000000"/>
              <w:left w:val="doub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90BEC50" w14:textId="77777777" w:rsidR="00BD776B" w:rsidRDefault="00DF0C24">
            <w:pPr>
              <w:snapToGrid w:val="0"/>
              <w:jc w:val="center"/>
              <w:rPr>
                <w:rFonts w:ascii="標楷體" w:eastAsia="標楷體" w:hAnsi="標楷體"/>
              </w:rPr>
            </w:pPr>
            <w:r>
              <w:rPr>
                <w:rFonts w:ascii="標楷體" w:eastAsia="標楷體" w:hAnsi="標楷體"/>
              </w:rPr>
              <w:t>分數</w:t>
            </w:r>
          </w:p>
        </w:tc>
        <w:tc>
          <w:tcPr>
            <w:tcW w:w="8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975947A" w14:textId="77777777" w:rsidR="00BD776B" w:rsidRDefault="00DF0C24">
            <w:pPr>
              <w:snapToGrid w:val="0"/>
              <w:jc w:val="center"/>
              <w:rPr>
                <w:rFonts w:ascii="標楷體" w:eastAsia="標楷體" w:hAnsi="標楷體"/>
              </w:rPr>
            </w:pPr>
            <w:r>
              <w:rPr>
                <w:rFonts w:ascii="標楷體" w:eastAsia="標楷體" w:hAnsi="標楷體"/>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ECDD6DF" w14:textId="77777777" w:rsidR="00BD776B" w:rsidRDefault="00DF0C24">
            <w:pPr>
              <w:snapToGrid w:val="0"/>
              <w:jc w:val="center"/>
              <w:rPr>
                <w:rFonts w:ascii="標楷體" w:eastAsia="標楷體" w:hAnsi="標楷體"/>
              </w:rPr>
            </w:pPr>
            <w:r>
              <w:rPr>
                <w:rFonts w:ascii="標楷體" w:eastAsia="標楷體" w:hAnsi="標楷體"/>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9B91EF2" w14:textId="77777777" w:rsidR="00BD776B" w:rsidRDefault="00DF0C24">
            <w:pPr>
              <w:snapToGrid w:val="0"/>
              <w:jc w:val="center"/>
              <w:rPr>
                <w:rFonts w:ascii="標楷體" w:eastAsia="標楷體" w:hAnsi="標楷體"/>
              </w:rPr>
            </w:pPr>
            <w:r>
              <w:rPr>
                <w:rFonts w:ascii="標楷體" w:eastAsia="標楷體" w:hAnsi="標楷體"/>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DE52684" w14:textId="77777777" w:rsidR="00BD776B" w:rsidRDefault="00DF0C24">
            <w:pPr>
              <w:snapToGrid w:val="0"/>
              <w:jc w:val="center"/>
              <w:rPr>
                <w:rFonts w:ascii="標楷體" w:eastAsia="標楷體" w:hAnsi="標楷體"/>
              </w:rPr>
            </w:pPr>
            <w:r>
              <w:rPr>
                <w:rFonts w:ascii="標楷體" w:eastAsia="標楷體" w:hAnsi="標楷體"/>
              </w:rPr>
              <w:t>3</w:t>
            </w:r>
          </w:p>
        </w:tc>
        <w:tc>
          <w:tcPr>
            <w:tcW w:w="2160" w:type="dxa"/>
            <w:tcBorders>
              <w:top w:val="single" w:sz="6" w:space="0" w:color="000000"/>
              <w:left w:val="single" w:sz="6" w:space="0" w:color="000000"/>
              <w:bottom w:val="single" w:sz="6" w:space="0" w:color="000000"/>
              <w:right w:val="double" w:sz="6" w:space="0" w:color="000000"/>
            </w:tcBorders>
            <w:shd w:val="clear" w:color="auto" w:fill="E6E6E6"/>
            <w:tcMar>
              <w:top w:w="0" w:type="dxa"/>
              <w:left w:w="108" w:type="dxa"/>
              <w:bottom w:w="0" w:type="dxa"/>
              <w:right w:w="108" w:type="dxa"/>
            </w:tcMar>
            <w:vAlign w:val="center"/>
          </w:tcPr>
          <w:p w14:paraId="5B0398C7" w14:textId="77777777" w:rsidR="00BD776B" w:rsidRDefault="00DF0C24">
            <w:pPr>
              <w:snapToGrid w:val="0"/>
              <w:jc w:val="center"/>
              <w:rPr>
                <w:rFonts w:ascii="標楷體" w:eastAsia="標楷體" w:hAnsi="標楷體"/>
              </w:rPr>
            </w:pPr>
            <w:r>
              <w:rPr>
                <w:rFonts w:ascii="標楷體" w:eastAsia="標楷體" w:hAnsi="標楷體"/>
              </w:rPr>
              <w:t>4</w:t>
            </w:r>
          </w:p>
        </w:tc>
      </w:tr>
      <w:tr w:rsidR="00BD776B" w14:paraId="2E11FA3A" w14:textId="77777777">
        <w:tc>
          <w:tcPr>
            <w:tcW w:w="828"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FF3432" w14:textId="77777777" w:rsidR="00BD776B" w:rsidRDefault="00DF0C24">
            <w:pPr>
              <w:snapToGrid w:val="0"/>
              <w:jc w:val="center"/>
              <w:rPr>
                <w:rFonts w:ascii="標楷體" w:eastAsia="標楷體" w:hAnsi="標楷體"/>
              </w:rPr>
            </w:pPr>
            <w:r>
              <w:rPr>
                <w:rFonts w:ascii="標楷體" w:eastAsia="標楷體" w:hAnsi="標楷體"/>
              </w:rPr>
              <w:t>發紅</w:t>
            </w:r>
          </w:p>
          <w:p w14:paraId="5D823542" w14:textId="77777777" w:rsidR="00BD776B" w:rsidRDefault="00DF0C24">
            <w:pPr>
              <w:snapToGrid w:val="0"/>
              <w:jc w:val="center"/>
            </w:pPr>
            <w:r>
              <w:rPr>
                <w:rFonts w:ascii="標楷體" w:eastAsia="標楷體" w:hAnsi="標楷體"/>
              </w:rPr>
              <w:t>（</w:t>
            </w:r>
            <w:r>
              <w:rPr>
                <w:rFonts w:ascii="標楷體" w:eastAsia="標楷體" w:hAnsi="標楷體"/>
                <w:b/>
                <w:bCs/>
              </w:rPr>
              <w:t>E</w:t>
            </w:r>
            <w:r>
              <w:rPr>
                <w:rFonts w:ascii="標楷體" w:eastAsia="標楷體" w:hAnsi="標楷體"/>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420FAC" w14:textId="77777777" w:rsidR="00BD776B" w:rsidRDefault="00DF0C24">
            <w:pPr>
              <w:snapToGrid w:val="0"/>
              <w:jc w:val="center"/>
              <w:rPr>
                <w:rFonts w:ascii="標楷體" w:eastAsia="標楷體" w:hAnsi="標楷體"/>
              </w:rPr>
            </w:pPr>
            <w:r>
              <w:rPr>
                <w:rFonts w:ascii="標楷體" w:eastAsia="標楷體" w:hAnsi="標楷體"/>
              </w:rPr>
              <w:t>None</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602C7F" w14:textId="77777777" w:rsidR="00BD776B" w:rsidRDefault="00DF0C24">
            <w:pPr>
              <w:snapToGrid w:val="0"/>
              <w:jc w:val="center"/>
              <w:rPr>
                <w:rFonts w:ascii="標楷體" w:eastAsia="標楷體" w:hAnsi="標楷體"/>
              </w:rPr>
            </w:pPr>
            <w:r>
              <w:rPr>
                <w:rFonts w:ascii="標楷體" w:eastAsia="標楷體" w:hAnsi="標楷體"/>
              </w:rPr>
              <w:t>Slightpink</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97FD5F" w14:textId="77777777" w:rsidR="00BD776B" w:rsidRDefault="00DF0C24">
            <w:pPr>
              <w:snapToGrid w:val="0"/>
              <w:jc w:val="center"/>
              <w:rPr>
                <w:rFonts w:ascii="標楷體" w:eastAsia="標楷體" w:hAnsi="標楷體"/>
              </w:rPr>
            </w:pPr>
            <w:r>
              <w:rPr>
                <w:rFonts w:ascii="標楷體" w:eastAsia="標楷體" w:hAnsi="標楷體"/>
              </w:rPr>
              <w:t>Pink</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DFFB75" w14:textId="77777777" w:rsidR="00BD776B" w:rsidRDefault="00DF0C24">
            <w:pPr>
              <w:snapToGrid w:val="0"/>
              <w:jc w:val="center"/>
              <w:rPr>
                <w:rFonts w:ascii="標楷體" w:eastAsia="標楷體" w:hAnsi="標楷體"/>
              </w:rPr>
            </w:pPr>
            <w:r>
              <w:rPr>
                <w:rFonts w:ascii="標楷體" w:eastAsia="標楷體" w:hAnsi="標楷體"/>
              </w:rPr>
              <w:t>Red</w:t>
            </w:r>
          </w:p>
        </w:tc>
        <w:tc>
          <w:tcPr>
            <w:tcW w:w="2160"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vAlign w:val="center"/>
          </w:tcPr>
          <w:p w14:paraId="28BE7818" w14:textId="77777777" w:rsidR="00BD776B" w:rsidRDefault="00DF0C24">
            <w:pPr>
              <w:snapToGrid w:val="0"/>
              <w:jc w:val="center"/>
              <w:rPr>
                <w:rFonts w:ascii="標楷體" w:eastAsia="標楷體" w:hAnsi="標楷體"/>
              </w:rPr>
            </w:pPr>
            <w:r>
              <w:rPr>
                <w:rFonts w:ascii="標楷體" w:eastAsia="標楷體" w:hAnsi="標楷體"/>
              </w:rPr>
              <w:t>Darkred/purpura</w:t>
            </w:r>
          </w:p>
        </w:tc>
      </w:tr>
      <w:tr w:rsidR="00BD776B" w14:paraId="6A581926" w14:textId="77777777">
        <w:tc>
          <w:tcPr>
            <w:tcW w:w="828"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B93DD1" w14:textId="77777777" w:rsidR="00BD776B" w:rsidRDefault="00DF0C24">
            <w:pPr>
              <w:snapToGrid w:val="0"/>
              <w:jc w:val="center"/>
            </w:pPr>
            <w:r>
              <w:rPr>
                <w:rFonts w:ascii="標楷體" w:eastAsia="標楷體" w:hAnsi="標楷體"/>
              </w:rPr>
              <w:t>病灶厚度（</w:t>
            </w:r>
            <w:r>
              <w:rPr>
                <w:rFonts w:ascii="標楷體" w:eastAsia="標楷體" w:hAnsi="標楷體"/>
                <w:b/>
                <w:bCs/>
              </w:rPr>
              <w:t>I</w:t>
            </w:r>
            <w:r>
              <w:rPr>
                <w:rFonts w:ascii="標楷體" w:eastAsia="標楷體" w:hAnsi="標楷體"/>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853DFD" w14:textId="77777777" w:rsidR="00BD776B" w:rsidRDefault="00DF0C24">
            <w:pPr>
              <w:snapToGrid w:val="0"/>
              <w:jc w:val="center"/>
              <w:rPr>
                <w:rFonts w:ascii="標楷體" w:eastAsia="標楷體" w:hAnsi="標楷體"/>
              </w:rPr>
            </w:pPr>
            <w:r>
              <w:rPr>
                <w:rFonts w:ascii="標楷體" w:eastAsia="標楷體" w:hAnsi="標楷體"/>
              </w:rPr>
              <w:t>None</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A7DC31" w14:textId="77777777" w:rsidR="00BD776B" w:rsidRDefault="00DF0C24">
            <w:pPr>
              <w:snapToGrid w:val="0"/>
              <w:jc w:val="center"/>
              <w:rPr>
                <w:rFonts w:ascii="標楷體" w:eastAsia="標楷體" w:hAnsi="標楷體"/>
              </w:rPr>
            </w:pPr>
            <w:r>
              <w:rPr>
                <w:rFonts w:ascii="標楷體" w:eastAsia="標楷體" w:hAnsi="標楷體"/>
              </w:rPr>
              <w:t>Slightelevation</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B72701" w14:textId="77777777" w:rsidR="00BD776B" w:rsidRDefault="00DF0C24">
            <w:pPr>
              <w:snapToGrid w:val="0"/>
              <w:jc w:val="center"/>
              <w:rPr>
                <w:rFonts w:ascii="標楷體" w:eastAsia="標楷體" w:hAnsi="標楷體"/>
              </w:rPr>
            </w:pPr>
            <w:r>
              <w:rPr>
                <w:rFonts w:ascii="標楷體" w:eastAsia="標楷體" w:hAnsi="標楷體"/>
              </w:rPr>
              <w:t>Moderateelevationwithroundedorslopededges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603E16" w14:textId="77777777" w:rsidR="00BD776B" w:rsidRDefault="00DF0C24">
            <w:pPr>
              <w:snapToGrid w:val="0"/>
              <w:jc w:val="center"/>
              <w:rPr>
                <w:rFonts w:ascii="標楷體" w:eastAsia="標楷體" w:hAnsi="標楷體"/>
              </w:rPr>
            </w:pPr>
            <w:r>
              <w:rPr>
                <w:rFonts w:ascii="標楷體" w:eastAsia="標楷體" w:hAnsi="標楷體"/>
              </w:rPr>
              <w:t>Markedelevationwithmarkedsharpedges</w:t>
            </w:r>
          </w:p>
        </w:tc>
        <w:tc>
          <w:tcPr>
            <w:tcW w:w="2160"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vAlign w:val="center"/>
          </w:tcPr>
          <w:p w14:paraId="333A9AF9" w14:textId="77777777" w:rsidR="00BD776B" w:rsidRDefault="00DF0C24">
            <w:pPr>
              <w:snapToGrid w:val="0"/>
              <w:jc w:val="center"/>
              <w:rPr>
                <w:rFonts w:ascii="標楷體" w:eastAsia="標楷體" w:hAnsi="標楷體"/>
              </w:rPr>
            </w:pPr>
            <w:r>
              <w:rPr>
                <w:rFonts w:ascii="標楷體" w:eastAsia="標楷體" w:hAnsi="標楷體"/>
              </w:rPr>
              <w:t>Verymarkedelevationwithveryhardsharpedges</w:t>
            </w:r>
          </w:p>
        </w:tc>
      </w:tr>
      <w:tr w:rsidR="00BD776B" w14:paraId="455394DF" w14:textId="77777777">
        <w:tc>
          <w:tcPr>
            <w:tcW w:w="828" w:type="dxa"/>
            <w:tcBorders>
              <w:top w:val="single" w:sz="6" w:space="0" w:color="000000"/>
              <w:left w:val="doub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50C9A6B6" w14:textId="77777777" w:rsidR="00BD776B" w:rsidRDefault="00DF0C24">
            <w:pPr>
              <w:snapToGrid w:val="0"/>
              <w:jc w:val="center"/>
            </w:pPr>
            <w:r>
              <w:rPr>
                <w:rFonts w:ascii="標楷體" w:eastAsia="標楷體" w:hAnsi="標楷體"/>
              </w:rPr>
              <w:t>脫屑狀況（</w:t>
            </w:r>
            <w:r>
              <w:rPr>
                <w:rFonts w:ascii="標楷體" w:eastAsia="標楷體" w:hAnsi="標楷體"/>
                <w:b/>
                <w:bCs/>
              </w:rPr>
              <w:t>D</w:t>
            </w:r>
            <w:r>
              <w:rPr>
                <w:rFonts w:ascii="標楷體" w:eastAsia="標楷體" w:hAnsi="標楷體"/>
              </w:rPr>
              <w:t>）</w:t>
            </w:r>
          </w:p>
        </w:tc>
        <w:tc>
          <w:tcPr>
            <w:tcW w:w="850"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630D8123" w14:textId="77777777" w:rsidR="00BD776B" w:rsidRDefault="00DF0C24">
            <w:pPr>
              <w:snapToGrid w:val="0"/>
              <w:jc w:val="center"/>
              <w:rPr>
                <w:rFonts w:ascii="標楷體" w:eastAsia="標楷體" w:hAnsi="標楷體"/>
              </w:rPr>
            </w:pPr>
            <w:r>
              <w:rPr>
                <w:rFonts w:ascii="標楷體" w:eastAsia="標楷體" w:hAnsi="標楷體"/>
              </w:rPr>
              <w:t>None</w:t>
            </w:r>
          </w:p>
        </w:tc>
        <w:tc>
          <w:tcPr>
            <w:tcW w:w="1560"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18200092" w14:textId="77777777" w:rsidR="00BD776B" w:rsidRDefault="00DF0C24">
            <w:pPr>
              <w:snapToGrid w:val="0"/>
              <w:jc w:val="center"/>
              <w:rPr>
                <w:rFonts w:ascii="標楷體" w:eastAsia="標楷體" w:hAnsi="標楷體"/>
              </w:rPr>
            </w:pPr>
            <w:r>
              <w:rPr>
                <w:rFonts w:ascii="標楷體" w:eastAsia="標楷體" w:hAnsi="標楷體"/>
              </w:rPr>
              <w:t>Finescale</w:t>
            </w:r>
          </w:p>
        </w:tc>
        <w:tc>
          <w:tcPr>
            <w:tcW w:w="1984"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1EC2A740" w14:textId="77777777" w:rsidR="00BD776B" w:rsidRDefault="00DF0C24">
            <w:pPr>
              <w:snapToGrid w:val="0"/>
              <w:jc w:val="center"/>
              <w:rPr>
                <w:rFonts w:ascii="標楷體" w:eastAsia="標楷體" w:hAnsi="標楷體"/>
              </w:rPr>
            </w:pPr>
            <w:r>
              <w:rPr>
                <w:rFonts w:ascii="標楷體" w:eastAsia="標楷體" w:hAnsi="標楷體"/>
              </w:rPr>
              <w:t>Coarsescaleswithmostlesionspartiallycoveredbyscale</w:t>
            </w:r>
          </w:p>
        </w:tc>
        <w:tc>
          <w:tcPr>
            <w:tcW w:w="2126"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2C96FD4C" w14:textId="77777777" w:rsidR="00BD776B" w:rsidRDefault="00DF0C24">
            <w:pPr>
              <w:snapToGrid w:val="0"/>
              <w:jc w:val="center"/>
              <w:rPr>
                <w:rFonts w:ascii="標楷體" w:eastAsia="標楷體" w:hAnsi="標楷體"/>
              </w:rPr>
            </w:pPr>
            <w:r>
              <w:rPr>
                <w:rFonts w:ascii="標楷體" w:eastAsia="標楷體" w:hAnsi="標楷體"/>
              </w:rPr>
              <w:t>Coarsescaleswithalmostalllesionscoveredbyaroughsurface</w:t>
            </w:r>
          </w:p>
        </w:tc>
        <w:tc>
          <w:tcPr>
            <w:tcW w:w="2160" w:type="dxa"/>
            <w:tcBorders>
              <w:top w:val="single" w:sz="6" w:space="0" w:color="000000"/>
              <w:left w:val="single" w:sz="6" w:space="0" w:color="000000"/>
              <w:bottom w:val="double" w:sz="6" w:space="0" w:color="000000"/>
              <w:right w:val="double" w:sz="6" w:space="0" w:color="000000"/>
            </w:tcBorders>
            <w:shd w:val="clear" w:color="auto" w:fill="auto"/>
            <w:tcMar>
              <w:top w:w="0" w:type="dxa"/>
              <w:left w:w="108" w:type="dxa"/>
              <w:bottom w:w="0" w:type="dxa"/>
              <w:right w:w="108" w:type="dxa"/>
            </w:tcMar>
            <w:vAlign w:val="center"/>
          </w:tcPr>
          <w:p w14:paraId="3780052E" w14:textId="77777777" w:rsidR="00BD776B" w:rsidRDefault="00DF0C24">
            <w:pPr>
              <w:snapToGrid w:val="0"/>
              <w:jc w:val="center"/>
              <w:rPr>
                <w:rFonts w:ascii="標楷體" w:eastAsia="標楷體" w:hAnsi="標楷體"/>
              </w:rPr>
            </w:pPr>
            <w:r>
              <w:rPr>
                <w:rFonts w:ascii="標楷體" w:eastAsia="標楷體" w:hAnsi="標楷體"/>
              </w:rPr>
              <w:t>Verycoarsethickscalescoveringalllesions,veryroughsurface</w:t>
            </w:r>
          </w:p>
        </w:tc>
      </w:tr>
    </w:tbl>
    <w:p w14:paraId="3282FCB7" w14:textId="77777777" w:rsidR="00BD776B" w:rsidRDefault="00BD776B">
      <w:pPr>
        <w:snapToGrid w:val="0"/>
        <w:ind w:left="763"/>
        <w:rPr>
          <w:rFonts w:ascii="標楷體" w:eastAsia="標楷體" w:hAnsi="標楷體"/>
        </w:rPr>
      </w:pPr>
    </w:p>
    <w:p w14:paraId="6625B9D1" w14:textId="77777777" w:rsidR="00BD776B" w:rsidRDefault="00DF0C24">
      <w:pPr>
        <w:snapToGrid w:val="0"/>
        <w:ind w:left="1" w:firstLine="721"/>
      </w:pPr>
      <w:r>
        <w:rPr>
          <w:rFonts w:ascii="標楷體" w:eastAsia="標楷體" w:hAnsi="標楷體"/>
          <w:b/>
        </w:rPr>
        <w:t>PASI＝0.1*（E</w:t>
      </w:r>
      <w:r>
        <w:rPr>
          <w:rFonts w:ascii="標楷體" w:eastAsia="標楷體" w:hAnsi="標楷體"/>
          <w:b/>
          <w:vertAlign w:val="subscript"/>
        </w:rPr>
        <w:t>h</w:t>
      </w:r>
      <w:r>
        <w:rPr>
          <w:rFonts w:ascii="標楷體" w:eastAsia="標楷體" w:hAnsi="標楷體"/>
          <w:b/>
        </w:rPr>
        <w:t>＋I</w:t>
      </w:r>
      <w:r>
        <w:rPr>
          <w:rFonts w:ascii="標楷體" w:eastAsia="標楷體" w:hAnsi="標楷體"/>
          <w:b/>
          <w:vertAlign w:val="subscript"/>
        </w:rPr>
        <w:t>h</w:t>
      </w:r>
      <w:r>
        <w:rPr>
          <w:rFonts w:ascii="標楷體" w:eastAsia="標楷體" w:hAnsi="標楷體"/>
          <w:b/>
        </w:rPr>
        <w:t>＋D</w:t>
      </w:r>
      <w:r>
        <w:rPr>
          <w:rFonts w:ascii="標楷體" w:eastAsia="標楷體" w:hAnsi="標楷體"/>
          <w:b/>
          <w:vertAlign w:val="subscript"/>
        </w:rPr>
        <w:t>h</w:t>
      </w:r>
      <w:r>
        <w:rPr>
          <w:rFonts w:ascii="標楷體" w:eastAsia="標楷體" w:hAnsi="標楷體"/>
          <w:b/>
        </w:rPr>
        <w:t>）*A</w:t>
      </w:r>
      <w:r>
        <w:rPr>
          <w:rFonts w:ascii="標楷體" w:eastAsia="標楷體" w:hAnsi="標楷體"/>
          <w:b/>
          <w:vertAlign w:val="subscript"/>
        </w:rPr>
        <w:t>h</w:t>
      </w:r>
      <w:r>
        <w:rPr>
          <w:rFonts w:ascii="標楷體" w:eastAsia="標楷體" w:hAnsi="標楷體"/>
          <w:b/>
        </w:rPr>
        <w:t>＋0.3*（E</w:t>
      </w:r>
      <w:r>
        <w:rPr>
          <w:rFonts w:ascii="標楷體" w:eastAsia="標楷體" w:hAnsi="標楷體"/>
          <w:b/>
          <w:vertAlign w:val="subscript"/>
        </w:rPr>
        <w:t>t</w:t>
      </w:r>
      <w:r>
        <w:rPr>
          <w:rFonts w:ascii="標楷體" w:eastAsia="標楷體" w:hAnsi="標楷體"/>
          <w:b/>
        </w:rPr>
        <w:t>＋I</w:t>
      </w:r>
      <w:r>
        <w:rPr>
          <w:rFonts w:ascii="標楷體" w:eastAsia="標楷體" w:hAnsi="標楷體"/>
          <w:b/>
          <w:vertAlign w:val="subscript"/>
        </w:rPr>
        <w:t>t</w:t>
      </w:r>
      <w:r>
        <w:rPr>
          <w:rFonts w:ascii="標楷體" w:eastAsia="標楷體" w:hAnsi="標楷體"/>
          <w:b/>
        </w:rPr>
        <w:t>＋D</w:t>
      </w:r>
      <w:r>
        <w:rPr>
          <w:rFonts w:ascii="標楷體" w:eastAsia="標楷體" w:hAnsi="標楷體"/>
          <w:b/>
          <w:vertAlign w:val="subscript"/>
        </w:rPr>
        <w:t>t</w:t>
      </w:r>
      <w:r>
        <w:rPr>
          <w:rFonts w:ascii="標楷體" w:eastAsia="標楷體" w:hAnsi="標楷體"/>
          <w:b/>
        </w:rPr>
        <w:t>）*A</w:t>
      </w:r>
      <w:r>
        <w:rPr>
          <w:rFonts w:ascii="標楷體" w:eastAsia="標楷體" w:hAnsi="標楷體"/>
          <w:b/>
          <w:vertAlign w:val="subscript"/>
        </w:rPr>
        <w:t>t</w:t>
      </w:r>
      <w:r>
        <w:rPr>
          <w:rFonts w:ascii="標楷體" w:eastAsia="標楷體" w:hAnsi="標楷體"/>
          <w:b/>
        </w:rPr>
        <w:t>＋</w:t>
      </w:r>
    </w:p>
    <w:p w14:paraId="50566FC0" w14:textId="77777777" w:rsidR="00BD776B" w:rsidRDefault="00DF0C24">
      <w:pPr>
        <w:snapToGrid w:val="0"/>
        <w:spacing w:line="360" w:lineRule="auto"/>
      </w:pPr>
      <w:r>
        <w:rPr>
          <w:rFonts w:ascii="標楷體" w:eastAsia="標楷體" w:hAnsi="標楷體"/>
          <w:b/>
        </w:rPr>
        <w:t xml:space="preserve">            0.2*（E</w:t>
      </w:r>
      <w:r>
        <w:rPr>
          <w:rFonts w:ascii="標楷體" w:eastAsia="標楷體" w:hAnsi="標楷體"/>
          <w:b/>
          <w:vertAlign w:val="subscript"/>
        </w:rPr>
        <w:t>u</w:t>
      </w:r>
      <w:r>
        <w:rPr>
          <w:rFonts w:ascii="標楷體" w:eastAsia="標楷體" w:hAnsi="標楷體"/>
          <w:b/>
        </w:rPr>
        <w:t>＋I</w:t>
      </w:r>
      <w:r>
        <w:rPr>
          <w:rFonts w:ascii="標楷體" w:eastAsia="標楷體" w:hAnsi="標楷體"/>
          <w:b/>
          <w:vertAlign w:val="subscript"/>
        </w:rPr>
        <w:t>u</w:t>
      </w:r>
      <w:r>
        <w:rPr>
          <w:rFonts w:ascii="標楷體" w:eastAsia="標楷體" w:hAnsi="標楷體"/>
          <w:b/>
        </w:rPr>
        <w:t>＋D</w:t>
      </w:r>
      <w:r>
        <w:rPr>
          <w:rFonts w:ascii="標楷體" w:eastAsia="標楷體" w:hAnsi="標楷體"/>
          <w:b/>
          <w:vertAlign w:val="subscript"/>
        </w:rPr>
        <w:t>u</w:t>
      </w:r>
      <w:r>
        <w:rPr>
          <w:rFonts w:ascii="標楷體" w:eastAsia="標楷體" w:hAnsi="標楷體"/>
          <w:b/>
        </w:rPr>
        <w:t>）*A</w:t>
      </w:r>
      <w:r>
        <w:rPr>
          <w:rFonts w:ascii="標楷體" w:eastAsia="標楷體" w:hAnsi="標楷體"/>
          <w:b/>
          <w:vertAlign w:val="subscript"/>
        </w:rPr>
        <w:t>u</w:t>
      </w:r>
      <w:r>
        <w:rPr>
          <w:rFonts w:ascii="標楷體" w:eastAsia="標楷體" w:hAnsi="標楷體"/>
          <w:b/>
        </w:rPr>
        <w:t>＋0.4*（E</w:t>
      </w:r>
      <w:r>
        <w:rPr>
          <w:rFonts w:ascii="標楷體" w:eastAsia="標楷體" w:hAnsi="標楷體"/>
          <w:b/>
          <w:vertAlign w:val="subscript"/>
        </w:rPr>
        <w:t>l</w:t>
      </w:r>
      <w:r>
        <w:rPr>
          <w:rFonts w:ascii="標楷體" w:eastAsia="標楷體" w:hAnsi="標楷體"/>
          <w:b/>
        </w:rPr>
        <w:t>＋I</w:t>
      </w:r>
      <w:r>
        <w:rPr>
          <w:rFonts w:ascii="標楷體" w:eastAsia="標楷體" w:hAnsi="標楷體"/>
          <w:b/>
          <w:vertAlign w:val="subscript"/>
        </w:rPr>
        <w:t>l</w:t>
      </w:r>
      <w:r>
        <w:rPr>
          <w:rFonts w:ascii="標楷體" w:eastAsia="標楷體" w:hAnsi="標楷體"/>
          <w:b/>
        </w:rPr>
        <w:t>＋D</w:t>
      </w:r>
      <w:r>
        <w:rPr>
          <w:rFonts w:ascii="標楷體" w:eastAsia="標楷體" w:hAnsi="標楷體"/>
          <w:b/>
          <w:vertAlign w:val="subscript"/>
        </w:rPr>
        <w:t>l</w:t>
      </w:r>
      <w:r>
        <w:rPr>
          <w:rFonts w:ascii="標楷體" w:eastAsia="標楷體" w:hAnsi="標楷體"/>
          <w:b/>
        </w:rPr>
        <w:t>）*A</w:t>
      </w:r>
      <w:r>
        <w:rPr>
          <w:rFonts w:ascii="標楷體" w:eastAsia="標楷體" w:hAnsi="標楷體"/>
          <w:b/>
          <w:vertAlign w:val="subscript"/>
        </w:rPr>
        <w:t>l</w:t>
      </w:r>
    </w:p>
    <w:p w14:paraId="1F09F703" w14:textId="77777777" w:rsidR="00BD776B" w:rsidRDefault="00BD776B">
      <w:pPr>
        <w:snapToGrid w:val="0"/>
        <w:spacing w:line="360" w:lineRule="exact"/>
        <w:ind w:left="653" w:hanging="283"/>
        <w:rPr>
          <w:rFonts w:eastAsia="標楷體"/>
        </w:rPr>
      </w:pPr>
    </w:p>
    <w:p w14:paraId="5C55F4E5" w14:textId="77777777" w:rsidR="00BD776B" w:rsidRDefault="00BD776B">
      <w:pPr>
        <w:pageBreakBefore/>
        <w:widowControl/>
        <w:suppressAutoHyphens w:val="0"/>
        <w:rPr>
          <w:rFonts w:ascii="標楷體" w:eastAsia="標楷體" w:hAnsi="標楷體"/>
          <w:b/>
          <w:sz w:val="28"/>
          <w:szCs w:val="28"/>
        </w:rPr>
      </w:pPr>
    </w:p>
    <w:p w14:paraId="68A0E7FB" w14:textId="77777777" w:rsidR="00BD776B" w:rsidRDefault="00DF0C24">
      <w:pPr>
        <w:pStyle w:val="a7"/>
        <w:overflowPunct w:val="0"/>
        <w:spacing w:after="180" w:line="480" w:lineRule="exact"/>
        <w:ind w:left="620" w:hanging="140"/>
        <w:jc w:val="center"/>
      </w:pPr>
      <w:r>
        <w:rPr>
          <w:rFonts w:ascii="標楷體" w:eastAsia="標楷體" w:hAnsi="標楷體"/>
          <w:b/>
          <w:sz w:val="28"/>
          <w:szCs w:val="28"/>
        </w:rPr>
        <w:t>附表二十四之四：全民健康保險乾癬(全身型急性膿疱性乾癬部分)使用生物製劑申請表</w:t>
      </w:r>
    </w:p>
    <w:tbl>
      <w:tblPr>
        <w:tblW w:w="9665" w:type="dxa"/>
        <w:tblInd w:w="170" w:type="dxa"/>
        <w:tblLayout w:type="fixed"/>
        <w:tblCellMar>
          <w:left w:w="10" w:type="dxa"/>
          <w:right w:w="10" w:type="dxa"/>
        </w:tblCellMar>
        <w:tblLook w:val="0000" w:firstRow="0" w:lastRow="0" w:firstColumn="0" w:lastColumn="0" w:noHBand="0" w:noVBand="0"/>
      </w:tblPr>
      <w:tblGrid>
        <w:gridCol w:w="811"/>
        <w:gridCol w:w="88"/>
        <w:gridCol w:w="515"/>
        <w:gridCol w:w="723"/>
        <w:gridCol w:w="976"/>
        <w:gridCol w:w="1273"/>
        <w:gridCol w:w="1558"/>
        <w:gridCol w:w="266"/>
        <w:gridCol w:w="867"/>
        <w:gridCol w:w="2505"/>
        <w:gridCol w:w="40"/>
        <w:gridCol w:w="43"/>
      </w:tblGrid>
      <w:tr w:rsidR="00BD776B" w14:paraId="20B9A13F" w14:textId="77777777">
        <w:trPr>
          <w:trHeight w:val="376"/>
        </w:trPr>
        <w:tc>
          <w:tcPr>
            <w:tcW w:w="1414" w:type="dxa"/>
            <w:gridSpan w:val="3"/>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FF06C82" w14:textId="77777777" w:rsidR="00BD776B" w:rsidRDefault="00DF0C24">
            <w:pPr>
              <w:snapToGrid w:val="0"/>
              <w:spacing w:line="480" w:lineRule="exact"/>
              <w:rPr>
                <w:rFonts w:ascii="標楷體" w:eastAsia="標楷體" w:hAnsi="標楷體"/>
              </w:rPr>
            </w:pPr>
            <w:r>
              <w:rPr>
                <w:rFonts w:ascii="標楷體" w:eastAsia="標楷體" w:hAnsi="標楷體"/>
              </w:rPr>
              <w:t>醫院代號</w:t>
            </w:r>
          </w:p>
        </w:tc>
        <w:tc>
          <w:tcPr>
            <w:tcW w:w="1699"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57FBFBF" w14:textId="77777777" w:rsidR="00BD776B" w:rsidRDefault="00BD776B">
            <w:pPr>
              <w:snapToGrid w:val="0"/>
              <w:spacing w:line="480" w:lineRule="exact"/>
              <w:rPr>
                <w:rFonts w:ascii="標楷體" w:eastAsia="標楷體" w:hAnsi="標楷體"/>
              </w:rPr>
            </w:pPr>
          </w:p>
        </w:tc>
        <w:tc>
          <w:tcPr>
            <w:tcW w:w="127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EBDA6D" w14:textId="77777777" w:rsidR="00BD776B" w:rsidRDefault="00DF0C24">
            <w:pPr>
              <w:snapToGrid w:val="0"/>
              <w:spacing w:line="480" w:lineRule="exact"/>
              <w:rPr>
                <w:rFonts w:ascii="標楷體" w:eastAsia="標楷體" w:hAnsi="標楷體"/>
              </w:rPr>
            </w:pPr>
            <w:r>
              <w:rPr>
                <w:rFonts w:ascii="標楷體" w:eastAsia="標楷體" w:hAnsi="標楷體"/>
              </w:rPr>
              <w:t>醫院名稱</w:t>
            </w:r>
          </w:p>
        </w:tc>
        <w:tc>
          <w:tcPr>
            <w:tcW w:w="155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32771DA" w14:textId="77777777" w:rsidR="00BD776B" w:rsidRDefault="00BD776B">
            <w:pPr>
              <w:snapToGrid w:val="0"/>
              <w:spacing w:line="480" w:lineRule="exact"/>
              <w:rPr>
                <w:rFonts w:ascii="標楷體" w:eastAsia="標楷體" w:hAnsi="標楷體"/>
              </w:rPr>
            </w:pPr>
          </w:p>
        </w:tc>
        <w:tc>
          <w:tcPr>
            <w:tcW w:w="1133"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B475B0A" w14:textId="77777777" w:rsidR="00BD776B" w:rsidRDefault="00DF0C24">
            <w:pPr>
              <w:snapToGrid w:val="0"/>
              <w:spacing w:line="480" w:lineRule="exact"/>
              <w:rPr>
                <w:rFonts w:ascii="標楷體" w:eastAsia="標楷體" w:hAnsi="標楷體"/>
              </w:rPr>
            </w:pPr>
            <w:r>
              <w:rPr>
                <w:rFonts w:ascii="標楷體" w:eastAsia="標楷體" w:hAnsi="標楷體"/>
              </w:rPr>
              <w:t>申請日期</w:t>
            </w:r>
          </w:p>
        </w:tc>
        <w:tc>
          <w:tcPr>
            <w:tcW w:w="2545" w:type="dxa"/>
            <w:gridSpan w:val="2"/>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B7C53DF" w14:textId="77777777" w:rsidR="00BD776B" w:rsidRDefault="00BD776B">
            <w:pPr>
              <w:snapToGrid w:val="0"/>
              <w:spacing w:line="480" w:lineRule="exact"/>
              <w:rPr>
                <w:rFonts w:ascii="標楷體" w:eastAsia="標楷體" w:hAnsi="標楷體"/>
              </w:rPr>
            </w:pPr>
          </w:p>
        </w:tc>
        <w:tc>
          <w:tcPr>
            <w:tcW w:w="43" w:type="dxa"/>
            <w:shd w:val="clear" w:color="auto" w:fill="auto"/>
            <w:tcMar>
              <w:top w:w="0" w:type="dxa"/>
              <w:left w:w="10" w:type="dxa"/>
              <w:bottom w:w="0" w:type="dxa"/>
              <w:right w:w="10" w:type="dxa"/>
            </w:tcMar>
          </w:tcPr>
          <w:p w14:paraId="0BAA5633" w14:textId="77777777" w:rsidR="00BD776B" w:rsidRDefault="00BD776B">
            <w:pPr>
              <w:snapToGrid w:val="0"/>
              <w:spacing w:line="480" w:lineRule="exact"/>
              <w:rPr>
                <w:rFonts w:ascii="標楷體" w:eastAsia="標楷體" w:hAnsi="標楷體"/>
              </w:rPr>
            </w:pPr>
          </w:p>
        </w:tc>
      </w:tr>
      <w:tr w:rsidR="00BD776B" w14:paraId="251A98BB" w14:textId="77777777">
        <w:trPr>
          <w:trHeight w:val="332"/>
        </w:trPr>
        <w:tc>
          <w:tcPr>
            <w:tcW w:w="1414" w:type="dxa"/>
            <w:gridSpan w:val="3"/>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C6BA2A4" w14:textId="77777777" w:rsidR="00BD776B" w:rsidRDefault="00DF0C24">
            <w:pPr>
              <w:spacing w:line="480" w:lineRule="exact"/>
              <w:rPr>
                <w:rFonts w:ascii="標楷體" w:eastAsia="標楷體" w:hAnsi="標楷體"/>
              </w:rPr>
            </w:pPr>
            <w:r>
              <w:rPr>
                <w:rFonts w:ascii="標楷體" w:eastAsia="標楷體" w:hAnsi="標楷體"/>
              </w:rPr>
              <w:t>病人姓名</w:t>
            </w: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4B1C43" w14:textId="77777777" w:rsidR="00BD776B" w:rsidRDefault="00BD776B">
            <w:pPr>
              <w:spacing w:line="480" w:lineRule="exact"/>
              <w:rPr>
                <w:rFonts w:ascii="標楷體" w:eastAsia="標楷體" w:hAnsi="標楷體"/>
              </w:rPr>
            </w:pPr>
          </w:p>
        </w:tc>
        <w:tc>
          <w:tcPr>
            <w:tcW w:w="12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87F00A" w14:textId="77777777" w:rsidR="00BD776B" w:rsidRDefault="00DF0C24">
            <w:pPr>
              <w:spacing w:line="480" w:lineRule="exact"/>
              <w:rPr>
                <w:rFonts w:ascii="標楷體" w:eastAsia="標楷體" w:hAnsi="標楷體"/>
              </w:rPr>
            </w:pPr>
            <w:r>
              <w:rPr>
                <w:rFonts w:ascii="標楷體" w:eastAsia="標楷體" w:hAnsi="標楷體"/>
              </w:rPr>
              <w:t>性別</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105DDD" w14:textId="77777777" w:rsidR="00BD776B" w:rsidRDefault="00BD776B">
            <w:pPr>
              <w:spacing w:line="480" w:lineRule="exact"/>
              <w:rPr>
                <w:rFonts w:ascii="標楷體" w:eastAsia="標楷體" w:hAnsi="標楷體"/>
              </w:rPr>
            </w:pPr>
          </w:p>
        </w:tc>
        <w:tc>
          <w:tcPr>
            <w:tcW w:w="11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EDC3E6" w14:textId="77777777" w:rsidR="00BD776B" w:rsidRDefault="00DF0C24">
            <w:pPr>
              <w:spacing w:line="480" w:lineRule="exact"/>
              <w:rPr>
                <w:rFonts w:ascii="標楷體" w:eastAsia="標楷體" w:hAnsi="標楷體"/>
              </w:rPr>
            </w:pPr>
            <w:r>
              <w:rPr>
                <w:rFonts w:ascii="標楷體" w:eastAsia="標楷體" w:hAnsi="標楷體"/>
              </w:rPr>
              <w:t>出生日期</w:t>
            </w:r>
          </w:p>
        </w:tc>
        <w:tc>
          <w:tcPr>
            <w:tcW w:w="2545" w:type="dxa"/>
            <w:gridSpan w:val="2"/>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00811584" w14:textId="77777777" w:rsidR="00BD776B" w:rsidRDefault="00BD776B">
            <w:pPr>
              <w:spacing w:line="480" w:lineRule="exact"/>
              <w:rPr>
                <w:rFonts w:ascii="標楷體" w:eastAsia="標楷體" w:hAnsi="標楷體"/>
              </w:rPr>
            </w:pPr>
          </w:p>
        </w:tc>
        <w:tc>
          <w:tcPr>
            <w:tcW w:w="43" w:type="dxa"/>
            <w:shd w:val="clear" w:color="auto" w:fill="auto"/>
            <w:tcMar>
              <w:top w:w="0" w:type="dxa"/>
              <w:left w:w="10" w:type="dxa"/>
              <w:bottom w:w="0" w:type="dxa"/>
              <w:right w:w="10" w:type="dxa"/>
            </w:tcMar>
          </w:tcPr>
          <w:p w14:paraId="73231CF3" w14:textId="77777777" w:rsidR="00BD776B" w:rsidRDefault="00BD776B">
            <w:pPr>
              <w:spacing w:line="480" w:lineRule="exact"/>
              <w:rPr>
                <w:rFonts w:ascii="標楷體" w:eastAsia="標楷體" w:hAnsi="標楷體"/>
              </w:rPr>
            </w:pPr>
          </w:p>
        </w:tc>
      </w:tr>
      <w:tr w:rsidR="00BD776B" w14:paraId="24253AB0" w14:textId="77777777">
        <w:trPr>
          <w:trHeight w:val="356"/>
        </w:trPr>
        <w:tc>
          <w:tcPr>
            <w:tcW w:w="1414" w:type="dxa"/>
            <w:gridSpan w:val="3"/>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8620618" w14:textId="77777777" w:rsidR="00BD776B" w:rsidRDefault="00DF0C24">
            <w:pPr>
              <w:spacing w:line="480" w:lineRule="exact"/>
              <w:rPr>
                <w:rFonts w:ascii="標楷體" w:eastAsia="標楷體" w:hAnsi="標楷體"/>
              </w:rPr>
            </w:pPr>
            <w:r>
              <w:rPr>
                <w:rFonts w:ascii="標楷體" w:eastAsia="標楷體" w:hAnsi="標楷體"/>
              </w:rPr>
              <w:t>身分證號</w:t>
            </w: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907720" w14:textId="77777777" w:rsidR="00BD776B" w:rsidRDefault="00BD776B">
            <w:pPr>
              <w:spacing w:line="480" w:lineRule="exact"/>
              <w:rPr>
                <w:rFonts w:ascii="標楷體" w:eastAsia="標楷體" w:hAnsi="標楷體"/>
              </w:rPr>
            </w:pPr>
          </w:p>
        </w:tc>
        <w:tc>
          <w:tcPr>
            <w:tcW w:w="12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36C723" w14:textId="77777777" w:rsidR="00BD776B" w:rsidRDefault="00DF0C24">
            <w:pPr>
              <w:spacing w:line="480" w:lineRule="exact"/>
              <w:rPr>
                <w:rFonts w:ascii="標楷體" w:eastAsia="標楷體" w:hAnsi="標楷體"/>
              </w:rPr>
            </w:pPr>
            <w:r>
              <w:rPr>
                <w:rFonts w:ascii="標楷體" w:eastAsia="標楷體" w:hAnsi="標楷體"/>
              </w:rPr>
              <w:t>病歷號碼</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82729C" w14:textId="77777777" w:rsidR="00BD776B" w:rsidRDefault="00BD776B">
            <w:pPr>
              <w:spacing w:line="480" w:lineRule="exact"/>
              <w:rPr>
                <w:rFonts w:ascii="標楷體" w:eastAsia="標楷體" w:hAnsi="標楷體"/>
              </w:rPr>
            </w:pPr>
          </w:p>
        </w:tc>
        <w:tc>
          <w:tcPr>
            <w:tcW w:w="1133" w:type="dxa"/>
            <w:gridSpan w:val="2"/>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3F73D643" w14:textId="77777777" w:rsidR="00BD776B" w:rsidRDefault="00DF0C24">
            <w:pPr>
              <w:spacing w:line="480" w:lineRule="exact"/>
              <w:rPr>
                <w:rFonts w:ascii="標楷體" w:eastAsia="標楷體" w:hAnsi="標楷體"/>
              </w:rPr>
            </w:pPr>
            <w:r>
              <w:rPr>
                <w:rFonts w:ascii="標楷體" w:eastAsia="標楷體" w:hAnsi="標楷體"/>
              </w:rPr>
              <w:t>使用期間</w:t>
            </w:r>
          </w:p>
        </w:tc>
        <w:tc>
          <w:tcPr>
            <w:tcW w:w="2545" w:type="dxa"/>
            <w:gridSpan w:val="2"/>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9EFB177" w14:textId="77777777" w:rsidR="00BD776B" w:rsidRDefault="00DF0C24">
            <w:pPr>
              <w:spacing w:line="480" w:lineRule="exact"/>
              <w:rPr>
                <w:rFonts w:ascii="標楷體" w:eastAsia="標楷體" w:hAnsi="標楷體"/>
              </w:rPr>
            </w:pPr>
            <w:r>
              <w:rPr>
                <w:rFonts w:ascii="標楷體" w:eastAsia="標楷體" w:hAnsi="標楷體"/>
              </w:rPr>
              <w:t>自　　年　　月　　日</w:t>
            </w:r>
          </w:p>
        </w:tc>
        <w:tc>
          <w:tcPr>
            <w:tcW w:w="43" w:type="dxa"/>
            <w:shd w:val="clear" w:color="auto" w:fill="auto"/>
            <w:tcMar>
              <w:top w:w="0" w:type="dxa"/>
              <w:left w:w="10" w:type="dxa"/>
              <w:bottom w:w="0" w:type="dxa"/>
              <w:right w:w="10" w:type="dxa"/>
            </w:tcMar>
          </w:tcPr>
          <w:p w14:paraId="5B77F600" w14:textId="77777777" w:rsidR="00BD776B" w:rsidRDefault="00BD776B">
            <w:pPr>
              <w:spacing w:line="480" w:lineRule="exact"/>
              <w:rPr>
                <w:rFonts w:ascii="標楷體" w:eastAsia="標楷體" w:hAnsi="標楷體"/>
              </w:rPr>
            </w:pPr>
          </w:p>
        </w:tc>
      </w:tr>
      <w:tr w:rsidR="00BD776B" w14:paraId="2E5DF591" w14:textId="77777777">
        <w:trPr>
          <w:trHeight w:val="337"/>
        </w:trPr>
        <w:tc>
          <w:tcPr>
            <w:tcW w:w="1414" w:type="dxa"/>
            <w:gridSpan w:val="3"/>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43493FDD" w14:textId="77777777" w:rsidR="00BD776B" w:rsidRDefault="00DF0C24">
            <w:pPr>
              <w:spacing w:line="480" w:lineRule="exact"/>
              <w:rPr>
                <w:rFonts w:ascii="標楷體" w:eastAsia="標楷體" w:hAnsi="標楷體"/>
              </w:rPr>
            </w:pPr>
            <w:r>
              <w:rPr>
                <w:rFonts w:ascii="標楷體" w:eastAsia="標楷體" w:hAnsi="標楷體"/>
              </w:rPr>
              <w:t>藥品代碼</w:t>
            </w:r>
          </w:p>
        </w:tc>
        <w:tc>
          <w:tcPr>
            <w:tcW w:w="1699" w:type="dxa"/>
            <w:gridSpan w:val="2"/>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C23D786" w14:textId="77777777" w:rsidR="00BD776B" w:rsidRDefault="00BD776B">
            <w:pPr>
              <w:spacing w:line="480" w:lineRule="exact"/>
              <w:rPr>
                <w:rFonts w:ascii="標楷體" w:eastAsia="標楷體" w:hAnsi="標楷體"/>
              </w:rPr>
            </w:pPr>
          </w:p>
        </w:tc>
        <w:tc>
          <w:tcPr>
            <w:tcW w:w="1273"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36103281" w14:textId="77777777" w:rsidR="00BD776B" w:rsidRDefault="00DF0C24">
            <w:pPr>
              <w:spacing w:line="480" w:lineRule="exact"/>
              <w:rPr>
                <w:rFonts w:ascii="標楷體" w:eastAsia="標楷體" w:hAnsi="標楷體"/>
              </w:rPr>
            </w:pPr>
            <w:r>
              <w:rPr>
                <w:rFonts w:ascii="標楷體" w:eastAsia="標楷體" w:hAnsi="標楷體"/>
              </w:rPr>
              <w:t>用法用量</w:t>
            </w:r>
          </w:p>
        </w:tc>
        <w:tc>
          <w:tcPr>
            <w:tcW w:w="155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266E5E66" w14:textId="77777777" w:rsidR="00BD776B" w:rsidRDefault="00BD776B">
            <w:pPr>
              <w:spacing w:line="480" w:lineRule="exact"/>
              <w:rPr>
                <w:rFonts w:ascii="標楷體" w:eastAsia="標楷體" w:hAnsi="標楷體"/>
              </w:rPr>
            </w:pPr>
          </w:p>
        </w:tc>
        <w:tc>
          <w:tcPr>
            <w:tcW w:w="1133" w:type="dxa"/>
            <w:gridSpan w:val="2"/>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7328393B" w14:textId="77777777" w:rsidR="00BD776B" w:rsidRDefault="00BD776B">
            <w:pPr>
              <w:spacing w:line="480" w:lineRule="exact"/>
              <w:rPr>
                <w:rFonts w:ascii="標楷體" w:eastAsia="標楷體" w:hAnsi="標楷體"/>
              </w:rPr>
            </w:pPr>
          </w:p>
        </w:tc>
        <w:tc>
          <w:tcPr>
            <w:tcW w:w="2545" w:type="dxa"/>
            <w:gridSpan w:val="2"/>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692885E4" w14:textId="77777777" w:rsidR="00BD776B" w:rsidRDefault="00DF0C24">
            <w:pPr>
              <w:spacing w:line="480" w:lineRule="exact"/>
              <w:rPr>
                <w:rFonts w:ascii="標楷體" w:eastAsia="標楷體" w:hAnsi="標楷體"/>
              </w:rPr>
            </w:pPr>
            <w:r>
              <w:rPr>
                <w:rFonts w:ascii="標楷體" w:eastAsia="標楷體" w:hAnsi="標楷體"/>
              </w:rPr>
              <w:t>至　　年　　月　　日</w:t>
            </w:r>
          </w:p>
        </w:tc>
        <w:tc>
          <w:tcPr>
            <w:tcW w:w="43" w:type="dxa"/>
            <w:shd w:val="clear" w:color="auto" w:fill="auto"/>
            <w:tcMar>
              <w:top w:w="0" w:type="dxa"/>
              <w:left w:w="10" w:type="dxa"/>
              <w:bottom w:w="0" w:type="dxa"/>
              <w:right w:w="10" w:type="dxa"/>
            </w:tcMar>
          </w:tcPr>
          <w:p w14:paraId="52A5669A" w14:textId="77777777" w:rsidR="00BD776B" w:rsidRDefault="00BD776B">
            <w:pPr>
              <w:spacing w:line="480" w:lineRule="exact"/>
              <w:rPr>
                <w:rFonts w:ascii="標楷體" w:eastAsia="標楷體" w:hAnsi="標楷體"/>
              </w:rPr>
            </w:pPr>
          </w:p>
        </w:tc>
      </w:tr>
      <w:tr w:rsidR="00BD776B" w14:paraId="51641D4F" w14:textId="77777777">
        <w:trPr>
          <w:trHeight w:val="10729"/>
        </w:trPr>
        <w:tc>
          <w:tcPr>
            <w:tcW w:w="9622" w:type="dxa"/>
            <w:gridSpan w:val="11"/>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5A28A6C" w14:textId="77777777" w:rsidR="00BD776B" w:rsidRDefault="00DF0C24">
            <w:pPr>
              <w:spacing w:line="480" w:lineRule="exact"/>
              <w:ind w:left="372" w:hanging="372"/>
            </w:pPr>
            <w:r>
              <w:rPr>
                <w:rFonts w:ascii="標楷體" w:eastAsia="標楷體" w:hAnsi="標楷體"/>
                <w:sz w:val="26"/>
                <w:szCs w:val="26"/>
              </w:rPr>
              <w:t xml:space="preserve">□ </w:t>
            </w:r>
            <w:r>
              <w:rPr>
                <w:rFonts w:ascii="標楷體" w:eastAsia="標楷體" w:hAnsi="標楷體"/>
                <w:b/>
                <w:sz w:val="26"/>
                <w:szCs w:val="26"/>
              </w:rPr>
              <w:t>符合確診為全身型急性膿疱性乾癬之初次療程：</w:t>
            </w:r>
            <w:r>
              <w:rPr>
                <w:rFonts w:ascii="標楷體" w:eastAsia="標楷體" w:hAnsi="標楷體"/>
              </w:rPr>
              <w:t xml:space="preserve"> </w:t>
            </w:r>
          </w:p>
          <w:p w14:paraId="27A54DC4" w14:textId="77777777" w:rsidR="00BD776B" w:rsidRDefault="00DF0C24" w:rsidP="008A7063">
            <w:pPr>
              <w:numPr>
                <w:ilvl w:val="0"/>
                <w:numId w:val="100"/>
              </w:numPr>
              <w:spacing w:line="420" w:lineRule="exact"/>
              <w:ind w:left="811" w:hanging="567"/>
            </w:pPr>
            <w:r>
              <w:rPr>
                <w:rFonts w:ascii="標楷體" w:eastAsia="標楷體" w:hAnsi="標楷體"/>
                <w:sz w:val="26"/>
                <w:szCs w:val="26"/>
              </w:rPr>
              <w:t>□ 孕齡女性(患者年齡</w:t>
            </w:r>
            <w:r>
              <w:rPr>
                <w:rFonts w:ascii="標楷體" w:eastAsia="標楷體" w:hAnsi="標楷體"/>
              </w:rPr>
              <w:t>: _____ 歲_____ 月)，且有懷孕可能者</w:t>
            </w:r>
            <w:r>
              <w:rPr>
                <w:rFonts w:ascii="標楷體" w:eastAsia="標楷體" w:hAnsi="標楷體"/>
                <w:sz w:val="26"/>
                <w:szCs w:val="26"/>
              </w:rPr>
              <w:t>。</w:t>
            </w:r>
          </w:p>
          <w:p w14:paraId="0BA52DB3" w14:textId="77777777" w:rsidR="00BD776B" w:rsidRDefault="00DF0C24" w:rsidP="008A7063">
            <w:pPr>
              <w:numPr>
                <w:ilvl w:val="0"/>
                <w:numId w:val="100"/>
              </w:numPr>
              <w:spacing w:line="420" w:lineRule="exact"/>
              <w:ind w:left="811" w:hanging="567"/>
            </w:pPr>
            <w:r>
              <w:rPr>
                <w:rFonts w:ascii="標楷體" w:eastAsia="標楷體" w:hAnsi="標楷體"/>
                <w:sz w:val="26"/>
                <w:szCs w:val="26"/>
              </w:rPr>
              <w:t>□ 伴有膿疱之紅腫部位侵犯體表面積BSA:</w:t>
            </w:r>
            <w:r>
              <w:rPr>
                <w:rFonts w:ascii="標楷體" w:eastAsia="標楷體" w:hAnsi="標楷體"/>
              </w:rPr>
              <w:t>_____%</w:t>
            </w:r>
            <w:r>
              <w:rPr>
                <w:rFonts w:ascii="標楷體" w:eastAsia="標楷體" w:hAnsi="標楷體"/>
                <w:sz w:val="26"/>
                <w:szCs w:val="26"/>
              </w:rPr>
              <w:t>（需附上治療前照片）。</w:t>
            </w:r>
          </w:p>
          <w:p w14:paraId="5AD6E92B" w14:textId="77777777" w:rsidR="00BD776B" w:rsidRDefault="00DF0C24" w:rsidP="008A7063">
            <w:pPr>
              <w:numPr>
                <w:ilvl w:val="0"/>
                <w:numId w:val="100"/>
              </w:numPr>
              <w:spacing w:line="420" w:lineRule="exact"/>
              <w:ind w:left="811" w:hanging="567"/>
              <w:rPr>
                <w:rFonts w:ascii="標楷體" w:eastAsia="標楷體" w:hAnsi="標楷體"/>
                <w:sz w:val="26"/>
                <w:szCs w:val="26"/>
              </w:rPr>
            </w:pPr>
            <w:r>
              <w:rPr>
                <w:rFonts w:ascii="標楷體" w:eastAsia="標楷體" w:hAnsi="標楷體"/>
                <w:sz w:val="26"/>
                <w:szCs w:val="26"/>
              </w:rPr>
              <w:t>□ 伴有系統性症狀包括發燒及白血球增多症等</w:t>
            </w:r>
          </w:p>
          <w:p w14:paraId="01BBF8DB" w14:textId="77777777" w:rsidR="00BD776B" w:rsidRDefault="00DF0C24">
            <w:pPr>
              <w:spacing w:line="420" w:lineRule="exact"/>
            </w:pPr>
            <w:r>
              <w:rPr>
                <w:rFonts w:ascii="標楷體" w:eastAsia="標楷體" w:hAnsi="標楷體"/>
                <w:sz w:val="26"/>
                <w:szCs w:val="26"/>
              </w:rPr>
              <w:t xml:space="preserve">□ </w:t>
            </w:r>
            <w:r>
              <w:rPr>
                <w:rFonts w:ascii="標楷體" w:eastAsia="標楷體" w:hAnsi="標楷體"/>
                <w:b/>
                <w:sz w:val="26"/>
                <w:szCs w:val="26"/>
              </w:rPr>
              <w:t>符合繼續使用之療效評估：</w:t>
            </w:r>
          </w:p>
          <w:p w14:paraId="2346A20E" w14:textId="77777777" w:rsidR="00BD776B" w:rsidRDefault="00DF0C24">
            <w:pPr>
              <w:spacing w:line="420" w:lineRule="exact"/>
              <w:ind w:left="811"/>
              <w:rPr>
                <w:rFonts w:ascii="標楷體" w:eastAsia="標楷體" w:hAnsi="標楷體"/>
                <w:sz w:val="26"/>
                <w:szCs w:val="26"/>
              </w:rPr>
            </w:pPr>
            <w:r>
              <w:rPr>
                <w:rFonts w:ascii="標楷體" w:eastAsia="標楷體" w:hAnsi="標楷體"/>
                <w:sz w:val="26"/>
                <w:szCs w:val="26"/>
              </w:rPr>
              <w:t>□ 於療程之第4週評估時，經治療後仍有膿疱持續超過四周。</w:t>
            </w:r>
          </w:p>
          <w:p w14:paraId="67C3CB47" w14:textId="77777777" w:rsidR="00BD776B" w:rsidRDefault="00DF0C24">
            <w:pPr>
              <w:spacing w:line="420" w:lineRule="exact"/>
              <w:ind w:left="2" w:firstLine="1"/>
              <w:jc w:val="center"/>
            </w:pPr>
            <w:r>
              <w:rPr>
                <w:rFonts w:ascii="標楷體" w:eastAsia="標楷體" w:hAnsi="標楷體"/>
                <w:b/>
              </w:rPr>
              <w:t>當次申請之</w:t>
            </w:r>
            <w:r>
              <w:rPr>
                <w:rFonts w:ascii="標楷體" w:eastAsia="標楷體" w:hAnsi="標楷體"/>
                <w:b/>
                <w:u w:val="single"/>
              </w:rPr>
              <w:t>生物製劑</w:t>
            </w:r>
            <w:r>
              <w:rPr>
                <w:rFonts w:ascii="標楷體" w:eastAsia="標楷體" w:hAnsi="標楷體"/>
                <w:b/>
              </w:rPr>
              <w:t>使用時間及使用劑量：</w:t>
            </w:r>
          </w:p>
          <w:tbl>
            <w:tblPr>
              <w:tblW w:w="8452" w:type="dxa"/>
              <w:tblInd w:w="675" w:type="dxa"/>
              <w:tblLayout w:type="fixed"/>
              <w:tblCellMar>
                <w:left w:w="10" w:type="dxa"/>
                <w:right w:w="10" w:type="dxa"/>
              </w:tblCellMar>
              <w:tblLook w:val="0000" w:firstRow="0" w:lastRow="0" w:firstColumn="0" w:lastColumn="0" w:noHBand="0" w:noVBand="0"/>
            </w:tblPr>
            <w:tblGrid>
              <w:gridCol w:w="1816"/>
              <w:gridCol w:w="1816"/>
              <w:gridCol w:w="1985"/>
              <w:gridCol w:w="2835"/>
            </w:tblGrid>
            <w:tr w:rsidR="00BD776B" w14:paraId="68501EA0" w14:textId="77777777">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A4B9E" w14:textId="77777777" w:rsidR="00BD776B" w:rsidRDefault="00DF0C24">
                  <w:pPr>
                    <w:spacing w:line="420" w:lineRule="exact"/>
                    <w:jc w:val="center"/>
                    <w:rPr>
                      <w:rFonts w:ascii="標楷體" w:eastAsia="標楷體" w:hAnsi="標楷體"/>
                    </w:rPr>
                  </w:pPr>
                  <w:r>
                    <w:rPr>
                      <w:rFonts w:ascii="標楷體" w:eastAsia="標楷體" w:hAnsi="標楷體"/>
                    </w:rPr>
                    <w:t>使用生物製劑</w:t>
                  </w: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3CAA8" w14:textId="77777777" w:rsidR="00BD776B" w:rsidRDefault="00DF0C24">
                  <w:pPr>
                    <w:spacing w:line="420" w:lineRule="exact"/>
                    <w:jc w:val="center"/>
                    <w:rPr>
                      <w:rFonts w:ascii="標楷體" w:eastAsia="標楷體" w:hAnsi="標楷體"/>
                    </w:rPr>
                  </w:pPr>
                  <w:r>
                    <w:rPr>
                      <w:rFonts w:ascii="標楷體" w:eastAsia="標楷體" w:hAnsi="標楷體"/>
                    </w:rPr>
                    <w:t>使用劑量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27C34" w14:textId="77777777" w:rsidR="00BD776B" w:rsidRDefault="00DF0C24">
                  <w:pPr>
                    <w:spacing w:line="420" w:lineRule="exact"/>
                    <w:jc w:val="center"/>
                    <w:rPr>
                      <w:rFonts w:ascii="標楷體" w:eastAsia="標楷體" w:hAnsi="標楷體"/>
                    </w:rPr>
                  </w:pPr>
                  <w:r>
                    <w:rPr>
                      <w:rFonts w:ascii="標楷體" w:eastAsia="標楷體" w:hAnsi="標楷體"/>
                    </w:rPr>
                    <w:t>使用時間</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3A364" w14:textId="77777777" w:rsidR="00BD776B" w:rsidRDefault="00DF0C24">
                  <w:pPr>
                    <w:spacing w:line="420" w:lineRule="exact"/>
                    <w:jc w:val="center"/>
                    <w:rPr>
                      <w:rFonts w:ascii="標楷體" w:eastAsia="標楷體" w:hAnsi="標楷體"/>
                    </w:rPr>
                  </w:pPr>
                  <w:r>
                    <w:rPr>
                      <w:rFonts w:ascii="標楷體" w:eastAsia="標楷體" w:hAnsi="標楷體"/>
                    </w:rPr>
                    <w:t>治療前後BSA數值</w:t>
                  </w:r>
                </w:p>
              </w:tc>
            </w:tr>
            <w:tr w:rsidR="00BD776B" w14:paraId="07912570" w14:textId="77777777">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3BE28" w14:textId="77777777" w:rsidR="00BD776B" w:rsidRDefault="00BD776B">
                  <w:pPr>
                    <w:spacing w:line="420" w:lineRule="exact"/>
                    <w:rPr>
                      <w:rFonts w:ascii="標楷體" w:eastAsia="標楷體" w:hAnsi="標楷體"/>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30329" w14:textId="77777777" w:rsidR="00BD776B" w:rsidRDefault="00DF0C24">
                  <w:pPr>
                    <w:spacing w:line="420" w:lineRule="exact"/>
                    <w:rPr>
                      <w:rFonts w:ascii="標楷體" w:eastAsia="標楷體" w:hAnsi="標楷體"/>
                    </w:rPr>
                  </w:pPr>
                  <w:r>
                    <w:rPr>
                      <w:rFonts w:ascii="標楷體" w:eastAsia="標楷體" w:hAnsi="標楷體"/>
                    </w:rPr>
                    <w:t>___mg/___週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D14AF" w14:textId="77777777" w:rsidR="00BD776B" w:rsidRDefault="00DF0C24">
                  <w:pPr>
                    <w:spacing w:line="420" w:lineRule="exact"/>
                    <w:rPr>
                      <w:rFonts w:ascii="標楷體" w:eastAsia="標楷體" w:hAnsi="標楷體"/>
                    </w:rPr>
                  </w:pPr>
                  <w:r>
                    <w:rPr>
                      <w:rFonts w:ascii="標楷體" w:eastAsia="標楷體" w:hAnsi="標楷體"/>
                    </w:rPr>
                    <w:t>__年__月__日至</w:t>
                  </w:r>
                </w:p>
                <w:p w14:paraId="4A3F60C7" w14:textId="77777777" w:rsidR="00BD776B" w:rsidRDefault="00DF0C24">
                  <w:pPr>
                    <w:spacing w:line="420" w:lineRule="exact"/>
                    <w:rPr>
                      <w:rFonts w:ascii="標楷體" w:eastAsia="標楷體" w:hAnsi="標楷體"/>
                    </w:rPr>
                  </w:pPr>
                  <w:r>
                    <w:rPr>
                      <w:rFonts w:ascii="標楷體" w:eastAsia="標楷體" w:hAnsi="標楷體"/>
                    </w:rPr>
                    <w:t>__年__月__日</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09F03" w14:textId="77777777" w:rsidR="00BD776B" w:rsidRDefault="00BD776B">
                  <w:pPr>
                    <w:spacing w:line="420" w:lineRule="exact"/>
                    <w:rPr>
                      <w:rFonts w:ascii="標楷體" w:eastAsia="標楷體" w:hAnsi="標楷體"/>
                    </w:rPr>
                  </w:pPr>
                </w:p>
              </w:tc>
            </w:tr>
            <w:tr w:rsidR="00BD776B" w14:paraId="60052D3A" w14:textId="77777777">
              <w:trPr>
                <w:trHeight w:val="878"/>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5EA2A" w14:textId="77777777" w:rsidR="00BD776B" w:rsidRDefault="00BD776B">
                  <w:pPr>
                    <w:spacing w:line="420" w:lineRule="exact"/>
                    <w:rPr>
                      <w:rFonts w:ascii="標楷體" w:eastAsia="標楷體" w:hAnsi="標楷體"/>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53B1B" w14:textId="77777777" w:rsidR="00BD776B" w:rsidRDefault="00BD776B">
                  <w:pPr>
                    <w:spacing w:line="420" w:lineRule="exact"/>
                    <w:rPr>
                      <w:rFonts w:ascii="標楷體" w:eastAsia="標楷體" w:hAnsi="標楷體"/>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9393A" w14:textId="77777777" w:rsidR="00BD776B" w:rsidRDefault="00BD776B">
                  <w:pPr>
                    <w:spacing w:line="420" w:lineRule="exact"/>
                    <w:rPr>
                      <w:rFonts w:ascii="標楷體" w:eastAsia="標楷體" w:hAnsi="標楷體"/>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5254F" w14:textId="77777777" w:rsidR="00BD776B" w:rsidRDefault="00BD776B">
                  <w:pPr>
                    <w:spacing w:line="420" w:lineRule="exact"/>
                    <w:rPr>
                      <w:rFonts w:ascii="標楷體" w:eastAsia="標楷體" w:hAnsi="標楷體"/>
                    </w:rPr>
                  </w:pPr>
                </w:p>
              </w:tc>
            </w:tr>
          </w:tbl>
          <w:p w14:paraId="41A4E8A1" w14:textId="77777777" w:rsidR="00BD776B" w:rsidRDefault="00DF0C24">
            <w:pPr>
              <w:spacing w:line="420" w:lineRule="exact"/>
              <w:ind w:left="372" w:hanging="372"/>
            </w:pPr>
            <w:r>
              <w:rPr>
                <w:rFonts w:ascii="標楷體" w:eastAsia="標楷體" w:hAnsi="標楷體"/>
                <w:sz w:val="26"/>
                <w:szCs w:val="26"/>
              </w:rPr>
              <w:t xml:space="preserve">□ </w:t>
            </w:r>
            <w:r>
              <w:rPr>
                <w:rFonts w:ascii="標楷體" w:eastAsia="標楷體" w:hAnsi="標楷體"/>
                <w:b/>
                <w:sz w:val="26"/>
                <w:szCs w:val="26"/>
              </w:rPr>
              <w:t>符合疾病再復發之重新申請：</w:t>
            </w:r>
            <w:r>
              <w:rPr>
                <w:rFonts w:ascii="標楷體" w:eastAsia="標楷體" w:hAnsi="標楷體"/>
              </w:rPr>
              <w:t xml:space="preserve"> </w:t>
            </w:r>
          </w:p>
          <w:p w14:paraId="6E7D4B2B" w14:textId="77777777" w:rsidR="00BD776B" w:rsidRDefault="00DF0C24" w:rsidP="008A7063">
            <w:pPr>
              <w:numPr>
                <w:ilvl w:val="0"/>
                <w:numId w:val="101"/>
              </w:numPr>
              <w:spacing w:line="420" w:lineRule="exact"/>
              <w:ind w:left="811" w:hanging="567"/>
            </w:pPr>
            <w:r>
              <w:rPr>
                <w:rFonts w:ascii="標楷體" w:eastAsia="標楷體" w:hAnsi="標楷體"/>
                <w:sz w:val="26"/>
                <w:szCs w:val="26"/>
              </w:rPr>
              <w:t xml:space="preserve">□ </w:t>
            </w:r>
            <w:r>
              <w:rPr>
                <w:rFonts w:ascii="標楷體" w:eastAsia="標楷體" w:hAnsi="標楷體"/>
              </w:rPr>
              <w:t>孕齡女性(患者年齡: _____ 歲_____ 月)，且有懷孕可能者。</w:t>
            </w:r>
          </w:p>
          <w:p w14:paraId="57B992ED" w14:textId="77777777" w:rsidR="00BD776B" w:rsidRDefault="00DF0C24" w:rsidP="008A7063">
            <w:pPr>
              <w:numPr>
                <w:ilvl w:val="0"/>
                <w:numId w:val="101"/>
              </w:numPr>
              <w:spacing w:line="420" w:lineRule="exact"/>
              <w:ind w:left="811" w:hanging="567"/>
              <w:rPr>
                <w:rFonts w:ascii="標楷體" w:eastAsia="標楷體" w:hAnsi="標楷體"/>
              </w:rPr>
            </w:pPr>
            <w:r>
              <w:rPr>
                <w:rFonts w:ascii="標楷體" w:eastAsia="標楷體" w:hAnsi="標楷體"/>
              </w:rPr>
              <w:t>□ 伴有膿疱之紅腫部位侵犯體表面積BSA:_____%（需附上前次治療前後照片）。</w:t>
            </w:r>
          </w:p>
          <w:p w14:paraId="054673EE" w14:textId="77777777" w:rsidR="00BD776B" w:rsidRDefault="00DF0C24" w:rsidP="008A7063">
            <w:pPr>
              <w:numPr>
                <w:ilvl w:val="0"/>
                <w:numId w:val="101"/>
              </w:numPr>
              <w:spacing w:line="420" w:lineRule="exact"/>
              <w:ind w:left="811" w:hanging="567"/>
              <w:rPr>
                <w:rFonts w:ascii="標楷體" w:eastAsia="標楷體" w:hAnsi="標楷體"/>
              </w:rPr>
            </w:pPr>
            <w:r>
              <w:rPr>
                <w:rFonts w:ascii="標楷體" w:eastAsia="標楷體" w:hAnsi="標楷體"/>
              </w:rPr>
              <w:t>□ 伴有系統性症狀包括發燒及白血球增多症等</w:t>
            </w:r>
          </w:p>
          <w:p w14:paraId="7ADA1F2A" w14:textId="77777777" w:rsidR="00BD776B" w:rsidRDefault="00DF0C24">
            <w:pPr>
              <w:spacing w:line="420" w:lineRule="exact"/>
              <w:jc w:val="center"/>
            </w:pPr>
            <w:r>
              <w:rPr>
                <w:rFonts w:ascii="標楷體" w:eastAsia="標楷體" w:hAnsi="標楷體"/>
                <w:b/>
              </w:rPr>
              <w:t>上次申請之</w:t>
            </w:r>
            <w:r>
              <w:rPr>
                <w:rFonts w:ascii="標楷體" w:eastAsia="標楷體" w:hAnsi="標楷體"/>
                <w:b/>
                <w:u w:val="single"/>
              </w:rPr>
              <w:t>生物製劑</w:t>
            </w:r>
            <w:r>
              <w:rPr>
                <w:rFonts w:ascii="標楷體" w:eastAsia="標楷體" w:hAnsi="標楷體"/>
                <w:b/>
              </w:rPr>
              <w:t>使用時間及使用劑量：</w:t>
            </w:r>
          </w:p>
          <w:tbl>
            <w:tblPr>
              <w:tblW w:w="8452" w:type="dxa"/>
              <w:tblInd w:w="675" w:type="dxa"/>
              <w:tblLayout w:type="fixed"/>
              <w:tblCellMar>
                <w:left w:w="10" w:type="dxa"/>
                <w:right w:w="10" w:type="dxa"/>
              </w:tblCellMar>
              <w:tblLook w:val="0000" w:firstRow="0" w:lastRow="0" w:firstColumn="0" w:lastColumn="0" w:noHBand="0" w:noVBand="0"/>
            </w:tblPr>
            <w:tblGrid>
              <w:gridCol w:w="1816"/>
              <w:gridCol w:w="1816"/>
              <w:gridCol w:w="1985"/>
              <w:gridCol w:w="2835"/>
            </w:tblGrid>
            <w:tr w:rsidR="00BD776B" w14:paraId="141A979A" w14:textId="77777777">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A86D2" w14:textId="77777777" w:rsidR="00BD776B" w:rsidRDefault="00DF0C24">
                  <w:pPr>
                    <w:spacing w:line="420" w:lineRule="exact"/>
                    <w:jc w:val="center"/>
                    <w:rPr>
                      <w:rFonts w:ascii="標楷體" w:eastAsia="標楷體" w:hAnsi="標楷體"/>
                    </w:rPr>
                  </w:pPr>
                  <w:r>
                    <w:rPr>
                      <w:rFonts w:ascii="標楷體" w:eastAsia="標楷體" w:hAnsi="標楷體"/>
                    </w:rPr>
                    <w:t>使用生物製劑</w:t>
                  </w: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2E3CE" w14:textId="77777777" w:rsidR="00BD776B" w:rsidRDefault="00DF0C24">
                  <w:pPr>
                    <w:spacing w:line="420" w:lineRule="exact"/>
                    <w:jc w:val="center"/>
                    <w:rPr>
                      <w:rFonts w:ascii="標楷體" w:eastAsia="標楷體" w:hAnsi="標楷體"/>
                    </w:rPr>
                  </w:pPr>
                  <w:r>
                    <w:rPr>
                      <w:rFonts w:ascii="標楷體" w:eastAsia="標楷體" w:hAnsi="標楷體"/>
                    </w:rPr>
                    <w:t>使用劑量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348B" w14:textId="77777777" w:rsidR="00BD776B" w:rsidRDefault="00DF0C24">
                  <w:pPr>
                    <w:spacing w:line="420" w:lineRule="exact"/>
                    <w:jc w:val="center"/>
                    <w:rPr>
                      <w:rFonts w:ascii="標楷體" w:eastAsia="標楷體" w:hAnsi="標楷體"/>
                    </w:rPr>
                  </w:pPr>
                  <w:r>
                    <w:rPr>
                      <w:rFonts w:ascii="標楷體" w:eastAsia="標楷體" w:hAnsi="標楷體"/>
                    </w:rPr>
                    <w:t>使用時間</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EA91D" w14:textId="77777777" w:rsidR="00BD776B" w:rsidRDefault="00DF0C24">
                  <w:pPr>
                    <w:spacing w:line="420" w:lineRule="exact"/>
                    <w:jc w:val="center"/>
                    <w:rPr>
                      <w:rFonts w:ascii="標楷體" w:eastAsia="標楷體" w:hAnsi="標楷體"/>
                    </w:rPr>
                  </w:pPr>
                  <w:r>
                    <w:rPr>
                      <w:rFonts w:ascii="標楷體" w:eastAsia="標楷體" w:hAnsi="標楷體"/>
                    </w:rPr>
                    <w:t>治療前後BSA數值</w:t>
                  </w:r>
                </w:p>
              </w:tc>
            </w:tr>
            <w:tr w:rsidR="00BD776B" w14:paraId="53881128" w14:textId="77777777">
              <w:trPr>
                <w:trHeight w:val="533"/>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6AF28" w14:textId="77777777" w:rsidR="00BD776B" w:rsidRDefault="00BD776B">
                  <w:pPr>
                    <w:spacing w:line="420" w:lineRule="exact"/>
                    <w:rPr>
                      <w:rFonts w:ascii="標楷體" w:eastAsia="標楷體" w:hAnsi="標楷體"/>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A84EB" w14:textId="77777777" w:rsidR="00BD776B" w:rsidRDefault="00DF0C24">
                  <w:pPr>
                    <w:spacing w:line="420" w:lineRule="exact"/>
                    <w:rPr>
                      <w:rFonts w:ascii="標楷體" w:eastAsia="標楷體" w:hAnsi="標楷體"/>
                    </w:rPr>
                  </w:pPr>
                  <w:r>
                    <w:rPr>
                      <w:rFonts w:ascii="標楷體" w:eastAsia="標楷體" w:hAnsi="標楷體"/>
                    </w:rPr>
                    <w:t>___mg/___週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A2115" w14:textId="77777777" w:rsidR="00BD776B" w:rsidRDefault="00DF0C24">
                  <w:pPr>
                    <w:spacing w:line="420" w:lineRule="exact"/>
                    <w:rPr>
                      <w:rFonts w:ascii="標楷體" w:eastAsia="標楷體" w:hAnsi="標楷體"/>
                    </w:rPr>
                  </w:pPr>
                  <w:r>
                    <w:rPr>
                      <w:rFonts w:ascii="標楷體" w:eastAsia="標楷體" w:hAnsi="標楷體"/>
                    </w:rPr>
                    <w:t>__年__月__日至</w:t>
                  </w:r>
                </w:p>
                <w:p w14:paraId="6CD40A2D" w14:textId="77777777" w:rsidR="00BD776B" w:rsidRDefault="00DF0C24">
                  <w:pPr>
                    <w:spacing w:line="420" w:lineRule="exact"/>
                    <w:rPr>
                      <w:rFonts w:ascii="標楷體" w:eastAsia="標楷體" w:hAnsi="標楷體"/>
                    </w:rPr>
                  </w:pPr>
                  <w:r>
                    <w:rPr>
                      <w:rFonts w:ascii="標楷體" w:eastAsia="標楷體" w:hAnsi="標楷體"/>
                    </w:rPr>
                    <w:t>__年__月__日</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7619A" w14:textId="77777777" w:rsidR="00BD776B" w:rsidRDefault="00BD776B">
                  <w:pPr>
                    <w:spacing w:line="420" w:lineRule="exact"/>
                    <w:rPr>
                      <w:rFonts w:ascii="標楷體" w:eastAsia="標楷體" w:hAnsi="標楷體"/>
                    </w:rPr>
                  </w:pPr>
                </w:p>
              </w:tc>
            </w:tr>
            <w:tr w:rsidR="00BD776B" w14:paraId="16DD8AD4" w14:textId="77777777">
              <w:trPr>
                <w:trHeight w:val="1116"/>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71EEC" w14:textId="77777777" w:rsidR="00BD776B" w:rsidRDefault="00BD776B">
                  <w:pPr>
                    <w:spacing w:line="420" w:lineRule="exact"/>
                    <w:rPr>
                      <w:rFonts w:ascii="標楷體" w:eastAsia="標楷體" w:hAnsi="標楷體"/>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A1315" w14:textId="77777777" w:rsidR="00BD776B" w:rsidRDefault="00BD776B">
                  <w:pPr>
                    <w:spacing w:line="420" w:lineRule="exact"/>
                    <w:rPr>
                      <w:rFonts w:ascii="標楷體" w:eastAsia="標楷體" w:hAnsi="標楷體"/>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AF42F" w14:textId="77777777" w:rsidR="00BD776B" w:rsidRDefault="00BD776B">
                  <w:pPr>
                    <w:spacing w:line="420" w:lineRule="exact"/>
                    <w:rPr>
                      <w:rFonts w:ascii="標楷體" w:eastAsia="標楷體" w:hAnsi="標楷體"/>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663BF" w14:textId="77777777" w:rsidR="00BD776B" w:rsidRDefault="00BD776B">
                  <w:pPr>
                    <w:spacing w:line="420" w:lineRule="exact"/>
                    <w:rPr>
                      <w:rFonts w:ascii="標楷體" w:eastAsia="標楷體" w:hAnsi="標楷體"/>
                    </w:rPr>
                  </w:pPr>
                </w:p>
              </w:tc>
            </w:tr>
            <w:tr w:rsidR="00BD776B" w14:paraId="78FBF320" w14:textId="77777777">
              <w:trPr>
                <w:trHeight w:val="1116"/>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3A4D5" w14:textId="77777777" w:rsidR="00BD776B" w:rsidRDefault="00BD776B">
                  <w:pPr>
                    <w:spacing w:line="420" w:lineRule="exact"/>
                    <w:rPr>
                      <w:rFonts w:ascii="標楷體" w:eastAsia="標楷體" w:hAnsi="標楷體"/>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539A" w14:textId="77777777" w:rsidR="00BD776B" w:rsidRDefault="00BD776B">
                  <w:pPr>
                    <w:spacing w:line="420" w:lineRule="exact"/>
                    <w:rPr>
                      <w:rFonts w:ascii="標楷體" w:eastAsia="標楷體" w:hAnsi="標楷體"/>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EF4B8" w14:textId="77777777" w:rsidR="00BD776B" w:rsidRDefault="00BD776B">
                  <w:pPr>
                    <w:spacing w:line="420" w:lineRule="exact"/>
                    <w:rPr>
                      <w:rFonts w:ascii="標楷體" w:eastAsia="標楷體" w:hAnsi="標楷體"/>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EC0B" w14:textId="77777777" w:rsidR="00BD776B" w:rsidRDefault="00BD776B">
                  <w:pPr>
                    <w:spacing w:line="420" w:lineRule="exact"/>
                    <w:rPr>
                      <w:rFonts w:ascii="標楷體" w:eastAsia="標楷體" w:hAnsi="標楷體"/>
                    </w:rPr>
                  </w:pPr>
                </w:p>
                <w:p w14:paraId="0E023A7D" w14:textId="77777777" w:rsidR="00BD776B" w:rsidRDefault="00BD776B">
                  <w:pPr>
                    <w:spacing w:line="420" w:lineRule="exact"/>
                    <w:rPr>
                      <w:rFonts w:ascii="標楷體" w:eastAsia="標楷體" w:hAnsi="標楷體"/>
                    </w:rPr>
                  </w:pPr>
                </w:p>
                <w:p w14:paraId="068A94BF" w14:textId="77777777" w:rsidR="00BD776B" w:rsidRDefault="00BD776B">
                  <w:pPr>
                    <w:spacing w:line="420" w:lineRule="exact"/>
                    <w:rPr>
                      <w:rFonts w:ascii="標楷體" w:eastAsia="標楷體" w:hAnsi="標楷體"/>
                    </w:rPr>
                  </w:pPr>
                </w:p>
                <w:p w14:paraId="0D7913DE" w14:textId="77777777" w:rsidR="00BD776B" w:rsidRDefault="00BD776B">
                  <w:pPr>
                    <w:spacing w:line="420" w:lineRule="exact"/>
                    <w:rPr>
                      <w:rFonts w:ascii="標楷體" w:eastAsia="標楷體" w:hAnsi="標楷體"/>
                    </w:rPr>
                  </w:pPr>
                </w:p>
              </w:tc>
            </w:tr>
          </w:tbl>
          <w:p w14:paraId="74AB1DC4" w14:textId="77777777" w:rsidR="00BD776B" w:rsidRDefault="00BD776B">
            <w:pPr>
              <w:spacing w:line="480" w:lineRule="exact"/>
              <w:rPr>
                <w:rFonts w:ascii="標楷體" w:eastAsia="標楷體" w:hAnsi="標楷體"/>
                <w:sz w:val="26"/>
                <w:szCs w:val="26"/>
              </w:rPr>
            </w:pPr>
          </w:p>
        </w:tc>
        <w:tc>
          <w:tcPr>
            <w:tcW w:w="43" w:type="dxa"/>
            <w:shd w:val="clear" w:color="auto" w:fill="auto"/>
            <w:tcMar>
              <w:top w:w="0" w:type="dxa"/>
              <w:left w:w="10" w:type="dxa"/>
              <w:bottom w:w="0" w:type="dxa"/>
              <w:right w:w="10" w:type="dxa"/>
            </w:tcMar>
          </w:tcPr>
          <w:p w14:paraId="63A1CDE1" w14:textId="77777777" w:rsidR="00BD776B" w:rsidRDefault="00BD776B">
            <w:pPr>
              <w:spacing w:line="480" w:lineRule="exact"/>
              <w:rPr>
                <w:rFonts w:ascii="標楷體" w:eastAsia="標楷體" w:hAnsi="標楷體"/>
                <w:sz w:val="26"/>
                <w:szCs w:val="26"/>
              </w:rPr>
            </w:pPr>
          </w:p>
        </w:tc>
      </w:tr>
      <w:tr w:rsidR="00BD776B" w14:paraId="75E7632E" w14:textId="77777777">
        <w:trPr>
          <w:trHeight w:val="281"/>
        </w:trPr>
        <w:tc>
          <w:tcPr>
            <w:tcW w:w="9622" w:type="dxa"/>
            <w:gridSpan w:val="11"/>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08C5411C" w14:textId="77777777" w:rsidR="00BD776B" w:rsidRDefault="00DF0C24">
            <w:pPr>
              <w:spacing w:line="480" w:lineRule="exact"/>
              <w:ind w:left="120"/>
            </w:pPr>
            <w:r>
              <w:rPr>
                <w:rFonts w:ascii="標楷體" w:eastAsia="標楷體" w:hAnsi="標楷體" w:cs="Webdings"/>
                <w:sz w:val="28"/>
                <w:szCs w:val="28"/>
              </w:rPr>
              <w:t></w:t>
            </w:r>
            <w:r>
              <w:rPr>
                <w:rFonts w:ascii="標楷體" w:eastAsia="標楷體" w:hAnsi="標楷體"/>
                <w:b/>
                <w:sz w:val="28"/>
                <w:szCs w:val="28"/>
              </w:rPr>
              <w:t>無</w:t>
            </w:r>
            <w:r>
              <w:rPr>
                <w:rFonts w:ascii="標楷體" w:eastAsia="標楷體" w:hAnsi="標楷體"/>
                <w:b/>
                <w:sz w:val="28"/>
              </w:rPr>
              <w:t>「需排除或停止使用之情形」</w:t>
            </w:r>
          </w:p>
        </w:tc>
        <w:tc>
          <w:tcPr>
            <w:tcW w:w="43" w:type="dxa"/>
            <w:shd w:val="clear" w:color="auto" w:fill="auto"/>
            <w:tcMar>
              <w:top w:w="0" w:type="dxa"/>
              <w:left w:w="10" w:type="dxa"/>
              <w:bottom w:w="0" w:type="dxa"/>
              <w:right w:w="10" w:type="dxa"/>
            </w:tcMar>
          </w:tcPr>
          <w:p w14:paraId="125F87BF" w14:textId="77777777" w:rsidR="00BD776B" w:rsidRDefault="00BD776B">
            <w:pPr>
              <w:spacing w:line="480" w:lineRule="exact"/>
              <w:ind w:left="120"/>
              <w:rPr>
                <w:rFonts w:ascii="標楷體" w:eastAsia="標楷體" w:hAnsi="標楷體"/>
              </w:rPr>
            </w:pPr>
          </w:p>
        </w:tc>
      </w:tr>
      <w:tr w:rsidR="00BD776B" w14:paraId="34E1E52A" w14:textId="77777777">
        <w:trPr>
          <w:trHeight w:val="799"/>
        </w:trPr>
        <w:tc>
          <w:tcPr>
            <w:tcW w:w="811"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8D4CFC6" w14:textId="77777777" w:rsidR="00BD776B" w:rsidRDefault="00BD776B">
            <w:pPr>
              <w:spacing w:line="480" w:lineRule="exact"/>
              <w:textAlignment w:val="center"/>
              <w:rPr>
                <w:rFonts w:ascii="標楷體" w:eastAsia="標楷體" w:hAnsi="標楷體"/>
              </w:rPr>
            </w:pPr>
          </w:p>
        </w:tc>
        <w:tc>
          <w:tcPr>
            <w:tcW w:w="1326" w:type="dxa"/>
            <w:gridSpan w:val="3"/>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33C6B5" w14:textId="77777777" w:rsidR="00BD776B" w:rsidRDefault="00DF0C24" w:rsidP="008A7063">
            <w:pPr>
              <w:numPr>
                <w:ilvl w:val="0"/>
                <w:numId w:val="102"/>
              </w:numPr>
              <w:tabs>
                <w:tab w:val="left" w:pos="425"/>
              </w:tabs>
              <w:spacing w:line="480" w:lineRule="exact"/>
              <w:ind w:left="425" w:hanging="255"/>
              <w:textAlignment w:val="center"/>
              <w:rPr>
                <w:rFonts w:ascii="標楷體" w:eastAsia="標楷體" w:hAnsi="標楷體"/>
              </w:rPr>
            </w:pPr>
            <w:r>
              <w:rPr>
                <w:rFonts w:ascii="標楷體" w:eastAsia="標楷體" w:hAnsi="標楷體"/>
              </w:rPr>
              <w:t xml:space="preserve"> 是</w:t>
            </w:r>
          </w:p>
          <w:p w14:paraId="085AD730" w14:textId="77777777" w:rsidR="00BD776B" w:rsidRDefault="00DF0C24" w:rsidP="008A7063">
            <w:pPr>
              <w:numPr>
                <w:ilvl w:val="0"/>
                <w:numId w:val="102"/>
              </w:numPr>
              <w:tabs>
                <w:tab w:val="left" w:pos="425"/>
              </w:tabs>
              <w:spacing w:line="480" w:lineRule="exact"/>
              <w:ind w:left="425" w:hanging="255"/>
              <w:textAlignment w:val="center"/>
              <w:rPr>
                <w:rFonts w:ascii="標楷體" w:eastAsia="標楷體" w:hAnsi="標楷體"/>
              </w:rPr>
            </w:pPr>
            <w:r>
              <w:rPr>
                <w:rFonts w:ascii="標楷體" w:eastAsia="標楷體" w:hAnsi="標楷體"/>
              </w:rPr>
              <w:t xml:space="preserve"> 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FFE0037" w14:textId="77777777" w:rsidR="00BD776B" w:rsidRDefault="00DF0C24">
            <w:pPr>
              <w:textAlignment w:val="center"/>
              <w:rPr>
                <w:rFonts w:ascii="標楷體" w:eastAsia="標楷體" w:hAnsi="標楷體"/>
              </w:rPr>
            </w:pPr>
            <w:r>
              <w:rPr>
                <w:rFonts w:ascii="標楷體" w:eastAsia="標楷體" w:hAnsi="標楷體"/>
              </w:rPr>
              <w:t>是否有生物製劑仿單記載之禁忌情形。</w:t>
            </w:r>
          </w:p>
        </w:tc>
        <w:tc>
          <w:tcPr>
            <w:tcW w:w="43" w:type="dxa"/>
            <w:shd w:val="clear" w:color="auto" w:fill="auto"/>
            <w:tcMar>
              <w:top w:w="0" w:type="dxa"/>
              <w:left w:w="10" w:type="dxa"/>
              <w:bottom w:w="0" w:type="dxa"/>
              <w:right w:w="10" w:type="dxa"/>
            </w:tcMar>
          </w:tcPr>
          <w:p w14:paraId="6E5B0529" w14:textId="77777777" w:rsidR="00BD776B" w:rsidRDefault="00BD776B">
            <w:pPr>
              <w:spacing w:line="480" w:lineRule="exact"/>
              <w:textAlignment w:val="center"/>
              <w:rPr>
                <w:rFonts w:ascii="標楷體" w:eastAsia="標楷體" w:hAnsi="標楷體"/>
              </w:rPr>
            </w:pPr>
          </w:p>
        </w:tc>
      </w:tr>
      <w:tr w:rsidR="00BD776B" w14:paraId="21BBE63C" w14:textId="77777777">
        <w:trPr>
          <w:trHeight w:val="400"/>
        </w:trPr>
        <w:tc>
          <w:tcPr>
            <w:tcW w:w="89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9214C0E" w14:textId="77777777" w:rsidR="00BD776B" w:rsidRDefault="00BD776B">
            <w:pPr>
              <w:spacing w:line="480" w:lineRule="exact"/>
              <w:textAlignment w:val="center"/>
              <w:rPr>
                <w:rFonts w:ascii="標楷體" w:eastAsia="標楷體" w:hAnsi="標楷體"/>
                <w:sz w:val="28"/>
                <w:szCs w:val="28"/>
              </w:rPr>
            </w:pPr>
          </w:p>
          <w:p w14:paraId="6D6FA015"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5D2E27"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07C076FF"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DA1CC9B" w14:textId="77777777" w:rsidR="00BD776B" w:rsidRDefault="00DF0C24">
            <w:pPr>
              <w:textAlignment w:val="center"/>
              <w:rPr>
                <w:rFonts w:ascii="標楷體" w:eastAsia="標楷體" w:hAnsi="標楷體"/>
              </w:rPr>
            </w:pPr>
            <w:r>
              <w:rPr>
                <w:rFonts w:ascii="標楷體" w:eastAsia="標楷體" w:hAnsi="標楷體"/>
              </w:rPr>
              <w:t>婦女是否正在懷孕或授乳。</w:t>
            </w:r>
          </w:p>
        </w:tc>
        <w:tc>
          <w:tcPr>
            <w:tcW w:w="43" w:type="dxa"/>
            <w:shd w:val="clear" w:color="auto" w:fill="auto"/>
            <w:tcMar>
              <w:top w:w="0" w:type="dxa"/>
              <w:left w:w="10" w:type="dxa"/>
              <w:bottom w:w="0" w:type="dxa"/>
              <w:right w:w="10" w:type="dxa"/>
            </w:tcMar>
          </w:tcPr>
          <w:p w14:paraId="43334A73" w14:textId="77777777" w:rsidR="00BD776B" w:rsidRDefault="00BD776B">
            <w:pPr>
              <w:spacing w:line="480" w:lineRule="exact"/>
              <w:textAlignment w:val="center"/>
              <w:rPr>
                <w:rFonts w:ascii="標楷體" w:eastAsia="標楷體" w:hAnsi="標楷體"/>
              </w:rPr>
            </w:pPr>
          </w:p>
        </w:tc>
      </w:tr>
      <w:tr w:rsidR="00BD776B" w14:paraId="32A672D8" w14:textId="77777777">
        <w:trPr>
          <w:trHeight w:val="400"/>
        </w:trPr>
        <w:tc>
          <w:tcPr>
            <w:tcW w:w="89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07C5813"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4BA74B"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5A5DD2A5"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C66DB15" w14:textId="77777777" w:rsidR="00BD776B" w:rsidRDefault="00DF0C24">
            <w:pPr>
              <w:textAlignment w:val="center"/>
              <w:rPr>
                <w:rFonts w:ascii="標楷體" w:eastAsia="標楷體" w:hAnsi="標楷體"/>
              </w:rPr>
            </w:pPr>
            <w:r>
              <w:rPr>
                <w:rFonts w:ascii="標楷體" w:eastAsia="標楷體" w:hAnsi="標楷體"/>
              </w:rPr>
              <w:t>病患是否罹患活動性感染之疾病。</w:t>
            </w:r>
          </w:p>
        </w:tc>
        <w:tc>
          <w:tcPr>
            <w:tcW w:w="43" w:type="dxa"/>
            <w:shd w:val="clear" w:color="auto" w:fill="auto"/>
            <w:tcMar>
              <w:top w:w="0" w:type="dxa"/>
              <w:left w:w="10" w:type="dxa"/>
              <w:bottom w:w="0" w:type="dxa"/>
              <w:right w:w="10" w:type="dxa"/>
            </w:tcMar>
          </w:tcPr>
          <w:p w14:paraId="70EF97FB" w14:textId="77777777" w:rsidR="00BD776B" w:rsidRDefault="00BD776B">
            <w:pPr>
              <w:spacing w:line="480" w:lineRule="exact"/>
              <w:textAlignment w:val="center"/>
              <w:rPr>
                <w:rFonts w:ascii="標楷體" w:eastAsia="標楷體" w:hAnsi="標楷體"/>
              </w:rPr>
            </w:pPr>
          </w:p>
        </w:tc>
      </w:tr>
      <w:tr w:rsidR="00BD776B" w14:paraId="03BAF165" w14:textId="77777777">
        <w:trPr>
          <w:trHeight w:val="400"/>
        </w:trPr>
        <w:tc>
          <w:tcPr>
            <w:tcW w:w="89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6908948"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EF6D90"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394B286C"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lastRenderedPageBreak/>
              <w:t>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35A7B6C" w14:textId="77777777" w:rsidR="00BD776B" w:rsidRDefault="00DF0C24">
            <w:pPr>
              <w:textAlignment w:val="center"/>
              <w:rPr>
                <w:rFonts w:ascii="標楷體" w:eastAsia="標楷體" w:hAnsi="標楷體"/>
              </w:rPr>
            </w:pPr>
            <w:r>
              <w:rPr>
                <w:rFonts w:ascii="標楷體" w:eastAsia="標楷體" w:hAnsi="標楷體"/>
              </w:rPr>
              <w:lastRenderedPageBreak/>
              <w:t>病患是否具有高度感染機會之情形，其中包括1.慢性腿部潰瘍，2.未經完整治療之結核病的病患（包括潛伏結核感染治療未達四週者，申</w:t>
            </w:r>
            <w:r>
              <w:rPr>
                <w:rFonts w:ascii="標楷體" w:eastAsia="標楷體" w:hAnsi="標楷體"/>
              </w:rPr>
              <w:lastRenderedPageBreak/>
              <w:t>請時應檢附潛伏結核感染篩檢紀錄及治療紀錄供審查），3.過去12個月內曾罹患感染性關節炎者，4.人工關節受到感染〈該人工關節未除去前，不可使用生物製劑〉，5.頑固性或復發性的胸腔感染疾病，6.具有留置導尿管之情形。</w:t>
            </w:r>
          </w:p>
        </w:tc>
        <w:tc>
          <w:tcPr>
            <w:tcW w:w="43" w:type="dxa"/>
            <w:shd w:val="clear" w:color="auto" w:fill="auto"/>
            <w:tcMar>
              <w:top w:w="0" w:type="dxa"/>
              <w:left w:w="10" w:type="dxa"/>
              <w:bottom w:w="0" w:type="dxa"/>
              <w:right w:w="10" w:type="dxa"/>
            </w:tcMar>
          </w:tcPr>
          <w:p w14:paraId="113D9CF4" w14:textId="77777777" w:rsidR="00BD776B" w:rsidRDefault="00BD776B">
            <w:pPr>
              <w:spacing w:line="480" w:lineRule="exact"/>
              <w:textAlignment w:val="center"/>
              <w:rPr>
                <w:rFonts w:ascii="標楷體" w:eastAsia="標楷體" w:hAnsi="標楷體"/>
              </w:rPr>
            </w:pPr>
          </w:p>
        </w:tc>
      </w:tr>
      <w:tr w:rsidR="00BD776B" w14:paraId="40239DCD" w14:textId="77777777">
        <w:trPr>
          <w:trHeight w:val="400"/>
        </w:trPr>
        <w:tc>
          <w:tcPr>
            <w:tcW w:w="89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5CB5E5F"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F04292"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7D36AFA1"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5FCB677" w14:textId="77777777" w:rsidR="00BD776B" w:rsidRDefault="00DF0C24">
            <w:pPr>
              <w:textAlignment w:val="center"/>
              <w:rPr>
                <w:rFonts w:ascii="標楷體" w:eastAsia="標楷體" w:hAnsi="標楷體"/>
              </w:rPr>
            </w:pPr>
            <w:r>
              <w:rPr>
                <w:rFonts w:ascii="標楷體" w:eastAsia="標楷體" w:hAnsi="標楷體"/>
              </w:rPr>
              <w:t>病患是否罹患惡性腫瘤或癌前狀態之腫瘤</w:t>
            </w:r>
          </w:p>
        </w:tc>
        <w:tc>
          <w:tcPr>
            <w:tcW w:w="43" w:type="dxa"/>
            <w:shd w:val="clear" w:color="auto" w:fill="auto"/>
            <w:tcMar>
              <w:top w:w="0" w:type="dxa"/>
              <w:left w:w="10" w:type="dxa"/>
              <w:bottom w:w="0" w:type="dxa"/>
              <w:right w:w="10" w:type="dxa"/>
            </w:tcMar>
          </w:tcPr>
          <w:p w14:paraId="3AF0BA30" w14:textId="77777777" w:rsidR="00BD776B" w:rsidRDefault="00BD776B">
            <w:pPr>
              <w:spacing w:line="480" w:lineRule="exact"/>
              <w:textAlignment w:val="center"/>
              <w:rPr>
                <w:rFonts w:ascii="標楷體" w:eastAsia="標楷體" w:hAnsi="標楷體"/>
              </w:rPr>
            </w:pPr>
          </w:p>
        </w:tc>
      </w:tr>
      <w:tr w:rsidR="00BD776B" w14:paraId="06911515" w14:textId="77777777">
        <w:trPr>
          <w:trHeight w:val="400"/>
        </w:trPr>
        <w:tc>
          <w:tcPr>
            <w:tcW w:w="89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1699D90"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CE59DB"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7659F767"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4752A3E" w14:textId="77777777" w:rsidR="00BD776B" w:rsidRDefault="00DF0C24">
            <w:pPr>
              <w:textAlignment w:val="center"/>
              <w:rPr>
                <w:rFonts w:ascii="標楷體" w:eastAsia="標楷體" w:hAnsi="標楷體"/>
              </w:rPr>
            </w:pPr>
            <w:r>
              <w:rPr>
                <w:rFonts w:ascii="標楷體" w:eastAsia="標楷體" w:hAnsi="標楷體"/>
              </w:rPr>
              <w:t>病患是否罹患多發性硬化症(multiple sclerosis)</w:t>
            </w:r>
          </w:p>
        </w:tc>
        <w:tc>
          <w:tcPr>
            <w:tcW w:w="43" w:type="dxa"/>
            <w:shd w:val="clear" w:color="auto" w:fill="auto"/>
            <w:tcMar>
              <w:top w:w="0" w:type="dxa"/>
              <w:left w:w="10" w:type="dxa"/>
              <w:bottom w:w="0" w:type="dxa"/>
              <w:right w:w="10" w:type="dxa"/>
            </w:tcMar>
          </w:tcPr>
          <w:p w14:paraId="4DE2883B" w14:textId="77777777" w:rsidR="00BD776B" w:rsidRDefault="00BD776B">
            <w:pPr>
              <w:spacing w:line="480" w:lineRule="exact"/>
              <w:textAlignment w:val="center"/>
              <w:rPr>
                <w:rFonts w:ascii="標楷體" w:eastAsia="標楷體" w:hAnsi="標楷體"/>
              </w:rPr>
            </w:pPr>
          </w:p>
        </w:tc>
      </w:tr>
      <w:tr w:rsidR="00BD776B" w14:paraId="315B576F" w14:textId="77777777">
        <w:trPr>
          <w:trHeight w:val="400"/>
        </w:trPr>
        <w:tc>
          <w:tcPr>
            <w:tcW w:w="899"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6E26B59"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3CE8F5"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36C1DE9D"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否</w:t>
            </w:r>
          </w:p>
        </w:tc>
        <w:tc>
          <w:tcPr>
            <w:tcW w:w="7485" w:type="dxa"/>
            <w:gridSpan w:val="7"/>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685FE2F" w14:textId="77777777" w:rsidR="00BD776B" w:rsidRDefault="00DF0C24">
            <w:pPr>
              <w:textAlignment w:val="center"/>
              <w:rPr>
                <w:rFonts w:ascii="標楷體" w:eastAsia="標楷體" w:hAnsi="標楷體"/>
              </w:rPr>
            </w:pPr>
            <w:r>
              <w:rPr>
                <w:rFonts w:ascii="標楷體" w:eastAsia="標楷體" w:hAnsi="標楷體"/>
              </w:rPr>
              <w:t>於初次療程，經治療後體表面積下降程度未達50%</w:t>
            </w:r>
          </w:p>
        </w:tc>
        <w:tc>
          <w:tcPr>
            <w:tcW w:w="43" w:type="dxa"/>
            <w:shd w:val="clear" w:color="auto" w:fill="auto"/>
            <w:tcMar>
              <w:top w:w="0" w:type="dxa"/>
              <w:left w:w="10" w:type="dxa"/>
              <w:bottom w:w="0" w:type="dxa"/>
              <w:right w:w="10" w:type="dxa"/>
            </w:tcMar>
          </w:tcPr>
          <w:p w14:paraId="1D75200D" w14:textId="77777777" w:rsidR="00BD776B" w:rsidRDefault="00BD776B">
            <w:pPr>
              <w:spacing w:line="480" w:lineRule="exact"/>
              <w:textAlignment w:val="center"/>
              <w:rPr>
                <w:rFonts w:ascii="標楷體" w:eastAsia="標楷體" w:hAnsi="標楷體"/>
              </w:rPr>
            </w:pPr>
          </w:p>
        </w:tc>
      </w:tr>
      <w:tr w:rsidR="00BD776B" w14:paraId="3476CA89" w14:textId="77777777">
        <w:trPr>
          <w:trHeight w:val="834"/>
        </w:trPr>
        <w:tc>
          <w:tcPr>
            <w:tcW w:w="899" w:type="dxa"/>
            <w:gridSpan w:val="2"/>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18360675" w14:textId="77777777" w:rsidR="00BD776B" w:rsidRDefault="00BD776B">
            <w:pPr>
              <w:spacing w:line="480" w:lineRule="exact"/>
              <w:textAlignment w:val="center"/>
              <w:rPr>
                <w:rFonts w:ascii="標楷體" w:eastAsia="標楷體" w:hAnsi="標楷體"/>
              </w:rPr>
            </w:pPr>
          </w:p>
        </w:tc>
        <w:tc>
          <w:tcPr>
            <w:tcW w:w="1238" w:type="dxa"/>
            <w:gridSpan w:val="2"/>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6BA274C4"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是</w:t>
            </w:r>
          </w:p>
          <w:p w14:paraId="5266813B" w14:textId="77777777" w:rsidR="00BD776B" w:rsidRDefault="00DF0C24" w:rsidP="008A7063">
            <w:pPr>
              <w:numPr>
                <w:ilvl w:val="0"/>
                <w:numId w:val="102"/>
              </w:numPr>
              <w:tabs>
                <w:tab w:val="left" w:pos="425"/>
              </w:tabs>
              <w:spacing w:line="480" w:lineRule="exact"/>
              <w:ind w:left="425" w:hanging="333"/>
              <w:textAlignment w:val="center"/>
              <w:rPr>
                <w:rFonts w:ascii="標楷體" w:eastAsia="標楷體" w:hAnsi="標楷體"/>
              </w:rPr>
            </w:pPr>
            <w:r>
              <w:rPr>
                <w:rFonts w:ascii="標楷體" w:eastAsia="標楷體" w:hAnsi="標楷體"/>
              </w:rPr>
              <w:t>否</w:t>
            </w:r>
          </w:p>
        </w:tc>
        <w:tc>
          <w:tcPr>
            <w:tcW w:w="7485" w:type="dxa"/>
            <w:gridSpan w:val="7"/>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4178A25B" w14:textId="77777777" w:rsidR="00BD776B" w:rsidRDefault="00DF0C24">
            <w:pPr>
              <w:textAlignment w:val="center"/>
            </w:pPr>
            <w:r>
              <w:rPr>
                <w:rFonts w:ascii="標楷體" w:eastAsia="標楷體" w:hAnsi="標楷體"/>
              </w:rPr>
              <w:t>使用</w:t>
            </w:r>
            <w:r>
              <w:rPr>
                <w:rFonts w:ascii="標楷體" w:eastAsia="標楷體" w:hAnsi="標楷體"/>
                <w:u w:val="single"/>
              </w:rPr>
              <w:t>生物製劑期間</w:t>
            </w:r>
            <w:r>
              <w:rPr>
                <w:rFonts w:ascii="標楷體" w:eastAsia="標楷體" w:hAnsi="標楷體"/>
              </w:rPr>
              <w:t>發生懷孕或不良事件(包括：惡性腫瘤、該藥物引起的嚴重毒性、嚴重的感染性疾病)</w:t>
            </w:r>
          </w:p>
        </w:tc>
        <w:tc>
          <w:tcPr>
            <w:tcW w:w="43" w:type="dxa"/>
            <w:shd w:val="clear" w:color="auto" w:fill="auto"/>
            <w:tcMar>
              <w:top w:w="0" w:type="dxa"/>
              <w:left w:w="10" w:type="dxa"/>
              <w:bottom w:w="0" w:type="dxa"/>
              <w:right w:w="10" w:type="dxa"/>
            </w:tcMar>
          </w:tcPr>
          <w:p w14:paraId="4BF94271" w14:textId="77777777" w:rsidR="00BD776B" w:rsidRDefault="00BD776B">
            <w:pPr>
              <w:spacing w:line="480" w:lineRule="exact"/>
              <w:textAlignment w:val="center"/>
              <w:rPr>
                <w:rFonts w:ascii="標楷體" w:eastAsia="標楷體" w:hAnsi="標楷體"/>
              </w:rPr>
            </w:pPr>
          </w:p>
        </w:tc>
      </w:tr>
      <w:tr w:rsidR="00BD776B" w14:paraId="5E530DF3" w14:textId="77777777">
        <w:trPr>
          <w:trHeight w:val="1048"/>
        </w:trPr>
        <w:tc>
          <w:tcPr>
            <w:tcW w:w="6210" w:type="dxa"/>
            <w:gridSpan w:val="8"/>
            <w:shd w:val="clear" w:color="auto" w:fill="auto"/>
            <w:tcMar>
              <w:top w:w="0" w:type="dxa"/>
              <w:left w:w="28" w:type="dxa"/>
              <w:bottom w:w="0" w:type="dxa"/>
              <w:right w:w="28" w:type="dxa"/>
            </w:tcMar>
          </w:tcPr>
          <w:p w14:paraId="4C44A94F" w14:textId="77777777" w:rsidR="00BD776B" w:rsidRDefault="00BD776B">
            <w:pPr>
              <w:textAlignment w:val="center"/>
              <w:rPr>
                <w:rFonts w:ascii="標楷體" w:eastAsia="標楷體" w:hAnsi="標楷體"/>
                <w:sz w:val="26"/>
                <w:szCs w:val="26"/>
              </w:rPr>
            </w:pPr>
          </w:p>
          <w:p w14:paraId="012016BE" w14:textId="77777777" w:rsidR="00BD776B" w:rsidRDefault="00DF0C24">
            <w:pPr>
              <w:textAlignment w:val="center"/>
            </w:pPr>
            <w:r>
              <w:rPr>
                <w:rFonts w:ascii="標楷體" w:eastAsia="標楷體" w:hAnsi="標楷體"/>
                <w:sz w:val="26"/>
                <w:szCs w:val="26"/>
              </w:rPr>
              <w:t>申請醫師（簽名蓋章）：</w:t>
            </w:r>
            <w:r>
              <w:rPr>
                <w:rFonts w:ascii="標楷體" w:eastAsia="標楷體" w:hAnsi="標楷體"/>
                <w:sz w:val="26"/>
                <w:szCs w:val="26"/>
                <w:u w:val="single"/>
              </w:rPr>
              <w:t xml:space="preserve">　　　　　　　  </w:t>
            </w:r>
            <w:r>
              <w:rPr>
                <w:rFonts w:ascii="標楷體" w:eastAsia="標楷體" w:hAnsi="標楷體"/>
                <w:sz w:val="26"/>
                <w:szCs w:val="26"/>
              </w:rPr>
              <w:t xml:space="preserve">  </w:t>
            </w:r>
          </w:p>
          <w:p w14:paraId="47151EBC" w14:textId="77777777" w:rsidR="00BD776B" w:rsidRDefault="00DF0C24">
            <w:pPr>
              <w:textAlignment w:val="center"/>
            </w:pPr>
            <w:r>
              <w:rPr>
                <w:rFonts w:ascii="標楷體" w:eastAsia="標楷體" w:hAnsi="標楷體"/>
                <w:sz w:val="26"/>
                <w:szCs w:val="26"/>
              </w:rPr>
              <w:t>專科醫師證書：</w:t>
            </w:r>
            <w:r>
              <w:rPr>
                <w:rFonts w:ascii="標楷體" w:eastAsia="標楷體" w:hAnsi="標楷體"/>
                <w:sz w:val="26"/>
                <w:szCs w:val="26"/>
                <w:u w:val="single"/>
              </w:rPr>
              <w:t xml:space="preserve">    </w:t>
            </w:r>
            <w:r>
              <w:rPr>
                <w:rFonts w:ascii="標楷體" w:eastAsia="標楷體" w:hAnsi="標楷體"/>
                <w:sz w:val="26"/>
                <w:szCs w:val="26"/>
              </w:rPr>
              <w:t>專字第</w:t>
            </w:r>
            <w:r>
              <w:rPr>
                <w:rFonts w:ascii="標楷體" w:eastAsia="標楷體" w:hAnsi="標楷體"/>
                <w:sz w:val="26"/>
                <w:szCs w:val="26"/>
                <w:u w:val="single"/>
              </w:rPr>
              <w:t xml:space="preserve">　　　　 　  </w:t>
            </w:r>
            <w:r>
              <w:rPr>
                <w:rFonts w:ascii="標楷體" w:eastAsia="標楷體" w:hAnsi="標楷體"/>
                <w:sz w:val="26"/>
                <w:szCs w:val="26"/>
              </w:rPr>
              <w:t>號</w:t>
            </w:r>
          </w:p>
          <w:p w14:paraId="1048F67B" w14:textId="77777777" w:rsidR="00BD776B" w:rsidRDefault="00BD776B">
            <w:pPr>
              <w:tabs>
                <w:tab w:val="left" w:pos="2912"/>
              </w:tabs>
              <w:textAlignment w:val="center"/>
              <w:rPr>
                <w:rFonts w:ascii="標楷體" w:eastAsia="標楷體" w:hAnsi="標楷體"/>
                <w:sz w:val="26"/>
                <w:szCs w:val="26"/>
                <w:u w:val="single"/>
              </w:rPr>
            </w:pPr>
          </w:p>
        </w:tc>
        <w:tc>
          <w:tcPr>
            <w:tcW w:w="3372" w:type="dxa"/>
            <w:gridSpan w:val="2"/>
            <w:shd w:val="clear" w:color="auto" w:fill="auto"/>
            <w:tcMar>
              <w:top w:w="0" w:type="dxa"/>
              <w:left w:w="28" w:type="dxa"/>
              <w:bottom w:w="0" w:type="dxa"/>
              <w:right w:w="28" w:type="dxa"/>
            </w:tcMar>
          </w:tcPr>
          <w:p w14:paraId="5A248601" w14:textId="77777777" w:rsidR="00BD776B" w:rsidRDefault="00BD776B">
            <w:pPr>
              <w:textAlignment w:val="center"/>
              <w:rPr>
                <w:rFonts w:ascii="標楷體" w:eastAsia="標楷體" w:hAnsi="標楷體"/>
                <w:sz w:val="26"/>
                <w:szCs w:val="26"/>
              </w:rPr>
            </w:pPr>
          </w:p>
          <w:p w14:paraId="4635AC7B" w14:textId="77777777" w:rsidR="00BD776B" w:rsidRDefault="00DF0C24">
            <w:pPr>
              <w:textAlignment w:val="center"/>
            </w:pPr>
            <w:r>
              <w:rPr>
                <w:rFonts w:ascii="標楷體" w:eastAsia="標楷體" w:hAnsi="標楷體"/>
                <w:sz w:val="26"/>
                <w:szCs w:val="26"/>
              </w:rPr>
              <w:t>醫事機構章戳：</w:t>
            </w:r>
          </w:p>
        </w:tc>
        <w:tc>
          <w:tcPr>
            <w:tcW w:w="40" w:type="dxa"/>
            <w:shd w:val="clear" w:color="auto" w:fill="auto"/>
            <w:tcMar>
              <w:top w:w="0" w:type="dxa"/>
              <w:left w:w="10" w:type="dxa"/>
              <w:bottom w:w="0" w:type="dxa"/>
              <w:right w:w="10" w:type="dxa"/>
            </w:tcMar>
          </w:tcPr>
          <w:p w14:paraId="1426B58A" w14:textId="77777777" w:rsidR="00BD776B" w:rsidRDefault="00BD776B">
            <w:pPr>
              <w:textAlignment w:val="center"/>
              <w:rPr>
                <w:rFonts w:ascii="標楷體" w:eastAsia="標楷體" w:hAnsi="標楷體"/>
              </w:rPr>
            </w:pPr>
          </w:p>
        </w:tc>
        <w:tc>
          <w:tcPr>
            <w:tcW w:w="43" w:type="dxa"/>
            <w:shd w:val="clear" w:color="auto" w:fill="auto"/>
            <w:tcMar>
              <w:top w:w="0" w:type="dxa"/>
              <w:left w:w="10" w:type="dxa"/>
              <w:bottom w:w="0" w:type="dxa"/>
              <w:right w:w="10" w:type="dxa"/>
            </w:tcMar>
          </w:tcPr>
          <w:p w14:paraId="2C0F3438" w14:textId="77777777" w:rsidR="00BD776B" w:rsidRDefault="00BD776B">
            <w:pPr>
              <w:textAlignment w:val="center"/>
              <w:rPr>
                <w:rFonts w:ascii="標楷體" w:eastAsia="標楷體" w:hAnsi="標楷體"/>
              </w:rPr>
            </w:pPr>
          </w:p>
        </w:tc>
      </w:tr>
    </w:tbl>
    <w:p w14:paraId="334B19AA" w14:textId="77777777" w:rsidR="00BD776B" w:rsidRDefault="00BD776B">
      <w:pPr>
        <w:widowControl/>
        <w:spacing w:line="480" w:lineRule="exact"/>
        <w:rPr>
          <w:rFonts w:ascii="標楷體" w:eastAsia="標楷體" w:hAnsi="標楷體"/>
          <w:sz w:val="28"/>
          <w:szCs w:val="28"/>
        </w:rPr>
      </w:pPr>
    </w:p>
    <w:p w14:paraId="6324684C" w14:textId="77777777" w:rsidR="00BD776B" w:rsidRDefault="00BD776B">
      <w:pPr>
        <w:pStyle w:val="Standard"/>
        <w:spacing w:line="480" w:lineRule="exact"/>
        <w:ind w:hanging="560"/>
        <w:jc w:val="center"/>
        <w:rPr>
          <w:rFonts w:ascii="標楷體" w:eastAsia="標楷體" w:hAnsi="標楷體"/>
          <w:szCs w:val="22"/>
        </w:rPr>
      </w:pPr>
    </w:p>
    <w:p w14:paraId="06C207C6" w14:textId="77777777" w:rsidR="00BD776B" w:rsidRDefault="00BD776B">
      <w:pPr>
        <w:widowControl/>
        <w:suppressAutoHyphens w:val="0"/>
        <w:rPr>
          <w:rFonts w:eastAsia="標楷體"/>
        </w:rPr>
      </w:pPr>
    </w:p>
    <w:p w14:paraId="5CB0FA70" w14:textId="77777777" w:rsidR="00BD776B" w:rsidRDefault="00BD776B">
      <w:pPr>
        <w:widowControl/>
        <w:suppressAutoHyphens w:val="0"/>
        <w:rPr>
          <w:rFonts w:eastAsia="標楷體"/>
        </w:rPr>
      </w:pPr>
    </w:p>
    <w:p w14:paraId="0C848DC8" w14:textId="77777777" w:rsidR="00BD776B" w:rsidRDefault="00BD776B">
      <w:pPr>
        <w:widowControl/>
        <w:suppressAutoHyphens w:val="0"/>
        <w:rPr>
          <w:rFonts w:eastAsia="標楷體"/>
        </w:rPr>
      </w:pPr>
    </w:p>
    <w:p w14:paraId="543FE522" w14:textId="77777777" w:rsidR="00BD776B" w:rsidRDefault="00BD776B">
      <w:pPr>
        <w:widowControl/>
        <w:suppressAutoHyphens w:val="0"/>
        <w:rPr>
          <w:rFonts w:eastAsia="標楷體"/>
        </w:rPr>
      </w:pPr>
    </w:p>
    <w:p w14:paraId="32461B06" w14:textId="77777777" w:rsidR="00BD776B" w:rsidRDefault="00BD776B">
      <w:pPr>
        <w:pageBreakBefore/>
        <w:widowControl/>
        <w:suppressAutoHyphens w:val="0"/>
        <w:rPr>
          <w:rFonts w:eastAsia="標楷體"/>
        </w:rPr>
      </w:pPr>
    </w:p>
    <w:p w14:paraId="46878E92" w14:textId="77777777" w:rsidR="00BD776B" w:rsidRDefault="00DF0C24">
      <w:pPr>
        <w:widowControl/>
        <w:spacing w:line="400" w:lineRule="exact"/>
        <w:jc w:val="center"/>
      </w:pPr>
      <w:r>
        <w:rPr>
          <w:rFonts w:ascii="標楷體" w:eastAsia="標楷體" w:hAnsi="標楷體"/>
          <w:b/>
          <w:sz w:val="28"/>
          <w:szCs w:val="28"/>
        </w:rPr>
        <w:t>附表二十四之五：</w:t>
      </w:r>
      <w:r>
        <w:rPr>
          <w:rFonts w:ascii="標楷體" w:eastAsia="標楷體" w:hAnsi="標楷體"/>
          <w:b/>
          <w:bCs/>
          <w:sz w:val="28"/>
          <w:szCs w:val="28"/>
        </w:rPr>
        <w:t>掌蹠膿皰症面積暨嚴重度指數【Palmoplantar Pustulosis Area Severity Index (PPPASI)】</w:t>
      </w:r>
    </w:p>
    <w:p w14:paraId="59754543" w14:textId="77777777" w:rsidR="00BD776B" w:rsidRDefault="00DF0C24">
      <w:r>
        <w:rPr>
          <w:rFonts w:ascii="標楷體" w:eastAsia="標楷體" w:hAnsi="標楷體"/>
          <w:b/>
          <w:bCs/>
          <w:sz w:val="28"/>
          <w:szCs w:val="28"/>
        </w:rPr>
        <w:t>1.</w:t>
      </w:r>
      <w:r>
        <w:rPr>
          <w:rFonts w:ascii="標楷體" w:eastAsia="標楷體" w:hAnsi="標楷體"/>
          <w:b/>
          <w:bCs/>
          <w:sz w:val="20"/>
          <w:szCs w:val="20"/>
        </w:rPr>
        <w:t>掌蹠膿皰症</w:t>
      </w:r>
      <w:r>
        <w:rPr>
          <w:rFonts w:ascii="標楷體" w:eastAsia="標楷體" w:hAnsi="標楷體"/>
          <w:b/>
          <w:sz w:val="20"/>
          <w:szCs w:val="20"/>
        </w:rPr>
        <w:t>面積</w:t>
      </w:r>
      <w:r>
        <w:rPr>
          <w:rFonts w:ascii="標楷體" w:eastAsia="標楷體" w:hAnsi="標楷體"/>
          <w:sz w:val="20"/>
          <w:szCs w:val="20"/>
        </w:rPr>
        <w:t>（</w:t>
      </w:r>
      <w:r>
        <w:rPr>
          <w:rFonts w:ascii="標楷體" w:eastAsia="標楷體" w:hAnsi="標楷體"/>
          <w:bCs/>
          <w:sz w:val="20"/>
          <w:szCs w:val="20"/>
        </w:rPr>
        <w:t>A</w:t>
      </w:r>
      <w:r>
        <w:rPr>
          <w:rFonts w:ascii="標楷體" w:eastAsia="標楷體" w:hAnsi="標楷體"/>
          <w:sz w:val="20"/>
          <w:szCs w:val="20"/>
        </w:rPr>
        <w:t>rea）</w:t>
      </w:r>
    </w:p>
    <w:tbl>
      <w:tblPr>
        <w:tblW w:w="0" w:type="dxa"/>
        <w:tblInd w:w="261" w:type="dxa"/>
        <w:tblCellMar>
          <w:left w:w="10" w:type="dxa"/>
          <w:right w:w="10" w:type="dxa"/>
        </w:tblCellMar>
        <w:tblLook w:val="0000" w:firstRow="0" w:lastRow="0" w:firstColumn="0" w:lastColumn="0" w:noHBand="0" w:noVBand="0"/>
      </w:tblPr>
      <w:tblGrid>
        <w:gridCol w:w="1399"/>
        <w:gridCol w:w="987"/>
        <w:gridCol w:w="987"/>
        <w:gridCol w:w="1128"/>
        <w:gridCol w:w="1128"/>
        <w:gridCol w:w="1071"/>
        <w:gridCol w:w="1186"/>
        <w:gridCol w:w="1361"/>
      </w:tblGrid>
      <w:tr w:rsidR="00BD776B" w14:paraId="72F1AFDC" w14:textId="77777777">
        <w:tc>
          <w:tcPr>
            <w:tcW w:w="1399" w:type="dxa"/>
            <w:tcBorders>
              <w:top w:val="double" w:sz="6" w:space="0" w:color="000000"/>
              <w:left w:val="doub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2EF0D76"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涵蓋</w:t>
            </w:r>
          </w:p>
          <w:p w14:paraId="27E40D7C"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程度</w:t>
            </w:r>
          </w:p>
        </w:tc>
        <w:tc>
          <w:tcPr>
            <w:tcW w:w="987"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2E60891"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0﹪</w:t>
            </w:r>
          </w:p>
        </w:tc>
        <w:tc>
          <w:tcPr>
            <w:tcW w:w="987"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DE38E32"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＜10﹪</w:t>
            </w:r>
          </w:p>
        </w:tc>
        <w:tc>
          <w:tcPr>
            <w:tcW w:w="1128"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DD3072E"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10-29﹪</w:t>
            </w:r>
          </w:p>
        </w:tc>
        <w:tc>
          <w:tcPr>
            <w:tcW w:w="1128"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3C742A8"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30-49﹪</w:t>
            </w:r>
          </w:p>
        </w:tc>
        <w:tc>
          <w:tcPr>
            <w:tcW w:w="1071"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E5503CB"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50-69﹪</w:t>
            </w:r>
          </w:p>
        </w:tc>
        <w:tc>
          <w:tcPr>
            <w:tcW w:w="1186"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E7F57A4"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70-89﹪</w:t>
            </w:r>
          </w:p>
        </w:tc>
        <w:tc>
          <w:tcPr>
            <w:tcW w:w="1361" w:type="dxa"/>
            <w:tcBorders>
              <w:top w:val="double" w:sz="6" w:space="0" w:color="000000"/>
              <w:left w:val="single" w:sz="6" w:space="0" w:color="000000"/>
              <w:bottom w:val="single" w:sz="6" w:space="0" w:color="000000"/>
              <w:right w:val="double" w:sz="6" w:space="0" w:color="000000"/>
            </w:tcBorders>
            <w:shd w:val="clear" w:color="auto" w:fill="E6E6E6"/>
            <w:tcMar>
              <w:top w:w="0" w:type="dxa"/>
              <w:left w:w="108" w:type="dxa"/>
              <w:bottom w:w="0" w:type="dxa"/>
              <w:right w:w="108" w:type="dxa"/>
            </w:tcMar>
            <w:vAlign w:val="center"/>
          </w:tcPr>
          <w:p w14:paraId="665200B3" w14:textId="77777777" w:rsidR="00BD776B" w:rsidRDefault="00DF0C24">
            <w:pPr>
              <w:jc w:val="center"/>
              <w:rPr>
                <w:rFonts w:ascii="標楷體" w:eastAsia="標楷體" w:hAnsi="標楷體"/>
                <w:caps/>
                <w:sz w:val="20"/>
                <w:szCs w:val="20"/>
              </w:rPr>
            </w:pPr>
            <w:r>
              <w:rPr>
                <w:rFonts w:ascii="標楷體" w:eastAsia="標楷體" w:hAnsi="標楷體"/>
                <w:caps/>
                <w:sz w:val="20"/>
                <w:szCs w:val="20"/>
              </w:rPr>
              <w:t>90-100﹪</w:t>
            </w:r>
          </w:p>
        </w:tc>
      </w:tr>
      <w:tr w:rsidR="00BD776B" w14:paraId="12B5EFF0" w14:textId="77777777">
        <w:trPr>
          <w:trHeight w:val="554"/>
        </w:trPr>
        <w:tc>
          <w:tcPr>
            <w:tcW w:w="1399" w:type="dxa"/>
            <w:tcBorders>
              <w:top w:val="single" w:sz="6" w:space="0" w:color="000000"/>
              <w:left w:val="double" w:sz="6" w:space="0" w:color="000000"/>
              <w:bottom w:val="double" w:sz="4" w:space="0" w:color="000000"/>
              <w:right w:val="single" w:sz="6" w:space="0" w:color="000000"/>
            </w:tcBorders>
            <w:shd w:val="clear" w:color="auto" w:fill="E6E6E6"/>
            <w:tcMar>
              <w:top w:w="0" w:type="dxa"/>
              <w:left w:w="108" w:type="dxa"/>
              <w:bottom w:w="0" w:type="dxa"/>
              <w:right w:w="108" w:type="dxa"/>
            </w:tcMar>
          </w:tcPr>
          <w:p w14:paraId="3CF48D26" w14:textId="77777777" w:rsidR="00BD776B" w:rsidRDefault="00DF0C24">
            <w:pPr>
              <w:jc w:val="right"/>
              <w:rPr>
                <w:rFonts w:ascii="標楷體" w:eastAsia="標楷體" w:hAnsi="標楷體"/>
                <w:sz w:val="20"/>
                <w:szCs w:val="20"/>
              </w:rPr>
            </w:pPr>
            <w:r>
              <w:rPr>
                <w:rFonts w:ascii="標楷體" w:eastAsia="標楷體" w:hAnsi="標楷體"/>
                <w:sz w:val="20"/>
                <w:szCs w:val="20"/>
              </w:rPr>
              <w:t>分數</w:t>
            </w:r>
          </w:p>
          <w:p w14:paraId="0CD7B8F5" w14:textId="77777777" w:rsidR="00BD776B" w:rsidRDefault="00DF0C24">
            <w:pPr>
              <w:rPr>
                <w:rFonts w:ascii="標楷體" w:eastAsia="標楷體" w:hAnsi="標楷體"/>
                <w:sz w:val="20"/>
                <w:szCs w:val="20"/>
              </w:rPr>
            </w:pPr>
            <w:r>
              <w:rPr>
                <w:rFonts w:ascii="標楷體" w:eastAsia="標楷體" w:hAnsi="標楷體"/>
                <w:sz w:val="20"/>
                <w:szCs w:val="20"/>
              </w:rPr>
              <w:t>皮膚部位</w:t>
            </w:r>
          </w:p>
        </w:tc>
        <w:tc>
          <w:tcPr>
            <w:tcW w:w="987" w:type="dxa"/>
            <w:tcBorders>
              <w:top w:val="single" w:sz="6" w:space="0" w:color="000000"/>
              <w:left w:val="single" w:sz="6" w:space="0" w:color="000000"/>
              <w:bottom w:val="double" w:sz="4" w:space="0" w:color="000000"/>
              <w:right w:val="single" w:sz="6" w:space="0" w:color="000000"/>
            </w:tcBorders>
            <w:shd w:val="clear" w:color="auto" w:fill="E6E6E6"/>
            <w:tcMar>
              <w:top w:w="0" w:type="dxa"/>
              <w:left w:w="108" w:type="dxa"/>
              <w:bottom w:w="0" w:type="dxa"/>
              <w:right w:w="108" w:type="dxa"/>
            </w:tcMar>
            <w:vAlign w:val="center"/>
          </w:tcPr>
          <w:p w14:paraId="4ADF53CA" w14:textId="77777777" w:rsidR="00BD776B" w:rsidRDefault="00DF0C24">
            <w:pPr>
              <w:jc w:val="center"/>
              <w:rPr>
                <w:rFonts w:ascii="標楷體" w:eastAsia="標楷體" w:hAnsi="標楷體"/>
                <w:sz w:val="20"/>
                <w:szCs w:val="20"/>
              </w:rPr>
            </w:pPr>
            <w:r>
              <w:rPr>
                <w:rFonts w:ascii="標楷體" w:eastAsia="標楷體" w:hAnsi="標楷體"/>
                <w:sz w:val="20"/>
                <w:szCs w:val="20"/>
              </w:rPr>
              <w:t>0</w:t>
            </w:r>
          </w:p>
        </w:tc>
        <w:tc>
          <w:tcPr>
            <w:tcW w:w="987" w:type="dxa"/>
            <w:tcBorders>
              <w:top w:val="single" w:sz="6" w:space="0" w:color="000000"/>
              <w:left w:val="single" w:sz="6" w:space="0" w:color="000000"/>
              <w:bottom w:val="double" w:sz="4" w:space="0" w:color="000000"/>
              <w:right w:val="single" w:sz="6" w:space="0" w:color="000000"/>
            </w:tcBorders>
            <w:shd w:val="clear" w:color="auto" w:fill="E6E6E6"/>
            <w:tcMar>
              <w:top w:w="0" w:type="dxa"/>
              <w:left w:w="108" w:type="dxa"/>
              <w:bottom w:w="0" w:type="dxa"/>
              <w:right w:w="108" w:type="dxa"/>
            </w:tcMar>
            <w:vAlign w:val="center"/>
          </w:tcPr>
          <w:p w14:paraId="749E3C7A" w14:textId="77777777" w:rsidR="00BD776B" w:rsidRDefault="00DF0C24">
            <w:pPr>
              <w:jc w:val="center"/>
              <w:rPr>
                <w:rFonts w:ascii="標楷體" w:eastAsia="標楷體" w:hAnsi="標楷體"/>
                <w:sz w:val="20"/>
                <w:szCs w:val="20"/>
              </w:rPr>
            </w:pPr>
            <w:r>
              <w:rPr>
                <w:rFonts w:ascii="標楷體" w:eastAsia="標楷體" w:hAnsi="標楷體"/>
                <w:sz w:val="20"/>
                <w:szCs w:val="20"/>
              </w:rPr>
              <w:t>1</w:t>
            </w:r>
          </w:p>
        </w:tc>
        <w:tc>
          <w:tcPr>
            <w:tcW w:w="1128"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75831B30" w14:textId="77777777" w:rsidR="00BD776B" w:rsidRDefault="00DF0C24">
            <w:pPr>
              <w:jc w:val="center"/>
              <w:rPr>
                <w:rFonts w:ascii="標楷體" w:eastAsia="標楷體" w:hAnsi="標楷體"/>
                <w:sz w:val="20"/>
                <w:szCs w:val="20"/>
              </w:rPr>
            </w:pPr>
            <w:r>
              <w:rPr>
                <w:rFonts w:ascii="標楷體" w:eastAsia="標楷體" w:hAnsi="標楷體"/>
                <w:sz w:val="20"/>
                <w:szCs w:val="20"/>
              </w:rPr>
              <w:t>2</w:t>
            </w:r>
          </w:p>
        </w:tc>
        <w:tc>
          <w:tcPr>
            <w:tcW w:w="1128"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41B6FED7" w14:textId="77777777" w:rsidR="00BD776B" w:rsidRDefault="00DF0C24">
            <w:pPr>
              <w:jc w:val="center"/>
              <w:rPr>
                <w:rFonts w:ascii="標楷體" w:eastAsia="標楷體" w:hAnsi="標楷體"/>
                <w:sz w:val="20"/>
                <w:szCs w:val="20"/>
              </w:rPr>
            </w:pPr>
            <w:r>
              <w:rPr>
                <w:rFonts w:ascii="標楷體" w:eastAsia="標楷體" w:hAnsi="標楷體"/>
                <w:sz w:val="20"/>
                <w:szCs w:val="20"/>
              </w:rPr>
              <w:t>3</w:t>
            </w:r>
          </w:p>
        </w:tc>
        <w:tc>
          <w:tcPr>
            <w:tcW w:w="1071"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245B686E" w14:textId="77777777" w:rsidR="00BD776B" w:rsidRDefault="00DF0C24">
            <w:pPr>
              <w:jc w:val="center"/>
              <w:rPr>
                <w:rFonts w:ascii="標楷體" w:eastAsia="標楷體" w:hAnsi="標楷體"/>
                <w:sz w:val="20"/>
                <w:szCs w:val="20"/>
              </w:rPr>
            </w:pPr>
            <w:r>
              <w:rPr>
                <w:rFonts w:ascii="標楷體" w:eastAsia="標楷體" w:hAnsi="標楷體"/>
                <w:sz w:val="20"/>
                <w:szCs w:val="20"/>
              </w:rPr>
              <w:t>4</w:t>
            </w:r>
          </w:p>
        </w:tc>
        <w:tc>
          <w:tcPr>
            <w:tcW w:w="1186" w:type="dxa"/>
            <w:tcBorders>
              <w:top w:val="single" w:sz="6" w:space="0" w:color="000000"/>
              <w:left w:val="single" w:sz="6" w:space="0" w:color="000000"/>
              <w:bottom w:val="double" w:sz="6" w:space="0" w:color="000000"/>
              <w:right w:val="single" w:sz="6" w:space="0" w:color="000000"/>
            </w:tcBorders>
            <w:shd w:val="clear" w:color="auto" w:fill="E6E6E6"/>
            <w:tcMar>
              <w:top w:w="0" w:type="dxa"/>
              <w:left w:w="108" w:type="dxa"/>
              <w:bottom w:w="0" w:type="dxa"/>
              <w:right w:w="108" w:type="dxa"/>
            </w:tcMar>
            <w:vAlign w:val="center"/>
          </w:tcPr>
          <w:p w14:paraId="61C21422" w14:textId="77777777" w:rsidR="00BD776B" w:rsidRDefault="00DF0C24">
            <w:pPr>
              <w:jc w:val="center"/>
              <w:rPr>
                <w:rFonts w:ascii="標楷體" w:eastAsia="標楷體" w:hAnsi="標楷體"/>
                <w:sz w:val="20"/>
                <w:szCs w:val="20"/>
              </w:rPr>
            </w:pPr>
            <w:r>
              <w:rPr>
                <w:rFonts w:ascii="標楷體" w:eastAsia="標楷體" w:hAnsi="標楷體"/>
                <w:sz w:val="20"/>
                <w:szCs w:val="20"/>
              </w:rPr>
              <w:t>5</w:t>
            </w:r>
          </w:p>
        </w:tc>
        <w:tc>
          <w:tcPr>
            <w:tcW w:w="1361" w:type="dxa"/>
            <w:tcBorders>
              <w:top w:val="single" w:sz="6" w:space="0" w:color="000000"/>
              <w:left w:val="single" w:sz="6" w:space="0" w:color="000000"/>
              <w:bottom w:val="double" w:sz="6" w:space="0" w:color="000000"/>
              <w:right w:val="double" w:sz="6" w:space="0" w:color="000000"/>
            </w:tcBorders>
            <w:shd w:val="clear" w:color="auto" w:fill="E6E6E6"/>
            <w:tcMar>
              <w:top w:w="0" w:type="dxa"/>
              <w:left w:w="108" w:type="dxa"/>
              <w:bottom w:w="0" w:type="dxa"/>
              <w:right w:w="108" w:type="dxa"/>
            </w:tcMar>
            <w:vAlign w:val="center"/>
          </w:tcPr>
          <w:p w14:paraId="6D8B43D3" w14:textId="77777777" w:rsidR="00BD776B" w:rsidRDefault="00DF0C24">
            <w:pPr>
              <w:jc w:val="center"/>
              <w:rPr>
                <w:rFonts w:ascii="標楷體" w:eastAsia="標楷體" w:hAnsi="標楷體"/>
                <w:sz w:val="20"/>
                <w:szCs w:val="20"/>
              </w:rPr>
            </w:pPr>
            <w:r>
              <w:rPr>
                <w:rFonts w:ascii="標楷體" w:eastAsia="標楷體" w:hAnsi="標楷體"/>
                <w:sz w:val="20"/>
                <w:szCs w:val="20"/>
              </w:rPr>
              <w:t>6</w:t>
            </w:r>
          </w:p>
        </w:tc>
      </w:tr>
    </w:tbl>
    <w:p w14:paraId="68C28E72" w14:textId="77777777" w:rsidR="00BD776B" w:rsidRDefault="00DF0C24">
      <w:pPr>
        <w:rPr>
          <w:rFonts w:ascii="標楷體" w:eastAsia="標楷體" w:hAnsi="標楷體"/>
          <w:sz w:val="20"/>
          <w:szCs w:val="20"/>
        </w:rPr>
      </w:pPr>
      <w:r>
        <w:rPr>
          <w:rFonts w:ascii="標楷體" w:eastAsia="標楷體" w:hAnsi="標楷體"/>
          <w:sz w:val="20"/>
          <w:szCs w:val="20"/>
        </w:rPr>
        <w:t xml:space="preserve">  部位：右手掌(RP)、左手掌(LP)、右足底(RS)、左足底(LS)</w:t>
      </w:r>
    </w:p>
    <w:p w14:paraId="0ADF9777" w14:textId="77777777" w:rsidR="00BD776B" w:rsidRDefault="00DF0C24">
      <w:r>
        <w:rPr>
          <w:rFonts w:ascii="標楷體" w:eastAsia="標楷體" w:hAnsi="標楷體"/>
          <w:b/>
          <w:bCs/>
          <w:sz w:val="20"/>
          <w:szCs w:val="20"/>
        </w:rPr>
        <w:t>2.掌蹠膿皰症</w:t>
      </w:r>
      <w:r>
        <w:rPr>
          <w:rFonts w:ascii="標楷體" w:eastAsia="標楷體" w:hAnsi="標楷體"/>
          <w:b/>
          <w:sz w:val="20"/>
          <w:szCs w:val="20"/>
        </w:rPr>
        <w:t>嚴重度</w:t>
      </w:r>
      <w:r>
        <w:rPr>
          <w:rFonts w:ascii="標楷體" w:eastAsia="標楷體" w:hAnsi="標楷體"/>
          <w:sz w:val="20"/>
          <w:szCs w:val="20"/>
        </w:rPr>
        <w:t>（Severity）：</w:t>
      </w:r>
    </w:p>
    <w:tbl>
      <w:tblPr>
        <w:tblW w:w="0" w:type="dxa"/>
        <w:tblInd w:w="261" w:type="dxa"/>
        <w:tblCellMar>
          <w:left w:w="10" w:type="dxa"/>
          <w:right w:w="10" w:type="dxa"/>
        </w:tblCellMar>
        <w:tblLook w:val="0000" w:firstRow="0" w:lastRow="0" w:firstColumn="0" w:lastColumn="0" w:noHBand="0" w:noVBand="0"/>
      </w:tblPr>
      <w:tblGrid>
        <w:gridCol w:w="1834"/>
        <w:gridCol w:w="1421"/>
        <w:gridCol w:w="1426"/>
        <w:gridCol w:w="1455"/>
        <w:gridCol w:w="1442"/>
        <w:gridCol w:w="1669"/>
      </w:tblGrid>
      <w:tr w:rsidR="00BD776B" w14:paraId="01C64F0E" w14:textId="77777777">
        <w:tc>
          <w:tcPr>
            <w:tcW w:w="1834" w:type="dxa"/>
            <w:tcBorders>
              <w:top w:val="double" w:sz="6" w:space="0" w:color="000000"/>
              <w:left w:val="doub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EC260DC"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嚴重度</w:t>
            </w:r>
          </w:p>
        </w:tc>
        <w:tc>
          <w:tcPr>
            <w:tcW w:w="1421"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20AAD57"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None</w:t>
            </w:r>
          </w:p>
        </w:tc>
        <w:tc>
          <w:tcPr>
            <w:tcW w:w="1426"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EA8BF25"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Slight</w:t>
            </w:r>
          </w:p>
        </w:tc>
        <w:tc>
          <w:tcPr>
            <w:tcW w:w="1455"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AB9AE6F"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Moderate</w:t>
            </w:r>
          </w:p>
        </w:tc>
        <w:tc>
          <w:tcPr>
            <w:tcW w:w="1442" w:type="dxa"/>
            <w:tcBorders>
              <w:top w:val="doub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0659072"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Severe</w:t>
            </w:r>
          </w:p>
        </w:tc>
        <w:tc>
          <w:tcPr>
            <w:tcW w:w="1669" w:type="dxa"/>
            <w:tcBorders>
              <w:top w:val="double" w:sz="6" w:space="0" w:color="000000"/>
              <w:left w:val="single" w:sz="6" w:space="0" w:color="000000"/>
              <w:bottom w:val="single" w:sz="6" w:space="0" w:color="000000"/>
              <w:right w:val="double" w:sz="6" w:space="0" w:color="000000"/>
            </w:tcBorders>
            <w:shd w:val="clear" w:color="auto" w:fill="E6E6E6"/>
            <w:tcMar>
              <w:top w:w="0" w:type="dxa"/>
              <w:left w:w="108" w:type="dxa"/>
              <w:bottom w:w="0" w:type="dxa"/>
              <w:right w:w="108" w:type="dxa"/>
            </w:tcMar>
            <w:vAlign w:val="center"/>
          </w:tcPr>
          <w:p w14:paraId="33634121"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Very Severe</w:t>
            </w:r>
          </w:p>
        </w:tc>
      </w:tr>
      <w:tr w:rsidR="00BD776B" w14:paraId="2D621B88" w14:textId="77777777">
        <w:tc>
          <w:tcPr>
            <w:tcW w:w="1834" w:type="dxa"/>
            <w:tcBorders>
              <w:top w:val="single" w:sz="6" w:space="0" w:color="000000"/>
              <w:left w:val="doub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FD38B2D"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分數</w:t>
            </w:r>
          </w:p>
        </w:tc>
        <w:tc>
          <w:tcPr>
            <w:tcW w:w="1421"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18F14F0"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92338FE"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74E4123"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2</w:t>
            </w:r>
          </w:p>
        </w:tc>
        <w:tc>
          <w:tcPr>
            <w:tcW w:w="1442"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025C5E3"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3</w:t>
            </w:r>
          </w:p>
        </w:tc>
        <w:tc>
          <w:tcPr>
            <w:tcW w:w="1669" w:type="dxa"/>
            <w:tcBorders>
              <w:top w:val="single" w:sz="6" w:space="0" w:color="000000"/>
              <w:left w:val="single" w:sz="6" w:space="0" w:color="000000"/>
              <w:bottom w:val="single" w:sz="6" w:space="0" w:color="000000"/>
              <w:right w:val="double" w:sz="6" w:space="0" w:color="000000"/>
            </w:tcBorders>
            <w:shd w:val="clear" w:color="auto" w:fill="E6E6E6"/>
            <w:tcMar>
              <w:top w:w="0" w:type="dxa"/>
              <w:left w:w="108" w:type="dxa"/>
              <w:bottom w:w="0" w:type="dxa"/>
              <w:right w:w="108" w:type="dxa"/>
            </w:tcMar>
            <w:vAlign w:val="center"/>
          </w:tcPr>
          <w:p w14:paraId="04257E12"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4</w:t>
            </w:r>
          </w:p>
        </w:tc>
      </w:tr>
      <w:tr w:rsidR="00BD776B" w14:paraId="031A6AA8" w14:textId="77777777">
        <w:tc>
          <w:tcPr>
            <w:tcW w:w="1834"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C70394" w14:textId="77777777" w:rsidR="00BD776B" w:rsidRDefault="00DF0C24">
            <w:pPr>
              <w:spacing w:line="320" w:lineRule="exact"/>
              <w:jc w:val="center"/>
            </w:pPr>
            <w:r>
              <w:rPr>
                <w:rFonts w:ascii="標楷體" w:eastAsia="標楷體" w:hAnsi="標楷體"/>
                <w:sz w:val="20"/>
                <w:szCs w:val="20"/>
              </w:rPr>
              <w:t>發紅（</w:t>
            </w:r>
            <w:r>
              <w:rPr>
                <w:rFonts w:ascii="標楷體" w:eastAsia="標楷體" w:hAnsi="標楷體"/>
                <w:b/>
                <w:bCs/>
                <w:sz w:val="20"/>
                <w:szCs w:val="20"/>
              </w:rPr>
              <w:t>E</w:t>
            </w:r>
            <w:r>
              <w:rPr>
                <w:rFonts w:ascii="標楷體" w:eastAsia="標楷體" w:hAnsi="標楷體"/>
                <w:sz w:val="20"/>
                <w:szCs w:val="20"/>
              </w:rPr>
              <w:t>）</w:t>
            </w: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E11012"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None</w:t>
            </w:r>
          </w:p>
        </w:tc>
        <w:tc>
          <w:tcPr>
            <w:tcW w:w="1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324B13"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Slight pink</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76C4C8"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Pink</w:t>
            </w:r>
          </w:p>
        </w:tc>
        <w:tc>
          <w:tcPr>
            <w:tcW w:w="14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68254B"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Red</w:t>
            </w:r>
          </w:p>
        </w:tc>
        <w:tc>
          <w:tcPr>
            <w:tcW w:w="1669"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vAlign w:val="center"/>
          </w:tcPr>
          <w:p w14:paraId="266B72A8"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Dark red/purpura</w:t>
            </w:r>
          </w:p>
        </w:tc>
      </w:tr>
      <w:tr w:rsidR="00BD776B" w14:paraId="7583E040" w14:textId="77777777">
        <w:tc>
          <w:tcPr>
            <w:tcW w:w="1834"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7A576B" w14:textId="77777777" w:rsidR="00BD776B" w:rsidRDefault="00DF0C24">
            <w:pPr>
              <w:spacing w:line="320" w:lineRule="exact"/>
            </w:pPr>
            <w:r>
              <w:rPr>
                <w:rFonts w:ascii="標楷體" w:eastAsia="標楷體" w:hAnsi="標楷體"/>
                <w:sz w:val="20"/>
                <w:szCs w:val="20"/>
              </w:rPr>
              <w:t>膿皰/小水皰（</w:t>
            </w:r>
            <w:r>
              <w:rPr>
                <w:rFonts w:ascii="標楷體" w:eastAsia="標楷體" w:hAnsi="標楷體"/>
                <w:b/>
                <w:bCs/>
                <w:sz w:val="20"/>
                <w:szCs w:val="20"/>
              </w:rPr>
              <w:t>P</w:t>
            </w:r>
            <w:r>
              <w:rPr>
                <w:rFonts w:ascii="標楷體" w:eastAsia="標楷體" w:hAnsi="標楷體"/>
                <w:sz w:val="20"/>
                <w:szCs w:val="20"/>
              </w:rPr>
              <w:t>）</w:t>
            </w: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B787A0B"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None</w:t>
            </w:r>
          </w:p>
        </w:tc>
        <w:tc>
          <w:tcPr>
            <w:tcW w:w="1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EEBE20"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Slight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0D26E"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Moderate</w:t>
            </w:r>
          </w:p>
        </w:tc>
        <w:tc>
          <w:tcPr>
            <w:tcW w:w="14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9582BA"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Severe</w:t>
            </w:r>
          </w:p>
        </w:tc>
        <w:tc>
          <w:tcPr>
            <w:tcW w:w="1669"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vAlign w:val="center"/>
          </w:tcPr>
          <w:p w14:paraId="59C4FF52"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Very Severe</w:t>
            </w:r>
          </w:p>
        </w:tc>
      </w:tr>
      <w:tr w:rsidR="00BD776B" w14:paraId="087C2B51" w14:textId="77777777">
        <w:tc>
          <w:tcPr>
            <w:tcW w:w="1834" w:type="dxa"/>
            <w:tcBorders>
              <w:top w:val="single" w:sz="6" w:space="0" w:color="000000"/>
              <w:left w:val="doub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5F3EF3EE" w14:textId="77777777" w:rsidR="00BD776B" w:rsidRDefault="00DF0C24">
            <w:pPr>
              <w:spacing w:line="320" w:lineRule="exact"/>
              <w:jc w:val="center"/>
            </w:pPr>
            <w:r>
              <w:rPr>
                <w:rFonts w:ascii="標楷體" w:eastAsia="標楷體" w:hAnsi="標楷體"/>
                <w:sz w:val="20"/>
                <w:szCs w:val="20"/>
              </w:rPr>
              <w:t>脫屑狀況（</w:t>
            </w:r>
            <w:r>
              <w:rPr>
                <w:rFonts w:ascii="標楷體" w:eastAsia="標楷體" w:hAnsi="標楷體"/>
                <w:b/>
                <w:bCs/>
                <w:sz w:val="20"/>
                <w:szCs w:val="20"/>
              </w:rPr>
              <w:t>D</w:t>
            </w:r>
            <w:r>
              <w:rPr>
                <w:rFonts w:ascii="標楷體" w:eastAsia="標楷體" w:hAnsi="標楷體"/>
                <w:sz w:val="20"/>
                <w:szCs w:val="20"/>
              </w:rPr>
              <w:t>）</w:t>
            </w:r>
          </w:p>
        </w:tc>
        <w:tc>
          <w:tcPr>
            <w:tcW w:w="1421"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0D20D4E5"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None</w:t>
            </w:r>
          </w:p>
        </w:tc>
        <w:tc>
          <w:tcPr>
            <w:tcW w:w="1426"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3F940A17"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Fine scale</w:t>
            </w:r>
          </w:p>
        </w:tc>
        <w:tc>
          <w:tcPr>
            <w:tcW w:w="1455"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2D53F756"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Coarse scales with most lesions partially covered by scale</w:t>
            </w:r>
          </w:p>
        </w:tc>
        <w:tc>
          <w:tcPr>
            <w:tcW w:w="1442" w:type="dxa"/>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14:paraId="09447610"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Coarse scales with almost all lesions covered by a rough surface</w:t>
            </w:r>
          </w:p>
        </w:tc>
        <w:tc>
          <w:tcPr>
            <w:tcW w:w="1669" w:type="dxa"/>
            <w:tcBorders>
              <w:top w:val="single" w:sz="6" w:space="0" w:color="000000"/>
              <w:left w:val="single" w:sz="6" w:space="0" w:color="000000"/>
              <w:bottom w:val="double" w:sz="6" w:space="0" w:color="000000"/>
              <w:right w:val="double" w:sz="6" w:space="0" w:color="000000"/>
            </w:tcBorders>
            <w:shd w:val="clear" w:color="auto" w:fill="auto"/>
            <w:tcMar>
              <w:top w:w="0" w:type="dxa"/>
              <w:left w:w="108" w:type="dxa"/>
              <w:bottom w:w="0" w:type="dxa"/>
              <w:right w:w="108" w:type="dxa"/>
            </w:tcMar>
            <w:vAlign w:val="center"/>
          </w:tcPr>
          <w:p w14:paraId="2271F2CB"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Very coarse thick scales covering all lesions, very rough surface</w:t>
            </w:r>
          </w:p>
        </w:tc>
      </w:tr>
    </w:tbl>
    <w:p w14:paraId="1E96868A" w14:textId="77777777" w:rsidR="00BD776B" w:rsidRDefault="00DF0C24" w:rsidP="008A7063">
      <w:pPr>
        <w:pStyle w:val="af"/>
        <w:widowControl/>
        <w:numPr>
          <w:ilvl w:val="0"/>
          <w:numId w:val="103"/>
        </w:numPr>
        <w:suppressAutoHyphens w:val="0"/>
        <w:spacing w:before="100" w:after="142"/>
        <w:ind w:left="765"/>
        <w:textAlignment w:val="auto"/>
      </w:pPr>
      <w:r>
        <w:rPr>
          <w:rFonts w:ascii="標楷體" w:eastAsia="標楷體" w:hAnsi="標楷體"/>
          <w:b/>
          <w:bCs/>
          <w:sz w:val="20"/>
          <w:szCs w:val="20"/>
        </w:rPr>
        <w:t>掌蹠膿皰症面積暨嚴重度指數</w:t>
      </w:r>
      <w:r>
        <w:rPr>
          <w:rFonts w:ascii="標楷體" w:eastAsia="標楷體" w:hAnsi="標楷體" w:cs="Liberation Serif"/>
          <w:b/>
          <w:bCs/>
          <w:sz w:val="20"/>
          <w:szCs w:val="20"/>
        </w:rPr>
        <w:t>(PPPASI)</w:t>
      </w:r>
      <w:r>
        <w:rPr>
          <w:rFonts w:ascii="標楷體" w:eastAsia="標楷體" w:hAnsi="標楷體"/>
          <w:b/>
          <w:bCs/>
          <w:sz w:val="20"/>
          <w:szCs w:val="20"/>
        </w:rPr>
        <w:t>評分表：</w:t>
      </w:r>
    </w:p>
    <w:p w14:paraId="0FB413E2" w14:textId="77777777" w:rsidR="00BD776B" w:rsidRDefault="00DF0C24">
      <w:pPr>
        <w:pStyle w:val="af"/>
        <w:spacing w:before="100" w:after="142"/>
        <w:ind w:left="765"/>
      </w:pPr>
      <w:r>
        <w:rPr>
          <w:rFonts w:ascii="標楷體" w:eastAsia="標楷體" w:hAnsi="標楷體"/>
          <w:b/>
          <w:sz w:val="20"/>
          <w:szCs w:val="20"/>
        </w:rPr>
        <w:t>PPPASI＝0.2*（E</w:t>
      </w:r>
      <w:r>
        <w:rPr>
          <w:rFonts w:ascii="標楷體" w:eastAsia="標楷體" w:hAnsi="標楷體"/>
          <w:b/>
          <w:sz w:val="20"/>
          <w:szCs w:val="20"/>
          <w:vertAlign w:val="subscript"/>
        </w:rPr>
        <w:t>RP</w:t>
      </w:r>
      <w:r>
        <w:rPr>
          <w:rFonts w:ascii="標楷體" w:eastAsia="標楷體" w:hAnsi="標楷體"/>
          <w:b/>
          <w:sz w:val="20"/>
          <w:szCs w:val="20"/>
        </w:rPr>
        <w:t>＋P</w:t>
      </w:r>
      <w:r>
        <w:rPr>
          <w:rFonts w:ascii="標楷體" w:eastAsia="標楷體" w:hAnsi="標楷體"/>
          <w:b/>
          <w:sz w:val="20"/>
          <w:szCs w:val="20"/>
          <w:vertAlign w:val="subscript"/>
        </w:rPr>
        <w:t>RP</w:t>
      </w:r>
      <w:r>
        <w:rPr>
          <w:rFonts w:ascii="標楷體" w:eastAsia="標楷體" w:hAnsi="標楷體"/>
          <w:b/>
          <w:sz w:val="20"/>
          <w:szCs w:val="20"/>
        </w:rPr>
        <w:t>＋D</w:t>
      </w:r>
      <w:r>
        <w:rPr>
          <w:rFonts w:ascii="標楷體" w:eastAsia="標楷體" w:hAnsi="標楷體"/>
          <w:b/>
          <w:sz w:val="20"/>
          <w:szCs w:val="20"/>
          <w:vertAlign w:val="subscript"/>
        </w:rPr>
        <w:t>RP</w:t>
      </w:r>
      <w:r>
        <w:rPr>
          <w:rFonts w:ascii="標楷體" w:eastAsia="標楷體" w:hAnsi="標楷體"/>
          <w:b/>
          <w:sz w:val="20"/>
          <w:szCs w:val="20"/>
        </w:rPr>
        <w:t>）*A</w:t>
      </w:r>
      <w:r>
        <w:rPr>
          <w:rFonts w:ascii="標楷體" w:eastAsia="標楷體" w:hAnsi="標楷體"/>
          <w:b/>
          <w:sz w:val="20"/>
          <w:szCs w:val="20"/>
          <w:vertAlign w:val="subscript"/>
        </w:rPr>
        <w:t>RP</w:t>
      </w:r>
      <w:r>
        <w:rPr>
          <w:rFonts w:ascii="標楷體" w:eastAsia="標楷體" w:hAnsi="標楷體"/>
          <w:b/>
          <w:sz w:val="20"/>
          <w:szCs w:val="20"/>
        </w:rPr>
        <w:t>＋0.2*（E</w:t>
      </w:r>
      <w:r>
        <w:rPr>
          <w:rFonts w:ascii="標楷體" w:eastAsia="標楷體" w:hAnsi="標楷體"/>
          <w:b/>
          <w:sz w:val="20"/>
          <w:szCs w:val="20"/>
          <w:vertAlign w:val="subscript"/>
        </w:rPr>
        <w:t>LP</w:t>
      </w:r>
      <w:r>
        <w:rPr>
          <w:rFonts w:ascii="標楷體" w:eastAsia="標楷體" w:hAnsi="標楷體"/>
          <w:b/>
          <w:sz w:val="20"/>
          <w:szCs w:val="20"/>
        </w:rPr>
        <w:t>＋P</w:t>
      </w:r>
      <w:r>
        <w:rPr>
          <w:rFonts w:ascii="標楷體" w:eastAsia="標楷體" w:hAnsi="標楷體"/>
          <w:b/>
          <w:sz w:val="20"/>
          <w:szCs w:val="20"/>
          <w:vertAlign w:val="subscript"/>
        </w:rPr>
        <w:t>LP</w:t>
      </w:r>
      <w:r>
        <w:rPr>
          <w:rFonts w:ascii="標楷體" w:eastAsia="標楷體" w:hAnsi="標楷體"/>
          <w:b/>
          <w:sz w:val="20"/>
          <w:szCs w:val="20"/>
        </w:rPr>
        <w:t>＋D</w:t>
      </w:r>
      <w:r>
        <w:rPr>
          <w:rFonts w:ascii="標楷體" w:eastAsia="標楷體" w:hAnsi="標楷體"/>
          <w:b/>
          <w:sz w:val="20"/>
          <w:szCs w:val="20"/>
          <w:vertAlign w:val="subscript"/>
        </w:rPr>
        <w:t>LP</w:t>
      </w:r>
      <w:r>
        <w:rPr>
          <w:rFonts w:ascii="標楷體" w:eastAsia="標楷體" w:hAnsi="標楷體"/>
          <w:b/>
          <w:sz w:val="20"/>
          <w:szCs w:val="20"/>
        </w:rPr>
        <w:t>）*A</w:t>
      </w:r>
      <w:r>
        <w:rPr>
          <w:rFonts w:ascii="標楷體" w:eastAsia="標楷體" w:hAnsi="標楷體"/>
          <w:b/>
          <w:sz w:val="20"/>
          <w:szCs w:val="20"/>
          <w:vertAlign w:val="subscript"/>
        </w:rPr>
        <w:t>LP</w:t>
      </w:r>
      <w:r>
        <w:rPr>
          <w:rFonts w:ascii="標楷體" w:eastAsia="標楷體" w:hAnsi="標楷體"/>
          <w:b/>
          <w:sz w:val="20"/>
          <w:szCs w:val="20"/>
        </w:rPr>
        <w:t xml:space="preserve"> + 0.3*（E</w:t>
      </w:r>
      <w:r>
        <w:rPr>
          <w:rFonts w:ascii="標楷體" w:eastAsia="標楷體" w:hAnsi="標楷體"/>
          <w:b/>
          <w:sz w:val="20"/>
          <w:szCs w:val="20"/>
          <w:vertAlign w:val="subscript"/>
        </w:rPr>
        <w:t>RS</w:t>
      </w:r>
      <w:r>
        <w:rPr>
          <w:rFonts w:ascii="標楷體" w:eastAsia="標楷體" w:hAnsi="標楷體"/>
          <w:b/>
          <w:sz w:val="20"/>
          <w:szCs w:val="20"/>
        </w:rPr>
        <w:t>＋P</w:t>
      </w:r>
      <w:r>
        <w:rPr>
          <w:rFonts w:ascii="標楷體" w:eastAsia="標楷體" w:hAnsi="標楷體"/>
          <w:b/>
          <w:sz w:val="20"/>
          <w:szCs w:val="20"/>
          <w:vertAlign w:val="subscript"/>
        </w:rPr>
        <w:t>RS</w:t>
      </w:r>
      <w:r>
        <w:rPr>
          <w:rFonts w:ascii="標楷體" w:eastAsia="標楷體" w:hAnsi="標楷體"/>
          <w:b/>
          <w:sz w:val="20"/>
          <w:szCs w:val="20"/>
        </w:rPr>
        <w:t>＋D</w:t>
      </w:r>
      <w:r>
        <w:rPr>
          <w:rFonts w:ascii="標楷體" w:eastAsia="標楷體" w:hAnsi="標楷體"/>
          <w:b/>
          <w:sz w:val="20"/>
          <w:szCs w:val="20"/>
          <w:vertAlign w:val="subscript"/>
        </w:rPr>
        <w:t>RS</w:t>
      </w:r>
      <w:r>
        <w:rPr>
          <w:rFonts w:ascii="標楷體" w:eastAsia="標楷體" w:hAnsi="標楷體"/>
          <w:b/>
          <w:sz w:val="20"/>
          <w:szCs w:val="20"/>
        </w:rPr>
        <w:t>）*A</w:t>
      </w:r>
      <w:r>
        <w:rPr>
          <w:rFonts w:ascii="標楷體" w:eastAsia="標楷體" w:hAnsi="標楷體"/>
          <w:b/>
          <w:sz w:val="20"/>
          <w:szCs w:val="20"/>
          <w:vertAlign w:val="subscript"/>
        </w:rPr>
        <w:t>RS</w:t>
      </w:r>
      <w:r>
        <w:rPr>
          <w:rFonts w:ascii="標楷體" w:eastAsia="標楷體" w:hAnsi="標楷體"/>
          <w:b/>
          <w:sz w:val="20"/>
          <w:szCs w:val="20"/>
        </w:rPr>
        <w:t xml:space="preserve"> + 0.3*（E</w:t>
      </w:r>
      <w:r>
        <w:rPr>
          <w:rFonts w:ascii="標楷體" w:eastAsia="標楷體" w:hAnsi="標楷體"/>
          <w:b/>
          <w:sz w:val="20"/>
          <w:szCs w:val="20"/>
          <w:vertAlign w:val="subscript"/>
        </w:rPr>
        <w:t>LS</w:t>
      </w:r>
      <w:r>
        <w:rPr>
          <w:rFonts w:ascii="標楷體" w:eastAsia="標楷體" w:hAnsi="標楷體"/>
          <w:b/>
          <w:sz w:val="20"/>
          <w:szCs w:val="20"/>
        </w:rPr>
        <w:t>＋P</w:t>
      </w:r>
      <w:r>
        <w:rPr>
          <w:rFonts w:ascii="標楷體" w:eastAsia="標楷體" w:hAnsi="標楷體"/>
          <w:b/>
          <w:sz w:val="20"/>
          <w:szCs w:val="20"/>
          <w:vertAlign w:val="subscript"/>
        </w:rPr>
        <w:t>LS</w:t>
      </w:r>
      <w:r>
        <w:rPr>
          <w:rFonts w:ascii="標楷體" w:eastAsia="標楷體" w:hAnsi="標楷體"/>
          <w:b/>
          <w:sz w:val="20"/>
          <w:szCs w:val="20"/>
        </w:rPr>
        <w:t>＋D</w:t>
      </w:r>
      <w:r>
        <w:rPr>
          <w:rFonts w:ascii="標楷體" w:eastAsia="標楷體" w:hAnsi="標楷體"/>
          <w:b/>
          <w:sz w:val="20"/>
          <w:szCs w:val="20"/>
          <w:vertAlign w:val="subscript"/>
        </w:rPr>
        <w:t>LS</w:t>
      </w:r>
      <w:r>
        <w:rPr>
          <w:rFonts w:ascii="標楷體" w:eastAsia="標楷體" w:hAnsi="標楷體"/>
          <w:b/>
          <w:sz w:val="20"/>
          <w:szCs w:val="20"/>
        </w:rPr>
        <w:t>）*A</w:t>
      </w:r>
      <w:r>
        <w:rPr>
          <w:rFonts w:ascii="標楷體" w:eastAsia="標楷體" w:hAnsi="標楷體"/>
          <w:b/>
          <w:sz w:val="20"/>
          <w:szCs w:val="20"/>
          <w:vertAlign w:val="subscript"/>
        </w:rPr>
        <w:t>LS</w:t>
      </w:r>
      <w:r>
        <w:rPr>
          <w:rFonts w:ascii="標楷體" w:eastAsia="標楷體" w:hAnsi="標楷體"/>
          <w:b/>
          <w:sz w:val="20"/>
          <w:szCs w:val="20"/>
        </w:rPr>
        <w:t>＝________</w:t>
      </w:r>
    </w:p>
    <w:tbl>
      <w:tblPr>
        <w:tblW w:w="9369" w:type="dxa"/>
        <w:jc w:val="center"/>
        <w:tblLayout w:type="fixed"/>
        <w:tblCellMar>
          <w:left w:w="10" w:type="dxa"/>
          <w:right w:w="10" w:type="dxa"/>
        </w:tblCellMar>
        <w:tblLook w:val="0000" w:firstRow="0" w:lastRow="0" w:firstColumn="0" w:lastColumn="0" w:noHBand="0" w:noVBand="0"/>
      </w:tblPr>
      <w:tblGrid>
        <w:gridCol w:w="1485"/>
        <w:gridCol w:w="1134"/>
        <w:gridCol w:w="1340"/>
        <w:gridCol w:w="1560"/>
        <w:gridCol w:w="1466"/>
        <w:gridCol w:w="1275"/>
        <w:gridCol w:w="1109"/>
      </w:tblGrid>
      <w:tr w:rsidR="00BD776B" w14:paraId="53DA8A7D" w14:textId="77777777">
        <w:trPr>
          <w:jc w:val="center"/>
        </w:trPr>
        <w:tc>
          <w:tcPr>
            <w:tcW w:w="148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A6B7DFA" w14:textId="77777777" w:rsidR="00BD776B" w:rsidRDefault="00DF0C24">
            <w:pPr>
              <w:widowControl/>
              <w:spacing w:line="240" w:lineRule="exact"/>
              <w:jc w:val="center"/>
            </w:pPr>
            <w:r>
              <w:rPr>
                <w:rFonts w:ascii="標楷體" w:eastAsia="標楷體" w:hAnsi="標楷體" w:cs="新細明體"/>
                <w:kern w:val="0"/>
                <w:sz w:val="20"/>
                <w:szCs w:val="20"/>
              </w:rPr>
              <w:t>身體部位</w:t>
            </w:r>
          </w:p>
        </w:tc>
        <w:tc>
          <w:tcPr>
            <w:tcW w:w="1134"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58CC8E20" w14:textId="77777777" w:rsidR="00BD776B" w:rsidRDefault="00DF0C24">
            <w:pPr>
              <w:widowControl/>
              <w:spacing w:line="240" w:lineRule="exact"/>
              <w:jc w:val="center"/>
            </w:pPr>
            <w:r>
              <w:rPr>
                <w:rFonts w:ascii="標楷體" w:eastAsia="標楷體" w:hAnsi="標楷體" w:cs="新細明體"/>
                <w:kern w:val="0"/>
                <w:sz w:val="20"/>
                <w:szCs w:val="20"/>
              </w:rPr>
              <w:t>Erythema</w:t>
            </w:r>
          </w:p>
          <w:p w14:paraId="3A754535" w14:textId="77777777" w:rsidR="00BD776B" w:rsidRDefault="00DF0C24">
            <w:pPr>
              <w:widowControl/>
              <w:spacing w:line="240" w:lineRule="exact"/>
              <w:jc w:val="center"/>
            </w:pPr>
            <w:r>
              <w:rPr>
                <w:rFonts w:ascii="標楷體" w:eastAsia="標楷體" w:hAnsi="標楷體" w:cs="新細明體"/>
                <w:kern w:val="0"/>
                <w:sz w:val="20"/>
                <w:szCs w:val="20"/>
              </w:rPr>
              <w:t>發紅</w:t>
            </w:r>
          </w:p>
          <w:p w14:paraId="3FECC517" w14:textId="77777777" w:rsidR="00BD776B" w:rsidRDefault="00DF0C24">
            <w:pPr>
              <w:widowControl/>
              <w:spacing w:line="240" w:lineRule="exact"/>
              <w:jc w:val="center"/>
            </w:pPr>
            <w:r>
              <w:rPr>
                <w:rFonts w:ascii="標楷體" w:eastAsia="標楷體" w:hAnsi="標楷體" w:cs="新細明體"/>
                <w:b/>
                <w:bCs/>
                <w:kern w:val="0"/>
                <w:sz w:val="20"/>
                <w:szCs w:val="20"/>
              </w:rPr>
              <w:t>(0-4)</w:t>
            </w:r>
          </w:p>
        </w:tc>
        <w:tc>
          <w:tcPr>
            <w:tcW w:w="1340"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7951DE17" w14:textId="77777777" w:rsidR="00BD776B" w:rsidRDefault="00DF0C24">
            <w:pPr>
              <w:widowControl/>
              <w:spacing w:line="240" w:lineRule="exact"/>
              <w:jc w:val="center"/>
            </w:pPr>
            <w:r>
              <w:rPr>
                <w:rFonts w:ascii="標楷體" w:eastAsia="標楷體" w:hAnsi="標楷體" w:cs="新細明體"/>
                <w:kern w:val="0"/>
                <w:sz w:val="20"/>
                <w:szCs w:val="20"/>
              </w:rPr>
              <w:t>Pustules</w:t>
            </w:r>
          </w:p>
          <w:p w14:paraId="54C21748" w14:textId="77777777" w:rsidR="00BD776B" w:rsidRDefault="00DF0C24">
            <w:pPr>
              <w:widowControl/>
              <w:spacing w:line="240" w:lineRule="exact"/>
              <w:jc w:val="center"/>
            </w:pPr>
            <w:r>
              <w:rPr>
                <w:rFonts w:ascii="標楷體" w:eastAsia="標楷體" w:hAnsi="標楷體"/>
                <w:sz w:val="20"/>
                <w:szCs w:val="20"/>
              </w:rPr>
              <w:t>膿皰/小水皰</w:t>
            </w:r>
            <w:r>
              <w:rPr>
                <w:rFonts w:ascii="標楷體" w:eastAsia="標楷體" w:hAnsi="標楷體" w:cs="新細明體"/>
                <w:b/>
                <w:bCs/>
                <w:kern w:val="0"/>
                <w:sz w:val="20"/>
                <w:szCs w:val="20"/>
              </w:rPr>
              <w:t>(0-4)</w:t>
            </w:r>
          </w:p>
        </w:tc>
        <w:tc>
          <w:tcPr>
            <w:tcW w:w="1560"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350419F8" w14:textId="77777777" w:rsidR="00BD776B" w:rsidRDefault="00DF0C24">
            <w:pPr>
              <w:widowControl/>
              <w:spacing w:line="240" w:lineRule="exact"/>
              <w:jc w:val="center"/>
            </w:pPr>
            <w:r>
              <w:rPr>
                <w:rFonts w:ascii="標楷體" w:eastAsia="標楷體" w:hAnsi="標楷體" w:cs="新細明體"/>
                <w:kern w:val="0"/>
                <w:sz w:val="20"/>
                <w:szCs w:val="20"/>
              </w:rPr>
              <w:t>Desquamation</w:t>
            </w:r>
          </w:p>
          <w:p w14:paraId="79651FC0" w14:textId="77777777" w:rsidR="00BD776B" w:rsidRDefault="00DF0C24">
            <w:pPr>
              <w:widowControl/>
              <w:spacing w:line="240" w:lineRule="exact"/>
              <w:jc w:val="center"/>
            </w:pPr>
            <w:r>
              <w:rPr>
                <w:rFonts w:ascii="標楷體" w:eastAsia="標楷體" w:hAnsi="標楷體"/>
                <w:sz w:val="20"/>
                <w:szCs w:val="20"/>
              </w:rPr>
              <w:t>脫屑狀況</w:t>
            </w:r>
            <w:r>
              <w:rPr>
                <w:rFonts w:ascii="標楷體" w:eastAsia="標楷體" w:hAnsi="標楷體" w:cs="新細明體"/>
                <w:b/>
                <w:bCs/>
                <w:kern w:val="0"/>
                <w:sz w:val="20"/>
                <w:szCs w:val="20"/>
              </w:rPr>
              <w:t>(0-4)</w:t>
            </w:r>
          </w:p>
        </w:tc>
        <w:tc>
          <w:tcPr>
            <w:tcW w:w="1466"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377FEEBA" w14:textId="77777777" w:rsidR="00BD776B" w:rsidRDefault="00DF0C24">
            <w:pPr>
              <w:widowControl/>
              <w:spacing w:line="240" w:lineRule="exact"/>
              <w:jc w:val="center"/>
            </w:pPr>
            <w:r>
              <w:rPr>
                <w:rFonts w:ascii="標楷體" w:eastAsia="標楷體" w:hAnsi="標楷體" w:cs="新細明體"/>
                <w:kern w:val="0"/>
                <w:sz w:val="20"/>
                <w:szCs w:val="20"/>
              </w:rPr>
              <w:t>Region involved</w:t>
            </w:r>
          </w:p>
          <w:p w14:paraId="41F637A7" w14:textId="77777777" w:rsidR="00BD776B" w:rsidRDefault="00DF0C24">
            <w:pPr>
              <w:widowControl/>
              <w:spacing w:line="240" w:lineRule="exact"/>
              <w:jc w:val="center"/>
            </w:pPr>
            <w:r>
              <w:rPr>
                <w:rFonts w:ascii="標楷體" w:eastAsia="標楷體" w:hAnsi="標楷體" w:cs="新細明體"/>
                <w:kern w:val="0"/>
                <w:sz w:val="20"/>
                <w:szCs w:val="20"/>
              </w:rPr>
              <w:t>面積分數</w:t>
            </w:r>
          </w:p>
          <w:p w14:paraId="1DC1D298" w14:textId="77777777" w:rsidR="00BD776B" w:rsidRDefault="00DF0C24">
            <w:pPr>
              <w:widowControl/>
              <w:spacing w:line="240" w:lineRule="exact"/>
              <w:jc w:val="center"/>
            </w:pPr>
            <w:r>
              <w:rPr>
                <w:rFonts w:ascii="標楷體" w:eastAsia="標楷體" w:hAnsi="標楷體" w:cs="新細明體"/>
                <w:b/>
                <w:bCs/>
                <w:kern w:val="0"/>
                <w:sz w:val="20"/>
                <w:szCs w:val="20"/>
              </w:rPr>
              <w:t>(0-6)</w:t>
            </w:r>
          </w:p>
        </w:tc>
        <w:tc>
          <w:tcPr>
            <w:tcW w:w="1275"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2FB8CB4A" w14:textId="77777777" w:rsidR="00BD776B" w:rsidRDefault="00DF0C24">
            <w:pPr>
              <w:widowControl/>
              <w:spacing w:line="240" w:lineRule="exact"/>
              <w:jc w:val="center"/>
            </w:pPr>
            <w:r>
              <w:rPr>
                <w:rFonts w:ascii="標楷體" w:eastAsia="標楷體" w:hAnsi="標楷體" w:cs="新細明體"/>
                <w:kern w:val="0"/>
                <w:sz w:val="20"/>
                <w:szCs w:val="20"/>
              </w:rPr>
              <w:t>Multiplier</w:t>
            </w:r>
          </w:p>
          <w:p w14:paraId="5F5BA6F4" w14:textId="77777777" w:rsidR="00BD776B" w:rsidRDefault="00BD776B">
            <w:pPr>
              <w:widowControl/>
              <w:spacing w:line="240" w:lineRule="exact"/>
              <w:jc w:val="center"/>
              <w:rPr>
                <w:rFonts w:ascii="標楷體" w:eastAsia="標楷體" w:hAnsi="標楷體" w:cs="新細明體"/>
                <w:kern w:val="0"/>
                <w:sz w:val="20"/>
                <w:szCs w:val="20"/>
              </w:rPr>
            </w:pPr>
          </w:p>
          <w:p w14:paraId="5A20CD02" w14:textId="77777777" w:rsidR="00BD776B" w:rsidRDefault="00DF0C24">
            <w:pPr>
              <w:widowControl/>
              <w:spacing w:line="240" w:lineRule="exact"/>
              <w:jc w:val="center"/>
            </w:pPr>
            <w:r>
              <w:rPr>
                <w:rFonts w:ascii="標楷體" w:eastAsia="標楷體" w:hAnsi="標楷體" w:cs="新細明體"/>
                <w:kern w:val="0"/>
                <w:sz w:val="20"/>
                <w:szCs w:val="20"/>
              </w:rPr>
              <w:t>乘數</w:t>
            </w:r>
          </w:p>
        </w:tc>
        <w:tc>
          <w:tcPr>
            <w:tcW w:w="1109"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3765B4EC" w14:textId="77777777" w:rsidR="00BD776B" w:rsidRDefault="00DF0C24">
            <w:pPr>
              <w:widowControl/>
              <w:spacing w:line="240" w:lineRule="exact"/>
              <w:jc w:val="center"/>
            </w:pPr>
            <w:r>
              <w:rPr>
                <w:rFonts w:ascii="標楷體" w:eastAsia="標楷體" w:hAnsi="標楷體" w:cs="新細明體"/>
                <w:kern w:val="0"/>
                <w:sz w:val="20"/>
                <w:szCs w:val="20"/>
              </w:rPr>
              <w:t>身體部位分數</w:t>
            </w:r>
          </w:p>
        </w:tc>
      </w:tr>
      <w:tr w:rsidR="00BD776B" w14:paraId="47A3E0A8" w14:textId="77777777">
        <w:trPr>
          <w:jc w:val="center"/>
        </w:trPr>
        <w:tc>
          <w:tcPr>
            <w:tcW w:w="1485"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01FFC591"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Right palm右手掌</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4C4AEB38" w14:textId="77777777" w:rsidR="00BD776B" w:rsidRDefault="00DF0C24">
            <w:pPr>
              <w:widowControl/>
              <w:spacing w:before="100" w:line="240" w:lineRule="exact"/>
            </w:pPr>
            <w:r>
              <w:rPr>
                <w:rFonts w:ascii="標楷體" w:eastAsia="標楷體" w:hAnsi="標楷體" w:cs="新細明體"/>
                <w:kern w:val="0"/>
                <w:sz w:val="20"/>
                <w:szCs w:val="20"/>
              </w:rPr>
              <w:t>(     +</w:t>
            </w:r>
          </w:p>
        </w:tc>
        <w:tc>
          <w:tcPr>
            <w:tcW w:w="1340" w:type="dxa"/>
            <w:tcBorders>
              <w:bottom w:val="single" w:sz="8" w:space="0" w:color="000000"/>
              <w:right w:val="single" w:sz="8" w:space="0" w:color="000000"/>
            </w:tcBorders>
            <w:shd w:val="clear" w:color="auto" w:fill="auto"/>
            <w:tcMar>
              <w:top w:w="0" w:type="dxa"/>
              <w:left w:w="0" w:type="dxa"/>
              <w:bottom w:w="28" w:type="dxa"/>
              <w:right w:w="28" w:type="dxa"/>
            </w:tcMar>
          </w:tcPr>
          <w:p w14:paraId="712EAF3D"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560" w:type="dxa"/>
            <w:tcBorders>
              <w:bottom w:val="single" w:sz="8" w:space="0" w:color="000000"/>
              <w:right w:val="single" w:sz="8" w:space="0" w:color="000000"/>
            </w:tcBorders>
            <w:shd w:val="clear" w:color="auto" w:fill="auto"/>
            <w:tcMar>
              <w:top w:w="0" w:type="dxa"/>
              <w:left w:w="0" w:type="dxa"/>
              <w:bottom w:w="28" w:type="dxa"/>
              <w:right w:w="28" w:type="dxa"/>
            </w:tcMar>
          </w:tcPr>
          <w:p w14:paraId="2705BD95"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466" w:type="dxa"/>
            <w:tcBorders>
              <w:bottom w:val="single" w:sz="8" w:space="0" w:color="000000"/>
              <w:right w:val="single" w:sz="8" w:space="0" w:color="000000"/>
            </w:tcBorders>
            <w:shd w:val="clear" w:color="auto" w:fill="auto"/>
            <w:tcMar>
              <w:top w:w="0" w:type="dxa"/>
              <w:left w:w="0" w:type="dxa"/>
              <w:bottom w:w="28" w:type="dxa"/>
              <w:right w:w="28" w:type="dxa"/>
            </w:tcMar>
          </w:tcPr>
          <w:p w14:paraId="2246D1E0" w14:textId="77777777" w:rsidR="00BD776B" w:rsidRDefault="00DF0C24">
            <w:pPr>
              <w:widowControl/>
              <w:spacing w:before="100" w:line="240" w:lineRule="exact"/>
            </w:pPr>
            <w:r>
              <w:rPr>
                <w:rFonts w:ascii="標楷體" w:eastAsia="標楷體" w:hAnsi="標楷體" w:cs="新細明體"/>
                <w:kern w:val="0"/>
                <w:sz w:val="20"/>
                <w:szCs w:val="20"/>
              </w:rPr>
              <w:t>×</w:t>
            </w:r>
          </w:p>
        </w:tc>
        <w:tc>
          <w:tcPr>
            <w:tcW w:w="1275" w:type="dxa"/>
            <w:tcBorders>
              <w:bottom w:val="single" w:sz="8" w:space="0" w:color="000000"/>
              <w:right w:val="single" w:sz="8" w:space="0" w:color="000000"/>
            </w:tcBorders>
            <w:shd w:val="clear" w:color="auto" w:fill="auto"/>
            <w:tcMar>
              <w:top w:w="0" w:type="dxa"/>
              <w:left w:w="0" w:type="dxa"/>
              <w:bottom w:w="28" w:type="dxa"/>
              <w:right w:w="28" w:type="dxa"/>
            </w:tcMar>
          </w:tcPr>
          <w:p w14:paraId="11EE4290" w14:textId="77777777" w:rsidR="00BD776B" w:rsidRDefault="00DF0C24">
            <w:pPr>
              <w:widowControl/>
              <w:spacing w:before="100" w:line="240" w:lineRule="exact"/>
              <w:jc w:val="center"/>
            </w:pPr>
            <w:r>
              <w:rPr>
                <w:rFonts w:ascii="標楷體" w:eastAsia="標楷體" w:hAnsi="標楷體" w:cs="新細明體"/>
                <w:b/>
                <w:bCs/>
                <w:kern w:val="0"/>
                <w:sz w:val="20"/>
                <w:szCs w:val="20"/>
              </w:rPr>
              <w:t>× 0.2</w:t>
            </w:r>
          </w:p>
        </w:tc>
        <w:tc>
          <w:tcPr>
            <w:tcW w:w="1109" w:type="dxa"/>
            <w:tcBorders>
              <w:bottom w:val="single" w:sz="8" w:space="0" w:color="000000"/>
              <w:right w:val="single" w:sz="8" w:space="0" w:color="000000"/>
            </w:tcBorders>
            <w:shd w:val="clear" w:color="auto" w:fill="auto"/>
            <w:tcMar>
              <w:top w:w="0" w:type="dxa"/>
              <w:left w:w="0" w:type="dxa"/>
              <w:bottom w:w="28" w:type="dxa"/>
              <w:right w:w="28" w:type="dxa"/>
            </w:tcMar>
          </w:tcPr>
          <w:p w14:paraId="7C7C4D06" w14:textId="77777777" w:rsidR="00BD776B" w:rsidRDefault="00DF0C24">
            <w:pPr>
              <w:widowControl/>
              <w:spacing w:before="100" w:line="240" w:lineRule="exact"/>
              <w:rPr>
                <w:rFonts w:ascii="標楷體" w:eastAsia="標楷體" w:hAnsi="標楷體" w:cs="新細明體"/>
                <w:kern w:val="0"/>
                <w:sz w:val="20"/>
                <w:szCs w:val="20"/>
              </w:rPr>
            </w:pPr>
            <w:r>
              <w:rPr>
                <w:rFonts w:ascii="標楷體" w:eastAsia="標楷體" w:hAnsi="標楷體" w:cs="新細明體"/>
                <w:kern w:val="0"/>
                <w:sz w:val="20"/>
                <w:szCs w:val="20"/>
              </w:rPr>
              <w:t> </w:t>
            </w:r>
          </w:p>
        </w:tc>
      </w:tr>
      <w:tr w:rsidR="00BD776B" w14:paraId="0AA2EED4" w14:textId="77777777">
        <w:trPr>
          <w:jc w:val="center"/>
        </w:trPr>
        <w:tc>
          <w:tcPr>
            <w:tcW w:w="1485"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74EE6212"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Left palm</w:t>
            </w:r>
          </w:p>
          <w:p w14:paraId="783552F5"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左手掌</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30BC7C1D" w14:textId="77777777" w:rsidR="00BD776B" w:rsidRDefault="00DF0C24">
            <w:pPr>
              <w:widowControl/>
              <w:spacing w:before="100" w:line="240" w:lineRule="exact"/>
            </w:pPr>
            <w:r>
              <w:rPr>
                <w:rFonts w:ascii="標楷體" w:eastAsia="標楷體" w:hAnsi="標楷體" w:cs="新細明體"/>
                <w:kern w:val="0"/>
                <w:sz w:val="20"/>
                <w:szCs w:val="20"/>
              </w:rPr>
              <w:t>(     +</w:t>
            </w:r>
          </w:p>
        </w:tc>
        <w:tc>
          <w:tcPr>
            <w:tcW w:w="1340" w:type="dxa"/>
            <w:tcBorders>
              <w:bottom w:val="single" w:sz="8" w:space="0" w:color="000000"/>
              <w:right w:val="single" w:sz="8" w:space="0" w:color="000000"/>
            </w:tcBorders>
            <w:shd w:val="clear" w:color="auto" w:fill="auto"/>
            <w:tcMar>
              <w:top w:w="0" w:type="dxa"/>
              <w:left w:w="0" w:type="dxa"/>
              <w:bottom w:w="28" w:type="dxa"/>
              <w:right w:w="28" w:type="dxa"/>
            </w:tcMar>
          </w:tcPr>
          <w:p w14:paraId="49F228CB"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560" w:type="dxa"/>
            <w:tcBorders>
              <w:bottom w:val="single" w:sz="8" w:space="0" w:color="000000"/>
              <w:right w:val="single" w:sz="8" w:space="0" w:color="000000"/>
            </w:tcBorders>
            <w:shd w:val="clear" w:color="auto" w:fill="auto"/>
            <w:tcMar>
              <w:top w:w="0" w:type="dxa"/>
              <w:left w:w="0" w:type="dxa"/>
              <w:bottom w:w="28" w:type="dxa"/>
              <w:right w:w="28" w:type="dxa"/>
            </w:tcMar>
          </w:tcPr>
          <w:p w14:paraId="6A13DFCA"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466" w:type="dxa"/>
            <w:tcBorders>
              <w:bottom w:val="single" w:sz="8" w:space="0" w:color="000000"/>
              <w:right w:val="single" w:sz="8" w:space="0" w:color="000000"/>
            </w:tcBorders>
            <w:shd w:val="clear" w:color="auto" w:fill="auto"/>
            <w:tcMar>
              <w:top w:w="0" w:type="dxa"/>
              <w:left w:w="0" w:type="dxa"/>
              <w:bottom w:w="28" w:type="dxa"/>
              <w:right w:w="28" w:type="dxa"/>
            </w:tcMar>
          </w:tcPr>
          <w:p w14:paraId="177D45BE" w14:textId="77777777" w:rsidR="00BD776B" w:rsidRDefault="00DF0C24">
            <w:pPr>
              <w:widowControl/>
              <w:spacing w:before="100" w:line="240" w:lineRule="exact"/>
            </w:pPr>
            <w:r>
              <w:rPr>
                <w:rFonts w:ascii="標楷體" w:eastAsia="標楷體" w:hAnsi="標楷體" w:cs="新細明體"/>
                <w:kern w:val="0"/>
                <w:sz w:val="20"/>
                <w:szCs w:val="20"/>
              </w:rPr>
              <w:t>×</w:t>
            </w:r>
          </w:p>
        </w:tc>
        <w:tc>
          <w:tcPr>
            <w:tcW w:w="1275" w:type="dxa"/>
            <w:tcBorders>
              <w:bottom w:val="single" w:sz="8" w:space="0" w:color="000000"/>
              <w:right w:val="single" w:sz="8" w:space="0" w:color="000000"/>
            </w:tcBorders>
            <w:shd w:val="clear" w:color="auto" w:fill="auto"/>
            <w:tcMar>
              <w:top w:w="0" w:type="dxa"/>
              <w:left w:w="0" w:type="dxa"/>
              <w:bottom w:w="28" w:type="dxa"/>
              <w:right w:w="28" w:type="dxa"/>
            </w:tcMar>
          </w:tcPr>
          <w:p w14:paraId="3BE93914" w14:textId="77777777" w:rsidR="00BD776B" w:rsidRDefault="00DF0C24">
            <w:pPr>
              <w:widowControl/>
              <w:spacing w:before="100" w:line="240" w:lineRule="exact"/>
              <w:jc w:val="center"/>
            </w:pPr>
            <w:r>
              <w:rPr>
                <w:rFonts w:ascii="標楷體" w:eastAsia="標楷體" w:hAnsi="標楷體" w:cs="新細明體"/>
                <w:b/>
                <w:bCs/>
                <w:kern w:val="0"/>
                <w:sz w:val="20"/>
                <w:szCs w:val="20"/>
              </w:rPr>
              <w:t>× 0.2</w:t>
            </w:r>
          </w:p>
        </w:tc>
        <w:tc>
          <w:tcPr>
            <w:tcW w:w="1109" w:type="dxa"/>
            <w:tcBorders>
              <w:bottom w:val="single" w:sz="8" w:space="0" w:color="000000"/>
              <w:right w:val="single" w:sz="8" w:space="0" w:color="000000"/>
            </w:tcBorders>
            <w:shd w:val="clear" w:color="auto" w:fill="auto"/>
            <w:tcMar>
              <w:top w:w="0" w:type="dxa"/>
              <w:left w:w="0" w:type="dxa"/>
              <w:bottom w:w="28" w:type="dxa"/>
              <w:right w:w="28" w:type="dxa"/>
            </w:tcMar>
          </w:tcPr>
          <w:p w14:paraId="7D3F90CC" w14:textId="77777777" w:rsidR="00BD776B" w:rsidRDefault="00DF0C24">
            <w:pPr>
              <w:widowControl/>
              <w:spacing w:before="100" w:line="240" w:lineRule="exact"/>
              <w:rPr>
                <w:rFonts w:ascii="標楷體" w:eastAsia="標楷體" w:hAnsi="標楷體" w:cs="新細明體"/>
                <w:kern w:val="0"/>
                <w:sz w:val="20"/>
                <w:szCs w:val="20"/>
              </w:rPr>
            </w:pPr>
            <w:r>
              <w:rPr>
                <w:rFonts w:ascii="標楷體" w:eastAsia="標楷體" w:hAnsi="標楷體" w:cs="新細明體"/>
                <w:kern w:val="0"/>
                <w:sz w:val="20"/>
                <w:szCs w:val="20"/>
              </w:rPr>
              <w:t> </w:t>
            </w:r>
          </w:p>
        </w:tc>
      </w:tr>
      <w:tr w:rsidR="00BD776B" w14:paraId="709284BA" w14:textId="77777777">
        <w:trPr>
          <w:jc w:val="center"/>
        </w:trPr>
        <w:tc>
          <w:tcPr>
            <w:tcW w:w="1485"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27B0F34A"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Right sole</w:t>
            </w:r>
          </w:p>
          <w:p w14:paraId="4A72212B"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右足底</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176F4CCF" w14:textId="77777777" w:rsidR="00BD776B" w:rsidRDefault="00DF0C24">
            <w:pPr>
              <w:widowControl/>
              <w:spacing w:before="100" w:line="240" w:lineRule="exact"/>
            </w:pPr>
            <w:r>
              <w:rPr>
                <w:rFonts w:ascii="標楷體" w:eastAsia="標楷體" w:hAnsi="標楷體" w:cs="新細明體"/>
                <w:kern w:val="0"/>
                <w:sz w:val="20"/>
                <w:szCs w:val="20"/>
              </w:rPr>
              <w:t>(     +</w:t>
            </w:r>
          </w:p>
        </w:tc>
        <w:tc>
          <w:tcPr>
            <w:tcW w:w="1340" w:type="dxa"/>
            <w:tcBorders>
              <w:bottom w:val="single" w:sz="8" w:space="0" w:color="000000"/>
              <w:right w:val="single" w:sz="8" w:space="0" w:color="000000"/>
            </w:tcBorders>
            <w:shd w:val="clear" w:color="auto" w:fill="auto"/>
            <w:tcMar>
              <w:top w:w="0" w:type="dxa"/>
              <w:left w:w="0" w:type="dxa"/>
              <w:bottom w:w="28" w:type="dxa"/>
              <w:right w:w="28" w:type="dxa"/>
            </w:tcMar>
          </w:tcPr>
          <w:p w14:paraId="23E2610A"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560" w:type="dxa"/>
            <w:tcBorders>
              <w:bottom w:val="single" w:sz="8" w:space="0" w:color="000000"/>
              <w:right w:val="single" w:sz="8" w:space="0" w:color="000000"/>
            </w:tcBorders>
            <w:shd w:val="clear" w:color="auto" w:fill="auto"/>
            <w:tcMar>
              <w:top w:w="0" w:type="dxa"/>
              <w:left w:w="0" w:type="dxa"/>
              <w:bottom w:w="28" w:type="dxa"/>
              <w:right w:w="28" w:type="dxa"/>
            </w:tcMar>
          </w:tcPr>
          <w:p w14:paraId="3EB18D2E"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466" w:type="dxa"/>
            <w:tcBorders>
              <w:bottom w:val="single" w:sz="8" w:space="0" w:color="000000"/>
              <w:right w:val="single" w:sz="8" w:space="0" w:color="000000"/>
            </w:tcBorders>
            <w:shd w:val="clear" w:color="auto" w:fill="auto"/>
            <w:tcMar>
              <w:top w:w="0" w:type="dxa"/>
              <w:left w:w="0" w:type="dxa"/>
              <w:bottom w:w="28" w:type="dxa"/>
              <w:right w:w="28" w:type="dxa"/>
            </w:tcMar>
          </w:tcPr>
          <w:p w14:paraId="3C8201AA" w14:textId="77777777" w:rsidR="00BD776B" w:rsidRDefault="00DF0C24">
            <w:pPr>
              <w:widowControl/>
              <w:spacing w:before="100" w:line="240" w:lineRule="exact"/>
            </w:pPr>
            <w:r>
              <w:rPr>
                <w:rFonts w:ascii="標楷體" w:eastAsia="標楷體" w:hAnsi="標楷體" w:cs="新細明體"/>
                <w:kern w:val="0"/>
                <w:sz w:val="20"/>
                <w:szCs w:val="20"/>
              </w:rPr>
              <w:t>×</w:t>
            </w:r>
          </w:p>
        </w:tc>
        <w:tc>
          <w:tcPr>
            <w:tcW w:w="1275" w:type="dxa"/>
            <w:tcBorders>
              <w:bottom w:val="single" w:sz="8" w:space="0" w:color="000000"/>
              <w:right w:val="single" w:sz="8" w:space="0" w:color="000000"/>
            </w:tcBorders>
            <w:shd w:val="clear" w:color="auto" w:fill="auto"/>
            <w:tcMar>
              <w:top w:w="0" w:type="dxa"/>
              <w:left w:w="0" w:type="dxa"/>
              <w:bottom w:w="28" w:type="dxa"/>
              <w:right w:w="28" w:type="dxa"/>
            </w:tcMar>
          </w:tcPr>
          <w:p w14:paraId="6286BC6F" w14:textId="77777777" w:rsidR="00BD776B" w:rsidRDefault="00DF0C24">
            <w:pPr>
              <w:widowControl/>
              <w:spacing w:before="100" w:line="240" w:lineRule="exact"/>
              <w:jc w:val="center"/>
            </w:pPr>
            <w:r>
              <w:rPr>
                <w:rFonts w:ascii="標楷體" w:eastAsia="標楷體" w:hAnsi="標楷體" w:cs="新細明體"/>
                <w:b/>
                <w:bCs/>
                <w:kern w:val="0"/>
                <w:sz w:val="20"/>
                <w:szCs w:val="20"/>
              </w:rPr>
              <w:t>× 0.3</w:t>
            </w:r>
          </w:p>
        </w:tc>
        <w:tc>
          <w:tcPr>
            <w:tcW w:w="1109" w:type="dxa"/>
            <w:tcBorders>
              <w:bottom w:val="single" w:sz="8" w:space="0" w:color="000000"/>
              <w:right w:val="single" w:sz="8" w:space="0" w:color="000000"/>
            </w:tcBorders>
            <w:shd w:val="clear" w:color="auto" w:fill="auto"/>
            <w:tcMar>
              <w:top w:w="0" w:type="dxa"/>
              <w:left w:w="0" w:type="dxa"/>
              <w:bottom w:w="28" w:type="dxa"/>
              <w:right w:w="28" w:type="dxa"/>
            </w:tcMar>
          </w:tcPr>
          <w:p w14:paraId="65F7DAD2" w14:textId="77777777" w:rsidR="00BD776B" w:rsidRDefault="00DF0C24">
            <w:pPr>
              <w:widowControl/>
              <w:spacing w:before="100" w:line="240" w:lineRule="exact"/>
              <w:rPr>
                <w:rFonts w:ascii="標楷體" w:eastAsia="標楷體" w:hAnsi="標楷體" w:cs="新細明體"/>
                <w:kern w:val="0"/>
                <w:sz w:val="20"/>
                <w:szCs w:val="20"/>
              </w:rPr>
            </w:pPr>
            <w:r>
              <w:rPr>
                <w:rFonts w:ascii="標楷體" w:eastAsia="標楷體" w:hAnsi="標楷體" w:cs="新細明體"/>
                <w:kern w:val="0"/>
                <w:sz w:val="20"/>
                <w:szCs w:val="20"/>
              </w:rPr>
              <w:t> </w:t>
            </w:r>
          </w:p>
        </w:tc>
      </w:tr>
      <w:tr w:rsidR="00BD776B" w14:paraId="78452E6F" w14:textId="77777777">
        <w:trPr>
          <w:jc w:val="center"/>
        </w:trPr>
        <w:tc>
          <w:tcPr>
            <w:tcW w:w="1485"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3FFAB6A0"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Left sole</w:t>
            </w:r>
          </w:p>
          <w:p w14:paraId="103CF710" w14:textId="77777777" w:rsidR="00BD776B" w:rsidRDefault="00DF0C24">
            <w:pPr>
              <w:widowControl/>
              <w:spacing w:before="100" w:line="240" w:lineRule="exact"/>
              <w:rPr>
                <w:rFonts w:ascii="標楷體" w:eastAsia="標楷體" w:hAnsi="標楷體"/>
                <w:sz w:val="20"/>
                <w:szCs w:val="20"/>
              </w:rPr>
            </w:pPr>
            <w:r>
              <w:rPr>
                <w:rFonts w:ascii="標楷體" w:eastAsia="標楷體" w:hAnsi="標楷體"/>
                <w:sz w:val="20"/>
                <w:szCs w:val="20"/>
              </w:rPr>
              <w:t>左足底</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DDED99D" w14:textId="77777777" w:rsidR="00BD776B" w:rsidRDefault="00DF0C24">
            <w:pPr>
              <w:widowControl/>
              <w:spacing w:before="100" w:line="240" w:lineRule="exact"/>
            </w:pPr>
            <w:r>
              <w:rPr>
                <w:rFonts w:ascii="標楷體" w:eastAsia="標楷體" w:hAnsi="標楷體" w:cs="新細明體"/>
                <w:kern w:val="0"/>
                <w:sz w:val="20"/>
                <w:szCs w:val="20"/>
              </w:rPr>
              <w:t>(     +</w:t>
            </w:r>
          </w:p>
        </w:tc>
        <w:tc>
          <w:tcPr>
            <w:tcW w:w="1340" w:type="dxa"/>
            <w:tcBorders>
              <w:bottom w:val="single" w:sz="8" w:space="0" w:color="000000"/>
              <w:right w:val="single" w:sz="8" w:space="0" w:color="000000"/>
            </w:tcBorders>
            <w:shd w:val="clear" w:color="auto" w:fill="auto"/>
            <w:tcMar>
              <w:top w:w="0" w:type="dxa"/>
              <w:left w:w="0" w:type="dxa"/>
              <w:bottom w:w="28" w:type="dxa"/>
              <w:right w:w="28" w:type="dxa"/>
            </w:tcMar>
          </w:tcPr>
          <w:p w14:paraId="394F0360"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560" w:type="dxa"/>
            <w:tcBorders>
              <w:bottom w:val="single" w:sz="8" w:space="0" w:color="000000"/>
              <w:right w:val="single" w:sz="8" w:space="0" w:color="000000"/>
            </w:tcBorders>
            <w:shd w:val="clear" w:color="auto" w:fill="auto"/>
            <w:tcMar>
              <w:top w:w="0" w:type="dxa"/>
              <w:left w:w="0" w:type="dxa"/>
              <w:bottom w:w="28" w:type="dxa"/>
              <w:right w:w="28" w:type="dxa"/>
            </w:tcMar>
          </w:tcPr>
          <w:p w14:paraId="27413B37" w14:textId="77777777" w:rsidR="00BD776B" w:rsidRDefault="00DF0C24">
            <w:pPr>
              <w:widowControl/>
              <w:spacing w:before="100" w:line="240" w:lineRule="exact"/>
              <w:jc w:val="right"/>
            </w:pPr>
            <w:r>
              <w:rPr>
                <w:rFonts w:ascii="標楷體" w:eastAsia="標楷體" w:hAnsi="標楷體" w:cs="新細明體"/>
                <w:kern w:val="0"/>
                <w:sz w:val="20"/>
                <w:szCs w:val="20"/>
              </w:rPr>
              <w:t>)</w:t>
            </w:r>
          </w:p>
        </w:tc>
        <w:tc>
          <w:tcPr>
            <w:tcW w:w="1466" w:type="dxa"/>
            <w:tcBorders>
              <w:bottom w:val="single" w:sz="8" w:space="0" w:color="000000"/>
              <w:right w:val="single" w:sz="8" w:space="0" w:color="000000"/>
            </w:tcBorders>
            <w:shd w:val="clear" w:color="auto" w:fill="auto"/>
            <w:tcMar>
              <w:top w:w="0" w:type="dxa"/>
              <w:left w:w="0" w:type="dxa"/>
              <w:bottom w:w="28" w:type="dxa"/>
              <w:right w:w="28" w:type="dxa"/>
            </w:tcMar>
          </w:tcPr>
          <w:p w14:paraId="0C896F72" w14:textId="77777777" w:rsidR="00BD776B" w:rsidRDefault="00DF0C24">
            <w:pPr>
              <w:widowControl/>
              <w:spacing w:before="100" w:line="240" w:lineRule="exact"/>
            </w:pPr>
            <w:r>
              <w:rPr>
                <w:rFonts w:ascii="標楷體" w:eastAsia="標楷體" w:hAnsi="標楷體" w:cs="新細明體"/>
                <w:kern w:val="0"/>
                <w:sz w:val="20"/>
                <w:szCs w:val="20"/>
              </w:rPr>
              <w:t>×</w:t>
            </w:r>
          </w:p>
        </w:tc>
        <w:tc>
          <w:tcPr>
            <w:tcW w:w="1275" w:type="dxa"/>
            <w:tcBorders>
              <w:bottom w:val="single" w:sz="8" w:space="0" w:color="000000"/>
              <w:right w:val="single" w:sz="8" w:space="0" w:color="000000"/>
            </w:tcBorders>
            <w:shd w:val="clear" w:color="auto" w:fill="auto"/>
            <w:tcMar>
              <w:top w:w="0" w:type="dxa"/>
              <w:left w:w="0" w:type="dxa"/>
              <w:bottom w:w="28" w:type="dxa"/>
              <w:right w:w="28" w:type="dxa"/>
            </w:tcMar>
          </w:tcPr>
          <w:p w14:paraId="0F852050" w14:textId="77777777" w:rsidR="00BD776B" w:rsidRDefault="00DF0C24">
            <w:pPr>
              <w:widowControl/>
              <w:spacing w:before="100" w:line="240" w:lineRule="exact"/>
              <w:jc w:val="center"/>
            </w:pPr>
            <w:r>
              <w:rPr>
                <w:rFonts w:ascii="標楷體" w:eastAsia="標楷體" w:hAnsi="標楷體" w:cs="新細明體"/>
                <w:b/>
                <w:bCs/>
                <w:kern w:val="0"/>
                <w:sz w:val="20"/>
                <w:szCs w:val="20"/>
              </w:rPr>
              <w:t>× 0.3</w:t>
            </w:r>
          </w:p>
        </w:tc>
        <w:tc>
          <w:tcPr>
            <w:tcW w:w="1109" w:type="dxa"/>
            <w:tcBorders>
              <w:bottom w:val="single" w:sz="8" w:space="0" w:color="000000"/>
              <w:right w:val="single" w:sz="8" w:space="0" w:color="000000"/>
            </w:tcBorders>
            <w:shd w:val="clear" w:color="auto" w:fill="auto"/>
            <w:tcMar>
              <w:top w:w="0" w:type="dxa"/>
              <w:left w:w="0" w:type="dxa"/>
              <w:bottom w:w="28" w:type="dxa"/>
              <w:right w:w="28" w:type="dxa"/>
            </w:tcMar>
          </w:tcPr>
          <w:p w14:paraId="013563E0" w14:textId="77777777" w:rsidR="00BD776B" w:rsidRDefault="00DF0C24">
            <w:pPr>
              <w:widowControl/>
              <w:spacing w:before="100" w:line="240" w:lineRule="exact"/>
              <w:rPr>
                <w:rFonts w:ascii="標楷體" w:eastAsia="標楷體" w:hAnsi="標楷體" w:cs="新細明體"/>
                <w:kern w:val="0"/>
                <w:sz w:val="20"/>
                <w:szCs w:val="20"/>
              </w:rPr>
            </w:pPr>
            <w:r>
              <w:rPr>
                <w:rFonts w:ascii="標楷體" w:eastAsia="標楷體" w:hAnsi="標楷體" w:cs="新細明體"/>
                <w:kern w:val="0"/>
                <w:sz w:val="20"/>
                <w:szCs w:val="20"/>
              </w:rPr>
              <w:t> </w:t>
            </w:r>
          </w:p>
        </w:tc>
      </w:tr>
      <w:tr w:rsidR="00BD776B" w14:paraId="75483CFF" w14:textId="77777777">
        <w:trPr>
          <w:trHeight w:val="728"/>
          <w:jc w:val="center"/>
        </w:trPr>
        <w:tc>
          <w:tcPr>
            <w:tcW w:w="8260" w:type="dxa"/>
            <w:gridSpan w:val="6"/>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11136305" w14:textId="77777777" w:rsidR="00BD776B" w:rsidRDefault="00DF0C24">
            <w:pPr>
              <w:widowControl/>
              <w:spacing w:before="100" w:line="276" w:lineRule="auto"/>
            </w:pPr>
            <w:r>
              <w:rPr>
                <w:rFonts w:ascii="標楷體" w:eastAsia="標楷體" w:hAnsi="標楷體" w:cs="新細明體"/>
                <w:b/>
                <w:bCs/>
                <w:kern w:val="0"/>
                <w:sz w:val="20"/>
                <w:szCs w:val="20"/>
              </w:rPr>
              <w:t>PPPASI總分由四項身體部位分數加總</w:t>
            </w:r>
          </w:p>
        </w:tc>
        <w:tc>
          <w:tcPr>
            <w:tcW w:w="1109" w:type="dxa"/>
            <w:tcBorders>
              <w:bottom w:val="single" w:sz="8" w:space="0" w:color="000000"/>
              <w:right w:val="single" w:sz="8" w:space="0" w:color="000000"/>
            </w:tcBorders>
            <w:shd w:val="clear" w:color="auto" w:fill="auto"/>
            <w:tcMar>
              <w:top w:w="0" w:type="dxa"/>
              <w:left w:w="0" w:type="dxa"/>
              <w:bottom w:w="28" w:type="dxa"/>
              <w:right w:w="28" w:type="dxa"/>
            </w:tcMar>
          </w:tcPr>
          <w:p w14:paraId="2FCA7E39" w14:textId="77777777" w:rsidR="00BD776B" w:rsidRDefault="00DF0C24">
            <w:pPr>
              <w:widowControl/>
              <w:spacing w:line="240" w:lineRule="exact"/>
              <w:rPr>
                <w:rFonts w:ascii="標楷體" w:eastAsia="標楷體" w:hAnsi="標楷體" w:cs="新細明體"/>
                <w:kern w:val="0"/>
                <w:sz w:val="20"/>
                <w:szCs w:val="20"/>
              </w:rPr>
            </w:pPr>
            <w:r>
              <w:rPr>
                <w:rFonts w:ascii="標楷體" w:eastAsia="標楷體" w:hAnsi="標楷體" w:cs="新細明體"/>
                <w:kern w:val="0"/>
                <w:sz w:val="20"/>
                <w:szCs w:val="20"/>
              </w:rPr>
              <w:t> </w:t>
            </w:r>
          </w:p>
          <w:p w14:paraId="06592E85" w14:textId="77777777" w:rsidR="00BD776B" w:rsidRDefault="00DF0C24">
            <w:pPr>
              <w:widowControl/>
              <w:spacing w:line="240" w:lineRule="exact"/>
              <w:rPr>
                <w:rFonts w:ascii="標楷體" w:eastAsia="標楷體" w:hAnsi="標楷體" w:cs="新細明體"/>
                <w:kern w:val="0"/>
                <w:sz w:val="20"/>
                <w:szCs w:val="20"/>
              </w:rPr>
            </w:pPr>
            <w:r>
              <w:rPr>
                <w:rFonts w:ascii="標楷體" w:eastAsia="標楷體" w:hAnsi="標楷體" w:cs="新細明體"/>
                <w:kern w:val="0"/>
                <w:sz w:val="20"/>
                <w:szCs w:val="20"/>
              </w:rPr>
              <w:t xml:space="preserve">      </w:t>
            </w:r>
          </w:p>
          <w:p w14:paraId="265A67AE" w14:textId="77777777" w:rsidR="00BD776B" w:rsidRDefault="00DF0C24">
            <w:pPr>
              <w:widowControl/>
              <w:spacing w:before="100" w:line="240" w:lineRule="exact"/>
            </w:pPr>
            <w:r>
              <w:rPr>
                <w:rFonts w:ascii="標楷體" w:eastAsia="標楷體" w:hAnsi="標楷體" w:cs="新細明體"/>
                <w:b/>
                <w:bCs/>
                <w:kern w:val="0"/>
                <w:sz w:val="20"/>
                <w:szCs w:val="20"/>
              </w:rPr>
              <w:t>(0-72)</w:t>
            </w:r>
          </w:p>
        </w:tc>
      </w:tr>
    </w:tbl>
    <w:p w14:paraId="6F590B14" w14:textId="77777777" w:rsidR="00BD776B" w:rsidRDefault="00BD776B">
      <w:pPr>
        <w:pageBreakBefore/>
        <w:widowControl/>
        <w:spacing w:line="480" w:lineRule="exact"/>
        <w:jc w:val="center"/>
      </w:pPr>
    </w:p>
    <w:p w14:paraId="460AF5A0" w14:textId="77777777" w:rsidR="00BD776B" w:rsidRDefault="00DF0C24">
      <w:pPr>
        <w:pStyle w:val="a7"/>
        <w:spacing w:after="360"/>
        <w:jc w:val="center"/>
        <w:rPr>
          <w:rFonts w:ascii="標楷體" w:eastAsia="標楷體" w:hAnsi="標楷體"/>
          <w:b/>
          <w:sz w:val="28"/>
          <w:szCs w:val="28"/>
        </w:rPr>
      </w:pPr>
      <w:r>
        <w:rPr>
          <w:rFonts w:ascii="標楷體" w:eastAsia="標楷體" w:hAnsi="標楷體"/>
          <w:b/>
          <w:sz w:val="28"/>
          <w:szCs w:val="28"/>
        </w:rPr>
        <w:t>附表二十四之六：全民健康保險掌蹠膿皰症使用生物製劑申請表</w:t>
      </w:r>
    </w:p>
    <w:tbl>
      <w:tblPr>
        <w:tblW w:w="5000" w:type="pct"/>
        <w:tblCellMar>
          <w:left w:w="10" w:type="dxa"/>
          <w:right w:w="10" w:type="dxa"/>
        </w:tblCellMar>
        <w:tblLook w:val="0000" w:firstRow="0" w:lastRow="0" w:firstColumn="0" w:lastColumn="0" w:noHBand="0" w:noVBand="0"/>
      </w:tblPr>
      <w:tblGrid>
        <w:gridCol w:w="1262"/>
        <w:gridCol w:w="1553"/>
        <w:gridCol w:w="1746"/>
        <w:gridCol w:w="1067"/>
        <w:gridCol w:w="1552"/>
        <w:gridCol w:w="2328"/>
      </w:tblGrid>
      <w:tr w:rsidR="00BD776B" w14:paraId="533C0059" w14:textId="77777777">
        <w:trPr>
          <w:cantSplit/>
          <w:trHeight w:val="376"/>
        </w:trPr>
        <w:tc>
          <w:tcPr>
            <w:tcW w:w="1262"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D7DE29A" w14:textId="77777777" w:rsidR="00BD776B" w:rsidRDefault="00DF0C24">
            <w:pPr>
              <w:snapToGrid w:val="0"/>
              <w:spacing w:line="380" w:lineRule="exact"/>
              <w:rPr>
                <w:rFonts w:ascii="標楷體" w:eastAsia="標楷體" w:hAnsi="標楷體"/>
                <w:sz w:val="20"/>
                <w:szCs w:val="20"/>
              </w:rPr>
            </w:pPr>
            <w:r>
              <w:rPr>
                <w:rFonts w:ascii="標楷體" w:eastAsia="標楷體" w:hAnsi="標楷體"/>
                <w:sz w:val="20"/>
                <w:szCs w:val="20"/>
              </w:rPr>
              <w:t>醫院代號</w:t>
            </w:r>
          </w:p>
        </w:tc>
        <w:tc>
          <w:tcPr>
            <w:tcW w:w="155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16B01DD" w14:textId="77777777" w:rsidR="00BD776B" w:rsidRDefault="00BD776B">
            <w:pPr>
              <w:snapToGrid w:val="0"/>
              <w:spacing w:line="380" w:lineRule="exact"/>
              <w:rPr>
                <w:rFonts w:ascii="標楷體" w:eastAsia="標楷體" w:hAnsi="標楷體"/>
                <w:sz w:val="20"/>
                <w:szCs w:val="20"/>
              </w:rPr>
            </w:pPr>
          </w:p>
        </w:tc>
        <w:tc>
          <w:tcPr>
            <w:tcW w:w="1746"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3365E9" w14:textId="77777777" w:rsidR="00BD776B" w:rsidRDefault="00DF0C24">
            <w:pPr>
              <w:snapToGrid w:val="0"/>
              <w:spacing w:line="380" w:lineRule="exact"/>
              <w:rPr>
                <w:rFonts w:ascii="標楷體" w:eastAsia="標楷體" w:hAnsi="標楷體"/>
                <w:sz w:val="20"/>
                <w:szCs w:val="20"/>
              </w:rPr>
            </w:pPr>
            <w:r>
              <w:rPr>
                <w:rFonts w:ascii="標楷體" w:eastAsia="標楷體" w:hAnsi="標楷體"/>
                <w:sz w:val="20"/>
                <w:szCs w:val="20"/>
              </w:rPr>
              <w:t>醫院名稱</w:t>
            </w:r>
          </w:p>
        </w:tc>
        <w:tc>
          <w:tcPr>
            <w:tcW w:w="106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BD96153" w14:textId="77777777" w:rsidR="00BD776B" w:rsidRDefault="00BD776B">
            <w:pPr>
              <w:snapToGrid w:val="0"/>
              <w:spacing w:line="380" w:lineRule="exact"/>
              <w:rPr>
                <w:rFonts w:ascii="標楷體" w:eastAsia="標楷體" w:hAnsi="標楷體"/>
                <w:sz w:val="20"/>
                <w:szCs w:val="20"/>
              </w:rPr>
            </w:pPr>
          </w:p>
        </w:tc>
        <w:tc>
          <w:tcPr>
            <w:tcW w:w="1552"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D77AA82" w14:textId="77777777" w:rsidR="00BD776B" w:rsidRDefault="00DF0C24">
            <w:pPr>
              <w:snapToGrid w:val="0"/>
              <w:spacing w:line="380" w:lineRule="exact"/>
              <w:rPr>
                <w:rFonts w:ascii="標楷體" w:eastAsia="標楷體" w:hAnsi="標楷體"/>
                <w:sz w:val="20"/>
                <w:szCs w:val="20"/>
              </w:rPr>
            </w:pPr>
            <w:r>
              <w:rPr>
                <w:rFonts w:ascii="標楷體" w:eastAsia="標楷體" w:hAnsi="標楷體"/>
                <w:sz w:val="20"/>
                <w:szCs w:val="20"/>
              </w:rPr>
              <w:t>申請日期</w:t>
            </w:r>
          </w:p>
        </w:tc>
        <w:tc>
          <w:tcPr>
            <w:tcW w:w="2328"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2D512B8" w14:textId="77777777" w:rsidR="00BD776B" w:rsidRDefault="00BD776B">
            <w:pPr>
              <w:snapToGrid w:val="0"/>
              <w:spacing w:line="380" w:lineRule="exact"/>
              <w:rPr>
                <w:rFonts w:ascii="標楷體" w:eastAsia="標楷體" w:hAnsi="標楷體"/>
                <w:sz w:val="20"/>
                <w:szCs w:val="20"/>
              </w:rPr>
            </w:pPr>
          </w:p>
        </w:tc>
      </w:tr>
      <w:tr w:rsidR="00BD776B" w14:paraId="51F447EF" w14:textId="77777777">
        <w:trPr>
          <w:cantSplit/>
          <w:trHeight w:val="332"/>
        </w:trPr>
        <w:tc>
          <w:tcPr>
            <w:tcW w:w="1262"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FE63890"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病人姓名</w:t>
            </w:r>
          </w:p>
        </w:tc>
        <w:tc>
          <w:tcPr>
            <w:tcW w:w="15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14CB2B" w14:textId="77777777" w:rsidR="00BD776B" w:rsidRDefault="00BD776B">
            <w:pPr>
              <w:spacing w:line="380" w:lineRule="exact"/>
              <w:rPr>
                <w:rFonts w:ascii="標楷體" w:eastAsia="標楷體" w:hAnsi="標楷體"/>
                <w:sz w:val="20"/>
                <w:szCs w:val="20"/>
              </w:rPr>
            </w:pP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C32F2C"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性別</w:t>
            </w:r>
          </w:p>
        </w:tc>
        <w:tc>
          <w:tcPr>
            <w:tcW w:w="10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F5A33F" w14:textId="77777777" w:rsidR="00BD776B" w:rsidRDefault="00BD776B">
            <w:pPr>
              <w:spacing w:line="380" w:lineRule="exact"/>
              <w:rPr>
                <w:rFonts w:ascii="標楷體" w:eastAsia="標楷體" w:hAnsi="標楷體"/>
                <w:sz w:val="20"/>
                <w:szCs w:val="20"/>
              </w:rPr>
            </w:pP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846FE5"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出生日期</w:t>
            </w:r>
          </w:p>
        </w:tc>
        <w:tc>
          <w:tcPr>
            <w:tcW w:w="2328"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5C56D06" w14:textId="77777777" w:rsidR="00BD776B" w:rsidRDefault="00BD776B">
            <w:pPr>
              <w:spacing w:line="380" w:lineRule="exact"/>
              <w:rPr>
                <w:rFonts w:ascii="標楷體" w:eastAsia="標楷體" w:hAnsi="標楷體"/>
                <w:sz w:val="20"/>
                <w:szCs w:val="20"/>
              </w:rPr>
            </w:pPr>
          </w:p>
        </w:tc>
      </w:tr>
      <w:tr w:rsidR="00BD776B" w14:paraId="71B73F9B" w14:textId="77777777">
        <w:trPr>
          <w:cantSplit/>
          <w:trHeight w:val="356"/>
        </w:trPr>
        <w:tc>
          <w:tcPr>
            <w:tcW w:w="1262"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237883FA"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身分證號</w:t>
            </w:r>
          </w:p>
        </w:tc>
        <w:tc>
          <w:tcPr>
            <w:tcW w:w="15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6BD3BA" w14:textId="77777777" w:rsidR="00BD776B" w:rsidRDefault="00BD776B">
            <w:pPr>
              <w:spacing w:line="380" w:lineRule="exact"/>
              <w:rPr>
                <w:rFonts w:ascii="標楷體" w:eastAsia="標楷體" w:hAnsi="標楷體"/>
                <w:sz w:val="20"/>
                <w:szCs w:val="20"/>
              </w:rPr>
            </w:pP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0A67279"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病歷號碼</w:t>
            </w:r>
          </w:p>
        </w:tc>
        <w:tc>
          <w:tcPr>
            <w:tcW w:w="10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C822EA7" w14:textId="77777777" w:rsidR="00BD776B" w:rsidRDefault="00BD776B">
            <w:pPr>
              <w:spacing w:line="380" w:lineRule="exact"/>
              <w:rPr>
                <w:rFonts w:ascii="標楷體" w:eastAsia="標楷體" w:hAnsi="標楷體"/>
                <w:sz w:val="20"/>
                <w:szCs w:val="20"/>
              </w:rPr>
            </w:pPr>
          </w:p>
        </w:tc>
        <w:tc>
          <w:tcPr>
            <w:tcW w:w="1552"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794473F7"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使用期間</w:t>
            </w:r>
          </w:p>
        </w:tc>
        <w:tc>
          <w:tcPr>
            <w:tcW w:w="2328"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221B205"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自　 年　　月　　日</w:t>
            </w:r>
          </w:p>
        </w:tc>
      </w:tr>
      <w:tr w:rsidR="00BD776B" w14:paraId="2923B8BF" w14:textId="77777777">
        <w:trPr>
          <w:cantSplit/>
          <w:trHeight w:val="337"/>
        </w:trPr>
        <w:tc>
          <w:tcPr>
            <w:tcW w:w="1262"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1E101CB0"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藥品代碼</w:t>
            </w:r>
          </w:p>
        </w:tc>
        <w:tc>
          <w:tcPr>
            <w:tcW w:w="1553"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B295DAF" w14:textId="77777777" w:rsidR="00BD776B" w:rsidRDefault="00BD776B">
            <w:pPr>
              <w:spacing w:line="380" w:lineRule="exact"/>
              <w:rPr>
                <w:rFonts w:ascii="標楷體" w:eastAsia="標楷體" w:hAnsi="標楷體"/>
                <w:sz w:val="20"/>
                <w:szCs w:val="20"/>
              </w:rPr>
            </w:pPr>
          </w:p>
        </w:tc>
        <w:tc>
          <w:tcPr>
            <w:tcW w:w="1746"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2CFBE2EF"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用法用量</w:t>
            </w:r>
          </w:p>
        </w:tc>
        <w:tc>
          <w:tcPr>
            <w:tcW w:w="106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63DB514" w14:textId="77777777" w:rsidR="00BD776B" w:rsidRDefault="00BD776B">
            <w:pPr>
              <w:spacing w:line="380" w:lineRule="exact"/>
              <w:rPr>
                <w:rFonts w:ascii="標楷體" w:eastAsia="標楷體" w:hAnsi="標楷體"/>
                <w:sz w:val="20"/>
                <w:szCs w:val="20"/>
              </w:rPr>
            </w:pPr>
          </w:p>
        </w:tc>
        <w:tc>
          <w:tcPr>
            <w:tcW w:w="1552"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18589A55" w14:textId="77777777" w:rsidR="00BD776B" w:rsidRDefault="00BD776B">
            <w:pPr>
              <w:spacing w:line="380" w:lineRule="exact"/>
              <w:rPr>
                <w:rFonts w:ascii="標楷體" w:eastAsia="標楷體" w:hAnsi="標楷體"/>
                <w:sz w:val="20"/>
                <w:szCs w:val="20"/>
              </w:rPr>
            </w:pPr>
          </w:p>
        </w:tc>
        <w:tc>
          <w:tcPr>
            <w:tcW w:w="2328"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1A256F18" w14:textId="77777777" w:rsidR="00BD776B" w:rsidRDefault="00DF0C24">
            <w:pPr>
              <w:spacing w:line="380" w:lineRule="exact"/>
              <w:rPr>
                <w:rFonts w:ascii="標楷體" w:eastAsia="標楷體" w:hAnsi="標楷體"/>
                <w:sz w:val="20"/>
                <w:szCs w:val="20"/>
              </w:rPr>
            </w:pPr>
            <w:r>
              <w:rPr>
                <w:rFonts w:ascii="標楷體" w:eastAsia="標楷體" w:hAnsi="標楷體"/>
                <w:sz w:val="20"/>
                <w:szCs w:val="20"/>
              </w:rPr>
              <w:t>至　 年　　月　　日</w:t>
            </w:r>
          </w:p>
        </w:tc>
      </w:tr>
    </w:tbl>
    <w:p w14:paraId="5A7346BC" w14:textId="77777777" w:rsidR="00BD776B" w:rsidRDefault="00BD776B">
      <w:pPr>
        <w:snapToGrid w:val="0"/>
        <w:rPr>
          <w:rFonts w:ascii="標楷體" w:eastAsia="標楷體" w:hAnsi="標楷體" w:cs="Arial"/>
          <w:sz w:val="20"/>
          <w:szCs w:val="20"/>
          <w:u w:val="single"/>
        </w:rPr>
      </w:pPr>
    </w:p>
    <w:tbl>
      <w:tblPr>
        <w:tblW w:w="5000" w:type="pct"/>
        <w:tblCellMar>
          <w:left w:w="10" w:type="dxa"/>
          <w:right w:w="10" w:type="dxa"/>
        </w:tblCellMar>
        <w:tblLook w:val="0000" w:firstRow="0" w:lastRow="0" w:firstColumn="0" w:lastColumn="0" w:noHBand="0" w:noVBand="0"/>
      </w:tblPr>
      <w:tblGrid>
        <w:gridCol w:w="26"/>
        <w:gridCol w:w="915"/>
        <w:gridCol w:w="2000"/>
        <w:gridCol w:w="3618"/>
        <w:gridCol w:w="2954"/>
        <w:gridCol w:w="26"/>
      </w:tblGrid>
      <w:tr w:rsidR="00BD776B" w14:paraId="34077442" w14:textId="77777777">
        <w:tc>
          <w:tcPr>
            <w:tcW w:w="26" w:type="dxa"/>
            <w:shd w:val="clear" w:color="auto" w:fill="auto"/>
            <w:tcMar>
              <w:top w:w="0" w:type="dxa"/>
              <w:left w:w="10" w:type="dxa"/>
              <w:bottom w:w="0" w:type="dxa"/>
              <w:right w:w="10" w:type="dxa"/>
            </w:tcMar>
          </w:tcPr>
          <w:p w14:paraId="136D81DA" w14:textId="77777777" w:rsidR="00BD776B" w:rsidRDefault="00BD776B">
            <w:pPr>
              <w:spacing w:line="276" w:lineRule="auto"/>
              <w:ind w:left="372" w:hanging="372"/>
              <w:rPr>
                <w:rFonts w:ascii="標楷體" w:eastAsia="標楷體" w:hAnsi="標楷體"/>
                <w:sz w:val="20"/>
                <w:szCs w:val="20"/>
              </w:rPr>
            </w:pPr>
          </w:p>
        </w:tc>
        <w:tc>
          <w:tcPr>
            <w:tcW w:w="9513" w:type="dxa"/>
            <w:gridSpan w:val="5"/>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B1B3CB8" w14:textId="77777777" w:rsidR="00BD776B" w:rsidRDefault="00DF0C24">
            <w:pPr>
              <w:spacing w:line="276" w:lineRule="auto"/>
              <w:ind w:left="372" w:hanging="372"/>
            </w:pPr>
            <w:r>
              <w:rPr>
                <w:rFonts w:ascii="標楷體" w:eastAsia="標楷體" w:hAnsi="標楷體"/>
                <w:sz w:val="20"/>
                <w:szCs w:val="20"/>
              </w:rPr>
              <w:t xml:space="preserve">□ </w:t>
            </w:r>
            <w:r>
              <w:rPr>
                <w:rFonts w:ascii="標楷體" w:eastAsia="標楷體" w:hAnsi="標楷體"/>
                <w:b/>
                <w:sz w:val="20"/>
                <w:szCs w:val="20"/>
              </w:rPr>
              <w:t>符合照光治療及其他全身性治療無效，或因醫療因素而無法接受其他全身性治療之中、重度掌蹠膿皰症，且影響功能：（定義請參照給付規定）</w:t>
            </w:r>
          </w:p>
          <w:p w14:paraId="0EF54559" w14:textId="77777777" w:rsidR="00BD776B" w:rsidRDefault="00DF0C24" w:rsidP="008A7063">
            <w:pPr>
              <w:numPr>
                <w:ilvl w:val="1"/>
                <w:numId w:val="104"/>
              </w:numPr>
              <w:spacing w:line="276" w:lineRule="auto"/>
              <w:ind w:left="601" w:hanging="317"/>
            </w:pPr>
            <w:r>
              <w:rPr>
                <w:rFonts w:ascii="標楷體" w:eastAsia="標楷體" w:hAnsi="標楷體"/>
                <w:sz w:val="20"/>
                <w:szCs w:val="20"/>
              </w:rPr>
              <w:t>□ 符合照光治療無效（檢附詳細3個月照光劑量記錄</w:t>
            </w:r>
            <w:r>
              <w:rPr>
                <w:rFonts w:ascii="標楷體" w:eastAsia="標楷體" w:hAnsi="標楷體"/>
                <w:b/>
                <w:sz w:val="20"/>
                <w:szCs w:val="20"/>
              </w:rPr>
              <w:t>）</w:t>
            </w:r>
            <w:r>
              <w:rPr>
                <w:rFonts w:ascii="標楷體" w:eastAsia="標楷體" w:hAnsi="標楷體"/>
                <w:sz w:val="20"/>
                <w:szCs w:val="20"/>
              </w:rPr>
              <w:t>。</w:t>
            </w:r>
          </w:p>
          <w:p w14:paraId="72722D63" w14:textId="77777777" w:rsidR="00BD776B" w:rsidRDefault="00DF0C24" w:rsidP="008A7063">
            <w:pPr>
              <w:numPr>
                <w:ilvl w:val="1"/>
                <w:numId w:val="104"/>
              </w:numPr>
              <w:spacing w:line="276" w:lineRule="auto"/>
              <w:ind w:left="601" w:hanging="317"/>
              <w:rPr>
                <w:rFonts w:ascii="標楷體" w:eastAsia="標楷體" w:hAnsi="標楷體"/>
                <w:sz w:val="20"/>
                <w:szCs w:val="20"/>
              </w:rPr>
            </w:pPr>
            <w:r>
              <w:rPr>
                <w:rFonts w:ascii="標楷體" w:eastAsia="標楷體" w:hAnsi="標楷體"/>
                <w:sz w:val="20"/>
                <w:szCs w:val="20"/>
              </w:rPr>
              <w:t>□ 符合其他全身性治療無效（目前未達PPPASI申請標準者，需同時附治療前後資料）。</w:t>
            </w:r>
          </w:p>
          <w:p w14:paraId="214428CD" w14:textId="77777777" w:rsidR="00BD776B" w:rsidRDefault="00DF0C24">
            <w:pPr>
              <w:spacing w:line="276" w:lineRule="auto"/>
              <w:ind w:left="2" w:firstLine="31"/>
              <w:jc w:val="center"/>
              <w:rPr>
                <w:rFonts w:ascii="標楷體" w:eastAsia="標楷體" w:hAnsi="標楷體"/>
                <w:b/>
                <w:sz w:val="20"/>
                <w:szCs w:val="20"/>
              </w:rPr>
            </w:pPr>
            <w:r>
              <w:rPr>
                <w:rFonts w:ascii="標楷體" w:eastAsia="標楷體" w:hAnsi="標楷體"/>
                <w:b/>
                <w:sz w:val="20"/>
                <w:szCs w:val="20"/>
              </w:rPr>
              <w:t>至少2種其他全身性治療用藥之使用時間、劑量及停用理由</w:t>
            </w:r>
          </w:p>
          <w:tbl>
            <w:tblPr>
              <w:tblW w:w="7797" w:type="dxa"/>
              <w:tblInd w:w="1021" w:type="dxa"/>
              <w:tblCellMar>
                <w:left w:w="10" w:type="dxa"/>
                <w:right w:w="10" w:type="dxa"/>
              </w:tblCellMar>
              <w:tblLook w:val="0000" w:firstRow="0" w:lastRow="0" w:firstColumn="0" w:lastColumn="0" w:noHBand="0" w:noVBand="0"/>
            </w:tblPr>
            <w:tblGrid>
              <w:gridCol w:w="1656"/>
              <w:gridCol w:w="1455"/>
              <w:gridCol w:w="2056"/>
              <w:gridCol w:w="2630"/>
            </w:tblGrid>
            <w:tr w:rsidR="00BD776B" w14:paraId="39A6AB81"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E016F" w14:textId="77777777" w:rsidR="00BD776B" w:rsidRDefault="00BD776B">
                  <w:pPr>
                    <w:spacing w:line="360" w:lineRule="auto"/>
                    <w:rPr>
                      <w:rFonts w:ascii="標楷體" w:eastAsia="標楷體" w:hAnsi="標楷體"/>
                      <w:sz w:val="20"/>
                      <w:szCs w:val="20"/>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9EBAC"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使用劑量</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F1FC" w14:textId="77777777" w:rsidR="00BD776B" w:rsidRDefault="00DF0C24">
                  <w:pPr>
                    <w:spacing w:line="360" w:lineRule="auto"/>
                    <w:jc w:val="center"/>
                    <w:rPr>
                      <w:rFonts w:ascii="標楷體" w:eastAsia="標楷體" w:hAnsi="標楷體"/>
                      <w:sz w:val="20"/>
                      <w:szCs w:val="20"/>
                    </w:rPr>
                  </w:pPr>
                  <w:r>
                    <w:rPr>
                      <w:rFonts w:ascii="標楷體" w:eastAsia="標楷體" w:hAnsi="標楷體"/>
                      <w:sz w:val="20"/>
                      <w:szCs w:val="20"/>
                    </w:rPr>
                    <w:t>使用時間</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A3BD9"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停用理由</w:t>
                  </w:r>
                </w:p>
              </w:tc>
            </w:tr>
            <w:tr w:rsidR="00BD776B" w14:paraId="01A1777C"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4C21"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Acitretin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B66C8"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2C37F" w14:textId="77777777" w:rsidR="00BD776B" w:rsidRDefault="00DF0C24">
                  <w:pPr>
                    <w:rPr>
                      <w:rFonts w:ascii="標楷體" w:eastAsia="標楷體" w:hAnsi="標楷體"/>
                      <w:sz w:val="20"/>
                      <w:szCs w:val="20"/>
                    </w:rPr>
                  </w:pPr>
                  <w:r>
                    <w:rPr>
                      <w:rFonts w:ascii="標楷體" w:eastAsia="標楷體" w:hAnsi="標楷體"/>
                      <w:sz w:val="20"/>
                      <w:szCs w:val="20"/>
                    </w:rPr>
                    <w:t xml:space="preserve">__年__月__日至 </w:t>
                  </w:r>
                </w:p>
                <w:p w14:paraId="2B42CBDC" w14:textId="77777777" w:rsidR="00BD776B" w:rsidRDefault="00DF0C24">
                  <w:pPr>
                    <w:rPr>
                      <w:rFonts w:ascii="標楷體" w:eastAsia="標楷體" w:hAnsi="標楷體"/>
                      <w:sz w:val="20"/>
                      <w:szCs w:val="20"/>
                    </w:rPr>
                  </w:pPr>
                  <w:r>
                    <w:rPr>
                      <w:rFonts w:ascii="標楷體" w:eastAsia="標楷體" w:hAnsi="標楷體"/>
                      <w:sz w:val="20"/>
                      <w:szCs w:val="20"/>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37FFA" w14:textId="77777777" w:rsidR="00BD776B" w:rsidRDefault="00BD776B">
                  <w:pPr>
                    <w:spacing w:line="360" w:lineRule="auto"/>
                    <w:rPr>
                      <w:rFonts w:ascii="標楷體" w:eastAsia="標楷體" w:hAnsi="標楷體"/>
                      <w:sz w:val="20"/>
                      <w:szCs w:val="20"/>
                    </w:rPr>
                  </w:pPr>
                </w:p>
              </w:tc>
            </w:tr>
            <w:tr w:rsidR="00BD776B" w14:paraId="3BE537B3"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18579"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Methotrexate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A39FD"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___mg/week</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F8BBE" w14:textId="77777777" w:rsidR="00BD776B" w:rsidRDefault="00DF0C24">
                  <w:pPr>
                    <w:rPr>
                      <w:rFonts w:ascii="標楷體" w:eastAsia="標楷體" w:hAnsi="標楷體"/>
                      <w:sz w:val="20"/>
                      <w:szCs w:val="20"/>
                    </w:rPr>
                  </w:pPr>
                  <w:r>
                    <w:rPr>
                      <w:rFonts w:ascii="標楷體" w:eastAsia="標楷體" w:hAnsi="標楷體"/>
                      <w:sz w:val="20"/>
                      <w:szCs w:val="20"/>
                    </w:rPr>
                    <w:t>__年__月__日至</w:t>
                  </w:r>
                </w:p>
                <w:p w14:paraId="6010DEAC" w14:textId="77777777" w:rsidR="00BD776B" w:rsidRDefault="00DF0C24">
                  <w:pPr>
                    <w:rPr>
                      <w:rFonts w:ascii="標楷體" w:eastAsia="標楷體" w:hAnsi="標楷體"/>
                      <w:sz w:val="20"/>
                      <w:szCs w:val="20"/>
                    </w:rPr>
                  </w:pPr>
                  <w:r>
                    <w:rPr>
                      <w:rFonts w:ascii="標楷體" w:eastAsia="標楷體" w:hAnsi="標楷體"/>
                      <w:sz w:val="20"/>
                      <w:szCs w:val="20"/>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B66D9" w14:textId="77777777" w:rsidR="00BD776B" w:rsidRDefault="00BD776B">
                  <w:pPr>
                    <w:spacing w:line="360" w:lineRule="auto"/>
                    <w:rPr>
                      <w:rFonts w:ascii="標楷體" w:eastAsia="標楷體" w:hAnsi="標楷體"/>
                      <w:sz w:val="20"/>
                      <w:szCs w:val="20"/>
                    </w:rPr>
                  </w:pPr>
                </w:p>
              </w:tc>
            </w:tr>
            <w:tr w:rsidR="00BD776B" w14:paraId="7B75FE1F" w14:textId="77777777">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68F97"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Cyclosporin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823A"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___mg/day</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3B3E7" w14:textId="77777777" w:rsidR="00BD776B" w:rsidRDefault="00DF0C24">
                  <w:pPr>
                    <w:rPr>
                      <w:rFonts w:ascii="標楷體" w:eastAsia="標楷體" w:hAnsi="標楷體"/>
                      <w:sz w:val="20"/>
                      <w:szCs w:val="20"/>
                    </w:rPr>
                  </w:pPr>
                  <w:r>
                    <w:rPr>
                      <w:rFonts w:ascii="標楷體" w:eastAsia="標楷體" w:hAnsi="標楷體"/>
                      <w:sz w:val="20"/>
                      <w:szCs w:val="20"/>
                    </w:rPr>
                    <w:t>__年__月__日至</w:t>
                  </w:r>
                </w:p>
                <w:p w14:paraId="51196DAC" w14:textId="77777777" w:rsidR="00BD776B" w:rsidRDefault="00DF0C24">
                  <w:pPr>
                    <w:rPr>
                      <w:rFonts w:ascii="標楷體" w:eastAsia="標楷體" w:hAnsi="標楷體"/>
                      <w:sz w:val="20"/>
                      <w:szCs w:val="20"/>
                    </w:rPr>
                  </w:pPr>
                  <w:r>
                    <w:rPr>
                      <w:rFonts w:ascii="標楷體" w:eastAsia="標楷體" w:hAnsi="標楷體"/>
                      <w:sz w:val="20"/>
                      <w:szCs w:val="20"/>
                    </w:rPr>
                    <w:t>__年__月__日</w:t>
                  </w:r>
                </w:p>
              </w:tc>
              <w:tc>
                <w:tcPr>
                  <w:tcW w:w="2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147A2" w14:textId="77777777" w:rsidR="00BD776B" w:rsidRDefault="00BD776B">
                  <w:pPr>
                    <w:spacing w:line="360" w:lineRule="auto"/>
                    <w:rPr>
                      <w:rFonts w:ascii="標楷體" w:eastAsia="標楷體" w:hAnsi="標楷體"/>
                      <w:sz w:val="20"/>
                      <w:szCs w:val="20"/>
                    </w:rPr>
                  </w:pPr>
                </w:p>
              </w:tc>
            </w:tr>
          </w:tbl>
          <w:p w14:paraId="78A2D728" w14:textId="77777777" w:rsidR="00BD776B" w:rsidRDefault="00DF0C24">
            <w:pPr>
              <w:spacing w:line="360" w:lineRule="auto"/>
              <w:ind w:left="1025"/>
              <w:rPr>
                <w:rFonts w:ascii="標楷體" w:eastAsia="標楷體" w:hAnsi="標楷體"/>
                <w:sz w:val="20"/>
                <w:szCs w:val="20"/>
              </w:rPr>
            </w:pPr>
            <w:r>
              <w:rPr>
                <w:rFonts w:ascii="標楷體" w:eastAsia="標楷體" w:hAnsi="標楷體"/>
                <w:sz w:val="20"/>
                <w:szCs w:val="20"/>
              </w:rPr>
              <w:t>患者體重: _____ kg</w:t>
            </w:r>
          </w:p>
          <w:p w14:paraId="1A2508F4" w14:textId="77777777" w:rsidR="00BD776B" w:rsidRDefault="00DF0C24">
            <w:pPr>
              <w:spacing w:line="276" w:lineRule="auto"/>
              <w:ind w:left="1167" w:hanging="850"/>
              <w:rPr>
                <w:rFonts w:ascii="標楷體" w:eastAsia="標楷體" w:hAnsi="標楷體"/>
                <w:sz w:val="20"/>
                <w:szCs w:val="20"/>
              </w:rPr>
            </w:pPr>
            <w:r>
              <w:rPr>
                <w:rFonts w:ascii="標楷體" w:eastAsia="標楷體" w:hAnsi="標楷體"/>
                <w:sz w:val="20"/>
                <w:szCs w:val="20"/>
              </w:rPr>
              <w:t>3. □ 符合中、重度之掌蹠膿皰症（檢附照片應包括掌、蹠照片）。</w:t>
            </w:r>
          </w:p>
          <w:p w14:paraId="19D53004" w14:textId="77777777" w:rsidR="00BD776B" w:rsidRDefault="00DF0C24" w:rsidP="008A7063">
            <w:pPr>
              <w:numPr>
                <w:ilvl w:val="0"/>
                <w:numId w:val="105"/>
              </w:numPr>
              <w:spacing w:line="276" w:lineRule="auto"/>
              <w:ind w:left="601" w:hanging="284"/>
            </w:pPr>
            <w:r>
              <w:rPr>
                <w:rFonts w:ascii="標楷體" w:eastAsia="標楷體" w:hAnsi="標楷體"/>
                <w:sz w:val="20"/>
                <w:szCs w:val="20"/>
              </w:rPr>
              <w:t>□</w:t>
            </w:r>
            <w:bookmarkStart w:id="40" w:name="_Hlk51776971"/>
            <w:r>
              <w:rPr>
                <w:rFonts w:ascii="標楷體" w:eastAsia="標楷體" w:hAnsi="標楷體"/>
                <w:sz w:val="20"/>
                <w:szCs w:val="20"/>
              </w:rPr>
              <w:t>掌蹠膿皰症面積暨嚴重度指數</w:t>
            </w:r>
            <w:bookmarkEnd w:id="40"/>
            <w:r>
              <w:rPr>
                <w:rFonts w:ascii="標楷體" w:eastAsia="標楷體" w:hAnsi="標楷體"/>
                <w:sz w:val="20"/>
                <w:szCs w:val="20"/>
              </w:rPr>
              <w:t>〔Palmoplantar Pustulosis Area Severity Index（PPPASI）〕</w:t>
            </w:r>
            <w:r>
              <w:rPr>
                <w:rFonts w:ascii="標楷體" w:eastAsia="標楷體" w:hAnsi="標楷體" w:cs="新細明體"/>
                <w:sz w:val="20"/>
                <w:szCs w:val="20"/>
              </w:rPr>
              <w:t>≧</w:t>
            </w:r>
            <w:r>
              <w:rPr>
                <w:rFonts w:ascii="標楷體" w:eastAsia="標楷體" w:hAnsi="標楷體"/>
                <w:sz w:val="20"/>
                <w:szCs w:val="20"/>
              </w:rPr>
              <w:t>12。</w:t>
            </w:r>
          </w:p>
          <w:p w14:paraId="229FC5D9" w14:textId="77777777" w:rsidR="00BD776B" w:rsidRDefault="00DF0C24">
            <w:pPr>
              <w:spacing w:line="276" w:lineRule="auto"/>
              <w:rPr>
                <w:rFonts w:ascii="標楷體" w:eastAsia="標楷體" w:hAnsi="標楷體"/>
                <w:sz w:val="20"/>
                <w:szCs w:val="20"/>
              </w:rPr>
            </w:pPr>
            <w:bookmarkStart w:id="41" w:name="_Hlk51777532"/>
            <w:r>
              <w:rPr>
                <w:rFonts w:ascii="標楷體" w:eastAsia="標楷體" w:hAnsi="標楷體"/>
                <w:sz w:val="20"/>
                <w:szCs w:val="20"/>
              </w:rPr>
              <w:t xml:space="preserve"> PPPASI＝[（E＋P＋D）*area*0.2 (右手掌) ]＋[（E＋P＋D）*area*0.2 (左手掌) ] + [（E＋P＋D）*area*0.3 (右足底) ] + [（E＋P＋D）*area*0.3 (左足底) ]＝________</w:t>
            </w:r>
            <w:bookmarkEnd w:id="41"/>
          </w:p>
          <w:tbl>
            <w:tblPr>
              <w:tblW w:w="0" w:type="dxa"/>
              <w:tblInd w:w="248" w:type="dxa"/>
              <w:tblCellMar>
                <w:left w:w="10" w:type="dxa"/>
                <w:right w:w="10" w:type="dxa"/>
              </w:tblCellMar>
              <w:tblLook w:val="0000" w:firstRow="0" w:lastRow="0" w:firstColumn="0" w:lastColumn="0" w:noHBand="0" w:noVBand="0"/>
            </w:tblPr>
            <w:tblGrid>
              <w:gridCol w:w="990"/>
              <w:gridCol w:w="1838"/>
              <w:gridCol w:w="1838"/>
              <w:gridCol w:w="2122"/>
              <w:gridCol w:w="2251"/>
            </w:tblGrid>
            <w:tr w:rsidR="00BD776B" w14:paraId="5D392DDE"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5D8BE"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Score</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8D2BB"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Ertthma (E)</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92461"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Pustules (P)</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56BEA"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Desquamation (D)</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9BF35"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Area involved (%)</w:t>
                  </w:r>
                </w:p>
              </w:tc>
            </w:tr>
            <w:tr w:rsidR="00BD776B" w14:paraId="63AE6888"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180C7"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6380C"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None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0F19C"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None </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1D1ED"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None</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4C4A"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0</w:t>
                  </w:r>
                </w:p>
              </w:tc>
            </w:tr>
            <w:tr w:rsidR="00BD776B" w14:paraId="0A2B8BB6"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D0558"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2D5F1"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Slight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3148"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Slight </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D4983"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Slight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9DC76"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0-10</w:t>
                  </w:r>
                </w:p>
              </w:tc>
            </w:tr>
            <w:tr w:rsidR="00BD776B" w14:paraId="70CFED56"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B8DB9"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2</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8CC6C"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Moderate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71963"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Moderate </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5AFC0"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Moderate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428D9"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10-30</w:t>
                  </w:r>
                </w:p>
              </w:tc>
            </w:tr>
            <w:tr w:rsidR="00BD776B" w14:paraId="570C445C"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0FAA5"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C7644"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Severe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1DEF3"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Severe </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2FEB8"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 xml:space="preserve">Severe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CF02"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30-50</w:t>
                  </w:r>
                </w:p>
              </w:tc>
            </w:tr>
            <w:tr w:rsidR="00BD776B" w14:paraId="39322BB2"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765F3"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4</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EDDAB"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Very severe</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A9A0D"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Very severe</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4AFA6"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Very severe</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365B9"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50-70</w:t>
                  </w:r>
                </w:p>
              </w:tc>
            </w:tr>
            <w:tr w:rsidR="00BD776B" w14:paraId="41E97B38"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31C10"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5</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867D4"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41DF0"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4592"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2D386"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70-90</w:t>
                  </w:r>
                </w:p>
              </w:tc>
            </w:tr>
            <w:tr w:rsidR="00BD776B" w14:paraId="3C0AA5E9" w14:textId="77777777">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8EE62"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6</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DF3AC"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A1808"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898D6"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C30D9" w14:textId="77777777" w:rsidR="00BD776B" w:rsidRDefault="00DF0C24">
                  <w:pPr>
                    <w:spacing w:line="276" w:lineRule="auto"/>
                    <w:rPr>
                      <w:rFonts w:ascii="標楷體" w:eastAsia="標楷體" w:hAnsi="標楷體"/>
                      <w:sz w:val="20"/>
                      <w:szCs w:val="20"/>
                    </w:rPr>
                  </w:pPr>
                  <w:r>
                    <w:rPr>
                      <w:rFonts w:ascii="標楷體" w:eastAsia="標楷體" w:hAnsi="標楷體"/>
                      <w:sz w:val="20"/>
                      <w:szCs w:val="20"/>
                    </w:rPr>
                    <w:t>90-100</w:t>
                  </w:r>
                </w:p>
              </w:tc>
            </w:tr>
          </w:tbl>
          <w:p w14:paraId="7F8BB482" w14:textId="77777777" w:rsidR="00BD776B" w:rsidRDefault="00BD776B">
            <w:pPr>
              <w:tabs>
                <w:tab w:val="left" w:pos="1386"/>
                <w:tab w:val="left" w:pos="1788"/>
              </w:tabs>
              <w:spacing w:line="276" w:lineRule="auto"/>
              <w:ind w:left="905"/>
              <w:rPr>
                <w:rFonts w:ascii="標楷體" w:eastAsia="標楷體" w:hAnsi="標楷體"/>
                <w:sz w:val="20"/>
                <w:szCs w:val="20"/>
              </w:rPr>
            </w:pPr>
          </w:p>
          <w:p w14:paraId="2D98C967" w14:textId="77777777" w:rsidR="00BD776B" w:rsidRDefault="00DF0C24">
            <w:pPr>
              <w:spacing w:line="276" w:lineRule="auto"/>
              <w:ind w:left="372" w:hanging="372"/>
            </w:pPr>
            <w:r>
              <w:rPr>
                <w:rFonts w:ascii="標楷體" w:eastAsia="標楷體" w:hAnsi="標楷體"/>
                <w:sz w:val="20"/>
                <w:szCs w:val="20"/>
              </w:rPr>
              <w:t xml:space="preserve">□ </w:t>
            </w:r>
            <w:r>
              <w:rPr>
                <w:rFonts w:ascii="標楷體" w:eastAsia="標楷體" w:hAnsi="標楷體"/>
                <w:b/>
                <w:sz w:val="20"/>
                <w:szCs w:val="20"/>
              </w:rPr>
              <w:t>暫緩續用後疾病再復發之重新申請：</w:t>
            </w:r>
          </w:p>
          <w:p w14:paraId="597336BA" w14:textId="77777777" w:rsidR="00BD776B" w:rsidRDefault="00DF0C24">
            <w:pPr>
              <w:tabs>
                <w:tab w:val="left" w:pos="1386"/>
                <w:tab w:val="left" w:pos="1788"/>
              </w:tabs>
              <w:spacing w:line="276" w:lineRule="auto"/>
              <w:ind w:left="905" w:hanging="250"/>
            </w:pPr>
            <w:r>
              <w:rPr>
                <w:rFonts w:ascii="標楷體" w:eastAsia="標楷體" w:hAnsi="標楷體"/>
                <w:sz w:val="20"/>
                <w:szCs w:val="20"/>
              </w:rPr>
              <w:t>□ 符合至少有50%復發（需附上次療程治療前、後，及本次照片</w:t>
            </w:r>
            <w:r>
              <w:rPr>
                <w:rFonts w:ascii="標楷體" w:eastAsia="標楷體" w:hAnsi="標楷體"/>
                <w:b/>
                <w:sz w:val="20"/>
                <w:szCs w:val="20"/>
              </w:rPr>
              <w:t>）</w:t>
            </w:r>
            <w:r>
              <w:rPr>
                <w:rFonts w:ascii="標楷體" w:eastAsia="標楷體" w:hAnsi="標楷體"/>
                <w:sz w:val="20"/>
                <w:szCs w:val="20"/>
              </w:rPr>
              <w:t>。</w:t>
            </w:r>
          </w:p>
        </w:tc>
      </w:tr>
      <w:tr w:rsidR="00BD776B" w14:paraId="70376BBA" w14:textId="77777777">
        <w:tc>
          <w:tcPr>
            <w:tcW w:w="26" w:type="dxa"/>
            <w:shd w:val="clear" w:color="auto" w:fill="auto"/>
            <w:tcMar>
              <w:top w:w="0" w:type="dxa"/>
              <w:left w:w="10" w:type="dxa"/>
              <w:bottom w:w="0" w:type="dxa"/>
              <w:right w:w="10" w:type="dxa"/>
            </w:tcMar>
          </w:tcPr>
          <w:p w14:paraId="1D03D707" w14:textId="77777777" w:rsidR="00BD776B" w:rsidRDefault="00BD776B">
            <w:pPr>
              <w:spacing w:before="180" w:line="276" w:lineRule="auto"/>
            </w:pPr>
          </w:p>
        </w:tc>
        <w:tc>
          <w:tcPr>
            <w:tcW w:w="9487"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375CF339" w14:textId="77777777" w:rsidR="00BD776B" w:rsidRDefault="00DF0C24">
            <w:pPr>
              <w:spacing w:before="180" w:line="276" w:lineRule="auto"/>
            </w:pPr>
            <w:r>
              <w:rPr>
                <w:rFonts w:ascii="標楷體" w:eastAsia="標楷體" w:hAnsi="標楷體"/>
                <w:sz w:val="20"/>
                <w:szCs w:val="20"/>
              </w:rPr>
              <w:t xml:space="preserve">□ </w:t>
            </w:r>
            <w:r>
              <w:rPr>
                <w:rFonts w:ascii="標楷體" w:eastAsia="標楷體" w:hAnsi="標楷體"/>
                <w:b/>
                <w:sz w:val="20"/>
                <w:szCs w:val="20"/>
              </w:rPr>
              <w:t>符合繼續使用之療效評估：</w:t>
            </w:r>
          </w:p>
          <w:p w14:paraId="03EB96B8" w14:textId="77777777" w:rsidR="00BD776B" w:rsidRDefault="00DF0C24">
            <w:pPr>
              <w:ind w:left="317"/>
              <w:rPr>
                <w:rFonts w:ascii="標楷體" w:eastAsia="標楷體" w:hAnsi="標楷體"/>
                <w:b/>
                <w:sz w:val="20"/>
                <w:szCs w:val="20"/>
              </w:rPr>
            </w:pPr>
            <w:r>
              <w:rPr>
                <w:rFonts w:ascii="標楷體" w:eastAsia="標楷體" w:hAnsi="標楷體"/>
                <w:b/>
                <w:sz w:val="20"/>
                <w:szCs w:val="20"/>
              </w:rPr>
              <w:t>初次療程</w:t>
            </w:r>
          </w:p>
          <w:p w14:paraId="0001CF7D" w14:textId="77777777" w:rsidR="00BD776B" w:rsidRDefault="00DF0C24" w:rsidP="008A7063">
            <w:pPr>
              <w:numPr>
                <w:ilvl w:val="1"/>
                <w:numId w:val="103"/>
              </w:numPr>
              <w:spacing w:line="276" w:lineRule="auto"/>
              <w:ind w:left="886" w:hanging="602"/>
              <w:rPr>
                <w:rFonts w:ascii="標楷體" w:eastAsia="標楷體" w:hAnsi="標楷體"/>
                <w:sz w:val="20"/>
                <w:szCs w:val="20"/>
              </w:rPr>
            </w:pPr>
            <w:r>
              <w:rPr>
                <w:rFonts w:ascii="標楷體" w:eastAsia="標楷體" w:hAnsi="標楷體"/>
                <w:sz w:val="20"/>
                <w:szCs w:val="20"/>
              </w:rPr>
              <w:t xml:space="preserve"> □ 於初次療程之第16週評估時，至少有PPPASI25療效。</w:t>
            </w:r>
          </w:p>
          <w:p w14:paraId="60819C31" w14:textId="77777777" w:rsidR="00BD776B" w:rsidRDefault="00DF0C24" w:rsidP="008A7063">
            <w:pPr>
              <w:numPr>
                <w:ilvl w:val="1"/>
                <w:numId w:val="103"/>
              </w:numPr>
              <w:spacing w:line="276" w:lineRule="auto"/>
              <w:ind w:left="886" w:hanging="602"/>
              <w:rPr>
                <w:rFonts w:ascii="標楷體" w:eastAsia="標楷體" w:hAnsi="標楷體"/>
                <w:sz w:val="20"/>
                <w:szCs w:val="20"/>
              </w:rPr>
            </w:pPr>
            <w:r>
              <w:rPr>
                <w:rFonts w:ascii="標楷體" w:eastAsia="標楷體" w:hAnsi="標楷體"/>
                <w:sz w:val="20"/>
                <w:szCs w:val="20"/>
              </w:rPr>
              <w:t xml:space="preserve"> □ 於初次療程，經過6個月治療後，PPPASI改善達50%。</w:t>
            </w:r>
          </w:p>
          <w:p w14:paraId="6751DCF7" w14:textId="77777777" w:rsidR="00BD776B" w:rsidRDefault="00DF0C24" w:rsidP="008A7063">
            <w:pPr>
              <w:numPr>
                <w:ilvl w:val="1"/>
                <w:numId w:val="103"/>
              </w:numPr>
              <w:spacing w:line="276" w:lineRule="auto"/>
              <w:ind w:left="886" w:hanging="602"/>
            </w:pPr>
            <w:r>
              <w:rPr>
                <w:rFonts w:ascii="標楷體" w:eastAsia="標楷體" w:hAnsi="標楷體"/>
                <w:sz w:val="20"/>
                <w:szCs w:val="20"/>
              </w:rPr>
              <w:t xml:space="preserve"> □ 原先使用cyclosporin控制有效且腎功能異常（Creatinine基礎值上升</w:t>
            </w:r>
            <w:r>
              <w:rPr>
                <w:rFonts w:ascii="標楷體" w:eastAsia="標楷體" w:hAnsi="標楷體" w:cs="新細明體"/>
                <w:sz w:val="20"/>
                <w:szCs w:val="20"/>
              </w:rPr>
              <w:t>≧</w:t>
            </w:r>
            <w:r>
              <w:rPr>
                <w:rFonts w:ascii="標楷體" w:eastAsia="標楷體" w:hAnsi="標楷體"/>
                <w:sz w:val="20"/>
                <w:szCs w:val="20"/>
              </w:rPr>
              <w:t>30%）者，於6個月療程（初次療程）結束後，因回復使用cyclosporin產生腎功能異常，或其他無法有效控制之副作用，經減藥後仍無法有效控制掌蹠膿皰症。（不符合者下次申請應於1年後）</w:t>
            </w:r>
          </w:p>
          <w:p w14:paraId="4A96DD46" w14:textId="77777777" w:rsidR="00BD776B" w:rsidRDefault="00DF0C24">
            <w:pPr>
              <w:ind w:left="317"/>
              <w:rPr>
                <w:rFonts w:ascii="標楷體" w:eastAsia="標楷體" w:hAnsi="標楷體"/>
                <w:b/>
                <w:color w:val="0D0D0D"/>
                <w:sz w:val="20"/>
                <w:szCs w:val="20"/>
              </w:rPr>
            </w:pPr>
            <w:r>
              <w:rPr>
                <w:rFonts w:ascii="標楷體" w:eastAsia="標楷體" w:hAnsi="標楷體"/>
                <w:b/>
                <w:color w:val="0D0D0D"/>
                <w:sz w:val="20"/>
                <w:szCs w:val="20"/>
              </w:rPr>
              <w:t>重複療程</w:t>
            </w:r>
          </w:p>
          <w:p w14:paraId="18B3B5B3" w14:textId="77777777" w:rsidR="00BD776B" w:rsidRDefault="00DF0C24" w:rsidP="008A7063">
            <w:pPr>
              <w:numPr>
                <w:ilvl w:val="1"/>
                <w:numId w:val="103"/>
              </w:numPr>
              <w:spacing w:line="276" w:lineRule="auto"/>
              <w:ind w:left="858" w:hanging="574"/>
              <w:rPr>
                <w:rFonts w:ascii="標楷體" w:eastAsia="標楷體" w:hAnsi="標楷體"/>
                <w:color w:val="0D0D0D"/>
                <w:sz w:val="20"/>
                <w:szCs w:val="20"/>
              </w:rPr>
            </w:pPr>
            <w:r>
              <w:rPr>
                <w:rFonts w:ascii="標楷體" w:eastAsia="標楷體" w:hAnsi="標楷體"/>
                <w:color w:val="0D0D0D"/>
                <w:sz w:val="20"/>
                <w:szCs w:val="20"/>
              </w:rPr>
              <w:lastRenderedPageBreak/>
              <w:t xml:space="preserve"> □ 再次申請時，符合下列條件之一：</w:t>
            </w:r>
          </w:p>
          <w:p w14:paraId="414E63C0" w14:textId="77777777" w:rsidR="00BD776B" w:rsidRDefault="00DF0C24" w:rsidP="008A7063">
            <w:pPr>
              <w:numPr>
                <w:ilvl w:val="2"/>
                <w:numId w:val="103"/>
              </w:numPr>
              <w:spacing w:line="276" w:lineRule="auto"/>
              <w:ind w:left="1086" w:hanging="360"/>
              <w:rPr>
                <w:rFonts w:ascii="標楷體" w:eastAsia="標楷體" w:hAnsi="標楷體"/>
                <w:color w:val="0D0D0D"/>
                <w:sz w:val="20"/>
                <w:szCs w:val="20"/>
              </w:rPr>
            </w:pPr>
            <w:r>
              <w:rPr>
                <w:rFonts w:ascii="標楷體" w:eastAsia="標楷體" w:hAnsi="標楷體"/>
                <w:color w:val="0D0D0D"/>
                <w:sz w:val="20"/>
                <w:szCs w:val="20"/>
              </w:rPr>
              <w:t>□ 與初次治療前之療效達PPPASI50；</w:t>
            </w:r>
          </w:p>
          <w:p w14:paraId="7755A0C7" w14:textId="77777777" w:rsidR="00BD776B" w:rsidRDefault="00DF0C24" w:rsidP="008A7063">
            <w:pPr>
              <w:numPr>
                <w:ilvl w:val="2"/>
                <w:numId w:val="103"/>
              </w:numPr>
              <w:spacing w:line="276" w:lineRule="auto"/>
              <w:ind w:left="1086" w:hanging="360"/>
              <w:rPr>
                <w:rFonts w:ascii="標楷體" w:eastAsia="標楷體" w:hAnsi="標楷體"/>
                <w:color w:val="0D0D0D"/>
                <w:sz w:val="20"/>
                <w:szCs w:val="20"/>
              </w:rPr>
            </w:pPr>
            <w:r>
              <w:rPr>
                <w:rFonts w:ascii="標楷體" w:eastAsia="標楷體" w:hAnsi="標楷體"/>
                <w:color w:val="0D0D0D"/>
                <w:sz w:val="20"/>
                <w:szCs w:val="20"/>
              </w:rPr>
              <w:t>□ 暫緩續用後至少有50%復發（需附上次療程治療前、後及本次照片）。</w:t>
            </w:r>
          </w:p>
          <w:p w14:paraId="2B05DEF1" w14:textId="77777777" w:rsidR="00BD776B" w:rsidRDefault="00DF0C24" w:rsidP="008A7063">
            <w:pPr>
              <w:numPr>
                <w:ilvl w:val="1"/>
                <w:numId w:val="103"/>
              </w:numPr>
              <w:spacing w:line="276" w:lineRule="auto"/>
              <w:ind w:left="984" w:hanging="700"/>
              <w:rPr>
                <w:rFonts w:ascii="標楷體" w:eastAsia="標楷體" w:hAnsi="標楷體"/>
                <w:sz w:val="20"/>
                <w:szCs w:val="20"/>
              </w:rPr>
            </w:pPr>
            <w:r>
              <w:rPr>
                <w:rFonts w:ascii="標楷體" w:eastAsia="標楷體" w:hAnsi="標楷體"/>
                <w:sz w:val="20"/>
                <w:szCs w:val="20"/>
              </w:rPr>
              <w:t xml:space="preserve"> □ 上次治療至今病歷影本(至多附6個月)，以及申請日期之臨床照片。</w:t>
            </w:r>
          </w:p>
          <w:p w14:paraId="1B4685B7" w14:textId="77777777" w:rsidR="00BD776B" w:rsidRDefault="00DF0C24">
            <w:pPr>
              <w:spacing w:line="276" w:lineRule="auto"/>
              <w:ind w:left="960" w:firstLine="1"/>
              <w:rPr>
                <w:rFonts w:ascii="標楷體" w:eastAsia="標楷體" w:hAnsi="標楷體"/>
                <w:b/>
                <w:sz w:val="20"/>
                <w:szCs w:val="20"/>
              </w:rPr>
            </w:pPr>
            <w:r>
              <w:rPr>
                <w:rFonts w:ascii="標楷體" w:eastAsia="標楷體" w:hAnsi="標楷體"/>
                <w:b/>
                <w:sz w:val="20"/>
                <w:szCs w:val="20"/>
              </w:rPr>
              <w:t>上次申請之生物製劑使用時間及使用劑量：</w:t>
            </w:r>
          </w:p>
          <w:tbl>
            <w:tblPr>
              <w:tblW w:w="8394" w:type="dxa"/>
              <w:tblInd w:w="915" w:type="dxa"/>
              <w:tblCellMar>
                <w:left w:w="10" w:type="dxa"/>
                <w:right w:w="10" w:type="dxa"/>
              </w:tblCellMar>
              <w:tblLook w:val="0000" w:firstRow="0" w:lastRow="0" w:firstColumn="0" w:lastColumn="0" w:noHBand="0" w:noVBand="0"/>
            </w:tblPr>
            <w:tblGrid>
              <w:gridCol w:w="2075"/>
              <w:gridCol w:w="1776"/>
              <w:gridCol w:w="2127"/>
              <w:gridCol w:w="2416"/>
            </w:tblGrid>
            <w:tr w:rsidR="00BD776B" w14:paraId="6754EE09"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47FDD" w14:textId="77777777" w:rsidR="00BD776B" w:rsidRDefault="00DF0C24">
                  <w:pPr>
                    <w:spacing w:line="360" w:lineRule="auto"/>
                    <w:jc w:val="center"/>
                    <w:rPr>
                      <w:rFonts w:ascii="標楷體" w:eastAsia="標楷體" w:hAnsi="標楷體"/>
                      <w:sz w:val="20"/>
                      <w:szCs w:val="20"/>
                    </w:rPr>
                  </w:pPr>
                  <w:r>
                    <w:rPr>
                      <w:rFonts w:ascii="標楷體" w:eastAsia="標楷體" w:hAnsi="標楷體"/>
                      <w:sz w:val="20"/>
                      <w:szCs w:val="20"/>
                    </w:rPr>
                    <w:t>使用生物製劑</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A3EF1" w14:textId="77777777" w:rsidR="00BD776B" w:rsidRDefault="00DF0C24">
                  <w:pPr>
                    <w:spacing w:line="360" w:lineRule="auto"/>
                    <w:jc w:val="center"/>
                    <w:rPr>
                      <w:rFonts w:ascii="標楷體" w:eastAsia="標楷體" w:hAnsi="標楷體"/>
                      <w:sz w:val="20"/>
                      <w:szCs w:val="20"/>
                    </w:rPr>
                  </w:pPr>
                  <w:r>
                    <w:rPr>
                      <w:rFonts w:ascii="標楷體" w:eastAsia="標楷體" w:hAnsi="標楷體"/>
                      <w:sz w:val="20"/>
                      <w:szCs w:val="20"/>
                    </w:rPr>
                    <w:t>使用劑量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D6E8D" w14:textId="77777777" w:rsidR="00BD776B" w:rsidRDefault="00DF0C24">
                  <w:pPr>
                    <w:spacing w:line="360" w:lineRule="auto"/>
                    <w:jc w:val="center"/>
                    <w:rPr>
                      <w:rFonts w:ascii="標楷體" w:eastAsia="標楷體" w:hAnsi="標楷體"/>
                      <w:sz w:val="20"/>
                      <w:szCs w:val="20"/>
                    </w:rPr>
                  </w:pPr>
                  <w:r>
                    <w:rPr>
                      <w:rFonts w:ascii="標楷體" w:eastAsia="標楷體" w:hAnsi="標楷體"/>
                      <w:sz w:val="20"/>
                      <w:szCs w:val="20"/>
                    </w:rPr>
                    <w:t>使用時間</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7109B" w14:textId="77777777" w:rsidR="00BD776B" w:rsidRDefault="00DF0C24">
                  <w:pPr>
                    <w:spacing w:line="320" w:lineRule="exact"/>
                    <w:jc w:val="center"/>
                    <w:rPr>
                      <w:rFonts w:ascii="標楷體" w:eastAsia="標楷體" w:hAnsi="標楷體"/>
                      <w:sz w:val="20"/>
                      <w:szCs w:val="20"/>
                    </w:rPr>
                  </w:pPr>
                  <w:r>
                    <w:rPr>
                      <w:rFonts w:ascii="標楷體" w:eastAsia="標楷體" w:hAnsi="標楷體"/>
                      <w:sz w:val="20"/>
                      <w:szCs w:val="20"/>
                    </w:rPr>
                    <w:t>PPPASI治療前後數值</w:t>
                  </w:r>
                </w:p>
              </w:tc>
            </w:tr>
            <w:tr w:rsidR="00BD776B" w14:paraId="02ED4459"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CC668" w14:textId="77777777" w:rsidR="00BD776B" w:rsidRDefault="00BD776B">
                  <w:pPr>
                    <w:spacing w:line="360" w:lineRule="auto"/>
                    <w:rPr>
                      <w:rFonts w:ascii="標楷體" w:eastAsia="標楷體" w:hAnsi="標楷體"/>
                      <w:sz w:val="20"/>
                      <w:szCs w:val="20"/>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45646"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___mg/___週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BB1C"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__年__月__日至</w:t>
                  </w:r>
                </w:p>
                <w:p w14:paraId="371CE86E"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__年__月__日</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D93D5" w14:textId="77777777" w:rsidR="00BD776B" w:rsidRDefault="00BD776B">
                  <w:pPr>
                    <w:spacing w:line="360" w:lineRule="auto"/>
                    <w:rPr>
                      <w:rFonts w:ascii="標楷體" w:eastAsia="標楷體" w:hAnsi="標楷體"/>
                      <w:sz w:val="20"/>
                      <w:szCs w:val="20"/>
                    </w:rPr>
                  </w:pPr>
                </w:p>
              </w:tc>
            </w:tr>
            <w:tr w:rsidR="00BD776B" w14:paraId="4F05FC9B"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3C872" w14:textId="77777777" w:rsidR="00BD776B" w:rsidRDefault="00BD776B">
                  <w:pPr>
                    <w:spacing w:line="360" w:lineRule="auto"/>
                    <w:rPr>
                      <w:rFonts w:ascii="標楷體" w:eastAsia="標楷體" w:hAnsi="標楷體"/>
                      <w:sz w:val="20"/>
                      <w:szCs w:val="20"/>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DAD83"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___mg/___週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63AE1"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__年__月__日至</w:t>
                  </w:r>
                </w:p>
                <w:p w14:paraId="30CD9DBC"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__年__月__日</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90086" w14:textId="77777777" w:rsidR="00BD776B" w:rsidRDefault="00BD776B">
                  <w:pPr>
                    <w:spacing w:line="360" w:lineRule="auto"/>
                    <w:rPr>
                      <w:rFonts w:ascii="標楷體" w:eastAsia="標楷體" w:hAnsi="標楷體"/>
                      <w:sz w:val="20"/>
                      <w:szCs w:val="20"/>
                    </w:rPr>
                  </w:pPr>
                </w:p>
              </w:tc>
            </w:tr>
            <w:tr w:rsidR="00BD776B" w14:paraId="7F89806B"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89DAD" w14:textId="77777777" w:rsidR="00BD776B" w:rsidRDefault="00BD776B">
                  <w:pPr>
                    <w:spacing w:line="360" w:lineRule="auto"/>
                    <w:rPr>
                      <w:rFonts w:ascii="標楷體" w:eastAsia="標楷體" w:hAnsi="標楷體"/>
                      <w:sz w:val="20"/>
                      <w:szCs w:val="20"/>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5C7BE"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___mg/___週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CB251"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__年__月__日至</w:t>
                  </w:r>
                </w:p>
                <w:p w14:paraId="7061B5A6" w14:textId="77777777" w:rsidR="00BD776B" w:rsidRDefault="00DF0C24">
                  <w:pPr>
                    <w:spacing w:line="360" w:lineRule="auto"/>
                    <w:rPr>
                      <w:rFonts w:ascii="標楷體" w:eastAsia="標楷體" w:hAnsi="標楷體"/>
                      <w:sz w:val="20"/>
                      <w:szCs w:val="20"/>
                    </w:rPr>
                  </w:pPr>
                  <w:r>
                    <w:rPr>
                      <w:rFonts w:ascii="標楷體" w:eastAsia="標楷體" w:hAnsi="標楷體"/>
                      <w:sz w:val="20"/>
                      <w:szCs w:val="20"/>
                    </w:rPr>
                    <w:t>__年__月__日</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2948B" w14:textId="77777777" w:rsidR="00BD776B" w:rsidRDefault="00BD776B">
                  <w:pPr>
                    <w:spacing w:line="360" w:lineRule="auto"/>
                    <w:rPr>
                      <w:rFonts w:ascii="標楷體" w:eastAsia="標楷體" w:hAnsi="標楷體"/>
                      <w:sz w:val="20"/>
                      <w:szCs w:val="20"/>
                    </w:rPr>
                  </w:pPr>
                </w:p>
              </w:tc>
            </w:tr>
            <w:tr w:rsidR="00BD776B" w14:paraId="210C409B" w14:textId="77777777">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86AD" w14:textId="77777777" w:rsidR="00BD776B" w:rsidRDefault="00BD776B">
                  <w:pPr>
                    <w:spacing w:line="360" w:lineRule="auto"/>
                    <w:rPr>
                      <w:rFonts w:ascii="標楷體" w:eastAsia="標楷體" w:hAnsi="標楷體"/>
                      <w:sz w:val="20"/>
                      <w:szCs w:val="20"/>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73C9" w14:textId="77777777" w:rsidR="00BD776B" w:rsidRDefault="00BD776B">
                  <w:pPr>
                    <w:spacing w:line="360" w:lineRule="auto"/>
                    <w:rPr>
                      <w:rFonts w:ascii="標楷體" w:eastAsia="標楷體" w:hAnsi="標楷體"/>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5D729" w14:textId="77777777" w:rsidR="00BD776B" w:rsidRDefault="00BD776B">
                  <w:pPr>
                    <w:spacing w:line="360" w:lineRule="auto"/>
                    <w:rPr>
                      <w:rFonts w:ascii="標楷體" w:eastAsia="標楷體" w:hAnsi="標楷體"/>
                      <w:sz w:val="20"/>
                      <w:szCs w:val="20"/>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C245F" w14:textId="77777777" w:rsidR="00BD776B" w:rsidRDefault="00BD776B">
                  <w:pPr>
                    <w:spacing w:line="360" w:lineRule="auto"/>
                    <w:rPr>
                      <w:rFonts w:ascii="標楷體" w:eastAsia="標楷體" w:hAnsi="標楷體"/>
                      <w:sz w:val="20"/>
                      <w:szCs w:val="20"/>
                    </w:rPr>
                  </w:pPr>
                </w:p>
              </w:tc>
            </w:tr>
          </w:tbl>
          <w:p w14:paraId="6E1749F4" w14:textId="77777777" w:rsidR="00BD776B" w:rsidRDefault="00BD776B">
            <w:pPr>
              <w:ind w:left="338"/>
              <w:rPr>
                <w:rFonts w:ascii="標楷體" w:eastAsia="標楷體" w:hAnsi="標楷體"/>
                <w:sz w:val="20"/>
                <w:szCs w:val="20"/>
              </w:rPr>
            </w:pPr>
          </w:p>
        </w:tc>
        <w:tc>
          <w:tcPr>
            <w:tcW w:w="26" w:type="dxa"/>
            <w:shd w:val="clear" w:color="auto" w:fill="auto"/>
            <w:tcMar>
              <w:top w:w="0" w:type="dxa"/>
              <w:left w:w="10" w:type="dxa"/>
              <w:bottom w:w="0" w:type="dxa"/>
              <w:right w:w="10" w:type="dxa"/>
            </w:tcMar>
          </w:tcPr>
          <w:p w14:paraId="0E7D1911" w14:textId="77777777" w:rsidR="00BD776B" w:rsidRDefault="00BD776B">
            <w:pPr>
              <w:ind w:left="338"/>
              <w:rPr>
                <w:rFonts w:ascii="標楷體" w:eastAsia="標楷體" w:hAnsi="標楷體"/>
                <w:sz w:val="20"/>
                <w:szCs w:val="20"/>
              </w:rPr>
            </w:pPr>
          </w:p>
        </w:tc>
      </w:tr>
      <w:tr w:rsidR="00BD776B" w14:paraId="52DF990E" w14:textId="77777777">
        <w:tc>
          <w:tcPr>
            <w:tcW w:w="9513" w:type="dxa"/>
            <w:gridSpan w:val="5"/>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192CB483" w14:textId="77777777" w:rsidR="00BD776B" w:rsidRDefault="00DF0C24">
            <w:pPr>
              <w:ind w:left="120"/>
            </w:pPr>
            <w:r>
              <w:rPr>
                <w:rFonts w:ascii="標楷體" w:eastAsia="標楷體" w:hAnsi="標楷體" w:cs="Webdings"/>
                <w:sz w:val="20"/>
                <w:szCs w:val="20"/>
              </w:rPr>
              <w:t></w:t>
            </w:r>
            <w:r>
              <w:rPr>
                <w:rFonts w:ascii="標楷體" w:eastAsia="標楷體" w:hAnsi="標楷體"/>
                <w:b/>
                <w:sz w:val="20"/>
                <w:szCs w:val="20"/>
              </w:rPr>
              <w:t>無「需排除或停止使用之情形」</w:t>
            </w:r>
          </w:p>
        </w:tc>
        <w:tc>
          <w:tcPr>
            <w:tcW w:w="26" w:type="dxa"/>
            <w:shd w:val="clear" w:color="auto" w:fill="auto"/>
            <w:tcMar>
              <w:top w:w="0" w:type="dxa"/>
              <w:left w:w="10" w:type="dxa"/>
              <w:bottom w:w="0" w:type="dxa"/>
              <w:right w:w="10" w:type="dxa"/>
            </w:tcMar>
          </w:tcPr>
          <w:p w14:paraId="6315B578" w14:textId="77777777" w:rsidR="00BD776B" w:rsidRDefault="00BD776B">
            <w:pPr>
              <w:ind w:left="120"/>
              <w:rPr>
                <w:rFonts w:ascii="標楷體" w:eastAsia="標楷體" w:hAnsi="標楷體"/>
                <w:sz w:val="20"/>
                <w:szCs w:val="20"/>
                <w:u w:val="single"/>
              </w:rPr>
            </w:pPr>
          </w:p>
        </w:tc>
      </w:tr>
      <w:tr w:rsidR="00BD776B" w14:paraId="4BAA9862"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6FF8D78"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E31732" w14:textId="77777777" w:rsidR="00BD776B" w:rsidRDefault="00DF0C24" w:rsidP="008A7063">
            <w:pPr>
              <w:numPr>
                <w:ilvl w:val="0"/>
                <w:numId w:val="106"/>
              </w:numPr>
              <w:tabs>
                <w:tab w:val="left" w:pos="520"/>
              </w:tabs>
              <w:ind w:left="918" w:hanging="480"/>
              <w:textAlignment w:val="center"/>
              <w:rPr>
                <w:rFonts w:ascii="標楷體" w:eastAsia="標楷體" w:hAnsi="標楷體"/>
                <w:sz w:val="20"/>
                <w:szCs w:val="20"/>
              </w:rPr>
            </w:pPr>
            <w:r>
              <w:rPr>
                <w:rFonts w:ascii="標楷體" w:eastAsia="標楷體" w:hAnsi="標楷體"/>
                <w:sz w:val="20"/>
                <w:szCs w:val="20"/>
              </w:rPr>
              <w:t>是</w:t>
            </w:r>
          </w:p>
          <w:p w14:paraId="46FDDADD" w14:textId="77777777" w:rsidR="00BD776B" w:rsidRDefault="00DF0C24" w:rsidP="008A7063">
            <w:pPr>
              <w:numPr>
                <w:ilvl w:val="0"/>
                <w:numId w:val="106"/>
              </w:numPr>
              <w:tabs>
                <w:tab w:val="left" w:pos="520"/>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3C23A50"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是否有生物製劑仿單記載之禁忌情形。</w:t>
            </w:r>
          </w:p>
        </w:tc>
        <w:tc>
          <w:tcPr>
            <w:tcW w:w="26" w:type="dxa"/>
            <w:shd w:val="clear" w:color="auto" w:fill="auto"/>
            <w:tcMar>
              <w:top w:w="0" w:type="dxa"/>
              <w:left w:w="10" w:type="dxa"/>
              <w:bottom w:w="0" w:type="dxa"/>
              <w:right w:w="10" w:type="dxa"/>
            </w:tcMar>
          </w:tcPr>
          <w:p w14:paraId="1D43C35D" w14:textId="77777777" w:rsidR="00BD776B" w:rsidRDefault="00BD776B">
            <w:pPr>
              <w:textAlignment w:val="center"/>
              <w:rPr>
                <w:rFonts w:ascii="標楷體" w:eastAsia="標楷體" w:hAnsi="標楷體"/>
                <w:sz w:val="20"/>
                <w:szCs w:val="20"/>
                <w:u w:val="single"/>
              </w:rPr>
            </w:pPr>
          </w:p>
        </w:tc>
      </w:tr>
      <w:tr w:rsidR="00BD776B" w14:paraId="65C46CFD"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AA4BA05" w14:textId="77777777" w:rsidR="00BD776B" w:rsidRDefault="00BD776B">
            <w:pPr>
              <w:textAlignment w:val="center"/>
              <w:rPr>
                <w:rFonts w:ascii="標楷體" w:eastAsia="標楷體" w:hAnsi="標楷體"/>
                <w:sz w:val="20"/>
                <w:szCs w:val="20"/>
                <w:u w:val="single"/>
              </w:rPr>
            </w:pPr>
          </w:p>
          <w:p w14:paraId="4C814A87"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14E86C"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182546BC"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917696B"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婦女是否正在懷孕或授乳。</w:t>
            </w:r>
          </w:p>
        </w:tc>
        <w:tc>
          <w:tcPr>
            <w:tcW w:w="26" w:type="dxa"/>
            <w:shd w:val="clear" w:color="auto" w:fill="auto"/>
            <w:tcMar>
              <w:top w:w="0" w:type="dxa"/>
              <w:left w:w="10" w:type="dxa"/>
              <w:bottom w:w="0" w:type="dxa"/>
              <w:right w:w="10" w:type="dxa"/>
            </w:tcMar>
          </w:tcPr>
          <w:p w14:paraId="423426E1" w14:textId="77777777" w:rsidR="00BD776B" w:rsidRDefault="00BD776B">
            <w:pPr>
              <w:textAlignment w:val="center"/>
              <w:rPr>
                <w:rFonts w:ascii="標楷體" w:eastAsia="標楷體" w:hAnsi="標楷體"/>
                <w:sz w:val="20"/>
                <w:szCs w:val="20"/>
                <w:u w:val="single"/>
              </w:rPr>
            </w:pPr>
          </w:p>
        </w:tc>
      </w:tr>
      <w:tr w:rsidR="00BD776B" w14:paraId="510EF96C"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B960B4A"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3BE682"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4306CDC9"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7117993"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病患是否罹患活動性感染之疾病。</w:t>
            </w:r>
          </w:p>
        </w:tc>
        <w:tc>
          <w:tcPr>
            <w:tcW w:w="26" w:type="dxa"/>
            <w:shd w:val="clear" w:color="auto" w:fill="auto"/>
            <w:tcMar>
              <w:top w:w="0" w:type="dxa"/>
              <w:left w:w="10" w:type="dxa"/>
              <w:bottom w:w="0" w:type="dxa"/>
              <w:right w:w="10" w:type="dxa"/>
            </w:tcMar>
          </w:tcPr>
          <w:p w14:paraId="7471E945" w14:textId="77777777" w:rsidR="00BD776B" w:rsidRDefault="00BD776B">
            <w:pPr>
              <w:textAlignment w:val="center"/>
              <w:rPr>
                <w:rFonts w:ascii="標楷體" w:eastAsia="標楷體" w:hAnsi="標楷體"/>
                <w:sz w:val="20"/>
                <w:szCs w:val="20"/>
                <w:u w:val="single"/>
              </w:rPr>
            </w:pPr>
          </w:p>
        </w:tc>
      </w:tr>
      <w:tr w:rsidR="00BD776B" w14:paraId="704A222D"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68379BA"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E1B813"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3A5F9322"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F9C5E35"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病患是否具有高度感染機會之情形，包括下列：</w:t>
            </w:r>
          </w:p>
          <w:p w14:paraId="2CD715CF"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1.慢性腿部潰瘍</w:t>
            </w:r>
          </w:p>
          <w:p w14:paraId="526C7818"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2.未經完整治療之結核病的病患（包括潛伏結核感染治療未達四週者，申請時應檢附潛伏結核感染篩檢紀錄及治療紀錄供審查）</w:t>
            </w:r>
          </w:p>
          <w:p w14:paraId="26481F04"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3.過去12個月內曾罹患感染性關節炎者</w:t>
            </w:r>
          </w:p>
          <w:p w14:paraId="37DA9E51"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4.人工關節受到感染〈該人工關節未除去前，不可使用生物製劑〉</w:t>
            </w:r>
          </w:p>
          <w:p w14:paraId="58F8564D"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5.頑固性或復發性的胸腔感染疾病，6.具有留置導尿管之情形</w:t>
            </w:r>
          </w:p>
        </w:tc>
        <w:tc>
          <w:tcPr>
            <w:tcW w:w="26" w:type="dxa"/>
            <w:shd w:val="clear" w:color="auto" w:fill="auto"/>
            <w:tcMar>
              <w:top w:w="0" w:type="dxa"/>
              <w:left w:w="10" w:type="dxa"/>
              <w:bottom w:w="0" w:type="dxa"/>
              <w:right w:w="10" w:type="dxa"/>
            </w:tcMar>
          </w:tcPr>
          <w:p w14:paraId="4A13AFC0" w14:textId="77777777" w:rsidR="00BD776B" w:rsidRDefault="00BD776B">
            <w:pPr>
              <w:textAlignment w:val="center"/>
              <w:rPr>
                <w:rFonts w:ascii="標楷體" w:eastAsia="標楷體" w:hAnsi="標楷體"/>
                <w:sz w:val="20"/>
                <w:szCs w:val="20"/>
                <w:u w:val="single"/>
              </w:rPr>
            </w:pPr>
          </w:p>
        </w:tc>
      </w:tr>
      <w:tr w:rsidR="00BD776B" w14:paraId="4482FE68"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70E18D9"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DC2A74"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73557403"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050890F"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病患是否罹患惡性腫瘤或癌前狀態之腫瘤</w:t>
            </w:r>
          </w:p>
        </w:tc>
        <w:tc>
          <w:tcPr>
            <w:tcW w:w="26" w:type="dxa"/>
            <w:shd w:val="clear" w:color="auto" w:fill="auto"/>
            <w:tcMar>
              <w:top w:w="0" w:type="dxa"/>
              <w:left w:w="10" w:type="dxa"/>
              <w:bottom w:w="0" w:type="dxa"/>
              <w:right w:w="10" w:type="dxa"/>
            </w:tcMar>
          </w:tcPr>
          <w:p w14:paraId="1CA6C291" w14:textId="77777777" w:rsidR="00BD776B" w:rsidRDefault="00BD776B">
            <w:pPr>
              <w:textAlignment w:val="center"/>
              <w:rPr>
                <w:rFonts w:ascii="標楷體" w:eastAsia="標楷體" w:hAnsi="標楷體"/>
                <w:sz w:val="20"/>
                <w:szCs w:val="20"/>
                <w:u w:val="single"/>
              </w:rPr>
            </w:pPr>
          </w:p>
        </w:tc>
      </w:tr>
      <w:tr w:rsidR="00BD776B" w14:paraId="3B2FB213"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066AB6D"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CB7806"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71C848BB"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B9B23DF"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病患是否罹患多發性硬化症(multiple sclerosis)</w:t>
            </w:r>
          </w:p>
        </w:tc>
        <w:tc>
          <w:tcPr>
            <w:tcW w:w="26" w:type="dxa"/>
            <w:shd w:val="clear" w:color="auto" w:fill="auto"/>
            <w:tcMar>
              <w:top w:w="0" w:type="dxa"/>
              <w:left w:w="10" w:type="dxa"/>
              <w:bottom w:w="0" w:type="dxa"/>
              <w:right w:w="10" w:type="dxa"/>
            </w:tcMar>
          </w:tcPr>
          <w:p w14:paraId="79BBF840" w14:textId="77777777" w:rsidR="00BD776B" w:rsidRDefault="00BD776B">
            <w:pPr>
              <w:textAlignment w:val="center"/>
              <w:rPr>
                <w:rFonts w:ascii="標楷體" w:eastAsia="標楷體" w:hAnsi="標楷體"/>
                <w:sz w:val="20"/>
                <w:szCs w:val="20"/>
                <w:u w:val="single"/>
              </w:rPr>
            </w:pPr>
          </w:p>
        </w:tc>
      </w:tr>
      <w:tr w:rsidR="00BD776B" w14:paraId="2DF035CB" w14:textId="77777777">
        <w:tc>
          <w:tcPr>
            <w:tcW w:w="928" w:type="dxa"/>
            <w:gridSpan w:val="2"/>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2FCF6270"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002CDE"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1BC613BF"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8F04AB9"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於初次療程，經過6個月治療後PPPASI下降程度未達50%</w:t>
            </w:r>
          </w:p>
        </w:tc>
        <w:tc>
          <w:tcPr>
            <w:tcW w:w="26" w:type="dxa"/>
            <w:shd w:val="clear" w:color="auto" w:fill="auto"/>
            <w:tcMar>
              <w:top w:w="0" w:type="dxa"/>
              <w:left w:w="10" w:type="dxa"/>
              <w:bottom w:w="0" w:type="dxa"/>
              <w:right w:w="10" w:type="dxa"/>
            </w:tcMar>
          </w:tcPr>
          <w:p w14:paraId="556F67DC" w14:textId="77777777" w:rsidR="00BD776B" w:rsidRDefault="00BD776B">
            <w:pPr>
              <w:textAlignment w:val="center"/>
              <w:rPr>
                <w:rFonts w:ascii="標楷體" w:eastAsia="標楷體" w:hAnsi="標楷體"/>
                <w:sz w:val="20"/>
                <w:szCs w:val="20"/>
                <w:u w:val="single"/>
              </w:rPr>
            </w:pPr>
          </w:p>
        </w:tc>
      </w:tr>
      <w:tr w:rsidR="00BD776B" w14:paraId="187258AB" w14:textId="77777777">
        <w:tc>
          <w:tcPr>
            <w:tcW w:w="928" w:type="dxa"/>
            <w:gridSpan w:val="2"/>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734C8289" w14:textId="77777777" w:rsidR="00BD776B" w:rsidRDefault="00BD776B">
            <w:pPr>
              <w:textAlignment w:val="center"/>
              <w:rPr>
                <w:rFonts w:ascii="標楷體" w:eastAsia="標楷體" w:hAnsi="標楷體"/>
                <w:sz w:val="20"/>
                <w:szCs w:val="20"/>
                <w:u w:val="single"/>
              </w:rPr>
            </w:pPr>
          </w:p>
        </w:tc>
        <w:tc>
          <w:tcPr>
            <w:tcW w:w="2003"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5938C125"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是</w:t>
            </w:r>
          </w:p>
          <w:p w14:paraId="7156A08C"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rPr>
            </w:pPr>
            <w:r>
              <w:rPr>
                <w:rFonts w:ascii="標楷體" w:eastAsia="標楷體" w:hAnsi="標楷體"/>
                <w:sz w:val="20"/>
                <w:szCs w:val="20"/>
              </w:rPr>
              <w:t>否</w:t>
            </w:r>
          </w:p>
        </w:tc>
        <w:tc>
          <w:tcPr>
            <w:tcW w:w="6582"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235A2195"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使用生物製劑期間發生懷孕或不良事件(包括：惡性腫瘤、該藥物引起的嚴重毒性、嚴重的感染性疾病)</w:t>
            </w:r>
          </w:p>
        </w:tc>
        <w:tc>
          <w:tcPr>
            <w:tcW w:w="26" w:type="dxa"/>
            <w:shd w:val="clear" w:color="auto" w:fill="auto"/>
            <w:tcMar>
              <w:top w:w="0" w:type="dxa"/>
              <w:left w:w="10" w:type="dxa"/>
              <w:bottom w:w="0" w:type="dxa"/>
              <w:right w:w="10" w:type="dxa"/>
            </w:tcMar>
          </w:tcPr>
          <w:p w14:paraId="53C71B62" w14:textId="77777777" w:rsidR="00BD776B" w:rsidRDefault="00BD776B">
            <w:pPr>
              <w:textAlignment w:val="center"/>
              <w:rPr>
                <w:rFonts w:ascii="標楷體" w:eastAsia="標楷體" w:hAnsi="標楷體"/>
                <w:sz w:val="20"/>
                <w:szCs w:val="20"/>
                <w:u w:val="single"/>
              </w:rPr>
            </w:pPr>
          </w:p>
        </w:tc>
      </w:tr>
      <w:tr w:rsidR="00BD776B" w14:paraId="60892E6A" w14:textId="77777777">
        <w:tc>
          <w:tcPr>
            <w:tcW w:w="9513" w:type="dxa"/>
            <w:gridSpan w:val="5"/>
            <w:tcBorders>
              <w:top w:val="double" w:sz="4" w:space="0" w:color="000000"/>
              <w:left w:val="doub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75C05855" w14:textId="77777777" w:rsidR="00BD776B" w:rsidRDefault="00DF0C24">
            <w:pPr>
              <w:textAlignment w:val="center"/>
            </w:pPr>
            <w:r>
              <w:rPr>
                <w:rFonts w:ascii="標楷體" w:eastAsia="標楷體" w:hAnsi="標楷體" w:cs="Webdings"/>
                <w:sz w:val="20"/>
                <w:szCs w:val="20"/>
              </w:rPr>
              <w:t></w:t>
            </w:r>
            <w:r>
              <w:rPr>
                <w:rFonts w:ascii="標楷體" w:eastAsia="標楷體" w:hAnsi="標楷體"/>
                <w:b/>
                <w:sz w:val="20"/>
                <w:szCs w:val="20"/>
              </w:rPr>
              <w:t>無「需暫緩續用之情形」</w:t>
            </w:r>
          </w:p>
        </w:tc>
        <w:tc>
          <w:tcPr>
            <w:tcW w:w="26" w:type="dxa"/>
            <w:shd w:val="clear" w:color="auto" w:fill="auto"/>
            <w:tcMar>
              <w:top w:w="0" w:type="dxa"/>
              <w:left w:w="10" w:type="dxa"/>
              <w:bottom w:w="0" w:type="dxa"/>
              <w:right w:w="10" w:type="dxa"/>
            </w:tcMar>
          </w:tcPr>
          <w:p w14:paraId="6F09A844" w14:textId="77777777" w:rsidR="00BD776B" w:rsidRDefault="00BD776B">
            <w:pPr>
              <w:textAlignment w:val="center"/>
              <w:rPr>
                <w:rFonts w:ascii="標楷體" w:eastAsia="標楷體" w:hAnsi="標楷體"/>
                <w:sz w:val="20"/>
                <w:szCs w:val="20"/>
                <w:u w:val="single"/>
              </w:rPr>
            </w:pPr>
          </w:p>
        </w:tc>
      </w:tr>
      <w:tr w:rsidR="00BD776B" w14:paraId="28439F5C" w14:textId="77777777">
        <w:tc>
          <w:tcPr>
            <w:tcW w:w="928" w:type="dxa"/>
            <w:gridSpan w:val="2"/>
            <w:tcBorders>
              <w:top w:val="single" w:sz="4"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09C68023" w14:textId="77777777" w:rsidR="00BD776B" w:rsidRDefault="00BD776B">
            <w:pPr>
              <w:textAlignment w:val="center"/>
              <w:rPr>
                <w:rFonts w:ascii="標楷體" w:eastAsia="標楷體" w:hAnsi="標楷體"/>
                <w:sz w:val="20"/>
                <w:szCs w:val="20"/>
                <w:u w:val="single"/>
              </w:rPr>
            </w:pPr>
          </w:p>
        </w:tc>
        <w:tc>
          <w:tcPr>
            <w:tcW w:w="2003" w:type="dxa"/>
            <w:tcBorders>
              <w:top w:val="sing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1F2E7A36"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u w:val="single"/>
              </w:rPr>
            </w:pPr>
            <w:r>
              <w:rPr>
                <w:rFonts w:ascii="標楷體" w:eastAsia="標楷體" w:hAnsi="標楷體"/>
                <w:sz w:val="20"/>
                <w:szCs w:val="20"/>
                <w:u w:val="single"/>
              </w:rPr>
              <w:t>是</w:t>
            </w:r>
          </w:p>
          <w:p w14:paraId="551325A2" w14:textId="77777777" w:rsidR="00BD776B" w:rsidRDefault="00DF0C24" w:rsidP="008A7063">
            <w:pPr>
              <w:numPr>
                <w:ilvl w:val="0"/>
                <w:numId w:val="106"/>
              </w:numPr>
              <w:tabs>
                <w:tab w:val="left" w:pos="425"/>
              </w:tabs>
              <w:ind w:left="918" w:hanging="480"/>
              <w:textAlignment w:val="center"/>
              <w:rPr>
                <w:rFonts w:ascii="標楷體" w:eastAsia="標楷體" w:hAnsi="標楷體"/>
                <w:sz w:val="20"/>
                <w:szCs w:val="20"/>
                <w:u w:val="single"/>
              </w:rPr>
            </w:pPr>
            <w:r>
              <w:rPr>
                <w:rFonts w:ascii="標楷體" w:eastAsia="標楷體" w:hAnsi="標楷體"/>
                <w:sz w:val="20"/>
                <w:szCs w:val="20"/>
                <w:u w:val="single"/>
              </w:rPr>
              <w:t>否</w:t>
            </w:r>
          </w:p>
        </w:tc>
        <w:tc>
          <w:tcPr>
            <w:tcW w:w="6582" w:type="dxa"/>
            <w:gridSpan w:val="2"/>
            <w:tcBorders>
              <w:top w:val="sing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5A97A4A5"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使用生物製劑治療2年後符合PPPASI&lt;12</w:t>
            </w:r>
          </w:p>
          <w:p w14:paraId="06944442" w14:textId="77777777" w:rsidR="00BD776B" w:rsidRDefault="00DF0C24">
            <w:pPr>
              <w:textAlignment w:val="center"/>
              <w:rPr>
                <w:rFonts w:ascii="標楷體" w:eastAsia="標楷體" w:hAnsi="標楷體"/>
                <w:sz w:val="20"/>
                <w:szCs w:val="20"/>
              </w:rPr>
            </w:pPr>
            <w:r>
              <w:rPr>
                <w:rFonts w:ascii="標楷體" w:eastAsia="標楷體" w:hAnsi="標楷體"/>
                <w:sz w:val="20"/>
                <w:szCs w:val="20"/>
              </w:rPr>
              <w:t>（生物製劑使用/轉用時間計算方式之定義請參照給付規定）</w:t>
            </w:r>
          </w:p>
        </w:tc>
        <w:tc>
          <w:tcPr>
            <w:tcW w:w="26" w:type="dxa"/>
            <w:shd w:val="clear" w:color="auto" w:fill="auto"/>
            <w:tcMar>
              <w:top w:w="0" w:type="dxa"/>
              <w:left w:w="10" w:type="dxa"/>
              <w:bottom w:w="0" w:type="dxa"/>
              <w:right w:w="10" w:type="dxa"/>
            </w:tcMar>
          </w:tcPr>
          <w:p w14:paraId="010B4430" w14:textId="77777777" w:rsidR="00BD776B" w:rsidRDefault="00BD776B">
            <w:pPr>
              <w:textAlignment w:val="center"/>
              <w:rPr>
                <w:rFonts w:ascii="標楷體" w:eastAsia="標楷體" w:hAnsi="標楷體"/>
                <w:sz w:val="20"/>
                <w:szCs w:val="20"/>
                <w:u w:val="single"/>
              </w:rPr>
            </w:pPr>
          </w:p>
        </w:tc>
      </w:tr>
      <w:tr w:rsidR="00BD776B" w14:paraId="6946EB5D" w14:textId="77777777">
        <w:tc>
          <w:tcPr>
            <w:tcW w:w="6555" w:type="dxa"/>
            <w:gridSpan w:val="4"/>
            <w:shd w:val="clear" w:color="auto" w:fill="auto"/>
            <w:tcMar>
              <w:top w:w="0" w:type="dxa"/>
              <w:left w:w="28" w:type="dxa"/>
              <w:bottom w:w="0" w:type="dxa"/>
              <w:right w:w="28" w:type="dxa"/>
            </w:tcMar>
          </w:tcPr>
          <w:p w14:paraId="45454F8F" w14:textId="77777777" w:rsidR="00BD776B" w:rsidRDefault="00BD776B">
            <w:pPr>
              <w:spacing w:line="276" w:lineRule="auto"/>
              <w:textAlignment w:val="center"/>
              <w:rPr>
                <w:rFonts w:ascii="標楷體" w:eastAsia="標楷體" w:hAnsi="標楷體"/>
                <w:sz w:val="20"/>
                <w:szCs w:val="20"/>
              </w:rPr>
            </w:pPr>
          </w:p>
          <w:p w14:paraId="0F09FCB4" w14:textId="77777777" w:rsidR="00BD776B" w:rsidRDefault="00DF0C24">
            <w:pPr>
              <w:spacing w:line="276" w:lineRule="auto"/>
              <w:textAlignment w:val="center"/>
              <w:rPr>
                <w:rFonts w:ascii="標楷體" w:eastAsia="標楷體" w:hAnsi="標楷體"/>
                <w:sz w:val="20"/>
                <w:szCs w:val="20"/>
              </w:rPr>
            </w:pPr>
            <w:r>
              <w:rPr>
                <w:rFonts w:ascii="標楷體" w:eastAsia="標楷體" w:hAnsi="標楷體"/>
                <w:sz w:val="20"/>
                <w:szCs w:val="20"/>
              </w:rPr>
              <w:t xml:space="preserve">申請醫師（簽名蓋章）：　　　　　　　    </w:t>
            </w:r>
          </w:p>
          <w:p w14:paraId="0D3035CC" w14:textId="77777777" w:rsidR="00BD776B" w:rsidRDefault="00DF0C24">
            <w:pPr>
              <w:spacing w:line="276" w:lineRule="auto"/>
              <w:textAlignment w:val="center"/>
              <w:rPr>
                <w:rFonts w:ascii="標楷體" w:eastAsia="標楷體" w:hAnsi="標楷體"/>
                <w:sz w:val="20"/>
                <w:szCs w:val="20"/>
              </w:rPr>
            </w:pPr>
            <w:r>
              <w:rPr>
                <w:rFonts w:ascii="標楷體" w:eastAsia="標楷體" w:hAnsi="標楷體"/>
                <w:sz w:val="20"/>
                <w:szCs w:val="20"/>
              </w:rPr>
              <w:t>專科醫師證書：    專字第　　　　 　  號</w:t>
            </w:r>
          </w:p>
          <w:p w14:paraId="0D8C93A0" w14:textId="77777777" w:rsidR="00BD776B" w:rsidRDefault="00BD776B">
            <w:pPr>
              <w:tabs>
                <w:tab w:val="left" w:pos="2912"/>
              </w:tabs>
              <w:spacing w:line="276" w:lineRule="auto"/>
              <w:textAlignment w:val="center"/>
              <w:rPr>
                <w:rFonts w:ascii="標楷體" w:eastAsia="標楷體" w:hAnsi="標楷體"/>
                <w:sz w:val="20"/>
                <w:szCs w:val="20"/>
              </w:rPr>
            </w:pPr>
          </w:p>
        </w:tc>
        <w:tc>
          <w:tcPr>
            <w:tcW w:w="2958" w:type="dxa"/>
            <w:shd w:val="clear" w:color="auto" w:fill="auto"/>
            <w:tcMar>
              <w:top w:w="0" w:type="dxa"/>
              <w:left w:w="28" w:type="dxa"/>
              <w:bottom w:w="0" w:type="dxa"/>
              <w:right w:w="28" w:type="dxa"/>
            </w:tcMar>
          </w:tcPr>
          <w:p w14:paraId="650823A9" w14:textId="77777777" w:rsidR="00BD776B" w:rsidRDefault="00BD776B">
            <w:pPr>
              <w:spacing w:line="276" w:lineRule="auto"/>
              <w:textAlignment w:val="center"/>
              <w:rPr>
                <w:rFonts w:ascii="標楷體" w:eastAsia="標楷體" w:hAnsi="標楷體"/>
                <w:sz w:val="20"/>
                <w:szCs w:val="20"/>
              </w:rPr>
            </w:pPr>
          </w:p>
          <w:p w14:paraId="044CEFA0" w14:textId="77777777" w:rsidR="00BD776B" w:rsidRDefault="00DF0C24">
            <w:pPr>
              <w:spacing w:line="276" w:lineRule="auto"/>
              <w:textAlignment w:val="center"/>
              <w:rPr>
                <w:rFonts w:ascii="標楷體" w:eastAsia="標楷體" w:hAnsi="標楷體"/>
                <w:sz w:val="20"/>
                <w:szCs w:val="20"/>
              </w:rPr>
            </w:pPr>
            <w:r>
              <w:rPr>
                <w:rFonts w:ascii="標楷體" w:eastAsia="標楷體" w:hAnsi="標楷體"/>
                <w:sz w:val="20"/>
                <w:szCs w:val="20"/>
              </w:rPr>
              <w:t>醫事機構章戳：</w:t>
            </w:r>
          </w:p>
        </w:tc>
        <w:tc>
          <w:tcPr>
            <w:tcW w:w="26" w:type="dxa"/>
            <w:shd w:val="clear" w:color="auto" w:fill="auto"/>
            <w:tcMar>
              <w:top w:w="0" w:type="dxa"/>
              <w:left w:w="10" w:type="dxa"/>
              <w:bottom w:w="0" w:type="dxa"/>
              <w:right w:w="10" w:type="dxa"/>
            </w:tcMar>
          </w:tcPr>
          <w:p w14:paraId="16918FD0" w14:textId="77777777" w:rsidR="00BD776B" w:rsidRDefault="00BD776B">
            <w:pPr>
              <w:spacing w:line="276" w:lineRule="auto"/>
              <w:textAlignment w:val="center"/>
              <w:rPr>
                <w:rFonts w:ascii="標楷體" w:eastAsia="標楷體" w:hAnsi="標楷體"/>
                <w:sz w:val="20"/>
                <w:szCs w:val="20"/>
              </w:rPr>
            </w:pPr>
          </w:p>
        </w:tc>
      </w:tr>
    </w:tbl>
    <w:p w14:paraId="60C02F97" w14:textId="77777777" w:rsidR="00BD776B" w:rsidRDefault="00BD776B">
      <w:pPr>
        <w:spacing w:line="480" w:lineRule="exact"/>
        <w:ind w:left="1" w:firstLine="221"/>
        <w:rPr>
          <w:rFonts w:ascii="標楷體" w:eastAsia="標楷體" w:hAnsi="標楷體"/>
          <w:sz w:val="20"/>
          <w:szCs w:val="20"/>
        </w:rPr>
      </w:pPr>
      <w:bookmarkStart w:id="42" w:name="_Hlk51776939"/>
    </w:p>
    <w:bookmarkEnd w:id="42"/>
    <w:p w14:paraId="47EEA7C5" w14:textId="77777777" w:rsidR="00BD776B" w:rsidRDefault="00BD776B">
      <w:pPr>
        <w:widowControl/>
        <w:suppressAutoHyphens w:val="0"/>
      </w:pPr>
    </w:p>
    <w:p w14:paraId="29A70A55" w14:textId="77777777" w:rsidR="00BD776B" w:rsidRDefault="00DF0C24">
      <w:pPr>
        <w:pageBreakBefore/>
        <w:widowControl/>
        <w:spacing w:line="480" w:lineRule="exact"/>
        <w:jc w:val="center"/>
        <w:rPr>
          <w:rFonts w:eastAsia="標楷體"/>
          <w:b/>
          <w:kern w:val="0"/>
          <w:sz w:val="28"/>
          <w:szCs w:val="28"/>
        </w:rPr>
      </w:pPr>
      <w:r>
        <w:rPr>
          <w:rFonts w:eastAsia="標楷體"/>
          <w:b/>
          <w:kern w:val="0"/>
          <w:sz w:val="28"/>
          <w:szCs w:val="28"/>
        </w:rPr>
        <w:lastRenderedPageBreak/>
        <w:t>附表二十四之七：全民健康保險乾癬使用</w:t>
      </w:r>
      <w:r>
        <w:rPr>
          <w:rFonts w:eastAsia="標楷體"/>
          <w:b/>
          <w:kern w:val="0"/>
          <w:sz w:val="28"/>
          <w:szCs w:val="28"/>
        </w:rPr>
        <w:t>apremilast</w:t>
      </w:r>
      <w:r>
        <w:rPr>
          <w:rFonts w:eastAsia="標楷體"/>
          <w:b/>
          <w:kern w:val="0"/>
          <w:sz w:val="28"/>
          <w:szCs w:val="28"/>
        </w:rPr>
        <w:t>申請表</w:t>
      </w:r>
    </w:p>
    <w:tbl>
      <w:tblPr>
        <w:tblW w:w="9618" w:type="dxa"/>
        <w:jc w:val="center"/>
        <w:tblLayout w:type="fixed"/>
        <w:tblCellMar>
          <w:left w:w="10" w:type="dxa"/>
          <w:right w:w="10" w:type="dxa"/>
        </w:tblCellMar>
        <w:tblLook w:val="0000" w:firstRow="0" w:lastRow="0" w:firstColumn="0" w:lastColumn="0" w:noHBand="0" w:noVBand="0"/>
      </w:tblPr>
      <w:tblGrid>
        <w:gridCol w:w="43"/>
        <w:gridCol w:w="664"/>
        <w:gridCol w:w="645"/>
        <w:gridCol w:w="319"/>
        <w:gridCol w:w="1366"/>
        <w:gridCol w:w="1262"/>
        <w:gridCol w:w="1545"/>
        <w:gridCol w:w="323"/>
        <w:gridCol w:w="800"/>
        <w:gridCol w:w="2509"/>
        <w:gridCol w:w="19"/>
        <w:gridCol w:w="43"/>
        <w:gridCol w:w="40"/>
        <w:gridCol w:w="40"/>
      </w:tblGrid>
      <w:tr w:rsidR="00BD776B" w14:paraId="5F93EE7C" w14:textId="77777777">
        <w:trPr>
          <w:cantSplit/>
          <w:trHeight w:val="376"/>
          <w:jc w:val="center"/>
        </w:trPr>
        <w:tc>
          <w:tcPr>
            <w:tcW w:w="43" w:type="dxa"/>
            <w:shd w:val="clear" w:color="auto" w:fill="auto"/>
            <w:tcMar>
              <w:top w:w="0" w:type="dxa"/>
              <w:left w:w="10" w:type="dxa"/>
              <w:bottom w:w="0" w:type="dxa"/>
              <w:right w:w="10" w:type="dxa"/>
            </w:tcMar>
          </w:tcPr>
          <w:p w14:paraId="08442996" w14:textId="77777777" w:rsidR="00BD776B" w:rsidRDefault="00BD776B">
            <w:pPr>
              <w:snapToGrid w:val="0"/>
              <w:spacing w:line="380" w:lineRule="exact"/>
              <w:ind w:firstLine="231"/>
              <w:jc w:val="both"/>
              <w:rPr>
                <w:rFonts w:eastAsia="標楷體"/>
              </w:rPr>
            </w:pPr>
          </w:p>
        </w:tc>
        <w:tc>
          <w:tcPr>
            <w:tcW w:w="1312" w:type="dxa"/>
            <w:gridSpan w:val="2"/>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9FC16A4" w14:textId="77777777" w:rsidR="00BD776B" w:rsidRDefault="00DF0C24">
            <w:pPr>
              <w:snapToGrid w:val="0"/>
              <w:spacing w:line="380" w:lineRule="exact"/>
              <w:ind w:firstLine="231"/>
              <w:jc w:val="both"/>
              <w:rPr>
                <w:rFonts w:eastAsia="標楷體"/>
              </w:rPr>
            </w:pPr>
            <w:r>
              <w:rPr>
                <w:rFonts w:eastAsia="標楷體"/>
              </w:rPr>
              <w:t>醫院代號</w:t>
            </w:r>
          </w:p>
        </w:tc>
        <w:tc>
          <w:tcPr>
            <w:tcW w:w="1687"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FD5F6E" w14:textId="77777777" w:rsidR="00BD776B" w:rsidRDefault="00BD776B">
            <w:pPr>
              <w:snapToGrid w:val="0"/>
              <w:spacing w:line="380" w:lineRule="exact"/>
              <w:ind w:hanging="567"/>
              <w:jc w:val="both"/>
              <w:rPr>
                <w:rFonts w:eastAsia="標楷體"/>
              </w:rPr>
            </w:pPr>
          </w:p>
        </w:tc>
        <w:tc>
          <w:tcPr>
            <w:tcW w:w="1264"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42CE3D" w14:textId="77777777" w:rsidR="00BD776B" w:rsidRDefault="00DF0C24">
            <w:pPr>
              <w:snapToGrid w:val="0"/>
              <w:spacing w:line="380" w:lineRule="exact"/>
              <w:jc w:val="both"/>
              <w:rPr>
                <w:rFonts w:eastAsia="標楷體"/>
              </w:rPr>
            </w:pPr>
            <w:r>
              <w:rPr>
                <w:rFonts w:eastAsia="標楷體"/>
              </w:rPr>
              <w:t>醫院名稱</w:t>
            </w:r>
          </w:p>
        </w:tc>
        <w:tc>
          <w:tcPr>
            <w:tcW w:w="154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AEEB461" w14:textId="77777777" w:rsidR="00BD776B" w:rsidRDefault="00BD776B">
            <w:pPr>
              <w:snapToGrid w:val="0"/>
              <w:spacing w:line="380" w:lineRule="exact"/>
              <w:ind w:hanging="567"/>
              <w:jc w:val="both"/>
              <w:rPr>
                <w:rFonts w:eastAsia="標楷體"/>
              </w:rPr>
            </w:pPr>
          </w:p>
        </w:tc>
        <w:tc>
          <w:tcPr>
            <w:tcW w:w="1124"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8ACC3F" w14:textId="77777777" w:rsidR="00BD776B" w:rsidRDefault="00DF0C24">
            <w:pPr>
              <w:snapToGrid w:val="0"/>
              <w:spacing w:line="380" w:lineRule="exact"/>
              <w:ind w:firstLine="33"/>
              <w:jc w:val="both"/>
              <w:rPr>
                <w:rFonts w:eastAsia="標楷體"/>
              </w:rPr>
            </w:pPr>
            <w:r>
              <w:rPr>
                <w:rFonts w:eastAsia="標楷體"/>
              </w:rPr>
              <w:t>申請日期</w:t>
            </w:r>
          </w:p>
        </w:tc>
        <w:tc>
          <w:tcPr>
            <w:tcW w:w="2532" w:type="dxa"/>
            <w:gridSpan w:val="2"/>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1CA7303" w14:textId="77777777" w:rsidR="00BD776B" w:rsidRDefault="00BD776B">
            <w:pPr>
              <w:snapToGrid w:val="0"/>
              <w:spacing w:line="380" w:lineRule="exact"/>
              <w:ind w:hanging="567"/>
              <w:jc w:val="both"/>
              <w:rPr>
                <w:rFonts w:eastAsia="標楷體"/>
              </w:rPr>
            </w:pPr>
          </w:p>
        </w:tc>
        <w:tc>
          <w:tcPr>
            <w:tcW w:w="43" w:type="dxa"/>
            <w:shd w:val="clear" w:color="auto" w:fill="auto"/>
            <w:tcMar>
              <w:top w:w="0" w:type="dxa"/>
              <w:left w:w="10" w:type="dxa"/>
              <w:bottom w:w="0" w:type="dxa"/>
              <w:right w:w="10" w:type="dxa"/>
            </w:tcMar>
          </w:tcPr>
          <w:p w14:paraId="2EAB2A09" w14:textId="77777777" w:rsidR="00BD776B" w:rsidRDefault="00BD776B">
            <w:pPr>
              <w:snapToGrid w:val="0"/>
              <w:spacing w:line="380" w:lineRule="exact"/>
              <w:ind w:hanging="567"/>
              <w:jc w:val="both"/>
              <w:rPr>
                <w:rFonts w:eastAsia="標楷體"/>
              </w:rPr>
            </w:pPr>
          </w:p>
        </w:tc>
        <w:tc>
          <w:tcPr>
            <w:tcW w:w="66" w:type="dxa"/>
            <w:gridSpan w:val="2"/>
            <w:shd w:val="clear" w:color="auto" w:fill="auto"/>
            <w:tcMar>
              <w:top w:w="0" w:type="dxa"/>
              <w:left w:w="10" w:type="dxa"/>
              <w:bottom w:w="0" w:type="dxa"/>
              <w:right w:w="10" w:type="dxa"/>
            </w:tcMar>
          </w:tcPr>
          <w:p w14:paraId="77785CFB" w14:textId="77777777" w:rsidR="00BD776B" w:rsidRDefault="00BD776B">
            <w:pPr>
              <w:snapToGrid w:val="0"/>
              <w:spacing w:line="380" w:lineRule="exact"/>
              <w:ind w:hanging="567"/>
              <w:jc w:val="both"/>
              <w:rPr>
                <w:rFonts w:eastAsia="標楷體"/>
              </w:rPr>
            </w:pPr>
          </w:p>
        </w:tc>
      </w:tr>
      <w:tr w:rsidR="00BD776B" w14:paraId="6F1F0C64" w14:textId="77777777">
        <w:trPr>
          <w:cantSplit/>
          <w:trHeight w:val="332"/>
          <w:jc w:val="center"/>
        </w:trPr>
        <w:tc>
          <w:tcPr>
            <w:tcW w:w="43" w:type="dxa"/>
            <w:shd w:val="clear" w:color="auto" w:fill="auto"/>
            <w:tcMar>
              <w:top w:w="0" w:type="dxa"/>
              <w:left w:w="10" w:type="dxa"/>
              <w:bottom w:w="0" w:type="dxa"/>
              <w:right w:w="10" w:type="dxa"/>
            </w:tcMar>
          </w:tcPr>
          <w:p w14:paraId="4930FB10" w14:textId="77777777" w:rsidR="00BD776B" w:rsidRDefault="00BD776B">
            <w:pPr>
              <w:spacing w:line="380" w:lineRule="exact"/>
              <w:ind w:firstLine="231"/>
              <w:jc w:val="both"/>
              <w:rPr>
                <w:rFonts w:eastAsia="標楷體"/>
              </w:rPr>
            </w:pPr>
          </w:p>
        </w:tc>
        <w:tc>
          <w:tcPr>
            <w:tcW w:w="1312"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71C83DA" w14:textId="77777777" w:rsidR="00BD776B" w:rsidRDefault="00DF0C24">
            <w:pPr>
              <w:spacing w:line="380" w:lineRule="exact"/>
              <w:ind w:firstLine="231"/>
              <w:jc w:val="both"/>
              <w:rPr>
                <w:rFonts w:eastAsia="標楷體"/>
              </w:rPr>
            </w:pPr>
            <w:r>
              <w:rPr>
                <w:rFonts w:eastAsia="標楷體"/>
              </w:rPr>
              <w:t>病人姓名</w:t>
            </w:r>
          </w:p>
        </w:tc>
        <w:tc>
          <w:tcPr>
            <w:tcW w:w="168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BFB49BE" w14:textId="77777777" w:rsidR="00BD776B" w:rsidRDefault="00BD776B">
            <w:pPr>
              <w:spacing w:line="380" w:lineRule="exact"/>
              <w:ind w:hanging="567"/>
              <w:jc w:val="both"/>
              <w:rPr>
                <w:rFonts w:eastAsia="標楷體"/>
              </w:rPr>
            </w:pPr>
          </w:p>
        </w:tc>
        <w:tc>
          <w:tcPr>
            <w:tcW w:w="12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48C821" w14:textId="77777777" w:rsidR="00BD776B" w:rsidRDefault="00DF0C24">
            <w:pPr>
              <w:spacing w:line="380" w:lineRule="exact"/>
              <w:jc w:val="both"/>
              <w:rPr>
                <w:rFonts w:eastAsia="標楷體"/>
              </w:rPr>
            </w:pPr>
            <w:r>
              <w:rPr>
                <w:rFonts w:eastAsia="標楷體"/>
              </w:rPr>
              <w:t>性別</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D32661E" w14:textId="77777777" w:rsidR="00BD776B" w:rsidRDefault="00BD776B">
            <w:pPr>
              <w:spacing w:line="380" w:lineRule="exact"/>
              <w:ind w:hanging="567"/>
              <w:jc w:val="both"/>
              <w:rPr>
                <w:rFonts w:eastAsia="標楷體"/>
              </w:rPr>
            </w:pPr>
          </w:p>
        </w:tc>
        <w:tc>
          <w:tcPr>
            <w:tcW w:w="11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84555A" w14:textId="77777777" w:rsidR="00BD776B" w:rsidRDefault="00DF0C24">
            <w:pPr>
              <w:spacing w:line="380" w:lineRule="exact"/>
              <w:ind w:firstLine="33"/>
              <w:jc w:val="both"/>
              <w:rPr>
                <w:rFonts w:eastAsia="標楷體"/>
              </w:rPr>
            </w:pPr>
            <w:r>
              <w:rPr>
                <w:rFonts w:eastAsia="標楷體"/>
              </w:rPr>
              <w:t>出生日期</w:t>
            </w:r>
          </w:p>
        </w:tc>
        <w:tc>
          <w:tcPr>
            <w:tcW w:w="2532" w:type="dxa"/>
            <w:gridSpan w:val="2"/>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CCB5056" w14:textId="77777777" w:rsidR="00BD776B" w:rsidRDefault="00BD776B">
            <w:pPr>
              <w:spacing w:line="380" w:lineRule="exact"/>
              <w:ind w:hanging="567"/>
              <w:jc w:val="both"/>
              <w:rPr>
                <w:rFonts w:eastAsia="標楷體"/>
              </w:rPr>
            </w:pPr>
          </w:p>
        </w:tc>
        <w:tc>
          <w:tcPr>
            <w:tcW w:w="43" w:type="dxa"/>
            <w:shd w:val="clear" w:color="auto" w:fill="auto"/>
            <w:tcMar>
              <w:top w:w="0" w:type="dxa"/>
              <w:left w:w="10" w:type="dxa"/>
              <w:bottom w:w="0" w:type="dxa"/>
              <w:right w:w="10" w:type="dxa"/>
            </w:tcMar>
          </w:tcPr>
          <w:p w14:paraId="0ED5C9A3" w14:textId="77777777" w:rsidR="00BD776B" w:rsidRDefault="00BD776B">
            <w:pPr>
              <w:spacing w:line="380" w:lineRule="exact"/>
              <w:ind w:hanging="567"/>
              <w:jc w:val="both"/>
              <w:rPr>
                <w:rFonts w:eastAsia="標楷體"/>
              </w:rPr>
            </w:pPr>
          </w:p>
        </w:tc>
        <w:tc>
          <w:tcPr>
            <w:tcW w:w="66" w:type="dxa"/>
            <w:gridSpan w:val="2"/>
            <w:shd w:val="clear" w:color="auto" w:fill="auto"/>
            <w:tcMar>
              <w:top w:w="0" w:type="dxa"/>
              <w:left w:w="10" w:type="dxa"/>
              <w:bottom w:w="0" w:type="dxa"/>
              <w:right w:w="10" w:type="dxa"/>
            </w:tcMar>
          </w:tcPr>
          <w:p w14:paraId="3AA53640" w14:textId="77777777" w:rsidR="00BD776B" w:rsidRDefault="00BD776B">
            <w:pPr>
              <w:spacing w:line="380" w:lineRule="exact"/>
              <w:ind w:hanging="567"/>
              <w:jc w:val="both"/>
              <w:rPr>
                <w:rFonts w:eastAsia="標楷體"/>
              </w:rPr>
            </w:pPr>
          </w:p>
        </w:tc>
      </w:tr>
      <w:tr w:rsidR="00BD776B" w14:paraId="0328E7DA" w14:textId="77777777">
        <w:trPr>
          <w:cantSplit/>
          <w:trHeight w:val="356"/>
          <w:jc w:val="center"/>
        </w:trPr>
        <w:tc>
          <w:tcPr>
            <w:tcW w:w="43" w:type="dxa"/>
            <w:shd w:val="clear" w:color="auto" w:fill="auto"/>
            <w:tcMar>
              <w:top w:w="0" w:type="dxa"/>
              <w:left w:w="10" w:type="dxa"/>
              <w:bottom w:w="0" w:type="dxa"/>
              <w:right w:w="10" w:type="dxa"/>
            </w:tcMar>
          </w:tcPr>
          <w:p w14:paraId="152B3BB0" w14:textId="77777777" w:rsidR="00BD776B" w:rsidRDefault="00BD776B">
            <w:pPr>
              <w:spacing w:line="380" w:lineRule="exact"/>
              <w:ind w:firstLine="231"/>
              <w:jc w:val="both"/>
              <w:rPr>
                <w:rFonts w:eastAsia="標楷體"/>
              </w:rPr>
            </w:pPr>
          </w:p>
        </w:tc>
        <w:tc>
          <w:tcPr>
            <w:tcW w:w="1312"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69D7D05" w14:textId="77777777" w:rsidR="00BD776B" w:rsidRDefault="00DF0C24">
            <w:pPr>
              <w:spacing w:line="380" w:lineRule="exact"/>
              <w:ind w:firstLine="231"/>
              <w:jc w:val="both"/>
              <w:rPr>
                <w:rFonts w:eastAsia="標楷體"/>
              </w:rPr>
            </w:pPr>
            <w:r>
              <w:rPr>
                <w:rFonts w:eastAsia="標楷體"/>
              </w:rPr>
              <w:t>身分證號</w:t>
            </w:r>
          </w:p>
        </w:tc>
        <w:tc>
          <w:tcPr>
            <w:tcW w:w="168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D1F77E" w14:textId="77777777" w:rsidR="00BD776B" w:rsidRDefault="00BD776B">
            <w:pPr>
              <w:spacing w:line="380" w:lineRule="exact"/>
              <w:ind w:hanging="567"/>
              <w:jc w:val="both"/>
              <w:rPr>
                <w:rFonts w:eastAsia="標楷體"/>
              </w:rPr>
            </w:pPr>
          </w:p>
        </w:tc>
        <w:tc>
          <w:tcPr>
            <w:tcW w:w="12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C106BF9" w14:textId="77777777" w:rsidR="00BD776B" w:rsidRDefault="00DF0C24">
            <w:pPr>
              <w:spacing w:line="380" w:lineRule="exact"/>
              <w:jc w:val="both"/>
              <w:rPr>
                <w:rFonts w:eastAsia="標楷體"/>
              </w:rPr>
            </w:pPr>
            <w:r>
              <w:rPr>
                <w:rFonts w:eastAsia="標楷體"/>
              </w:rPr>
              <w:t>病歷號碼</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0B0911" w14:textId="77777777" w:rsidR="00BD776B" w:rsidRDefault="00BD776B">
            <w:pPr>
              <w:spacing w:line="380" w:lineRule="exact"/>
              <w:ind w:hanging="567"/>
              <w:jc w:val="both"/>
              <w:rPr>
                <w:rFonts w:eastAsia="標楷體"/>
              </w:rPr>
            </w:pPr>
          </w:p>
        </w:tc>
        <w:tc>
          <w:tcPr>
            <w:tcW w:w="1124" w:type="dxa"/>
            <w:gridSpan w:val="2"/>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2B67DAAC" w14:textId="77777777" w:rsidR="00BD776B" w:rsidRDefault="00DF0C24">
            <w:pPr>
              <w:spacing w:line="380" w:lineRule="exact"/>
              <w:ind w:firstLine="33"/>
              <w:jc w:val="both"/>
              <w:rPr>
                <w:rFonts w:eastAsia="標楷體"/>
              </w:rPr>
            </w:pPr>
            <w:r>
              <w:rPr>
                <w:rFonts w:eastAsia="標楷體"/>
              </w:rPr>
              <w:t>使用期間</w:t>
            </w:r>
          </w:p>
        </w:tc>
        <w:tc>
          <w:tcPr>
            <w:tcW w:w="2532" w:type="dxa"/>
            <w:gridSpan w:val="2"/>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A3CB7F3" w14:textId="77777777" w:rsidR="00BD776B" w:rsidRDefault="00DF0C24">
            <w:pPr>
              <w:spacing w:line="380" w:lineRule="exact"/>
              <w:ind w:hanging="567"/>
              <w:jc w:val="both"/>
              <w:rPr>
                <w:rFonts w:eastAsia="標楷體"/>
              </w:rPr>
            </w:pPr>
            <w:r>
              <w:rPr>
                <w:rFonts w:eastAsia="標楷體"/>
              </w:rPr>
              <w:t>自　　年　　月　　日</w:t>
            </w:r>
          </w:p>
        </w:tc>
        <w:tc>
          <w:tcPr>
            <w:tcW w:w="43" w:type="dxa"/>
            <w:shd w:val="clear" w:color="auto" w:fill="auto"/>
            <w:tcMar>
              <w:top w:w="0" w:type="dxa"/>
              <w:left w:w="10" w:type="dxa"/>
              <w:bottom w:w="0" w:type="dxa"/>
              <w:right w:w="10" w:type="dxa"/>
            </w:tcMar>
          </w:tcPr>
          <w:p w14:paraId="1669B95A" w14:textId="77777777" w:rsidR="00BD776B" w:rsidRDefault="00BD776B">
            <w:pPr>
              <w:spacing w:line="380" w:lineRule="exact"/>
              <w:ind w:hanging="567"/>
              <w:jc w:val="both"/>
              <w:rPr>
                <w:rFonts w:eastAsia="標楷體"/>
              </w:rPr>
            </w:pPr>
          </w:p>
        </w:tc>
        <w:tc>
          <w:tcPr>
            <w:tcW w:w="66" w:type="dxa"/>
            <w:gridSpan w:val="2"/>
            <w:shd w:val="clear" w:color="auto" w:fill="auto"/>
            <w:tcMar>
              <w:top w:w="0" w:type="dxa"/>
              <w:left w:w="10" w:type="dxa"/>
              <w:bottom w:w="0" w:type="dxa"/>
              <w:right w:w="10" w:type="dxa"/>
            </w:tcMar>
          </w:tcPr>
          <w:p w14:paraId="70F85D87" w14:textId="77777777" w:rsidR="00BD776B" w:rsidRDefault="00BD776B">
            <w:pPr>
              <w:spacing w:line="380" w:lineRule="exact"/>
              <w:ind w:hanging="567"/>
              <w:jc w:val="both"/>
              <w:rPr>
                <w:rFonts w:eastAsia="標楷體"/>
              </w:rPr>
            </w:pPr>
          </w:p>
        </w:tc>
      </w:tr>
      <w:tr w:rsidR="00BD776B" w14:paraId="1A308D65" w14:textId="77777777">
        <w:trPr>
          <w:cantSplit/>
          <w:trHeight w:val="337"/>
          <w:jc w:val="center"/>
        </w:trPr>
        <w:tc>
          <w:tcPr>
            <w:tcW w:w="43" w:type="dxa"/>
            <w:shd w:val="clear" w:color="auto" w:fill="auto"/>
            <w:tcMar>
              <w:top w:w="0" w:type="dxa"/>
              <w:left w:w="10" w:type="dxa"/>
              <w:bottom w:w="0" w:type="dxa"/>
              <w:right w:w="10" w:type="dxa"/>
            </w:tcMar>
          </w:tcPr>
          <w:p w14:paraId="53534792" w14:textId="77777777" w:rsidR="00BD776B" w:rsidRDefault="00BD776B">
            <w:pPr>
              <w:spacing w:line="380" w:lineRule="exact"/>
              <w:ind w:firstLine="231"/>
              <w:jc w:val="both"/>
              <w:rPr>
                <w:rFonts w:eastAsia="標楷體"/>
              </w:rPr>
            </w:pPr>
          </w:p>
        </w:tc>
        <w:tc>
          <w:tcPr>
            <w:tcW w:w="1312" w:type="dxa"/>
            <w:gridSpan w:val="2"/>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3CEDA0C8" w14:textId="77777777" w:rsidR="00BD776B" w:rsidRDefault="00DF0C24">
            <w:pPr>
              <w:spacing w:line="380" w:lineRule="exact"/>
              <w:ind w:firstLine="231"/>
              <w:jc w:val="both"/>
              <w:rPr>
                <w:rFonts w:eastAsia="標楷體"/>
              </w:rPr>
            </w:pPr>
            <w:r>
              <w:rPr>
                <w:rFonts w:eastAsia="標楷體"/>
              </w:rPr>
              <w:t>藥品代碼</w:t>
            </w:r>
          </w:p>
        </w:tc>
        <w:tc>
          <w:tcPr>
            <w:tcW w:w="1687" w:type="dxa"/>
            <w:gridSpan w:val="2"/>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33DE2FD" w14:textId="77777777" w:rsidR="00BD776B" w:rsidRDefault="00BD776B">
            <w:pPr>
              <w:spacing w:line="380" w:lineRule="exact"/>
              <w:ind w:hanging="567"/>
              <w:jc w:val="both"/>
              <w:rPr>
                <w:rFonts w:eastAsia="標楷體"/>
              </w:rPr>
            </w:pPr>
          </w:p>
        </w:tc>
        <w:tc>
          <w:tcPr>
            <w:tcW w:w="1264"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839BE93" w14:textId="77777777" w:rsidR="00BD776B" w:rsidRDefault="00DF0C24">
            <w:pPr>
              <w:spacing w:line="380" w:lineRule="exact"/>
              <w:jc w:val="both"/>
              <w:rPr>
                <w:rFonts w:eastAsia="標楷體"/>
              </w:rPr>
            </w:pPr>
            <w:r>
              <w:rPr>
                <w:rFonts w:eastAsia="標楷體"/>
              </w:rPr>
              <w:t>用法用量</w:t>
            </w:r>
          </w:p>
        </w:tc>
        <w:tc>
          <w:tcPr>
            <w:tcW w:w="154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A511639" w14:textId="77777777" w:rsidR="00BD776B" w:rsidRDefault="00BD776B">
            <w:pPr>
              <w:spacing w:line="380" w:lineRule="exact"/>
              <w:ind w:hanging="567"/>
              <w:jc w:val="both"/>
              <w:rPr>
                <w:rFonts w:eastAsia="標楷體"/>
              </w:rPr>
            </w:pPr>
          </w:p>
        </w:tc>
        <w:tc>
          <w:tcPr>
            <w:tcW w:w="1124" w:type="dxa"/>
            <w:gridSpan w:val="2"/>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73CE6D2F" w14:textId="77777777" w:rsidR="00BD776B" w:rsidRDefault="00BD776B">
            <w:pPr>
              <w:widowControl/>
              <w:spacing w:line="480" w:lineRule="exact"/>
              <w:ind w:hanging="567"/>
              <w:jc w:val="both"/>
              <w:rPr>
                <w:rFonts w:eastAsia="標楷體"/>
              </w:rPr>
            </w:pPr>
          </w:p>
        </w:tc>
        <w:tc>
          <w:tcPr>
            <w:tcW w:w="2532" w:type="dxa"/>
            <w:gridSpan w:val="2"/>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513F942B" w14:textId="77777777" w:rsidR="00BD776B" w:rsidRDefault="00DF0C24">
            <w:pPr>
              <w:spacing w:line="380" w:lineRule="exact"/>
              <w:ind w:hanging="567"/>
              <w:jc w:val="both"/>
              <w:rPr>
                <w:rFonts w:eastAsia="標楷體"/>
              </w:rPr>
            </w:pPr>
            <w:r>
              <w:rPr>
                <w:rFonts w:eastAsia="標楷體"/>
              </w:rPr>
              <w:t>至　　年　　月　　日</w:t>
            </w:r>
          </w:p>
        </w:tc>
        <w:tc>
          <w:tcPr>
            <w:tcW w:w="43" w:type="dxa"/>
            <w:shd w:val="clear" w:color="auto" w:fill="auto"/>
            <w:tcMar>
              <w:top w:w="0" w:type="dxa"/>
              <w:left w:w="10" w:type="dxa"/>
              <w:bottom w:w="0" w:type="dxa"/>
              <w:right w:w="10" w:type="dxa"/>
            </w:tcMar>
          </w:tcPr>
          <w:p w14:paraId="0F240546" w14:textId="77777777" w:rsidR="00BD776B" w:rsidRDefault="00BD776B">
            <w:pPr>
              <w:spacing w:line="380" w:lineRule="exact"/>
              <w:ind w:hanging="567"/>
              <w:jc w:val="both"/>
              <w:rPr>
                <w:rFonts w:eastAsia="標楷體"/>
              </w:rPr>
            </w:pPr>
          </w:p>
        </w:tc>
        <w:tc>
          <w:tcPr>
            <w:tcW w:w="66" w:type="dxa"/>
            <w:gridSpan w:val="2"/>
            <w:shd w:val="clear" w:color="auto" w:fill="auto"/>
            <w:tcMar>
              <w:top w:w="0" w:type="dxa"/>
              <w:left w:w="10" w:type="dxa"/>
              <w:bottom w:w="0" w:type="dxa"/>
              <w:right w:w="10" w:type="dxa"/>
            </w:tcMar>
          </w:tcPr>
          <w:p w14:paraId="73EB0520" w14:textId="77777777" w:rsidR="00BD776B" w:rsidRDefault="00BD776B">
            <w:pPr>
              <w:spacing w:line="380" w:lineRule="exact"/>
              <w:ind w:hanging="567"/>
              <w:jc w:val="both"/>
              <w:rPr>
                <w:rFonts w:eastAsia="標楷體"/>
              </w:rPr>
            </w:pPr>
          </w:p>
        </w:tc>
      </w:tr>
      <w:tr w:rsidR="00BD776B" w14:paraId="7A531C9F" w14:textId="77777777">
        <w:trPr>
          <w:trHeight w:val="142"/>
          <w:jc w:val="center"/>
        </w:trPr>
        <w:tc>
          <w:tcPr>
            <w:tcW w:w="43" w:type="dxa"/>
          </w:tcPr>
          <w:p w14:paraId="53AD1D67" w14:textId="77777777" w:rsidR="00BD776B" w:rsidRDefault="00BD776B">
            <w:pPr>
              <w:spacing w:line="276" w:lineRule="auto"/>
              <w:ind w:left="372" w:hanging="372"/>
              <w:jc w:val="both"/>
            </w:pPr>
          </w:p>
        </w:tc>
        <w:tc>
          <w:tcPr>
            <w:tcW w:w="9509" w:type="dxa"/>
            <w:gridSpan w:val="11"/>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334DDDB9" w14:textId="77777777" w:rsidR="00BD776B" w:rsidRDefault="00DF0C24">
            <w:pPr>
              <w:spacing w:line="276" w:lineRule="auto"/>
              <w:ind w:left="372" w:hanging="372"/>
              <w:jc w:val="both"/>
            </w:pPr>
            <w:r>
              <w:rPr>
                <w:rFonts w:eastAsia="標楷體"/>
                <w:sz w:val="26"/>
                <w:szCs w:val="26"/>
              </w:rPr>
              <w:t xml:space="preserve">□ </w:t>
            </w:r>
            <w:r>
              <w:rPr>
                <w:rFonts w:eastAsia="標楷體"/>
                <w:b/>
                <w:sz w:val="26"/>
                <w:szCs w:val="26"/>
              </w:rPr>
              <w:t>符合對傳統全身性治療療效反應不佳、無法耐受或具有禁忌症的中度至重度斑塊乾癬之成年病人：</w:t>
            </w:r>
            <w:r>
              <w:rPr>
                <w:rFonts w:eastAsia="標楷體"/>
                <w:sz w:val="26"/>
                <w:szCs w:val="26"/>
              </w:rPr>
              <w:t xml:space="preserve"> </w:t>
            </w:r>
          </w:p>
          <w:p w14:paraId="4D3FCBDC" w14:textId="77777777" w:rsidR="00BD776B" w:rsidRDefault="00DF0C24" w:rsidP="008A7063">
            <w:pPr>
              <w:numPr>
                <w:ilvl w:val="1"/>
                <w:numId w:val="107"/>
              </w:numPr>
              <w:spacing w:line="276" w:lineRule="auto"/>
              <w:ind w:left="601" w:hanging="317"/>
              <w:jc w:val="both"/>
            </w:pPr>
            <w:r>
              <w:rPr>
                <w:rFonts w:eastAsia="標楷體"/>
                <w:sz w:val="26"/>
                <w:szCs w:val="26"/>
              </w:rPr>
              <w:t xml:space="preserve"> □ </w:t>
            </w:r>
            <w:r>
              <w:rPr>
                <w:rFonts w:eastAsia="標楷體"/>
                <w:sz w:val="26"/>
                <w:szCs w:val="26"/>
              </w:rPr>
              <w:t>符合照光治療無效</w:t>
            </w:r>
            <w:r>
              <w:rPr>
                <w:rFonts w:eastAsia="標楷體"/>
                <w:sz w:val="26"/>
                <w:szCs w:val="26"/>
                <w:u w:val="single"/>
              </w:rPr>
              <w:t>或無法耐受</w:t>
            </w:r>
            <w:r>
              <w:rPr>
                <w:rFonts w:eastAsia="標楷體"/>
                <w:sz w:val="26"/>
                <w:szCs w:val="26"/>
              </w:rPr>
              <w:t>（檢附詳細</w:t>
            </w:r>
            <w:r>
              <w:rPr>
                <w:rFonts w:eastAsia="標楷體"/>
                <w:sz w:val="26"/>
                <w:szCs w:val="26"/>
              </w:rPr>
              <w:t>3</w:t>
            </w:r>
            <w:r>
              <w:rPr>
                <w:rFonts w:eastAsia="標楷體"/>
                <w:sz w:val="26"/>
                <w:szCs w:val="26"/>
              </w:rPr>
              <w:t>個月照光劑量記錄</w:t>
            </w:r>
            <w:r>
              <w:rPr>
                <w:rFonts w:eastAsia="標楷體"/>
                <w:b/>
                <w:sz w:val="26"/>
                <w:szCs w:val="26"/>
              </w:rPr>
              <w:t>）</w:t>
            </w:r>
            <w:r>
              <w:rPr>
                <w:rFonts w:eastAsia="標楷體"/>
                <w:sz w:val="26"/>
                <w:szCs w:val="26"/>
              </w:rPr>
              <w:t>。</w:t>
            </w:r>
          </w:p>
          <w:p w14:paraId="237CA5F8" w14:textId="77777777" w:rsidR="00BD776B" w:rsidRDefault="00DF0C24" w:rsidP="008A7063">
            <w:pPr>
              <w:numPr>
                <w:ilvl w:val="1"/>
                <w:numId w:val="107"/>
              </w:numPr>
              <w:spacing w:line="276" w:lineRule="auto"/>
              <w:ind w:left="601" w:hanging="317"/>
              <w:jc w:val="both"/>
              <w:rPr>
                <w:rFonts w:eastAsia="標楷體"/>
                <w:sz w:val="26"/>
                <w:szCs w:val="26"/>
              </w:rPr>
            </w:pPr>
            <w:r>
              <w:rPr>
                <w:rFonts w:eastAsia="標楷體"/>
                <w:sz w:val="26"/>
                <w:szCs w:val="26"/>
              </w:rPr>
              <w:t xml:space="preserve"> □ </w:t>
            </w:r>
            <w:r>
              <w:rPr>
                <w:rFonts w:eastAsia="標楷體"/>
                <w:sz w:val="26"/>
                <w:szCs w:val="26"/>
              </w:rPr>
              <w:t>符合其他全身性治療無效。</w:t>
            </w:r>
          </w:p>
          <w:p w14:paraId="7FF7D5E9" w14:textId="77777777" w:rsidR="00BD776B" w:rsidRDefault="00DF0C24">
            <w:pPr>
              <w:spacing w:line="276" w:lineRule="auto"/>
              <w:ind w:left="2" w:firstLine="31"/>
              <w:jc w:val="center"/>
            </w:pPr>
            <w:r>
              <w:rPr>
                <w:rFonts w:eastAsia="標楷體"/>
                <w:b/>
              </w:rPr>
              <w:t>至少以下任一種藥物之使用時間、劑量及停用</w:t>
            </w:r>
            <w:r>
              <w:rPr>
                <w:rFonts w:eastAsia="標楷體"/>
                <w:b/>
                <w:u w:val="single"/>
              </w:rPr>
              <w:t>或無法耐受</w:t>
            </w:r>
            <w:r>
              <w:rPr>
                <w:rFonts w:eastAsia="標楷體"/>
                <w:b/>
              </w:rPr>
              <w:t>理由</w:t>
            </w:r>
          </w:p>
          <w:tbl>
            <w:tblPr>
              <w:tblW w:w="7858" w:type="dxa"/>
              <w:tblInd w:w="1030" w:type="dxa"/>
              <w:tblLayout w:type="fixed"/>
              <w:tblCellMar>
                <w:left w:w="10" w:type="dxa"/>
                <w:right w:w="10" w:type="dxa"/>
              </w:tblCellMar>
              <w:tblLook w:val="0000" w:firstRow="0" w:lastRow="0" w:firstColumn="0" w:lastColumn="0" w:noHBand="0" w:noVBand="0"/>
            </w:tblPr>
            <w:tblGrid>
              <w:gridCol w:w="1669"/>
              <w:gridCol w:w="1467"/>
              <w:gridCol w:w="2072"/>
              <w:gridCol w:w="2650"/>
            </w:tblGrid>
            <w:tr w:rsidR="00BD776B" w14:paraId="01E0C6BF" w14:textId="77777777">
              <w:trPr>
                <w:trHeight w:val="142"/>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3C09" w14:textId="77777777" w:rsidR="00BD776B" w:rsidRDefault="00BD776B">
                  <w:pPr>
                    <w:spacing w:line="360" w:lineRule="auto"/>
                    <w:ind w:hanging="567"/>
                    <w:jc w:val="both"/>
                    <w:rPr>
                      <w:rFonts w:ascii="標楷體" w:eastAsia="標楷體" w:hAnsi="標楷體"/>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A10CA" w14:textId="77777777" w:rsidR="00BD776B" w:rsidRDefault="00DF0C24">
                  <w:pPr>
                    <w:spacing w:line="360" w:lineRule="auto"/>
                    <w:ind w:hanging="567"/>
                    <w:jc w:val="both"/>
                    <w:rPr>
                      <w:rFonts w:ascii="標楷體" w:eastAsia="標楷體" w:hAnsi="標楷體"/>
                    </w:rPr>
                  </w:pPr>
                  <w:r>
                    <w:rPr>
                      <w:rFonts w:ascii="標楷體" w:eastAsia="標楷體" w:hAnsi="標楷體"/>
                    </w:rPr>
                    <w:t>使用劑量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30853" w14:textId="77777777" w:rsidR="00BD776B" w:rsidRDefault="00DF0C24">
                  <w:pPr>
                    <w:spacing w:line="360" w:lineRule="auto"/>
                    <w:ind w:hanging="567"/>
                    <w:jc w:val="center"/>
                    <w:rPr>
                      <w:rFonts w:ascii="標楷體" w:eastAsia="標楷體" w:hAnsi="標楷體"/>
                    </w:rPr>
                  </w:pPr>
                  <w:r>
                    <w:rPr>
                      <w:rFonts w:ascii="標楷體" w:eastAsia="標楷體" w:hAnsi="標楷體"/>
                    </w:rPr>
                    <w:t>使用時間</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2435" w14:textId="77777777" w:rsidR="00BD776B" w:rsidRDefault="00DF0C24">
                  <w:pPr>
                    <w:spacing w:line="360" w:lineRule="auto"/>
                    <w:ind w:firstLine="50"/>
                    <w:jc w:val="both"/>
                  </w:pPr>
                  <w:r>
                    <w:rPr>
                      <w:rFonts w:ascii="標楷體" w:eastAsia="標楷體" w:hAnsi="標楷體"/>
                    </w:rPr>
                    <w:t>停用</w:t>
                  </w:r>
                  <w:r>
                    <w:rPr>
                      <w:rFonts w:ascii="標楷體" w:eastAsia="標楷體" w:hAnsi="標楷體"/>
                      <w:u w:val="single"/>
                    </w:rPr>
                    <w:t>或無法耐受</w:t>
                  </w:r>
                  <w:r>
                    <w:rPr>
                      <w:rFonts w:ascii="標楷體" w:eastAsia="標楷體" w:hAnsi="標楷體"/>
                    </w:rPr>
                    <w:t>理由</w:t>
                  </w:r>
                </w:p>
              </w:tc>
            </w:tr>
            <w:tr w:rsidR="00BD776B" w14:paraId="4AB08DA4" w14:textId="77777777">
              <w:trPr>
                <w:trHeight w:val="142"/>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5376C" w14:textId="77777777" w:rsidR="00BD776B" w:rsidRDefault="00DF0C24">
                  <w:pPr>
                    <w:spacing w:line="360" w:lineRule="auto"/>
                    <w:jc w:val="both"/>
                    <w:rPr>
                      <w:rFonts w:ascii="標楷體" w:eastAsia="標楷體" w:hAnsi="標楷體"/>
                    </w:rPr>
                  </w:pPr>
                  <w:r>
                    <w:rPr>
                      <w:rFonts w:ascii="標楷體" w:eastAsia="標楷體" w:hAnsi="標楷體"/>
                    </w:rPr>
                    <w:t>Methotrexate</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C0041" w14:textId="77777777" w:rsidR="00BD776B" w:rsidRDefault="00DF0C24">
                  <w:pPr>
                    <w:spacing w:line="360" w:lineRule="auto"/>
                    <w:jc w:val="both"/>
                    <w:rPr>
                      <w:rFonts w:ascii="標楷體" w:eastAsia="標楷體" w:hAnsi="標楷體"/>
                    </w:rPr>
                  </w:pPr>
                  <w:r>
                    <w:rPr>
                      <w:rFonts w:ascii="標楷體" w:eastAsia="標楷體" w:hAnsi="標楷體"/>
                    </w:rPr>
                    <w:t>___mg/week</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29C2C" w14:textId="77777777" w:rsidR="00BD776B" w:rsidRDefault="00DF0C24">
                  <w:pPr>
                    <w:spacing w:line="480" w:lineRule="exact"/>
                    <w:ind w:hanging="12"/>
                    <w:jc w:val="both"/>
                    <w:rPr>
                      <w:rFonts w:ascii="標楷體" w:eastAsia="標楷體" w:hAnsi="標楷體"/>
                    </w:rPr>
                  </w:pPr>
                  <w:r>
                    <w:rPr>
                      <w:rFonts w:ascii="標楷體" w:eastAsia="標楷體" w:hAnsi="標楷體"/>
                    </w:rPr>
                    <w:t>__年__月__日至</w:t>
                  </w:r>
                </w:p>
                <w:p w14:paraId="6AEE26AA" w14:textId="77777777" w:rsidR="00BD776B" w:rsidRDefault="00DF0C24">
                  <w:pPr>
                    <w:spacing w:line="480" w:lineRule="exact"/>
                    <w:ind w:hanging="12"/>
                    <w:jc w:val="both"/>
                    <w:rPr>
                      <w:rFonts w:ascii="標楷體" w:eastAsia="標楷體" w:hAnsi="標楷體"/>
                    </w:rPr>
                  </w:pPr>
                  <w:r>
                    <w:rPr>
                      <w:rFonts w:ascii="標楷體" w:eastAsia="標楷體" w:hAnsi="標楷體"/>
                    </w:rPr>
                    <w:t>__年__月__日</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E2A10" w14:textId="77777777" w:rsidR="00BD776B" w:rsidRDefault="00BD776B">
                  <w:pPr>
                    <w:spacing w:line="360" w:lineRule="auto"/>
                    <w:ind w:hanging="567"/>
                    <w:jc w:val="both"/>
                    <w:rPr>
                      <w:rFonts w:ascii="標楷體" w:eastAsia="標楷體" w:hAnsi="標楷體"/>
                    </w:rPr>
                  </w:pPr>
                </w:p>
              </w:tc>
            </w:tr>
            <w:tr w:rsidR="00BD776B" w14:paraId="406ECA8C" w14:textId="77777777">
              <w:trPr>
                <w:trHeight w:val="142"/>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6A0A5" w14:textId="77777777" w:rsidR="00BD776B" w:rsidRDefault="00DF0C24">
                  <w:pPr>
                    <w:spacing w:line="360" w:lineRule="auto"/>
                    <w:jc w:val="both"/>
                    <w:rPr>
                      <w:rFonts w:ascii="標楷體" w:eastAsia="標楷體" w:hAnsi="標楷體"/>
                    </w:rPr>
                  </w:pPr>
                  <w:r>
                    <w:rPr>
                      <w:rFonts w:ascii="標楷體" w:eastAsia="標楷體" w:hAnsi="標楷體"/>
                    </w:rPr>
                    <w:t>Cyclosporine</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DD281" w14:textId="77777777" w:rsidR="00BD776B" w:rsidRDefault="00DF0C24">
                  <w:pPr>
                    <w:spacing w:line="360" w:lineRule="auto"/>
                    <w:jc w:val="both"/>
                    <w:rPr>
                      <w:rFonts w:ascii="標楷體" w:eastAsia="標楷體" w:hAnsi="標楷體"/>
                    </w:rPr>
                  </w:pPr>
                  <w:r>
                    <w:rPr>
                      <w:rFonts w:ascii="標楷體" w:eastAsia="標楷體" w:hAnsi="標楷體"/>
                    </w:rPr>
                    <w:t>___mg/day</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15C60" w14:textId="77777777" w:rsidR="00BD776B" w:rsidRDefault="00DF0C24">
                  <w:pPr>
                    <w:spacing w:line="480" w:lineRule="exact"/>
                    <w:ind w:hanging="12"/>
                    <w:jc w:val="both"/>
                    <w:rPr>
                      <w:rFonts w:ascii="標楷體" w:eastAsia="標楷體" w:hAnsi="標楷體"/>
                    </w:rPr>
                  </w:pPr>
                  <w:r>
                    <w:rPr>
                      <w:rFonts w:ascii="標楷體" w:eastAsia="標楷體" w:hAnsi="標楷體"/>
                    </w:rPr>
                    <w:t>__年__月__日至</w:t>
                  </w:r>
                </w:p>
                <w:p w14:paraId="7381D3F2" w14:textId="77777777" w:rsidR="00BD776B" w:rsidRDefault="00DF0C24">
                  <w:pPr>
                    <w:spacing w:line="480" w:lineRule="exact"/>
                    <w:ind w:hanging="12"/>
                    <w:jc w:val="both"/>
                    <w:rPr>
                      <w:rFonts w:ascii="標楷體" w:eastAsia="標楷體" w:hAnsi="標楷體"/>
                    </w:rPr>
                  </w:pPr>
                  <w:r>
                    <w:rPr>
                      <w:rFonts w:ascii="標楷體" w:eastAsia="標楷體" w:hAnsi="標楷體"/>
                    </w:rPr>
                    <w:t>__年__月__日</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CDB88" w14:textId="77777777" w:rsidR="00BD776B" w:rsidRDefault="00BD776B">
                  <w:pPr>
                    <w:spacing w:line="360" w:lineRule="auto"/>
                    <w:ind w:hanging="567"/>
                    <w:jc w:val="both"/>
                    <w:rPr>
                      <w:rFonts w:ascii="標楷體" w:eastAsia="標楷體" w:hAnsi="標楷體"/>
                    </w:rPr>
                  </w:pPr>
                </w:p>
              </w:tc>
            </w:tr>
          </w:tbl>
          <w:p w14:paraId="755D240A" w14:textId="77777777" w:rsidR="00BD776B" w:rsidRDefault="00DF0C24">
            <w:pPr>
              <w:spacing w:line="360" w:lineRule="auto"/>
              <w:ind w:left="1592" w:hanging="567"/>
              <w:jc w:val="both"/>
            </w:pPr>
            <w:r>
              <w:rPr>
                <w:rFonts w:eastAsia="標楷體"/>
              </w:rPr>
              <w:t>患者體重</w:t>
            </w:r>
            <w:r>
              <w:rPr>
                <w:rFonts w:eastAsia="標楷體"/>
              </w:rPr>
              <w:t>: _____ kg</w:t>
            </w:r>
          </w:p>
          <w:p w14:paraId="113C82E8" w14:textId="77777777" w:rsidR="00BD776B" w:rsidRDefault="00DF0C24">
            <w:pPr>
              <w:spacing w:line="276" w:lineRule="auto"/>
              <w:ind w:left="1167" w:hanging="850"/>
              <w:jc w:val="both"/>
              <w:rPr>
                <w:rFonts w:eastAsia="標楷體"/>
                <w:sz w:val="26"/>
                <w:szCs w:val="26"/>
              </w:rPr>
            </w:pPr>
            <w:r>
              <w:rPr>
                <w:rFonts w:eastAsia="標楷體"/>
                <w:sz w:val="26"/>
                <w:szCs w:val="26"/>
              </w:rPr>
              <w:t xml:space="preserve">3 □ </w:t>
            </w:r>
            <w:r>
              <w:rPr>
                <w:rFonts w:eastAsia="標楷體"/>
                <w:sz w:val="26"/>
                <w:szCs w:val="26"/>
              </w:rPr>
              <w:t>符合全身中至重度之斑塊乾癬（檢附至少</w:t>
            </w:r>
            <w:r>
              <w:rPr>
                <w:rFonts w:eastAsia="標楷體"/>
                <w:sz w:val="26"/>
                <w:szCs w:val="26"/>
              </w:rPr>
              <w:t>6</w:t>
            </w:r>
            <w:r>
              <w:rPr>
                <w:rFonts w:eastAsia="標楷體"/>
                <w:sz w:val="26"/>
                <w:szCs w:val="26"/>
              </w:rPr>
              <w:t>個月病歷影本，治療已滿</w:t>
            </w:r>
            <w:r>
              <w:rPr>
                <w:rFonts w:eastAsia="標楷體"/>
                <w:sz w:val="26"/>
                <w:szCs w:val="26"/>
              </w:rPr>
              <w:t>3</w:t>
            </w:r>
            <w:r>
              <w:rPr>
                <w:rFonts w:eastAsia="標楷體"/>
                <w:sz w:val="26"/>
                <w:szCs w:val="26"/>
              </w:rPr>
              <w:t>個月，未滿</w:t>
            </w:r>
            <w:r>
              <w:rPr>
                <w:rFonts w:eastAsia="標楷體"/>
                <w:sz w:val="26"/>
                <w:szCs w:val="26"/>
              </w:rPr>
              <w:t>6</w:t>
            </w:r>
            <w:r>
              <w:rPr>
                <w:rFonts w:eastAsia="標楷體"/>
                <w:sz w:val="26"/>
                <w:szCs w:val="26"/>
              </w:rPr>
              <w:t>個月，得合併它院就診病歷）。</w:t>
            </w:r>
          </w:p>
          <w:p w14:paraId="5976A7B7" w14:textId="77777777" w:rsidR="00BD776B" w:rsidRDefault="00DF0C24" w:rsidP="008A7063">
            <w:pPr>
              <w:numPr>
                <w:ilvl w:val="0"/>
                <w:numId w:val="108"/>
              </w:numPr>
              <w:spacing w:line="276" w:lineRule="auto"/>
              <w:ind w:left="601" w:hanging="284"/>
              <w:jc w:val="both"/>
            </w:pPr>
            <w:r>
              <w:rPr>
                <w:rFonts w:eastAsia="標楷體"/>
                <w:sz w:val="26"/>
                <w:szCs w:val="26"/>
              </w:rPr>
              <w:t xml:space="preserve">□ </w:t>
            </w:r>
            <w:r>
              <w:rPr>
                <w:rFonts w:eastAsia="標楷體"/>
                <w:sz w:val="26"/>
                <w:szCs w:val="26"/>
              </w:rPr>
              <w:t>乾癬面積暨嚴重度指數〔</w:t>
            </w:r>
            <w:r>
              <w:rPr>
                <w:rFonts w:eastAsia="標楷體"/>
                <w:sz w:val="26"/>
                <w:szCs w:val="26"/>
              </w:rPr>
              <w:t>Psoriasis Area Severity Index</w:t>
            </w:r>
            <w:r>
              <w:rPr>
                <w:rFonts w:eastAsia="標楷體"/>
                <w:sz w:val="26"/>
                <w:szCs w:val="26"/>
              </w:rPr>
              <w:t>（</w:t>
            </w:r>
            <w:r>
              <w:rPr>
                <w:rFonts w:eastAsia="標楷體"/>
                <w:sz w:val="26"/>
                <w:szCs w:val="26"/>
              </w:rPr>
              <w:t>PASI</w:t>
            </w:r>
            <w:r>
              <w:rPr>
                <w:rFonts w:eastAsia="標楷體"/>
                <w:sz w:val="26"/>
                <w:szCs w:val="26"/>
              </w:rPr>
              <w:t>）〕</w:t>
            </w:r>
            <w:r>
              <w:rPr>
                <w:rFonts w:ascii="微軟正黑體" w:eastAsia="微軟正黑體" w:hAnsi="微軟正黑體" w:cs="微軟正黑體"/>
                <w:sz w:val="26"/>
                <w:szCs w:val="26"/>
              </w:rPr>
              <w:t>≧</w:t>
            </w:r>
            <w:r>
              <w:rPr>
                <w:rFonts w:eastAsia="標楷體"/>
                <w:sz w:val="26"/>
                <w:szCs w:val="26"/>
              </w:rPr>
              <w:t>10 (</w:t>
            </w:r>
            <w:r>
              <w:rPr>
                <w:rFonts w:eastAsia="標楷體"/>
                <w:sz w:val="26"/>
                <w:szCs w:val="26"/>
              </w:rPr>
              <w:t>不適</w:t>
            </w:r>
          </w:p>
          <w:p w14:paraId="380D027B" w14:textId="77777777" w:rsidR="00BD776B" w:rsidRDefault="00DF0C24">
            <w:pPr>
              <w:spacing w:line="276" w:lineRule="auto"/>
              <w:ind w:left="1017" w:hanging="52"/>
              <w:jc w:val="both"/>
            </w:pPr>
            <w:r>
              <w:rPr>
                <w:rFonts w:eastAsia="標楷體"/>
                <w:sz w:val="26"/>
                <w:szCs w:val="26"/>
              </w:rPr>
              <w:t>用</w:t>
            </w:r>
            <w:r>
              <w:rPr>
                <w:rFonts w:eastAsia="標楷體"/>
                <w:sz w:val="26"/>
                <w:szCs w:val="26"/>
              </w:rPr>
              <w:t>PASI</w:t>
            </w:r>
            <w:r>
              <w:rPr>
                <w:rFonts w:eastAsia="標楷體"/>
                <w:sz w:val="26"/>
                <w:szCs w:val="26"/>
              </w:rPr>
              <w:t>測定如膿疱性乾癬，則以範圍</w:t>
            </w:r>
            <w:r>
              <w:rPr>
                <w:rFonts w:eastAsia="標楷體"/>
                <w:sz w:val="26"/>
                <w:szCs w:val="26"/>
              </w:rPr>
              <w:t xml:space="preserve"> </w:t>
            </w:r>
            <w:r>
              <w:rPr>
                <w:rFonts w:ascii="微軟正黑體" w:eastAsia="微軟正黑體" w:hAnsi="微軟正黑體" w:cs="微軟正黑體"/>
                <w:sz w:val="26"/>
                <w:szCs w:val="26"/>
              </w:rPr>
              <w:t>≧</w:t>
            </w:r>
            <w:r>
              <w:rPr>
                <w:rFonts w:eastAsia="標楷體"/>
                <w:sz w:val="26"/>
                <w:szCs w:val="26"/>
              </w:rPr>
              <w:t>10%</w:t>
            </w:r>
            <w:r>
              <w:rPr>
                <w:rFonts w:eastAsia="標楷體"/>
                <w:sz w:val="26"/>
                <w:szCs w:val="26"/>
              </w:rPr>
              <w:t>體表面積</w:t>
            </w:r>
            <w:r>
              <w:rPr>
                <w:rFonts w:eastAsia="標楷體"/>
                <w:sz w:val="26"/>
                <w:szCs w:val="26"/>
              </w:rPr>
              <w:t>)</w:t>
            </w:r>
            <w:r>
              <w:rPr>
                <w:rFonts w:eastAsia="標楷體"/>
                <w:sz w:val="26"/>
                <w:szCs w:val="26"/>
              </w:rPr>
              <w:t>。</w:t>
            </w:r>
          </w:p>
          <w:p w14:paraId="6624EAD8" w14:textId="77777777" w:rsidR="00BD776B" w:rsidRDefault="00DF0C24">
            <w:pPr>
              <w:spacing w:line="276" w:lineRule="auto"/>
              <w:ind w:left="1472" w:hanging="567"/>
              <w:jc w:val="both"/>
              <w:rPr>
                <w:rFonts w:ascii="Arial" w:eastAsia="標楷體" w:hAnsi="Arial"/>
              </w:rPr>
            </w:pPr>
            <w:r>
              <w:rPr>
                <w:rFonts w:ascii="Arial" w:eastAsia="標楷體" w:hAnsi="Arial"/>
              </w:rPr>
              <w:t xml:space="preserve">  PASI</w:t>
            </w:r>
            <w:r>
              <w:rPr>
                <w:rFonts w:ascii="Arial" w:eastAsia="標楷體" w:hAnsi="Arial"/>
              </w:rPr>
              <w:t>＝</w:t>
            </w:r>
            <w:r>
              <w:rPr>
                <w:rFonts w:ascii="Arial" w:eastAsia="標楷體" w:hAnsi="Arial"/>
              </w:rPr>
              <w:t>0.1×</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0.3×</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p>
          <w:p w14:paraId="31524938" w14:textId="77777777" w:rsidR="00BD776B" w:rsidRDefault="00DF0C24">
            <w:pPr>
              <w:spacing w:line="276" w:lineRule="auto"/>
              <w:ind w:left="1910" w:hanging="12"/>
              <w:jc w:val="both"/>
              <w:rPr>
                <w:rFonts w:ascii="Arial" w:eastAsia="標楷體" w:hAnsi="Arial"/>
              </w:rPr>
            </w:pPr>
            <w:r>
              <w:rPr>
                <w:rFonts w:ascii="Arial" w:eastAsia="標楷體" w:hAnsi="Arial"/>
              </w:rPr>
              <w:t>0.2×</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0.4×</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r>
              <w:rPr>
                <w:rFonts w:ascii="Arial" w:eastAsia="標楷體" w:hAnsi="Arial"/>
              </w:rPr>
              <w:t>）</w:t>
            </w:r>
            <w:r>
              <w:rPr>
                <w:rFonts w:ascii="Arial" w:eastAsia="標楷體" w:hAnsi="Arial"/>
              </w:rPr>
              <w:t>×___</w:t>
            </w:r>
          </w:p>
          <w:p w14:paraId="3CCFC0A3" w14:textId="77777777" w:rsidR="00BD776B" w:rsidRDefault="00DF0C24">
            <w:pPr>
              <w:tabs>
                <w:tab w:val="left" w:pos="1504"/>
              </w:tabs>
              <w:spacing w:line="276" w:lineRule="auto"/>
              <w:ind w:left="2211" w:hanging="567"/>
              <w:jc w:val="both"/>
            </w:pPr>
            <w:r>
              <w:rPr>
                <w:rFonts w:ascii="Arial" w:eastAsia="標楷體" w:hAnsi="Arial"/>
              </w:rPr>
              <w:t>＝</w:t>
            </w:r>
            <w:r>
              <w:rPr>
                <w:rFonts w:ascii="Arial" w:eastAsia="標楷體" w:hAnsi="Arial"/>
                <w:u w:val="single"/>
              </w:rPr>
              <w:t xml:space="preserve">          </w:t>
            </w:r>
          </w:p>
        </w:tc>
        <w:tc>
          <w:tcPr>
            <w:tcW w:w="40" w:type="dxa"/>
          </w:tcPr>
          <w:p w14:paraId="091DF826" w14:textId="77777777" w:rsidR="00BD776B" w:rsidRDefault="00BD776B">
            <w:pPr>
              <w:tabs>
                <w:tab w:val="left" w:pos="1504"/>
              </w:tabs>
              <w:spacing w:line="276" w:lineRule="auto"/>
              <w:ind w:left="2211" w:hanging="567"/>
              <w:jc w:val="both"/>
            </w:pPr>
          </w:p>
        </w:tc>
        <w:tc>
          <w:tcPr>
            <w:tcW w:w="26" w:type="dxa"/>
          </w:tcPr>
          <w:p w14:paraId="5DC56F7E" w14:textId="77777777" w:rsidR="00BD776B" w:rsidRDefault="00BD776B">
            <w:pPr>
              <w:tabs>
                <w:tab w:val="left" w:pos="1504"/>
              </w:tabs>
              <w:spacing w:line="276" w:lineRule="auto"/>
              <w:ind w:left="2211" w:hanging="567"/>
              <w:jc w:val="both"/>
            </w:pPr>
          </w:p>
        </w:tc>
      </w:tr>
      <w:tr w:rsidR="00BD776B" w14:paraId="4CB0F822" w14:textId="77777777">
        <w:trPr>
          <w:cantSplit/>
          <w:trHeight w:val="517"/>
          <w:jc w:val="center"/>
        </w:trPr>
        <w:tc>
          <w:tcPr>
            <w:tcW w:w="43" w:type="dxa"/>
          </w:tcPr>
          <w:p w14:paraId="617DF685" w14:textId="77777777" w:rsidR="00BD776B" w:rsidRDefault="00BD776B">
            <w:pPr>
              <w:spacing w:line="480" w:lineRule="exact"/>
              <w:ind w:left="687" w:hanging="567"/>
              <w:jc w:val="both"/>
            </w:pPr>
          </w:p>
        </w:tc>
        <w:tc>
          <w:tcPr>
            <w:tcW w:w="9509" w:type="dxa"/>
            <w:gridSpan w:val="11"/>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386748C6" w14:textId="77777777" w:rsidR="00BD776B" w:rsidRDefault="00DF0C24">
            <w:pPr>
              <w:spacing w:line="480" w:lineRule="exact"/>
              <w:ind w:left="687" w:hanging="567"/>
              <w:jc w:val="both"/>
            </w:pPr>
            <w:r>
              <w:rPr>
                <w:rFonts w:ascii="Webdings" w:eastAsia="Webdings" w:hAnsi="Webdings" w:cs="Webdings"/>
                <w:sz w:val="28"/>
                <w:szCs w:val="28"/>
              </w:rPr>
              <w:t></w:t>
            </w:r>
            <w:r>
              <w:rPr>
                <w:rFonts w:eastAsia="標楷體"/>
                <w:b/>
                <w:sz w:val="28"/>
                <w:szCs w:val="28"/>
              </w:rPr>
              <w:t xml:space="preserve"> </w:t>
            </w:r>
            <w:r>
              <w:rPr>
                <w:rFonts w:eastAsia="標楷體"/>
                <w:b/>
                <w:sz w:val="28"/>
                <w:szCs w:val="28"/>
              </w:rPr>
              <w:t>無「需排</w:t>
            </w:r>
            <w:r>
              <w:rPr>
                <w:rFonts w:eastAsia="標楷體"/>
                <w:b/>
                <w:sz w:val="28"/>
              </w:rPr>
              <w:t>除或停止使用之情形」</w:t>
            </w:r>
          </w:p>
        </w:tc>
        <w:tc>
          <w:tcPr>
            <w:tcW w:w="40" w:type="dxa"/>
            <w:shd w:val="clear" w:color="auto" w:fill="auto"/>
            <w:tcMar>
              <w:top w:w="0" w:type="dxa"/>
              <w:left w:w="10" w:type="dxa"/>
              <w:bottom w:w="0" w:type="dxa"/>
              <w:right w:w="10" w:type="dxa"/>
            </w:tcMar>
          </w:tcPr>
          <w:p w14:paraId="6D5FA274" w14:textId="77777777" w:rsidR="00BD776B" w:rsidRDefault="00BD776B">
            <w:pPr>
              <w:spacing w:line="480" w:lineRule="exact"/>
              <w:ind w:left="687" w:hanging="567"/>
              <w:jc w:val="both"/>
            </w:pPr>
          </w:p>
        </w:tc>
        <w:tc>
          <w:tcPr>
            <w:tcW w:w="26" w:type="dxa"/>
          </w:tcPr>
          <w:p w14:paraId="08E823C5" w14:textId="77777777" w:rsidR="00BD776B" w:rsidRDefault="00BD776B">
            <w:pPr>
              <w:spacing w:line="480" w:lineRule="exact"/>
              <w:ind w:left="687" w:hanging="567"/>
              <w:jc w:val="both"/>
            </w:pPr>
          </w:p>
        </w:tc>
      </w:tr>
      <w:tr w:rsidR="00BD776B" w14:paraId="786323C1" w14:textId="77777777">
        <w:trPr>
          <w:cantSplit/>
          <w:trHeight w:val="786"/>
          <w:jc w:val="center"/>
        </w:trPr>
        <w:tc>
          <w:tcPr>
            <w:tcW w:w="43" w:type="dxa"/>
          </w:tcPr>
          <w:p w14:paraId="3C2C19B4" w14:textId="77777777" w:rsidR="00BD776B" w:rsidRDefault="00BD776B">
            <w:pPr>
              <w:spacing w:line="480" w:lineRule="exact"/>
              <w:ind w:hanging="567"/>
              <w:jc w:val="both"/>
              <w:textAlignment w:val="center"/>
              <w:rPr>
                <w:rFonts w:eastAsia="標楷體"/>
              </w:rPr>
            </w:pPr>
          </w:p>
        </w:tc>
        <w:tc>
          <w:tcPr>
            <w:tcW w:w="66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2E2D0B5" w14:textId="77777777" w:rsidR="00BD776B" w:rsidRDefault="00BD776B">
            <w:pPr>
              <w:spacing w:line="480" w:lineRule="exact"/>
              <w:ind w:hanging="567"/>
              <w:jc w:val="both"/>
              <w:textAlignment w:val="center"/>
              <w:rPr>
                <w:rFonts w:eastAsia="標楷體"/>
              </w:rPr>
            </w:pPr>
          </w:p>
        </w:tc>
        <w:tc>
          <w:tcPr>
            <w:tcW w:w="965"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6D59B7" w14:textId="77777777" w:rsidR="00BD776B" w:rsidRDefault="00DF0C24" w:rsidP="008A7063">
            <w:pPr>
              <w:numPr>
                <w:ilvl w:val="0"/>
                <w:numId w:val="109"/>
              </w:numPr>
              <w:tabs>
                <w:tab w:val="left" w:pos="520"/>
              </w:tabs>
              <w:spacing w:line="480" w:lineRule="exact"/>
              <w:ind w:left="425" w:hanging="255"/>
              <w:jc w:val="both"/>
              <w:textAlignment w:val="center"/>
              <w:rPr>
                <w:rFonts w:eastAsia="標楷體"/>
              </w:rPr>
            </w:pPr>
            <w:r>
              <w:rPr>
                <w:rFonts w:eastAsia="標楷體"/>
              </w:rPr>
              <w:t>是</w:t>
            </w:r>
          </w:p>
          <w:p w14:paraId="48179088" w14:textId="77777777" w:rsidR="00BD776B" w:rsidRDefault="00DF0C24" w:rsidP="008A7063">
            <w:pPr>
              <w:numPr>
                <w:ilvl w:val="0"/>
                <w:numId w:val="109"/>
              </w:numPr>
              <w:tabs>
                <w:tab w:val="left" w:pos="520"/>
              </w:tabs>
              <w:spacing w:line="480" w:lineRule="exact"/>
              <w:ind w:left="425" w:hanging="255"/>
              <w:jc w:val="both"/>
              <w:textAlignment w:val="center"/>
              <w:rPr>
                <w:rFonts w:eastAsia="標楷體"/>
              </w:rPr>
            </w:pPr>
            <w:r>
              <w:rPr>
                <w:rFonts w:eastAsia="標楷體"/>
              </w:rPr>
              <w:t>否</w:t>
            </w:r>
          </w:p>
        </w:tc>
        <w:tc>
          <w:tcPr>
            <w:tcW w:w="7878" w:type="dxa"/>
            <w:gridSpan w:val="8"/>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B109416" w14:textId="77777777" w:rsidR="00BD776B" w:rsidRDefault="00DF0C24">
            <w:pPr>
              <w:spacing w:line="480" w:lineRule="exact"/>
              <w:ind w:hanging="1"/>
              <w:jc w:val="both"/>
              <w:textAlignment w:val="center"/>
              <w:rPr>
                <w:rFonts w:eastAsia="標楷體"/>
              </w:rPr>
            </w:pPr>
            <w:r>
              <w:rPr>
                <w:rFonts w:eastAsia="標楷體"/>
              </w:rPr>
              <w:t>是否有</w:t>
            </w:r>
            <w:r>
              <w:rPr>
                <w:rFonts w:eastAsia="標楷體"/>
              </w:rPr>
              <w:t>apremilast</w:t>
            </w:r>
            <w:r>
              <w:rPr>
                <w:rFonts w:eastAsia="標楷體"/>
              </w:rPr>
              <w:t>仿單記載之禁忌情形。</w:t>
            </w:r>
          </w:p>
        </w:tc>
        <w:tc>
          <w:tcPr>
            <w:tcW w:w="40" w:type="dxa"/>
            <w:shd w:val="clear" w:color="auto" w:fill="auto"/>
            <w:tcMar>
              <w:top w:w="0" w:type="dxa"/>
              <w:left w:w="10" w:type="dxa"/>
              <w:bottom w:w="0" w:type="dxa"/>
              <w:right w:w="10" w:type="dxa"/>
            </w:tcMar>
          </w:tcPr>
          <w:p w14:paraId="560DF24C" w14:textId="77777777" w:rsidR="00BD776B" w:rsidRDefault="00BD776B">
            <w:pPr>
              <w:spacing w:line="480" w:lineRule="exact"/>
              <w:ind w:hanging="1"/>
              <w:jc w:val="both"/>
              <w:textAlignment w:val="center"/>
              <w:rPr>
                <w:rFonts w:eastAsia="標楷體"/>
              </w:rPr>
            </w:pPr>
          </w:p>
        </w:tc>
        <w:tc>
          <w:tcPr>
            <w:tcW w:w="26" w:type="dxa"/>
          </w:tcPr>
          <w:p w14:paraId="7015336F" w14:textId="77777777" w:rsidR="00BD776B" w:rsidRDefault="00BD776B">
            <w:pPr>
              <w:spacing w:line="480" w:lineRule="exact"/>
              <w:ind w:hanging="1"/>
              <w:jc w:val="both"/>
              <w:textAlignment w:val="center"/>
              <w:rPr>
                <w:rFonts w:eastAsia="標楷體"/>
              </w:rPr>
            </w:pPr>
          </w:p>
        </w:tc>
      </w:tr>
      <w:tr w:rsidR="00BD776B" w14:paraId="75322565" w14:textId="77777777">
        <w:trPr>
          <w:cantSplit/>
          <w:trHeight w:val="393"/>
          <w:jc w:val="center"/>
        </w:trPr>
        <w:tc>
          <w:tcPr>
            <w:tcW w:w="43" w:type="dxa"/>
          </w:tcPr>
          <w:p w14:paraId="0E5F9BD3" w14:textId="77777777" w:rsidR="00BD776B" w:rsidRDefault="00BD776B">
            <w:pPr>
              <w:spacing w:line="480" w:lineRule="exact"/>
              <w:ind w:hanging="567"/>
              <w:jc w:val="both"/>
              <w:textAlignment w:val="center"/>
              <w:rPr>
                <w:rFonts w:eastAsia="標楷體"/>
                <w:sz w:val="28"/>
                <w:szCs w:val="28"/>
              </w:rPr>
            </w:pPr>
          </w:p>
        </w:tc>
        <w:tc>
          <w:tcPr>
            <w:tcW w:w="66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4E9B91C" w14:textId="77777777" w:rsidR="00BD776B" w:rsidRDefault="00BD776B">
            <w:pPr>
              <w:spacing w:line="480" w:lineRule="exact"/>
              <w:ind w:hanging="567"/>
              <w:jc w:val="both"/>
              <w:textAlignment w:val="center"/>
              <w:rPr>
                <w:rFonts w:eastAsia="標楷體"/>
                <w:sz w:val="28"/>
                <w:szCs w:val="28"/>
              </w:rPr>
            </w:pPr>
          </w:p>
          <w:p w14:paraId="156F1747" w14:textId="77777777" w:rsidR="00BD776B" w:rsidRDefault="00BD776B">
            <w:pPr>
              <w:spacing w:line="480" w:lineRule="exact"/>
              <w:ind w:hanging="567"/>
              <w:jc w:val="both"/>
              <w:textAlignment w:val="center"/>
              <w:rPr>
                <w:rFonts w:eastAsia="標楷體"/>
              </w:rPr>
            </w:pPr>
          </w:p>
        </w:tc>
        <w:tc>
          <w:tcPr>
            <w:tcW w:w="965"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DCC9CB" w14:textId="77777777" w:rsidR="00BD776B" w:rsidRDefault="00DF0C24" w:rsidP="008A7063">
            <w:pPr>
              <w:numPr>
                <w:ilvl w:val="0"/>
                <w:numId w:val="109"/>
              </w:numPr>
              <w:tabs>
                <w:tab w:val="left" w:pos="425"/>
              </w:tabs>
              <w:spacing w:line="480" w:lineRule="exact"/>
              <w:ind w:left="425" w:hanging="333"/>
              <w:jc w:val="both"/>
              <w:textAlignment w:val="center"/>
              <w:rPr>
                <w:rFonts w:eastAsia="標楷體"/>
              </w:rPr>
            </w:pPr>
            <w:r>
              <w:rPr>
                <w:rFonts w:eastAsia="標楷體"/>
              </w:rPr>
              <w:t>是</w:t>
            </w:r>
          </w:p>
          <w:p w14:paraId="6E366A21" w14:textId="77777777" w:rsidR="00BD776B" w:rsidRDefault="00DF0C24" w:rsidP="008A7063">
            <w:pPr>
              <w:numPr>
                <w:ilvl w:val="0"/>
                <w:numId w:val="109"/>
              </w:numPr>
              <w:tabs>
                <w:tab w:val="left" w:pos="425"/>
              </w:tabs>
              <w:spacing w:line="480" w:lineRule="exact"/>
              <w:ind w:left="425" w:hanging="333"/>
              <w:jc w:val="both"/>
              <w:textAlignment w:val="center"/>
              <w:rPr>
                <w:rFonts w:eastAsia="標楷體"/>
              </w:rPr>
            </w:pPr>
            <w:r>
              <w:rPr>
                <w:rFonts w:eastAsia="標楷體"/>
              </w:rPr>
              <w:t>否</w:t>
            </w:r>
          </w:p>
        </w:tc>
        <w:tc>
          <w:tcPr>
            <w:tcW w:w="7878" w:type="dxa"/>
            <w:gridSpan w:val="8"/>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89257B8" w14:textId="77777777" w:rsidR="00BD776B" w:rsidRDefault="00DF0C24">
            <w:pPr>
              <w:spacing w:line="480" w:lineRule="exact"/>
              <w:jc w:val="both"/>
              <w:textAlignment w:val="center"/>
              <w:rPr>
                <w:rFonts w:eastAsia="標楷體"/>
              </w:rPr>
            </w:pPr>
            <w:r>
              <w:rPr>
                <w:rFonts w:eastAsia="標楷體"/>
              </w:rPr>
              <w:t>婦女是否正在懷孕或授乳。</w:t>
            </w:r>
          </w:p>
        </w:tc>
        <w:tc>
          <w:tcPr>
            <w:tcW w:w="40" w:type="dxa"/>
            <w:shd w:val="clear" w:color="auto" w:fill="auto"/>
            <w:tcMar>
              <w:top w:w="0" w:type="dxa"/>
              <w:left w:w="10" w:type="dxa"/>
              <w:bottom w:w="0" w:type="dxa"/>
              <w:right w:w="10" w:type="dxa"/>
            </w:tcMar>
          </w:tcPr>
          <w:p w14:paraId="613BFEB1" w14:textId="77777777" w:rsidR="00BD776B" w:rsidRDefault="00BD776B">
            <w:pPr>
              <w:spacing w:line="480" w:lineRule="exact"/>
              <w:jc w:val="both"/>
              <w:textAlignment w:val="center"/>
              <w:rPr>
                <w:rFonts w:eastAsia="標楷體"/>
              </w:rPr>
            </w:pPr>
          </w:p>
        </w:tc>
        <w:tc>
          <w:tcPr>
            <w:tcW w:w="26" w:type="dxa"/>
          </w:tcPr>
          <w:p w14:paraId="55A6A5C4" w14:textId="77777777" w:rsidR="00BD776B" w:rsidRDefault="00BD776B">
            <w:pPr>
              <w:spacing w:line="480" w:lineRule="exact"/>
              <w:jc w:val="both"/>
              <w:textAlignment w:val="center"/>
              <w:rPr>
                <w:rFonts w:eastAsia="標楷體"/>
              </w:rPr>
            </w:pPr>
          </w:p>
        </w:tc>
      </w:tr>
      <w:tr w:rsidR="00BD776B" w14:paraId="0263D5E2" w14:textId="77777777">
        <w:trPr>
          <w:cantSplit/>
          <w:trHeight w:val="821"/>
          <w:jc w:val="center"/>
        </w:trPr>
        <w:tc>
          <w:tcPr>
            <w:tcW w:w="43" w:type="dxa"/>
          </w:tcPr>
          <w:p w14:paraId="1FD181B0" w14:textId="77777777" w:rsidR="00BD776B" w:rsidRDefault="00BD776B">
            <w:pPr>
              <w:spacing w:line="480" w:lineRule="exact"/>
              <w:ind w:hanging="567"/>
              <w:jc w:val="both"/>
              <w:textAlignment w:val="center"/>
              <w:rPr>
                <w:rFonts w:eastAsia="標楷體"/>
              </w:rPr>
            </w:pPr>
          </w:p>
        </w:tc>
        <w:tc>
          <w:tcPr>
            <w:tcW w:w="666"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4369094A" w14:textId="77777777" w:rsidR="00BD776B" w:rsidRDefault="00BD776B">
            <w:pPr>
              <w:spacing w:line="480" w:lineRule="exact"/>
              <w:ind w:hanging="567"/>
              <w:jc w:val="both"/>
              <w:textAlignment w:val="center"/>
              <w:rPr>
                <w:rFonts w:eastAsia="標楷體"/>
              </w:rPr>
            </w:pPr>
          </w:p>
        </w:tc>
        <w:tc>
          <w:tcPr>
            <w:tcW w:w="965" w:type="dxa"/>
            <w:gridSpan w:val="2"/>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2F96393F" w14:textId="77777777" w:rsidR="00BD776B" w:rsidRDefault="00DF0C24" w:rsidP="008A7063">
            <w:pPr>
              <w:numPr>
                <w:ilvl w:val="0"/>
                <w:numId w:val="109"/>
              </w:numPr>
              <w:tabs>
                <w:tab w:val="left" w:pos="425"/>
              </w:tabs>
              <w:spacing w:line="480" w:lineRule="exact"/>
              <w:ind w:left="425" w:hanging="333"/>
              <w:jc w:val="both"/>
              <w:textAlignment w:val="center"/>
              <w:rPr>
                <w:rFonts w:eastAsia="標楷體"/>
              </w:rPr>
            </w:pPr>
            <w:r>
              <w:rPr>
                <w:rFonts w:eastAsia="標楷體"/>
              </w:rPr>
              <w:t>是</w:t>
            </w:r>
          </w:p>
          <w:p w14:paraId="311EE5CD" w14:textId="77777777" w:rsidR="00BD776B" w:rsidRDefault="00DF0C24" w:rsidP="008A7063">
            <w:pPr>
              <w:numPr>
                <w:ilvl w:val="0"/>
                <w:numId w:val="109"/>
              </w:numPr>
              <w:tabs>
                <w:tab w:val="left" w:pos="425"/>
              </w:tabs>
              <w:spacing w:line="480" w:lineRule="exact"/>
              <w:ind w:left="425" w:hanging="333"/>
              <w:jc w:val="both"/>
              <w:textAlignment w:val="center"/>
              <w:rPr>
                <w:rFonts w:eastAsia="標楷體"/>
              </w:rPr>
            </w:pPr>
            <w:r>
              <w:rPr>
                <w:rFonts w:eastAsia="標楷體"/>
              </w:rPr>
              <w:t>否</w:t>
            </w:r>
          </w:p>
        </w:tc>
        <w:tc>
          <w:tcPr>
            <w:tcW w:w="7878" w:type="dxa"/>
            <w:gridSpan w:val="8"/>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0962C0FE" w14:textId="77777777" w:rsidR="00BD776B" w:rsidRDefault="00DF0C24">
            <w:pPr>
              <w:spacing w:line="480" w:lineRule="exact"/>
              <w:ind w:hanging="1"/>
              <w:jc w:val="both"/>
              <w:textAlignment w:val="center"/>
              <w:rPr>
                <w:rFonts w:eastAsia="標楷體"/>
              </w:rPr>
            </w:pPr>
            <w:r>
              <w:rPr>
                <w:rFonts w:eastAsia="標楷體"/>
              </w:rPr>
              <w:t>使用</w:t>
            </w:r>
            <w:r>
              <w:rPr>
                <w:rFonts w:eastAsia="標楷體"/>
              </w:rPr>
              <w:t>apremilast</w:t>
            </w:r>
            <w:r>
              <w:rPr>
                <w:rFonts w:eastAsia="標楷體"/>
              </w:rPr>
              <w:t>期間發生懷孕或不良事件</w:t>
            </w:r>
            <w:r>
              <w:rPr>
                <w:rFonts w:eastAsia="標楷體"/>
              </w:rPr>
              <w:t>(</w:t>
            </w:r>
            <w:r>
              <w:rPr>
                <w:rFonts w:eastAsia="標楷體"/>
              </w:rPr>
              <w:t>包括：該藥物引起的嚴重毒性、嚴重的感染性疾病</w:t>
            </w:r>
            <w:r>
              <w:rPr>
                <w:rFonts w:eastAsia="標楷體"/>
              </w:rPr>
              <w:t>)</w:t>
            </w:r>
          </w:p>
        </w:tc>
        <w:tc>
          <w:tcPr>
            <w:tcW w:w="40" w:type="dxa"/>
            <w:shd w:val="clear" w:color="auto" w:fill="auto"/>
            <w:tcMar>
              <w:top w:w="0" w:type="dxa"/>
              <w:left w:w="10" w:type="dxa"/>
              <w:bottom w:w="0" w:type="dxa"/>
              <w:right w:w="10" w:type="dxa"/>
            </w:tcMar>
          </w:tcPr>
          <w:p w14:paraId="2C9289BF" w14:textId="77777777" w:rsidR="00BD776B" w:rsidRDefault="00BD776B">
            <w:pPr>
              <w:spacing w:line="480" w:lineRule="exact"/>
              <w:ind w:hanging="1"/>
              <w:jc w:val="both"/>
              <w:textAlignment w:val="center"/>
              <w:rPr>
                <w:rFonts w:eastAsia="標楷體"/>
              </w:rPr>
            </w:pPr>
          </w:p>
        </w:tc>
        <w:tc>
          <w:tcPr>
            <w:tcW w:w="26" w:type="dxa"/>
          </w:tcPr>
          <w:p w14:paraId="0CBB2414" w14:textId="77777777" w:rsidR="00BD776B" w:rsidRDefault="00BD776B">
            <w:pPr>
              <w:spacing w:line="480" w:lineRule="exact"/>
              <w:ind w:hanging="1"/>
              <w:jc w:val="both"/>
              <w:textAlignment w:val="center"/>
              <w:rPr>
                <w:rFonts w:eastAsia="標楷體"/>
              </w:rPr>
            </w:pPr>
          </w:p>
        </w:tc>
      </w:tr>
      <w:tr w:rsidR="00BD776B" w14:paraId="58F79AC4" w14:textId="77777777">
        <w:trPr>
          <w:cantSplit/>
          <w:trHeight w:val="1031"/>
          <w:jc w:val="center"/>
        </w:trPr>
        <w:tc>
          <w:tcPr>
            <w:tcW w:w="43" w:type="dxa"/>
          </w:tcPr>
          <w:p w14:paraId="4B10DE92" w14:textId="77777777" w:rsidR="00BD776B" w:rsidRDefault="00BD776B">
            <w:pPr>
              <w:spacing w:line="276" w:lineRule="auto"/>
              <w:ind w:hanging="567"/>
              <w:jc w:val="both"/>
              <w:textAlignment w:val="center"/>
            </w:pPr>
          </w:p>
        </w:tc>
        <w:tc>
          <w:tcPr>
            <w:tcW w:w="6133" w:type="dxa"/>
            <w:gridSpan w:val="7"/>
            <w:shd w:val="clear" w:color="auto" w:fill="auto"/>
            <w:tcMar>
              <w:top w:w="0" w:type="dxa"/>
              <w:left w:w="28" w:type="dxa"/>
              <w:bottom w:w="0" w:type="dxa"/>
              <w:right w:w="28" w:type="dxa"/>
            </w:tcMar>
          </w:tcPr>
          <w:p w14:paraId="61376BF8" w14:textId="77777777" w:rsidR="00BD776B" w:rsidRDefault="00DF0C24">
            <w:pPr>
              <w:spacing w:line="276" w:lineRule="auto"/>
              <w:ind w:hanging="567"/>
              <w:jc w:val="both"/>
              <w:textAlignment w:val="center"/>
            </w:pPr>
            <w:r>
              <w:rPr>
                <w:rFonts w:eastAsia="標楷體"/>
                <w:sz w:val="26"/>
                <w:szCs w:val="26"/>
              </w:rPr>
              <w:t>申請醫師（簽名蓋章）：</w:t>
            </w:r>
            <w:r>
              <w:rPr>
                <w:rFonts w:eastAsia="標楷體"/>
                <w:sz w:val="26"/>
                <w:szCs w:val="26"/>
                <w:u w:val="single"/>
              </w:rPr>
              <w:t xml:space="preserve">　　　　　　　</w:t>
            </w:r>
            <w:r>
              <w:rPr>
                <w:rFonts w:eastAsia="標楷體"/>
                <w:sz w:val="26"/>
                <w:szCs w:val="26"/>
                <w:u w:val="single"/>
              </w:rPr>
              <w:t xml:space="preserve">  </w:t>
            </w:r>
            <w:r>
              <w:rPr>
                <w:rFonts w:eastAsia="標楷體"/>
                <w:sz w:val="26"/>
                <w:szCs w:val="26"/>
              </w:rPr>
              <w:t xml:space="preserve">  </w:t>
            </w:r>
          </w:p>
          <w:p w14:paraId="2635ED46" w14:textId="77777777" w:rsidR="00BD776B" w:rsidRDefault="00DF0C24">
            <w:pPr>
              <w:spacing w:line="276" w:lineRule="auto"/>
              <w:ind w:hanging="567"/>
              <w:jc w:val="both"/>
              <w:textAlignment w:val="center"/>
            </w:pPr>
            <w:r>
              <w:rPr>
                <w:rFonts w:eastAsia="標楷體"/>
                <w:sz w:val="26"/>
                <w:szCs w:val="26"/>
              </w:rPr>
              <w:t>專科醫師證書：</w:t>
            </w:r>
            <w:r>
              <w:rPr>
                <w:rFonts w:eastAsia="標楷體"/>
                <w:sz w:val="26"/>
                <w:szCs w:val="26"/>
                <w:u w:val="single"/>
              </w:rPr>
              <w:t xml:space="preserve">    </w:t>
            </w:r>
            <w:r>
              <w:rPr>
                <w:rFonts w:eastAsia="標楷體"/>
                <w:sz w:val="26"/>
                <w:szCs w:val="26"/>
              </w:rPr>
              <w:t>專字第</w:t>
            </w:r>
            <w:r>
              <w:rPr>
                <w:rFonts w:eastAsia="標楷體"/>
                <w:sz w:val="26"/>
                <w:szCs w:val="26"/>
                <w:u w:val="single"/>
              </w:rPr>
              <w:t xml:space="preserve">　　　　</w:t>
            </w:r>
            <w:r>
              <w:rPr>
                <w:rFonts w:eastAsia="標楷體"/>
                <w:sz w:val="26"/>
                <w:szCs w:val="26"/>
                <w:u w:val="single"/>
              </w:rPr>
              <w:t xml:space="preserve"> </w:t>
            </w:r>
            <w:r>
              <w:rPr>
                <w:rFonts w:eastAsia="標楷體"/>
                <w:sz w:val="26"/>
                <w:szCs w:val="26"/>
                <w:u w:val="single"/>
              </w:rPr>
              <w:t xml:space="preserve">　</w:t>
            </w:r>
            <w:r>
              <w:rPr>
                <w:rFonts w:eastAsia="標楷體"/>
                <w:sz w:val="26"/>
                <w:szCs w:val="26"/>
                <w:u w:val="single"/>
              </w:rPr>
              <w:t xml:space="preserve">  </w:t>
            </w:r>
            <w:r>
              <w:rPr>
                <w:rFonts w:eastAsia="標楷體"/>
                <w:sz w:val="26"/>
                <w:szCs w:val="26"/>
              </w:rPr>
              <w:t>號</w:t>
            </w:r>
          </w:p>
        </w:tc>
        <w:tc>
          <w:tcPr>
            <w:tcW w:w="3314" w:type="dxa"/>
            <w:gridSpan w:val="2"/>
            <w:shd w:val="clear" w:color="auto" w:fill="auto"/>
            <w:tcMar>
              <w:top w:w="0" w:type="dxa"/>
              <w:left w:w="28" w:type="dxa"/>
              <w:bottom w:w="0" w:type="dxa"/>
              <w:right w:w="28" w:type="dxa"/>
            </w:tcMar>
          </w:tcPr>
          <w:p w14:paraId="7DDC6AA5" w14:textId="77777777" w:rsidR="00BD776B" w:rsidRDefault="00BD776B">
            <w:pPr>
              <w:spacing w:line="276" w:lineRule="auto"/>
              <w:ind w:hanging="567"/>
              <w:jc w:val="both"/>
              <w:textAlignment w:val="center"/>
              <w:rPr>
                <w:rFonts w:eastAsia="標楷體"/>
                <w:sz w:val="26"/>
                <w:szCs w:val="26"/>
              </w:rPr>
            </w:pPr>
          </w:p>
          <w:p w14:paraId="0BF44271" w14:textId="77777777" w:rsidR="00BD776B" w:rsidRDefault="00DF0C24">
            <w:pPr>
              <w:spacing w:line="276" w:lineRule="auto"/>
              <w:ind w:hanging="567"/>
              <w:jc w:val="both"/>
              <w:textAlignment w:val="center"/>
              <w:rPr>
                <w:rFonts w:eastAsia="標楷體"/>
                <w:sz w:val="26"/>
                <w:szCs w:val="26"/>
              </w:rPr>
            </w:pPr>
            <w:r>
              <w:rPr>
                <w:rFonts w:eastAsia="標楷體"/>
                <w:sz w:val="26"/>
                <w:szCs w:val="26"/>
              </w:rPr>
              <w:t>醫事機構章戳：</w:t>
            </w:r>
          </w:p>
          <w:p w14:paraId="34A59E53" w14:textId="77777777" w:rsidR="00BD776B" w:rsidRDefault="00BD776B">
            <w:pPr>
              <w:spacing w:line="276" w:lineRule="auto"/>
              <w:ind w:hanging="567"/>
              <w:jc w:val="both"/>
              <w:textAlignment w:val="center"/>
              <w:rPr>
                <w:rFonts w:eastAsia="標楷體"/>
                <w:sz w:val="26"/>
                <w:szCs w:val="26"/>
              </w:rPr>
            </w:pPr>
          </w:p>
        </w:tc>
        <w:tc>
          <w:tcPr>
            <w:tcW w:w="62" w:type="dxa"/>
            <w:gridSpan w:val="2"/>
            <w:shd w:val="clear" w:color="auto" w:fill="auto"/>
            <w:tcMar>
              <w:top w:w="0" w:type="dxa"/>
              <w:left w:w="10" w:type="dxa"/>
              <w:bottom w:w="0" w:type="dxa"/>
              <w:right w:w="10" w:type="dxa"/>
            </w:tcMar>
          </w:tcPr>
          <w:p w14:paraId="50B7B59C" w14:textId="77777777" w:rsidR="00BD776B" w:rsidRDefault="00BD776B">
            <w:pPr>
              <w:spacing w:line="276" w:lineRule="auto"/>
              <w:ind w:hanging="567"/>
              <w:jc w:val="both"/>
              <w:textAlignment w:val="center"/>
              <w:rPr>
                <w:rFonts w:eastAsia="標楷體"/>
                <w:sz w:val="26"/>
                <w:szCs w:val="26"/>
              </w:rPr>
            </w:pPr>
          </w:p>
        </w:tc>
        <w:tc>
          <w:tcPr>
            <w:tcW w:w="40" w:type="dxa"/>
          </w:tcPr>
          <w:p w14:paraId="32BF0B3F" w14:textId="77777777" w:rsidR="00BD776B" w:rsidRDefault="00BD776B">
            <w:pPr>
              <w:spacing w:line="276" w:lineRule="auto"/>
              <w:ind w:hanging="567"/>
              <w:jc w:val="both"/>
              <w:textAlignment w:val="center"/>
              <w:rPr>
                <w:rFonts w:eastAsia="標楷體"/>
                <w:sz w:val="26"/>
                <w:szCs w:val="26"/>
              </w:rPr>
            </w:pPr>
          </w:p>
        </w:tc>
        <w:tc>
          <w:tcPr>
            <w:tcW w:w="26" w:type="dxa"/>
          </w:tcPr>
          <w:p w14:paraId="661F471A" w14:textId="77777777" w:rsidR="00BD776B" w:rsidRDefault="00BD776B">
            <w:pPr>
              <w:spacing w:line="276" w:lineRule="auto"/>
              <w:ind w:hanging="567"/>
              <w:jc w:val="both"/>
              <w:textAlignment w:val="center"/>
              <w:rPr>
                <w:rFonts w:eastAsia="標楷體"/>
                <w:sz w:val="26"/>
                <w:szCs w:val="26"/>
              </w:rPr>
            </w:pPr>
          </w:p>
        </w:tc>
      </w:tr>
    </w:tbl>
    <w:p w14:paraId="2DF947BE" w14:textId="77777777" w:rsidR="00BD776B" w:rsidRDefault="00BD776B">
      <w:pPr>
        <w:widowControl/>
        <w:jc w:val="center"/>
        <w:rPr>
          <w:sz w:val="28"/>
          <w:szCs w:val="20"/>
        </w:rPr>
      </w:pPr>
    </w:p>
    <w:p w14:paraId="4495B67D" w14:textId="77777777" w:rsidR="00947762" w:rsidRPr="00947762" w:rsidRDefault="00947762" w:rsidP="00947762">
      <w:pPr>
        <w:widowControl/>
        <w:suppressAutoHyphens w:val="0"/>
        <w:autoSpaceDN/>
        <w:spacing w:after="120"/>
        <w:jc w:val="center"/>
        <w:textAlignment w:val="auto"/>
        <w:rPr>
          <w:rFonts w:ascii="Times New Roman" w:eastAsia="新細明體;PMingLiU" w:hAnsi="Times New Roman"/>
          <w:kern w:val="0"/>
          <w:sz w:val="20"/>
          <w:szCs w:val="24"/>
        </w:rPr>
      </w:pPr>
      <w:r w:rsidRPr="00947762">
        <w:rPr>
          <w:rFonts w:ascii="標楷體" w:eastAsia="標楷體" w:hAnsi="標楷體"/>
          <w:kern w:val="0"/>
          <w:sz w:val="20"/>
          <w:szCs w:val="24"/>
        </w:rPr>
        <w:lastRenderedPageBreak/>
        <w:t>附表二十六之一全民健康保險克隆氏症使用生物製劑申請表</w:t>
      </w:r>
    </w:p>
    <w:tbl>
      <w:tblPr>
        <w:tblW w:w="9789" w:type="dxa"/>
        <w:jc w:val="center"/>
        <w:tblLayout w:type="fixed"/>
        <w:tblCellMar>
          <w:left w:w="28" w:type="dxa"/>
          <w:right w:w="28" w:type="dxa"/>
        </w:tblCellMar>
        <w:tblLook w:val="0000" w:firstRow="0" w:lastRow="0" w:firstColumn="0" w:lastColumn="0" w:noHBand="0" w:noVBand="0"/>
      </w:tblPr>
      <w:tblGrid>
        <w:gridCol w:w="667"/>
        <w:gridCol w:w="804"/>
        <w:gridCol w:w="511"/>
        <w:gridCol w:w="1030"/>
        <w:gridCol w:w="1403"/>
        <w:gridCol w:w="1596"/>
        <w:gridCol w:w="37"/>
        <w:gridCol w:w="1010"/>
        <w:gridCol w:w="2688"/>
        <w:gridCol w:w="43"/>
      </w:tblGrid>
      <w:tr w:rsidR="00947762" w:rsidRPr="00947762" w14:paraId="5D5B89DC" w14:textId="77777777" w:rsidTr="00EC6AB1">
        <w:trPr>
          <w:cantSplit/>
          <w:trHeight w:val="376"/>
          <w:jc w:val="center"/>
        </w:trPr>
        <w:tc>
          <w:tcPr>
            <w:tcW w:w="1471" w:type="dxa"/>
            <w:gridSpan w:val="2"/>
            <w:tcBorders>
              <w:top w:val="double" w:sz="6" w:space="0" w:color="000000"/>
              <w:left w:val="double" w:sz="6" w:space="0" w:color="000000"/>
              <w:bottom w:val="single" w:sz="6" w:space="0" w:color="000000"/>
              <w:right w:val="single" w:sz="6" w:space="0" w:color="000000"/>
            </w:tcBorders>
          </w:tcPr>
          <w:p w14:paraId="3E86BDF7" w14:textId="77777777" w:rsidR="00947762" w:rsidRPr="00947762" w:rsidRDefault="00947762" w:rsidP="00947762">
            <w:pPr>
              <w:widowControl/>
              <w:autoSpaceDN/>
              <w:snapToGrid w:val="0"/>
              <w:spacing w:after="120" w:line="380" w:lineRule="exact"/>
              <w:textAlignment w:val="auto"/>
              <w:rPr>
                <w:rFonts w:ascii="Times New Roman" w:eastAsia="新細明體;PMingLiU" w:hAnsi="Times New Roman"/>
                <w:kern w:val="0"/>
                <w:sz w:val="20"/>
                <w:szCs w:val="24"/>
              </w:rPr>
            </w:pPr>
            <w:r w:rsidRPr="00947762">
              <w:rPr>
                <w:rFonts w:ascii="標楷體" w:eastAsia="標楷體" w:hAnsi="標楷體"/>
                <w:kern w:val="0"/>
                <w:sz w:val="20"/>
                <w:szCs w:val="24"/>
              </w:rPr>
              <w:t>醫院代號</w:t>
            </w:r>
          </w:p>
        </w:tc>
        <w:tc>
          <w:tcPr>
            <w:tcW w:w="1541" w:type="dxa"/>
            <w:gridSpan w:val="2"/>
            <w:tcBorders>
              <w:top w:val="double" w:sz="6" w:space="0" w:color="000000"/>
              <w:left w:val="single" w:sz="6" w:space="0" w:color="000000"/>
              <w:bottom w:val="single" w:sz="6" w:space="0" w:color="000000"/>
              <w:right w:val="single" w:sz="6" w:space="0" w:color="000000"/>
            </w:tcBorders>
          </w:tcPr>
          <w:p w14:paraId="52327D6D" w14:textId="77777777" w:rsidR="00947762" w:rsidRPr="00947762" w:rsidRDefault="00947762" w:rsidP="00947762">
            <w:pPr>
              <w:widowControl/>
              <w:autoSpaceDN/>
              <w:snapToGrid w:val="0"/>
              <w:spacing w:after="120" w:line="380" w:lineRule="exact"/>
              <w:textAlignment w:val="auto"/>
              <w:rPr>
                <w:rFonts w:ascii="標楷體" w:eastAsia="標楷體" w:hAnsi="標楷體"/>
                <w:kern w:val="0"/>
                <w:sz w:val="20"/>
                <w:szCs w:val="24"/>
              </w:rPr>
            </w:pPr>
          </w:p>
        </w:tc>
        <w:tc>
          <w:tcPr>
            <w:tcW w:w="1403" w:type="dxa"/>
            <w:tcBorders>
              <w:top w:val="double" w:sz="6" w:space="0" w:color="000000"/>
              <w:left w:val="single" w:sz="6" w:space="0" w:color="000000"/>
              <w:bottom w:val="single" w:sz="6" w:space="0" w:color="000000"/>
              <w:right w:val="single" w:sz="6" w:space="0" w:color="000000"/>
            </w:tcBorders>
          </w:tcPr>
          <w:p w14:paraId="7602B07C" w14:textId="77777777" w:rsidR="00947762" w:rsidRPr="00947762" w:rsidRDefault="00947762" w:rsidP="00947762">
            <w:pPr>
              <w:widowControl/>
              <w:autoSpaceDN/>
              <w:snapToGrid w:val="0"/>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醫院名稱</w:t>
            </w:r>
          </w:p>
        </w:tc>
        <w:tc>
          <w:tcPr>
            <w:tcW w:w="1596" w:type="dxa"/>
            <w:tcBorders>
              <w:top w:val="double" w:sz="6" w:space="0" w:color="000000"/>
              <w:left w:val="single" w:sz="6" w:space="0" w:color="000000"/>
              <w:bottom w:val="single" w:sz="6" w:space="0" w:color="000000"/>
              <w:right w:val="single" w:sz="6" w:space="0" w:color="000000"/>
            </w:tcBorders>
          </w:tcPr>
          <w:p w14:paraId="603988D8" w14:textId="77777777" w:rsidR="00947762" w:rsidRPr="00947762" w:rsidRDefault="00947762" w:rsidP="00947762">
            <w:pPr>
              <w:widowControl/>
              <w:autoSpaceDN/>
              <w:snapToGrid w:val="0"/>
              <w:spacing w:after="120" w:line="380" w:lineRule="exact"/>
              <w:textAlignment w:val="auto"/>
              <w:rPr>
                <w:rFonts w:ascii="標楷體" w:eastAsia="標楷體" w:hAnsi="標楷體"/>
                <w:kern w:val="0"/>
                <w:sz w:val="20"/>
                <w:szCs w:val="24"/>
              </w:rPr>
            </w:pPr>
          </w:p>
        </w:tc>
        <w:tc>
          <w:tcPr>
            <w:tcW w:w="1047" w:type="dxa"/>
            <w:gridSpan w:val="2"/>
            <w:tcBorders>
              <w:top w:val="double" w:sz="6" w:space="0" w:color="000000"/>
              <w:left w:val="single" w:sz="6" w:space="0" w:color="000000"/>
              <w:bottom w:val="single" w:sz="6" w:space="0" w:color="000000"/>
              <w:right w:val="single" w:sz="6" w:space="0" w:color="000000"/>
            </w:tcBorders>
          </w:tcPr>
          <w:p w14:paraId="1A43B3CB" w14:textId="77777777" w:rsidR="00947762" w:rsidRPr="00947762" w:rsidRDefault="00947762" w:rsidP="00947762">
            <w:pPr>
              <w:widowControl/>
              <w:autoSpaceDN/>
              <w:snapToGrid w:val="0"/>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申請日期</w:t>
            </w:r>
          </w:p>
        </w:tc>
        <w:tc>
          <w:tcPr>
            <w:tcW w:w="2688" w:type="dxa"/>
            <w:tcBorders>
              <w:top w:val="double" w:sz="6" w:space="0" w:color="000000"/>
              <w:left w:val="single" w:sz="6" w:space="0" w:color="000000"/>
              <w:bottom w:val="single" w:sz="6" w:space="0" w:color="000000"/>
              <w:right w:val="double" w:sz="6" w:space="0" w:color="000000"/>
            </w:tcBorders>
          </w:tcPr>
          <w:p w14:paraId="325526BF" w14:textId="77777777" w:rsidR="00947762" w:rsidRPr="00947762" w:rsidRDefault="00947762" w:rsidP="00947762">
            <w:pPr>
              <w:widowControl/>
              <w:autoSpaceDN/>
              <w:snapToGrid w:val="0"/>
              <w:spacing w:after="120" w:line="380" w:lineRule="exact"/>
              <w:textAlignment w:val="auto"/>
              <w:rPr>
                <w:rFonts w:ascii="標楷體" w:eastAsia="標楷體" w:hAnsi="標楷體"/>
                <w:kern w:val="0"/>
                <w:sz w:val="20"/>
                <w:szCs w:val="24"/>
              </w:rPr>
            </w:pPr>
          </w:p>
        </w:tc>
        <w:tc>
          <w:tcPr>
            <w:tcW w:w="43" w:type="dxa"/>
            <w:tcMar>
              <w:left w:w="10" w:type="dxa"/>
              <w:right w:w="10" w:type="dxa"/>
            </w:tcMar>
          </w:tcPr>
          <w:p w14:paraId="07BC497A" w14:textId="77777777" w:rsidR="00947762" w:rsidRPr="00947762" w:rsidRDefault="00947762" w:rsidP="00947762">
            <w:pPr>
              <w:widowControl/>
              <w:autoSpaceDN/>
              <w:snapToGrid w:val="0"/>
              <w:spacing w:after="120" w:line="380" w:lineRule="exact"/>
              <w:textAlignment w:val="auto"/>
              <w:rPr>
                <w:rFonts w:ascii="標楷體" w:eastAsia="標楷體" w:hAnsi="標楷體"/>
                <w:kern w:val="0"/>
                <w:sz w:val="20"/>
                <w:szCs w:val="24"/>
              </w:rPr>
            </w:pPr>
          </w:p>
        </w:tc>
      </w:tr>
      <w:tr w:rsidR="00947762" w:rsidRPr="00947762" w14:paraId="58178242" w14:textId="77777777" w:rsidTr="00EC6AB1">
        <w:trPr>
          <w:cantSplit/>
          <w:trHeight w:val="332"/>
          <w:jc w:val="center"/>
        </w:trPr>
        <w:tc>
          <w:tcPr>
            <w:tcW w:w="1471" w:type="dxa"/>
            <w:gridSpan w:val="2"/>
            <w:tcBorders>
              <w:top w:val="single" w:sz="6" w:space="0" w:color="000000"/>
              <w:left w:val="double" w:sz="6" w:space="0" w:color="000000"/>
              <w:bottom w:val="single" w:sz="6" w:space="0" w:color="000000"/>
              <w:right w:val="single" w:sz="6" w:space="0" w:color="000000"/>
            </w:tcBorders>
          </w:tcPr>
          <w:p w14:paraId="1BC4B423"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病人姓名</w:t>
            </w:r>
          </w:p>
        </w:tc>
        <w:tc>
          <w:tcPr>
            <w:tcW w:w="1541" w:type="dxa"/>
            <w:gridSpan w:val="2"/>
            <w:tcBorders>
              <w:top w:val="single" w:sz="6" w:space="0" w:color="000000"/>
              <w:left w:val="single" w:sz="6" w:space="0" w:color="000000"/>
              <w:bottom w:val="single" w:sz="6" w:space="0" w:color="000000"/>
              <w:right w:val="single" w:sz="6" w:space="0" w:color="000000"/>
            </w:tcBorders>
          </w:tcPr>
          <w:p w14:paraId="643F55D0"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1403" w:type="dxa"/>
            <w:tcBorders>
              <w:top w:val="single" w:sz="6" w:space="0" w:color="000000"/>
              <w:left w:val="single" w:sz="6" w:space="0" w:color="000000"/>
              <w:bottom w:val="single" w:sz="6" w:space="0" w:color="000000"/>
              <w:right w:val="single" w:sz="6" w:space="0" w:color="000000"/>
            </w:tcBorders>
          </w:tcPr>
          <w:p w14:paraId="6CCC081E"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性別</w:t>
            </w:r>
          </w:p>
        </w:tc>
        <w:tc>
          <w:tcPr>
            <w:tcW w:w="1596" w:type="dxa"/>
            <w:tcBorders>
              <w:top w:val="single" w:sz="6" w:space="0" w:color="000000"/>
              <w:left w:val="single" w:sz="6" w:space="0" w:color="000000"/>
              <w:bottom w:val="single" w:sz="6" w:space="0" w:color="000000"/>
              <w:right w:val="single" w:sz="6" w:space="0" w:color="000000"/>
            </w:tcBorders>
          </w:tcPr>
          <w:p w14:paraId="6A6054E4"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1047" w:type="dxa"/>
            <w:gridSpan w:val="2"/>
            <w:tcBorders>
              <w:top w:val="single" w:sz="6" w:space="0" w:color="000000"/>
              <w:left w:val="single" w:sz="6" w:space="0" w:color="000000"/>
              <w:bottom w:val="single" w:sz="6" w:space="0" w:color="000000"/>
              <w:right w:val="single" w:sz="6" w:space="0" w:color="000000"/>
            </w:tcBorders>
          </w:tcPr>
          <w:p w14:paraId="0CA5A18C"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出生日期</w:t>
            </w:r>
          </w:p>
        </w:tc>
        <w:tc>
          <w:tcPr>
            <w:tcW w:w="2688" w:type="dxa"/>
            <w:tcBorders>
              <w:top w:val="single" w:sz="6" w:space="0" w:color="000000"/>
              <w:left w:val="single" w:sz="6" w:space="0" w:color="000000"/>
              <w:bottom w:val="single" w:sz="6" w:space="0" w:color="000000"/>
              <w:right w:val="double" w:sz="6" w:space="0" w:color="000000"/>
            </w:tcBorders>
          </w:tcPr>
          <w:p w14:paraId="49332EDB"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43" w:type="dxa"/>
            <w:tcMar>
              <w:left w:w="10" w:type="dxa"/>
              <w:right w:w="10" w:type="dxa"/>
            </w:tcMar>
          </w:tcPr>
          <w:p w14:paraId="4B996DD6"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r>
      <w:tr w:rsidR="00947762" w:rsidRPr="00947762" w14:paraId="5C400A66" w14:textId="77777777" w:rsidTr="00EC6AB1">
        <w:trPr>
          <w:cantSplit/>
          <w:trHeight w:val="356"/>
          <w:jc w:val="center"/>
        </w:trPr>
        <w:tc>
          <w:tcPr>
            <w:tcW w:w="1471" w:type="dxa"/>
            <w:gridSpan w:val="2"/>
            <w:tcBorders>
              <w:top w:val="single" w:sz="6" w:space="0" w:color="000000"/>
              <w:left w:val="double" w:sz="6" w:space="0" w:color="000000"/>
              <w:bottom w:val="single" w:sz="6" w:space="0" w:color="000000"/>
              <w:right w:val="single" w:sz="6" w:space="0" w:color="000000"/>
            </w:tcBorders>
          </w:tcPr>
          <w:p w14:paraId="18ECFDD0"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身分證號</w:t>
            </w:r>
          </w:p>
        </w:tc>
        <w:tc>
          <w:tcPr>
            <w:tcW w:w="1541" w:type="dxa"/>
            <w:gridSpan w:val="2"/>
            <w:tcBorders>
              <w:top w:val="single" w:sz="6" w:space="0" w:color="000000"/>
              <w:left w:val="single" w:sz="6" w:space="0" w:color="000000"/>
              <w:bottom w:val="single" w:sz="6" w:space="0" w:color="000000"/>
              <w:right w:val="single" w:sz="6" w:space="0" w:color="000000"/>
            </w:tcBorders>
          </w:tcPr>
          <w:p w14:paraId="56D1D440"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1403" w:type="dxa"/>
            <w:tcBorders>
              <w:top w:val="single" w:sz="6" w:space="0" w:color="000000"/>
              <w:left w:val="single" w:sz="6" w:space="0" w:color="000000"/>
              <w:bottom w:val="single" w:sz="6" w:space="0" w:color="000000"/>
              <w:right w:val="single" w:sz="6" w:space="0" w:color="000000"/>
            </w:tcBorders>
          </w:tcPr>
          <w:p w14:paraId="4AC88439"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病歷號碼</w:t>
            </w:r>
          </w:p>
        </w:tc>
        <w:tc>
          <w:tcPr>
            <w:tcW w:w="1596" w:type="dxa"/>
            <w:tcBorders>
              <w:top w:val="single" w:sz="6" w:space="0" w:color="000000"/>
              <w:left w:val="single" w:sz="6" w:space="0" w:color="000000"/>
              <w:bottom w:val="single" w:sz="6" w:space="0" w:color="000000"/>
              <w:right w:val="single" w:sz="6" w:space="0" w:color="000000"/>
            </w:tcBorders>
          </w:tcPr>
          <w:p w14:paraId="09856AE8"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1047" w:type="dxa"/>
            <w:gridSpan w:val="2"/>
            <w:vMerge w:val="restart"/>
            <w:tcBorders>
              <w:top w:val="single" w:sz="6" w:space="0" w:color="000000"/>
              <w:left w:val="single" w:sz="6" w:space="0" w:color="000000"/>
              <w:bottom w:val="double" w:sz="6" w:space="0" w:color="000000"/>
              <w:right w:val="single" w:sz="6" w:space="0" w:color="000000"/>
            </w:tcBorders>
            <w:vAlign w:val="center"/>
          </w:tcPr>
          <w:p w14:paraId="5E6304D8"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使用期間</w:t>
            </w:r>
          </w:p>
        </w:tc>
        <w:tc>
          <w:tcPr>
            <w:tcW w:w="2688" w:type="dxa"/>
            <w:tcBorders>
              <w:top w:val="single" w:sz="6" w:space="0" w:color="000000"/>
              <w:left w:val="single" w:sz="6" w:space="0" w:color="000000"/>
              <w:bottom w:val="single" w:sz="6" w:space="0" w:color="000000"/>
              <w:right w:val="double" w:sz="6" w:space="0" w:color="000000"/>
            </w:tcBorders>
          </w:tcPr>
          <w:p w14:paraId="17BDC603"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自　　年　　月　　日</w:t>
            </w:r>
          </w:p>
        </w:tc>
        <w:tc>
          <w:tcPr>
            <w:tcW w:w="43" w:type="dxa"/>
            <w:tcMar>
              <w:left w:w="10" w:type="dxa"/>
              <w:right w:w="10" w:type="dxa"/>
            </w:tcMar>
          </w:tcPr>
          <w:p w14:paraId="66621803"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r>
      <w:tr w:rsidR="00947762" w:rsidRPr="00947762" w14:paraId="5FF89F3D" w14:textId="77777777" w:rsidTr="00EC6AB1">
        <w:trPr>
          <w:cantSplit/>
          <w:trHeight w:val="337"/>
          <w:jc w:val="center"/>
        </w:trPr>
        <w:tc>
          <w:tcPr>
            <w:tcW w:w="1471" w:type="dxa"/>
            <w:gridSpan w:val="2"/>
            <w:tcBorders>
              <w:top w:val="single" w:sz="6" w:space="0" w:color="000000"/>
              <w:left w:val="double" w:sz="6" w:space="0" w:color="000000"/>
              <w:bottom w:val="double" w:sz="6" w:space="0" w:color="000000"/>
              <w:right w:val="single" w:sz="6" w:space="0" w:color="000000"/>
            </w:tcBorders>
          </w:tcPr>
          <w:p w14:paraId="1FDBC6B2"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藥品代碼</w:t>
            </w:r>
          </w:p>
        </w:tc>
        <w:tc>
          <w:tcPr>
            <w:tcW w:w="1541" w:type="dxa"/>
            <w:gridSpan w:val="2"/>
            <w:tcBorders>
              <w:top w:val="single" w:sz="6" w:space="0" w:color="000000"/>
              <w:left w:val="single" w:sz="6" w:space="0" w:color="000000"/>
              <w:bottom w:val="double" w:sz="6" w:space="0" w:color="000000"/>
              <w:right w:val="single" w:sz="6" w:space="0" w:color="000000"/>
            </w:tcBorders>
          </w:tcPr>
          <w:p w14:paraId="4D6253C2"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1403" w:type="dxa"/>
            <w:tcBorders>
              <w:top w:val="single" w:sz="6" w:space="0" w:color="000000"/>
              <w:left w:val="single" w:sz="6" w:space="0" w:color="000000"/>
              <w:bottom w:val="double" w:sz="6" w:space="0" w:color="000000"/>
              <w:right w:val="single" w:sz="6" w:space="0" w:color="000000"/>
            </w:tcBorders>
          </w:tcPr>
          <w:p w14:paraId="5034230D"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用法用量</w:t>
            </w:r>
          </w:p>
        </w:tc>
        <w:tc>
          <w:tcPr>
            <w:tcW w:w="1596" w:type="dxa"/>
            <w:tcBorders>
              <w:top w:val="single" w:sz="6" w:space="0" w:color="000000"/>
              <w:left w:val="single" w:sz="6" w:space="0" w:color="000000"/>
              <w:bottom w:val="double" w:sz="6" w:space="0" w:color="000000"/>
              <w:right w:val="single" w:sz="6" w:space="0" w:color="000000"/>
            </w:tcBorders>
          </w:tcPr>
          <w:p w14:paraId="7B3180F0"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c>
          <w:tcPr>
            <w:tcW w:w="1047" w:type="dxa"/>
            <w:gridSpan w:val="2"/>
            <w:vMerge/>
            <w:tcBorders>
              <w:top w:val="single" w:sz="6" w:space="0" w:color="000000"/>
              <w:left w:val="single" w:sz="6" w:space="0" w:color="000000"/>
              <w:bottom w:val="double" w:sz="6" w:space="0" w:color="000000"/>
              <w:right w:val="single" w:sz="6" w:space="0" w:color="000000"/>
            </w:tcBorders>
            <w:vAlign w:val="center"/>
          </w:tcPr>
          <w:p w14:paraId="352C6183" w14:textId="77777777" w:rsidR="00947762" w:rsidRPr="00947762" w:rsidRDefault="00947762" w:rsidP="00947762">
            <w:pPr>
              <w:widowControl/>
              <w:suppressAutoHyphens w:val="0"/>
              <w:autoSpaceDN/>
              <w:textAlignment w:val="auto"/>
              <w:rPr>
                <w:rFonts w:ascii="Times New Roman" w:eastAsia="新細明體;PMingLiU" w:hAnsi="Times New Roman"/>
                <w:kern w:val="0"/>
                <w:sz w:val="20"/>
                <w:szCs w:val="20"/>
              </w:rPr>
            </w:pPr>
          </w:p>
        </w:tc>
        <w:tc>
          <w:tcPr>
            <w:tcW w:w="2688" w:type="dxa"/>
            <w:tcBorders>
              <w:top w:val="single" w:sz="6" w:space="0" w:color="000000"/>
              <w:left w:val="single" w:sz="6" w:space="0" w:color="000000"/>
              <w:bottom w:val="double" w:sz="6" w:space="0" w:color="000000"/>
              <w:right w:val="double" w:sz="6" w:space="0" w:color="000000"/>
            </w:tcBorders>
          </w:tcPr>
          <w:p w14:paraId="02A5AED8"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r w:rsidRPr="00947762">
              <w:rPr>
                <w:rFonts w:ascii="標楷體" w:eastAsia="標楷體" w:hAnsi="標楷體"/>
                <w:kern w:val="0"/>
                <w:sz w:val="20"/>
                <w:szCs w:val="24"/>
              </w:rPr>
              <w:t>至　　年　　月　　日</w:t>
            </w:r>
          </w:p>
        </w:tc>
        <w:tc>
          <w:tcPr>
            <w:tcW w:w="43" w:type="dxa"/>
            <w:tcMar>
              <w:left w:w="10" w:type="dxa"/>
              <w:right w:w="10" w:type="dxa"/>
            </w:tcMar>
          </w:tcPr>
          <w:p w14:paraId="29313630" w14:textId="77777777" w:rsidR="00947762" w:rsidRPr="00947762" w:rsidRDefault="00947762" w:rsidP="00947762">
            <w:pPr>
              <w:widowControl/>
              <w:autoSpaceDN/>
              <w:spacing w:after="120" w:line="380" w:lineRule="exact"/>
              <w:textAlignment w:val="auto"/>
              <w:rPr>
                <w:rFonts w:ascii="標楷體" w:eastAsia="標楷體" w:hAnsi="標楷體"/>
                <w:kern w:val="0"/>
                <w:sz w:val="20"/>
                <w:szCs w:val="24"/>
              </w:rPr>
            </w:pPr>
          </w:p>
        </w:tc>
      </w:tr>
      <w:tr w:rsidR="00947762" w:rsidRPr="00947762" w14:paraId="254137BB" w14:textId="77777777" w:rsidTr="00EC6AB1">
        <w:trPr>
          <w:trHeight w:val="679"/>
          <w:jc w:val="center"/>
        </w:trPr>
        <w:tc>
          <w:tcPr>
            <w:tcW w:w="9789" w:type="dxa"/>
            <w:gridSpan w:val="10"/>
            <w:tcBorders>
              <w:top w:val="double" w:sz="4" w:space="0" w:color="000000"/>
              <w:left w:val="double" w:sz="4" w:space="0" w:color="000000"/>
              <w:bottom w:val="double" w:sz="4" w:space="0" w:color="000000"/>
              <w:right w:val="double" w:sz="4" w:space="0" w:color="000000"/>
            </w:tcBorders>
            <w:tcMar>
              <w:left w:w="108" w:type="dxa"/>
              <w:right w:w="108" w:type="dxa"/>
            </w:tcMar>
          </w:tcPr>
          <w:p w14:paraId="6001C2CC" w14:textId="77777777" w:rsidR="00947762" w:rsidRPr="00947762" w:rsidRDefault="00947762" w:rsidP="00947762">
            <w:pPr>
              <w:widowControl/>
              <w:suppressAutoHyphens w:val="0"/>
              <w:autoSpaceDN/>
              <w:spacing w:after="120" w:line="400" w:lineRule="exact"/>
              <w:textAlignment w:val="auto"/>
              <w:rPr>
                <w:rFonts w:ascii="Times New Roman" w:eastAsia="新細明體;PMingLiU" w:hAnsi="Times New Roman"/>
                <w:kern w:val="0"/>
                <w:sz w:val="20"/>
                <w:szCs w:val="24"/>
              </w:rPr>
            </w:pPr>
            <w:r w:rsidRPr="00947762">
              <w:rPr>
                <w:rFonts w:ascii="標楷體" w:eastAsia="標楷體" w:hAnsi="標楷體" w:cs="新細明體"/>
                <w:b/>
                <w:bCs/>
                <w:kern w:val="0"/>
                <w:sz w:val="20"/>
                <w:szCs w:val="24"/>
              </w:rPr>
              <w:t>□</w:t>
            </w:r>
            <w:r w:rsidRPr="00947762">
              <w:rPr>
                <w:rFonts w:ascii="標楷體" w:eastAsia="標楷體" w:hAnsi="標楷體" w:cs="新細明體"/>
                <w:b/>
                <w:bCs/>
                <w:kern w:val="0"/>
                <w:sz w:val="20"/>
                <w:szCs w:val="17"/>
              </w:rPr>
              <w:t>符合下列所有條件：</w:t>
            </w:r>
          </w:p>
          <w:p w14:paraId="3E9AEB92" w14:textId="77777777" w:rsidR="00947762" w:rsidRPr="00947762" w:rsidRDefault="00947762" w:rsidP="00947762">
            <w:pPr>
              <w:widowControl/>
              <w:suppressAutoHyphens w:val="0"/>
              <w:autoSpaceDN/>
              <w:spacing w:after="120" w:line="360" w:lineRule="exact"/>
              <w:textAlignment w:val="auto"/>
              <w:rPr>
                <w:rFonts w:ascii="Times New Roman" w:eastAsia="新細明體;PMingLiU" w:hAnsi="Times New Roman"/>
                <w:kern w:val="0"/>
                <w:sz w:val="20"/>
                <w:szCs w:val="24"/>
              </w:rPr>
            </w:pPr>
            <w:r w:rsidRPr="00947762">
              <w:rPr>
                <w:rFonts w:ascii="標楷體" w:eastAsia="標楷體" w:hAnsi="標楷體" w:cs="新細明體"/>
                <w:b/>
                <w:bCs/>
                <w:kern w:val="0"/>
                <w:sz w:val="20"/>
                <w:szCs w:val="24"/>
              </w:rPr>
              <w:t xml:space="preserve">    </w:t>
            </w:r>
            <w:r w:rsidRPr="00947762">
              <w:rPr>
                <w:rFonts w:ascii="標楷體" w:eastAsia="標楷體" w:hAnsi="標楷體" w:cs="新細明體"/>
                <w:bCs/>
                <w:kern w:val="0"/>
                <w:sz w:val="20"/>
                <w:szCs w:val="24"/>
              </w:rPr>
              <w:t>□</w:t>
            </w:r>
            <w:r w:rsidRPr="00947762">
              <w:rPr>
                <w:rFonts w:ascii="標楷體" w:eastAsia="標楷體" w:hAnsi="標楷體" w:cs="新細明體"/>
                <w:kern w:val="0"/>
                <w:sz w:val="20"/>
                <w:szCs w:val="24"/>
              </w:rPr>
              <w:t>診斷為克隆氏症且領有該症重大傷病卡，有效期限：____年____月至____年____月</w:t>
            </w:r>
          </w:p>
          <w:p w14:paraId="584C0340" w14:textId="77777777" w:rsidR="00947762" w:rsidRPr="00947762" w:rsidRDefault="00947762" w:rsidP="00947762">
            <w:pPr>
              <w:widowControl/>
              <w:suppressAutoHyphens w:val="0"/>
              <w:autoSpaceDN/>
              <w:spacing w:after="120" w:line="360" w:lineRule="exact"/>
              <w:textAlignment w:val="auto"/>
              <w:rPr>
                <w:rFonts w:ascii="Times New Roman" w:eastAsia="新細明體;PMingLiU" w:hAnsi="Times New Roman"/>
                <w:kern w:val="0"/>
                <w:sz w:val="20"/>
                <w:szCs w:val="24"/>
              </w:rPr>
            </w:pPr>
            <w:r w:rsidRPr="00947762">
              <w:rPr>
                <w:rFonts w:ascii="標楷體" w:eastAsia="標楷體" w:hAnsi="標楷體" w:cs="新細明體"/>
                <w:b/>
                <w:bCs/>
                <w:kern w:val="0"/>
                <w:sz w:val="20"/>
                <w:szCs w:val="24"/>
              </w:rPr>
              <w:t xml:space="preserve">    </w:t>
            </w:r>
            <w:r w:rsidRPr="00947762">
              <w:rPr>
                <w:rFonts w:ascii="標楷體" w:eastAsia="標楷體" w:hAnsi="標楷體" w:cs="新細明體"/>
                <w:bCs/>
                <w:kern w:val="0"/>
                <w:sz w:val="20"/>
                <w:szCs w:val="24"/>
              </w:rPr>
              <w:t>□</w:t>
            </w:r>
            <w:r w:rsidRPr="00947762">
              <w:rPr>
                <w:rFonts w:ascii="標楷體" w:eastAsia="標楷體" w:hAnsi="標楷體" w:cs="新細明體"/>
                <w:kern w:val="0"/>
                <w:sz w:val="20"/>
                <w:szCs w:val="24"/>
              </w:rPr>
              <w:t>符合下列條件之一，且附上影像診斷評估報告。</w:t>
            </w:r>
          </w:p>
          <w:p w14:paraId="77258577" w14:textId="77777777" w:rsidR="00947762" w:rsidRPr="00947762" w:rsidRDefault="00947762" w:rsidP="00947762">
            <w:pPr>
              <w:widowControl/>
              <w:suppressAutoHyphens w:val="0"/>
              <w:autoSpaceDN/>
              <w:spacing w:after="120" w:line="360" w:lineRule="exact"/>
              <w:ind w:left="1680" w:hanging="1680"/>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 xml:space="preserve">        □</w:t>
            </w:r>
            <w:r w:rsidRPr="00947762">
              <w:rPr>
                <w:rFonts w:ascii="標楷體" w:eastAsia="標楷體" w:hAnsi="標楷體" w:cs="新細明體"/>
                <w:kern w:val="0"/>
                <w:sz w:val="20"/>
                <w:szCs w:val="24"/>
              </w:rPr>
              <w:t>一、經5-aminosalicylic acid藥物、類固醇、及/或免疫抑制劑充分治療超過</w:t>
            </w:r>
            <w:r w:rsidRPr="00947762">
              <w:rPr>
                <w:rFonts w:ascii="標楷體" w:eastAsia="標楷體" w:hAnsi="標楷體"/>
                <w:kern w:val="0"/>
                <w:sz w:val="20"/>
                <w:szCs w:val="24"/>
              </w:rPr>
              <w:t>六個月，仍然無法控制病情(CDAI</w:t>
            </w:r>
            <w:r w:rsidRPr="00947762">
              <w:rPr>
                <w:rFonts w:ascii="Times New Roman" w:eastAsia="標楷體" w:hAnsi="Times New Roman"/>
                <w:kern w:val="0"/>
                <w:sz w:val="28"/>
                <w:szCs w:val="28"/>
              </w:rPr>
              <w:t>≥</w:t>
            </w:r>
            <w:r w:rsidRPr="00947762">
              <w:rPr>
                <w:rFonts w:ascii="標楷體" w:eastAsia="標楷體" w:hAnsi="標楷體"/>
                <w:kern w:val="0"/>
                <w:sz w:val="20"/>
                <w:szCs w:val="24"/>
              </w:rPr>
              <w:t>300)或產生嚴重藥物副作用時，且病況不適合手術者。</w:t>
            </w:r>
          </w:p>
          <w:p w14:paraId="757E108D" w14:textId="77777777" w:rsidR="00947762" w:rsidRPr="00947762" w:rsidRDefault="00947762" w:rsidP="00947762">
            <w:pPr>
              <w:widowControl/>
              <w:suppressAutoHyphens w:val="0"/>
              <w:autoSpaceDN/>
              <w:spacing w:after="120" w:line="360" w:lineRule="exact"/>
              <w:ind w:left="1711"/>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w:t>
            </w:r>
            <w:r w:rsidRPr="00947762">
              <w:rPr>
                <w:rFonts w:ascii="標楷體" w:eastAsia="標楷體" w:hAnsi="標楷體" w:cs="新細明體"/>
                <w:kern w:val="0"/>
                <w:sz w:val="20"/>
                <w:szCs w:val="24"/>
              </w:rPr>
              <w:t>無法控制病情（CDAI分數：_______）</w:t>
            </w:r>
          </w:p>
          <w:p w14:paraId="004DE7D7" w14:textId="77777777" w:rsidR="00947762" w:rsidRPr="00947762" w:rsidRDefault="00947762" w:rsidP="00947762">
            <w:pPr>
              <w:widowControl/>
              <w:suppressAutoHyphens w:val="0"/>
              <w:autoSpaceDN/>
              <w:spacing w:after="120" w:line="360" w:lineRule="exact"/>
              <w:ind w:left="1711"/>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w:t>
            </w:r>
            <w:r w:rsidRPr="00947762">
              <w:rPr>
                <w:rFonts w:ascii="標楷體" w:eastAsia="標楷體" w:hAnsi="標楷體" w:cs="新細明體"/>
                <w:kern w:val="0"/>
                <w:sz w:val="20"/>
                <w:szCs w:val="24"/>
              </w:rPr>
              <w:t>產生嚴重藥物副作用：藥名_________________時間__________</w:t>
            </w:r>
          </w:p>
          <w:p w14:paraId="47C3C4E6" w14:textId="77777777" w:rsidR="00947762" w:rsidRPr="00947762" w:rsidRDefault="00947762" w:rsidP="00947762">
            <w:pPr>
              <w:widowControl/>
              <w:autoSpaceDN/>
              <w:spacing w:after="120" w:line="360" w:lineRule="exact"/>
              <w:ind w:firstLine="1884"/>
              <w:textAlignment w:val="auto"/>
              <w:rPr>
                <w:rFonts w:ascii="標楷體" w:eastAsia="標楷體" w:hAnsi="標楷體"/>
                <w:kern w:val="0"/>
                <w:sz w:val="20"/>
                <w:szCs w:val="24"/>
              </w:rPr>
            </w:pPr>
            <w:r w:rsidRPr="00947762">
              <w:rPr>
                <w:rFonts w:ascii="標楷體" w:eastAsia="標楷體" w:hAnsi="標楷體"/>
                <w:kern w:val="0"/>
                <w:sz w:val="20"/>
                <w:szCs w:val="24"/>
              </w:rPr>
              <w:t>副作用說明：___________________________</w:t>
            </w:r>
          </w:p>
          <w:p w14:paraId="3C658253" w14:textId="77777777" w:rsidR="00947762" w:rsidRPr="00947762" w:rsidRDefault="00947762" w:rsidP="00947762">
            <w:pPr>
              <w:widowControl/>
              <w:suppressAutoHyphens w:val="0"/>
              <w:autoSpaceDN/>
              <w:spacing w:after="120" w:line="360" w:lineRule="exact"/>
              <w:ind w:left="1711"/>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w:t>
            </w:r>
            <w:r w:rsidRPr="00947762">
              <w:rPr>
                <w:rFonts w:ascii="標楷體" w:eastAsia="標楷體" w:hAnsi="標楷體" w:cs="新細明體"/>
                <w:kern w:val="0"/>
                <w:sz w:val="20"/>
                <w:szCs w:val="24"/>
              </w:rPr>
              <w:t>不適合手術之原因：___________________________________</w:t>
            </w:r>
          </w:p>
          <w:p w14:paraId="1D45790E" w14:textId="77777777" w:rsidR="00947762" w:rsidRPr="00947762" w:rsidRDefault="00947762" w:rsidP="00947762">
            <w:pPr>
              <w:widowControl/>
              <w:suppressAutoHyphens w:val="0"/>
              <w:autoSpaceDN/>
              <w:spacing w:after="120" w:line="360" w:lineRule="exact"/>
              <w:ind w:left="1680" w:hanging="1680"/>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 xml:space="preserve">        □</w:t>
            </w:r>
            <w:r w:rsidRPr="00947762">
              <w:rPr>
                <w:rFonts w:ascii="標楷體" w:eastAsia="標楷體" w:hAnsi="標楷體" w:cs="新細明體"/>
                <w:kern w:val="0"/>
                <w:sz w:val="20"/>
                <w:szCs w:val="24"/>
              </w:rPr>
              <w:t>二、經5-aminosalicylic acid藥物、類固醇、及免疫抑制劑充分治療超過六個</w:t>
            </w:r>
            <w:r w:rsidRPr="00947762">
              <w:rPr>
                <w:rFonts w:ascii="標楷體" w:eastAsia="標楷體" w:hAnsi="標楷體"/>
                <w:kern w:val="0"/>
                <w:sz w:val="20"/>
                <w:szCs w:val="24"/>
              </w:rPr>
              <w:t>月，或外科手術治療，肛門周圍廔管或腹壁廔管仍無法癒合且</w:t>
            </w:r>
            <w:r w:rsidRPr="007813E4">
              <w:rPr>
                <w:rFonts w:ascii="標楷體" w:eastAsia="標楷體" w:hAnsi="標楷體"/>
                <w:kern w:val="0"/>
                <w:sz w:val="20"/>
                <w:szCs w:val="24"/>
              </w:rPr>
              <w:t>CDAI</w:t>
            </w:r>
            <w:r w:rsidRPr="007813E4">
              <w:rPr>
                <w:rFonts w:ascii="Times New Roman" w:eastAsia="標楷體" w:hAnsi="Times New Roman"/>
                <w:kern w:val="0"/>
                <w:sz w:val="20"/>
                <w:szCs w:val="24"/>
              </w:rPr>
              <w:t>≥</w:t>
            </w:r>
            <w:r w:rsidRPr="007813E4">
              <w:rPr>
                <w:rFonts w:ascii="標楷體" w:eastAsia="標楷體" w:hAnsi="標楷體"/>
                <w:color w:val="000000"/>
                <w:kern w:val="0"/>
                <w:sz w:val="20"/>
                <w:szCs w:val="24"/>
              </w:rPr>
              <w:t>100</w:t>
            </w:r>
            <w:r w:rsidRPr="007813E4">
              <w:rPr>
                <w:rFonts w:ascii="標楷體" w:eastAsia="標楷體" w:hAnsi="標楷體"/>
                <w:kern w:val="0"/>
                <w:sz w:val="20"/>
                <w:szCs w:val="24"/>
              </w:rPr>
              <w:t>者。</w:t>
            </w:r>
          </w:p>
          <w:p w14:paraId="0D41CBD5" w14:textId="77777777" w:rsidR="00947762" w:rsidRPr="00947762" w:rsidRDefault="00947762" w:rsidP="00947762">
            <w:pPr>
              <w:widowControl/>
              <w:autoSpaceDN/>
              <w:spacing w:after="120" w:line="360" w:lineRule="exact"/>
              <w:ind w:left="1649"/>
              <w:textAlignment w:val="auto"/>
              <w:rPr>
                <w:rFonts w:ascii="標楷體" w:eastAsia="標楷體" w:hAnsi="標楷體"/>
                <w:kern w:val="0"/>
                <w:sz w:val="20"/>
                <w:szCs w:val="24"/>
              </w:rPr>
            </w:pPr>
            <w:r w:rsidRPr="00947762">
              <w:rPr>
                <w:rFonts w:ascii="標楷體" w:eastAsia="標楷體" w:hAnsi="標楷體"/>
                <w:kern w:val="0"/>
                <w:sz w:val="20"/>
                <w:szCs w:val="24"/>
              </w:rPr>
              <w:t>廔管無法癒合（CDAI分數：______），自___年___月起</w:t>
            </w:r>
          </w:p>
          <w:p w14:paraId="30355145" w14:textId="77777777" w:rsidR="00947762" w:rsidRPr="00947762" w:rsidRDefault="00947762" w:rsidP="00947762">
            <w:pPr>
              <w:widowControl/>
              <w:suppressAutoHyphens w:val="0"/>
              <w:autoSpaceDN/>
              <w:spacing w:after="120" w:line="360" w:lineRule="exact"/>
              <w:ind w:left="1680" w:hanging="1680"/>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 xml:space="preserve">        □</w:t>
            </w:r>
            <w:r w:rsidRPr="00947762">
              <w:rPr>
                <w:rFonts w:ascii="標楷體" w:eastAsia="標楷體" w:hAnsi="標楷體" w:cs="新細明體"/>
                <w:kern w:val="0"/>
                <w:sz w:val="20"/>
                <w:szCs w:val="24"/>
              </w:rPr>
              <w:t>三、經5-aminosalicylic acid 藥物如、類固醇、及免疫抑制劑充分治療，仍於</w:t>
            </w:r>
          </w:p>
          <w:p w14:paraId="087B81F6" w14:textId="77777777" w:rsidR="00947762" w:rsidRPr="00947762" w:rsidRDefault="00947762" w:rsidP="00947762">
            <w:pPr>
              <w:widowControl/>
              <w:autoSpaceDN/>
              <w:spacing w:after="120" w:line="360" w:lineRule="exact"/>
              <w:ind w:left="797" w:firstLine="770"/>
              <w:textAlignment w:val="auto"/>
              <w:rPr>
                <w:rFonts w:ascii="Times New Roman" w:eastAsia="新細明體;PMingLiU" w:hAnsi="Times New Roman"/>
                <w:kern w:val="0"/>
                <w:sz w:val="20"/>
                <w:szCs w:val="24"/>
              </w:rPr>
            </w:pPr>
            <w:r w:rsidRPr="00947762">
              <w:rPr>
                <w:rFonts w:ascii="標楷體" w:eastAsia="標楷體" w:hAnsi="標楷體"/>
                <w:kern w:val="0"/>
                <w:sz w:val="20"/>
                <w:szCs w:val="24"/>
              </w:rPr>
              <w:t>一年內因克隆氏症之併發症接受二次(含)以上之手術治療且</w:t>
            </w:r>
            <w:r w:rsidRPr="00EC6AB1">
              <w:rPr>
                <w:rFonts w:ascii="標楷體" w:eastAsia="標楷體" w:hAnsi="標楷體"/>
                <w:kern w:val="0"/>
                <w:sz w:val="20"/>
                <w:szCs w:val="24"/>
              </w:rPr>
              <w:t>CDAI</w:t>
            </w:r>
            <w:r w:rsidRPr="00EC6AB1">
              <w:rPr>
                <w:rFonts w:ascii="Times New Roman" w:eastAsia="標楷體" w:hAnsi="Times New Roman"/>
                <w:kern w:val="0"/>
                <w:sz w:val="20"/>
                <w:szCs w:val="24"/>
              </w:rPr>
              <w:t>≥</w:t>
            </w:r>
            <w:r w:rsidRPr="00EC6AB1">
              <w:rPr>
                <w:rFonts w:ascii="標楷體" w:eastAsia="標楷體" w:hAnsi="標楷體"/>
                <w:color w:val="000000"/>
                <w:kern w:val="0"/>
                <w:sz w:val="20"/>
                <w:szCs w:val="24"/>
              </w:rPr>
              <w:t>100</w:t>
            </w:r>
            <w:r w:rsidRPr="00EC6AB1">
              <w:rPr>
                <w:rFonts w:ascii="標楷體" w:eastAsia="標楷體" w:hAnsi="標楷體"/>
                <w:kern w:val="0"/>
                <w:sz w:val="20"/>
                <w:szCs w:val="24"/>
              </w:rPr>
              <w:t>者</w:t>
            </w:r>
            <w:r w:rsidRPr="00947762">
              <w:rPr>
                <w:rFonts w:ascii="標楷體" w:eastAsia="標楷體" w:hAnsi="標楷體"/>
                <w:kern w:val="0"/>
                <w:sz w:val="20"/>
                <w:szCs w:val="24"/>
              </w:rPr>
              <w:t>。</w:t>
            </w:r>
          </w:p>
          <w:p w14:paraId="05356F32" w14:textId="77777777" w:rsidR="00947762" w:rsidRPr="00947762" w:rsidRDefault="00947762" w:rsidP="00947762">
            <w:pPr>
              <w:widowControl/>
              <w:suppressAutoHyphens w:val="0"/>
              <w:autoSpaceDN/>
              <w:spacing w:after="120" w:line="360" w:lineRule="exact"/>
              <w:ind w:left="1920" w:hanging="1920"/>
              <w:textAlignment w:val="auto"/>
              <w:rPr>
                <w:rFonts w:ascii="Times New Roman" w:eastAsia="新細明體;PMingLiU" w:hAnsi="Times New Roman"/>
                <w:kern w:val="0"/>
                <w:sz w:val="20"/>
                <w:szCs w:val="24"/>
              </w:rPr>
            </w:pPr>
            <w:r w:rsidRPr="00947762">
              <w:rPr>
                <w:rFonts w:ascii="標楷體" w:eastAsia="標楷體" w:hAnsi="標楷體" w:cs="新細明體"/>
                <w:bCs/>
                <w:kern w:val="0"/>
                <w:sz w:val="20"/>
                <w:szCs w:val="24"/>
              </w:rPr>
              <w:t xml:space="preserve">             □</w:t>
            </w:r>
            <w:r w:rsidRPr="00947762">
              <w:rPr>
                <w:rFonts w:ascii="標楷體" w:eastAsia="標楷體" w:hAnsi="標楷體" w:cs="新細明體"/>
                <w:kern w:val="0"/>
                <w:sz w:val="20"/>
                <w:szCs w:val="24"/>
              </w:rPr>
              <w:t>一年內因克隆氏症併發症接受二次(含)以上之手術_____年_____月與_____年_____月</w:t>
            </w:r>
          </w:p>
          <w:p w14:paraId="6DF786CF" w14:textId="77777777" w:rsidR="00947762" w:rsidRPr="00947762" w:rsidRDefault="00947762" w:rsidP="00947762">
            <w:pPr>
              <w:widowControl/>
              <w:autoSpaceDN/>
              <w:spacing w:before="180" w:line="400" w:lineRule="exact"/>
              <w:textAlignment w:val="auto"/>
              <w:rPr>
                <w:rFonts w:ascii="Times New Roman" w:eastAsia="新細明體;PMingLiU" w:hAnsi="Times New Roman"/>
                <w:kern w:val="0"/>
                <w:sz w:val="20"/>
                <w:szCs w:val="24"/>
              </w:rPr>
            </w:pPr>
            <w:r w:rsidRPr="00947762">
              <w:rPr>
                <w:rFonts w:ascii="標楷體" w:eastAsia="標楷體" w:hAnsi="標楷體" w:cs="新細明體"/>
                <w:b/>
                <w:bCs/>
                <w:kern w:val="0"/>
                <w:sz w:val="20"/>
                <w:szCs w:val="24"/>
              </w:rPr>
              <w:t>□</w:t>
            </w:r>
            <w:r w:rsidRPr="00947762">
              <w:rPr>
                <w:rFonts w:ascii="標楷體" w:eastAsia="標楷體" w:hAnsi="標楷體"/>
                <w:b/>
                <w:bCs/>
                <w:kern w:val="0"/>
                <w:sz w:val="20"/>
                <w:szCs w:val="17"/>
              </w:rPr>
              <w:t>符合繼續使用之療效評估：</w:t>
            </w:r>
          </w:p>
          <w:p w14:paraId="4BFBB580" w14:textId="77777777" w:rsidR="00947762" w:rsidRPr="00947762" w:rsidRDefault="00947762" w:rsidP="00947762">
            <w:pPr>
              <w:widowControl/>
              <w:autoSpaceDN/>
              <w:spacing w:after="120" w:line="360" w:lineRule="exact"/>
              <w:ind w:left="799" w:hanging="427"/>
              <w:textAlignment w:val="auto"/>
              <w:rPr>
                <w:rFonts w:ascii="Times New Roman" w:eastAsia="新細明體;PMingLiU" w:hAnsi="Times New Roman"/>
                <w:kern w:val="0"/>
                <w:sz w:val="20"/>
                <w:szCs w:val="24"/>
              </w:rPr>
            </w:pPr>
            <w:r w:rsidRPr="00947762">
              <w:rPr>
                <w:rFonts w:ascii="標楷體" w:eastAsia="標楷體" w:hAnsi="標楷體"/>
                <w:b/>
                <w:bCs/>
                <w:kern w:val="0"/>
                <w:sz w:val="20"/>
                <w:szCs w:val="17"/>
              </w:rPr>
              <w:t>□</w:t>
            </w:r>
            <w:r w:rsidRPr="00947762">
              <w:rPr>
                <w:rFonts w:ascii="標楷體" w:eastAsia="標楷體" w:hAnsi="標楷體"/>
                <w:kern w:val="0"/>
                <w:sz w:val="20"/>
                <w:szCs w:val="24"/>
              </w:rPr>
              <w:t>初次使用者：adalimumab、或infliximab、或vedolizumab或risankizumab治療第三劑後、或ustekinumab治療第一劑後，達到有效緩解或部份有效緩解之誘導，誘導緩解失敗者，得提出申請轉換他類生物製劑，然同一療程不得合併使用。</w:t>
            </w:r>
          </w:p>
          <w:p w14:paraId="126EC48C" w14:textId="77777777" w:rsidR="00947762" w:rsidRPr="00947762" w:rsidRDefault="00947762" w:rsidP="00947762">
            <w:pPr>
              <w:widowControl/>
              <w:autoSpaceDN/>
              <w:spacing w:after="120" w:line="360" w:lineRule="exact"/>
              <w:ind w:left="797"/>
              <w:textAlignment w:val="auto"/>
              <w:rPr>
                <w:rFonts w:ascii="Times New Roman" w:eastAsia="新細明體;PMingLiU" w:hAnsi="Times New Roman"/>
                <w:kern w:val="0"/>
                <w:sz w:val="20"/>
                <w:szCs w:val="24"/>
              </w:rPr>
            </w:pPr>
            <w:r w:rsidRPr="00947762">
              <w:rPr>
                <w:rFonts w:ascii="標楷體" w:eastAsia="標楷體" w:hAnsi="標楷體"/>
                <w:b/>
                <w:bCs/>
                <w:color w:val="000000"/>
                <w:kern w:val="0"/>
                <w:sz w:val="20"/>
                <w:szCs w:val="17"/>
              </w:rPr>
              <w:t>□</w:t>
            </w:r>
            <w:r w:rsidRPr="00947762">
              <w:rPr>
                <w:rFonts w:ascii="標楷體" w:eastAsia="標楷體" w:hAnsi="標楷體"/>
                <w:color w:val="000000"/>
                <w:kern w:val="0"/>
                <w:sz w:val="20"/>
                <w:szCs w:val="24"/>
              </w:rPr>
              <w:t>達到有效緩解之誘導（CDAI&lt;150或廔管痊癒）</w:t>
            </w:r>
          </w:p>
          <w:p w14:paraId="3E76E88E" w14:textId="77777777" w:rsidR="00947762" w:rsidRPr="00947762" w:rsidRDefault="00947762" w:rsidP="00947762">
            <w:pPr>
              <w:widowControl/>
              <w:autoSpaceDN/>
              <w:spacing w:after="120" w:line="360" w:lineRule="exact"/>
              <w:ind w:left="1222" w:hanging="425"/>
              <w:textAlignment w:val="auto"/>
              <w:rPr>
                <w:rFonts w:ascii="Times New Roman" w:eastAsia="新細明體;PMingLiU" w:hAnsi="Times New Roman"/>
                <w:kern w:val="0"/>
                <w:sz w:val="20"/>
                <w:szCs w:val="24"/>
              </w:rPr>
            </w:pPr>
            <w:r w:rsidRPr="00947762">
              <w:rPr>
                <w:rFonts w:ascii="標楷體" w:eastAsia="標楷體" w:hAnsi="標楷體"/>
                <w:b/>
                <w:bCs/>
                <w:color w:val="000000"/>
                <w:kern w:val="0"/>
                <w:sz w:val="20"/>
                <w:szCs w:val="17"/>
              </w:rPr>
              <w:t>□</w:t>
            </w:r>
            <w:r w:rsidRPr="00947762">
              <w:rPr>
                <w:rFonts w:ascii="標楷體" w:eastAsia="標楷體" w:hAnsi="標楷體"/>
                <w:color w:val="000000"/>
                <w:kern w:val="0"/>
                <w:sz w:val="20"/>
                <w:szCs w:val="24"/>
              </w:rPr>
              <w:t>達到部份有效緩解之誘導（CDAI分數下降</w:t>
            </w:r>
            <w:r w:rsidRPr="00947762">
              <w:rPr>
                <w:rFonts w:ascii="Times New Roman" w:eastAsia="標楷體" w:hAnsi="Times New Roman"/>
                <w:color w:val="000000"/>
                <w:kern w:val="0"/>
                <w:sz w:val="28"/>
                <w:szCs w:val="28"/>
              </w:rPr>
              <w:t>≥</w:t>
            </w:r>
            <w:r w:rsidRPr="00947762">
              <w:rPr>
                <w:rFonts w:ascii="標楷體" w:eastAsia="標楷體" w:hAnsi="標楷體"/>
                <w:color w:val="000000"/>
                <w:kern w:val="0"/>
                <w:sz w:val="20"/>
                <w:szCs w:val="24"/>
              </w:rPr>
              <w:t>100或廔管數量減少）</w:t>
            </w:r>
          </w:p>
          <w:p w14:paraId="72C4642D" w14:textId="77777777" w:rsidR="00947762" w:rsidRPr="00947762" w:rsidRDefault="00947762" w:rsidP="00947762">
            <w:pPr>
              <w:widowControl/>
              <w:autoSpaceDN/>
              <w:spacing w:after="120" w:line="360" w:lineRule="exact"/>
              <w:ind w:left="1222" w:hanging="425"/>
              <w:textAlignment w:val="auto"/>
              <w:rPr>
                <w:rFonts w:ascii="Times New Roman" w:eastAsia="新細明體;PMingLiU" w:hAnsi="Times New Roman"/>
                <w:kern w:val="0"/>
                <w:sz w:val="20"/>
                <w:szCs w:val="24"/>
              </w:rPr>
            </w:pPr>
            <w:r w:rsidRPr="00947762">
              <w:rPr>
                <w:rFonts w:ascii="標楷體" w:eastAsia="標楷體" w:hAnsi="標楷體"/>
                <w:b/>
                <w:bCs/>
                <w:color w:val="000000"/>
                <w:kern w:val="0"/>
                <w:sz w:val="20"/>
                <w:szCs w:val="17"/>
              </w:rPr>
              <w:t>□</w:t>
            </w:r>
            <w:r w:rsidRPr="00947762">
              <w:rPr>
                <w:rFonts w:ascii="標楷體" w:eastAsia="標楷體" w:hAnsi="標楷體"/>
                <w:color w:val="000000"/>
                <w:kern w:val="0"/>
                <w:sz w:val="20"/>
                <w:szCs w:val="24"/>
              </w:rPr>
              <w:t>緩解誘導之使用期間：____年_____月至_____年_____月</w:t>
            </w:r>
          </w:p>
          <w:p w14:paraId="73441552" w14:textId="2CBB9E6D" w:rsidR="00947762" w:rsidRPr="00947762" w:rsidRDefault="00947762" w:rsidP="00947762">
            <w:pPr>
              <w:widowControl/>
              <w:autoSpaceDN/>
              <w:spacing w:after="120" w:line="360" w:lineRule="exact"/>
              <w:ind w:left="742" w:hanging="372"/>
              <w:textAlignment w:val="auto"/>
              <w:rPr>
                <w:rFonts w:ascii="Times New Roman" w:eastAsia="新細明體;PMingLiU" w:hAnsi="Times New Roman"/>
                <w:kern w:val="0"/>
                <w:sz w:val="20"/>
                <w:szCs w:val="24"/>
              </w:rPr>
            </w:pPr>
            <w:r w:rsidRPr="00947762">
              <w:rPr>
                <w:rFonts w:ascii="標楷體" w:eastAsia="標楷體" w:hAnsi="標楷體"/>
                <w:b/>
                <w:bCs/>
                <w:color w:val="000000"/>
                <w:kern w:val="0"/>
                <w:sz w:val="20"/>
                <w:szCs w:val="17"/>
              </w:rPr>
              <w:t>□</w:t>
            </w:r>
            <w:r w:rsidR="00B05711" w:rsidRPr="00B05711">
              <w:rPr>
                <w:rFonts w:ascii="標楷體" w:eastAsia="標楷體" w:hAnsi="標楷體" w:hint="eastAsia"/>
                <w:color w:val="000000"/>
                <w:kern w:val="0"/>
                <w:sz w:val="20"/>
                <w:szCs w:val="24"/>
              </w:rPr>
              <w:t>繼續使用者：adalimumab需每24週(使用12劑)；infliximab需每16週(使用2劑)或24週(使用3劑)；vedolizumab需每16週(使用2劑)或24週(使用3劑)評估一次；ustekinumab需每24週(使用2劑或3劑)。評估仍維持前一次療程有效或部份有效緩解時之CDAI分數，方得提出申請續用。ustekinumab治療達到部分有效緩解者，經消化系專科醫師評估後，得申請繼續使用，以每隔8週給予皮下注射維持劑量90mg。</w:t>
            </w:r>
          </w:p>
          <w:p w14:paraId="15F2D81D" w14:textId="4ED66358" w:rsidR="00947762" w:rsidRPr="00947762" w:rsidRDefault="00947762" w:rsidP="00947762">
            <w:pPr>
              <w:widowControl/>
              <w:autoSpaceDN/>
              <w:spacing w:after="120" w:line="360" w:lineRule="exact"/>
              <w:ind w:left="742" w:hanging="372"/>
              <w:textAlignment w:val="auto"/>
              <w:rPr>
                <w:rFonts w:ascii="Times New Roman" w:eastAsia="新細明體;PMingLiU" w:hAnsi="Times New Roman"/>
                <w:kern w:val="0"/>
                <w:sz w:val="20"/>
                <w:szCs w:val="24"/>
              </w:rPr>
            </w:pPr>
            <w:r w:rsidRPr="00947762">
              <w:rPr>
                <w:rFonts w:ascii="標楷體" w:eastAsia="標楷體" w:hAnsi="標楷體"/>
                <w:b/>
                <w:bCs/>
                <w:color w:val="000000"/>
                <w:kern w:val="0"/>
                <w:sz w:val="20"/>
                <w:szCs w:val="17"/>
              </w:rPr>
              <w:lastRenderedPageBreak/>
              <w:t>□</w:t>
            </w:r>
            <w:r w:rsidR="00B05711" w:rsidRPr="00B05711">
              <w:rPr>
                <w:rFonts w:ascii="標楷體" w:eastAsia="標楷體" w:hAnsi="標楷體" w:hint="eastAsia"/>
                <w:color w:val="000000"/>
                <w:kern w:val="0"/>
                <w:sz w:val="20"/>
                <w:szCs w:val="24"/>
              </w:rPr>
              <w:t>adalimumab治療期滿54週(使用28劑)；infliximab治療期滿46週(使用8劑) ; vedolizumab治療期滿46週(使用8劑)；ustekinumab治療期滿44週(使用5劑)或48週使用7劑，再提出續用者，必須距離前次生物製劑治療結束間隔3個月以上，且因病情復發或以其他治療難以控制達規定之標準(惟其中經5-aminosalicylic acid藥物、類固醇、及/或免疫抑制劑充分治療，連續超過3個月)</w:t>
            </w:r>
            <w:r w:rsidRPr="00947762">
              <w:rPr>
                <w:rFonts w:ascii="標楷體" w:eastAsia="標楷體" w:hAnsi="標楷體"/>
                <w:color w:val="000000"/>
                <w:kern w:val="0"/>
                <w:sz w:val="20"/>
                <w:szCs w:val="24"/>
              </w:rPr>
              <w:t>。</w:t>
            </w:r>
          </w:p>
          <w:p w14:paraId="2059849D" w14:textId="77777777" w:rsidR="00947762" w:rsidRPr="00947762" w:rsidRDefault="00947762" w:rsidP="00947762">
            <w:pPr>
              <w:widowControl/>
              <w:suppressAutoHyphens w:val="0"/>
              <w:autoSpaceDN/>
              <w:spacing w:after="120" w:line="360" w:lineRule="exact"/>
              <w:ind w:left="743" w:hanging="374"/>
              <w:textAlignment w:val="auto"/>
              <w:rPr>
                <w:rFonts w:ascii="Times New Roman" w:eastAsia="新細明體;PMingLiU" w:hAnsi="Times New Roman"/>
                <w:kern w:val="0"/>
                <w:sz w:val="20"/>
                <w:szCs w:val="24"/>
              </w:rPr>
            </w:pPr>
            <w:r w:rsidRPr="00947762">
              <w:rPr>
                <w:rFonts w:ascii="標楷體" w:eastAsia="標楷體" w:hAnsi="標楷體" w:cs="新細明體"/>
                <w:b/>
                <w:bCs/>
                <w:kern w:val="0"/>
                <w:sz w:val="20"/>
                <w:szCs w:val="24"/>
              </w:rPr>
              <w:t>□</w:t>
            </w:r>
            <w:r w:rsidRPr="00947762">
              <w:rPr>
                <w:rFonts w:ascii="標楷體" w:eastAsia="標楷體" w:hAnsi="標楷體" w:cs="新細明體"/>
                <w:color w:val="000000"/>
                <w:kern w:val="0"/>
                <w:sz w:val="20"/>
                <w:szCs w:val="24"/>
              </w:rPr>
              <w:t>連續兩次因療程結束暫緩用藥而疾病復發(CDAI</w:t>
            </w:r>
            <w:r w:rsidRPr="00947762">
              <w:rPr>
                <w:rFonts w:ascii="Times New Roman" w:eastAsia="標楷體" w:hAnsi="Times New Roman" w:cs="新細明體"/>
                <w:color w:val="000000"/>
                <w:kern w:val="0"/>
                <w:sz w:val="20"/>
                <w:szCs w:val="24"/>
              </w:rPr>
              <w:t>≥</w:t>
            </w:r>
            <w:r w:rsidRPr="00947762">
              <w:rPr>
                <w:rFonts w:ascii="標楷體" w:eastAsia="標楷體" w:hAnsi="標楷體" w:cs="新細明體"/>
                <w:color w:val="000000"/>
                <w:kern w:val="0"/>
                <w:sz w:val="20"/>
                <w:szCs w:val="24"/>
              </w:rPr>
              <w:t>300)，且第二次復發於藥效終止後3個月內發生，則可持續使用，惟需每24週提出續用事前審查。仍維持前一療程有效或部分有效緩解之CDAI分數，才可繼續申請續用。連續2年(4次評估)達到CDAI&lt;150，則應考慮停藥。</w:t>
            </w:r>
          </w:p>
        </w:tc>
      </w:tr>
      <w:tr w:rsidR="00947762" w:rsidRPr="00947762" w14:paraId="0C6D051A" w14:textId="77777777" w:rsidTr="00EC6AB1">
        <w:trPr>
          <w:cantSplit/>
          <w:trHeight w:val="281"/>
          <w:jc w:val="center"/>
        </w:trPr>
        <w:tc>
          <w:tcPr>
            <w:tcW w:w="9746" w:type="dxa"/>
            <w:gridSpan w:val="9"/>
            <w:tcBorders>
              <w:top w:val="double" w:sz="4" w:space="0" w:color="000000"/>
              <w:left w:val="double" w:sz="4" w:space="0" w:color="000000"/>
              <w:right w:val="double" w:sz="4" w:space="0" w:color="000000"/>
            </w:tcBorders>
          </w:tcPr>
          <w:p w14:paraId="5203B95B" w14:textId="6B297EEA" w:rsidR="00947762" w:rsidRPr="00947762" w:rsidRDefault="00B05711" w:rsidP="00947762">
            <w:pPr>
              <w:widowControl/>
              <w:autoSpaceDN/>
              <w:spacing w:before="180"/>
              <w:ind w:left="120"/>
              <w:textAlignment w:val="auto"/>
              <w:rPr>
                <w:rFonts w:ascii="Times New Roman" w:eastAsia="新細明體;PMingLiU" w:hAnsi="Times New Roman"/>
                <w:kern w:val="0"/>
                <w:sz w:val="20"/>
                <w:szCs w:val="24"/>
              </w:rPr>
            </w:pPr>
            <w:r w:rsidRPr="00947762">
              <w:rPr>
                <w:rFonts w:ascii="標楷體" w:eastAsia="標楷體" w:hAnsi="標楷體" w:cs="新細明體"/>
                <w:b/>
                <w:bCs/>
                <w:kern w:val="0"/>
                <w:sz w:val="20"/>
                <w:szCs w:val="24"/>
              </w:rPr>
              <w:lastRenderedPageBreak/>
              <w:t>□</w:t>
            </w:r>
            <w:r w:rsidR="00947762" w:rsidRPr="00947762">
              <w:rPr>
                <w:rFonts w:ascii="標楷體" w:eastAsia="標楷體" w:hAnsi="標楷體"/>
                <w:b/>
                <w:kern w:val="0"/>
                <w:sz w:val="20"/>
                <w:szCs w:val="24"/>
              </w:rPr>
              <w:t>符合「須排除或停止生物製劑使用之情形」</w:t>
            </w:r>
          </w:p>
        </w:tc>
        <w:tc>
          <w:tcPr>
            <w:tcW w:w="43" w:type="dxa"/>
            <w:tcMar>
              <w:left w:w="10" w:type="dxa"/>
              <w:right w:w="10" w:type="dxa"/>
            </w:tcMar>
          </w:tcPr>
          <w:p w14:paraId="73EAA947" w14:textId="77777777" w:rsidR="00947762" w:rsidRPr="00947762" w:rsidRDefault="00947762" w:rsidP="00947762">
            <w:pPr>
              <w:widowControl/>
              <w:autoSpaceDN/>
              <w:spacing w:before="180"/>
              <w:ind w:left="120"/>
              <w:textAlignment w:val="auto"/>
              <w:rPr>
                <w:rFonts w:ascii="Times New Roman" w:eastAsia="新細明體;PMingLiU" w:hAnsi="Times New Roman"/>
                <w:kern w:val="0"/>
                <w:sz w:val="20"/>
                <w:szCs w:val="24"/>
              </w:rPr>
            </w:pPr>
          </w:p>
        </w:tc>
      </w:tr>
      <w:tr w:rsidR="00947762" w:rsidRPr="00947762" w14:paraId="22725406"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4D69771C"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620B3DA5"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6448BFED"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55F7D0E5"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是否有</w:t>
            </w:r>
            <w:r w:rsidRPr="00947762">
              <w:rPr>
                <w:rFonts w:ascii="標楷體" w:eastAsia="標楷體" w:hAnsi="標楷體"/>
                <w:kern w:val="0"/>
                <w:sz w:val="20"/>
                <w:szCs w:val="24"/>
              </w:rPr>
              <w:softHyphen/>
            </w:r>
            <w:r w:rsidRPr="00947762">
              <w:rPr>
                <w:rFonts w:ascii="標楷體" w:eastAsia="標楷體" w:hAnsi="標楷體"/>
                <w:kern w:val="0"/>
                <w:sz w:val="20"/>
                <w:szCs w:val="24"/>
              </w:rPr>
              <w:softHyphen/>
            </w:r>
            <w:r w:rsidRPr="00947762">
              <w:rPr>
                <w:rFonts w:ascii="標楷體" w:eastAsia="標楷體" w:hAnsi="標楷體"/>
                <w:kern w:val="0"/>
                <w:sz w:val="20"/>
                <w:szCs w:val="24"/>
              </w:rPr>
              <w:softHyphen/>
            </w:r>
            <w:r w:rsidRPr="00947762">
              <w:rPr>
                <w:rFonts w:ascii="標楷體" w:eastAsia="標楷體" w:hAnsi="標楷體"/>
                <w:kern w:val="0"/>
                <w:sz w:val="20"/>
                <w:szCs w:val="24"/>
              </w:rPr>
              <w:softHyphen/>
            </w:r>
            <w:r w:rsidRPr="00947762">
              <w:rPr>
                <w:rFonts w:ascii="標楷體" w:eastAsia="標楷體" w:hAnsi="標楷體"/>
                <w:kern w:val="0"/>
                <w:sz w:val="20"/>
                <w:szCs w:val="24"/>
              </w:rPr>
              <w:softHyphen/>
              <w:t>_____________仿單記載之禁忌情形。</w:t>
            </w:r>
          </w:p>
        </w:tc>
        <w:tc>
          <w:tcPr>
            <w:tcW w:w="43" w:type="dxa"/>
            <w:tcMar>
              <w:left w:w="10" w:type="dxa"/>
              <w:right w:w="10" w:type="dxa"/>
            </w:tcMar>
          </w:tcPr>
          <w:p w14:paraId="1F15CD51"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7260CE4C"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170E3B7B"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180C943C"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359F7E44"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42BBC095"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婦女是否正在懷孕或授乳。</w:t>
            </w:r>
          </w:p>
        </w:tc>
        <w:tc>
          <w:tcPr>
            <w:tcW w:w="43" w:type="dxa"/>
            <w:tcMar>
              <w:left w:w="10" w:type="dxa"/>
              <w:right w:w="10" w:type="dxa"/>
            </w:tcMar>
          </w:tcPr>
          <w:p w14:paraId="37D7F1B7"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74C6D845"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06D72B21"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079E4BA9"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5EC94E7C"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6BD4DECF"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病患是否有活動性感染症。</w:t>
            </w:r>
          </w:p>
        </w:tc>
        <w:tc>
          <w:tcPr>
            <w:tcW w:w="43" w:type="dxa"/>
            <w:tcMar>
              <w:left w:w="10" w:type="dxa"/>
              <w:right w:w="10" w:type="dxa"/>
            </w:tcMar>
          </w:tcPr>
          <w:p w14:paraId="60749D63"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2FB563F9"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0B63D232"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0F8376D9"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41731C87"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781A3BA2"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未經完整治療之結核病的病患（包括潛伏結核感染治療未達四週者，申請時應檢附潛伏結核感染篩檢紀錄及治療紀錄供審查）。</w:t>
            </w:r>
          </w:p>
        </w:tc>
        <w:tc>
          <w:tcPr>
            <w:tcW w:w="43" w:type="dxa"/>
            <w:tcMar>
              <w:left w:w="10" w:type="dxa"/>
              <w:right w:w="10" w:type="dxa"/>
            </w:tcMar>
          </w:tcPr>
          <w:p w14:paraId="216EB8D4"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07E55D6D"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5CC921D2"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2B235161"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04F5B2C9" w14:textId="77777777" w:rsidR="00947762" w:rsidRPr="00947762" w:rsidRDefault="00947762" w:rsidP="00947762">
            <w:pPr>
              <w:widowControl/>
              <w:autoSpaceDN/>
              <w:spacing w:after="120"/>
              <w:ind w:left="92"/>
              <w:textAlignment w:val="center"/>
              <w:rPr>
                <w:rFonts w:ascii="標楷體" w:eastAsia="標楷體" w:hAnsi="標楷體"/>
                <w:kern w:val="0"/>
                <w:sz w:val="20"/>
                <w:szCs w:val="24"/>
              </w:rPr>
            </w:pPr>
          </w:p>
          <w:p w14:paraId="60D87381"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6AD3F553"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病患是否具有高度感染機會之情形，其中包括：</w:t>
            </w:r>
          </w:p>
          <w:p w14:paraId="60776CB5"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1.慢性腿部潰瘍。</w:t>
            </w:r>
          </w:p>
          <w:p w14:paraId="609249D2" w14:textId="77777777" w:rsidR="00947762" w:rsidRPr="00947762" w:rsidRDefault="00947762" w:rsidP="00947762">
            <w:pPr>
              <w:widowControl/>
              <w:autoSpaceDN/>
              <w:spacing w:after="120"/>
              <w:ind w:left="240" w:hanging="240"/>
              <w:textAlignment w:val="center"/>
              <w:rPr>
                <w:rFonts w:ascii="標楷體" w:eastAsia="標楷體" w:hAnsi="標楷體"/>
                <w:kern w:val="0"/>
                <w:sz w:val="20"/>
                <w:szCs w:val="24"/>
              </w:rPr>
            </w:pPr>
            <w:r w:rsidRPr="00947762">
              <w:rPr>
                <w:rFonts w:ascii="標楷體" w:eastAsia="標楷體" w:hAnsi="標楷體"/>
                <w:kern w:val="0"/>
                <w:sz w:val="20"/>
                <w:szCs w:val="24"/>
              </w:rPr>
              <w:t>2.具有留置導尿管或身上有引流管之情形。</w:t>
            </w:r>
          </w:p>
          <w:p w14:paraId="6726F6F8" w14:textId="77777777" w:rsidR="00947762" w:rsidRPr="00947762" w:rsidRDefault="00947762" w:rsidP="00947762">
            <w:pPr>
              <w:widowControl/>
              <w:autoSpaceDN/>
              <w:spacing w:after="120"/>
              <w:ind w:left="240" w:hanging="240"/>
              <w:textAlignment w:val="center"/>
              <w:rPr>
                <w:rFonts w:ascii="標楷體" w:eastAsia="標楷體" w:hAnsi="標楷體"/>
                <w:kern w:val="0"/>
                <w:sz w:val="20"/>
                <w:szCs w:val="24"/>
              </w:rPr>
            </w:pPr>
            <w:r w:rsidRPr="00947762">
              <w:rPr>
                <w:rFonts w:ascii="標楷體" w:eastAsia="標楷體" w:hAnsi="標楷體"/>
                <w:kern w:val="0"/>
                <w:sz w:val="20"/>
                <w:szCs w:val="24"/>
              </w:rPr>
              <w:t>3.人工關節感染，該人工關節尚未摘除。</w:t>
            </w:r>
          </w:p>
          <w:p w14:paraId="5CDD87B2" w14:textId="77777777" w:rsidR="00947762" w:rsidRPr="00947762" w:rsidRDefault="00947762" w:rsidP="00947762">
            <w:pPr>
              <w:widowControl/>
              <w:autoSpaceDN/>
              <w:spacing w:after="120"/>
              <w:ind w:left="240" w:hanging="240"/>
              <w:textAlignment w:val="center"/>
              <w:rPr>
                <w:rFonts w:ascii="標楷體" w:eastAsia="標楷體" w:hAnsi="標楷體"/>
                <w:kern w:val="0"/>
                <w:sz w:val="20"/>
                <w:szCs w:val="24"/>
              </w:rPr>
            </w:pPr>
            <w:r w:rsidRPr="00947762">
              <w:rPr>
                <w:rFonts w:ascii="標楷體" w:eastAsia="標楷體" w:hAnsi="標楷體"/>
                <w:kern w:val="0"/>
                <w:sz w:val="20"/>
                <w:szCs w:val="24"/>
              </w:rPr>
              <w:t>4.頑固性或復發性的胸腔感染疾病。</w:t>
            </w:r>
          </w:p>
        </w:tc>
        <w:tc>
          <w:tcPr>
            <w:tcW w:w="43" w:type="dxa"/>
            <w:tcMar>
              <w:left w:w="10" w:type="dxa"/>
              <w:right w:w="10" w:type="dxa"/>
            </w:tcMar>
          </w:tcPr>
          <w:p w14:paraId="39AB9E51" w14:textId="77777777" w:rsidR="00947762" w:rsidRPr="00947762" w:rsidRDefault="00947762" w:rsidP="00947762">
            <w:pPr>
              <w:widowControl/>
              <w:autoSpaceDN/>
              <w:spacing w:after="120"/>
              <w:ind w:left="240" w:hanging="240"/>
              <w:textAlignment w:val="center"/>
              <w:rPr>
                <w:rFonts w:ascii="標楷體" w:eastAsia="標楷體" w:hAnsi="標楷體"/>
                <w:kern w:val="0"/>
                <w:sz w:val="20"/>
                <w:szCs w:val="24"/>
              </w:rPr>
            </w:pPr>
          </w:p>
        </w:tc>
      </w:tr>
      <w:tr w:rsidR="00947762" w:rsidRPr="00947762" w14:paraId="13E26DD7"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053DC377"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2D806DCB"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3300DC1D"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4309166F"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病患是否罹患惡性腫瘤或具有癌症前兆(pre-malignancy)</w:t>
            </w:r>
          </w:p>
        </w:tc>
        <w:tc>
          <w:tcPr>
            <w:tcW w:w="43" w:type="dxa"/>
            <w:tcMar>
              <w:left w:w="10" w:type="dxa"/>
              <w:right w:w="10" w:type="dxa"/>
            </w:tcMar>
          </w:tcPr>
          <w:p w14:paraId="4EAE6841"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649D0881" w14:textId="77777777" w:rsidTr="00EC6AB1">
        <w:trPr>
          <w:cantSplit/>
          <w:trHeight w:val="400"/>
          <w:jc w:val="center"/>
        </w:trPr>
        <w:tc>
          <w:tcPr>
            <w:tcW w:w="667" w:type="dxa"/>
            <w:tcBorders>
              <w:top w:val="single" w:sz="6" w:space="0" w:color="000000"/>
              <w:left w:val="double" w:sz="4" w:space="0" w:color="000000"/>
              <w:bottom w:val="single" w:sz="6" w:space="0" w:color="000000"/>
            </w:tcBorders>
            <w:vAlign w:val="center"/>
          </w:tcPr>
          <w:p w14:paraId="709C9DFB"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single" w:sz="6" w:space="0" w:color="000000"/>
              <w:right w:val="single" w:sz="6" w:space="0" w:color="000000"/>
            </w:tcBorders>
            <w:vAlign w:val="center"/>
          </w:tcPr>
          <w:p w14:paraId="43658DF6"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2A03DFE0"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single" w:sz="6" w:space="0" w:color="000000"/>
              <w:right w:val="double" w:sz="4" w:space="0" w:color="000000"/>
            </w:tcBorders>
            <w:vAlign w:val="center"/>
          </w:tcPr>
          <w:p w14:paraId="71B04F1E"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病患是否罹患多發性硬化症(multiple sclerosis)</w:t>
            </w:r>
          </w:p>
        </w:tc>
        <w:tc>
          <w:tcPr>
            <w:tcW w:w="43" w:type="dxa"/>
            <w:tcMar>
              <w:left w:w="10" w:type="dxa"/>
              <w:right w:w="10" w:type="dxa"/>
            </w:tcMar>
          </w:tcPr>
          <w:p w14:paraId="13D81B53"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44E60746" w14:textId="77777777" w:rsidTr="00EC6AB1">
        <w:trPr>
          <w:cantSplit/>
          <w:trHeight w:val="400"/>
          <w:jc w:val="center"/>
        </w:trPr>
        <w:tc>
          <w:tcPr>
            <w:tcW w:w="667" w:type="dxa"/>
            <w:tcBorders>
              <w:top w:val="single" w:sz="6" w:space="0" w:color="000000"/>
              <w:left w:val="double" w:sz="4" w:space="0" w:color="000000"/>
              <w:bottom w:val="double" w:sz="4" w:space="0" w:color="000000"/>
            </w:tcBorders>
            <w:vAlign w:val="center"/>
          </w:tcPr>
          <w:p w14:paraId="775C3665"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c>
          <w:tcPr>
            <w:tcW w:w="1315" w:type="dxa"/>
            <w:gridSpan w:val="2"/>
            <w:tcBorders>
              <w:top w:val="single" w:sz="6" w:space="0" w:color="000000"/>
              <w:bottom w:val="double" w:sz="4" w:space="0" w:color="000000"/>
              <w:right w:val="single" w:sz="6" w:space="0" w:color="000000"/>
            </w:tcBorders>
            <w:vAlign w:val="center"/>
          </w:tcPr>
          <w:p w14:paraId="279FB25C"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是</w:t>
            </w:r>
          </w:p>
          <w:p w14:paraId="348A3C07" w14:textId="77777777" w:rsidR="00947762" w:rsidRPr="00947762" w:rsidRDefault="00947762" w:rsidP="008A7063">
            <w:pPr>
              <w:widowControl/>
              <w:numPr>
                <w:ilvl w:val="0"/>
                <w:numId w:val="129"/>
              </w:numPr>
              <w:tabs>
                <w:tab w:val="left" w:pos="425"/>
              </w:tabs>
              <w:suppressAutoHyphens w:val="0"/>
              <w:autoSpaceDN/>
              <w:spacing w:after="120"/>
              <w:ind w:left="425" w:hanging="333"/>
              <w:textAlignment w:val="center"/>
              <w:rPr>
                <w:rFonts w:ascii="標楷體" w:eastAsia="標楷體" w:hAnsi="標楷體"/>
                <w:kern w:val="0"/>
                <w:sz w:val="20"/>
                <w:szCs w:val="24"/>
              </w:rPr>
            </w:pPr>
            <w:r w:rsidRPr="00947762">
              <w:rPr>
                <w:rFonts w:ascii="標楷體" w:eastAsia="標楷體" w:hAnsi="標楷體"/>
                <w:kern w:val="0"/>
                <w:sz w:val="20"/>
                <w:szCs w:val="24"/>
              </w:rPr>
              <w:t>否</w:t>
            </w:r>
          </w:p>
        </w:tc>
        <w:tc>
          <w:tcPr>
            <w:tcW w:w="7764" w:type="dxa"/>
            <w:gridSpan w:val="6"/>
            <w:tcBorders>
              <w:top w:val="single" w:sz="6" w:space="0" w:color="000000"/>
              <w:left w:val="single" w:sz="6" w:space="0" w:color="000000"/>
              <w:bottom w:val="double" w:sz="4" w:space="0" w:color="000000"/>
              <w:right w:val="double" w:sz="4" w:space="0" w:color="000000"/>
            </w:tcBorders>
            <w:vAlign w:val="center"/>
          </w:tcPr>
          <w:p w14:paraId="362DB2C2"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使用____________發生懷孕或不良事件(包括：惡性腫瘤、該藥物引起的嚴重毒性、嚴重的感染性疾病)</w:t>
            </w:r>
          </w:p>
        </w:tc>
        <w:tc>
          <w:tcPr>
            <w:tcW w:w="43" w:type="dxa"/>
            <w:tcMar>
              <w:left w:w="10" w:type="dxa"/>
              <w:right w:w="10" w:type="dxa"/>
            </w:tcMar>
          </w:tcPr>
          <w:p w14:paraId="122F8AA1"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r w:rsidR="00947762" w:rsidRPr="00947762" w14:paraId="41A777F9" w14:textId="77777777" w:rsidTr="00EC6AB1">
        <w:trPr>
          <w:cantSplit/>
          <w:trHeight w:val="1766"/>
          <w:jc w:val="center"/>
        </w:trPr>
        <w:tc>
          <w:tcPr>
            <w:tcW w:w="6048" w:type="dxa"/>
            <w:gridSpan w:val="7"/>
          </w:tcPr>
          <w:p w14:paraId="47B1D887" w14:textId="77777777" w:rsidR="00947762" w:rsidRPr="00947762" w:rsidRDefault="00947762" w:rsidP="00947762">
            <w:pPr>
              <w:widowControl/>
              <w:autoSpaceDN/>
              <w:spacing w:after="120"/>
              <w:textAlignment w:val="center"/>
              <w:rPr>
                <w:rFonts w:ascii="Times New Roman" w:eastAsia="新細明體;PMingLiU" w:hAnsi="Times New Roman"/>
                <w:kern w:val="0"/>
                <w:sz w:val="20"/>
                <w:szCs w:val="24"/>
              </w:rPr>
            </w:pPr>
            <w:r w:rsidRPr="00947762">
              <w:rPr>
                <w:rFonts w:ascii="標楷體" w:eastAsia="標楷體" w:hAnsi="標楷體"/>
                <w:kern w:val="0"/>
                <w:sz w:val="20"/>
                <w:szCs w:val="24"/>
              </w:rPr>
              <w:t>申請醫師（簽名蓋章）：______________</w:t>
            </w:r>
            <w:r w:rsidRPr="00947762">
              <w:rPr>
                <w:rFonts w:ascii="標楷體" w:eastAsia="標楷體" w:hAnsi="標楷體"/>
                <w:kern w:val="0"/>
                <w:sz w:val="20"/>
                <w:szCs w:val="24"/>
                <w:u w:val="single"/>
              </w:rPr>
              <w:t xml:space="preserve">　　　　　　　</w:t>
            </w:r>
          </w:p>
          <w:p w14:paraId="6B2D210B" w14:textId="50B25C74" w:rsidR="00947762" w:rsidRPr="00947762" w:rsidRDefault="00947762" w:rsidP="00947762">
            <w:pPr>
              <w:widowControl/>
              <w:autoSpaceDN/>
              <w:spacing w:after="120"/>
              <w:textAlignment w:val="center"/>
              <w:rPr>
                <w:rFonts w:ascii="Times New Roman" w:eastAsia="新細明體;PMingLiU" w:hAnsi="Times New Roman"/>
                <w:kern w:val="0"/>
                <w:sz w:val="20"/>
                <w:szCs w:val="24"/>
              </w:rPr>
            </w:pPr>
            <w:r w:rsidRPr="00947762">
              <w:rPr>
                <w:rFonts w:ascii="標楷體" w:eastAsia="標楷體" w:hAnsi="標楷體"/>
                <w:kern w:val="0"/>
                <w:sz w:val="20"/>
                <w:szCs w:val="24"/>
              </w:rPr>
              <w:t>消化系專科醫師證書：______________</w:t>
            </w:r>
            <w:r w:rsidRPr="00947762">
              <w:rPr>
                <w:rFonts w:ascii="標楷體" w:eastAsia="標楷體" w:hAnsi="標楷體"/>
                <w:kern w:val="0"/>
                <w:sz w:val="20"/>
                <w:szCs w:val="24"/>
                <w:u w:val="single"/>
              </w:rPr>
              <w:t xml:space="preserve">　　　　　　</w:t>
            </w:r>
          </w:p>
        </w:tc>
        <w:tc>
          <w:tcPr>
            <w:tcW w:w="3698" w:type="dxa"/>
            <w:gridSpan w:val="2"/>
          </w:tcPr>
          <w:p w14:paraId="3D599CE8" w14:textId="77777777" w:rsidR="00947762" w:rsidRPr="00947762" w:rsidRDefault="00947762" w:rsidP="00947762">
            <w:pPr>
              <w:widowControl/>
              <w:autoSpaceDN/>
              <w:spacing w:after="120"/>
              <w:textAlignment w:val="center"/>
              <w:rPr>
                <w:rFonts w:ascii="標楷體" w:eastAsia="標楷體" w:hAnsi="標楷體"/>
                <w:kern w:val="0"/>
                <w:sz w:val="20"/>
                <w:szCs w:val="24"/>
              </w:rPr>
            </w:pPr>
            <w:r w:rsidRPr="00947762">
              <w:rPr>
                <w:rFonts w:ascii="標楷體" w:eastAsia="標楷體" w:hAnsi="標楷體"/>
                <w:kern w:val="0"/>
                <w:sz w:val="20"/>
                <w:szCs w:val="24"/>
              </w:rPr>
              <w:t>醫事機構章戳：</w:t>
            </w:r>
          </w:p>
        </w:tc>
        <w:tc>
          <w:tcPr>
            <w:tcW w:w="43" w:type="dxa"/>
            <w:tcMar>
              <w:left w:w="10" w:type="dxa"/>
              <w:right w:w="10" w:type="dxa"/>
            </w:tcMar>
          </w:tcPr>
          <w:p w14:paraId="31E53823" w14:textId="77777777" w:rsidR="00947762" w:rsidRPr="00947762" w:rsidRDefault="00947762" w:rsidP="00947762">
            <w:pPr>
              <w:widowControl/>
              <w:autoSpaceDN/>
              <w:spacing w:after="120"/>
              <w:textAlignment w:val="center"/>
              <w:rPr>
                <w:rFonts w:ascii="標楷體" w:eastAsia="標楷體" w:hAnsi="標楷體"/>
                <w:kern w:val="0"/>
                <w:sz w:val="20"/>
                <w:szCs w:val="24"/>
              </w:rPr>
            </w:pPr>
          </w:p>
        </w:tc>
      </w:tr>
    </w:tbl>
    <w:p w14:paraId="5CEC4107" w14:textId="77777777" w:rsidR="00BD776B" w:rsidRDefault="00DF0C24">
      <w:pPr>
        <w:pageBreakBefore/>
        <w:snapToGrid w:val="0"/>
        <w:spacing w:line="480" w:lineRule="exact"/>
        <w:jc w:val="center"/>
      </w:pPr>
      <w:r>
        <w:rPr>
          <w:rFonts w:ascii="標楷體" w:eastAsia="標楷體" w:hAnsi="標楷體"/>
          <w:b/>
          <w:bCs/>
          <w:color w:val="000000"/>
          <w:sz w:val="28"/>
          <w:szCs w:val="28"/>
        </w:rPr>
        <w:lastRenderedPageBreak/>
        <w:t>附表二十六之二</w:t>
      </w:r>
      <w:r>
        <w:rPr>
          <w:rFonts w:ascii="標楷體" w:eastAsia="標楷體" w:hAnsi="標楷體"/>
          <w:b/>
          <w:bCs/>
          <w:sz w:val="28"/>
          <w:szCs w:val="28"/>
        </w:rPr>
        <w:t>CDAI（Crohn’sdiseaseactivityindex）</w:t>
      </w:r>
      <w:r>
        <w:rPr>
          <w:rFonts w:ascii="標楷體" w:eastAsia="標楷體" w:hAnsi="標楷體"/>
          <w:b/>
          <w:bCs/>
          <w:color w:val="000000"/>
          <w:sz w:val="28"/>
          <w:szCs w:val="28"/>
        </w:rPr>
        <w:t>總分最高為600分</w:t>
      </w:r>
    </w:p>
    <w:tbl>
      <w:tblPr>
        <w:tblW w:w="9662" w:type="dxa"/>
        <w:tblInd w:w="85" w:type="dxa"/>
        <w:tblCellMar>
          <w:left w:w="10" w:type="dxa"/>
          <w:right w:w="10" w:type="dxa"/>
        </w:tblCellMar>
        <w:tblLook w:val="0000" w:firstRow="0" w:lastRow="0" w:firstColumn="0" w:lastColumn="0" w:noHBand="0" w:noVBand="0"/>
      </w:tblPr>
      <w:tblGrid>
        <w:gridCol w:w="6948"/>
        <w:gridCol w:w="1155"/>
        <w:gridCol w:w="1559"/>
      </w:tblGrid>
      <w:tr w:rsidR="00BD776B" w14:paraId="697D373D"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7816E" w14:textId="77777777" w:rsidR="00BD776B" w:rsidRDefault="00DF0C24">
            <w:pPr>
              <w:snapToGrid w:val="0"/>
              <w:spacing w:line="360" w:lineRule="auto"/>
              <w:jc w:val="center"/>
              <w:rPr>
                <w:rFonts w:ascii="標楷體" w:eastAsia="標楷體" w:hAnsi="標楷體"/>
                <w:b/>
              </w:rPr>
            </w:pPr>
            <w:r>
              <w:rPr>
                <w:rFonts w:ascii="標楷體" w:eastAsia="標楷體" w:hAnsi="標楷體"/>
                <w:b/>
              </w:rPr>
              <w:t>臨床或檢驗項目</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D5BA2" w14:textId="77777777" w:rsidR="00BD776B" w:rsidRDefault="00DF0C24">
            <w:pPr>
              <w:snapToGrid w:val="0"/>
              <w:spacing w:line="360" w:lineRule="auto"/>
              <w:jc w:val="center"/>
              <w:rPr>
                <w:rFonts w:ascii="標楷體" w:eastAsia="標楷體" w:hAnsi="標楷體"/>
                <w:b/>
              </w:rPr>
            </w:pPr>
            <w:r>
              <w:rPr>
                <w:rFonts w:ascii="標楷體" w:eastAsia="標楷體" w:hAnsi="標楷體"/>
                <w:b/>
              </w:rPr>
              <w:t>加權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14DA9" w14:textId="77777777" w:rsidR="00BD776B" w:rsidRDefault="00DF0C24">
            <w:pPr>
              <w:snapToGrid w:val="0"/>
              <w:spacing w:line="360" w:lineRule="auto"/>
              <w:jc w:val="center"/>
              <w:rPr>
                <w:rFonts w:ascii="標楷體" w:eastAsia="標楷體" w:hAnsi="標楷體"/>
                <w:b/>
              </w:rPr>
            </w:pPr>
            <w:r>
              <w:rPr>
                <w:rFonts w:ascii="標楷體" w:eastAsia="標楷體" w:hAnsi="標楷體"/>
                <w:b/>
              </w:rPr>
              <w:t>得分</w:t>
            </w:r>
          </w:p>
        </w:tc>
      </w:tr>
      <w:tr w:rsidR="00BD776B" w14:paraId="0001A273"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201E" w14:textId="77777777" w:rsidR="00BD776B" w:rsidRDefault="00DF0C24">
            <w:pPr>
              <w:snapToGrid w:val="0"/>
              <w:spacing w:line="360" w:lineRule="auto"/>
              <w:rPr>
                <w:rFonts w:ascii="標楷體" w:eastAsia="標楷體" w:hAnsi="標楷體"/>
              </w:rPr>
            </w:pPr>
            <w:r>
              <w:rPr>
                <w:rFonts w:ascii="標楷體" w:eastAsia="標楷體" w:hAnsi="標楷體"/>
              </w:rPr>
              <w:t>每星期中每天稀便與軟便次數之總和</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5C32B" w14:textId="77777777" w:rsidR="00BD776B" w:rsidRDefault="00DF0C24">
            <w:pPr>
              <w:snapToGrid w:val="0"/>
              <w:spacing w:line="360" w:lineRule="auto"/>
              <w:rPr>
                <w:rFonts w:ascii="標楷體" w:eastAsia="標楷體" w:hAnsi="標楷體"/>
              </w:rPr>
            </w:pPr>
            <w:r>
              <w:rPr>
                <w:rFonts w:ascii="標楷體" w:eastAsia="標楷體" w:hAnsi="標楷體"/>
              </w:rPr>
              <w:t>X2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F8CC" w14:textId="77777777" w:rsidR="00BD776B" w:rsidRDefault="00BD776B">
            <w:pPr>
              <w:snapToGrid w:val="0"/>
              <w:spacing w:line="276" w:lineRule="auto"/>
              <w:rPr>
                <w:rFonts w:ascii="標楷體" w:eastAsia="標楷體" w:hAnsi="標楷體"/>
              </w:rPr>
            </w:pPr>
          </w:p>
        </w:tc>
      </w:tr>
      <w:tr w:rsidR="00BD776B" w14:paraId="3691E425" w14:textId="77777777">
        <w:trPr>
          <w:trHeight w:val="882"/>
        </w:trPr>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1BE76" w14:textId="77777777" w:rsidR="00BD776B" w:rsidRDefault="00DF0C24">
            <w:pPr>
              <w:snapToGrid w:val="0"/>
              <w:spacing w:line="276" w:lineRule="auto"/>
              <w:rPr>
                <w:rFonts w:ascii="標楷體" w:eastAsia="標楷體" w:hAnsi="標楷體"/>
              </w:rPr>
            </w:pPr>
            <w:r>
              <w:rPr>
                <w:rFonts w:ascii="標楷體" w:eastAsia="標楷體" w:hAnsi="標楷體"/>
              </w:rPr>
              <w:t>每星期中每天腹痛分數之總和</w:t>
            </w:r>
          </w:p>
          <w:p w14:paraId="78B4A6E8" w14:textId="77777777" w:rsidR="00BD776B" w:rsidRDefault="00DF0C24">
            <w:pPr>
              <w:snapToGrid w:val="0"/>
              <w:spacing w:line="276" w:lineRule="auto"/>
              <w:rPr>
                <w:rFonts w:ascii="標楷體" w:eastAsia="標楷體" w:hAnsi="標楷體"/>
              </w:rPr>
            </w:pPr>
            <w:r>
              <w:rPr>
                <w:rFonts w:ascii="標楷體" w:eastAsia="標楷體" w:hAnsi="標楷體"/>
              </w:rPr>
              <w:t>(0=無，1=輕微，2=中度，3=嚴重；每星期總和：0-21)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40B84" w14:textId="77777777" w:rsidR="00BD776B" w:rsidRDefault="00DF0C24">
            <w:pPr>
              <w:snapToGrid w:val="0"/>
              <w:spacing w:line="360" w:lineRule="auto"/>
              <w:rPr>
                <w:rFonts w:ascii="標楷體" w:eastAsia="標楷體" w:hAnsi="標楷體"/>
              </w:rPr>
            </w:pPr>
            <w:r>
              <w:rPr>
                <w:rFonts w:ascii="標楷體" w:eastAsia="標楷體" w:hAnsi="標楷體"/>
              </w:rPr>
              <w:t>X5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A9CE6" w14:textId="77777777" w:rsidR="00BD776B" w:rsidRDefault="00BD776B">
            <w:pPr>
              <w:snapToGrid w:val="0"/>
              <w:spacing w:line="276" w:lineRule="auto"/>
              <w:rPr>
                <w:rFonts w:ascii="標楷體" w:eastAsia="標楷體" w:hAnsi="標楷體"/>
              </w:rPr>
            </w:pPr>
          </w:p>
        </w:tc>
      </w:tr>
      <w:tr w:rsidR="00BD776B" w14:paraId="29A1A40A" w14:textId="77777777">
        <w:trPr>
          <w:trHeight w:val="909"/>
        </w:trPr>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A28F3" w14:textId="77777777" w:rsidR="00BD776B" w:rsidRDefault="00DF0C24">
            <w:pPr>
              <w:snapToGrid w:val="0"/>
              <w:spacing w:line="276" w:lineRule="auto"/>
              <w:rPr>
                <w:rFonts w:ascii="標楷體" w:eastAsia="標楷體" w:hAnsi="標楷體"/>
              </w:rPr>
            </w:pPr>
            <w:r>
              <w:rPr>
                <w:rFonts w:ascii="標楷體" w:eastAsia="標楷體" w:hAnsi="標楷體"/>
              </w:rPr>
              <w:t>每星期中每天身體狀況分數之總和</w:t>
            </w:r>
          </w:p>
          <w:p w14:paraId="5331AD05" w14:textId="77777777" w:rsidR="00BD776B" w:rsidRDefault="00DF0C24">
            <w:pPr>
              <w:snapToGrid w:val="0"/>
              <w:spacing w:line="276" w:lineRule="auto"/>
              <w:rPr>
                <w:rFonts w:ascii="標楷體" w:eastAsia="標楷體" w:hAnsi="標楷體"/>
              </w:rPr>
            </w:pPr>
            <w:r>
              <w:rPr>
                <w:rFonts w:ascii="標楷體" w:eastAsia="標楷體" w:hAnsi="標楷體"/>
              </w:rPr>
              <w:t>(0=好，1=稍差，2=差，3=很差，4=極差；每星期總和：0-28)</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7823E" w14:textId="77777777" w:rsidR="00BD776B" w:rsidRDefault="00DF0C24">
            <w:pPr>
              <w:snapToGrid w:val="0"/>
              <w:spacing w:line="360" w:lineRule="auto"/>
              <w:rPr>
                <w:rFonts w:ascii="標楷體" w:eastAsia="標楷體" w:hAnsi="標楷體"/>
              </w:rPr>
            </w:pPr>
            <w:r>
              <w:rPr>
                <w:rFonts w:ascii="標楷體" w:eastAsia="標楷體" w:hAnsi="標楷體"/>
              </w:rPr>
              <w:t>X7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C4DCF" w14:textId="77777777" w:rsidR="00BD776B" w:rsidRDefault="00BD776B">
            <w:pPr>
              <w:snapToGrid w:val="0"/>
              <w:spacing w:line="276" w:lineRule="auto"/>
              <w:rPr>
                <w:rFonts w:ascii="標楷體" w:eastAsia="標楷體" w:hAnsi="標楷體"/>
              </w:rPr>
            </w:pPr>
          </w:p>
        </w:tc>
      </w:tr>
      <w:tr w:rsidR="00BD776B" w14:paraId="3999DAEE"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EE30F" w14:textId="77777777" w:rsidR="00BD776B" w:rsidRDefault="00DF0C24">
            <w:pPr>
              <w:snapToGrid w:val="0"/>
              <w:spacing w:line="360" w:lineRule="auto"/>
              <w:rPr>
                <w:rFonts w:ascii="標楷體" w:eastAsia="標楷體" w:hAnsi="標楷體"/>
              </w:rPr>
            </w:pPr>
            <w:r>
              <w:rPr>
                <w:rFonts w:ascii="標楷體" w:eastAsia="標楷體" w:hAnsi="標楷體"/>
              </w:rPr>
              <w:t>併發症之發生</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97E9A" w14:textId="77777777" w:rsidR="00BD776B" w:rsidRDefault="00DF0C24">
            <w:pPr>
              <w:snapToGrid w:val="0"/>
              <w:spacing w:line="360" w:lineRule="auto"/>
              <w:rPr>
                <w:rFonts w:ascii="標楷體" w:eastAsia="標楷體" w:hAnsi="標楷體"/>
              </w:rPr>
            </w:pPr>
            <w:r>
              <w:rPr>
                <w:rFonts w:ascii="標楷體" w:eastAsia="標楷體" w:hAnsi="標楷體"/>
              </w:rPr>
              <w:t>X20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AD714" w14:textId="77777777" w:rsidR="00BD776B" w:rsidRDefault="00BD776B">
            <w:pPr>
              <w:snapToGrid w:val="0"/>
              <w:spacing w:line="276" w:lineRule="auto"/>
              <w:rPr>
                <w:rFonts w:ascii="標楷體" w:eastAsia="標楷體" w:hAnsi="標楷體"/>
              </w:rPr>
            </w:pPr>
          </w:p>
        </w:tc>
      </w:tr>
      <w:tr w:rsidR="00BD776B" w14:paraId="7E00C9C1"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0ACEF" w14:textId="77777777" w:rsidR="00BD776B" w:rsidRDefault="00DF0C24">
            <w:pPr>
              <w:snapToGrid w:val="0"/>
              <w:spacing w:line="360" w:lineRule="auto"/>
              <w:rPr>
                <w:rFonts w:ascii="標楷體" w:eastAsia="標楷體" w:hAnsi="標楷體"/>
              </w:rPr>
            </w:pPr>
            <w:r>
              <w:rPr>
                <w:rFonts w:ascii="標楷體" w:eastAsia="標楷體" w:hAnsi="標楷體"/>
              </w:rPr>
              <w:t>服用強的止瀉藥或鴉片類藥物來止瀉</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729D0" w14:textId="77777777" w:rsidR="00BD776B" w:rsidRDefault="00DF0C24">
            <w:pPr>
              <w:snapToGrid w:val="0"/>
              <w:spacing w:line="360" w:lineRule="auto"/>
              <w:rPr>
                <w:rFonts w:ascii="標楷體" w:eastAsia="標楷體" w:hAnsi="標楷體"/>
              </w:rPr>
            </w:pPr>
            <w:r>
              <w:rPr>
                <w:rFonts w:ascii="標楷體" w:eastAsia="標楷體" w:hAnsi="標楷體"/>
              </w:rPr>
              <w:t>X30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BD3FF" w14:textId="77777777" w:rsidR="00BD776B" w:rsidRDefault="00BD776B">
            <w:pPr>
              <w:snapToGrid w:val="0"/>
              <w:spacing w:line="276" w:lineRule="auto"/>
              <w:rPr>
                <w:rFonts w:ascii="標楷體" w:eastAsia="標楷體" w:hAnsi="標楷體"/>
              </w:rPr>
            </w:pPr>
          </w:p>
        </w:tc>
      </w:tr>
      <w:tr w:rsidR="00BD776B" w14:paraId="30063892"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8F56F" w14:textId="77777777" w:rsidR="00BD776B" w:rsidRDefault="00DF0C24">
            <w:pPr>
              <w:snapToGrid w:val="0"/>
              <w:spacing w:line="276" w:lineRule="auto"/>
              <w:rPr>
                <w:rFonts w:ascii="標楷體" w:eastAsia="標楷體" w:hAnsi="標楷體"/>
              </w:rPr>
            </w:pPr>
            <w:r>
              <w:rPr>
                <w:rFonts w:ascii="標楷體" w:eastAsia="標楷體" w:hAnsi="標楷體"/>
              </w:rPr>
              <w:t>腹部有腫塊</w:t>
            </w:r>
          </w:p>
          <w:p w14:paraId="2CFC9B23" w14:textId="77777777" w:rsidR="00BD776B" w:rsidRDefault="00DF0C24">
            <w:pPr>
              <w:snapToGrid w:val="0"/>
              <w:spacing w:line="276" w:lineRule="auto"/>
              <w:rPr>
                <w:rFonts w:ascii="標楷體" w:eastAsia="標楷體" w:hAnsi="標楷體"/>
              </w:rPr>
            </w:pPr>
            <w:r>
              <w:rPr>
                <w:rFonts w:ascii="標楷體" w:eastAsia="標楷體" w:hAnsi="標楷體"/>
              </w:rPr>
              <w:t>(0=無，2=可能有摸到，5=確定有)</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85246" w14:textId="77777777" w:rsidR="00BD776B" w:rsidRDefault="00DF0C24">
            <w:pPr>
              <w:snapToGrid w:val="0"/>
              <w:spacing w:line="360" w:lineRule="auto"/>
              <w:rPr>
                <w:rFonts w:ascii="標楷體" w:eastAsia="標楷體" w:hAnsi="標楷體"/>
              </w:rPr>
            </w:pPr>
            <w:r>
              <w:rPr>
                <w:rFonts w:ascii="標楷體" w:eastAsia="標楷體" w:hAnsi="標楷體"/>
              </w:rPr>
              <w:t>X10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928FD" w14:textId="77777777" w:rsidR="00BD776B" w:rsidRDefault="00BD776B">
            <w:pPr>
              <w:snapToGrid w:val="0"/>
              <w:spacing w:line="276" w:lineRule="auto"/>
              <w:rPr>
                <w:rFonts w:ascii="標楷體" w:eastAsia="標楷體" w:hAnsi="標楷體"/>
              </w:rPr>
            </w:pPr>
          </w:p>
        </w:tc>
      </w:tr>
      <w:tr w:rsidR="00BD776B" w14:paraId="151DE7DC"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4F787" w14:textId="77777777" w:rsidR="00BD776B" w:rsidRDefault="00DF0C24">
            <w:pPr>
              <w:snapToGrid w:val="0"/>
              <w:spacing w:line="360" w:lineRule="auto"/>
              <w:rPr>
                <w:rFonts w:ascii="標楷體" w:eastAsia="標楷體" w:hAnsi="標楷體"/>
              </w:rPr>
            </w:pPr>
            <w:r>
              <w:rPr>
                <w:rFonts w:ascii="標楷體" w:eastAsia="標楷體" w:hAnsi="標楷體"/>
              </w:rPr>
              <w:t>血紅素hematocrit與正常值(男47%,女42%)之差距(差1%=1分)</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8E29E" w14:textId="77777777" w:rsidR="00BD776B" w:rsidRDefault="00DF0C24">
            <w:pPr>
              <w:snapToGrid w:val="0"/>
              <w:spacing w:line="360" w:lineRule="auto"/>
              <w:rPr>
                <w:rFonts w:ascii="標楷體" w:eastAsia="標楷體" w:hAnsi="標楷體"/>
              </w:rPr>
            </w:pPr>
            <w:r>
              <w:rPr>
                <w:rFonts w:ascii="標楷體" w:eastAsia="標楷體" w:hAnsi="標楷體"/>
              </w:rPr>
              <w:t>X6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A8284" w14:textId="77777777" w:rsidR="00BD776B" w:rsidRDefault="00BD776B">
            <w:pPr>
              <w:snapToGrid w:val="0"/>
              <w:spacing w:line="276" w:lineRule="auto"/>
              <w:rPr>
                <w:rFonts w:ascii="標楷體" w:eastAsia="標楷體" w:hAnsi="標楷體"/>
              </w:rPr>
            </w:pPr>
          </w:p>
        </w:tc>
      </w:tr>
      <w:tr w:rsidR="00BD776B" w14:paraId="732ADED5" w14:textId="77777777">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49799" w14:textId="77777777" w:rsidR="00BD776B" w:rsidRDefault="00DF0C24">
            <w:pPr>
              <w:snapToGrid w:val="0"/>
              <w:spacing w:line="360" w:lineRule="auto"/>
              <w:rPr>
                <w:rFonts w:ascii="標楷體" w:eastAsia="標楷體" w:hAnsi="標楷體"/>
              </w:rPr>
            </w:pPr>
            <w:r>
              <w:rPr>
                <w:rFonts w:ascii="標楷體" w:eastAsia="標楷體" w:hAnsi="標楷體"/>
              </w:rPr>
              <w:t>與標準體重之百分比差距(差1%=1分)</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896A8" w14:textId="77777777" w:rsidR="00BD776B" w:rsidRDefault="00DF0C24">
            <w:pPr>
              <w:snapToGrid w:val="0"/>
              <w:spacing w:line="360" w:lineRule="auto"/>
              <w:rPr>
                <w:rFonts w:ascii="標楷體" w:eastAsia="標楷體" w:hAnsi="標楷體"/>
              </w:rPr>
            </w:pPr>
            <w:r>
              <w:rPr>
                <w:rFonts w:ascii="標楷體" w:eastAsia="標楷體" w:hAnsi="標楷體"/>
              </w:rPr>
              <w:t>X1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8F36" w14:textId="77777777" w:rsidR="00BD776B" w:rsidRDefault="00BD776B">
            <w:pPr>
              <w:snapToGrid w:val="0"/>
              <w:spacing w:line="276" w:lineRule="auto"/>
              <w:rPr>
                <w:rFonts w:ascii="標楷體" w:eastAsia="標楷體" w:hAnsi="標楷體"/>
              </w:rPr>
            </w:pPr>
          </w:p>
        </w:tc>
      </w:tr>
      <w:tr w:rsidR="00BD776B" w14:paraId="34DFE02A" w14:textId="77777777">
        <w:trPr>
          <w:trHeight w:val="3545"/>
        </w:trPr>
        <w:tc>
          <w:tcPr>
            <w:tcW w:w="6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397E0" w14:textId="77777777" w:rsidR="00BD776B" w:rsidRDefault="00DF0C24">
            <w:pPr>
              <w:snapToGrid w:val="0"/>
              <w:spacing w:line="276" w:lineRule="auto"/>
              <w:rPr>
                <w:rFonts w:ascii="標楷體" w:eastAsia="標楷體" w:hAnsi="標楷體"/>
              </w:rPr>
            </w:pPr>
            <w:r>
              <w:rPr>
                <w:rFonts w:ascii="標楷體" w:eastAsia="標楷體" w:hAnsi="標楷體"/>
              </w:rPr>
              <w:t>有下列項目各加1分</w:t>
            </w:r>
          </w:p>
          <w:p w14:paraId="5AD64803" w14:textId="77777777" w:rsidR="00BD776B" w:rsidRDefault="00DF0C24" w:rsidP="008A7063">
            <w:pPr>
              <w:numPr>
                <w:ilvl w:val="0"/>
                <w:numId w:val="110"/>
              </w:numPr>
              <w:snapToGrid w:val="0"/>
              <w:spacing w:line="276" w:lineRule="auto"/>
              <w:rPr>
                <w:rFonts w:ascii="標楷體" w:eastAsia="標楷體" w:hAnsi="標楷體"/>
              </w:rPr>
            </w:pPr>
            <w:r>
              <w:rPr>
                <w:rFonts w:ascii="標楷體" w:eastAsia="標楷體" w:hAnsi="標楷體"/>
              </w:rPr>
              <w:t>關節痛或關節炎</w:t>
            </w:r>
          </w:p>
          <w:p w14:paraId="69957A8C" w14:textId="77777777" w:rsidR="00BD776B" w:rsidRDefault="00DF0C24" w:rsidP="008A7063">
            <w:pPr>
              <w:numPr>
                <w:ilvl w:val="0"/>
                <w:numId w:val="110"/>
              </w:numPr>
              <w:snapToGrid w:val="0"/>
              <w:spacing w:line="276" w:lineRule="auto"/>
            </w:pPr>
            <w:r>
              <w:rPr>
                <w:rFonts w:ascii="標楷體" w:eastAsia="標楷體" w:hAnsi="標楷體"/>
              </w:rPr>
              <w:t>眼睛炎</w:t>
            </w:r>
            <w:hyperlink r:id="rId37" w:tooltip="Iris (anatomy)" w:history="1">
              <w:r>
                <w:rPr>
                  <w:rFonts w:ascii="標楷體" w:eastAsia="標楷體" w:hAnsi="標楷體"/>
                  <w:kern w:val="0"/>
                </w:rPr>
                <w:t>iris</w:t>
              </w:r>
            </w:hyperlink>
            <w:r>
              <w:rPr>
                <w:rFonts w:ascii="標楷體" w:eastAsia="標楷體" w:hAnsi="標楷體"/>
                <w:kern w:val="0"/>
              </w:rPr>
              <w:t>or</w:t>
            </w:r>
            <w:hyperlink r:id="rId38" w:tooltip="Uveitis" w:history="1">
              <w:r>
                <w:rPr>
                  <w:rFonts w:ascii="標楷體" w:eastAsia="標楷體" w:hAnsi="標楷體"/>
                  <w:kern w:val="0"/>
                </w:rPr>
                <w:t>uveitis</w:t>
              </w:r>
            </w:hyperlink>
          </w:p>
          <w:p w14:paraId="268B366F" w14:textId="77777777" w:rsidR="00BD776B" w:rsidRDefault="00DF0C24" w:rsidP="008A7063">
            <w:pPr>
              <w:numPr>
                <w:ilvl w:val="0"/>
                <w:numId w:val="110"/>
              </w:numPr>
              <w:snapToGrid w:val="0"/>
              <w:spacing w:line="276" w:lineRule="auto"/>
            </w:pPr>
            <w:r>
              <w:rPr>
                <w:rFonts w:ascii="標楷體" w:eastAsia="標楷體" w:hAnsi="標楷體"/>
                <w:kern w:val="0"/>
              </w:rPr>
              <w:t>發生</w:t>
            </w:r>
            <w:hyperlink r:id="rId39" w:tooltip="Erythema nodosum" w:history="1">
              <w:r>
                <w:rPr>
                  <w:rFonts w:ascii="標楷體" w:eastAsia="標楷體" w:hAnsi="標楷體"/>
                  <w:kern w:val="0"/>
                </w:rPr>
                <w:t>erythemanodosum</w:t>
              </w:r>
            </w:hyperlink>
            <w:r>
              <w:rPr>
                <w:rFonts w:ascii="標楷體" w:eastAsia="標楷體" w:hAnsi="標楷體"/>
                <w:kern w:val="0"/>
              </w:rPr>
              <w:t>,</w:t>
            </w:r>
            <w:hyperlink r:id="rId40" w:tooltip="Pyoderma gangrenosum" w:history="1">
              <w:r>
                <w:rPr>
                  <w:rFonts w:ascii="標楷體" w:eastAsia="標楷體" w:hAnsi="標楷體"/>
                  <w:kern w:val="0"/>
                </w:rPr>
                <w:t>pyodermagangrenosum</w:t>
              </w:r>
            </w:hyperlink>
            <w:r>
              <w:rPr>
                <w:rFonts w:ascii="標楷體" w:eastAsia="標楷體" w:hAnsi="標楷體"/>
                <w:kern w:val="0"/>
              </w:rPr>
              <w:t>,或</w:t>
            </w:r>
            <w:hyperlink r:id="rId41" w:tooltip="Mouth ulcer" w:history="1">
              <w:r>
                <w:rPr>
                  <w:rFonts w:ascii="標楷體" w:eastAsia="標楷體" w:hAnsi="標楷體"/>
                  <w:kern w:val="0"/>
                </w:rPr>
                <w:t>aphthousulcers</w:t>
              </w:r>
            </w:hyperlink>
          </w:p>
          <w:p w14:paraId="45B4178A" w14:textId="77777777" w:rsidR="00BD776B" w:rsidRDefault="00DF0C24" w:rsidP="008A7063">
            <w:pPr>
              <w:numPr>
                <w:ilvl w:val="0"/>
                <w:numId w:val="110"/>
              </w:numPr>
              <w:snapToGrid w:val="0"/>
              <w:spacing w:line="276" w:lineRule="auto"/>
            </w:pPr>
            <w:r>
              <w:rPr>
                <w:rFonts w:ascii="標楷體" w:eastAsia="標楷體" w:hAnsi="標楷體"/>
                <w:kern w:val="0"/>
              </w:rPr>
              <w:t>肛裂或肛門廔管或膿瘍</w:t>
            </w:r>
          </w:p>
          <w:p w14:paraId="28F7F375" w14:textId="77777777" w:rsidR="00BD776B" w:rsidRDefault="00DF0C24" w:rsidP="008A7063">
            <w:pPr>
              <w:numPr>
                <w:ilvl w:val="0"/>
                <w:numId w:val="110"/>
              </w:numPr>
              <w:snapToGrid w:val="0"/>
              <w:spacing w:line="276" w:lineRule="auto"/>
            </w:pPr>
            <w:r>
              <w:rPr>
                <w:rFonts w:ascii="標楷體" w:eastAsia="標楷體" w:hAnsi="標楷體"/>
                <w:kern w:val="0"/>
              </w:rPr>
              <w:t>身體其他地方廔管</w:t>
            </w:r>
          </w:p>
          <w:p w14:paraId="4B439FAD" w14:textId="77777777" w:rsidR="00BD776B" w:rsidRDefault="00DF0C24" w:rsidP="008A7063">
            <w:pPr>
              <w:numPr>
                <w:ilvl w:val="0"/>
                <w:numId w:val="110"/>
              </w:numPr>
              <w:snapToGrid w:val="0"/>
              <w:spacing w:line="276" w:lineRule="auto"/>
            </w:pPr>
            <w:r>
              <w:rPr>
                <w:rFonts w:ascii="標楷體" w:eastAsia="標楷體" w:hAnsi="標楷體"/>
                <w:kern w:val="0"/>
              </w:rPr>
              <w:t>最近一週內曾有發燒體溫超過38.5℃</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9752" w14:textId="77777777" w:rsidR="00BD776B" w:rsidRDefault="00BD776B">
            <w:pPr>
              <w:snapToGrid w:val="0"/>
              <w:spacing w:line="276" w:lineRule="auto"/>
              <w:rPr>
                <w:rFonts w:ascii="標楷體" w:eastAsia="標楷體" w:hAnsi="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71F12" w14:textId="77777777" w:rsidR="00BD776B" w:rsidRDefault="00BD776B">
            <w:pPr>
              <w:snapToGrid w:val="0"/>
              <w:spacing w:line="276" w:lineRule="auto"/>
              <w:rPr>
                <w:rFonts w:ascii="標楷體" w:eastAsia="標楷體" w:hAnsi="標楷體"/>
              </w:rPr>
            </w:pPr>
          </w:p>
        </w:tc>
      </w:tr>
      <w:tr w:rsidR="00BD776B" w14:paraId="14493DEB" w14:textId="77777777">
        <w:trPr>
          <w:trHeight w:val="563"/>
        </w:trPr>
        <w:tc>
          <w:tcPr>
            <w:tcW w:w="81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770F2" w14:textId="77777777" w:rsidR="00BD776B" w:rsidRDefault="00DF0C24">
            <w:pPr>
              <w:snapToGrid w:val="0"/>
              <w:spacing w:line="276" w:lineRule="auto"/>
              <w:jc w:val="center"/>
              <w:rPr>
                <w:rFonts w:ascii="標楷體" w:eastAsia="標楷體" w:hAnsi="標楷體"/>
                <w:b/>
                <w:sz w:val="28"/>
                <w:szCs w:val="28"/>
              </w:rPr>
            </w:pPr>
            <w:r>
              <w:rPr>
                <w:rFonts w:ascii="標楷體" w:eastAsia="標楷體" w:hAnsi="標楷體"/>
                <w:b/>
                <w:sz w:val="28"/>
                <w:szCs w:val="28"/>
              </w:rPr>
              <w:t>總分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4A48B" w14:textId="77777777" w:rsidR="00BD776B" w:rsidRDefault="00BD776B">
            <w:pPr>
              <w:snapToGrid w:val="0"/>
              <w:spacing w:line="276" w:lineRule="auto"/>
              <w:rPr>
                <w:rFonts w:ascii="標楷體" w:eastAsia="標楷體" w:hAnsi="標楷體"/>
              </w:rPr>
            </w:pPr>
          </w:p>
        </w:tc>
      </w:tr>
    </w:tbl>
    <w:p w14:paraId="3B6854C6" w14:textId="77777777" w:rsidR="003C2AE3" w:rsidRDefault="003C2AE3" w:rsidP="003C2AE3">
      <w:pPr>
        <w:widowControl/>
        <w:suppressAutoHyphens w:val="0"/>
        <w:autoSpaceDN/>
        <w:ind w:firstLineChars="118" w:firstLine="283"/>
        <w:textAlignment w:val="auto"/>
        <w:rPr>
          <w:rFonts w:ascii="標楷體" w:eastAsia="標楷體" w:hAnsi="標楷體"/>
          <w:kern w:val="2"/>
          <w:szCs w:val="24"/>
        </w:rPr>
      </w:pPr>
    </w:p>
    <w:p w14:paraId="1D1B20D7" w14:textId="77777777" w:rsidR="003C2AE3" w:rsidRDefault="003C2AE3">
      <w:pPr>
        <w:widowControl/>
        <w:suppressAutoHyphens w:val="0"/>
        <w:rPr>
          <w:rFonts w:ascii="標楷體" w:eastAsia="標楷體" w:hAnsi="標楷體"/>
          <w:kern w:val="2"/>
          <w:szCs w:val="24"/>
        </w:rPr>
      </w:pPr>
      <w:r>
        <w:rPr>
          <w:rFonts w:ascii="標楷體" w:eastAsia="標楷體" w:hAnsi="標楷體"/>
          <w:kern w:val="2"/>
          <w:szCs w:val="24"/>
        </w:rPr>
        <w:br w:type="page"/>
      </w:r>
    </w:p>
    <w:p w14:paraId="64958AAE" w14:textId="77777777" w:rsidR="00BA3568" w:rsidRDefault="00B067DB" w:rsidP="00AD4FFA">
      <w:pPr>
        <w:widowControl/>
        <w:suppressAutoHyphens w:val="0"/>
        <w:autoSpaceDN/>
        <w:ind w:firstLineChars="118" w:firstLine="283"/>
        <w:jc w:val="center"/>
        <w:textAlignment w:val="auto"/>
        <w:rPr>
          <w:rFonts w:ascii="標楷體" w:eastAsia="標楷體" w:hAnsi="標楷體"/>
          <w:kern w:val="2"/>
          <w:szCs w:val="24"/>
        </w:rPr>
      </w:pPr>
      <w:r w:rsidRPr="00B067DB">
        <w:rPr>
          <w:rFonts w:ascii="標楷體" w:eastAsia="標楷體" w:hAnsi="標楷體"/>
          <w:kern w:val="2"/>
          <w:szCs w:val="24"/>
        </w:rPr>
        <w:lastRenderedPageBreak/>
        <w:t>附表二十六之三</w:t>
      </w:r>
    </w:p>
    <w:p w14:paraId="6B3F0601" w14:textId="26B0B827" w:rsidR="00B067DB" w:rsidRPr="00B067DB" w:rsidRDefault="00BA3568" w:rsidP="00AD4FFA">
      <w:pPr>
        <w:widowControl/>
        <w:suppressAutoHyphens w:val="0"/>
        <w:autoSpaceDN/>
        <w:ind w:firstLineChars="118" w:firstLine="283"/>
        <w:jc w:val="center"/>
        <w:textAlignment w:val="auto"/>
        <w:rPr>
          <w:rFonts w:ascii="標楷體" w:eastAsia="標楷體" w:hAnsi="標楷體"/>
          <w:kern w:val="2"/>
          <w:szCs w:val="24"/>
        </w:rPr>
      </w:pPr>
      <w:r w:rsidRPr="00BA3568">
        <w:rPr>
          <w:rFonts w:ascii="標楷體" w:eastAsia="標楷體" w:hAnsi="標楷體" w:hint="eastAsia"/>
          <w:kern w:val="2"/>
          <w:szCs w:val="24"/>
        </w:rPr>
        <w:t>全民健康保險小兒克隆氏症使用adalimumab、infliximab、risankizumab申請表</w:t>
      </w:r>
    </w:p>
    <w:tbl>
      <w:tblPr>
        <w:tblW w:w="9695" w:type="dxa"/>
        <w:tblInd w:w="261" w:type="dxa"/>
        <w:tblLayout w:type="fixed"/>
        <w:tblCellMar>
          <w:left w:w="28" w:type="dxa"/>
          <w:right w:w="28" w:type="dxa"/>
        </w:tblCellMar>
        <w:tblLook w:val="0000" w:firstRow="0" w:lastRow="0" w:firstColumn="0" w:lastColumn="0" w:noHBand="0" w:noVBand="0"/>
      </w:tblPr>
      <w:tblGrid>
        <w:gridCol w:w="51"/>
        <w:gridCol w:w="1477"/>
        <w:gridCol w:w="1547"/>
        <w:gridCol w:w="1408"/>
        <w:gridCol w:w="1601"/>
        <w:gridCol w:w="1050"/>
        <w:gridCol w:w="2492"/>
        <w:gridCol w:w="69"/>
      </w:tblGrid>
      <w:tr w:rsidR="00B067DB" w:rsidRPr="00B067DB" w14:paraId="054FB5C3" w14:textId="77777777" w:rsidTr="00640BF4">
        <w:trPr>
          <w:gridBefore w:val="1"/>
          <w:gridAfter w:val="1"/>
          <w:wBefore w:w="51" w:type="dxa"/>
          <w:wAfter w:w="69" w:type="dxa"/>
          <w:trHeight w:val="376"/>
        </w:trPr>
        <w:tc>
          <w:tcPr>
            <w:tcW w:w="1477" w:type="dxa"/>
            <w:tcBorders>
              <w:top w:val="single" w:sz="18" w:space="0" w:color="000000"/>
              <w:left w:val="single" w:sz="18" w:space="0" w:color="000000"/>
              <w:bottom w:val="single" w:sz="6" w:space="0" w:color="000000"/>
              <w:right w:val="single" w:sz="6" w:space="0" w:color="000000"/>
            </w:tcBorders>
            <w:shd w:val="clear" w:color="000000" w:fill="FFFFFF"/>
          </w:tcPr>
          <w:p w14:paraId="6BD65503"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2"/>
                <w:sz w:val="28"/>
                <w:szCs w:val="28"/>
              </w:rPr>
              <w:br w:type="page"/>
            </w:r>
            <w:r w:rsidRPr="00B067DB">
              <w:rPr>
                <w:rFonts w:ascii="標楷體" w:eastAsia="標楷體" w:hAnsi="標楷體"/>
                <w:kern w:val="2"/>
                <w:sz w:val="28"/>
                <w:szCs w:val="28"/>
              </w:rPr>
              <w:br w:type="page"/>
            </w:r>
            <w:r w:rsidRPr="00B067DB">
              <w:rPr>
                <w:rFonts w:ascii="標楷體" w:eastAsia="標楷體" w:hAnsi="標楷體"/>
                <w:kern w:val="0"/>
                <w:szCs w:val="24"/>
                <w:lang w:val="zh-TW"/>
              </w:rPr>
              <w:t>醫院代號</w:t>
            </w:r>
          </w:p>
        </w:tc>
        <w:tc>
          <w:tcPr>
            <w:tcW w:w="1547" w:type="dxa"/>
            <w:tcBorders>
              <w:top w:val="single" w:sz="18" w:space="0" w:color="000000"/>
              <w:left w:val="single" w:sz="6" w:space="0" w:color="000000"/>
              <w:bottom w:val="single" w:sz="6" w:space="0" w:color="000000"/>
              <w:right w:val="single" w:sz="6" w:space="0" w:color="000000"/>
            </w:tcBorders>
            <w:shd w:val="clear" w:color="000000" w:fill="FFFFFF"/>
          </w:tcPr>
          <w:p w14:paraId="18884FA6"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408" w:type="dxa"/>
            <w:tcBorders>
              <w:top w:val="single" w:sz="18" w:space="0" w:color="000000"/>
              <w:left w:val="single" w:sz="6" w:space="0" w:color="000000"/>
              <w:bottom w:val="single" w:sz="6" w:space="0" w:color="000000"/>
              <w:right w:val="single" w:sz="6" w:space="0" w:color="000000"/>
            </w:tcBorders>
            <w:shd w:val="clear" w:color="000000" w:fill="FFFFFF"/>
          </w:tcPr>
          <w:p w14:paraId="40645B03"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醫院名稱</w:t>
            </w:r>
          </w:p>
        </w:tc>
        <w:tc>
          <w:tcPr>
            <w:tcW w:w="1601" w:type="dxa"/>
            <w:tcBorders>
              <w:top w:val="single" w:sz="18" w:space="0" w:color="000000"/>
              <w:left w:val="single" w:sz="6" w:space="0" w:color="000000"/>
              <w:bottom w:val="single" w:sz="6" w:space="0" w:color="000000"/>
              <w:right w:val="single" w:sz="6" w:space="0" w:color="000000"/>
            </w:tcBorders>
            <w:shd w:val="clear" w:color="000000" w:fill="FFFFFF"/>
          </w:tcPr>
          <w:p w14:paraId="65045568"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050" w:type="dxa"/>
            <w:tcBorders>
              <w:top w:val="single" w:sz="18" w:space="0" w:color="000000"/>
              <w:left w:val="single" w:sz="6" w:space="0" w:color="000000"/>
              <w:bottom w:val="single" w:sz="6" w:space="0" w:color="000000"/>
              <w:right w:val="single" w:sz="6" w:space="0" w:color="000000"/>
            </w:tcBorders>
            <w:shd w:val="clear" w:color="000000" w:fill="FFFFFF"/>
          </w:tcPr>
          <w:p w14:paraId="724D7662"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申請日期</w:t>
            </w:r>
          </w:p>
        </w:tc>
        <w:tc>
          <w:tcPr>
            <w:tcW w:w="2492" w:type="dxa"/>
            <w:tcBorders>
              <w:top w:val="single" w:sz="18" w:space="0" w:color="000000"/>
              <w:left w:val="single" w:sz="6" w:space="0" w:color="000000"/>
              <w:bottom w:val="single" w:sz="6" w:space="0" w:color="000000"/>
              <w:right w:val="single" w:sz="18" w:space="0" w:color="000000"/>
            </w:tcBorders>
            <w:shd w:val="clear" w:color="000000" w:fill="FFFFFF"/>
          </w:tcPr>
          <w:p w14:paraId="20C37441"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r>
      <w:tr w:rsidR="00B067DB" w:rsidRPr="00B067DB" w14:paraId="69AC03C3" w14:textId="77777777" w:rsidTr="00640BF4">
        <w:trPr>
          <w:gridBefore w:val="1"/>
          <w:gridAfter w:val="1"/>
          <w:wBefore w:w="51" w:type="dxa"/>
          <w:wAfter w:w="69" w:type="dxa"/>
          <w:trHeight w:val="332"/>
        </w:trPr>
        <w:tc>
          <w:tcPr>
            <w:tcW w:w="1477" w:type="dxa"/>
            <w:tcBorders>
              <w:top w:val="single" w:sz="6" w:space="0" w:color="000000"/>
              <w:left w:val="single" w:sz="18" w:space="0" w:color="000000"/>
              <w:bottom w:val="single" w:sz="6" w:space="0" w:color="000000"/>
              <w:right w:val="single" w:sz="6" w:space="0" w:color="000000"/>
            </w:tcBorders>
            <w:shd w:val="clear" w:color="000000" w:fill="FFFFFF"/>
          </w:tcPr>
          <w:p w14:paraId="5DFCACA4"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病人姓名</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Pr>
          <w:p w14:paraId="4177EF43"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408" w:type="dxa"/>
            <w:tcBorders>
              <w:top w:val="single" w:sz="6" w:space="0" w:color="000000"/>
              <w:left w:val="single" w:sz="6" w:space="0" w:color="000000"/>
              <w:bottom w:val="single" w:sz="6" w:space="0" w:color="000000"/>
              <w:right w:val="single" w:sz="6" w:space="0" w:color="000000"/>
            </w:tcBorders>
            <w:shd w:val="clear" w:color="000000" w:fill="FFFFFF"/>
          </w:tcPr>
          <w:p w14:paraId="3122B575"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性別</w:t>
            </w:r>
          </w:p>
        </w:tc>
        <w:tc>
          <w:tcPr>
            <w:tcW w:w="1601" w:type="dxa"/>
            <w:tcBorders>
              <w:top w:val="single" w:sz="6" w:space="0" w:color="000000"/>
              <w:left w:val="single" w:sz="6" w:space="0" w:color="000000"/>
              <w:bottom w:val="single" w:sz="6" w:space="0" w:color="000000"/>
              <w:right w:val="single" w:sz="6" w:space="0" w:color="000000"/>
            </w:tcBorders>
            <w:shd w:val="clear" w:color="000000" w:fill="FFFFFF"/>
          </w:tcPr>
          <w:p w14:paraId="1B98145C"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050" w:type="dxa"/>
            <w:tcBorders>
              <w:top w:val="single" w:sz="6" w:space="0" w:color="000000"/>
              <w:left w:val="single" w:sz="6" w:space="0" w:color="000000"/>
              <w:bottom w:val="single" w:sz="6" w:space="0" w:color="000000"/>
              <w:right w:val="single" w:sz="6" w:space="0" w:color="000000"/>
            </w:tcBorders>
            <w:shd w:val="clear" w:color="000000" w:fill="FFFFFF"/>
          </w:tcPr>
          <w:p w14:paraId="3451D282"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出生日期</w:t>
            </w:r>
          </w:p>
        </w:tc>
        <w:tc>
          <w:tcPr>
            <w:tcW w:w="2492" w:type="dxa"/>
            <w:tcBorders>
              <w:top w:val="single" w:sz="6" w:space="0" w:color="000000"/>
              <w:left w:val="single" w:sz="6" w:space="0" w:color="000000"/>
              <w:bottom w:val="single" w:sz="6" w:space="0" w:color="000000"/>
              <w:right w:val="single" w:sz="18" w:space="0" w:color="000000"/>
            </w:tcBorders>
            <w:shd w:val="clear" w:color="000000" w:fill="FFFFFF"/>
          </w:tcPr>
          <w:p w14:paraId="42058AD6"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r>
      <w:tr w:rsidR="00B067DB" w:rsidRPr="00B067DB" w14:paraId="5F0518E7" w14:textId="77777777" w:rsidTr="00640BF4">
        <w:trPr>
          <w:gridBefore w:val="1"/>
          <w:gridAfter w:val="1"/>
          <w:wBefore w:w="51" w:type="dxa"/>
          <w:wAfter w:w="69" w:type="dxa"/>
          <w:trHeight w:val="356"/>
        </w:trPr>
        <w:tc>
          <w:tcPr>
            <w:tcW w:w="1477" w:type="dxa"/>
            <w:tcBorders>
              <w:top w:val="single" w:sz="6" w:space="0" w:color="000000"/>
              <w:left w:val="single" w:sz="18" w:space="0" w:color="000000"/>
              <w:bottom w:val="single" w:sz="6" w:space="0" w:color="000000"/>
              <w:right w:val="single" w:sz="6" w:space="0" w:color="000000"/>
            </w:tcBorders>
            <w:shd w:val="clear" w:color="000000" w:fill="FFFFFF"/>
          </w:tcPr>
          <w:p w14:paraId="07194FBF"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身分證號</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Pr>
          <w:p w14:paraId="7115082F"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408" w:type="dxa"/>
            <w:tcBorders>
              <w:top w:val="single" w:sz="6" w:space="0" w:color="000000"/>
              <w:left w:val="single" w:sz="6" w:space="0" w:color="000000"/>
              <w:bottom w:val="single" w:sz="6" w:space="0" w:color="000000"/>
              <w:right w:val="single" w:sz="6" w:space="0" w:color="000000"/>
            </w:tcBorders>
            <w:shd w:val="clear" w:color="000000" w:fill="FFFFFF"/>
          </w:tcPr>
          <w:p w14:paraId="4EE7DCF3"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病歷號碼</w:t>
            </w:r>
          </w:p>
        </w:tc>
        <w:tc>
          <w:tcPr>
            <w:tcW w:w="1601" w:type="dxa"/>
            <w:tcBorders>
              <w:top w:val="single" w:sz="6" w:space="0" w:color="000000"/>
              <w:left w:val="single" w:sz="6" w:space="0" w:color="000000"/>
              <w:bottom w:val="single" w:sz="6" w:space="0" w:color="000000"/>
              <w:right w:val="single" w:sz="6" w:space="0" w:color="000000"/>
            </w:tcBorders>
            <w:shd w:val="clear" w:color="000000" w:fill="FFFFFF"/>
          </w:tcPr>
          <w:p w14:paraId="30142315"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050" w:type="dxa"/>
            <w:vMerge w:val="restart"/>
            <w:tcBorders>
              <w:top w:val="single" w:sz="6" w:space="0" w:color="000000"/>
              <w:left w:val="single" w:sz="6" w:space="0" w:color="000000"/>
              <w:bottom w:val="single" w:sz="18" w:space="0" w:color="000000"/>
              <w:right w:val="single" w:sz="6" w:space="0" w:color="000000"/>
            </w:tcBorders>
            <w:shd w:val="clear" w:color="000000" w:fill="FFFFFF"/>
            <w:vAlign w:val="center"/>
          </w:tcPr>
          <w:p w14:paraId="0F929714"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使用期間</w:t>
            </w:r>
          </w:p>
        </w:tc>
        <w:tc>
          <w:tcPr>
            <w:tcW w:w="2492" w:type="dxa"/>
            <w:tcBorders>
              <w:top w:val="single" w:sz="6" w:space="0" w:color="000000"/>
              <w:left w:val="single" w:sz="6" w:space="0" w:color="000000"/>
              <w:bottom w:val="single" w:sz="6" w:space="0" w:color="000000"/>
              <w:right w:val="single" w:sz="18" w:space="0" w:color="000000"/>
            </w:tcBorders>
            <w:shd w:val="clear" w:color="000000" w:fill="FFFFFF"/>
          </w:tcPr>
          <w:p w14:paraId="05BA8175"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自　　年　　月　　日</w:t>
            </w:r>
          </w:p>
        </w:tc>
      </w:tr>
      <w:tr w:rsidR="00B067DB" w:rsidRPr="00B067DB" w14:paraId="1D810214" w14:textId="77777777" w:rsidTr="00640BF4">
        <w:trPr>
          <w:gridBefore w:val="1"/>
          <w:gridAfter w:val="1"/>
          <w:wBefore w:w="51" w:type="dxa"/>
          <w:wAfter w:w="69" w:type="dxa"/>
          <w:trHeight w:val="337"/>
        </w:trPr>
        <w:tc>
          <w:tcPr>
            <w:tcW w:w="1477" w:type="dxa"/>
            <w:tcBorders>
              <w:top w:val="single" w:sz="6" w:space="0" w:color="000000"/>
              <w:left w:val="single" w:sz="18" w:space="0" w:color="000000"/>
              <w:bottom w:val="single" w:sz="18" w:space="0" w:color="000000"/>
              <w:right w:val="single" w:sz="6" w:space="0" w:color="000000"/>
            </w:tcBorders>
            <w:shd w:val="clear" w:color="000000" w:fill="FFFFFF"/>
          </w:tcPr>
          <w:p w14:paraId="619946FC"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藥品代碼</w:t>
            </w:r>
          </w:p>
        </w:tc>
        <w:tc>
          <w:tcPr>
            <w:tcW w:w="1547" w:type="dxa"/>
            <w:tcBorders>
              <w:top w:val="single" w:sz="6" w:space="0" w:color="000000"/>
              <w:left w:val="single" w:sz="6" w:space="0" w:color="000000"/>
              <w:bottom w:val="single" w:sz="18" w:space="0" w:color="000000"/>
              <w:right w:val="single" w:sz="6" w:space="0" w:color="000000"/>
            </w:tcBorders>
            <w:shd w:val="clear" w:color="000000" w:fill="FFFFFF"/>
          </w:tcPr>
          <w:p w14:paraId="50450F0F"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408" w:type="dxa"/>
            <w:tcBorders>
              <w:top w:val="single" w:sz="6" w:space="0" w:color="000000"/>
              <w:left w:val="single" w:sz="6" w:space="0" w:color="000000"/>
              <w:bottom w:val="single" w:sz="18" w:space="0" w:color="000000"/>
              <w:right w:val="single" w:sz="6" w:space="0" w:color="000000"/>
            </w:tcBorders>
            <w:shd w:val="clear" w:color="000000" w:fill="FFFFFF"/>
          </w:tcPr>
          <w:p w14:paraId="045F804E"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用法用量</w:t>
            </w:r>
          </w:p>
        </w:tc>
        <w:tc>
          <w:tcPr>
            <w:tcW w:w="1601" w:type="dxa"/>
            <w:tcBorders>
              <w:top w:val="single" w:sz="6" w:space="0" w:color="000000"/>
              <w:left w:val="single" w:sz="6" w:space="0" w:color="000000"/>
              <w:bottom w:val="single" w:sz="18" w:space="0" w:color="000000"/>
              <w:right w:val="single" w:sz="6" w:space="0" w:color="000000"/>
            </w:tcBorders>
            <w:shd w:val="clear" w:color="000000" w:fill="FFFFFF"/>
          </w:tcPr>
          <w:p w14:paraId="5EC9D93F"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p>
        </w:tc>
        <w:tc>
          <w:tcPr>
            <w:tcW w:w="1050" w:type="dxa"/>
            <w:vMerge/>
            <w:tcBorders>
              <w:top w:val="single" w:sz="6" w:space="0" w:color="000000"/>
              <w:left w:val="single" w:sz="6" w:space="0" w:color="000000"/>
              <w:bottom w:val="single" w:sz="18" w:space="0" w:color="000000"/>
              <w:right w:val="single" w:sz="6" w:space="0" w:color="000000"/>
            </w:tcBorders>
            <w:shd w:val="clear" w:color="000000" w:fill="FFFFFF"/>
            <w:vAlign w:val="center"/>
          </w:tcPr>
          <w:p w14:paraId="00A02679" w14:textId="77777777" w:rsidR="00B067DB" w:rsidRPr="00B067DB" w:rsidRDefault="00B067DB" w:rsidP="00B067DB">
            <w:pPr>
              <w:suppressAutoHyphens w:val="0"/>
              <w:autoSpaceDE w:val="0"/>
              <w:adjustRightInd w:val="0"/>
              <w:spacing w:after="200" w:line="276" w:lineRule="auto"/>
              <w:textAlignment w:val="auto"/>
              <w:rPr>
                <w:rFonts w:ascii="標楷體" w:eastAsia="標楷體" w:hAnsi="標楷體"/>
                <w:kern w:val="0"/>
                <w:sz w:val="22"/>
                <w:lang w:val="zh-TW"/>
              </w:rPr>
            </w:pPr>
          </w:p>
        </w:tc>
        <w:tc>
          <w:tcPr>
            <w:tcW w:w="2492" w:type="dxa"/>
            <w:tcBorders>
              <w:top w:val="single" w:sz="6" w:space="0" w:color="000000"/>
              <w:left w:val="single" w:sz="6" w:space="0" w:color="000000"/>
              <w:bottom w:val="single" w:sz="18" w:space="0" w:color="000000"/>
              <w:right w:val="single" w:sz="18" w:space="0" w:color="000000"/>
            </w:tcBorders>
            <w:shd w:val="clear" w:color="000000" w:fill="FFFFFF"/>
          </w:tcPr>
          <w:p w14:paraId="1AF0A89B" w14:textId="77777777" w:rsidR="00B067DB" w:rsidRPr="00B067DB" w:rsidRDefault="00B067DB" w:rsidP="00B067DB">
            <w:pPr>
              <w:suppressAutoHyphens w:val="0"/>
              <w:autoSpaceDE w:val="0"/>
              <w:adjustRightInd w:val="0"/>
              <w:spacing w:line="380" w:lineRule="atLeast"/>
              <w:textAlignment w:val="auto"/>
              <w:rPr>
                <w:rFonts w:ascii="標楷體" w:eastAsia="標楷體" w:hAnsi="標楷體"/>
                <w:kern w:val="0"/>
                <w:sz w:val="22"/>
                <w:lang w:val="zh-TW"/>
              </w:rPr>
            </w:pPr>
            <w:r w:rsidRPr="00B067DB">
              <w:rPr>
                <w:rFonts w:ascii="標楷體" w:eastAsia="標楷體" w:hAnsi="標楷體"/>
                <w:kern w:val="0"/>
                <w:szCs w:val="24"/>
                <w:lang w:val="zh-TW"/>
              </w:rPr>
              <w:t>至　　年　　月　　日</w:t>
            </w:r>
          </w:p>
        </w:tc>
      </w:tr>
      <w:tr w:rsidR="00B067DB" w:rsidRPr="00B067DB" w14:paraId="3606CE3B" w14:textId="77777777" w:rsidTr="00640BF4">
        <w:tblPrEx>
          <w:tblCellMar>
            <w:left w:w="108" w:type="dxa"/>
            <w:right w:w="108" w:type="dxa"/>
          </w:tblCellMar>
        </w:tblPrEx>
        <w:trPr>
          <w:trHeight w:val="11003"/>
        </w:trPr>
        <w:tc>
          <w:tcPr>
            <w:tcW w:w="9695" w:type="dxa"/>
            <w:gridSpan w:val="8"/>
            <w:tcBorders>
              <w:top w:val="single" w:sz="12" w:space="0" w:color="000000"/>
              <w:left w:val="single" w:sz="12" w:space="0" w:color="000000"/>
              <w:bottom w:val="single" w:sz="12" w:space="0" w:color="000000"/>
              <w:right w:val="single" w:sz="12" w:space="0" w:color="000000"/>
            </w:tcBorders>
            <w:shd w:val="clear" w:color="000000" w:fill="FFFFFF"/>
          </w:tcPr>
          <w:p w14:paraId="793967FB" w14:textId="540A0B4D" w:rsidR="00B067DB" w:rsidRPr="00B067DB" w:rsidRDefault="000D071F" w:rsidP="000D071F">
            <w:pPr>
              <w:widowControl/>
              <w:suppressAutoHyphens w:val="0"/>
              <w:autoSpaceDE w:val="0"/>
              <w:autoSpaceDN/>
              <w:adjustRightInd w:val="0"/>
              <w:spacing w:before="202" w:line="400" w:lineRule="atLeast"/>
              <w:textAlignment w:val="auto"/>
              <w:rPr>
                <w:rFonts w:ascii="標楷體" w:eastAsia="標楷體" w:hAnsi="標楷體" w:cs="新細明體"/>
                <w:b/>
                <w:bCs/>
                <w:kern w:val="0"/>
                <w:szCs w:val="24"/>
                <w:lang w:val="zh-TW"/>
              </w:rPr>
            </w:pPr>
            <w:r>
              <w:rPr>
                <w:rFonts w:ascii="標楷體" w:eastAsia="標楷體" w:hAnsi="標楷體" w:cs="新細明體" w:hint="eastAsia"/>
                <w:b/>
                <w:bCs/>
                <w:kern w:val="0"/>
                <w:szCs w:val="24"/>
                <w:lang w:val="zh-TW"/>
              </w:rPr>
              <w:t>□</w:t>
            </w:r>
            <w:r w:rsidR="00B067DB" w:rsidRPr="00B067DB">
              <w:rPr>
                <w:rFonts w:ascii="標楷體" w:eastAsia="標楷體" w:hAnsi="標楷體" w:cs="新細明體"/>
                <w:b/>
                <w:bCs/>
                <w:kern w:val="0"/>
                <w:szCs w:val="24"/>
                <w:lang w:val="zh-TW"/>
              </w:rPr>
              <w:t>符合下列所有條件：</w:t>
            </w:r>
          </w:p>
          <w:p w14:paraId="2A56FEE9" w14:textId="6DDFB92B" w:rsidR="00B067DB" w:rsidRPr="00B067DB" w:rsidRDefault="000D071F" w:rsidP="000D071F">
            <w:pPr>
              <w:widowControl/>
              <w:suppressAutoHyphens w:val="0"/>
              <w:autoSpaceDE w:val="0"/>
              <w:autoSpaceDN/>
              <w:adjustRightInd w:val="0"/>
              <w:spacing w:line="400" w:lineRule="atLeast"/>
              <w:ind w:left="480"/>
              <w:textAlignment w:val="auto"/>
              <w:rPr>
                <w:rFonts w:ascii="標楷體" w:eastAsia="標楷體" w:hAnsi="標楷體" w:cs="新細明體"/>
                <w:kern w:val="0"/>
                <w:szCs w:val="24"/>
              </w:rPr>
            </w:pPr>
            <w:r w:rsidRPr="000D071F">
              <w:rPr>
                <w:rFonts w:ascii="標楷體" w:eastAsia="標楷體" w:hAnsi="標楷體" w:cs="新細明體" w:hint="eastAsia"/>
                <w:bCs/>
                <w:kern w:val="0"/>
                <w:szCs w:val="24"/>
                <w:lang w:val="zh-TW"/>
              </w:rPr>
              <w:t>□</w:t>
            </w:r>
            <w:r w:rsidR="00B067DB" w:rsidRPr="00B067DB">
              <w:rPr>
                <w:rFonts w:ascii="標楷體" w:eastAsia="標楷體" w:hAnsi="標楷體" w:cs="新細明體"/>
                <w:kern w:val="0"/>
                <w:szCs w:val="24"/>
              </w:rPr>
              <w:t>六歲(</w:t>
            </w:r>
            <w:r w:rsidR="00B067DB" w:rsidRPr="00B067DB">
              <w:rPr>
                <w:rFonts w:ascii="標楷體" w:eastAsia="標楷體" w:hAnsi="標楷體" w:cs="新細明體"/>
                <w:kern w:val="0"/>
                <w:szCs w:val="24"/>
                <w:lang w:val="zh-TW"/>
              </w:rPr>
              <w:t>含</w:t>
            </w:r>
            <w:r w:rsidR="00B067DB" w:rsidRPr="00B067DB">
              <w:rPr>
                <w:rFonts w:ascii="標楷體" w:eastAsia="標楷體" w:hAnsi="標楷體" w:cs="新細明體"/>
                <w:kern w:val="0"/>
                <w:szCs w:val="24"/>
              </w:rPr>
              <w:t>)</w:t>
            </w:r>
            <w:r w:rsidR="00B067DB" w:rsidRPr="00B067DB">
              <w:rPr>
                <w:rFonts w:ascii="標楷體" w:eastAsia="標楷體" w:hAnsi="標楷體" w:cs="新細明體"/>
                <w:kern w:val="0"/>
                <w:szCs w:val="24"/>
                <w:lang w:val="zh-TW"/>
              </w:rPr>
              <w:t>以上診斷為小兒克隆氏症。</w:t>
            </w:r>
            <w:r w:rsidR="00B067DB" w:rsidRPr="00B067DB">
              <w:rPr>
                <w:rFonts w:ascii="標楷體" w:eastAsia="標楷體" w:hAnsi="標楷體" w:cs="新細明體"/>
                <w:kern w:val="0"/>
                <w:szCs w:val="24"/>
              </w:rPr>
              <w:t xml:space="preserve"> </w:t>
            </w:r>
          </w:p>
          <w:p w14:paraId="667DF01B" w14:textId="48A31255" w:rsidR="00B067DB" w:rsidRPr="00B067DB" w:rsidRDefault="000D071F" w:rsidP="000D071F">
            <w:pPr>
              <w:widowControl/>
              <w:suppressAutoHyphens w:val="0"/>
              <w:autoSpaceDE w:val="0"/>
              <w:autoSpaceDN/>
              <w:adjustRightInd w:val="0"/>
              <w:spacing w:line="400" w:lineRule="atLeast"/>
              <w:ind w:left="480"/>
              <w:textAlignment w:val="auto"/>
              <w:rPr>
                <w:rFonts w:ascii="標楷體" w:eastAsia="標楷體" w:hAnsi="標楷體" w:cs="新細明體"/>
                <w:kern w:val="0"/>
                <w:szCs w:val="24"/>
              </w:rPr>
            </w:pPr>
            <w:r w:rsidRPr="000D071F">
              <w:rPr>
                <w:rFonts w:ascii="標楷體" w:eastAsia="標楷體" w:hAnsi="標楷體" w:cs="新細明體" w:hint="eastAsia"/>
                <w:bCs/>
                <w:kern w:val="0"/>
                <w:szCs w:val="24"/>
                <w:lang w:val="zh-TW"/>
              </w:rPr>
              <w:t>□</w:t>
            </w:r>
            <w:r w:rsidR="00B067DB" w:rsidRPr="00B067DB">
              <w:rPr>
                <w:rFonts w:ascii="標楷體" w:eastAsia="標楷體" w:hAnsi="標楷體" w:cs="新細明體"/>
                <w:kern w:val="0"/>
                <w:szCs w:val="24"/>
                <w:lang w:val="zh-TW"/>
              </w:rPr>
              <w:t>符合下列條件之一，且附上影像診斷評估報告。</w:t>
            </w:r>
          </w:p>
          <w:p w14:paraId="0871363F" w14:textId="66E34FA2" w:rsidR="00B067DB" w:rsidRPr="00B067DB" w:rsidRDefault="000D071F" w:rsidP="000D071F">
            <w:pPr>
              <w:suppressAutoHyphens w:val="0"/>
              <w:autoSpaceDE w:val="0"/>
              <w:autoSpaceDN/>
              <w:adjustRightInd w:val="0"/>
              <w:spacing w:line="400" w:lineRule="atLeast"/>
              <w:textAlignment w:val="auto"/>
              <w:rPr>
                <w:rFonts w:ascii="標楷體" w:eastAsia="標楷體" w:hAnsi="標楷體"/>
                <w:kern w:val="0"/>
                <w:szCs w:val="24"/>
                <w:lang w:val="zh-TW"/>
              </w:rPr>
            </w:pPr>
            <w:r>
              <w:rPr>
                <w:rFonts w:ascii="標楷體" w:eastAsia="標楷體" w:hAnsi="標楷體" w:cs="新細明體" w:hint="eastAsia"/>
                <w:bCs/>
                <w:kern w:val="0"/>
                <w:szCs w:val="24"/>
                <w:lang w:val="zh-TW"/>
              </w:rPr>
              <w:t xml:space="preserve">        </w:t>
            </w:r>
            <w:r w:rsidRPr="000D071F">
              <w:rPr>
                <w:rFonts w:ascii="標楷體" w:eastAsia="標楷體" w:hAnsi="標楷體" w:cs="新細明體" w:hint="eastAsia"/>
                <w:bCs/>
                <w:kern w:val="0"/>
                <w:szCs w:val="24"/>
                <w:lang w:val="zh-TW"/>
              </w:rPr>
              <w:t>□</w:t>
            </w:r>
            <w:r w:rsidR="00B067DB" w:rsidRPr="00B067DB">
              <w:rPr>
                <w:rFonts w:ascii="標楷體" w:eastAsia="標楷體" w:hAnsi="標楷體"/>
                <w:kern w:val="0"/>
                <w:szCs w:val="24"/>
                <w:lang w:val="zh-TW"/>
              </w:rPr>
              <w:t>一、經類固醇、及</w:t>
            </w:r>
            <w:r w:rsidR="00B067DB" w:rsidRPr="00B067DB">
              <w:rPr>
                <w:rFonts w:ascii="標楷體" w:eastAsia="標楷體" w:hAnsi="標楷體"/>
                <w:kern w:val="0"/>
                <w:szCs w:val="24"/>
              </w:rPr>
              <w:t>/</w:t>
            </w:r>
            <w:r w:rsidR="00B067DB" w:rsidRPr="00B067DB">
              <w:rPr>
                <w:rFonts w:ascii="標楷體" w:eastAsia="標楷體" w:hAnsi="標楷體"/>
                <w:kern w:val="0"/>
                <w:szCs w:val="24"/>
                <w:lang w:val="zh-TW"/>
              </w:rPr>
              <w:t>或免疫抑制劑充分治療超過三個月，仍然無法控制病情</w:t>
            </w:r>
          </w:p>
          <w:p w14:paraId="7A3ABAB7" w14:textId="77777777" w:rsidR="00B067DB" w:rsidRPr="00B067DB" w:rsidRDefault="00B067DB" w:rsidP="00B067DB">
            <w:pPr>
              <w:suppressAutoHyphens w:val="0"/>
              <w:autoSpaceDE w:val="0"/>
              <w:adjustRightInd w:val="0"/>
              <w:spacing w:line="400" w:lineRule="atLeast"/>
              <w:ind w:leftChars="482" w:left="1157" w:firstLineChars="200" w:firstLine="480"/>
              <w:textAlignment w:val="auto"/>
              <w:rPr>
                <w:rFonts w:ascii="標楷體" w:eastAsia="標楷體" w:hAnsi="標楷體"/>
                <w:kern w:val="0"/>
                <w:szCs w:val="24"/>
                <w:lang w:val="zh-TW"/>
              </w:rPr>
            </w:pPr>
            <w:r w:rsidRPr="00B067DB">
              <w:rPr>
                <w:rFonts w:ascii="標楷體" w:eastAsia="標楷體" w:hAnsi="標楷體"/>
                <w:kern w:val="0"/>
                <w:szCs w:val="24"/>
              </w:rPr>
              <w:t>(PCDAI</w:t>
            </w:r>
            <w:r w:rsidRPr="00B067DB">
              <w:rPr>
                <w:rFonts w:ascii="Times New Roman" w:eastAsia="標楷體" w:hAnsi="Times New Roman"/>
                <w:kern w:val="0"/>
                <w:szCs w:val="24"/>
                <w:lang w:val="zh-TW"/>
              </w:rPr>
              <w:t>≥</w:t>
            </w:r>
            <w:r w:rsidRPr="00B067DB">
              <w:rPr>
                <w:rFonts w:ascii="標楷體" w:eastAsia="標楷體" w:hAnsi="標楷體"/>
                <w:kern w:val="0"/>
                <w:szCs w:val="24"/>
              </w:rPr>
              <w:t>30</w:t>
            </w:r>
            <w:r w:rsidRPr="00B067DB">
              <w:rPr>
                <w:rFonts w:ascii="標楷體" w:eastAsia="標楷體" w:hAnsi="標楷體"/>
                <w:kern w:val="0"/>
                <w:szCs w:val="24"/>
                <w:lang w:val="zh-TW"/>
              </w:rPr>
              <w:t>或產生過敏或其他嚴重藥物副作用時。</w:t>
            </w:r>
          </w:p>
          <w:p w14:paraId="1A66917F" w14:textId="77777777" w:rsidR="000D071F" w:rsidRDefault="000D071F" w:rsidP="000D071F">
            <w:pPr>
              <w:widowControl/>
              <w:suppressAutoHyphens w:val="0"/>
              <w:autoSpaceDE w:val="0"/>
              <w:autoSpaceDN/>
              <w:adjustRightInd w:val="0"/>
              <w:spacing w:line="400" w:lineRule="atLeast"/>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lang w:val="zh-TW"/>
              </w:rPr>
              <w:t xml:space="preserve">             </w:t>
            </w:r>
            <w:r w:rsidRPr="000D071F">
              <w:rPr>
                <w:rFonts w:ascii="標楷體" w:eastAsia="標楷體" w:hAnsi="標楷體" w:cs="新細明體" w:hint="eastAsia"/>
                <w:bCs/>
                <w:kern w:val="0"/>
                <w:szCs w:val="24"/>
                <w:lang w:val="zh-TW"/>
              </w:rPr>
              <w:t>□</w:t>
            </w:r>
            <w:r w:rsidR="00B067DB" w:rsidRPr="00B067DB">
              <w:rPr>
                <w:rFonts w:ascii="標楷體" w:eastAsia="標楷體" w:hAnsi="標楷體" w:cs="新細明體"/>
                <w:kern w:val="0"/>
                <w:szCs w:val="24"/>
                <w:lang w:val="zh-TW"/>
              </w:rPr>
              <w:t>無法控制病情（</w:t>
            </w:r>
            <w:r w:rsidR="00B067DB" w:rsidRPr="00B067DB">
              <w:rPr>
                <w:rFonts w:ascii="標楷體" w:eastAsia="標楷體" w:hAnsi="標楷體" w:cs="新細明體"/>
                <w:kern w:val="0"/>
                <w:szCs w:val="24"/>
              </w:rPr>
              <w:t>PCDAI</w:t>
            </w:r>
            <w:r w:rsidR="00B067DB" w:rsidRPr="00B067DB">
              <w:rPr>
                <w:rFonts w:ascii="標楷體" w:eastAsia="標楷體" w:hAnsi="標楷體" w:cs="新細明體"/>
                <w:kern w:val="0"/>
                <w:szCs w:val="24"/>
                <w:lang w:val="zh-TW"/>
              </w:rPr>
              <w:t>分數：</w:t>
            </w:r>
            <w:r w:rsidR="00B067DB" w:rsidRPr="00B067DB">
              <w:rPr>
                <w:rFonts w:ascii="標楷體" w:eastAsia="標楷體" w:hAnsi="標楷體" w:cs="新細明體"/>
                <w:kern w:val="0"/>
                <w:szCs w:val="24"/>
              </w:rPr>
              <w:t>_______</w:t>
            </w:r>
            <w:r w:rsidR="00B067DB" w:rsidRPr="00B067DB">
              <w:rPr>
                <w:rFonts w:ascii="標楷體" w:eastAsia="標楷體" w:hAnsi="標楷體" w:cs="新細明體"/>
                <w:kern w:val="0"/>
                <w:szCs w:val="24"/>
                <w:lang w:val="zh-TW"/>
              </w:rPr>
              <w:t>）</w:t>
            </w:r>
          </w:p>
          <w:p w14:paraId="13CAA00C" w14:textId="7C3FA760" w:rsidR="00B067DB" w:rsidRPr="00B067DB" w:rsidRDefault="000D071F" w:rsidP="000D071F">
            <w:pPr>
              <w:widowControl/>
              <w:suppressAutoHyphens w:val="0"/>
              <w:autoSpaceDE w:val="0"/>
              <w:autoSpaceDN/>
              <w:adjustRightInd w:val="0"/>
              <w:spacing w:line="400" w:lineRule="atLeast"/>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lang w:val="zh-TW"/>
              </w:rPr>
              <w:t xml:space="preserve">             </w:t>
            </w:r>
            <w:r w:rsidRPr="000D071F">
              <w:rPr>
                <w:rFonts w:ascii="標楷體" w:eastAsia="標楷體" w:hAnsi="標楷體" w:cs="新細明體" w:hint="eastAsia"/>
                <w:bCs/>
                <w:kern w:val="0"/>
                <w:szCs w:val="24"/>
                <w:lang w:val="zh-TW"/>
              </w:rPr>
              <w:t>□</w:t>
            </w:r>
            <w:r w:rsidR="00B067DB" w:rsidRPr="00B067DB">
              <w:rPr>
                <w:rFonts w:ascii="標楷體" w:eastAsia="標楷體" w:hAnsi="標楷體" w:cs="新細明體"/>
                <w:kern w:val="0"/>
                <w:szCs w:val="24"/>
                <w:lang w:val="zh-TW"/>
              </w:rPr>
              <w:t>產生嚴重藥物副作用：藥名</w:t>
            </w:r>
            <w:r w:rsidR="00B067DB" w:rsidRPr="00B067DB">
              <w:rPr>
                <w:rFonts w:ascii="標楷體" w:eastAsia="標楷體" w:hAnsi="標楷體" w:cs="新細明體"/>
                <w:kern w:val="0"/>
                <w:szCs w:val="24"/>
              </w:rPr>
              <w:t>_________________</w:t>
            </w:r>
            <w:r w:rsidR="00B067DB" w:rsidRPr="00B067DB">
              <w:rPr>
                <w:rFonts w:ascii="標楷體" w:eastAsia="標楷體" w:hAnsi="標楷體" w:cs="新細明體"/>
                <w:kern w:val="0"/>
                <w:szCs w:val="24"/>
                <w:lang w:val="zh-TW"/>
              </w:rPr>
              <w:t>時間</w:t>
            </w:r>
            <w:r w:rsidR="00B067DB" w:rsidRPr="00B067DB">
              <w:rPr>
                <w:rFonts w:ascii="標楷體" w:eastAsia="標楷體" w:hAnsi="標楷體" w:cs="新細明體"/>
                <w:kern w:val="0"/>
                <w:szCs w:val="24"/>
              </w:rPr>
              <w:t>__________</w:t>
            </w:r>
          </w:p>
          <w:p w14:paraId="5F6ABABC" w14:textId="7CE910FF" w:rsidR="00B067DB" w:rsidRPr="00B067DB" w:rsidRDefault="000D071F" w:rsidP="000D071F">
            <w:pPr>
              <w:suppressAutoHyphens w:val="0"/>
              <w:autoSpaceDE w:val="0"/>
              <w:adjustRightInd w:val="0"/>
              <w:spacing w:line="400" w:lineRule="atLeast"/>
              <w:textAlignment w:val="auto"/>
              <w:rPr>
                <w:rFonts w:ascii="標楷體" w:eastAsia="標楷體" w:hAnsi="標楷體"/>
                <w:kern w:val="0"/>
                <w:szCs w:val="24"/>
              </w:rPr>
            </w:pPr>
            <w:r>
              <w:rPr>
                <w:rFonts w:ascii="標楷體" w:eastAsia="標楷體" w:hAnsi="標楷體" w:hint="eastAsia"/>
                <w:kern w:val="0"/>
                <w:szCs w:val="24"/>
                <w:lang w:val="zh-TW"/>
              </w:rPr>
              <w:t xml:space="preserve">                  </w:t>
            </w:r>
            <w:r w:rsidR="00B067DB" w:rsidRPr="00B067DB">
              <w:rPr>
                <w:rFonts w:ascii="標楷體" w:eastAsia="標楷體" w:hAnsi="標楷體"/>
                <w:kern w:val="0"/>
                <w:szCs w:val="24"/>
                <w:lang w:val="zh-TW"/>
              </w:rPr>
              <w:t>副作用說明</w:t>
            </w:r>
            <w:r w:rsidR="00B067DB" w:rsidRPr="00B067DB">
              <w:rPr>
                <w:rFonts w:ascii="標楷體" w:eastAsia="標楷體" w:hAnsi="標楷體"/>
                <w:kern w:val="0"/>
                <w:szCs w:val="24"/>
              </w:rPr>
              <w:t>：___________________________</w:t>
            </w:r>
          </w:p>
          <w:p w14:paraId="1C8A97FD" w14:textId="488B6180" w:rsidR="00B067DB" w:rsidRPr="00B067DB" w:rsidRDefault="000D071F" w:rsidP="000D071F">
            <w:pPr>
              <w:suppressAutoHyphens w:val="0"/>
              <w:autoSpaceDE w:val="0"/>
              <w:autoSpaceDN/>
              <w:adjustRightInd w:val="0"/>
              <w:spacing w:line="400" w:lineRule="atLeast"/>
              <w:ind w:left="1440" w:hangingChars="600" w:hanging="1440"/>
              <w:textAlignment w:val="auto"/>
              <w:rPr>
                <w:rFonts w:ascii="標楷體" w:eastAsia="標楷體" w:hAnsi="標楷體"/>
                <w:kern w:val="0"/>
                <w:szCs w:val="24"/>
              </w:rPr>
            </w:pPr>
            <w:r w:rsidRPr="000D071F">
              <w:rPr>
                <w:rFonts w:ascii="標楷體" w:eastAsia="標楷體" w:hAnsi="標楷體" w:cs="新細明體" w:hint="eastAsia"/>
                <w:bCs/>
                <w:kern w:val="0"/>
                <w:szCs w:val="24"/>
              </w:rPr>
              <w:t xml:space="preserve">       </w:t>
            </w: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kern w:val="0"/>
                <w:szCs w:val="24"/>
                <w:lang w:val="zh-TW"/>
              </w:rPr>
              <w:t>二、小兒克隆氏症病童腹部或肛門廔管合併生長遲緩者</w:t>
            </w:r>
            <w:r w:rsidR="00B067DB" w:rsidRPr="00B067DB">
              <w:rPr>
                <w:rFonts w:ascii="標楷體" w:eastAsia="標楷體" w:hAnsi="標楷體"/>
                <w:kern w:val="0"/>
                <w:szCs w:val="24"/>
              </w:rPr>
              <w:t>(height velocity Z Score -1 to -2.5)</w:t>
            </w:r>
            <w:r w:rsidR="00B067DB" w:rsidRPr="00B067DB">
              <w:rPr>
                <w:rFonts w:ascii="標楷體" w:eastAsia="標楷體" w:hAnsi="標楷體"/>
                <w:kern w:val="0"/>
                <w:szCs w:val="24"/>
                <w:lang w:val="zh-TW"/>
              </w:rPr>
              <w:t>。</w:t>
            </w:r>
          </w:p>
          <w:p w14:paraId="0BF588A6" w14:textId="245BF527" w:rsidR="00B067DB" w:rsidRPr="00B067DB" w:rsidRDefault="000D071F" w:rsidP="000D071F">
            <w:pPr>
              <w:widowControl/>
              <w:suppressAutoHyphens w:val="0"/>
              <w:autoSpaceDE w:val="0"/>
              <w:autoSpaceDN/>
              <w:adjustRightInd w:val="0"/>
              <w:spacing w:line="400" w:lineRule="atLeast"/>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cs="新細明體"/>
                <w:kern w:val="0"/>
                <w:szCs w:val="24"/>
                <w:lang w:val="zh-TW"/>
              </w:rPr>
              <w:t>廔管無法癒合（</w:t>
            </w:r>
            <w:r w:rsidR="00B067DB" w:rsidRPr="00B067DB">
              <w:rPr>
                <w:rFonts w:ascii="標楷體" w:eastAsia="標楷體" w:hAnsi="標楷體" w:cs="新細明體"/>
                <w:kern w:val="0"/>
                <w:szCs w:val="24"/>
              </w:rPr>
              <w:t>PCDAI</w:t>
            </w:r>
            <w:r w:rsidR="00B067DB" w:rsidRPr="00B067DB">
              <w:rPr>
                <w:rFonts w:ascii="標楷體" w:eastAsia="標楷體" w:hAnsi="標楷體" w:cs="新細明體"/>
                <w:kern w:val="0"/>
                <w:szCs w:val="24"/>
                <w:lang w:val="zh-TW"/>
              </w:rPr>
              <w:t>分數：</w:t>
            </w:r>
            <w:r w:rsidR="00B067DB" w:rsidRPr="00B067DB">
              <w:rPr>
                <w:rFonts w:ascii="標楷體" w:eastAsia="標楷體" w:hAnsi="標楷體" w:cs="新細明體"/>
                <w:kern w:val="0"/>
                <w:szCs w:val="24"/>
              </w:rPr>
              <w:t>______</w:t>
            </w:r>
            <w:r w:rsidR="00B067DB" w:rsidRPr="00B067DB">
              <w:rPr>
                <w:rFonts w:ascii="標楷體" w:eastAsia="標楷體" w:hAnsi="標楷體" w:cs="新細明體"/>
                <w:kern w:val="0"/>
                <w:szCs w:val="24"/>
                <w:lang w:val="zh-TW"/>
              </w:rPr>
              <w:t>），自</w:t>
            </w:r>
            <w:r w:rsidR="00B067DB" w:rsidRPr="00B067DB">
              <w:rPr>
                <w:rFonts w:ascii="標楷體" w:eastAsia="標楷體" w:hAnsi="標楷體" w:cs="新細明體"/>
                <w:kern w:val="0"/>
                <w:szCs w:val="24"/>
              </w:rPr>
              <w:t>___</w:t>
            </w:r>
            <w:r w:rsidR="00B067DB" w:rsidRPr="00B067DB">
              <w:rPr>
                <w:rFonts w:ascii="標楷體" w:eastAsia="標楷體" w:hAnsi="標楷體" w:cs="新細明體"/>
                <w:kern w:val="0"/>
                <w:szCs w:val="24"/>
                <w:lang w:val="zh-TW"/>
              </w:rPr>
              <w:t>年</w:t>
            </w:r>
            <w:r w:rsidR="00B067DB" w:rsidRPr="00B067DB">
              <w:rPr>
                <w:rFonts w:ascii="標楷體" w:eastAsia="標楷體" w:hAnsi="標楷體" w:cs="新細明體"/>
                <w:kern w:val="0"/>
                <w:szCs w:val="24"/>
              </w:rPr>
              <w:t>___</w:t>
            </w:r>
            <w:r w:rsidR="00B067DB" w:rsidRPr="00B067DB">
              <w:rPr>
                <w:rFonts w:ascii="標楷體" w:eastAsia="標楷體" w:hAnsi="標楷體" w:cs="新細明體"/>
                <w:kern w:val="0"/>
                <w:szCs w:val="24"/>
                <w:lang w:val="zh-TW"/>
              </w:rPr>
              <w:t>月起</w:t>
            </w:r>
          </w:p>
          <w:p w14:paraId="65880392" w14:textId="7C562CAE" w:rsidR="00B067DB" w:rsidRPr="00FF3FCB" w:rsidRDefault="000D071F" w:rsidP="000D071F">
            <w:pPr>
              <w:widowControl/>
              <w:suppressAutoHyphens w:val="0"/>
              <w:autoSpaceDE w:val="0"/>
              <w:autoSpaceDN/>
              <w:adjustRightInd w:val="0"/>
              <w:spacing w:line="400" w:lineRule="atLeast"/>
              <w:ind w:left="1440" w:hangingChars="600" w:hanging="1440"/>
              <w:textAlignment w:val="auto"/>
              <w:rPr>
                <w:rFonts w:ascii="標楷體" w:eastAsia="標楷體" w:hAnsi="標楷體" w:cs="新細明體"/>
                <w:kern w:val="0"/>
                <w:szCs w:val="24"/>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cs="新細明體"/>
                <w:kern w:val="0"/>
                <w:szCs w:val="24"/>
                <w:lang w:val="zh-TW"/>
              </w:rPr>
              <w:t>三、小兒克隆氏症病情發作且生長遲緩</w:t>
            </w:r>
            <w:r w:rsidR="00B067DB" w:rsidRPr="00B067DB">
              <w:rPr>
                <w:rFonts w:ascii="標楷體" w:eastAsia="標楷體" w:hAnsi="標楷體" w:cs="新細明體"/>
                <w:kern w:val="0"/>
                <w:szCs w:val="24"/>
              </w:rPr>
              <w:t>(height velocity Z Score -1 to -2.5)</w:t>
            </w:r>
            <w:r w:rsidR="00B067DB" w:rsidRPr="00B067DB">
              <w:rPr>
                <w:rFonts w:ascii="標楷體" w:eastAsia="標楷體" w:hAnsi="標楷體" w:cs="新細明體"/>
                <w:kern w:val="0"/>
                <w:szCs w:val="24"/>
                <w:lang w:val="zh-TW"/>
              </w:rPr>
              <w:t>病童</w:t>
            </w:r>
            <w:r w:rsidR="00B067DB" w:rsidRPr="00FF3FCB">
              <w:rPr>
                <w:rFonts w:ascii="標楷體" w:eastAsia="標楷體" w:hAnsi="標楷體" w:cs="新細明體"/>
                <w:kern w:val="0"/>
                <w:szCs w:val="24"/>
              </w:rPr>
              <w:t>，</w:t>
            </w:r>
            <w:r w:rsidR="00B067DB" w:rsidRPr="00B067DB">
              <w:rPr>
                <w:rFonts w:ascii="標楷體" w:eastAsia="標楷體" w:hAnsi="標楷體" w:cs="新細明體"/>
                <w:kern w:val="0"/>
                <w:szCs w:val="24"/>
                <w:lang w:val="zh-TW"/>
              </w:rPr>
              <w:t>經營養治療與免疫抑制劑治療失敗者。</w:t>
            </w:r>
          </w:p>
          <w:p w14:paraId="2DFDEBE1" w14:textId="77777777" w:rsidR="00B067DB" w:rsidRPr="00FF3FCB" w:rsidRDefault="00B067DB" w:rsidP="00B067DB">
            <w:pPr>
              <w:suppressAutoHyphens w:val="0"/>
              <w:autoSpaceDE w:val="0"/>
              <w:adjustRightInd w:val="0"/>
              <w:spacing w:line="400" w:lineRule="atLeast"/>
              <w:ind w:left="2074" w:hanging="425"/>
              <w:textAlignment w:val="auto"/>
              <w:rPr>
                <w:rFonts w:ascii="標楷體" w:eastAsia="標楷體" w:hAnsi="標楷體"/>
                <w:kern w:val="0"/>
                <w:sz w:val="22"/>
              </w:rPr>
            </w:pPr>
          </w:p>
          <w:p w14:paraId="014EE98A" w14:textId="41E283AA" w:rsidR="00B067DB" w:rsidRPr="00B067DB" w:rsidRDefault="00F419A0" w:rsidP="00F419A0">
            <w:pPr>
              <w:widowControl/>
              <w:suppressAutoHyphens w:val="0"/>
              <w:autoSpaceDE w:val="0"/>
              <w:autoSpaceDN/>
              <w:adjustRightInd w:val="0"/>
              <w:spacing w:before="202" w:line="400" w:lineRule="atLeast"/>
              <w:textAlignment w:val="auto"/>
              <w:rPr>
                <w:rFonts w:ascii="標楷體" w:eastAsia="標楷體" w:hAnsi="標楷體" w:cs="新細明體"/>
                <w:b/>
                <w:bCs/>
                <w:kern w:val="0"/>
                <w:szCs w:val="24"/>
                <w:lang w:val="zh-TW"/>
              </w:rPr>
            </w:pPr>
            <w:r w:rsidRPr="00F419A0">
              <w:rPr>
                <w:rFonts w:ascii="標楷體" w:eastAsia="標楷體" w:hAnsi="標楷體" w:cs="新細明體" w:hint="eastAsia"/>
                <w:b/>
                <w:bCs/>
                <w:kern w:val="0"/>
                <w:szCs w:val="24"/>
              </w:rPr>
              <w:t>□</w:t>
            </w:r>
            <w:r w:rsidR="00B067DB" w:rsidRPr="00B067DB">
              <w:rPr>
                <w:rFonts w:ascii="標楷體" w:eastAsia="標楷體" w:hAnsi="標楷體" w:cs="新細明體"/>
                <w:b/>
                <w:bCs/>
                <w:kern w:val="0"/>
                <w:szCs w:val="24"/>
                <w:lang w:val="zh-TW"/>
              </w:rPr>
              <w:t>符合繼續使用之療效評估：</w:t>
            </w:r>
          </w:p>
          <w:p w14:paraId="4B61FB98" w14:textId="57987DCD" w:rsidR="00B067DB" w:rsidRPr="00B067DB" w:rsidRDefault="00F419A0" w:rsidP="00F419A0">
            <w:pPr>
              <w:widowControl/>
              <w:suppressAutoHyphens w:val="0"/>
              <w:autoSpaceDE w:val="0"/>
              <w:autoSpaceDN/>
              <w:adjustRightInd w:val="0"/>
              <w:spacing w:line="400" w:lineRule="atLeast"/>
              <w:ind w:left="840" w:hangingChars="350" w:hanging="840"/>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cs="新細明體"/>
                <w:kern w:val="0"/>
                <w:szCs w:val="24"/>
                <w:lang w:val="zh-TW"/>
              </w:rPr>
              <w:t>初次使用者：治療第三劑後，達到臨床反應者，方得申請繼續使用，誘導緩解失敗者，得提出申請轉換他類生物製劑，然同一療程不得合併使用。</w:t>
            </w:r>
          </w:p>
          <w:p w14:paraId="08FDD35C" w14:textId="3245F1CC" w:rsidR="00B067DB" w:rsidRPr="00B067DB" w:rsidRDefault="00F419A0" w:rsidP="00F419A0">
            <w:pPr>
              <w:widowControl/>
              <w:suppressAutoHyphens w:val="0"/>
              <w:autoSpaceDE w:val="0"/>
              <w:autoSpaceDN/>
              <w:adjustRightInd w:val="0"/>
              <w:spacing w:line="400" w:lineRule="atLeast"/>
              <w:textAlignment w:val="auto"/>
              <w:rPr>
                <w:rFonts w:ascii="標楷體" w:eastAsia="標楷體" w:hAnsi="標楷體" w:cs="新細明體"/>
                <w:kern w:val="0"/>
                <w:szCs w:val="24"/>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cs="新細明體"/>
                <w:kern w:val="0"/>
                <w:szCs w:val="24"/>
                <w:lang w:val="zh-TW"/>
              </w:rPr>
              <w:t>達到有效緩解之誘導</w:t>
            </w:r>
            <w:r w:rsidR="00B067DB" w:rsidRPr="00B067DB">
              <w:rPr>
                <w:rFonts w:ascii="標楷體" w:eastAsia="標楷體" w:hAnsi="標楷體" w:cs="新細明體"/>
                <w:kern w:val="0"/>
                <w:szCs w:val="24"/>
              </w:rPr>
              <w:t>(PCDAI</w:t>
            </w:r>
            <w:r w:rsidR="00B067DB" w:rsidRPr="00B067DB">
              <w:rPr>
                <w:rFonts w:ascii="標楷體" w:eastAsia="標楷體" w:hAnsi="標楷體" w:cs="新細明體"/>
                <w:kern w:val="0"/>
                <w:szCs w:val="24"/>
                <w:lang w:val="zh-TW"/>
              </w:rPr>
              <w:t>降低</w:t>
            </w:r>
            <w:r w:rsidR="00B067DB" w:rsidRPr="00B067DB">
              <w:rPr>
                <w:rFonts w:ascii="標楷體" w:eastAsia="標楷體" w:hAnsi="標楷體" w:cs="新細明體"/>
                <w:kern w:val="0"/>
                <w:szCs w:val="24"/>
              </w:rPr>
              <w:t xml:space="preserve">&gt;=15 或 PCDAI =&lt; 15) </w:t>
            </w:r>
          </w:p>
          <w:p w14:paraId="0CA226E6" w14:textId="144A0638" w:rsidR="00B067DB" w:rsidRPr="00B067DB" w:rsidRDefault="00F419A0" w:rsidP="00F419A0">
            <w:pPr>
              <w:widowControl/>
              <w:suppressAutoHyphens w:val="0"/>
              <w:autoSpaceDE w:val="0"/>
              <w:autoSpaceDN/>
              <w:adjustRightInd w:val="0"/>
              <w:spacing w:line="400" w:lineRule="atLeast"/>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cs="新細明體"/>
                <w:kern w:val="0"/>
                <w:szCs w:val="24"/>
                <w:lang w:val="zh-TW"/>
              </w:rPr>
              <w:t>緩解誘導之使用期間：</w:t>
            </w:r>
            <w:r w:rsidR="00B067DB" w:rsidRPr="00B067DB">
              <w:rPr>
                <w:rFonts w:ascii="標楷體" w:eastAsia="標楷體" w:hAnsi="標楷體" w:cs="新細明體"/>
                <w:kern w:val="0"/>
                <w:szCs w:val="24"/>
              </w:rPr>
              <w:t>____</w:t>
            </w:r>
            <w:r w:rsidR="00B067DB" w:rsidRPr="00B067DB">
              <w:rPr>
                <w:rFonts w:ascii="標楷體" w:eastAsia="標楷體" w:hAnsi="標楷體" w:cs="新細明體"/>
                <w:kern w:val="0"/>
                <w:szCs w:val="24"/>
                <w:lang w:val="zh-TW"/>
              </w:rPr>
              <w:t>年</w:t>
            </w:r>
            <w:r w:rsidR="00B067DB" w:rsidRPr="00B067DB">
              <w:rPr>
                <w:rFonts w:ascii="標楷體" w:eastAsia="標楷體" w:hAnsi="標楷體" w:cs="新細明體"/>
                <w:kern w:val="0"/>
                <w:szCs w:val="24"/>
              </w:rPr>
              <w:t>_____</w:t>
            </w:r>
            <w:r w:rsidR="00B067DB" w:rsidRPr="00B067DB">
              <w:rPr>
                <w:rFonts w:ascii="標楷體" w:eastAsia="標楷體" w:hAnsi="標楷體" w:cs="新細明體"/>
                <w:kern w:val="0"/>
                <w:szCs w:val="24"/>
                <w:lang w:val="zh-TW"/>
              </w:rPr>
              <w:t>月至</w:t>
            </w:r>
            <w:r w:rsidR="00B067DB" w:rsidRPr="00B067DB">
              <w:rPr>
                <w:rFonts w:ascii="標楷體" w:eastAsia="標楷體" w:hAnsi="標楷體" w:cs="新細明體"/>
                <w:kern w:val="0"/>
                <w:szCs w:val="24"/>
              </w:rPr>
              <w:t>_____</w:t>
            </w:r>
            <w:r w:rsidR="00B067DB" w:rsidRPr="00B067DB">
              <w:rPr>
                <w:rFonts w:ascii="標楷體" w:eastAsia="標楷體" w:hAnsi="標楷體" w:cs="新細明體"/>
                <w:kern w:val="0"/>
                <w:szCs w:val="24"/>
                <w:lang w:val="zh-TW"/>
              </w:rPr>
              <w:t>年</w:t>
            </w:r>
            <w:r w:rsidR="00B067DB" w:rsidRPr="00B067DB">
              <w:rPr>
                <w:rFonts w:ascii="標楷體" w:eastAsia="標楷體" w:hAnsi="標楷體" w:cs="新細明體"/>
                <w:kern w:val="0"/>
                <w:szCs w:val="24"/>
              </w:rPr>
              <w:t>_____</w:t>
            </w:r>
            <w:r w:rsidR="00B067DB" w:rsidRPr="00B067DB">
              <w:rPr>
                <w:rFonts w:ascii="標楷體" w:eastAsia="標楷體" w:hAnsi="標楷體" w:cs="新細明體"/>
                <w:kern w:val="0"/>
                <w:szCs w:val="24"/>
                <w:lang w:val="zh-TW"/>
              </w:rPr>
              <w:t>月</w:t>
            </w:r>
          </w:p>
          <w:p w14:paraId="43BAFB0E" w14:textId="396417EF" w:rsidR="00B067DB" w:rsidRPr="00B067DB" w:rsidRDefault="00F419A0" w:rsidP="00F419A0">
            <w:pPr>
              <w:widowControl/>
              <w:suppressAutoHyphens w:val="0"/>
              <w:autoSpaceDE w:val="0"/>
              <w:autoSpaceDN/>
              <w:adjustRightInd w:val="0"/>
              <w:spacing w:line="400" w:lineRule="atLeast"/>
              <w:ind w:left="840" w:hangingChars="350" w:hanging="840"/>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A3568" w:rsidRPr="00BA3568">
              <w:rPr>
                <w:rFonts w:ascii="標楷體" w:eastAsia="標楷體" w:hAnsi="標楷體" w:cs="新細明體" w:hint="eastAsia"/>
                <w:kern w:val="0"/>
                <w:szCs w:val="24"/>
                <w:lang w:val="zh-TW"/>
              </w:rPr>
              <w:t>繼續使用者：adalimumab需每24週(使用12劑)；infliximab需每16週(使用2劑)或24週(使用3劑)；risankizumab需每16週(使用皮下注射2劑)或24週(使用皮下注射3劑)，評估仍維持前一次療程有效或部份有效緩解時之CDAI分數。</w:t>
            </w:r>
          </w:p>
          <w:p w14:paraId="773E1615" w14:textId="1ACF9F68" w:rsidR="00B067DB" w:rsidRPr="00B067DB" w:rsidRDefault="00F419A0" w:rsidP="00F419A0">
            <w:pPr>
              <w:widowControl/>
              <w:suppressAutoHyphens w:val="0"/>
              <w:autoSpaceDE w:val="0"/>
              <w:autoSpaceDN/>
              <w:adjustRightInd w:val="0"/>
              <w:spacing w:line="400" w:lineRule="atLeast"/>
              <w:ind w:left="840" w:hangingChars="350" w:hanging="840"/>
              <w:textAlignment w:val="auto"/>
              <w:rPr>
                <w:rFonts w:ascii="標楷體" w:eastAsia="標楷體" w:hAnsi="標楷體" w:cs="新細明體"/>
                <w:kern w:val="0"/>
                <w:szCs w:val="24"/>
                <w:lang w:val="zh-TW"/>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A3568" w:rsidRPr="00BA3568">
              <w:rPr>
                <w:rFonts w:ascii="標楷體" w:eastAsia="標楷體" w:hAnsi="標楷體" w:cs="新細明體" w:hint="eastAsia"/>
                <w:kern w:val="0"/>
                <w:szCs w:val="24"/>
              </w:rPr>
              <w:t>adalimumab治療期滿54週(使用28劑)；infliximab治療期滿46週 (使用8劑)；risankizumab治療期滿44週(使用8劑)，再提出續用者，必須距離前次生物製劑治療結束間隔3個月以上，且因病情復發或以其他治療難以控制達規定之標準。</w:t>
            </w:r>
          </w:p>
          <w:p w14:paraId="23E22734" w14:textId="47653DDB" w:rsidR="00B067DB" w:rsidRPr="00B067DB" w:rsidRDefault="00F419A0" w:rsidP="00F419A0">
            <w:pPr>
              <w:widowControl/>
              <w:suppressAutoHyphens w:val="0"/>
              <w:autoSpaceDE w:val="0"/>
              <w:autoSpaceDN/>
              <w:adjustRightInd w:val="0"/>
              <w:spacing w:line="400" w:lineRule="atLeast"/>
              <w:ind w:left="840" w:hangingChars="350" w:hanging="840"/>
              <w:textAlignment w:val="auto"/>
              <w:rPr>
                <w:rFonts w:ascii="標楷體" w:eastAsia="標楷體" w:hAnsi="標楷體" w:cs="新細明體"/>
                <w:kern w:val="0"/>
                <w:sz w:val="22"/>
                <w:lang w:val="zh-TW"/>
              </w:rPr>
            </w:pPr>
            <w:r>
              <w:rPr>
                <w:rFonts w:ascii="標楷體" w:eastAsia="標楷體" w:hAnsi="標楷體" w:cs="新細明體" w:hint="eastAsia"/>
                <w:bCs/>
                <w:kern w:val="0"/>
                <w:szCs w:val="24"/>
              </w:rPr>
              <w:t xml:space="preserve">     </w:t>
            </w:r>
            <w:r w:rsidRPr="000D071F">
              <w:rPr>
                <w:rFonts w:ascii="標楷體" w:eastAsia="標楷體" w:hAnsi="標楷體" w:cs="新細明體" w:hint="eastAsia"/>
                <w:bCs/>
                <w:kern w:val="0"/>
                <w:szCs w:val="24"/>
              </w:rPr>
              <w:t>□</w:t>
            </w:r>
            <w:r w:rsidR="00B067DB" w:rsidRPr="00B067DB">
              <w:rPr>
                <w:rFonts w:ascii="標楷體" w:eastAsia="標楷體" w:hAnsi="標楷體" w:cs="新細明體"/>
                <w:kern w:val="0"/>
                <w:szCs w:val="24"/>
              </w:rPr>
              <w:t>連續2次因療程結束而暫緩用藥疾病復發，且第2次復發於藥效終止後3個月內發生，則可持續使用，惟需每24週提出續用</w:t>
            </w:r>
            <w:r w:rsidR="00B067DB" w:rsidRPr="00B067DB">
              <w:rPr>
                <w:rFonts w:ascii="標楷體" w:eastAsia="標楷體" w:hAnsi="標楷體" w:cs="新細明體" w:hint="eastAsia"/>
                <w:kern w:val="0"/>
                <w:szCs w:val="24"/>
              </w:rPr>
              <w:t>事前</w:t>
            </w:r>
            <w:r w:rsidR="00B067DB" w:rsidRPr="00B067DB">
              <w:rPr>
                <w:rFonts w:ascii="標楷體" w:eastAsia="標楷體" w:hAnsi="標楷體" w:cs="新細明體"/>
                <w:kern w:val="0"/>
                <w:szCs w:val="24"/>
              </w:rPr>
              <w:t>審查</w:t>
            </w:r>
            <w:r w:rsidR="00B067DB" w:rsidRPr="00B067DB">
              <w:rPr>
                <w:rFonts w:ascii="標楷體" w:eastAsia="標楷體" w:hAnsi="標楷體" w:cs="新細明體" w:hint="eastAsia"/>
                <w:kern w:val="0"/>
                <w:szCs w:val="24"/>
              </w:rPr>
              <w:t>。</w:t>
            </w:r>
            <w:r w:rsidR="00B067DB" w:rsidRPr="00B067DB">
              <w:rPr>
                <w:rFonts w:ascii="標楷體" w:eastAsia="標楷體" w:hAnsi="標楷體" w:cs="新細明體"/>
                <w:kern w:val="0"/>
                <w:szCs w:val="24"/>
              </w:rPr>
              <w:t>連續2年(4次評估)達到PCDAI&lt;10分則應考慮停藥。</w:t>
            </w:r>
          </w:p>
        </w:tc>
      </w:tr>
    </w:tbl>
    <w:p w14:paraId="24B6C898" w14:textId="77777777" w:rsidR="003C2AE3" w:rsidRPr="003C2AE3" w:rsidRDefault="003C2AE3" w:rsidP="003C2AE3">
      <w:pPr>
        <w:widowControl/>
        <w:suppressAutoHyphens w:val="0"/>
        <w:autoSpaceDN/>
        <w:textAlignment w:val="auto"/>
        <w:rPr>
          <w:rFonts w:ascii="標楷體" w:eastAsia="標楷體" w:hAnsi="標楷體"/>
          <w:kern w:val="2"/>
          <w:sz w:val="28"/>
          <w:szCs w:val="28"/>
        </w:rPr>
      </w:pPr>
      <w:r w:rsidRPr="003C2AE3">
        <w:rPr>
          <w:rFonts w:ascii="標楷體" w:eastAsia="標楷體" w:hAnsi="標楷體" w:hint="eastAsia"/>
          <w:kern w:val="2"/>
          <w:sz w:val="28"/>
          <w:szCs w:val="28"/>
        </w:rPr>
        <w:br w:type="page"/>
      </w:r>
    </w:p>
    <w:p w14:paraId="3A2A2B35" w14:textId="77777777" w:rsidR="00BA3568" w:rsidRDefault="00DF0C24">
      <w:pPr>
        <w:snapToGrid w:val="0"/>
        <w:spacing w:line="400" w:lineRule="exact"/>
        <w:ind w:left="600" w:hanging="600"/>
        <w:jc w:val="center"/>
        <w:rPr>
          <w:rFonts w:ascii="標楷體" w:eastAsia="標楷體" w:hAnsi="標楷體"/>
        </w:rPr>
      </w:pPr>
      <w:r w:rsidRPr="00EE4BE6">
        <w:rPr>
          <w:rFonts w:ascii="標楷體" w:eastAsia="標楷體" w:hAnsi="標楷體"/>
        </w:rPr>
        <w:lastRenderedPageBreak/>
        <w:t>附表二十六之三</w:t>
      </w:r>
    </w:p>
    <w:p w14:paraId="268E6E13" w14:textId="114C60CC" w:rsidR="00BD776B" w:rsidRPr="00EE4BE6" w:rsidRDefault="00BA3568">
      <w:pPr>
        <w:snapToGrid w:val="0"/>
        <w:spacing w:line="400" w:lineRule="exact"/>
        <w:ind w:left="600" w:hanging="600"/>
        <w:jc w:val="center"/>
        <w:rPr>
          <w:rFonts w:ascii="標楷體" w:eastAsia="標楷體" w:hAnsi="標楷體"/>
        </w:rPr>
      </w:pPr>
      <w:r w:rsidRPr="00BA3568">
        <w:rPr>
          <w:rFonts w:ascii="標楷體" w:eastAsia="標楷體" w:hAnsi="標楷體" w:hint="eastAsia"/>
        </w:rPr>
        <w:t>全民健康保險小兒克隆氏症使用adalimumab、infliximab、risankizumab申請表</w:t>
      </w:r>
    </w:p>
    <w:tbl>
      <w:tblPr>
        <w:tblW w:w="9938" w:type="dxa"/>
        <w:tblCellMar>
          <w:left w:w="10" w:type="dxa"/>
          <w:right w:w="10" w:type="dxa"/>
        </w:tblCellMar>
        <w:tblLook w:val="0000" w:firstRow="0" w:lastRow="0" w:firstColumn="0" w:lastColumn="0" w:noHBand="0" w:noVBand="0"/>
      </w:tblPr>
      <w:tblGrid>
        <w:gridCol w:w="685"/>
        <w:gridCol w:w="1351"/>
        <w:gridCol w:w="4177"/>
        <w:gridCol w:w="3725"/>
      </w:tblGrid>
      <w:tr w:rsidR="00BD776B" w14:paraId="41BB250F" w14:textId="77777777">
        <w:trPr>
          <w:cantSplit/>
          <w:trHeight w:val="282"/>
        </w:trPr>
        <w:tc>
          <w:tcPr>
            <w:tcW w:w="9938" w:type="dxa"/>
            <w:gridSpan w:val="4"/>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41219E1A" w14:textId="584DF51F" w:rsidR="00BD776B" w:rsidRPr="00EE4BE6" w:rsidRDefault="00DF0C24">
            <w:pPr>
              <w:snapToGrid w:val="0"/>
              <w:spacing w:before="202"/>
              <w:ind w:left="120"/>
              <w:rPr>
                <w:rFonts w:ascii="標楷體" w:eastAsia="標楷體" w:hAnsi="標楷體"/>
              </w:rPr>
            </w:pPr>
            <w:r w:rsidRPr="00EE4BE6">
              <w:rPr>
                <w:rFonts w:ascii="標楷體" w:eastAsia="標楷體" w:hAnsi="標楷體" w:cs="Webdings"/>
              </w:rPr>
              <w:t></w:t>
            </w:r>
            <w:r w:rsidRPr="00EE4BE6">
              <w:rPr>
                <w:rFonts w:ascii="標楷體" w:eastAsia="標楷體" w:hAnsi="標楷體"/>
              </w:rPr>
              <w:t xml:space="preserve"> </w:t>
            </w:r>
            <w:r w:rsidRPr="00EE4BE6">
              <w:rPr>
                <w:rFonts w:ascii="標楷體" w:eastAsia="標楷體" w:hAnsi="標楷體"/>
                <w:b/>
              </w:rPr>
              <w:t>符合「</w:t>
            </w:r>
            <w:r w:rsidR="00BA3568" w:rsidRPr="00BA3568">
              <w:rPr>
                <w:rFonts w:ascii="標楷體" w:eastAsia="標楷體" w:hAnsi="標楷體" w:hint="eastAsia"/>
                <w:b/>
              </w:rPr>
              <w:t>須排除或停止adalimumab、infliximab、risankizumab使用之情形</w:t>
            </w:r>
            <w:r w:rsidRPr="00EE4BE6">
              <w:rPr>
                <w:rFonts w:ascii="標楷體" w:eastAsia="標楷體" w:hAnsi="標楷體"/>
                <w:b/>
              </w:rPr>
              <w:t>」</w:t>
            </w:r>
          </w:p>
        </w:tc>
      </w:tr>
      <w:tr w:rsidR="00BD776B" w14:paraId="2E6A4CDE" w14:textId="77777777">
        <w:trPr>
          <w:cantSplit/>
          <w:trHeight w:val="401"/>
        </w:trPr>
        <w:tc>
          <w:tcPr>
            <w:tcW w:w="685"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3899394" w14:textId="77777777" w:rsidR="00BD776B" w:rsidRDefault="00BD776B">
            <w:pPr>
              <w:snapToGrid w:val="0"/>
              <w:textAlignment w:val="center"/>
              <w:rPr>
                <w:rFonts w:eastAsia="標楷體"/>
              </w:rPr>
            </w:pPr>
          </w:p>
        </w:tc>
        <w:tc>
          <w:tcPr>
            <w:tcW w:w="1351"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EF7A86"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713C0D6A"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7DB9831" w14:textId="6879CB05" w:rsidR="00BD776B" w:rsidRPr="00EE4BE6" w:rsidRDefault="00C64BFD">
            <w:pPr>
              <w:snapToGrid w:val="0"/>
              <w:textAlignment w:val="center"/>
              <w:rPr>
                <w:rFonts w:ascii="標楷體" w:eastAsia="標楷體" w:hAnsi="標楷體"/>
              </w:rPr>
            </w:pPr>
            <w:r w:rsidRPr="00C64BFD">
              <w:rPr>
                <w:rFonts w:ascii="標楷體" w:eastAsia="標楷體" w:hAnsi="標楷體" w:hint="eastAsia"/>
              </w:rPr>
              <w:t>是否有adalimumab、infliximab、risankizumab仿單記載之禁忌情形</w:t>
            </w:r>
            <w:r w:rsidR="00DF0C24" w:rsidRPr="00EE4BE6">
              <w:rPr>
                <w:rFonts w:ascii="標楷體" w:eastAsia="標楷體" w:hAnsi="標楷體"/>
              </w:rPr>
              <w:t>。</w:t>
            </w:r>
          </w:p>
        </w:tc>
      </w:tr>
      <w:tr w:rsidR="00BD776B" w14:paraId="5387D5C2" w14:textId="77777777">
        <w:trPr>
          <w:cantSplit/>
          <w:trHeight w:val="401"/>
        </w:trPr>
        <w:tc>
          <w:tcPr>
            <w:tcW w:w="685"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F13BBE9" w14:textId="77777777" w:rsidR="00BD776B" w:rsidRDefault="00BD776B">
            <w:pPr>
              <w:snapToGrid w:val="0"/>
              <w:textAlignment w:val="center"/>
              <w:rPr>
                <w:rFonts w:eastAsia="標楷體"/>
              </w:rPr>
            </w:pPr>
          </w:p>
        </w:tc>
        <w:tc>
          <w:tcPr>
            <w:tcW w:w="1351"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1CBC9F"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307D1DF1"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AF27BE5" w14:textId="77777777" w:rsidR="00BD776B" w:rsidRPr="00EE4BE6" w:rsidRDefault="00DF0C24">
            <w:pPr>
              <w:snapToGrid w:val="0"/>
              <w:textAlignment w:val="center"/>
              <w:rPr>
                <w:rFonts w:ascii="標楷體" w:eastAsia="標楷體" w:hAnsi="標楷體"/>
              </w:rPr>
            </w:pPr>
            <w:r w:rsidRPr="00EE4BE6">
              <w:rPr>
                <w:rFonts w:ascii="標楷體" w:eastAsia="標楷體" w:hAnsi="標楷體"/>
              </w:rPr>
              <w:t>病患是否有活動性感染症。</w:t>
            </w:r>
          </w:p>
        </w:tc>
      </w:tr>
      <w:tr w:rsidR="00BD776B" w14:paraId="10ECA8B1" w14:textId="77777777">
        <w:trPr>
          <w:cantSplit/>
          <w:trHeight w:val="401"/>
        </w:trPr>
        <w:tc>
          <w:tcPr>
            <w:tcW w:w="685"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D205DF4" w14:textId="77777777" w:rsidR="00BD776B" w:rsidRDefault="00BD776B">
            <w:pPr>
              <w:snapToGrid w:val="0"/>
              <w:textAlignment w:val="center"/>
              <w:rPr>
                <w:rFonts w:eastAsia="標楷體"/>
              </w:rPr>
            </w:pPr>
          </w:p>
        </w:tc>
        <w:tc>
          <w:tcPr>
            <w:tcW w:w="1351"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C11162"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72C4E232"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6269346" w14:textId="77777777" w:rsidR="00BD776B" w:rsidRPr="00EE4BE6" w:rsidRDefault="00DF0C24">
            <w:pPr>
              <w:snapToGrid w:val="0"/>
              <w:textAlignment w:val="center"/>
              <w:rPr>
                <w:rFonts w:ascii="標楷體" w:eastAsia="標楷體" w:hAnsi="標楷體"/>
              </w:rPr>
            </w:pPr>
            <w:r w:rsidRPr="00EE4BE6">
              <w:rPr>
                <w:rFonts w:ascii="標楷體" w:eastAsia="標楷體" w:hAnsi="標楷體"/>
              </w:rPr>
              <w:t>未經完整治療之結核病的病患（包括潛伏結核感染治療未達四週者，申請時應檢附潛伏結核感染篩檢紀錄及治療紀錄供審查）。</w:t>
            </w:r>
          </w:p>
        </w:tc>
      </w:tr>
      <w:tr w:rsidR="00BD776B" w14:paraId="00F2F55B" w14:textId="77777777">
        <w:trPr>
          <w:cantSplit/>
          <w:trHeight w:val="401"/>
        </w:trPr>
        <w:tc>
          <w:tcPr>
            <w:tcW w:w="685"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21053FB" w14:textId="77777777" w:rsidR="00BD776B" w:rsidRDefault="00BD776B">
            <w:pPr>
              <w:snapToGrid w:val="0"/>
              <w:textAlignment w:val="center"/>
              <w:rPr>
                <w:rFonts w:eastAsia="標楷體"/>
              </w:rPr>
            </w:pPr>
          </w:p>
        </w:tc>
        <w:tc>
          <w:tcPr>
            <w:tcW w:w="1351"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72C18A"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7877A08C" w14:textId="77777777" w:rsidR="00BD776B" w:rsidRPr="00EE4BE6" w:rsidRDefault="00BD776B">
            <w:pPr>
              <w:snapToGrid w:val="0"/>
              <w:ind w:left="92"/>
              <w:textAlignment w:val="center"/>
              <w:rPr>
                <w:rFonts w:ascii="標楷體" w:eastAsia="標楷體" w:hAnsi="標楷體"/>
              </w:rPr>
            </w:pPr>
          </w:p>
          <w:p w14:paraId="20571DC3"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91D81E7" w14:textId="77777777" w:rsidR="00BD776B" w:rsidRPr="00EE4BE6" w:rsidRDefault="00DF0C24">
            <w:pPr>
              <w:snapToGrid w:val="0"/>
              <w:textAlignment w:val="center"/>
              <w:rPr>
                <w:rFonts w:ascii="標楷體" w:eastAsia="標楷體" w:hAnsi="標楷體"/>
              </w:rPr>
            </w:pPr>
            <w:r w:rsidRPr="00EE4BE6">
              <w:rPr>
                <w:rFonts w:ascii="標楷體" w:eastAsia="標楷體" w:hAnsi="標楷體"/>
              </w:rPr>
              <w:t>病患是否具有高度感染機會之情形，其中包括：</w:t>
            </w:r>
          </w:p>
          <w:p w14:paraId="0C0D6060" w14:textId="77777777" w:rsidR="00BD776B" w:rsidRPr="00EE4BE6" w:rsidRDefault="00DF0C24">
            <w:pPr>
              <w:snapToGrid w:val="0"/>
              <w:textAlignment w:val="center"/>
              <w:rPr>
                <w:rFonts w:ascii="標楷體" w:eastAsia="標楷體" w:hAnsi="標楷體"/>
              </w:rPr>
            </w:pPr>
            <w:r w:rsidRPr="00EE4BE6">
              <w:rPr>
                <w:rFonts w:ascii="標楷體" w:eastAsia="標楷體" w:hAnsi="標楷體"/>
              </w:rPr>
              <w:t>1.慢性腿部潰瘍。</w:t>
            </w:r>
          </w:p>
          <w:p w14:paraId="7836F41A" w14:textId="77777777" w:rsidR="00BD776B" w:rsidRPr="00EE4BE6" w:rsidRDefault="00DF0C24">
            <w:pPr>
              <w:snapToGrid w:val="0"/>
              <w:ind w:left="240" w:hanging="240"/>
              <w:textAlignment w:val="center"/>
              <w:rPr>
                <w:rFonts w:ascii="標楷體" w:eastAsia="標楷體" w:hAnsi="標楷體"/>
              </w:rPr>
            </w:pPr>
            <w:r w:rsidRPr="00EE4BE6">
              <w:rPr>
                <w:rFonts w:ascii="標楷體" w:eastAsia="標楷體" w:hAnsi="標楷體"/>
              </w:rPr>
              <w:t>2.具有留置導尿管或身上有引流管之情形。</w:t>
            </w:r>
          </w:p>
          <w:p w14:paraId="6F3F703F" w14:textId="77777777" w:rsidR="00BD776B" w:rsidRPr="00EE4BE6" w:rsidRDefault="00DF0C24">
            <w:pPr>
              <w:snapToGrid w:val="0"/>
              <w:ind w:left="240" w:hanging="240"/>
              <w:textAlignment w:val="center"/>
              <w:rPr>
                <w:rFonts w:ascii="標楷體" w:eastAsia="標楷體" w:hAnsi="標楷體"/>
              </w:rPr>
            </w:pPr>
            <w:r w:rsidRPr="00EE4BE6">
              <w:rPr>
                <w:rFonts w:ascii="標楷體" w:eastAsia="標楷體" w:hAnsi="標楷體"/>
              </w:rPr>
              <w:t>3.人工關節感染，該人工關節尚未摘除。</w:t>
            </w:r>
          </w:p>
          <w:p w14:paraId="6FC202D1" w14:textId="77777777" w:rsidR="00BD776B" w:rsidRPr="00EE4BE6" w:rsidRDefault="00DF0C24">
            <w:pPr>
              <w:snapToGrid w:val="0"/>
              <w:ind w:left="240" w:hanging="240"/>
              <w:textAlignment w:val="center"/>
              <w:rPr>
                <w:rFonts w:ascii="標楷體" w:eastAsia="標楷體" w:hAnsi="標楷體"/>
              </w:rPr>
            </w:pPr>
            <w:r w:rsidRPr="00EE4BE6">
              <w:rPr>
                <w:rFonts w:ascii="標楷體" w:eastAsia="標楷體" w:hAnsi="標楷體"/>
              </w:rPr>
              <w:t>4.頑固性或復發性的胸腔感染疾病。</w:t>
            </w:r>
          </w:p>
        </w:tc>
      </w:tr>
      <w:tr w:rsidR="00BD776B" w14:paraId="003ACCEE" w14:textId="77777777">
        <w:trPr>
          <w:cantSplit/>
          <w:trHeight w:val="401"/>
        </w:trPr>
        <w:tc>
          <w:tcPr>
            <w:tcW w:w="685"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3BB470E" w14:textId="77777777" w:rsidR="00BD776B" w:rsidRDefault="00BD776B">
            <w:pPr>
              <w:snapToGrid w:val="0"/>
              <w:textAlignment w:val="center"/>
              <w:rPr>
                <w:rFonts w:eastAsia="標楷體"/>
              </w:rPr>
            </w:pPr>
          </w:p>
        </w:tc>
        <w:tc>
          <w:tcPr>
            <w:tcW w:w="1351"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A190E5"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4B4077FE"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3481ADA" w14:textId="77777777" w:rsidR="00BD776B" w:rsidRPr="00EE4BE6" w:rsidRDefault="00DF0C24">
            <w:pPr>
              <w:snapToGrid w:val="0"/>
              <w:textAlignment w:val="center"/>
              <w:rPr>
                <w:rFonts w:ascii="標楷體" w:eastAsia="標楷體" w:hAnsi="標楷體"/>
              </w:rPr>
            </w:pPr>
            <w:r w:rsidRPr="00EE4BE6">
              <w:rPr>
                <w:rFonts w:ascii="標楷體" w:eastAsia="標楷體" w:hAnsi="標楷體"/>
              </w:rPr>
              <w:t>病患是否罹患惡性腫瘤或具有癌症前兆(pre-malignancy)</w:t>
            </w:r>
          </w:p>
        </w:tc>
      </w:tr>
      <w:tr w:rsidR="00BD776B" w14:paraId="7E4650A1" w14:textId="77777777">
        <w:trPr>
          <w:cantSplit/>
          <w:trHeight w:val="401"/>
        </w:trPr>
        <w:tc>
          <w:tcPr>
            <w:tcW w:w="685"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AD46E9F" w14:textId="77777777" w:rsidR="00BD776B" w:rsidRDefault="00BD776B">
            <w:pPr>
              <w:snapToGrid w:val="0"/>
              <w:textAlignment w:val="center"/>
              <w:rPr>
                <w:rFonts w:eastAsia="標楷體"/>
              </w:rPr>
            </w:pPr>
          </w:p>
        </w:tc>
        <w:tc>
          <w:tcPr>
            <w:tcW w:w="1351"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A4C862"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36A84692"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0A82953" w14:textId="77777777" w:rsidR="00BD776B" w:rsidRPr="00EE4BE6" w:rsidRDefault="00DF0C24">
            <w:pPr>
              <w:snapToGrid w:val="0"/>
              <w:textAlignment w:val="center"/>
              <w:rPr>
                <w:rFonts w:ascii="標楷體" w:eastAsia="標楷體" w:hAnsi="標楷體"/>
              </w:rPr>
            </w:pPr>
            <w:r w:rsidRPr="00EE4BE6">
              <w:rPr>
                <w:rFonts w:ascii="標楷體" w:eastAsia="標楷體" w:hAnsi="標楷體"/>
              </w:rPr>
              <w:t>病患是否罹患多發性硬化症(multiple sclerosis)</w:t>
            </w:r>
          </w:p>
        </w:tc>
      </w:tr>
      <w:tr w:rsidR="00BD776B" w14:paraId="3C23A759" w14:textId="77777777">
        <w:trPr>
          <w:cantSplit/>
          <w:trHeight w:val="401"/>
        </w:trPr>
        <w:tc>
          <w:tcPr>
            <w:tcW w:w="685"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6A903DE0" w14:textId="77777777" w:rsidR="00BD776B" w:rsidRDefault="00BD776B">
            <w:pPr>
              <w:snapToGrid w:val="0"/>
              <w:textAlignment w:val="center"/>
              <w:rPr>
                <w:rFonts w:eastAsia="標楷體"/>
              </w:rPr>
            </w:pPr>
          </w:p>
        </w:tc>
        <w:tc>
          <w:tcPr>
            <w:tcW w:w="1351" w:type="dxa"/>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3AA2B149"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是</w:t>
            </w:r>
          </w:p>
          <w:p w14:paraId="0E78217A" w14:textId="77777777" w:rsidR="00BD776B" w:rsidRPr="00EE4BE6" w:rsidRDefault="00DF0C24" w:rsidP="008A7063">
            <w:pPr>
              <w:numPr>
                <w:ilvl w:val="0"/>
                <w:numId w:val="111"/>
              </w:numPr>
              <w:tabs>
                <w:tab w:val="left" w:pos="425"/>
              </w:tabs>
              <w:snapToGrid w:val="0"/>
              <w:ind w:left="381" w:hanging="285"/>
              <w:textAlignment w:val="center"/>
              <w:rPr>
                <w:rFonts w:ascii="標楷體" w:eastAsia="標楷體" w:hAnsi="標楷體"/>
              </w:rPr>
            </w:pPr>
            <w:r w:rsidRPr="00EE4BE6">
              <w:rPr>
                <w:rFonts w:ascii="標楷體" w:eastAsia="標楷體" w:hAnsi="標楷體"/>
              </w:rPr>
              <w:t>否</w:t>
            </w:r>
          </w:p>
        </w:tc>
        <w:tc>
          <w:tcPr>
            <w:tcW w:w="7902"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31A904A3" w14:textId="2D784FCA" w:rsidR="00BD776B" w:rsidRPr="00EE4BE6" w:rsidRDefault="007C7119">
            <w:pPr>
              <w:snapToGrid w:val="0"/>
              <w:textAlignment w:val="center"/>
              <w:rPr>
                <w:rFonts w:ascii="標楷體" w:eastAsia="標楷體" w:hAnsi="標楷體"/>
              </w:rPr>
            </w:pPr>
            <w:r w:rsidRPr="007C7119">
              <w:rPr>
                <w:rFonts w:ascii="標楷體" w:eastAsia="標楷體" w:hAnsi="標楷體" w:hint="eastAsia"/>
              </w:rPr>
              <w:t>使用adalimumab、infliximab、risankizumab發生懷孕或不良事件(包括：惡性腫瘤、該藥物引起的嚴重毒性、嚴重的感染性疾病)</w:t>
            </w:r>
            <w:r w:rsidR="00DF0C24" w:rsidRPr="00EE4BE6">
              <w:rPr>
                <w:rFonts w:ascii="標楷體" w:eastAsia="標楷體" w:hAnsi="標楷體"/>
              </w:rPr>
              <w:t xml:space="preserve"> </w:t>
            </w:r>
          </w:p>
        </w:tc>
      </w:tr>
      <w:tr w:rsidR="00BD776B" w14:paraId="18468C72" w14:textId="77777777">
        <w:trPr>
          <w:cantSplit/>
          <w:trHeight w:val="1772"/>
        </w:trPr>
        <w:tc>
          <w:tcPr>
            <w:tcW w:w="6213" w:type="dxa"/>
            <w:gridSpan w:val="3"/>
            <w:shd w:val="clear" w:color="auto" w:fill="auto"/>
            <w:tcMar>
              <w:top w:w="0" w:type="dxa"/>
              <w:left w:w="28" w:type="dxa"/>
              <w:bottom w:w="0" w:type="dxa"/>
              <w:right w:w="28" w:type="dxa"/>
            </w:tcMar>
          </w:tcPr>
          <w:p w14:paraId="3ED7DBC5" w14:textId="50517B8D" w:rsidR="00BD776B" w:rsidRPr="00EE4BE6" w:rsidRDefault="00DF0C24">
            <w:pPr>
              <w:snapToGrid w:val="0"/>
              <w:textAlignment w:val="center"/>
              <w:rPr>
                <w:rFonts w:ascii="標楷體" w:eastAsia="標楷體" w:hAnsi="標楷體"/>
              </w:rPr>
            </w:pPr>
            <w:r w:rsidRPr="00EE4BE6">
              <w:rPr>
                <w:rFonts w:ascii="標楷體" w:eastAsia="標楷體" w:hAnsi="標楷體"/>
              </w:rPr>
              <w:t>申請醫師（簽名蓋章）：</w:t>
            </w:r>
            <w:r w:rsidR="00EE4BE6">
              <w:rPr>
                <w:rFonts w:ascii="標楷體" w:eastAsia="標楷體" w:hAnsi="標楷體" w:hint="eastAsia"/>
              </w:rPr>
              <w:t>_______________</w:t>
            </w:r>
          </w:p>
          <w:p w14:paraId="7A16F79E" w14:textId="1BA0DC9F" w:rsidR="00BD776B" w:rsidRPr="00EE4BE6" w:rsidRDefault="00DF0C24">
            <w:pPr>
              <w:snapToGrid w:val="0"/>
              <w:textAlignment w:val="center"/>
              <w:rPr>
                <w:rFonts w:ascii="標楷體" w:eastAsia="標楷體" w:hAnsi="標楷體"/>
              </w:rPr>
            </w:pPr>
            <w:r w:rsidRPr="00EE4BE6">
              <w:rPr>
                <w:rFonts w:ascii="標楷體" w:eastAsia="標楷體" w:hAnsi="標楷體"/>
              </w:rPr>
              <w:t>消化系專科醫師證書：</w:t>
            </w:r>
            <w:r w:rsidR="00EE4BE6">
              <w:rPr>
                <w:rFonts w:ascii="標楷體" w:eastAsia="標楷體" w:hAnsi="標楷體" w:hint="eastAsia"/>
              </w:rPr>
              <w:t>_______________</w:t>
            </w:r>
          </w:p>
          <w:p w14:paraId="5E266D8B" w14:textId="07D2EAE2" w:rsidR="00BD776B" w:rsidRPr="00EE4BE6" w:rsidRDefault="00DF0C24">
            <w:pPr>
              <w:tabs>
                <w:tab w:val="left" w:pos="2912"/>
              </w:tabs>
              <w:snapToGrid w:val="0"/>
              <w:textAlignment w:val="center"/>
              <w:rPr>
                <w:rFonts w:ascii="標楷體" w:eastAsia="標楷體" w:hAnsi="標楷體"/>
              </w:rPr>
            </w:pPr>
            <w:r w:rsidRPr="00EE4BE6">
              <w:rPr>
                <w:rFonts w:ascii="標楷體" w:eastAsia="標楷體" w:hAnsi="標楷體"/>
              </w:rPr>
              <w:t>小兒專科醫師證書：</w:t>
            </w:r>
            <w:r w:rsidR="00EE4BE6">
              <w:rPr>
                <w:rFonts w:ascii="標楷體" w:eastAsia="標楷體" w:hAnsi="標楷體" w:hint="eastAsia"/>
              </w:rPr>
              <w:t>_______________</w:t>
            </w:r>
          </w:p>
        </w:tc>
        <w:tc>
          <w:tcPr>
            <w:tcW w:w="3725" w:type="dxa"/>
            <w:shd w:val="clear" w:color="auto" w:fill="auto"/>
            <w:tcMar>
              <w:top w:w="0" w:type="dxa"/>
              <w:left w:w="28" w:type="dxa"/>
              <w:bottom w:w="0" w:type="dxa"/>
              <w:right w:w="28" w:type="dxa"/>
            </w:tcMar>
          </w:tcPr>
          <w:p w14:paraId="03456529" w14:textId="224FAB70" w:rsidR="00BD776B" w:rsidRPr="00EE4BE6" w:rsidRDefault="00DF0C24">
            <w:pPr>
              <w:snapToGrid w:val="0"/>
              <w:textAlignment w:val="center"/>
              <w:rPr>
                <w:rFonts w:ascii="標楷體" w:eastAsia="標楷體" w:hAnsi="標楷體"/>
              </w:rPr>
            </w:pPr>
            <w:r w:rsidRPr="00EE4BE6">
              <w:rPr>
                <w:rFonts w:ascii="標楷體" w:eastAsia="標楷體" w:hAnsi="標楷體"/>
              </w:rPr>
              <w:t>醫事機構章戳：</w:t>
            </w:r>
          </w:p>
        </w:tc>
      </w:tr>
    </w:tbl>
    <w:p w14:paraId="6586ADE2" w14:textId="77777777" w:rsidR="00BD776B" w:rsidRDefault="00BD776B">
      <w:pPr>
        <w:pStyle w:val="af3"/>
      </w:pPr>
    </w:p>
    <w:p w14:paraId="7AC997FB" w14:textId="77777777" w:rsidR="00BD776B" w:rsidRDefault="00BD776B">
      <w:pPr>
        <w:pageBreakBefore/>
        <w:widowControl/>
        <w:suppressAutoHyphens w:val="0"/>
      </w:pPr>
    </w:p>
    <w:p w14:paraId="22D87311" w14:textId="77777777" w:rsidR="00BD776B" w:rsidRDefault="00DF0C24">
      <w:pPr>
        <w:jc w:val="center"/>
      </w:pPr>
      <w:r>
        <w:rPr>
          <w:rFonts w:ascii="Times New Roman" w:eastAsia="標楷體" w:hAnsi="Times New Roman"/>
          <w:b/>
          <w:sz w:val="28"/>
          <w:szCs w:val="28"/>
        </w:rPr>
        <w:t>附表二十六之四</w:t>
      </w:r>
      <w:r>
        <w:rPr>
          <w:rFonts w:ascii="Times New Roman" w:eastAsia="標楷體" w:hAnsi="Times New Roman"/>
          <w:b/>
          <w:sz w:val="28"/>
          <w:szCs w:val="28"/>
        </w:rPr>
        <w:t>P</w:t>
      </w:r>
      <w:r>
        <w:rPr>
          <w:rFonts w:ascii="Times New Roman" w:eastAsia="標楷體" w:hAnsi="Times New Roman"/>
          <w:b/>
          <w:bCs/>
          <w:sz w:val="28"/>
          <w:szCs w:val="28"/>
        </w:rPr>
        <w:t>CDAI</w:t>
      </w:r>
      <w:r>
        <w:rPr>
          <w:rFonts w:ascii="Times New Roman" w:eastAsia="標楷體" w:hAnsi="Times New Roman"/>
          <w:b/>
          <w:bCs/>
          <w:sz w:val="28"/>
          <w:szCs w:val="28"/>
        </w:rPr>
        <w:t>（</w:t>
      </w:r>
      <w:r>
        <w:rPr>
          <w:rFonts w:ascii="Times New Roman" w:eastAsia="標楷體" w:hAnsi="Times New Roman"/>
          <w:b/>
          <w:bCs/>
          <w:sz w:val="28"/>
          <w:szCs w:val="28"/>
        </w:rPr>
        <w:t>Pediatric Crohn’s disease activity index</w:t>
      </w:r>
      <w:r>
        <w:rPr>
          <w:rFonts w:ascii="Times New Roman" w:eastAsia="標楷體" w:hAnsi="Times New Roman"/>
          <w:b/>
          <w:bCs/>
          <w:sz w:val="28"/>
          <w:szCs w:val="28"/>
        </w:rPr>
        <w:t>）</w:t>
      </w:r>
    </w:p>
    <w:tbl>
      <w:tblPr>
        <w:tblW w:w="10199" w:type="dxa"/>
        <w:jc w:val="center"/>
        <w:tblCellMar>
          <w:left w:w="10" w:type="dxa"/>
          <w:right w:w="10" w:type="dxa"/>
        </w:tblCellMar>
        <w:tblLook w:val="0000" w:firstRow="0" w:lastRow="0" w:firstColumn="0" w:lastColumn="0" w:noHBand="0" w:noVBand="0"/>
      </w:tblPr>
      <w:tblGrid>
        <w:gridCol w:w="1476"/>
        <w:gridCol w:w="1477"/>
        <w:gridCol w:w="1476"/>
        <w:gridCol w:w="1477"/>
        <w:gridCol w:w="1476"/>
        <w:gridCol w:w="1477"/>
        <w:gridCol w:w="1340"/>
      </w:tblGrid>
      <w:tr w:rsidR="00BD776B" w14:paraId="2E01CB5E" w14:textId="77777777">
        <w:trPr>
          <w:trHeight w:val="496"/>
          <w:jc w:val="center"/>
        </w:trPr>
        <w:tc>
          <w:tcPr>
            <w:tcW w:w="10199" w:type="dxa"/>
            <w:gridSpan w:val="7"/>
            <w:tcBorders>
              <w:top w:val="single" w:sz="4" w:space="0" w:color="000000"/>
              <w:left w:val="single" w:sz="4" w:space="0" w:color="000000"/>
              <w:bottom w:val="single" w:sz="4" w:space="0" w:color="000000"/>
              <w:right w:val="single" w:sz="4" w:space="0" w:color="000000"/>
            </w:tcBorders>
            <w:shd w:val="clear" w:color="auto" w:fill="92D050"/>
            <w:noWrap/>
            <w:tcMar>
              <w:top w:w="0" w:type="dxa"/>
              <w:left w:w="28" w:type="dxa"/>
              <w:bottom w:w="0" w:type="dxa"/>
              <w:right w:w="28" w:type="dxa"/>
            </w:tcMar>
            <w:vAlign w:val="center"/>
          </w:tcPr>
          <w:p w14:paraId="64C328D1"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History (Recall, 1 week) </w:t>
            </w:r>
            <w:r>
              <w:rPr>
                <w:rFonts w:ascii="Times New Roman" w:eastAsia="標楷體" w:hAnsi="Times New Roman" w:cs="新細明體"/>
                <w:b/>
                <w:bCs/>
                <w:kern w:val="0"/>
                <w:szCs w:val="24"/>
              </w:rPr>
              <w:t>病史</w:t>
            </w:r>
            <w:r>
              <w:rPr>
                <w:rFonts w:ascii="Times New Roman" w:eastAsia="標楷體" w:hAnsi="Times New Roman" w:cs="新細明體"/>
                <w:b/>
                <w:bCs/>
                <w:kern w:val="0"/>
                <w:szCs w:val="24"/>
              </w:rPr>
              <w:t>(</w:t>
            </w:r>
            <w:r>
              <w:rPr>
                <w:rFonts w:ascii="Times New Roman" w:eastAsia="標楷體" w:hAnsi="Times New Roman" w:cs="新細明體"/>
                <w:b/>
                <w:bCs/>
                <w:kern w:val="0"/>
                <w:szCs w:val="24"/>
              </w:rPr>
              <w:t>過去一周</w:t>
            </w:r>
            <w:r>
              <w:rPr>
                <w:rFonts w:ascii="Times New Roman" w:eastAsia="標楷體" w:hAnsi="Times New Roman" w:cs="新細明體"/>
                <w:b/>
                <w:bCs/>
                <w:kern w:val="0"/>
                <w:szCs w:val="24"/>
              </w:rPr>
              <w:t>)</w:t>
            </w:r>
          </w:p>
        </w:tc>
      </w:tr>
      <w:tr w:rsidR="00BD776B" w14:paraId="7A198E4C" w14:textId="77777777">
        <w:trPr>
          <w:trHeight w:val="496"/>
          <w:jc w:val="center"/>
        </w:trPr>
        <w:tc>
          <w:tcPr>
            <w:tcW w:w="8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3AF24"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Abdominal Pain</w:t>
            </w:r>
            <w:r>
              <w:rPr>
                <w:rFonts w:ascii="Times New Roman" w:eastAsia="標楷體" w:hAnsi="Times New Roman" w:cs="新細明體"/>
                <w:b/>
                <w:bCs/>
                <w:kern w:val="0"/>
                <w:szCs w:val="24"/>
              </w:rPr>
              <w:t>腹痛</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AC2B152"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7BE869ED" w14:textId="77777777">
        <w:trPr>
          <w:trHeight w:val="1698"/>
          <w:jc w:val="center"/>
        </w:trPr>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74EEF3"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0 = None</w:t>
            </w:r>
          </w:p>
          <w:p w14:paraId="3DFFA523"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無</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6F06C9"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5 = Mild: Brief, does not interfere with activities</w:t>
            </w:r>
          </w:p>
          <w:p w14:paraId="2564030B"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輕微</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短暫，不影響活動</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D5956A"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10 = Moderate/ Severe: Daily, longer lasting, affects activities, nocturnal</w:t>
            </w:r>
          </w:p>
          <w:p w14:paraId="04D1C3E0"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中度</w:t>
            </w:r>
            <w:r>
              <w:rPr>
                <w:rFonts w:ascii="Times New Roman" w:eastAsia="標楷體" w:hAnsi="Times New Roman" w:cs="新細明體"/>
                <w:kern w:val="0"/>
                <w:szCs w:val="24"/>
              </w:rPr>
              <w:t>/</w:t>
            </w:r>
            <w:r>
              <w:rPr>
                <w:rFonts w:ascii="Times New Roman" w:eastAsia="標楷體" w:hAnsi="Times New Roman" w:cs="新細明體"/>
                <w:kern w:val="0"/>
                <w:szCs w:val="24"/>
              </w:rPr>
              <w:t>嚴重：每天，持續較長時間，影響活動，夜間痛</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E541CF9"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4429A9F9" w14:textId="77777777">
        <w:trPr>
          <w:trHeight w:val="496"/>
          <w:jc w:val="center"/>
        </w:trPr>
        <w:tc>
          <w:tcPr>
            <w:tcW w:w="8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34917A"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Patient Functioning, General Well-Being </w:t>
            </w:r>
            <w:r>
              <w:rPr>
                <w:rFonts w:ascii="Times New Roman" w:eastAsia="標楷體" w:hAnsi="Times New Roman" w:cs="新細明體"/>
                <w:b/>
                <w:bCs/>
                <w:kern w:val="0"/>
                <w:szCs w:val="24"/>
              </w:rPr>
              <w:t>病人的功能、一般健康狀況</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1BDA9D8"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3FBC0EF1" w14:textId="77777777">
        <w:trPr>
          <w:trHeight w:val="1773"/>
          <w:jc w:val="center"/>
        </w:trPr>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6A7B85"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0 = No limitation of activities, well </w:t>
            </w:r>
          </w:p>
          <w:p w14:paraId="49114A6C"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活動自主，狀況良好</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60F869"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5 = Occasional difficulty in maintaining age-appropriate activities, below par</w:t>
            </w:r>
          </w:p>
          <w:p w14:paraId="1E26B28E"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維持該年齡應有的活動偶爾會有困難，低於平均值</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9CC654"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10 = Frequent limitation of activity, very poor</w:t>
            </w:r>
          </w:p>
          <w:p w14:paraId="12716F11"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活動經常受限，非常虛弱</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4BE9DE5"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7F896B62" w14:textId="77777777">
        <w:trPr>
          <w:trHeight w:val="496"/>
          <w:jc w:val="center"/>
        </w:trPr>
        <w:tc>
          <w:tcPr>
            <w:tcW w:w="8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960899"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Stools (per day)</w:t>
            </w:r>
            <w:r>
              <w:rPr>
                <w:rFonts w:ascii="Times New Roman" w:eastAsia="標楷體" w:hAnsi="Times New Roman" w:cs="新細明體"/>
                <w:b/>
                <w:bCs/>
                <w:kern w:val="0"/>
                <w:szCs w:val="24"/>
              </w:rPr>
              <w:t>糞便</w:t>
            </w:r>
            <w:r>
              <w:rPr>
                <w:rFonts w:ascii="Times New Roman" w:eastAsia="標楷體" w:hAnsi="Times New Roman" w:cs="新細明體"/>
                <w:b/>
                <w:bCs/>
                <w:kern w:val="0"/>
                <w:szCs w:val="24"/>
              </w:rPr>
              <w:t>(</w:t>
            </w:r>
            <w:r>
              <w:rPr>
                <w:rFonts w:ascii="Times New Roman" w:eastAsia="標楷體" w:hAnsi="Times New Roman" w:cs="新細明體"/>
                <w:b/>
                <w:bCs/>
                <w:kern w:val="0"/>
                <w:szCs w:val="24"/>
              </w:rPr>
              <w:t>每天</w:t>
            </w:r>
            <w:r>
              <w:rPr>
                <w:rFonts w:ascii="Times New Roman" w:eastAsia="標楷體" w:hAnsi="Times New Roman" w:cs="新細明體"/>
                <w:b/>
                <w:bCs/>
                <w:kern w:val="0"/>
                <w:szCs w:val="24"/>
              </w:rPr>
              <w:t>)</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2D48F48"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7D47C07B" w14:textId="77777777">
        <w:trPr>
          <w:trHeight w:val="1713"/>
          <w:jc w:val="center"/>
        </w:trPr>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E99193"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0 = 0-1 liquid stools, no blood  0-1</w:t>
            </w:r>
            <w:r>
              <w:rPr>
                <w:rFonts w:ascii="Times New Roman" w:eastAsia="標楷體" w:hAnsi="Times New Roman" w:cs="新細明體"/>
                <w:kern w:val="0"/>
                <w:szCs w:val="24"/>
              </w:rPr>
              <w:t>次流質糞便，沒有血絲</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2A1B8"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5 = Up to 2 semiformed with small blood, or 2-5 liquid  </w:t>
            </w:r>
          </w:p>
          <w:p w14:paraId="3A831092"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最多</w:t>
            </w:r>
            <w:r>
              <w:rPr>
                <w:rFonts w:ascii="Times New Roman" w:eastAsia="標楷體" w:hAnsi="Times New Roman" w:cs="新細明體"/>
                <w:kern w:val="0"/>
                <w:szCs w:val="24"/>
              </w:rPr>
              <w:t>2</w:t>
            </w:r>
            <w:r>
              <w:rPr>
                <w:rFonts w:ascii="Times New Roman" w:eastAsia="標楷體" w:hAnsi="Times New Roman" w:cs="新細明體"/>
                <w:kern w:val="0"/>
                <w:szCs w:val="24"/>
              </w:rPr>
              <w:t>次的半成形及輕微血絲糞便，或是</w:t>
            </w:r>
            <w:r>
              <w:rPr>
                <w:rFonts w:ascii="Times New Roman" w:eastAsia="標楷體" w:hAnsi="Times New Roman" w:cs="新細明體"/>
                <w:kern w:val="0"/>
                <w:szCs w:val="24"/>
              </w:rPr>
              <w:t>2-5</w:t>
            </w:r>
            <w:r>
              <w:rPr>
                <w:rFonts w:ascii="Times New Roman" w:eastAsia="標楷體" w:hAnsi="Times New Roman" w:cs="新細明體"/>
                <w:kern w:val="0"/>
                <w:szCs w:val="24"/>
              </w:rPr>
              <w:t>次流質糞便</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1F8D46" w14:textId="77777777" w:rsidR="00BD776B" w:rsidRDefault="00DF0C24">
            <w:pPr>
              <w:widowControl/>
              <w:jc w:val="center"/>
            </w:pPr>
            <w:r>
              <w:rPr>
                <w:rFonts w:ascii="Times New Roman" w:eastAsia="標楷體" w:hAnsi="Times New Roman" w:cs="新細明體"/>
                <w:kern w:val="0"/>
                <w:szCs w:val="24"/>
              </w:rPr>
              <w:t xml:space="preserve">10 = Gross bleeding, or </w:t>
            </w:r>
            <w:r>
              <w:rPr>
                <w:rFonts w:ascii="Times New Roman" w:eastAsia="標楷體" w:hAnsi="Times New Roman"/>
                <w:kern w:val="0"/>
                <w:szCs w:val="24"/>
              </w:rPr>
              <w:t>≥</w:t>
            </w:r>
            <w:r>
              <w:rPr>
                <w:rFonts w:ascii="Times New Roman" w:eastAsia="標楷體" w:hAnsi="Times New Roman" w:cs="新細明體"/>
                <w:kern w:val="0"/>
                <w:szCs w:val="24"/>
              </w:rPr>
              <w:t xml:space="preserve"> 6 liquid, or nocturnal diarrhea </w:t>
            </w:r>
          </w:p>
          <w:p w14:paraId="427BA746"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血便，或多於</w:t>
            </w:r>
            <w:r>
              <w:rPr>
                <w:rFonts w:ascii="Times New Roman" w:eastAsia="標楷體" w:hAnsi="Times New Roman" w:cs="新細明體"/>
                <w:kern w:val="0"/>
                <w:szCs w:val="24"/>
              </w:rPr>
              <w:t>6</w:t>
            </w:r>
            <w:r>
              <w:rPr>
                <w:rFonts w:ascii="Times New Roman" w:eastAsia="標楷體" w:hAnsi="Times New Roman" w:cs="新細明體"/>
                <w:kern w:val="0"/>
                <w:szCs w:val="24"/>
              </w:rPr>
              <w:t>次流質糞便，或夜間腹瀉</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CCCF10A"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34432063" w14:textId="77777777">
        <w:trPr>
          <w:trHeight w:val="496"/>
          <w:jc w:val="center"/>
        </w:trPr>
        <w:tc>
          <w:tcPr>
            <w:tcW w:w="10199" w:type="dxa"/>
            <w:gridSpan w:val="7"/>
            <w:tcBorders>
              <w:top w:val="single" w:sz="4" w:space="0" w:color="000000"/>
              <w:left w:val="single" w:sz="4" w:space="0" w:color="000000"/>
              <w:bottom w:val="single" w:sz="4" w:space="0" w:color="000000"/>
              <w:right w:val="single" w:sz="4" w:space="0" w:color="000000"/>
            </w:tcBorders>
            <w:shd w:val="clear" w:color="auto" w:fill="92D050"/>
            <w:noWrap/>
            <w:tcMar>
              <w:top w:w="0" w:type="dxa"/>
              <w:left w:w="28" w:type="dxa"/>
              <w:bottom w:w="0" w:type="dxa"/>
              <w:right w:w="28" w:type="dxa"/>
            </w:tcMar>
            <w:vAlign w:val="center"/>
          </w:tcPr>
          <w:p w14:paraId="44B02332"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Laboratory </w:t>
            </w:r>
            <w:r>
              <w:rPr>
                <w:rFonts w:ascii="Times New Roman" w:eastAsia="標楷體" w:hAnsi="Times New Roman" w:cs="新細明體"/>
                <w:b/>
                <w:bCs/>
                <w:kern w:val="0"/>
                <w:szCs w:val="24"/>
              </w:rPr>
              <w:t>檢驗值</w:t>
            </w:r>
          </w:p>
        </w:tc>
      </w:tr>
      <w:tr w:rsidR="00BD776B" w14:paraId="2630FDAA" w14:textId="77777777">
        <w:trPr>
          <w:trHeight w:val="496"/>
          <w:jc w:val="center"/>
        </w:trPr>
        <w:tc>
          <w:tcPr>
            <w:tcW w:w="8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3E4D09"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HCT</w:t>
            </w:r>
            <w:r>
              <w:rPr>
                <w:rFonts w:ascii="Times New Roman" w:eastAsia="標楷體" w:hAnsi="Times New Roman" w:cs="新細明體"/>
                <w:b/>
                <w:bCs/>
                <w:kern w:val="0"/>
                <w:szCs w:val="24"/>
              </w:rPr>
              <w:t>血比容</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71E084C"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21C18E76" w14:textId="77777777">
        <w:trPr>
          <w:trHeight w:val="496"/>
          <w:jc w:val="center"/>
        </w:trPr>
        <w:tc>
          <w:tcPr>
            <w:tcW w:w="44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0231F"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&lt; 10 years (Male and Female):</w:t>
            </w:r>
          </w:p>
          <w:p w14:paraId="0ED0373A"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&lt; 10 </w:t>
            </w:r>
            <w:r>
              <w:rPr>
                <w:rFonts w:ascii="Times New Roman" w:eastAsia="標楷體" w:hAnsi="Times New Roman" w:cs="新細明體"/>
                <w:kern w:val="0"/>
                <w:szCs w:val="24"/>
              </w:rPr>
              <w:t>歲</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男</w:t>
            </w:r>
            <w:r>
              <w:rPr>
                <w:rFonts w:ascii="Times New Roman" w:eastAsia="標楷體" w:hAnsi="Times New Roman" w:cs="新細明體"/>
                <w:kern w:val="0"/>
                <w:szCs w:val="24"/>
              </w:rPr>
              <w:t>/</w:t>
            </w:r>
            <w:r>
              <w:rPr>
                <w:rFonts w:ascii="Times New Roman" w:eastAsia="標楷體" w:hAnsi="Times New Roman" w:cs="新細明體"/>
                <w:kern w:val="0"/>
                <w:szCs w:val="24"/>
              </w:rPr>
              <w:t>女</w:t>
            </w:r>
            <w:r>
              <w:rPr>
                <w:rFonts w:ascii="Times New Roman" w:eastAsia="標楷體" w:hAnsi="Times New Roman" w:cs="新細明體"/>
                <w:kern w:val="0"/>
                <w:szCs w:val="24"/>
              </w:rPr>
              <w:t>)</w:t>
            </w:r>
          </w:p>
        </w:tc>
        <w:tc>
          <w:tcPr>
            <w:tcW w:w="4430" w:type="dxa"/>
            <w:gridSpan w:val="3"/>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3732D"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11-14 years (Male): </w:t>
            </w:r>
          </w:p>
          <w:p w14:paraId="04C66DA7"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11-14</w:t>
            </w:r>
            <w:r>
              <w:rPr>
                <w:rFonts w:ascii="Times New Roman" w:eastAsia="標楷體" w:hAnsi="Times New Roman" w:cs="新細明體"/>
                <w:kern w:val="0"/>
                <w:szCs w:val="24"/>
              </w:rPr>
              <w:t>歲</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男</w:t>
            </w:r>
            <w:r>
              <w:rPr>
                <w:rFonts w:ascii="Times New Roman" w:eastAsia="標楷體" w:hAnsi="Times New Roman" w:cs="新細明體"/>
                <w:kern w:val="0"/>
                <w:szCs w:val="24"/>
              </w:rPr>
              <w:t>)</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B694D26"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0729A01E" w14:textId="77777777">
        <w:trPr>
          <w:trHeight w:val="496"/>
          <w:jc w:val="center"/>
        </w:trPr>
        <w:tc>
          <w:tcPr>
            <w:tcW w:w="14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830EAD"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0 = &gt; 33%</w:t>
            </w:r>
          </w:p>
        </w:tc>
        <w:tc>
          <w:tcPr>
            <w:tcW w:w="147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D6B31A"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2.5 = 28%-32%</w:t>
            </w:r>
          </w:p>
        </w:tc>
        <w:tc>
          <w:tcPr>
            <w:tcW w:w="14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EA1C562"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5 = &lt; 28%</w:t>
            </w:r>
          </w:p>
        </w:tc>
        <w:tc>
          <w:tcPr>
            <w:tcW w:w="147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1E31BE" w14:textId="77777777" w:rsidR="00BD776B" w:rsidRDefault="00DF0C24">
            <w:pPr>
              <w:widowControl/>
            </w:pPr>
            <w:r>
              <w:rPr>
                <w:rFonts w:ascii="Times New Roman" w:eastAsia="標楷體" w:hAnsi="Times New Roman" w:cs="新細明體"/>
                <w:kern w:val="0"/>
                <w:szCs w:val="24"/>
              </w:rPr>
              <w:t xml:space="preserve">0 = </w:t>
            </w:r>
            <w:r>
              <w:rPr>
                <w:rFonts w:ascii="Times New Roman" w:eastAsia="標楷體" w:hAnsi="Times New Roman"/>
                <w:kern w:val="0"/>
                <w:szCs w:val="24"/>
              </w:rPr>
              <w:t>≥</w:t>
            </w:r>
            <w:r>
              <w:rPr>
                <w:rFonts w:ascii="Times New Roman" w:eastAsia="標楷體" w:hAnsi="Times New Roman" w:cs="新細明體"/>
                <w:kern w:val="0"/>
                <w:szCs w:val="24"/>
              </w:rPr>
              <w:t xml:space="preserve"> 35%</w:t>
            </w:r>
          </w:p>
        </w:tc>
        <w:tc>
          <w:tcPr>
            <w:tcW w:w="14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4672AA7"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 xml:space="preserve">2.5 = 30%-34% </w:t>
            </w:r>
          </w:p>
        </w:tc>
        <w:tc>
          <w:tcPr>
            <w:tcW w:w="147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4DC2056"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5 = &lt; 30%</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BD14AA6"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4446200C" w14:textId="77777777">
        <w:trPr>
          <w:trHeight w:val="496"/>
          <w:jc w:val="center"/>
        </w:trPr>
        <w:tc>
          <w:tcPr>
            <w:tcW w:w="44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F06242"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11-19 years (Female):</w:t>
            </w:r>
          </w:p>
          <w:p w14:paraId="3AF66321"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11-19</w:t>
            </w:r>
            <w:r>
              <w:rPr>
                <w:rFonts w:ascii="Times New Roman" w:eastAsia="標楷體" w:hAnsi="Times New Roman" w:cs="新細明體"/>
                <w:kern w:val="0"/>
                <w:szCs w:val="24"/>
              </w:rPr>
              <w:t>歲</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女</w:t>
            </w:r>
            <w:r>
              <w:rPr>
                <w:rFonts w:ascii="Times New Roman" w:eastAsia="標楷體" w:hAnsi="Times New Roman" w:cs="新細明體"/>
                <w:kern w:val="0"/>
                <w:szCs w:val="24"/>
              </w:rPr>
              <w:t>)</w:t>
            </w:r>
          </w:p>
        </w:tc>
        <w:tc>
          <w:tcPr>
            <w:tcW w:w="4430" w:type="dxa"/>
            <w:gridSpan w:val="3"/>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45CB12"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15-19 years (Male):</w:t>
            </w:r>
          </w:p>
          <w:p w14:paraId="258C4277"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15-19 </w:t>
            </w:r>
            <w:r>
              <w:rPr>
                <w:rFonts w:ascii="Times New Roman" w:eastAsia="標楷體" w:hAnsi="Times New Roman" w:cs="新細明體"/>
                <w:kern w:val="0"/>
                <w:szCs w:val="24"/>
              </w:rPr>
              <w:t>歲</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男</w:t>
            </w:r>
            <w:r>
              <w:rPr>
                <w:rFonts w:ascii="Times New Roman" w:eastAsia="標楷體" w:hAnsi="Times New Roman" w:cs="新細明體"/>
                <w:kern w:val="0"/>
                <w:szCs w:val="24"/>
              </w:rPr>
              <w:t>)</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DE894E"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4E74E8E4" w14:textId="77777777">
        <w:trPr>
          <w:trHeight w:val="496"/>
          <w:jc w:val="center"/>
        </w:trPr>
        <w:tc>
          <w:tcPr>
            <w:tcW w:w="14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8345D" w14:textId="77777777" w:rsidR="00BD776B" w:rsidRDefault="00DF0C24">
            <w:pPr>
              <w:widowControl/>
            </w:pPr>
            <w:r>
              <w:rPr>
                <w:rFonts w:ascii="Times New Roman" w:eastAsia="標楷體" w:hAnsi="Times New Roman" w:cs="新細明體"/>
                <w:kern w:val="0"/>
                <w:szCs w:val="24"/>
              </w:rPr>
              <w:t xml:space="preserve">0 = </w:t>
            </w:r>
            <w:r>
              <w:rPr>
                <w:rFonts w:ascii="Times New Roman" w:eastAsia="標楷體" w:hAnsi="Times New Roman"/>
                <w:kern w:val="0"/>
                <w:szCs w:val="24"/>
              </w:rPr>
              <w:t>≥</w:t>
            </w:r>
            <w:r>
              <w:rPr>
                <w:rFonts w:ascii="Times New Roman" w:eastAsia="標楷體" w:hAnsi="Times New Roman" w:cs="新細明體"/>
                <w:kern w:val="0"/>
                <w:szCs w:val="24"/>
              </w:rPr>
              <w:t xml:space="preserve"> 34%</w:t>
            </w:r>
          </w:p>
        </w:tc>
        <w:tc>
          <w:tcPr>
            <w:tcW w:w="147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A0DC2FA"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2.5 = 29%-33%</w:t>
            </w:r>
          </w:p>
        </w:tc>
        <w:tc>
          <w:tcPr>
            <w:tcW w:w="14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CFDDFF0"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5 = &lt; 29%</w:t>
            </w:r>
          </w:p>
        </w:tc>
        <w:tc>
          <w:tcPr>
            <w:tcW w:w="147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284E257" w14:textId="77777777" w:rsidR="00BD776B" w:rsidRDefault="00DF0C24">
            <w:pPr>
              <w:widowControl/>
            </w:pPr>
            <w:r>
              <w:rPr>
                <w:rFonts w:ascii="Times New Roman" w:eastAsia="標楷體" w:hAnsi="Times New Roman" w:cs="新細明體"/>
                <w:kern w:val="0"/>
                <w:szCs w:val="24"/>
              </w:rPr>
              <w:t xml:space="preserve">0 = </w:t>
            </w:r>
            <w:r>
              <w:rPr>
                <w:rFonts w:ascii="Times New Roman" w:eastAsia="標楷體" w:hAnsi="Times New Roman"/>
                <w:kern w:val="0"/>
                <w:szCs w:val="24"/>
              </w:rPr>
              <w:t>≥</w:t>
            </w:r>
            <w:r>
              <w:rPr>
                <w:rFonts w:ascii="Times New Roman" w:eastAsia="標楷體" w:hAnsi="Times New Roman" w:cs="新細明體"/>
                <w:kern w:val="0"/>
                <w:szCs w:val="24"/>
              </w:rPr>
              <w:t xml:space="preserve"> 37%</w:t>
            </w:r>
          </w:p>
        </w:tc>
        <w:tc>
          <w:tcPr>
            <w:tcW w:w="14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EEBE984"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2.5 = 32%-36%</w:t>
            </w:r>
          </w:p>
        </w:tc>
        <w:tc>
          <w:tcPr>
            <w:tcW w:w="147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B6A327D" w14:textId="77777777" w:rsidR="00BD776B" w:rsidRDefault="00DF0C24">
            <w:pPr>
              <w:widowControl/>
              <w:rPr>
                <w:rFonts w:ascii="Times New Roman" w:eastAsia="標楷體" w:hAnsi="Times New Roman" w:cs="新細明體"/>
                <w:kern w:val="0"/>
                <w:szCs w:val="24"/>
              </w:rPr>
            </w:pPr>
            <w:r>
              <w:rPr>
                <w:rFonts w:ascii="Times New Roman" w:eastAsia="標楷體" w:hAnsi="Times New Roman" w:cs="新細明體"/>
                <w:kern w:val="0"/>
                <w:szCs w:val="24"/>
              </w:rPr>
              <w:t>5 = &lt; 32%</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1FAE78"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7F75BF4A" w14:textId="77777777">
        <w:trPr>
          <w:trHeight w:val="496"/>
          <w:jc w:val="center"/>
        </w:trPr>
        <w:tc>
          <w:tcPr>
            <w:tcW w:w="8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174E9D"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ESR</w:t>
            </w:r>
            <w:r>
              <w:rPr>
                <w:rFonts w:ascii="Times New Roman" w:eastAsia="標楷體" w:hAnsi="Times New Roman" w:cs="新細明體"/>
                <w:b/>
                <w:bCs/>
                <w:kern w:val="0"/>
                <w:szCs w:val="24"/>
              </w:rPr>
              <w:t>紅血球沈降速率</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72FCA6D"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1C86F402" w14:textId="77777777">
        <w:trPr>
          <w:trHeight w:val="496"/>
          <w:jc w:val="center"/>
        </w:trPr>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87849"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0 = &lt; 20 mm/hr</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B72D9"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2.5 = 20-50 mm/hr</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2198A5"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5 = &gt; 50 mm/hr</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CE9B30E"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6DDB8536" w14:textId="77777777">
        <w:trPr>
          <w:trHeight w:val="496"/>
          <w:jc w:val="center"/>
        </w:trPr>
        <w:tc>
          <w:tcPr>
            <w:tcW w:w="8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4BB4FE"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Albumin</w:t>
            </w:r>
            <w:r>
              <w:rPr>
                <w:rFonts w:ascii="Times New Roman" w:eastAsia="標楷體" w:hAnsi="Times New Roman" w:cs="新細明體"/>
                <w:b/>
                <w:bCs/>
                <w:kern w:val="0"/>
                <w:szCs w:val="24"/>
              </w:rPr>
              <w:t>白蛋白</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6B1397"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5616AEF0" w14:textId="77777777">
        <w:trPr>
          <w:trHeight w:val="496"/>
          <w:jc w:val="center"/>
        </w:trPr>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924C80" w14:textId="77777777" w:rsidR="00BD776B" w:rsidRDefault="00DF0C24">
            <w:pPr>
              <w:widowControl/>
              <w:jc w:val="center"/>
            </w:pPr>
            <w:r>
              <w:rPr>
                <w:rFonts w:ascii="Times New Roman" w:eastAsia="標楷體" w:hAnsi="Times New Roman" w:cs="新細明體"/>
                <w:kern w:val="0"/>
                <w:szCs w:val="24"/>
              </w:rPr>
              <w:t xml:space="preserve">0 = </w:t>
            </w:r>
            <w:r>
              <w:rPr>
                <w:rFonts w:ascii="Times New Roman" w:eastAsia="標楷體" w:hAnsi="Times New Roman"/>
                <w:kern w:val="0"/>
                <w:szCs w:val="24"/>
              </w:rPr>
              <w:t>≥</w:t>
            </w:r>
            <w:r>
              <w:rPr>
                <w:rFonts w:ascii="Times New Roman" w:eastAsia="標楷體" w:hAnsi="Times New Roman" w:cs="新細明體"/>
                <w:kern w:val="0"/>
                <w:szCs w:val="24"/>
              </w:rPr>
              <w:t xml:space="preserve"> 3.5 g/dL</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8D82EC"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5 = 3.1-3.4 g/dL</w:t>
            </w:r>
          </w:p>
        </w:tc>
        <w:tc>
          <w:tcPr>
            <w:tcW w:w="2953" w:type="dxa"/>
            <w:gridSpan w:val="2"/>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E468F4" w14:textId="77777777" w:rsidR="00BD776B" w:rsidRDefault="00DF0C24">
            <w:pPr>
              <w:widowControl/>
              <w:jc w:val="center"/>
            </w:pPr>
            <w:r>
              <w:rPr>
                <w:rFonts w:ascii="Times New Roman" w:eastAsia="標楷體" w:hAnsi="Times New Roman" w:cs="新細明體"/>
                <w:kern w:val="0"/>
                <w:szCs w:val="24"/>
              </w:rPr>
              <w:t xml:space="preserve">10 = </w:t>
            </w:r>
            <w:r>
              <w:rPr>
                <w:rFonts w:ascii="Times New Roman" w:eastAsia="標楷體" w:hAnsi="Times New Roman"/>
                <w:kern w:val="0"/>
                <w:szCs w:val="24"/>
              </w:rPr>
              <w:t>≤</w:t>
            </w:r>
            <w:r>
              <w:rPr>
                <w:rFonts w:ascii="Times New Roman" w:eastAsia="標楷體" w:hAnsi="Times New Roman" w:cs="新細明體"/>
                <w:kern w:val="0"/>
                <w:szCs w:val="24"/>
              </w:rPr>
              <w:t xml:space="preserve"> 3.0 g/dL</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9B54F3"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bl>
    <w:p w14:paraId="3F422406" w14:textId="77777777" w:rsidR="00BD776B" w:rsidRDefault="00BD776B">
      <w:pPr>
        <w:pageBreakBefore/>
      </w:pPr>
    </w:p>
    <w:tbl>
      <w:tblPr>
        <w:tblW w:w="10199" w:type="dxa"/>
        <w:jc w:val="center"/>
        <w:tblCellMar>
          <w:left w:w="10" w:type="dxa"/>
          <w:right w:w="10" w:type="dxa"/>
        </w:tblCellMar>
        <w:tblLook w:val="0000" w:firstRow="0" w:lastRow="0" w:firstColumn="0" w:lastColumn="0" w:noHBand="0" w:noVBand="0"/>
      </w:tblPr>
      <w:tblGrid>
        <w:gridCol w:w="2953"/>
        <w:gridCol w:w="2953"/>
        <w:gridCol w:w="2953"/>
        <w:gridCol w:w="1340"/>
      </w:tblGrid>
      <w:tr w:rsidR="00BD776B" w14:paraId="5587500E" w14:textId="77777777">
        <w:trPr>
          <w:trHeight w:val="496"/>
          <w:jc w:val="center"/>
        </w:trPr>
        <w:tc>
          <w:tcPr>
            <w:tcW w:w="10199"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676CD72A" w14:textId="77777777" w:rsidR="00BD776B" w:rsidRDefault="00DF0C24">
            <w:pPr>
              <w:widowControl/>
              <w:jc w:val="center"/>
            </w:pPr>
            <w:r>
              <w:rPr>
                <w:rFonts w:ascii="Times New Roman" w:eastAsia="標楷體" w:hAnsi="Times New Roman" w:cs="新細明體"/>
                <w:b/>
                <w:bCs/>
                <w:kern w:val="0"/>
                <w:szCs w:val="24"/>
              </w:rPr>
              <w:t>Examination</w:t>
            </w:r>
            <w:r>
              <w:rPr>
                <w:rFonts w:ascii="Times New Roman" w:eastAsia="標楷體" w:hAnsi="Times New Roman" w:cs="新細明體"/>
                <w:b/>
                <w:bCs/>
                <w:kern w:val="0"/>
                <w:szCs w:val="24"/>
              </w:rPr>
              <w:t>檢查</w:t>
            </w:r>
          </w:p>
        </w:tc>
      </w:tr>
      <w:tr w:rsidR="00BD776B" w14:paraId="6AFEBF46" w14:textId="77777777">
        <w:trPr>
          <w:trHeight w:val="496"/>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171535"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Weight</w:t>
            </w:r>
            <w:r>
              <w:rPr>
                <w:rFonts w:ascii="Times New Roman" w:eastAsia="標楷體" w:hAnsi="Times New Roman" w:cs="新細明體"/>
                <w:b/>
                <w:bCs/>
                <w:kern w:val="0"/>
                <w:szCs w:val="24"/>
              </w:rPr>
              <w:t>體重</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7957036"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5F18D1C7" w14:textId="77777777">
        <w:trPr>
          <w:trHeight w:val="1087"/>
          <w:jc w:val="center"/>
        </w:trPr>
        <w:tc>
          <w:tcPr>
            <w:tcW w:w="2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FCE3B4"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0 = Weight gain or voluntary weight stable/loss </w:t>
            </w:r>
          </w:p>
          <w:p w14:paraId="05B8533A"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體重增加，</w:t>
            </w:r>
          </w:p>
          <w:p w14:paraId="0B5D7B97"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或刻意維持的體重</w:t>
            </w:r>
            <w:r>
              <w:rPr>
                <w:rFonts w:ascii="Times New Roman" w:eastAsia="標楷體" w:hAnsi="Times New Roman" w:cs="新細明體"/>
                <w:kern w:val="0"/>
                <w:szCs w:val="24"/>
              </w:rPr>
              <w:t>/</w:t>
            </w:r>
            <w:r>
              <w:rPr>
                <w:rFonts w:ascii="Times New Roman" w:eastAsia="標楷體" w:hAnsi="Times New Roman" w:cs="新細明體"/>
                <w:kern w:val="0"/>
                <w:szCs w:val="24"/>
              </w:rPr>
              <w:t>刻意減重</w:t>
            </w:r>
            <w:r>
              <w:rPr>
                <w:rFonts w:ascii="Times New Roman" w:eastAsia="標楷體" w:hAnsi="Times New Roman" w:cs="新細明體"/>
                <w:kern w:val="0"/>
                <w:szCs w:val="24"/>
              </w:rPr>
              <w:t xml:space="preserve"> </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5B0715"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5 = Involuntary weight stable, weight loss 1%-9% </w:t>
            </w:r>
          </w:p>
          <w:p w14:paraId="6B2B5F15"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非刻意維持的體重，體重降低</w:t>
            </w:r>
            <w:r>
              <w:rPr>
                <w:rFonts w:ascii="Times New Roman" w:eastAsia="標楷體" w:hAnsi="Times New Roman" w:cs="新細明體"/>
                <w:kern w:val="0"/>
                <w:szCs w:val="24"/>
              </w:rPr>
              <w:t>1%-9%</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EB9A24" w14:textId="77777777" w:rsidR="00BD776B" w:rsidRDefault="00DF0C24">
            <w:pPr>
              <w:widowControl/>
              <w:jc w:val="center"/>
            </w:pPr>
            <w:r>
              <w:rPr>
                <w:rFonts w:ascii="Times New Roman" w:eastAsia="標楷體" w:hAnsi="Times New Roman" w:cs="新細明體"/>
                <w:kern w:val="0"/>
                <w:szCs w:val="24"/>
              </w:rPr>
              <w:t xml:space="preserve">10 = Weight loss </w:t>
            </w:r>
            <w:r>
              <w:rPr>
                <w:rFonts w:ascii="Times New Roman" w:eastAsia="標楷體" w:hAnsi="Times New Roman"/>
                <w:kern w:val="0"/>
                <w:szCs w:val="24"/>
              </w:rPr>
              <w:t>≥</w:t>
            </w:r>
            <w:r>
              <w:rPr>
                <w:rFonts w:ascii="Times New Roman" w:eastAsia="標楷體" w:hAnsi="Times New Roman" w:cs="新細明體"/>
                <w:kern w:val="0"/>
                <w:szCs w:val="24"/>
              </w:rPr>
              <w:t xml:space="preserve"> 10%</w:t>
            </w:r>
          </w:p>
          <w:p w14:paraId="5E855E79"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體重降低</w:t>
            </w:r>
            <w:r>
              <w:rPr>
                <w:rFonts w:ascii="Times New Roman" w:eastAsia="標楷體" w:hAnsi="Times New Roman" w:cs="新細明體"/>
                <w:kern w:val="0"/>
                <w:szCs w:val="24"/>
              </w:rPr>
              <w:t>10%</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D862A7D"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12D0910D" w14:textId="77777777">
        <w:trPr>
          <w:trHeight w:val="496"/>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34AD5D"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Height at Diagnosis</w:t>
            </w:r>
            <w:r>
              <w:rPr>
                <w:rFonts w:ascii="Times New Roman" w:eastAsia="標楷體" w:hAnsi="Times New Roman" w:cs="新細明體"/>
                <w:b/>
                <w:bCs/>
                <w:kern w:val="0"/>
                <w:szCs w:val="24"/>
              </w:rPr>
              <w:t>診斷時身高</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DEB9C1B"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5280F2A3" w14:textId="77777777">
        <w:trPr>
          <w:trHeight w:val="715"/>
          <w:jc w:val="center"/>
        </w:trPr>
        <w:tc>
          <w:tcPr>
            <w:tcW w:w="2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596002"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0 = &lt; 1 channel decrease </w:t>
            </w:r>
          </w:p>
          <w:p w14:paraId="0DC52716"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&lt; 1 </w:t>
            </w:r>
            <w:r>
              <w:rPr>
                <w:rFonts w:ascii="Times New Roman" w:eastAsia="標楷體" w:hAnsi="Times New Roman" w:cs="新細明體"/>
                <w:kern w:val="0"/>
                <w:szCs w:val="24"/>
              </w:rPr>
              <w:t>間距</w:t>
            </w:r>
            <w:r>
              <w:rPr>
                <w:rFonts w:ascii="Times New Roman" w:eastAsia="標楷體" w:hAnsi="Times New Roman" w:cs="新細明體"/>
                <w:kern w:val="0"/>
                <w:szCs w:val="24"/>
              </w:rPr>
              <w:t>( channel)</w:t>
            </w:r>
            <w:r>
              <w:rPr>
                <w:rFonts w:ascii="Times New Roman" w:eastAsia="標楷體" w:hAnsi="Times New Roman" w:cs="新細明體"/>
                <w:kern w:val="0"/>
                <w:szCs w:val="24"/>
              </w:rPr>
              <w:t>減少</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94238" w14:textId="77777777" w:rsidR="00BD776B" w:rsidRDefault="00DF0C24">
            <w:pPr>
              <w:widowControl/>
              <w:jc w:val="center"/>
            </w:pPr>
            <w:r>
              <w:rPr>
                <w:rFonts w:ascii="Times New Roman" w:eastAsia="標楷體" w:hAnsi="Times New Roman" w:cs="新細明體"/>
                <w:kern w:val="0"/>
                <w:szCs w:val="24"/>
              </w:rPr>
              <w:t xml:space="preserve">5 = </w:t>
            </w:r>
            <w:r>
              <w:rPr>
                <w:rFonts w:ascii="Times New Roman" w:eastAsia="標楷體" w:hAnsi="Times New Roman"/>
                <w:kern w:val="0"/>
                <w:szCs w:val="24"/>
              </w:rPr>
              <w:t>≥</w:t>
            </w:r>
            <w:r>
              <w:rPr>
                <w:rFonts w:ascii="Times New Roman" w:eastAsia="標楷體" w:hAnsi="Times New Roman" w:cs="新細明體"/>
                <w:kern w:val="0"/>
                <w:szCs w:val="24"/>
              </w:rPr>
              <w:t xml:space="preserve"> 1, &lt; 2 channel decrease &lt; 2</w:t>
            </w:r>
            <w:r>
              <w:rPr>
                <w:rFonts w:ascii="Times New Roman" w:eastAsia="標楷體" w:hAnsi="Times New Roman" w:cs="新細明體"/>
                <w:kern w:val="0"/>
                <w:szCs w:val="24"/>
              </w:rPr>
              <w:t>間距</w:t>
            </w:r>
            <w:r>
              <w:rPr>
                <w:rFonts w:ascii="Times New Roman" w:eastAsia="標楷體" w:hAnsi="Times New Roman" w:cs="新細明體"/>
                <w:kern w:val="0"/>
                <w:szCs w:val="24"/>
              </w:rPr>
              <w:t>( channel)</w:t>
            </w:r>
            <w:r>
              <w:rPr>
                <w:rFonts w:ascii="Times New Roman" w:eastAsia="標楷體" w:hAnsi="Times New Roman" w:cs="新細明體"/>
                <w:kern w:val="0"/>
                <w:szCs w:val="24"/>
              </w:rPr>
              <w:t>減少</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EE4645"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10 = &gt; 2 channel decrease  </w:t>
            </w:r>
          </w:p>
          <w:p w14:paraId="550A9C6F"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&gt;2</w:t>
            </w:r>
            <w:r>
              <w:rPr>
                <w:rFonts w:ascii="Times New Roman" w:eastAsia="標楷體" w:hAnsi="Times New Roman" w:cs="新細明體"/>
                <w:kern w:val="0"/>
                <w:szCs w:val="24"/>
              </w:rPr>
              <w:t>間距</w:t>
            </w:r>
            <w:r>
              <w:rPr>
                <w:rFonts w:ascii="Times New Roman" w:eastAsia="標楷體" w:hAnsi="Times New Roman" w:cs="新細明體"/>
                <w:kern w:val="0"/>
                <w:szCs w:val="24"/>
              </w:rPr>
              <w:t>( channel)</w:t>
            </w:r>
            <w:r>
              <w:rPr>
                <w:rFonts w:ascii="Times New Roman" w:eastAsia="標楷體" w:hAnsi="Times New Roman" w:cs="新細明體"/>
                <w:kern w:val="0"/>
                <w:szCs w:val="24"/>
              </w:rPr>
              <w:t>減少</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3202039"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7964D1DF" w14:textId="77777777">
        <w:trPr>
          <w:trHeight w:val="496"/>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E93F71"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Height at Follow-Up </w:t>
            </w:r>
            <w:r>
              <w:rPr>
                <w:rFonts w:ascii="Times New Roman" w:eastAsia="標楷體" w:hAnsi="Times New Roman" w:cs="新細明體"/>
                <w:b/>
                <w:bCs/>
                <w:kern w:val="0"/>
                <w:szCs w:val="24"/>
              </w:rPr>
              <w:t>追蹤時身高</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A339EEE"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2DAE54A1" w14:textId="77777777">
        <w:trPr>
          <w:trHeight w:val="1043"/>
          <w:jc w:val="center"/>
        </w:trPr>
        <w:tc>
          <w:tcPr>
            <w:tcW w:w="2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D447CE" w14:textId="77777777" w:rsidR="00BD776B" w:rsidRDefault="00DF0C24">
            <w:pPr>
              <w:widowControl/>
              <w:jc w:val="center"/>
            </w:pPr>
            <w:r>
              <w:rPr>
                <w:rFonts w:ascii="Times New Roman" w:eastAsia="標楷體" w:hAnsi="Times New Roman" w:cs="新細明體"/>
                <w:kern w:val="0"/>
                <w:szCs w:val="24"/>
              </w:rPr>
              <w:t xml:space="preserve">0 = Height velocity </w:t>
            </w:r>
            <w:r>
              <w:rPr>
                <w:rFonts w:ascii="Times New Roman" w:eastAsia="標楷體" w:hAnsi="Times New Roman"/>
                <w:kern w:val="0"/>
                <w:szCs w:val="24"/>
              </w:rPr>
              <w:t>≥</w:t>
            </w:r>
            <w:r>
              <w:rPr>
                <w:rFonts w:ascii="Times New Roman" w:eastAsia="標楷體" w:hAnsi="Times New Roman" w:cs="新細明體"/>
                <w:kern w:val="0"/>
                <w:szCs w:val="24"/>
              </w:rPr>
              <w:t xml:space="preserve"> -1 SD </w:t>
            </w:r>
          </w:p>
          <w:p w14:paraId="09D383FA" w14:textId="77777777" w:rsidR="00BD776B" w:rsidRDefault="00DF0C24">
            <w:pPr>
              <w:widowControl/>
              <w:jc w:val="center"/>
            </w:pPr>
            <w:r>
              <w:rPr>
                <w:rFonts w:ascii="Times New Roman" w:eastAsia="標楷體" w:hAnsi="Times New Roman" w:cs="新細明體"/>
                <w:kern w:val="0"/>
                <w:szCs w:val="24"/>
              </w:rPr>
              <w:t>身高生長速度</w:t>
            </w:r>
            <w:r>
              <w:rPr>
                <w:rFonts w:ascii="Times New Roman" w:eastAsia="標楷體" w:hAnsi="Times New Roman" w:cs="新細明體"/>
                <w:kern w:val="0"/>
                <w:szCs w:val="24"/>
              </w:rPr>
              <w:t xml:space="preserve"> </w:t>
            </w:r>
            <w:r>
              <w:rPr>
                <w:rFonts w:ascii="Times New Roman" w:eastAsia="標楷體" w:hAnsi="Times New Roman"/>
                <w:kern w:val="0"/>
                <w:szCs w:val="24"/>
              </w:rPr>
              <w:t>≥</w:t>
            </w:r>
            <w:r>
              <w:rPr>
                <w:rFonts w:ascii="Times New Roman" w:eastAsia="標楷體" w:hAnsi="Times New Roman" w:cs="新細明體"/>
                <w:kern w:val="0"/>
                <w:szCs w:val="24"/>
              </w:rPr>
              <w:t xml:space="preserve"> -1 </w:t>
            </w:r>
            <w:r>
              <w:rPr>
                <w:rFonts w:ascii="Times New Roman" w:eastAsia="標楷體" w:hAnsi="Times New Roman" w:cs="新細明體"/>
                <w:kern w:val="0"/>
                <w:szCs w:val="24"/>
              </w:rPr>
              <w:t>個標準差</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7AD501"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5 = Height velocity &lt; -1 SD, &gt; -2 SD   </w:t>
            </w:r>
          </w:p>
          <w:p w14:paraId="0D4A5046"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身高生長速度介於</w:t>
            </w:r>
            <w:r>
              <w:rPr>
                <w:rFonts w:ascii="Times New Roman" w:eastAsia="標楷體" w:hAnsi="Times New Roman" w:cs="新細明體"/>
                <w:kern w:val="0"/>
                <w:szCs w:val="24"/>
              </w:rPr>
              <w:t xml:space="preserve">-1~ -2 </w:t>
            </w:r>
            <w:r>
              <w:rPr>
                <w:rFonts w:ascii="Times New Roman" w:eastAsia="標楷體" w:hAnsi="Times New Roman" w:cs="新細明體"/>
                <w:kern w:val="0"/>
                <w:szCs w:val="24"/>
              </w:rPr>
              <w:t>個標準差</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F636C9" w14:textId="77777777" w:rsidR="00BD776B" w:rsidRDefault="00DF0C24">
            <w:pPr>
              <w:widowControl/>
              <w:jc w:val="center"/>
            </w:pPr>
            <w:r>
              <w:rPr>
                <w:rFonts w:ascii="Times New Roman" w:eastAsia="標楷體" w:hAnsi="Times New Roman" w:cs="新細明體"/>
                <w:kern w:val="0"/>
                <w:szCs w:val="24"/>
              </w:rPr>
              <w:t xml:space="preserve">10 = Height velocity </w:t>
            </w:r>
            <w:r>
              <w:rPr>
                <w:rFonts w:ascii="Times New Roman" w:eastAsia="標楷體" w:hAnsi="Times New Roman"/>
                <w:kern w:val="0"/>
                <w:szCs w:val="24"/>
              </w:rPr>
              <w:t>≤</w:t>
            </w:r>
            <w:r>
              <w:rPr>
                <w:rFonts w:ascii="Times New Roman" w:eastAsia="標楷體" w:hAnsi="Times New Roman" w:cs="新細明體"/>
                <w:kern w:val="0"/>
                <w:szCs w:val="24"/>
              </w:rPr>
              <w:t xml:space="preserve"> -2 SD  </w:t>
            </w:r>
          </w:p>
          <w:p w14:paraId="5EA0C769" w14:textId="77777777" w:rsidR="00BD776B" w:rsidRDefault="00DF0C24">
            <w:pPr>
              <w:widowControl/>
              <w:jc w:val="center"/>
            </w:pPr>
            <w:r>
              <w:rPr>
                <w:rFonts w:ascii="Times New Roman" w:eastAsia="標楷體" w:hAnsi="Times New Roman" w:cs="新細明體"/>
                <w:kern w:val="0"/>
                <w:szCs w:val="24"/>
              </w:rPr>
              <w:t>身高生長速度</w:t>
            </w:r>
            <w:r>
              <w:rPr>
                <w:rFonts w:ascii="Times New Roman" w:eastAsia="標楷體" w:hAnsi="Times New Roman"/>
                <w:kern w:val="0"/>
                <w:szCs w:val="24"/>
              </w:rPr>
              <w:t>≤</w:t>
            </w:r>
            <w:r>
              <w:rPr>
                <w:rFonts w:ascii="Times New Roman" w:eastAsia="標楷體" w:hAnsi="Times New Roman" w:cs="新細明體"/>
                <w:kern w:val="0"/>
                <w:szCs w:val="24"/>
              </w:rPr>
              <w:t xml:space="preserve"> -2</w:t>
            </w:r>
            <w:r>
              <w:rPr>
                <w:rFonts w:ascii="Times New Roman" w:eastAsia="標楷體" w:hAnsi="Times New Roman" w:cs="新細明體"/>
                <w:kern w:val="0"/>
                <w:szCs w:val="24"/>
              </w:rPr>
              <w:t>個標準差</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90EF3DD"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15D3616C" w14:textId="77777777">
        <w:trPr>
          <w:trHeight w:val="496"/>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F17B2F"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Abdomen</w:t>
            </w:r>
            <w:r>
              <w:rPr>
                <w:rFonts w:ascii="Times New Roman" w:eastAsia="標楷體" w:hAnsi="Times New Roman" w:cs="新細明體"/>
                <w:b/>
                <w:bCs/>
                <w:kern w:val="0"/>
                <w:szCs w:val="24"/>
              </w:rPr>
              <w:t>腹部</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20F739F"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68598D3B" w14:textId="77777777">
        <w:trPr>
          <w:trHeight w:val="1490"/>
          <w:jc w:val="center"/>
        </w:trPr>
        <w:tc>
          <w:tcPr>
            <w:tcW w:w="2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4D2AB9"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0 = No tenderness, no mass </w:t>
            </w:r>
          </w:p>
          <w:p w14:paraId="506CE7C7"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沒有壓痛、沒有腫塊</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049EB2"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5 = Tenderness or mass without tenderness </w:t>
            </w:r>
          </w:p>
          <w:p w14:paraId="354917F6"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有壓痛，或有不痛的腫塊</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29179A"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10 = Tenderness, involuntary guarding, definite mass</w:t>
            </w:r>
          </w:p>
          <w:p w14:paraId="537B439D"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有壓痛，觸診時不自主的防衛，有明顯的腫塊</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ADDC19E"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2DFFEA8B" w14:textId="77777777">
        <w:trPr>
          <w:trHeight w:val="496"/>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8C1189"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Perirectal Disease</w:t>
            </w:r>
            <w:r>
              <w:rPr>
                <w:rFonts w:ascii="Times New Roman" w:eastAsia="標楷體" w:hAnsi="Times New Roman" w:cs="新細明體"/>
                <w:b/>
                <w:bCs/>
                <w:kern w:val="0"/>
                <w:szCs w:val="24"/>
              </w:rPr>
              <w:t>直腸周邊的疾病</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E898D55"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349645DA" w14:textId="77777777">
        <w:trPr>
          <w:trHeight w:val="1281"/>
          <w:jc w:val="center"/>
        </w:trPr>
        <w:tc>
          <w:tcPr>
            <w:tcW w:w="2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D5A94B" w14:textId="77777777" w:rsidR="00BD776B" w:rsidRDefault="00DF0C24">
            <w:pPr>
              <w:widowControl/>
              <w:jc w:val="center"/>
            </w:pPr>
            <w:r>
              <w:rPr>
                <w:rFonts w:ascii="Times New Roman" w:eastAsia="標楷體" w:hAnsi="Times New Roman" w:cs="新細明體"/>
                <w:kern w:val="0"/>
                <w:szCs w:val="24"/>
              </w:rPr>
              <w:t xml:space="preserve">0 = None, asymptomatic tags </w:t>
            </w:r>
            <w:r>
              <w:rPr>
                <w:rFonts w:ascii="Times New Roman" w:eastAsia="標楷體" w:hAnsi="Times New Roman" w:cs="新細明體"/>
                <w:kern w:val="0"/>
                <w:szCs w:val="24"/>
              </w:rPr>
              <w:t>沒有，無症狀的</w:t>
            </w:r>
            <w:r>
              <w:rPr>
                <w:rFonts w:ascii="Times New Roman" w:eastAsia="標楷體" w:hAnsi="Times New Roman" w:cs="Arial"/>
                <w:szCs w:val="24"/>
                <w:shd w:val="clear" w:color="auto" w:fill="FFFFFF"/>
              </w:rPr>
              <w:t>贅瘤</w:t>
            </w:r>
            <w:r>
              <w:rPr>
                <w:rFonts w:ascii="Times New Roman" w:eastAsia="標楷體" w:hAnsi="Times New Roman" w:cs="Arial"/>
                <w:szCs w:val="24"/>
                <w:shd w:val="clear" w:color="auto" w:fill="FFFFFF"/>
              </w:rPr>
              <w:t>(</w:t>
            </w:r>
            <w:r>
              <w:rPr>
                <w:rFonts w:ascii="Times New Roman" w:eastAsia="標楷體" w:hAnsi="Times New Roman" w:cs="Arial"/>
                <w:szCs w:val="24"/>
                <w:shd w:val="clear" w:color="auto" w:fill="FFFFFF"/>
              </w:rPr>
              <w:t>表皮小肉球</w:t>
            </w:r>
            <w:r>
              <w:rPr>
                <w:rFonts w:ascii="Times New Roman" w:eastAsia="標楷體" w:hAnsi="Times New Roman" w:cs="Arial"/>
                <w:szCs w:val="24"/>
                <w:shd w:val="clear" w:color="auto" w:fill="FFFFFF"/>
              </w:rPr>
              <w:t>)</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CC7113" w14:textId="77777777" w:rsidR="00BD776B" w:rsidRDefault="00DF0C24">
            <w:pPr>
              <w:widowControl/>
              <w:jc w:val="center"/>
              <w:rPr>
                <w:rFonts w:ascii="Times New Roman" w:eastAsia="標楷體" w:hAnsi="Times New Roman" w:cs="新細明體"/>
                <w:kern w:val="0"/>
                <w:szCs w:val="24"/>
                <w:lang w:val="it-IT"/>
              </w:rPr>
            </w:pPr>
            <w:r>
              <w:rPr>
                <w:rFonts w:ascii="Times New Roman" w:eastAsia="標楷體" w:hAnsi="Times New Roman" w:cs="新細明體"/>
                <w:kern w:val="0"/>
                <w:szCs w:val="24"/>
                <w:lang w:val="it-IT"/>
              </w:rPr>
              <w:t xml:space="preserve">5 = 1-2 indolent fistula, scant drainage, no tenderness </w:t>
            </w:r>
          </w:p>
          <w:p w14:paraId="761A9CAC"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1-2 </w:t>
            </w:r>
            <w:r>
              <w:rPr>
                <w:rFonts w:ascii="Times New Roman" w:eastAsia="標楷體" w:hAnsi="Times New Roman" w:cs="新細明體"/>
                <w:kern w:val="0"/>
                <w:szCs w:val="24"/>
              </w:rPr>
              <w:t>個不痛的廔管，少量流出分泌物，</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沒有壓痛</w:t>
            </w:r>
          </w:p>
        </w:tc>
        <w:tc>
          <w:tcPr>
            <w:tcW w:w="295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F96A38"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 xml:space="preserve">10 = Active fistula, drainage, tenderness, or abscess </w:t>
            </w:r>
          </w:p>
          <w:p w14:paraId="7C6CCA5F"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活動性廔管，有流出分泌物，有壓痛或是膿瘡</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49C8B3B"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68A58141" w14:textId="77777777">
        <w:trPr>
          <w:trHeight w:val="496"/>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0299EF" w14:textId="77777777" w:rsidR="00BD776B" w:rsidRDefault="00DF0C24">
            <w:pPr>
              <w:widowControl/>
              <w:jc w:val="center"/>
              <w:rPr>
                <w:rFonts w:ascii="Times New Roman" w:eastAsia="標楷體" w:hAnsi="Times New Roman" w:cs="新細明體"/>
                <w:b/>
                <w:bCs/>
                <w:kern w:val="0"/>
                <w:szCs w:val="24"/>
              </w:rPr>
            </w:pPr>
            <w:r>
              <w:rPr>
                <w:rFonts w:ascii="Times New Roman" w:eastAsia="標楷體" w:hAnsi="Times New Roman" w:cs="新細明體"/>
                <w:b/>
                <w:bCs/>
                <w:kern w:val="0"/>
                <w:szCs w:val="24"/>
              </w:rPr>
              <w:t>Extraintestinal Manifestations</w:t>
            </w:r>
            <w:r>
              <w:rPr>
                <w:rFonts w:ascii="Times New Roman" w:eastAsia="標楷體" w:hAnsi="Times New Roman" w:cs="新細明體"/>
                <w:b/>
                <w:bCs/>
                <w:kern w:val="0"/>
                <w:szCs w:val="24"/>
              </w:rPr>
              <w:t>腸道外症狀</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2D82237"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Score</w:t>
            </w:r>
            <w:r>
              <w:rPr>
                <w:rFonts w:ascii="Times New Roman" w:eastAsia="標楷體" w:hAnsi="Times New Roman" w:cs="新細明體"/>
                <w:b/>
                <w:bCs/>
                <w:kern w:val="0"/>
                <w:szCs w:val="24"/>
              </w:rPr>
              <w:t>分數</w:t>
            </w:r>
          </w:p>
        </w:tc>
      </w:tr>
      <w:tr w:rsidR="00BD776B" w14:paraId="4C2B575C" w14:textId="77777777">
        <w:trPr>
          <w:trHeight w:val="1073"/>
          <w:jc w:val="center"/>
        </w:trPr>
        <w:tc>
          <w:tcPr>
            <w:tcW w:w="88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5C7C65" w14:textId="77777777" w:rsidR="00BD776B" w:rsidRDefault="00DF0C24">
            <w:pPr>
              <w:widowControl/>
              <w:jc w:val="center"/>
            </w:pPr>
            <w:r>
              <w:rPr>
                <w:rFonts w:ascii="Times New Roman" w:eastAsia="標楷體" w:hAnsi="Times New Roman" w:cs="新細明體"/>
                <w:kern w:val="0"/>
                <w:szCs w:val="24"/>
              </w:rPr>
              <w:t xml:space="preserve">(Fever </w:t>
            </w:r>
            <w:r>
              <w:rPr>
                <w:rFonts w:ascii="Times New Roman" w:eastAsia="標楷體" w:hAnsi="Times New Roman"/>
                <w:kern w:val="0"/>
                <w:szCs w:val="24"/>
              </w:rPr>
              <w:t>≥</w:t>
            </w:r>
            <w:r>
              <w:rPr>
                <w:rFonts w:ascii="Times New Roman" w:eastAsia="標楷體" w:hAnsi="Times New Roman" w:cs="新細明體"/>
                <w:kern w:val="0"/>
                <w:szCs w:val="24"/>
              </w:rPr>
              <w:t xml:space="preserve"> 38.5°C for 3 days over past week, definite arthritis, uveitis, E. nodosum, P. gangrenosum)</w:t>
            </w:r>
          </w:p>
          <w:p w14:paraId="671D0A1A" w14:textId="77777777" w:rsidR="00BD776B" w:rsidRDefault="00DF0C24">
            <w:pPr>
              <w:widowControl/>
              <w:jc w:val="center"/>
            </w:pPr>
            <w:r>
              <w:rPr>
                <w:rFonts w:ascii="Times New Roman" w:eastAsia="標楷體" w:hAnsi="Times New Roman" w:cs="新細明體"/>
                <w:kern w:val="0"/>
                <w:szCs w:val="24"/>
              </w:rPr>
              <w:t>(</w:t>
            </w:r>
            <w:r>
              <w:rPr>
                <w:rFonts w:ascii="Times New Roman" w:eastAsia="標楷體" w:hAnsi="Times New Roman" w:cs="新細明體"/>
                <w:kern w:val="0"/>
                <w:szCs w:val="24"/>
              </w:rPr>
              <w:t>在過去一周發燒</w:t>
            </w:r>
            <w:r>
              <w:rPr>
                <w:rFonts w:ascii="Times New Roman" w:eastAsia="標楷體" w:hAnsi="Times New Roman"/>
                <w:kern w:val="0"/>
                <w:szCs w:val="24"/>
              </w:rPr>
              <w:t>≥</w:t>
            </w:r>
            <w:r>
              <w:rPr>
                <w:rFonts w:ascii="Times New Roman" w:eastAsia="標楷體" w:hAnsi="Times New Roman" w:cs="新細明體"/>
                <w:kern w:val="0"/>
                <w:szCs w:val="24"/>
              </w:rPr>
              <w:t xml:space="preserve"> 38.5°C</w:t>
            </w:r>
            <w:r>
              <w:rPr>
                <w:rFonts w:ascii="Times New Roman" w:eastAsia="標楷體" w:hAnsi="Times New Roman" w:cs="新細明體"/>
                <w:kern w:val="0"/>
                <w:szCs w:val="24"/>
              </w:rPr>
              <w:t>至少</w:t>
            </w:r>
            <w:r>
              <w:rPr>
                <w:rFonts w:ascii="Times New Roman" w:eastAsia="標楷體" w:hAnsi="Times New Roman" w:cs="新細明體"/>
                <w:kern w:val="0"/>
                <w:szCs w:val="24"/>
              </w:rPr>
              <w:t>3</w:t>
            </w:r>
            <w:r>
              <w:rPr>
                <w:rFonts w:ascii="Times New Roman" w:eastAsia="標楷體" w:hAnsi="Times New Roman" w:cs="新細明體"/>
                <w:kern w:val="0"/>
                <w:szCs w:val="24"/>
              </w:rPr>
              <w:t>天，</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關節炎</w:t>
            </w:r>
            <w:r>
              <w:rPr>
                <w:rFonts w:ascii="Times New Roman" w:eastAsia="標楷體" w:hAnsi="Times New Roman" w:cs="新細明體"/>
                <w:kern w:val="0"/>
                <w:szCs w:val="24"/>
              </w:rPr>
              <w:t xml:space="preserve">, </w:t>
            </w:r>
            <w:r>
              <w:rPr>
                <w:rFonts w:ascii="Times New Roman" w:eastAsia="標楷體" w:hAnsi="Times New Roman" w:cs="新細明體"/>
                <w:kern w:val="0"/>
                <w:szCs w:val="24"/>
              </w:rPr>
              <w:t>虹彩炎，結節性紅斑</w:t>
            </w:r>
            <w:r>
              <w:rPr>
                <w:rFonts w:ascii="Times New Roman" w:eastAsia="標楷體" w:hAnsi="Times New Roman" w:cs="新細明體"/>
                <w:kern w:val="0"/>
                <w:szCs w:val="24"/>
              </w:rPr>
              <w:t>(Erythema nodosum)</w:t>
            </w:r>
            <w:r>
              <w:rPr>
                <w:rFonts w:ascii="Times New Roman" w:eastAsia="標楷體" w:hAnsi="Times New Roman" w:cs="新細明體"/>
                <w:kern w:val="0"/>
                <w:szCs w:val="24"/>
              </w:rPr>
              <w:t>，</w:t>
            </w:r>
            <w:r>
              <w:rPr>
                <w:rFonts w:ascii="Times New Roman" w:eastAsia="標楷體" w:hAnsi="Times New Roman" w:cs="Arial"/>
                <w:szCs w:val="24"/>
                <w:shd w:val="clear" w:color="auto" w:fill="FFFFFF"/>
              </w:rPr>
              <w:t>壞疽性膿皮症</w:t>
            </w:r>
            <w:r>
              <w:rPr>
                <w:rFonts w:ascii="Times New Roman" w:eastAsia="標楷體" w:hAnsi="Times New Roman" w:cs="Arial"/>
                <w:szCs w:val="24"/>
                <w:shd w:val="clear" w:color="auto" w:fill="FFFFFF"/>
              </w:rPr>
              <w:t>(pyoderma </w:t>
            </w:r>
            <w:r>
              <w:rPr>
                <w:rFonts w:ascii="Times New Roman" w:eastAsia="標楷體" w:hAnsi="Times New Roman" w:cs="Arial"/>
                <w:i/>
                <w:iCs/>
                <w:szCs w:val="24"/>
                <w:shd w:val="clear" w:color="auto" w:fill="FFFFFF"/>
              </w:rPr>
              <w:t>gangrenosum</w:t>
            </w:r>
            <w:r>
              <w:rPr>
                <w:rFonts w:ascii="Times New Roman" w:eastAsia="標楷體" w:hAnsi="Times New Roman" w:cs="Arial"/>
                <w:szCs w:val="24"/>
                <w:shd w:val="clear" w:color="auto" w:fill="FFFFFF"/>
              </w:rPr>
              <w:t>)</w:t>
            </w:r>
          </w:p>
        </w:tc>
        <w:tc>
          <w:tcPr>
            <w:tcW w:w="134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019785C"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793D07F2" w14:textId="77777777" w:rsidTr="00E61FF0">
        <w:trPr>
          <w:trHeight w:val="496"/>
          <w:jc w:val="center"/>
        </w:trPr>
        <w:tc>
          <w:tcPr>
            <w:tcW w:w="2953"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35C33A84"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0 = None</w:t>
            </w:r>
          </w:p>
        </w:tc>
        <w:tc>
          <w:tcPr>
            <w:tcW w:w="2953" w:type="dxa"/>
            <w:tcBorders>
              <w:top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1DA8A87B" w14:textId="77777777" w:rsidR="00BD776B" w:rsidRDefault="00DF0C24">
            <w:pPr>
              <w:widowControl/>
              <w:jc w:val="center"/>
              <w:rPr>
                <w:rFonts w:ascii="Times New Roman" w:eastAsia="標楷體" w:hAnsi="Times New Roman" w:cs="新細明體"/>
                <w:kern w:val="0"/>
                <w:szCs w:val="24"/>
              </w:rPr>
            </w:pPr>
            <w:r>
              <w:rPr>
                <w:rFonts w:ascii="Times New Roman" w:eastAsia="標楷體" w:hAnsi="Times New Roman" w:cs="新細明體"/>
                <w:kern w:val="0"/>
                <w:szCs w:val="24"/>
              </w:rPr>
              <w:t>5 = 1</w:t>
            </w:r>
          </w:p>
        </w:tc>
        <w:tc>
          <w:tcPr>
            <w:tcW w:w="2953" w:type="dxa"/>
            <w:tcBorders>
              <w:top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6A5437F2" w14:textId="77777777" w:rsidR="00BD776B" w:rsidRDefault="00DF0C24">
            <w:pPr>
              <w:widowControl/>
              <w:jc w:val="center"/>
            </w:pPr>
            <w:r>
              <w:rPr>
                <w:rFonts w:ascii="Times New Roman" w:eastAsia="標楷體" w:hAnsi="Times New Roman" w:cs="新細明體"/>
                <w:kern w:val="0"/>
                <w:szCs w:val="24"/>
              </w:rPr>
              <w:t xml:space="preserve">10 = </w:t>
            </w:r>
            <w:r>
              <w:rPr>
                <w:rFonts w:ascii="Times New Roman" w:eastAsia="標楷體" w:hAnsi="Times New Roman"/>
                <w:kern w:val="0"/>
                <w:szCs w:val="24"/>
              </w:rPr>
              <w:t>≥</w:t>
            </w:r>
            <w:r>
              <w:rPr>
                <w:rFonts w:ascii="Times New Roman" w:eastAsia="標楷體" w:hAnsi="Times New Roman" w:cs="新細明體"/>
                <w:kern w:val="0"/>
                <w:szCs w:val="24"/>
              </w:rPr>
              <w:t xml:space="preserve"> 2</w:t>
            </w:r>
          </w:p>
        </w:tc>
        <w:tc>
          <w:tcPr>
            <w:tcW w:w="1340" w:type="dxa"/>
            <w:tcBorders>
              <w:bottom w:val="single" w:sz="4" w:space="0" w:color="auto"/>
              <w:right w:val="single" w:sz="4" w:space="0" w:color="000000"/>
            </w:tcBorders>
            <w:shd w:val="clear" w:color="auto" w:fill="auto"/>
            <w:tcMar>
              <w:top w:w="0" w:type="dxa"/>
              <w:left w:w="28" w:type="dxa"/>
              <w:bottom w:w="0" w:type="dxa"/>
              <w:right w:w="28" w:type="dxa"/>
            </w:tcMar>
            <w:vAlign w:val="center"/>
          </w:tcPr>
          <w:p w14:paraId="3BF320C5"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r w:rsidR="00BD776B" w14:paraId="369B2FBF" w14:textId="77777777" w:rsidTr="00E61FF0">
        <w:trPr>
          <w:trHeight w:val="496"/>
          <w:jc w:val="center"/>
        </w:trPr>
        <w:tc>
          <w:tcPr>
            <w:tcW w:w="885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566BBB6" w14:textId="77777777" w:rsidR="00BD776B" w:rsidRDefault="00DF0C24">
            <w:pPr>
              <w:widowControl/>
              <w:jc w:val="right"/>
              <w:rPr>
                <w:rFonts w:ascii="Times New Roman" w:eastAsia="標楷體" w:hAnsi="Times New Roman" w:cs="新細明體"/>
                <w:b/>
                <w:bCs/>
                <w:kern w:val="0"/>
                <w:szCs w:val="24"/>
              </w:rPr>
            </w:pPr>
            <w:r>
              <w:rPr>
                <w:rFonts w:ascii="Times New Roman" w:eastAsia="標楷體" w:hAnsi="Times New Roman" w:cs="新細明體"/>
                <w:b/>
                <w:bCs/>
                <w:kern w:val="0"/>
                <w:szCs w:val="24"/>
              </w:rPr>
              <w:t>Total Score</w:t>
            </w:r>
            <w:r>
              <w:rPr>
                <w:rFonts w:ascii="Times New Roman" w:eastAsia="標楷體" w:hAnsi="Times New Roman" w:cs="新細明體"/>
                <w:b/>
                <w:bCs/>
                <w:kern w:val="0"/>
                <w:szCs w:val="24"/>
              </w:rPr>
              <w:t>總分</w:t>
            </w:r>
            <w:r>
              <w:rPr>
                <w:rFonts w:ascii="Times New Roman" w:eastAsia="標楷體" w:hAnsi="Times New Roman" w:cs="新細明體"/>
                <w:b/>
                <w:bCs/>
                <w:kern w:val="0"/>
                <w:szCs w:val="24"/>
              </w:rPr>
              <w:t>:</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13C0511" w14:textId="77777777" w:rsidR="00BD776B" w:rsidRDefault="00DF0C24">
            <w:pPr>
              <w:widowControl/>
              <w:rPr>
                <w:rFonts w:ascii="Times New Roman" w:eastAsia="標楷體" w:hAnsi="Times New Roman" w:cs="新細明體"/>
                <w:b/>
                <w:bCs/>
                <w:kern w:val="0"/>
                <w:szCs w:val="24"/>
              </w:rPr>
            </w:pPr>
            <w:r>
              <w:rPr>
                <w:rFonts w:ascii="Times New Roman" w:eastAsia="標楷體" w:hAnsi="Times New Roman" w:cs="新細明體"/>
                <w:b/>
                <w:bCs/>
                <w:kern w:val="0"/>
                <w:szCs w:val="24"/>
              </w:rPr>
              <w:t xml:space="preserve">　</w:t>
            </w:r>
          </w:p>
        </w:tc>
      </w:tr>
    </w:tbl>
    <w:p w14:paraId="3C786A7F" w14:textId="73D4B320" w:rsidR="00E61FF0" w:rsidRDefault="00E61FF0"/>
    <w:p w14:paraId="72920B02" w14:textId="05D567BF" w:rsidR="00E61FF0" w:rsidRDefault="00E61FF0">
      <w:pPr>
        <w:widowControl/>
        <w:suppressAutoHyphens w:val="0"/>
      </w:pPr>
      <w:r>
        <w:br w:type="page"/>
      </w:r>
    </w:p>
    <w:p w14:paraId="63C6DCC5" w14:textId="77777777" w:rsidR="00E61FF0" w:rsidRPr="00E61FF0" w:rsidRDefault="00E61FF0" w:rsidP="00E61FF0">
      <w:pPr>
        <w:widowControl/>
        <w:suppressAutoHyphens w:val="0"/>
        <w:autoSpaceDN/>
        <w:jc w:val="center"/>
        <w:textAlignment w:val="auto"/>
        <w:rPr>
          <w:rFonts w:ascii="標楷體" w:eastAsia="標楷體" w:hAnsi="標楷體"/>
          <w:kern w:val="2"/>
          <w:szCs w:val="24"/>
        </w:rPr>
      </w:pPr>
      <w:r w:rsidRPr="00E61FF0">
        <w:rPr>
          <w:rFonts w:ascii="標楷體" w:eastAsia="標楷體" w:hAnsi="標楷體"/>
          <w:kern w:val="2"/>
          <w:szCs w:val="24"/>
        </w:rPr>
        <w:lastRenderedPageBreak/>
        <w:t>附表二十六之五：全民健康保險潰瘍性結腸炎使用生物製劑申請表</w:t>
      </w:r>
    </w:p>
    <w:tbl>
      <w:tblPr>
        <w:tblW w:w="9923" w:type="dxa"/>
        <w:tblInd w:w="261" w:type="dxa"/>
        <w:tblLayout w:type="fixed"/>
        <w:tblCellMar>
          <w:left w:w="10" w:type="dxa"/>
          <w:right w:w="10" w:type="dxa"/>
        </w:tblCellMar>
        <w:tblLook w:val="0000" w:firstRow="0" w:lastRow="0" w:firstColumn="0" w:lastColumn="0" w:noHBand="0" w:noVBand="0"/>
      </w:tblPr>
      <w:tblGrid>
        <w:gridCol w:w="919"/>
        <w:gridCol w:w="700"/>
        <w:gridCol w:w="639"/>
        <w:gridCol w:w="908"/>
        <w:gridCol w:w="1408"/>
        <w:gridCol w:w="1601"/>
        <w:gridCol w:w="215"/>
        <w:gridCol w:w="982"/>
        <w:gridCol w:w="2551"/>
      </w:tblGrid>
      <w:tr w:rsidR="00E61FF0" w:rsidRPr="00E61FF0" w14:paraId="251D18BF" w14:textId="77777777" w:rsidTr="00640BF4">
        <w:trPr>
          <w:cantSplit/>
          <w:trHeight w:val="376"/>
        </w:trPr>
        <w:tc>
          <w:tcPr>
            <w:tcW w:w="1619" w:type="dxa"/>
            <w:gridSpan w:val="2"/>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F104B41" w14:textId="77777777" w:rsidR="00E61FF0" w:rsidRPr="00E61FF0" w:rsidRDefault="00E61FF0" w:rsidP="00E61FF0">
            <w:pPr>
              <w:suppressAutoHyphens w:val="0"/>
              <w:autoSpaceDN/>
              <w:snapToGrid w:val="0"/>
              <w:spacing w:line="380" w:lineRule="exact"/>
              <w:textAlignment w:val="auto"/>
              <w:rPr>
                <w:rFonts w:ascii="標楷體" w:eastAsia="標楷體" w:hAnsi="標楷體"/>
                <w:kern w:val="2"/>
                <w:szCs w:val="24"/>
              </w:rPr>
            </w:pPr>
            <w:r w:rsidRPr="00E61FF0">
              <w:rPr>
                <w:rFonts w:ascii="標楷體" w:eastAsia="標楷體" w:hAnsi="標楷體"/>
                <w:kern w:val="2"/>
                <w:sz w:val="28"/>
                <w:szCs w:val="28"/>
              </w:rPr>
              <w:br w:type="page"/>
            </w:r>
            <w:r w:rsidRPr="00E61FF0">
              <w:rPr>
                <w:rFonts w:ascii="標楷體" w:eastAsia="標楷體" w:hAnsi="標楷體"/>
                <w:kern w:val="2"/>
                <w:sz w:val="28"/>
                <w:szCs w:val="28"/>
              </w:rPr>
              <w:br w:type="page"/>
            </w:r>
            <w:r w:rsidRPr="00E61FF0">
              <w:rPr>
                <w:rFonts w:ascii="標楷體" w:eastAsia="標楷體" w:hAnsi="標楷體"/>
                <w:kern w:val="2"/>
                <w:sz w:val="28"/>
                <w:szCs w:val="28"/>
              </w:rPr>
              <w:br w:type="page"/>
            </w:r>
            <w:r w:rsidRPr="00E61FF0">
              <w:rPr>
                <w:rFonts w:ascii="標楷體" w:eastAsia="標楷體" w:hAnsi="標楷體"/>
                <w:kern w:val="2"/>
                <w:szCs w:val="24"/>
              </w:rPr>
              <w:t>醫院代號</w:t>
            </w:r>
          </w:p>
        </w:tc>
        <w:tc>
          <w:tcPr>
            <w:tcW w:w="1547"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23E6B7" w14:textId="77777777" w:rsidR="00E61FF0" w:rsidRPr="00E61FF0" w:rsidRDefault="00E61FF0" w:rsidP="00E61FF0">
            <w:pPr>
              <w:suppressAutoHyphens w:val="0"/>
              <w:autoSpaceDN/>
              <w:snapToGrid w:val="0"/>
              <w:spacing w:line="380" w:lineRule="exact"/>
              <w:textAlignment w:val="auto"/>
              <w:rPr>
                <w:rFonts w:ascii="標楷體" w:eastAsia="標楷體" w:hAnsi="標楷體"/>
                <w:kern w:val="2"/>
                <w:szCs w:val="24"/>
              </w:rPr>
            </w:pPr>
          </w:p>
        </w:tc>
        <w:tc>
          <w:tcPr>
            <w:tcW w:w="140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56B5BF" w14:textId="77777777" w:rsidR="00E61FF0" w:rsidRPr="00E61FF0" w:rsidRDefault="00E61FF0" w:rsidP="00E61FF0">
            <w:pPr>
              <w:suppressAutoHyphens w:val="0"/>
              <w:autoSpaceDN/>
              <w:snapToGrid w:val="0"/>
              <w:spacing w:line="380" w:lineRule="exact"/>
              <w:textAlignment w:val="auto"/>
              <w:rPr>
                <w:rFonts w:ascii="標楷體" w:eastAsia="標楷體" w:hAnsi="標楷體"/>
                <w:kern w:val="2"/>
                <w:szCs w:val="24"/>
              </w:rPr>
            </w:pPr>
            <w:r w:rsidRPr="00E61FF0">
              <w:rPr>
                <w:rFonts w:ascii="標楷體" w:eastAsia="標楷體" w:hAnsi="標楷體"/>
                <w:kern w:val="2"/>
                <w:szCs w:val="24"/>
              </w:rPr>
              <w:t>醫院名稱</w:t>
            </w:r>
          </w:p>
        </w:tc>
        <w:tc>
          <w:tcPr>
            <w:tcW w:w="16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875439" w14:textId="77777777" w:rsidR="00E61FF0" w:rsidRPr="00E61FF0" w:rsidRDefault="00E61FF0" w:rsidP="00E61FF0">
            <w:pPr>
              <w:suppressAutoHyphens w:val="0"/>
              <w:autoSpaceDN/>
              <w:snapToGrid w:val="0"/>
              <w:spacing w:line="380" w:lineRule="exact"/>
              <w:textAlignment w:val="auto"/>
              <w:rPr>
                <w:rFonts w:ascii="標楷體" w:eastAsia="標楷體" w:hAnsi="標楷體"/>
                <w:kern w:val="2"/>
                <w:szCs w:val="24"/>
              </w:rPr>
            </w:pPr>
          </w:p>
        </w:tc>
        <w:tc>
          <w:tcPr>
            <w:tcW w:w="1197"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EB70805" w14:textId="77777777" w:rsidR="00E61FF0" w:rsidRPr="00E61FF0" w:rsidRDefault="00E61FF0" w:rsidP="00E61FF0">
            <w:pPr>
              <w:suppressAutoHyphens w:val="0"/>
              <w:autoSpaceDN/>
              <w:snapToGrid w:val="0"/>
              <w:spacing w:line="380" w:lineRule="exact"/>
              <w:textAlignment w:val="auto"/>
              <w:rPr>
                <w:rFonts w:ascii="標楷體" w:eastAsia="標楷體" w:hAnsi="標楷體"/>
                <w:kern w:val="2"/>
                <w:szCs w:val="24"/>
              </w:rPr>
            </w:pPr>
            <w:r w:rsidRPr="00E61FF0">
              <w:rPr>
                <w:rFonts w:ascii="標楷體" w:eastAsia="標楷體" w:hAnsi="標楷體"/>
                <w:kern w:val="2"/>
                <w:szCs w:val="24"/>
              </w:rPr>
              <w:t>申請日期</w:t>
            </w:r>
          </w:p>
        </w:tc>
        <w:tc>
          <w:tcPr>
            <w:tcW w:w="2551"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EBB5E49" w14:textId="77777777" w:rsidR="00E61FF0" w:rsidRPr="00E61FF0" w:rsidRDefault="00E61FF0" w:rsidP="00E61FF0">
            <w:pPr>
              <w:suppressAutoHyphens w:val="0"/>
              <w:autoSpaceDN/>
              <w:snapToGrid w:val="0"/>
              <w:spacing w:line="380" w:lineRule="exact"/>
              <w:ind w:firstLineChars="200" w:firstLine="480"/>
              <w:textAlignment w:val="auto"/>
              <w:rPr>
                <w:rFonts w:ascii="標楷體" w:eastAsia="標楷體" w:hAnsi="標楷體"/>
                <w:kern w:val="2"/>
                <w:szCs w:val="24"/>
              </w:rPr>
            </w:pPr>
            <w:r w:rsidRPr="00E61FF0">
              <w:rPr>
                <w:rFonts w:ascii="標楷體" w:eastAsia="標楷體" w:hAnsi="標楷體"/>
                <w:kern w:val="2"/>
                <w:szCs w:val="24"/>
              </w:rPr>
              <w:t>年   月  日</w:t>
            </w:r>
          </w:p>
        </w:tc>
      </w:tr>
      <w:tr w:rsidR="00E61FF0" w:rsidRPr="00E61FF0" w14:paraId="3DA6DED1" w14:textId="77777777" w:rsidTr="00640BF4">
        <w:trPr>
          <w:cantSplit/>
          <w:trHeight w:val="332"/>
        </w:trPr>
        <w:tc>
          <w:tcPr>
            <w:tcW w:w="1619"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84B2589"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病人姓名</w:t>
            </w:r>
          </w:p>
        </w:tc>
        <w:tc>
          <w:tcPr>
            <w:tcW w:w="154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EBE3EB"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937E78"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性別</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667A219"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119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0C2977D"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出生日期</w:t>
            </w:r>
          </w:p>
        </w:tc>
        <w:tc>
          <w:tcPr>
            <w:tcW w:w="2551"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43A5A4C" w14:textId="77777777" w:rsidR="00E61FF0" w:rsidRPr="00E61FF0" w:rsidRDefault="00E61FF0" w:rsidP="00E61FF0">
            <w:pPr>
              <w:suppressAutoHyphens w:val="0"/>
              <w:autoSpaceDN/>
              <w:spacing w:line="380" w:lineRule="exact"/>
              <w:ind w:firstLineChars="200" w:firstLine="480"/>
              <w:textAlignment w:val="auto"/>
              <w:rPr>
                <w:rFonts w:ascii="標楷體" w:eastAsia="標楷體" w:hAnsi="標楷體"/>
                <w:kern w:val="2"/>
                <w:szCs w:val="24"/>
              </w:rPr>
            </w:pPr>
            <w:r w:rsidRPr="00E61FF0">
              <w:rPr>
                <w:rFonts w:ascii="標楷體" w:eastAsia="標楷體" w:hAnsi="標楷體"/>
                <w:kern w:val="2"/>
                <w:szCs w:val="24"/>
              </w:rPr>
              <w:t>年   月  日</w:t>
            </w:r>
          </w:p>
        </w:tc>
      </w:tr>
      <w:tr w:rsidR="00E61FF0" w:rsidRPr="00E61FF0" w14:paraId="796E59E8" w14:textId="77777777" w:rsidTr="00640BF4">
        <w:trPr>
          <w:cantSplit/>
          <w:trHeight w:val="356"/>
        </w:trPr>
        <w:tc>
          <w:tcPr>
            <w:tcW w:w="1619" w:type="dxa"/>
            <w:gridSpan w:val="2"/>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45BEBD29"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身分證號</w:t>
            </w:r>
          </w:p>
        </w:tc>
        <w:tc>
          <w:tcPr>
            <w:tcW w:w="154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6BA171"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91D33D5"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病歷號碼</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5A4CAB"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1197" w:type="dxa"/>
            <w:gridSpan w:val="2"/>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333C113E"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使用期間</w:t>
            </w:r>
          </w:p>
        </w:tc>
        <w:tc>
          <w:tcPr>
            <w:tcW w:w="2551"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26E3830"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自    年   月   日</w:t>
            </w:r>
          </w:p>
        </w:tc>
      </w:tr>
      <w:tr w:rsidR="00E61FF0" w:rsidRPr="00E61FF0" w14:paraId="732678A3" w14:textId="77777777" w:rsidTr="00640BF4">
        <w:trPr>
          <w:cantSplit/>
          <w:trHeight w:val="337"/>
        </w:trPr>
        <w:tc>
          <w:tcPr>
            <w:tcW w:w="1619" w:type="dxa"/>
            <w:gridSpan w:val="2"/>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197C1CA2"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藥品代碼</w:t>
            </w:r>
          </w:p>
        </w:tc>
        <w:tc>
          <w:tcPr>
            <w:tcW w:w="1547" w:type="dxa"/>
            <w:gridSpan w:val="2"/>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4963365D"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140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E295A82"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用法用量</w:t>
            </w:r>
          </w:p>
        </w:tc>
        <w:tc>
          <w:tcPr>
            <w:tcW w:w="16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13822D6F"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1197" w:type="dxa"/>
            <w:gridSpan w:val="2"/>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0415A6B6"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p>
        </w:tc>
        <w:tc>
          <w:tcPr>
            <w:tcW w:w="2551"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4DA94E1C" w14:textId="77777777" w:rsidR="00E61FF0" w:rsidRPr="00E61FF0" w:rsidRDefault="00E61FF0" w:rsidP="00E61FF0">
            <w:pPr>
              <w:suppressAutoHyphens w:val="0"/>
              <w:autoSpaceDN/>
              <w:spacing w:line="380" w:lineRule="exact"/>
              <w:textAlignment w:val="auto"/>
              <w:rPr>
                <w:rFonts w:ascii="標楷體" w:eastAsia="標楷體" w:hAnsi="標楷體"/>
                <w:kern w:val="2"/>
                <w:szCs w:val="24"/>
              </w:rPr>
            </w:pPr>
            <w:r w:rsidRPr="00E61FF0">
              <w:rPr>
                <w:rFonts w:ascii="標楷體" w:eastAsia="標楷體" w:hAnsi="標楷體"/>
                <w:kern w:val="2"/>
                <w:szCs w:val="24"/>
              </w:rPr>
              <w:t>至　年  月　日</w:t>
            </w:r>
          </w:p>
        </w:tc>
      </w:tr>
      <w:tr w:rsidR="00E61FF0" w:rsidRPr="00E61FF0" w14:paraId="6F0E8C8C" w14:textId="77777777" w:rsidTr="00640BF4">
        <w:trPr>
          <w:trHeight w:val="35"/>
        </w:trPr>
        <w:tc>
          <w:tcPr>
            <w:tcW w:w="9923" w:type="dxa"/>
            <w:gridSpan w:val="9"/>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25EEF7B5" w14:textId="77777777" w:rsidR="00E61FF0" w:rsidRPr="00E61FF0" w:rsidRDefault="00E61FF0" w:rsidP="00E61FF0">
            <w:pPr>
              <w:suppressAutoHyphens w:val="0"/>
              <w:autoSpaceDN/>
              <w:spacing w:before="202" w:line="400" w:lineRule="exact"/>
              <w:textAlignment w:val="auto"/>
              <w:rPr>
                <w:rFonts w:ascii="標楷體" w:eastAsia="標楷體" w:hAnsi="標楷體"/>
                <w:kern w:val="2"/>
                <w:szCs w:val="24"/>
              </w:rPr>
            </w:pPr>
            <w:r w:rsidRPr="00E61FF0">
              <w:rPr>
                <w:rFonts w:ascii="標楷體" w:eastAsia="標楷體" w:hAnsi="標楷體"/>
                <w:kern w:val="2"/>
                <w:sz w:val="28"/>
                <w:szCs w:val="28"/>
              </w:rPr>
              <w:br w:type="page"/>
            </w:r>
            <w:r w:rsidRPr="00E61FF0">
              <w:rPr>
                <w:rFonts w:ascii="Webdings" w:eastAsia="Webdings" w:hAnsi="Webdings" w:cs="Webdings"/>
                <w:kern w:val="2"/>
                <w:szCs w:val="24"/>
              </w:rPr>
              <w:t></w:t>
            </w:r>
            <w:r w:rsidRPr="00E61FF0">
              <w:rPr>
                <w:rFonts w:ascii="標楷體" w:eastAsia="標楷體" w:hAnsi="標楷體"/>
                <w:bCs/>
                <w:kern w:val="2"/>
                <w:szCs w:val="17"/>
              </w:rPr>
              <w:t>初次使用符合下列所有條件：(中度以上之潰瘍性結腸炎)</w:t>
            </w:r>
          </w:p>
          <w:p w14:paraId="5BA1A335" w14:textId="77777777" w:rsidR="00E61FF0" w:rsidRPr="00E61FF0" w:rsidRDefault="00E61FF0" w:rsidP="00E61FF0">
            <w:pPr>
              <w:suppressAutoHyphens w:val="0"/>
              <w:autoSpaceDN/>
              <w:spacing w:line="400" w:lineRule="exact"/>
              <w:ind w:left="653" w:hanging="283"/>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診斷為潰瘍性結腸炎且領有該症重大傷病卡。</w:t>
            </w:r>
          </w:p>
          <w:p w14:paraId="62FF1AE4" w14:textId="77777777" w:rsidR="00E61FF0" w:rsidRPr="00E61FF0" w:rsidRDefault="00E61FF0" w:rsidP="00E61FF0">
            <w:pPr>
              <w:suppressAutoHyphens w:val="0"/>
              <w:autoSpaceDN/>
              <w:spacing w:line="400" w:lineRule="exact"/>
              <w:ind w:left="799" w:hanging="427"/>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color w:val="000000"/>
                <w:kern w:val="2"/>
                <w:szCs w:val="24"/>
              </w:rPr>
              <w:t>符合下列條件之一，且附上影像診斷評估報告。</w:t>
            </w:r>
          </w:p>
          <w:p w14:paraId="6FB79995" w14:textId="77777777" w:rsidR="00E61FF0" w:rsidRPr="00E61FF0" w:rsidRDefault="00E61FF0" w:rsidP="00E61FF0">
            <w:pPr>
              <w:suppressAutoHyphens w:val="0"/>
              <w:autoSpaceDN/>
              <w:spacing w:line="400" w:lineRule="exact"/>
              <w:ind w:leftChars="286" w:left="1025" w:hanging="339"/>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 xml:space="preserve">經5-ASA、皮質類固醇和6-mercaptopurine (6-MP)或azathioprine (AZA)充分治療六個月，仍然無法控制病情(Mayo score </w:t>
            </w:r>
            <w:r w:rsidRPr="00E61FF0">
              <w:rPr>
                <w:rFonts w:ascii="標楷體" w:eastAsia="標楷體" w:hAnsi="標楷體" w:cs="新細明體" w:hint="eastAsia"/>
                <w:kern w:val="2"/>
                <w:szCs w:val="24"/>
              </w:rPr>
              <w:t>≧</w:t>
            </w:r>
            <w:r w:rsidRPr="00E61FF0">
              <w:rPr>
                <w:rFonts w:ascii="標楷體" w:eastAsia="標楷體" w:hAnsi="標楷體"/>
                <w:kern w:val="2"/>
                <w:szCs w:val="24"/>
              </w:rPr>
              <w:t>9和 endoscopy subscore</w:t>
            </w:r>
            <w:r w:rsidRPr="00E61FF0">
              <w:rPr>
                <w:rFonts w:ascii="標楷體" w:eastAsia="標楷體" w:hAnsi="標楷體" w:cs="新細明體" w:hint="eastAsia"/>
                <w:kern w:val="2"/>
                <w:szCs w:val="24"/>
              </w:rPr>
              <w:t>≧</w:t>
            </w:r>
            <w:r w:rsidRPr="00E61FF0">
              <w:rPr>
                <w:rFonts w:ascii="標楷體" w:eastAsia="標楷體" w:hAnsi="標楷體"/>
                <w:kern w:val="2"/>
                <w:szCs w:val="24"/>
              </w:rPr>
              <w:t xml:space="preserve"> 2) 或對這種療法無法耐受或有醫療禁者。</w:t>
            </w:r>
          </w:p>
          <w:p w14:paraId="718BD386" w14:textId="77777777" w:rsidR="00E61FF0" w:rsidRPr="00E61FF0" w:rsidRDefault="00E61FF0" w:rsidP="00E61FF0">
            <w:pPr>
              <w:suppressAutoHyphens w:val="0"/>
              <w:autoSpaceDN/>
              <w:spacing w:line="400" w:lineRule="exact"/>
              <w:ind w:left="721" w:firstLineChars="12" w:firstLine="29"/>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無法控制病情（Mayo score： _______；endoscopy score：_______）</w:t>
            </w:r>
          </w:p>
          <w:p w14:paraId="1C3EB930" w14:textId="77777777" w:rsidR="00E61FF0" w:rsidRPr="00E61FF0" w:rsidRDefault="00E61FF0" w:rsidP="00E61FF0">
            <w:pPr>
              <w:suppressAutoHyphens w:val="0"/>
              <w:autoSpaceDN/>
              <w:spacing w:line="400" w:lineRule="exact"/>
              <w:ind w:left="735" w:firstLineChars="14" w:firstLine="34"/>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產生嚴重藥物副作用：</w:t>
            </w:r>
          </w:p>
          <w:p w14:paraId="2D532381" w14:textId="77777777" w:rsidR="00E61FF0" w:rsidRPr="00E61FF0" w:rsidRDefault="00E61FF0" w:rsidP="00E61FF0">
            <w:pPr>
              <w:suppressAutoHyphens w:val="0"/>
              <w:autoSpaceDN/>
              <w:spacing w:line="400" w:lineRule="exact"/>
              <w:ind w:left="735" w:firstLineChars="14" w:firstLine="34"/>
              <w:textAlignment w:val="auto"/>
              <w:rPr>
                <w:rFonts w:ascii="標楷體" w:eastAsia="標楷體" w:hAnsi="標楷體"/>
                <w:kern w:val="2"/>
                <w:szCs w:val="24"/>
              </w:rPr>
            </w:pPr>
            <w:r w:rsidRPr="00E61FF0">
              <w:rPr>
                <w:rFonts w:ascii="標楷體" w:eastAsia="標楷體" w:hAnsi="標楷體"/>
                <w:kern w:val="2"/>
                <w:szCs w:val="24"/>
              </w:rPr>
              <w:t>藥名_________________時間__________副作用說明：___________________________</w:t>
            </w:r>
          </w:p>
          <w:p w14:paraId="6985E720" w14:textId="77777777" w:rsidR="00E61FF0" w:rsidRPr="00E61FF0" w:rsidRDefault="00E61FF0" w:rsidP="00B067DB">
            <w:pPr>
              <w:suppressAutoHyphens w:val="0"/>
              <w:autoSpaceDN/>
              <w:spacing w:line="400" w:lineRule="exact"/>
              <w:textAlignment w:val="auto"/>
              <w:rPr>
                <w:rFonts w:ascii="標楷體" w:eastAsia="標楷體" w:hAnsi="標楷體"/>
                <w:kern w:val="2"/>
                <w:szCs w:val="24"/>
              </w:rPr>
            </w:pPr>
          </w:p>
          <w:p w14:paraId="5100999B" w14:textId="77777777" w:rsidR="00E61FF0" w:rsidRPr="00E61FF0" w:rsidRDefault="00E61FF0" w:rsidP="00E61FF0">
            <w:pPr>
              <w:suppressAutoHyphens w:val="0"/>
              <w:autoSpaceDN/>
              <w:spacing w:line="400" w:lineRule="exact"/>
              <w:ind w:leftChars="13" w:left="1987" w:hangingChars="815" w:hanging="1956"/>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color w:val="000000"/>
                <w:kern w:val="2"/>
                <w:szCs w:val="24"/>
              </w:rPr>
              <w:t>初次使用符合下列所有條件：(急性嚴重之潰瘍性結腸炎)</w:t>
            </w:r>
          </w:p>
          <w:p w14:paraId="1F11A720" w14:textId="77777777" w:rsidR="00E61FF0" w:rsidRPr="00E61FF0" w:rsidRDefault="00E61FF0" w:rsidP="00E61FF0">
            <w:pPr>
              <w:suppressAutoHyphens w:val="0"/>
              <w:autoSpaceDN/>
              <w:spacing w:line="400" w:lineRule="exact"/>
              <w:ind w:left="1596" w:hanging="1423"/>
              <w:textAlignment w:val="auto"/>
              <w:rPr>
                <w:rFonts w:ascii="標楷體" w:eastAsia="標楷體" w:hAnsi="標楷體"/>
                <w:color w:val="000000"/>
                <w:kern w:val="2"/>
                <w:szCs w:val="24"/>
              </w:rPr>
            </w:pPr>
            <w:r w:rsidRPr="00E61FF0">
              <w:rPr>
                <w:rFonts w:ascii="Webdings" w:eastAsia="Webdings" w:hAnsi="Webdings" w:cs="Webdings"/>
                <w:kern w:val="2"/>
                <w:szCs w:val="24"/>
              </w:rPr>
              <w:t></w:t>
            </w:r>
            <w:r w:rsidRPr="00E61FF0">
              <w:rPr>
                <w:rFonts w:ascii="標楷體" w:eastAsia="標楷體" w:hAnsi="標楷體"/>
                <w:bCs/>
                <w:kern w:val="2"/>
                <w:szCs w:val="17"/>
              </w:rPr>
              <w:t>診斷為</w:t>
            </w:r>
            <w:r w:rsidRPr="00E61FF0">
              <w:rPr>
                <w:rFonts w:ascii="標楷體" w:eastAsia="標楷體" w:hAnsi="標楷體"/>
                <w:color w:val="000000"/>
                <w:kern w:val="2"/>
                <w:szCs w:val="24"/>
              </w:rPr>
              <w:t>潰瘍性結腸炎，同時符合下列四要件：</w:t>
            </w:r>
          </w:p>
          <w:p w14:paraId="03454BF9" w14:textId="77777777" w:rsidR="00E61FF0" w:rsidRPr="00E61FF0" w:rsidRDefault="00E61FF0" w:rsidP="00E61FF0">
            <w:pPr>
              <w:suppressAutoHyphens w:val="0"/>
              <w:autoSpaceDN/>
              <w:ind w:leftChars="131" w:left="1557" w:hangingChars="518" w:hanging="1243"/>
              <w:textAlignment w:val="auto"/>
              <w:rPr>
                <w:rFonts w:ascii="標楷體" w:eastAsia="標楷體" w:hAnsi="標楷體"/>
                <w:color w:val="000000"/>
                <w:kern w:val="2"/>
                <w:szCs w:val="24"/>
              </w:rPr>
            </w:pPr>
            <w:r w:rsidRPr="00E61FF0">
              <w:rPr>
                <w:rFonts w:ascii="標楷體" w:eastAsia="標楷體" w:hAnsi="標楷體"/>
                <w:color w:val="000000"/>
                <w:kern w:val="2"/>
                <w:szCs w:val="24"/>
              </w:rPr>
              <w:t>Ⅰ.內視鏡下符合潰瘍性結腸炎。</w:t>
            </w:r>
          </w:p>
          <w:p w14:paraId="14803EAA" w14:textId="77777777" w:rsidR="00E61FF0" w:rsidRPr="00E61FF0" w:rsidRDefault="00E61FF0" w:rsidP="00E61FF0">
            <w:pPr>
              <w:suppressAutoHyphens w:val="0"/>
              <w:autoSpaceDN/>
              <w:ind w:leftChars="138" w:left="1560" w:hangingChars="512" w:hanging="1229"/>
              <w:textAlignment w:val="auto"/>
              <w:rPr>
                <w:rFonts w:ascii="標楷體" w:eastAsia="標楷體" w:hAnsi="標楷體"/>
                <w:color w:val="000000"/>
                <w:kern w:val="2"/>
                <w:szCs w:val="24"/>
              </w:rPr>
            </w:pPr>
            <w:r w:rsidRPr="00E61FF0">
              <w:rPr>
                <w:rFonts w:ascii="標楷體" w:eastAsia="標楷體" w:hAnsi="標楷體"/>
                <w:color w:val="000000"/>
                <w:kern w:val="2"/>
                <w:szCs w:val="24"/>
              </w:rPr>
              <w:t>Ⅱ.病理切片排除巨細胞病毒腸炎、阿米巴結腸炎、淋巴癌。</w:t>
            </w:r>
          </w:p>
          <w:p w14:paraId="16F0C3DF" w14:textId="77777777" w:rsidR="00E61FF0" w:rsidRPr="00E61FF0" w:rsidRDefault="00E61FF0" w:rsidP="00E61FF0">
            <w:pPr>
              <w:suppressAutoHyphens w:val="0"/>
              <w:autoSpaceDN/>
              <w:ind w:leftChars="132" w:left="1560" w:hangingChars="518" w:hanging="1243"/>
              <w:textAlignment w:val="auto"/>
              <w:rPr>
                <w:rFonts w:ascii="標楷體" w:eastAsia="標楷體" w:hAnsi="標楷體"/>
                <w:color w:val="000000"/>
                <w:kern w:val="2"/>
                <w:szCs w:val="24"/>
              </w:rPr>
            </w:pPr>
            <w:r w:rsidRPr="00E61FF0">
              <w:rPr>
                <w:rFonts w:ascii="標楷體" w:eastAsia="標楷體" w:hAnsi="標楷體"/>
                <w:color w:val="000000"/>
                <w:kern w:val="2"/>
                <w:szCs w:val="24"/>
              </w:rPr>
              <w:t>Ⅲ.糞便檢測排除困難梭狀桿菌感染。</w:t>
            </w:r>
          </w:p>
          <w:p w14:paraId="2D9710C3" w14:textId="77777777" w:rsidR="00E61FF0" w:rsidRPr="00E61FF0" w:rsidRDefault="00E61FF0" w:rsidP="00E61FF0">
            <w:pPr>
              <w:suppressAutoHyphens w:val="0"/>
              <w:autoSpaceDN/>
              <w:ind w:leftChars="131" w:left="739" w:hangingChars="177" w:hanging="425"/>
              <w:textAlignment w:val="auto"/>
              <w:rPr>
                <w:rFonts w:ascii="標楷體" w:eastAsia="標楷體" w:hAnsi="標楷體"/>
                <w:color w:val="000000"/>
                <w:kern w:val="2"/>
                <w:szCs w:val="24"/>
              </w:rPr>
            </w:pPr>
            <w:r w:rsidRPr="00E61FF0">
              <w:rPr>
                <w:rFonts w:ascii="標楷體" w:eastAsia="標楷體" w:hAnsi="標楷體"/>
                <w:color w:val="000000"/>
                <w:kern w:val="2"/>
                <w:szCs w:val="24"/>
              </w:rPr>
              <w:t>Ⅳ.</w:t>
            </w:r>
            <w:r w:rsidRPr="00E61FF0">
              <w:rPr>
                <w:rFonts w:ascii="標楷體" w:eastAsia="標楷體" w:hAnsi="標楷體"/>
                <w:kern w:val="2"/>
                <w:szCs w:val="24"/>
              </w:rPr>
              <w:t xml:space="preserve"> </w:t>
            </w:r>
            <w:r w:rsidRPr="00E61FF0">
              <w:rPr>
                <w:rFonts w:ascii="標楷體" w:eastAsia="標楷體" w:hAnsi="標楷體"/>
                <w:color w:val="000000"/>
                <w:kern w:val="2"/>
                <w:szCs w:val="24"/>
              </w:rPr>
              <w:t>Mayo Score為12分，經類固醇全劑量靜脈注射(如methylprednisolone 40-60mg/day等)連續治療5天無效。</w:t>
            </w:r>
          </w:p>
          <w:p w14:paraId="176ADF03" w14:textId="77777777" w:rsidR="00E61FF0" w:rsidRPr="00E61FF0" w:rsidRDefault="00E61FF0" w:rsidP="00E61FF0">
            <w:pPr>
              <w:suppressAutoHyphens w:val="0"/>
              <w:autoSpaceDN/>
              <w:spacing w:line="400" w:lineRule="exact"/>
              <w:ind w:left="1591" w:hanging="1849"/>
              <w:textAlignment w:val="auto"/>
              <w:rPr>
                <w:rFonts w:ascii="標楷體" w:eastAsia="標楷體" w:hAnsi="標楷體"/>
                <w:kern w:val="2"/>
                <w:szCs w:val="24"/>
              </w:rPr>
            </w:pPr>
            <w:r w:rsidRPr="00E61FF0">
              <w:rPr>
                <w:rFonts w:ascii="標楷體" w:eastAsia="標楷體" w:hAnsi="標楷體"/>
                <w:kern w:val="2"/>
                <w:szCs w:val="24"/>
              </w:rPr>
              <w:t></w:t>
            </w:r>
            <w:r w:rsidRPr="00E61FF0">
              <w:rPr>
                <w:rFonts w:ascii="Webdings" w:eastAsia="Webdings" w:hAnsi="Webdings" w:cs="Webdings"/>
                <w:kern w:val="2"/>
                <w:szCs w:val="24"/>
              </w:rPr>
              <w:t></w:t>
            </w:r>
            <w:r w:rsidRPr="00E61FF0">
              <w:rPr>
                <w:rFonts w:ascii="標楷體" w:eastAsia="標楷體" w:hAnsi="標楷體"/>
                <w:kern w:val="2"/>
                <w:szCs w:val="24"/>
              </w:rPr>
              <w:t>無法控制病情（Mayo score： _______；endoscopy score：_______）</w:t>
            </w:r>
          </w:p>
          <w:p w14:paraId="79FA2537" w14:textId="77777777" w:rsidR="00E61FF0" w:rsidRPr="00E61FF0" w:rsidRDefault="00E61FF0" w:rsidP="00E61FF0">
            <w:pPr>
              <w:suppressAutoHyphens w:val="0"/>
              <w:autoSpaceDN/>
              <w:spacing w:before="202" w:line="400" w:lineRule="exact"/>
              <w:textAlignment w:val="auto"/>
              <w:rPr>
                <w:rFonts w:ascii="標楷體" w:eastAsia="標楷體" w:hAnsi="標楷體"/>
                <w:b/>
                <w:bCs/>
                <w:kern w:val="2"/>
                <w:szCs w:val="17"/>
              </w:rPr>
            </w:pPr>
            <w:r w:rsidRPr="00E61FF0">
              <w:rPr>
                <w:rFonts w:ascii="Webdings" w:eastAsia="Webdings" w:hAnsi="Webdings" w:cs="Webdings"/>
                <w:kern w:val="2"/>
                <w:szCs w:val="24"/>
              </w:rPr>
              <w:t></w:t>
            </w:r>
            <w:r w:rsidRPr="00E61FF0">
              <w:rPr>
                <w:rFonts w:ascii="標楷體" w:eastAsia="標楷體" w:hAnsi="標楷體"/>
                <w:bCs/>
                <w:kern w:val="2"/>
                <w:szCs w:val="17"/>
              </w:rPr>
              <w:t>符合繼續使用之療效評估：</w:t>
            </w:r>
          </w:p>
          <w:p w14:paraId="0C72B8DA" w14:textId="77777777" w:rsidR="00E61FF0" w:rsidRPr="00E61FF0" w:rsidRDefault="00E61FF0" w:rsidP="00E61FF0">
            <w:pPr>
              <w:suppressAutoHyphens w:val="0"/>
              <w:autoSpaceDN/>
              <w:spacing w:line="400" w:lineRule="exact"/>
              <w:ind w:left="694" w:hanging="322"/>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初次使用者：golimumab以2週(使用2劑)、adalimumab以6週(使用4劑)、</w:t>
            </w:r>
          </w:p>
          <w:p w14:paraId="282A3F11" w14:textId="77777777" w:rsidR="00E61FF0" w:rsidRPr="00E61FF0" w:rsidRDefault="00E61FF0" w:rsidP="00E61FF0">
            <w:pPr>
              <w:suppressAutoHyphens w:val="0"/>
              <w:autoSpaceDN/>
              <w:spacing w:line="400" w:lineRule="exact"/>
              <w:ind w:left="694" w:hanging="95"/>
              <w:textAlignment w:val="auto"/>
              <w:rPr>
                <w:rFonts w:ascii="標楷體" w:eastAsia="標楷體" w:hAnsi="標楷體"/>
                <w:kern w:val="2"/>
                <w:szCs w:val="24"/>
              </w:rPr>
            </w:pPr>
            <w:r w:rsidRPr="00E61FF0">
              <w:rPr>
                <w:rFonts w:ascii="標楷體" w:eastAsia="標楷體" w:hAnsi="標楷體"/>
                <w:kern w:val="2"/>
                <w:szCs w:val="24"/>
              </w:rPr>
              <w:t>vedolizumab以6週(使用3劑)、infliximab以6週(使用3劑)、tofacitinib 以 8 週為限(且 tofacitinib 限用於其他生物製劑 治療失敗或無法耐受之中至重度活動性潰瘍性結腸炎病人，另使用前應排除有血栓風險之病患，且不建議與azathioprine 與 cyclosporine 合併使用)、ustekinumab以使用靜脈注射1劑為限，治療後達到臨床反應評估，誘導緩解失敗者，得提出申請轉換他類生物製劑，然同一療程不得合併使用。</w:t>
            </w:r>
          </w:p>
          <w:p w14:paraId="77C227AB" w14:textId="77777777" w:rsidR="00E61FF0" w:rsidRPr="00E61FF0" w:rsidRDefault="00E61FF0" w:rsidP="00E61FF0">
            <w:pPr>
              <w:suppressAutoHyphens w:val="0"/>
              <w:autoSpaceDN/>
              <w:spacing w:line="400" w:lineRule="exact"/>
              <w:ind w:leftChars="307" w:left="1164" w:hangingChars="178" w:hanging="427"/>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達到有效緩解之誘導(</w:t>
            </w:r>
            <w:r w:rsidRPr="00E61FF0">
              <w:rPr>
                <w:rFonts w:ascii="標楷體" w:eastAsia="標楷體" w:hAnsi="標楷體"/>
                <w:color w:val="000000"/>
                <w:kern w:val="2"/>
                <w:szCs w:val="24"/>
              </w:rPr>
              <w:t>partial Mayo score評估，相較於初次申請，partial Mayo score減少</w:t>
            </w:r>
            <w:r w:rsidRPr="00E61FF0">
              <w:rPr>
                <w:rFonts w:ascii="標楷體" w:eastAsia="標楷體" w:hAnsi="標楷體" w:cs="新細明體" w:hint="eastAsia"/>
                <w:color w:val="000000"/>
                <w:kern w:val="2"/>
                <w:szCs w:val="24"/>
              </w:rPr>
              <w:t>≧</w:t>
            </w:r>
            <w:r w:rsidRPr="00E61FF0">
              <w:rPr>
                <w:rFonts w:ascii="標楷體" w:eastAsia="標楷體" w:hAnsi="標楷體"/>
                <w:color w:val="000000"/>
                <w:kern w:val="2"/>
                <w:szCs w:val="24"/>
              </w:rPr>
              <w:t>2分且血便項”rectal bleeding”減少</w:t>
            </w:r>
            <w:r w:rsidRPr="00E61FF0">
              <w:rPr>
                <w:rFonts w:ascii="標楷體" w:eastAsia="標楷體" w:hAnsi="標楷體" w:cs="新細明體" w:hint="eastAsia"/>
                <w:color w:val="000000"/>
                <w:kern w:val="2"/>
                <w:szCs w:val="24"/>
              </w:rPr>
              <w:t>≧</w:t>
            </w:r>
            <w:r w:rsidRPr="00E61FF0">
              <w:rPr>
                <w:rFonts w:ascii="標楷體" w:eastAsia="標楷體" w:hAnsi="標楷體"/>
                <w:color w:val="000000"/>
                <w:kern w:val="2"/>
                <w:szCs w:val="24"/>
              </w:rPr>
              <w:t>1分以上。</w:t>
            </w:r>
            <w:r w:rsidRPr="00E61FF0">
              <w:rPr>
                <w:rFonts w:ascii="標楷體" w:eastAsia="標楷體" w:hAnsi="標楷體"/>
                <w:kern w:val="2"/>
                <w:szCs w:val="24"/>
              </w:rPr>
              <w:t xml:space="preserve">) </w:t>
            </w:r>
          </w:p>
          <w:p w14:paraId="6E78C9AC" w14:textId="77777777" w:rsidR="00E61FF0" w:rsidRPr="00E61FF0" w:rsidRDefault="00E61FF0" w:rsidP="00E61FF0">
            <w:pPr>
              <w:suppressAutoHyphens w:val="0"/>
              <w:autoSpaceDN/>
              <w:spacing w:line="400" w:lineRule="exact"/>
              <w:ind w:left="1222" w:hanging="425"/>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 xml:space="preserve"> 緩解誘導之使用期間：____年____月至_____年___月</w:t>
            </w:r>
          </w:p>
          <w:p w14:paraId="18AB3E65" w14:textId="4A06713C" w:rsidR="00E61FF0" w:rsidRPr="00E61FF0" w:rsidRDefault="00E61FF0" w:rsidP="0075138D">
            <w:pPr>
              <w:suppressAutoHyphens w:val="0"/>
              <w:autoSpaceDN/>
              <w:spacing w:line="400" w:lineRule="exact"/>
              <w:ind w:left="599" w:hanging="229"/>
              <w:textAlignment w:val="auto"/>
              <w:rPr>
                <w:rFonts w:ascii="標楷體" w:eastAsia="標楷體" w:hAnsi="標楷體"/>
                <w:kern w:val="2"/>
                <w:szCs w:val="24"/>
              </w:rPr>
            </w:pPr>
            <w:r w:rsidRPr="00E61FF0">
              <w:rPr>
                <w:rFonts w:ascii="Webdings" w:eastAsia="Webdings" w:hAnsi="Webdings" w:cs="Webdings"/>
                <w:kern w:val="2"/>
                <w:szCs w:val="24"/>
              </w:rPr>
              <w:t></w:t>
            </w:r>
            <w:r w:rsidR="0075138D" w:rsidRPr="0075138D">
              <w:rPr>
                <w:rFonts w:ascii="標楷體" w:eastAsia="標楷體" w:hAnsi="標楷體" w:hint="eastAsia"/>
                <w:kern w:val="2"/>
                <w:szCs w:val="24"/>
              </w:rPr>
              <w:t>繼續使用者：第一次續用評估採Partial Mayo Score評估，最長24週需再續用評估一次。第二次續用評估，必須Mayo Score≦ 6分，且Mayo Endoscopic subscore≦ 1分方可再申請繼續使用。ustekinumab治療達到部分有效緩解者，經消化系專科醫師評</w:t>
            </w:r>
            <w:r w:rsidR="0075138D" w:rsidRPr="0075138D">
              <w:rPr>
                <w:rFonts w:ascii="標楷體" w:eastAsia="標楷體" w:hAnsi="標楷體" w:hint="eastAsia"/>
                <w:kern w:val="2"/>
                <w:szCs w:val="24"/>
              </w:rPr>
              <w:lastRenderedPageBreak/>
              <w:t>估後，得申請繼續使用，以每隔8週給予皮下注射維持劑量90mg。golimumab(使用6劑)、adalimumab需每24週(使用12劑)；infliximab需每16週(使用2劑)或24週(使用3劑)，vedolizumab需每16週(使用2劑)或24週(使用3劑) 評估一次，以及tofacitinib每24週(使用2劑)、ustekinumab繼續使用以24週(2劑或3劑)為限。</w:t>
            </w:r>
          </w:p>
          <w:p w14:paraId="7C857185" w14:textId="21A50DA0" w:rsidR="00E61FF0" w:rsidRPr="00E61FF0" w:rsidRDefault="00E61FF0" w:rsidP="00E61FF0">
            <w:pPr>
              <w:suppressAutoHyphens w:val="0"/>
              <w:autoSpaceDN/>
              <w:spacing w:line="400" w:lineRule="exact"/>
              <w:ind w:left="599" w:hanging="229"/>
              <w:textAlignment w:val="auto"/>
              <w:rPr>
                <w:rFonts w:ascii="標楷體" w:eastAsia="標楷體" w:hAnsi="標楷體"/>
                <w:kern w:val="2"/>
                <w:szCs w:val="24"/>
              </w:rPr>
            </w:pPr>
            <w:r w:rsidRPr="00E61FF0">
              <w:rPr>
                <w:rFonts w:ascii="Webdings" w:eastAsia="Webdings" w:hAnsi="Webdings" w:cs="Webdings"/>
                <w:kern w:val="2"/>
                <w:szCs w:val="24"/>
              </w:rPr>
              <w:t></w:t>
            </w:r>
            <w:r w:rsidR="0075138D" w:rsidRPr="0075138D">
              <w:rPr>
                <w:rFonts w:ascii="標楷體" w:eastAsia="標楷體" w:hAnsi="標楷體" w:hint="eastAsia"/>
                <w:kern w:val="2"/>
                <w:szCs w:val="24"/>
              </w:rPr>
              <w:t>golimumab治療期滿50週(使用14劑)、adalimumab治療期滿54週(使用28劑)；infliximab治療期滿46週 (使用8劑)，vedolizumab治療期滿46週(使用8劑)，以及tofacitinib治療56週後；ustekinumab 治療44 週使用5 劑(共使用1 劑靜脈注射及4 劑皮下注射)或48週(使用5劑或7劑)後，再提出續用者，必須 距離前次生物製劑治療結束間隔3個月以上，若病情復發，依初次使用標準(其中經5-aminosalicylic acid藥物、類固醇、及/或免疫抑制劑充分治療，連續超過3個月)再次提出申請。</w:t>
            </w:r>
          </w:p>
          <w:p w14:paraId="2660EA70" w14:textId="77777777" w:rsidR="00E61FF0" w:rsidRPr="00E61FF0" w:rsidRDefault="00E61FF0" w:rsidP="00E61FF0">
            <w:pPr>
              <w:suppressAutoHyphens w:val="0"/>
              <w:autoSpaceDN/>
              <w:spacing w:line="400" w:lineRule="exact"/>
              <w:ind w:left="599" w:hanging="229"/>
              <w:textAlignment w:val="auto"/>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連續2次因療程結束暫緩用藥而疾病復發，且第2次復發於藥效終止後3個月內發生，則可持續使用；惟需每24週提出續用</w:t>
            </w:r>
            <w:r w:rsidRPr="00E61FF0">
              <w:rPr>
                <w:rFonts w:ascii="標楷體" w:eastAsia="標楷體" w:hAnsi="標楷體" w:hint="eastAsia"/>
                <w:kern w:val="2"/>
                <w:szCs w:val="24"/>
              </w:rPr>
              <w:t>事前</w:t>
            </w:r>
            <w:r w:rsidRPr="00E61FF0">
              <w:rPr>
                <w:rFonts w:ascii="標楷體" w:eastAsia="標楷體" w:hAnsi="標楷體"/>
                <w:kern w:val="2"/>
                <w:szCs w:val="24"/>
              </w:rPr>
              <w:t>審查</w:t>
            </w:r>
            <w:r w:rsidRPr="00E61FF0">
              <w:rPr>
                <w:rFonts w:ascii="標楷體" w:eastAsia="標楷體" w:hAnsi="標楷體" w:hint="eastAsia"/>
                <w:kern w:val="2"/>
                <w:szCs w:val="24"/>
              </w:rPr>
              <w:t>。</w:t>
            </w:r>
            <w:r w:rsidRPr="00E61FF0">
              <w:rPr>
                <w:rFonts w:ascii="標楷體" w:eastAsia="標楷體" w:hAnsi="標楷體"/>
                <w:kern w:val="2"/>
                <w:szCs w:val="24"/>
              </w:rPr>
              <w:t>必須Mayo score</w:t>
            </w:r>
            <w:r w:rsidRPr="00E61FF0">
              <w:rPr>
                <w:rFonts w:ascii="標楷體" w:eastAsia="標楷體" w:hAnsi="標楷體" w:cs="新細明體" w:hint="eastAsia"/>
                <w:kern w:val="2"/>
                <w:szCs w:val="24"/>
              </w:rPr>
              <w:t>≦</w:t>
            </w:r>
            <w:r w:rsidRPr="00E61FF0">
              <w:rPr>
                <w:rFonts w:ascii="標楷體" w:eastAsia="標楷體" w:hAnsi="標楷體"/>
                <w:kern w:val="2"/>
                <w:szCs w:val="24"/>
              </w:rPr>
              <w:t>6分且Mayo endoscopic subscore</w:t>
            </w:r>
            <w:r w:rsidRPr="00E61FF0">
              <w:rPr>
                <w:rFonts w:ascii="標楷體" w:eastAsia="標楷體" w:hAnsi="標楷體" w:cs="新細明體" w:hint="eastAsia"/>
                <w:kern w:val="2"/>
                <w:szCs w:val="24"/>
              </w:rPr>
              <w:t>≦</w:t>
            </w:r>
            <w:r w:rsidRPr="00E61FF0">
              <w:rPr>
                <w:rFonts w:ascii="標楷體" w:eastAsia="標楷體" w:hAnsi="標楷體"/>
                <w:kern w:val="2"/>
                <w:szCs w:val="24"/>
              </w:rPr>
              <w:t>1分，才可繼續使用。連續2年(4次評估)達到Mayo score</w:t>
            </w:r>
            <w:r w:rsidRPr="00E61FF0">
              <w:rPr>
                <w:rFonts w:ascii="標楷體" w:eastAsia="標楷體" w:hAnsi="標楷體" w:cs="新細明體" w:hint="eastAsia"/>
                <w:kern w:val="2"/>
                <w:szCs w:val="24"/>
              </w:rPr>
              <w:t>≦</w:t>
            </w:r>
            <w:r w:rsidRPr="00E61FF0">
              <w:rPr>
                <w:rFonts w:ascii="標楷體" w:eastAsia="標楷體" w:hAnsi="標楷體"/>
                <w:kern w:val="2"/>
                <w:szCs w:val="24"/>
              </w:rPr>
              <w:t xml:space="preserve">2分，且Mayo endoscopic subscore </w:t>
            </w:r>
            <w:r w:rsidRPr="00E61FF0">
              <w:rPr>
                <w:rFonts w:ascii="標楷體" w:eastAsia="標楷體" w:hAnsi="標楷體" w:cs="新細明體" w:hint="eastAsia"/>
                <w:kern w:val="2"/>
                <w:szCs w:val="24"/>
              </w:rPr>
              <w:t>≦</w:t>
            </w:r>
            <w:r w:rsidRPr="00E61FF0">
              <w:rPr>
                <w:rFonts w:ascii="標楷體" w:eastAsia="標楷體" w:hAnsi="標楷體"/>
                <w:kern w:val="2"/>
                <w:szCs w:val="24"/>
              </w:rPr>
              <w:t>1，則應考慮停藥。</w:t>
            </w:r>
          </w:p>
        </w:tc>
      </w:tr>
      <w:tr w:rsidR="00E61FF0" w:rsidRPr="00E61FF0" w14:paraId="63800901" w14:textId="77777777" w:rsidTr="00640BF4">
        <w:trPr>
          <w:trHeight w:val="35"/>
        </w:trPr>
        <w:tc>
          <w:tcPr>
            <w:tcW w:w="9923" w:type="dxa"/>
            <w:gridSpan w:val="9"/>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1C32CA1A" w14:textId="2C99B5F3" w:rsidR="00E61FF0" w:rsidRPr="00E61FF0" w:rsidRDefault="00E61FF0" w:rsidP="00E61FF0">
            <w:pPr>
              <w:suppressAutoHyphens w:val="0"/>
              <w:autoSpaceDN/>
              <w:spacing w:before="202" w:line="400" w:lineRule="exact"/>
              <w:textAlignment w:val="auto"/>
              <w:rPr>
                <w:rFonts w:ascii="標楷體" w:eastAsia="標楷體" w:hAnsi="標楷體"/>
                <w:kern w:val="2"/>
                <w:sz w:val="28"/>
                <w:szCs w:val="28"/>
              </w:rPr>
            </w:pPr>
            <w:r w:rsidRPr="00E61FF0">
              <w:rPr>
                <w:rFonts w:ascii="標楷體" w:eastAsia="標楷體" w:hAnsi="標楷體"/>
                <w:kern w:val="2"/>
                <w:sz w:val="28"/>
                <w:szCs w:val="28"/>
              </w:rPr>
              <w:lastRenderedPageBreak/>
              <w:br w:type="page"/>
            </w:r>
            <w:r w:rsidRPr="00E61FF0">
              <w:rPr>
                <w:rFonts w:ascii="標楷體" w:eastAsia="標楷體" w:hAnsi="標楷體"/>
                <w:kern w:val="2"/>
                <w:sz w:val="28"/>
                <w:szCs w:val="28"/>
              </w:rPr>
              <w:br w:type="page"/>
            </w:r>
            <w:r w:rsidR="0075138D" w:rsidRPr="0075138D">
              <w:rPr>
                <w:rFonts w:ascii="Webdings" w:eastAsia="Webdings" w:hAnsi="Webdings" w:cs="Webdings"/>
                <w:b/>
                <w:kern w:val="2"/>
                <w:szCs w:val="24"/>
              </w:rPr>
              <w:t></w:t>
            </w:r>
            <w:r w:rsidRPr="00E61FF0">
              <w:rPr>
                <w:rFonts w:ascii="標楷體" w:eastAsia="標楷體" w:hAnsi="標楷體"/>
                <w:b/>
                <w:kern w:val="2"/>
                <w:szCs w:val="24"/>
              </w:rPr>
              <w:t>符合「須排除或停止生物製劑使用之情形」</w:t>
            </w:r>
          </w:p>
        </w:tc>
      </w:tr>
      <w:tr w:rsidR="00E61FF0" w:rsidRPr="00E61FF0" w14:paraId="1A9DB3E7" w14:textId="77777777" w:rsidTr="00640BF4">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1E66918"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5A8F9E"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10446855" w14:textId="77777777" w:rsidR="00E61FF0" w:rsidRPr="00E61FF0" w:rsidRDefault="00E61FF0" w:rsidP="00E61FF0">
            <w:pPr>
              <w:tabs>
                <w:tab w:val="left" w:pos="425"/>
              </w:tabs>
              <w:suppressAutoHyphens w:val="0"/>
              <w:autoSpaceDN/>
              <w:ind w:left="92"/>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B6346BE"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noProof/>
                <w:kern w:val="2"/>
                <w:szCs w:val="24"/>
              </w:rPr>
              <mc:AlternateContent>
                <mc:Choice Requires="wps">
                  <w:drawing>
                    <wp:anchor distT="0" distB="0" distL="114300" distR="114300" simplePos="0" relativeHeight="251680768" behindDoc="0" locked="0" layoutInCell="1" allowOverlap="1" wp14:anchorId="426DD8F7" wp14:editId="0B296588">
                      <wp:simplePos x="0" y="0"/>
                      <wp:positionH relativeFrom="column">
                        <wp:posOffset>441960</wp:posOffset>
                      </wp:positionH>
                      <wp:positionV relativeFrom="paragraph">
                        <wp:posOffset>199390</wp:posOffset>
                      </wp:positionV>
                      <wp:extent cx="695325" cy="0"/>
                      <wp:effectExtent l="0" t="0" r="0" b="0"/>
                      <wp:wrapNone/>
                      <wp:docPr id="37" name="直線接點 37"/>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077D487" id="直線接點 3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4.8pt,15.7pt" to="89.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" strokecolor="#4a7ebb"/>
                  </w:pict>
                </mc:Fallback>
              </mc:AlternateContent>
            </w:r>
            <w:r w:rsidRPr="00E61FF0">
              <w:rPr>
                <w:rFonts w:ascii="標楷體" w:eastAsia="標楷體" w:hAnsi="標楷體"/>
                <w:kern w:val="2"/>
                <w:szCs w:val="24"/>
              </w:rPr>
              <w:t>是否有         仿單記載之禁忌情形。</w:t>
            </w:r>
          </w:p>
        </w:tc>
      </w:tr>
      <w:tr w:rsidR="00E61FF0" w:rsidRPr="00E61FF0" w14:paraId="212496CA" w14:textId="77777777" w:rsidTr="00640BF4">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2F0B6655"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61944F"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318374D7"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B26234A"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婦女是否正在懷孕或授乳。</w:t>
            </w:r>
          </w:p>
        </w:tc>
      </w:tr>
      <w:tr w:rsidR="00E61FF0" w:rsidRPr="00E61FF0" w14:paraId="05EE066C" w14:textId="77777777" w:rsidTr="00640BF4">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3B9931C"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4D56D6"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1F093C64" w14:textId="77777777" w:rsidR="00E61FF0" w:rsidRPr="00E61FF0" w:rsidRDefault="00E61FF0" w:rsidP="00E61FF0">
            <w:pPr>
              <w:tabs>
                <w:tab w:val="left" w:pos="425"/>
              </w:tabs>
              <w:suppressAutoHyphens w:val="0"/>
              <w:autoSpaceDN/>
              <w:ind w:left="92"/>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05E8A57"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病患是否有活動性感染症。</w:t>
            </w:r>
          </w:p>
        </w:tc>
      </w:tr>
      <w:tr w:rsidR="00E61FF0" w:rsidRPr="00E61FF0" w14:paraId="79641D53" w14:textId="77777777" w:rsidTr="00640BF4">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7791668"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5D5DF6"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67EA7976" w14:textId="77777777" w:rsidR="00E61FF0" w:rsidRPr="00E61FF0" w:rsidRDefault="00E61FF0" w:rsidP="00E61FF0">
            <w:pPr>
              <w:tabs>
                <w:tab w:val="left" w:pos="425"/>
              </w:tabs>
              <w:suppressAutoHyphens w:val="0"/>
              <w:autoSpaceDN/>
              <w:ind w:left="92"/>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9428E91"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未經完整治療之結核病的病患（包括潛伏結核感染治療未達四週者，申請時應檢附潛伏結核感染篩檢紀錄及治療紀錄供審查）。</w:t>
            </w:r>
          </w:p>
        </w:tc>
      </w:tr>
      <w:tr w:rsidR="00E61FF0" w:rsidRPr="00E61FF0" w14:paraId="5B46FB66" w14:textId="77777777" w:rsidTr="00640BF4">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10C5F264" w14:textId="77777777" w:rsidR="00E61FF0" w:rsidRPr="00E61FF0" w:rsidRDefault="00E61FF0" w:rsidP="00E61FF0">
            <w:pPr>
              <w:tabs>
                <w:tab w:val="left" w:pos="425"/>
              </w:tabs>
              <w:suppressAutoHyphens w:val="0"/>
              <w:autoSpaceDN/>
              <w:ind w:firstLineChars="250" w:firstLine="600"/>
              <w:textAlignment w:val="center"/>
              <w:rPr>
                <w:rFonts w:ascii="標楷體" w:eastAsia="標楷體" w:hAnsi="標楷體"/>
                <w:kern w:val="2"/>
                <w:szCs w:val="24"/>
              </w:rPr>
            </w:pPr>
            <w:r w:rsidRPr="00E61FF0">
              <w:rPr>
                <w:rFonts w:ascii="標楷體" w:eastAsia="標楷體" w:hAnsi="標楷體"/>
                <w:kern w:val="2"/>
                <w:szCs w:val="24"/>
              </w:rPr>
              <w:t></w:t>
            </w:r>
          </w:p>
          <w:p w14:paraId="14F095E9"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B3CC3B"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48AEE34D"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852E227"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病患是否具有高度感染機會之情形，其中包括：</w:t>
            </w:r>
          </w:p>
          <w:p w14:paraId="1EBAE290"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1.慢性腿部潰瘍。</w:t>
            </w:r>
          </w:p>
          <w:p w14:paraId="0292737A" w14:textId="77777777" w:rsidR="00E61FF0" w:rsidRPr="00E61FF0" w:rsidRDefault="00E61FF0" w:rsidP="00E61FF0">
            <w:pPr>
              <w:suppressAutoHyphens w:val="0"/>
              <w:autoSpaceDN/>
              <w:ind w:left="240" w:hanging="240"/>
              <w:textAlignment w:val="center"/>
              <w:rPr>
                <w:rFonts w:ascii="標楷體" w:eastAsia="標楷體" w:hAnsi="標楷體"/>
                <w:kern w:val="2"/>
                <w:szCs w:val="24"/>
              </w:rPr>
            </w:pPr>
            <w:r w:rsidRPr="00E61FF0">
              <w:rPr>
                <w:rFonts w:ascii="標楷體" w:eastAsia="標楷體" w:hAnsi="標楷體"/>
                <w:kern w:val="2"/>
                <w:szCs w:val="24"/>
              </w:rPr>
              <w:t>2.具有留置導尿管或身上有引流管之情形。</w:t>
            </w:r>
          </w:p>
          <w:p w14:paraId="4764B589" w14:textId="77777777" w:rsidR="00E61FF0" w:rsidRPr="00E61FF0" w:rsidRDefault="00E61FF0" w:rsidP="00E61FF0">
            <w:pPr>
              <w:suppressAutoHyphens w:val="0"/>
              <w:autoSpaceDN/>
              <w:ind w:left="240" w:hanging="240"/>
              <w:textAlignment w:val="center"/>
              <w:rPr>
                <w:rFonts w:ascii="標楷體" w:eastAsia="標楷體" w:hAnsi="標楷體"/>
                <w:kern w:val="2"/>
                <w:szCs w:val="24"/>
              </w:rPr>
            </w:pPr>
            <w:r w:rsidRPr="00E61FF0">
              <w:rPr>
                <w:rFonts w:ascii="標楷體" w:eastAsia="標楷體" w:hAnsi="標楷體"/>
                <w:kern w:val="2"/>
                <w:szCs w:val="24"/>
              </w:rPr>
              <w:t>3.人工關節感染，該人工關節尚未摘除。</w:t>
            </w:r>
          </w:p>
          <w:p w14:paraId="7D9514AC" w14:textId="77777777" w:rsidR="00E61FF0" w:rsidRPr="00E61FF0" w:rsidRDefault="00E61FF0" w:rsidP="00E61FF0">
            <w:pPr>
              <w:suppressAutoHyphens w:val="0"/>
              <w:autoSpaceDN/>
              <w:ind w:left="240" w:hanging="240"/>
              <w:textAlignment w:val="center"/>
              <w:rPr>
                <w:rFonts w:ascii="標楷體" w:eastAsia="標楷體" w:hAnsi="標楷體"/>
                <w:kern w:val="2"/>
                <w:szCs w:val="24"/>
              </w:rPr>
            </w:pPr>
            <w:r w:rsidRPr="00E61FF0">
              <w:rPr>
                <w:rFonts w:ascii="標楷體" w:eastAsia="標楷體" w:hAnsi="標楷體"/>
                <w:kern w:val="2"/>
                <w:szCs w:val="24"/>
              </w:rPr>
              <w:t>4.頑固性或復發性的胸腔感染疾病。</w:t>
            </w:r>
          </w:p>
        </w:tc>
      </w:tr>
      <w:tr w:rsidR="00E61FF0" w:rsidRPr="00E61FF0" w14:paraId="52C08058" w14:textId="77777777" w:rsidTr="00640BF4">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4D276E11"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B65F3C"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7B707190" w14:textId="77777777" w:rsidR="00E61FF0" w:rsidRPr="00E61FF0" w:rsidRDefault="00E61FF0" w:rsidP="00E61FF0">
            <w:pPr>
              <w:tabs>
                <w:tab w:val="left" w:pos="425"/>
              </w:tabs>
              <w:suppressAutoHyphens w:val="0"/>
              <w:autoSpaceDN/>
              <w:ind w:left="92"/>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3C18964"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病患是否罹患惡性腫瘤或具有癌症前兆(pre-malignancy)</w:t>
            </w:r>
          </w:p>
        </w:tc>
      </w:tr>
      <w:tr w:rsidR="00E61FF0" w:rsidRPr="00E61FF0" w14:paraId="0ED79F50" w14:textId="77777777" w:rsidTr="007E1772">
        <w:trPr>
          <w:cantSplit/>
          <w:trHeight w:val="401"/>
        </w:trPr>
        <w:tc>
          <w:tcPr>
            <w:tcW w:w="919"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E088098"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3A0BC7"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38E2B2DA" w14:textId="77777777" w:rsidR="00E61FF0" w:rsidRPr="00E61FF0" w:rsidRDefault="00E61FF0" w:rsidP="00E61FF0">
            <w:pPr>
              <w:tabs>
                <w:tab w:val="left" w:pos="425"/>
              </w:tabs>
              <w:suppressAutoHyphens w:val="0"/>
              <w:autoSpaceDN/>
              <w:ind w:left="92"/>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6BF41BB3"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病患是否罹患多發性硬化症(multiple sclerosis)</w:t>
            </w:r>
          </w:p>
        </w:tc>
      </w:tr>
      <w:tr w:rsidR="00E61FF0" w:rsidRPr="00E61FF0" w14:paraId="2F5F846D" w14:textId="77777777" w:rsidTr="007E1772">
        <w:trPr>
          <w:cantSplit/>
          <w:trHeight w:val="401"/>
        </w:trPr>
        <w:tc>
          <w:tcPr>
            <w:tcW w:w="919"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14:paraId="01076827" w14:textId="77777777" w:rsidR="00E61FF0" w:rsidRPr="00E61FF0" w:rsidRDefault="00E61FF0" w:rsidP="00E61FF0">
            <w:pPr>
              <w:suppressAutoHyphens w:val="0"/>
              <w:autoSpaceDN/>
              <w:textAlignment w:val="center"/>
              <w:rPr>
                <w:rFonts w:ascii="標楷體" w:eastAsia="標楷體" w:hAnsi="標楷體"/>
                <w:kern w:val="2"/>
                <w:szCs w:val="24"/>
              </w:rPr>
            </w:pPr>
          </w:p>
        </w:tc>
        <w:tc>
          <w:tcPr>
            <w:tcW w:w="1339" w:type="dxa"/>
            <w:gridSpan w:val="2"/>
            <w:tcBorders>
              <w:top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14335A77" w14:textId="77777777" w:rsidR="00E61FF0" w:rsidRPr="00E61FF0" w:rsidRDefault="00E61FF0" w:rsidP="00E61FF0">
            <w:pPr>
              <w:tabs>
                <w:tab w:val="left" w:pos="425"/>
              </w:tabs>
              <w:suppressAutoHyphens w:val="0"/>
              <w:autoSpaceDN/>
              <w:ind w:firstLineChars="37" w:firstLine="89"/>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是</w:t>
            </w:r>
          </w:p>
          <w:p w14:paraId="112246D9" w14:textId="77777777" w:rsidR="00E61FF0" w:rsidRPr="00E61FF0" w:rsidRDefault="00E61FF0" w:rsidP="00E61FF0">
            <w:pPr>
              <w:tabs>
                <w:tab w:val="left" w:pos="425"/>
              </w:tabs>
              <w:suppressAutoHyphens w:val="0"/>
              <w:autoSpaceDN/>
              <w:ind w:left="92"/>
              <w:textAlignment w:val="center"/>
              <w:rPr>
                <w:rFonts w:ascii="標楷體" w:eastAsia="標楷體" w:hAnsi="標楷體"/>
                <w:kern w:val="2"/>
                <w:szCs w:val="24"/>
              </w:rPr>
            </w:pPr>
            <w:r w:rsidRPr="00E61FF0">
              <w:rPr>
                <w:rFonts w:ascii="Webdings" w:eastAsia="Webdings" w:hAnsi="Webdings" w:cs="Webdings"/>
                <w:kern w:val="2"/>
                <w:szCs w:val="24"/>
              </w:rPr>
              <w:t></w:t>
            </w:r>
            <w:r w:rsidRPr="00E61FF0">
              <w:rPr>
                <w:rFonts w:ascii="標楷體" w:eastAsia="標楷體" w:hAnsi="標楷體"/>
                <w:kern w:val="2"/>
                <w:szCs w:val="24"/>
              </w:rPr>
              <w:t>否</w:t>
            </w:r>
          </w:p>
        </w:tc>
        <w:tc>
          <w:tcPr>
            <w:tcW w:w="7665" w:type="dxa"/>
            <w:gridSpan w:val="6"/>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6B04B9F9" w14:textId="77777777"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使用infliximab,golimumab,adalimumab,vedolizumab,tofacitinib, ustekinumab發生懷孕或不良事件(包括：惡性腫瘤、該藥物引起的嚴重毒性、嚴重的感染性疾病)</w:t>
            </w:r>
          </w:p>
        </w:tc>
      </w:tr>
      <w:tr w:rsidR="00E61FF0" w:rsidRPr="00E61FF0" w14:paraId="002DA16F" w14:textId="77777777" w:rsidTr="007E1772">
        <w:trPr>
          <w:cantSplit/>
          <w:trHeight w:val="786"/>
        </w:trPr>
        <w:tc>
          <w:tcPr>
            <w:tcW w:w="6390" w:type="dxa"/>
            <w:gridSpan w:val="7"/>
            <w:tcBorders>
              <w:top w:val="double" w:sz="4" w:space="0" w:color="000000"/>
            </w:tcBorders>
            <w:shd w:val="clear" w:color="auto" w:fill="auto"/>
            <w:tcMar>
              <w:top w:w="0" w:type="dxa"/>
              <w:left w:w="28" w:type="dxa"/>
              <w:bottom w:w="0" w:type="dxa"/>
              <w:right w:w="28" w:type="dxa"/>
            </w:tcMar>
          </w:tcPr>
          <w:p w14:paraId="7E68084F" w14:textId="73F701A2" w:rsidR="00E61FF0" w:rsidRP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申請醫師（簽名蓋章）：</w:t>
            </w:r>
            <w:r w:rsidR="00B067DB">
              <w:rPr>
                <w:rFonts w:ascii="標楷體" w:eastAsia="標楷體" w:hAnsi="標楷體" w:hint="eastAsia"/>
                <w:kern w:val="2"/>
                <w:szCs w:val="24"/>
              </w:rPr>
              <w:t>________________</w:t>
            </w:r>
          </w:p>
          <w:p w14:paraId="28C05365" w14:textId="574A5603" w:rsidR="007E1772" w:rsidRPr="00E61FF0" w:rsidRDefault="00E61FF0" w:rsidP="009B736B">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消化系專科醫師證書：</w:t>
            </w:r>
            <w:r w:rsidR="009B736B">
              <w:rPr>
                <w:rFonts w:ascii="標楷體" w:eastAsia="標楷體" w:hAnsi="標楷體" w:hint="eastAsia"/>
                <w:kern w:val="2"/>
                <w:szCs w:val="24"/>
              </w:rPr>
              <w:t>________________</w:t>
            </w:r>
          </w:p>
        </w:tc>
        <w:tc>
          <w:tcPr>
            <w:tcW w:w="3533" w:type="dxa"/>
            <w:gridSpan w:val="2"/>
            <w:tcBorders>
              <w:top w:val="double" w:sz="4" w:space="0" w:color="000000"/>
            </w:tcBorders>
            <w:shd w:val="clear" w:color="auto" w:fill="auto"/>
            <w:tcMar>
              <w:top w:w="0" w:type="dxa"/>
              <w:left w:w="28" w:type="dxa"/>
              <w:bottom w:w="0" w:type="dxa"/>
              <w:right w:w="28" w:type="dxa"/>
            </w:tcMar>
          </w:tcPr>
          <w:p w14:paraId="0D861118" w14:textId="77777777" w:rsidR="00E61FF0" w:rsidRDefault="00E61FF0" w:rsidP="00E61FF0">
            <w:pPr>
              <w:suppressAutoHyphens w:val="0"/>
              <w:autoSpaceDN/>
              <w:textAlignment w:val="center"/>
              <w:rPr>
                <w:rFonts w:ascii="標楷體" w:eastAsia="標楷體" w:hAnsi="標楷體"/>
                <w:kern w:val="2"/>
                <w:szCs w:val="24"/>
              </w:rPr>
            </w:pPr>
            <w:r w:rsidRPr="00E61FF0">
              <w:rPr>
                <w:rFonts w:ascii="標楷體" w:eastAsia="標楷體" w:hAnsi="標楷體"/>
                <w:kern w:val="2"/>
                <w:szCs w:val="24"/>
              </w:rPr>
              <w:t>醫事機構章戳：</w:t>
            </w:r>
          </w:p>
          <w:p w14:paraId="754C0375" w14:textId="6B4A8867" w:rsidR="007E1772" w:rsidRPr="00E61FF0" w:rsidRDefault="007E1772" w:rsidP="00E61FF0">
            <w:pPr>
              <w:suppressAutoHyphens w:val="0"/>
              <w:autoSpaceDN/>
              <w:textAlignment w:val="center"/>
              <w:rPr>
                <w:rFonts w:ascii="標楷體" w:eastAsia="標楷體" w:hAnsi="標楷體"/>
                <w:kern w:val="2"/>
                <w:szCs w:val="24"/>
              </w:rPr>
            </w:pPr>
          </w:p>
        </w:tc>
      </w:tr>
    </w:tbl>
    <w:p w14:paraId="3E907630" w14:textId="77777777" w:rsidR="007E1772" w:rsidRDefault="007E1772">
      <w:r>
        <w:br w:type="page"/>
      </w:r>
    </w:p>
    <w:p w14:paraId="1382DB60" w14:textId="77777777" w:rsidR="00640BF4" w:rsidRPr="00640BF4" w:rsidRDefault="00640BF4" w:rsidP="00640BF4">
      <w:pPr>
        <w:widowControl/>
        <w:suppressAutoHyphens w:val="0"/>
        <w:autoSpaceDN/>
        <w:ind w:firstLineChars="177" w:firstLine="425"/>
        <w:jc w:val="center"/>
        <w:textAlignment w:val="auto"/>
        <w:rPr>
          <w:rFonts w:ascii="標楷體" w:eastAsia="標楷體" w:hAnsi="標楷體"/>
          <w:kern w:val="2"/>
          <w:szCs w:val="24"/>
        </w:rPr>
      </w:pPr>
      <w:r w:rsidRPr="00640BF4">
        <w:rPr>
          <w:rFonts w:ascii="標楷體" w:eastAsia="標楷體" w:hAnsi="標楷體"/>
          <w:kern w:val="2"/>
          <w:szCs w:val="24"/>
        </w:rPr>
        <w:lastRenderedPageBreak/>
        <w:t>附表二十六之六：Mayo Score</w:t>
      </w:r>
    </w:p>
    <w:tbl>
      <w:tblPr>
        <w:tblStyle w:val="afa"/>
        <w:tblW w:w="0" w:type="auto"/>
        <w:tblInd w:w="-147" w:type="dxa"/>
        <w:tblLook w:val="04A0" w:firstRow="1" w:lastRow="0" w:firstColumn="1" w:lastColumn="0" w:noHBand="0" w:noVBand="1"/>
      </w:tblPr>
      <w:tblGrid>
        <w:gridCol w:w="2269"/>
        <w:gridCol w:w="5415"/>
        <w:gridCol w:w="1156"/>
        <w:gridCol w:w="851"/>
      </w:tblGrid>
      <w:tr w:rsidR="00640BF4" w:rsidRPr="00640BF4" w14:paraId="55AC7E19" w14:textId="77777777" w:rsidTr="00BA1EB4">
        <w:trPr>
          <w:trHeight w:hRule="exact" w:val="558"/>
        </w:trPr>
        <w:tc>
          <w:tcPr>
            <w:tcW w:w="2269" w:type="dxa"/>
            <w:vAlign w:val="center"/>
          </w:tcPr>
          <w:p w14:paraId="1E26AE58"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 w:val="28"/>
                <w:szCs w:val="28"/>
              </w:rPr>
            </w:pPr>
            <w:r w:rsidRPr="00640BF4">
              <w:rPr>
                <w:rFonts w:ascii="標楷體" w:eastAsia="標楷體" w:hAnsi="標楷體"/>
                <w:color w:val="000000"/>
                <w:kern w:val="0"/>
                <w:sz w:val="28"/>
                <w:szCs w:val="28"/>
              </w:rPr>
              <w:br w:type="page"/>
            </w:r>
          </w:p>
        </w:tc>
        <w:tc>
          <w:tcPr>
            <w:tcW w:w="5415" w:type="dxa"/>
            <w:vAlign w:val="center"/>
          </w:tcPr>
          <w:p w14:paraId="4CFB2FD9"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 w:val="28"/>
                <w:szCs w:val="28"/>
              </w:rPr>
            </w:pPr>
            <w:r w:rsidRPr="00640BF4">
              <w:rPr>
                <w:rFonts w:ascii="標楷體" w:eastAsia="標楷體" w:hAnsi="標楷體"/>
                <w:bCs/>
                <w:color w:val="000000"/>
                <w:kern w:val="0"/>
                <w:sz w:val="28"/>
                <w:szCs w:val="28"/>
              </w:rPr>
              <w:t>DESCRIPTION</w:t>
            </w:r>
          </w:p>
        </w:tc>
        <w:tc>
          <w:tcPr>
            <w:tcW w:w="1156" w:type="dxa"/>
            <w:vAlign w:val="center"/>
          </w:tcPr>
          <w:p w14:paraId="5B67756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 w:val="28"/>
                <w:szCs w:val="28"/>
              </w:rPr>
            </w:pPr>
            <w:r w:rsidRPr="00640BF4">
              <w:rPr>
                <w:rFonts w:ascii="標楷體" w:eastAsia="標楷體" w:hAnsi="標楷體"/>
                <w:bCs/>
                <w:color w:val="000000"/>
                <w:kern w:val="0"/>
                <w:sz w:val="28"/>
                <w:szCs w:val="28"/>
              </w:rPr>
              <w:t>Score</w:t>
            </w:r>
          </w:p>
        </w:tc>
        <w:tc>
          <w:tcPr>
            <w:tcW w:w="851" w:type="dxa"/>
            <w:vAlign w:val="center"/>
          </w:tcPr>
          <w:p w14:paraId="2B105EB1"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 w:val="28"/>
                <w:szCs w:val="28"/>
              </w:rPr>
            </w:pPr>
            <w:r w:rsidRPr="00640BF4">
              <w:rPr>
                <w:rFonts w:ascii="標楷體" w:eastAsia="標楷體" w:hAnsi="標楷體"/>
                <w:bCs/>
                <w:color w:val="000000"/>
                <w:kern w:val="0"/>
                <w:sz w:val="28"/>
                <w:szCs w:val="28"/>
              </w:rPr>
              <w:t>√</w:t>
            </w:r>
          </w:p>
          <w:p w14:paraId="2E0D7775"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 w:val="28"/>
                <w:szCs w:val="28"/>
              </w:rPr>
            </w:pPr>
          </w:p>
        </w:tc>
      </w:tr>
      <w:tr w:rsidR="00640BF4" w:rsidRPr="00640BF4" w14:paraId="4CF3437D" w14:textId="77777777" w:rsidTr="00BA1EB4">
        <w:trPr>
          <w:trHeight w:hRule="exact" w:val="454"/>
        </w:trPr>
        <w:tc>
          <w:tcPr>
            <w:tcW w:w="2269" w:type="dxa"/>
            <w:vMerge w:val="restart"/>
            <w:vAlign w:val="center"/>
          </w:tcPr>
          <w:p w14:paraId="556E6092"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排便頻率</w:t>
            </w:r>
          </w:p>
        </w:tc>
        <w:tc>
          <w:tcPr>
            <w:tcW w:w="5415" w:type="dxa"/>
            <w:vAlign w:val="center"/>
          </w:tcPr>
          <w:p w14:paraId="067B9291"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排便次數正常</w:t>
            </w:r>
          </w:p>
        </w:tc>
        <w:tc>
          <w:tcPr>
            <w:tcW w:w="1156" w:type="dxa"/>
            <w:vAlign w:val="center"/>
          </w:tcPr>
          <w:p w14:paraId="4DB269C4"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0</w:t>
            </w:r>
          </w:p>
        </w:tc>
        <w:tc>
          <w:tcPr>
            <w:tcW w:w="851" w:type="dxa"/>
            <w:vAlign w:val="center"/>
          </w:tcPr>
          <w:p w14:paraId="50905AA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5366605E" w14:textId="77777777" w:rsidTr="00BA1EB4">
        <w:trPr>
          <w:trHeight w:hRule="exact" w:val="454"/>
        </w:trPr>
        <w:tc>
          <w:tcPr>
            <w:tcW w:w="2269" w:type="dxa"/>
            <w:vMerge/>
            <w:vAlign w:val="center"/>
          </w:tcPr>
          <w:p w14:paraId="2B70E56F"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251E90B1"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排便次數比正常多出1-2次</w:t>
            </w:r>
          </w:p>
        </w:tc>
        <w:tc>
          <w:tcPr>
            <w:tcW w:w="1156" w:type="dxa"/>
            <w:vAlign w:val="center"/>
          </w:tcPr>
          <w:p w14:paraId="20A1A713"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1</w:t>
            </w:r>
          </w:p>
        </w:tc>
        <w:tc>
          <w:tcPr>
            <w:tcW w:w="851" w:type="dxa"/>
            <w:vAlign w:val="center"/>
          </w:tcPr>
          <w:p w14:paraId="74935665"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482600AA" w14:textId="77777777" w:rsidTr="00BA1EB4">
        <w:trPr>
          <w:trHeight w:hRule="exact" w:val="454"/>
        </w:trPr>
        <w:tc>
          <w:tcPr>
            <w:tcW w:w="2269" w:type="dxa"/>
            <w:vMerge/>
            <w:vAlign w:val="center"/>
          </w:tcPr>
          <w:p w14:paraId="198BE3C5"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26ADCC71"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排便次數比正常多出3-4次</w:t>
            </w:r>
          </w:p>
        </w:tc>
        <w:tc>
          <w:tcPr>
            <w:tcW w:w="1156" w:type="dxa"/>
            <w:vAlign w:val="center"/>
          </w:tcPr>
          <w:p w14:paraId="7488D6A7"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2</w:t>
            </w:r>
          </w:p>
        </w:tc>
        <w:tc>
          <w:tcPr>
            <w:tcW w:w="851" w:type="dxa"/>
            <w:vAlign w:val="center"/>
          </w:tcPr>
          <w:p w14:paraId="409FA912"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5671629C" w14:textId="77777777" w:rsidTr="00BA1EB4">
        <w:trPr>
          <w:trHeight w:hRule="exact" w:val="454"/>
        </w:trPr>
        <w:tc>
          <w:tcPr>
            <w:tcW w:w="2269" w:type="dxa"/>
            <w:vMerge/>
            <w:vAlign w:val="center"/>
          </w:tcPr>
          <w:p w14:paraId="74F44D86"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5B4F10BA"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排便次數比正常多出5次（含）以上</w:t>
            </w:r>
          </w:p>
        </w:tc>
        <w:tc>
          <w:tcPr>
            <w:tcW w:w="1156" w:type="dxa"/>
            <w:vAlign w:val="center"/>
          </w:tcPr>
          <w:p w14:paraId="0341A3F0"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3</w:t>
            </w:r>
          </w:p>
        </w:tc>
        <w:tc>
          <w:tcPr>
            <w:tcW w:w="851" w:type="dxa"/>
            <w:vAlign w:val="center"/>
          </w:tcPr>
          <w:p w14:paraId="083AE50A"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49B68615" w14:textId="77777777" w:rsidTr="00BA1EB4">
        <w:trPr>
          <w:trHeight w:hRule="exact" w:val="454"/>
        </w:trPr>
        <w:tc>
          <w:tcPr>
            <w:tcW w:w="2269" w:type="dxa"/>
            <w:vMerge w:val="restart"/>
            <w:vAlign w:val="center"/>
          </w:tcPr>
          <w:p w14:paraId="56E0F16C"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直腸出血</w:t>
            </w:r>
          </w:p>
        </w:tc>
        <w:tc>
          <w:tcPr>
            <w:tcW w:w="5415" w:type="dxa"/>
            <w:vAlign w:val="center"/>
          </w:tcPr>
          <w:p w14:paraId="0E9AA955"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未看見血</w:t>
            </w:r>
          </w:p>
        </w:tc>
        <w:tc>
          <w:tcPr>
            <w:tcW w:w="1156" w:type="dxa"/>
            <w:vAlign w:val="center"/>
          </w:tcPr>
          <w:p w14:paraId="5E5EE756"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0</w:t>
            </w:r>
          </w:p>
        </w:tc>
        <w:tc>
          <w:tcPr>
            <w:tcW w:w="851" w:type="dxa"/>
            <w:vAlign w:val="center"/>
          </w:tcPr>
          <w:p w14:paraId="79DDB6B0"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016497A9" w14:textId="77777777" w:rsidTr="00BA1EB4">
        <w:trPr>
          <w:trHeight w:hRule="exact" w:val="454"/>
        </w:trPr>
        <w:tc>
          <w:tcPr>
            <w:tcW w:w="2269" w:type="dxa"/>
            <w:vMerge/>
            <w:vAlign w:val="center"/>
          </w:tcPr>
          <w:p w14:paraId="7A42AF1D"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6B44E36B"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不到一半的情況下，糞便帶有血絲</w:t>
            </w:r>
          </w:p>
        </w:tc>
        <w:tc>
          <w:tcPr>
            <w:tcW w:w="1156" w:type="dxa"/>
            <w:vAlign w:val="center"/>
          </w:tcPr>
          <w:p w14:paraId="4CD571B0"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1</w:t>
            </w:r>
          </w:p>
        </w:tc>
        <w:tc>
          <w:tcPr>
            <w:tcW w:w="851" w:type="dxa"/>
            <w:vAlign w:val="center"/>
          </w:tcPr>
          <w:p w14:paraId="3377437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6D05190F" w14:textId="77777777" w:rsidTr="00BA1EB4">
        <w:trPr>
          <w:trHeight w:hRule="exact" w:val="454"/>
        </w:trPr>
        <w:tc>
          <w:tcPr>
            <w:tcW w:w="2269" w:type="dxa"/>
            <w:vMerge/>
            <w:vAlign w:val="center"/>
          </w:tcPr>
          <w:p w14:paraId="0B1AD6EF"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1FB44C92"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多數情況下，糞便帶有明顯的血跡</w:t>
            </w:r>
          </w:p>
        </w:tc>
        <w:tc>
          <w:tcPr>
            <w:tcW w:w="1156" w:type="dxa"/>
            <w:vAlign w:val="center"/>
          </w:tcPr>
          <w:p w14:paraId="62EA2F6D"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2</w:t>
            </w:r>
          </w:p>
        </w:tc>
        <w:tc>
          <w:tcPr>
            <w:tcW w:w="851" w:type="dxa"/>
            <w:vAlign w:val="center"/>
          </w:tcPr>
          <w:p w14:paraId="4D2A5B80"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6F1B317D" w14:textId="77777777" w:rsidTr="00BA1EB4">
        <w:trPr>
          <w:trHeight w:hRule="exact" w:val="454"/>
        </w:trPr>
        <w:tc>
          <w:tcPr>
            <w:tcW w:w="2269" w:type="dxa"/>
            <w:vMerge/>
            <w:vAlign w:val="center"/>
          </w:tcPr>
          <w:p w14:paraId="779F534D"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364B9EBE"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只排出血</w:t>
            </w:r>
          </w:p>
        </w:tc>
        <w:tc>
          <w:tcPr>
            <w:tcW w:w="1156" w:type="dxa"/>
            <w:vAlign w:val="center"/>
          </w:tcPr>
          <w:p w14:paraId="0E15BCE9"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3</w:t>
            </w:r>
          </w:p>
        </w:tc>
        <w:tc>
          <w:tcPr>
            <w:tcW w:w="851" w:type="dxa"/>
            <w:vAlign w:val="center"/>
          </w:tcPr>
          <w:p w14:paraId="72FD00F8"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6A393A22" w14:textId="77777777" w:rsidTr="00BA1EB4">
        <w:trPr>
          <w:trHeight w:hRule="exact" w:val="454"/>
        </w:trPr>
        <w:tc>
          <w:tcPr>
            <w:tcW w:w="2269" w:type="dxa"/>
            <w:vMerge w:val="restart"/>
            <w:vAlign w:val="center"/>
          </w:tcPr>
          <w:p w14:paraId="01466AF2"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內視鏡檢查發現</w:t>
            </w:r>
          </w:p>
        </w:tc>
        <w:tc>
          <w:tcPr>
            <w:tcW w:w="5415" w:type="dxa"/>
            <w:vAlign w:val="center"/>
          </w:tcPr>
          <w:p w14:paraId="05817400"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正常或非活動性疾病</w:t>
            </w:r>
          </w:p>
        </w:tc>
        <w:tc>
          <w:tcPr>
            <w:tcW w:w="1156" w:type="dxa"/>
            <w:vAlign w:val="center"/>
          </w:tcPr>
          <w:p w14:paraId="524BCC50"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0</w:t>
            </w:r>
          </w:p>
        </w:tc>
        <w:tc>
          <w:tcPr>
            <w:tcW w:w="851" w:type="dxa"/>
            <w:vAlign w:val="center"/>
          </w:tcPr>
          <w:p w14:paraId="40E9F3C2"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6467BB7A" w14:textId="77777777" w:rsidTr="00BA1EB4">
        <w:trPr>
          <w:trHeight w:hRule="exact" w:val="595"/>
        </w:trPr>
        <w:tc>
          <w:tcPr>
            <w:tcW w:w="2269" w:type="dxa"/>
            <w:vMerge/>
            <w:vAlign w:val="center"/>
          </w:tcPr>
          <w:p w14:paraId="30781055"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09174887"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輕度疾病（發紅，血管分布減少，黏膜易脆）</w:t>
            </w:r>
          </w:p>
        </w:tc>
        <w:tc>
          <w:tcPr>
            <w:tcW w:w="1156" w:type="dxa"/>
            <w:vAlign w:val="center"/>
          </w:tcPr>
          <w:p w14:paraId="5D4606A2"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1</w:t>
            </w:r>
          </w:p>
        </w:tc>
        <w:tc>
          <w:tcPr>
            <w:tcW w:w="851" w:type="dxa"/>
            <w:vAlign w:val="center"/>
          </w:tcPr>
          <w:p w14:paraId="62795967"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766E4781" w14:textId="77777777" w:rsidTr="00BA1EB4">
        <w:trPr>
          <w:trHeight w:hRule="exact" w:val="751"/>
        </w:trPr>
        <w:tc>
          <w:tcPr>
            <w:tcW w:w="2269" w:type="dxa"/>
            <w:vMerge/>
            <w:vAlign w:val="center"/>
          </w:tcPr>
          <w:p w14:paraId="7A902935"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0789DA0E"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中度疾病（明顯發紅，無正常血管分佈，輕度脆性，糜爛）</w:t>
            </w:r>
          </w:p>
        </w:tc>
        <w:tc>
          <w:tcPr>
            <w:tcW w:w="1156" w:type="dxa"/>
            <w:vAlign w:val="center"/>
          </w:tcPr>
          <w:p w14:paraId="4E7F120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2</w:t>
            </w:r>
          </w:p>
        </w:tc>
        <w:tc>
          <w:tcPr>
            <w:tcW w:w="851" w:type="dxa"/>
            <w:vAlign w:val="center"/>
          </w:tcPr>
          <w:p w14:paraId="7BE40A5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0708B0B1" w14:textId="77777777" w:rsidTr="00BA1EB4">
        <w:trPr>
          <w:trHeight w:hRule="exact" w:val="454"/>
        </w:trPr>
        <w:tc>
          <w:tcPr>
            <w:tcW w:w="2269" w:type="dxa"/>
            <w:vMerge/>
            <w:vAlign w:val="center"/>
          </w:tcPr>
          <w:p w14:paraId="7FBA2934"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23CBAE26"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嚴重疾病（自發性出血或潰瘍）</w:t>
            </w:r>
          </w:p>
        </w:tc>
        <w:tc>
          <w:tcPr>
            <w:tcW w:w="1156" w:type="dxa"/>
            <w:vAlign w:val="center"/>
          </w:tcPr>
          <w:p w14:paraId="57E49DD4"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3</w:t>
            </w:r>
          </w:p>
        </w:tc>
        <w:tc>
          <w:tcPr>
            <w:tcW w:w="851" w:type="dxa"/>
            <w:vAlign w:val="center"/>
          </w:tcPr>
          <w:p w14:paraId="7887A66E"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22DEC500" w14:textId="77777777" w:rsidTr="00BA1EB4">
        <w:trPr>
          <w:trHeight w:hRule="exact" w:val="454"/>
        </w:trPr>
        <w:tc>
          <w:tcPr>
            <w:tcW w:w="2269" w:type="dxa"/>
            <w:vMerge w:val="restart"/>
            <w:vAlign w:val="center"/>
          </w:tcPr>
          <w:p w14:paraId="736F2AF9" w14:textId="77777777" w:rsidR="00640BF4" w:rsidRPr="00640BF4" w:rsidRDefault="00640BF4" w:rsidP="00BA1EB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醫師整體評估</w:t>
            </w:r>
          </w:p>
        </w:tc>
        <w:tc>
          <w:tcPr>
            <w:tcW w:w="5415" w:type="dxa"/>
            <w:vAlign w:val="center"/>
          </w:tcPr>
          <w:p w14:paraId="0AD086E6"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正常(sub scores are mostly 0)</w:t>
            </w:r>
          </w:p>
        </w:tc>
        <w:tc>
          <w:tcPr>
            <w:tcW w:w="1156" w:type="dxa"/>
            <w:vAlign w:val="center"/>
          </w:tcPr>
          <w:p w14:paraId="7CD3E384"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0</w:t>
            </w:r>
          </w:p>
        </w:tc>
        <w:tc>
          <w:tcPr>
            <w:tcW w:w="851" w:type="dxa"/>
            <w:vAlign w:val="center"/>
          </w:tcPr>
          <w:p w14:paraId="67CC4778"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60A98A1C" w14:textId="77777777" w:rsidTr="00BA1EB4">
        <w:trPr>
          <w:trHeight w:hRule="exact" w:val="454"/>
        </w:trPr>
        <w:tc>
          <w:tcPr>
            <w:tcW w:w="2269" w:type="dxa"/>
            <w:vMerge/>
            <w:vAlign w:val="center"/>
          </w:tcPr>
          <w:p w14:paraId="573854E2"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271D51AC"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輕度疾病(sub scores are mostly 1)</w:t>
            </w:r>
          </w:p>
        </w:tc>
        <w:tc>
          <w:tcPr>
            <w:tcW w:w="1156" w:type="dxa"/>
            <w:vAlign w:val="center"/>
          </w:tcPr>
          <w:p w14:paraId="2AD2F8B8"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1</w:t>
            </w:r>
          </w:p>
        </w:tc>
        <w:tc>
          <w:tcPr>
            <w:tcW w:w="851" w:type="dxa"/>
            <w:vAlign w:val="center"/>
          </w:tcPr>
          <w:p w14:paraId="7A9C7E63"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5E4AAEF8" w14:textId="77777777" w:rsidTr="00BA1EB4">
        <w:trPr>
          <w:trHeight w:hRule="exact" w:val="437"/>
        </w:trPr>
        <w:tc>
          <w:tcPr>
            <w:tcW w:w="2269" w:type="dxa"/>
            <w:vMerge/>
            <w:vAlign w:val="center"/>
          </w:tcPr>
          <w:p w14:paraId="63242E9C"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7E1CF9B9"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中度疾病(sub scores are mostly 1 to 2)</w:t>
            </w:r>
          </w:p>
        </w:tc>
        <w:tc>
          <w:tcPr>
            <w:tcW w:w="1156" w:type="dxa"/>
            <w:vAlign w:val="center"/>
          </w:tcPr>
          <w:p w14:paraId="38A5335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2</w:t>
            </w:r>
          </w:p>
        </w:tc>
        <w:tc>
          <w:tcPr>
            <w:tcW w:w="851" w:type="dxa"/>
            <w:vAlign w:val="center"/>
          </w:tcPr>
          <w:p w14:paraId="34AFFB5B"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2FFB8BE2" w14:textId="77777777" w:rsidTr="00BA1EB4">
        <w:trPr>
          <w:trHeight w:hRule="exact" w:val="429"/>
        </w:trPr>
        <w:tc>
          <w:tcPr>
            <w:tcW w:w="2269" w:type="dxa"/>
            <w:vMerge/>
            <w:vAlign w:val="center"/>
          </w:tcPr>
          <w:p w14:paraId="722742EC"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c>
          <w:tcPr>
            <w:tcW w:w="5415" w:type="dxa"/>
            <w:vAlign w:val="center"/>
          </w:tcPr>
          <w:p w14:paraId="673F47FA" w14:textId="77777777" w:rsidR="00640BF4" w:rsidRPr="00640BF4" w:rsidRDefault="00640BF4" w:rsidP="00BA1EB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重度疾病(sub scores are mostly 2 to 3)</w:t>
            </w:r>
          </w:p>
        </w:tc>
        <w:tc>
          <w:tcPr>
            <w:tcW w:w="1156" w:type="dxa"/>
            <w:vAlign w:val="center"/>
          </w:tcPr>
          <w:p w14:paraId="01B91F8F"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r w:rsidRPr="00640BF4">
              <w:rPr>
                <w:rFonts w:ascii="標楷體" w:eastAsia="標楷體" w:hAnsi="標楷體"/>
                <w:bCs/>
                <w:color w:val="000000"/>
                <w:kern w:val="0"/>
                <w:szCs w:val="24"/>
              </w:rPr>
              <w:t>3</w:t>
            </w:r>
          </w:p>
        </w:tc>
        <w:tc>
          <w:tcPr>
            <w:tcW w:w="851" w:type="dxa"/>
            <w:vAlign w:val="center"/>
          </w:tcPr>
          <w:p w14:paraId="35FC6D58"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00531A29" w14:textId="77777777" w:rsidTr="00BA1EB4">
        <w:trPr>
          <w:trHeight w:hRule="exact" w:val="454"/>
        </w:trPr>
        <w:tc>
          <w:tcPr>
            <w:tcW w:w="9691" w:type="dxa"/>
            <w:gridSpan w:val="4"/>
            <w:vAlign w:val="center"/>
          </w:tcPr>
          <w:p w14:paraId="60322F72"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Mayo score總分： ；Endoscopy score：</w:t>
            </w:r>
          </w:p>
        </w:tc>
      </w:tr>
      <w:tr w:rsidR="00640BF4" w:rsidRPr="00640BF4" w14:paraId="3CE84208" w14:textId="77777777" w:rsidTr="00BA1EB4">
        <w:trPr>
          <w:trHeight w:hRule="exact" w:val="454"/>
        </w:trPr>
        <w:tc>
          <w:tcPr>
            <w:tcW w:w="9691" w:type="dxa"/>
            <w:gridSpan w:val="4"/>
            <w:vAlign w:val="center"/>
          </w:tcPr>
          <w:p w14:paraId="0F1F4009"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評分者簽章:                        日期:</w:t>
            </w:r>
          </w:p>
        </w:tc>
      </w:tr>
    </w:tbl>
    <w:p w14:paraId="353A0DEC" w14:textId="77777777" w:rsidR="00640BF4" w:rsidRPr="00640BF4" w:rsidRDefault="00640BF4" w:rsidP="00640BF4">
      <w:pPr>
        <w:widowControl/>
        <w:suppressAutoHyphens w:val="0"/>
        <w:autoSpaceDN/>
        <w:textAlignment w:val="auto"/>
        <w:rPr>
          <w:rFonts w:ascii="標楷體" w:eastAsia="標楷體" w:hAnsi="標楷體"/>
          <w:kern w:val="2"/>
          <w:sz w:val="28"/>
          <w:szCs w:val="28"/>
        </w:rPr>
      </w:pPr>
    </w:p>
    <w:tbl>
      <w:tblPr>
        <w:tblStyle w:val="afa"/>
        <w:tblW w:w="0" w:type="auto"/>
        <w:tblInd w:w="421" w:type="dxa"/>
        <w:tblLook w:val="04A0" w:firstRow="1" w:lastRow="0" w:firstColumn="1" w:lastColumn="0" w:noHBand="0" w:noVBand="1"/>
      </w:tblPr>
      <w:tblGrid>
        <w:gridCol w:w="2974"/>
        <w:gridCol w:w="2975"/>
      </w:tblGrid>
      <w:tr w:rsidR="00640BF4" w:rsidRPr="00640BF4" w14:paraId="705E2F37" w14:textId="77777777" w:rsidTr="00640BF4">
        <w:trPr>
          <w:trHeight w:hRule="exact" w:val="454"/>
        </w:trPr>
        <w:tc>
          <w:tcPr>
            <w:tcW w:w="2974" w:type="dxa"/>
            <w:vAlign w:val="center"/>
          </w:tcPr>
          <w:p w14:paraId="0F34DAB3"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Mayo score</w:t>
            </w:r>
          </w:p>
        </w:tc>
        <w:tc>
          <w:tcPr>
            <w:tcW w:w="2975" w:type="dxa"/>
            <w:vAlign w:val="center"/>
          </w:tcPr>
          <w:p w14:paraId="79B6AED6" w14:textId="77777777" w:rsidR="00640BF4" w:rsidRPr="00640BF4" w:rsidRDefault="00640BF4" w:rsidP="00640BF4">
            <w:pPr>
              <w:suppressAutoHyphens w:val="0"/>
              <w:autoSpaceDE w:val="0"/>
              <w:adjustRightInd w:val="0"/>
              <w:ind w:left="940" w:hanging="700"/>
              <w:jc w:val="center"/>
              <w:rPr>
                <w:rFonts w:ascii="標楷體" w:eastAsia="標楷體" w:hAnsi="標楷體"/>
                <w:bCs/>
                <w:color w:val="000000"/>
                <w:kern w:val="0"/>
                <w:szCs w:val="24"/>
              </w:rPr>
            </w:pPr>
          </w:p>
        </w:tc>
      </w:tr>
      <w:tr w:rsidR="00640BF4" w:rsidRPr="00640BF4" w14:paraId="02999A2E" w14:textId="77777777" w:rsidTr="00640BF4">
        <w:trPr>
          <w:trHeight w:hRule="exact" w:val="454"/>
        </w:trPr>
        <w:tc>
          <w:tcPr>
            <w:tcW w:w="2974" w:type="dxa"/>
            <w:vAlign w:val="center"/>
          </w:tcPr>
          <w:p w14:paraId="68464B56"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3-5</w:t>
            </w:r>
          </w:p>
        </w:tc>
        <w:tc>
          <w:tcPr>
            <w:tcW w:w="2975" w:type="dxa"/>
            <w:vAlign w:val="center"/>
          </w:tcPr>
          <w:p w14:paraId="6BC513E8"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Mild Activity</w:t>
            </w:r>
          </w:p>
        </w:tc>
      </w:tr>
      <w:tr w:rsidR="00640BF4" w:rsidRPr="00640BF4" w14:paraId="1E7E2D30" w14:textId="77777777" w:rsidTr="00640BF4">
        <w:trPr>
          <w:trHeight w:hRule="exact" w:val="454"/>
        </w:trPr>
        <w:tc>
          <w:tcPr>
            <w:tcW w:w="2974" w:type="dxa"/>
            <w:vAlign w:val="center"/>
          </w:tcPr>
          <w:p w14:paraId="59BC8397"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6-10</w:t>
            </w:r>
          </w:p>
        </w:tc>
        <w:tc>
          <w:tcPr>
            <w:tcW w:w="2975" w:type="dxa"/>
            <w:vAlign w:val="center"/>
          </w:tcPr>
          <w:p w14:paraId="3011307E"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Moderate Activity</w:t>
            </w:r>
          </w:p>
        </w:tc>
      </w:tr>
      <w:tr w:rsidR="00640BF4" w:rsidRPr="00640BF4" w14:paraId="146051ED" w14:textId="77777777" w:rsidTr="00640BF4">
        <w:trPr>
          <w:trHeight w:hRule="exact" w:val="454"/>
        </w:trPr>
        <w:tc>
          <w:tcPr>
            <w:tcW w:w="2974" w:type="dxa"/>
            <w:vAlign w:val="center"/>
          </w:tcPr>
          <w:p w14:paraId="699854FD"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11-12</w:t>
            </w:r>
          </w:p>
        </w:tc>
        <w:tc>
          <w:tcPr>
            <w:tcW w:w="2975" w:type="dxa"/>
            <w:vAlign w:val="center"/>
          </w:tcPr>
          <w:p w14:paraId="140163DA" w14:textId="77777777" w:rsidR="00640BF4" w:rsidRPr="00640BF4" w:rsidRDefault="00640BF4" w:rsidP="00640BF4">
            <w:pPr>
              <w:suppressAutoHyphens w:val="0"/>
              <w:autoSpaceDE w:val="0"/>
              <w:adjustRightInd w:val="0"/>
              <w:ind w:left="940" w:hanging="700"/>
              <w:rPr>
                <w:rFonts w:ascii="標楷體" w:eastAsia="標楷體" w:hAnsi="標楷體"/>
                <w:bCs/>
                <w:color w:val="000000"/>
                <w:kern w:val="0"/>
                <w:szCs w:val="24"/>
              </w:rPr>
            </w:pPr>
            <w:r w:rsidRPr="00640BF4">
              <w:rPr>
                <w:rFonts w:ascii="標楷體" w:eastAsia="標楷體" w:hAnsi="標楷體"/>
                <w:bCs/>
                <w:color w:val="000000"/>
                <w:kern w:val="0"/>
                <w:szCs w:val="24"/>
              </w:rPr>
              <w:t>Severe Activity</w:t>
            </w:r>
          </w:p>
        </w:tc>
      </w:tr>
    </w:tbl>
    <w:p w14:paraId="7E7A95BE" w14:textId="77777777" w:rsidR="005426CD" w:rsidRDefault="005426CD">
      <w:r>
        <w:br w:type="page"/>
      </w:r>
    </w:p>
    <w:p w14:paraId="659EED63" w14:textId="62EF90D6" w:rsidR="005426CD" w:rsidRPr="005426CD" w:rsidRDefault="005426CD" w:rsidP="005426CD">
      <w:pPr>
        <w:widowControl/>
        <w:suppressAutoHyphens w:val="0"/>
        <w:autoSpaceDN/>
        <w:jc w:val="right"/>
        <w:textAlignment w:val="auto"/>
        <w:rPr>
          <w:rFonts w:ascii="標楷體" w:eastAsia="標楷體" w:hAnsi="標楷體"/>
          <w:kern w:val="2"/>
          <w:szCs w:val="24"/>
        </w:rPr>
      </w:pPr>
      <w:r>
        <w:rPr>
          <w:rFonts w:ascii="標楷體" w:eastAsia="標楷體" w:hAnsi="標楷體" w:hint="eastAsia"/>
          <w:kern w:val="2"/>
          <w:szCs w:val="24"/>
        </w:rPr>
        <w:lastRenderedPageBreak/>
        <w:t xml:space="preserve">   </w:t>
      </w:r>
      <w:r w:rsidRPr="005426CD">
        <w:rPr>
          <w:rFonts w:ascii="標楷體" w:eastAsia="標楷體" w:hAnsi="標楷體"/>
          <w:kern w:val="2"/>
          <w:szCs w:val="24"/>
        </w:rPr>
        <w:t>附表二十六之七 全民健康保險小兒潰瘍性結腸炎使用adalimumab、infliximab申請表</w:t>
      </w:r>
    </w:p>
    <w:tbl>
      <w:tblPr>
        <w:tblW w:w="9695" w:type="dxa"/>
        <w:tblInd w:w="403" w:type="dxa"/>
        <w:tblLayout w:type="fixed"/>
        <w:tblCellMar>
          <w:left w:w="10" w:type="dxa"/>
          <w:right w:w="10" w:type="dxa"/>
        </w:tblCellMar>
        <w:tblLook w:val="0000" w:firstRow="0" w:lastRow="0" w:firstColumn="0" w:lastColumn="0" w:noHBand="0" w:noVBand="0"/>
      </w:tblPr>
      <w:tblGrid>
        <w:gridCol w:w="1477"/>
        <w:gridCol w:w="1547"/>
        <w:gridCol w:w="1408"/>
        <w:gridCol w:w="1601"/>
        <w:gridCol w:w="1050"/>
        <w:gridCol w:w="2556"/>
        <w:gridCol w:w="56"/>
      </w:tblGrid>
      <w:tr w:rsidR="005426CD" w:rsidRPr="005426CD" w14:paraId="039188A6" w14:textId="77777777" w:rsidTr="005426CD">
        <w:trPr>
          <w:gridAfter w:val="1"/>
          <w:wAfter w:w="56" w:type="dxa"/>
          <w:cantSplit/>
          <w:trHeight w:val="376"/>
        </w:trPr>
        <w:tc>
          <w:tcPr>
            <w:tcW w:w="1477"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D05E055" w14:textId="77777777" w:rsidR="005426CD" w:rsidRPr="005426CD" w:rsidRDefault="005426CD" w:rsidP="005426CD">
            <w:pPr>
              <w:suppressAutoHyphens w:val="0"/>
              <w:autoSpaceDN/>
              <w:snapToGrid w:val="0"/>
              <w:spacing w:line="380" w:lineRule="exact"/>
              <w:textAlignment w:val="auto"/>
              <w:rPr>
                <w:rFonts w:ascii="標楷體" w:eastAsia="標楷體" w:hAnsi="標楷體"/>
                <w:kern w:val="2"/>
                <w:szCs w:val="24"/>
              </w:rPr>
            </w:pPr>
            <w:r w:rsidRPr="005426CD">
              <w:rPr>
                <w:rFonts w:ascii="標楷體" w:eastAsia="標楷體" w:hAnsi="標楷體"/>
                <w:kern w:val="2"/>
                <w:sz w:val="28"/>
                <w:szCs w:val="28"/>
              </w:rPr>
              <w:br w:type="page"/>
            </w:r>
            <w:r w:rsidRPr="005426CD">
              <w:rPr>
                <w:rFonts w:ascii="標楷體" w:eastAsia="標楷體" w:hAnsi="標楷體"/>
                <w:kern w:val="2"/>
                <w:szCs w:val="24"/>
              </w:rPr>
              <w:t>醫院代號</w:t>
            </w:r>
          </w:p>
        </w:tc>
        <w:tc>
          <w:tcPr>
            <w:tcW w:w="154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7BEFE7" w14:textId="77777777" w:rsidR="005426CD" w:rsidRPr="005426CD" w:rsidRDefault="005426CD" w:rsidP="005426CD">
            <w:pPr>
              <w:suppressAutoHyphens w:val="0"/>
              <w:autoSpaceDN/>
              <w:snapToGrid w:val="0"/>
              <w:spacing w:line="380" w:lineRule="exact"/>
              <w:textAlignment w:val="auto"/>
              <w:rPr>
                <w:rFonts w:ascii="標楷體" w:eastAsia="標楷體" w:hAnsi="標楷體"/>
                <w:kern w:val="2"/>
                <w:szCs w:val="24"/>
              </w:rPr>
            </w:pPr>
          </w:p>
        </w:tc>
        <w:tc>
          <w:tcPr>
            <w:tcW w:w="1408"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EAF2E48" w14:textId="77777777" w:rsidR="005426CD" w:rsidRPr="005426CD" w:rsidRDefault="005426CD" w:rsidP="005426CD">
            <w:pPr>
              <w:suppressAutoHyphens w:val="0"/>
              <w:autoSpaceDN/>
              <w:snapToGrid w:val="0"/>
              <w:spacing w:line="380" w:lineRule="exact"/>
              <w:textAlignment w:val="auto"/>
              <w:rPr>
                <w:rFonts w:ascii="標楷體" w:eastAsia="標楷體" w:hAnsi="標楷體"/>
                <w:kern w:val="2"/>
                <w:szCs w:val="24"/>
              </w:rPr>
            </w:pPr>
            <w:r w:rsidRPr="005426CD">
              <w:rPr>
                <w:rFonts w:ascii="標楷體" w:eastAsia="標楷體" w:hAnsi="標楷體"/>
                <w:kern w:val="2"/>
                <w:szCs w:val="24"/>
              </w:rPr>
              <w:t>醫院名稱</w:t>
            </w:r>
          </w:p>
        </w:tc>
        <w:tc>
          <w:tcPr>
            <w:tcW w:w="1601"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18F774B" w14:textId="77777777" w:rsidR="005426CD" w:rsidRPr="005426CD" w:rsidRDefault="005426CD" w:rsidP="005426CD">
            <w:pPr>
              <w:suppressAutoHyphens w:val="0"/>
              <w:autoSpaceDN/>
              <w:snapToGrid w:val="0"/>
              <w:spacing w:line="380" w:lineRule="exact"/>
              <w:textAlignment w:val="auto"/>
              <w:rPr>
                <w:rFonts w:ascii="標楷體" w:eastAsia="標楷體" w:hAnsi="標楷體"/>
                <w:kern w:val="2"/>
                <w:szCs w:val="24"/>
              </w:rPr>
            </w:pPr>
          </w:p>
        </w:tc>
        <w:tc>
          <w:tcPr>
            <w:tcW w:w="1050"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E04AE5" w14:textId="77777777" w:rsidR="005426CD" w:rsidRPr="005426CD" w:rsidRDefault="005426CD" w:rsidP="005426CD">
            <w:pPr>
              <w:suppressAutoHyphens w:val="0"/>
              <w:autoSpaceDN/>
              <w:snapToGrid w:val="0"/>
              <w:spacing w:line="380" w:lineRule="exact"/>
              <w:textAlignment w:val="auto"/>
              <w:rPr>
                <w:rFonts w:ascii="標楷體" w:eastAsia="標楷體" w:hAnsi="標楷體"/>
                <w:kern w:val="2"/>
                <w:szCs w:val="24"/>
              </w:rPr>
            </w:pPr>
            <w:r w:rsidRPr="005426CD">
              <w:rPr>
                <w:rFonts w:ascii="標楷體" w:eastAsia="標楷體" w:hAnsi="標楷體"/>
                <w:kern w:val="2"/>
                <w:szCs w:val="24"/>
              </w:rPr>
              <w:t>申請日期</w:t>
            </w:r>
          </w:p>
        </w:tc>
        <w:tc>
          <w:tcPr>
            <w:tcW w:w="2556"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2A5F415" w14:textId="77777777" w:rsidR="005426CD" w:rsidRPr="005426CD" w:rsidRDefault="005426CD" w:rsidP="005426CD">
            <w:pPr>
              <w:suppressAutoHyphens w:val="0"/>
              <w:autoSpaceDN/>
              <w:snapToGrid w:val="0"/>
              <w:spacing w:line="380" w:lineRule="exact"/>
              <w:ind w:firstLineChars="200" w:firstLine="480"/>
              <w:textAlignment w:val="auto"/>
              <w:rPr>
                <w:rFonts w:ascii="標楷體" w:eastAsia="標楷體" w:hAnsi="標楷體"/>
                <w:kern w:val="2"/>
                <w:szCs w:val="24"/>
              </w:rPr>
            </w:pPr>
            <w:r w:rsidRPr="005426CD">
              <w:rPr>
                <w:rFonts w:ascii="標楷體" w:eastAsia="標楷體" w:hAnsi="標楷體"/>
                <w:kern w:val="2"/>
                <w:szCs w:val="24"/>
              </w:rPr>
              <w:t>年   月  日</w:t>
            </w:r>
          </w:p>
        </w:tc>
      </w:tr>
      <w:tr w:rsidR="005426CD" w:rsidRPr="005426CD" w14:paraId="67918EBB" w14:textId="77777777" w:rsidTr="005426CD">
        <w:trPr>
          <w:gridAfter w:val="1"/>
          <w:wAfter w:w="56" w:type="dxa"/>
          <w:cantSplit/>
          <w:trHeight w:val="332"/>
        </w:trPr>
        <w:tc>
          <w:tcPr>
            <w:tcW w:w="147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133F292"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病人姓名</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0ED693C"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EEB045A"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性別</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912E908"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82A6F4"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出生日期</w:t>
            </w:r>
          </w:p>
        </w:tc>
        <w:tc>
          <w:tcPr>
            <w:tcW w:w="2556"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304BD0AF" w14:textId="77777777" w:rsidR="005426CD" w:rsidRPr="005426CD" w:rsidRDefault="005426CD" w:rsidP="005426CD">
            <w:pPr>
              <w:suppressAutoHyphens w:val="0"/>
              <w:autoSpaceDN/>
              <w:spacing w:line="380" w:lineRule="exact"/>
              <w:ind w:firstLineChars="200" w:firstLine="480"/>
              <w:textAlignment w:val="auto"/>
              <w:rPr>
                <w:rFonts w:ascii="標楷體" w:eastAsia="標楷體" w:hAnsi="標楷體"/>
                <w:kern w:val="2"/>
                <w:szCs w:val="24"/>
              </w:rPr>
            </w:pPr>
            <w:r w:rsidRPr="005426CD">
              <w:rPr>
                <w:rFonts w:ascii="標楷體" w:eastAsia="標楷體" w:hAnsi="標楷體"/>
                <w:kern w:val="2"/>
                <w:szCs w:val="24"/>
              </w:rPr>
              <w:t>年   月  日</w:t>
            </w:r>
          </w:p>
        </w:tc>
      </w:tr>
      <w:tr w:rsidR="005426CD" w:rsidRPr="005426CD" w14:paraId="0C69DC54" w14:textId="77777777" w:rsidTr="005426CD">
        <w:trPr>
          <w:gridAfter w:val="1"/>
          <w:wAfter w:w="56" w:type="dxa"/>
          <w:cantSplit/>
          <w:trHeight w:val="356"/>
        </w:trPr>
        <w:tc>
          <w:tcPr>
            <w:tcW w:w="147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61D8EDF"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身分證號</w:t>
            </w:r>
          </w:p>
        </w:tc>
        <w:tc>
          <w:tcPr>
            <w:tcW w:w="15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6FEF347"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C7C4B5"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病歷號碼</w:t>
            </w:r>
          </w:p>
        </w:tc>
        <w:tc>
          <w:tcPr>
            <w:tcW w:w="16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D22C65"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1050"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20FDF3F6"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使用期間</w:t>
            </w:r>
          </w:p>
        </w:tc>
        <w:tc>
          <w:tcPr>
            <w:tcW w:w="2556"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4984F2F7"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自    年   月   日</w:t>
            </w:r>
          </w:p>
        </w:tc>
      </w:tr>
      <w:tr w:rsidR="005426CD" w:rsidRPr="005426CD" w14:paraId="6629B614" w14:textId="77777777" w:rsidTr="005426CD">
        <w:trPr>
          <w:gridAfter w:val="1"/>
          <w:wAfter w:w="56" w:type="dxa"/>
          <w:cantSplit/>
          <w:trHeight w:val="434"/>
        </w:trPr>
        <w:tc>
          <w:tcPr>
            <w:tcW w:w="1477"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543639E3"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藥品代碼</w:t>
            </w:r>
          </w:p>
        </w:tc>
        <w:tc>
          <w:tcPr>
            <w:tcW w:w="154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3F579C38"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1408"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1F10F99F"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用法用量</w:t>
            </w:r>
          </w:p>
        </w:tc>
        <w:tc>
          <w:tcPr>
            <w:tcW w:w="1601"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945041A"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1050"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vAlign w:val="center"/>
          </w:tcPr>
          <w:p w14:paraId="17BB5441"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p>
        </w:tc>
        <w:tc>
          <w:tcPr>
            <w:tcW w:w="2556"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089C104B" w14:textId="77777777" w:rsidR="005426CD" w:rsidRPr="005426CD" w:rsidRDefault="005426CD" w:rsidP="005426CD">
            <w:pPr>
              <w:suppressAutoHyphens w:val="0"/>
              <w:autoSpaceDN/>
              <w:spacing w:line="380" w:lineRule="exact"/>
              <w:textAlignment w:val="auto"/>
              <w:rPr>
                <w:rFonts w:ascii="標楷體" w:eastAsia="標楷體" w:hAnsi="標楷體"/>
                <w:kern w:val="2"/>
                <w:szCs w:val="24"/>
              </w:rPr>
            </w:pPr>
            <w:r w:rsidRPr="005426CD">
              <w:rPr>
                <w:rFonts w:ascii="標楷體" w:eastAsia="標楷體" w:hAnsi="標楷體"/>
                <w:kern w:val="2"/>
                <w:szCs w:val="24"/>
              </w:rPr>
              <w:t>至　年  月　日</w:t>
            </w:r>
          </w:p>
        </w:tc>
      </w:tr>
      <w:tr w:rsidR="005426CD" w:rsidRPr="005426CD" w14:paraId="45F18A5E" w14:textId="77777777" w:rsidTr="00630B92">
        <w:trPr>
          <w:trHeight w:val="35"/>
        </w:trPr>
        <w:tc>
          <w:tcPr>
            <w:tcW w:w="9695" w:type="dxa"/>
            <w:gridSpan w:val="7"/>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93B1D3E" w14:textId="77777777" w:rsidR="005426CD" w:rsidRPr="005426CD" w:rsidRDefault="005426CD" w:rsidP="005426CD">
            <w:pPr>
              <w:suppressAutoHyphens w:val="0"/>
              <w:autoSpaceDN/>
              <w:spacing w:before="202" w:line="400" w:lineRule="exact"/>
              <w:textAlignment w:val="auto"/>
              <w:rPr>
                <w:rFonts w:ascii="標楷體" w:eastAsia="標楷體" w:hAnsi="標楷體"/>
                <w:kern w:val="2"/>
                <w:szCs w:val="24"/>
              </w:rPr>
            </w:pPr>
            <w:r w:rsidRPr="005426CD">
              <w:rPr>
                <w:rFonts w:ascii="標楷體" w:eastAsia="標楷體" w:hAnsi="標楷體"/>
                <w:kern w:val="2"/>
                <w:sz w:val="28"/>
                <w:szCs w:val="28"/>
              </w:rPr>
              <w:br w:type="page"/>
            </w:r>
            <w:r w:rsidRPr="005426CD">
              <w:rPr>
                <w:rFonts w:ascii="Webdings" w:eastAsia="Webdings" w:hAnsi="Webdings" w:cs="Webdings"/>
                <w:kern w:val="2"/>
                <w:szCs w:val="24"/>
              </w:rPr>
              <w:t></w:t>
            </w:r>
            <w:r w:rsidRPr="005426CD">
              <w:rPr>
                <w:rFonts w:ascii="標楷體" w:eastAsia="標楷體" w:hAnsi="標楷體"/>
                <w:b/>
                <w:bCs/>
                <w:kern w:val="2"/>
                <w:szCs w:val="17"/>
              </w:rPr>
              <w:t>符合下列所有條件：</w:t>
            </w:r>
          </w:p>
          <w:p w14:paraId="1BDDB6A8" w14:textId="77777777" w:rsidR="005426CD" w:rsidRPr="005426CD" w:rsidRDefault="005426CD" w:rsidP="005426CD">
            <w:pPr>
              <w:suppressAutoHyphens w:val="0"/>
              <w:autoSpaceDN/>
              <w:spacing w:line="400" w:lineRule="exact"/>
              <w:ind w:left="653" w:hanging="283"/>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六歲(含)以上診斷為小兒</w:t>
            </w:r>
            <w:r w:rsidRPr="005426CD">
              <w:rPr>
                <w:rFonts w:ascii="標楷體" w:eastAsia="標楷體" w:hAnsi="標楷體"/>
                <w:color w:val="000000"/>
                <w:kern w:val="2"/>
                <w:szCs w:val="24"/>
              </w:rPr>
              <w:t>潰瘍性結腸炎</w:t>
            </w:r>
            <w:r w:rsidRPr="005426CD">
              <w:rPr>
                <w:rFonts w:ascii="標楷體" w:eastAsia="標楷體" w:hAnsi="標楷體"/>
                <w:kern w:val="2"/>
                <w:szCs w:val="24"/>
              </w:rPr>
              <w:t xml:space="preserve">。 </w:t>
            </w:r>
          </w:p>
          <w:p w14:paraId="23B50A6C" w14:textId="77777777" w:rsidR="005426CD" w:rsidRPr="005426CD" w:rsidRDefault="005426CD" w:rsidP="005426CD">
            <w:pPr>
              <w:suppressAutoHyphens w:val="0"/>
              <w:autoSpaceDN/>
              <w:spacing w:line="400" w:lineRule="exact"/>
              <w:ind w:left="799" w:hanging="427"/>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color w:val="000000"/>
                <w:kern w:val="2"/>
                <w:szCs w:val="24"/>
              </w:rPr>
              <w:t>符合下列條件之一：</w:t>
            </w:r>
          </w:p>
          <w:p w14:paraId="735D9E55" w14:textId="7DFA9401" w:rsidR="005426CD" w:rsidRPr="005426CD" w:rsidRDefault="005426CD" w:rsidP="005426CD">
            <w:pPr>
              <w:suppressAutoHyphens w:val="0"/>
              <w:autoSpaceDN/>
              <w:spacing w:line="400" w:lineRule="exact"/>
              <w:ind w:left="1596" w:hanging="799"/>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一、</w:t>
            </w:r>
            <w:r w:rsidRPr="005426CD">
              <w:rPr>
                <w:rFonts w:ascii="標楷體" w:eastAsia="標楷體" w:hAnsi="標楷體"/>
                <w:color w:val="000000"/>
                <w:kern w:val="2"/>
                <w:szCs w:val="24"/>
              </w:rPr>
              <w:t>同時符合下列條件</w:t>
            </w:r>
          </w:p>
          <w:p w14:paraId="69901F8F" w14:textId="110CF6EF" w:rsidR="005426CD" w:rsidRPr="005426CD" w:rsidRDefault="005426CD" w:rsidP="005426CD">
            <w:pPr>
              <w:suppressAutoHyphens w:val="0"/>
              <w:autoSpaceDN/>
              <w:spacing w:line="400" w:lineRule="exact"/>
              <w:ind w:leftChars="654" w:left="1994" w:hanging="424"/>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經5-aminosalicylic acid藥物、類固醇、及/或免疫調節劑充分治療無效，或對5-aminosalicylic acid藥物、免疫調節劑產生嚴重藥物副作用。</w:t>
            </w:r>
          </w:p>
          <w:p w14:paraId="59179461" w14:textId="3969D902" w:rsidR="005426CD" w:rsidRPr="005426CD" w:rsidRDefault="005426CD" w:rsidP="005426CD">
            <w:pPr>
              <w:suppressAutoHyphens w:val="0"/>
              <w:autoSpaceDN/>
              <w:spacing w:line="400" w:lineRule="exact"/>
              <w:ind w:left="1649" w:firstLineChars="143" w:firstLine="343"/>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無法控制病情（</w:t>
            </w:r>
            <w:r w:rsidRPr="005426CD">
              <w:rPr>
                <w:rFonts w:ascii="標楷體" w:eastAsia="標楷體" w:hAnsi="標楷體"/>
                <w:color w:val="000000"/>
                <w:kern w:val="2"/>
                <w:szCs w:val="24"/>
              </w:rPr>
              <w:t>PUCAI</w:t>
            </w:r>
            <w:r w:rsidRPr="005426CD">
              <w:rPr>
                <w:rFonts w:ascii="標楷體" w:eastAsia="標楷體" w:hAnsi="標楷體"/>
                <w:kern w:val="2"/>
                <w:szCs w:val="24"/>
              </w:rPr>
              <w:t>分數：_______）</w:t>
            </w:r>
          </w:p>
          <w:p w14:paraId="78A4287F" w14:textId="77777777" w:rsidR="005426CD" w:rsidRPr="005426CD" w:rsidRDefault="005426CD" w:rsidP="005426CD">
            <w:pPr>
              <w:suppressAutoHyphens w:val="0"/>
              <w:autoSpaceDN/>
              <w:spacing w:line="400" w:lineRule="exact"/>
              <w:ind w:left="1649" w:firstLineChars="143" w:firstLine="343"/>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產生嚴重藥物副作用：藥名_________________時間__________</w:t>
            </w:r>
          </w:p>
          <w:p w14:paraId="4CB2997B" w14:textId="77777777" w:rsidR="005426CD" w:rsidRPr="005426CD" w:rsidRDefault="005426CD" w:rsidP="005426CD">
            <w:pPr>
              <w:suppressAutoHyphens w:val="0"/>
              <w:autoSpaceDN/>
              <w:spacing w:line="400" w:lineRule="exact"/>
              <w:ind w:left="1990"/>
              <w:textAlignment w:val="auto"/>
              <w:rPr>
                <w:rFonts w:ascii="標楷體" w:eastAsia="標楷體" w:hAnsi="標楷體"/>
                <w:kern w:val="2"/>
                <w:szCs w:val="24"/>
              </w:rPr>
            </w:pPr>
            <w:r w:rsidRPr="005426CD">
              <w:rPr>
                <w:rFonts w:ascii="標楷體" w:eastAsia="標楷體" w:hAnsi="標楷體"/>
                <w:kern w:val="2"/>
                <w:szCs w:val="24"/>
              </w:rPr>
              <w:t>副作用說明：___________________________</w:t>
            </w:r>
          </w:p>
          <w:p w14:paraId="7AB6DB92" w14:textId="77777777" w:rsidR="005426CD" w:rsidRPr="005426CD" w:rsidRDefault="005426CD" w:rsidP="005426CD">
            <w:pPr>
              <w:suppressAutoHyphens w:val="0"/>
              <w:autoSpaceDN/>
              <w:spacing w:line="400" w:lineRule="exact"/>
              <w:ind w:leftChars="653" w:left="1989" w:hangingChars="176" w:hanging="422"/>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color w:val="000000"/>
                <w:kern w:val="2"/>
                <w:szCs w:val="24"/>
              </w:rPr>
              <w:t>PUCAI</w:t>
            </w:r>
            <w:r w:rsidRPr="005426CD">
              <w:rPr>
                <w:rFonts w:ascii="標楷體" w:eastAsia="標楷體" w:hAnsi="標楷體" w:cs="新細明體" w:hint="eastAsia"/>
                <w:color w:val="000000"/>
                <w:kern w:val="2"/>
                <w:szCs w:val="24"/>
              </w:rPr>
              <w:t>≧</w:t>
            </w:r>
            <w:r w:rsidRPr="005426CD">
              <w:rPr>
                <w:rFonts w:ascii="標楷體" w:eastAsia="標楷體" w:hAnsi="標楷體"/>
                <w:color w:val="000000"/>
                <w:kern w:val="2"/>
                <w:szCs w:val="24"/>
              </w:rPr>
              <w:t>35分，或合併生長遲緩(height velocity Z score -1 to -2.5)孩童經營養治療與免疫抑制劑治療失敗者。</w:t>
            </w:r>
          </w:p>
          <w:p w14:paraId="541272B7" w14:textId="77777777" w:rsidR="005426CD" w:rsidRPr="005426CD" w:rsidRDefault="005426CD" w:rsidP="005426CD">
            <w:pPr>
              <w:suppressAutoHyphens w:val="0"/>
              <w:autoSpaceDN/>
              <w:spacing w:line="400" w:lineRule="exact"/>
              <w:ind w:left="1596" w:hanging="799"/>
              <w:textAlignment w:val="auto"/>
              <w:rPr>
                <w:rFonts w:ascii="標楷體" w:eastAsia="標楷體" w:hAnsi="標楷體"/>
                <w:color w:val="000000"/>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二、</w:t>
            </w:r>
            <w:r w:rsidRPr="005426CD">
              <w:rPr>
                <w:rFonts w:ascii="標楷體" w:eastAsia="標楷體" w:hAnsi="標楷體"/>
                <w:color w:val="000000"/>
                <w:kern w:val="2"/>
                <w:szCs w:val="24"/>
              </w:rPr>
              <w:t>急性嚴重的潰瘍性結腸炎，同時符合下列四要件：</w:t>
            </w:r>
          </w:p>
          <w:p w14:paraId="62C7A7ED" w14:textId="77777777" w:rsidR="005426CD" w:rsidRPr="005426CD" w:rsidRDefault="005426CD" w:rsidP="005426CD">
            <w:pPr>
              <w:suppressAutoHyphens w:val="0"/>
              <w:autoSpaceDN/>
              <w:ind w:leftChars="650" w:left="1560" w:firstLineChars="3" w:firstLine="7"/>
              <w:textAlignment w:val="auto"/>
              <w:rPr>
                <w:rFonts w:ascii="標楷體" w:eastAsia="標楷體" w:hAnsi="標楷體"/>
                <w:color w:val="000000"/>
                <w:kern w:val="2"/>
                <w:szCs w:val="24"/>
              </w:rPr>
            </w:pPr>
            <w:r w:rsidRPr="005426CD">
              <w:rPr>
                <w:rFonts w:ascii="Webdings" w:eastAsia="Webdings" w:hAnsi="Webdings" w:cs="Webdings"/>
                <w:kern w:val="2"/>
                <w:szCs w:val="24"/>
              </w:rPr>
              <w:t></w:t>
            </w:r>
            <w:r w:rsidRPr="005426CD">
              <w:rPr>
                <w:rFonts w:ascii="標楷體" w:eastAsia="標楷體" w:hAnsi="標楷體"/>
                <w:color w:val="000000"/>
                <w:kern w:val="2"/>
                <w:szCs w:val="24"/>
              </w:rPr>
              <w:t>內視鏡下符合潰瘍性結腸炎。</w:t>
            </w:r>
          </w:p>
          <w:p w14:paraId="208219F3" w14:textId="77777777" w:rsidR="005426CD" w:rsidRPr="005426CD" w:rsidRDefault="005426CD" w:rsidP="005426CD">
            <w:pPr>
              <w:suppressAutoHyphens w:val="0"/>
              <w:autoSpaceDN/>
              <w:ind w:leftChars="650" w:left="1560" w:firstLineChars="3" w:firstLine="7"/>
              <w:textAlignment w:val="auto"/>
              <w:rPr>
                <w:rFonts w:ascii="標楷體" w:eastAsia="標楷體" w:hAnsi="標楷體"/>
                <w:color w:val="000000"/>
                <w:kern w:val="2"/>
                <w:szCs w:val="24"/>
              </w:rPr>
            </w:pPr>
            <w:r w:rsidRPr="005426CD">
              <w:rPr>
                <w:rFonts w:ascii="Webdings" w:eastAsia="Webdings" w:hAnsi="Webdings" w:cs="Webdings"/>
                <w:kern w:val="2"/>
                <w:szCs w:val="24"/>
              </w:rPr>
              <w:t></w:t>
            </w:r>
            <w:r w:rsidRPr="005426CD">
              <w:rPr>
                <w:rFonts w:ascii="標楷體" w:eastAsia="標楷體" w:hAnsi="標楷體"/>
                <w:color w:val="000000"/>
                <w:kern w:val="2"/>
                <w:szCs w:val="24"/>
              </w:rPr>
              <w:t>病理切片排除巨細胞病毒腸炎、阿米巴結腸炎、淋巴癌。</w:t>
            </w:r>
          </w:p>
          <w:p w14:paraId="3A2A3381" w14:textId="77777777" w:rsidR="005426CD" w:rsidRPr="005426CD" w:rsidRDefault="005426CD" w:rsidP="005426CD">
            <w:pPr>
              <w:suppressAutoHyphens w:val="0"/>
              <w:autoSpaceDN/>
              <w:ind w:leftChars="650" w:left="1560" w:firstLineChars="3" w:firstLine="7"/>
              <w:textAlignment w:val="auto"/>
              <w:rPr>
                <w:rFonts w:ascii="標楷體" w:eastAsia="標楷體" w:hAnsi="標楷體"/>
                <w:color w:val="000000"/>
                <w:kern w:val="2"/>
                <w:szCs w:val="24"/>
              </w:rPr>
            </w:pPr>
            <w:r w:rsidRPr="005426CD">
              <w:rPr>
                <w:rFonts w:ascii="Webdings" w:eastAsia="Webdings" w:hAnsi="Webdings" w:cs="Webdings"/>
                <w:kern w:val="2"/>
                <w:szCs w:val="24"/>
              </w:rPr>
              <w:t></w:t>
            </w:r>
            <w:r w:rsidRPr="005426CD">
              <w:rPr>
                <w:rFonts w:ascii="標楷體" w:eastAsia="標楷體" w:hAnsi="標楷體"/>
                <w:color w:val="000000"/>
                <w:kern w:val="2"/>
                <w:szCs w:val="24"/>
              </w:rPr>
              <w:t>糞便檢測排除困難梭狀桿菌感染。</w:t>
            </w:r>
          </w:p>
          <w:p w14:paraId="0006A67F" w14:textId="77777777" w:rsidR="005426CD" w:rsidRPr="005426CD" w:rsidRDefault="005426CD" w:rsidP="005426CD">
            <w:pPr>
              <w:suppressAutoHyphens w:val="0"/>
              <w:autoSpaceDN/>
              <w:ind w:leftChars="650" w:left="1560" w:firstLineChars="3" w:firstLine="7"/>
              <w:textAlignment w:val="auto"/>
              <w:rPr>
                <w:rFonts w:ascii="標楷體" w:eastAsia="標楷體" w:hAnsi="標楷體"/>
                <w:color w:val="000000"/>
                <w:kern w:val="2"/>
                <w:szCs w:val="24"/>
              </w:rPr>
            </w:pPr>
            <w:r w:rsidRPr="005426CD">
              <w:rPr>
                <w:rFonts w:ascii="Webdings" w:eastAsia="Webdings" w:hAnsi="Webdings" w:cs="Webdings"/>
                <w:kern w:val="2"/>
                <w:szCs w:val="24"/>
              </w:rPr>
              <w:t></w:t>
            </w:r>
            <w:r w:rsidRPr="005426CD">
              <w:rPr>
                <w:rFonts w:ascii="標楷體" w:eastAsia="標楷體" w:hAnsi="標楷體"/>
                <w:color w:val="000000"/>
                <w:kern w:val="2"/>
                <w:szCs w:val="24"/>
              </w:rPr>
              <w:t>PUCAI為50分，經類固醇全劑量靜脈注射連續治療5天無效。</w:t>
            </w:r>
          </w:p>
          <w:p w14:paraId="1A2E0651" w14:textId="77777777" w:rsidR="005426CD" w:rsidRPr="005426CD" w:rsidRDefault="005426CD" w:rsidP="005426CD">
            <w:pPr>
              <w:suppressAutoHyphens w:val="0"/>
              <w:autoSpaceDN/>
              <w:spacing w:line="400" w:lineRule="exact"/>
              <w:ind w:left="2074" w:hanging="425"/>
              <w:textAlignment w:val="auto"/>
              <w:rPr>
                <w:rFonts w:ascii="標楷體" w:eastAsia="標楷體" w:hAnsi="標楷體"/>
                <w:kern w:val="2"/>
                <w:szCs w:val="24"/>
              </w:rPr>
            </w:pPr>
          </w:p>
          <w:p w14:paraId="72B52365" w14:textId="0EE2C378" w:rsidR="005426CD" w:rsidRPr="005426CD" w:rsidRDefault="005426CD" w:rsidP="005426CD">
            <w:pPr>
              <w:suppressAutoHyphens w:val="0"/>
              <w:autoSpaceDN/>
              <w:spacing w:before="202" w:line="400" w:lineRule="exact"/>
              <w:textAlignment w:val="auto"/>
              <w:rPr>
                <w:rFonts w:ascii="標楷體" w:eastAsia="標楷體" w:hAnsi="標楷體"/>
                <w:b/>
                <w:bCs/>
                <w:kern w:val="2"/>
                <w:szCs w:val="17"/>
              </w:rPr>
            </w:pPr>
            <w:r w:rsidRPr="005426CD">
              <w:rPr>
                <w:rFonts w:ascii="Webdings" w:eastAsia="Webdings" w:hAnsi="Webdings" w:cs="Webdings"/>
                <w:kern w:val="2"/>
                <w:szCs w:val="24"/>
              </w:rPr>
              <w:t></w:t>
            </w:r>
            <w:r w:rsidRPr="005426CD">
              <w:rPr>
                <w:rFonts w:ascii="標楷體" w:eastAsia="標楷體" w:hAnsi="標楷體"/>
                <w:b/>
                <w:bCs/>
                <w:kern w:val="2"/>
                <w:szCs w:val="17"/>
              </w:rPr>
              <w:t>符合繼續使用之療效評估：</w:t>
            </w:r>
          </w:p>
          <w:p w14:paraId="2A1BDC9D" w14:textId="77777777" w:rsidR="005426CD" w:rsidRPr="005426CD" w:rsidRDefault="005426CD" w:rsidP="005426CD">
            <w:pPr>
              <w:suppressAutoHyphens w:val="0"/>
              <w:autoSpaceDN/>
              <w:spacing w:line="400" w:lineRule="exact"/>
              <w:ind w:left="694" w:hanging="322"/>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初次使用者：</w:t>
            </w:r>
            <w:r w:rsidRPr="005426CD">
              <w:rPr>
                <w:rFonts w:ascii="標楷體" w:eastAsia="標楷體" w:hAnsi="標楷體"/>
                <w:color w:val="000000"/>
                <w:kern w:val="2"/>
                <w:szCs w:val="24"/>
              </w:rPr>
              <w:t>infliximab以6週(使用3劑)為限</w:t>
            </w:r>
            <w:r w:rsidRPr="005426CD">
              <w:rPr>
                <w:rFonts w:ascii="標楷體" w:eastAsia="標楷體" w:hAnsi="標楷體"/>
                <w:kern w:val="2"/>
                <w:szCs w:val="24"/>
              </w:rPr>
              <w:t>，達到</w:t>
            </w:r>
            <w:r w:rsidRPr="005426CD">
              <w:rPr>
                <w:rFonts w:ascii="標楷體" w:eastAsia="標楷體" w:hAnsi="標楷體"/>
                <w:color w:val="000000"/>
                <w:kern w:val="2"/>
                <w:szCs w:val="24"/>
              </w:rPr>
              <w:t>臨床反應評估者</w:t>
            </w:r>
            <w:r w:rsidRPr="005426CD">
              <w:rPr>
                <w:rFonts w:ascii="標楷體" w:eastAsia="標楷體" w:hAnsi="標楷體"/>
                <w:kern w:val="2"/>
                <w:szCs w:val="24"/>
              </w:rPr>
              <w:t>，方得申請繼續使用。</w:t>
            </w:r>
          </w:p>
          <w:p w14:paraId="09EB2B4F" w14:textId="1AE929F0" w:rsidR="005426CD" w:rsidRPr="005426CD" w:rsidRDefault="005426CD" w:rsidP="005426CD">
            <w:pPr>
              <w:suppressAutoHyphens w:val="0"/>
              <w:autoSpaceDN/>
              <w:spacing w:line="400" w:lineRule="exact"/>
              <w:ind w:left="797"/>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達到有效緩解之誘導(</w:t>
            </w:r>
            <w:r w:rsidRPr="005426CD">
              <w:rPr>
                <w:rFonts w:ascii="標楷體" w:eastAsia="標楷體" w:hAnsi="標楷體"/>
                <w:color w:val="000000"/>
                <w:kern w:val="2"/>
                <w:szCs w:val="24"/>
              </w:rPr>
              <w:t>PUCAI減少20分或PUCAI＜10分</w:t>
            </w:r>
            <w:r w:rsidRPr="005426CD">
              <w:rPr>
                <w:rFonts w:ascii="標楷體" w:eastAsia="標楷體" w:hAnsi="標楷體"/>
                <w:kern w:val="2"/>
                <w:szCs w:val="24"/>
              </w:rPr>
              <w:t xml:space="preserve">) </w:t>
            </w:r>
          </w:p>
          <w:p w14:paraId="1DE938FD" w14:textId="77777777" w:rsidR="005426CD" w:rsidRPr="005426CD" w:rsidRDefault="005426CD" w:rsidP="005426CD">
            <w:pPr>
              <w:suppressAutoHyphens w:val="0"/>
              <w:autoSpaceDN/>
              <w:spacing w:line="400" w:lineRule="exact"/>
              <w:ind w:left="1222" w:hanging="425"/>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緩解誘導之使用期間：____年____月至_____年___月</w:t>
            </w:r>
          </w:p>
          <w:p w14:paraId="173BF9BC" w14:textId="2C718ADE" w:rsidR="005426CD" w:rsidRPr="005426CD" w:rsidRDefault="005426CD" w:rsidP="005426CD">
            <w:pPr>
              <w:suppressAutoHyphens w:val="0"/>
              <w:autoSpaceDN/>
              <w:spacing w:line="400" w:lineRule="exact"/>
              <w:ind w:left="694" w:hanging="324"/>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繼續使用者：</w:t>
            </w:r>
            <w:r w:rsidRPr="005426CD">
              <w:rPr>
                <w:rFonts w:ascii="標楷體" w:eastAsia="標楷體" w:hAnsi="標楷體"/>
                <w:color w:val="000000"/>
                <w:kern w:val="2"/>
                <w:szCs w:val="24"/>
              </w:rPr>
              <w:t>以申請一次24週(使用3劑)為限</w:t>
            </w:r>
            <w:r w:rsidRPr="005426CD">
              <w:rPr>
                <w:rFonts w:ascii="標楷體" w:eastAsia="標楷體" w:hAnsi="標楷體"/>
                <w:kern w:val="2"/>
                <w:szCs w:val="24"/>
              </w:rPr>
              <w:t>。</w:t>
            </w:r>
          </w:p>
          <w:p w14:paraId="72E86122" w14:textId="77777777" w:rsidR="005426CD" w:rsidRPr="005426CD" w:rsidRDefault="005426CD" w:rsidP="005426CD">
            <w:pPr>
              <w:suppressAutoHyphens w:val="0"/>
              <w:autoSpaceDN/>
              <w:spacing w:line="400" w:lineRule="exact"/>
              <w:ind w:left="694" w:hanging="324"/>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infliximab治療期滿46週 (使用8劑)，再提出續用者，必須距離前次生物製劑治療結束間隔3個月以上，且因病情復發或以其他治療難以控制達規定之標準。</w:t>
            </w:r>
          </w:p>
          <w:p w14:paraId="57E34C43" w14:textId="77777777" w:rsidR="005426CD" w:rsidRPr="005426CD" w:rsidRDefault="005426CD" w:rsidP="005426CD">
            <w:pPr>
              <w:suppressAutoHyphens w:val="0"/>
              <w:autoSpaceDN/>
              <w:spacing w:line="400" w:lineRule="exact"/>
              <w:ind w:left="694" w:hanging="324"/>
              <w:textAlignment w:val="auto"/>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連續2次因療程結束而暫緩用藥疾病復發，且第2次復發於藥效終止後3個月內發生，則可持續使用，惟需每24週提出續用</w:t>
            </w:r>
            <w:r w:rsidRPr="005426CD">
              <w:rPr>
                <w:rFonts w:ascii="標楷體" w:eastAsia="標楷體" w:hAnsi="標楷體" w:hint="eastAsia"/>
                <w:kern w:val="2"/>
                <w:szCs w:val="24"/>
              </w:rPr>
              <w:t>事前</w:t>
            </w:r>
            <w:r w:rsidRPr="005426CD">
              <w:rPr>
                <w:rFonts w:ascii="標楷體" w:eastAsia="標楷體" w:hAnsi="標楷體"/>
                <w:kern w:val="2"/>
                <w:szCs w:val="24"/>
              </w:rPr>
              <w:t>審查</w:t>
            </w:r>
            <w:r w:rsidRPr="005426CD">
              <w:rPr>
                <w:rFonts w:ascii="標楷體" w:eastAsia="標楷體" w:hAnsi="標楷體" w:hint="eastAsia"/>
                <w:kern w:val="2"/>
                <w:szCs w:val="24"/>
              </w:rPr>
              <w:t>。</w:t>
            </w:r>
            <w:r w:rsidRPr="005426CD">
              <w:rPr>
                <w:rFonts w:ascii="標楷體" w:eastAsia="標楷體" w:hAnsi="標楷體"/>
                <w:kern w:val="2"/>
                <w:szCs w:val="24"/>
              </w:rPr>
              <w:t>連續2年(4次評估)達到PUCIA &lt; 5分，則應考慮停藥。</w:t>
            </w:r>
          </w:p>
        </w:tc>
      </w:tr>
    </w:tbl>
    <w:p w14:paraId="5E5624CB" w14:textId="77777777" w:rsidR="005426CD" w:rsidRPr="005426CD" w:rsidRDefault="005426CD" w:rsidP="005426CD">
      <w:pPr>
        <w:widowControl/>
        <w:suppressAutoHyphens w:val="0"/>
        <w:autoSpaceDN/>
        <w:textAlignment w:val="auto"/>
        <w:rPr>
          <w:rFonts w:ascii="標楷體" w:eastAsia="標楷體" w:hAnsi="標楷體"/>
          <w:kern w:val="2"/>
          <w:sz w:val="28"/>
          <w:szCs w:val="28"/>
        </w:rPr>
      </w:pPr>
      <w:r w:rsidRPr="005426CD">
        <w:rPr>
          <w:rFonts w:ascii="標楷體" w:eastAsia="標楷體" w:hAnsi="標楷體"/>
          <w:kern w:val="2"/>
          <w:sz w:val="28"/>
          <w:szCs w:val="28"/>
        </w:rPr>
        <w:t xml:space="preserve"> </w:t>
      </w:r>
    </w:p>
    <w:p w14:paraId="332081D9" w14:textId="1774D265" w:rsidR="005426CD" w:rsidRPr="005426CD" w:rsidRDefault="005426CD" w:rsidP="005426CD">
      <w:pPr>
        <w:widowControl/>
        <w:suppressAutoHyphens w:val="0"/>
        <w:rPr>
          <w:rFonts w:ascii="標楷體" w:eastAsia="標楷體" w:hAnsi="標楷體"/>
          <w:kern w:val="2"/>
          <w:sz w:val="28"/>
          <w:szCs w:val="28"/>
        </w:rPr>
      </w:pPr>
      <w:r w:rsidRPr="005426CD">
        <w:rPr>
          <w:rFonts w:ascii="標楷體" w:eastAsia="標楷體" w:hAnsi="標楷體"/>
          <w:kern w:val="2"/>
          <w:sz w:val="28"/>
          <w:szCs w:val="28"/>
        </w:rPr>
        <w:br w:type="page"/>
      </w:r>
    </w:p>
    <w:p w14:paraId="6E7D4813" w14:textId="17132545" w:rsidR="005426CD" w:rsidRPr="005426CD" w:rsidRDefault="00560500" w:rsidP="005426CD">
      <w:pPr>
        <w:widowControl/>
        <w:suppressAutoHyphens w:val="0"/>
        <w:autoSpaceDN/>
        <w:ind w:firstLineChars="118" w:firstLine="283"/>
        <w:textAlignment w:val="auto"/>
        <w:rPr>
          <w:rFonts w:ascii="標楷體" w:eastAsia="標楷體" w:hAnsi="標楷體"/>
          <w:kern w:val="2"/>
          <w:szCs w:val="24"/>
        </w:rPr>
      </w:pPr>
      <w:r w:rsidRPr="005426CD">
        <w:rPr>
          <w:rFonts w:ascii="標楷體" w:eastAsia="標楷體" w:hAnsi="標楷體"/>
          <w:kern w:val="2"/>
          <w:szCs w:val="24"/>
        </w:rPr>
        <w:lastRenderedPageBreak/>
        <w:t>附表</w:t>
      </w:r>
      <w:bookmarkStart w:id="43" w:name="_Hlk167692776"/>
      <w:r w:rsidRPr="00560500">
        <w:rPr>
          <w:rFonts w:ascii="標楷體" w:eastAsia="標楷體" w:hAnsi="標楷體"/>
          <w:kern w:val="2"/>
          <w:szCs w:val="24"/>
        </w:rPr>
        <w:t>二十六之</w:t>
      </w:r>
      <w:bookmarkEnd w:id="43"/>
      <w:r>
        <w:rPr>
          <w:rFonts w:ascii="標楷體" w:eastAsia="標楷體" w:hAnsi="標楷體" w:hint="eastAsia"/>
          <w:kern w:val="2"/>
          <w:szCs w:val="24"/>
        </w:rPr>
        <w:t xml:space="preserve">七 </w:t>
      </w:r>
      <w:r w:rsidR="005426CD" w:rsidRPr="005426CD">
        <w:rPr>
          <w:rFonts w:ascii="標楷體" w:eastAsia="標楷體" w:hAnsi="標楷體"/>
          <w:kern w:val="2"/>
          <w:szCs w:val="24"/>
        </w:rPr>
        <w:t>全民健康保險小兒潰瘍性結腸炎使用adalimumab、infliximab申請表</w:t>
      </w:r>
    </w:p>
    <w:tbl>
      <w:tblPr>
        <w:tblW w:w="9938" w:type="dxa"/>
        <w:tblInd w:w="269" w:type="dxa"/>
        <w:tblCellMar>
          <w:left w:w="10" w:type="dxa"/>
          <w:right w:w="10" w:type="dxa"/>
        </w:tblCellMar>
        <w:tblLook w:val="0000" w:firstRow="0" w:lastRow="0" w:firstColumn="0" w:lastColumn="0" w:noHBand="0" w:noVBand="0"/>
      </w:tblPr>
      <w:tblGrid>
        <w:gridCol w:w="896"/>
        <w:gridCol w:w="1324"/>
        <w:gridCol w:w="4074"/>
        <w:gridCol w:w="3644"/>
      </w:tblGrid>
      <w:tr w:rsidR="005426CD" w:rsidRPr="005426CD" w14:paraId="3BA8F2F1" w14:textId="77777777" w:rsidTr="00630B92">
        <w:trPr>
          <w:cantSplit/>
          <w:trHeight w:val="282"/>
        </w:trPr>
        <w:tc>
          <w:tcPr>
            <w:tcW w:w="9938" w:type="dxa"/>
            <w:gridSpan w:val="4"/>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5742E06F" w14:textId="77777777" w:rsidR="005426CD" w:rsidRPr="005426CD" w:rsidRDefault="005426CD" w:rsidP="005426CD">
            <w:pPr>
              <w:suppressAutoHyphens w:val="0"/>
              <w:autoSpaceDN/>
              <w:spacing w:before="202"/>
              <w:ind w:left="120"/>
              <w:textAlignment w:val="auto"/>
              <w:rPr>
                <w:rFonts w:ascii="標楷體" w:eastAsia="標楷體" w:hAnsi="標楷體"/>
                <w:kern w:val="2"/>
                <w:szCs w:val="24"/>
              </w:rPr>
            </w:pPr>
            <w:r w:rsidRPr="005426CD">
              <w:rPr>
                <w:rFonts w:ascii="標楷體" w:eastAsia="標楷體" w:hAnsi="標楷體"/>
                <w:kern w:val="2"/>
                <w:sz w:val="28"/>
                <w:szCs w:val="28"/>
              </w:rPr>
              <w:br w:type="page"/>
            </w:r>
            <w:r w:rsidRPr="005426CD">
              <w:rPr>
                <w:rFonts w:ascii="Webdings" w:eastAsia="Webdings" w:hAnsi="Webdings" w:cs="Webdings"/>
                <w:kern w:val="2"/>
                <w:szCs w:val="24"/>
              </w:rPr>
              <w:t></w:t>
            </w:r>
            <w:r w:rsidRPr="005426CD">
              <w:rPr>
                <w:rFonts w:ascii="標楷體" w:eastAsia="標楷體" w:hAnsi="標楷體"/>
                <w:b/>
                <w:kern w:val="2"/>
                <w:szCs w:val="24"/>
              </w:rPr>
              <w:t>符合「須排除或停止</w:t>
            </w:r>
            <w:r w:rsidRPr="005426CD">
              <w:rPr>
                <w:rFonts w:ascii="標楷體" w:eastAsia="標楷體" w:hAnsi="標楷體" w:hint="eastAsia"/>
                <w:b/>
                <w:kern w:val="2"/>
                <w:szCs w:val="24"/>
              </w:rPr>
              <w:t>adalimumab、</w:t>
            </w:r>
            <w:r w:rsidRPr="005426CD">
              <w:rPr>
                <w:rFonts w:ascii="標楷體" w:eastAsia="標楷體" w:hAnsi="標楷體"/>
                <w:b/>
                <w:kern w:val="2"/>
                <w:szCs w:val="24"/>
              </w:rPr>
              <w:t>infliximab使用之情形」</w:t>
            </w:r>
          </w:p>
        </w:tc>
      </w:tr>
      <w:tr w:rsidR="005426CD" w:rsidRPr="005426CD" w14:paraId="625A1372" w14:textId="77777777" w:rsidTr="00630B92">
        <w:trPr>
          <w:cantSplit/>
          <w:trHeight w:val="401"/>
        </w:trPr>
        <w:tc>
          <w:tcPr>
            <w:tcW w:w="89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5B7CE19D"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E82A9C" w14:textId="2869D95A"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45B79610" w14:textId="0E713779" w:rsidR="005426CD" w:rsidRPr="005426CD" w:rsidRDefault="005426CD" w:rsidP="005426CD">
            <w:pPr>
              <w:tabs>
                <w:tab w:val="left" w:pos="425"/>
              </w:tabs>
              <w:suppressAutoHyphens w:val="0"/>
              <w:autoSpaceDN/>
              <w:ind w:left="92"/>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F04B32A"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是否有</w:t>
            </w:r>
            <w:r w:rsidRPr="005426CD">
              <w:rPr>
                <w:rFonts w:ascii="標楷體" w:eastAsia="標楷體" w:hAnsi="標楷體" w:hint="eastAsia"/>
                <w:kern w:val="2"/>
                <w:szCs w:val="24"/>
              </w:rPr>
              <w:t>adalimumab、</w:t>
            </w:r>
            <w:r w:rsidRPr="005426CD">
              <w:rPr>
                <w:rFonts w:ascii="標楷體" w:eastAsia="標楷體" w:hAnsi="標楷體"/>
                <w:kern w:val="2"/>
                <w:szCs w:val="24"/>
              </w:rPr>
              <w:t>infliximab仿單記載之禁忌情形。</w:t>
            </w:r>
          </w:p>
        </w:tc>
      </w:tr>
      <w:tr w:rsidR="005426CD" w:rsidRPr="005426CD" w14:paraId="69CB2814" w14:textId="77777777" w:rsidTr="00630B92">
        <w:trPr>
          <w:cantSplit/>
          <w:trHeight w:val="401"/>
        </w:trPr>
        <w:tc>
          <w:tcPr>
            <w:tcW w:w="89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4A8D74E"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588B79" w14:textId="454E2A65"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7BEB8D60" w14:textId="62BD2CEC" w:rsidR="005426CD" w:rsidRPr="005426CD" w:rsidRDefault="005426CD" w:rsidP="005426CD">
            <w:pPr>
              <w:tabs>
                <w:tab w:val="left" w:pos="425"/>
              </w:tabs>
              <w:suppressAutoHyphens w:val="0"/>
              <w:autoSpaceDN/>
              <w:ind w:left="92"/>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169B95B6"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病患是否有活動性感染症。</w:t>
            </w:r>
          </w:p>
        </w:tc>
      </w:tr>
      <w:tr w:rsidR="005426CD" w:rsidRPr="005426CD" w14:paraId="09223EF6" w14:textId="77777777" w:rsidTr="00630B92">
        <w:trPr>
          <w:cantSplit/>
          <w:trHeight w:val="401"/>
        </w:trPr>
        <w:tc>
          <w:tcPr>
            <w:tcW w:w="89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31CD739D"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D91A8A" w14:textId="2DC1533A"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70DBE510" w14:textId="6CA2B0C8" w:rsidR="005426CD" w:rsidRPr="005426CD" w:rsidRDefault="005426CD" w:rsidP="005426CD">
            <w:pPr>
              <w:tabs>
                <w:tab w:val="left" w:pos="425"/>
              </w:tabs>
              <w:suppressAutoHyphens w:val="0"/>
              <w:autoSpaceDN/>
              <w:ind w:left="92"/>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EEF9B36"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未經完整治療之結核病的病患（包括潛伏結核感染治療未達四週者，申請時應檢附潛伏結核感染篩檢紀錄及治療紀錄供審查）。</w:t>
            </w:r>
          </w:p>
        </w:tc>
      </w:tr>
      <w:tr w:rsidR="005426CD" w:rsidRPr="005426CD" w14:paraId="11364520" w14:textId="77777777" w:rsidTr="002D25A6">
        <w:trPr>
          <w:cantSplit/>
          <w:trHeight w:val="401"/>
        </w:trPr>
        <w:tc>
          <w:tcPr>
            <w:tcW w:w="89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01D61CC4" w14:textId="77777777" w:rsidR="005426CD" w:rsidRPr="005426CD" w:rsidRDefault="005426CD" w:rsidP="005426CD">
            <w:pPr>
              <w:tabs>
                <w:tab w:val="left" w:pos="425"/>
              </w:tabs>
              <w:suppressAutoHyphens w:val="0"/>
              <w:autoSpaceDN/>
              <w:ind w:firstLineChars="250" w:firstLine="600"/>
              <w:textAlignment w:val="center"/>
              <w:rPr>
                <w:rFonts w:ascii="標楷體" w:eastAsia="標楷體" w:hAnsi="標楷體"/>
                <w:kern w:val="2"/>
                <w:szCs w:val="24"/>
              </w:rPr>
            </w:pPr>
            <w:r w:rsidRPr="005426CD">
              <w:rPr>
                <w:rFonts w:ascii="標楷體" w:eastAsia="標楷體" w:hAnsi="標楷體"/>
                <w:kern w:val="2"/>
                <w:szCs w:val="24"/>
              </w:rPr>
              <w:t></w:t>
            </w:r>
          </w:p>
          <w:p w14:paraId="0E1A43ED"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ACA1D6" w14:textId="475A1533"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19C944D8" w14:textId="65EC1A7E"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962CB7D"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病患是否具有高度感染機會之情形，其中包括：</w:t>
            </w:r>
          </w:p>
          <w:p w14:paraId="3E255D04"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1.慢性腿部潰瘍。</w:t>
            </w:r>
          </w:p>
          <w:p w14:paraId="3A6E3DCB" w14:textId="77777777" w:rsidR="005426CD" w:rsidRPr="005426CD" w:rsidRDefault="005426CD" w:rsidP="005426CD">
            <w:pPr>
              <w:suppressAutoHyphens w:val="0"/>
              <w:autoSpaceDN/>
              <w:ind w:left="240" w:hanging="240"/>
              <w:textAlignment w:val="center"/>
              <w:rPr>
                <w:rFonts w:ascii="標楷體" w:eastAsia="標楷體" w:hAnsi="標楷體"/>
                <w:kern w:val="2"/>
                <w:szCs w:val="24"/>
              </w:rPr>
            </w:pPr>
            <w:r w:rsidRPr="005426CD">
              <w:rPr>
                <w:rFonts w:ascii="標楷體" w:eastAsia="標楷體" w:hAnsi="標楷體"/>
                <w:kern w:val="2"/>
                <w:szCs w:val="24"/>
              </w:rPr>
              <w:t>2.具有留置導尿管或身上有引流管之情形。</w:t>
            </w:r>
          </w:p>
          <w:p w14:paraId="32455855" w14:textId="77777777" w:rsidR="005426CD" w:rsidRPr="005426CD" w:rsidRDefault="005426CD" w:rsidP="005426CD">
            <w:pPr>
              <w:suppressAutoHyphens w:val="0"/>
              <w:autoSpaceDN/>
              <w:ind w:left="240" w:hanging="240"/>
              <w:textAlignment w:val="center"/>
              <w:rPr>
                <w:rFonts w:ascii="標楷體" w:eastAsia="標楷體" w:hAnsi="標楷體"/>
                <w:kern w:val="2"/>
                <w:szCs w:val="24"/>
              </w:rPr>
            </w:pPr>
            <w:r w:rsidRPr="005426CD">
              <w:rPr>
                <w:rFonts w:ascii="標楷體" w:eastAsia="標楷體" w:hAnsi="標楷體"/>
                <w:kern w:val="2"/>
                <w:szCs w:val="24"/>
              </w:rPr>
              <w:t>3.人工關節感染，該人工關節尚未摘除。</w:t>
            </w:r>
          </w:p>
          <w:p w14:paraId="295A8893" w14:textId="77777777" w:rsidR="005426CD" w:rsidRPr="005426CD" w:rsidRDefault="005426CD" w:rsidP="005426CD">
            <w:pPr>
              <w:suppressAutoHyphens w:val="0"/>
              <w:autoSpaceDN/>
              <w:ind w:left="240" w:hanging="240"/>
              <w:textAlignment w:val="center"/>
              <w:rPr>
                <w:rFonts w:ascii="標楷體" w:eastAsia="標楷體" w:hAnsi="標楷體"/>
                <w:kern w:val="2"/>
                <w:szCs w:val="24"/>
              </w:rPr>
            </w:pPr>
            <w:r w:rsidRPr="005426CD">
              <w:rPr>
                <w:rFonts w:ascii="標楷體" w:eastAsia="標楷體" w:hAnsi="標楷體"/>
                <w:kern w:val="2"/>
                <w:szCs w:val="24"/>
              </w:rPr>
              <w:t>4.頑固性或復發性的胸腔感染疾病。</w:t>
            </w:r>
          </w:p>
        </w:tc>
      </w:tr>
      <w:tr w:rsidR="005426CD" w:rsidRPr="005426CD" w14:paraId="2292EB8D" w14:textId="77777777" w:rsidTr="002D25A6">
        <w:trPr>
          <w:cantSplit/>
          <w:trHeight w:val="401"/>
        </w:trPr>
        <w:tc>
          <w:tcPr>
            <w:tcW w:w="89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6A06884E"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A81492" w14:textId="19905BB8"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2629DEA9" w14:textId="521B63A1" w:rsidR="005426CD" w:rsidRPr="005426CD" w:rsidRDefault="005426CD" w:rsidP="005426CD">
            <w:pPr>
              <w:tabs>
                <w:tab w:val="left" w:pos="425"/>
              </w:tabs>
              <w:suppressAutoHyphens w:val="0"/>
              <w:autoSpaceDN/>
              <w:ind w:left="92"/>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F4FC706"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病患是否罹患惡性腫瘤或具有癌症前兆(pre-malignancy)</w:t>
            </w:r>
          </w:p>
        </w:tc>
      </w:tr>
      <w:tr w:rsidR="005426CD" w:rsidRPr="005426CD" w14:paraId="447E59B1" w14:textId="77777777" w:rsidTr="002D25A6">
        <w:trPr>
          <w:cantSplit/>
          <w:trHeight w:val="401"/>
        </w:trPr>
        <w:tc>
          <w:tcPr>
            <w:tcW w:w="896"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14:paraId="796346CD"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A02AB8" w14:textId="7FCA03C2"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4B93C59C" w14:textId="03FF1561" w:rsidR="005426CD" w:rsidRPr="005426CD" w:rsidRDefault="005426CD" w:rsidP="005426CD">
            <w:pPr>
              <w:tabs>
                <w:tab w:val="left" w:pos="425"/>
              </w:tabs>
              <w:suppressAutoHyphens w:val="0"/>
              <w:autoSpaceDN/>
              <w:ind w:left="92"/>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F10D9BE"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病患是否罹患多發性硬化症(multiple sclerosis)</w:t>
            </w:r>
          </w:p>
        </w:tc>
      </w:tr>
      <w:tr w:rsidR="002D25A6" w:rsidRPr="005426CD" w14:paraId="3246F563" w14:textId="77777777" w:rsidTr="002D25A6">
        <w:trPr>
          <w:cantSplit/>
          <w:trHeight w:val="401"/>
        </w:trPr>
        <w:tc>
          <w:tcPr>
            <w:tcW w:w="896" w:type="dxa"/>
            <w:tcBorders>
              <w:top w:val="single" w:sz="6" w:space="0" w:color="000000"/>
              <w:left w:val="double" w:sz="4" w:space="0" w:color="000000"/>
            </w:tcBorders>
            <w:shd w:val="clear" w:color="auto" w:fill="auto"/>
            <w:tcMar>
              <w:top w:w="0" w:type="dxa"/>
              <w:left w:w="28" w:type="dxa"/>
              <w:bottom w:w="0" w:type="dxa"/>
              <w:right w:w="28" w:type="dxa"/>
            </w:tcMar>
            <w:vAlign w:val="center"/>
          </w:tcPr>
          <w:p w14:paraId="3E43A4F5" w14:textId="77777777" w:rsidR="005426CD" w:rsidRPr="005426CD" w:rsidRDefault="005426CD" w:rsidP="005426CD">
            <w:pPr>
              <w:suppressAutoHyphens w:val="0"/>
              <w:autoSpaceDN/>
              <w:textAlignment w:val="center"/>
              <w:rPr>
                <w:rFonts w:ascii="標楷體" w:eastAsia="標楷體" w:hAnsi="標楷體"/>
                <w:kern w:val="2"/>
                <w:szCs w:val="24"/>
              </w:rPr>
            </w:pPr>
          </w:p>
        </w:tc>
        <w:tc>
          <w:tcPr>
            <w:tcW w:w="1324" w:type="dxa"/>
            <w:tcBorders>
              <w:top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1C13AF" w14:textId="6BE3CCED" w:rsidR="005426CD" w:rsidRPr="005426CD" w:rsidRDefault="005426CD" w:rsidP="005426CD">
            <w:pPr>
              <w:tabs>
                <w:tab w:val="left" w:pos="425"/>
              </w:tabs>
              <w:suppressAutoHyphens w:val="0"/>
              <w:autoSpaceDN/>
              <w:ind w:firstLineChars="37" w:firstLine="89"/>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是</w:t>
            </w:r>
          </w:p>
          <w:p w14:paraId="042C01C3" w14:textId="1D39A420" w:rsidR="005426CD" w:rsidRPr="005426CD" w:rsidRDefault="005426CD" w:rsidP="005426CD">
            <w:pPr>
              <w:tabs>
                <w:tab w:val="left" w:pos="425"/>
              </w:tabs>
              <w:suppressAutoHyphens w:val="0"/>
              <w:autoSpaceDN/>
              <w:ind w:left="92"/>
              <w:textAlignment w:val="center"/>
              <w:rPr>
                <w:rFonts w:ascii="標楷體" w:eastAsia="標楷體" w:hAnsi="標楷體"/>
                <w:kern w:val="2"/>
                <w:szCs w:val="24"/>
              </w:rPr>
            </w:pPr>
            <w:r w:rsidRPr="005426CD">
              <w:rPr>
                <w:rFonts w:ascii="Webdings" w:eastAsia="Webdings" w:hAnsi="Webdings" w:cs="Webdings"/>
                <w:kern w:val="2"/>
                <w:szCs w:val="24"/>
              </w:rPr>
              <w:t></w:t>
            </w:r>
            <w:r w:rsidRPr="005426CD">
              <w:rPr>
                <w:rFonts w:ascii="標楷體" w:eastAsia="標楷體" w:hAnsi="標楷體"/>
                <w:kern w:val="2"/>
                <w:szCs w:val="24"/>
              </w:rPr>
              <w:t>否</w:t>
            </w:r>
          </w:p>
        </w:tc>
        <w:tc>
          <w:tcPr>
            <w:tcW w:w="7718"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274C3982"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 xml:space="preserve">使用infliximab發生懷孕或不良事件(包括：惡性腫瘤、該藥物引起的嚴重毒性、嚴重的感染性疾病) </w:t>
            </w:r>
          </w:p>
        </w:tc>
      </w:tr>
      <w:tr w:rsidR="005426CD" w:rsidRPr="005426CD" w14:paraId="2ED2A091" w14:textId="77777777" w:rsidTr="005426CD">
        <w:trPr>
          <w:cantSplit/>
          <w:trHeight w:val="830"/>
        </w:trPr>
        <w:tc>
          <w:tcPr>
            <w:tcW w:w="6294" w:type="dxa"/>
            <w:gridSpan w:val="3"/>
            <w:tcBorders>
              <w:top w:val="double" w:sz="4" w:space="0" w:color="000000"/>
            </w:tcBorders>
            <w:shd w:val="clear" w:color="auto" w:fill="auto"/>
            <w:tcMar>
              <w:top w:w="0" w:type="dxa"/>
              <w:left w:w="28" w:type="dxa"/>
              <w:bottom w:w="0" w:type="dxa"/>
              <w:right w:w="28" w:type="dxa"/>
            </w:tcMar>
          </w:tcPr>
          <w:p w14:paraId="6740A38A" w14:textId="7578D665"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申請醫師（簽名蓋章）：</w:t>
            </w:r>
            <w:r>
              <w:rPr>
                <w:rFonts w:ascii="標楷體" w:eastAsia="標楷體" w:hAnsi="標楷體" w:hint="eastAsia"/>
                <w:kern w:val="2"/>
                <w:szCs w:val="24"/>
              </w:rPr>
              <w:t>_____________</w:t>
            </w:r>
          </w:p>
          <w:p w14:paraId="35CED766" w14:textId="5C0C5F1E"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消化系專科醫師證書：</w:t>
            </w:r>
            <w:r>
              <w:rPr>
                <w:rFonts w:ascii="標楷體" w:eastAsia="標楷體" w:hAnsi="標楷體" w:hint="eastAsia"/>
                <w:kern w:val="2"/>
                <w:szCs w:val="24"/>
              </w:rPr>
              <w:t>_____________</w:t>
            </w:r>
          </w:p>
          <w:p w14:paraId="5B2A3DF8" w14:textId="4DC9E309" w:rsidR="005426CD" w:rsidRPr="005426CD" w:rsidRDefault="005426CD" w:rsidP="005426CD">
            <w:pPr>
              <w:tabs>
                <w:tab w:val="left" w:pos="2912"/>
              </w:tabs>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小兒專科醫師證書：</w:t>
            </w:r>
            <w:r>
              <w:rPr>
                <w:rFonts w:ascii="標楷體" w:eastAsia="標楷體" w:hAnsi="標楷體" w:hint="eastAsia"/>
                <w:kern w:val="2"/>
                <w:szCs w:val="24"/>
              </w:rPr>
              <w:t>_____________</w:t>
            </w:r>
          </w:p>
        </w:tc>
        <w:tc>
          <w:tcPr>
            <w:tcW w:w="3644" w:type="dxa"/>
            <w:tcBorders>
              <w:top w:val="double" w:sz="4" w:space="0" w:color="000000"/>
            </w:tcBorders>
            <w:shd w:val="clear" w:color="auto" w:fill="auto"/>
            <w:tcMar>
              <w:top w:w="0" w:type="dxa"/>
              <w:left w:w="28" w:type="dxa"/>
              <w:bottom w:w="0" w:type="dxa"/>
              <w:right w:w="28" w:type="dxa"/>
            </w:tcMar>
          </w:tcPr>
          <w:p w14:paraId="7E982BBB" w14:textId="77777777" w:rsidR="005426CD" w:rsidRPr="005426CD" w:rsidRDefault="005426CD" w:rsidP="005426CD">
            <w:pPr>
              <w:suppressAutoHyphens w:val="0"/>
              <w:autoSpaceDN/>
              <w:textAlignment w:val="center"/>
              <w:rPr>
                <w:rFonts w:ascii="標楷體" w:eastAsia="標楷體" w:hAnsi="標楷體"/>
                <w:kern w:val="2"/>
                <w:szCs w:val="24"/>
              </w:rPr>
            </w:pPr>
            <w:r w:rsidRPr="005426CD">
              <w:rPr>
                <w:rFonts w:ascii="標楷體" w:eastAsia="標楷體" w:hAnsi="標楷體"/>
                <w:kern w:val="2"/>
                <w:szCs w:val="24"/>
              </w:rPr>
              <w:t>醫事機構章戳：</w:t>
            </w:r>
          </w:p>
        </w:tc>
      </w:tr>
    </w:tbl>
    <w:p w14:paraId="5C40C540" w14:textId="77777777" w:rsidR="005426CD" w:rsidRDefault="005426CD">
      <w:r>
        <w:br w:type="page"/>
      </w:r>
    </w:p>
    <w:p w14:paraId="2678BC3C"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r w:rsidRPr="005426CD">
        <w:rPr>
          <w:rFonts w:ascii="標楷體" w:eastAsia="標楷體" w:hAnsi="標楷體"/>
          <w:kern w:val="2"/>
          <w:sz w:val="28"/>
          <w:szCs w:val="28"/>
        </w:rPr>
        <w:lastRenderedPageBreak/>
        <w:t>附表二十六之八 小兒潰瘍性結腸炎</w:t>
      </w:r>
      <w:r w:rsidRPr="005426CD">
        <w:rPr>
          <w:rFonts w:ascii="標楷體" w:eastAsia="標楷體" w:hAnsi="標楷體"/>
          <w:bCs/>
          <w:kern w:val="2"/>
          <w:sz w:val="28"/>
          <w:szCs w:val="28"/>
        </w:rPr>
        <w:t>PUCAI Score</w:t>
      </w:r>
    </w:p>
    <w:tbl>
      <w:tblPr>
        <w:tblW w:w="9835" w:type="dxa"/>
        <w:tblInd w:w="-74" w:type="dxa"/>
        <w:tblLayout w:type="fixed"/>
        <w:tblLook w:val="04A0" w:firstRow="1" w:lastRow="0" w:firstColumn="1" w:lastColumn="0" w:noHBand="0" w:noVBand="1"/>
      </w:tblPr>
      <w:tblGrid>
        <w:gridCol w:w="2358"/>
        <w:gridCol w:w="5155"/>
        <w:gridCol w:w="1121"/>
        <w:gridCol w:w="1201"/>
      </w:tblGrid>
      <w:tr w:rsidR="005426CD" w:rsidRPr="005426CD" w14:paraId="379789AF" w14:textId="77777777" w:rsidTr="00630B92">
        <w:trPr>
          <w:trHeight w:val="567"/>
        </w:trPr>
        <w:tc>
          <w:tcPr>
            <w:tcW w:w="2358" w:type="dxa"/>
            <w:tcBorders>
              <w:top w:val="single" w:sz="4" w:space="0" w:color="000000"/>
              <w:left w:val="single" w:sz="4" w:space="0" w:color="000000"/>
              <w:bottom w:val="single" w:sz="4" w:space="0" w:color="000000"/>
              <w:right w:val="nil"/>
            </w:tcBorders>
          </w:tcPr>
          <w:p w14:paraId="00DA09CA" w14:textId="77777777" w:rsidR="005426CD" w:rsidRPr="005426CD" w:rsidRDefault="005426CD" w:rsidP="005426CD">
            <w:pPr>
              <w:widowControl/>
              <w:suppressAutoHyphens w:val="0"/>
              <w:autoSpaceDN/>
              <w:snapToGrid w:val="0"/>
              <w:spacing w:line="288" w:lineRule="auto"/>
              <w:jc w:val="both"/>
              <w:textAlignment w:val="auto"/>
              <w:rPr>
                <w:rFonts w:ascii="標楷體" w:eastAsia="標楷體" w:hAnsi="標楷體"/>
                <w:kern w:val="2"/>
                <w:sz w:val="28"/>
                <w:szCs w:val="28"/>
              </w:rPr>
            </w:pPr>
            <w:r w:rsidRPr="005426CD">
              <w:rPr>
                <w:rFonts w:ascii="標楷體" w:eastAsia="標楷體" w:hAnsi="標楷體"/>
                <w:kern w:val="2"/>
                <w:sz w:val="28"/>
                <w:szCs w:val="28"/>
              </w:rPr>
              <w:br w:type="page"/>
            </w:r>
          </w:p>
        </w:tc>
        <w:tc>
          <w:tcPr>
            <w:tcW w:w="5155" w:type="dxa"/>
            <w:tcBorders>
              <w:top w:val="single" w:sz="4" w:space="0" w:color="000000"/>
              <w:left w:val="single" w:sz="4" w:space="0" w:color="000000"/>
              <w:bottom w:val="single" w:sz="4" w:space="0" w:color="000000"/>
              <w:right w:val="nil"/>
            </w:tcBorders>
            <w:vAlign w:val="center"/>
            <w:hideMark/>
          </w:tcPr>
          <w:p w14:paraId="47B64281"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bCs/>
                <w:kern w:val="2"/>
                <w:sz w:val="28"/>
                <w:szCs w:val="28"/>
              </w:rPr>
              <w:t>疾病特性</w:t>
            </w:r>
          </w:p>
        </w:tc>
        <w:tc>
          <w:tcPr>
            <w:tcW w:w="1121" w:type="dxa"/>
            <w:tcBorders>
              <w:top w:val="single" w:sz="4" w:space="0" w:color="000000"/>
              <w:left w:val="single" w:sz="4" w:space="0" w:color="000000"/>
              <w:bottom w:val="single" w:sz="4" w:space="0" w:color="000000"/>
              <w:right w:val="nil"/>
            </w:tcBorders>
            <w:vAlign w:val="center"/>
            <w:hideMark/>
          </w:tcPr>
          <w:p w14:paraId="36222A94"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bCs/>
                <w:kern w:val="2"/>
                <w:sz w:val="28"/>
                <w:szCs w:val="28"/>
              </w:rPr>
              <w:t>分數</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57C83B4B"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bCs/>
                <w:kern w:val="2"/>
                <w:sz w:val="28"/>
                <w:szCs w:val="28"/>
              </w:rPr>
              <w:t>√</w:t>
            </w:r>
          </w:p>
        </w:tc>
      </w:tr>
      <w:tr w:rsidR="005426CD" w:rsidRPr="005426CD" w14:paraId="3DF5CD69" w14:textId="77777777" w:rsidTr="00630B92">
        <w:trPr>
          <w:trHeight w:val="567"/>
        </w:trPr>
        <w:tc>
          <w:tcPr>
            <w:tcW w:w="2358" w:type="dxa"/>
            <w:vMerge w:val="restart"/>
            <w:tcBorders>
              <w:top w:val="single" w:sz="4" w:space="0" w:color="000000"/>
              <w:left w:val="single" w:sz="4" w:space="0" w:color="000000"/>
              <w:right w:val="nil"/>
            </w:tcBorders>
          </w:tcPr>
          <w:p w14:paraId="4B89C575"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p w14:paraId="7F68ECE5"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p w14:paraId="775513C2"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Abdominal pain</w:t>
            </w:r>
          </w:p>
        </w:tc>
        <w:tc>
          <w:tcPr>
            <w:tcW w:w="5155" w:type="dxa"/>
            <w:tcBorders>
              <w:top w:val="single" w:sz="4" w:space="0" w:color="000000"/>
              <w:left w:val="single" w:sz="4" w:space="0" w:color="000000"/>
              <w:bottom w:val="single" w:sz="4" w:space="0" w:color="000000"/>
              <w:right w:val="nil"/>
            </w:tcBorders>
            <w:vAlign w:val="center"/>
            <w:hideMark/>
          </w:tcPr>
          <w:p w14:paraId="15E40260" w14:textId="77777777" w:rsidR="005426CD" w:rsidRPr="005426CD" w:rsidRDefault="005426CD" w:rsidP="005426CD">
            <w:pPr>
              <w:widowControl/>
              <w:suppressAutoHyphens w:val="0"/>
              <w:autoSpaceDN/>
              <w:spacing w:line="288" w:lineRule="auto"/>
              <w:textAlignment w:val="auto"/>
              <w:rPr>
                <w:rFonts w:ascii="標楷體" w:eastAsia="標楷體" w:hAnsi="標楷體"/>
                <w:bCs/>
                <w:kern w:val="2"/>
                <w:sz w:val="28"/>
                <w:szCs w:val="28"/>
              </w:rPr>
            </w:pPr>
            <w:r w:rsidRPr="005426CD">
              <w:rPr>
                <w:rFonts w:ascii="標楷體" w:eastAsia="標楷體" w:hAnsi="標楷體"/>
                <w:bCs/>
                <w:kern w:val="2"/>
                <w:sz w:val="28"/>
                <w:szCs w:val="28"/>
              </w:rPr>
              <w:t>No pain</w:t>
            </w:r>
          </w:p>
        </w:tc>
        <w:tc>
          <w:tcPr>
            <w:tcW w:w="1121" w:type="dxa"/>
            <w:tcBorders>
              <w:top w:val="single" w:sz="4" w:space="0" w:color="000000"/>
              <w:left w:val="single" w:sz="4" w:space="0" w:color="000000"/>
              <w:bottom w:val="single" w:sz="4" w:space="0" w:color="000000"/>
              <w:right w:val="nil"/>
            </w:tcBorders>
            <w:vAlign w:val="center"/>
            <w:hideMark/>
          </w:tcPr>
          <w:p w14:paraId="673BCAF4"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bCs/>
                <w:kern w:val="2"/>
                <w:sz w:val="28"/>
                <w:szCs w:val="28"/>
              </w:rPr>
            </w:pPr>
            <w:r w:rsidRPr="005426CD">
              <w:rPr>
                <w:rFonts w:ascii="標楷體" w:eastAsia="標楷體" w:hAnsi="標楷體"/>
                <w:bCs/>
                <w:kern w:val="2"/>
                <w:sz w:val="28"/>
                <w:szCs w:val="28"/>
              </w:rPr>
              <w:t>0</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7BE5E7AD"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bCs/>
                <w:kern w:val="2"/>
                <w:sz w:val="28"/>
                <w:szCs w:val="28"/>
              </w:rPr>
            </w:pPr>
          </w:p>
        </w:tc>
      </w:tr>
      <w:tr w:rsidR="005426CD" w:rsidRPr="005426CD" w14:paraId="485C3FB2" w14:textId="77777777" w:rsidTr="00630B92">
        <w:trPr>
          <w:trHeight w:val="567"/>
        </w:trPr>
        <w:tc>
          <w:tcPr>
            <w:tcW w:w="2358" w:type="dxa"/>
            <w:vMerge/>
            <w:tcBorders>
              <w:left w:val="single" w:sz="4" w:space="0" w:color="000000"/>
              <w:right w:val="nil"/>
            </w:tcBorders>
          </w:tcPr>
          <w:p w14:paraId="19D60ED6"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4403EB7A" w14:textId="77777777" w:rsidR="005426CD" w:rsidRPr="005426CD" w:rsidRDefault="005426CD" w:rsidP="005426CD">
            <w:pPr>
              <w:widowControl/>
              <w:suppressAutoHyphens w:val="0"/>
              <w:autoSpaceDN/>
              <w:spacing w:line="288" w:lineRule="auto"/>
              <w:textAlignment w:val="auto"/>
              <w:rPr>
                <w:rFonts w:ascii="標楷體" w:eastAsia="標楷體" w:hAnsi="標楷體"/>
                <w:bCs/>
                <w:kern w:val="2"/>
                <w:sz w:val="28"/>
                <w:szCs w:val="28"/>
              </w:rPr>
            </w:pPr>
            <w:r w:rsidRPr="005426CD">
              <w:rPr>
                <w:rFonts w:ascii="標楷體" w:eastAsia="標楷體" w:hAnsi="標楷體"/>
                <w:bCs/>
                <w:kern w:val="2"/>
                <w:sz w:val="28"/>
                <w:szCs w:val="28"/>
              </w:rPr>
              <w:t>Pain can be ignored</w:t>
            </w:r>
          </w:p>
        </w:tc>
        <w:tc>
          <w:tcPr>
            <w:tcW w:w="1121" w:type="dxa"/>
            <w:tcBorders>
              <w:top w:val="single" w:sz="4" w:space="0" w:color="000000"/>
              <w:left w:val="single" w:sz="4" w:space="0" w:color="000000"/>
              <w:bottom w:val="single" w:sz="4" w:space="0" w:color="000000"/>
              <w:right w:val="nil"/>
            </w:tcBorders>
            <w:vAlign w:val="center"/>
            <w:hideMark/>
          </w:tcPr>
          <w:p w14:paraId="656D88F3"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bCs/>
                <w:kern w:val="2"/>
                <w:sz w:val="28"/>
                <w:szCs w:val="28"/>
              </w:rPr>
            </w:pPr>
            <w:r w:rsidRPr="005426CD">
              <w:rPr>
                <w:rFonts w:ascii="標楷體" w:eastAsia="標楷體" w:hAnsi="標楷體"/>
                <w:bCs/>
                <w:kern w:val="2"/>
                <w:sz w:val="28"/>
                <w:szCs w:val="28"/>
              </w:rPr>
              <w:t>5</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362BC61E"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bCs/>
                <w:kern w:val="2"/>
                <w:sz w:val="28"/>
                <w:szCs w:val="28"/>
              </w:rPr>
            </w:pPr>
          </w:p>
        </w:tc>
      </w:tr>
      <w:tr w:rsidR="005426CD" w:rsidRPr="005426CD" w14:paraId="1AA5ACC6" w14:textId="77777777" w:rsidTr="00630B92">
        <w:trPr>
          <w:trHeight w:val="567"/>
        </w:trPr>
        <w:tc>
          <w:tcPr>
            <w:tcW w:w="2358" w:type="dxa"/>
            <w:vMerge/>
            <w:tcBorders>
              <w:left w:val="single" w:sz="4" w:space="0" w:color="000000"/>
              <w:bottom w:val="single" w:sz="4" w:space="0" w:color="000000"/>
              <w:right w:val="nil"/>
            </w:tcBorders>
          </w:tcPr>
          <w:p w14:paraId="16045E7E"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40A9BE8C" w14:textId="77777777" w:rsidR="005426CD" w:rsidRPr="005426CD" w:rsidRDefault="005426CD" w:rsidP="005426CD">
            <w:pPr>
              <w:widowControl/>
              <w:suppressAutoHyphens w:val="0"/>
              <w:autoSpaceDN/>
              <w:spacing w:line="288" w:lineRule="auto"/>
              <w:textAlignment w:val="auto"/>
              <w:rPr>
                <w:rFonts w:ascii="標楷體" w:eastAsia="標楷體" w:hAnsi="標楷體"/>
                <w:bCs/>
                <w:kern w:val="2"/>
                <w:sz w:val="28"/>
                <w:szCs w:val="28"/>
              </w:rPr>
            </w:pPr>
            <w:r w:rsidRPr="005426CD">
              <w:rPr>
                <w:rFonts w:ascii="標楷體" w:eastAsia="標楷體" w:hAnsi="標楷體"/>
                <w:bCs/>
                <w:kern w:val="2"/>
                <w:sz w:val="28"/>
                <w:szCs w:val="28"/>
              </w:rPr>
              <w:t>Pain cannot be ignored</w:t>
            </w:r>
          </w:p>
        </w:tc>
        <w:tc>
          <w:tcPr>
            <w:tcW w:w="1121" w:type="dxa"/>
            <w:tcBorders>
              <w:top w:val="single" w:sz="4" w:space="0" w:color="000000"/>
              <w:left w:val="single" w:sz="4" w:space="0" w:color="000000"/>
              <w:bottom w:val="single" w:sz="4" w:space="0" w:color="000000"/>
              <w:right w:val="nil"/>
            </w:tcBorders>
            <w:vAlign w:val="center"/>
            <w:hideMark/>
          </w:tcPr>
          <w:p w14:paraId="4AFFD23B"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bCs/>
                <w:kern w:val="2"/>
                <w:sz w:val="28"/>
                <w:szCs w:val="28"/>
              </w:rPr>
            </w:pPr>
            <w:r w:rsidRPr="005426CD">
              <w:rPr>
                <w:rFonts w:ascii="標楷體" w:eastAsia="標楷體" w:hAnsi="標楷體"/>
                <w:bCs/>
                <w:kern w:val="2"/>
                <w:sz w:val="28"/>
                <w:szCs w:val="28"/>
              </w:rPr>
              <w:t>10</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53310550"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bCs/>
                <w:kern w:val="2"/>
                <w:sz w:val="28"/>
                <w:szCs w:val="28"/>
              </w:rPr>
            </w:pPr>
          </w:p>
        </w:tc>
      </w:tr>
      <w:tr w:rsidR="005426CD" w:rsidRPr="005426CD" w14:paraId="57FF06C7" w14:textId="77777777" w:rsidTr="00630B92">
        <w:trPr>
          <w:cantSplit/>
        </w:trPr>
        <w:tc>
          <w:tcPr>
            <w:tcW w:w="2358" w:type="dxa"/>
            <w:vMerge w:val="restart"/>
            <w:tcBorders>
              <w:top w:val="single" w:sz="4" w:space="0" w:color="000000"/>
              <w:left w:val="single" w:sz="4" w:space="0" w:color="000000"/>
              <w:bottom w:val="single" w:sz="4" w:space="0" w:color="000000"/>
              <w:right w:val="nil"/>
            </w:tcBorders>
            <w:vAlign w:val="center"/>
            <w:hideMark/>
          </w:tcPr>
          <w:p w14:paraId="60E1F22F"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Rectal bleeding</w:t>
            </w:r>
          </w:p>
        </w:tc>
        <w:tc>
          <w:tcPr>
            <w:tcW w:w="5155" w:type="dxa"/>
            <w:tcBorders>
              <w:top w:val="single" w:sz="4" w:space="0" w:color="000000"/>
              <w:left w:val="single" w:sz="4" w:space="0" w:color="000000"/>
              <w:bottom w:val="single" w:sz="4" w:space="0" w:color="000000"/>
              <w:right w:val="nil"/>
            </w:tcBorders>
            <w:vAlign w:val="center"/>
            <w:hideMark/>
          </w:tcPr>
          <w:p w14:paraId="5714CF23"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None</w:t>
            </w:r>
          </w:p>
        </w:tc>
        <w:tc>
          <w:tcPr>
            <w:tcW w:w="1121" w:type="dxa"/>
            <w:tcBorders>
              <w:top w:val="single" w:sz="4" w:space="0" w:color="000000"/>
              <w:left w:val="single" w:sz="4" w:space="0" w:color="000000"/>
              <w:bottom w:val="single" w:sz="4" w:space="0" w:color="000000"/>
              <w:right w:val="nil"/>
            </w:tcBorders>
            <w:vAlign w:val="center"/>
            <w:hideMark/>
          </w:tcPr>
          <w:p w14:paraId="545B584A"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0</w:t>
            </w:r>
          </w:p>
        </w:tc>
        <w:tc>
          <w:tcPr>
            <w:tcW w:w="1201" w:type="dxa"/>
            <w:tcBorders>
              <w:top w:val="single" w:sz="4" w:space="0" w:color="000000"/>
              <w:left w:val="single" w:sz="4" w:space="0" w:color="000000"/>
              <w:bottom w:val="single" w:sz="4" w:space="0" w:color="000000"/>
              <w:right w:val="single" w:sz="4" w:space="0" w:color="000000"/>
            </w:tcBorders>
          </w:tcPr>
          <w:p w14:paraId="4F570246" w14:textId="77777777" w:rsidR="005426CD" w:rsidRPr="005426CD" w:rsidRDefault="005426CD" w:rsidP="005426CD">
            <w:pPr>
              <w:widowControl/>
              <w:suppressAutoHyphens w:val="0"/>
              <w:autoSpaceDN/>
              <w:snapToGrid w:val="0"/>
              <w:spacing w:line="380" w:lineRule="exact"/>
              <w:jc w:val="center"/>
              <w:textAlignment w:val="auto"/>
              <w:rPr>
                <w:rFonts w:ascii="標楷體" w:eastAsia="標楷體" w:hAnsi="標楷體"/>
                <w:kern w:val="2"/>
                <w:sz w:val="28"/>
                <w:szCs w:val="28"/>
              </w:rPr>
            </w:pPr>
          </w:p>
        </w:tc>
      </w:tr>
      <w:tr w:rsidR="005426CD" w:rsidRPr="005426CD" w14:paraId="3D6D70DF" w14:textId="77777777" w:rsidTr="00630B92">
        <w:trPr>
          <w:cantSplit/>
        </w:trPr>
        <w:tc>
          <w:tcPr>
            <w:tcW w:w="2358" w:type="dxa"/>
            <w:vMerge/>
            <w:tcBorders>
              <w:top w:val="single" w:sz="4" w:space="0" w:color="000000"/>
              <w:left w:val="single" w:sz="4" w:space="0" w:color="000000"/>
              <w:bottom w:val="single" w:sz="4" w:space="0" w:color="000000"/>
              <w:right w:val="nil"/>
            </w:tcBorders>
            <w:vAlign w:val="center"/>
            <w:hideMark/>
          </w:tcPr>
          <w:p w14:paraId="6DB3E7D7"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29D2245C"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Small amount only, in &lt; 50% of stools</w:t>
            </w:r>
          </w:p>
        </w:tc>
        <w:tc>
          <w:tcPr>
            <w:tcW w:w="1121" w:type="dxa"/>
            <w:tcBorders>
              <w:top w:val="single" w:sz="4" w:space="0" w:color="000000"/>
              <w:left w:val="single" w:sz="4" w:space="0" w:color="000000"/>
              <w:bottom w:val="single" w:sz="4" w:space="0" w:color="000000"/>
              <w:right w:val="nil"/>
            </w:tcBorders>
            <w:vAlign w:val="center"/>
            <w:hideMark/>
          </w:tcPr>
          <w:p w14:paraId="7DC99DA2"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10</w:t>
            </w:r>
          </w:p>
        </w:tc>
        <w:tc>
          <w:tcPr>
            <w:tcW w:w="1201" w:type="dxa"/>
            <w:tcBorders>
              <w:top w:val="single" w:sz="4" w:space="0" w:color="000000"/>
              <w:left w:val="single" w:sz="4" w:space="0" w:color="000000"/>
              <w:bottom w:val="single" w:sz="4" w:space="0" w:color="000000"/>
              <w:right w:val="single" w:sz="4" w:space="0" w:color="000000"/>
            </w:tcBorders>
          </w:tcPr>
          <w:p w14:paraId="3AB1433E"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0098DF34" w14:textId="77777777" w:rsidTr="00630B92">
        <w:trPr>
          <w:cantSplit/>
        </w:trPr>
        <w:tc>
          <w:tcPr>
            <w:tcW w:w="2358" w:type="dxa"/>
            <w:vMerge/>
            <w:tcBorders>
              <w:top w:val="single" w:sz="4" w:space="0" w:color="000000"/>
              <w:left w:val="single" w:sz="4" w:space="0" w:color="000000"/>
              <w:bottom w:val="single" w:sz="4" w:space="0" w:color="000000"/>
              <w:right w:val="nil"/>
            </w:tcBorders>
            <w:vAlign w:val="center"/>
            <w:hideMark/>
          </w:tcPr>
          <w:p w14:paraId="2A900290"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71BF2933"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Small amount of most stools</w:t>
            </w:r>
          </w:p>
        </w:tc>
        <w:tc>
          <w:tcPr>
            <w:tcW w:w="1121" w:type="dxa"/>
            <w:tcBorders>
              <w:top w:val="single" w:sz="4" w:space="0" w:color="000000"/>
              <w:left w:val="single" w:sz="4" w:space="0" w:color="000000"/>
              <w:bottom w:val="single" w:sz="4" w:space="0" w:color="000000"/>
              <w:right w:val="nil"/>
            </w:tcBorders>
            <w:vAlign w:val="center"/>
            <w:hideMark/>
          </w:tcPr>
          <w:p w14:paraId="4D9C7007"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20</w:t>
            </w:r>
          </w:p>
        </w:tc>
        <w:tc>
          <w:tcPr>
            <w:tcW w:w="1201" w:type="dxa"/>
            <w:tcBorders>
              <w:top w:val="single" w:sz="4" w:space="0" w:color="000000"/>
              <w:left w:val="single" w:sz="4" w:space="0" w:color="000000"/>
              <w:bottom w:val="single" w:sz="4" w:space="0" w:color="000000"/>
              <w:right w:val="single" w:sz="4" w:space="0" w:color="000000"/>
            </w:tcBorders>
          </w:tcPr>
          <w:p w14:paraId="0582A8F8"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5D1B0BB5" w14:textId="77777777" w:rsidTr="00630B92">
        <w:trPr>
          <w:cantSplit/>
        </w:trPr>
        <w:tc>
          <w:tcPr>
            <w:tcW w:w="2358" w:type="dxa"/>
            <w:vMerge/>
            <w:tcBorders>
              <w:top w:val="single" w:sz="4" w:space="0" w:color="000000"/>
              <w:left w:val="single" w:sz="4" w:space="0" w:color="000000"/>
              <w:bottom w:val="single" w:sz="4" w:space="0" w:color="000000"/>
              <w:right w:val="nil"/>
            </w:tcBorders>
            <w:vAlign w:val="center"/>
            <w:hideMark/>
          </w:tcPr>
          <w:p w14:paraId="03B78EB5"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33EA6DCD"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Large amount ( &gt;50% of stool content)</w:t>
            </w:r>
          </w:p>
        </w:tc>
        <w:tc>
          <w:tcPr>
            <w:tcW w:w="1121" w:type="dxa"/>
            <w:tcBorders>
              <w:top w:val="single" w:sz="4" w:space="0" w:color="000000"/>
              <w:left w:val="single" w:sz="4" w:space="0" w:color="000000"/>
              <w:bottom w:val="single" w:sz="4" w:space="0" w:color="000000"/>
              <w:right w:val="nil"/>
            </w:tcBorders>
            <w:vAlign w:val="center"/>
            <w:hideMark/>
          </w:tcPr>
          <w:p w14:paraId="438331B7"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30</w:t>
            </w:r>
          </w:p>
        </w:tc>
        <w:tc>
          <w:tcPr>
            <w:tcW w:w="1201" w:type="dxa"/>
            <w:tcBorders>
              <w:top w:val="single" w:sz="4" w:space="0" w:color="000000"/>
              <w:left w:val="single" w:sz="4" w:space="0" w:color="000000"/>
              <w:bottom w:val="single" w:sz="4" w:space="0" w:color="000000"/>
              <w:right w:val="single" w:sz="4" w:space="0" w:color="000000"/>
            </w:tcBorders>
          </w:tcPr>
          <w:p w14:paraId="1B1704AC"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2C617F89" w14:textId="77777777" w:rsidTr="00630B92">
        <w:trPr>
          <w:cantSplit/>
        </w:trPr>
        <w:tc>
          <w:tcPr>
            <w:tcW w:w="2358" w:type="dxa"/>
            <w:vMerge w:val="restart"/>
            <w:tcBorders>
              <w:top w:val="single" w:sz="4" w:space="0" w:color="000000"/>
              <w:left w:val="single" w:sz="4" w:space="0" w:color="000000"/>
              <w:right w:val="nil"/>
            </w:tcBorders>
            <w:vAlign w:val="center"/>
            <w:hideMark/>
          </w:tcPr>
          <w:p w14:paraId="719CF4B2"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Stool consistency of most stools</w:t>
            </w:r>
          </w:p>
        </w:tc>
        <w:tc>
          <w:tcPr>
            <w:tcW w:w="5155" w:type="dxa"/>
            <w:tcBorders>
              <w:top w:val="single" w:sz="4" w:space="0" w:color="000000"/>
              <w:left w:val="single" w:sz="4" w:space="0" w:color="000000"/>
              <w:bottom w:val="single" w:sz="4" w:space="0" w:color="000000"/>
              <w:right w:val="nil"/>
            </w:tcBorders>
            <w:vAlign w:val="center"/>
            <w:hideMark/>
          </w:tcPr>
          <w:p w14:paraId="2D64379E"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Formed</w:t>
            </w:r>
          </w:p>
        </w:tc>
        <w:tc>
          <w:tcPr>
            <w:tcW w:w="1121" w:type="dxa"/>
            <w:tcBorders>
              <w:top w:val="single" w:sz="4" w:space="0" w:color="000000"/>
              <w:left w:val="single" w:sz="4" w:space="0" w:color="000000"/>
              <w:bottom w:val="single" w:sz="4" w:space="0" w:color="000000"/>
              <w:right w:val="nil"/>
            </w:tcBorders>
            <w:vAlign w:val="center"/>
            <w:hideMark/>
          </w:tcPr>
          <w:p w14:paraId="78B6720D"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0</w:t>
            </w:r>
          </w:p>
        </w:tc>
        <w:tc>
          <w:tcPr>
            <w:tcW w:w="1201" w:type="dxa"/>
            <w:tcBorders>
              <w:top w:val="single" w:sz="4" w:space="0" w:color="000000"/>
              <w:left w:val="single" w:sz="4" w:space="0" w:color="000000"/>
              <w:bottom w:val="single" w:sz="4" w:space="0" w:color="000000"/>
              <w:right w:val="single" w:sz="4" w:space="0" w:color="000000"/>
            </w:tcBorders>
          </w:tcPr>
          <w:p w14:paraId="0A424BC5" w14:textId="77777777" w:rsidR="005426CD" w:rsidRPr="005426CD" w:rsidRDefault="005426CD" w:rsidP="005426CD">
            <w:pPr>
              <w:widowControl/>
              <w:suppressAutoHyphens w:val="0"/>
              <w:autoSpaceDN/>
              <w:snapToGrid w:val="0"/>
              <w:spacing w:line="380" w:lineRule="exact"/>
              <w:jc w:val="center"/>
              <w:textAlignment w:val="auto"/>
              <w:rPr>
                <w:rFonts w:ascii="標楷體" w:eastAsia="標楷體" w:hAnsi="標楷體"/>
                <w:kern w:val="2"/>
                <w:sz w:val="28"/>
                <w:szCs w:val="28"/>
              </w:rPr>
            </w:pPr>
          </w:p>
        </w:tc>
      </w:tr>
      <w:tr w:rsidR="005426CD" w:rsidRPr="005426CD" w14:paraId="322C4DD5" w14:textId="77777777" w:rsidTr="00630B92">
        <w:trPr>
          <w:cantSplit/>
        </w:trPr>
        <w:tc>
          <w:tcPr>
            <w:tcW w:w="2358" w:type="dxa"/>
            <w:vMerge/>
            <w:tcBorders>
              <w:left w:val="single" w:sz="4" w:space="0" w:color="000000"/>
              <w:right w:val="nil"/>
            </w:tcBorders>
            <w:vAlign w:val="center"/>
            <w:hideMark/>
          </w:tcPr>
          <w:p w14:paraId="336682BD"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7EB24993"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Partial formed</w:t>
            </w:r>
          </w:p>
        </w:tc>
        <w:tc>
          <w:tcPr>
            <w:tcW w:w="1121" w:type="dxa"/>
            <w:tcBorders>
              <w:top w:val="single" w:sz="4" w:space="0" w:color="000000"/>
              <w:left w:val="single" w:sz="4" w:space="0" w:color="000000"/>
              <w:bottom w:val="single" w:sz="4" w:space="0" w:color="000000"/>
              <w:right w:val="nil"/>
            </w:tcBorders>
            <w:vAlign w:val="center"/>
            <w:hideMark/>
          </w:tcPr>
          <w:p w14:paraId="18BD8018"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5</w:t>
            </w:r>
          </w:p>
        </w:tc>
        <w:tc>
          <w:tcPr>
            <w:tcW w:w="1201" w:type="dxa"/>
            <w:tcBorders>
              <w:top w:val="single" w:sz="4" w:space="0" w:color="000000"/>
              <w:left w:val="single" w:sz="4" w:space="0" w:color="000000"/>
              <w:bottom w:val="single" w:sz="4" w:space="0" w:color="000000"/>
              <w:right w:val="single" w:sz="4" w:space="0" w:color="000000"/>
            </w:tcBorders>
          </w:tcPr>
          <w:p w14:paraId="38E7DD94"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0926BCF7" w14:textId="77777777" w:rsidTr="00630B92">
        <w:trPr>
          <w:cantSplit/>
        </w:trPr>
        <w:tc>
          <w:tcPr>
            <w:tcW w:w="2358" w:type="dxa"/>
            <w:vMerge/>
            <w:tcBorders>
              <w:left w:val="single" w:sz="4" w:space="0" w:color="000000"/>
              <w:bottom w:val="single" w:sz="4" w:space="0" w:color="000000"/>
              <w:right w:val="nil"/>
            </w:tcBorders>
            <w:vAlign w:val="center"/>
            <w:hideMark/>
          </w:tcPr>
          <w:p w14:paraId="68B2C0C3"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2C99F79F"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Complete unformed</w:t>
            </w:r>
          </w:p>
        </w:tc>
        <w:tc>
          <w:tcPr>
            <w:tcW w:w="1121" w:type="dxa"/>
            <w:tcBorders>
              <w:top w:val="single" w:sz="4" w:space="0" w:color="000000"/>
              <w:left w:val="single" w:sz="4" w:space="0" w:color="000000"/>
              <w:bottom w:val="single" w:sz="4" w:space="0" w:color="000000"/>
              <w:right w:val="nil"/>
            </w:tcBorders>
            <w:vAlign w:val="center"/>
            <w:hideMark/>
          </w:tcPr>
          <w:p w14:paraId="29BD4F20"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10</w:t>
            </w:r>
          </w:p>
        </w:tc>
        <w:tc>
          <w:tcPr>
            <w:tcW w:w="1201" w:type="dxa"/>
            <w:tcBorders>
              <w:top w:val="single" w:sz="4" w:space="0" w:color="000000"/>
              <w:left w:val="single" w:sz="4" w:space="0" w:color="000000"/>
              <w:bottom w:val="single" w:sz="4" w:space="0" w:color="000000"/>
              <w:right w:val="single" w:sz="4" w:space="0" w:color="000000"/>
            </w:tcBorders>
          </w:tcPr>
          <w:p w14:paraId="5E915996"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7FF55DEC" w14:textId="77777777" w:rsidTr="00630B92">
        <w:trPr>
          <w:cantSplit/>
        </w:trPr>
        <w:tc>
          <w:tcPr>
            <w:tcW w:w="2358" w:type="dxa"/>
            <w:vMerge w:val="restart"/>
            <w:tcBorders>
              <w:top w:val="single" w:sz="4" w:space="0" w:color="000000"/>
              <w:left w:val="single" w:sz="4" w:space="0" w:color="000000"/>
              <w:right w:val="nil"/>
            </w:tcBorders>
            <w:vAlign w:val="center"/>
            <w:hideMark/>
          </w:tcPr>
          <w:p w14:paraId="2E2C11AB"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r w:rsidRPr="005426CD">
              <w:rPr>
                <w:rFonts w:ascii="標楷體" w:eastAsia="標楷體" w:hAnsi="標楷體"/>
                <w:kern w:val="2"/>
                <w:sz w:val="28"/>
                <w:szCs w:val="28"/>
              </w:rPr>
              <w:t>Number of stools per 24 hrs</w:t>
            </w:r>
          </w:p>
        </w:tc>
        <w:tc>
          <w:tcPr>
            <w:tcW w:w="5155" w:type="dxa"/>
            <w:tcBorders>
              <w:top w:val="single" w:sz="4" w:space="0" w:color="000000"/>
              <w:left w:val="single" w:sz="4" w:space="0" w:color="000000"/>
              <w:bottom w:val="single" w:sz="4" w:space="0" w:color="000000"/>
              <w:right w:val="nil"/>
            </w:tcBorders>
            <w:vAlign w:val="center"/>
            <w:hideMark/>
          </w:tcPr>
          <w:p w14:paraId="6BAEA0F7"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&lt; 2</w:t>
            </w:r>
          </w:p>
        </w:tc>
        <w:tc>
          <w:tcPr>
            <w:tcW w:w="1121" w:type="dxa"/>
            <w:tcBorders>
              <w:top w:val="single" w:sz="4" w:space="0" w:color="000000"/>
              <w:left w:val="single" w:sz="4" w:space="0" w:color="000000"/>
              <w:bottom w:val="single" w:sz="4" w:space="0" w:color="000000"/>
              <w:right w:val="nil"/>
            </w:tcBorders>
            <w:vAlign w:val="center"/>
            <w:hideMark/>
          </w:tcPr>
          <w:p w14:paraId="25620763"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0</w:t>
            </w:r>
          </w:p>
        </w:tc>
        <w:tc>
          <w:tcPr>
            <w:tcW w:w="1201" w:type="dxa"/>
            <w:tcBorders>
              <w:top w:val="single" w:sz="4" w:space="0" w:color="000000"/>
              <w:left w:val="single" w:sz="4" w:space="0" w:color="000000"/>
              <w:bottom w:val="single" w:sz="4" w:space="0" w:color="000000"/>
              <w:right w:val="single" w:sz="4" w:space="0" w:color="000000"/>
            </w:tcBorders>
          </w:tcPr>
          <w:p w14:paraId="3CC22AEB"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3927CE45" w14:textId="77777777" w:rsidTr="00630B92">
        <w:trPr>
          <w:cantSplit/>
        </w:trPr>
        <w:tc>
          <w:tcPr>
            <w:tcW w:w="2358" w:type="dxa"/>
            <w:vMerge/>
            <w:tcBorders>
              <w:left w:val="single" w:sz="4" w:space="0" w:color="000000"/>
              <w:right w:val="nil"/>
            </w:tcBorders>
            <w:vAlign w:val="center"/>
            <w:hideMark/>
          </w:tcPr>
          <w:p w14:paraId="03211DCD"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2880E6B7"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3-5</w:t>
            </w:r>
          </w:p>
        </w:tc>
        <w:tc>
          <w:tcPr>
            <w:tcW w:w="1121" w:type="dxa"/>
            <w:tcBorders>
              <w:top w:val="single" w:sz="4" w:space="0" w:color="000000"/>
              <w:left w:val="single" w:sz="4" w:space="0" w:color="000000"/>
              <w:bottom w:val="single" w:sz="4" w:space="0" w:color="000000"/>
              <w:right w:val="nil"/>
            </w:tcBorders>
            <w:vAlign w:val="center"/>
            <w:hideMark/>
          </w:tcPr>
          <w:p w14:paraId="741FB885"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5</w:t>
            </w:r>
          </w:p>
        </w:tc>
        <w:tc>
          <w:tcPr>
            <w:tcW w:w="1201" w:type="dxa"/>
            <w:tcBorders>
              <w:top w:val="single" w:sz="4" w:space="0" w:color="000000"/>
              <w:left w:val="single" w:sz="4" w:space="0" w:color="000000"/>
              <w:bottom w:val="single" w:sz="4" w:space="0" w:color="000000"/>
              <w:right w:val="single" w:sz="4" w:space="0" w:color="000000"/>
            </w:tcBorders>
          </w:tcPr>
          <w:p w14:paraId="7FF6C671"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67AA1842" w14:textId="77777777" w:rsidTr="00630B92">
        <w:trPr>
          <w:cantSplit/>
        </w:trPr>
        <w:tc>
          <w:tcPr>
            <w:tcW w:w="2358" w:type="dxa"/>
            <w:vMerge/>
            <w:tcBorders>
              <w:left w:val="single" w:sz="4" w:space="0" w:color="000000"/>
              <w:right w:val="nil"/>
            </w:tcBorders>
            <w:vAlign w:val="center"/>
            <w:hideMark/>
          </w:tcPr>
          <w:p w14:paraId="4720F23A"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55F967A5"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6-8</w:t>
            </w:r>
          </w:p>
        </w:tc>
        <w:tc>
          <w:tcPr>
            <w:tcW w:w="1121" w:type="dxa"/>
            <w:tcBorders>
              <w:top w:val="single" w:sz="4" w:space="0" w:color="000000"/>
              <w:left w:val="single" w:sz="4" w:space="0" w:color="000000"/>
              <w:bottom w:val="single" w:sz="4" w:space="0" w:color="000000"/>
              <w:right w:val="nil"/>
            </w:tcBorders>
            <w:vAlign w:val="center"/>
            <w:hideMark/>
          </w:tcPr>
          <w:p w14:paraId="5C0A1735"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10</w:t>
            </w:r>
          </w:p>
        </w:tc>
        <w:tc>
          <w:tcPr>
            <w:tcW w:w="1201" w:type="dxa"/>
            <w:tcBorders>
              <w:top w:val="single" w:sz="4" w:space="0" w:color="000000"/>
              <w:left w:val="single" w:sz="4" w:space="0" w:color="000000"/>
              <w:bottom w:val="single" w:sz="4" w:space="0" w:color="000000"/>
              <w:right w:val="single" w:sz="4" w:space="0" w:color="000000"/>
            </w:tcBorders>
          </w:tcPr>
          <w:p w14:paraId="0A29262C"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7E5800BE" w14:textId="77777777" w:rsidTr="00630B92">
        <w:trPr>
          <w:cantSplit/>
        </w:trPr>
        <w:tc>
          <w:tcPr>
            <w:tcW w:w="2358" w:type="dxa"/>
            <w:vMerge/>
            <w:tcBorders>
              <w:left w:val="single" w:sz="4" w:space="0" w:color="000000"/>
              <w:bottom w:val="single" w:sz="4" w:space="0" w:color="000000"/>
              <w:right w:val="nil"/>
            </w:tcBorders>
            <w:vAlign w:val="center"/>
            <w:hideMark/>
          </w:tcPr>
          <w:p w14:paraId="0371979D"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37D20A46"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&gt;8</w:t>
            </w:r>
          </w:p>
        </w:tc>
        <w:tc>
          <w:tcPr>
            <w:tcW w:w="1121" w:type="dxa"/>
            <w:tcBorders>
              <w:top w:val="single" w:sz="4" w:space="0" w:color="000000"/>
              <w:left w:val="single" w:sz="4" w:space="0" w:color="000000"/>
              <w:bottom w:val="single" w:sz="4" w:space="0" w:color="000000"/>
              <w:right w:val="nil"/>
            </w:tcBorders>
            <w:vAlign w:val="center"/>
            <w:hideMark/>
          </w:tcPr>
          <w:p w14:paraId="0FE0E7AA"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15</w:t>
            </w:r>
          </w:p>
        </w:tc>
        <w:tc>
          <w:tcPr>
            <w:tcW w:w="1201" w:type="dxa"/>
            <w:tcBorders>
              <w:top w:val="single" w:sz="4" w:space="0" w:color="000000"/>
              <w:left w:val="single" w:sz="4" w:space="0" w:color="000000"/>
              <w:bottom w:val="single" w:sz="4" w:space="0" w:color="000000"/>
              <w:right w:val="single" w:sz="4" w:space="0" w:color="000000"/>
            </w:tcBorders>
          </w:tcPr>
          <w:p w14:paraId="42241C21"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5FB97E56" w14:textId="77777777" w:rsidTr="00630B92">
        <w:trPr>
          <w:cantSplit/>
        </w:trPr>
        <w:tc>
          <w:tcPr>
            <w:tcW w:w="2358" w:type="dxa"/>
            <w:vMerge w:val="restart"/>
            <w:tcBorders>
              <w:left w:val="single" w:sz="4" w:space="0" w:color="000000"/>
              <w:right w:val="nil"/>
            </w:tcBorders>
            <w:vAlign w:val="center"/>
            <w:hideMark/>
          </w:tcPr>
          <w:p w14:paraId="1121624D"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r w:rsidRPr="005426CD">
              <w:rPr>
                <w:rFonts w:ascii="標楷體" w:eastAsia="標楷體" w:hAnsi="標楷體"/>
                <w:kern w:val="2"/>
                <w:sz w:val="28"/>
                <w:szCs w:val="28"/>
              </w:rPr>
              <w:t xml:space="preserve">Nocturnal stools </w:t>
            </w:r>
          </w:p>
        </w:tc>
        <w:tc>
          <w:tcPr>
            <w:tcW w:w="5155" w:type="dxa"/>
            <w:tcBorders>
              <w:top w:val="single" w:sz="4" w:space="0" w:color="000000"/>
              <w:left w:val="single" w:sz="4" w:space="0" w:color="000000"/>
              <w:bottom w:val="single" w:sz="4" w:space="0" w:color="000000"/>
              <w:right w:val="nil"/>
            </w:tcBorders>
            <w:vAlign w:val="center"/>
            <w:hideMark/>
          </w:tcPr>
          <w:p w14:paraId="48C4DF64"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No</w:t>
            </w:r>
          </w:p>
        </w:tc>
        <w:tc>
          <w:tcPr>
            <w:tcW w:w="1121" w:type="dxa"/>
            <w:tcBorders>
              <w:top w:val="single" w:sz="4" w:space="0" w:color="000000"/>
              <w:left w:val="single" w:sz="4" w:space="0" w:color="000000"/>
              <w:bottom w:val="single" w:sz="4" w:space="0" w:color="000000"/>
              <w:right w:val="nil"/>
            </w:tcBorders>
            <w:vAlign w:val="center"/>
            <w:hideMark/>
          </w:tcPr>
          <w:p w14:paraId="43BADABE"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0</w:t>
            </w:r>
          </w:p>
        </w:tc>
        <w:tc>
          <w:tcPr>
            <w:tcW w:w="1201" w:type="dxa"/>
            <w:tcBorders>
              <w:top w:val="single" w:sz="4" w:space="0" w:color="000000"/>
              <w:left w:val="single" w:sz="4" w:space="0" w:color="000000"/>
              <w:bottom w:val="single" w:sz="4" w:space="0" w:color="000000"/>
              <w:right w:val="single" w:sz="4" w:space="0" w:color="000000"/>
            </w:tcBorders>
          </w:tcPr>
          <w:p w14:paraId="72667593"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3F53210F" w14:textId="77777777" w:rsidTr="00630B92">
        <w:trPr>
          <w:cantSplit/>
        </w:trPr>
        <w:tc>
          <w:tcPr>
            <w:tcW w:w="2358" w:type="dxa"/>
            <w:vMerge/>
            <w:tcBorders>
              <w:left w:val="single" w:sz="4" w:space="0" w:color="000000"/>
              <w:bottom w:val="single" w:sz="4" w:space="0" w:color="000000"/>
              <w:right w:val="nil"/>
            </w:tcBorders>
            <w:vAlign w:val="center"/>
            <w:hideMark/>
          </w:tcPr>
          <w:p w14:paraId="6A30A5D8" w14:textId="77777777" w:rsidR="005426CD" w:rsidRPr="005426CD" w:rsidRDefault="005426CD" w:rsidP="005426CD">
            <w:pPr>
              <w:widowControl/>
              <w:suppressAutoHyphens w:val="0"/>
              <w:autoSpaceDN/>
              <w:jc w:val="center"/>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vAlign w:val="center"/>
            <w:hideMark/>
          </w:tcPr>
          <w:p w14:paraId="6757524B"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Yes</w:t>
            </w:r>
          </w:p>
        </w:tc>
        <w:tc>
          <w:tcPr>
            <w:tcW w:w="1121" w:type="dxa"/>
            <w:tcBorders>
              <w:top w:val="single" w:sz="4" w:space="0" w:color="000000"/>
              <w:left w:val="single" w:sz="4" w:space="0" w:color="000000"/>
              <w:bottom w:val="single" w:sz="4" w:space="0" w:color="000000"/>
              <w:right w:val="nil"/>
            </w:tcBorders>
            <w:vAlign w:val="center"/>
            <w:hideMark/>
          </w:tcPr>
          <w:p w14:paraId="1BFCE6A2"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10</w:t>
            </w:r>
          </w:p>
        </w:tc>
        <w:tc>
          <w:tcPr>
            <w:tcW w:w="1201" w:type="dxa"/>
            <w:tcBorders>
              <w:top w:val="single" w:sz="4" w:space="0" w:color="000000"/>
              <w:left w:val="single" w:sz="4" w:space="0" w:color="000000"/>
              <w:bottom w:val="single" w:sz="4" w:space="0" w:color="000000"/>
              <w:right w:val="single" w:sz="4" w:space="0" w:color="000000"/>
            </w:tcBorders>
          </w:tcPr>
          <w:p w14:paraId="50289118"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60F2D469" w14:textId="77777777" w:rsidTr="00630B92">
        <w:trPr>
          <w:cantSplit/>
        </w:trPr>
        <w:tc>
          <w:tcPr>
            <w:tcW w:w="2358" w:type="dxa"/>
            <w:vMerge w:val="restart"/>
            <w:tcBorders>
              <w:top w:val="single" w:sz="4" w:space="0" w:color="000000"/>
              <w:left w:val="single" w:sz="4" w:space="0" w:color="000000"/>
              <w:right w:val="nil"/>
            </w:tcBorders>
            <w:vAlign w:val="center"/>
            <w:hideMark/>
          </w:tcPr>
          <w:p w14:paraId="73280008"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Activity level</w:t>
            </w:r>
          </w:p>
        </w:tc>
        <w:tc>
          <w:tcPr>
            <w:tcW w:w="5155" w:type="dxa"/>
            <w:tcBorders>
              <w:top w:val="single" w:sz="4" w:space="0" w:color="000000"/>
              <w:left w:val="single" w:sz="4" w:space="0" w:color="000000"/>
              <w:bottom w:val="single" w:sz="4" w:space="0" w:color="000000"/>
              <w:right w:val="nil"/>
            </w:tcBorders>
            <w:hideMark/>
          </w:tcPr>
          <w:p w14:paraId="60962CF6"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No limitation of activity</w:t>
            </w:r>
          </w:p>
        </w:tc>
        <w:tc>
          <w:tcPr>
            <w:tcW w:w="1121" w:type="dxa"/>
            <w:tcBorders>
              <w:top w:val="single" w:sz="4" w:space="0" w:color="000000"/>
              <w:left w:val="single" w:sz="4" w:space="0" w:color="000000"/>
              <w:bottom w:val="single" w:sz="4" w:space="0" w:color="000000"/>
              <w:right w:val="nil"/>
            </w:tcBorders>
            <w:hideMark/>
          </w:tcPr>
          <w:p w14:paraId="7C47D585"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0</w:t>
            </w:r>
          </w:p>
        </w:tc>
        <w:tc>
          <w:tcPr>
            <w:tcW w:w="1201" w:type="dxa"/>
            <w:tcBorders>
              <w:top w:val="single" w:sz="4" w:space="0" w:color="000000"/>
              <w:left w:val="single" w:sz="4" w:space="0" w:color="000000"/>
              <w:bottom w:val="single" w:sz="4" w:space="0" w:color="000000"/>
              <w:right w:val="single" w:sz="4" w:space="0" w:color="000000"/>
            </w:tcBorders>
          </w:tcPr>
          <w:p w14:paraId="6AD74EB1" w14:textId="77777777" w:rsidR="005426CD" w:rsidRPr="005426CD" w:rsidRDefault="005426CD" w:rsidP="005426CD">
            <w:pPr>
              <w:widowControl/>
              <w:suppressAutoHyphens w:val="0"/>
              <w:autoSpaceDN/>
              <w:snapToGrid w:val="0"/>
              <w:spacing w:line="380" w:lineRule="exact"/>
              <w:jc w:val="center"/>
              <w:textAlignment w:val="auto"/>
              <w:rPr>
                <w:rFonts w:ascii="標楷體" w:eastAsia="標楷體" w:hAnsi="標楷體"/>
                <w:kern w:val="2"/>
                <w:sz w:val="28"/>
                <w:szCs w:val="28"/>
              </w:rPr>
            </w:pPr>
          </w:p>
        </w:tc>
      </w:tr>
      <w:tr w:rsidR="005426CD" w:rsidRPr="005426CD" w14:paraId="144B71E8" w14:textId="77777777" w:rsidTr="00630B92">
        <w:trPr>
          <w:cantSplit/>
        </w:trPr>
        <w:tc>
          <w:tcPr>
            <w:tcW w:w="2358" w:type="dxa"/>
            <w:vMerge/>
            <w:tcBorders>
              <w:left w:val="single" w:sz="4" w:space="0" w:color="000000"/>
              <w:right w:val="nil"/>
            </w:tcBorders>
            <w:vAlign w:val="center"/>
            <w:hideMark/>
          </w:tcPr>
          <w:p w14:paraId="5ECBA093" w14:textId="77777777" w:rsidR="005426CD" w:rsidRPr="005426CD" w:rsidRDefault="005426CD" w:rsidP="005426CD">
            <w:pPr>
              <w:widowControl/>
              <w:suppressAutoHyphens w:val="0"/>
              <w:autoSpaceDN/>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hideMark/>
          </w:tcPr>
          <w:p w14:paraId="44DC1ED7"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Occasional limitation of activity</w:t>
            </w:r>
          </w:p>
        </w:tc>
        <w:tc>
          <w:tcPr>
            <w:tcW w:w="1121" w:type="dxa"/>
            <w:tcBorders>
              <w:top w:val="single" w:sz="4" w:space="0" w:color="000000"/>
              <w:left w:val="single" w:sz="4" w:space="0" w:color="000000"/>
              <w:bottom w:val="single" w:sz="4" w:space="0" w:color="000000"/>
              <w:right w:val="nil"/>
            </w:tcBorders>
            <w:hideMark/>
          </w:tcPr>
          <w:p w14:paraId="4B97E61C"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5</w:t>
            </w:r>
          </w:p>
        </w:tc>
        <w:tc>
          <w:tcPr>
            <w:tcW w:w="1201" w:type="dxa"/>
            <w:tcBorders>
              <w:top w:val="single" w:sz="4" w:space="0" w:color="000000"/>
              <w:left w:val="single" w:sz="4" w:space="0" w:color="000000"/>
              <w:bottom w:val="single" w:sz="4" w:space="0" w:color="000000"/>
              <w:right w:val="single" w:sz="4" w:space="0" w:color="000000"/>
            </w:tcBorders>
          </w:tcPr>
          <w:p w14:paraId="1D63AF5E"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65586E8F" w14:textId="77777777" w:rsidTr="00630B92">
        <w:trPr>
          <w:cantSplit/>
        </w:trPr>
        <w:tc>
          <w:tcPr>
            <w:tcW w:w="2358" w:type="dxa"/>
            <w:vMerge/>
            <w:tcBorders>
              <w:left w:val="single" w:sz="4" w:space="0" w:color="000000"/>
              <w:bottom w:val="single" w:sz="4" w:space="0" w:color="000000"/>
              <w:right w:val="nil"/>
            </w:tcBorders>
            <w:vAlign w:val="center"/>
            <w:hideMark/>
          </w:tcPr>
          <w:p w14:paraId="2D5D9312" w14:textId="77777777" w:rsidR="005426CD" w:rsidRPr="005426CD" w:rsidRDefault="005426CD" w:rsidP="005426CD">
            <w:pPr>
              <w:widowControl/>
              <w:suppressAutoHyphens w:val="0"/>
              <w:autoSpaceDN/>
              <w:textAlignment w:val="auto"/>
              <w:rPr>
                <w:rFonts w:ascii="標楷體" w:eastAsia="標楷體" w:hAnsi="標楷體"/>
                <w:kern w:val="2"/>
                <w:sz w:val="28"/>
                <w:szCs w:val="28"/>
              </w:rPr>
            </w:pPr>
          </w:p>
        </w:tc>
        <w:tc>
          <w:tcPr>
            <w:tcW w:w="5155" w:type="dxa"/>
            <w:tcBorders>
              <w:top w:val="single" w:sz="4" w:space="0" w:color="000000"/>
              <w:left w:val="single" w:sz="4" w:space="0" w:color="000000"/>
              <w:bottom w:val="single" w:sz="4" w:space="0" w:color="000000"/>
              <w:right w:val="nil"/>
            </w:tcBorders>
            <w:hideMark/>
          </w:tcPr>
          <w:p w14:paraId="79DFDF72" w14:textId="77777777" w:rsidR="005426CD" w:rsidRPr="005426CD" w:rsidRDefault="005426CD" w:rsidP="005426CD">
            <w:pPr>
              <w:widowControl/>
              <w:suppressAutoHyphens w:val="0"/>
              <w:autoSpaceDN/>
              <w:spacing w:line="288" w:lineRule="auto"/>
              <w:textAlignment w:val="auto"/>
              <w:rPr>
                <w:rFonts w:ascii="標楷體" w:eastAsia="標楷體" w:hAnsi="標楷體"/>
                <w:kern w:val="2"/>
                <w:sz w:val="28"/>
                <w:szCs w:val="28"/>
              </w:rPr>
            </w:pPr>
            <w:r w:rsidRPr="005426CD">
              <w:rPr>
                <w:rFonts w:ascii="標楷體" w:eastAsia="標楷體" w:hAnsi="標楷體"/>
                <w:kern w:val="2"/>
                <w:sz w:val="28"/>
                <w:szCs w:val="28"/>
              </w:rPr>
              <w:t>Severe restricted activity</w:t>
            </w:r>
          </w:p>
        </w:tc>
        <w:tc>
          <w:tcPr>
            <w:tcW w:w="1121" w:type="dxa"/>
            <w:tcBorders>
              <w:top w:val="single" w:sz="4" w:space="0" w:color="000000"/>
              <w:left w:val="single" w:sz="4" w:space="0" w:color="000000"/>
              <w:bottom w:val="single" w:sz="4" w:space="0" w:color="000000"/>
              <w:right w:val="nil"/>
            </w:tcBorders>
            <w:hideMark/>
          </w:tcPr>
          <w:p w14:paraId="1C8C0450" w14:textId="77777777" w:rsidR="005426CD" w:rsidRPr="005426CD" w:rsidRDefault="005426CD" w:rsidP="005426CD">
            <w:pPr>
              <w:widowControl/>
              <w:suppressAutoHyphens w:val="0"/>
              <w:autoSpaceDN/>
              <w:spacing w:line="288" w:lineRule="auto"/>
              <w:jc w:val="center"/>
              <w:textAlignment w:val="auto"/>
              <w:rPr>
                <w:rFonts w:ascii="標楷體" w:eastAsia="標楷體" w:hAnsi="標楷體"/>
                <w:kern w:val="2"/>
                <w:sz w:val="28"/>
                <w:szCs w:val="28"/>
              </w:rPr>
            </w:pPr>
            <w:r w:rsidRPr="005426CD">
              <w:rPr>
                <w:rFonts w:ascii="標楷體" w:eastAsia="標楷體" w:hAnsi="標楷體"/>
                <w:kern w:val="2"/>
                <w:sz w:val="28"/>
                <w:szCs w:val="28"/>
              </w:rPr>
              <w:t>10</w:t>
            </w:r>
          </w:p>
        </w:tc>
        <w:tc>
          <w:tcPr>
            <w:tcW w:w="1201" w:type="dxa"/>
            <w:tcBorders>
              <w:top w:val="single" w:sz="4" w:space="0" w:color="000000"/>
              <w:left w:val="single" w:sz="4" w:space="0" w:color="000000"/>
              <w:bottom w:val="single" w:sz="4" w:space="0" w:color="000000"/>
              <w:right w:val="single" w:sz="4" w:space="0" w:color="000000"/>
            </w:tcBorders>
          </w:tcPr>
          <w:p w14:paraId="428E3A1E" w14:textId="77777777" w:rsidR="005426CD" w:rsidRPr="005426CD" w:rsidRDefault="005426CD" w:rsidP="005426CD">
            <w:pPr>
              <w:widowControl/>
              <w:suppressAutoHyphens w:val="0"/>
              <w:autoSpaceDN/>
              <w:snapToGrid w:val="0"/>
              <w:spacing w:line="288" w:lineRule="auto"/>
              <w:jc w:val="center"/>
              <w:textAlignment w:val="auto"/>
              <w:rPr>
                <w:rFonts w:ascii="標楷體" w:eastAsia="標楷體" w:hAnsi="標楷體"/>
                <w:kern w:val="2"/>
                <w:sz w:val="28"/>
                <w:szCs w:val="28"/>
              </w:rPr>
            </w:pPr>
          </w:p>
        </w:tc>
      </w:tr>
      <w:tr w:rsidR="005426CD" w:rsidRPr="005426CD" w14:paraId="7B17FCB0" w14:textId="77777777" w:rsidTr="00630B92">
        <w:trPr>
          <w:trHeight w:val="601"/>
        </w:trPr>
        <w:tc>
          <w:tcPr>
            <w:tcW w:w="9835" w:type="dxa"/>
            <w:gridSpan w:val="4"/>
            <w:tcBorders>
              <w:top w:val="single" w:sz="4" w:space="0" w:color="000000"/>
              <w:left w:val="single" w:sz="4" w:space="0" w:color="000000"/>
              <w:bottom w:val="single" w:sz="4" w:space="0" w:color="000000"/>
              <w:right w:val="single" w:sz="4" w:space="0" w:color="000000"/>
            </w:tcBorders>
            <w:vAlign w:val="center"/>
            <w:hideMark/>
          </w:tcPr>
          <w:p w14:paraId="0C963FBD" w14:textId="77777777" w:rsidR="005426CD" w:rsidRPr="005426CD" w:rsidRDefault="005426CD" w:rsidP="005426CD">
            <w:pPr>
              <w:widowControl/>
              <w:suppressAutoHyphens w:val="0"/>
              <w:autoSpaceDN/>
              <w:spacing w:line="400" w:lineRule="exact"/>
              <w:textAlignment w:val="auto"/>
              <w:rPr>
                <w:rFonts w:ascii="標楷體" w:eastAsia="標楷體" w:hAnsi="標楷體"/>
                <w:kern w:val="2"/>
                <w:sz w:val="28"/>
                <w:szCs w:val="28"/>
              </w:rPr>
            </w:pPr>
            <w:r w:rsidRPr="005426CD">
              <w:rPr>
                <w:rFonts w:ascii="標楷體" w:eastAsia="標楷體" w:hAnsi="標楷體"/>
                <w:kern w:val="2"/>
                <w:sz w:val="28"/>
                <w:szCs w:val="28"/>
              </w:rPr>
              <w:t xml:space="preserve">   Total PUCAI score _____   分</w:t>
            </w:r>
          </w:p>
        </w:tc>
      </w:tr>
    </w:tbl>
    <w:p w14:paraId="6245F3A2" w14:textId="77777777" w:rsidR="005426CD" w:rsidRPr="005426CD" w:rsidRDefault="005426CD" w:rsidP="005426CD">
      <w:pPr>
        <w:widowControl/>
        <w:suppressAutoHyphens w:val="0"/>
        <w:autoSpaceDN/>
        <w:textAlignment w:val="auto"/>
        <w:rPr>
          <w:rFonts w:ascii="標楷體" w:eastAsia="標楷體" w:hAnsi="標楷體"/>
          <w:noProof/>
          <w:color w:val="000000"/>
          <w:kern w:val="2"/>
          <w:sz w:val="28"/>
          <w:szCs w:val="28"/>
        </w:rPr>
      </w:pPr>
    </w:p>
    <w:p w14:paraId="3964334C" w14:textId="28A0A3CE" w:rsidR="005426CD" w:rsidRPr="00E61FF0" w:rsidRDefault="005426CD" w:rsidP="00E61FF0">
      <w:pPr>
        <w:widowControl/>
        <w:suppressAutoHyphens w:val="0"/>
        <w:autoSpaceDN/>
        <w:textAlignment w:val="auto"/>
        <w:rPr>
          <w:rFonts w:ascii="標楷體" w:eastAsia="標楷體" w:hAnsi="標楷體"/>
          <w:kern w:val="2"/>
          <w:sz w:val="28"/>
          <w:szCs w:val="28"/>
        </w:rPr>
        <w:sectPr w:rsidR="005426CD" w:rsidRPr="00E61FF0" w:rsidSect="007E1772">
          <w:footerReference w:type="default" r:id="rId42"/>
          <w:pgSz w:w="11907" w:h="16840"/>
          <w:pgMar w:top="851" w:right="1106" w:bottom="851" w:left="1247" w:header="720" w:footer="720" w:gutter="0"/>
          <w:cols w:space="720"/>
          <w:docGrid w:type="lines"/>
        </w:sectPr>
      </w:pPr>
    </w:p>
    <w:tbl>
      <w:tblPr>
        <w:tblW w:w="14436" w:type="dxa"/>
        <w:tblInd w:w="227" w:type="dxa"/>
        <w:tblLayout w:type="fixed"/>
        <w:tblCellMar>
          <w:left w:w="10" w:type="dxa"/>
          <w:right w:w="10" w:type="dxa"/>
        </w:tblCellMar>
        <w:tblLook w:val="0000" w:firstRow="0" w:lastRow="0" w:firstColumn="0" w:lastColumn="0" w:noHBand="0" w:noVBand="0"/>
      </w:tblPr>
      <w:tblGrid>
        <w:gridCol w:w="388"/>
        <w:gridCol w:w="401"/>
        <w:gridCol w:w="428"/>
        <w:gridCol w:w="1555"/>
        <w:gridCol w:w="10"/>
        <w:gridCol w:w="359"/>
        <w:gridCol w:w="1165"/>
        <w:gridCol w:w="1588"/>
        <w:gridCol w:w="599"/>
        <w:gridCol w:w="359"/>
        <w:gridCol w:w="1011"/>
        <w:gridCol w:w="990"/>
        <w:gridCol w:w="849"/>
        <w:gridCol w:w="282"/>
        <w:gridCol w:w="142"/>
        <w:gridCol w:w="562"/>
        <w:gridCol w:w="359"/>
        <w:gridCol w:w="494"/>
        <w:gridCol w:w="346"/>
        <w:gridCol w:w="220"/>
        <w:gridCol w:w="142"/>
        <w:gridCol w:w="235"/>
        <w:gridCol w:w="47"/>
        <w:gridCol w:w="424"/>
        <w:gridCol w:w="133"/>
        <w:gridCol w:w="13"/>
        <w:gridCol w:w="337"/>
        <w:gridCol w:w="7"/>
        <w:gridCol w:w="951"/>
        <w:gridCol w:w="40"/>
      </w:tblGrid>
      <w:tr w:rsidR="00BD776B" w14:paraId="548C439D" w14:textId="77777777">
        <w:trPr>
          <w:cantSplit/>
          <w:trHeight w:val="476"/>
        </w:trPr>
        <w:tc>
          <w:tcPr>
            <w:tcW w:w="10126"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BD3A2B" w14:textId="77777777" w:rsidR="00BD776B" w:rsidRDefault="00DF0C24">
            <w:pPr>
              <w:snapToGrid w:val="0"/>
              <w:spacing w:line="240" w:lineRule="exact"/>
              <w:ind w:left="1758" w:hanging="1418"/>
              <w:jc w:val="center"/>
            </w:pPr>
            <w:r>
              <w:rPr>
                <w:rFonts w:ascii="標楷體" w:eastAsia="標楷體" w:hAnsi="標楷體" w:cs="標楷體"/>
                <w:color w:val="000000"/>
              </w:rPr>
              <w:lastRenderedPageBreak/>
              <w:t>附表二十七全民健康保險眼科含</w:t>
            </w:r>
            <w:r>
              <w:rPr>
                <w:rFonts w:ascii="標楷體" w:eastAsia="標楷體" w:hAnsi="標楷體" w:cs="Arial"/>
                <w:color w:val="000000"/>
              </w:rPr>
              <w:t>cyclosporine製劑</w:t>
            </w:r>
            <w:r>
              <w:rPr>
                <w:rFonts w:ascii="標楷體" w:eastAsia="標楷體" w:hAnsi="標楷體" w:cs="標楷體"/>
                <w:color w:val="000000"/>
              </w:rPr>
              <w:t>事前審查申請書</w:t>
            </w:r>
          </w:p>
        </w:tc>
        <w:tc>
          <w:tcPr>
            <w:tcW w:w="141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6D79EE" w14:textId="77777777" w:rsidR="00BD776B" w:rsidRDefault="00DF0C24">
            <w:pPr>
              <w:snapToGrid w:val="0"/>
              <w:spacing w:line="240" w:lineRule="exact"/>
            </w:pPr>
            <w:r>
              <w:rPr>
                <w:rFonts w:ascii="標楷體" w:eastAsia="標楷體" w:hAnsi="標楷體" w:cs="標楷體"/>
                <w:color w:val="000000"/>
                <w:sz w:val="20"/>
                <w:szCs w:val="20"/>
              </w:rPr>
              <w:t>□送核</w:t>
            </w:r>
          </w:p>
          <w:p w14:paraId="3FEB9865" w14:textId="77777777" w:rsidR="00BD776B" w:rsidRDefault="00DF0C24">
            <w:pPr>
              <w:snapToGrid w:val="0"/>
              <w:spacing w:line="240" w:lineRule="exact"/>
              <w:ind w:left="320" w:hanging="320"/>
            </w:pPr>
            <w:r>
              <w:rPr>
                <w:rFonts w:ascii="標楷體" w:eastAsia="標楷體" w:hAnsi="標楷體" w:cs="標楷體"/>
                <w:color w:val="000000"/>
                <w:sz w:val="20"/>
                <w:szCs w:val="20"/>
              </w:rPr>
              <w:t>□申覆</w:t>
            </w:r>
          </w:p>
        </w:tc>
        <w:tc>
          <w:tcPr>
            <w:tcW w:w="5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423AF9"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受理</w:t>
            </w:r>
          </w:p>
        </w:tc>
        <w:tc>
          <w:tcPr>
            <w:tcW w:w="8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DD4BF5"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日期</w:t>
            </w:r>
          </w:p>
        </w:tc>
        <w:tc>
          <w:tcPr>
            <w:tcW w:w="14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B7C640" w14:textId="77777777" w:rsidR="00BD776B" w:rsidRDefault="00BD776B">
            <w:pPr>
              <w:snapToGrid w:val="0"/>
              <w:spacing w:line="24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543D73B2" w14:textId="77777777" w:rsidR="00BD776B" w:rsidRDefault="00BD776B">
            <w:pPr>
              <w:snapToGrid w:val="0"/>
              <w:spacing w:line="240" w:lineRule="exact"/>
              <w:rPr>
                <w:rFonts w:ascii="標楷體" w:eastAsia="標楷體" w:hAnsi="標楷體"/>
                <w:color w:val="000000"/>
              </w:rPr>
            </w:pPr>
          </w:p>
        </w:tc>
      </w:tr>
      <w:tr w:rsidR="00BD776B" w14:paraId="4AC82E23" w14:textId="77777777">
        <w:trPr>
          <w:cantSplit/>
          <w:trHeight w:val="215"/>
        </w:trPr>
        <w:tc>
          <w:tcPr>
            <w:tcW w:w="10126"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0AB09C" w14:textId="77777777" w:rsidR="00BD776B" w:rsidRDefault="00BD776B">
            <w:pPr>
              <w:snapToGrid w:val="0"/>
              <w:spacing w:line="240" w:lineRule="exact"/>
              <w:ind w:left="1758" w:hanging="1418"/>
              <w:rPr>
                <w:rFonts w:ascii="標楷體" w:eastAsia="標楷體" w:hAnsi="標楷體" w:cs="標楷體"/>
                <w:color w:val="000000"/>
                <w:sz w:val="28"/>
                <w:szCs w:val="28"/>
              </w:rPr>
            </w:pPr>
          </w:p>
        </w:tc>
        <w:tc>
          <w:tcPr>
            <w:tcW w:w="1415"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260A97" w14:textId="77777777" w:rsidR="00BD776B" w:rsidRDefault="00BD776B">
            <w:pPr>
              <w:snapToGrid w:val="0"/>
              <w:spacing w:line="240" w:lineRule="exact"/>
              <w:rPr>
                <w:rFonts w:ascii="標楷體" w:eastAsia="標楷體" w:hAnsi="標楷體" w:cs="標楷體"/>
                <w:color w:val="000000"/>
                <w:sz w:val="20"/>
                <w:szCs w:val="20"/>
              </w:rPr>
            </w:pPr>
          </w:p>
        </w:tc>
        <w:tc>
          <w:tcPr>
            <w:tcW w:w="5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712C5B" w14:textId="77777777" w:rsidR="00BD776B" w:rsidRDefault="00BD776B">
            <w:pPr>
              <w:snapToGrid w:val="0"/>
              <w:spacing w:line="240" w:lineRule="exact"/>
              <w:rPr>
                <w:rFonts w:ascii="標楷體" w:eastAsia="標楷體" w:hAnsi="標楷體"/>
                <w:color w:val="000000"/>
              </w:rPr>
            </w:pPr>
          </w:p>
        </w:tc>
        <w:tc>
          <w:tcPr>
            <w:tcW w:w="8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BF6F4F" w14:textId="77777777" w:rsidR="00BD776B" w:rsidRDefault="00DF0C24">
            <w:pPr>
              <w:snapToGrid w:val="0"/>
              <w:spacing w:line="240" w:lineRule="exact"/>
              <w:rPr>
                <w:rFonts w:ascii="標楷體" w:eastAsia="標楷體" w:hAnsi="標楷體"/>
                <w:color w:val="000000"/>
              </w:rPr>
            </w:pPr>
            <w:r>
              <w:rPr>
                <w:rFonts w:ascii="標楷體" w:eastAsia="標楷體" w:hAnsi="標楷體"/>
                <w:color w:val="000000"/>
              </w:rPr>
              <w:t>編號</w:t>
            </w:r>
          </w:p>
        </w:tc>
        <w:tc>
          <w:tcPr>
            <w:tcW w:w="14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1DF1C8" w14:textId="77777777" w:rsidR="00BD776B" w:rsidRDefault="00BD776B">
            <w:pPr>
              <w:snapToGrid w:val="0"/>
              <w:spacing w:line="240" w:lineRule="exact"/>
              <w:rPr>
                <w:rFonts w:ascii="標楷體" w:eastAsia="標楷體" w:hAnsi="標楷體"/>
                <w:color w:val="000000"/>
              </w:rPr>
            </w:pPr>
          </w:p>
        </w:tc>
        <w:tc>
          <w:tcPr>
            <w:tcW w:w="40" w:type="dxa"/>
            <w:shd w:val="clear" w:color="auto" w:fill="auto"/>
            <w:tcMar>
              <w:top w:w="0" w:type="dxa"/>
              <w:left w:w="10" w:type="dxa"/>
              <w:bottom w:w="0" w:type="dxa"/>
              <w:right w:w="10" w:type="dxa"/>
            </w:tcMar>
          </w:tcPr>
          <w:p w14:paraId="05D15575" w14:textId="77777777" w:rsidR="00BD776B" w:rsidRDefault="00BD776B">
            <w:pPr>
              <w:snapToGrid w:val="0"/>
              <w:spacing w:line="240" w:lineRule="exact"/>
              <w:rPr>
                <w:rFonts w:ascii="標楷體" w:eastAsia="標楷體" w:hAnsi="標楷體"/>
                <w:color w:val="000000"/>
              </w:rPr>
            </w:pPr>
          </w:p>
        </w:tc>
      </w:tr>
      <w:tr w:rsidR="00BD776B" w14:paraId="41E73174" w14:textId="77777777">
        <w:trPr>
          <w:cantSplit/>
          <w:trHeight w:val="517"/>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9EDD3D" w14:textId="77777777" w:rsidR="00BD776B" w:rsidRDefault="00DF0C24">
            <w:pPr>
              <w:snapToGrid w:val="0"/>
              <w:spacing w:line="200" w:lineRule="exact"/>
              <w:jc w:val="center"/>
            </w:pPr>
            <w:r>
              <w:rPr>
                <w:rFonts w:ascii="標楷體" w:eastAsia="標楷體" w:hAnsi="標楷體" w:cs="標楷體"/>
                <w:color w:val="000000"/>
                <w:sz w:val="20"/>
                <w:szCs w:val="20"/>
              </w:rPr>
              <w:t>醫療機構</w:t>
            </w: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A55E8" w14:textId="77777777" w:rsidR="00BD776B" w:rsidRDefault="00DF0C24">
            <w:pPr>
              <w:snapToGrid w:val="0"/>
              <w:spacing w:line="200" w:lineRule="exact"/>
            </w:pPr>
            <w:r>
              <w:rPr>
                <w:rFonts w:ascii="標楷體" w:eastAsia="標楷體" w:hAnsi="標楷體" w:cs="標楷體"/>
                <w:color w:val="000000"/>
                <w:sz w:val="20"/>
                <w:szCs w:val="20"/>
              </w:rPr>
              <w:t>名稱</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DEA316" w14:textId="77777777" w:rsidR="00BD776B" w:rsidRDefault="00BD776B">
            <w:pPr>
              <w:snapToGrid w:val="0"/>
              <w:spacing w:line="200" w:lineRule="exact"/>
              <w:rPr>
                <w:rFonts w:ascii="標楷體" w:eastAsia="標楷體" w:hAnsi="標楷體"/>
                <w:color w:val="000000"/>
                <w:sz w:val="20"/>
                <w:szCs w:val="20"/>
              </w:rPr>
            </w:pPr>
          </w:p>
        </w:tc>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235BEF" w14:textId="77777777" w:rsidR="00BD776B" w:rsidRDefault="00DF0C24">
            <w:pPr>
              <w:snapToGrid w:val="0"/>
              <w:spacing w:line="200" w:lineRule="exact"/>
              <w:jc w:val="center"/>
            </w:pPr>
            <w:r>
              <w:rPr>
                <w:rFonts w:ascii="標楷體" w:eastAsia="標楷體" w:hAnsi="標楷體" w:cs="標楷體"/>
                <w:color w:val="000000"/>
                <w:sz w:val="20"/>
                <w:szCs w:val="20"/>
              </w:rPr>
              <w:t>保</w:t>
            </w:r>
          </w:p>
          <w:p w14:paraId="1B8AAA9B" w14:textId="77777777" w:rsidR="00BD776B" w:rsidRDefault="00DF0C24">
            <w:pPr>
              <w:snapToGrid w:val="0"/>
              <w:spacing w:line="200" w:lineRule="exact"/>
              <w:jc w:val="center"/>
            </w:pPr>
            <w:r>
              <w:rPr>
                <w:rFonts w:ascii="標楷體" w:eastAsia="標楷體" w:hAnsi="標楷體" w:cs="標楷體"/>
                <w:color w:val="000000"/>
                <w:sz w:val="20"/>
                <w:szCs w:val="20"/>
              </w:rPr>
              <w:t>險</w:t>
            </w:r>
          </w:p>
          <w:p w14:paraId="31BFBA6D" w14:textId="77777777" w:rsidR="00BD776B" w:rsidRDefault="00DF0C24">
            <w:pPr>
              <w:snapToGrid w:val="0"/>
              <w:spacing w:line="200" w:lineRule="exact"/>
              <w:jc w:val="center"/>
            </w:pPr>
            <w:r>
              <w:rPr>
                <w:rFonts w:ascii="標楷體" w:eastAsia="標楷體" w:hAnsi="標楷體" w:cs="標楷體"/>
                <w:color w:val="000000"/>
                <w:sz w:val="20"/>
                <w:szCs w:val="20"/>
              </w:rPr>
              <w:t>對</w:t>
            </w:r>
          </w:p>
          <w:p w14:paraId="235FB154" w14:textId="77777777" w:rsidR="00BD776B" w:rsidRDefault="00DF0C24">
            <w:pPr>
              <w:snapToGrid w:val="0"/>
              <w:spacing w:line="200" w:lineRule="exact"/>
              <w:jc w:val="center"/>
            </w:pPr>
            <w:r>
              <w:rPr>
                <w:rFonts w:ascii="標楷體" w:eastAsia="標楷體" w:hAnsi="標楷體" w:cs="標楷體"/>
                <w:color w:val="000000"/>
                <w:sz w:val="20"/>
                <w:szCs w:val="20"/>
              </w:rPr>
              <w:t>象</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22B32B" w14:textId="77777777" w:rsidR="00BD776B" w:rsidRDefault="00DF0C24">
            <w:pPr>
              <w:snapToGrid w:val="0"/>
              <w:spacing w:line="200" w:lineRule="exact"/>
            </w:pPr>
            <w:r>
              <w:rPr>
                <w:rFonts w:ascii="標楷體" w:eastAsia="標楷體" w:hAnsi="標楷體" w:cs="標楷體"/>
                <w:color w:val="000000"/>
                <w:sz w:val="20"/>
                <w:szCs w:val="20"/>
              </w:rPr>
              <w:t>姓名</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402F52" w14:textId="77777777" w:rsidR="00BD776B" w:rsidRDefault="00BD776B">
            <w:pPr>
              <w:snapToGrid w:val="0"/>
              <w:spacing w:line="200" w:lineRule="exact"/>
              <w:rPr>
                <w:rFonts w:ascii="標楷體" w:eastAsia="標楷體" w:hAnsi="標楷體"/>
                <w:color w:val="000000"/>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42731" w14:textId="77777777" w:rsidR="00BD776B" w:rsidRDefault="00DF0C24">
            <w:pPr>
              <w:snapToGrid w:val="0"/>
              <w:spacing w:line="200" w:lineRule="exact"/>
            </w:pPr>
            <w:r>
              <w:rPr>
                <w:rFonts w:ascii="標楷體" w:eastAsia="標楷體" w:hAnsi="標楷體" w:cs="標楷體"/>
                <w:color w:val="000000"/>
                <w:sz w:val="20"/>
                <w:szCs w:val="20"/>
              </w:rPr>
              <w:t>出生</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06ACD"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年月日</w:t>
            </w:r>
          </w:p>
        </w:tc>
        <w:tc>
          <w:tcPr>
            <w:tcW w:w="1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E18D0" w14:textId="77777777" w:rsidR="00BD776B" w:rsidRDefault="00DF0C24">
            <w:pPr>
              <w:snapToGrid w:val="0"/>
              <w:spacing w:line="200" w:lineRule="exact"/>
            </w:pPr>
            <w:r>
              <w:rPr>
                <w:rFonts w:ascii="標楷體" w:eastAsia="標楷體" w:hAnsi="標楷體" w:cs="標楷體"/>
                <w:color w:val="000000"/>
                <w:sz w:val="20"/>
                <w:szCs w:val="20"/>
              </w:rPr>
              <w:t>原受理編號</w:t>
            </w:r>
          </w:p>
        </w:tc>
        <w:tc>
          <w:tcPr>
            <w:tcW w:w="18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1A8AF9" w14:textId="77777777" w:rsidR="00BD776B" w:rsidRDefault="00BD776B">
            <w:pPr>
              <w:snapToGrid w:val="0"/>
              <w:spacing w:line="200" w:lineRule="exact"/>
              <w:rPr>
                <w:rFonts w:ascii="標楷體" w:eastAsia="標楷體" w:hAnsi="標楷體"/>
                <w:color w:val="000000"/>
                <w:sz w:val="20"/>
                <w:szCs w:val="20"/>
              </w:rPr>
            </w:pPr>
          </w:p>
        </w:tc>
        <w:tc>
          <w:tcPr>
            <w:tcW w:w="99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526120" w14:textId="77777777" w:rsidR="00BD776B" w:rsidRDefault="00DF0C24">
            <w:pPr>
              <w:snapToGrid w:val="0"/>
              <w:spacing w:line="200" w:lineRule="exact"/>
            </w:pPr>
            <w:r>
              <w:rPr>
                <w:rFonts w:ascii="標楷體" w:eastAsia="標楷體" w:hAnsi="標楷體" w:cs="標楷體"/>
                <w:color w:val="000000"/>
                <w:sz w:val="20"/>
                <w:szCs w:val="20"/>
              </w:rPr>
              <w:t>預定實施日期</w:t>
            </w:r>
          </w:p>
        </w:tc>
        <w:tc>
          <w:tcPr>
            <w:tcW w:w="186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64ED54" w14:textId="77777777" w:rsidR="00BD776B" w:rsidRDefault="00DF0C24">
            <w:pPr>
              <w:snapToGrid w:val="0"/>
              <w:spacing w:line="200" w:lineRule="exact"/>
              <w:rPr>
                <w:rFonts w:ascii="標楷體" w:eastAsia="標楷體" w:hAnsi="標楷體"/>
                <w:color w:val="000000"/>
                <w:sz w:val="20"/>
                <w:szCs w:val="20"/>
              </w:rPr>
            </w:pPr>
            <w:r>
              <w:rPr>
                <w:rFonts w:ascii="標楷體" w:eastAsia="標楷體" w:hAnsi="標楷體"/>
                <w:color w:val="000000"/>
                <w:sz w:val="20"/>
                <w:szCs w:val="20"/>
              </w:rPr>
              <w:t>年月日</w:t>
            </w:r>
          </w:p>
        </w:tc>
        <w:tc>
          <w:tcPr>
            <w:tcW w:w="40" w:type="dxa"/>
            <w:shd w:val="clear" w:color="auto" w:fill="auto"/>
            <w:tcMar>
              <w:top w:w="0" w:type="dxa"/>
              <w:left w:w="10" w:type="dxa"/>
              <w:bottom w:w="0" w:type="dxa"/>
              <w:right w:w="10" w:type="dxa"/>
            </w:tcMar>
          </w:tcPr>
          <w:p w14:paraId="04F18E27" w14:textId="77777777" w:rsidR="00BD776B" w:rsidRDefault="00BD776B">
            <w:pPr>
              <w:snapToGrid w:val="0"/>
              <w:spacing w:line="200" w:lineRule="exact"/>
              <w:rPr>
                <w:rFonts w:ascii="標楷體" w:eastAsia="標楷體" w:hAnsi="標楷體"/>
                <w:color w:val="000000"/>
                <w:sz w:val="20"/>
                <w:szCs w:val="20"/>
              </w:rPr>
            </w:pPr>
          </w:p>
        </w:tc>
      </w:tr>
      <w:tr w:rsidR="00BD776B" w14:paraId="22FDE3B2" w14:textId="77777777">
        <w:trPr>
          <w:cantSplit/>
          <w:trHeight w:val="530"/>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610D53" w14:textId="77777777" w:rsidR="00BD776B" w:rsidRDefault="00BD776B">
            <w:pPr>
              <w:snapToGrid w:val="0"/>
              <w:spacing w:line="200" w:lineRule="exact"/>
              <w:rPr>
                <w:rFonts w:ascii="標楷體" w:eastAsia="標楷體" w:hAnsi="標楷體"/>
                <w:color w:val="000000"/>
                <w:sz w:val="20"/>
                <w:szCs w:val="20"/>
              </w:rPr>
            </w:pP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90F5A" w14:textId="77777777" w:rsidR="00BD776B" w:rsidRDefault="00DF0C24">
            <w:pPr>
              <w:snapToGrid w:val="0"/>
              <w:spacing w:line="200" w:lineRule="exact"/>
            </w:pPr>
            <w:r>
              <w:rPr>
                <w:rFonts w:ascii="標楷體" w:eastAsia="標楷體" w:hAnsi="標楷體" w:cs="標楷體"/>
                <w:color w:val="000000"/>
                <w:sz w:val="20"/>
                <w:szCs w:val="20"/>
              </w:rPr>
              <w:t>代號</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DEE69B" w14:textId="77777777" w:rsidR="00BD776B" w:rsidRDefault="00BD776B">
            <w:pPr>
              <w:snapToGrid w:val="0"/>
              <w:spacing w:line="200" w:lineRule="exact"/>
              <w:rPr>
                <w:rFonts w:ascii="標楷體" w:eastAsia="標楷體" w:hAnsi="標楷體"/>
                <w:color w:val="000000"/>
                <w:sz w:val="20"/>
                <w:szCs w:val="20"/>
              </w:rPr>
            </w:pPr>
          </w:p>
        </w:tc>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41AC56" w14:textId="77777777" w:rsidR="00BD776B" w:rsidRDefault="00BD776B">
            <w:pPr>
              <w:snapToGrid w:val="0"/>
              <w:spacing w:line="200" w:lineRule="exact"/>
              <w:rPr>
                <w:rFonts w:ascii="標楷體" w:eastAsia="標楷體" w:hAnsi="標楷體"/>
                <w:color w:val="000000"/>
                <w:sz w:val="20"/>
                <w:szCs w:val="20"/>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7D4BE4" w14:textId="77777777" w:rsidR="00BD776B" w:rsidRDefault="00DF0C24">
            <w:pPr>
              <w:snapToGrid w:val="0"/>
              <w:spacing w:line="200" w:lineRule="exact"/>
            </w:pPr>
            <w:r>
              <w:rPr>
                <w:rFonts w:ascii="標楷體" w:eastAsia="標楷體" w:hAnsi="標楷體" w:cs="標楷體"/>
                <w:color w:val="000000"/>
                <w:sz w:val="20"/>
                <w:szCs w:val="20"/>
              </w:rPr>
              <w:t>身分證</w:t>
            </w:r>
          </w:p>
          <w:p w14:paraId="3DD52BD7" w14:textId="77777777" w:rsidR="00BD776B" w:rsidRDefault="00DF0C24">
            <w:pPr>
              <w:snapToGrid w:val="0"/>
              <w:spacing w:line="200" w:lineRule="exact"/>
            </w:pPr>
            <w:r>
              <w:rPr>
                <w:rFonts w:ascii="標楷體" w:eastAsia="標楷體" w:hAnsi="標楷體" w:cs="標楷體"/>
                <w:color w:val="000000"/>
                <w:sz w:val="20"/>
                <w:szCs w:val="20"/>
              </w:rPr>
              <w:t>統一編號</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FB1EB" w14:textId="77777777" w:rsidR="00BD776B" w:rsidRDefault="00BD776B">
            <w:pPr>
              <w:snapToGrid w:val="0"/>
              <w:spacing w:line="200" w:lineRule="exact"/>
              <w:rPr>
                <w:rFonts w:ascii="標楷體" w:eastAsia="標楷體" w:hAnsi="標楷體"/>
                <w:color w:val="000000"/>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963E8" w14:textId="77777777" w:rsidR="00BD776B" w:rsidRDefault="00DF0C24">
            <w:pPr>
              <w:snapToGrid w:val="0"/>
              <w:spacing w:line="200" w:lineRule="exact"/>
              <w:jc w:val="center"/>
            </w:pPr>
            <w:r>
              <w:rPr>
                <w:rFonts w:ascii="標楷體" w:eastAsia="標楷體" w:hAnsi="標楷體" w:cs="標楷體"/>
                <w:color w:val="000000"/>
                <w:sz w:val="20"/>
                <w:szCs w:val="20"/>
              </w:rPr>
              <w:t>科</w:t>
            </w:r>
          </w:p>
          <w:p w14:paraId="595A8576" w14:textId="77777777" w:rsidR="00BD776B" w:rsidRDefault="00DF0C24">
            <w:pPr>
              <w:snapToGrid w:val="0"/>
              <w:spacing w:line="200" w:lineRule="exact"/>
              <w:jc w:val="center"/>
            </w:pPr>
            <w:r>
              <w:rPr>
                <w:rFonts w:ascii="標楷體" w:eastAsia="標楷體" w:hAnsi="標楷體" w:cs="標楷體"/>
                <w:color w:val="000000"/>
                <w:sz w:val="20"/>
                <w:szCs w:val="20"/>
              </w:rPr>
              <w:t>別</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BED2F8" w14:textId="77777777" w:rsidR="00BD776B" w:rsidRDefault="00BD776B">
            <w:pPr>
              <w:snapToGrid w:val="0"/>
              <w:spacing w:line="200" w:lineRule="exact"/>
              <w:rPr>
                <w:rFonts w:ascii="標楷體" w:eastAsia="標楷體" w:hAnsi="標楷體"/>
                <w:color w:val="000000"/>
                <w:sz w:val="20"/>
                <w:szCs w:val="20"/>
              </w:rPr>
            </w:pPr>
          </w:p>
        </w:tc>
        <w:tc>
          <w:tcPr>
            <w:tcW w:w="1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B01211" w14:textId="77777777" w:rsidR="00BD776B" w:rsidRDefault="00DF0C24">
            <w:pPr>
              <w:snapToGrid w:val="0"/>
              <w:spacing w:line="200" w:lineRule="exact"/>
            </w:pPr>
            <w:r>
              <w:rPr>
                <w:rFonts w:ascii="標楷體" w:eastAsia="標楷體" w:hAnsi="標楷體" w:cs="標楷體"/>
                <w:color w:val="000000"/>
                <w:sz w:val="20"/>
                <w:szCs w:val="20"/>
              </w:rPr>
              <w:t>□門診□住院</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B1E2D5" w14:textId="77777777" w:rsidR="00BD776B" w:rsidRDefault="00DF0C24">
            <w:pPr>
              <w:snapToGrid w:val="0"/>
              <w:spacing w:line="200" w:lineRule="exact"/>
            </w:pPr>
            <w:r>
              <w:rPr>
                <w:rFonts w:ascii="標楷體" w:eastAsia="標楷體" w:hAnsi="標楷體" w:cs="標楷體"/>
                <w:color w:val="000000"/>
                <w:sz w:val="20"/>
                <w:szCs w:val="20"/>
              </w:rPr>
              <w:t>病歷號碼</w:t>
            </w:r>
          </w:p>
        </w:tc>
        <w:tc>
          <w:tcPr>
            <w:tcW w:w="14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57BD63" w14:textId="77777777" w:rsidR="00BD776B" w:rsidRDefault="00BD776B">
            <w:pPr>
              <w:snapToGrid w:val="0"/>
              <w:spacing w:line="200" w:lineRule="exact"/>
              <w:rPr>
                <w:rFonts w:ascii="標楷體" w:eastAsia="標楷體" w:hAnsi="標楷體"/>
                <w:color w:val="000000"/>
                <w:sz w:val="20"/>
                <w:szCs w:val="20"/>
              </w:rPr>
            </w:pPr>
          </w:p>
        </w:tc>
        <w:tc>
          <w:tcPr>
            <w:tcW w:w="9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96368" w14:textId="77777777" w:rsidR="00BD776B" w:rsidRDefault="00DF0C24">
            <w:pPr>
              <w:snapToGrid w:val="0"/>
              <w:spacing w:line="200" w:lineRule="exact"/>
              <w:rPr>
                <w:rFonts w:ascii="標楷體" w:eastAsia="標楷體" w:hAnsi="標楷體" w:cs="標楷體"/>
                <w:color w:val="000000"/>
                <w:sz w:val="20"/>
                <w:szCs w:val="20"/>
              </w:rPr>
            </w:pPr>
            <w:r>
              <w:rPr>
                <w:rFonts w:ascii="標楷體" w:eastAsia="標楷體" w:hAnsi="標楷體" w:cs="標楷體"/>
                <w:color w:val="000000"/>
                <w:sz w:val="20"/>
                <w:szCs w:val="20"/>
              </w:rPr>
              <w:t>申請醫師姓名</w:t>
            </w:r>
          </w:p>
          <w:p w14:paraId="4F37663F" w14:textId="77777777" w:rsidR="00BD776B" w:rsidRDefault="00DF0C24">
            <w:pPr>
              <w:snapToGrid w:val="0"/>
              <w:spacing w:line="200" w:lineRule="exact"/>
            </w:pPr>
            <w:r>
              <w:rPr>
                <w:rFonts w:ascii="標楷體" w:eastAsia="標楷體" w:hAnsi="標楷體" w:cs="標楷體"/>
                <w:color w:val="000000"/>
                <w:sz w:val="20"/>
                <w:szCs w:val="20"/>
              </w:rPr>
              <w:t>身分證號</w:t>
            </w:r>
          </w:p>
        </w:tc>
        <w:tc>
          <w:tcPr>
            <w:tcW w:w="19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5A5415"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73587142" w14:textId="77777777" w:rsidR="00BD776B" w:rsidRDefault="00BD776B">
            <w:pPr>
              <w:snapToGrid w:val="0"/>
              <w:spacing w:line="200" w:lineRule="exact"/>
              <w:rPr>
                <w:rFonts w:ascii="標楷體" w:eastAsia="標楷體" w:hAnsi="標楷體"/>
                <w:color w:val="000000"/>
                <w:sz w:val="20"/>
                <w:szCs w:val="20"/>
              </w:rPr>
            </w:pPr>
          </w:p>
        </w:tc>
      </w:tr>
      <w:tr w:rsidR="00BD776B" w14:paraId="30A69E65" w14:textId="77777777">
        <w:trPr>
          <w:cantSplit/>
          <w:trHeight w:val="674"/>
        </w:trPr>
        <w:tc>
          <w:tcPr>
            <w:tcW w:w="12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14DABE"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診斷代碼</w:t>
            </w:r>
          </w:p>
          <w:p w14:paraId="18184B8C" w14:textId="77777777" w:rsidR="00BD776B" w:rsidRDefault="00DF0C24">
            <w:pPr>
              <w:pStyle w:val="a7"/>
              <w:tabs>
                <w:tab w:val="clear" w:pos="4153"/>
                <w:tab w:val="clear" w:pos="8306"/>
              </w:tabs>
              <w:spacing w:line="200" w:lineRule="exact"/>
              <w:rPr>
                <w:rFonts w:ascii="標楷體" w:eastAsia="標楷體" w:hAnsi="標楷體"/>
                <w:color w:val="000000"/>
              </w:rPr>
            </w:pPr>
            <w:r>
              <w:rPr>
                <w:rFonts w:ascii="標楷體" w:eastAsia="標楷體" w:hAnsi="標楷體"/>
                <w:color w:val="000000"/>
              </w:rPr>
              <w:t>(必填)</w:t>
            </w:r>
          </w:p>
        </w:tc>
        <w:tc>
          <w:tcPr>
            <w:tcW w:w="664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16E6E4" w14:textId="77777777" w:rsidR="00BD776B" w:rsidRDefault="00BD776B">
            <w:pPr>
              <w:snapToGrid w:val="0"/>
              <w:spacing w:before="180" w:after="180" w:line="200" w:lineRule="exact"/>
              <w:rPr>
                <w:rFonts w:ascii="標楷體" w:eastAsia="標楷體" w:hAnsi="標楷體"/>
              </w:rPr>
            </w:pPr>
          </w:p>
        </w:tc>
        <w:tc>
          <w:tcPr>
            <w:tcW w:w="1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A4A48A" w14:textId="77777777" w:rsidR="00BD776B" w:rsidRDefault="00DF0C24">
            <w:pPr>
              <w:snapToGrid w:val="0"/>
              <w:spacing w:line="200" w:lineRule="exact"/>
            </w:pPr>
            <w:r>
              <w:rPr>
                <w:rFonts w:ascii="標楷體" w:eastAsia="標楷體" w:hAnsi="標楷體" w:cs="標楷體"/>
                <w:color w:val="000000"/>
                <w:sz w:val="20"/>
                <w:szCs w:val="20"/>
              </w:rPr>
              <w:t>使用日期</w:t>
            </w:r>
          </w:p>
        </w:tc>
        <w:tc>
          <w:tcPr>
            <w:tcW w:w="4694" w:type="dxa"/>
            <w:gridSpan w:val="16"/>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B490CFC" w14:textId="77777777" w:rsidR="00BD776B" w:rsidRDefault="00DF0C24">
            <w:pPr>
              <w:snapToGrid w:val="0"/>
              <w:spacing w:line="200" w:lineRule="exact"/>
            </w:pPr>
            <w:r>
              <w:rPr>
                <w:rFonts w:ascii="標楷體" w:eastAsia="標楷體" w:hAnsi="標楷體" w:cs="標楷體"/>
                <w:color w:val="000000"/>
                <w:sz w:val="20"/>
                <w:szCs w:val="20"/>
              </w:rPr>
              <w:t>年月日至年月日</w:t>
            </w:r>
          </w:p>
        </w:tc>
        <w:tc>
          <w:tcPr>
            <w:tcW w:w="40" w:type="dxa"/>
            <w:shd w:val="clear" w:color="auto" w:fill="auto"/>
            <w:tcMar>
              <w:top w:w="0" w:type="dxa"/>
              <w:left w:w="10" w:type="dxa"/>
              <w:bottom w:w="0" w:type="dxa"/>
              <w:right w:w="10" w:type="dxa"/>
            </w:tcMar>
          </w:tcPr>
          <w:p w14:paraId="3C840AFF" w14:textId="77777777" w:rsidR="00BD776B" w:rsidRDefault="00BD776B">
            <w:pPr>
              <w:snapToGrid w:val="0"/>
              <w:spacing w:line="200" w:lineRule="exact"/>
              <w:rPr>
                <w:rFonts w:ascii="標楷體" w:eastAsia="標楷體" w:hAnsi="標楷體"/>
              </w:rPr>
            </w:pPr>
          </w:p>
        </w:tc>
      </w:tr>
      <w:tr w:rsidR="00BD776B" w14:paraId="51A145E3" w14:textId="77777777">
        <w:trPr>
          <w:cantSplit/>
        </w:trPr>
        <w:tc>
          <w:tcPr>
            <w:tcW w:w="12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1766A8" w14:textId="77777777" w:rsidR="00BD776B" w:rsidRDefault="00DF0C24">
            <w:pPr>
              <w:snapToGrid w:val="0"/>
              <w:spacing w:line="200" w:lineRule="exact"/>
              <w:jc w:val="center"/>
            </w:pPr>
            <w:r>
              <w:rPr>
                <w:rFonts w:ascii="標楷體" w:eastAsia="標楷體" w:hAnsi="標楷體" w:cs="標楷體"/>
                <w:color w:val="000000"/>
                <w:sz w:val="20"/>
                <w:szCs w:val="20"/>
              </w:rPr>
              <w:t>藥品代碼</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9E5F7" w14:textId="77777777" w:rsidR="00BD776B" w:rsidRDefault="00DF0C24">
            <w:pPr>
              <w:snapToGrid w:val="0"/>
              <w:spacing w:line="200" w:lineRule="exact"/>
              <w:jc w:val="center"/>
            </w:pPr>
            <w:r>
              <w:rPr>
                <w:rFonts w:ascii="標楷體" w:eastAsia="標楷體" w:hAnsi="標楷體" w:cs="標楷體"/>
                <w:color w:val="000000"/>
                <w:sz w:val="20"/>
                <w:szCs w:val="20"/>
              </w:rPr>
              <w:t>申請類別</w:t>
            </w:r>
          </w:p>
        </w:tc>
        <w:tc>
          <w:tcPr>
            <w:tcW w:w="50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8811A4" w14:textId="77777777" w:rsidR="00BD776B" w:rsidRDefault="00DF0C24">
            <w:pPr>
              <w:snapToGrid w:val="0"/>
              <w:spacing w:line="200" w:lineRule="exact"/>
              <w:jc w:val="center"/>
            </w:pPr>
            <w:r>
              <w:rPr>
                <w:rFonts w:ascii="標楷體" w:eastAsia="標楷體" w:hAnsi="標楷體" w:cs="標楷體"/>
                <w:color w:val="000000"/>
                <w:sz w:val="20"/>
                <w:szCs w:val="20"/>
              </w:rPr>
              <w:t>給付規定</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19BA69" w14:textId="77777777" w:rsidR="00BD776B" w:rsidRDefault="00DF0C24">
            <w:pPr>
              <w:snapToGrid w:val="0"/>
              <w:spacing w:line="200" w:lineRule="exact"/>
              <w:jc w:val="center"/>
            </w:pPr>
            <w:r>
              <w:rPr>
                <w:rFonts w:ascii="標楷體" w:eastAsia="標楷體" w:hAnsi="標楷體" w:cs="標楷體"/>
                <w:color w:val="000000"/>
                <w:sz w:val="20"/>
                <w:szCs w:val="20"/>
              </w:rPr>
              <w:t>用法</w:t>
            </w:r>
          </w:p>
          <w:p w14:paraId="54113552" w14:textId="77777777" w:rsidR="00BD776B" w:rsidRDefault="00DF0C24">
            <w:pPr>
              <w:snapToGrid w:val="0"/>
              <w:spacing w:line="200" w:lineRule="exact"/>
              <w:jc w:val="center"/>
            </w:pPr>
            <w:r>
              <w:rPr>
                <w:rFonts w:ascii="標楷體" w:eastAsia="標楷體" w:hAnsi="標楷體" w:cs="標楷體"/>
                <w:color w:val="000000"/>
                <w:sz w:val="20"/>
                <w:szCs w:val="20"/>
              </w:rPr>
              <w:t>用量</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76946" w14:textId="77777777" w:rsidR="00BD776B" w:rsidRDefault="00DF0C24">
            <w:pPr>
              <w:snapToGrid w:val="0"/>
              <w:spacing w:line="200" w:lineRule="exact"/>
              <w:jc w:val="center"/>
            </w:pPr>
            <w:r>
              <w:rPr>
                <w:rFonts w:ascii="標楷體" w:eastAsia="標楷體" w:hAnsi="標楷體" w:cs="標楷體"/>
                <w:color w:val="000000"/>
                <w:sz w:val="20"/>
                <w:szCs w:val="20"/>
              </w:rPr>
              <w:t>申請</w:t>
            </w:r>
          </w:p>
          <w:p w14:paraId="6FCE7E24" w14:textId="77777777" w:rsidR="00BD776B" w:rsidRDefault="00DF0C24">
            <w:pPr>
              <w:snapToGrid w:val="0"/>
              <w:spacing w:line="200" w:lineRule="exact"/>
              <w:jc w:val="center"/>
            </w:pPr>
            <w:r>
              <w:rPr>
                <w:rFonts w:ascii="標楷體" w:eastAsia="標楷體" w:hAnsi="標楷體" w:cs="標楷體"/>
                <w:color w:val="000000"/>
                <w:sz w:val="20"/>
                <w:szCs w:val="20"/>
              </w:rPr>
              <w:t>數量</w:t>
            </w:r>
          </w:p>
        </w:tc>
        <w:tc>
          <w:tcPr>
            <w:tcW w:w="4694" w:type="dxa"/>
            <w:gridSpan w:val="16"/>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FCA1181" w14:textId="77777777" w:rsidR="00BD776B" w:rsidRDefault="00DF0C24">
            <w:pPr>
              <w:snapToGrid w:val="0"/>
              <w:spacing w:line="200" w:lineRule="exact"/>
              <w:jc w:val="center"/>
            </w:pPr>
            <w:r>
              <w:rPr>
                <w:rFonts w:ascii="標楷體" w:eastAsia="標楷體" w:hAnsi="標楷體" w:cs="標楷體"/>
                <w:color w:val="000000"/>
                <w:sz w:val="20"/>
                <w:szCs w:val="20"/>
              </w:rPr>
              <w:t>保險人核定欄</w:t>
            </w:r>
          </w:p>
        </w:tc>
        <w:tc>
          <w:tcPr>
            <w:tcW w:w="40" w:type="dxa"/>
            <w:shd w:val="clear" w:color="auto" w:fill="auto"/>
            <w:tcMar>
              <w:top w:w="0" w:type="dxa"/>
              <w:left w:w="10" w:type="dxa"/>
              <w:bottom w:w="0" w:type="dxa"/>
              <w:right w:w="10" w:type="dxa"/>
            </w:tcMar>
          </w:tcPr>
          <w:p w14:paraId="660E6764" w14:textId="77777777" w:rsidR="00BD776B" w:rsidRDefault="00BD776B">
            <w:pPr>
              <w:snapToGrid w:val="0"/>
              <w:spacing w:line="200" w:lineRule="exact"/>
              <w:jc w:val="center"/>
              <w:rPr>
                <w:rFonts w:ascii="標楷體" w:eastAsia="標楷體" w:hAnsi="標楷體"/>
              </w:rPr>
            </w:pPr>
          </w:p>
        </w:tc>
      </w:tr>
      <w:tr w:rsidR="00BD776B" w14:paraId="54AEACC0" w14:textId="77777777">
        <w:trPr>
          <w:cantSplit/>
          <w:trHeight w:val="1853"/>
        </w:trPr>
        <w:tc>
          <w:tcPr>
            <w:tcW w:w="12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02F826" w14:textId="77777777" w:rsidR="00BD776B" w:rsidRDefault="00BD776B">
            <w:pPr>
              <w:snapToGrid w:val="0"/>
              <w:spacing w:line="200" w:lineRule="exact"/>
              <w:rPr>
                <w:rFonts w:ascii="標楷體" w:eastAsia="標楷體" w:hAnsi="標楷體"/>
                <w:u w:val="single"/>
              </w:rPr>
            </w:pPr>
          </w:p>
          <w:p w14:paraId="13F685C0" w14:textId="77777777" w:rsidR="00BD776B" w:rsidRDefault="00DF0C24">
            <w:pPr>
              <w:snapToGrid w:val="0"/>
              <w:spacing w:line="200" w:lineRule="exact"/>
              <w:rPr>
                <w:rFonts w:ascii="標楷體" w:eastAsia="標楷體" w:hAnsi="標楷體" w:cs="Arial"/>
                <w:sz w:val="20"/>
                <w:szCs w:val="20"/>
              </w:rPr>
            </w:pPr>
            <w:r>
              <w:rPr>
                <w:rFonts w:ascii="標楷體" w:eastAsia="標楷體" w:hAnsi="標楷體" w:cs="Arial"/>
                <w:sz w:val="20"/>
                <w:szCs w:val="20"/>
              </w:rPr>
              <w:t>Restasis</w:t>
            </w:r>
          </w:p>
          <w:p w14:paraId="7375D636" w14:textId="77777777" w:rsidR="00BD776B" w:rsidRDefault="00BD776B">
            <w:pPr>
              <w:snapToGrid w:val="0"/>
              <w:spacing w:line="200" w:lineRule="exact"/>
              <w:rPr>
                <w:rFonts w:ascii="標楷體" w:eastAsia="標楷體" w:hAnsi="標楷體" w:cs="Arial"/>
                <w:sz w:val="20"/>
                <w:szCs w:val="20"/>
              </w:rPr>
            </w:pPr>
          </w:p>
        </w:tc>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7D00E" w14:textId="77777777" w:rsidR="00BD776B" w:rsidRDefault="00BD776B">
            <w:pPr>
              <w:snapToGrid w:val="0"/>
              <w:spacing w:line="200" w:lineRule="exact"/>
              <w:rPr>
                <w:rFonts w:ascii="標楷體" w:eastAsia="標楷體" w:hAnsi="標楷體"/>
                <w:color w:val="000000"/>
                <w:sz w:val="20"/>
                <w:szCs w:val="20"/>
              </w:rPr>
            </w:pPr>
          </w:p>
          <w:p w14:paraId="62E55511" w14:textId="77777777" w:rsidR="00BD776B" w:rsidRDefault="00DF0C24" w:rsidP="008A7063">
            <w:pPr>
              <w:numPr>
                <w:ilvl w:val="0"/>
                <w:numId w:val="112"/>
              </w:numPr>
              <w:snapToGrid w:val="0"/>
              <w:spacing w:line="200" w:lineRule="exact"/>
              <w:ind w:left="255" w:hanging="283"/>
            </w:pPr>
            <w:r>
              <w:rPr>
                <w:rFonts w:ascii="標楷體" w:eastAsia="標楷體" w:hAnsi="標楷體" w:cs="標楷體"/>
                <w:color w:val="000000"/>
                <w:sz w:val="20"/>
                <w:szCs w:val="20"/>
              </w:rPr>
              <w:t>第一次申請</w:t>
            </w:r>
          </w:p>
          <w:p w14:paraId="12FD5EEC" w14:textId="77777777" w:rsidR="00BD776B" w:rsidRDefault="00BD776B">
            <w:pPr>
              <w:snapToGrid w:val="0"/>
              <w:spacing w:line="200" w:lineRule="exact"/>
              <w:ind w:left="403" w:hanging="283"/>
              <w:rPr>
                <w:rFonts w:ascii="標楷體" w:eastAsia="標楷體" w:hAnsi="標楷體" w:cs="標楷體"/>
                <w:color w:val="000000"/>
                <w:sz w:val="20"/>
                <w:szCs w:val="20"/>
              </w:rPr>
            </w:pPr>
          </w:p>
          <w:p w14:paraId="1D2F2CDF" w14:textId="77777777" w:rsidR="00BD776B" w:rsidRDefault="00DF0C24" w:rsidP="008A7063">
            <w:pPr>
              <w:numPr>
                <w:ilvl w:val="0"/>
                <w:numId w:val="112"/>
              </w:numPr>
              <w:snapToGrid w:val="0"/>
              <w:spacing w:line="200" w:lineRule="exact"/>
              <w:ind w:left="255" w:hanging="283"/>
            </w:pPr>
            <w:r>
              <w:rPr>
                <w:rFonts w:ascii="標楷體" w:eastAsia="標楷體" w:hAnsi="標楷體" w:cs="標楷體"/>
                <w:color w:val="000000"/>
                <w:sz w:val="20"/>
                <w:szCs w:val="20"/>
              </w:rPr>
              <w:t>治療後第次申請</w:t>
            </w:r>
          </w:p>
        </w:tc>
        <w:tc>
          <w:tcPr>
            <w:tcW w:w="5091"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3623" w14:textId="77777777" w:rsidR="00BD776B" w:rsidRDefault="00DF0C24">
            <w:pPr>
              <w:pStyle w:val="Default"/>
              <w:widowControl/>
              <w:snapToGrid w:val="0"/>
              <w:spacing w:line="240" w:lineRule="exact"/>
              <w:ind w:left="200" w:hanging="200"/>
            </w:pPr>
            <w:r>
              <w:rPr>
                <w:rFonts w:ascii="標楷體" w:eastAsia="標楷體" w:hAnsi="標楷體" w:cs="Arial"/>
                <w:sz w:val="20"/>
                <w:szCs w:val="20"/>
              </w:rPr>
              <w:t>□淚液分泌測試</w:t>
            </w:r>
            <w:r>
              <w:rPr>
                <w:rFonts w:ascii="標楷體" w:eastAsia="標楷體" w:hAnsi="標楷體"/>
                <w:sz w:val="20"/>
                <w:szCs w:val="20"/>
              </w:rPr>
              <w:t>（Schirmer’stestwithoutanesthesia）少於5mm/5min，需附檢查試紙</w:t>
            </w:r>
          </w:p>
          <w:p w14:paraId="68FEAF5C" w14:textId="77777777" w:rsidR="00BD776B" w:rsidRDefault="00DF0C24">
            <w:pPr>
              <w:pStyle w:val="Default"/>
              <w:widowControl/>
              <w:snapToGrid w:val="0"/>
              <w:spacing w:line="200" w:lineRule="exact"/>
            </w:pPr>
            <w:r>
              <w:rPr>
                <w:rFonts w:ascii="標楷體" w:eastAsia="標楷體" w:hAnsi="標楷體" w:cs="Arial"/>
                <w:sz w:val="20"/>
                <w:szCs w:val="20"/>
              </w:rPr>
              <w:t>□淚膜崩裂時間</w:t>
            </w:r>
            <w:r>
              <w:rPr>
                <w:rFonts w:ascii="標楷體" w:eastAsia="標楷體" w:hAnsi="標楷體"/>
                <w:sz w:val="20"/>
                <w:szCs w:val="20"/>
              </w:rPr>
              <w:t>（TearFilmBreak-UpTime）小</w:t>
            </w:r>
            <w:r>
              <w:rPr>
                <w:rFonts w:ascii="標楷體" w:eastAsia="標楷體" w:hAnsi="標楷體" w:cs="Arial"/>
                <w:sz w:val="20"/>
                <w:szCs w:val="20"/>
              </w:rPr>
              <w:t>於或等於</w:t>
            </w:r>
            <w:r>
              <w:rPr>
                <w:rFonts w:ascii="標楷體" w:eastAsia="標楷體" w:hAnsi="標楷體"/>
                <w:sz w:val="20"/>
                <w:szCs w:val="20"/>
              </w:rPr>
              <w:t>5</w:t>
            </w:r>
            <w:r>
              <w:rPr>
                <w:rFonts w:ascii="標楷體" w:eastAsia="標楷體" w:hAnsi="標楷體" w:cs="Arial"/>
                <w:sz w:val="20"/>
                <w:szCs w:val="20"/>
              </w:rPr>
              <w:t>秒</w:t>
            </w:r>
          </w:p>
          <w:p w14:paraId="0D9A43AD" w14:textId="77777777" w:rsidR="00BD776B" w:rsidRDefault="00DF0C24">
            <w:pPr>
              <w:pStyle w:val="Default"/>
              <w:widowControl/>
              <w:snapToGrid w:val="0"/>
              <w:spacing w:line="240" w:lineRule="exact"/>
              <w:ind w:left="200" w:hanging="200"/>
            </w:pPr>
            <w:r>
              <w:rPr>
                <w:rFonts w:ascii="標楷體" w:eastAsia="標楷體" w:hAnsi="標楷體" w:cs="Arial"/>
                <w:sz w:val="20"/>
                <w:szCs w:val="20"/>
              </w:rPr>
              <w:t>□彩色外眼照片及螢光染色之照片(顯示有嚴重角膜點狀上皮缺損，結膜充血染色且有絲狀角膜炎，角膜潰瘍，或眼瞼結膜粘連，角膜結膜角質化之情形)</w:t>
            </w:r>
          </w:p>
          <w:p w14:paraId="722302DC" w14:textId="77777777" w:rsidR="00BD776B" w:rsidRDefault="00DF0C24">
            <w:pPr>
              <w:pStyle w:val="Default"/>
              <w:widowControl/>
              <w:snapToGrid w:val="0"/>
              <w:spacing w:line="240" w:lineRule="exact"/>
              <w:ind w:left="200" w:hanging="200"/>
            </w:pPr>
            <w:r>
              <w:rPr>
                <w:rFonts w:ascii="標楷體" w:eastAsia="標楷體" w:hAnsi="標楷體" w:cs="Arial"/>
                <w:sz w:val="20"/>
                <w:szCs w:val="20"/>
              </w:rPr>
              <w:t>□曾使用局部抗發炎藥物或淚點塞或人工淚液未見改善</w:t>
            </w:r>
          </w:p>
          <w:p w14:paraId="4431A8E8" w14:textId="77777777" w:rsidR="00BD776B" w:rsidRDefault="00DF0C24">
            <w:pPr>
              <w:pStyle w:val="Default"/>
              <w:widowControl/>
              <w:snapToGrid w:val="0"/>
              <w:spacing w:line="240" w:lineRule="exact"/>
              <w:ind w:left="200" w:hanging="200"/>
            </w:pPr>
            <w:r>
              <w:rPr>
                <w:rFonts w:ascii="標楷體" w:eastAsia="標楷體" w:hAnsi="標楷體" w:cs="Arial"/>
                <w:sz w:val="20"/>
                <w:szCs w:val="20"/>
              </w:rPr>
              <w:t>□續用條件—主述症狀改善：乾澀、畏光或產生眼睛分泌物</w:t>
            </w:r>
          </w:p>
          <w:p w14:paraId="4029B734" w14:textId="77777777" w:rsidR="00BD776B" w:rsidRDefault="00DF0C24">
            <w:pPr>
              <w:pStyle w:val="Default"/>
              <w:widowControl/>
              <w:snapToGrid w:val="0"/>
              <w:spacing w:line="240" w:lineRule="exact"/>
              <w:ind w:hanging="200"/>
            </w:pPr>
            <w:r>
              <w:rPr>
                <w:rFonts w:ascii="標楷體" w:eastAsia="標楷體" w:hAnsi="標楷體" w:cs="Arial"/>
                <w:sz w:val="20"/>
                <w:szCs w:val="20"/>
              </w:rPr>
              <w:t>合併以下任一條件改善□淚眼分泌測試、□淚膜崩裂時間、□角膜病變-螢光染色照片、□結膜充血或結膜染色-症狀改善</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62773" w14:textId="77777777" w:rsidR="00BD776B" w:rsidRDefault="00BD776B">
            <w:pPr>
              <w:snapToGrid w:val="0"/>
              <w:spacing w:line="200" w:lineRule="exact"/>
              <w:rPr>
                <w:rFonts w:ascii="標楷體" w:eastAsia="標楷體" w:hAnsi="標楷體"/>
                <w:color w:val="000000"/>
                <w:sz w:val="20"/>
                <w:szCs w:val="20"/>
              </w:rPr>
            </w:pPr>
          </w:p>
          <w:p w14:paraId="39042D49" w14:textId="77777777" w:rsidR="00BD776B" w:rsidRDefault="00BD776B">
            <w:pPr>
              <w:snapToGrid w:val="0"/>
              <w:spacing w:line="200" w:lineRule="exact"/>
              <w:rPr>
                <w:rFonts w:ascii="標楷體" w:eastAsia="標楷體" w:hAnsi="標楷體"/>
                <w:color w:val="000000"/>
                <w:sz w:val="20"/>
                <w:szCs w:val="20"/>
              </w:rPr>
            </w:pPr>
          </w:p>
          <w:p w14:paraId="704A206F" w14:textId="77777777" w:rsidR="00BD776B" w:rsidRDefault="00BD776B">
            <w:pPr>
              <w:snapToGrid w:val="0"/>
              <w:spacing w:line="200" w:lineRule="exact"/>
              <w:rPr>
                <w:rFonts w:ascii="標楷體" w:eastAsia="標楷體" w:hAnsi="標楷體"/>
                <w:color w:val="000000"/>
                <w:sz w:val="20"/>
                <w:szCs w:val="20"/>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B3723" w14:textId="77777777" w:rsidR="00BD776B" w:rsidRDefault="00BD776B">
            <w:pPr>
              <w:snapToGrid w:val="0"/>
              <w:rPr>
                <w:rFonts w:ascii="標楷體" w:eastAsia="標楷體" w:hAnsi="標楷體"/>
                <w:color w:val="000000"/>
                <w:sz w:val="20"/>
                <w:szCs w:val="20"/>
              </w:rPr>
            </w:pPr>
          </w:p>
          <w:p w14:paraId="1D0F1A73" w14:textId="77777777" w:rsidR="00BD776B" w:rsidRDefault="00BD776B">
            <w:pPr>
              <w:snapToGrid w:val="0"/>
              <w:rPr>
                <w:rFonts w:ascii="標楷體" w:eastAsia="標楷體" w:hAnsi="標楷體"/>
                <w:color w:val="000000"/>
                <w:sz w:val="20"/>
                <w:szCs w:val="20"/>
              </w:rPr>
            </w:pPr>
          </w:p>
        </w:tc>
        <w:tc>
          <w:tcPr>
            <w:tcW w:w="4694" w:type="dxa"/>
            <w:gridSpan w:val="16"/>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6776745C" w14:textId="77777777" w:rsidR="00BD776B" w:rsidRDefault="00DF0C24" w:rsidP="008A7063">
            <w:pPr>
              <w:numPr>
                <w:ilvl w:val="0"/>
                <w:numId w:val="113"/>
              </w:numPr>
              <w:tabs>
                <w:tab w:val="left" w:pos="240"/>
              </w:tabs>
              <w:snapToGrid w:val="0"/>
              <w:spacing w:line="240" w:lineRule="exact"/>
              <w:ind w:left="240" w:hanging="240"/>
            </w:pPr>
            <w:r>
              <w:rPr>
                <w:rFonts w:ascii="標楷體" w:eastAsia="標楷體" w:hAnsi="標楷體" w:cs="標楷體"/>
                <w:color w:val="000000"/>
                <w:sz w:val="20"/>
                <w:szCs w:val="20"/>
              </w:rPr>
              <w:t>同意備查。</w:t>
            </w:r>
          </w:p>
          <w:p w14:paraId="465ACB4F" w14:textId="77777777" w:rsidR="00BD776B" w:rsidRDefault="00DF0C24" w:rsidP="008A7063">
            <w:pPr>
              <w:numPr>
                <w:ilvl w:val="0"/>
                <w:numId w:val="113"/>
              </w:numPr>
              <w:tabs>
                <w:tab w:val="left" w:pos="240"/>
              </w:tabs>
              <w:snapToGrid w:val="0"/>
              <w:spacing w:line="240" w:lineRule="exact"/>
              <w:ind w:left="478" w:hanging="238"/>
            </w:pPr>
            <w:r>
              <w:rPr>
                <w:rFonts w:ascii="標楷體" w:eastAsia="標楷體" w:hAnsi="標楷體" w:cs="標楷體"/>
                <w:color w:val="000000"/>
                <w:sz w:val="20"/>
                <w:szCs w:val="20"/>
              </w:rPr>
              <w:t>使用劑量不符合常規，核定量為</w:t>
            </w:r>
          </w:p>
          <w:p w14:paraId="24366008" w14:textId="77777777" w:rsidR="00BD776B" w:rsidRDefault="00DF0C24">
            <w:pPr>
              <w:snapToGrid w:val="0"/>
              <w:spacing w:line="240" w:lineRule="exact"/>
            </w:pPr>
            <w:r>
              <w:rPr>
                <w:rFonts w:ascii="標楷體" w:eastAsia="標楷體" w:hAnsi="標楷體" w:cs="標楷體"/>
                <w:color w:val="000000"/>
                <w:sz w:val="20"/>
                <w:szCs w:val="20"/>
              </w:rPr>
              <w:t>□不同意</w:t>
            </w:r>
          </w:p>
          <w:p w14:paraId="550ECD93" w14:textId="77777777" w:rsidR="00BD776B" w:rsidRDefault="00DF0C24" w:rsidP="008A7063">
            <w:pPr>
              <w:numPr>
                <w:ilvl w:val="0"/>
                <w:numId w:val="113"/>
              </w:numPr>
              <w:tabs>
                <w:tab w:val="left" w:pos="240"/>
              </w:tabs>
              <w:snapToGrid w:val="0"/>
              <w:spacing w:line="240" w:lineRule="exact"/>
              <w:ind w:left="478" w:hanging="238"/>
            </w:pPr>
            <w:r>
              <w:rPr>
                <w:rFonts w:ascii="標楷體" w:eastAsia="標楷體" w:hAnsi="標楷體" w:cs="標楷體"/>
                <w:color w:val="000000"/>
                <w:sz w:val="20"/>
                <w:szCs w:val="20"/>
              </w:rPr>
              <w:t>不符合適應症。</w:t>
            </w:r>
          </w:p>
          <w:p w14:paraId="33F162DC" w14:textId="77777777" w:rsidR="00BD776B" w:rsidRDefault="00DF0C24" w:rsidP="008A7063">
            <w:pPr>
              <w:numPr>
                <w:ilvl w:val="0"/>
                <w:numId w:val="113"/>
              </w:numPr>
              <w:tabs>
                <w:tab w:val="left" w:pos="240"/>
              </w:tabs>
              <w:snapToGrid w:val="0"/>
              <w:spacing w:line="240" w:lineRule="exact"/>
              <w:ind w:left="478" w:hanging="238"/>
            </w:pPr>
            <w:r>
              <w:rPr>
                <w:rFonts w:ascii="標楷體" w:eastAsia="標楷體" w:hAnsi="標楷體" w:cs="標楷體"/>
                <w:color w:val="000000"/>
                <w:sz w:val="20"/>
                <w:szCs w:val="20"/>
              </w:rPr>
              <w:t>不符給付規定。</w:t>
            </w:r>
          </w:p>
          <w:p w14:paraId="4E6A5F52" w14:textId="77777777" w:rsidR="00BD776B" w:rsidRDefault="00DF0C24" w:rsidP="008A7063">
            <w:pPr>
              <w:numPr>
                <w:ilvl w:val="0"/>
                <w:numId w:val="113"/>
              </w:numPr>
              <w:tabs>
                <w:tab w:val="left" w:pos="240"/>
              </w:tabs>
              <w:snapToGrid w:val="0"/>
              <w:spacing w:line="240" w:lineRule="exact"/>
              <w:ind w:left="478" w:hanging="238"/>
            </w:pPr>
            <w:r>
              <w:rPr>
                <w:rFonts w:ascii="標楷體" w:eastAsia="標楷體" w:hAnsi="標楷體" w:cs="標楷體"/>
                <w:color w:val="000000"/>
                <w:sz w:val="20"/>
                <w:szCs w:val="20"/>
              </w:rPr>
              <w:t>相關檢驗、檢查報告不全補附資料再審，請補充以下資料</w:t>
            </w:r>
          </w:p>
          <w:p w14:paraId="61D7BEFA" w14:textId="77777777" w:rsidR="00BD776B" w:rsidRDefault="00DF0C24" w:rsidP="008A7063">
            <w:pPr>
              <w:numPr>
                <w:ilvl w:val="0"/>
                <w:numId w:val="113"/>
              </w:numPr>
              <w:tabs>
                <w:tab w:val="left" w:pos="240"/>
              </w:tabs>
              <w:snapToGrid w:val="0"/>
              <w:spacing w:line="240" w:lineRule="exact"/>
              <w:ind w:left="478" w:hanging="238"/>
            </w:pPr>
            <w:r>
              <w:rPr>
                <w:rFonts w:ascii="標楷體" w:eastAsia="標楷體" w:hAnsi="標楷體" w:cs="標楷體"/>
                <w:color w:val="000000"/>
                <w:sz w:val="20"/>
                <w:szCs w:val="20"/>
              </w:rPr>
              <w:t>其他：</w:t>
            </w:r>
          </w:p>
        </w:tc>
        <w:tc>
          <w:tcPr>
            <w:tcW w:w="40" w:type="dxa"/>
            <w:shd w:val="clear" w:color="auto" w:fill="auto"/>
            <w:tcMar>
              <w:top w:w="0" w:type="dxa"/>
              <w:left w:w="10" w:type="dxa"/>
              <w:bottom w:w="0" w:type="dxa"/>
              <w:right w:w="10" w:type="dxa"/>
            </w:tcMar>
          </w:tcPr>
          <w:p w14:paraId="2CC67621" w14:textId="77777777" w:rsidR="00BD776B" w:rsidRDefault="00BD776B">
            <w:pPr>
              <w:tabs>
                <w:tab w:val="left" w:pos="240"/>
              </w:tabs>
              <w:snapToGrid w:val="0"/>
              <w:spacing w:line="240" w:lineRule="exact"/>
              <w:ind w:left="478" w:hanging="238"/>
              <w:rPr>
                <w:rFonts w:ascii="標楷體" w:eastAsia="標楷體" w:hAnsi="標楷體"/>
              </w:rPr>
            </w:pPr>
          </w:p>
        </w:tc>
      </w:tr>
      <w:tr w:rsidR="00BD776B" w14:paraId="02AA4C3E" w14:textId="77777777">
        <w:trPr>
          <w:cantSplit/>
          <w:trHeight w:val="419"/>
        </w:trPr>
        <w:tc>
          <w:tcPr>
            <w:tcW w:w="12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2616A5" w14:textId="77777777" w:rsidR="00BD776B" w:rsidRDefault="00DF0C24">
            <w:pPr>
              <w:snapToGrid w:val="0"/>
              <w:spacing w:line="200" w:lineRule="exact"/>
            </w:pPr>
            <w:r>
              <w:rPr>
                <w:rFonts w:ascii="標楷體" w:eastAsia="標楷體" w:hAnsi="標楷體" w:cs="Arial"/>
                <w:sz w:val="20"/>
                <w:szCs w:val="20"/>
              </w:rPr>
              <w:t>項次:1</w:t>
            </w:r>
          </w:p>
        </w:tc>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F8A0F" w14:textId="77777777" w:rsidR="00BD776B" w:rsidRDefault="00BD776B">
            <w:pPr>
              <w:snapToGrid w:val="0"/>
              <w:spacing w:before="180"/>
              <w:ind w:left="269" w:hanging="269"/>
              <w:rPr>
                <w:rFonts w:ascii="標楷體" w:eastAsia="標楷體" w:hAnsi="標楷體"/>
                <w:u w:val="single"/>
              </w:rPr>
            </w:pPr>
          </w:p>
        </w:tc>
        <w:tc>
          <w:tcPr>
            <w:tcW w:w="5091"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064A6" w14:textId="77777777" w:rsidR="00BD776B" w:rsidRDefault="00BD776B">
            <w:pPr>
              <w:pStyle w:val="Default"/>
              <w:snapToGrid w:val="0"/>
              <w:rPr>
                <w:rFonts w:ascii="標楷體" w:eastAsia="標楷體" w:hAnsi="標楷體"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2103F" w14:textId="77777777" w:rsidR="00BD776B" w:rsidRDefault="00BD776B">
            <w:pPr>
              <w:snapToGrid w:val="0"/>
              <w:spacing w:line="200" w:lineRule="exact"/>
              <w:rPr>
                <w:rFonts w:ascii="標楷體" w:eastAsia="標楷體" w:hAnsi="標楷體"/>
                <w:color w:val="000000"/>
                <w:sz w:val="20"/>
                <w:szCs w:val="20"/>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75EF7E" w14:textId="77777777" w:rsidR="00BD776B" w:rsidRDefault="00BD776B">
            <w:pPr>
              <w:snapToGrid w:val="0"/>
              <w:rPr>
                <w:rFonts w:ascii="標楷體" w:eastAsia="標楷體" w:hAnsi="標楷體"/>
                <w:color w:val="000000"/>
                <w:sz w:val="20"/>
                <w:szCs w:val="20"/>
              </w:rPr>
            </w:pPr>
          </w:p>
        </w:tc>
        <w:tc>
          <w:tcPr>
            <w:tcW w:w="4694" w:type="dxa"/>
            <w:gridSpan w:val="16"/>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4718DDD" w14:textId="77777777" w:rsidR="00BD776B" w:rsidRDefault="00BD776B" w:rsidP="008A7063">
            <w:pPr>
              <w:numPr>
                <w:ilvl w:val="0"/>
                <w:numId w:val="113"/>
              </w:numPr>
              <w:tabs>
                <w:tab w:val="left" w:pos="240"/>
              </w:tabs>
              <w:snapToGrid w:val="0"/>
              <w:ind w:left="240" w:hanging="240"/>
              <w:rPr>
                <w:rFonts w:ascii="標楷體" w:eastAsia="標楷體" w:hAnsi="標楷體" w:cs="標楷體"/>
                <w:color w:val="000000"/>
                <w:sz w:val="20"/>
                <w:szCs w:val="20"/>
              </w:rPr>
            </w:pPr>
          </w:p>
        </w:tc>
        <w:tc>
          <w:tcPr>
            <w:tcW w:w="40" w:type="dxa"/>
            <w:shd w:val="clear" w:color="auto" w:fill="auto"/>
            <w:tcMar>
              <w:top w:w="0" w:type="dxa"/>
              <w:left w:w="10" w:type="dxa"/>
              <w:bottom w:w="0" w:type="dxa"/>
              <w:right w:w="10" w:type="dxa"/>
            </w:tcMar>
          </w:tcPr>
          <w:p w14:paraId="035C3001" w14:textId="77777777" w:rsidR="00BD776B" w:rsidRDefault="00BD776B">
            <w:pPr>
              <w:tabs>
                <w:tab w:val="left" w:pos="240"/>
              </w:tabs>
              <w:snapToGrid w:val="0"/>
              <w:ind w:left="240" w:hanging="240"/>
              <w:rPr>
                <w:rFonts w:ascii="標楷體" w:eastAsia="標楷體" w:hAnsi="標楷體" w:cs="標楷體"/>
                <w:color w:val="000000"/>
                <w:sz w:val="20"/>
                <w:szCs w:val="20"/>
              </w:rPr>
            </w:pPr>
          </w:p>
        </w:tc>
      </w:tr>
      <w:tr w:rsidR="00BD776B" w14:paraId="4AB7DC35" w14:textId="77777777">
        <w:trPr>
          <w:cantSplit/>
          <w:trHeight w:val="284"/>
        </w:trPr>
        <w:tc>
          <w:tcPr>
            <w:tcW w:w="12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B8AA3" w14:textId="77777777" w:rsidR="00BD776B" w:rsidRDefault="00DF0C24">
            <w:pPr>
              <w:snapToGrid w:val="0"/>
              <w:spacing w:line="200" w:lineRule="exact"/>
            </w:pPr>
            <w:r>
              <w:rPr>
                <w:rFonts w:ascii="標楷體" w:eastAsia="標楷體" w:hAnsi="標楷體" w:cs="Arial"/>
                <w:sz w:val="20"/>
                <w:szCs w:val="20"/>
              </w:rPr>
              <w:t>項目類別:1</w:t>
            </w:r>
          </w:p>
        </w:tc>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27E30" w14:textId="77777777" w:rsidR="00BD776B" w:rsidRDefault="00BD776B">
            <w:pPr>
              <w:snapToGrid w:val="0"/>
              <w:spacing w:before="180"/>
              <w:ind w:left="269" w:hanging="269"/>
              <w:rPr>
                <w:rFonts w:ascii="標楷體" w:eastAsia="標楷體" w:hAnsi="標楷體"/>
                <w:u w:val="single"/>
              </w:rPr>
            </w:pPr>
          </w:p>
        </w:tc>
        <w:tc>
          <w:tcPr>
            <w:tcW w:w="5091"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FC24A" w14:textId="77777777" w:rsidR="00BD776B" w:rsidRDefault="00BD776B">
            <w:pPr>
              <w:pStyle w:val="Default"/>
              <w:snapToGrid w:val="0"/>
              <w:rPr>
                <w:rFonts w:ascii="標楷體" w:eastAsia="標楷體" w:hAnsi="標楷體"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FD7C54" w14:textId="77777777" w:rsidR="00BD776B" w:rsidRDefault="00BD776B">
            <w:pPr>
              <w:snapToGrid w:val="0"/>
              <w:spacing w:line="200" w:lineRule="exact"/>
              <w:rPr>
                <w:rFonts w:ascii="標楷體" w:eastAsia="標楷體" w:hAnsi="標楷體"/>
                <w:color w:val="000000"/>
                <w:sz w:val="20"/>
                <w:szCs w:val="20"/>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78E7C" w14:textId="77777777" w:rsidR="00BD776B" w:rsidRDefault="00BD776B">
            <w:pPr>
              <w:snapToGrid w:val="0"/>
              <w:rPr>
                <w:rFonts w:ascii="標楷體" w:eastAsia="標楷體" w:hAnsi="標楷體"/>
                <w:color w:val="000000"/>
                <w:sz w:val="20"/>
                <w:szCs w:val="20"/>
              </w:rPr>
            </w:pPr>
          </w:p>
        </w:tc>
        <w:tc>
          <w:tcPr>
            <w:tcW w:w="4694" w:type="dxa"/>
            <w:gridSpan w:val="16"/>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2422182" w14:textId="77777777" w:rsidR="00BD776B" w:rsidRDefault="00BD776B" w:rsidP="008A7063">
            <w:pPr>
              <w:numPr>
                <w:ilvl w:val="0"/>
                <w:numId w:val="113"/>
              </w:numPr>
              <w:tabs>
                <w:tab w:val="left" w:pos="240"/>
              </w:tabs>
              <w:snapToGrid w:val="0"/>
              <w:ind w:left="240" w:hanging="240"/>
              <w:rPr>
                <w:rFonts w:ascii="標楷體" w:eastAsia="標楷體" w:hAnsi="標楷體" w:cs="標楷體"/>
                <w:color w:val="000000"/>
                <w:sz w:val="20"/>
                <w:szCs w:val="20"/>
              </w:rPr>
            </w:pPr>
          </w:p>
        </w:tc>
        <w:tc>
          <w:tcPr>
            <w:tcW w:w="40" w:type="dxa"/>
            <w:shd w:val="clear" w:color="auto" w:fill="auto"/>
            <w:tcMar>
              <w:top w:w="0" w:type="dxa"/>
              <w:left w:w="10" w:type="dxa"/>
              <w:bottom w:w="0" w:type="dxa"/>
              <w:right w:w="10" w:type="dxa"/>
            </w:tcMar>
          </w:tcPr>
          <w:p w14:paraId="4E0C58CF" w14:textId="77777777" w:rsidR="00BD776B" w:rsidRDefault="00BD776B">
            <w:pPr>
              <w:tabs>
                <w:tab w:val="left" w:pos="240"/>
              </w:tabs>
              <w:snapToGrid w:val="0"/>
              <w:ind w:left="240" w:hanging="240"/>
              <w:rPr>
                <w:rFonts w:ascii="標楷體" w:eastAsia="標楷體" w:hAnsi="標楷體" w:cs="標楷體"/>
                <w:color w:val="000000"/>
                <w:sz w:val="20"/>
                <w:szCs w:val="20"/>
              </w:rPr>
            </w:pPr>
          </w:p>
        </w:tc>
      </w:tr>
      <w:tr w:rsidR="00BD776B" w14:paraId="1126E8D7" w14:textId="77777777">
        <w:trPr>
          <w:cantSplit/>
          <w:trHeight w:val="639"/>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7C362" w14:textId="77777777" w:rsidR="00BD776B" w:rsidRDefault="00DF0C24">
            <w:pPr>
              <w:snapToGrid w:val="0"/>
            </w:pPr>
            <w:r>
              <w:rPr>
                <w:rFonts w:ascii="標楷體" w:eastAsia="標楷體" w:hAnsi="標楷體" w:cs="標楷體"/>
                <w:color w:val="000000"/>
              </w:rPr>
              <w:t>注意事項項</w:t>
            </w:r>
          </w:p>
          <w:p w14:paraId="155F502F" w14:textId="77777777" w:rsidR="00BD776B" w:rsidRDefault="00BD776B">
            <w:pPr>
              <w:snapToGrid w:val="0"/>
              <w:spacing w:line="200" w:lineRule="exact"/>
              <w:ind w:hanging="211"/>
              <w:rPr>
                <w:rFonts w:ascii="標楷體" w:eastAsia="標楷體" w:hAnsi="標楷體"/>
                <w:color w:val="000000"/>
                <w:sz w:val="20"/>
                <w:szCs w:val="20"/>
              </w:rPr>
            </w:pPr>
          </w:p>
        </w:tc>
        <w:tc>
          <w:tcPr>
            <w:tcW w:w="9314"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3DCCA"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1.本申請書限一人一案，由本保險特約醫事服務機構填報，不必備文，請逕向保險人各分區業務組申請審核。</w:t>
            </w:r>
          </w:p>
          <w:p w14:paraId="3789F053"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2.「原受理編號」申復時填寫，初次送核不須填寫。</w:t>
            </w:r>
          </w:p>
          <w:p w14:paraId="41D569CF"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3.應事前審查之項目未依規定事前申請核准者，不予給付費用；事前申請核准之個案，日後如經審定保險對象或醫事服務機構有不符全民健康保險給付規定者，亦不予給付費用。</w:t>
            </w:r>
          </w:p>
          <w:p w14:paraId="3348F2E1"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4.對核定結果如有異議，得於收到核定通知之日起六十日內，重行填寫乙份申請書(應勾註申復，並填明原受理編號)向原核定單位申請複核。</w:t>
            </w:r>
          </w:p>
          <w:p w14:paraId="109A82EC"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5.對複核結果如有異議，得於收到複核通知之日起六十日內向全民健康保險爭議審議會申請審議。</w:t>
            </w:r>
          </w:p>
          <w:p w14:paraId="129D61C4"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6.對核定結果有異議者，應循上述申複及爭議審議途徑申請複核或審議，不得以新個案重新申請送核，否則不予受理。</w:t>
            </w:r>
          </w:p>
          <w:p w14:paraId="3ABC615D" w14:textId="77777777" w:rsidR="00BD776B" w:rsidRDefault="00DF0C24">
            <w:pPr>
              <w:snapToGrid w:val="0"/>
              <w:spacing w:line="180" w:lineRule="exact"/>
              <w:ind w:left="196" w:hanging="196"/>
              <w:rPr>
                <w:rFonts w:ascii="標楷體" w:eastAsia="標楷體" w:hAnsi="標楷體"/>
                <w:color w:val="000000"/>
                <w:kern w:val="0"/>
                <w:sz w:val="20"/>
                <w:szCs w:val="20"/>
              </w:rPr>
            </w:pPr>
            <w:r>
              <w:rPr>
                <w:rFonts w:ascii="標楷體" w:eastAsia="標楷體" w:hAnsi="標楷體"/>
                <w:color w:val="000000"/>
                <w:kern w:val="0"/>
                <w:sz w:val="20"/>
                <w:szCs w:val="20"/>
              </w:rPr>
              <w:t>7.保險醫事服務機構如因事出緊急，得以書面說明電傳保險人報備後，先行處理治療，並立即備齊應附文件備查。</w:t>
            </w:r>
          </w:p>
          <w:p w14:paraId="67EFF95C" w14:textId="77777777" w:rsidR="00BD776B" w:rsidRDefault="00DF0C24">
            <w:pPr>
              <w:snapToGrid w:val="0"/>
              <w:spacing w:line="180" w:lineRule="exact"/>
              <w:ind w:left="196" w:hanging="196"/>
            </w:pPr>
            <w:r>
              <w:rPr>
                <w:rFonts w:ascii="標楷體" w:eastAsia="標楷體" w:hAnsi="標楷體"/>
                <w:color w:val="000000"/>
                <w:kern w:val="0"/>
                <w:sz w:val="20"/>
                <w:szCs w:val="20"/>
              </w:rPr>
              <w:t>8.診斷代碼為必填欄位，並請依代碼勾選或自行鍵入(無代碼可勾選者)，且醫令申報本藥品時診斷代碼需相同。</w:t>
            </w:r>
          </w:p>
        </w:tc>
        <w:tc>
          <w:tcPr>
            <w:tcW w:w="4694" w:type="dxa"/>
            <w:gridSpan w:val="16"/>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C3E30AF" w14:textId="77777777" w:rsidR="00BD776B" w:rsidRDefault="00BD776B">
            <w:pPr>
              <w:snapToGrid w:val="0"/>
              <w:spacing w:line="200" w:lineRule="exact"/>
              <w:rPr>
                <w:rFonts w:ascii="標楷體" w:eastAsia="標楷體" w:hAnsi="標楷體"/>
                <w:color w:val="000000"/>
                <w:sz w:val="20"/>
                <w:szCs w:val="20"/>
              </w:rPr>
            </w:pPr>
          </w:p>
        </w:tc>
        <w:tc>
          <w:tcPr>
            <w:tcW w:w="40" w:type="dxa"/>
            <w:shd w:val="clear" w:color="auto" w:fill="auto"/>
            <w:tcMar>
              <w:top w:w="0" w:type="dxa"/>
              <w:left w:w="10" w:type="dxa"/>
              <w:bottom w:w="0" w:type="dxa"/>
              <w:right w:w="10" w:type="dxa"/>
            </w:tcMar>
          </w:tcPr>
          <w:p w14:paraId="78DEA9D9" w14:textId="77777777" w:rsidR="00BD776B" w:rsidRDefault="00BD776B">
            <w:pPr>
              <w:snapToGrid w:val="0"/>
              <w:spacing w:line="200" w:lineRule="exact"/>
              <w:rPr>
                <w:rFonts w:ascii="標楷體" w:eastAsia="標楷體" w:hAnsi="標楷體"/>
                <w:color w:val="000000"/>
                <w:sz w:val="20"/>
                <w:szCs w:val="20"/>
              </w:rPr>
            </w:pPr>
          </w:p>
        </w:tc>
      </w:tr>
      <w:tr w:rsidR="00BD776B" w14:paraId="0740771F" w14:textId="77777777">
        <w:trPr>
          <w:cantSplit/>
          <w:trHeight w:val="753"/>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F2F17" w14:textId="77777777" w:rsidR="00BD776B" w:rsidRDefault="00BD776B">
            <w:pPr>
              <w:snapToGrid w:val="0"/>
              <w:ind w:left="211" w:hanging="211"/>
              <w:rPr>
                <w:rFonts w:ascii="標楷體" w:eastAsia="標楷體" w:hAnsi="標楷體"/>
                <w:color w:val="000000"/>
              </w:rPr>
            </w:pPr>
          </w:p>
        </w:tc>
        <w:tc>
          <w:tcPr>
            <w:tcW w:w="9314" w:type="dxa"/>
            <w:gridSpan w:val="1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E348F" w14:textId="77777777" w:rsidR="00BD776B" w:rsidRDefault="00BD776B">
            <w:pPr>
              <w:snapToGrid w:val="0"/>
              <w:ind w:left="211" w:hanging="211"/>
              <w:rPr>
                <w:rFonts w:ascii="標楷體" w:eastAsia="標楷體" w:hAnsi="標楷體"/>
                <w:color w:val="000000"/>
              </w:rPr>
            </w:pPr>
          </w:p>
        </w:tc>
        <w:tc>
          <w:tcPr>
            <w:tcW w:w="3399" w:type="dxa"/>
            <w:gridSpan w:val="13"/>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33C6D" w14:textId="77777777" w:rsidR="00BD776B" w:rsidRDefault="00DF0C24">
            <w:pPr>
              <w:snapToGrid w:val="0"/>
              <w:jc w:val="both"/>
            </w:pPr>
            <w:r>
              <w:rPr>
                <w:rFonts w:ascii="標楷體" w:eastAsia="標楷體" w:hAnsi="標楷體" w:cs="標楷體"/>
                <w:color w:val="000000"/>
                <w:sz w:val="20"/>
                <w:szCs w:val="20"/>
              </w:rPr>
              <w:t>保險人日期章戳</w:t>
            </w:r>
          </w:p>
        </w:tc>
        <w:tc>
          <w:tcPr>
            <w:tcW w:w="3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1D96C" w14:textId="77777777" w:rsidR="00BD776B" w:rsidRDefault="00DF0C24">
            <w:pPr>
              <w:snapToGrid w:val="0"/>
            </w:pPr>
            <w:r>
              <w:rPr>
                <w:rFonts w:ascii="標楷體" w:eastAsia="標楷體" w:hAnsi="標楷體" w:cs="標楷體"/>
                <w:color w:val="000000"/>
              </w:rPr>
              <w:t>審查醫師</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9EC413"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3ED4DD74" w14:textId="77777777" w:rsidR="00BD776B" w:rsidRDefault="00BD776B">
            <w:pPr>
              <w:snapToGrid w:val="0"/>
              <w:rPr>
                <w:rFonts w:ascii="標楷體" w:eastAsia="標楷體" w:hAnsi="標楷體"/>
                <w:color w:val="000000"/>
              </w:rPr>
            </w:pPr>
          </w:p>
        </w:tc>
      </w:tr>
      <w:tr w:rsidR="00BD776B" w14:paraId="4D709439" w14:textId="77777777">
        <w:trPr>
          <w:cantSplit/>
          <w:trHeight w:val="710"/>
        </w:trPr>
        <w:tc>
          <w:tcPr>
            <w:tcW w:w="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69AC8" w14:textId="77777777" w:rsidR="00BD776B" w:rsidRDefault="00BD776B">
            <w:pPr>
              <w:snapToGrid w:val="0"/>
              <w:ind w:left="211" w:hanging="211"/>
              <w:rPr>
                <w:rFonts w:ascii="標楷體" w:eastAsia="標楷體" w:hAnsi="標楷體"/>
                <w:color w:val="000000"/>
              </w:rPr>
            </w:pPr>
          </w:p>
        </w:tc>
        <w:tc>
          <w:tcPr>
            <w:tcW w:w="9314" w:type="dxa"/>
            <w:gridSpan w:val="1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CBF2E" w14:textId="77777777" w:rsidR="00BD776B" w:rsidRDefault="00BD776B">
            <w:pPr>
              <w:snapToGrid w:val="0"/>
              <w:ind w:left="211" w:hanging="211"/>
              <w:rPr>
                <w:rFonts w:ascii="標楷體" w:eastAsia="標楷體" w:hAnsi="標楷體"/>
                <w:color w:val="000000"/>
              </w:rPr>
            </w:pPr>
          </w:p>
        </w:tc>
        <w:tc>
          <w:tcPr>
            <w:tcW w:w="3399" w:type="dxa"/>
            <w:gridSpan w:val="13"/>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EF6FD" w14:textId="77777777" w:rsidR="00BD776B" w:rsidRDefault="00BD776B">
            <w:pPr>
              <w:snapToGrid w:val="0"/>
              <w:jc w:val="both"/>
              <w:rPr>
                <w:rFonts w:ascii="標楷體" w:eastAsia="標楷體" w:hAnsi="標楷體"/>
                <w:color w:val="000000"/>
              </w:rPr>
            </w:pPr>
          </w:p>
        </w:tc>
        <w:tc>
          <w:tcPr>
            <w:tcW w:w="34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395A" w14:textId="77777777" w:rsidR="00BD776B" w:rsidRDefault="00BD776B">
            <w:pPr>
              <w:snapToGrid w:val="0"/>
              <w:rPr>
                <w:rFonts w:ascii="標楷體" w:eastAsia="標楷體" w:hAnsi="標楷體" w:cs="標楷體"/>
                <w:color w:val="000000"/>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30BAF" w14:textId="77777777" w:rsidR="00BD776B" w:rsidRDefault="00BD776B">
            <w:pPr>
              <w:snapToGrid w:val="0"/>
              <w:rPr>
                <w:rFonts w:ascii="標楷體" w:eastAsia="標楷體" w:hAnsi="標楷體"/>
                <w:color w:val="000000"/>
              </w:rPr>
            </w:pPr>
          </w:p>
        </w:tc>
        <w:tc>
          <w:tcPr>
            <w:tcW w:w="40" w:type="dxa"/>
            <w:shd w:val="clear" w:color="auto" w:fill="auto"/>
            <w:tcMar>
              <w:top w:w="0" w:type="dxa"/>
              <w:left w:w="10" w:type="dxa"/>
              <w:bottom w:w="0" w:type="dxa"/>
              <w:right w:w="10" w:type="dxa"/>
            </w:tcMar>
          </w:tcPr>
          <w:p w14:paraId="7594182E" w14:textId="77777777" w:rsidR="00BD776B" w:rsidRDefault="00BD776B">
            <w:pPr>
              <w:snapToGrid w:val="0"/>
              <w:rPr>
                <w:rFonts w:ascii="標楷體" w:eastAsia="標楷體" w:hAnsi="標楷體"/>
                <w:color w:val="000000"/>
              </w:rPr>
            </w:pPr>
          </w:p>
        </w:tc>
      </w:tr>
      <w:tr w:rsidR="00BD776B" w14:paraId="361DF99C" w14:textId="77777777">
        <w:trPr>
          <w:cantSplit/>
          <w:trHeight w:val="838"/>
        </w:trPr>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1DC1" w14:textId="77777777" w:rsidR="00BD776B" w:rsidRDefault="00DF0C24">
            <w:pPr>
              <w:snapToGrid w:val="0"/>
              <w:spacing w:line="200" w:lineRule="exact"/>
            </w:pPr>
            <w:r>
              <w:rPr>
                <w:rFonts w:ascii="標楷體" w:eastAsia="標楷體" w:hAnsi="標楷體" w:cs="標楷體"/>
                <w:color w:val="000000"/>
                <w:sz w:val="20"/>
                <w:szCs w:val="20"/>
              </w:rPr>
              <w:t>醫事服務機構</w:t>
            </w:r>
          </w:p>
        </w:tc>
        <w:tc>
          <w:tcPr>
            <w:tcW w:w="89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6727" w14:textId="77777777" w:rsidR="00BD776B" w:rsidRDefault="00DF0C24">
            <w:pPr>
              <w:snapToGrid w:val="0"/>
              <w:spacing w:line="200" w:lineRule="exact"/>
            </w:pPr>
            <w:r>
              <w:rPr>
                <w:rFonts w:ascii="標楷體" w:eastAsia="標楷體" w:hAnsi="標楷體" w:cs="標楷體"/>
                <w:color w:val="000000"/>
                <w:sz w:val="20"/>
                <w:szCs w:val="20"/>
              </w:rPr>
              <w:t>負責醫師申請日期：年月日</w:t>
            </w:r>
          </w:p>
          <w:p w14:paraId="10872EB1" w14:textId="77777777" w:rsidR="00BD776B" w:rsidRDefault="00BD776B">
            <w:pPr>
              <w:snapToGrid w:val="0"/>
              <w:spacing w:line="200" w:lineRule="exact"/>
              <w:rPr>
                <w:rFonts w:ascii="標楷體" w:eastAsia="標楷體" w:hAnsi="標楷體"/>
                <w:color w:val="000000"/>
                <w:sz w:val="20"/>
                <w:szCs w:val="20"/>
              </w:rPr>
            </w:pPr>
          </w:p>
          <w:p w14:paraId="2D1708F4" w14:textId="77777777" w:rsidR="00BD776B" w:rsidRDefault="00DF0C24">
            <w:pPr>
              <w:snapToGrid w:val="0"/>
              <w:spacing w:line="200" w:lineRule="exact"/>
            </w:pPr>
            <w:r>
              <w:rPr>
                <w:rFonts w:ascii="標楷體" w:eastAsia="標楷體" w:hAnsi="標楷體" w:cs="標楷體"/>
                <w:color w:val="000000"/>
                <w:sz w:val="20"/>
                <w:szCs w:val="20"/>
              </w:rPr>
              <w:t>印信</w:t>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olor w:val="000000"/>
                <w:sz w:val="20"/>
                <w:szCs w:val="20"/>
              </w:rPr>
              <w:tab/>
            </w:r>
            <w:r>
              <w:rPr>
                <w:rFonts w:ascii="標楷體" w:eastAsia="標楷體" w:hAnsi="標楷體" w:cs="標楷體"/>
                <w:color w:val="000000"/>
                <w:sz w:val="20"/>
                <w:szCs w:val="20"/>
              </w:rPr>
              <w:t>文號：</w:t>
            </w:r>
          </w:p>
        </w:tc>
        <w:tc>
          <w:tcPr>
            <w:tcW w:w="2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F4B82" w14:textId="77777777" w:rsidR="00BD776B" w:rsidRDefault="00DF0C24">
            <w:pPr>
              <w:widowControl/>
              <w:snapToGrid w:val="0"/>
              <w:spacing w:line="200" w:lineRule="exact"/>
            </w:pPr>
            <w:r>
              <w:rPr>
                <w:rFonts w:ascii="標楷體" w:eastAsia="標楷體" w:hAnsi="標楷體" w:cs="標楷體"/>
                <w:color w:val="000000"/>
                <w:sz w:val="20"/>
                <w:szCs w:val="20"/>
              </w:rPr>
              <w:t>承辦人</w:t>
            </w:r>
          </w:p>
        </w:tc>
        <w:tc>
          <w:tcPr>
            <w:tcW w:w="70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B662" w14:textId="77777777" w:rsidR="00BD776B" w:rsidRDefault="00BD776B">
            <w:pPr>
              <w:snapToGrid w:val="0"/>
              <w:spacing w:line="200" w:lineRule="exact"/>
              <w:rPr>
                <w:rFonts w:ascii="標楷體" w:eastAsia="標楷體" w:hAnsi="標楷體"/>
                <w:color w:val="000000"/>
                <w:sz w:val="20"/>
                <w:szCs w:val="20"/>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1A69D" w14:textId="77777777" w:rsidR="00BD776B" w:rsidRDefault="00DF0C24">
            <w:pPr>
              <w:widowControl/>
              <w:snapToGrid w:val="0"/>
              <w:spacing w:line="200" w:lineRule="exact"/>
            </w:pPr>
            <w:r>
              <w:rPr>
                <w:rFonts w:ascii="標楷體" w:eastAsia="標楷體" w:hAnsi="標楷體" w:cs="標楷體"/>
                <w:color w:val="000000"/>
                <w:sz w:val="20"/>
                <w:szCs w:val="20"/>
              </w:rPr>
              <w:t>複核</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1CD25" w14:textId="77777777" w:rsidR="00BD776B" w:rsidRDefault="00BD776B">
            <w:pPr>
              <w:widowControl/>
              <w:snapToGrid w:val="0"/>
              <w:spacing w:line="200" w:lineRule="exact"/>
              <w:rPr>
                <w:rFonts w:ascii="標楷體" w:eastAsia="標楷體" w:hAnsi="標楷體"/>
                <w:color w:val="000000"/>
                <w:sz w:val="20"/>
                <w:szCs w:val="20"/>
              </w:rPr>
            </w:pPr>
          </w:p>
          <w:p w14:paraId="7A27E4DF" w14:textId="77777777" w:rsidR="00BD776B" w:rsidRDefault="00BD776B">
            <w:pPr>
              <w:snapToGrid w:val="0"/>
              <w:spacing w:line="200" w:lineRule="exact"/>
              <w:rPr>
                <w:rFonts w:ascii="標楷體" w:eastAsia="標楷體" w:hAnsi="標楷體"/>
                <w:color w:val="000000"/>
                <w:sz w:val="20"/>
                <w:szCs w:val="20"/>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672" w14:textId="77777777" w:rsidR="00BD776B" w:rsidRDefault="00DF0C24">
            <w:pPr>
              <w:snapToGrid w:val="0"/>
              <w:spacing w:line="200" w:lineRule="exact"/>
            </w:pPr>
            <w:r>
              <w:rPr>
                <w:rFonts w:ascii="標楷體" w:eastAsia="標楷體" w:hAnsi="標楷體" w:cs="標楷體"/>
                <w:color w:val="000000"/>
                <w:sz w:val="20"/>
                <w:szCs w:val="20"/>
              </w:rPr>
              <w:t>科長</w:t>
            </w:r>
          </w:p>
        </w:tc>
        <w:tc>
          <w:tcPr>
            <w:tcW w:w="839" w:type="dxa"/>
            <w:gridSpan w:val="4"/>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A1EF" w14:textId="77777777" w:rsidR="00BD776B" w:rsidRDefault="00BD776B">
            <w:pPr>
              <w:widowControl/>
              <w:snapToGrid w:val="0"/>
              <w:spacing w:line="200" w:lineRule="exact"/>
              <w:rPr>
                <w:rFonts w:ascii="標楷體" w:eastAsia="標楷體" w:hAnsi="標楷體"/>
                <w:color w:val="000000"/>
                <w:sz w:val="20"/>
                <w:szCs w:val="20"/>
              </w:rPr>
            </w:pPr>
          </w:p>
          <w:p w14:paraId="16362498" w14:textId="77777777" w:rsidR="00BD776B" w:rsidRDefault="00BD776B">
            <w:pPr>
              <w:snapToGrid w:val="0"/>
              <w:spacing w:line="200" w:lineRule="exact"/>
              <w:rPr>
                <w:rFonts w:ascii="標楷體" w:eastAsia="標楷體" w:hAnsi="標楷體"/>
                <w:color w:val="000000"/>
                <w:sz w:val="20"/>
                <w:szCs w:val="20"/>
              </w:rPr>
            </w:pPr>
          </w:p>
        </w:tc>
        <w:tc>
          <w:tcPr>
            <w:tcW w:w="35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9BBC" w14:textId="77777777" w:rsidR="00BD776B" w:rsidRDefault="00DF0C24">
            <w:pPr>
              <w:widowControl/>
              <w:snapToGrid w:val="0"/>
              <w:spacing w:line="200" w:lineRule="exact"/>
            </w:pPr>
            <w:r>
              <w:rPr>
                <w:rFonts w:ascii="標楷體" w:eastAsia="標楷體" w:hAnsi="標楷體" w:cs="標楷體"/>
                <w:color w:val="000000"/>
                <w:sz w:val="20"/>
                <w:szCs w:val="20"/>
              </w:rPr>
              <w:t>決行</w:t>
            </w: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13DD6" w14:textId="77777777" w:rsidR="00BD776B" w:rsidRDefault="00BD776B">
            <w:pPr>
              <w:snapToGrid w:val="0"/>
              <w:spacing w:line="200" w:lineRule="exact"/>
              <w:rPr>
                <w:rFonts w:ascii="標楷體" w:eastAsia="標楷體" w:hAnsi="標楷體"/>
                <w:color w:val="000000"/>
                <w:sz w:val="20"/>
                <w:szCs w:val="20"/>
              </w:rPr>
            </w:pPr>
          </w:p>
        </w:tc>
      </w:tr>
    </w:tbl>
    <w:p w14:paraId="36FD985C" w14:textId="77777777" w:rsidR="001E4221" w:rsidRDefault="001E4221">
      <w:pPr>
        <w:rPr>
          <w:vanish/>
        </w:rPr>
        <w:sectPr w:rsidR="001E4221" w:rsidSect="007E1772">
          <w:footerReference w:type="default" r:id="rId43"/>
          <w:pgSz w:w="16840" w:h="11907" w:orient="landscape"/>
          <w:pgMar w:top="720" w:right="720" w:bottom="720" w:left="720" w:header="720" w:footer="720" w:gutter="0"/>
          <w:cols w:space="720"/>
          <w:docGrid w:type="lines" w:linePitch="327"/>
        </w:sectPr>
      </w:pPr>
    </w:p>
    <w:tbl>
      <w:tblPr>
        <w:tblW w:w="14925" w:type="dxa"/>
        <w:tblInd w:w="-289" w:type="dxa"/>
        <w:tblLayout w:type="fixed"/>
        <w:tblCellMar>
          <w:left w:w="10" w:type="dxa"/>
          <w:right w:w="10" w:type="dxa"/>
        </w:tblCellMar>
        <w:tblLook w:val="0000" w:firstRow="0" w:lastRow="0" w:firstColumn="0" w:lastColumn="0" w:noHBand="0" w:noVBand="0"/>
      </w:tblPr>
      <w:tblGrid>
        <w:gridCol w:w="424"/>
        <w:gridCol w:w="554"/>
        <w:gridCol w:w="164"/>
        <w:gridCol w:w="569"/>
        <w:gridCol w:w="1318"/>
        <w:gridCol w:w="368"/>
        <w:gridCol w:w="1095"/>
        <w:gridCol w:w="269"/>
        <w:gridCol w:w="1251"/>
        <w:gridCol w:w="584"/>
        <w:gridCol w:w="368"/>
        <w:gridCol w:w="1666"/>
        <w:gridCol w:w="1103"/>
        <w:gridCol w:w="342"/>
        <w:gridCol w:w="82"/>
        <w:gridCol w:w="183"/>
        <w:gridCol w:w="619"/>
        <w:gridCol w:w="138"/>
        <w:gridCol w:w="286"/>
        <w:gridCol w:w="206"/>
        <w:gridCol w:w="460"/>
        <w:gridCol w:w="160"/>
        <w:gridCol w:w="44"/>
        <w:gridCol w:w="396"/>
        <w:gridCol w:w="209"/>
        <w:gridCol w:w="335"/>
        <w:gridCol w:w="127"/>
        <w:gridCol w:w="283"/>
        <w:gridCol w:w="1282"/>
        <w:gridCol w:w="40"/>
      </w:tblGrid>
      <w:tr w:rsidR="00BD776B" w14:paraId="6F335469" w14:textId="77777777">
        <w:trPr>
          <w:trHeight w:val="430"/>
        </w:trPr>
        <w:tc>
          <w:tcPr>
            <w:tcW w:w="10075"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CAE53A" w14:textId="77777777" w:rsidR="00BD776B" w:rsidRDefault="00DF0C24">
            <w:pPr>
              <w:pStyle w:val="ab"/>
              <w:spacing w:line="400" w:lineRule="exact"/>
            </w:pPr>
            <w:r>
              <w:rPr>
                <w:rFonts w:ascii="標楷體" w:eastAsia="標楷體" w:hAnsi="標楷體" w:cs="Arial"/>
                <w:sz w:val="28"/>
                <w:szCs w:val="28"/>
              </w:rPr>
              <w:lastRenderedPageBreak/>
              <w:t>附表二十九之一 全民健康保險新生血管抑制劑(Anti-angiogenic agents)</w:t>
            </w:r>
          </w:p>
          <w:p w14:paraId="37C8B9D0" w14:textId="77777777" w:rsidR="00BD776B" w:rsidRDefault="00DF0C24">
            <w:pPr>
              <w:pStyle w:val="ab"/>
              <w:spacing w:line="400" w:lineRule="exact"/>
            </w:pPr>
            <w:r>
              <w:rPr>
                <w:rFonts w:ascii="標楷體" w:eastAsia="標楷體" w:hAnsi="標楷體" w:cs="Arial"/>
                <w:sz w:val="28"/>
                <w:szCs w:val="28"/>
              </w:rPr>
              <w:t xml:space="preserve"> 事前審查申請表(</w:t>
            </w:r>
            <w:r>
              <w:rPr>
                <w:rFonts w:ascii="標楷體" w:eastAsia="標楷體" w:hAnsi="標楷體" w:cs="Arial"/>
                <w:color w:val="000000"/>
              </w:rPr>
              <w:t>DME、CRVO、CNV、</w:t>
            </w:r>
            <w:r>
              <w:rPr>
                <w:rFonts w:ascii="標楷體" w:eastAsia="標楷體" w:hAnsi="標楷體" w:cs="Arial"/>
              </w:rPr>
              <w:t>B</w:t>
            </w:r>
            <w:r>
              <w:rPr>
                <w:rFonts w:ascii="標楷體" w:eastAsia="標楷體" w:hAnsi="標楷體" w:cs="Arial"/>
                <w:color w:val="000000"/>
              </w:rPr>
              <w:t>RVO</w:t>
            </w:r>
            <w:r>
              <w:rPr>
                <w:rFonts w:ascii="標楷體" w:eastAsia="標楷體" w:hAnsi="標楷體" w:cs="Arial"/>
                <w:sz w:val="28"/>
                <w:szCs w:val="28"/>
              </w:rPr>
              <w:t>)</w:t>
            </w:r>
          </w:p>
        </w:tc>
        <w:tc>
          <w:tcPr>
            <w:tcW w:w="151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8D2EF0" w14:textId="77777777" w:rsidR="00BD776B" w:rsidRDefault="00DF0C24">
            <w:pPr>
              <w:pStyle w:val="ab"/>
              <w:ind w:left="127" w:firstLine="36"/>
            </w:pPr>
            <w:r>
              <w:rPr>
                <w:rFonts w:ascii="標楷體" w:eastAsia="標楷體" w:hAnsi="標楷體" w:cs="標楷體"/>
                <w:color w:val="000000"/>
              </w:rPr>
              <w:t>□送核</w:t>
            </w:r>
          </w:p>
          <w:p w14:paraId="054E86E1" w14:textId="77777777" w:rsidR="00BD776B" w:rsidRDefault="00DF0C24">
            <w:pPr>
              <w:pStyle w:val="ab"/>
              <w:ind w:left="-12" w:firstLine="43"/>
            </w:pPr>
            <w:r>
              <w:rPr>
                <w:rFonts w:ascii="標楷體" w:eastAsia="標楷體" w:hAnsi="標楷體" w:cs="標楷體"/>
                <w:color w:val="000000"/>
              </w:rPr>
              <w:t xml:space="preserve"> □申覆</w:t>
            </w:r>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99297A" w14:textId="77777777" w:rsidR="00BD776B" w:rsidRDefault="00DF0C24">
            <w:pPr>
              <w:pStyle w:val="ab"/>
              <w:jc w:val="center"/>
            </w:pPr>
            <w:r>
              <w:rPr>
                <w:rFonts w:ascii="標楷體" w:eastAsia="標楷體" w:hAnsi="標楷體"/>
              </w:rPr>
              <w:t>受理</w:t>
            </w:r>
          </w:p>
        </w:tc>
        <w:tc>
          <w:tcPr>
            <w:tcW w:w="8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D8E896" w14:textId="77777777" w:rsidR="00BD776B" w:rsidRDefault="00DF0C24">
            <w:pPr>
              <w:pStyle w:val="ab"/>
            </w:pPr>
            <w:r>
              <w:rPr>
                <w:rFonts w:ascii="標楷體" w:eastAsia="標楷體" w:hAnsi="標楷體"/>
              </w:rPr>
              <w:t>日期</w:t>
            </w:r>
          </w:p>
        </w:tc>
        <w:tc>
          <w:tcPr>
            <w:tcW w:w="20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5FB654" w14:textId="77777777" w:rsidR="00BD776B" w:rsidRDefault="00BD776B">
            <w:pPr>
              <w:pStyle w:val="ab"/>
              <w:rPr>
                <w:rFonts w:ascii="標楷體" w:eastAsia="標楷體" w:hAnsi="標楷體"/>
              </w:rPr>
            </w:pPr>
          </w:p>
        </w:tc>
        <w:tc>
          <w:tcPr>
            <w:tcW w:w="40" w:type="dxa"/>
            <w:shd w:val="clear" w:color="auto" w:fill="auto"/>
            <w:tcMar>
              <w:top w:w="0" w:type="dxa"/>
              <w:left w:w="10" w:type="dxa"/>
              <w:bottom w:w="0" w:type="dxa"/>
              <w:right w:w="10" w:type="dxa"/>
            </w:tcMar>
          </w:tcPr>
          <w:p w14:paraId="0CE2ADD4" w14:textId="77777777" w:rsidR="00BD776B" w:rsidRDefault="00BD776B">
            <w:pPr>
              <w:pStyle w:val="ab"/>
            </w:pPr>
          </w:p>
        </w:tc>
      </w:tr>
      <w:tr w:rsidR="00BD776B" w14:paraId="741559B9" w14:textId="77777777">
        <w:trPr>
          <w:trHeight w:val="269"/>
        </w:trPr>
        <w:tc>
          <w:tcPr>
            <w:tcW w:w="10075"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3A3B67" w14:textId="77777777" w:rsidR="00BD776B" w:rsidRDefault="00BD776B">
            <w:pPr>
              <w:widowControl/>
            </w:pPr>
          </w:p>
        </w:tc>
        <w:tc>
          <w:tcPr>
            <w:tcW w:w="1514"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05B09E" w14:textId="77777777" w:rsidR="00BD776B" w:rsidRDefault="00BD776B">
            <w:pPr>
              <w:widowControl/>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55AD7" w14:textId="77777777" w:rsidR="00BD776B" w:rsidRDefault="00BD776B">
            <w:pPr>
              <w:widowControl/>
            </w:pPr>
          </w:p>
        </w:tc>
        <w:tc>
          <w:tcPr>
            <w:tcW w:w="8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8AC1D9" w14:textId="77777777" w:rsidR="00BD776B" w:rsidRDefault="00DF0C24">
            <w:pPr>
              <w:pStyle w:val="ab"/>
            </w:pPr>
            <w:r>
              <w:rPr>
                <w:rFonts w:ascii="標楷體" w:eastAsia="標楷體" w:hAnsi="標楷體"/>
              </w:rPr>
              <w:t>編號</w:t>
            </w:r>
          </w:p>
        </w:tc>
        <w:tc>
          <w:tcPr>
            <w:tcW w:w="20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3B7034" w14:textId="77777777" w:rsidR="00BD776B" w:rsidRDefault="00BD776B">
            <w:pPr>
              <w:pStyle w:val="ab"/>
              <w:rPr>
                <w:rFonts w:ascii="標楷體" w:eastAsia="標楷體" w:hAnsi="標楷體"/>
              </w:rPr>
            </w:pPr>
          </w:p>
        </w:tc>
        <w:tc>
          <w:tcPr>
            <w:tcW w:w="40" w:type="dxa"/>
            <w:shd w:val="clear" w:color="auto" w:fill="auto"/>
            <w:tcMar>
              <w:top w:w="0" w:type="dxa"/>
              <w:left w:w="10" w:type="dxa"/>
              <w:bottom w:w="0" w:type="dxa"/>
              <w:right w:w="10" w:type="dxa"/>
            </w:tcMar>
          </w:tcPr>
          <w:p w14:paraId="3F4C7AF2" w14:textId="77777777" w:rsidR="00BD776B" w:rsidRDefault="00BD776B">
            <w:pPr>
              <w:pStyle w:val="ab"/>
            </w:pPr>
          </w:p>
        </w:tc>
      </w:tr>
      <w:tr w:rsidR="00BD776B" w14:paraId="55B13E4E" w14:textId="77777777">
        <w:trPr>
          <w:trHeight w:val="231"/>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1FF6CE" w14:textId="77777777" w:rsidR="00BD776B" w:rsidRDefault="00DF0C24">
            <w:pPr>
              <w:pStyle w:val="ab"/>
            </w:pPr>
            <w:r>
              <w:rPr>
                <w:noProof/>
              </w:rPr>
              <mc:AlternateContent>
                <mc:Choice Requires="wps">
                  <w:drawing>
                    <wp:anchor distT="0" distB="0" distL="114300" distR="114300" simplePos="0" relativeHeight="251669504" behindDoc="0" locked="0" layoutInCell="1" allowOverlap="1" wp14:anchorId="1435089F" wp14:editId="5198651F">
                      <wp:simplePos x="0" y="0"/>
                      <wp:positionH relativeFrom="column">
                        <wp:posOffset>-7616</wp:posOffset>
                      </wp:positionH>
                      <wp:positionV relativeFrom="paragraph">
                        <wp:posOffset>191767</wp:posOffset>
                      </wp:positionV>
                      <wp:extent cx="0" cy="27304"/>
                      <wp:effectExtent l="0" t="0" r="38100" b="29846"/>
                      <wp:wrapNone/>
                      <wp:docPr id="29" name="直線單箭頭接點 29"/>
                      <wp:cNvGraphicFramePr/>
                      <a:graphic xmlns:a="http://schemas.openxmlformats.org/drawingml/2006/main">
                        <a:graphicData uri="http://schemas.microsoft.com/office/word/2010/wordprocessingShape">
                          <wps:wsp>
                            <wps:cNvCnPr/>
                            <wps:spPr>
                              <a:xfrm>
                                <a:off x="0" y="0"/>
                                <a:ext cx="0" cy="27304"/>
                              </a:xfrm>
                              <a:prstGeom prst="straightConnector1">
                                <a:avLst/>
                              </a:prstGeom>
                              <a:noFill/>
                              <a:ln w="9363" cap="flat">
                                <a:solidFill>
                                  <a:srgbClr val="000000"/>
                                </a:solidFill>
                                <a:prstDash val="solid"/>
                                <a:round/>
                              </a:ln>
                            </wps:spPr>
                            <wps:bodyPr/>
                          </wps:wsp>
                        </a:graphicData>
                      </a:graphic>
                    </wp:anchor>
                  </w:drawing>
                </mc:Choice>
                <mc:Fallback>
                  <w:pict>
                    <v:shape w14:anchorId="6A957F0F" id="直線單箭頭接點 29" o:spid="_x0000_s1026" type="#_x0000_t32" style="position:absolute;margin-left:-.6pt;margin-top:15.1pt;width:0;height:2.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" strokeweight=".26008mm"/>
                  </w:pict>
                </mc:Fallback>
              </mc:AlternateContent>
            </w:r>
            <w:r>
              <w:rPr>
                <w:rFonts w:ascii="標楷體" w:eastAsia="標楷體" w:hAnsi="標楷體"/>
              </w:rPr>
              <w:t>醫</w:t>
            </w:r>
          </w:p>
          <w:p w14:paraId="4F4C2C8E" w14:textId="77777777" w:rsidR="00BD776B" w:rsidRDefault="00DF0C24">
            <w:pPr>
              <w:pStyle w:val="ab"/>
            </w:pPr>
            <w:r>
              <w:rPr>
                <w:rFonts w:ascii="標楷體" w:eastAsia="標楷體" w:hAnsi="標楷體"/>
              </w:rPr>
              <w:t>療</w:t>
            </w:r>
          </w:p>
          <w:p w14:paraId="385616D5" w14:textId="77777777" w:rsidR="00BD776B" w:rsidRDefault="00DF0C24">
            <w:pPr>
              <w:pStyle w:val="ab"/>
            </w:pPr>
            <w:r>
              <w:rPr>
                <w:rFonts w:ascii="標楷體" w:eastAsia="標楷體" w:hAnsi="標楷體"/>
              </w:rPr>
              <w:t>機</w:t>
            </w:r>
          </w:p>
          <w:p w14:paraId="59B6BBA6" w14:textId="77777777" w:rsidR="00BD776B" w:rsidRDefault="00DF0C24">
            <w:pPr>
              <w:pStyle w:val="ab"/>
            </w:pPr>
            <w:r>
              <w:rPr>
                <w:rFonts w:ascii="標楷體" w:eastAsia="標楷體" w:hAnsi="標楷體" w:cs="標楷體"/>
                <w:color w:val="000000"/>
              </w:rPr>
              <w:t>構</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49BA14" w14:textId="77777777" w:rsidR="00BD776B" w:rsidRDefault="00DF0C24">
            <w:pPr>
              <w:pStyle w:val="ab"/>
            </w:pPr>
            <w:r>
              <w:rPr>
                <w:rFonts w:ascii="標楷體" w:eastAsia="標楷體" w:hAnsi="標楷體" w:cs="標楷體"/>
                <w:color w:val="000000"/>
              </w:rPr>
              <w:t>名稱</w:t>
            </w:r>
          </w:p>
        </w:tc>
        <w:tc>
          <w:tcPr>
            <w:tcW w:w="20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7464E2" w14:textId="77777777" w:rsidR="00BD776B" w:rsidRDefault="00BD776B">
            <w:pPr>
              <w:pStyle w:val="ab"/>
              <w:rPr>
                <w:rFonts w:ascii="標楷體" w:eastAsia="標楷體" w:hAnsi="標楷體"/>
              </w:rPr>
            </w:pPr>
          </w:p>
        </w:tc>
        <w:tc>
          <w:tcPr>
            <w:tcW w:w="3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F2738" w14:textId="77777777" w:rsidR="00BD776B" w:rsidRDefault="00DF0C24">
            <w:pPr>
              <w:pStyle w:val="ab"/>
            </w:pPr>
            <w:r>
              <w:rPr>
                <w:rFonts w:ascii="標楷體" w:eastAsia="標楷體" w:hAnsi="標楷體" w:cs="標楷體"/>
                <w:color w:val="000000"/>
              </w:rPr>
              <w:t>保</w:t>
            </w:r>
          </w:p>
          <w:p w14:paraId="0CA03F3A" w14:textId="77777777" w:rsidR="00BD776B" w:rsidRDefault="00DF0C24">
            <w:pPr>
              <w:pStyle w:val="ab"/>
            </w:pPr>
            <w:r>
              <w:rPr>
                <w:rFonts w:ascii="標楷體" w:eastAsia="標楷體" w:hAnsi="標楷體" w:cs="標楷體"/>
                <w:color w:val="000000"/>
              </w:rPr>
              <w:t>險</w:t>
            </w:r>
          </w:p>
          <w:p w14:paraId="7AA64A2A" w14:textId="77777777" w:rsidR="00BD776B" w:rsidRDefault="00DF0C24">
            <w:pPr>
              <w:pStyle w:val="ab"/>
            </w:pPr>
            <w:r>
              <w:rPr>
                <w:rFonts w:ascii="標楷體" w:eastAsia="標楷體" w:hAnsi="標楷體" w:cs="標楷體"/>
                <w:color w:val="000000"/>
              </w:rPr>
              <w:t>對</w:t>
            </w:r>
          </w:p>
          <w:p w14:paraId="58783301" w14:textId="77777777" w:rsidR="00BD776B" w:rsidRDefault="00DF0C24">
            <w:pPr>
              <w:pStyle w:val="ab"/>
            </w:pPr>
            <w:r>
              <w:rPr>
                <w:rFonts w:ascii="標楷體" w:eastAsia="標楷體" w:hAnsi="標楷體" w:cs="標楷體"/>
                <w:color w:val="000000"/>
              </w:rPr>
              <w:t>象</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49900C" w14:textId="77777777" w:rsidR="00BD776B" w:rsidRDefault="00DF0C24">
            <w:pPr>
              <w:pStyle w:val="ab"/>
            </w:pPr>
            <w:r>
              <w:rPr>
                <w:rFonts w:ascii="標楷體" w:eastAsia="標楷體" w:hAnsi="標楷體" w:cs="標楷體"/>
                <w:color w:val="000000"/>
              </w:rPr>
              <w:t>姓名</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27D84E" w14:textId="77777777" w:rsidR="00BD776B" w:rsidRDefault="00BD776B">
            <w:pPr>
              <w:pStyle w:val="ab"/>
              <w:rPr>
                <w:rFonts w:ascii="標楷體" w:eastAsia="標楷體" w:hAnsi="標楷體"/>
              </w:rPr>
            </w:pP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A1E7CD" w14:textId="77777777" w:rsidR="00BD776B" w:rsidRDefault="00DF0C24">
            <w:pPr>
              <w:pStyle w:val="ab"/>
            </w:pPr>
            <w:r>
              <w:rPr>
                <w:rFonts w:ascii="標楷體" w:eastAsia="標楷體" w:hAnsi="標楷體" w:cs="標楷體"/>
                <w:color w:val="000000"/>
              </w:rPr>
              <w:t>出生</w:t>
            </w:r>
          </w:p>
          <w:p w14:paraId="1C46778B" w14:textId="77777777" w:rsidR="00BD776B" w:rsidRDefault="00DF0C24">
            <w:pPr>
              <w:pStyle w:val="ab"/>
            </w:pPr>
            <w:r>
              <w:rPr>
                <w:rFonts w:ascii="標楷體" w:eastAsia="標楷體" w:hAnsi="標楷體" w:cs="標楷體"/>
                <w:color w:val="000000"/>
              </w:rPr>
              <w:t>日期</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64E1B1" w14:textId="77777777" w:rsidR="00BD776B" w:rsidRDefault="00DF0C24">
            <w:pPr>
              <w:pStyle w:val="ab"/>
            </w:pPr>
            <w:r>
              <w:rPr>
                <w:rFonts w:ascii="標楷體" w:eastAsia="標楷體" w:hAnsi="標楷體"/>
              </w:rPr>
              <w:t xml:space="preserve">   年   月   日</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33271A" w14:textId="77777777" w:rsidR="00BD776B" w:rsidRDefault="00DF0C24">
            <w:pPr>
              <w:pStyle w:val="ab"/>
            </w:pPr>
            <w:r>
              <w:rPr>
                <w:rFonts w:ascii="標楷體" w:eastAsia="標楷體" w:hAnsi="標楷體" w:cs="標楷體"/>
                <w:color w:val="000000"/>
              </w:rPr>
              <w:t>原受理編號</w:t>
            </w:r>
          </w:p>
        </w:tc>
        <w:tc>
          <w:tcPr>
            <w:tcW w:w="136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700E8E" w14:textId="77777777" w:rsidR="00BD776B" w:rsidRDefault="00BD776B">
            <w:pPr>
              <w:pStyle w:val="ab"/>
            </w:pPr>
          </w:p>
        </w:tc>
        <w:tc>
          <w:tcPr>
            <w:tcW w:w="11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EB05AC" w14:textId="77777777" w:rsidR="00BD776B" w:rsidRDefault="00DF0C24">
            <w:pPr>
              <w:pStyle w:val="ab"/>
            </w:pPr>
            <w:r>
              <w:rPr>
                <w:rFonts w:ascii="標楷體" w:eastAsia="標楷體" w:hAnsi="標楷體" w:cs="標楷體"/>
                <w:color w:val="000000"/>
              </w:rPr>
              <w:t>預定實施日期</w:t>
            </w:r>
          </w:p>
        </w:tc>
        <w:tc>
          <w:tcPr>
            <w:tcW w:w="263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457826" w14:textId="77777777" w:rsidR="00BD776B" w:rsidRDefault="00DF0C24">
            <w:pPr>
              <w:pStyle w:val="ab"/>
            </w:pPr>
            <w:r>
              <w:t xml:space="preserve"> </w:t>
            </w:r>
            <w:r>
              <w:rPr>
                <w:rFonts w:ascii="標楷體" w:eastAsia="標楷體" w:hAnsi="標楷體"/>
              </w:rPr>
              <w:t xml:space="preserve">    年    月    日</w:t>
            </w:r>
          </w:p>
        </w:tc>
        <w:tc>
          <w:tcPr>
            <w:tcW w:w="40" w:type="dxa"/>
            <w:shd w:val="clear" w:color="auto" w:fill="auto"/>
            <w:tcMar>
              <w:top w:w="0" w:type="dxa"/>
              <w:left w:w="10" w:type="dxa"/>
              <w:bottom w:w="0" w:type="dxa"/>
              <w:right w:w="10" w:type="dxa"/>
            </w:tcMar>
          </w:tcPr>
          <w:p w14:paraId="781EEE84" w14:textId="77777777" w:rsidR="00BD776B" w:rsidRDefault="00BD776B">
            <w:pPr>
              <w:pStyle w:val="ab"/>
            </w:pPr>
          </w:p>
        </w:tc>
      </w:tr>
      <w:tr w:rsidR="00BD776B" w14:paraId="0A8DF411" w14:textId="77777777">
        <w:trPr>
          <w:trHeight w:val="381"/>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B01606" w14:textId="77777777" w:rsidR="00BD776B" w:rsidRDefault="00BD776B">
            <w:pPr>
              <w:widowControl/>
            </w:pP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4995EE" w14:textId="77777777" w:rsidR="00BD776B" w:rsidRDefault="00DF0C24">
            <w:pPr>
              <w:pStyle w:val="ab"/>
            </w:pPr>
            <w:r>
              <w:rPr>
                <w:rFonts w:ascii="標楷體" w:eastAsia="標楷體" w:hAnsi="標楷體" w:cs="標楷體"/>
                <w:color w:val="000000"/>
              </w:rPr>
              <w:t>代號</w:t>
            </w:r>
          </w:p>
        </w:tc>
        <w:tc>
          <w:tcPr>
            <w:tcW w:w="20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09BCAE" w14:textId="77777777" w:rsidR="00BD776B" w:rsidRDefault="00BD776B">
            <w:pPr>
              <w:pStyle w:val="ab"/>
              <w:rPr>
                <w:rFonts w:ascii="標楷體" w:eastAsia="標楷體" w:hAnsi="標楷體"/>
              </w:rPr>
            </w:pPr>
          </w:p>
        </w:tc>
        <w:tc>
          <w:tcPr>
            <w:tcW w:w="3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98245F" w14:textId="77777777" w:rsidR="00BD776B" w:rsidRDefault="00BD776B">
            <w:pPr>
              <w:widowControl/>
            </w:pP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B81D16" w14:textId="77777777" w:rsidR="00BD776B" w:rsidRDefault="00DF0C24">
            <w:pPr>
              <w:pStyle w:val="ab"/>
            </w:pPr>
            <w:r>
              <w:rPr>
                <w:rFonts w:ascii="標楷體" w:eastAsia="標楷體" w:hAnsi="標楷體" w:cs="標楷體"/>
                <w:color w:val="000000"/>
              </w:rPr>
              <w:t>身分證</w:t>
            </w:r>
          </w:p>
          <w:p w14:paraId="6440C742" w14:textId="77777777" w:rsidR="00BD776B" w:rsidRDefault="00DF0C24">
            <w:pPr>
              <w:pStyle w:val="ab"/>
            </w:pPr>
            <w:r>
              <w:rPr>
                <w:rFonts w:ascii="標楷體" w:eastAsia="標楷體" w:hAnsi="標楷體" w:cs="標楷體"/>
                <w:color w:val="000000"/>
              </w:rPr>
              <w:t>統一編號</w:t>
            </w:r>
          </w:p>
        </w:tc>
        <w:tc>
          <w:tcPr>
            <w:tcW w:w="21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2908E4" w14:textId="77777777" w:rsidR="00BD776B" w:rsidRDefault="00BD776B">
            <w:pPr>
              <w:pStyle w:val="ab"/>
              <w:rPr>
                <w:rFonts w:ascii="標楷體" w:eastAsia="標楷體" w:hAnsi="標楷體"/>
              </w:rPr>
            </w:pP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46EB78" w14:textId="77777777" w:rsidR="00BD776B" w:rsidRDefault="00DF0C24">
            <w:pPr>
              <w:pStyle w:val="ab"/>
            </w:pPr>
            <w:r>
              <w:rPr>
                <w:rFonts w:ascii="標楷體" w:eastAsia="標楷體" w:hAnsi="標楷體" w:cs="標楷體"/>
                <w:color w:val="000000"/>
              </w:rPr>
              <w:t>科</w:t>
            </w:r>
          </w:p>
          <w:p w14:paraId="1CC42FDD" w14:textId="77777777" w:rsidR="00BD776B" w:rsidRDefault="00DF0C24">
            <w:pPr>
              <w:pStyle w:val="ab"/>
            </w:pPr>
            <w:r>
              <w:rPr>
                <w:rFonts w:ascii="標楷體" w:eastAsia="標楷體" w:hAnsi="標楷體" w:cs="標楷體"/>
                <w:color w:val="000000"/>
              </w:rPr>
              <w:t>別</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6CFFE3" w14:textId="77777777" w:rsidR="00BD776B" w:rsidRDefault="00BD776B">
            <w:pPr>
              <w:pStyle w:val="ab"/>
            </w:pP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A16FB2" w14:textId="77777777" w:rsidR="00BD776B" w:rsidRDefault="00DF0C24">
            <w:pPr>
              <w:pStyle w:val="ab"/>
            </w:pPr>
            <w:r>
              <w:rPr>
                <w:rFonts w:ascii="標楷體" w:eastAsia="標楷體" w:hAnsi="標楷體"/>
              </w:rPr>
              <w:t xml:space="preserve">□ 門診  </w:t>
            </w:r>
          </w:p>
          <w:p w14:paraId="5146DD66" w14:textId="77777777" w:rsidR="00BD776B" w:rsidRDefault="00DF0C24">
            <w:pPr>
              <w:pStyle w:val="ab"/>
            </w:pPr>
            <w:r>
              <w:rPr>
                <w:rFonts w:ascii="標楷體" w:eastAsia="標楷體" w:hAnsi="標楷體" w:cs="標楷體"/>
                <w:color w:val="000000"/>
              </w:rPr>
              <w:t>□ 住院</w:t>
            </w:r>
          </w:p>
        </w:tc>
        <w:tc>
          <w:tcPr>
            <w:tcW w:w="6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A874D0" w14:textId="77777777" w:rsidR="00BD776B" w:rsidRDefault="00DF0C24">
            <w:pPr>
              <w:pStyle w:val="ab"/>
            </w:pPr>
            <w:r>
              <w:rPr>
                <w:rFonts w:ascii="標楷體" w:eastAsia="標楷體" w:hAnsi="標楷體" w:cs="標楷體"/>
                <w:color w:val="000000"/>
              </w:rPr>
              <w:t>病歷號碼</w:t>
            </w:r>
          </w:p>
        </w:tc>
        <w:tc>
          <w:tcPr>
            <w:tcW w:w="12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96127A" w14:textId="77777777" w:rsidR="00BD776B" w:rsidRDefault="00BD776B">
            <w:pPr>
              <w:pStyle w:val="ab"/>
            </w:pPr>
          </w:p>
        </w:tc>
        <w:tc>
          <w:tcPr>
            <w:tcW w:w="16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4F8DAA" w14:textId="77777777" w:rsidR="00BD776B" w:rsidRDefault="00DF0C24">
            <w:pPr>
              <w:pStyle w:val="ab"/>
            </w:pPr>
            <w:r>
              <w:rPr>
                <w:rFonts w:ascii="標楷體" w:eastAsia="標楷體" w:hAnsi="標楷體"/>
              </w:rPr>
              <w:t>申請醫師姓名</w:t>
            </w:r>
          </w:p>
          <w:p w14:paraId="5DFA8733" w14:textId="77777777" w:rsidR="00BD776B" w:rsidRDefault="00DF0C24">
            <w:pPr>
              <w:pStyle w:val="ab"/>
            </w:pPr>
            <w:r>
              <w:rPr>
                <w:rFonts w:ascii="標楷體" w:eastAsia="標楷體" w:hAnsi="標楷體" w:cs="標楷體"/>
                <w:color w:val="000000"/>
              </w:rPr>
              <w:t>身分證號</w:t>
            </w:r>
          </w:p>
        </w:tc>
        <w:tc>
          <w:tcPr>
            <w:tcW w:w="16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21A490" w14:textId="77777777" w:rsidR="00BD776B" w:rsidRDefault="00BD776B">
            <w:pPr>
              <w:pStyle w:val="ab"/>
            </w:pPr>
          </w:p>
        </w:tc>
        <w:tc>
          <w:tcPr>
            <w:tcW w:w="40" w:type="dxa"/>
            <w:shd w:val="clear" w:color="auto" w:fill="auto"/>
            <w:tcMar>
              <w:top w:w="0" w:type="dxa"/>
              <w:left w:w="10" w:type="dxa"/>
              <w:bottom w:w="0" w:type="dxa"/>
              <w:right w:w="10" w:type="dxa"/>
            </w:tcMar>
          </w:tcPr>
          <w:p w14:paraId="78B31DDF" w14:textId="77777777" w:rsidR="00BD776B" w:rsidRDefault="00BD776B">
            <w:pPr>
              <w:pStyle w:val="ab"/>
            </w:pPr>
          </w:p>
        </w:tc>
      </w:tr>
      <w:tr w:rsidR="00BD776B" w14:paraId="49EBC37A" w14:textId="77777777">
        <w:trPr>
          <w:trHeight w:val="848"/>
        </w:trPr>
        <w:tc>
          <w:tcPr>
            <w:tcW w:w="17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D8F3FD" w14:textId="77777777" w:rsidR="00BD776B" w:rsidRDefault="00DF0C24">
            <w:pPr>
              <w:pStyle w:val="ab"/>
              <w:rPr>
                <w:rFonts w:ascii="標楷體" w:eastAsia="標楷體" w:hAnsi="標楷體"/>
              </w:rPr>
            </w:pPr>
            <w:r>
              <w:rPr>
                <w:rFonts w:ascii="標楷體" w:eastAsia="標楷體" w:hAnsi="標楷體"/>
              </w:rPr>
              <w:t>ICD-10-CM代碼</w:t>
            </w:r>
          </w:p>
        </w:tc>
        <w:tc>
          <w:tcPr>
            <w:tcW w:w="69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4F325" w14:textId="77777777" w:rsidR="00BD776B" w:rsidRDefault="00DF0C24">
            <w:pPr>
              <w:pStyle w:val="ab"/>
            </w:pPr>
            <w:r>
              <w:rPr>
                <w:rFonts w:ascii="標楷體" w:eastAsia="標楷體" w:hAnsi="標楷體"/>
                <w:color w:val="000000"/>
              </w:rPr>
              <w:t>□</w:t>
            </w:r>
            <w:r>
              <w:rPr>
                <w:rFonts w:ascii="標楷體" w:eastAsia="標楷體" w:hAnsi="標楷體" w:cs="Arial"/>
                <w:color w:val="000000"/>
              </w:rPr>
              <w:t>DME:</w:t>
            </w:r>
            <w:r>
              <w:rPr>
                <w:rFonts w:ascii="標楷體" w:eastAsia="標楷體" w:hAnsi="標楷體"/>
                <w:color w:val="000000"/>
              </w:rPr>
              <w:t>__________________</w:t>
            </w:r>
            <w:r>
              <w:rPr>
                <w:rFonts w:ascii="標楷體" w:eastAsia="標楷體" w:hAnsi="標楷體"/>
                <w:color w:val="000000"/>
                <w:sz w:val="18"/>
              </w:rPr>
              <w:t xml:space="preserve">　　 </w:t>
            </w:r>
            <w:r>
              <w:rPr>
                <w:rFonts w:ascii="標楷體" w:eastAsia="標楷體" w:hAnsi="標楷體"/>
              </w:rPr>
              <w:t>□</w:t>
            </w:r>
            <w:r>
              <w:rPr>
                <w:rFonts w:ascii="標楷體" w:eastAsia="標楷體" w:hAnsi="標楷體" w:cs="Arial"/>
                <w:color w:val="000000"/>
              </w:rPr>
              <w:t>CNV:</w:t>
            </w:r>
            <w:r>
              <w:rPr>
                <w:rFonts w:ascii="標楷體" w:eastAsia="標楷體" w:hAnsi="標楷體"/>
                <w:color w:val="000000"/>
                <w:sz w:val="18"/>
              </w:rPr>
              <w:t>___________________</w:t>
            </w:r>
          </w:p>
          <w:p w14:paraId="36C0C22A" w14:textId="77777777" w:rsidR="00BD776B" w:rsidRDefault="00DF0C24">
            <w:pPr>
              <w:pStyle w:val="ab"/>
              <w:tabs>
                <w:tab w:val="left" w:pos="3916"/>
              </w:tabs>
            </w:pPr>
            <w:r>
              <w:rPr>
                <w:rFonts w:ascii="標楷體" w:eastAsia="標楷體" w:hAnsi="標楷體"/>
                <w:color w:val="000000"/>
              </w:rPr>
              <w:t>□</w:t>
            </w:r>
            <w:r>
              <w:rPr>
                <w:rFonts w:ascii="標楷體" w:eastAsia="標楷體" w:hAnsi="標楷體" w:cs="Arial"/>
                <w:color w:val="000000"/>
              </w:rPr>
              <w:t>CRVO:</w:t>
            </w:r>
            <w:r>
              <w:rPr>
                <w:rFonts w:ascii="標楷體" w:eastAsia="標楷體" w:hAnsi="標楷體"/>
                <w:color w:val="000000"/>
              </w:rPr>
              <w:t>___________________</w:t>
            </w:r>
            <w:r>
              <w:rPr>
                <w:rFonts w:ascii="標楷體" w:eastAsia="標楷體" w:hAnsi="標楷體"/>
                <w:color w:val="000000"/>
                <w:sz w:val="18"/>
              </w:rPr>
              <w:t xml:space="preserve">　</w:t>
            </w:r>
            <w:r>
              <w:rPr>
                <w:rFonts w:ascii="標楷體" w:eastAsia="標楷體" w:hAnsi="標楷體"/>
              </w:rPr>
              <w:t>□</w:t>
            </w:r>
            <w:r>
              <w:rPr>
                <w:rFonts w:ascii="標楷體" w:eastAsia="標楷體" w:hAnsi="標楷體" w:cs="Arial"/>
              </w:rPr>
              <w:t>B</w:t>
            </w:r>
            <w:r>
              <w:rPr>
                <w:rFonts w:ascii="標楷體" w:eastAsia="標楷體" w:hAnsi="標楷體" w:cs="Arial"/>
                <w:color w:val="000000"/>
              </w:rPr>
              <w:t>RVO:</w:t>
            </w:r>
            <w:r>
              <w:rPr>
                <w:rFonts w:ascii="標楷體" w:eastAsia="標楷體" w:hAnsi="標楷體"/>
                <w:color w:val="000000"/>
                <w:sz w:val="18"/>
              </w:rPr>
              <w:t xml:space="preserve">___________________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E58912" w14:textId="77777777" w:rsidR="00BD776B" w:rsidRDefault="00DF0C24">
            <w:pPr>
              <w:pStyle w:val="ab"/>
            </w:pPr>
            <w:r>
              <w:rPr>
                <w:rFonts w:ascii="標楷體" w:eastAsia="標楷體" w:hAnsi="標楷體" w:cs="標楷體"/>
                <w:color w:val="000000"/>
              </w:rPr>
              <w:t>使用日期</w:t>
            </w:r>
          </w:p>
        </w:tc>
        <w:tc>
          <w:tcPr>
            <w:tcW w:w="5152" w:type="dxa"/>
            <w:gridSpan w:val="16"/>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C839C6" w14:textId="77777777" w:rsidR="00BD776B" w:rsidRDefault="00DF0C24">
            <w:pPr>
              <w:pStyle w:val="ab"/>
            </w:pPr>
            <w:r>
              <w:rPr>
                <w:rFonts w:ascii="標楷體" w:eastAsia="標楷體" w:hAnsi="標楷體" w:cs="標楷體"/>
                <w:color w:val="000000"/>
              </w:rPr>
              <w:t xml:space="preserve">     年    月    日至     年    月    日</w:t>
            </w:r>
          </w:p>
        </w:tc>
        <w:tc>
          <w:tcPr>
            <w:tcW w:w="40" w:type="dxa"/>
            <w:shd w:val="clear" w:color="auto" w:fill="auto"/>
            <w:tcMar>
              <w:top w:w="0" w:type="dxa"/>
              <w:left w:w="10" w:type="dxa"/>
              <w:bottom w:w="0" w:type="dxa"/>
              <w:right w:w="10" w:type="dxa"/>
            </w:tcMar>
          </w:tcPr>
          <w:p w14:paraId="4F5D50A6" w14:textId="77777777" w:rsidR="00BD776B" w:rsidRDefault="00BD776B">
            <w:pPr>
              <w:pStyle w:val="ab"/>
            </w:pPr>
          </w:p>
        </w:tc>
      </w:tr>
      <w:tr w:rsidR="00BD776B" w14:paraId="14B60F4A" w14:textId="77777777">
        <w:trPr>
          <w:trHeight w:val="300"/>
        </w:trPr>
        <w:tc>
          <w:tcPr>
            <w:tcW w:w="17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B6EA9F" w14:textId="77777777" w:rsidR="00BD776B" w:rsidRDefault="00DF0C24">
            <w:pPr>
              <w:pStyle w:val="ab"/>
            </w:pPr>
            <w:r>
              <w:rPr>
                <w:rFonts w:ascii="標楷體" w:eastAsia="標楷體" w:hAnsi="標楷體" w:cs="標楷體"/>
                <w:color w:val="000000"/>
              </w:rPr>
              <w:t>藥品名稱及代碼</w:t>
            </w:r>
          </w:p>
        </w:tc>
        <w:tc>
          <w:tcPr>
            <w:tcW w:w="30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53C4A8" w14:textId="77777777" w:rsidR="00BD776B" w:rsidRDefault="00DF0C24">
            <w:pPr>
              <w:pStyle w:val="ab"/>
            </w:pPr>
            <w:r>
              <w:rPr>
                <w:rFonts w:ascii="標楷體" w:eastAsia="標楷體" w:hAnsi="標楷體" w:cs="標楷體"/>
                <w:color w:val="000000"/>
              </w:rPr>
              <w:t>申請適應症、類別及數量</w:t>
            </w:r>
          </w:p>
        </w:tc>
        <w:tc>
          <w:tcPr>
            <w:tcW w:w="38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AC3447" w14:textId="77777777" w:rsidR="00BD776B" w:rsidRDefault="00DF0C24">
            <w:pPr>
              <w:pStyle w:val="ab"/>
            </w:pPr>
            <w:r>
              <w:rPr>
                <w:rFonts w:ascii="標楷體" w:eastAsia="標楷體" w:hAnsi="標楷體" w:cs="標楷體"/>
                <w:color w:val="000000"/>
              </w:rPr>
              <w:t>檢附資料</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5E5A10" w14:textId="77777777" w:rsidR="00BD776B" w:rsidRDefault="00DF0C24">
            <w:pPr>
              <w:pStyle w:val="ab"/>
            </w:pPr>
            <w:r>
              <w:rPr>
                <w:rFonts w:ascii="標楷體" w:eastAsia="標楷體" w:hAnsi="標楷體" w:cs="標楷體"/>
                <w:color w:val="000000"/>
              </w:rPr>
              <w:t>用法用量</w:t>
            </w:r>
          </w:p>
        </w:tc>
        <w:tc>
          <w:tcPr>
            <w:tcW w:w="5152"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B20297" w14:textId="77777777" w:rsidR="00BD776B" w:rsidRDefault="00DF0C24">
            <w:pPr>
              <w:pStyle w:val="ab"/>
            </w:pPr>
            <w:r>
              <w:rPr>
                <w:rFonts w:ascii="標楷體" w:eastAsia="標楷體" w:hAnsi="標楷體" w:cs="標楷體"/>
                <w:color w:val="000000"/>
              </w:rPr>
              <w:t>健 保 署 核 定 欄</w:t>
            </w:r>
          </w:p>
        </w:tc>
        <w:tc>
          <w:tcPr>
            <w:tcW w:w="40" w:type="dxa"/>
            <w:shd w:val="clear" w:color="auto" w:fill="auto"/>
            <w:tcMar>
              <w:top w:w="0" w:type="dxa"/>
              <w:left w:w="10" w:type="dxa"/>
              <w:bottom w:w="0" w:type="dxa"/>
              <w:right w:w="10" w:type="dxa"/>
            </w:tcMar>
          </w:tcPr>
          <w:p w14:paraId="2F1A081D" w14:textId="77777777" w:rsidR="00BD776B" w:rsidRDefault="00BD776B">
            <w:pPr>
              <w:pStyle w:val="ab"/>
            </w:pPr>
          </w:p>
        </w:tc>
      </w:tr>
      <w:tr w:rsidR="00BD776B" w14:paraId="5B1548BF" w14:textId="77777777">
        <w:trPr>
          <w:trHeight w:val="300"/>
        </w:trPr>
        <w:tc>
          <w:tcPr>
            <w:tcW w:w="17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7539B0" w14:textId="77777777" w:rsidR="00BD776B" w:rsidRDefault="00DF0C24">
            <w:pPr>
              <w:pStyle w:val="ab"/>
            </w:pPr>
            <w:r>
              <w:rPr>
                <w:rFonts w:ascii="標楷體" w:eastAsia="標楷體" w:hAnsi="標楷體"/>
              </w:rPr>
              <w:t>□</w:t>
            </w:r>
            <w:r>
              <w:rPr>
                <w:rFonts w:ascii="標楷體" w:eastAsia="標楷體" w:hAnsi="標楷體" w:cs="Arial"/>
              </w:rPr>
              <w:t>ranibizumab</w:t>
            </w:r>
          </w:p>
          <w:p w14:paraId="5732EA6E" w14:textId="77777777" w:rsidR="00BD776B" w:rsidRDefault="00BD776B">
            <w:pPr>
              <w:pStyle w:val="ab"/>
              <w:rPr>
                <w:rFonts w:ascii="標楷體" w:eastAsia="標楷體" w:hAnsi="標楷體" w:cs="Arial"/>
              </w:rPr>
            </w:pPr>
          </w:p>
          <w:p w14:paraId="57586177" w14:textId="77777777" w:rsidR="00BD776B" w:rsidRDefault="00BD776B">
            <w:pPr>
              <w:pStyle w:val="ab"/>
              <w:rPr>
                <w:rFonts w:ascii="標楷體" w:eastAsia="標楷體" w:hAnsi="標楷體"/>
              </w:rPr>
            </w:pPr>
          </w:p>
          <w:p w14:paraId="749FF475" w14:textId="77777777" w:rsidR="00BD776B" w:rsidRDefault="00DF0C24">
            <w:pPr>
              <w:pStyle w:val="ab"/>
            </w:pPr>
            <w:r>
              <w:rPr>
                <w:rFonts w:ascii="標楷體" w:eastAsia="標楷體" w:hAnsi="標楷體"/>
              </w:rPr>
              <w:t>□</w:t>
            </w:r>
            <w:r>
              <w:rPr>
                <w:rFonts w:ascii="標楷體" w:eastAsia="標楷體" w:hAnsi="標楷體" w:cs="Arial"/>
                <w:color w:val="000000"/>
              </w:rPr>
              <w:t>aflibercept</w:t>
            </w:r>
          </w:p>
          <w:p w14:paraId="377231BA" w14:textId="77777777" w:rsidR="00BD776B" w:rsidRDefault="00BD776B">
            <w:pPr>
              <w:pStyle w:val="ab"/>
              <w:rPr>
                <w:rFonts w:ascii="標楷體" w:eastAsia="標楷體" w:hAnsi="標楷體"/>
              </w:rPr>
            </w:pPr>
          </w:p>
          <w:p w14:paraId="32EA84E9" w14:textId="77777777" w:rsidR="00BD776B" w:rsidRDefault="00BD776B">
            <w:pPr>
              <w:pStyle w:val="ab"/>
              <w:rPr>
                <w:rFonts w:ascii="標楷體" w:eastAsia="標楷體" w:hAnsi="標楷體"/>
              </w:rPr>
            </w:pPr>
          </w:p>
          <w:p w14:paraId="69F9BE67" w14:textId="77777777" w:rsidR="00BD776B" w:rsidRDefault="00BD776B">
            <w:pPr>
              <w:pStyle w:val="ab"/>
              <w:rPr>
                <w:rFonts w:ascii="標楷體" w:eastAsia="標楷體" w:hAnsi="標楷體"/>
              </w:rPr>
            </w:pPr>
          </w:p>
        </w:tc>
        <w:tc>
          <w:tcPr>
            <w:tcW w:w="30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0A5481" w14:textId="77777777" w:rsidR="00BD776B" w:rsidRDefault="00DF0C24">
            <w:pPr>
              <w:pStyle w:val="ab"/>
              <w:spacing w:line="320" w:lineRule="exact"/>
              <w:ind w:left="228" w:hanging="228"/>
            </w:pPr>
            <w:r>
              <w:rPr>
                <w:rFonts w:ascii="標楷體" w:eastAsia="標楷體" w:hAnsi="標楷體"/>
                <w:color w:val="000000"/>
              </w:rPr>
              <w:t>□</w:t>
            </w:r>
            <w:r>
              <w:rPr>
                <w:rFonts w:ascii="標楷體" w:eastAsia="標楷體" w:hAnsi="標楷體" w:cs="Arial"/>
                <w:color w:val="000000"/>
              </w:rPr>
              <w:t>DME：限ranibizumab及aflibercept擇一申請。第一次申請以5支為限，每眼上限為14支，須於第一次申請核准後5年內使用完畢</w:t>
            </w:r>
          </w:p>
          <w:p w14:paraId="00589F9A" w14:textId="77777777" w:rsidR="00BD776B" w:rsidRDefault="00DF0C24" w:rsidP="008A7063">
            <w:pPr>
              <w:pStyle w:val="ab"/>
              <w:numPr>
                <w:ilvl w:val="0"/>
                <w:numId w:val="114"/>
              </w:numPr>
              <w:spacing w:after="0" w:line="320" w:lineRule="exact"/>
              <w:ind w:left="841" w:hanging="361"/>
            </w:pPr>
            <w:r>
              <w:rPr>
                <w:rFonts w:ascii="標楷體" w:eastAsia="標楷體" w:hAnsi="標楷體" w:cs="標楷體"/>
                <w:color w:val="000000"/>
              </w:rPr>
              <w:t>第</w:t>
            </w:r>
            <w:r>
              <w:rPr>
                <w:rFonts w:ascii="標楷體" w:eastAsia="標楷體" w:hAnsi="標楷體"/>
              </w:rPr>
              <w:t>一次申請(  支)</w:t>
            </w:r>
          </w:p>
          <w:p w14:paraId="62EF760A" w14:textId="77777777" w:rsidR="00BD776B" w:rsidRDefault="00DF0C24" w:rsidP="008A7063">
            <w:pPr>
              <w:pStyle w:val="ab"/>
              <w:numPr>
                <w:ilvl w:val="0"/>
                <w:numId w:val="114"/>
              </w:numPr>
              <w:spacing w:after="0" w:line="320" w:lineRule="exact"/>
              <w:ind w:left="841" w:hanging="361"/>
            </w:pPr>
            <w:r>
              <w:rPr>
                <w:rFonts w:ascii="標楷體" w:eastAsia="標楷體" w:hAnsi="標楷體"/>
              </w:rPr>
              <w:t>第__次申請(  支)</w:t>
            </w:r>
          </w:p>
          <w:p w14:paraId="17904616" w14:textId="77777777" w:rsidR="00BD776B" w:rsidRDefault="00DF0C24" w:rsidP="008A7063">
            <w:pPr>
              <w:pStyle w:val="ab"/>
              <w:numPr>
                <w:ilvl w:val="0"/>
                <w:numId w:val="114"/>
              </w:numPr>
              <w:spacing w:after="0" w:line="320" w:lineRule="exact"/>
              <w:ind w:left="841" w:hanging="361"/>
            </w:pPr>
            <w:r>
              <w:rPr>
                <w:rFonts w:ascii="標楷體" w:eastAsia="標楷體" w:hAnsi="標楷體" w:cs="標楷體"/>
              </w:rPr>
              <w:t>第__次申復</w:t>
            </w:r>
          </w:p>
          <w:p w14:paraId="14DD83CD" w14:textId="77777777" w:rsidR="00BD776B" w:rsidRDefault="00DF0C24">
            <w:pPr>
              <w:pStyle w:val="ab"/>
              <w:spacing w:before="180" w:after="0" w:line="320" w:lineRule="exact"/>
              <w:ind w:left="236" w:hanging="202"/>
            </w:pPr>
            <w:r>
              <w:rPr>
                <w:rFonts w:ascii="標楷體" w:eastAsia="標楷體" w:hAnsi="標楷體"/>
                <w:color w:val="000000"/>
              </w:rPr>
              <w:t>□</w:t>
            </w:r>
            <w:r>
              <w:rPr>
                <w:rFonts w:ascii="標楷體" w:eastAsia="標楷體" w:hAnsi="標楷體" w:cs="Arial"/>
                <w:color w:val="000000"/>
              </w:rPr>
              <w:t>CNV：限ranibizumab及aflibercept擇一申請。申請以一次為限，每眼最多給付3支，申請核准後有效期限為5年。</w:t>
            </w:r>
          </w:p>
          <w:p w14:paraId="1115FFBB" w14:textId="77777777" w:rsidR="00BD776B" w:rsidRDefault="00DF0C24">
            <w:pPr>
              <w:pStyle w:val="ab"/>
              <w:spacing w:before="180" w:after="0" w:line="320" w:lineRule="exact"/>
              <w:ind w:left="209" w:hanging="209"/>
            </w:pPr>
            <w:r>
              <w:rPr>
                <w:rFonts w:ascii="標楷體" w:eastAsia="標楷體" w:hAnsi="標楷體"/>
                <w:color w:val="000000"/>
              </w:rPr>
              <w:t>□</w:t>
            </w:r>
            <w:r>
              <w:rPr>
                <w:rFonts w:ascii="標楷體" w:eastAsia="標楷體" w:hAnsi="標楷體" w:cs="Arial"/>
                <w:color w:val="000000"/>
              </w:rPr>
              <w:t>CRVO：限ranibizumab及</w:t>
            </w:r>
            <w:r>
              <w:rPr>
                <w:rFonts w:ascii="標楷體" w:eastAsia="標楷體" w:hAnsi="標楷體" w:cs="Arial"/>
                <w:color w:val="000000"/>
              </w:rPr>
              <w:lastRenderedPageBreak/>
              <w:t>aflibercept擇一申請，且未曾申請給付dexamethasone眼後段植入劑者。第一次申請以5支為限，每眼上限為14支，須於第一次申請核准後5年內使用完畢</w:t>
            </w:r>
          </w:p>
          <w:p w14:paraId="14005B83" w14:textId="77777777" w:rsidR="00BD776B" w:rsidRDefault="00DF0C24" w:rsidP="008A7063">
            <w:pPr>
              <w:pStyle w:val="ab"/>
              <w:numPr>
                <w:ilvl w:val="0"/>
                <w:numId w:val="114"/>
              </w:numPr>
              <w:spacing w:after="0" w:line="320" w:lineRule="exact"/>
              <w:ind w:left="841" w:hanging="361"/>
            </w:pPr>
            <w:r>
              <w:rPr>
                <w:rFonts w:ascii="標楷體" w:eastAsia="標楷體" w:hAnsi="標楷體" w:cs="標楷體"/>
                <w:color w:val="000000"/>
              </w:rPr>
              <w:t>第</w:t>
            </w:r>
            <w:r>
              <w:rPr>
                <w:rFonts w:ascii="標楷體" w:eastAsia="標楷體" w:hAnsi="標楷體"/>
              </w:rPr>
              <w:t>一次申請(  支)</w:t>
            </w:r>
          </w:p>
          <w:p w14:paraId="6CC37B5E" w14:textId="77777777" w:rsidR="00BD776B" w:rsidRDefault="00DF0C24" w:rsidP="008A7063">
            <w:pPr>
              <w:pStyle w:val="ab"/>
              <w:numPr>
                <w:ilvl w:val="0"/>
                <w:numId w:val="114"/>
              </w:numPr>
              <w:spacing w:after="0" w:line="320" w:lineRule="exact"/>
              <w:ind w:left="841" w:hanging="361"/>
            </w:pPr>
            <w:r>
              <w:rPr>
                <w:rFonts w:ascii="標楷體" w:eastAsia="標楷體" w:hAnsi="標楷體"/>
              </w:rPr>
              <w:t>第__次申請(  支)</w:t>
            </w:r>
          </w:p>
          <w:p w14:paraId="2260A9A1" w14:textId="77777777" w:rsidR="00BD776B" w:rsidRDefault="00DF0C24" w:rsidP="008A7063">
            <w:pPr>
              <w:pStyle w:val="ab"/>
              <w:numPr>
                <w:ilvl w:val="0"/>
                <w:numId w:val="114"/>
              </w:numPr>
              <w:spacing w:after="0" w:line="320" w:lineRule="exact"/>
              <w:ind w:left="841" w:hanging="361"/>
            </w:pPr>
            <w:r>
              <w:rPr>
                <w:rFonts w:ascii="標楷體" w:eastAsia="標楷體" w:hAnsi="標楷體" w:cs="標楷體"/>
              </w:rPr>
              <w:t>第__次申復</w:t>
            </w:r>
          </w:p>
          <w:p w14:paraId="71584F4A" w14:textId="77777777" w:rsidR="00BD776B" w:rsidRDefault="00DF0C24">
            <w:pPr>
              <w:pStyle w:val="ab"/>
              <w:spacing w:before="180" w:after="0" w:line="320" w:lineRule="exact"/>
              <w:ind w:left="235" w:hanging="235"/>
            </w:pPr>
            <w:r>
              <w:rPr>
                <w:rFonts w:ascii="標楷體" w:eastAsia="標楷體" w:hAnsi="標楷體"/>
              </w:rPr>
              <w:t>□</w:t>
            </w:r>
            <w:r>
              <w:rPr>
                <w:rFonts w:ascii="標楷體" w:eastAsia="標楷體" w:hAnsi="標楷體" w:cs="Arial"/>
                <w:color w:val="000000"/>
              </w:rPr>
              <w:t>BRVO：限ranibizumab及aflibercept申請。第一次申請以3支為限，每眼上限為9支，須於第一次申請核准後5年內使用完畢</w:t>
            </w:r>
          </w:p>
          <w:p w14:paraId="63E6C6DD" w14:textId="77777777" w:rsidR="00BD776B" w:rsidRDefault="00DF0C24" w:rsidP="008A7063">
            <w:pPr>
              <w:pStyle w:val="ab"/>
              <w:numPr>
                <w:ilvl w:val="0"/>
                <w:numId w:val="114"/>
              </w:numPr>
              <w:spacing w:after="0" w:line="320" w:lineRule="exact"/>
              <w:ind w:left="841" w:hanging="361"/>
            </w:pPr>
            <w:r>
              <w:rPr>
                <w:rFonts w:ascii="標楷體" w:eastAsia="標楷體" w:hAnsi="標楷體"/>
              </w:rPr>
              <w:t>第一次申請(  支)</w:t>
            </w:r>
          </w:p>
          <w:p w14:paraId="2767E53A" w14:textId="77777777" w:rsidR="00BD776B" w:rsidRDefault="00DF0C24" w:rsidP="008A7063">
            <w:pPr>
              <w:pStyle w:val="ab"/>
              <w:numPr>
                <w:ilvl w:val="0"/>
                <w:numId w:val="114"/>
              </w:numPr>
              <w:spacing w:after="0" w:line="320" w:lineRule="exact"/>
              <w:ind w:left="841" w:hanging="361"/>
            </w:pPr>
            <w:r>
              <w:rPr>
                <w:rFonts w:ascii="標楷體" w:eastAsia="標楷體" w:hAnsi="標楷體"/>
              </w:rPr>
              <w:t>第__次申請(  支)</w:t>
            </w:r>
          </w:p>
          <w:p w14:paraId="57D1ACD9" w14:textId="77777777" w:rsidR="00BD776B" w:rsidRDefault="00DF0C24" w:rsidP="008A7063">
            <w:pPr>
              <w:pStyle w:val="ab"/>
              <w:numPr>
                <w:ilvl w:val="0"/>
                <w:numId w:val="114"/>
              </w:numPr>
              <w:spacing w:after="0" w:line="320" w:lineRule="exact"/>
              <w:ind w:left="841" w:hanging="361"/>
            </w:pPr>
            <w:r>
              <w:rPr>
                <w:rFonts w:ascii="標楷體" w:eastAsia="標楷體" w:hAnsi="標楷體" w:cs="標楷體"/>
              </w:rPr>
              <w:t>第__次申復</w:t>
            </w:r>
          </w:p>
        </w:tc>
        <w:tc>
          <w:tcPr>
            <w:tcW w:w="38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E0E550" w14:textId="77777777" w:rsidR="00BD776B" w:rsidRDefault="00DF0C24">
            <w:pPr>
              <w:pStyle w:val="11"/>
              <w:spacing w:before="180" w:line="320" w:lineRule="exact"/>
              <w:ind w:left="660" w:hanging="300"/>
            </w:pPr>
            <w:r>
              <w:rPr>
                <w:rFonts w:ascii="新細明體" w:eastAsia="新細明體" w:hAnsi="新細明體"/>
                <w:sz w:val="24"/>
                <w:szCs w:val="24"/>
              </w:rPr>
              <w:lastRenderedPageBreak/>
              <w:t>□</w:t>
            </w:r>
            <w:r>
              <w:rPr>
                <w:sz w:val="24"/>
                <w:szCs w:val="24"/>
              </w:rPr>
              <w:t>右眼</w:t>
            </w:r>
            <w:r>
              <w:rPr>
                <w:sz w:val="24"/>
                <w:szCs w:val="24"/>
              </w:rPr>
              <w:t xml:space="preserve">             □</w:t>
            </w:r>
            <w:r>
              <w:rPr>
                <w:sz w:val="24"/>
                <w:szCs w:val="24"/>
              </w:rPr>
              <w:t>左眼</w:t>
            </w:r>
          </w:p>
          <w:p w14:paraId="4BC9F7CB" w14:textId="77777777" w:rsidR="00BD776B" w:rsidRDefault="00DF0C24" w:rsidP="008A7063">
            <w:pPr>
              <w:pStyle w:val="11"/>
              <w:widowControl/>
              <w:numPr>
                <w:ilvl w:val="0"/>
                <w:numId w:val="115"/>
              </w:numPr>
              <w:autoSpaceDE w:val="0"/>
              <w:spacing w:before="180" w:line="320" w:lineRule="exact"/>
              <w:ind w:left="476" w:hanging="476"/>
              <w:rPr>
                <w:sz w:val="24"/>
                <w:szCs w:val="24"/>
              </w:rPr>
            </w:pPr>
            <w:r>
              <w:rPr>
                <w:sz w:val="24"/>
                <w:szCs w:val="24"/>
              </w:rPr>
              <w:t>病眼最佳矯正視力：</w:t>
            </w:r>
          </w:p>
          <w:p w14:paraId="1E33F666" w14:textId="77777777" w:rsidR="00BD776B" w:rsidRDefault="00DF0C24" w:rsidP="008A7063">
            <w:pPr>
              <w:pStyle w:val="11"/>
              <w:widowControl/>
              <w:numPr>
                <w:ilvl w:val="0"/>
                <w:numId w:val="115"/>
              </w:numPr>
              <w:autoSpaceDE w:val="0"/>
              <w:spacing w:before="180" w:line="320" w:lineRule="exact"/>
              <w:ind w:left="476" w:hanging="476"/>
              <w:rPr>
                <w:sz w:val="24"/>
                <w:szCs w:val="24"/>
              </w:rPr>
            </w:pPr>
            <w:r>
              <w:rPr>
                <w:sz w:val="24"/>
                <w:szCs w:val="24"/>
              </w:rPr>
              <w:t>1</w:t>
            </w:r>
            <w:r>
              <w:rPr>
                <w:sz w:val="24"/>
                <w:szCs w:val="24"/>
              </w:rPr>
              <w:t>個月內有效之</w:t>
            </w:r>
          </w:p>
          <w:p w14:paraId="4A805DC1" w14:textId="77777777" w:rsidR="00BD776B" w:rsidRDefault="00DF0C24">
            <w:pPr>
              <w:pStyle w:val="11"/>
              <w:spacing w:before="180" w:line="320" w:lineRule="exact"/>
              <w:ind w:left="240" w:hanging="47"/>
            </w:pPr>
            <w:r>
              <w:rPr>
                <w:rFonts w:ascii="新細明體" w:eastAsia="新細明體" w:hAnsi="新細明體"/>
                <w:sz w:val="24"/>
                <w:szCs w:val="24"/>
              </w:rPr>
              <w:t>□</w:t>
            </w:r>
            <w:r>
              <w:rPr>
                <w:sz w:val="24"/>
                <w:szCs w:val="24"/>
              </w:rPr>
              <w:t>fluorescein angiography (FAG)</w:t>
            </w:r>
          </w:p>
          <w:p w14:paraId="39997F85" w14:textId="77777777" w:rsidR="00BD776B" w:rsidRDefault="00DF0C24">
            <w:pPr>
              <w:pStyle w:val="11"/>
              <w:spacing w:before="180" w:line="320" w:lineRule="exact"/>
              <w:ind w:left="516" w:hanging="269"/>
            </w:pPr>
            <w:r>
              <w:rPr>
                <w:rFonts w:ascii="新細明體" w:eastAsia="新細明體" w:hAnsi="新細明體"/>
                <w:sz w:val="24"/>
                <w:szCs w:val="24"/>
              </w:rPr>
              <w:t>□</w:t>
            </w:r>
            <w:r>
              <w:rPr>
                <w:sz w:val="24"/>
                <w:szCs w:val="24"/>
              </w:rPr>
              <w:t>optical coherence tomography (OCT)</w:t>
            </w:r>
          </w:p>
          <w:p w14:paraId="50BDD2F4" w14:textId="77777777" w:rsidR="00BD776B" w:rsidRDefault="00DF0C24">
            <w:pPr>
              <w:pStyle w:val="11"/>
              <w:spacing w:before="180" w:line="320" w:lineRule="exact"/>
              <w:ind w:left="240" w:hanging="47"/>
            </w:pPr>
            <w:r>
              <w:rPr>
                <w:rFonts w:ascii="新細明體" w:eastAsia="新細明體" w:hAnsi="新細明體"/>
                <w:sz w:val="24"/>
                <w:szCs w:val="24"/>
              </w:rPr>
              <w:t>□</w:t>
            </w:r>
            <w:r>
              <w:rPr>
                <w:sz w:val="24"/>
                <w:szCs w:val="24"/>
              </w:rPr>
              <w:t>彩色眼底照片</w:t>
            </w:r>
          </w:p>
          <w:p w14:paraId="1D52B8FA" w14:textId="77777777" w:rsidR="00BD776B" w:rsidRDefault="00DF0C24" w:rsidP="008A7063">
            <w:pPr>
              <w:pStyle w:val="11"/>
              <w:widowControl/>
              <w:numPr>
                <w:ilvl w:val="0"/>
                <w:numId w:val="115"/>
              </w:numPr>
              <w:autoSpaceDE w:val="0"/>
              <w:spacing w:before="180" w:line="320" w:lineRule="exact"/>
              <w:ind w:left="476" w:hanging="476"/>
              <w:rPr>
                <w:sz w:val="24"/>
                <w:szCs w:val="24"/>
              </w:rPr>
            </w:pPr>
            <w:r>
              <w:rPr>
                <w:sz w:val="24"/>
                <w:szCs w:val="24"/>
              </w:rPr>
              <w:t>DME</w:t>
            </w:r>
            <w:r>
              <w:rPr>
                <w:sz w:val="24"/>
                <w:szCs w:val="24"/>
              </w:rPr>
              <w:t>需另行檢附：</w:t>
            </w:r>
          </w:p>
          <w:p w14:paraId="098F1C99" w14:textId="77777777" w:rsidR="00BD776B" w:rsidRDefault="00DF0C24">
            <w:pPr>
              <w:pStyle w:val="11"/>
              <w:spacing w:before="180" w:line="320" w:lineRule="exact"/>
              <w:ind w:left="240" w:hanging="47"/>
            </w:pPr>
            <w:r>
              <w:rPr>
                <w:rFonts w:ascii="新細明體" w:eastAsia="新細明體" w:hAnsi="新細明體"/>
                <w:sz w:val="24"/>
                <w:szCs w:val="24"/>
              </w:rPr>
              <w:t>□</w:t>
            </w:r>
            <w:r>
              <w:rPr>
                <w:sz w:val="24"/>
                <w:szCs w:val="24"/>
              </w:rPr>
              <w:t>中央視網膜厚度</w:t>
            </w:r>
            <w:r>
              <w:rPr>
                <w:sz w:val="24"/>
                <w:szCs w:val="24"/>
              </w:rPr>
              <w:t xml:space="preserve">: </w:t>
            </w:r>
            <w:r>
              <w:rPr>
                <w:sz w:val="24"/>
                <w:szCs w:val="24"/>
                <w:u w:val="single"/>
              </w:rPr>
              <w:t xml:space="preserve">       μm</w:t>
            </w:r>
          </w:p>
          <w:p w14:paraId="5248E1E3" w14:textId="77777777" w:rsidR="00BD776B" w:rsidRDefault="00DF0C24">
            <w:pPr>
              <w:pStyle w:val="11"/>
              <w:spacing w:before="180" w:line="320" w:lineRule="exact"/>
              <w:ind w:left="240" w:hanging="47"/>
            </w:pPr>
            <w:r>
              <w:rPr>
                <w:rFonts w:ascii="新細明體" w:eastAsia="新細明體" w:hAnsi="新細明體"/>
                <w:sz w:val="24"/>
                <w:szCs w:val="24"/>
              </w:rPr>
              <w:t>□</w:t>
            </w:r>
            <w:r>
              <w:rPr>
                <w:sz w:val="24"/>
                <w:szCs w:val="24"/>
              </w:rPr>
              <w:t>近</w:t>
            </w:r>
            <w:r>
              <w:rPr>
                <w:sz w:val="24"/>
                <w:szCs w:val="24"/>
              </w:rPr>
              <w:t>3</w:t>
            </w:r>
            <w:r>
              <w:rPr>
                <w:sz w:val="24"/>
                <w:szCs w:val="24"/>
              </w:rPr>
              <w:t>個月之</w:t>
            </w:r>
            <w:r>
              <w:rPr>
                <w:sz w:val="24"/>
                <w:szCs w:val="24"/>
              </w:rPr>
              <w:t>HbA1c</w:t>
            </w:r>
            <w:r>
              <w:rPr>
                <w:sz w:val="24"/>
                <w:szCs w:val="24"/>
              </w:rPr>
              <w:t>數值：</w:t>
            </w:r>
            <w:r>
              <w:rPr>
                <w:sz w:val="24"/>
                <w:szCs w:val="24"/>
                <w:u w:val="single"/>
              </w:rPr>
              <w:t>______</w:t>
            </w:r>
          </w:p>
          <w:p w14:paraId="510EA62B" w14:textId="77777777" w:rsidR="00BD776B" w:rsidRDefault="00DF0C24" w:rsidP="008A7063">
            <w:pPr>
              <w:pStyle w:val="11"/>
              <w:widowControl/>
              <w:numPr>
                <w:ilvl w:val="0"/>
                <w:numId w:val="115"/>
              </w:numPr>
              <w:autoSpaceDE w:val="0"/>
              <w:spacing w:before="180" w:line="320" w:lineRule="exact"/>
              <w:ind w:left="476" w:hanging="476"/>
              <w:rPr>
                <w:sz w:val="24"/>
                <w:szCs w:val="24"/>
              </w:rPr>
            </w:pPr>
            <w:r>
              <w:rPr>
                <w:sz w:val="24"/>
                <w:szCs w:val="24"/>
              </w:rPr>
              <w:t>CRVO</w:t>
            </w:r>
            <w:r>
              <w:rPr>
                <w:sz w:val="24"/>
                <w:szCs w:val="24"/>
              </w:rPr>
              <w:t>、</w:t>
            </w:r>
            <w:r>
              <w:rPr>
                <w:sz w:val="24"/>
                <w:szCs w:val="24"/>
              </w:rPr>
              <w:t>BRVO</w:t>
            </w:r>
            <w:r>
              <w:rPr>
                <w:sz w:val="24"/>
                <w:szCs w:val="24"/>
              </w:rPr>
              <w:t>需另行檢附：</w:t>
            </w:r>
          </w:p>
          <w:p w14:paraId="3A099E42" w14:textId="77777777" w:rsidR="00BD776B" w:rsidRDefault="00DF0C24">
            <w:pPr>
              <w:pStyle w:val="11"/>
              <w:spacing w:before="180" w:line="320" w:lineRule="exact"/>
              <w:ind w:left="240" w:hanging="47"/>
            </w:pPr>
            <w:r>
              <w:rPr>
                <w:rFonts w:ascii="新細明體" w:eastAsia="新細明體" w:hAnsi="新細明體"/>
                <w:sz w:val="24"/>
                <w:szCs w:val="24"/>
              </w:rPr>
              <w:lastRenderedPageBreak/>
              <w:t>□</w:t>
            </w:r>
            <w:r>
              <w:rPr>
                <w:sz w:val="24"/>
                <w:szCs w:val="24"/>
              </w:rPr>
              <w:t>中央視網膜厚度</w:t>
            </w:r>
            <w:r>
              <w:rPr>
                <w:sz w:val="24"/>
                <w:szCs w:val="24"/>
              </w:rPr>
              <w:t xml:space="preserve">: </w:t>
            </w:r>
            <w:r>
              <w:rPr>
                <w:sz w:val="24"/>
                <w:szCs w:val="24"/>
                <w:u w:val="single"/>
              </w:rPr>
              <w:t xml:space="preserve">       μm</w:t>
            </w:r>
          </w:p>
          <w:p w14:paraId="1E090D44" w14:textId="77777777" w:rsidR="00BD776B" w:rsidRDefault="00DF0C24" w:rsidP="008A7063">
            <w:pPr>
              <w:pStyle w:val="11"/>
              <w:widowControl/>
              <w:numPr>
                <w:ilvl w:val="0"/>
                <w:numId w:val="115"/>
              </w:numPr>
              <w:autoSpaceDE w:val="0"/>
              <w:spacing w:before="180" w:line="320" w:lineRule="exact"/>
              <w:ind w:left="476" w:hanging="476"/>
              <w:rPr>
                <w:sz w:val="24"/>
                <w:szCs w:val="24"/>
              </w:rPr>
            </w:pPr>
            <w:r>
              <w:rPr>
                <w:sz w:val="24"/>
                <w:szCs w:val="24"/>
              </w:rPr>
              <w:t>CNV</w:t>
            </w:r>
            <w:r>
              <w:rPr>
                <w:sz w:val="24"/>
                <w:szCs w:val="24"/>
              </w:rPr>
              <w:t>需另行檢附：</w:t>
            </w:r>
          </w:p>
          <w:p w14:paraId="5C4EA186" w14:textId="77777777" w:rsidR="00BD776B" w:rsidRDefault="00DF0C24">
            <w:pPr>
              <w:pStyle w:val="11"/>
              <w:spacing w:before="180" w:line="320" w:lineRule="exact"/>
              <w:ind w:left="660" w:hanging="300"/>
            </w:pPr>
            <w:r>
              <w:rPr>
                <w:sz w:val="24"/>
                <w:szCs w:val="24"/>
              </w:rPr>
              <w:t xml:space="preserve">  </w:t>
            </w:r>
            <w:r>
              <w:rPr>
                <w:rFonts w:ascii="新細明體" w:eastAsia="新細明體" w:hAnsi="新細明體"/>
                <w:sz w:val="24"/>
                <w:szCs w:val="24"/>
              </w:rPr>
              <w:t>□</w:t>
            </w:r>
            <w:r>
              <w:rPr>
                <w:sz w:val="24"/>
                <w:szCs w:val="24"/>
              </w:rPr>
              <w:t>近視度數</w:t>
            </w:r>
            <w:r>
              <w:rPr>
                <w:sz w:val="24"/>
                <w:szCs w:val="24"/>
                <w:u w:val="single"/>
              </w:rPr>
              <w:t>_______</w:t>
            </w:r>
            <w:r>
              <w:rPr>
                <w:sz w:val="24"/>
                <w:szCs w:val="24"/>
              </w:rPr>
              <w:t>。</w:t>
            </w:r>
          </w:p>
          <w:p w14:paraId="4F9777E2" w14:textId="77777777" w:rsidR="00BD776B" w:rsidRDefault="00DF0C24">
            <w:pPr>
              <w:pStyle w:val="11"/>
              <w:spacing w:before="180" w:line="320" w:lineRule="exact"/>
              <w:ind w:left="660" w:hanging="300"/>
            </w:pPr>
            <w:r>
              <w:rPr>
                <w:rFonts w:ascii="新細明體" w:eastAsia="新細明體" w:hAnsi="新細明體"/>
                <w:sz w:val="24"/>
                <w:szCs w:val="24"/>
              </w:rPr>
              <w:t xml:space="preserve">  □</w:t>
            </w:r>
            <w:r>
              <w:rPr>
                <w:sz w:val="24"/>
                <w:szCs w:val="24"/>
              </w:rPr>
              <w:t>眼軸長</w:t>
            </w:r>
            <w:r>
              <w:rPr>
                <w:sz w:val="24"/>
                <w:szCs w:val="24"/>
                <w:u w:val="single"/>
              </w:rPr>
              <w:t>_______</w:t>
            </w:r>
            <w:r>
              <w:rPr>
                <w:sz w:val="24"/>
                <w:szCs w:val="24"/>
              </w:rPr>
              <w:t>mm</w:t>
            </w:r>
            <w:r>
              <w:rPr>
                <w:sz w:val="24"/>
                <w:szCs w:val="24"/>
              </w:rPr>
              <w:t>。</w:t>
            </w:r>
          </w:p>
          <w:p w14:paraId="00DEE9A7" w14:textId="77777777" w:rsidR="00BD776B" w:rsidRDefault="00DF0C24">
            <w:pPr>
              <w:pStyle w:val="11"/>
              <w:spacing w:before="180" w:line="320" w:lineRule="exact"/>
              <w:ind w:left="482" w:hanging="482"/>
            </w:pPr>
            <w:r>
              <w:rPr>
                <w:sz w:val="24"/>
                <w:szCs w:val="24"/>
              </w:rPr>
              <w:t xml:space="preserve">  </w:t>
            </w:r>
            <w:r>
              <w:rPr>
                <w:rFonts w:ascii="新細明體" w:eastAsia="新細明體" w:hAnsi="新細明體"/>
                <w:sz w:val="24"/>
                <w:szCs w:val="24"/>
              </w:rPr>
              <w:t>□</w:t>
            </w:r>
            <w:r>
              <w:rPr>
                <w:sz w:val="24"/>
                <w:szCs w:val="24"/>
              </w:rPr>
              <w:t>因</w:t>
            </w:r>
            <w:r>
              <w:rPr>
                <w:sz w:val="24"/>
                <w:szCs w:val="24"/>
              </w:rPr>
              <w:t>CNV</w:t>
            </w:r>
            <w:r>
              <w:rPr>
                <w:sz w:val="24"/>
                <w:szCs w:val="24"/>
              </w:rPr>
              <w:t>病變而導致動態滲漏或中央視網膜內或視網膜下液。</w:t>
            </w:r>
          </w:p>
          <w:p w14:paraId="02B66943" w14:textId="77777777" w:rsidR="00BD776B" w:rsidRDefault="00DF0C24" w:rsidP="008A7063">
            <w:pPr>
              <w:pStyle w:val="11"/>
              <w:widowControl/>
              <w:numPr>
                <w:ilvl w:val="0"/>
                <w:numId w:val="115"/>
              </w:numPr>
              <w:autoSpaceDE w:val="0"/>
              <w:spacing w:before="180" w:line="320" w:lineRule="exact"/>
              <w:ind w:left="476" w:hanging="476"/>
              <w:rPr>
                <w:sz w:val="24"/>
                <w:szCs w:val="24"/>
              </w:rPr>
            </w:pPr>
            <w:r>
              <w:rPr>
                <w:sz w:val="24"/>
                <w:szCs w:val="24"/>
              </w:rPr>
              <w:t>前次申請資料</w:t>
            </w:r>
            <w:r>
              <w:rPr>
                <w:sz w:val="24"/>
                <w:szCs w:val="24"/>
              </w:rPr>
              <w:t>(</w:t>
            </w:r>
            <w:r>
              <w:rPr>
                <w:sz w:val="24"/>
                <w:szCs w:val="24"/>
              </w:rPr>
              <w:t>已核准</w:t>
            </w:r>
            <w:r>
              <w:rPr>
                <w:sz w:val="24"/>
                <w:szCs w:val="24"/>
              </w:rPr>
              <w:t>1</w:t>
            </w:r>
            <w:r>
              <w:rPr>
                <w:sz w:val="24"/>
                <w:szCs w:val="24"/>
              </w:rPr>
              <w:t>次之後申請者</w:t>
            </w:r>
            <w:r>
              <w:rPr>
                <w:sz w:val="24"/>
                <w:szCs w:val="24"/>
              </w:rPr>
              <w:t>)</w:t>
            </w:r>
          </w:p>
          <w:p w14:paraId="2AF0EEA8" w14:textId="77777777" w:rsidR="00BD776B" w:rsidRDefault="00BD776B">
            <w:pPr>
              <w:pStyle w:val="11"/>
              <w:spacing w:before="180" w:line="320" w:lineRule="exact"/>
              <w:ind w:left="660" w:hanging="300"/>
            </w:pP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0074A9" w14:textId="77777777" w:rsidR="00BD776B" w:rsidRDefault="00BD776B">
            <w:pPr>
              <w:pStyle w:val="ab"/>
            </w:pPr>
          </w:p>
        </w:tc>
        <w:tc>
          <w:tcPr>
            <w:tcW w:w="5152"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886FD8" w14:textId="77777777" w:rsidR="00BD776B" w:rsidRDefault="00DF0C24">
            <w:pPr>
              <w:pStyle w:val="ab"/>
            </w:pPr>
            <w:r>
              <w:rPr>
                <w:rFonts w:ascii="標楷體" w:eastAsia="標楷體" w:hAnsi="標楷體" w:cs="標楷體"/>
                <w:color w:val="000000"/>
              </w:rPr>
              <w:t>□同意備查。</w:t>
            </w:r>
          </w:p>
          <w:p w14:paraId="413777AD" w14:textId="77777777" w:rsidR="00BD776B" w:rsidRDefault="00DF0C24">
            <w:pPr>
              <w:pStyle w:val="ab"/>
            </w:pPr>
            <w:r>
              <w:rPr>
                <w:rFonts w:ascii="標楷體" w:eastAsia="標楷體" w:hAnsi="標楷體" w:cs="標楷體"/>
                <w:color w:val="000000"/>
              </w:rPr>
              <w:t>□使用劑量不符合常規，核定量為</w:t>
            </w:r>
            <w:r>
              <w:rPr>
                <w:rFonts w:ascii="標楷體" w:eastAsia="標楷體" w:hAnsi="標楷體" w:cs="標楷體"/>
                <w:color w:val="000000"/>
                <w:u w:val="single"/>
              </w:rPr>
              <w:t xml:space="preserve">               </w:t>
            </w:r>
          </w:p>
          <w:p w14:paraId="07F70942" w14:textId="77777777" w:rsidR="00BD776B" w:rsidRDefault="00DF0C24">
            <w:pPr>
              <w:pStyle w:val="ab"/>
            </w:pPr>
            <w:r>
              <w:rPr>
                <w:rFonts w:ascii="標楷體" w:eastAsia="標楷體" w:hAnsi="標楷體" w:cs="標楷體"/>
                <w:color w:val="000000"/>
              </w:rPr>
              <w:t>□不同意</w:t>
            </w:r>
          </w:p>
          <w:p w14:paraId="2B2AE18D" w14:textId="77777777" w:rsidR="00BD776B" w:rsidRDefault="00DF0C24">
            <w:pPr>
              <w:pStyle w:val="ab"/>
              <w:tabs>
                <w:tab w:val="left" w:pos="-1124"/>
              </w:tabs>
              <w:spacing w:after="0"/>
              <w:ind w:firstLine="482"/>
              <w:rPr>
                <w:rFonts w:ascii="標楷體" w:eastAsia="標楷體" w:hAnsi="標楷體" w:cs="標楷體"/>
                <w:color w:val="000000"/>
              </w:rPr>
            </w:pPr>
            <w:r>
              <w:rPr>
                <w:rFonts w:ascii="標楷體" w:eastAsia="標楷體" w:hAnsi="標楷體" w:cs="標楷體"/>
                <w:color w:val="000000"/>
              </w:rPr>
              <w:t>□不符合適應症。</w:t>
            </w:r>
          </w:p>
          <w:p w14:paraId="271B9705" w14:textId="77777777" w:rsidR="00BD776B" w:rsidRDefault="00DF0C24">
            <w:pPr>
              <w:pStyle w:val="ab"/>
              <w:tabs>
                <w:tab w:val="left" w:pos="-1124"/>
              </w:tabs>
              <w:spacing w:after="0"/>
              <w:ind w:firstLine="482"/>
              <w:rPr>
                <w:rFonts w:ascii="標楷體" w:eastAsia="標楷體" w:hAnsi="標楷體" w:cs="標楷體"/>
                <w:color w:val="000000"/>
              </w:rPr>
            </w:pPr>
            <w:r>
              <w:rPr>
                <w:rFonts w:ascii="標楷體" w:eastAsia="標楷體" w:hAnsi="標楷體" w:cs="標楷體"/>
                <w:color w:val="000000"/>
              </w:rPr>
              <w:t>□不符給付規定。</w:t>
            </w:r>
          </w:p>
          <w:p w14:paraId="687D6884" w14:textId="77777777" w:rsidR="00BD776B" w:rsidRDefault="00DF0C24">
            <w:pPr>
              <w:pStyle w:val="ab"/>
              <w:tabs>
                <w:tab w:val="left" w:pos="-1124"/>
              </w:tabs>
              <w:spacing w:after="0"/>
              <w:ind w:firstLine="482"/>
            </w:pPr>
            <w:r>
              <w:rPr>
                <w:rFonts w:ascii="標楷體" w:eastAsia="標楷體" w:hAnsi="標楷體" w:cs="標楷體"/>
                <w:color w:val="000000"/>
              </w:rPr>
              <w:t>□下</w:t>
            </w:r>
            <w:r>
              <w:rPr>
                <w:rFonts w:ascii="標楷體" w:eastAsia="標楷體" w:hAnsi="標楷體"/>
              </w:rPr>
              <w:t>列需排除之情況未排除：</w:t>
            </w:r>
          </w:p>
          <w:p w14:paraId="2E1F77A8" w14:textId="77777777" w:rsidR="00BD776B" w:rsidRDefault="00BD776B">
            <w:pPr>
              <w:pStyle w:val="ab"/>
            </w:pPr>
          </w:p>
          <w:p w14:paraId="083E2A7F" w14:textId="77777777" w:rsidR="00BD776B" w:rsidRDefault="00BD776B">
            <w:pPr>
              <w:pStyle w:val="ab"/>
            </w:pPr>
          </w:p>
          <w:p w14:paraId="53F10208" w14:textId="77777777" w:rsidR="00BD776B" w:rsidRDefault="00BD776B">
            <w:pPr>
              <w:pStyle w:val="ab"/>
            </w:pPr>
          </w:p>
          <w:p w14:paraId="5FE7DA13" w14:textId="77777777" w:rsidR="00BD776B" w:rsidRDefault="00DF0C24">
            <w:pPr>
              <w:pStyle w:val="ab"/>
              <w:tabs>
                <w:tab w:val="left" w:pos="-1124"/>
              </w:tabs>
              <w:spacing w:after="0"/>
              <w:ind w:left="739" w:hanging="257"/>
            </w:pPr>
            <w:r>
              <w:rPr>
                <w:rFonts w:ascii="標楷體" w:eastAsia="標楷體" w:hAnsi="標楷體" w:cs="標楷體"/>
                <w:color w:val="000000"/>
              </w:rPr>
              <w:t>□相關檢驗、檢查報告不全，補附資料再審，請補充以下資料：</w:t>
            </w:r>
          </w:p>
          <w:p w14:paraId="5CA5FDB1" w14:textId="77777777" w:rsidR="00BD776B" w:rsidRDefault="00BD776B">
            <w:pPr>
              <w:pStyle w:val="ab"/>
            </w:pPr>
          </w:p>
          <w:p w14:paraId="670253A1" w14:textId="77777777" w:rsidR="00BD776B" w:rsidRDefault="00BD776B">
            <w:pPr>
              <w:pStyle w:val="ab"/>
            </w:pPr>
          </w:p>
          <w:p w14:paraId="5F4F29A5" w14:textId="77777777" w:rsidR="00BD776B" w:rsidRDefault="00BD776B">
            <w:pPr>
              <w:pStyle w:val="ab"/>
            </w:pPr>
          </w:p>
          <w:p w14:paraId="7AFD76D4" w14:textId="77777777" w:rsidR="00BD776B" w:rsidRDefault="00DF0C24">
            <w:pPr>
              <w:pStyle w:val="ab"/>
              <w:tabs>
                <w:tab w:val="left" w:pos="-1124"/>
              </w:tabs>
              <w:spacing w:after="0"/>
              <w:ind w:firstLine="482"/>
            </w:pPr>
            <w:r>
              <w:rPr>
                <w:rFonts w:ascii="標楷體" w:eastAsia="標楷體" w:hAnsi="標楷體" w:cs="標楷體"/>
                <w:color w:val="000000"/>
              </w:rPr>
              <w:lastRenderedPageBreak/>
              <w:t>□其他：</w:t>
            </w:r>
          </w:p>
        </w:tc>
        <w:tc>
          <w:tcPr>
            <w:tcW w:w="40" w:type="dxa"/>
            <w:shd w:val="clear" w:color="auto" w:fill="auto"/>
            <w:tcMar>
              <w:top w:w="0" w:type="dxa"/>
              <w:left w:w="10" w:type="dxa"/>
              <w:bottom w:w="0" w:type="dxa"/>
              <w:right w:w="10" w:type="dxa"/>
            </w:tcMar>
          </w:tcPr>
          <w:p w14:paraId="68C4A5B0" w14:textId="77777777" w:rsidR="00BD776B" w:rsidRDefault="00BD776B">
            <w:pPr>
              <w:pStyle w:val="ab"/>
            </w:pPr>
          </w:p>
        </w:tc>
      </w:tr>
      <w:tr w:rsidR="00BD776B" w14:paraId="37926D5C" w14:textId="77777777">
        <w:trPr>
          <w:trHeight w:val="2732"/>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94B23C" w14:textId="77777777" w:rsidR="00BD776B" w:rsidRDefault="00DF0C24">
            <w:pPr>
              <w:pStyle w:val="ab"/>
            </w:pPr>
            <w:r>
              <w:rPr>
                <w:rFonts w:ascii="標楷體" w:eastAsia="標楷體" w:hAnsi="標楷體" w:cs="標楷體"/>
              </w:rPr>
              <w:t>注  意  事  項</w:t>
            </w:r>
          </w:p>
        </w:tc>
        <w:tc>
          <w:tcPr>
            <w:tcW w:w="9309"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868263" w14:textId="77777777" w:rsidR="00BD776B" w:rsidRDefault="00DF0C24" w:rsidP="008A7063">
            <w:pPr>
              <w:pStyle w:val="ab"/>
              <w:numPr>
                <w:ilvl w:val="0"/>
                <w:numId w:val="116"/>
              </w:numPr>
              <w:tabs>
                <w:tab w:val="left" w:pos="-749"/>
              </w:tabs>
              <w:spacing w:after="0" w:line="320" w:lineRule="exact"/>
              <w:ind w:left="285" w:hanging="142"/>
            </w:pPr>
            <w:r>
              <w:rPr>
                <w:rFonts w:ascii="標楷體" w:eastAsia="標楷體" w:hAnsi="標楷體"/>
                <w:kern w:val="0"/>
              </w:rPr>
              <w:t>本申請書限一人一案，由本保險特約醫事服務機構填報，不必備文，請逕向健保署各分區業務組申請審核。</w:t>
            </w:r>
          </w:p>
          <w:p w14:paraId="6444DA97" w14:textId="77777777" w:rsidR="00BD776B" w:rsidRDefault="00DF0C24" w:rsidP="008A7063">
            <w:pPr>
              <w:pStyle w:val="ab"/>
              <w:numPr>
                <w:ilvl w:val="0"/>
                <w:numId w:val="116"/>
              </w:numPr>
              <w:tabs>
                <w:tab w:val="left" w:pos="-749"/>
              </w:tabs>
              <w:spacing w:after="0" w:line="320" w:lineRule="exact"/>
              <w:ind w:left="285" w:hanging="142"/>
            </w:pPr>
            <w:r>
              <w:rPr>
                <w:rFonts w:ascii="標楷體" w:eastAsia="標楷體" w:hAnsi="標楷體"/>
                <w:kern w:val="0"/>
              </w:rPr>
              <w:t>「原受理編號」申復時填寫，初次送核不須填寫。</w:t>
            </w:r>
          </w:p>
          <w:p w14:paraId="4082CFC3" w14:textId="77777777" w:rsidR="00BD776B" w:rsidRDefault="00DF0C24" w:rsidP="008A7063">
            <w:pPr>
              <w:pStyle w:val="ab"/>
              <w:numPr>
                <w:ilvl w:val="0"/>
                <w:numId w:val="116"/>
              </w:numPr>
              <w:tabs>
                <w:tab w:val="left" w:pos="-749"/>
              </w:tabs>
              <w:spacing w:after="0" w:line="320" w:lineRule="exact"/>
              <w:ind w:left="285" w:hanging="142"/>
            </w:pPr>
            <w:r>
              <w:rPr>
                <w:rFonts w:ascii="標楷體" w:eastAsia="標楷體" w:hAnsi="標楷體"/>
                <w:kern w:val="0"/>
              </w:rPr>
              <w:t>應事前審查之項目未依規定事前申請核准者，不予給付費用；事前申請核准之個案，日後如經審定保險對象或醫事服務機構有不符全民健康保險給付規定者，亦不予給付費用。</w:t>
            </w:r>
          </w:p>
          <w:p w14:paraId="75693DCF" w14:textId="77777777" w:rsidR="00BD776B" w:rsidRDefault="00DF0C24" w:rsidP="008A7063">
            <w:pPr>
              <w:pStyle w:val="ab"/>
              <w:numPr>
                <w:ilvl w:val="0"/>
                <w:numId w:val="116"/>
              </w:numPr>
              <w:tabs>
                <w:tab w:val="left" w:pos="-749"/>
              </w:tabs>
              <w:spacing w:after="0" w:line="320" w:lineRule="exact"/>
              <w:ind w:left="285" w:hanging="142"/>
            </w:pPr>
            <w:r>
              <w:rPr>
                <w:rFonts w:ascii="標楷體" w:eastAsia="標楷體" w:hAnsi="標楷體"/>
                <w:kern w:val="0"/>
              </w:rPr>
              <w:t>對核定結果如有異議，得於收到核定通知之日起六十日內，重行填寫乙份申請書(應勾註申復，並填明原受理編號)向原核定單位申請複核。</w:t>
            </w:r>
          </w:p>
          <w:p w14:paraId="61752376" w14:textId="77777777" w:rsidR="00BD776B" w:rsidRDefault="00DF0C24" w:rsidP="008A7063">
            <w:pPr>
              <w:pStyle w:val="ab"/>
              <w:numPr>
                <w:ilvl w:val="0"/>
                <w:numId w:val="116"/>
              </w:numPr>
              <w:tabs>
                <w:tab w:val="left" w:pos="-749"/>
              </w:tabs>
              <w:spacing w:after="0" w:line="320" w:lineRule="exact"/>
              <w:ind w:left="285" w:hanging="142"/>
            </w:pPr>
            <w:r>
              <w:rPr>
                <w:rFonts w:ascii="標楷體" w:eastAsia="標楷體" w:hAnsi="標楷體"/>
                <w:kern w:val="0"/>
              </w:rPr>
              <w:lastRenderedPageBreak/>
              <w:t>對複核結果如有異議，得於收到複核通知之日起六十日內向全民健保爭議審議委員會申請審議。</w:t>
            </w:r>
          </w:p>
          <w:p w14:paraId="65DE4A0B" w14:textId="77777777" w:rsidR="00BD776B" w:rsidRDefault="00DF0C24" w:rsidP="008A7063">
            <w:pPr>
              <w:pStyle w:val="ab"/>
              <w:numPr>
                <w:ilvl w:val="0"/>
                <w:numId w:val="116"/>
              </w:numPr>
              <w:tabs>
                <w:tab w:val="left" w:pos="-749"/>
              </w:tabs>
              <w:spacing w:after="0" w:line="320" w:lineRule="exact"/>
              <w:ind w:left="285" w:hanging="142"/>
              <w:rPr>
                <w:rFonts w:ascii="標楷體" w:eastAsia="標楷體" w:hAnsi="標楷體"/>
                <w:kern w:val="0"/>
              </w:rPr>
            </w:pPr>
            <w:r>
              <w:rPr>
                <w:rFonts w:ascii="標楷體" w:eastAsia="標楷體" w:hAnsi="標楷體"/>
                <w:kern w:val="0"/>
              </w:rPr>
              <w:t>對核定結果有異議者，應循上述申複及爭議審議途徑申請複核或審議，不得以新個案重新申請送核，否則不予受理。</w:t>
            </w:r>
          </w:p>
          <w:p w14:paraId="1BCB8295" w14:textId="77777777" w:rsidR="00BD776B" w:rsidRDefault="00DF0C24" w:rsidP="008A7063">
            <w:pPr>
              <w:pStyle w:val="ab"/>
              <w:numPr>
                <w:ilvl w:val="0"/>
                <w:numId w:val="116"/>
              </w:numPr>
              <w:tabs>
                <w:tab w:val="left" w:pos="-749"/>
              </w:tabs>
              <w:spacing w:after="0" w:line="320" w:lineRule="exact"/>
              <w:ind w:left="285" w:hanging="142"/>
              <w:rPr>
                <w:rFonts w:ascii="標楷體" w:eastAsia="標楷體" w:hAnsi="標楷體"/>
                <w:kern w:val="0"/>
              </w:rPr>
            </w:pPr>
            <w:r>
              <w:rPr>
                <w:rFonts w:ascii="標楷體" w:eastAsia="標楷體" w:hAnsi="標楷體"/>
                <w:kern w:val="0"/>
              </w:rPr>
              <w:t>保險醫事服務機構如因事出緊急，得以書面說明電傳保險人報備後，先行處理治療，並立即備齊應附文件備查。</w:t>
            </w:r>
          </w:p>
          <w:p w14:paraId="695D47E5" w14:textId="77777777" w:rsidR="00BD776B" w:rsidRDefault="00DF0C24" w:rsidP="008A7063">
            <w:pPr>
              <w:pStyle w:val="ab"/>
              <w:numPr>
                <w:ilvl w:val="0"/>
                <w:numId w:val="116"/>
              </w:numPr>
              <w:tabs>
                <w:tab w:val="left" w:pos="-749"/>
              </w:tabs>
              <w:spacing w:after="0" w:line="320" w:lineRule="exact"/>
              <w:ind w:left="285" w:hanging="142"/>
            </w:pPr>
            <w:r>
              <w:rPr>
                <w:rFonts w:ascii="標楷體" w:eastAsia="標楷體" w:hAnsi="標楷體"/>
              </w:rPr>
              <w:t>經核准使用者，醫令申報請選</w:t>
            </w:r>
            <w:r>
              <w:rPr>
                <w:rFonts w:ascii="標楷體" w:eastAsia="標楷體" w:hAnsi="標楷體"/>
                <w:kern w:val="0"/>
              </w:rPr>
              <w:t>擇符合適應症之ICD-10-CM代碼申報，以利檢討及統計。</w:t>
            </w:r>
          </w:p>
        </w:tc>
        <w:tc>
          <w:tcPr>
            <w:tcW w:w="3587"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9C1E1E" w14:textId="77777777" w:rsidR="00BD776B" w:rsidRDefault="00DF0C24">
            <w:pPr>
              <w:pStyle w:val="ab"/>
            </w:pPr>
            <w:r>
              <w:rPr>
                <w:noProof/>
              </w:rPr>
              <w:lastRenderedPageBreak/>
              <mc:AlternateContent>
                <mc:Choice Requires="wps">
                  <w:drawing>
                    <wp:anchor distT="0" distB="0" distL="114300" distR="114300" simplePos="0" relativeHeight="251668480" behindDoc="0" locked="0" layoutInCell="1" allowOverlap="1" wp14:anchorId="5E6C3A4A" wp14:editId="79051587">
                      <wp:simplePos x="0" y="0"/>
                      <wp:positionH relativeFrom="column">
                        <wp:posOffset>14180186</wp:posOffset>
                      </wp:positionH>
                      <wp:positionV relativeFrom="paragraph">
                        <wp:posOffset>-6345</wp:posOffset>
                      </wp:positionV>
                      <wp:extent cx="0" cy="6985"/>
                      <wp:effectExtent l="0" t="0" r="38100" b="31115"/>
                      <wp:wrapNone/>
                      <wp:docPr id="30" name="直線單箭頭接點 25"/>
                      <wp:cNvGraphicFramePr/>
                      <a:graphic xmlns:a="http://schemas.openxmlformats.org/drawingml/2006/main">
                        <a:graphicData uri="http://schemas.microsoft.com/office/word/2010/wordprocessingShape">
                          <wps:wsp>
                            <wps:cNvCnPr/>
                            <wps:spPr>
                              <a:xfrm>
                                <a:off x="0" y="0"/>
                                <a:ext cx="0" cy="6985"/>
                              </a:xfrm>
                              <a:prstGeom prst="straightConnector1">
                                <a:avLst/>
                              </a:prstGeom>
                              <a:noFill/>
                              <a:ln w="9363" cap="flat">
                                <a:solidFill>
                                  <a:srgbClr val="000000"/>
                                </a:solidFill>
                                <a:prstDash val="solid"/>
                                <a:round/>
                              </a:ln>
                            </wps:spPr>
                            <wps:bodyPr/>
                          </wps:wsp>
                        </a:graphicData>
                      </a:graphic>
                    </wp:anchor>
                  </w:drawing>
                </mc:Choice>
                <mc:Fallback>
                  <w:pict>
                    <v:shape w14:anchorId="3A799A2D" id="直線單箭頭接點 25" o:spid="_x0000_s1026" type="#_x0000_t32" style="position:absolute;margin-left:1116.55pt;margin-top:-.5pt;width:0;height:.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" strokeweight=".26008mm"/>
                  </w:pict>
                </mc:Fallback>
              </mc:AlternateContent>
            </w:r>
            <w:r>
              <w:rPr>
                <w:rFonts w:ascii="標楷體" w:eastAsia="標楷體" w:hAnsi="標楷體" w:cs="標楷體"/>
              </w:rPr>
              <w:t>衛生福利部中央健康保險署</w:t>
            </w:r>
          </w:p>
          <w:p w14:paraId="123C3D64" w14:textId="77777777" w:rsidR="00BD776B" w:rsidRDefault="00DF0C24">
            <w:pPr>
              <w:pStyle w:val="ab"/>
            </w:pPr>
            <w:r>
              <w:rPr>
                <w:rFonts w:ascii="標楷體" w:eastAsia="標楷體" w:hAnsi="標楷體" w:cs="標楷體"/>
              </w:rPr>
              <w:t>日期章戳</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0BECA9" w14:textId="77777777" w:rsidR="00BD776B" w:rsidRDefault="00DF0C24">
            <w:pPr>
              <w:pStyle w:val="ab"/>
            </w:pPr>
            <w:r>
              <w:rPr>
                <w:rFonts w:ascii="標楷體" w:eastAsia="標楷體" w:hAnsi="標楷體" w:cs="標楷體"/>
              </w:rPr>
              <w:t>審查醫師</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82E63C" w14:textId="77777777" w:rsidR="00BD776B" w:rsidRDefault="00BD776B">
            <w:pPr>
              <w:pStyle w:val="ab"/>
              <w:rPr>
                <w:rFonts w:ascii="標楷體" w:eastAsia="標楷體" w:hAnsi="標楷體" w:cs="標楷體"/>
                <w:sz w:val="20"/>
                <w:szCs w:val="20"/>
              </w:rPr>
            </w:pPr>
          </w:p>
        </w:tc>
        <w:tc>
          <w:tcPr>
            <w:tcW w:w="40" w:type="dxa"/>
            <w:vMerge w:val="restart"/>
            <w:tcBorders>
              <w:left w:val="single" w:sz="4" w:space="0" w:color="000000"/>
            </w:tcBorders>
            <w:shd w:val="clear" w:color="auto" w:fill="auto"/>
            <w:tcMar>
              <w:top w:w="0" w:type="dxa"/>
              <w:left w:w="10" w:type="dxa"/>
              <w:bottom w:w="0" w:type="dxa"/>
              <w:right w:w="10" w:type="dxa"/>
            </w:tcMar>
          </w:tcPr>
          <w:p w14:paraId="18C779A5" w14:textId="77777777" w:rsidR="00BD776B" w:rsidRDefault="00BD776B">
            <w:pPr>
              <w:pStyle w:val="ab"/>
            </w:pPr>
          </w:p>
        </w:tc>
      </w:tr>
      <w:tr w:rsidR="00BD776B" w14:paraId="435A845D" w14:textId="77777777">
        <w:trPr>
          <w:trHeight w:val="2009"/>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7A21AA" w14:textId="77777777" w:rsidR="00BD776B" w:rsidRDefault="00BD776B">
            <w:pPr>
              <w:widowControl/>
            </w:pPr>
          </w:p>
        </w:tc>
        <w:tc>
          <w:tcPr>
            <w:tcW w:w="9309" w:type="dxa"/>
            <w:gridSpan w:val="12"/>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6A35EB" w14:textId="77777777" w:rsidR="00BD776B" w:rsidRDefault="00BD776B">
            <w:pPr>
              <w:widowControl/>
            </w:pPr>
          </w:p>
        </w:tc>
        <w:tc>
          <w:tcPr>
            <w:tcW w:w="3587"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A37D4B" w14:textId="77777777" w:rsidR="00BD776B" w:rsidRDefault="00BD776B">
            <w:pPr>
              <w:widowControl/>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0A8914" w14:textId="77777777" w:rsidR="00BD776B" w:rsidRDefault="00BD776B">
            <w:pPr>
              <w:widowControl/>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398E26" w14:textId="77777777" w:rsidR="00BD776B" w:rsidRDefault="00BD776B">
            <w:pPr>
              <w:pStyle w:val="ab"/>
              <w:rPr>
                <w:rFonts w:ascii="標楷體" w:eastAsia="標楷體" w:hAnsi="標楷體" w:cs="標楷體"/>
                <w:sz w:val="20"/>
                <w:szCs w:val="20"/>
              </w:rPr>
            </w:pPr>
          </w:p>
        </w:tc>
        <w:tc>
          <w:tcPr>
            <w:tcW w:w="40" w:type="dxa"/>
            <w:vMerge/>
            <w:tcBorders>
              <w:left w:val="single" w:sz="4" w:space="0" w:color="000000"/>
            </w:tcBorders>
            <w:shd w:val="clear" w:color="auto" w:fill="auto"/>
            <w:tcMar>
              <w:top w:w="0" w:type="dxa"/>
              <w:left w:w="10" w:type="dxa"/>
              <w:bottom w:w="0" w:type="dxa"/>
              <w:right w:w="10" w:type="dxa"/>
            </w:tcMar>
          </w:tcPr>
          <w:p w14:paraId="7D0EFF06" w14:textId="77777777" w:rsidR="00BD776B" w:rsidRDefault="00BD776B">
            <w:pPr>
              <w:widowControl/>
            </w:pPr>
          </w:p>
        </w:tc>
      </w:tr>
      <w:tr w:rsidR="00BD776B" w14:paraId="4513F273" w14:textId="77777777">
        <w:trPr>
          <w:trHeight w:val="1704"/>
        </w:trPr>
        <w:tc>
          <w:tcPr>
            <w:tcW w:w="11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94AEF1" w14:textId="77777777" w:rsidR="00BD776B" w:rsidRDefault="00DF0C24">
            <w:pPr>
              <w:pStyle w:val="ab"/>
            </w:pPr>
            <w:r>
              <w:rPr>
                <w:rFonts w:ascii="標楷體" w:eastAsia="標楷體" w:hAnsi="標楷體"/>
              </w:rPr>
              <w:t>醫事</w:t>
            </w:r>
          </w:p>
          <w:p w14:paraId="1D080E26" w14:textId="77777777" w:rsidR="00BD776B" w:rsidRDefault="00DF0C24">
            <w:pPr>
              <w:pStyle w:val="ab"/>
            </w:pPr>
            <w:r>
              <w:rPr>
                <w:rFonts w:ascii="標楷體" w:eastAsia="標楷體" w:hAnsi="標楷體"/>
              </w:rPr>
              <w:t>服務</w:t>
            </w:r>
          </w:p>
          <w:p w14:paraId="59137CEE" w14:textId="77777777" w:rsidR="00BD776B" w:rsidRDefault="00DF0C24">
            <w:pPr>
              <w:pStyle w:val="ab"/>
            </w:pPr>
            <w:r>
              <w:rPr>
                <w:rFonts w:ascii="標楷體" w:eastAsia="標楷體" w:hAnsi="標楷體"/>
              </w:rPr>
              <w:t>機構</w:t>
            </w:r>
          </w:p>
        </w:tc>
        <w:tc>
          <w:tcPr>
            <w:tcW w:w="859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AC9EFC" w14:textId="77777777" w:rsidR="00BD776B" w:rsidRDefault="00DF0C24">
            <w:pPr>
              <w:pStyle w:val="ab"/>
            </w:pPr>
            <w:r>
              <w:rPr>
                <w:rFonts w:ascii="標楷體" w:eastAsia="標楷體" w:hAnsi="標楷體" w:cs="標楷體"/>
                <w:color w:val="000000"/>
              </w:rPr>
              <w:t>負責醫師                                 申請日期：    年     月     日</w:t>
            </w:r>
          </w:p>
          <w:p w14:paraId="085C124D" w14:textId="77777777" w:rsidR="00BD776B" w:rsidRDefault="00BD776B">
            <w:pPr>
              <w:pStyle w:val="ab"/>
            </w:pPr>
          </w:p>
          <w:p w14:paraId="4F36C4E6" w14:textId="77777777" w:rsidR="00BD776B" w:rsidRDefault="00DF0C24">
            <w:pPr>
              <w:pStyle w:val="ab"/>
              <w:spacing w:before="180" w:after="0" w:line="260" w:lineRule="exact"/>
              <w:ind w:right="-170"/>
            </w:pPr>
            <w:r>
              <w:rPr>
                <w:rFonts w:ascii="標楷體" w:eastAsia="標楷體" w:hAnsi="標楷體" w:cs="標楷體"/>
                <w:color w:val="000000"/>
              </w:rPr>
              <w:t>印信</w:t>
            </w:r>
            <w:r>
              <w:rPr>
                <w:rFonts w:ascii="標楷體" w:eastAsia="標楷體" w:hAnsi="標楷體"/>
                <w:color w:val="000000"/>
              </w:rPr>
              <w:t xml:space="preserve">　　                                  </w:t>
            </w:r>
            <w:r>
              <w:rPr>
                <w:rFonts w:ascii="標楷體" w:eastAsia="標楷體" w:hAnsi="標楷體" w:cs="標楷體"/>
                <w:color w:val="000000"/>
              </w:rPr>
              <w:t>文號：</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2C9CDA" w14:textId="77777777" w:rsidR="00BD776B" w:rsidRDefault="00DF0C24">
            <w:pPr>
              <w:pStyle w:val="ab"/>
            </w:pPr>
            <w:r>
              <w:rPr>
                <w:rFonts w:ascii="標楷體" w:eastAsia="標楷體" w:hAnsi="標楷體" w:cs="標楷體"/>
                <w:color w:val="000000"/>
              </w:rPr>
              <w:t>承辦人</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89FCE2" w14:textId="77777777" w:rsidR="00BD776B" w:rsidRDefault="00BD776B">
            <w:pPr>
              <w:pStyle w:val="ab"/>
              <w:rPr>
                <w:rFonts w:ascii="標楷體" w:eastAsia="標楷體" w:hAnsi="標楷體" w:cs="標楷體"/>
                <w:color w:val="000000"/>
              </w:rPr>
            </w:pP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B751F5" w14:textId="77777777" w:rsidR="00BD776B" w:rsidRDefault="00DF0C24">
            <w:pPr>
              <w:pStyle w:val="ab"/>
            </w:pPr>
            <w:r>
              <w:rPr>
                <w:rFonts w:ascii="標楷體" w:eastAsia="標楷體" w:hAnsi="標楷體" w:cs="標楷體"/>
                <w:color w:val="000000"/>
              </w:rPr>
              <w:t>複核</w:t>
            </w:r>
          </w:p>
        </w:tc>
        <w:tc>
          <w:tcPr>
            <w:tcW w:w="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CFE50A" w14:textId="77777777" w:rsidR="00BD776B" w:rsidRDefault="00BD776B">
            <w:pPr>
              <w:pStyle w:val="ab"/>
              <w:rPr>
                <w:rFonts w:ascii="標楷體" w:eastAsia="標楷體" w:hAnsi="標楷體" w:cs="標楷體"/>
                <w:color w:val="000000"/>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92A3F3" w14:textId="77777777" w:rsidR="00BD776B" w:rsidRDefault="00DF0C24">
            <w:pPr>
              <w:pStyle w:val="ab"/>
            </w:pPr>
            <w:r>
              <w:rPr>
                <w:rFonts w:ascii="標楷體" w:eastAsia="標楷體" w:hAnsi="標楷體" w:cs="標楷體"/>
                <w:color w:val="000000"/>
              </w:rPr>
              <w:t>科長</w:t>
            </w:r>
          </w:p>
        </w:tc>
        <w:tc>
          <w:tcPr>
            <w:tcW w:w="6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A869A9" w14:textId="77777777" w:rsidR="00BD776B" w:rsidRDefault="00BD776B">
            <w:pPr>
              <w:pStyle w:val="ab"/>
              <w:rPr>
                <w:rFonts w:ascii="標楷體" w:eastAsia="標楷體" w:hAnsi="標楷體" w:cs="標楷體"/>
                <w:color w:val="00000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EA3DB4" w14:textId="77777777" w:rsidR="00BD776B" w:rsidRDefault="00DF0C24">
            <w:pPr>
              <w:pStyle w:val="ab"/>
            </w:pPr>
            <w:r>
              <w:rPr>
                <w:rFonts w:ascii="標楷體" w:eastAsia="標楷體" w:hAnsi="標楷體" w:cs="標楷體"/>
                <w:color w:val="000000"/>
              </w:rPr>
              <w:t>決行</w:t>
            </w:r>
          </w:p>
          <w:p w14:paraId="724DFCE7" w14:textId="77777777" w:rsidR="00BD776B" w:rsidRDefault="00BD776B">
            <w:pPr>
              <w:pStyle w:val="ab"/>
              <w:rPr>
                <w:rFonts w:ascii="標楷體" w:eastAsia="標楷體" w:hAnsi="標楷體" w:cs="標楷體"/>
                <w:color w:val="00000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EC13F1" w14:textId="77777777" w:rsidR="00BD776B" w:rsidRDefault="00BD776B">
            <w:pPr>
              <w:pStyle w:val="ab"/>
              <w:rPr>
                <w:rFonts w:ascii="標楷體" w:eastAsia="標楷體" w:hAnsi="標楷體" w:cs="標楷體"/>
                <w:color w:val="000000"/>
                <w:sz w:val="20"/>
                <w:szCs w:val="20"/>
              </w:rPr>
            </w:pPr>
          </w:p>
        </w:tc>
        <w:tc>
          <w:tcPr>
            <w:tcW w:w="40" w:type="dxa"/>
            <w:shd w:val="clear" w:color="auto" w:fill="auto"/>
            <w:tcMar>
              <w:top w:w="0" w:type="dxa"/>
              <w:left w:w="10" w:type="dxa"/>
              <w:bottom w:w="0" w:type="dxa"/>
              <w:right w:w="10" w:type="dxa"/>
            </w:tcMar>
          </w:tcPr>
          <w:p w14:paraId="5FC5DF4A" w14:textId="77777777" w:rsidR="00BD776B" w:rsidRDefault="00BD776B">
            <w:pPr>
              <w:pStyle w:val="ab"/>
            </w:pPr>
          </w:p>
        </w:tc>
      </w:tr>
    </w:tbl>
    <w:p w14:paraId="2948F414" w14:textId="77777777" w:rsidR="00BD776B" w:rsidRDefault="00DF0C24">
      <w:pPr>
        <w:pageBreakBefore/>
        <w:snapToGrid w:val="0"/>
        <w:rPr>
          <w:rFonts w:ascii="標楷體" w:eastAsia="標楷體" w:hAnsi="標楷體"/>
        </w:rPr>
      </w:pPr>
      <w:r>
        <w:rPr>
          <w:rFonts w:ascii="標楷體" w:eastAsia="標楷體" w:hAnsi="標楷體"/>
        </w:rPr>
        <w:lastRenderedPageBreak/>
        <w:t xml:space="preserve"> </w:t>
      </w:r>
    </w:p>
    <w:tbl>
      <w:tblPr>
        <w:tblW w:w="14870" w:type="dxa"/>
        <w:tblInd w:w="-46" w:type="dxa"/>
        <w:tblLayout w:type="fixed"/>
        <w:tblCellMar>
          <w:left w:w="10" w:type="dxa"/>
          <w:right w:w="10" w:type="dxa"/>
        </w:tblCellMar>
        <w:tblLook w:val="0000" w:firstRow="0" w:lastRow="0" w:firstColumn="0" w:lastColumn="0" w:noHBand="0" w:noVBand="0"/>
      </w:tblPr>
      <w:tblGrid>
        <w:gridCol w:w="585"/>
        <w:gridCol w:w="551"/>
        <w:gridCol w:w="690"/>
        <w:gridCol w:w="1335"/>
        <w:gridCol w:w="374"/>
        <w:gridCol w:w="1067"/>
        <w:gridCol w:w="320"/>
        <w:gridCol w:w="1175"/>
        <w:gridCol w:w="580"/>
        <w:gridCol w:w="374"/>
        <w:gridCol w:w="1649"/>
        <w:gridCol w:w="10"/>
        <w:gridCol w:w="1066"/>
        <w:gridCol w:w="359"/>
        <w:gridCol w:w="287"/>
        <w:gridCol w:w="767"/>
        <w:gridCol w:w="515"/>
        <w:gridCol w:w="484"/>
        <w:gridCol w:w="217"/>
        <w:gridCol w:w="622"/>
        <w:gridCol w:w="308"/>
        <w:gridCol w:w="293"/>
        <w:gridCol w:w="1242"/>
      </w:tblGrid>
      <w:tr w:rsidR="00BD776B" w14:paraId="1D12DCD6" w14:textId="77777777">
        <w:trPr>
          <w:trHeight w:val="430"/>
        </w:trPr>
        <w:tc>
          <w:tcPr>
            <w:tcW w:w="10135"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875FC" w14:textId="77777777" w:rsidR="00BD776B" w:rsidRDefault="00DF0C24">
            <w:pPr>
              <w:pStyle w:val="ab"/>
              <w:spacing w:line="400" w:lineRule="exact"/>
            </w:pPr>
            <w:r>
              <w:rPr>
                <w:rFonts w:ascii="標楷體" w:eastAsia="標楷體" w:hAnsi="標楷體"/>
                <w:sz w:val="28"/>
                <w:szCs w:val="28"/>
              </w:rPr>
              <w:t>附表二十九之二全民健康保險新生血管抑制劑(Anti-angiogenic agents)</w:t>
            </w:r>
          </w:p>
          <w:p w14:paraId="1B6332C5" w14:textId="77777777" w:rsidR="00BD776B" w:rsidRDefault="00DF0C24">
            <w:pPr>
              <w:pStyle w:val="ab"/>
              <w:spacing w:line="400" w:lineRule="exact"/>
            </w:pPr>
            <w:r>
              <w:rPr>
                <w:rFonts w:ascii="標楷體" w:eastAsia="標楷體" w:hAnsi="標楷體"/>
                <w:sz w:val="28"/>
                <w:szCs w:val="28"/>
              </w:rPr>
              <w:t>事前審查申請表(wAMD、PCV)</w:t>
            </w:r>
          </w:p>
        </w:tc>
        <w:tc>
          <w:tcPr>
            <w:tcW w:w="156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9F6A89" w14:textId="77777777" w:rsidR="00BD776B" w:rsidRDefault="00DF0C24">
            <w:pPr>
              <w:pStyle w:val="ab"/>
              <w:ind w:firstLine="22"/>
            </w:pPr>
            <w:r>
              <w:rPr>
                <w:rFonts w:ascii="標楷體" w:eastAsia="標楷體" w:hAnsi="標楷體"/>
                <w:color w:val="000000"/>
              </w:rPr>
              <w:t xml:space="preserve"> □送核</w:t>
            </w:r>
          </w:p>
          <w:p w14:paraId="49C6E1BC" w14:textId="77777777" w:rsidR="00BD776B" w:rsidRDefault="00DF0C24">
            <w:pPr>
              <w:pStyle w:val="ab"/>
              <w:ind w:left="108" w:hanging="74"/>
            </w:pPr>
            <w:r>
              <w:rPr>
                <w:rFonts w:ascii="標楷體" w:eastAsia="標楷體" w:hAnsi="標楷體"/>
                <w:color w:val="000000"/>
              </w:rPr>
              <w:t xml:space="preserve"> □申覆</w:t>
            </w:r>
          </w:p>
        </w:tc>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CECC93" w14:textId="77777777" w:rsidR="00BD776B" w:rsidRDefault="00DF0C24">
            <w:pPr>
              <w:pStyle w:val="ab"/>
              <w:jc w:val="center"/>
              <w:rPr>
                <w:rFonts w:ascii="標楷體" w:eastAsia="標楷體" w:hAnsi="標楷體"/>
              </w:rPr>
            </w:pPr>
            <w:r>
              <w:rPr>
                <w:rFonts w:ascii="標楷體" w:eastAsia="標楷體" w:hAnsi="標楷體"/>
              </w:rPr>
              <w:t>受理</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8B1718" w14:textId="77777777" w:rsidR="00BD776B" w:rsidRDefault="00DF0C24">
            <w:pPr>
              <w:pStyle w:val="ab"/>
              <w:rPr>
                <w:rFonts w:ascii="標楷體" w:eastAsia="標楷體" w:hAnsi="標楷體"/>
              </w:rPr>
            </w:pPr>
            <w:r>
              <w:rPr>
                <w:rFonts w:ascii="標楷體" w:eastAsia="標楷體" w:hAnsi="標楷體"/>
              </w:rPr>
              <w:t>日期</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01B894" w14:textId="77777777" w:rsidR="00BD776B" w:rsidRDefault="00BD776B">
            <w:pPr>
              <w:pStyle w:val="ab"/>
              <w:rPr>
                <w:rFonts w:ascii="標楷體" w:eastAsia="標楷體" w:hAnsi="標楷體"/>
              </w:rPr>
            </w:pPr>
          </w:p>
        </w:tc>
      </w:tr>
      <w:tr w:rsidR="00BD776B" w14:paraId="3DE008AB" w14:textId="77777777">
        <w:trPr>
          <w:trHeight w:val="269"/>
        </w:trPr>
        <w:tc>
          <w:tcPr>
            <w:tcW w:w="10135"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AEB3C3" w14:textId="77777777" w:rsidR="00BD776B" w:rsidRDefault="00BD776B">
            <w:pPr>
              <w:widowControl/>
            </w:pPr>
          </w:p>
        </w:tc>
        <w:tc>
          <w:tcPr>
            <w:tcW w:w="1569"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333E9F" w14:textId="77777777" w:rsidR="00BD776B" w:rsidRDefault="00BD776B">
            <w:pPr>
              <w:widowControl/>
            </w:pPr>
          </w:p>
        </w:tc>
        <w:tc>
          <w:tcPr>
            <w:tcW w:w="4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F61A20" w14:textId="77777777" w:rsidR="00BD776B" w:rsidRDefault="00BD776B">
            <w:pPr>
              <w:widowControl/>
            </w:pP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551896" w14:textId="77777777" w:rsidR="00BD776B" w:rsidRDefault="00DF0C24">
            <w:pPr>
              <w:pStyle w:val="ab"/>
              <w:rPr>
                <w:rFonts w:ascii="標楷體" w:eastAsia="標楷體" w:hAnsi="標楷體"/>
              </w:rPr>
            </w:pPr>
            <w:r>
              <w:rPr>
                <w:rFonts w:ascii="標楷體" w:eastAsia="標楷體" w:hAnsi="標楷體"/>
              </w:rPr>
              <w:t>編號</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9D1FF7" w14:textId="77777777" w:rsidR="00BD776B" w:rsidRDefault="00BD776B">
            <w:pPr>
              <w:pStyle w:val="ab"/>
              <w:rPr>
                <w:rFonts w:ascii="標楷體" w:eastAsia="標楷體" w:hAnsi="標楷體"/>
              </w:rPr>
            </w:pPr>
          </w:p>
        </w:tc>
      </w:tr>
      <w:tr w:rsidR="00BD776B" w14:paraId="0FDACA85" w14:textId="77777777">
        <w:trPr>
          <w:trHeight w:val="231"/>
        </w:trPr>
        <w:tc>
          <w:tcPr>
            <w:tcW w:w="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B95BF7" w14:textId="77777777" w:rsidR="00BD776B" w:rsidRDefault="00DF0C24">
            <w:pPr>
              <w:pStyle w:val="ab"/>
            </w:pPr>
            <w:r>
              <w:rPr>
                <w:noProof/>
              </w:rPr>
              <mc:AlternateContent>
                <mc:Choice Requires="wps">
                  <w:drawing>
                    <wp:anchor distT="0" distB="0" distL="114300" distR="114300" simplePos="0" relativeHeight="251662336" behindDoc="0" locked="0" layoutInCell="1" allowOverlap="1" wp14:anchorId="5317C46B" wp14:editId="51D717C2">
                      <wp:simplePos x="0" y="0"/>
                      <wp:positionH relativeFrom="column">
                        <wp:posOffset>-7616</wp:posOffset>
                      </wp:positionH>
                      <wp:positionV relativeFrom="paragraph">
                        <wp:posOffset>191767</wp:posOffset>
                      </wp:positionV>
                      <wp:extent cx="0" cy="27304"/>
                      <wp:effectExtent l="0" t="0" r="38100" b="29846"/>
                      <wp:wrapNone/>
                      <wp:docPr id="31" name="直線單箭頭接點 24"/>
                      <wp:cNvGraphicFramePr/>
                      <a:graphic xmlns:a="http://schemas.openxmlformats.org/drawingml/2006/main">
                        <a:graphicData uri="http://schemas.microsoft.com/office/word/2010/wordprocessingShape">
                          <wps:wsp>
                            <wps:cNvCnPr/>
                            <wps:spPr>
                              <a:xfrm>
                                <a:off x="0" y="0"/>
                                <a:ext cx="0" cy="27304"/>
                              </a:xfrm>
                              <a:prstGeom prst="straightConnector1">
                                <a:avLst/>
                              </a:prstGeom>
                              <a:noFill/>
                              <a:ln w="9363" cap="flat">
                                <a:solidFill>
                                  <a:srgbClr val="000000"/>
                                </a:solidFill>
                                <a:prstDash val="solid"/>
                                <a:round/>
                              </a:ln>
                            </wps:spPr>
                            <wps:bodyPr/>
                          </wps:wsp>
                        </a:graphicData>
                      </a:graphic>
                    </wp:anchor>
                  </w:drawing>
                </mc:Choice>
                <mc:Fallback>
                  <w:pict>
                    <v:shape w14:anchorId="1ABC10A5" id="直線單箭頭接點 24" o:spid="_x0000_s1026" type="#_x0000_t32" style="position:absolute;margin-left:-.6pt;margin-top:15.1pt;width:0;height:2.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" strokeweight=".26008mm"/>
                  </w:pict>
                </mc:Fallback>
              </mc:AlternateContent>
            </w:r>
            <w:r>
              <w:rPr>
                <w:rFonts w:ascii="標楷體" w:eastAsia="標楷體" w:hAnsi="標楷體"/>
              </w:rPr>
              <w:t>醫</w:t>
            </w:r>
          </w:p>
          <w:p w14:paraId="2009F663" w14:textId="77777777" w:rsidR="00BD776B" w:rsidRDefault="00DF0C24">
            <w:pPr>
              <w:pStyle w:val="ab"/>
              <w:rPr>
                <w:rFonts w:ascii="標楷體" w:eastAsia="標楷體" w:hAnsi="標楷體"/>
              </w:rPr>
            </w:pPr>
            <w:r>
              <w:rPr>
                <w:rFonts w:ascii="標楷體" w:eastAsia="標楷體" w:hAnsi="標楷體"/>
              </w:rPr>
              <w:t>療</w:t>
            </w:r>
          </w:p>
          <w:p w14:paraId="393DFDC5" w14:textId="77777777" w:rsidR="00BD776B" w:rsidRDefault="00DF0C24">
            <w:pPr>
              <w:pStyle w:val="ab"/>
              <w:rPr>
                <w:rFonts w:ascii="標楷體" w:eastAsia="標楷體" w:hAnsi="標楷體"/>
              </w:rPr>
            </w:pPr>
            <w:r>
              <w:rPr>
                <w:rFonts w:ascii="標楷體" w:eastAsia="標楷體" w:hAnsi="標楷體"/>
              </w:rPr>
              <w:t>機</w:t>
            </w:r>
          </w:p>
          <w:p w14:paraId="1A3D4530" w14:textId="77777777" w:rsidR="00BD776B" w:rsidRDefault="00DF0C24">
            <w:pPr>
              <w:pStyle w:val="ab"/>
            </w:pPr>
            <w:r>
              <w:rPr>
                <w:rFonts w:ascii="標楷體" w:eastAsia="標楷體" w:hAnsi="標楷體"/>
                <w:color w:val="000000"/>
              </w:rPr>
              <w:t>構</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93F504" w14:textId="77777777" w:rsidR="00BD776B" w:rsidRDefault="00DF0C24">
            <w:pPr>
              <w:pStyle w:val="ab"/>
            </w:pPr>
            <w:r>
              <w:rPr>
                <w:rFonts w:ascii="標楷體" w:eastAsia="標楷體" w:hAnsi="標楷體"/>
                <w:color w:val="000000"/>
              </w:rPr>
              <w:t>名稱</w:t>
            </w:r>
          </w:p>
        </w:tc>
        <w:tc>
          <w:tcPr>
            <w:tcW w:w="20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2B653C" w14:textId="77777777" w:rsidR="00BD776B" w:rsidRDefault="00BD776B">
            <w:pPr>
              <w:pStyle w:val="ab"/>
            </w:pPr>
          </w:p>
        </w:tc>
        <w:tc>
          <w:tcPr>
            <w:tcW w:w="3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D76CEA" w14:textId="77777777" w:rsidR="00BD776B" w:rsidRDefault="00DF0C24">
            <w:pPr>
              <w:pStyle w:val="ab"/>
            </w:pPr>
            <w:r>
              <w:rPr>
                <w:rFonts w:ascii="標楷體" w:eastAsia="標楷體" w:hAnsi="標楷體"/>
                <w:color w:val="000000"/>
              </w:rPr>
              <w:t>保</w:t>
            </w:r>
          </w:p>
          <w:p w14:paraId="187A16BD" w14:textId="77777777" w:rsidR="00BD776B" w:rsidRDefault="00DF0C24">
            <w:pPr>
              <w:pStyle w:val="ab"/>
            </w:pPr>
            <w:r>
              <w:rPr>
                <w:rFonts w:ascii="標楷體" w:eastAsia="標楷體" w:hAnsi="標楷體"/>
                <w:color w:val="000000"/>
              </w:rPr>
              <w:t>險</w:t>
            </w:r>
          </w:p>
          <w:p w14:paraId="1EC72050" w14:textId="77777777" w:rsidR="00BD776B" w:rsidRDefault="00DF0C24">
            <w:pPr>
              <w:pStyle w:val="ab"/>
            </w:pPr>
            <w:r>
              <w:rPr>
                <w:rFonts w:ascii="標楷體" w:eastAsia="標楷體" w:hAnsi="標楷體"/>
                <w:color w:val="000000"/>
              </w:rPr>
              <w:t>對</w:t>
            </w:r>
          </w:p>
          <w:p w14:paraId="582F53C2" w14:textId="77777777" w:rsidR="00BD776B" w:rsidRDefault="00DF0C24">
            <w:pPr>
              <w:pStyle w:val="ab"/>
            </w:pPr>
            <w:r>
              <w:rPr>
                <w:rFonts w:ascii="標楷體" w:eastAsia="標楷體" w:hAnsi="標楷體"/>
                <w:color w:val="000000"/>
              </w:rPr>
              <w:t>象</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AD2A3F" w14:textId="77777777" w:rsidR="00BD776B" w:rsidRDefault="00DF0C24">
            <w:pPr>
              <w:pStyle w:val="ab"/>
            </w:pPr>
            <w:r>
              <w:rPr>
                <w:rFonts w:ascii="標楷體" w:eastAsia="標楷體" w:hAnsi="標楷體"/>
                <w:color w:val="000000"/>
              </w:rPr>
              <w:t>姓名</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3A7486" w14:textId="77777777" w:rsidR="00BD776B" w:rsidRDefault="00BD776B">
            <w:pPr>
              <w:pStyle w:val="ab"/>
              <w:rPr>
                <w:rFonts w:ascii="標楷體" w:eastAsia="標楷體" w:hAnsi="標楷體"/>
              </w:rPr>
            </w:pP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951703" w14:textId="77777777" w:rsidR="00BD776B" w:rsidRDefault="00DF0C24">
            <w:pPr>
              <w:pStyle w:val="ab"/>
            </w:pPr>
            <w:r>
              <w:rPr>
                <w:rFonts w:ascii="標楷體" w:eastAsia="標楷體" w:hAnsi="標楷體"/>
                <w:color w:val="000000"/>
              </w:rPr>
              <w:t>出生</w:t>
            </w:r>
          </w:p>
          <w:p w14:paraId="0BA0C23B" w14:textId="77777777" w:rsidR="00BD776B" w:rsidRDefault="00DF0C24">
            <w:pPr>
              <w:pStyle w:val="ab"/>
            </w:pPr>
            <w:r>
              <w:rPr>
                <w:rFonts w:ascii="標楷體" w:eastAsia="標楷體" w:hAnsi="標楷體"/>
                <w:color w:val="000000"/>
              </w:rPr>
              <w:t>日期</w:t>
            </w:r>
          </w:p>
        </w:tc>
        <w:tc>
          <w:tcPr>
            <w:tcW w:w="2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4819E4" w14:textId="77777777" w:rsidR="00BD776B" w:rsidRDefault="00DF0C24">
            <w:pPr>
              <w:pStyle w:val="ab"/>
              <w:rPr>
                <w:rFonts w:ascii="標楷體" w:eastAsia="標楷體" w:hAnsi="標楷體"/>
              </w:rPr>
            </w:pPr>
            <w:r>
              <w:rPr>
                <w:rFonts w:ascii="標楷體" w:eastAsia="標楷體" w:hAnsi="標楷體"/>
              </w:rPr>
              <w:t xml:space="preserve">   年   月   日</w:t>
            </w: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160C1B" w14:textId="77777777" w:rsidR="00BD776B" w:rsidRDefault="00DF0C24">
            <w:pPr>
              <w:pStyle w:val="ab"/>
            </w:pPr>
            <w:r>
              <w:rPr>
                <w:rFonts w:ascii="標楷體" w:eastAsia="標楷體" w:hAnsi="標楷體"/>
                <w:color w:val="000000"/>
              </w:rPr>
              <w:t>原受理編號</w:t>
            </w:r>
          </w:p>
        </w:tc>
        <w:tc>
          <w:tcPr>
            <w:tcW w:w="14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DB3E34" w14:textId="77777777" w:rsidR="00BD776B" w:rsidRDefault="00BD776B">
            <w:pPr>
              <w:pStyle w:val="ab"/>
              <w:rPr>
                <w:rFonts w:ascii="標楷體" w:eastAsia="標楷體" w:hAnsi="標楷體"/>
              </w:rPr>
            </w:pPr>
          </w:p>
        </w:tc>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EE14ED" w14:textId="77777777" w:rsidR="00BD776B" w:rsidRDefault="00DF0C24">
            <w:pPr>
              <w:pStyle w:val="ab"/>
            </w:pPr>
            <w:r>
              <w:rPr>
                <w:rFonts w:ascii="標楷體" w:eastAsia="標楷體" w:hAnsi="標楷體"/>
                <w:color w:val="000000"/>
              </w:rPr>
              <w:t>預定實施日期</w:t>
            </w:r>
          </w:p>
        </w:tc>
        <w:tc>
          <w:tcPr>
            <w:tcW w:w="246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A59F3C" w14:textId="77777777" w:rsidR="00BD776B" w:rsidRDefault="00DF0C24">
            <w:pPr>
              <w:pStyle w:val="ab"/>
              <w:rPr>
                <w:rFonts w:ascii="標楷體" w:eastAsia="標楷體" w:hAnsi="標楷體"/>
              </w:rPr>
            </w:pPr>
            <w:r>
              <w:rPr>
                <w:rFonts w:ascii="標楷體" w:eastAsia="標楷體" w:hAnsi="標楷體"/>
              </w:rPr>
              <w:t xml:space="preserve">     年    月    日</w:t>
            </w:r>
          </w:p>
        </w:tc>
      </w:tr>
      <w:tr w:rsidR="00BD776B" w14:paraId="23D3615C" w14:textId="77777777">
        <w:trPr>
          <w:trHeight w:val="381"/>
        </w:trPr>
        <w:tc>
          <w:tcPr>
            <w:tcW w:w="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97FE65" w14:textId="77777777" w:rsidR="00BD776B" w:rsidRDefault="00BD776B">
            <w:pPr>
              <w:widowControl/>
            </w:pP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75DBA" w14:textId="77777777" w:rsidR="00BD776B" w:rsidRDefault="00DF0C24">
            <w:pPr>
              <w:pStyle w:val="ab"/>
            </w:pPr>
            <w:r>
              <w:rPr>
                <w:rFonts w:ascii="標楷體" w:eastAsia="標楷體" w:hAnsi="標楷體"/>
                <w:color w:val="000000"/>
              </w:rPr>
              <w:t>代號</w:t>
            </w:r>
          </w:p>
        </w:tc>
        <w:tc>
          <w:tcPr>
            <w:tcW w:w="20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A39E23" w14:textId="77777777" w:rsidR="00BD776B" w:rsidRDefault="00BD776B">
            <w:pPr>
              <w:pStyle w:val="ab"/>
              <w:rPr>
                <w:rFonts w:ascii="標楷體" w:eastAsia="標楷體" w:hAnsi="標楷體"/>
              </w:rPr>
            </w:pPr>
          </w:p>
        </w:tc>
        <w:tc>
          <w:tcPr>
            <w:tcW w:w="3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F6580B" w14:textId="77777777" w:rsidR="00BD776B" w:rsidRDefault="00BD776B">
            <w:pPr>
              <w:widowControl/>
            </w:pP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9C61BB" w14:textId="77777777" w:rsidR="00BD776B" w:rsidRDefault="00DF0C24">
            <w:pPr>
              <w:pStyle w:val="ab"/>
            </w:pPr>
            <w:r>
              <w:rPr>
                <w:rFonts w:ascii="標楷體" w:eastAsia="標楷體" w:hAnsi="標楷體"/>
                <w:color w:val="000000"/>
              </w:rPr>
              <w:t>身分證</w:t>
            </w:r>
          </w:p>
          <w:p w14:paraId="485E2491" w14:textId="77777777" w:rsidR="00BD776B" w:rsidRDefault="00DF0C24">
            <w:pPr>
              <w:pStyle w:val="ab"/>
            </w:pPr>
            <w:r>
              <w:rPr>
                <w:rFonts w:ascii="標楷體" w:eastAsia="標楷體" w:hAnsi="標楷體"/>
                <w:color w:val="000000"/>
              </w:rPr>
              <w:t>統一編號</w:t>
            </w:r>
          </w:p>
        </w:tc>
        <w:tc>
          <w:tcPr>
            <w:tcW w:w="20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AD9C26" w14:textId="77777777" w:rsidR="00BD776B" w:rsidRDefault="00BD776B">
            <w:pPr>
              <w:pStyle w:val="ab"/>
              <w:rPr>
                <w:rFonts w:ascii="標楷體" w:eastAsia="標楷體" w:hAnsi="標楷體"/>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4C56F7" w14:textId="77777777" w:rsidR="00BD776B" w:rsidRDefault="00DF0C24">
            <w:pPr>
              <w:pStyle w:val="ab"/>
            </w:pPr>
            <w:r>
              <w:rPr>
                <w:rFonts w:ascii="標楷體" w:eastAsia="標楷體" w:hAnsi="標楷體"/>
                <w:color w:val="000000"/>
              </w:rPr>
              <w:t>科</w:t>
            </w:r>
          </w:p>
          <w:p w14:paraId="1CB1108F" w14:textId="77777777" w:rsidR="00BD776B" w:rsidRDefault="00DF0C24">
            <w:pPr>
              <w:pStyle w:val="ab"/>
            </w:pPr>
            <w:r>
              <w:rPr>
                <w:rFonts w:ascii="標楷體" w:eastAsia="標楷體" w:hAnsi="標楷體"/>
                <w:color w:val="000000"/>
              </w:rPr>
              <w:t>別</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D4F4B9" w14:textId="77777777" w:rsidR="00BD776B" w:rsidRDefault="00BD776B">
            <w:pPr>
              <w:pStyle w:val="ab"/>
              <w:rPr>
                <w:rFonts w:ascii="標楷體" w:eastAsia="標楷體" w:hAnsi="標楷體"/>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BD2E94" w14:textId="77777777" w:rsidR="00BD776B" w:rsidRDefault="00DF0C24">
            <w:pPr>
              <w:pStyle w:val="ab"/>
              <w:rPr>
                <w:rFonts w:ascii="標楷體" w:eastAsia="標楷體" w:hAnsi="標楷體"/>
              </w:rPr>
            </w:pPr>
            <w:r>
              <w:rPr>
                <w:rFonts w:ascii="標楷體" w:eastAsia="標楷體" w:hAnsi="標楷體"/>
              </w:rPr>
              <w:t xml:space="preserve">□ 門診  </w:t>
            </w:r>
          </w:p>
          <w:p w14:paraId="6FB0C7A4" w14:textId="77777777" w:rsidR="00BD776B" w:rsidRDefault="00DF0C24">
            <w:pPr>
              <w:pStyle w:val="ab"/>
            </w:pPr>
            <w:r>
              <w:rPr>
                <w:rFonts w:ascii="標楷體" w:eastAsia="標楷體" w:hAnsi="標楷體"/>
                <w:color w:val="000000"/>
              </w:rPr>
              <w:t>□ 住院</w:t>
            </w:r>
          </w:p>
        </w:tc>
        <w:tc>
          <w:tcPr>
            <w:tcW w:w="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E7E3A6" w14:textId="77777777" w:rsidR="00BD776B" w:rsidRDefault="00DF0C24">
            <w:pPr>
              <w:pStyle w:val="ab"/>
            </w:pPr>
            <w:r>
              <w:rPr>
                <w:rFonts w:ascii="標楷體" w:eastAsia="標楷體" w:hAnsi="標楷體"/>
                <w:color w:val="000000"/>
              </w:rPr>
              <w:t>病歷號碼</w:t>
            </w:r>
          </w:p>
        </w:tc>
        <w:tc>
          <w:tcPr>
            <w:tcW w:w="12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1547EC" w14:textId="77777777" w:rsidR="00BD776B" w:rsidRDefault="00BD776B">
            <w:pPr>
              <w:pStyle w:val="ab"/>
              <w:rPr>
                <w:rFonts w:ascii="標楷體" w:eastAsia="標楷體" w:hAnsi="標楷體"/>
              </w:rPr>
            </w:pPr>
          </w:p>
        </w:tc>
        <w:tc>
          <w:tcPr>
            <w:tcW w:w="163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7502DF" w14:textId="77777777" w:rsidR="00BD776B" w:rsidRDefault="00DF0C24">
            <w:pPr>
              <w:pStyle w:val="ab"/>
              <w:rPr>
                <w:rFonts w:ascii="標楷體" w:eastAsia="標楷體" w:hAnsi="標楷體"/>
              </w:rPr>
            </w:pPr>
            <w:r>
              <w:rPr>
                <w:rFonts w:ascii="標楷體" w:eastAsia="標楷體" w:hAnsi="標楷體"/>
              </w:rPr>
              <w:t>申請醫師姓名</w:t>
            </w:r>
          </w:p>
          <w:p w14:paraId="6CFC128E" w14:textId="77777777" w:rsidR="00BD776B" w:rsidRDefault="00DF0C24">
            <w:pPr>
              <w:pStyle w:val="ab"/>
            </w:pPr>
            <w:r>
              <w:rPr>
                <w:rFonts w:ascii="標楷體" w:eastAsia="標楷體" w:hAnsi="標楷體"/>
                <w:color w:val="000000"/>
              </w:rPr>
              <w:t>身分證號</w:t>
            </w:r>
          </w:p>
        </w:tc>
        <w:tc>
          <w:tcPr>
            <w:tcW w:w="15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60C0DB" w14:textId="77777777" w:rsidR="00BD776B" w:rsidRDefault="00BD776B">
            <w:pPr>
              <w:pStyle w:val="ab"/>
              <w:rPr>
                <w:rFonts w:ascii="標楷體" w:eastAsia="標楷體" w:hAnsi="標楷體"/>
              </w:rPr>
            </w:pPr>
          </w:p>
        </w:tc>
      </w:tr>
      <w:tr w:rsidR="00BD776B" w14:paraId="390B8EBC" w14:textId="77777777">
        <w:trPr>
          <w:trHeight w:val="684"/>
        </w:trPr>
        <w:tc>
          <w:tcPr>
            <w:tcW w:w="1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4ACB0D" w14:textId="77777777" w:rsidR="00BD776B" w:rsidRDefault="00DF0C24">
            <w:pPr>
              <w:pStyle w:val="ab"/>
              <w:rPr>
                <w:rFonts w:ascii="標楷體" w:eastAsia="標楷體" w:hAnsi="標楷體"/>
              </w:rPr>
            </w:pPr>
            <w:r>
              <w:rPr>
                <w:rFonts w:ascii="標楷體" w:eastAsia="標楷體" w:hAnsi="標楷體"/>
              </w:rPr>
              <w:t>ICD-10-CM代碼</w:t>
            </w:r>
          </w:p>
        </w:tc>
        <w:tc>
          <w:tcPr>
            <w:tcW w:w="688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5CC09C" w14:textId="77777777" w:rsidR="00BD776B" w:rsidRDefault="00DF0C24">
            <w:pPr>
              <w:pStyle w:val="ab"/>
            </w:pPr>
            <w:r>
              <w:rPr>
                <w:rFonts w:ascii="標楷體" w:eastAsia="標楷體" w:hAnsi="標楷體"/>
                <w:color w:val="000000"/>
              </w:rPr>
              <w:t>□wAMD:__________________</w:t>
            </w:r>
            <w:r>
              <w:rPr>
                <w:rFonts w:ascii="標楷體" w:eastAsia="標楷體" w:hAnsi="標楷體"/>
                <w:color w:val="000000"/>
                <w:sz w:val="18"/>
              </w:rPr>
              <w:t xml:space="preserve">　　　 </w:t>
            </w:r>
            <w:r>
              <w:rPr>
                <w:rFonts w:ascii="標楷體" w:eastAsia="標楷體" w:hAnsi="標楷體"/>
              </w:rPr>
              <w:t>□</w:t>
            </w:r>
            <w:r>
              <w:rPr>
                <w:rFonts w:ascii="標楷體" w:eastAsia="標楷體" w:hAnsi="標楷體"/>
                <w:color w:val="000000"/>
              </w:rPr>
              <w:t>PCV:</w:t>
            </w:r>
            <w:r>
              <w:rPr>
                <w:rFonts w:ascii="標楷體" w:eastAsia="標楷體" w:hAnsi="標楷體"/>
                <w:color w:val="000000"/>
                <w:sz w:val="18"/>
              </w:rPr>
              <w:t>___________________</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56097F" w14:textId="77777777" w:rsidR="00BD776B" w:rsidRDefault="00DF0C24">
            <w:pPr>
              <w:pStyle w:val="ab"/>
            </w:pPr>
            <w:r>
              <w:rPr>
                <w:rFonts w:ascii="標楷體" w:eastAsia="標楷體" w:hAnsi="標楷體"/>
                <w:color w:val="000000"/>
              </w:rPr>
              <w:t>使用日期</w:t>
            </w:r>
          </w:p>
        </w:tc>
        <w:tc>
          <w:tcPr>
            <w:tcW w:w="509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72B79" w14:textId="77777777" w:rsidR="00BD776B" w:rsidRDefault="00DF0C24">
            <w:pPr>
              <w:pStyle w:val="ab"/>
            </w:pPr>
            <w:r>
              <w:rPr>
                <w:rFonts w:ascii="標楷體" w:eastAsia="標楷體" w:hAnsi="標楷體"/>
                <w:color w:val="000000"/>
              </w:rPr>
              <w:t xml:space="preserve">     年    月    日至   年   月    日</w:t>
            </w:r>
          </w:p>
        </w:tc>
      </w:tr>
      <w:tr w:rsidR="00BD776B" w14:paraId="3FAA0D4D" w14:textId="77777777">
        <w:trPr>
          <w:trHeight w:val="300"/>
        </w:trPr>
        <w:tc>
          <w:tcPr>
            <w:tcW w:w="1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6F8A9B" w14:textId="77777777" w:rsidR="00BD776B" w:rsidRDefault="00DF0C24">
            <w:pPr>
              <w:pStyle w:val="ab"/>
            </w:pPr>
            <w:r>
              <w:rPr>
                <w:rFonts w:ascii="標楷體" w:eastAsia="標楷體" w:hAnsi="標楷體"/>
                <w:color w:val="000000"/>
              </w:rPr>
              <w:t>藥品名稱及代碼</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251AA6" w14:textId="77777777" w:rsidR="00BD776B" w:rsidRDefault="00DF0C24">
            <w:pPr>
              <w:pStyle w:val="ab"/>
            </w:pPr>
            <w:r>
              <w:rPr>
                <w:rFonts w:ascii="標楷體" w:eastAsia="標楷體" w:hAnsi="標楷體"/>
                <w:color w:val="000000"/>
              </w:rPr>
              <w:t>申請適應症、類別及數量</w:t>
            </w:r>
          </w:p>
        </w:tc>
        <w:tc>
          <w:tcPr>
            <w:tcW w:w="37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7C30F1" w14:textId="77777777" w:rsidR="00BD776B" w:rsidRDefault="00DF0C24">
            <w:pPr>
              <w:pStyle w:val="ab"/>
            </w:pPr>
            <w:r>
              <w:rPr>
                <w:rFonts w:ascii="標楷體" w:eastAsia="標楷體" w:hAnsi="標楷體"/>
                <w:color w:val="000000"/>
              </w:rPr>
              <w:t>檢附資料</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6E50D7" w14:textId="77777777" w:rsidR="00BD776B" w:rsidRDefault="00DF0C24">
            <w:pPr>
              <w:pStyle w:val="ab"/>
            </w:pPr>
            <w:r>
              <w:rPr>
                <w:rFonts w:ascii="標楷體" w:eastAsia="標楷體" w:hAnsi="標楷體"/>
                <w:color w:val="000000"/>
              </w:rPr>
              <w:t>用法用量</w:t>
            </w:r>
          </w:p>
        </w:tc>
        <w:tc>
          <w:tcPr>
            <w:tcW w:w="509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1FFFEE" w14:textId="77777777" w:rsidR="00BD776B" w:rsidRDefault="00DF0C24">
            <w:pPr>
              <w:pStyle w:val="ab"/>
            </w:pPr>
            <w:r>
              <w:rPr>
                <w:rFonts w:ascii="標楷體" w:eastAsia="標楷體" w:hAnsi="標楷體"/>
                <w:color w:val="000000"/>
              </w:rPr>
              <w:t>健 保 署 核 定 欄</w:t>
            </w:r>
          </w:p>
        </w:tc>
      </w:tr>
      <w:tr w:rsidR="00BD776B" w14:paraId="264CB776" w14:textId="77777777">
        <w:trPr>
          <w:trHeight w:val="2684"/>
        </w:trPr>
        <w:tc>
          <w:tcPr>
            <w:tcW w:w="1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CD1384" w14:textId="77777777" w:rsidR="00BD776B" w:rsidRDefault="00DF0C24">
            <w:pPr>
              <w:pStyle w:val="ab"/>
              <w:rPr>
                <w:rFonts w:ascii="標楷體" w:eastAsia="標楷體" w:hAnsi="標楷體"/>
              </w:rPr>
            </w:pPr>
            <w:r>
              <w:rPr>
                <w:rFonts w:ascii="標楷體" w:eastAsia="標楷體" w:hAnsi="標楷體"/>
              </w:rPr>
              <w:t>□ranibizumab</w:t>
            </w:r>
          </w:p>
          <w:p w14:paraId="4B72B945" w14:textId="77777777" w:rsidR="00BD776B" w:rsidRDefault="00BD776B">
            <w:pPr>
              <w:pStyle w:val="ab"/>
              <w:rPr>
                <w:rFonts w:ascii="標楷體" w:eastAsia="標楷體" w:hAnsi="標楷體"/>
              </w:rPr>
            </w:pPr>
          </w:p>
          <w:p w14:paraId="0B3A71E6" w14:textId="77777777" w:rsidR="00BD776B" w:rsidRDefault="00BD776B">
            <w:pPr>
              <w:pStyle w:val="ab"/>
              <w:rPr>
                <w:rFonts w:ascii="標楷體" w:eastAsia="標楷體" w:hAnsi="標楷體"/>
              </w:rPr>
            </w:pPr>
          </w:p>
          <w:p w14:paraId="5C303242" w14:textId="77777777" w:rsidR="00BD776B" w:rsidRDefault="00DF0C24">
            <w:pPr>
              <w:pStyle w:val="ab"/>
            </w:pPr>
            <w:r>
              <w:rPr>
                <w:rFonts w:ascii="標楷體" w:eastAsia="標楷體" w:hAnsi="標楷體"/>
              </w:rPr>
              <w:t>□</w:t>
            </w:r>
            <w:r>
              <w:rPr>
                <w:rFonts w:ascii="標楷體" w:eastAsia="標楷體" w:hAnsi="標楷體"/>
                <w:color w:val="000000"/>
              </w:rPr>
              <w:t>aflibercept</w:t>
            </w:r>
          </w:p>
          <w:p w14:paraId="40050689" w14:textId="77777777" w:rsidR="00BD776B" w:rsidRDefault="00BD776B">
            <w:pPr>
              <w:pStyle w:val="ab"/>
              <w:rPr>
                <w:rFonts w:ascii="標楷體" w:eastAsia="標楷體" w:hAnsi="標楷體"/>
              </w:rPr>
            </w:pPr>
          </w:p>
          <w:p w14:paraId="1BD89994" w14:textId="77777777" w:rsidR="00BD776B" w:rsidRDefault="00BD776B">
            <w:pPr>
              <w:pStyle w:val="ab"/>
              <w:rPr>
                <w:rFonts w:ascii="標楷體" w:eastAsia="標楷體" w:hAnsi="標楷體"/>
              </w:rPr>
            </w:pP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887424" w14:textId="77777777" w:rsidR="00BD776B" w:rsidRDefault="00DF0C24">
            <w:pPr>
              <w:pStyle w:val="ab"/>
              <w:spacing w:line="320" w:lineRule="exact"/>
              <w:ind w:left="221" w:hanging="221"/>
            </w:pPr>
            <w:r>
              <w:rPr>
                <w:rFonts w:ascii="標楷體" w:eastAsia="標楷體" w:hAnsi="標楷體"/>
                <w:color w:val="000000"/>
              </w:rPr>
              <w:t>□wAMD：ranibizumab及aflibercept擇一申請。第一次申請時以8支為限，第二次申請為3支，第三次申請3支，每眼給付以14支為限，須於第一次申請核准後5年內使用完畢</w:t>
            </w:r>
          </w:p>
          <w:p w14:paraId="10DC7DD2"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第一次申請(  支)</w:t>
            </w:r>
          </w:p>
          <w:p w14:paraId="75D3949D"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第__次申請(  支)</w:t>
            </w:r>
          </w:p>
          <w:p w14:paraId="50F93522"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第__次申請(  支)</w:t>
            </w:r>
          </w:p>
          <w:p w14:paraId="03783AFD"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第__次申請(  支)</w:t>
            </w:r>
          </w:p>
          <w:p w14:paraId="367BA306"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第__次申復(  支)</w:t>
            </w:r>
          </w:p>
          <w:p w14:paraId="4029EFFA" w14:textId="77777777" w:rsidR="00BD776B" w:rsidRDefault="00DF0C24">
            <w:pPr>
              <w:pStyle w:val="ab"/>
              <w:spacing w:line="320" w:lineRule="exact"/>
              <w:ind w:left="257" w:hanging="257"/>
            </w:pPr>
            <w:r>
              <w:rPr>
                <w:rFonts w:ascii="標楷體" w:eastAsia="標楷體" w:hAnsi="標楷體"/>
                <w:color w:val="000000"/>
              </w:rPr>
              <w:t>□PCV：限verteporfin、aflibercept及ranibizumab擇一申請。verteporfin每次申請給付1支，每眼上限為3支；</w:t>
            </w:r>
            <w:r>
              <w:rPr>
                <w:rFonts w:ascii="標楷體" w:eastAsia="標楷體" w:hAnsi="標楷體"/>
                <w:color w:val="000000"/>
              </w:rPr>
              <w:lastRenderedPageBreak/>
              <w:t>aflibercept及ranibizumab第一次申請時以8支為限，第二次申請為3支，第三次申請3支，每眼給付以14支為限</w:t>
            </w:r>
          </w:p>
          <w:p w14:paraId="23E818A6"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第一次申請(  支)</w:t>
            </w:r>
          </w:p>
          <w:p w14:paraId="1A064F14"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第__次申請(  支)</w:t>
            </w:r>
          </w:p>
          <w:p w14:paraId="7F1483A2"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第__次申請(  支)</w:t>
            </w:r>
          </w:p>
          <w:p w14:paraId="510AE818"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第__次申請(  支)</w:t>
            </w:r>
          </w:p>
          <w:p w14:paraId="2A76BF81" w14:textId="77777777" w:rsidR="00BD776B" w:rsidRDefault="00DF0C24" w:rsidP="008A7063">
            <w:pPr>
              <w:pStyle w:val="ab"/>
              <w:numPr>
                <w:ilvl w:val="0"/>
                <w:numId w:val="114"/>
              </w:numPr>
              <w:tabs>
                <w:tab w:val="left" w:pos="720"/>
                <w:tab w:val="left" w:pos="1123"/>
              </w:tabs>
              <w:spacing w:after="0" w:line="240" w:lineRule="exact"/>
              <w:ind w:left="1123" w:hanging="643"/>
            </w:pPr>
            <w:r>
              <w:rPr>
                <w:rFonts w:ascii="標楷體" w:eastAsia="標楷體" w:hAnsi="標楷體"/>
                <w:color w:val="000000"/>
              </w:rPr>
              <w:t>第__次申復(  支)</w:t>
            </w:r>
          </w:p>
        </w:tc>
        <w:tc>
          <w:tcPr>
            <w:tcW w:w="37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9D8916" w14:textId="77777777" w:rsidR="00BD776B" w:rsidRDefault="00DF0C24">
            <w:pPr>
              <w:pStyle w:val="11"/>
              <w:ind w:left="660" w:hanging="300"/>
              <w:rPr>
                <w:sz w:val="24"/>
                <w:szCs w:val="24"/>
              </w:rPr>
            </w:pPr>
            <w:r>
              <w:rPr>
                <w:sz w:val="24"/>
                <w:szCs w:val="24"/>
              </w:rPr>
              <w:lastRenderedPageBreak/>
              <w:t>□</w:t>
            </w:r>
            <w:r>
              <w:rPr>
                <w:sz w:val="24"/>
                <w:szCs w:val="24"/>
              </w:rPr>
              <w:t>右眼</w:t>
            </w:r>
            <w:r>
              <w:rPr>
                <w:sz w:val="24"/>
                <w:szCs w:val="24"/>
              </w:rPr>
              <w:t xml:space="preserve">             □</w:t>
            </w:r>
            <w:r>
              <w:rPr>
                <w:sz w:val="24"/>
                <w:szCs w:val="24"/>
              </w:rPr>
              <w:t>左眼</w:t>
            </w:r>
          </w:p>
          <w:p w14:paraId="3EA0E6EF" w14:textId="77777777" w:rsidR="00BD776B" w:rsidRDefault="00DF0C24">
            <w:pPr>
              <w:pStyle w:val="11"/>
              <w:spacing w:before="180" w:line="360" w:lineRule="exact"/>
              <w:ind w:left="660" w:hanging="300"/>
              <w:rPr>
                <w:b/>
                <w:sz w:val="24"/>
                <w:szCs w:val="24"/>
              </w:rPr>
            </w:pPr>
            <w:r>
              <w:rPr>
                <w:b/>
                <w:sz w:val="24"/>
                <w:szCs w:val="24"/>
              </w:rPr>
              <w:t>第一次</w:t>
            </w:r>
            <w:r>
              <w:rPr>
                <w:b/>
                <w:sz w:val="24"/>
                <w:szCs w:val="24"/>
              </w:rPr>
              <w:t>:</w:t>
            </w:r>
          </w:p>
          <w:p w14:paraId="3DC845C7" w14:textId="77777777" w:rsidR="00BD776B" w:rsidRDefault="00DF0C24" w:rsidP="008A7063">
            <w:pPr>
              <w:pStyle w:val="11"/>
              <w:widowControl/>
              <w:numPr>
                <w:ilvl w:val="0"/>
                <w:numId w:val="117"/>
              </w:numPr>
              <w:autoSpaceDE w:val="0"/>
              <w:spacing w:line="320" w:lineRule="exact"/>
              <w:ind w:left="340" w:hanging="210"/>
              <w:rPr>
                <w:sz w:val="24"/>
                <w:szCs w:val="24"/>
              </w:rPr>
            </w:pPr>
            <w:r>
              <w:rPr>
                <w:sz w:val="24"/>
                <w:szCs w:val="24"/>
              </w:rPr>
              <w:t>申請前一個月內有效之矯正視力</w:t>
            </w:r>
            <w:r>
              <w:rPr>
                <w:sz w:val="24"/>
                <w:szCs w:val="24"/>
              </w:rPr>
              <w:t>(</w:t>
            </w:r>
            <w:r>
              <w:rPr>
                <w:sz w:val="24"/>
                <w:szCs w:val="24"/>
              </w:rPr>
              <w:t>介於</w:t>
            </w:r>
            <w:r>
              <w:rPr>
                <w:sz w:val="24"/>
                <w:szCs w:val="24"/>
              </w:rPr>
              <w:t>0.05-0.5(</w:t>
            </w:r>
            <w:r>
              <w:rPr>
                <w:sz w:val="24"/>
                <w:szCs w:val="24"/>
              </w:rPr>
              <w:t>含</w:t>
            </w:r>
            <w:r>
              <w:rPr>
                <w:sz w:val="24"/>
                <w:szCs w:val="24"/>
              </w:rPr>
              <w:t>)</w:t>
            </w:r>
            <w:r>
              <w:rPr>
                <w:sz w:val="24"/>
                <w:szCs w:val="24"/>
              </w:rPr>
              <w:t>之間</w:t>
            </w:r>
            <w:r>
              <w:rPr>
                <w:sz w:val="24"/>
                <w:szCs w:val="24"/>
              </w:rPr>
              <w:t>)</w:t>
            </w:r>
          </w:p>
          <w:p w14:paraId="4729ACCC" w14:textId="77777777" w:rsidR="00BD776B" w:rsidRDefault="00DF0C24" w:rsidP="008A7063">
            <w:pPr>
              <w:pStyle w:val="11"/>
              <w:widowControl/>
              <w:numPr>
                <w:ilvl w:val="0"/>
                <w:numId w:val="117"/>
              </w:numPr>
              <w:autoSpaceDE w:val="0"/>
              <w:spacing w:line="320" w:lineRule="exact"/>
              <w:ind w:left="340" w:hanging="210"/>
              <w:rPr>
                <w:sz w:val="24"/>
                <w:szCs w:val="24"/>
              </w:rPr>
            </w:pPr>
            <w:r>
              <w:rPr>
                <w:sz w:val="24"/>
                <w:szCs w:val="24"/>
              </w:rPr>
              <w:t>彩色眼底照片</w:t>
            </w:r>
          </w:p>
          <w:p w14:paraId="24D6EF38" w14:textId="77777777" w:rsidR="00BD776B" w:rsidRDefault="00DF0C24" w:rsidP="008A7063">
            <w:pPr>
              <w:pStyle w:val="11"/>
              <w:widowControl/>
              <w:numPr>
                <w:ilvl w:val="0"/>
                <w:numId w:val="117"/>
              </w:numPr>
              <w:autoSpaceDE w:val="0"/>
              <w:spacing w:line="320" w:lineRule="exact"/>
              <w:ind w:left="340" w:hanging="210"/>
              <w:rPr>
                <w:sz w:val="24"/>
                <w:szCs w:val="24"/>
              </w:rPr>
            </w:pPr>
            <w:r>
              <w:rPr>
                <w:sz w:val="24"/>
                <w:szCs w:val="24"/>
              </w:rPr>
              <w:t>Fluorescein angiography (FAG)</w:t>
            </w:r>
          </w:p>
          <w:p w14:paraId="64A3FA67" w14:textId="77777777" w:rsidR="00BD776B" w:rsidRDefault="00DF0C24" w:rsidP="008A7063">
            <w:pPr>
              <w:pStyle w:val="11"/>
              <w:widowControl/>
              <w:numPr>
                <w:ilvl w:val="0"/>
                <w:numId w:val="117"/>
              </w:numPr>
              <w:autoSpaceDE w:val="0"/>
              <w:spacing w:line="320" w:lineRule="exact"/>
              <w:ind w:left="340" w:hanging="210"/>
              <w:rPr>
                <w:sz w:val="24"/>
                <w:szCs w:val="24"/>
              </w:rPr>
            </w:pPr>
            <w:r>
              <w:rPr>
                <w:sz w:val="24"/>
                <w:szCs w:val="24"/>
              </w:rPr>
              <w:t>Optical coherence tomography (OCT)</w:t>
            </w:r>
          </w:p>
          <w:p w14:paraId="01CA3111" w14:textId="77777777" w:rsidR="00BD776B" w:rsidRDefault="00DF0C24" w:rsidP="008A7063">
            <w:pPr>
              <w:pStyle w:val="11"/>
              <w:widowControl/>
              <w:numPr>
                <w:ilvl w:val="0"/>
                <w:numId w:val="117"/>
              </w:numPr>
              <w:autoSpaceDE w:val="0"/>
              <w:spacing w:line="320" w:lineRule="exact"/>
              <w:ind w:left="340" w:hanging="210"/>
              <w:rPr>
                <w:sz w:val="24"/>
                <w:szCs w:val="24"/>
              </w:rPr>
            </w:pPr>
            <w:r>
              <w:rPr>
                <w:sz w:val="24"/>
                <w:szCs w:val="24"/>
              </w:rPr>
              <w:t>Indocyanone green angiography (ICGA)</w:t>
            </w:r>
            <w:r>
              <w:rPr>
                <w:sz w:val="24"/>
                <w:szCs w:val="24"/>
              </w:rPr>
              <w:t>，</w:t>
            </w:r>
            <w:r>
              <w:rPr>
                <w:sz w:val="24"/>
                <w:szCs w:val="24"/>
              </w:rPr>
              <w:t>PCV</w:t>
            </w:r>
            <w:r>
              <w:rPr>
                <w:sz w:val="24"/>
                <w:szCs w:val="24"/>
              </w:rPr>
              <w:t>患者檢附。</w:t>
            </w:r>
          </w:p>
          <w:p w14:paraId="44C8FF04" w14:textId="77777777" w:rsidR="00BD776B" w:rsidRDefault="00DF0C24" w:rsidP="008A7063">
            <w:pPr>
              <w:pStyle w:val="11"/>
              <w:widowControl/>
              <w:numPr>
                <w:ilvl w:val="0"/>
                <w:numId w:val="117"/>
              </w:numPr>
              <w:autoSpaceDE w:val="0"/>
              <w:spacing w:line="320" w:lineRule="exact"/>
              <w:ind w:left="340" w:hanging="210"/>
              <w:rPr>
                <w:sz w:val="24"/>
                <w:szCs w:val="24"/>
              </w:rPr>
            </w:pPr>
            <w:r>
              <w:rPr>
                <w:sz w:val="24"/>
                <w:szCs w:val="24"/>
              </w:rPr>
              <w:t>相關病歷紀錄資料</w:t>
            </w:r>
          </w:p>
          <w:p w14:paraId="6DEC0BE1" w14:textId="77777777" w:rsidR="00BD776B" w:rsidRDefault="00DF0C24">
            <w:pPr>
              <w:pStyle w:val="11"/>
              <w:spacing w:before="180" w:line="360" w:lineRule="exact"/>
              <w:ind w:left="660" w:hanging="300"/>
              <w:rPr>
                <w:b/>
                <w:sz w:val="24"/>
                <w:szCs w:val="24"/>
              </w:rPr>
            </w:pPr>
            <w:r>
              <w:rPr>
                <w:b/>
                <w:sz w:val="24"/>
                <w:szCs w:val="24"/>
              </w:rPr>
              <w:t>第二次以後</w:t>
            </w:r>
            <w:r>
              <w:rPr>
                <w:b/>
                <w:sz w:val="24"/>
                <w:szCs w:val="24"/>
              </w:rPr>
              <w:t>:</w:t>
            </w:r>
            <w:r>
              <w:rPr>
                <w:b/>
                <w:sz w:val="24"/>
                <w:szCs w:val="24"/>
              </w:rPr>
              <w:t>需檢附先前之完整申請資料</w:t>
            </w:r>
          </w:p>
          <w:p w14:paraId="139095E6" w14:textId="77777777" w:rsidR="00BD776B" w:rsidRDefault="00DF0C24" w:rsidP="008A7063">
            <w:pPr>
              <w:pStyle w:val="11"/>
              <w:widowControl/>
              <w:numPr>
                <w:ilvl w:val="0"/>
                <w:numId w:val="118"/>
              </w:numPr>
              <w:autoSpaceDE w:val="0"/>
              <w:spacing w:line="360" w:lineRule="exact"/>
              <w:ind w:left="355" w:hanging="238"/>
              <w:rPr>
                <w:sz w:val="24"/>
                <w:szCs w:val="24"/>
              </w:rPr>
            </w:pPr>
            <w:r>
              <w:rPr>
                <w:sz w:val="24"/>
                <w:szCs w:val="24"/>
              </w:rPr>
              <w:t>申請前一個月內有效之矯正視力</w:t>
            </w:r>
            <w:r>
              <w:rPr>
                <w:sz w:val="24"/>
                <w:szCs w:val="24"/>
              </w:rPr>
              <w:t>(</w:t>
            </w:r>
            <w:r>
              <w:rPr>
                <w:sz w:val="24"/>
                <w:szCs w:val="24"/>
              </w:rPr>
              <w:t>介於</w:t>
            </w:r>
            <w:r>
              <w:rPr>
                <w:sz w:val="24"/>
                <w:szCs w:val="24"/>
              </w:rPr>
              <w:t>0.05-0.5(</w:t>
            </w:r>
            <w:r>
              <w:rPr>
                <w:sz w:val="24"/>
                <w:szCs w:val="24"/>
              </w:rPr>
              <w:t>含</w:t>
            </w:r>
            <w:r>
              <w:rPr>
                <w:sz w:val="24"/>
                <w:szCs w:val="24"/>
              </w:rPr>
              <w:t>)</w:t>
            </w:r>
            <w:r>
              <w:rPr>
                <w:sz w:val="24"/>
                <w:szCs w:val="24"/>
              </w:rPr>
              <w:t>之間</w:t>
            </w:r>
            <w:r>
              <w:rPr>
                <w:sz w:val="24"/>
                <w:szCs w:val="24"/>
              </w:rPr>
              <w:t>)</w:t>
            </w:r>
          </w:p>
          <w:p w14:paraId="2CD36668" w14:textId="77777777" w:rsidR="00BD776B" w:rsidRDefault="00DF0C24" w:rsidP="008A7063">
            <w:pPr>
              <w:pStyle w:val="11"/>
              <w:widowControl/>
              <w:numPr>
                <w:ilvl w:val="0"/>
                <w:numId w:val="118"/>
              </w:numPr>
              <w:autoSpaceDE w:val="0"/>
              <w:spacing w:line="360" w:lineRule="exact"/>
              <w:ind w:left="341" w:hanging="210"/>
              <w:rPr>
                <w:sz w:val="24"/>
                <w:szCs w:val="24"/>
              </w:rPr>
            </w:pPr>
            <w:r>
              <w:rPr>
                <w:sz w:val="24"/>
                <w:szCs w:val="24"/>
              </w:rPr>
              <w:lastRenderedPageBreak/>
              <w:t>彩色眼底照片</w:t>
            </w:r>
          </w:p>
          <w:p w14:paraId="450C730E" w14:textId="77777777" w:rsidR="00BD776B" w:rsidRDefault="00DF0C24" w:rsidP="008A7063">
            <w:pPr>
              <w:pStyle w:val="11"/>
              <w:widowControl/>
              <w:numPr>
                <w:ilvl w:val="0"/>
                <w:numId w:val="118"/>
              </w:numPr>
              <w:autoSpaceDE w:val="0"/>
              <w:spacing w:line="360" w:lineRule="exact"/>
              <w:ind w:left="341" w:hanging="210"/>
            </w:pPr>
            <w:r>
              <w:rPr>
                <w:sz w:val="24"/>
                <w:szCs w:val="24"/>
              </w:rPr>
              <w:t>OCT(</w:t>
            </w:r>
            <w:r>
              <w:rPr>
                <w:sz w:val="24"/>
                <w:szCs w:val="24"/>
              </w:rPr>
              <w:t>或</w:t>
            </w:r>
            <w:r>
              <w:rPr>
                <w:sz w:val="24"/>
                <w:szCs w:val="24"/>
              </w:rPr>
              <w:t>OCTA)</w:t>
            </w:r>
          </w:p>
          <w:p w14:paraId="09A6C0AC" w14:textId="77777777" w:rsidR="00BD776B" w:rsidRDefault="00DF0C24" w:rsidP="008A7063">
            <w:pPr>
              <w:pStyle w:val="11"/>
              <w:widowControl/>
              <w:numPr>
                <w:ilvl w:val="0"/>
                <w:numId w:val="118"/>
              </w:numPr>
              <w:autoSpaceDE w:val="0"/>
              <w:spacing w:line="360" w:lineRule="exact"/>
              <w:ind w:left="341" w:hanging="210"/>
              <w:rPr>
                <w:sz w:val="24"/>
                <w:szCs w:val="24"/>
              </w:rPr>
            </w:pPr>
            <w:r>
              <w:rPr>
                <w:sz w:val="24"/>
                <w:szCs w:val="24"/>
              </w:rPr>
              <w:t>相關病歷紀錄資料</w:t>
            </w:r>
          </w:p>
          <w:p w14:paraId="5D3A3F21" w14:textId="77777777" w:rsidR="00BD776B" w:rsidRDefault="00DF0C24" w:rsidP="008A7063">
            <w:pPr>
              <w:pStyle w:val="11"/>
              <w:widowControl/>
              <w:numPr>
                <w:ilvl w:val="0"/>
                <w:numId w:val="118"/>
              </w:numPr>
              <w:autoSpaceDE w:val="0"/>
              <w:spacing w:line="360" w:lineRule="exact"/>
              <w:ind w:left="341" w:hanging="210"/>
              <w:rPr>
                <w:sz w:val="24"/>
                <w:szCs w:val="24"/>
              </w:rPr>
            </w:pPr>
            <w:r>
              <w:rPr>
                <w:sz w:val="24"/>
                <w:szCs w:val="24"/>
              </w:rPr>
              <w:t>ICGA</w:t>
            </w:r>
            <w:r>
              <w:rPr>
                <w:sz w:val="24"/>
                <w:szCs w:val="24"/>
              </w:rPr>
              <w:t>、</w:t>
            </w:r>
            <w:r>
              <w:rPr>
                <w:sz w:val="24"/>
                <w:szCs w:val="24"/>
              </w:rPr>
              <w:t>FAG</w:t>
            </w:r>
            <w:r>
              <w:rPr>
                <w:sz w:val="24"/>
                <w:szCs w:val="24"/>
              </w:rPr>
              <w:t>事前審查時要求補附才需檢附。</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94BB1E" w14:textId="77777777" w:rsidR="00BD776B" w:rsidRDefault="00BD776B">
            <w:pPr>
              <w:pStyle w:val="ab"/>
              <w:rPr>
                <w:rFonts w:ascii="標楷體" w:eastAsia="標楷體" w:hAnsi="標楷體"/>
              </w:rPr>
            </w:pPr>
          </w:p>
        </w:tc>
        <w:tc>
          <w:tcPr>
            <w:tcW w:w="509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DB377A" w14:textId="77777777" w:rsidR="00BD776B" w:rsidRDefault="00DF0C24">
            <w:pPr>
              <w:pStyle w:val="ab"/>
              <w:tabs>
                <w:tab w:val="left" w:pos="240"/>
              </w:tabs>
              <w:rPr>
                <w:rFonts w:ascii="標楷體" w:eastAsia="標楷體" w:hAnsi="標楷體"/>
                <w:color w:val="000000"/>
              </w:rPr>
            </w:pPr>
            <w:r>
              <w:rPr>
                <w:rFonts w:ascii="標楷體" w:eastAsia="標楷體" w:hAnsi="標楷體"/>
                <w:color w:val="000000"/>
              </w:rPr>
              <w:t>□同意備查。</w:t>
            </w:r>
          </w:p>
          <w:p w14:paraId="56EC2B65" w14:textId="77777777" w:rsidR="00BD776B" w:rsidRDefault="00DF0C24">
            <w:pPr>
              <w:pStyle w:val="ab"/>
            </w:pPr>
            <w:r>
              <w:rPr>
                <w:rFonts w:ascii="標楷體" w:eastAsia="標楷體" w:hAnsi="標楷體"/>
                <w:color w:val="000000"/>
              </w:rPr>
              <w:t>□使用劑量不符合常規，核定量為</w:t>
            </w:r>
            <w:r>
              <w:rPr>
                <w:rFonts w:ascii="標楷體" w:eastAsia="標楷體" w:hAnsi="標楷體"/>
                <w:color w:val="000000"/>
                <w:u w:val="single"/>
              </w:rPr>
              <w:t xml:space="preserve">               </w:t>
            </w:r>
          </w:p>
          <w:p w14:paraId="3D49A6FF" w14:textId="77777777" w:rsidR="00BD776B" w:rsidRDefault="00DF0C24">
            <w:pPr>
              <w:pStyle w:val="ab"/>
            </w:pPr>
            <w:r>
              <w:rPr>
                <w:rFonts w:ascii="標楷體" w:eastAsia="標楷體" w:hAnsi="標楷體"/>
                <w:color w:val="000000"/>
              </w:rPr>
              <w:t>□不同意</w:t>
            </w:r>
          </w:p>
          <w:p w14:paraId="4D984E4A" w14:textId="77777777" w:rsidR="00BD776B" w:rsidRDefault="00DF0C24" w:rsidP="008A7063">
            <w:pPr>
              <w:pStyle w:val="ab"/>
              <w:numPr>
                <w:ilvl w:val="0"/>
                <w:numId w:val="119"/>
              </w:numPr>
              <w:tabs>
                <w:tab w:val="left" w:pos="0"/>
                <w:tab w:val="left" w:pos="240"/>
              </w:tabs>
              <w:spacing w:after="0"/>
              <w:ind w:left="676" w:hanging="196"/>
              <w:rPr>
                <w:rFonts w:ascii="標楷體" w:eastAsia="標楷體" w:hAnsi="標楷體"/>
                <w:color w:val="000000"/>
              </w:rPr>
            </w:pPr>
            <w:r>
              <w:rPr>
                <w:rFonts w:ascii="標楷體" w:eastAsia="標楷體" w:hAnsi="標楷體"/>
                <w:color w:val="000000"/>
              </w:rPr>
              <w:t>不符合適應症。</w:t>
            </w:r>
          </w:p>
          <w:p w14:paraId="67005BED" w14:textId="77777777" w:rsidR="00BD776B" w:rsidRDefault="00DF0C24" w:rsidP="008A7063">
            <w:pPr>
              <w:pStyle w:val="ab"/>
              <w:numPr>
                <w:ilvl w:val="0"/>
                <w:numId w:val="119"/>
              </w:numPr>
              <w:tabs>
                <w:tab w:val="left" w:pos="0"/>
                <w:tab w:val="left" w:pos="240"/>
              </w:tabs>
              <w:spacing w:after="0"/>
              <w:ind w:left="676" w:hanging="196"/>
              <w:rPr>
                <w:rFonts w:ascii="標楷體" w:eastAsia="標楷體" w:hAnsi="標楷體"/>
                <w:color w:val="000000"/>
              </w:rPr>
            </w:pPr>
            <w:r>
              <w:rPr>
                <w:rFonts w:ascii="標楷體" w:eastAsia="標楷體" w:hAnsi="標楷體"/>
                <w:color w:val="000000"/>
              </w:rPr>
              <w:t>不符給付規定。</w:t>
            </w:r>
          </w:p>
          <w:p w14:paraId="13D37448" w14:textId="77777777" w:rsidR="00BD776B" w:rsidRDefault="00DF0C24" w:rsidP="008A7063">
            <w:pPr>
              <w:pStyle w:val="ab"/>
              <w:numPr>
                <w:ilvl w:val="0"/>
                <w:numId w:val="119"/>
              </w:numPr>
              <w:tabs>
                <w:tab w:val="left" w:pos="0"/>
                <w:tab w:val="left" w:pos="240"/>
              </w:tabs>
              <w:spacing w:after="0"/>
              <w:ind w:left="676" w:hanging="196"/>
            </w:pPr>
            <w:r>
              <w:rPr>
                <w:rFonts w:ascii="標楷體" w:eastAsia="標楷體" w:hAnsi="標楷體"/>
              </w:rPr>
              <w:t>下列需排除之情況未排除：</w:t>
            </w:r>
          </w:p>
          <w:p w14:paraId="3220B830" w14:textId="77777777" w:rsidR="00BD776B" w:rsidRDefault="00BD776B">
            <w:pPr>
              <w:pStyle w:val="ab"/>
              <w:rPr>
                <w:rFonts w:ascii="標楷體" w:eastAsia="標楷體" w:hAnsi="標楷體"/>
              </w:rPr>
            </w:pPr>
          </w:p>
          <w:p w14:paraId="2C46CE99" w14:textId="77777777" w:rsidR="00BD776B" w:rsidRDefault="00BD776B">
            <w:pPr>
              <w:pStyle w:val="ab"/>
              <w:rPr>
                <w:rFonts w:ascii="標楷體" w:eastAsia="標楷體" w:hAnsi="標楷體"/>
              </w:rPr>
            </w:pPr>
          </w:p>
          <w:p w14:paraId="33709029" w14:textId="77777777" w:rsidR="00BD776B" w:rsidRDefault="00BD776B">
            <w:pPr>
              <w:pStyle w:val="ab"/>
              <w:rPr>
                <w:rFonts w:ascii="標楷體" w:eastAsia="標楷體" w:hAnsi="標楷體"/>
              </w:rPr>
            </w:pPr>
          </w:p>
          <w:p w14:paraId="005740CD" w14:textId="77777777" w:rsidR="00BD776B" w:rsidRDefault="00DF0C24" w:rsidP="008A7063">
            <w:pPr>
              <w:pStyle w:val="ab"/>
              <w:numPr>
                <w:ilvl w:val="0"/>
                <w:numId w:val="119"/>
              </w:numPr>
              <w:tabs>
                <w:tab w:val="left" w:pos="0"/>
                <w:tab w:val="left" w:pos="240"/>
              </w:tabs>
              <w:spacing w:after="0" w:line="480" w:lineRule="exact"/>
              <w:ind w:left="678" w:hanging="198"/>
            </w:pPr>
            <w:r>
              <w:rPr>
                <w:rFonts w:ascii="標楷體" w:eastAsia="標楷體" w:hAnsi="標楷體"/>
                <w:color w:val="000000"/>
              </w:rPr>
              <w:t>相關檢驗、檢查報告不全，補附資料再審，請補充以下資料：</w:t>
            </w:r>
          </w:p>
          <w:p w14:paraId="2E5DAC06" w14:textId="77777777" w:rsidR="00BD776B" w:rsidRDefault="00BD776B">
            <w:pPr>
              <w:pStyle w:val="ab"/>
              <w:rPr>
                <w:rFonts w:ascii="標楷體" w:eastAsia="標楷體" w:hAnsi="標楷體"/>
              </w:rPr>
            </w:pPr>
          </w:p>
          <w:p w14:paraId="5A9D3AD2" w14:textId="77777777" w:rsidR="00BD776B" w:rsidRDefault="00BD776B">
            <w:pPr>
              <w:pStyle w:val="ab"/>
              <w:rPr>
                <w:rFonts w:ascii="標楷體" w:eastAsia="標楷體" w:hAnsi="標楷體"/>
              </w:rPr>
            </w:pPr>
          </w:p>
          <w:p w14:paraId="5CE66DF1" w14:textId="77777777" w:rsidR="00BD776B" w:rsidRDefault="00BD776B">
            <w:pPr>
              <w:pStyle w:val="ab"/>
              <w:rPr>
                <w:rFonts w:ascii="標楷體" w:eastAsia="標楷體" w:hAnsi="標楷體"/>
              </w:rPr>
            </w:pPr>
          </w:p>
          <w:p w14:paraId="0F14A6B9" w14:textId="77777777" w:rsidR="00BD776B" w:rsidRDefault="00DF0C24" w:rsidP="008A7063">
            <w:pPr>
              <w:pStyle w:val="ab"/>
              <w:numPr>
                <w:ilvl w:val="0"/>
                <w:numId w:val="119"/>
              </w:numPr>
              <w:tabs>
                <w:tab w:val="left" w:pos="0"/>
                <w:tab w:val="left" w:pos="240"/>
              </w:tabs>
              <w:spacing w:after="0"/>
              <w:ind w:left="676" w:hanging="196"/>
            </w:pPr>
            <w:r>
              <w:rPr>
                <w:rFonts w:ascii="標楷體" w:eastAsia="標楷體" w:hAnsi="標楷體"/>
                <w:color w:val="000000"/>
              </w:rPr>
              <w:t>其他：</w:t>
            </w:r>
          </w:p>
        </w:tc>
      </w:tr>
      <w:tr w:rsidR="00BD776B" w14:paraId="74FC8AD3" w14:textId="77777777">
        <w:trPr>
          <w:trHeight w:val="3349"/>
        </w:trPr>
        <w:tc>
          <w:tcPr>
            <w:tcW w:w="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2702CE" w14:textId="77777777" w:rsidR="00BD776B" w:rsidRDefault="00DF0C24">
            <w:pPr>
              <w:pStyle w:val="ab"/>
              <w:rPr>
                <w:rFonts w:ascii="標楷體" w:eastAsia="標楷體" w:hAnsi="標楷體"/>
              </w:rPr>
            </w:pPr>
            <w:r>
              <w:rPr>
                <w:rFonts w:ascii="標楷體" w:eastAsia="標楷體" w:hAnsi="標楷體"/>
              </w:rPr>
              <w:lastRenderedPageBreak/>
              <w:t>注  意  事  項</w:t>
            </w:r>
          </w:p>
        </w:tc>
        <w:tc>
          <w:tcPr>
            <w:tcW w:w="9191"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A389FA" w14:textId="77777777" w:rsidR="00BD776B" w:rsidRDefault="00DF0C24" w:rsidP="008A7063">
            <w:pPr>
              <w:pStyle w:val="ab"/>
              <w:numPr>
                <w:ilvl w:val="0"/>
                <w:numId w:val="120"/>
              </w:numPr>
              <w:tabs>
                <w:tab w:val="left" w:pos="-531"/>
              </w:tabs>
              <w:spacing w:before="100" w:after="100" w:line="320" w:lineRule="exact"/>
              <w:ind w:left="250" w:hanging="141"/>
            </w:pPr>
            <w:r>
              <w:rPr>
                <w:rFonts w:ascii="標楷體" w:eastAsia="標楷體" w:hAnsi="標楷體"/>
                <w:kern w:val="0"/>
              </w:rPr>
              <w:t>本申請書限一人一案，由本保險特約醫事服務機構填報，不必備文，請逕向健保署各分區業務組申請審核。</w:t>
            </w:r>
          </w:p>
          <w:p w14:paraId="0BF1204D" w14:textId="77777777" w:rsidR="00BD776B" w:rsidRDefault="00DF0C24" w:rsidP="008A7063">
            <w:pPr>
              <w:pStyle w:val="ab"/>
              <w:numPr>
                <w:ilvl w:val="0"/>
                <w:numId w:val="120"/>
              </w:numPr>
              <w:tabs>
                <w:tab w:val="left" w:pos="-531"/>
              </w:tabs>
              <w:spacing w:before="100" w:after="100" w:line="320" w:lineRule="exact"/>
              <w:ind w:left="250" w:hanging="141"/>
              <w:rPr>
                <w:rFonts w:ascii="標楷體" w:eastAsia="標楷體" w:hAnsi="標楷體"/>
                <w:kern w:val="0"/>
              </w:rPr>
            </w:pPr>
            <w:r>
              <w:rPr>
                <w:rFonts w:ascii="標楷體" w:eastAsia="標楷體" w:hAnsi="標楷體"/>
                <w:kern w:val="0"/>
              </w:rPr>
              <w:t>「原受理編號」申復時填寫，初次送核不須填寫。</w:t>
            </w:r>
          </w:p>
          <w:p w14:paraId="3C70F3B4" w14:textId="77777777" w:rsidR="00BD776B" w:rsidRDefault="00DF0C24" w:rsidP="008A7063">
            <w:pPr>
              <w:pStyle w:val="ab"/>
              <w:numPr>
                <w:ilvl w:val="0"/>
                <w:numId w:val="120"/>
              </w:numPr>
              <w:tabs>
                <w:tab w:val="left" w:pos="-531"/>
              </w:tabs>
              <w:spacing w:before="100" w:after="100" w:line="320" w:lineRule="exact"/>
              <w:ind w:left="250" w:hanging="141"/>
              <w:rPr>
                <w:rFonts w:ascii="標楷體" w:eastAsia="標楷體" w:hAnsi="標楷體"/>
                <w:kern w:val="0"/>
              </w:rPr>
            </w:pPr>
            <w:r>
              <w:rPr>
                <w:rFonts w:ascii="標楷體" w:eastAsia="標楷體" w:hAnsi="標楷體"/>
                <w:kern w:val="0"/>
              </w:rPr>
              <w:t>應事前審查之項目未依規定事前申請核准者，不予給付費用；事前申請核准之個案，日後如經審定保險對象或醫事服務機構有不符全民健康保險給付規定者，亦不予給付費用。</w:t>
            </w:r>
          </w:p>
          <w:p w14:paraId="5442100A" w14:textId="77777777" w:rsidR="00BD776B" w:rsidRDefault="00DF0C24" w:rsidP="008A7063">
            <w:pPr>
              <w:pStyle w:val="ab"/>
              <w:numPr>
                <w:ilvl w:val="0"/>
                <w:numId w:val="120"/>
              </w:numPr>
              <w:tabs>
                <w:tab w:val="left" w:pos="-531"/>
              </w:tabs>
              <w:spacing w:before="100" w:after="100" w:line="320" w:lineRule="exact"/>
              <w:ind w:left="250" w:hanging="141"/>
              <w:rPr>
                <w:rFonts w:ascii="標楷體" w:eastAsia="標楷體" w:hAnsi="標楷體"/>
                <w:kern w:val="0"/>
              </w:rPr>
            </w:pPr>
            <w:r>
              <w:rPr>
                <w:rFonts w:ascii="標楷體" w:eastAsia="標楷體" w:hAnsi="標楷體"/>
                <w:kern w:val="0"/>
              </w:rPr>
              <w:t>對核定結果如有異議，得於收到核定通知之日起六十日內，重行填寫乙份申請書(應勾註申復，並填明原受理編號)向原核定單位申請複核。</w:t>
            </w:r>
          </w:p>
          <w:p w14:paraId="056E2CB3" w14:textId="77777777" w:rsidR="00BD776B" w:rsidRDefault="00DF0C24" w:rsidP="008A7063">
            <w:pPr>
              <w:pStyle w:val="ab"/>
              <w:numPr>
                <w:ilvl w:val="0"/>
                <w:numId w:val="120"/>
              </w:numPr>
              <w:tabs>
                <w:tab w:val="left" w:pos="-531"/>
              </w:tabs>
              <w:spacing w:before="100" w:after="100" w:line="320" w:lineRule="exact"/>
              <w:ind w:left="250" w:hanging="141"/>
              <w:rPr>
                <w:rFonts w:ascii="標楷體" w:eastAsia="標楷體" w:hAnsi="標楷體"/>
                <w:kern w:val="0"/>
              </w:rPr>
            </w:pPr>
            <w:r>
              <w:rPr>
                <w:rFonts w:ascii="標楷體" w:eastAsia="標楷體" w:hAnsi="標楷體"/>
                <w:kern w:val="0"/>
              </w:rPr>
              <w:t>對複核結果如有異議，得於收到複核通知之日起六十日內向全民健保爭議審議委員會申請審議。</w:t>
            </w:r>
          </w:p>
          <w:p w14:paraId="6EB57311" w14:textId="77777777" w:rsidR="00BD776B" w:rsidRDefault="00DF0C24" w:rsidP="008A7063">
            <w:pPr>
              <w:pStyle w:val="ab"/>
              <w:numPr>
                <w:ilvl w:val="0"/>
                <w:numId w:val="120"/>
              </w:numPr>
              <w:tabs>
                <w:tab w:val="left" w:pos="-531"/>
              </w:tabs>
              <w:spacing w:before="100" w:after="100" w:line="320" w:lineRule="exact"/>
              <w:ind w:left="250" w:hanging="141"/>
              <w:rPr>
                <w:rFonts w:ascii="標楷體" w:eastAsia="標楷體" w:hAnsi="標楷體"/>
                <w:kern w:val="0"/>
              </w:rPr>
            </w:pPr>
            <w:r>
              <w:rPr>
                <w:rFonts w:ascii="標楷體" w:eastAsia="標楷體" w:hAnsi="標楷體"/>
                <w:kern w:val="0"/>
              </w:rPr>
              <w:t>對核定結果有異議者，應循上述申複及爭議審議途徑申請複核或審議，不得以新個案重新申請送核，否則不予受理。</w:t>
            </w:r>
          </w:p>
          <w:p w14:paraId="420C3B2D" w14:textId="77777777" w:rsidR="00BD776B" w:rsidRDefault="00DF0C24" w:rsidP="008A7063">
            <w:pPr>
              <w:pStyle w:val="ab"/>
              <w:numPr>
                <w:ilvl w:val="0"/>
                <w:numId w:val="120"/>
              </w:numPr>
              <w:tabs>
                <w:tab w:val="left" w:pos="-531"/>
              </w:tabs>
              <w:spacing w:before="100" w:after="100" w:line="320" w:lineRule="exact"/>
              <w:ind w:left="250" w:hanging="141"/>
              <w:rPr>
                <w:rFonts w:ascii="標楷體" w:eastAsia="標楷體" w:hAnsi="標楷體"/>
                <w:kern w:val="0"/>
              </w:rPr>
            </w:pPr>
            <w:r>
              <w:rPr>
                <w:rFonts w:ascii="標楷體" w:eastAsia="標楷體" w:hAnsi="標楷體"/>
                <w:kern w:val="0"/>
              </w:rPr>
              <w:t>保險醫事服務機構如因事出緊急，得以書面說明電傳保險人報備後，先行處理治療，並立即備齊應附文件備查。</w:t>
            </w:r>
          </w:p>
          <w:p w14:paraId="6A470BAE" w14:textId="77777777" w:rsidR="00BD776B" w:rsidRDefault="00DF0C24" w:rsidP="008A7063">
            <w:pPr>
              <w:pStyle w:val="ab"/>
              <w:numPr>
                <w:ilvl w:val="0"/>
                <w:numId w:val="120"/>
              </w:numPr>
              <w:tabs>
                <w:tab w:val="left" w:pos="-531"/>
              </w:tabs>
              <w:spacing w:before="100" w:after="100" w:line="320" w:lineRule="exact"/>
              <w:ind w:left="250" w:hanging="141"/>
            </w:pPr>
            <w:r>
              <w:rPr>
                <w:rFonts w:ascii="標楷體" w:eastAsia="標楷體" w:hAnsi="標楷體"/>
                <w:kern w:val="0"/>
              </w:rPr>
              <w:t>經核准使用者，醫令申報請選</w:t>
            </w:r>
            <w:r>
              <w:rPr>
                <w:rFonts w:ascii="標楷體" w:eastAsia="標楷體" w:hAnsi="標楷體"/>
              </w:rPr>
              <w:t>擇符合適應症之ICD-10-CM代碼申報，以利檢討及統計。</w:t>
            </w:r>
          </w:p>
        </w:tc>
        <w:tc>
          <w:tcPr>
            <w:tcW w:w="3559"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98065A" w14:textId="77777777" w:rsidR="00BD776B" w:rsidRDefault="00DF0C24">
            <w:pPr>
              <w:pStyle w:val="ab"/>
              <w:spacing w:line="320" w:lineRule="exact"/>
            </w:pPr>
            <w:r>
              <w:rPr>
                <w:rFonts w:ascii="標楷體" w:eastAsia="標楷體" w:hAnsi="標楷體"/>
              </w:rPr>
              <w:t>衛生福利部中央健康保險署</w:t>
            </w:r>
          </w:p>
          <w:p w14:paraId="5D387300" w14:textId="77777777" w:rsidR="00BD776B" w:rsidRDefault="00DF0C24">
            <w:pPr>
              <w:pStyle w:val="ab"/>
              <w:spacing w:line="320" w:lineRule="exact"/>
              <w:rPr>
                <w:rFonts w:ascii="標楷體" w:eastAsia="標楷體" w:hAnsi="標楷體"/>
              </w:rPr>
            </w:pPr>
            <w:r>
              <w:rPr>
                <w:rFonts w:ascii="標楷體" w:eastAsia="標楷體" w:hAnsi="標楷體"/>
              </w:rPr>
              <w:t>日期章戳</w:t>
            </w:r>
          </w:p>
        </w:tc>
        <w:tc>
          <w:tcPr>
            <w:tcW w:w="2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A0ABB4" w14:textId="77777777" w:rsidR="00BD776B" w:rsidRDefault="00DF0C24">
            <w:pPr>
              <w:pStyle w:val="ab"/>
              <w:rPr>
                <w:rFonts w:ascii="標楷體" w:eastAsia="標楷體" w:hAnsi="標楷體"/>
              </w:rPr>
            </w:pPr>
            <w:r>
              <w:rPr>
                <w:rFonts w:ascii="標楷體" w:eastAsia="標楷體" w:hAnsi="標楷體"/>
              </w:rPr>
              <w:t>審查醫師</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E7F707" w14:textId="77777777" w:rsidR="00BD776B" w:rsidRDefault="00BD776B">
            <w:pPr>
              <w:pStyle w:val="ab"/>
              <w:rPr>
                <w:rFonts w:ascii="標楷體" w:eastAsia="標楷體" w:hAnsi="標楷體"/>
                <w:sz w:val="20"/>
                <w:szCs w:val="20"/>
              </w:rPr>
            </w:pPr>
          </w:p>
        </w:tc>
      </w:tr>
      <w:tr w:rsidR="00BD776B" w14:paraId="1AC353D9" w14:textId="77777777">
        <w:trPr>
          <w:trHeight w:val="1598"/>
        </w:trPr>
        <w:tc>
          <w:tcPr>
            <w:tcW w:w="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66C534" w14:textId="77777777" w:rsidR="00BD776B" w:rsidRDefault="00BD776B">
            <w:pPr>
              <w:widowControl/>
            </w:pPr>
          </w:p>
        </w:tc>
        <w:tc>
          <w:tcPr>
            <w:tcW w:w="9191" w:type="dxa"/>
            <w:gridSpan w:val="12"/>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A81BCE" w14:textId="77777777" w:rsidR="00BD776B" w:rsidRDefault="00BD776B">
            <w:pPr>
              <w:widowControl/>
            </w:pPr>
          </w:p>
        </w:tc>
        <w:tc>
          <w:tcPr>
            <w:tcW w:w="3559"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3F855A" w14:textId="77777777" w:rsidR="00BD776B" w:rsidRDefault="00BD776B">
            <w:pPr>
              <w:widowControl/>
            </w:pPr>
          </w:p>
        </w:tc>
        <w:tc>
          <w:tcPr>
            <w:tcW w:w="2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EBAD87" w14:textId="77777777" w:rsidR="00BD776B" w:rsidRDefault="00BD776B">
            <w:pPr>
              <w:widowControl/>
            </w:pP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6CFA19" w14:textId="77777777" w:rsidR="00BD776B" w:rsidRDefault="00BD776B">
            <w:pPr>
              <w:pStyle w:val="ab"/>
              <w:rPr>
                <w:rFonts w:ascii="標楷體" w:eastAsia="標楷體" w:hAnsi="標楷體"/>
                <w:sz w:val="20"/>
                <w:szCs w:val="20"/>
              </w:rPr>
            </w:pPr>
          </w:p>
        </w:tc>
      </w:tr>
    </w:tbl>
    <w:p w14:paraId="1DDEB2ED" w14:textId="77777777" w:rsidR="009A1A75" w:rsidRPr="000A05B7" w:rsidRDefault="009A1A75" w:rsidP="000A05B7">
      <w:pPr>
        <w:pageBreakBefore/>
        <w:snapToGrid w:val="0"/>
        <w:jc w:val="center"/>
        <w:rPr>
          <w:rFonts w:ascii="標楷體" w:eastAsia="標楷體" w:hAnsi="標楷體"/>
        </w:rPr>
      </w:pPr>
      <w:r w:rsidRPr="000A05B7">
        <w:rPr>
          <w:rFonts w:ascii="標楷體" w:eastAsia="標楷體" w:hAnsi="標楷體" w:hint="eastAsia"/>
        </w:rPr>
        <w:lastRenderedPageBreak/>
        <w:t>附表三十之一全民健康保險使用陣發性夜間血紅素尿症治療藥品eculizumab、ravulizumab特殊專案審查申請表</w:t>
      </w:r>
    </w:p>
    <w:tbl>
      <w:tblPr>
        <w:tblW w:w="14436" w:type="dxa"/>
        <w:tblInd w:w="227" w:type="dxa"/>
        <w:tblLayout w:type="fixed"/>
        <w:tblCellMar>
          <w:left w:w="10" w:type="dxa"/>
          <w:right w:w="10" w:type="dxa"/>
        </w:tblCellMar>
        <w:tblLook w:val="04A0" w:firstRow="1" w:lastRow="0" w:firstColumn="1" w:lastColumn="0" w:noHBand="0" w:noVBand="1"/>
      </w:tblPr>
      <w:tblGrid>
        <w:gridCol w:w="387"/>
        <w:gridCol w:w="401"/>
        <w:gridCol w:w="428"/>
        <w:gridCol w:w="1206"/>
        <w:gridCol w:w="239"/>
        <w:gridCol w:w="120"/>
        <w:gridCol w:w="359"/>
        <w:gridCol w:w="602"/>
        <w:gridCol w:w="564"/>
        <w:gridCol w:w="388"/>
        <w:gridCol w:w="1200"/>
        <w:gridCol w:w="599"/>
        <w:gridCol w:w="359"/>
        <w:gridCol w:w="958"/>
        <w:gridCol w:w="838"/>
        <w:gridCol w:w="374"/>
        <w:gridCol w:w="468"/>
        <w:gridCol w:w="359"/>
        <w:gridCol w:w="239"/>
        <w:gridCol w:w="599"/>
        <w:gridCol w:w="359"/>
        <w:gridCol w:w="7"/>
        <w:gridCol w:w="472"/>
        <w:gridCol w:w="361"/>
        <w:gridCol w:w="213"/>
        <w:gridCol w:w="149"/>
        <w:gridCol w:w="236"/>
        <w:gridCol w:w="604"/>
        <w:gridCol w:w="350"/>
        <w:gridCol w:w="7"/>
        <w:gridCol w:w="951"/>
        <w:gridCol w:w="40"/>
      </w:tblGrid>
      <w:tr w:rsidR="009A1A75" w:rsidRPr="000A05B7" w14:paraId="0079954D" w14:textId="77777777" w:rsidTr="009A1A75">
        <w:trPr>
          <w:cantSplit/>
          <w:trHeight w:val="523"/>
        </w:trPr>
        <w:tc>
          <w:tcPr>
            <w:tcW w:w="2422"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382FBA7" w14:textId="77777777" w:rsidR="009A1A75" w:rsidRPr="000A05B7" w:rsidRDefault="009A1A75" w:rsidP="009A1A75">
            <w:pPr>
              <w:snapToGrid w:val="0"/>
              <w:jc w:val="both"/>
              <w:rPr>
                <w:rFonts w:ascii="標楷體" w:eastAsia="標楷體" w:hAnsi="標楷體" w:cs="Calibri"/>
                <w:sz w:val="20"/>
                <w:szCs w:val="20"/>
              </w:rPr>
            </w:pPr>
            <w:r w:rsidRPr="000A05B7">
              <w:rPr>
                <w:rFonts w:ascii="標楷體" w:eastAsia="標楷體" w:hAnsi="標楷體" w:cs="Calibri"/>
                <w:sz w:val="20"/>
                <w:szCs w:val="20"/>
              </w:rPr>
              <w:t>申請類別:</w:t>
            </w:r>
          </w:p>
        </w:tc>
        <w:tc>
          <w:tcPr>
            <w:tcW w:w="40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FCE911" w14:textId="77777777" w:rsidR="009A1A75" w:rsidRPr="000A05B7" w:rsidRDefault="009A1A75" w:rsidP="009A1A75">
            <w:pPr>
              <w:snapToGrid w:val="0"/>
              <w:jc w:val="center"/>
              <w:rPr>
                <w:rFonts w:ascii="Times New Roman" w:hAnsi="Times New Roman"/>
                <w:szCs w:val="24"/>
              </w:rPr>
            </w:pPr>
            <w:r w:rsidRPr="000A05B7">
              <w:rPr>
                <w:rFonts w:ascii="標楷體" w:eastAsia="標楷體" w:hAnsi="標楷體" w:cs="Calibri"/>
                <w:sz w:val="20"/>
                <w:szCs w:val="20"/>
              </w:rPr>
              <w:t>□送核□補資料□申復□資料異動</w:t>
            </w:r>
          </w:p>
        </w:tc>
        <w:tc>
          <w:tcPr>
            <w:tcW w:w="2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86223E" w14:textId="77777777" w:rsidR="009A1A75" w:rsidRPr="000A05B7" w:rsidRDefault="009A1A75" w:rsidP="009A1A75">
            <w:pPr>
              <w:snapToGrid w:val="0"/>
              <w:rPr>
                <w:rFonts w:ascii="Times New Roman" w:hAnsi="Times New Roman"/>
                <w:szCs w:val="24"/>
              </w:rPr>
            </w:pPr>
            <w:r w:rsidRPr="000A05B7">
              <w:rPr>
                <w:rFonts w:ascii="標楷體" w:eastAsia="標楷體" w:hAnsi="標楷體" w:cs="Calibri"/>
                <w:sz w:val="20"/>
                <w:szCs w:val="20"/>
              </w:rPr>
              <w:t>受理日期：</w:t>
            </w:r>
          </w:p>
        </w:tc>
        <w:tc>
          <w:tcPr>
            <w:tcW w:w="25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DC8208" w14:textId="77777777" w:rsidR="009A1A75" w:rsidRPr="000A05B7" w:rsidRDefault="009A1A75" w:rsidP="009A1A75">
            <w:pPr>
              <w:snapToGrid w:val="0"/>
              <w:rPr>
                <w:rFonts w:ascii="Times New Roman" w:hAnsi="Times New Roman"/>
                <w:szCs w:val="24"/>
              </w:rPr>
            </w:pPr>
            <w:r w:rsidRPr="000A05B7">
              <w:rPr>
                <w:rFonts w:ascii="標楷體" w:eastAsia="標楷體" w:hAnsi="標楷體" w:cs="Calibri"/>
                <w:sz w:val="20"/>
                <w:szCs w:val="20"/>
              </w:rPr>
              <w:t>受理編號：</w:t>
            </w:r>
          </w:p>
        </w:tc>
        <w:tc>
          <w:tcPr>
            <w:tcW w:w="28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5611E" w14:textId="77777777" w:rsidR="009A1A75" w:rsidRPr="000A05B7" w:rsidRDefault="009A1A75" w:rsidP="009A1A75">
            <w:pPr>
              <w:snapToGrid w:val="0"/>
              <w:rPr>
                <w:rFonts w:ascii="Times New Roman" w:hAnsi="Times New Roman"/>
                <w:szCs w:val="24"/>
              </w:rPr>
            </w:pPr>
            <w:r w:rsidRPr="000A05B7">
              <w:rPr>
                <w:rFonts w:ascii="標楷體" w:eastAsia="標楷體" w:hAnsi="標楷體" w:cs="Calibri"/>
                <w:sz w:val="20"/>
                <w:szCs w:val="20"/>
              </w:rPr>
              <w:t>緊急傳真日期：</w:t>
            </w:r>
          </w:p>
        </w:tc>
        <w:tc>
          <w:tcPr>
            <w:tcW w:w="40" w:type="dxa"/>
            <w:shd w:val="clear" w:color="auto" w:fill="auto"/>
            <w:tcMar>
              <w:top w:w="0" w:type="dxa"/>
              <w:left w:w="10" w:type="dxa"/>
              <w:bottom w:w="0" w:type="dxa"/>
              <w:right w:w="10" w:type="dxa"/>
            </w:tcMar>
          </w:tcPr>
          <w:p w14:paraId="4B1BB19C" w14:textId="77777777" w:rsidR="009A1A75" w:rsidRPr="000A05B7" w:rsidRDefault="009A1A75" w:rsidP="009A1A75">
            <w:pPr>
              <w:snapToGrid w:val="0"/>
              <w:rPr>
                <w:rFonts w:ascii="標楷體" w:eastAsia="標楷體" w:hAnsi="標楷體" w:cs="Calibri"/>
                <w:szCs w:val="24"/>
              </w:rPr>
            </w:pPr>
          </w:p>
        </w:tc>
      </w:tr>
      <w:tr w:rsidR="009A1A75" w:rsidRPr="000A05B7" w14:paraId="7CC75630" w14:textId="77777777" w:rsidTr="009A1A75">
        <w:trPr>
          <w:cantSplit/>
          <w:trHeight w:val="517"/>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616677"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醫療機構</w:t>
            </w: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A4C59C"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名稱</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3DE9EE" w14:textId="77777777" w:rsidR="009A1A75" w:rsidRPr="000A05B7" w:rsidRDefault="009A1A75" w:rsidP="009A1A75">
            <w:pPr>
              <w:snapToGrid w:val="0"/>
              <w:spacing w:line="200" w:lineRule="exact"/>
              <w:rPr>
                <w:rFonts w:ascii="標楷體" w:eastAsia="標楷體" w:hAnsi="標楷體" w:cs="Calibri"/>
                <w:sz w:val="20"/>
                <w:szCs w:val="20"/>
              </w:rPr>
            </w:pPr>
          </w:p>
        </w:tc>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443DC2"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保</w:t>
            </w:r>
          </w:p>
          <w:p w14:paraId="5D01FD56"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險</w:t>
            </w:r>
          </w:p>
          <w:p w14:paraId="3060BF7C"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對</w:t>
            </w:r>
          </w:p>
          <w:p w14:paraId="0A9EB976"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象</w:t>
            </w: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DAD4D"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姓名</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2E16C0" w14:textId="77777777" w:rsidR="009A1A75" w:rsidRPr="000A05B7" w:rsidRDefault="009A1A75" w:rsidP="009A1A75">
            <w:pPr>
              <w:snapToGrid w:val="0"/>
              <w:spacing w:line="200" w:lineRule="exact"/>
              <w:rPr>
                <w:rFonts w:ascii="標楷體" w:eastAsia="標楷體" w:hAnsi="標楷體" w:cs="Calibri"/>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2B8AEF"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出生</w:t>
            </w:r>
          </w:p>
        </w:tc>
        <w:tc>
          <w:tcPr>
            <w:tcW w:w="13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7DBBBB" w14:textId="77777777" w:rsidR="009A1A75" w:rsidRPr="000A05B7" w:rsidRDefault="009A1A75" w:rsidP="009A1A75">
            <w:pPr>
              <w:snapToGrid w:val="0"/>
              <w:spacing w:line="200" w:lineRule="exact"/>
              <w:rPr>
                <w:rFonts w:ascii="標楷體" w:eastAsia="標楷體" w:hAnsi="標楷體" w:cs="Calibri"/>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97C4A8"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原受理編號</w:t>
            </w:r>
          </w:p>
          <w:p w14:paraId="7260450F"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（申復時填用）</w:t>
            </w:r>
          </w:p>
        </w:tc>
        <w:tc>
          <w:tcPr>
            <w:tcW w:w="15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463D2B" w14:textId="77777777" w:rsidR="009A1A75" w:rsidRPr="000A05B7" w:rsidRDefault="009A1A75" w:rsidP="009A1A75">
            <w:pPr>
              <w:snapToGrid w:val="0"/>
              <w:spacing w:line="200" w:lineRule="exact"/>
              <w:rPr>
                <w:rFonts w:ascii="標楷體" w:eastAsia="標楷體" w:hAnsi="標楷體" w:cs="Calibri"/>
                <w:sz w:val="20"/>
                <w:szCs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A58A0B"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預定實施日期</w:t>
            </w:r>
          </w:p>
        </w:tc>
        <w:tc>
          <w:tcPr>
            <w:tcW w:w="229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AD7F5E" w14:textId="77777777" w:rsidR="009A1A75" w:rsidRPr="000A05B7" w:rsidRDefault="009A1A75" w:rsidP="009A1A75">
            <w:pPr>
              <w:snapToGrid w:val="0"/>
              <w:spacing w:line="200" w:lineRule="exact"/>
              <w:rPr>
                <w:rFonts w:ascii="標楷體" w:eastAsia="標楷體" w:hAnsi="標楷體" w:cs="Calibri"/>
                <w:sz w:val="20"/>
                <w:szCs w:val="20"/>
              </w:rPr>
            </w:pPr>
          </w:p>
        </w:tc>
        <w:tc>
          <w:tcPr>
            <w:tcW w:w="40" w:type="dxa"/>
            <w:shd w:val="clear" w:color="auto" w:fill="auto"/>
            <w:tcMar>
              <w:top w:w="0" w:type="dxa"/>
              <w:left w:w="10" w:type="dxa"/>
              <w:bottom w:w="0" w:type="dxa"/>
              <w:right w:w="10" w:type="dxa"/>
            </w:tcMar>
          </w:tcPr>
          <w:p w14:paraId="62FC1BE7" w14:textId="77777777" w:rsidR="009A1A75" w:rsidRPr="000A05B7" w:rsidRDefault="009A1A75" w:rsidP="009A1A75">
            <w:pPr>
              <w:snapToGrid w:val="0"/>
              <w:spacing w:line="200" w:lineRule="exact"/>
              <w:rPr>
                <w:rFonts w:ascii="標楷體" w:eastAsia="標楷體" w:hAnsi="標楷體" w:cs="Calibri"/>
                <w:sz w:val="20"/>
                <w:szCs w:val="20"/>
              </w:rPr>
            </w:pPr>
          </w:p>
        </w:tc>
      </w:tr>
      <w:tr w:rsidR="009A1A75" w:rsidRPr="000A05B7" w14:paraId="2EAC44FE" w14:textId="77777777" w:rsidTr="009A1A75">
        <w:trPr>
          <w:cantSplit/>
          <w:trHeight w:val="530"/>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27783" w14:textId="77777777" w:rsidR="009A1A75" w:rsidRPr="000A05B7" w:rsidRDefault="009A1A75" w:rsidP="009A1A75">
            <w:pPr>
              <w:snapToGrid w:val="0"/>
              <w:spacing w:line="200" w:lineRule="exact"/>
              <w:rPr>
                <w:rFonts w:ascii="標楷體" w:eastAsia="標楷體" w:hAnsi="標楷體" w:cs="Calibri"/>
                <w:sz w:val="20"/>
                <w:szCs w:val="20"/>
              </w:rPr>
            </w:pP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EF8AAC"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代號</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7B72A" w14:textId="77777777" w:rsidR="009A1A75" w:rsidRPr="000A05B7" w:rsidRDefault="009A1A75" w:rsidP="009A1A75">
            <w:pPr>
              <w:snapToGrid w:val="0"/>
              <w:spacing w:line="200" w:lineRule="exact"/>
              <w:rPr>
                <w:rFonts w:ascii="標楷體" w:eastAsia="標楷體" w:hAnsi="標楷體" w:cs="Calibri"/>
                <w:sz w:val="20"/>
                <w:szCs w:val="20"/>
              </w:rPr>
            </w:pPr>
          </w:p>
        </w:tc>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2A6F17" w14:textId="77777777" w:rsidR="009A1A75" w:rsidRPr="000A05B7" w:rsidRDefault="009A1A75" w:rsidP="009A1A75">
            <w:pPr>
              <w:snapToGrid w:val="0"/>
              <w:spacing w:line="200" w:lineRule="exact"/>
              <w:rPr>
                <w:rFonts w:ascii="標楷體" w:eastAsia="標楷體" w:hAnsi="標楷體" w:cs="Calibri"/>
                <w:sz w:val="20"/>
                <w:szCs w:val="20"/>
              </w:rPr>
            </w:pP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F4C555"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身分證</w:t>
            </w:r>
          </w:p>
          <w:p w14:paraId="2A433103"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統一編號</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BBFF7A" w14:textId="77777777" w:rsidR="009A1A75" w:rsidRPr="000A05B7" w:rsidRDefault="009A1A75" w:rsidP="009A1A75">
            <w:pPr>
              <w:snapToGrid w:val="0"/>
              <w:spacing w:line="200" w:lineRule="exact"/>
              <w:rPr>
                <w:rFonts w:ascii="標楷體" w:eastAsia="標楷體" w:hAnsi="標楷體" w:cs="Calibri"/>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44DEC9"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科</w:t>
            </w:r>
          </w:p>
          <w:p w14:paraId="16239B6A"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別</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DF58A" w14:textId="77777777" w:rsidR="009A1A75" w:rsidRPr="000A05B7" w:rsidRDefault="009A1A75" w:rsidP="009A1A75">
            <w:pPr>
              <w:snapToGrid w:val="0"/>
              <w:spacing w:line="200" w:lineRule="exact"/>
              <w:rPr>
                <w:rFonts w:ascii="標楷體" w:eastAsia="標楷體" w:hAnsi="標楷體" w:cs="Calibri"/>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91ACA4"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□門診□住院</w:t>
            </w:r>
          </w:p>
        </w:tc>
        <w:tc>
          <w:tcPr>
            <w:tcW w:w="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98CCA5"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病歷號碼</w:t>
            </w:r>
          </w:p>
        </w:tc>
        <w:tc>
          <w:tcPr>
            <w:tcW w:w="14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EFB134" w14:textId="77777777" w:rsidR="009A1A75" w:rsidRPr="000A05B7" w:rsidRDefault="009A1A75" w:rsidP="009A1A75">
            <w:pPr>
              <w:snapToGrid w:val="0"/>
              <w:spacing w:line="200" w:lineRule="exact"/>
              <w:rPr>
                <w:rFonts w:ascii="標楷體" w:eastAsia="標楷體" w:hAnsi="標楷體" w:cs="Calibri"/>
                <w:sz w:val="20"/>
                <w:szCs w:val="20"/>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6DFADF"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申請醫師身分證號</w:t>
            </w:r>
          </w:p>
        </w:tc>
        <w:tc>
          <w:tcPr>
            <w:tcW w:w="19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3E14D5" w14:textId="77777777" w:rsidR="009A1A75" w:rsidRPr="000A05B7" w:rsidRDefault="009A1A75" w:rsidP="009A1A75">
            <w:pPr>
              <w:snapToGrid w:val="0"/>
              <w:spacing w:line="200" w:lineRule="exact"/>
              <w:rPr>
                <w:rFonts w:ascii="標楷體" w:eastAsia="標楷體" w:hAnsi="標楷體" w:cs="Calibri"/>
                <w:sz w:val="20"/>
                <w:szCs w:val="20"/>
              </w:rPr>
            </w:pPr>
          </w:p>
        </w:tc>
        <w:tc>
          <w:tcPr>
            <w:tcW w:w="40" w:type="dxa"/>
            <w:shd w:val="clear" w:color="auto" w:fill="auto"/>
            <w:tcMar>
              <w:top w:w="0" w:type="dxa"/>
              <w:left w:w="10" w:type="dxa"/>
              <w:bottom w:w="0" w:type="dxa"/>
              <w:right w:w="10" w:type="dxa"/>
            </w:tcMar>
          </w:tcPr>
          <w:p w14:paraId="5CB1DE5C" w14:textId="77777777" w:rsidR="009A1A75" w:rsidRPr="000A05B7" w:rsidRDefault="009A1A75" w:rsidP="009A1A75">
            <w:pPr>
              <w:snapToGrid w:val="0"/>
              <w:spacing w:line="200" w:lineRule="exact"/>
              <w:rPr>
                <w:rFonts w:ascii="標楷體" w:eastAsia="標楷體" w:hAnsi="標楷體" w:cs="Calibri"/>
                <w:sz w:val="20"/>
                <w:szCs w:val="20"/>
              </w:rPr>
            </w:pPr>
          </w:p>
        </w:tc>
      </w:tr>
      <w:tr w:rsidR="009A1A75" w:rsidRPr="000A05B7" w14:paraId="4ED13516" w14:textId="77777777" w:rsidTr="009A1A75">
        <w:trPr>
          <w:cantSplit/>
          <w:trHeight w:val="613"/>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DF8863" w14:textId="77777777" w:rsidR="009A1A75" w:rsidRPr="000A05B7" w:rsidRDefault="009A1A75" w:rsidP="009A1A75">
            <w:pPr>
              <w:snapToGrid w:val="0"/>
              <w:spacing w:line="200" w:lineRule="exact"/>
              <w:rPr>
                <w:rFonts w:ascii="標楷體" w:eastAsia="標楷體" w:hAnsi="標楷體" w:cs="Calibri"/>
                <w:sz w:val="20"/>
                <w:szCs w:val="20"/>
              </w:rPr>
            </w:pPr>
            <w:r w:rsidRPr="000A05B7">
              <w:rPr>
                <w:rFonts w:ascii="標楷體" w:eastAsia="標楷體" w:hAnsi="標楷體" w:cs="Calibri"/>
                <w:sz w:val="20"/>
                <w:szCs w:val="20"/>
              </w:rPr>
              <w:t>ICD-10代碼</w:t>
            </w:r>
          </w:p>
        </w:tc>
        <w:tc>
          <w:tcPr>
            <w:tcW w:w="25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7FF5B7" w14:textId="77777777" w:rsidR="009A1A75" w:rsidRPr="000A05B7" w:rsidRDefault="009A1A75" w:rsidP="009A1A75">
            <w:pPr>
              <w:snapToGrid w:val="0"/>
              <w:spacing w:line="200" w:lineRule="exact"/>
              <w:rPr>
                <w:rFonts w:ascii="標楷體" w:eastAsia="標楷體" w:hAnsi="標楷體" w:cs="Calibri"/>
                <w:sz w:val="20"/>
                <w:szCs w:val="20"/>
              </w:rPr>
            </w:pP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02265A"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疾病名稱</w:t>
            </w:r>
          </w:p>
        </w:tc>
        <w:tc>
          <w:tcPr>
            <w:tcW w:w="31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61F5E" w14:textId="77777777" w:rsidR="009A1A75" w:rsidRPr="000A05B7" w:rsidRDefault="009A1A75" w:rsidP="009A1A75">
            <w:pPr>
              <w:snapToGrid w:val="0"/>
              <w:spacing w:line="200" w:lineRule="exact"/>
              <w:rPr>
                <w:rFonts w:ascii="標楷體" w:eastAsia="標楷體" w:hAnsi="標楷體" w:cs="Calibri"/>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E165D"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使用日期</w:t>
            </w:r>
          </w:p>
        </w:tc>
        <w:tc>
          <w:tcPr>
            <w:tcW w:w="4906" w:type="dxa"/>
            <w:gridSpan w:val="1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425CD6FC" w14:textId="77777777" w:rsidR="009A1A75" w:rsidRPr="000A05B7" w:rsidRDefault="009A1A75" w:rsidP="009A1A75">
            <w:pPr>
              <w:snapToGrid w:val="0"/>
              <w:spacing w:line="200" w:lineRule="exact"/>
              <w:rPr>
                <w:rFonts w:ascii="Times New Roman" w:hAnsi="Times New Roman"/>
                <w:szCs w:val="24"/>
              </w:rPr>
            </w:pPr>
            <w:r w:rsidRPr="000A05B7">
              <w:rPr>
                <w:rFonts w:ascii="標楷體" w:eastAsia="標楷體" w:hAnsi="標楷體" w:cs="Calibri"/>
                <w:sz w:val="20"/>
                <w:szCs w:val="20"/>
              </w:rPr>
              <w:t>年月日至年月日</w:t>
            </w:r>
          </w:p>
        </w:tc>
        <w:tc>
          <w:tcPr>
            <w:tcW w:w="40" w:type="dxa"/>
            <w:shd w:val="clear" w:color="auto" w:fill="auto"/>
            <w:tcMar>
              <w:top w:w="0" w:type="dxa"/>
              <w:left w:w="10" w:type="dxa"/>
              <w:bottom w:w="0" w:type="dxa"/>
              <w:right w:w="10" w:type="dxa"/>
            </w:tcMar>
          </w:tcPr>
          <w:p w14:paraId="7EB05C48" w14:textId="77777777" w:rsidR="009A1A75" w:rsidRPr="000A05B7" w:rsidRDefault="009A1A75" w:rsidP="009A1A75">
            <w:pPr>
              <w:snapToGrid w:val="0"/>
              <w:spacing w:line="200" w:lineRule="exact"/>
              <w:rPr>
                <w:rFonts w:ascii="標楷體" w:eastAsia="標楷體" w:hAnsi="標楷體" w:cs="Calibri"/>
                <w:szCs w:val="24"/>
              </w:rPr>
            </w:pPr>
          </w:p>
        </w:tc>
      </w:tr>
      <w:tr w:rsidR="009A1A75" w:rsidRPr="000A05B7" w14:paraId="7EFA9A6A" w14:textId="77777777" w:rsidTr="009A1A75">
        <w:trPr>
          <w:cantSplit/>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EE5B71"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藥品代碼</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36DEB6"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申請類別</w:t>
            </w: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0AABBC"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給付規定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B06F0"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用法</w:t>
            </w:r>
          </w:p>
          <w:p w14:paraId="05F61582"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用量</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3DA6B"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申請</w:t>
            </w:r>
          </w:p>
          <w:p w14:paraId="44FF0B92"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數量</w:t>
            </w:r>
          </w:p>
        </w:tc>
        <w:tc>
          <w:tcPr>
            <w:tcW w:w="4906" w:type="dxa"/>
            <w:gridSpan w:val="1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76BAB92" w14:textId="77777777" w:rsidR="009A1A75" w:rsidRPr="000A05B7" w:rsidRDefault="009A1A75" w:rsidP="009A1A75">
            <w:pPr>
              <w:snapToGrid w:val="0"/>
              <w:spacing w:line="200" w:lineRule="exact"/>
              <w:jc w:val="center"/>
              <w:rPr>
                <w:rFonts w:ascii="Times New Roman" w:hAnsi="Times New Roman"/>
                <w:szCs w:val="24"/>
              </w:rPr>
            </w:pPr>
            <w:r w:rsidRPr="000A05B7">
              <w:rPr>
                <w:rFonts w:ascii="標楷體" w:eastAsia="標楷體" w:hAnsi="標楷體" w:cs="Calibri"/>
                <w:sz w:val="20"/>
                <w:szCs w:val="20"/>
              </w:rPr>
              <w:t>保險人核定欄</w:t>
            </w:r>
          </w:p>
        </w:tc>
        <w:tc>
          <w:tcPr>
            <w:tcW w:w="40" w:type="dxa"/>
            <w:shd w:val="clear" w:color="auto" w:fill="auto"/>
            <w:tcMar>
              <w:top w:w="0" w:type="dxa"/>
              <w:left w:w="10" w:type="dxa"/>
              <w:bottom w:w="0" w:type="dxa"/>
              <w:right w:w="10" w:type="dxa"/>
            </w:tcMar>
          </w:tcPr>
          <w:p w14:paraId="48A1B71C" w14:textId="77777777" w:rsidR="009A1A75" w:rsidRPr="000A05B7" w:rsidRDefault="009A1A75" w:rsidP="009A1A75">
            <w:pPr>
              <w:snapToGrid w:val="0"/>
              <w:spacing w:line="200" w:lineRule="exact"/>
              <w:jc w:val="center"/>
              <w:rPr>
                <w:rFonts w:ascii="標楷體" w:eastAsia="標楷體" w:hAnsi="標楷體" w:cs="Calibri"/>
                <w:szCs w:val="24"/>
              </w:rPr>
            </w:pPr>
          </w:p>
        </w:tc>
      </w:tr>
      <w:tr w:rsidR="009A1A75" w:rsidRPr="000A05B7" w14:paraId="73328E5B" w14:textId="77777777" w:rsidTr="009A1A75">
        <w:trPr>
          <w:cantSplit/>
          <w:trHeight w:val="2095"/>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2CE44" w14:textId="77777777" w:rsidR="009A1A75" w:rsidRPr="000A05B7" w:rsidRDefault="009A1A75" w:rsidP="009A1A75">
            <w:pPr>
              <w:snapToGrid w:val="0"/>
              <w:spacing w:line="200" w:lineRule="exact"/>
              <w:rPr>
                <w:rFonts w:ascii="標楷體" w:eastAsia="標楷體" w:hAnsi="標楷體" w:cs="Calibri"/>
                <w:szCs w:val="24"/>
              </w:rPr>
            </w:pPr>
          </w:p>
          <w:p w14:paraId="59AFE6FC" w14:textId="77777777" w:rsidR="009A1A75" w:rsidRPr="000A05B7" w:rsidRDefault="009A1A75" w:rsidP="009A1A75">
            <w:pPr>
              <w:snapToGrid w:val="0"/>
              <w:spacing w:line="200" w:lineRule="exact"/>
              <w:rPr>
                <w:rFonts w:ascii="標楷體" w:eastAsia="標楷體" w:hAnsi="標楷體" w:cs="Calibri"/>
                <w:sz w:val="20"/>
                <w:szCs w:val="20"/>
              </w:rPr>
            </w:pPr>
            <w:r w:rsidRPr="000A05B7">
              <w:rPr>
                <w:rFonts w:ascii="標楷體" w:eastAsia="標楷體" w:hAnsi="標楷體" w:cs="Calibri"/>
                <w:sz w:val="20"/>
                <w:szCs w:val="20"/>
              </w:rPr>
              <w:t>Soliris</w:t>
            </w:r>
          </w:p>
          <w:p w14:paraId="4C3D3B1F" w14:textId="77777777" w:rsidR="009A1A75" w:rsidRPr="000A05B7" w:rsidRDefault="009A1A75" w:rsidP="009A1A75">
            <w:pPr>
              <w:snapToGrid w:val="0"/>
              <w:spacing w:line="200" w:lineRule="exact"/>
              <w:rPr>
                <w:rFonts w:ascii="標楷體" w:eastAsia="標楷體" w:hAnsi="標楷體" w:cs="Calibri"/>
                <w:szCs w:val="24"/>
              </w:rPr>
            </w:pPr>
          </w:p>
          <w:p w14:paraId="6411EB7A" w14:textId="77777777" w:rsidR="009A1A75" w:rsidRPr="000A05B7" w:rsidRDefault="009A1A75" w:rsidP="009A1A75">
            <w:pPr>
              <w:snapToGrid w:val="0"/>
              <w:rPr>
                <w:rFonts w:ascii="Times New Roman" w:hAnsi="Times New Roman"/>
                <w:szCs w:val="24"/>
              </w:rPr>
            </w:pPr>
            <w:r w:rsidRPr="000A05B7">
              <w:rPr>
                <w:rFonts w:ascii="標楷體" w:eastAsia="標楷體" w:hAnsi="標楷體" w:cs="Calibri"/>
                <w:sz w:val="20"/>
                <w:szCs w:val="20"/>
              </w:rPr>
              <w:t>□</w:t>
            </w:r>
            <w:r w:rsidRPr="000A05B7">
              <w:rPr>
                <w:rFonts w:ascii="標楷體" w:eastAsia="標楷體" w:hAnsi="標楷體" w:cs="Calibri"/>
                <w:kern w:val="0"/>
                <w:sz w:val="16"/>
                <w:szCs w:val="16"/>
              </w:rPr>
              <w:t>YC00016243</w:t>
            </w:r>
          </w:p>
          <w:p w14:paraId="1E8391A5" w14:textId="77777777" w:rsidR="009A1A75" w:rsidRPr="000A05B7" w:rsidRDefault="009A1A75" w:rsidP="009A1A75">
            <w:pPr>
              <w:widowControl/>
              <w:snapToGrid w:val="0"/>
              <w:rPr>
                <w:rFonts w:ascii="標楷體" w:eastAsia="標楷體" w:hAnsi="標楷體" w:cs="Calibri"/>
                <w:sz w:val="20"/>
                <w:szCs w:val="20"/>
              </w:rPr>
            </w:pPr>
          </w:p>
          <w:p w14:paraId="3877371E" w14:textId="77777777" w:rsidR="009A1A75" w:rsidRPr="000A05B7" w:rsidRDefault="009A1A75" w:rsidP="009A1A75">
            <w:pPr>
              <w:widowControl/>
              <w:snapToGrid w:val="0"/>
              <w:rPr>
                <w:rFonts w:ascii="標楷體" w:eastAsia="標楷體" w:hAnsi="標楷體" w:cs="Calibri"/>
                <w:sz w:val="20"/>
                <w:szCs w:val="20"/>
              </w:rPr>
            </w:pPr>
            <w:r w:rsidRPr="000A05B7">
              <w:rPr>
                <w:rFonts w:ascii="標楷體" w:eastAsia="標楷體" w:hAnsi="標楷體" w:cs="Calibri"/>
                <w:sz w:val="20"/>
                <w:szCs w:val="20"/>
              </w:rPr>
              <w:t>Ultomiris</w:t>
            </w:r>
          </w:p>
          <w:p w14:paraId="508A3B03" w14:textId="77777777" w:rsidR="009A1A75" w:rsidRPr="000A05B7" w:rsidRDefault="009A1A75" w:rsidP="009A1A75">
            <w:pPr>
              <w:widowControl/>
              <w:snapToGrid w:val="0"/>
              <w:rPr>
                <w:rFonts w:ascii="Times New Roman" w:hAnsi="Times New Roman"/>
                <w:szCs w:val="24"/>
              </w:rPr>
            </w:pPr>
            <w:r w:rsidRPr="000A05B7">
              <w:rPr>
                <w:rFonts w:ascii="標楷體" w:eastAsia="標楷體" w:hAnsi="標楷體" w:cs="Calibri"/>
                <w:sz w:val="20"/>
                <w:szCs w:val="20"/>
              </w:rPr>
              <w:t>□</w:t>
            </w:r>
            <w:r w:rsidRPr="000A05B7">
              <w:rPr>
                <w:rFonts w:ascii="標楷體" w:eastAsia="標楷體" w:hAnsi="標楷體" w:cs="Calibri"/>
                <w:kern w:val="0"/>
                <w:sz w:val="16"/>
                <w:szCs w:val="16"/>
              </w:rPr>
              <w:t>YC00045216</w:t>
            </w:r>
          </w:p>
          <w:p w14:paraId="6206B602" w14:textId="77777777" w:rsidR="009A1A75" w:rsidRPr="000A05B7" w:rsidRDefault="009A1A75" w:rsidP="009A1A75">
            <w:pPr>
              <w:widowControl/>
              <w:snapToGrid w:val="0"/>
              <w:rPr>
                <w:rFonts w:ascii="Times New Roman" w:hAnsi="Times New Roman"/>
                <w:szCs w:val="24"/>
              </w:rPr>
            </w:pPr>
            <w:r w:rsidRPr="000A05B7">
              <w:rPr>
                <w:rFonts w:ascii="標楷體" w:eastAsia="標楷體" w:hAnsi="標楷體" w:cs="Calibri"/>
                <w:sz w:val="20"/>
                <w:szCs w:val="20"/>
              </w:rPr>
              <w:t xml:space="preserve">  </w:t>
            </w:r>
            <w:r w:rsidRPr="000A05B7">
              <w:rPr>
                <w:rFonts w:ascii="標楷體" w:eastAsia="標楷體" w:hAnsi="標楷體" w:cs="Calibri"/>
                <w:kern w:val="0"/>
                <w:sz w:val="16"/>
                <w:szCs w:val="16"/>
              </w:rPr>
              <w:t>YC000452C3</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1555A" w14:textId="77777777" w:rsidR="009A1A75" w:rsidRPr="000A05B7" w:rsidRDefault="009A1A75" w:rsidP="009A1A75">
            <w:pPr>
              <w:snapToGrid w:val="0"/>
              <w:spacing w:before="180"/>
              <w:ind w:left="269" w:hanging="269"/>
              <w:rPr>
                <w:rFonts w:ascii="標楷體" w:eastAsia="標楷體" w:hAnsi="標楷體" w:cs="Calibri"/>
                <w:szCs w:val="24"/>
              </w:rPr>
            </w:pPr>
          </w:p>
          <w:p w14:paraId="1AB42362" w14:textId="77777777" w:rsidR="009A1A75" w:rsidRPr="000A05B7" w:rsidRDefault="009A1A75" w:rsidP="009A1A75">
            <w:pPr>
              <w:snapToGrid w:val="0"/>
              <w:spacing w:line="200" w:lineRule="exact"/>
              <w:ind w:left="320" w:hanging="320"/>
              <w:rPr>
                <w:rFonts w:ascii="Times New Roman" w:hAnsi="Times New Roman"/>
                <w:szCs w:val="24"/>
              </w:rPr>
            </w:pPr>
            <w:r w:rsidRPr="000A05B7">
              <w:rPr>
                <w:rFonts w:ascii="標楷體" w:eastAsia="標楷體" w:hAnsi="標楷體" w:cs="Calibri"/>
                <w:sz w:val="20"/>
                <w:szCs w:val="20"/>
              </w:rPr>
              <w:t>□第一次申請</w:t>
            </w:r>
          </w:p>
          <w:p w14:paraId="0BBE173C" w14:textId="77777777" w:rsidR="009A1A75" w:rsidRPr="000A05B7" w:rsidRDefault="009A1A75" w:rsidP="009A1A75">
            <w:pPr>
              <w:snapToGrid w:val="0"/>
              <w:spacing w:line="200" w:lineRule="exact"/>
              <w:ind w:left="220" w:hanging="100"/>
              <w:rPr>
                <w:rFonts w:ascii="標楷體" w:eastAsia="標楷體" w:hAnsi="標楷體" w:cs="Calibri"/>
                <w:sz w:val="20"/>
                <w:szCs w:val="20"/>
              </w:rPr>
            </w:pPr>
          </w:p>
          <w:p w14:paraId="168E07DB" w14:textId="77777777" w:rsidR="009A1A75" w:rsidRPr="000A05B7" w:rsidRDefault="009A1A75" w:rsidP="009A1A75">
            <w:pPr>
              <w:snapToGrid w:val="0"/>
              <w:spacing w:line="200" w:lineRule="exact"/>
              <w:ind w:left="320" w:hanging="320"/>
              <w:rPr>
                <w:rFonts w:ascii="Times New Roman" w:hAnsi="Times New Roman"/>
                <w:szCs w:val="24"/>
              </w:rPr>
            </w:pPr>
            <w:r w:rsidRPr="000A05B7">
              <w:rPr>
                <w:rFonts w:ascii="標楷體" w:eastAsia="標楷體" w:hAnsi="標楷體" w:cs="Calibri"/>
                <w:sz w:val="20"/>
                <w:szCs w:val="20"/>
              </w:rPr>
              <w:t>□治療後再次申請</w:t>
            </w:r>
            <w:r w:rsidRPr="000A05B7">
              <w:rPr>
                <w:rFonts w:ascii="標楷體" w:eastAsia="標楷體" w:hAnsi="標楷體" w:cs="Calibri"/>
                <w:kern w:val="0"/>
                <w:sz w:val="20"/>
                <w:szCs w:val="20"/>
              </w:rPr>
              <w:t>續用</w:t>
            </w:r>
          </w:p>
          <w:p w14:paraId="61D012BB" w14:textId="77777777" w:rsidR="009A1A75" w:rsidRPr="000A05B7" w:rsidRDefault="009A1A75" w:rsidP="009A1A75">
            <w:pPr>
              <w:snapToGrid w:val="0"/>
              <w:spacing w:before="180"/>
              <w:ind w:left="224" w:hanging="224"/>
              <w:rPr>
                <w:rFonts w:ascii="標楷體" w:eastAsia="標楷體" w:hAnsi="標楷體" w:cs="Calibri"/>
                <w:sz w:val="20"/>
                <w:szCs w:val="20"/>
              </w:rPr>
            </w:pP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B764A" w14:textId="77777777" w:rsidR="009A1A75" w:rsidRPr="000A05B7" w:rsidRDefault="009A1A75" w:rsidP="009A1A75">
            <w:pPr>
              <w:snapToGrid w:val="0"/>
              <w:spacing w:before="162" w:after="162" w:line="240" w:lineRule="exact"/>
              <w:ind w:left="1360" w:hanging="1120"/>
              <w:rPr>
                <w:rFonts w:ascii="標楷體" w:eastAsia="標楷體" w:hAnsi="標楷體" w:cs="Calibri"/>
                <w:sz w:val="20"/>
                <w:szCs w:val="20"/>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D01" w14:textId="77777777" w:rsidR="009A1A75" w:rsidRPr="000A05B7" w:rsidRDefault="009A1A75" w:rsidP="009A1A75">
            <w:pPr>
              <w:snapToGrid w:val="0"/>
              <w:spacing w:line="200" w:lineRule="exact"/>
              <w:rPr>
                <w:rFonts w:ascii="標楷體" w:eastAsia="標楷體" w:hAnsi="標楷體" w:cs="Calibri"/>
                <w:sz w:val="20"/>
                <w:szCs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ADB13" w14:textId="77777777" w:rsidR="009A1A75" w:rsidRPr="000A05B7" w:rsidRDefault="009A1A75" w:rsidP="009A1A75">
            <w:pPr>
              <w:snapToGrid w:val="0"/>
              <w:rPr>
                <w:rFonts w:ascii="標楷體" w:eastAsia="標楷體" w:hAnsi="標楷體" w:cs="Calibri"/>
                <w:sz w:val="20"/>
                <w:szCs w:val="20"/>
              </w:rPr>
            </w:pPr>
          </w:p>
        </w:tc>
        <w:tc>
          <w:tcPr>
            <w:tcW w:w="4906" w:type="dxa"/>
            <w:gridSpan w:val="14"/>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DE34E53" w14:textId="77777777" w:rsidR="009A1A75" w:rsidRPr="000A05B7" w:rsidRDefault="009A1A75" w:rsidP="009A1A75">
            <w:pPr>
              <w:tabs>
                <w:tab w:val="left" w:pos="240"/>
              </w:tabs>
              <w:snapToGrid w:val="0"/>
              <w:spacing w:line="240" w:lineRule="exact"/>
              <w:rPr>
                <w:rFonts w:ascii="Times New Roman" w:hAnsi="Times New Roman"/>
                <w:szCs w:val="24"/>
              </w:rPr>
            </w:pPr>
            <w:r w:rsidRPr="000A05B7">
              <w:rPr>
                <w:rFonts w:ascii="標楷體" w:eastAsia="標楷體" w:hAnsi="標楷體" w:cs="Calibri"/>
                <w:sz w:val="20"/>
                <w:szCs w:val="20"/>
              </w:rPr>
              <w:t>□同意備查。</w:t>
            </w:r>
          </w:p>
          <w:p w14:paraId="1440D1F9" w14:textId="77777777" w:rsidR="009A1A75" w:rsidRPr="000A05B7" w:rsidRDefault="009A1A75" w:rsidP="009A1A75">
            <w:pPr>
              <w:tabs>
                <w:tab w:val="left" w:pos="592"/>
              </w:tabs>
              <w:snapToGrid w:val="0"/>
              <w:spacing w:line="240" w:lineRule="exact"/>
              <w:ind w:left="307"/>
              <w:rPr>
                <w:rFonts w:ascii="Times New Roman" w:hAnsi="Times New Roman"/>
                <w:szCs w:val="24"/>
              </w:rPr>
            </w:pPr>
            <w:r w:rsidRPr="000A05B7">
              <w:rPr>
                <w:rFonts w:ascii="標楷體" w:eastAsia="標楷體" w:hAnsi="標楷體" w:cs="Calibri"/>
                <w:sz w:val="20"/>
                <w:szCs w:val="20"/>
              </w:rPr>
              <w:t>□使用劑量不符合常規，核定量為</w:t>
            </w:r>
          </w:p>
          <w:p w14:paraId="15C3EED6" w14:textId="77777777" w:rsidR="009A1A75" w:rsidRPr="000A05B7" w:rsidRDefault="009A1A75" w:rsidP="009A1A75">
            <w:pPr>
              <w:snapToGrid w:val="0"/>
              <w:spacing w:line="240" w:lineRule="exact"/>
              <w:rPr>
                <w:rFonts w:ascii="Times New Roman" w:hAnsi="Times New Roman"/>
                <w:szCs w:val="24"/>
              </w:rPr>
            </w:pPr>
            <w:r w:rsidRPr="000A05B7">
              <w:rPr>
                <w:rFonts w:ascii="標楷體" w:eastAsia="標楷體" w:hAnsi="標楷體" w:cs="Calibri"/>
                <w:sz w:val="20"/>
                <w:szCs w:val="20"/>
              </w:rPr>
              <w:t>□不同意</w:t>
            </w:r>
          </w:p>
          <w:p w14:paraId="18AE561F" w14:textId="77777777" w:rsidR="009A1A75" w:rsidRPr="000A05B7" w:rsidRDefault="009A1A75" w:rsidP="009A1A75">
            <w:pPr>
              <w:snapToGrid w:val="0"/>
              <w:spacing w:line="240" w:lineRule="exact"/>
              <w:ind w:left="309"/>
              <w:rPr>
                <w:rFonts w:ascii="Times New Roman" w:hAnsi="Times New Roman"/>
                <w:szCs w:val="24"/>
              </w:rPr>
            </w:pPr>
            <w:r w:rsidRPr="000A05B7">
              <w:rPr>
                <w:rFonts w:ascii="標楷體" w:eastAsia="標楷體" w:hAnsi="標楷體" w:cs="Calibri"/>
                <w:sz w:val="20"/>
                <w:szCs w:val="20"/>
              </w:rPr>
              <w:t>□不符合給付規定之適應症。</w:t>
            </w:r>
          </w:p>
          <w:p w14:paraId="732A9696" w14:textId="77777777" w:rsidR="009A1A75" w:rsidRPr="000A05B7" w:rsidRDefault="009A1A75" w:rsidP="009A1A75">
            <w:pPr>
              <w:tabs>
                <w:tab w:val="left" w:pos="592"/>
              </w:tabs>
              <w:snapToGrid w:val="0"/>
              <w:spacing w:line="240" w:lineRule="exact"/>
              <w:ind w:left="309"/>
              <w:rPr>
                <w:rFonts w:ascii="Times New Roman" w:hAnsi="Times New Roman"/>
                <w:szCs w:val="24"/>
              </w:rPr>
            </w:pPr>
            <w:r w:rsidRPr="000A05B7">
              <w:rPr>
                <w:rFonts w:ascii="標楷體" w:eastAsia="標楷體" w:hAnsi="標楷體" w:cs="Calibri"/>
                <w:sz w:val="20"/>
                <w:szCs w:val="20"/>
              </w:rPr>
              <w:t>□未有佐證資料，排除其他原因引起之貧血。</w:t>
            </w:r>
          </w:p>
          <w:p w14:paraId="43DFE297" w14:textId="77777777" w:rsidR="009A1A75" w:rsidRPr="000A05B7" w:rsidRDefault="009A1A75" w:rsidP="009A1A75">
            <w:pPr>
              <w:snapToGrid w:val="0"/>
              <w:spacing w:line="240" w:lineRule="exact"/>
              <w:ind w:left="512" w:hanging="200"/>
              <w:rPr>
                <w:rFonts w:ascii="Times New Roman" w:hAnsi="Times New Roman"/>
                <w:szCs w:val="24"/>
              </w:rPr>
            </w:pPr>
            <w:r w:rsidRPr="000A05B7">
              <w:rPr>
                <w:rFonts w:ascii="標楷體" w:eastAsia="標楷體" w:hAnsi="標楷體" w:cs="Calibri"/>
                <w:sz w:val="20"/>
                <w:szCs w:val="20"/>
              </w:rPr>
              <w:t>□治療計畫未註明menigococcal vaccine(流行性腦脊髓膜炎疫苗)施打計畫。</w:t>
            </w:r>
          </w:p>
          <w:p w14:paraId="7F049C7C" w14:textId="77777777" w:rsidR="009A1A75" w:rsidRPr="000A05B7" w:rsidRDefault="009A1A75" w:rsidP="009A1A75">
            <w:pPr>
              <w:snapToGrid w:val="0"/>
              <w:spacing w:line="240" w:lineRule="exact"/>
              <w:ind w:left="512" w:hanging="200"/>
              <w:rPr>
                <w:rFonts w:ascii="標楷體" w:eastAsia="標楷體" w:hAnsi="標楷體" w:cs="Calibri"/>
                <w:sz w:val="20"/>
                <w:szCs w:val="20"/>
              </w:rPr>
            </w:pPr>
            <w:r w:rsidRPr="000A05B7">
              <w:rPr>
                <w:rFonts w:ascii="標楷體" w:eastAsia="標楷體" w:hAnsi="標楷體" w:cs="Calibri"/>
                <w:sz w:val="20"/>
                <w:szCs w:val="20"/>
              </w:rPr>
              <w:t>□未附治療計劃(預計使用上述藥物之劑量及預計使用次數)</w:t>
            </w:r>
          </w:p>
          <w:p w14:paraId="6EF434E2" w14:textId="77777777" w:rsidR="009A1A75" w:rsidRPr="000A05B7" w:rsidRDefault="009A1A75" w:rsidP="009A1A75">
            <w:pPr>
              <w:snapToGrid w:val="0"/>
              <w:spacing w:line="240" w:lineRule="exact"/>
              <w:ind w:left="512" w:hanging="200"/>
              <w:rPr>
                <w:rFonts w:ascii="標楷體" w:eastAsia="標楷體" w:hAnsi="標楷體" w:cs="Calibri"/>
                <w:sz w:val="20"/>
                <w:szCs w:val="20"/>
              </w:rPr>
            </w:pPr>
            <w:r w:rsidRPr="000A05B7">
              <w:rPr>
                <w:rFonts w:ascii="標楷體" w:eastAsia="標楷體" w:hAnsi="標楷體" w:cs="Calibri"/>
                <w:sz w:val="20"/>
                <w:szCs w:val="20"/>
              </w:rPr>
              <w:t>□相關檢驗、檢查報告不全(如影像診斷報告或生化檢驗數據)</w:t>
            </w:r>
          </w:p>
          <w:p w14:paraId="299DBB6A" w14:textId="77777777" w:rsidR="009A1A75" w:rsidRPr="000A05B7" w:rsidRDefault="009A1A75" w:rsidP="009A1A75">
            <w:pPr>
              <w:snapToGrid w:val="0"/>
              <w:spacing w:line="240" w:lineRule="exact"/>
              <w:ind w:left="309"/>
              <w:rPr>
                <w:rFonts w:ascii="Times New Roman" w:hAnsi="Times New Roman"/>
                <w:szCs w:val="24"/>
              </w:rPr>
            </w:pPr>
            <w:r w:rsidRPr="000A05B7">
              <w:rPr>
                <w:rFonts w:ascii="標楷體" w:eastAsia="標楷體" w:hAnsi="標楷體" w:cs="Calibri"/>
                <w:sz w:val="20"/>
                <w:szCs w:val="20"/>
              </w:rPr>
              <w:t>□補附資料再審，請補充以下資料</w:t>
            </w:r>
          </w:p>
          <w:p w14:paraId="232B87FC" w14:textId="77777777" w:rsidR="009A1A75" w:rsidRPr="000A05B7" w:rsidRDefault="009A1A75" w:rsidP="009A1A75">
            <w:pPr>
              <w:tabs>
                <w:tab w:val="left" w:pos="1017"/>
              </w:tabs>
              <w:snapToGrid w:val="0"/>
              <w:spacing w:line="240" w:lineRule="exact"/>
              <w:ind w:left="309"/>
              <w:rPr>
                <w:rFonts w:ascii="標楷體" w:eastAsia="標楷體" w:hAnsi="標楷體" w:cs="Calibri"/>
                <w:sz w:val="20"/>
                <w:szCs w:val="20"/>
              </w:rPr>
            </w:pPr>
            <w:r w:rsidRPr="000A05B7">
              <w:rPr>
                <w:rFonts w:ascii="標楷體" w:eastAsia="標楷體" w:hAnsi="標楷體" w:cs="Calibri"/>
                <w:sz w:val="20"/>
                <w:szCs w:val="20"/>
              </w:rPr>
              <w:t>□其他：</w:t>
            </w:r>
          </w:p>
        </w:tc>
        <w:tc>
          <w:tcPr>
            <w:tcW w:w="40" w:type="dxa"/>
            <w:shd w:val="clear" w:color="auto" w:fill="auto"/>
            <w:tcMar>
              <w:top w:w="0" w:type="dxa"/>
              <w:left w:w="10" w:type="dxa"/>
              <w:bottom w:w="0" w:type="dxa"/>
              <w:right w:w="10" w:type="dxa"/>
            </w:tcMar>
          </w:tcPr>
          <w:p w14:paraId="580C840B" w14:textId="77777777" w:rsidR="009A1A75" w:rsidRPr="000A05B7" w:rsidRDefault="009A1A75" w:rsidP="009A1A75">
            <w:pPr>
              <w:tabs>
                <w:tab w:val="left" w:pos="240"/>
              </w:tabs>
              <w:snapToGrid w:val="0"/>
              <w:spacing w:line="240" w:lineRule="exact"/>
              <w:ind w:left="478" w:hanging="238"/>
              <w:rPr>
                <w:rFonts w:ascii="標楷體" w:eastAsia="標楷體" w:hAnsi="標楷體" w:cs="Calibri"/>
                <w:sz w:val="20"/>
                <w:szCs w:val="20"/>
              </w:rPr>
            </w:pPr>
          </w:p>
        </w:tc>
      </w:tr>
      <w:tr w:rsidR="009A1A75" w:rsidRPr="000A05B7" w14:paraId="2D7C1070" w14:textId="77777777" w:rsidTr="009A1A75">
        <w:trPr>
          <w:cantSplit/>
          <w:trHeight w:val="1285"/>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C3CA1" w14:textId="77777777" w:rsidR="009A1A75" w:rsidRPr="000A05B7" w:rsidRDefault="009A1A75" w:rsidP="009A1A75">
            <w:pPr>
              <w:snapToGrid w:val="0"/>
              <w:ind w:left="113" w:right="113"/>
              <w:rPr>
                <w:rFonts w:ascii="標楷體" w:eastAsia="標楷體" w:hAnsi="標楷體" w:cs="Calibri"/>
                <w:szCs w:val="24"/>
              </w:rPr>
            </w:pPr>
            <w:r w:rsidRPr="000A05B7">
              <w:rPr>
                <w:rFonts w:ascii="標楷體" w:eastAsia="標楷體" w:hAnsi="標楷體" w:cs="Calibri"/>
                <w:szCs w:val="24"/>
              </w:rPr>
              <w:t>注意事項</w:t>
            </w:r>
          </w:p>
          <w:p w14:paraId="1FFEEB32" w14:textId="77777777" w:rsidR="009A1A75" w:rsidRPr="000A05B7" w:rsidRDefault="009A1A75" w:rsidP="009A1A75">
            <w:pPr>
              <w:snapToGrid w:val="0"/>
              <w:spacing w:line="200" w:lineRule="exact"/>
              <w:ind w:left="324" w:right="113" w:hanging="211"/>
              <w:rPr>
                <w:rFonts w:ascii="標楷體" w:eastAsia="標楷體" w:hAnsi="標楷體" w:cs="Calibri"/>
                <w:sz w:val="20"/>
                <w:szCs w:val="20"/>
              </w:rPr>
            </w:pPr>
          </w:p>
        </w:tc>
        <w:tc>
          <w:tcPr>
            <w:tcW w:w="9103"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196A3"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1.本申請書限一人一案，由本保險特約醫事服務機構填報，併附3份相關之病歷及佐證資料，不必備文，請逕向保險人臺北業務組申請審核。</w:t>
            </w:r>
          </w:p>
          <w:p w14:paraId="194CAAE8"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2.本案藥品續用之申請，請於前次准用期限一個月前，向保險人臺北業務組申請審核，以免斷藥。</w:t>
            </w:r>
          </w:p>
          <w:p w14:paraId="2D4548E5"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3.使用本項藥品前必須施打流行性腦脊髓膜炎疫苗，申請使用之治療計畫書必須含流行性腦脊髓膜炎疫苗施打計畫，申請續用時，請檢附最近一次流行性腦脊髓膜炎疫苗施打之資料供參。</w:t>
            </w:r>
          </w:p>
          <w:p w14:paraId="560A3F06"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4.原受理編號」申復時填寫，初次送核不須填寫。</w:t>
            </w:r>
          </w:p>
          <w:p w14:paraId="6220AE1B" w14:textId="77777777" w:rsidR="009A1A75" w:rsidRPr="000A05B7" w:rsidRDefault="009A1A75" w:rsidP="009A1A75">
            <w:pPr>
              <w:snapToGrid w:val="0"/>
              <w:spacing w:line="200" w:lineRule="exact"/>
              <w:ind w:left="206" w:hanging="206"/>
              <w:rPr>
                <w:rFonts w:ascii="Times New Roman" w:hAnsi="Times New Roman"/>
                <w:szCs w:val="24"/>
              </w:rPr>
            </w:pPr>
            <w:r w:rsidRPr="000A05B7">
              <w:rPr>
                <w:rFonts w:ascii="標楷體" w:eastAsia="標楷體" w:hAnsi="標楷體" w:cs="Calibri"/>
                <w:kern w:val="0"/>
                <w:sz w:val="20"/>
                <w:szCs w:val="20"/>
              </w:rPr>
              <w:t>5.本案藥品之審查歸屬專家小組特殊專案審查，不適用本標準第64條及第65條之規定。</w:t>
            </w:r>
          </w:p>
          <w:p w14:paraId="1AC4355A"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6.應專案審查之項目，未依規定專案審查申請核准者，不予給付費用；專案審查申請核准之個案，日後如經審定保險對象或醫事服務機構有不符全民健康保險給付規定者，亦不予給付費用。</w:t>
            </w:r>
          </w:p>
          <w:p w14:paraId="743F749D"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7.對核定結果如有異議，得於收到核定通知之日起六十日內，重行填寫乙份申請書(應勾註申復，並填明原受理編號)向原核定單位申請複核。</w:t>
            </w:r>
          </w:p>
          <w:p w14:paraId="4169B0B5" w14:textId="77777777" w:rsidR="009A1A75" w:rsidRPr="000A05B7" w:rsidRDefault="009A1A75" w:rsidP="009A1A75">
            <w:pPr>
              <w:snapToGrid w:val="0"/>
              <w:spacing w:line="200" w:lineRule="exact"/>
              <w:ind w:left="206" w:hanging="206"/>
              <w:rPr>
                <w:rFonts w:ascii="標楷體" w:eastAsia="標楷體" w:hAnsi="標楷體" w:cs="Calibri"/>
                <w:kern w:val="0"/>
                <w:sz w:val="20"/>
                <w:szCs w:val="20"/>
              </w:rPr>
            </w:pPr>
            <w:r w:rsidRPr="000A05B7">
              <w:rPr>
                <w:rFonts w:ascii="標楷體" w:eastAsia="標楷體" w:hAnsi="標楷體" w:cs="Calibri"/>
                <w:kern w:val="0"/>
                <w:sz w:val="20"/>
                <w:szCs w:val="20"/>
              </w:rPr>
              <w:t>8.對複核結果如有異議，得於收到複核通知之日起六十日內向全民健康保險爭議審議會申請審議。</w:t>
            </w:r>
          </w:p>
          <w:p w14:paraId="0EACEB65" w14:textId="77777777" w:rsidR="009A1A75" w:rsidRPr="000A05B7" w:rsidRDefault="009A1A75" w:rsidP="009A1A75">
            <w:pPr>
              <w:snapToGrid w:val="0"/>
              <w:spacing w:line="200" w:lineRule="exact"/>
              <w:ind w:left="206" w:hanging="206"/>
              <w:rPr>
                <w:rFonts w:ascii="Times New Roman" w:hAnsi="Times New Roman"/>
                <w:szCs w:val="24"/>
              </w:rPr>
            </w:pPr>
            <w:r w:rsidRPr="000A05B7">
              <w:rPr>
                <w:rFonts w:ascii="標楷體" w:eastAsia="標楷體" w:hAnsi="標楷體" w:cs="Calibri"/>
                <w:kern w:val="0"/>
                <w:sz w:val="20"/>
                <w:szCs w:val="20"/>
              </w:rPr>
              <w:t>9.對核定結果有異議者，應循上述申複及爭議審議途徑申請複核或審議，不得以新個案重新申請送核，否則不予受理。</w:t>
            </w:r>
          </w:p>
        </w:tc>
        <w:tc>
          <w:tcPr>
            <w:tcW w:w="4906" w:type="dxa"/>
            <w:gridSpan w:val="14"/>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ACF3ACA" w14:textId="77777777" w:rsidR="009A1A75" w:rsidRPr="000A05B7" w:rsidRDefault="009A1A75" w:rsidP="009A1A75">
            <w:pPr>
              <w:snapToGrid w:val="0"/>
              <w:spacing w:line="200" w:lineRule="exact"/>
              <w:rPr>
                <w:rFonts w:ascii="標楷體" w:eastAsia="標楷體" w:hAnsi="標楷體" w:cs="Calibri"/>
                <w:sz w:val="20"/>
                <w:szCs w:val="20"/>
              </w:rPr>
            </w:pPr>
          </w:p>
        </w:tc>
        <w:tc>
          <w:tcPr>
            <w:tcW w:w="40" w:type="dxa"/>
            <w:shd w:val="clear" w:color="auto" w:fill="auto"/>
            <w:tcMar>
              <w:top w:w="0" w:type="dxa"/>
              <w:left w:w="10" w:type="dxa"/>
              <w:bottom w:w="0" w:type="dxa"/>
              <w:right w:w="10" w:type="dxa"/>
            </w:tcMar>
          </w:tcPr>
          <w:p w14:paraId="1B0F1A99" w14:textId="77777777" w:rsidR="009A1A75" w:rsidRPr="000A05B7" w:rsidRDefault="009A1A75" w:rsidP="009A1A75">
            <w:pPr>
              <w:snapToGrid w:val="0"/>
              <w:spacing w:line="200" w:lineRule="exact"/>
              <w:rPr>
                <w:rFonts w:ascii="標楷體" w:eastAsia="標楷體" w:hAnsi="標楷體" w:cs="Calibri"/>
                <w:sz w:val="20"/>
                <w:szCs w:val="20"/>
              </w:rPr>
            </w:pPr>
          </w:p>
        </w:tc>
      </w:tr>
      <w:tr w:rsidR="009A1A75" w:rsidRPr="000A05B7" w14:paraId="0A5ABA7B" w14:textId="77777777" w:rsidTr="009A1A75">
        <w:trPr>
          <w:cantSplit/>
          <w:trHeight w:val="1368"/>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F5CA7" w14:textId="77777777" w:rsidR="009A1A75" w:rsidRPr="000A05B7" w:rsidRDefault="009A1A75" w:rsidP="009A1A75">
            <w:pPr>
              <w:snapToGrid w:val="0"/>
              <w:ind w:left="211" w:hanging="211"/>
              <w:rPr>
                <w:rFonts w:ascii="標楷體" w:eastAsia="標楷體" w:hAnsi="標楷體" w:cs="Calibri"/>
                <w:szCs w:val="24"/>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21C7B" w14:textId="77777777" w:rsidR="009A1A75" w:rsidRPr="000A05B7" w:rsidRDefault="009A1A75" w:rsidP="009A1A75">
            <w:pPr>
              <w:snapToGrid w:val="0"/>
              <w:ind w:left="211" w:hanging="211"/>
              <w:rPr>
                <w:rFonts w:ascii="標楷體" w:eastAsia="標楷體" w:hAnsi="標楷體" w:cs="Calibri"/>
                <w:szCs w:val="24"/>
              </w:rPr>
            </w:pPr>
          </w:p>
        </w:tc>
        <w:tc>
          <w:tcPr>
            <w:tcW w:w="3955" w:type="dxa"/>
            <w:gridSpan w:val="13"/>
            <w:tcBorders>
              <w:left w:val="single" w:sz="4" w:space="0" w:color="000000"/>
              <w:bottom w:val="single" w:sz="4" w:space="0" w:color="000000"/>
            </w:tcBorders>
            <w:shd w:val="clear" w:color="auto" w:fill="auto"/>
            <w:tcMar>
              <w:top w:w="0" w:type="dxa"/>
              <w:left w:w="28" w:type="dxa"/>
              <w:bottom w:w="0" w:type="dxa"/>
              <w:right w:w="28" w:type="dxa"/>
            </w:tcMar>
          </w:tcPr>
          <w:p w14:paraId="1E6B5BCC" w14:textId="77777777" w:rsidR="009A1A75" w:rsidRPr="000A05B7" w:rsidRDefault="009A1A75" w:rsidP="009A1A75">
            <w:pPr>
              <w:snapToGrid w:val="0"/>
              <w:jc w:val="both"/>
              <w:rPr>
                <w:rFonts w:ascii="標楷體" w:eastAsia="標楷體" w:hAnsi="標楷體" w:cs="Calibri"/>
                <w:szCs w:val="24"/>
              </w:rPr>
            </w:pPr>
          </w:p>
          <w:p w14:paraId="17AD7508" w14:textId="77777777" w:rsidR="009A1A75" w:rsidRPr="000A05B7" w:rsidRDefault="009A1A75" w:rsidP="009A1A75">
            <w:pPr>
              <w:snapToGrid w:val="0"/>
              <w:jc w:val="both"/>
              <w:rPr>
                <w:rFonts w:ascii="Times New Roman" w:hAnsi="Times New Roman"/>
                <w:szCs w:val="24"/>
              </w:rPr>
            </w:pPr>
            <w:r w:rsidRPr="000A05B7">
              <w:rPr>
                <w:rFonts w:ascii="標楷體" w:eastAsia="標楷體" w:hAnsi="標楷體" w:cs="Calibri"/>
                <w:sz w:val="20"/>
                <w:szCs w:val="20"/>
              </w:rPr>
              <w:t>保險人日期章戳</w:t>
            </w:r>
          </w:p>
        </w:tc>
        <w:tc>
          <w:tcPr>
            <w:tcW w:w="951" w:type="dxa"/>
            <w:tcBorders>
              <w:bottom w:val="single" w:sz="4" w:space="0" w:color="000000"/>
              <w:right w:val="single" w:sz="4" w:space="0" w:color="000000"/>
            </w:tcBorders>
            <w:shd w:val="clear" w:color="auto" w:fill="auto"/>
            <w:tcMar>
              <w:top w:w="0" w:type="dxa"/>
              <w:left w:w="28" w:type="dxa"/>
              <w:bottom w:w="0" w:type="dxa"/>
              <w:right w:w="28" w:type="dxa"/>
            </w:tcMar>
          </w:tcPr>
          <w:p w14:paraId="746F782A" w14:textId="77777777" w:rsidR="009A1A75" w:rsidRPr="000A05B7" w:rsidRDefault="009A1A75" w:rsidP="009A1A75">
            <w:pPr>
              <w:snapToGrid w:val="0"/>
              <w:rPr>
                <w:rFonts w:ascii="標楷體" w:eastAsia="標楷體" w:hAnsi="標楷體" w:cs="Calibri"/>
                <w:szCs w:val="24"/>
              </w:rPr>
            </w:pPr>
          </w:p>
        </w:tc>
        <w:tc>
          <w:tcPr>
            <w:tcW w:w="40" w:type="dxa"/>
            <w:shd w:val="clear" w:color="auto" w:fill="auto"/>
            <w:tcMar>
              <w:top w:w="0" w:type="dxa"/>
              <w:left w:w="10" w:type="dxa"/>
              <w:bottom w:w="0" w:type="dxa"/>
              <w:right w:w="10" w:type="dxa"/>
            </w:tcMar>
          </w:tcPr>
          <w:p w14:paraId="7361CF4D" w14:textId="77777777" w:rsidR="009A1A75" w:rsidRPr="000A05B7" w:rsidRDefault="009A1A75" w:rsidP="009A1A75">
            <w:pPr>
              <w:snapToGrid w:val="0"/>
              <w:rPr>
                <w:rFonts w:ascii="標楷體" w:eastAsia="標楷體" w:hAnsi="標楷體" w:cs="Calibri"/>
                <w:szCs w:val="24"/>
              </w:rPr>
            </w:pPr>
          </w:p>
        </w:tc>
      </w:tr>
      <w:tr w:rsidR="009A1A75" w:rsidRPr="000A05B7" w14:paraId="1FE4C5EE" w14:textId="77777777" w:rsidTr="009A1A75">
        <w:trPr>
          <w:cantSplit/>
          <w:trHeight w:val="730"/>
        </w:trPr>
        <w:tc>
          <w:tcPr>
            <w:tcW w:w="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0BDC0" w14:textId="77777777" w:rsidR="009A1A75" w:rsidRPr="000A05B7" w:rsidRDefault="009A1A75" w:rsidP="009A1A75">
            <w:pPr>
              <w:snapToGrid w:val="0"/>
              <w:spacing w:line="240" w:lineRule="exact"/>
              <w:rPr>
                <w:rFonts w:ascii="標楷體" w:eastAsia="標楷體" w:hAnsi="標楷體" w:cs="Calibri"/>
                <w:szCs w:val="24"/>
              </w:rPr>
            </w:pPr>
          </w:p>
          <w:p w14:paraId="786C4A02" w14:textId="77777777" w:rsidR="009A1A75" w:rsidRPr="000A05B7" w:rsidRDefault="009A1A75" w:rsidP="009A1A75">
            <w:pPr>
              <w:snapToGrid w:val="0"/>
              <w:spacing w:line="240" w:lineRule="exact"/>
              <w:rPr>
                <w:rFonts w:ascii="標楷體" w:eastAsia="標楷體" w:hAnsi="標楷體" w:cs="Calibri"/>
                <w:szCs w:val="24"/>
              </w:rPr>
            </w:pPr>
            <w:r w:rsidRPr="000A05B7">
              <w:rPr>
                <w:rFonts w:ascii="標楷體" w:eastAsia="標楷體" w:hAnsi="標楷體" w:cs="Calibri"/>
                <w:szCs w:val="24"/>
              </w:rPr>
              <w:t>醫事服務機構</w:t>
            </w:r>
          </w:p>
        </w:tc>
        <w:tc>
          <w:tcPr>
            <w:tcW w:w="870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03811" w14:textId="77777777" w:rsidR="009A1A75" w:rsidRPr="000A05B7" w:rsidRDefault="009A1A75" w:rsidP="009A1A75">
            <w:pPr>
              <w:snapToGrid w:val="0"/>
              <w:spacing w:line="240" w:lineRule="exact"/>
              <w:rPr>
                <w:rFonts w:ascii="標楷體" w:eastAsia="標楷體" w:hAnsi="標楷體" w:cs="Calibri"/>
                <w:szCs w:val="24"/>
              </w:rPr>
            </w:pPr>
            <w:r w:rsidRPr="000A05B7">
              <w:rPr>
                <w:rFonts w:ascii="標楷體" w:eastAsia="標楷體" w:hAnsi="標楷體" w:cs="Calibri"/>
                <w:szCs w:val="24"/>
              </w:rPr>
              <w:t>醫院申請日期：年月日</w:t>
            </w:r>
          </w:p>
          <w:p w14:paraId="1F53E26F" w14:textId="77777777" w:rsidR="009A1A75" w:rsidRPr="000A05B7" w:rsidRDefault="009A1A75" w:rsidP="009A1A75">
            <w:pPr>
              <w:snapToGrid w:val="0"/>
              <w:spacing w:line="240" w:lineRule="exact"/>
              <w:rPr>
                <w:rFonts w:ascii="標楷體" w:eastAsia="標楷體" w:hAnsi="標楷體" w:cs="Calibri"/>
                <w:szCs w:val="24"/>
              </w:rPr>
            </w:pPr>
          </w:p>
          <w:p w14:paraId="70227258" w14:textId="77777777" w:rsidR="009A1A75" w:rsidRPr="000A05B7" w:rsidRDefault="009A1A75" w:rsidP="009A1A75">
            <w:pPr>
              <w:snapToGrid w:val="0"/>
              <w:spacing w:line="240" w:lineRule="exact"/>
              <w:rPr>
                <w:rFonts w:ascii="標楷體" w:eastAsia="標楷體" w:hAnsi="標楷體" w:cs="Calibri"/>
                <w:szCs w:val="24"/>
              </w:rPr>
            </w:pPr>
            <w:r w:rsidRPr="000A05B7">
              <w:rPr>
                <w:rFonts w:ascii="標楷體" w:eastAsia="標楷體" w:hAnsi="標楷體" w:cs="Calibri"/>
                <w:szCs w:val="24"/>
              </w:rPr>
              <w:t>印信</w:t>
            </w:r>
            <w:r w:rsidRPr="000A05B7">
              <w:rPr>
                <w:rFonts w:ascii="標楷體" w:eastAsia="標楷體" w:hAnsi="標楷體" w:cs="Calibri"/>
                <w:szCs w:val="24"/>
              </w:rPr>
              <w:tab/>
            </w:r>
            <w:r w:rsidRPr="000A05B7">
              <w:rPr>
                <w:rFonts w:ascii="標楷體" w:eastAsia="標楷體" w:hAnsi="標楷體" w:cs="Calibri"/>
                <w:szCs w:val="24"/>
              </w:rPr>
              <w:tab/>
            </w:r>
            <w:r w:rsidRPr="000A05B7">
              <w:rPr>
                <w:rFonts w:ascii="標楷體" w:eastAsia="標楷體" w:hAnsi="標楷體" w:cs="Calibri"/>
                <w:szCs w:val="24"/>
              </w:rPr>
              <w:tab/>
            </w:r>
            <w:r w:rsidRPr="000A05B7">
              <w:rPr>
                <w:rFonts w:ascii="標楷體" w:eastAsia="標楷體" w:hAnsi="標楷體" w:cs="Calibri"/>
                <w:szCs w:val="24"/>
              </w:rPr>
              <w:tab/>
            </w:r>
            <w:r w:rsidRPr="000A05B7">
              <w:rPr>
                <w:rFonts w:ascii="標楷體" w:eastAsia="標楷體" w:hAnsi="標楷體" w:cs="Calibri"/>
                <w:szCs w:val="24"/>
              </w:rPr>
              <w:tab/>
              <w:t>文號：</w:t>
            </w: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998BF" w14:textId="77777777" w:rsidR="009A1A75" w:rsidRPr="000A05B7" w:rsidRDefault="009A1A75" w:rsidP="009A1A75">
            <w:pPr>
              <w:widowControl/>
              <w:snapToGrid w:val="0"/>
              <w:spacing w:line="240" w:lineRule="exact"/>
              <w:rPr>
                <w:rFonts w:ascii="標楷體" w:eastAsia="標楷體" w:hAnsi="標楷體" w:cs="Calibri"/>
                <w:szCs w:val="24"/>
              </w:rPr>
            </w:pPr>
            <w:r w:rsidRPr="000A05B7">
              <w:rPr>
                <w:rFonts w:ascii="標楷體" w:eastAsia="標楷體" w:hAnsi="標楷體" w:cs="Calibri"/>
                <w:szCs w:val="24"/>
              </w:rPr>
              <w:t>承辦人</w:t>
            </w:r>
          </w:p>
        </w:tc>
        <w:tc>
          <w:tcPr>
            <w:tcW w:w="83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BE1D" w14:textId="77777777" w:rsidR="009A1A75" w:rsidRPr="000A05B7" w:rsidRDefault="009A1A75" w:rsidP="009A1A75">
            <w:pPr>
              <w:widowControl/>
              <w:snapToGrid w:val="0"/>
              <w:rPr>
                <w:rFonts w:ascii="標楷體" w:eastAsia="標楷體" w:hAnsi="標楷體" w:cs="Calibri"/>
                <w:szCs w:val="24"/>
              </w:rPr>
            </w:pPr>
          </w:p>
          <w:p w14:paraId="204B3993" w14:textId="77777777" w:rsidR="009A1A75" w:rsidRPr="000A05B7" w:rsidRDefault="009A1A75" w:rsidP="009A1A75">
            <w:pPr>
              <w:snapToGrid w:val="0"/>
              <w:spacing w:line="240" w:lineRule="exact"/>
              <w:rPr>
                <w:rFonts w:ascii="標楷體" w:eastAsia="標楷體" w:hAnsi="標楷體" w:cs="Calibri"/>
                <w:szCs w:val="24"/>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C8A7B" w14:textId="77777777" w:rsidR="009A1A75" w:rsidRPr="000A05B7" w:rsidRDefault="009A1A75" w:rsidP="009A1A75">
            <w:pPr>
              <w:widowControl/>
              <w:snapToGrid w:val="0"/>
              <w:spacing w:line="240" w:lineRule="exact"/>
              <w:rPr>
                <w:rFonts w:ascii="標楷體" w:eastAsia="標楷體" w:hAnsi="標楷體" w:cs="Calibri"/>
                <w:szCs w:val="24"/>
              </w:rPr>
            </w:pPr>
            <w:r w:rsidRPr="000A05B7">
              <w:rPr>
                <w:rFonts w:ascii="標楷體" w:eastAsia="標楷體" w:hAnsi="標楷體" w:cs="Calibri"/>
                <w:szCs w:val="24"/>
              </w:rPr>
              <w:t>複核</w:t>
            </w:r>
          </w:p>
          <w:p w14:paraId="0D894E81" w14:textId="77777777" w:rsidR="009A1A75" w:rsidRPr="000A05B7" w:rsidRDefault="009A1A75" w:rsidP="009A1A75">
            <w:pPr>
              <w:widowControl/>
              <w:snapToGrid w:val="0"/>
              <w:rPr>
                <w:rFonts w:ascii="標楷體" w:eastAsia="標楷體" w:hAnsi="標楷體" w:cs="Calibri"/>
                <w:szCs w:val="24"/>
              </w:rPr>
            </w:pP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558B8" w14:textId="77777777" w:rsidR="009A1A75" w:rsidRPr="000A05B7" w:rsidRDefault="009A1A75" w:rsidP="009A1A75">
            <w:pPr>
              <w:widowControl/>
              <w:snapToGrid w:val="0"/>
              <w:rPr>
                <w:rFonts w:ascii="標楷體" w:eastAsia="標楷體" w:hAnsi="標楷體" w:cs="Calibri"/>
                <w:szCs w:val="24"/>
              </w:rPr>
            </w:pPr>
          </w:p>
          <w:p w14:paraId="6779767A" w14:textId="77777777" w:rsidR="009A1A75" w:rsidRPr="000A05B7" w:rsidRDefault="009A1A75" w:rsidP="009A1A75">
            <w:pPr>
              <w:snapToGrid w:val="0"/>
              <w:spacing w:line="240" w:lineRule="exact"/>
              <w:rPr>
                <w:rFonts w:ascii="標楷體" w:eastAsia="標楷體" w:hAnsi="標楷體" w:cs="Calibri"/>
                <w:szCs w:val="24"/>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31092" w14:textId="77777777" w:rsidR="009A1A75" w:rsidRPr="000A05B7" w:rsidRDefault="009A1A75" w:rsidP="009A1A75">
            <w:pPr>
              <w:snapToGrid w:val="0"/>
              <w:spacing w:line="240" w:lineRule="exact"/>
              <w:rPr>
                <w:rFonts w:ascii="標楷體" w:eastAsia="標楷體" w:hAnsi="標楷體" w:cs="Calibri"/>
                <w:szCs w:val="24"/>
              </w:rPr>
            </w:pPr>
            <w:r w:rsidRPr="000A05B7">
              <w:rPr>
                <w:rFonts w:ascii="標楷體" w:eastAsia="標楷體" w:hAnsi="標楷體" w:cs="Calibri"/>
                <w:szCs w:val="24"/>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F7A3F" w14:textId="77777777" w:rsidR="009A1A75" w:rsidRPr="000A05B7" w:rsidRDefault="009A1A75" w:rsidP="009A1A75">
            <w:pPr>
              <w:widowControl/>
              <w:snapToGrid w:val="0"/>
              <w:rPr>
                <w:rFonts w:ascii="標楷體" w:eastAsia="標楷體" w:hAnsi="標楷體" w:cs="Calibri"/>
                <w:szCs w:val="24"/>
              </w:rPr>
            </w:pPr>
          </w:p>
          <w:p w14:paraId="68E1881E" w14:textId="77777777" w:rsidR="009A1A75" w:rsidRPr="000A05B7" w:rsidRDefault="009A1A75" w:rsidP="009A1A75">
            <w:pPr>
              <w:snapToGrid w:val="0"/>
              <w:spacing w:line="240" w:lineRule="exact"/>
              <w:rPr>
                <w:rFonts w:ascii="標楷體" w:eastAsia="標楷體" w:hAnsi="標楷體" w:cs="Calibri"/>
                <w:szCs w:val="24"/>
              </w:rPr>
            </w:pPr>
          </w:p>
        </w:tc>
        <w:tc>
          <w:tcPr>
            <w:tcW w:w="35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E0CF" w14:textId="77777777" w:rsidR="009A1A75" w:rsidRPr="000A05B7" w:rsidRDefault="009A1A75" w:rsidP="009A1A75">
            <w:pPr>
              <w:widowControl/>
              <w:snapToGrid w:val="0"/>
              <w:spacing w:line="240" w:lineRule="exact"/>
              <w:rPr>
                <w:rFonts w:ascii="標楷體" w:eastAsia="標楷體" w:hAnsi="標楷體" w:cs="Calibri"/>
                <w:szCs w:val="24"/>
              </w:rPr>
            </w:pPr>
            <w:r w:rsidRPr="000A05B7">
              <w:rPr>
                <w:rFonts w:ascii="標楷體" w:eastAsia="標楷體" w:hAnsi="標楷體" w:cs="Calibri"/>
                <w:szCs w:val="24"/>
              </w:rPr>
              <w:t>決行</w:t>
            </w:r>
          </w:p>
          <w:p w14:paraId="5AD02CFB" w14:textId="77777777" w:rsidR="009A1A75" w:rsidRPr="000A05B7" w:rsidRDefault="009A1A75" w:rsidP="009A1A75">
            <w:pPr>
              <w:widowControl/>
              <w:snapToGrid w:val="0"/>
              <w:rPr>
                <w:rFonts w:ascii="標楷體" w:eastAsia="標楷體" w:hAnsi="標楷體" w:cs="Calibri"/>
                <w:szCs w:val="24"/>
              </w:rPr>
            </w:pPr>
          </w:p>
        </w:tc>
        <w:tc>
          <w:tcPr>
            <w:tcW w:w="998"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A7378" w14:textId="77777777" w:rsidR="009A1A75" w:rsidRPr="000A05B7" w:rsidRDefault="009A1A75" w:rsidP="009A1A75">
            <w:pPr>
              <w:widowControl/>
              <w:snapToGrid w:val="0"/>
              <w:rPr>
                <w:rFonts w:ascii="標楷體" w:eastAsia="標楷體" w:hAnsi="標楷體" w:cs="Calibri"/>
                <w:szCs w:val="24"/>
              </w:rPr>
            </w:pPr>
          </w:p>
          <w:p w14:paraId="4C0CBE13" w14:textId="77777777" w:rsidR="009A1A75" w:rsidRPr="000A05B7" w:rsidRDefault="009A1A75" w:rsidP="009A1A75">
            <w:pPr>
              <w:snapToGrid w:val="0"/>
              <w:spacing w:line="240" w:lineRule="exact"/>
              <w:rPr>
                <w:rFonts w:ascii="標楷體" w:eastAsia="標楷體" w:hAnsi="標楷體" w:cs="Calibri"/>
                <w:szCs w:val="24"/>
              </w:rPr>
            </w:pPr>
          </w:p>
        </w:tc>
      </w:tr>
    </w:tbl>
    <w:p w14:paraId="3EDE9973" w14:textId="77777777" w:rsidR="00993C48" w:rsidRDefault="00993C48" w:rsidP="00993C48">
      <w:pPr>
        <w:pageBreakBefore/>
        <w:snapToGrid w:val="0"/>
        <w:jc w:val="center"/>
      </w:pPr>
      <w:r w:rsidRPr="00993C48">
        <w:rPr>
          <w:rFonts w:ascii="標楷體" w:eastAsia="標楷體" w:hAnsi="標楷體" w:hint="eastAsia"/>
        </w:rPr>
        <w:lastRenderedPageBreak/>
        <w:t>附表三十之二陣發性夜間血紅素尿症患者特殊專案審查申請Soliris(eculizumab)、Ultomiris(ravulizumab)用藥檢附資料查檢表</w:t>
      </w:r>
    </w:p>
    <w:tbl>
      <w:tblPr>
        <w:tblW w:w="14436" w:type="dxa"/>
        <w:tblInd w:w="227" w:type="dxa"/>
        <w:tblLayout w:type="fixed"/>
        <w:tblCellMar>
          <w:left w:w="10" w:type="dxa"/>
          <w:right w:w="10" w:type="dxa"/>
        </w:tblCellMar>
        <w:tblLook w:val="04A0" w:firstRow="1" w:lastRow="0" w:firstColumn="1" w:lastColumn="0" w:noHBand="0" w:noVBand="1"/>
      </w:tblPr>
      <w:tblGrid>
        <w:gridCol w:w="387"/>
        <w:gridCol w:w="401"/>
        <w:gridCol w:w="428"/>
        <w:gridCol w:w="1206"/>
        <w:gridCol w:w="239"/>
        <w:gridCol w:w="120"/>
        <w:gridCol w:w="359"/>
        <w:gridCol w:w="602"/>
        <w:gridCol w:w="564"/>
        <w:gridCol w:w="388"/>
        <w:gridCol w:w="1200"/>
        <w:gridCol w:w="599"/>
        <w:gridCol w:w="359"/>
        <w:gridCol w:w="958"/>
        <w:gridCol w:w="838"/>
        <w:gridCol w:w="374"/>
        <w:gridCol w:w="468"/>
        <w:gridCol w:w="359"/>
        <w:gridCol w:w="239"/>
        <w:gridCol w:w="599"/>
        <w:gridCol w:w="359"/>
        <w:gridCol w:w="7"/>
        <w:gridCol w:w="472"/>
        <w:gridCol w:w="361"/>
        <w:gridCol w:w="213"/>
        <w:gridCol w:w="149"/>
        <w:gridCol w:w="236"/>
        <w:gridCol w:w="604"/>
        <w:gridCol w:w="350"/>
        <w:gridCol w:w="7"/>
        <w:gridCol w:w="924"/>
        <w:gridCol w:w="67"/>
      </w:tblGrid>
      <w:tr w:rsidR="00993C48" w:rsidRPr="00993C48" w14:paraId="2D991DC5" w14:textId="77777777" w:rsidTr="00993C48">
        <w:trPr>
          <w:cantSplit/>
          <w:trHeight w:val="523"/>
        </w:trPr>
        <w:tc>
          <w:tcPr>
            <w:tcW w:w="2422" w:type="dxa"/>
            <w:gridSpan w:val="4"/>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CB1A525" w14:textId="77777777" w:rsidR="00993C48" w:rsidRPr="00993C48" w:rsidRDefault="00993C48" w:rsidP="00993C48">
            <w:pPr>
              <w:snapToGrid w:val="0"/>
              <w:jc w:val="both"/>
              <w:rPr>
                <w:rFonts w:ascii="標楷體" w:eastAsia="標楷體" w:hAnsi="標楷體" w:cs="Calibri"/>
                <w:sz w:val="20"/>
                <w:szCs w:val="20"/>
              </w:rPr>
            </w:pPr>
            <w:r w:rsidRPr="00993C48">
              <w:rPr>
                <w:rFonts w:ascii="標楷體" w:eastAsia="標楷體" w:hAnsi="標楷體" w:cs="Calibri"/>
                <w:sz w:val="20"/>
                <w:szCs w:val="20"/>
              </w:rPr>
              <w:t>申請類別:</w:t>
            </w:r>
          </w:p>
        </w:tc>
        <w:tc>
          <w:tcPr>
            <w:tcW w:w="40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196A83" w14:textId="77777777" w:rsidR="00993C48" w:rsidRPr="00993C48" w:rsidRDefault="00993C48" w:rsidP="00993C48">
            <w:pPr>
              <w:snapToGrid w:val="0"/>
              <w:jc w:val="center"/>
              <w:rPr>
                <w:rFonts w:ascii="Times New Roman" w:hAnsi="Times New Roman"/>
                <w:szCs w:val="24"/>
              </w:rPr>
            </w:pPr>
            <w:r w:rsidRPr="00993C48">
              <w:rPr>
                <w:rFonts w:ascii="標楷體" w:eastAsia="標楷體" w:hAnsi="標楷體" w:cs="Calibri"/>
                <w:sz w:val="20"/>
                <w:szCs w:val="20"/>
              </w:rPr>
              <w:t>□送核□補資料□申復□資料異動</w:t>
            </w:r>
          </w:p>
        </w:tc>
        <w:tc>
          <w:tcPr>
            <w:tcW w:w="2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17F6FC" w14:textId="77777777" w:rsidR="00993C48" w:rsidRPr="00993C48" w:rsidRDefault="00993C48" w:rsidP="00993C48">
            <w:pPr>
              <w:snapToGrid w:val="0"/>
              <w:rPr>
                <w:rFonts w:ascii="Times New Roman" w:hAnsi="Times New Roman"/>
                <w:szCs w:val="24"/>
              </w:rPr>
            </w:pPr>
            <w:r w:rsidRPr="00993C48">
              <w:rPr>
                <w:rFonts w:ascii="標楷體" w:eastAsia="標楷體" w:hAnsi="標楷體" w:cs="Calibri"/>
                <w:sz w:val="20"/>
                <w:szCs w:val="20"/>
              </w:rPr>
              <w:t>受理日期：</w:t>
            </w:r>
          </w:p>
        </w:tc>
        <w:tc>
          <w:tcPr>
            <w:tcW w:w="25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6B01C2" w14:textId="77777777" w:rsidR="00993C48" w:rsidRPr="00993C48" w:rsidRDefault="00993C48" w:rsidP="00993C48">
            <w:pPr>
              <w:snapToGrid w:val="0"/>
              <w:rPr>
                <w:rFonts w:ascii="Times New Roman" w:hAnsi="Times New Roman"/>
                <w:szCs w:val="24"/>
              </w:rPr>
            </w:pPr>
            <w:r w:rsidRPr="00993C48">
              <w:rPr>
                <w:rFonts w:ascii="標楷體" w:eastAsia="標楷體" w:hAnsi="標楷體" w:cs="Calibri"/>
                <w:sz w:val="20"/>
                <w:szCs w:val="20"/>
              </w:rPr>
              <w:t>受理編號：</w:t>
            </w:r>
          </w:p>
        </w:tc>
        <w:tc>
          <w:tcPr>
            <w:tcW w:w="284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2F2BA4" w14:textId="77777777" w:rsidR="00993C48" w:rsidRPr="00993C48" w:rsidRDefault="00993C48" w:rsidP="00993C48">
            <w:pPr>
              <w:snapToGrid w:val="0"/>
              <w:rPr>
                <w:rFonts w:ascii="Times New Roman" w:hAnsi="Times New Roman"/>
                <w:szCs w:val="24"/>
              </w:rPr>
            </w:pPr>
            <w:r w:rsidRPr="00993C48">
              <w:rPr>
                <w:rFonts w:ascii="標楷體" w:eastAsia="標楷體" w:hAnsi="標楷體" w:cs="Calibri"/>
                <w:sz w:val="20"/>
                <w:szCs w:val="20"/>
              </w:rPr>
              <w:t>緊急傳真日期：</w:t>
            </w:r>
          </w:p>
        </w:tc>
        <w:tc>
          <w:tcPr>
            <w:tcW w:w="67" w:type="dxa"/>
            <w:shd w:val="clear" w:color="auto" w:fill="auto"/>
            <w:tcMar>
              <w:top w:w="0" w:type="dxa"/>
              <w:left w:w="10" w:type="dxa"/>
              <w:bottom w:w="0" w:type="dxa"/>
              <w:right w:w="10" w:type="dxa"/>
            </w:tcMar>
          </w:tcPr>
          <w:p w14:paraId="3AAA2D50" w14:textId="77777777" w:rsidR="00993C48" w:rsidRPr="00993C48" w:rsidRDefault="00993C48" w:rsidP="00993C48">
            <w:pPr>
              <w:snapToGrid w:val="0"/>
              <w:rPr>
                <w:rFonts w:ascii="標楷體" w:eastAsia="標楷體" w:hAnsi="標楷體" w:cs="Calibri"/>
                <w:szCs w:val="24"/>
              </w:rPr>
            </w:pPr>
          </w:p>
        </w:tc>
      </w:tr>
      <w:tr w:rsidR="00993C48" w:rsidRPr="00993C48" w14:paraId="3380C12C" w14:textId="77777777" w:rsidTr="00993C48">
        <w:trPr>
          <w:cantSplit/>
          <w:trHeight w:val="517"/>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7E1E2"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醫療機構</w:t>
            </w: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419AB4"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名稱</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D8D20C" w14:textId="77777777" w:rsidR="00993C48" w:rsidRPr="00993C48" w:rsidRDefault="00993C48" w:rsidP="00993C48">
            <w:pPr>
              <w:snapToGrid w:val="0"/>
              <w:spacing w:line="200" w:lineRule="exact"/>
              <w:rPr>
                <w:rFonts w:ascii="標楷體" w:eastAsia="標楷體" w:hAnsi="標楷體" w:cs="Calibri"/>
                <w:sz w:val="20"/>
                <w:szCs w:val="20"/>
              </w:rPr>
            </w:pPr>
          </w:p>
        </w:tc>
        <w:tc>
          <w:tcPr>
            <w:tcW w:w="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EC3FD"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保</w:t>
            </w:r>
          </w:p>
          <w:p w14:paraId="58B1B280"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險</w:t>
            </w:r>
          </w:p>
          <w:p w14:paraId="3419C06D"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對</w:t>
            </w:r>
          </w:p>
          <w:p w14:paraId="5AF7ECF6"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象</w:t>
            </w: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4A91A0"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姓名</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C1956B" w14:textId="77777777" w:rsidR="00993C48" w:rsidRPr="00993C48" w:rsidRDefault="00993C48" w:rsidP="00993C48">
            <w:pPr>
              <w:snapToGrid w:val="0"/>
              <w:spacing w:line="200" w:lineRule="exact"/>
              <w:rPr>
                <w:rFonts w:ascii="標楷體" w:eastAsia="標楷體" w:hAnsi="標楷體" w:cs="Calibri"/>
                <w:sz w:val="20"/>
                <w:szCs w:val="20"/>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E1218"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出生</w:t>
            </w:r>
          </w:p>
        </w:tc>
        <w:tc>
          <w:tcPr>
            <w:tcW w:w="13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591608" w14:textId="77777777" w:rsidR="00993C48" w:rsidRPr="00993C48" w:rsidRDefault="00993C48" w:rsidP="00993C48">
            <w:pPr>
              <w:snapToGrid w:val="0"/>
              <w:spacing w:line="200" w:lineRule="exact"/>
              <w:rPr>
                <w:rFonts w:ascii="標楷體" w:eastAsia="標楷體" w:hAnsi="標楷體" w:cs="Calibri"/>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AF1FBB"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原受理編號</w:t>
            </w:r>
          </w:p>
          <w:p w14:paraId="3660EEEC"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（申復時填用）</w:t>
            </w:r>
          </w:p>
        </w:tc>
        <w:tc>
          <w:tcPr>
            <w:tcW w:w="156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BAB119" w14:textId="77777777" w:rsidR="00993C48" w:rsidRPr="00993C48" w:rsidRDefault="00993C48" w:rsidP="00993C48">
            <w:pPr>
              <w:snapToGrid w:val="0"/>
              <w:spacing w:line="200" w:lineRule="exact"/>
              <w:rPr>
                <w:rFonts w:ascii="標楷體" w:eastAsia="標楷體" w:hAnsi="標楷體" w:cs="Calibri"/>
                <w:sz w:val="20"/>
                <w:szCs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28E2FF"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預定實施日期</w:t>
            </w:r>
          </w:p>
        </w:tc>
        <w:tc>
          <w:tcPr>
            <w:tcW w:w="22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994573" w14:textId="77777777" w:rsidR="00993C48" w:rsidRPr="00993C48" w:rsidRDefault="00993C48" w:rsidP="00993C48">
            <w:pPr>
              <w:snapToGrid w:val="0"/>
              <w:spacing w:line="200" w:lineRule="exact"/>
              <w:rPr>
                <w:rFonts w:ascii="標楷體" w:eastAsia="標楷體" w:hAnsi="標楷體" w:cs="Calibri"/>
                <w:sz w:val="20"/>
                <w:szCs w:val="20"/>
              </w:rPr>
            </w:pPr>
          </w:p>
        </w:tc>
        <w:tc>
          <w:tcPr>
            <w:tcW w:w="67" w:type="dxa"/>
            <w:shd w:val="clear" w:color="auto" w:fill="auto"/>
            <w:tcMar>
              <w:top w:w="0" w:type="dxa"/>
              <w:left w:w="10" w:type="dxa"/>
              <w:bottom w:w="0" w:type="dxa"/>
              <w:right w:w="10" w:type="dxa"/>
            </w:tcMar>
          </w:tcPr>
          <w:p w14:paraId="3A0A2D83" w14:textId="77777777" w:rsidR="00993C48" w:rsidRPr="00993C48" w:rsidRDefault="00993C48" w:rsidP="00993C48">
            <w:pPr>
              <w:snapToGrid w:val="0"/>
              <w:spacing w:line="200" w:lineRule="exact"/>
              <w:rPr>
                <w:rFonts w:ascii="標楷體" w:eastAsia="標楷體" w:hAnsi="標楷體" w:cs="Calibri"/>
                <w:sz w:val="20"/>
                <w:szCs w:val="20"/>
              </w:rPr>
            </w:pPr>
          </w:p>
        </w:tc>
      </w:tr>
      <w:tr w:rsidR="00993C48" w:rsidRPr="00993C48" w14:paraId="5FE9ED12" w14:textId="77777777" w:rsidTr="00993C48">
        <w:trPr>
          <w:cantSplit/>
          <w:trHeight w:val="530"/>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F92DE" w14:textId="77777777" w:rsidR="00993C48" w:rsidRPr="00993C48" w:rsidRDefault="00993C48" w:rsidP="00993C48">
            <w:pPr>
              <w:snapToGrid w:val="0"/>
              <w:spacing w:line="200" w:lineRule="exact"/>
              <w:rPr>
                <w:rFonts w:ascii="標楷體" w:eastAsia="標楷體" w:hAnsi="標楷體" w:cs="Calibri"/>
                <w:sz w:val="20"/>
                <w:szCs w:val="20"/>
              </w:rPr>
            </w:pPr>
          </w:p>
        </w:tc>
        <w:tc>
          <w:tcPr>
            <w:tcW w:w="8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323F57"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代號</w:t>
            </w:r>
          </w:p>
        </w:tc>
        <w:tc>
          <w:tcPr>
            <w:tcW w:w="15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B4CDA3" w14:textId="77777777" w:rsidR="00993C48" w:rsidRPr="00993C48" w:rsidRDefault="00993C48" w:rsidP="00993C48">
            <w:pPr>
              <w:snapToGrid w:val="0"/>
              <w:spacing w:line="200" w:lineRule="exact"/>
              <w:rPr>
                <w:rFonts w:ascii="標楷體" w:eastAsia="標楷體" w:hAnsi="標楷體" w:cs="Calibri"/>
                <w:sz w:val="20"/>
                <w:szCs w:val="20"/>
              </w:rPr>
            </w:pPr>
          </w:p>
        </w:tc>
        <w:tc>
          <w:tcPr>
            <w:tcW w:w="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1C8AB" w14:textId="77777777" w:rsidR="00993C48" w:rsidRPr="00993C48" w:rsidRDefault="00993C48" w:rsidP="00993C48">
            <w:pPr>
              <w:snapToGrid w:val="0"/>
              <w:spacing w:line="200" w:lineRule="exact"/>
              <w:rPr>
                <w:rFonts w:ascii="標楷體" w:eastAsia="標楷體" w:hAnsi="標楷體" w:cs="Calibri"/>
                <w:sz w:val="20"/>
                <w:szCs w:val="20"/>
              </w:rPr>
            </w:pPr>
          </w:p>
        </w:tc>
        <w:tc>
          <w:tcPr>
            <w:tcW w:w="1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BC3C09"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身分證</w:t>
            </w:r>
          </w:p>
          <w:p w14:paraId="5557FF1C"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統一編號</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2A6D8" w14:textId="77777777" w:rsidR="00993C48" w:rsidRPr="00993C48" w:rsidRDefault="00993C48" w:rsidP="00993C48">
            <w:pPr>
              <w:snapToGrid w:val="0"/>
              <w:spacing w:line="200" w:lineRule="exact"/>
              <w:rPr>
                <w:rFonts w:ascii="標楷體" w:eastAsia="標楷體" w:hAnsi="標楷體" w:cs="Calibri"/>
                <w:sz w:val="20"/>
                <w:szCs w:val="20"/>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2785DC"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科</w:t>
            </w:r>
          </w:p>
          <w:p w14:paraId="54471725"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別</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FD88F" w14:textId="77777777" w:rsidR="00993C48" w:rsidRPr="00993C48" w:rsidRDefault="00993C48" w:rsidP="00993C48">
            <w:pPr>
              <w:snapToGrid w:val="0"/>
              <w:spacing w:line="200" w:lineRule="exact"/>
              <w:rPr>
                <w:rFonts w:ascii="標楷體" w:eastAsia="標楷體" w:hAnsi="標楷體" w:cs="Calibri"/>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3B1EE"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□門診□住院</w:t>
            </w:r>
          </w:p>
        </w:tc>
        <w:tc>
          <w:tcPr>
            <w:tcW w:w="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3DB1FB"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病歷號碼</w:t>
            </w:r>
          </w:p>
        </w:tc>
        <w:tc>
          <w:tcPr>
            <w:tcW w:w="14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E1BEB5" w14:textId="77777777" w:rsidR="00993C48" w:rsidRPr="00993C48" w:rsidRDefault="00993C48" w:rsidP="00993C48">
            <w:pPr>
              <w:snapToGrid w:val="0"/>
              <w:spacing w:line="200" w:lineRule="exact"/>
              <w:rPr>
                <w:rFonts w:ascii="標楷體" w:eastAsia="標楷體" w:hAnsi="標楷體" w:cs="Calibri"/>
                <w:sz w:val="20"/>
                <w:szCs w:val="20"/>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5DE36B"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申請醫師身分證號</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A6C85" w14:textId="77777777" w:rsidR="00993C48" w:rsidRPr="00993C48" w:rsidRDefault="00993C48" w:rsidP="00993C48">
            <w:pPr>
              <w:snapToGrid w:val="0"/>
              <w:spacing w:line="200" w:lineRule="exact"/>
              <w:rPr>
                <w:rFonts w:ascii="標楷體" w:eastAsia="標楷體" w:hAnsi="標楷體" w:cs="Calibri"/>
                <w:sz w:val="20"/>
                <w:szCs w:val="20"/>
              </w:rPr>
            </w:pPr>
          </w:p>
        </w:tc>
        <w:tc>
          <w:tcPr>
            <w:tcW w:w="67" w:type="dxa"/>
            <w:shd w:val="clear" w:color="auto" w:fill="auto"/>
            <w:tcMar>
              <w:top w:w="0" w:type="dxa"/>
              <w:left w:w="10" w:type="dxa"/>
              <w:bottom w:w="0" w:type="dxa"/>
              <w:right w:w="10" w:type="dxa"/>
            </w:tcMar>
          </w:tcPr>
          <w:p w14:paraId="1651EC7B" w14:textId="77777777" w:rsidR="00993C48" w:rsidRPr="00993C48" w:rsidRDefault="00993C48" w:rsidP="00993C48">
            <w:pPr>
              <w:snapToGrid w:val="0"/>
              <w:spacing w:line="200" w:lineRule="exact"/>
              <w:rPr>
                <w:rFonts w:ascii="標楷體" w:eastAsia="標楷體" w:hAnsi="標楷體" w:cs="Calibri"/>
                <w:sz w:val="20"/>
                <w:szCs w:val="20"/>
              </w:rPr>
            </w:pPr>
          </w:p>
        </w:tc>
      </w:tr>
      <w:tr w:rsidR="00993C48" w:rsidRPr="00993C48" w14:paraId="3709B5FA" w14:textId="77777777" w:rsidTr="00993C48">
        <w:trPr>
          <w:cantSplit/>
          <w:trHeight w:val="613"/>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38A2D5" w14:textId="77777777" w:rsidR="00993C48" w:rsidRPr="00993C48" w:rsidRDefault="00993C48" w:rsidP="00993C48">
            <w:pPr>
              <w:snapToGrid w:val="0"/>
              <w:spacing w:line="200" w:lineRule="exact"/>
              <w:rPr>
                <w:rFonts w:ascii="標楷體" w:eastAsia="標楷體" w:hAnsi="標楷體" w:cs="Calibri"/>
                <w:sz w:val="20"/>
                <w:szCs w:val="20"/>
              </w:rPr>
            </w:pPr>
            <w:r w:rsidRPr="00993C48">
              <w:rPr>
                <w:rFonts w:ascii="標楷體" w:eastAsia="標楷體" w:hAnsi="標楷體" w:cs="Calibri"/>
                <w:sz w:val="20"/>
                <w:szCs w:val="20"/>
              </w:rPr>
              <w:t>ICD-10代碼</w:t>
            </w:r>
          </w:p>
        </w:tc>
        <w:tc>
          <w:tcPr>
            <w:tcW w:w="25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CB904F" w14:textId="77777777" w:rsidR="00993C48" w:rsidRPr="00993C48" w:rsidRDefault="00993C48" w:rsidP="00993C48">
            <w:pPr>
              <w:snapToGrid w:val="0"/>
              <w:spacing w:line="200" w:lineRule="exact"/>
              <w:rPr>
                <w:rFonts w:ascii="標楷體" w:eastAsia="標楷體" w:hAnsi="標楷體" w:cs="Calibri"/>
                <w:sz w:val="20"/>
                <w:szCs w:val="20"/>
              </w:rPr>
            </w:pP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6BF2C1"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疾病名稱</w:t>
            </w:r>
          </w:p>
        </w:tc>
        <w:tc>
          <w:tcPr>
            <w:tcW w:w="31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C9799" w14:textId="77777777" w:rsidR="00993C48" w:rsidRPr="00993C48" w:rsidRDefault="00993C48" w:rsidP="00993C48">
            <w:pPr>
              <w:snapToGrid w:val="0"/>
              <w:spacing w:line="200" w:lineRule="exact"/>
              <w:rPr>
                <w:rFonts w:ascii="標楷體" w:eastAsia="標楷體" w:hAnsi="標楷體" w:cs="Calibri"/>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60BF59"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使用日期</w:t>
            </w:r>
          </w:p>
        </w:tc>
        <w:tc>
          <w:tcPr>
            <w:tcW w:w="4879" w:type="dxa"/>
            <w:gridSpan w:val="1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29968FC" w14:textId="77777777" w:rsidR="00993C48" w:rsidRPr="00993C48" w:rsidRDefault="00993C48" w:rsidP="00993C48">
            <w:pPr>
              <w:snapToGrid w:val="0"/>
              <w:spacing w:line="200" w:lineRule="exact"/>
              <w:rPr>
                <w:rFonts w:ascii="Times New Roman" w:hAnsi="Times New Roman"/>
                <w:szCs w:val="24"/>
              </w:rPr>
            </w:pPr>
            <w:r w:rsidRPr="00993C48">
              <w:rPr>
                <w:rFonts w:ascii="標楷體" w:eastAsia="標楷體" w:hAnsi="標楷體" w:cs="Calibri"/>
                <w:sz w:val="20"/>
                <w:szCs w:val="20"/>
              </w:rPr>
              <w:t>年月日至年月日</w:t>
            </w:r>
          </w:p>
        </w:tc>
        <w:tc>
          <w:tcPr>
            <w:tcW w:w="67" w:type="dxa"/>
            <w:shd w:val="clear" w:color="auto" w:fill="auto"/>
            <w:tcMar>
              <w:top w:w="0" w:type="dxa"/>
              <w:left w:w="10" w:type="dxa"/>
              <w:bottom w:w="0" w:type="dxa"/>
              <w:right w:w="10" w:type="dxa"/>
            </w:tcMar>
          </w:tcPr>
          <w:p w14:paraId="625D7977" w14:textId="77777777" w:rsidR="00993C48" w:rsidRPr="00993C48" w:rsidRDefault="00993C48" w:rsidP="00993C48">
            <w:pPr>
              <w:snapToGrid w:val="0"/>
              <w:spacing w:line="200" w:lineRule="exact"/>
              <w:rPr>
                <w:rFonts w:ascii="標楷體" w:eastAsia="標楷體" w:hAnsi="標楷體" w:cs="Calibri"/>
                <w:szCs w:val="24"/>
              </w:rPr>
            </w:pPr>
          </w:p>
        </w:tc>
      </w:tr>
      <w:tr w:rsidR="00993C48" w:rsidRPr="00993C48" w14:paraId="77F4C4AF" w14:textId="77777777" w:rsidTr="00993C48">
        <w:trPr>
          <w:cantSplit/>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97194E"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藥品代碼</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B284E0"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申請類別</w:t>
            </w: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A0606A"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給付規定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9F9095"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用法</w:t>
            </w:r>
          </w:p>
          <w:p w14:paraId="137A8850"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用量</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C12EB"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申請</w:t>
            </w:r>
          </w:p>
          <w:p w14:paraId="55FEA181"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數量</w:t>
            </w:r>
          </w:p>
        </w:tc>
        <w:tc>
          <w:tcPr>
            <w:tcW w:w="4879" w:type="dxa"/>
            <w:gridSpan w:val="14"/>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486AD6D" w14:textId="77777777" w:rsidR="00993C48" w:rsidRPr="00993C48" w:rsidRDefault="00993C48" w:rsidP="00993C48">
            <w:pPr>
              <w:snapToGrid w:val="0"/>
              <w:spacing w:line="200" w:lineRule="exact"/>
              <w:jc w:val="center"/>
              <w:rPr>
                <w:rFonts w:ascii="Times New Roman" w:hAnsi="Times New Roman"/>
                <w:szCs w:val="24"/>
              </w:rPr>
            </w:pPr>
            <w:r w:rsidRPr="00993C48">
              <w:rPr>
                <w:rFonts w:ascii="標楷體" w:eastAsia="標楷體" w:hAnsi="標楷體" w:cs="Calibri"/>
                <w:sz w:val="20"/>
                <w:szCs w:val="20"/>
              </w:rPr>
              <w:t>保險人核定欄</w:t>
            </w:r>
          </w:p>
        </w:tc>
        <w:tc>
          <w:tcPr>
            <w:tcW w:w="67" w:type="dxa"/>
            <w:shd w:val="clear" w:color="auto" w:fill="auto"/>
            <w:tcMar>
              <w:top w:w="0" w:type="dxa"/>
              <w:left w:w="10" w:type="dxa"/>
              <w:bottom w:w="0" w:type="dxa"/>
              <w:right w:w="10" w:type="dxa"/>
            </w:tcMar>
          </w:tcPr>
          <w:p w14:paraId="5DB80716" w14:textId="77777777" w:rsidR="00993C48" w:rsidRPr="00993C48" w:rsidRDefault="00993C48" w:rsidP="00993C48">
            <w:pPr>
              <w:snapToGrid w:val="0"/>
              <w:spacing w:line="200" w:lineRule="exact"/>
              <w:jc w:val="center"/>
              <w:rPr>
                <w:rFonts w:ascii="標楷體" w:eastAsia="標楷體" w:hAnsi="標楷體" w:cs="Calibri"/>
                <w:szCs w:val="24"/>
              </w:rPr>
            </w:pPr>
          </w:p>
        </w:tc>
      </w:tr>
      <w:tr w:rsidR="00993C48" w:rsidRPr="00993C48" w14:paraId="5E6655CB" w14:textId="77777777" w:rsidTr="00993C48">
        <w:trPr>
          <w:cantSplit/>
          <w:trHeight w:val="2066"/>
        </w:trPr>
        <w:tc>
          <w:tcPr>
            <w:tcW w:w="12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A6AC9" w14:textId="77777777" w:rsidR="00993C48" w:rsidRPr="00993C48" w:rsidRDefault="00993C48" w:rsidP="00993C48">
            <w:pPr>
              <w:snapToGrid w:val="0"/>
              <w:spacing w:line="200" w:lineRule="exact"/>
              <w:rPr>
                <w:rFonts w:ascii="標楷體" w:eastAsia="標楷體" w:hAnsi="標楷體" w:cs="Calibri"/>
                <w:szCs w:val="24"/>
              </w:rPr>
            </w:pPr>
          </w:p>
          <w:p w14:paraId="6A4F4236" w14:textId="77777777" w:rsidR="00993C48" w:rsidRPr="00993C48" w:rsidRDefault="00993C48" w:rsidP="00993C48">
            <w:pPr>
              <w:snapToGrid w:val="0"/>
              <w:spacing w:line="200" w:lineRule="exact"/>
              <w:rPr>
                <w:rFonts w:ascii="標楷體" w:eastAsia="標楷體" w:hAnsi="標楷體" w:cs="Calibri"/>
                <w:sz w:val="20"/>
                <w:szCs w:val="20"/>
              </w:rPr>
            </w:pPr>
            <w:r w:rsidRPr="00993C48">
              <w:rPr>
                <w:rFonts w:ascii="標楷體" w:eastAsia="標楷體" w:hAnsi="標楷體" w:cs="Calibri"/>
                <w:sz w:val="20"/>
                <w:szCs w:val="20"/>
              </w:rPr>
              <w:t>Soliris</w:t>
            </w:r>
          </w:p>
          <w:p w14:paraId="7DABFD5C" w14:textId="77777777" w:rsidR="00993C48" w:rsidRPr="00993C48" w:rsidRDefault="00993C48" w:rsidP="00993C48">
            <w:pPr>
              <w:snapToGrid w:val="0"/>
              <w:spacing w:line="200" w:lineRule="exact"/>
              <w:rPr>
                <w:rFonts w:ascii="標楷體" w:eastAsia="標楷體" w:hAnsi="標楷體" w:cs="Calibri"/>
                <w:szCs w:val="24"/>
              </w:rPr>
            </w:pPr>
          </w:p>
          <w:p w14:paraId="4A23BA44" w14:textId="77777777" w:rsidR="00993C48" w:rsidRPr="00993C48" w:rsidRDefault="00993C48" w:rsidP="00993C48">
            <w:pPr>
              <w:snapToGrid w:val="0"/>
              <w:rPr>
                <w:rFonts w:ascii="Times New Roman" w:hAnsi="Times New Roman"/>
                <w:szCs w:val="24"/>
              </w:rPr>
            </w:pPr>
            <w:r w:rsidRPr="00993C48">
              <w:rPr>
                <w:rFonts w:ascii="標楷體" w:eastAsia="標楷體" w:hAnsi="標楷體" w:cs="Calibri"/>
                <w:sz w:val="20"/>
                <w:szCs w:val="20"/>
              </w:rPr>
              <w:t>□</w:t>
            </w:r>
            <w:r w:rsidRPr="00993C48">
              <w:rPr>
                <w:rFonts w:ascii="標楷體" w:eastAsia="標楷體" w:hAnsi="標楷體" w:cs="Calibri"/>
                <w:kern w:val="0"/>
                <w:sz w:val="16"/>
                <w:szCs w:val="16"/>
              </w:rPr>
              <w:t>YC00016243</w:t>
            </w:r>
          </w:p>
          <w:p w14:paraId="57ADA8AE" w14:textId="77777777" w:rsidR="00993C48" w:rsidRPr="00993C48" w:rsidRDefault="00993C48" w:rsidP="00993C48">
            <w:pPr>
              <w:widowControl/>
              <w:snapToGrid w:val="0"/>
              <w:rPr>
                <w:rFonts w:ascii="標楷體" w:eastAsia="標楷體" w:hAnsi="標楷體" w:cs="Calibri"/>
                <w:sz w:val="20"/>
                <w:szCs w:val="20"/>
              </w:rPr>
            </w:pPr>
          </w:p>
          <w:p w14:paraId="3C2CFD38" w14:textId="77777777" w:rsidR="00993C48" w:rsidRPr="00993C48" w:rsidRDefault="00993C48" w:rsidP="00993C48">
            <w:pPr>
              <w:widowControl/>
              <w:snapToGrid w:val="0"/>
              <w:rPr>
                <w:rFonts w:ascii="標楷體" w:eastAsia="標楷體" w:hAnsi="標楷體" w:cs="Calibri"/>
                <w:sz w:val="20"/>
                <w:szCs w:val="20"/>
              </w:rPr>
            </w:pPr>
            <w:r w:rsidRPr="00993C48">
              <w:rPr>
                <w:rFonts w:ascii="標楷體" w:eastAsia="標楷體" w:hAnsi="標楷體" w:cs="Calibri"/>
                <w:sz w:val="20"/>
                <w:szCs w:val="20"/>
              </w:rPr>
              <w:t>Ultomiris</w:t>
            </w:r>
          </w:p>
          <w:p w14:paraId="24FB174D" w14:textId="77777777" w:rsidR="00993C48" w:rsidRPr="00993C48" w:rsidRDefault="00993C48" w:rsidP="00993C48">
            <w:pPr>
              <w:widowControl/>
              <w:snapToGrid w:val="0"/>
              <w:rPr>
                <w:rFonts w:ascii="Times New Roman" w:hAnsi="Times New Roman"/>
                <w:szCs w:val="24"/>
              </w:rPr>
            </w:pPr>
            <w:r w:rsidRPr="00993C48">
              <w:rPr>
                <w:rFonts w:ascii="標楷體" w:eastAsia="標楷體" w:hAnsi="標楷體" w:cs="Calibri"/>
                <w:sz w:val="20"/>
                <w:szCs w:val="20"/>
              </w:rPr>
              <w:t>□</w:t>
            </w:r>
            <w:r w:rsidRPr="00993C48">
              <w:rPr>
                <w:rFonts w:ascii="標楷體" w:eastAsia="標楷體" w:hAnsi="標楷體" w:cs="Calibri"/>
                <w:kern w:val="0"/>
                <w:sz w:val="16"/>
                <w:szCs w:val="16"/>
              </w:rPr>
              <w:t>YC00045216</w:t>
            </w:r>
          </w:p>
          <w:p w14:paraId="4FB9A32A" w14:textId="77777777" w:rsidR="00993C48" w:rsidRPr="00993C48" w:rsidRDefault="00993C48" w:rsidP="00993C48">
            <w:pPr>
              <w:widowControl/>
              <w:snapToGrid w:val="0"/>
              <w:rPr>
                <w:rFonts w:ascii="Times New Roman" w:hAnsi="Times New Roman"/>
                <w:szCs w:val="24"/>
              </w:rPr>
            </w:pPr>
            <w:r w:rsidRPr="00993C48">
              <w:rPr>
                <w:rFonts w:ascii="標楷體" w:eastAsia="標楷體" w:hAnsi="標楷體" w:cs="Calibri"/>
                <w:sz w:val="20"/>
                <w:szCs w:val="20"/>
              </w:rPr>
              <w:t xml:space="preserve">  </w:t>
            </w:r>
            <w:r w:rsidRPr="00993C48">
              <w:rPr>
                <w:rFonts w:ascii="標楷體" w:eastAsia="標楷體" w:hAnsi="標楷體" w:cs="Calibri"/>
                <w:kern w:val="0"/>
                <w:sz w:val="16"/>
                <w:szCs w:val="16"/>
              </w:rPr>
              <w:t>YC000452C3</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B552F5" w14:textId="77777777" w:rsidR="00993C48" w:rsidRPr="00993C48" w:rsidRDefault="00993C48" w:rsidP="00993C48">
            <w:pPr>
              <w:snapToGrid w:val="0"/>
              <w:spacing w:before="180"/>
              <w:ind w:left="269" w:hanging="269"/>
              <w:rPr>
                <w:rFonts w:ascii="標楷體" w:eastAsia="標楷體" w:hAnsi="標楷體" w:cs="Calibri"/>
                <w:szCs w:val="24"/>
              </w:rPr>
            </w:pPr>
          </w:p>
          <w:p w14:paraId="0A3C4C89" w14:textId="77777777" w:rsidR="00993C48" w:rsidRPr="00993C48" w:rsidRDefault="00993C48" w:rsidP="00993C48">
            <w:pPr>
              <w:snapToGrid w:val="0"/>
              <w:spacing w:line="200" w:lineRule="exact"/>
              <w:ind w:left="320" w:hanging="320"/>
              <w:rPr>
                <w:rFonts w:ascii="Times New Roman" w:hAnsi="Times New Roman"/>
                <w:szCs w:val="24"/>
              </w:rPr>
            </w:pPr>
            <w:r w:rsidRPr="00993C48">
              <w:rPr>
                <w:rFonts w:ascii="標楷體" w:eastAsia="標楷體" w:hAnsi="標楷體" w:cs="Calibri"/>
                <w:sz w:val="20"/>
                <w:szCs w:val="20"/>
              </w:rPr>
              <w:t>□第一次申請</w:t>
            </w:r>
          </w:p>
          <w:p w14:paraId="4650DAD7" w14:textId="77777777" w:rsidR="00993C48" w:rsidRPr="00993C48" w:rsidRDefault="00993C48" w:rsidP="00993C48">
            <w:pPr>
              <w:snapToGrid w:val="0"/>
              <w:spacing w:line="200" w:lineRule="exact"/>
              <w:ind w:left="220" w:hanging="100"/>
              <w:rPr>
                <w:rFonts w:ascii="標楷體" w:eastAsia="標楷體" w:hAnsi="標楷體" w:cs="Calibri"/>
                <w:sz w:val="20"/>
                <w:szCs w:val="20"/>
              </w:rPr>
            </w:pPr>
          </w:p>
          <w:p w14:paraId="26E8575A" w14:textId="77777777" w:rsidR="00993C48" w:rsidRPr="00993C48" w:rsidRDefault="00993C48" w:rsidP="00993C48">
            <w:pPr>
              <w:snapToGrid w:val="0"/>
              <w:spacing w:line="200" w:lineRule="exact"/>
              <w:ind w:left="320" w:hanging="320"/>
              <w:rPr>
                <w:rFonts w:ascii="Times New Roman" w:hAnsi="Times New Roman"/>
                <w:szCs w:val="24"/>
              </w:rPr>
            </w:pPr>
            <w:r w:rsidRPr="00993C48">
              <w:rPr>
                <w:rFonts w:ascii="標楷體" w:eastAsia="標楷體" w:hAnsi="標楷體" w:cs="Calibri"/>
                <w:sz w:val="20"/>
                <w:szCs w:val="20"/>
              </w:rPr>
              <w:t>□治療後再次申請</w:t>
            </w:r>
            <w:r w:rsidRPr="00993C48">
              <w:rPr>
                <w:rFonts w:ascii="標楷體" w:eastAsia="標楷體" w:hAnsi="標楷體" w:cs="Calibri"/>
                <w:kern w:val="0"/>
                <w:sz w:val="20"/>
                <w:szCs w:val="20"/>
              </w:rPr>
              <w:t>續用</w:t>
            </w:r>
          </w:p>
          <w:p w14:paraId="3A6BEB17" w14:textId="77777777" w:rsidR="00993C48" w:rsidRPr="00993C48" w:rsidRDefault="00993C48" w:rsidP="00993C48">
            <w:pPr>
              <w:snapToGrid w:val="0"/>
              <w:spacing w:before="180"/>
              <w:ind w:left="224" w:hanging="224"/>
              <w:rPr>
                <w:rFonts w:ascii="標楷體" w:eastAsia="標楷體" w:hAnsi="標楷體" w:cs="Calibri"/>
                <w:sz w:val="20"/>
                <w:szCs w:val="20"/>
              </w:rPr>
            </w:pPr>
          </w:p>
        </w:tc>
        <w:tc>
          <w:tcPr>
            <w:tcW w:w="514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26B190" w14:textId="77777777" w:rsidR="00993C48" w:rsidRPr="00993C48" w:rsidRDefault="00993C48" w:rsidP="00993C48">
            <w:pPr>
              <w:snapToGrid w:val="0"/>
              <w:spacing w:before="162" w:after="162" w:line="240" w:lineRule="exact"/>
              <w:ind w:left="1360" w:hanging="1120"/>
              <w:rPr>
                <w:rFonts w:ascii="標楷體" w:eastAsia="標楷體" w:hAnsi="標楷體" w:cs="Calibri"/>
                <w:sz w:val="20"/>
                <w:szCs w:val="20"/>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6C3D8" w14:textId="77777777" w:rsidR="00993C48" w:rsidRPr="00993C48" w:rsidRDefault="00993C48" w:rsidP="00993C48">
            <w:pPr>
              <w:snapToGrid w:val="0"/>
              <w:spacing w:line="200" w:lineRule="exact"/>
              <w:rPr>
                <w:rFonts w:ascii="標楷體" w:eastAsia="標楷體" w:hAnsi="標楷體" w:cs="Calibri"/>
                <w:sz w:val="20"/>
                <w:szCs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409D7" w14:textId="77777777" w:rsidR="00993C48" w:rsidRPr="00993C48" w:rsidRDefault="00993C48" w:rsidP="00993C48">
            <w:pPr>
              <w:snapToGrid w:val="0"/>
              <w:rPr>
                <w:rFonts w:ascii="標楷體" w:eastAsia="標楷體" w:hAnsi="標楷體" w:cs="Calibri"/>
                <w:sz w:val="20"/>
                <w:szCs w:val="20"/>
              </w:rPr>
            </w:pPr>
          </w:p>
        </w:tc>
        <w:tc>
          <w:tcPr>
            <w:tcW w:w="4879" w:type="dxa"/>
            <w:gridSpan w:val="14"/>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43A44D0" w14:textId="77777777" w:rsidR="00993C48" w:rsidRPr="00993C48" w:rsidRDefault="00993C48" w:rsidP="00993C48">
            <w:pPr>
              <w:tabs>
                <w:tab w:val="left" w:pos="240"/>
              </w:tabs>
              <w:snapToGrid w:val="0"/>
              <w:spacing w:line="240" w:lineRule="exact"/>
              <w:rPr>
                <w:rFonts w:ascii="Times New Roman" w:hAnsi="Times New Roman"/>
                <w:szCs w:val="24"/>
              </w:rPr>
            </w:pPr>
            <w:r w:rsidRPr="00993C48">
              <w:rPr>
                <w:rFonts w:ascii="標楷體" w:eastAsia="標楷體" w:hAnsi="標楷體" w:cs="Calibri"/>
                <w:sz w:val="20"/>
                <w:szCs w:val="20"/>
              </w:rPr>
              <w:t>□同意備查。</w:t>
            </w:r>
          </w:p>
          <w:p w14:paraId="5A6EB2E2" w14:textId="77777777" w:rsidR="00993C48" w:rsidRPr="00993C48" w:rsidRDefault="00993C48" w:rsidP="00993C48">
            <w:pPr>
              <w:tabs>
                <w:tab w:val="left" w:pos="592"/>
              </w:tabs>
              <w:snapToGrid w:val="0"/>
              <w:spacing w:line="240" w:lineRule="exact"/>
              <w:ind w:left="307"/>
              <w:rPr>
                <w:rFonts w:ascii="Times New Roman" w:hAnsi="Times New Roman"/>
                <w:szCs w:val="24"/>
              </w:rPr>
            </w:pPr>
            <w:r w:rsidRPr="00993C48">
              <w:rPr>
                <w:rFonts w:ascii="標楷體" w:eastAsia="標楷體" w:hAnsi="標楷體" w:cs="Calibri"/>
                <w:sz w:val="20"/>
                <w:szCs w:val="20"/>
              </w:rPr>
              <w:t>□使用劑量不符合常規，核定量為</w:t>
            </w:r>
          </w:p>
          <w:p w14:paraId="63D16157" w14:textId="77777777" w:rsidR="00993C48" w:rsidRPr="00993C48" w:rsidRDefault="00993C48" w:rsidP="00993C48">
            <w:pPr>
              <w:snapToGrid w:val="0"/>
              <w:spacing w:line="240" w:lineRule="exact"/>
              <w:rPr>
                <w:rFonts w:ascii="Times New Roman" w:hAnsi="Times New Roman"/>
                <w:szCs w:val="24"/>
              </w:rPr>
            </w:pPr>
            <w:r w:rsidRPr="00993C48">
              <w:rPr>
                <w:rFonts w:ascii="標楷體" w:eastAsia="標楷體" w:hAnsi="標楷體" w:cs="Calibri"/>
                <w:sz w:val="20"/>
                <w:szCs w:val="20"/>
              </w:rPr>
              <w:t>□不同意</w:t>
            </w:r>
          </w:p>
          <w:p w14:paraId="72902D41" w14:textId="77777777" w:rsidR="00993C48" w:rsidRPr="00993C48" w:rsidRDefault="00993C48" w:rsidP="00993C48">
            <w:pPr>
              <w:snapToGrid w:val="0"/>
              <w:spacing w:line="240" w:lineRule="exact"/>
              <w:ind w:left="309"/>
              <w:rPr>
                <w:rFonts w:ascii="Times New Roman" w:hAnsi="Times New Roman"/>
                <w:szCs w:val="24"/>
              </w:rPr>
            </w:pPr>
            <w:r w:rsidRPr="00993C48">
              <w:rPr>
                <w:rFonts w:ascii="標楷體" w:eastAsia="標楷體" w:hAnsi="標楷體" w:cs="Calibri"/>
                <w:sz w:val="20"/>
                <w:szCs w:val="20"/>
              </w:rPr>
              <w:t>□不符合給付規定之適應症。</w:t>
            </w:r>
          </w:p>
          <w:p w14:paraId="202510F9" w14:textId="77777777" w:rsidR="00993C48" w:rsidRPr="00993C48" w:rsidRDefault="00993C48" w:rsidP="00993C48">
            <w:pPr>
              <w:tabs>
                <w:tab w:val="left" w:pos="592"/>
              </w:tabs>
              <w:snapToGrid w:val="0"/>
              <w:spacing w:line="240" w:lineRule="exact"/>
              <w:ind w:left="309"/>
              <w:rPr>
                <w:rFonts w:ascii="Times New Roman" w:hAnsi="Times New Roman"/>
                <w:szCs w:val="24"/>
              </w:rPr>
            </w:pPr>
            <w:r w:rsidRPr="00993C48">
              <w:rPr>
                <w:rFonts w:ascii="標楷體" w:eastAsia="標楷體" w:hAnsi="標楷體" w:cs="Calibri"/>
                <w:sz w:val="20"/>
                <w:szCs w:val="20"/>
              </w:rPr>
              <w:t>□未有佐證資料，排除其他原因引起之貧血。</w:t>
            </w:r>
          </w:p>
          <w:p w14:paraId="4908EBC2" w14:textId="77777777" w:rsidR="00993C48" w:rsidRPr="00993C48" w:rsidRDefault="00993C48" w:rsidP="00993C48">
            <w:pPr>
              <w:snapToGrid w:val="0"/>
              <w:spacing w:line="240" w:lineRule="exact"/>
              <w:ind w:left="512" w:hanging="200"/>
              <w:rPr>
                <w:rFonts w:ascii="Times New Roman" w:hAnsi="Times New Roman"/>
                <w:szCs w:val="24"/>
              </w:rPr>
            </w:pPr>
            <w:r w:rsidRPr="00993C48">
              <w:rPr>
                <w:rFonts w:ascii="標楷體" w:eastAsia="標楷體" w:hAnsi="標楷體" w:cs="Calibri"/>
                <w:sz w:val="20"/>
                <w:szCs w:val="20"/>
              </w:rPr>
              <w:t>□治療計畫未註明menigococcal vaccine(流行性腦脊髓膜炎疫苗)施打計畫。</w:t>
            </w:r>
          </w:p>
          <w:p w14:paraId="7649605E" w14:textId="77777777" w:rsidR="00993C48" w:rsidRPr="00993C48" w:rsidRDefault="00993C48" w:rsidP="00993C48">
            <w:pPr>
              <w:snapToGrid w:val="0"/>
              <w:spacing w:line="240" w:lineRule="exact"/>
              <w:ind w:left="512" w:hanging="200"/>
              <w:rPr>
                <w:rFonts w:ascii="標楷體" w:eastAsia="標楷體" w:hAnsi="標楷體" w:cs="Calibri"/>
                <w:sz w:val="20"/>
                <w:szCs w:val="20"/>
              </w:rPr>
            </w:pPr>
            <w:r w:rsidRPr="00993C48">
              <w:rPr>
                <w:rFonts w:ascii="標楷體" w:eastAsia="標楷體" w:hAnsi="標楷體" w:cs="Calibri"/>
                <w:sz w:val="20"/>
                <w:szCs w:val="20"/>
              </w:rPr>
              <w:t>□未附治療計劃(預計使用上述藥物之劑量及預計使用次數)</w:t>
            </w:r>
          </w:p>
          <w:p w14:paraId="7802EFC1" w14:textId="77777777" w:rsidR="00993C48" w:rsidRPr="00993C48" w:rsidRDefault="00993C48" w:rsidP="00993C48">
            <w:pPr>
              <w:snapToGrid w:val="0"/>
              <w:spacing w:line="240" w:lineRule="exact"/>
              <w:ind w:left="512" w:hanging="200"/>
              <w:rPr>
                <w:rFonts w:ascii="標楷體" w:eastAsia="標楷體" w:hAnsi="標楷體" w:cs="Calibri"/>
                <w:sz w:val="20"/>
                <w:szCs w:val="20"/>
              </w:rPr>
            </w:pPr>
            <w:r w:rsidRPr="00993C48">
              <w:rPr>
                <w:rFonts w:ascii="標楷體" w:eastAsia="標楷體" w:hAnsi="標楷體" w:cs="Calibri"/>
                <w:sz w:val="20"/>
                <w:szCs w:val="20"/>
              </w:rPr>
              <w:t>□相關檢驗、檢查報告不全(如影像診斷報告或生化檢驗數據)</w:t>
            </w:r>
          </w:p>
          <w:p w14:paraId="23B4B7D3" w14:textId="77777777" w:rsidR="00993C48" w:rsidRPr="00993C48" w:rsidRDefault="00993C48" w:rsidP="00993C48">
            <w:pPr>
              <w:snapToGrid w:val="0"/>
              <w:spacing w:line="240" w:lineRule="exact"/>
              <w:ind w:left="309"/>
              <w:rPr>
                <w:rFonts w:ascii="Times New Roman" w:hAnsi="Times New Roman"/>
                <w:szCs w:val="24"/>
              </w:rPr>
            </w:pPr>
            <w:r w:rsidRPr="00993C48">
              <w:rPr>
                <w:rFonts w:ascii="標楷體" w:eastAsia="標楷體" w:hAnsi="標楷體" w:cs="Calibri"/>
                <w:sz w:val="20"/>
                <w:szCs w:val="20"/>
              </w:rPr>
              <w:t>□補附資料再審，請補充以下資料</w:t>
            </w:r>
          </w:p>
          <w:p w14:paraId="66FCE51A" w14:textId="77777777" w:rsidR="00993C48" w:rsidRPr="00993C48" w:rsidRDefault="00993C48" w:rsidP="00993C48">
            <w:pPr>
              <w:snapToGrid w:val="0"/>
              <w:spacing w:line="240" w:lineRule="exact"/>
              <w:ind w:left="309"/>
              <w:rPr>
                <w:rFonts w:ascii="標楷體" w:eastAsia="標楷體" w:hAnsi="標楷體" w:cs="Calibri"/>
                <w:sz w:val="20"/>
                <w:szCs w:val="20"/>
              </w:rPr>
            </w:pPr>
            <w:r w:rsidRPr="00993C48">
              <w:rPr>
                <w:rFonts w:ascii="標楷體" w:eastAsia="標楷體" w:hAnsi="標楷體" w:cs="Calibri"/>
                <w:sz w:val="20"/>
                <w:szCs w:val="20"/>
              </w:rPr>
              <w:t>□其他：</w:t>
            </w:r>
          </w:p>
        </w:tc>
        <w:tc>
          <w:tcPr>
            <w:tcW w:w="67" w:type="dxa"/>
            <w:shd w:val="clear" w:color="auto" w:fill="auto"/>
            <w:tcMar>
              <w:top w:w="0" w:type="dxa"/>
              <w:left w:w="10" w:type="dxa"/>
              <w:bottom w:w="0" w:type="dxa"/>
              <w:right w:w="10" w:type="dxa"/>
            </w:tcMar>
          </w:tcPr>
          <w:p w14:paraId="0EEE1347" w14:textId="77777777" w:rsidR="00993C48" w:rsidRPr="00993C48" w:rsidRDefault="00993C48" w:rsidP="00993C48">
            <w:pPr>
              <w:tabs>
                <w:tab w:val="left" w:pos="240"/>
              </w:tabs>
              <w:snapToGrid w:val="0"/>
              <w:spacing w:line="240" w:lineRule="exact"/>
              <w:ind w:left="478" w:hanging="238"/>
              <w:rPr>
                <w:rFonts w:ascii="標楷體" w:eastAsia="標楷體" w:hAnsi="標楷體" w:cs="Calibri"/>
                <w:sz w:val="20"/>
                <w:szCs w:val="20"/>
              </w:rPr>
            </w:pPr>
          </w:p>
        </w:tc>
      </w:tr>
      <w:tr w:rsidR="00993C48" w:rsidRPr="00993C48" w14:paraId="108A528D" w14:textId="77777777" w:rsidTr="00993C48">
        <w:trPr>
          <w:cantSplit/>
          <w:trHeight w:val="1285"/>
        </w:trPr>
        <w:tc>
          <w:tcPr>
            <w:tcW w:w="3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64622" w14:textId="77777777" w:rsidR="00993C48" w:rsidRPr="00993C48" w:rsidRDefault="00993C48" w:rsidP="00993C48">
            <w:pPr>
              <w:snapToGrid w:val="0"/>
              <w:ind w:left="113" w:right="113"/>
              <w:rPr>
                <w:rFonts w:ascii="標楷體" w:eastAsia="標楷體" w:hAnsi="標楷體" w:cs="Calibri"/>
                <w:szCs w:val="24"/>
              </w:rPr>
            </w:pPr>
            <w:r w:rsidRPr="00993C48">
              <w:rPr>
                <w:rFonts w:ascii="標楷體" w:eastAsia="標楷體" w:hAnsi="標楷體" w:cs="Calibri"/>
                <w:szCs w:val="24"/>
              </w:rPr>
              <w:t>注意事項</w:t>
            </w:r>
          </w:p>
          <w:p w14:paraId="00ED43B9" w14:textId="77777777" w:rsidR="00993C48" w:rsidRPr="00993C48" w:rsidRDefault="00993C48" w:rsidP="00993C48">
            <w:pPr>
              <w:snapToGrid w:val="0"/>
              <w:spacing w:line="200" w:lineRule="exact"/>
              <w:ind w:left="324" w:right="113" w:hanging="211"/>
              <w:rPr>
                <w:rFonts w:ascii="標楷體" w:eastAsia="標楷體" w:hAnsi="標楷體" w:cs="Calibri"/>
                <w:sz w:val="20"/>
                <w:szCs w:val="20"/>
              </w:rPr>
            </w:pPr>
          </w:p>
        </w:tc>
        <w:tc>
          <w:tcPr>
            <w:tcW w:w="9103"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BBA9E" w14:textId="77777777" w:rsidR="00993C48" w:rsidRPr="00993C48" w:rsidRDefault="00993C48" w:rsidP="00993C48">
            <w:pPr>
              <w:snapToGrid w:val="0"/>
              <w:spacing w:after="90" w:line="200" w:lineRule="exact"/>
              <w:ind w:left="154" w:hanging="154"/>
              <w:rPr>
                <w:rFonts w:ascii="Times New Roman" w:hAnsi="Times New Roman"/>
                <w:szCs w:val="24"/>
              </w:rPr>
            </w:pPr>
            <w:r w:rsidRPr="00993C48">
              <w:rPr>
                <w:rFonts w:ascii="標楷體" w:eastAsia="標楷體" w:hAnsi="標楷體" w:cs="Calibri"/>
                <w:kern w:val="0"/>
                <w:sz w:val="20"/>
                <w:szCs w:val="20"/>
              </w:rPr>
              <w:t>1.本申請書限一人一案，由本保險特約醫事服務機構填報，併附3份相關之病歷及佐證資料，不必備文，請逕向保險人臺北業務組申請審核。</w:t>
            </w:r>
          </w:p>
          <w:p w14:paraId="594311E5" w14:textId="77777777" w:rsidR="00993C48" w:rsidRPr="00993C48" w:rsidRDefault="00993C48" w:rsidP="00993C48">
            <w:pPr>
              <w:snapToGrid w:val="0"/>
              <w:spacing w:after="90" w:line="200" w:lineRule="exact"/>
              <w:ind w:left="154" w:hanging="154"/>
              <w:rPr>
                <w:rFonts w:ascii="標楷體" w:eastAsia="標楷體" w:hAnsi="標楷體" w:cs="Calibri"/>
                <w:kern w:val="0"/>
                <w:sz w:val="20"/>
                <w:szCs w:val="20"/>
              </w:rPr>
            </w:pPr>
            <w:r w:rsidRPr="00993C48">
              <w:rPr>
                <w:rFonts w:ascii="標楷體" w:eastAsia="標楷體" w:hAnsi="標楷體" w:cs="Calibri"/>
                <w:kern w:val="0"/>
                <w:sz w:val="20"/>
                <w:szCs w:val="20"/>
              </w:rPr>
              <w:t>2.本案藥品續用之申請，請於前次准用期限一個月前，向保險人臺北業務組申請審核，以免斷藥。</w:t>
            </w:r>
          </w:p>
          <w:p w14:paraId="7D126301" w14:textId="77777777" w:rsidR="00993C48" w:rsidRPr="00993C48" w:rsidRDefault="00993C48" w:rsidP="00993C48">
            <w:pPr>
              <w:snapToGrid w:val="0"/>
              <w:spacing w:after="90" w:line="200" w:lineRule="exact"/>
              <w:ind w:left="154" w:hanging="154"/>
              <w:rPr>
                <w:rFonts w:ascii="標楷體" w:eastAsia="標楷體" w:hAnsi="標楷體" w:cs="Calibri"/>
                <w:kern w:val="0"/>
                <w:sz w:val="20"/>
                <w:szCs w:val="20"/>
              </w:rPr>
            </w:pPr>
            <w:r w:rsidRPr="00993C48">
              <w:rPr>
                <w:rFonts w:ascii="標楷體" w:eastAsia="標楷體" w:hAnsi="標楷體" w:cs="Calibri"/>
                <w:kern w:val="0"/>
                <w:sz w:val="20"/>
                <w:szCs w:val="20"/>
              </w:rPr>
              <w:t>3.使用本項藥品前必須施打流行性腦脊髓膜炎疫苗，申請使用之治療計畫書必須含流行性腦脊髓膜炎疫苗施打計畫，申請續用時，請檢附最近一次流行性腦脊髓膜炎疫苗施打之資料供參。</w:t>
            </w:r>
          </w:p>
          <w:p w14:paraId="456D1998" w14:textId="77777777" w:rsidR="00993C48" w:rsidRPr="00993C48" w:rsidRDefault="00993C48" w:rsidP="00993C48">
            <w:pPr>
              <w:snapToGrid w:val="0"/>
              <w:spacing w:after="90" w:line="200" w:lineRule="exact"/>
              <w:ind w:left="154" w:hanging="154"/>
              <w:rPr>
                <w:rFonts w:ascii="標楷體" w:eastAsia="標楷體" w:hAnsi="標楷體" w:cs="Calibri"/>
                <w:kern w:val="0"/>
                <w:sz w:val="20"/>
                <w:szCs w:val="20"/>
              </w:rPr>
            </w:pPr>
            <w:r w:rsidRPr="00993C48">
              <w:rPr>
                <w:rFonts w:ascii="標楷體" w:eastAsia="標楷體" w:hAnsi="標楷體" w:cs="Calibri"/>
                <w:kern w:val="0"/>
                <w:sz w:val="20"/>
                <w:szCs w:val="20"/>
              </w:rPr>
              <w:t>4.「原受理編號」申復時填寫，初次送核不須填寫。</w:t>
            </w:r>
          </w:p>
          <w:p w14:paraId="057BBC5B" w14:textId="77777777" w:rsidR="00993C48" w:rsidRPr="00993C48" w:rsidRDefault="00993C48" w:rsidP="00993C48">
            <w:pPr>
              <w:snapToGrid w:val="0"/>
              <w:spacing w:after="90" w:line="200" w:lineRule="exact"/>
              <w:ind w:left="154" w:hanging="154"/>
              <w:rPr>
                <w:rFonts w:ascii="Times New Roman" w:hAnsi="Times New Roman"/>
                <w:szCs w:val="24"/>
              </w:rPr>
            </w:pPr>
            <w:r w:rsidRPr="00993C48">
              <w:rPr>
                <w:rFonts w:ascii="標楷體" w:eastAsia="標楷體" w:hAnsi="標楷體" w:cs="Calibri"/>
                <w:kern w:val="0"/>
                <w:sz w:val="20"/>
                <w:szCs w:val="20"/>
              </w:rPr>
              <w:t>5.本案藥品之審查歸屬特殊專案審查，不適用本標準第64條及第65條之規定。</w:t>
            </w:r>
          </w:p>
          <w:p w14:paraId="76F5A441" w14:textId="77777777" w:rsidR="00993C48" w:rsidRPr="00993C48" w:rsidRDefault="00993C48" w:rsidP="00993C48">
            <w:pPr>
              <w:snapToGrid w:val="0"/>
              <w:spacing w:after="90" w:line="200" w:lineRule="exact"/>
              <w:ind w:left="154" w:hanging="154"/>
              <w:rPr>
                <w:rFonts w:ascii="標楷體" w:eastAsia="標楷體" w:hAnsi="標楷體" w:cs="Calibri"/>
                <w:kern w:val="0"/>
                <w:sz w:val="20"/>
                <w:szCs w:val="20"/>
              </w:rPr>
            </w:pPr>
            <w:r w:rsidRPr="00993C48">
              <w:rPr>
                <w:rFonts w:ascii="標楷體" w:eastAsia="標楷體" w:hAnsi="標楷體" w:cs="Calibri"/>
                <w:kern w:val="0"/>
                <w:sz w:val="20"/>
                <w:szCs w:val="20"/>
              </w:rPr>
              <w:t>6.應專案審查之項目，未依規定專案審查申請核准者，不予給付費用；專案審查申請核准之個案，日後如經審定保險對象或醫事服務機構有不符全民健康保險給付規定者，亦不予給付費用。</w:t>
            </w:r>
          </w:p>
          <w:p w14:paraId="48AB5077" w14:textId="77777777" w:rsidR="00993C48" w:rsidRPr="00993C48" w:rsidRDefault="00993C48" w:rsidP="00993C48">
            <w:pPr>
              <w:snapToGrid w:val="0"/>
              <w:spacing w:after="90" w:line="200" w:lineRule="exact"/>
              <w:ind w:left="154" w:hanging="154"/>
              <w:rPr>
                <w:rFonts w:ascii="標楷體" w:eastAsia="標楷體" w:hAnsi="標楷體" w:cs="Calibri"/>
                <w:kern w:val="0"/>
                <w:sz w:val="20"/>
                <w:szCs w:val="20"/>
              </w:rPr>
            </w:pPr>
            <w:r w:rsidRPr="00993C48">
              <w:rPr>
                <w:rFonts w:ascii="標楷體" w:eastAsia="標楷體" w:hAnsi="標楷體" w:cs="Calibri"/>
                <w:kern w:val="0"/>
                <w:sz w:val="20"/>
                <w:szCs w:val="20"/>
              </w:rPr>
              <w:t>7.對核定結果如有異議，得於收到核定通知之日起六十日內，重行填寫乙份申請書(應勾註申復，並填明原受理編號)向原核定單位申請複核。</w:t>
            </w:r>
          </w:p>
          <w:p w14:paraId="6F3AD2FF" w14:textId="77777777" w:rsidR="00993C48" w:rsidRPr="00993C48" w:rsidRDefault="00993C48" w:rsidP="00993C48">
            <w:pPr>
              <w:snapToGrid w:val="0"/>
              <w:spacing w:after="90" w:line="200" w:lineRule="exact"/>
              <w:ind w:left="154" w:hanging="154"/>
              <w:rPr>
                <w:rFonts w:ascii="標楷體" w:eastAsia="標楷體" w:hAnsi="標楷體" w:cs="Calibri"/>
                <w:kern w:val="0"/>
                <w:sz w:val="20"/>
                <w:szCs w:val="20"/>
              </w:rPr>
            </w:pPr>
            <w:r w:rsidRPr="00993C48">
              <w:rPr>
                <w:rFonts w:ascii="標楷體" w:eastAsia="標楷體" w:hAnsi="標楷體" w:cs="Calibri"/>
                <w:kern w:val="0"/>
                <w:sz w:val="20"/>
                <w:szCs w:val="20"/>
              </w:rPr>
              <w:t>8.對複核結果如有異議，得於收到複核通知之日起六十日內向全民健康保險爭議審議會申請審議。</w:t>
            </w:r>
          </w:p>
          <w:p w14:paraId="3EBD84D0" w14:textId="77777777" w:rsidR="00993C48" w:rsidRPr="00993C48" w:rsidRDefault="00993C48" w:rsidP="00993C48">
            <w:pPr>
              <w:snapToGrid w:val="0"/>
              <w:spacing w:after="90" w:line="200" w:lineRule="exact"/>
              <w:ind w:left="154" w:hanging="154"/>
              <w:rPr>
                <w:rFonts w:ascii="Times New Roman" w:hAnsi="Times New Roman"/>
                <w:szCs w:val="24"/>
              </w:rPr>
            </w:pPr>
            <w:r w:rsidRPr="00993C48">
              <w:rPr>
                <w:rFonts w:ascii="標楷體" w:eastAsia="標楷體" w:hAnsi="標楷體" w:cs="Calibri"/>
                <w:kern w:val="0"/>
                <w:sz w:val="20"/>
                <w:szCs w:val="20"/>
              </w:rPr>
              <w:t>9.對核定結果有異議者，應循上述申複及爭議審議途徑申請複核或審議，不得以新個案重新申請送核，否則不予受理。</w:t>
            </w:r>
          </w:p>
        </w:tc>
        <w:tc>
          <w:tcPr>
            <w:tcW w:w="4879" w:type="dxa"/>
            <w:gridSpan w:val="14"/>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79CE2ED" w14:textId="77777777" w:rsidR="00993C48" w:rsidRPr="00993C48" w:rsidRDefault="00993C48" w:rsidP="00993C48">
            <w:pPr>
              <w:snapToGrid w:val="0"/>
              <w:spacing w:line="200" w:lineRule="exact"/>
              <w:rPr>
                <w:rFonts w:ascii="標楷體" w:eastAsia="標楷體" w:hAnsi="標楷體" w:cs="Calibri"/>
                <w:sz w:val="20"/>
                <w:szCs w:val="20"/>
              </w:rPr>
            </w:pPr>
          </w:p>
        </w:tc>
        <w:tc>
          <w:tcPr>
            <w:tcW w:w="67" w:type="dxa"/>
            <w:shd w:val="clear" w:color="auto" w:fill="auto"/>
            <w:tcMar>
              <w:top w:w="0" w:type="dxa"/>
              <w:left w:w="10" w:type="dxa"/>
              <w:bottom w:w="0" w:type="dxa"/>
              <w:right w:w="10" w:type="dxa"/>
            </w:tcMar>
          </w:tcPr>
          <w:p w14:paraId="28BA5CE4" w14:textId="77777777" w:rsidR="00993C48" w:rsidRPr="00993C48" w:rsidRDefault="00993C48" w:rsidP="00993C48">
            <w:pPr>
              <w:snapToGrid w:val="0"/>
              <w:spacing w:line="200" w:lineRule="exact"/>
              <w:rPr>
                <w:rFonts w:ascii="標楷體" w:eastAsia="標楷體" w:hAnsi="標楷體" w:cs="Calibri"/>
                <w:sz w:val="20"/>
                <w:szCs w:val="20"/>
              </w:rPr>
            </w:pPr>
          </w:p>
        </w:tc>
      </w:tr>
      <w:tr w:rsidR="00993C48" w:rsidRPr="00993C48" w14:paraId="42BE0D3E" w14:textId="77777777" w:rsidTr="00993C48">
        <w:trPr>
          <w:cantSplit/>
          <w:trHeight w:val="1368"/>
        </w:trPr>
        <w:tc>
          <w:tcPr>
            <w:tcW w:w="3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D95C9" w14:textId="77777777" w:rsidR="00993C48" w:rsidRPr="00993C48" w:rsidRDefault="00993C48" w:rsidP="00993C48">
            <w:pPr>
              <w:snapToGrid w:val="0"/>
              <w:ind w:left="211" w:hanging="211"/>
              <w:rPr>
                <w:rFonts w:ascii="標楷體" w:eastAsia="標楷體" w:hAnsi="標楷體" w:cs="Calibri"/>
                <w:szCs w:val="24"/>
              </w:rPr>
            </w:pPr>
          </w:p>
        </w:tc>
        <w:tc>
          <w:tcPr>
            <w:tcW w:w="9103" w:type="dxa"/>
            <w:gridSpan w:val="1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B7FA17" w14:textId="77777777" w:rsidR="00993C48" w:rsidRPr="00993C48" w:rsidRDefault="00993C48" w:rsidP="00993C48">
            <w:pPr>
              <w:snapToGrid w:val="0"/>
              <w:ind w:left="211" w:hanging="211"/>
              <w:rPr>
                <w:rFonts w:ascii="標楷體" w:eastAsia="標楷體" w:hAnsi="標楷體" w:cs="Calibri"/>
                <w:szCs w:val="24"/>
              </w:rPr>
            </w:pPr>
          </w:p>
        </w:tc>
        <w:tc>
          <w:tcPr>
            <w:tcW w:w="3955" w:type="dxa"/>
            <w:gridSpan w:val="13"/>
            <w:tcBorders>
              <w:left w:val="single" w:sz="4" w:space="0" w:color="000000"/>
              <w:bottom w:val="single" w:sz="4" w:space="0" w:color="000000"/>
            </w:tcBorders>
            <w:shd w:val="clear" w:color="auto" w:fill="auto"/>
            <w:tcMar>
              <w:top w:w="0" w:type="dxa"/>
              <w:left w:w="28" w:type="dxa"/>
              <w:bottom w:w="0" w:type="dxa"/>
              <w:right w:w="28" w:type="dxa"/>
            </w:tcMar>
          </w:tcPr>
          <w:p w14:paraId="0402156F" w14:textId="77777777" w:rsidR="00993C48" w:rsidRPr="00993C48" w:rsidRDefault="00993C48" w:rsidP="00993C48">
            <w:pPr>
              <w:snapToGrid w:val="0"/>
              <w:jc w:val="both"/>
              <w:rPr>
                <w:rFonts w:ascii="標楷體" w:eastAsia="標楷體" w:hAnsi="標楷體" w:cs="Calibri"/>
                <w:szCs w:val="24"/>
              </w:rPr>
            </w:pPr>
          </w:p>
          <w:p w14:paraId="5EFCE4F7" w14:textId="77777777" w:rsidR="00993C48" w:rsidRPr="00993C48" w:rsidRDefault="00993C48" w:rsidP="00993C48">
            <w:pPr>
              <w:snapToGrid w:val="0"/>
              <w:jc w:val="both"/>
              <w:rPr>
                <w:rFonts w:ascii="標楷體" w:eastAsia="標楷體" w:hAnsi="標楷體" w:cs="Calibri"/>
                <w:szCs w:val="24"/>
              </w:rPr>
            </w:pPr>
          </w:p>
          <w:p w14:paraId="26E8C6ED" w14:textId="77777777" w:rsidR="00993C48" w:rsidRPr="00993C48" w:rsidRDefault="00993C48" w:rsidP="00993C48">
            <w:pPr>
              <w:snapToGrid w:val="0"/>
              <w:jc w:val="both"/>
              <w:rPr>
                <w:rFonts w:ascii="Times New Roman" w:hAnsi="Times New Roman"/>
                <w:szCs w:val="24"/>
              </w:rPr>
            </w:pPr>
            <w:r w:rsidRPr="00993C48">
              <w:rPr>
                <w:rFonts w:ascii="標楷體" w:eastAsia="標楷體" w:hAnsi="標楷體" w:cs="Calibri"/>
                <w:sz w:val="20"/>
                <w:szCs w:val="20"/>
              </w:rPr>
              <w:t>保險人日期章戳</w:t>
            </w:r>
          </w:p>
        </w:tc>
        <w:tc>
          <w:tcPr>
            <w:tcW w:w="924" w:type="dxa"/>
            <w:tcBorders>
              <w:bottom w:val="single" w:sz="4" w:space="0" w:color="000000"/>
              <w:right w:val="single" w:sz="4" w:space="0" w:color="000000"/>
            </w:tcBorders>
            <w:shd w:val="clear" w:color="auto" w:fill="auto"/>
            <w:tcMar>
              <w:top w:w="0" w:type="dxa"/>
              <w:left w:w="28" w:type="dxa"/>
              <w:bottom w:w="0" w:type="dxa"/>
              <w:right w:w="28" w:type="dxa"/>
            </w:tcMar>
          </w:tcPr>
          <w:p w14:paraId="4B243ADA" w14:textId="77777777" w:rsidR="00993C48" w:rsidRPr="00993C48" w:rsidRDefault="00993C48" w:rsidP="00993C48">
            <w:pPr>
              <w:snapToGrid w:val="0"/>
              <w:rPr>
                <w:rFonts w:ascii="標楷體" w:eastAsia="標楷體" w:hAnsi="標楷體" w:cs="Calibri"/>
                <w:szCs w:val="24"/>
              </w:rPr>
            </w:pPr>
          </w:p>
        </w:tc>
        <w:tc>
          <w:tcPr>
            <w:tcW w:w="67" w:type="dxa"/>
            <w:shd w:val="clear" w:color="auto" w:fill="auto"/>
            <w:tcMar>
              <w:top w:w="0" w:type="dxa"/>
              <w:left w:w="10" w:type="dxa"/>
              <w:bottom w:w="0" w:type="dxa"/>
              <w:right w:w="10" w:type="dxa"/>
            </w:tcMar>
          </w:tcPr>
          <w:p w14:paraId="47F2A558" w14:textId="77777777" w:rsidR="00993C48" w:rsidRPr="00993C48" w:rsidRDefault="00993C48" w:rsidP="00993C48">
            <w:pPr>
              <w:snapToGrid w:val="0"/>
              <w:rPr>
                <w:rFonts w:ascii="標楷體" w:eastAsia="標楷體" w:hAnsi="標楷體" w:cs="Calibri"/>
                <w:szCs w:val="24"/>
              </w:rPr>
            </w:pPr>
          </w:p>
        </w:tc>
      </w:tr>
      <w:tr w:rsidR="00993C48" w:rsidRPr="00993C48" w14:paraId="74738B6B" w14:textId="77777777" w:rsidTr="00993C48">
        <w:trPr>
          <w:gridAfter w:val="1"/>
          <w:wAfter w:w="67" w:type="dxa"/>
          <w:cantSplit/>
          <w:trHeight w:val="730"/>
        </w:trPr>
        <w:tc>
          <w:tcPr>
            <w:tcW w:w="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EC90F" w14:textId="77777777" w:rsidR="00993C48" w:rsidRPr="00993C48" w:rsidRDefault="00993C48" w:rsidP="00993C48">
            <w:pPr>
              <w:snapToGrid w:val="0"/>
              <w:spacing w:line="240" w:lineRule="exact"/>
              <w:rPr>
                <w:rFonts w:ascii="標楷體" w:eastAsia="標楷體" w:hAnsi="標楷體" w:cs="Calibri"/>
                <w:szCs w:val="24"/>
              </w:rPr>
            </w:pPr>
          </w:p>
          <w:p w14:paraId="22440D82" w14:textId="77777777" w:rsidR="00993C48" w:rsidRPr="00993C48" w:rsidRDefault="00993C48" w:rsidP="00993C48">
            <w:pPr>
              <w:snapToGrid w:val="0"/>
              <w:spacing w:line="240" w:lineRule="exact"/>
              <w:rPr>
                <w:rFonts w:ascii="標楷體" w:eastAsia="標楷體" w:hAnsi="標楷體" w:cs="Calibri"/>
                <w:szCs w:val="24"/>
              </w:rPr>
            </w:pPr>
            <w:r w:rsidRPr="00993C48">
              <w:rPr>
                <w:rFonts w:ascii="標楷體" w:eastAsia="標楷體" w:hAnsi="標楷體" w:cs="Calibri"/>
                <w:szCs w:val="24"/>
              </w:rPr>
              <w:t>醫事服務機構</w:t>
            </w:r>
          </w:p>
        </w:tc>
        <w:tc>
          <w:tcPr>
            <w:tcW w:w="870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6EB87" w14:textId="77777777" w:rsidR="00993C48" w:rsidRPr="00993C48" w:rsidRDefault="00993C48" w:rsidP="00993C48">
            <w:pPr>
              <w:snapToGrid w:val="0"/>
              <w:spacing w:line="240" w:lineRule="exact"/>
              <w:rPr>
                <w:rFonts w:ascii="標楷體" w:eastAsia="標楷體" w:hAnsi="標楷體" w:cs="Calibri"/>
                <w:szCs w:val="24"/>
              </w:rPr>
            </w:pPr>
            <w:r w:rsidRPr="00993C48">
              <w:rPr>
                <w:rFonts w:ascii="標楷體" w:eastAsia="標楷體" w:hAnsi="標楷體" w:cs="Calibri"/>
                <w:szCs w:val="24"/>
              </w:rPr>
              <w:t>醫院申請日期：年月日</w:t>
            </w:r>
          </w:p>
          <w:p w14:paraId="15464F78" w14:textId="77777777" w:rsidR="00993C48" w:rsidRPr="00993C48" w:rsidRDefault="00993C48" w:rsidP="00993C48">
            <w:pPr>
              <w:snapToGrid w:val="0"/>
              <w:spacing w:line="240" w:lineRule="exact"/>
              <w:rPr>
                <w:rFonts w:ascii="標楷體" w:eastAsia="標楷體" w:hAnsi="標楷體" w:cs="Calibri"/>
                <w:szCs w:val="24"/>
              </w:rPr>
            </w:pPr>
          </w:p>
          <w:p w14:paraId="456375A0" w14:textId="77777777" w:rsidR="00993C48" w:rsidRPr="00993C48" w:rsidRDefault="00993C48" w:rsidP="00993C48">
            <w:pPr>
              <w:snapToGrid w:val="0"/>
              <w:spacing w:line="240" w:lineRule="exact"/>
              <w:rPr>
                <w:rFonts w:ascii="標楷體" w:eastAsia="標楷體" w:hAnsi="標楷體" w:cs="Calibri"/>
                <w:szCs w:val="24"/>
              </w:rPr>
            </w:pPr>
            <w:r w:rsidRPr="00993C48">
              <w:rPr>
                <w:rFonts w:ascii="標楷體" w:eastAsia="標楷體" w:hAnsi="標楷體" w:cs="Calibri"/>
                <w:szCs w:val="24"/>
              </w:rPr>
              <w:t>印信</w:t>
            </w:r>
            <w:r w:rsidRPr="00993C48">
              <w:rPr>
                <w:rFonts w:ascii="標楷體" w:eastAsia="標楷體" w:hAnsi="標楷體" w:cs="Calibri"/>
                <w:szCs w:val="24"/>
              </w:rPr>
              <w:tab/>
            </w:r>
            <w:r w:rsidRPr="00993C48">
              <w:rPr>
                <w:rFonts w:ascii="標楷體" w:eastAsia="標楷體" w:hAnsi="標楷體" w:cs="Calibri"/>
                <w:szCs w:val="24"/>
              </w:rPr>
              <w:tab/>
            </w:r>
            <w:r w:rsidRPr="00993C48">
              <w:rPr>
                <w:rFonts w:ascii="標楷體" w:eastAsia="標楷體" w:hAnsi="標楷體" w:cs="Calibri"/>
                <w:szCs w:val="24"/>
              </w:rPr>
              <w:tab/>
            </w:r>
            <w:r w:rsidRPr="00993C48">
              <w:rPr>
                <w:rFonts w:ascii="標楷體" w:eastAsia="標楷體" w:hAnsi="標楷體" w:cs="Calibri"/>
                <w:szCs w:val="24"/>
              </w:rPr>
              <w:tab/>
            </w:r>
            <w:r w:rsidRPr="00993C48">
              <w:rPr>
                <w:rFonts w:ascii="標楷體" w:eastAsia="標楷體" w:hAnsi="標楷體" w:cs="Calibri"/>
                <w:szCs w:val="24"/>
              </w:rPr>
              <w:tab/>
              <w:t>文號：</w:t>
            </w: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A45C76" w14:textId="77777777" w:rsidR="00993C48" w:rsidRPr="00993C48" w:rsidRDefault="00993C48" w:rsidP="00993C48">
            <w:pPr>
              <w:widowControl/>
              <w:snapToGrid w:val="0"/>
              <w:spacing w:line="240" w:lineRule="exact"/>
              <w:rPr>
                <w:rFonts w:ascii="標楷體" w:eastAsia="標楷體" w:hAnsi="標楷體" w:cs="Calibri"/>
                <w:szCs w:val="24"/>
              </w:rPr>
            </w:pPr>
            <w:r w:rsidRPr="00993C48">
              <w:rPr>
                <w:rFonts w:ascii="標楷體" w:eastAsia="標楷體" w:hAnsi="標楷體" w:cs="Calibri"/>
                <w:szCs w:val="24"/>
              </w:rPr>
              <w:t>承辦人</w:t>
            </w:r>
          </w:p>
        </w:tc>
        <w:tc>
          <w:tcPr>
            <w:tcW w:w="838"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CC79" w14:textId="77777777" w:rsidR="00993C48" w:rsidRPr="00993C48" w:rsidRDefault="00993C48" w:rsidP="00993C48">
            <w:pPr>
              <w:widowControl/>
              <w:snapToGrid w:val="0"/>
              <w:rPr>
                <w:rFonts w:ascii="標楷體" w:eastAsia="標楷體" w:hAnsi="標楷體" w:cs="Calibri"/>
                <w:szCs w:val="24"/>
              </w:rPr>
            </w:pPr>
          </w:p>
          <w:p w14:paraId="5F5FFADF" w14:textId="77777777" w:rsidR="00993C48" w:rsidRPr="00993C48" w:rsidRDefault="00993C48" w:rsidP="00993C48">
            <w:pPr>
              <w:snapToGrid w:val="0"/>
              <w:spacing w:line="240" w:lineRule="exact"/>
              <w:rPr>
                <w:rFonts w:ascii="標楷體" w:eastAsia="標楷體" w:hAnsi="標楷體" w:cs="Calibri"/>
                <w:szCs w:val="24"/>
              </w:rPr>
            </w:pPr>
          </w:p>
        </w:tc>
        <w:tc>
          <w:tcPr>
            <w:tcW w:w="35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830B5" w14:textId="77777777" w:rsidR="00993C48" w:rsidRPr="00993C48" w:rsidRDefault="00993C48" w:rsidP="00993C48">
            <w:pPr>
              <w:widowControl/>
              <w:snapToGrid w:val="0"/>
              <w:spacing w:line="240" w:lineRule="exact"/>
              <w:rPr>
                <w:rFonts w:ascii="標楷體" w:eastAsia="標楷體" w:hAnsi="標楷體" w:cs="Calibri"/>
                <w:szCs w:val="24"/>
              </w:rPr>
            </w:pPr>
            <w:r w:rsidRPr="00993C48">
              <w:rPr>
                <w:rFonts w:ascii="標楷體" w:eastAsia="標楷體" w:hAnsi="標楷體" w:cs="Calibri"/>
                <w:szCs w:val="24"/>
              </w:rPr>
              <w:t>複核</w:t>
            </w:r>
          </w:p>
          <w:p w14:paraId="20E12E40" w14:textId="77777777" w:rsidR="00993C48" w:rsidRPr="00993C48" w:rsidRDefault="00993C48" w:rsidP="00993C48">
            <w:pPr>
              <w:widowControl/>
              <w:snapToGrid w:val="0"/>
              <w:rPr>
                <w:rFonts w:ascii="標楷體" w:eastAsia="標楷體" w:hAnsi="標楷體" w:cs="Calibri"/>
                <w:szCs w:val="24"/>
              </w:rPr>
            </w:pPr>
          </w:p>
        </w:tc>
        <w:tc>
          <w:tcPr>
            <w:tcW w:w="840"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82451" w14:textId="77777777" w:rsidR="00993C48" w:rsidRPr="00993C48" w:rsidRDefault="00993C48" w:rsidP="00993C48">
            <w:pPr>
              <w:widowControl/>
              <w:snapToGrid w:val="0"/>
              <w:rPr>
                <w:rFonts w:ascii="標楷體" w:eastAsia="標楷體" w:hAnsi="標楷體" w:cs="Calibri"/>
                <w:szCs w:val="24"/>
              </w:rPr>
            </w:pPr>
          </w:p>
          <w:p w14:paraId="28562233" w14:textId="77777777" w:rsidR="00993C48" w:rsidRPr="00993C48" w:rsidRDefault="00993C48" w:rsidP="00993C48">
            <w:pPr>
              <w:snapToGrid w:val="0"/>
              <w:spacing w:line="240" w:lineRule="exact"/>
              <w:rPr>
                <w:rFonts w:ascii="標楷體" w:eastAsia="標楷體" w:hAnsi="標楷體" w:cs="Calibri"/>
                <w:szCs w:val="24"/>
              </w:rPr>
            </w:pPr>
          </w:p>
        </w:tc>
        <w:tc>
          <w:tcPr>
            <w:tcW w:w="36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6AD23A" w14:textId="77777777" w:rsidR="00993C48" w:rsidRPr="00993C48" w:rsidRDefault="00993C48" w:rsidP="00993C48">
            <w:pPr>
              <w:snapToGrid w:val="0"/>
              <w:spacing w:line="240" w:lineRule="exact"/>
              <w:rPr>
                <w:rFonts w:ascii="標楷體" w:eastAsia="標楷體" w:hAnsi="標楷體" w:cs="Calibri"/>
                <w:szCs w:val="24"/>
              </w:rPr>
            </w:pPr>
            <w:r w:rsidRPr="00993C48">
              <w:rPr>
                <w:rFonts w:ascii="標楷體" w:eastAsia="標楷體" w:hAnsi="標楷體" w:cs="Calibri"/>
                <w:szCs w:val="24"/>
              </w:rPr>
              <w:t>科長</w:t>
            </w:r>
          </w:p>
        </w:tc>
        <w:tc>
          <w:tcPr>
            <w:tcW w:w="840"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FAA6D" w14:textId="77777777" w:rsidR="00993C48" w:rsidRPr="00993C48" w:rsidRDefault="00993C48" w:rsidP="00993C48">
            <w:pPr>
              <w:widowControl/>
              <w:snapToGrid w:val="0"/>
              <w:rPr>
                <w:rFonts w:ascii="標楷體" w:eastAsia="標楷體" w:hAnsi="標楷體" w:cs="Calibri"/>
                <w:szCs w:val="24"/>
              </w:rPr>
            </w:pPr>
          </w:p>
          <w:p w14:paraId="2009E9A5" w14:textId="77777777" w:rsidR="00993C48" w:rsidRPr="00993C48" w:rsidRDefault="00993C48" w:rsidP="00993C48">
            <w:pPr>
              <w:snapToGrid w:val="0"/>
              <w:spacing w:line="240" w:lineRule="exact"/>
              <w:rPr>
                <w:rFonts w:ascii="標楷體" w:eastAsia="標楷體" w:hAnsi="標楷體" w:cs="Calibri"/>
                <w:szCs w:val="24"/>
              </w:rPr>
            </w:pPr>
          </w:p>
        </w:tc>
        <w:tc>
          <w:tcPr>
            <w:tcW w:w="35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534CF" w14:textId="77777777" w:rsidR="00993C48" w:rsidRPr="00993C48" w:rsidRDefault="00993C48" w:rsidP="00993C48">
            <w:pPr>
              <w:widowControl/>
              <w:snapToGrid w:val="0"/>
              <w:spacing w:line="240" w:lineRule="exact"/>
              <w:rPr>
                <w:rFonts w:ascii="標楷體" w:eastAsia="標楷體" w:hAnsi="標楷體" w:cs="Calibri"/>
                <w:szCs w:val="24"/>
              </w:rPr>
            </w:pPr>
            <w:r w:rsidRPr="00993C48">
              <w:rPr>
                <w:rFonts w:ascii="標楷體" w:eastAsia="標楷體" w:hAnsi="標楷體" w:cs="Calibri"/>
                <w:szCs w:val="24"/>
              </w:rPr>
              <w:t>決行</w:t>
            </w:r>
          </w:p>
          <w:p w14:paraId="5AD7C92E" w14:textId="77777777" w:rsidR="00993C48" w:rsidRPr="00993C48" w:rsidRDefault="00993C48" w:rsidP="00993C48">
            <w:pPr>
              <w:widowControl/>
              <w:snapToGrid w:val="0"/>
              <w:rPr>
                <w:rFonts w:ascii="標楷體" w:eastAsia="標楷體" w:hAnsi="標楷體" w:cs="Calibri"/>
                <w:szCs w:val="24"/>
              </w:rPr>
            </w:pPr>
          </w:p>
        </w:tc>
        <w:tc>
          <w:tcPr>
            <w:tcW w:w="93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DDDB4" w14:textId="77777777" w:rsidR="00993C48" w:rsidRPr="00993C48" w:rsidRDefault="00993C48" w:rsidP="00993C48">
            <w:pPr>
              <w:widowControl/>
              <w:snapToGrid w:val="0"/>
              <w:rPr>
                <w:rFonts w:ascii="標楷體" w:eastAsia="標楷體" w:hAnsi="標楷體" w:cs="Calibri"/>
                <w:szCs w:val="24"/>
              </w:rPr>
            </w:pPr>
          </w:p>
          <w:p w14:paraId="7D3EFCC2" w14:textId="77777777" w:rsidR="00993C48" w:rsidRPr="00993C48" w:rsidRDefault="00993C48" w:rsidP="00993C48">
            <w:pPr>
              <w:snapToGrid w:val="0"/>
              <w:spacing w:line="240" w:lineRule="exact"/>
              <w:rPr>
                <w:rFonts w:ascii="標楷體" w:eastAsia="標楷體" w:hAnsi="標楷體" w:cs="Calibri"/>
                <w:szCs w:val="24"/>
              </w:rPr>
            </w:pPr>
          </w:p>
        </w:tc>
      </w:tr>
    </w:tbl>
    <w:p w14:paraId="2F17C170" w14:textId="29847EC0" w:rsidR="001E4221" w:rsidRPr="001F13B2" w:rsidRDefault="001E4221" w:rsidP="001F13B2">
      <w:pPr>
        <w:tabs>
          <w:tab w:val="left" w:pos="480"/>
        </w:tabs>
        <w:sectPr w:rsidR="001E4221" w:rsidRPr="001F13B2" w:rsidSect="007E1772">
          <w:footerReference w:type="default" r:id="rId44"/>
          <w:pgSz w:w="16838" w:h="11906" w:orient="landscape"/>
          <w:pgMar w:top="284" w:right="1134" w:bottom="567" w:left="1134" w:header="851" w:footer="992" w:gutter="0"/>
          <w:cols w:space="720"/>
          <w:docGrid w:type="linesAndChars"/>
        </w:sectPr>
      </w:pPr>
    </w:p>
    <w:p w14:paraId="2FFA47F8" w14:textId="77777777" w:rsidR="001F13B2" w:rsidRPr="001F13B2" w:rsidRDefault="001F13B2" w:rsidP="001F13B2">
      <w:pPr>
        <w:snapToGrid w:val="0"/>
        <w:jc w:val="center"/>
        <w:rPr>
          <w:rFonts w:ascii="標楷體" w:eastAsia="標楷體" w:hAnsi="標楷體"/>
        </w:rPr>
      </w:pPr>
      <w:r w:rsidRPr="001F13B2">
        <w:rPr>
          <w:rFonts w:ascii="標楷體" w:eastAsia="標楷體" w:hAnsi="標楷體" w:hint="eastAsia"/>
        </w:rPr>
        <w:lastRenderedPageBreak/>
        <w:t>附表三十之二陣發性夜間血紅素尿症患者特殊專案審查申請Soliris(eculizumab)、Ultomiris(ravulizumab)用藥檢附資料查檢表</w:t>
      </w:r>
    </w:p>
    <w:p w14:paraId="3277E378" w14:textId="77777777" w:rsidR="001F13B2" w:rsidRPr="001F13B2" w:rsidRDefault="001F13B2" w:rsidP="001F13B2">
      <w:pPr>
        <w:snapToGrid w:val="0"/>
        <w:jc w:val="center"/>
        <w:rPr>
          <w:rFonts w:ascii="標楷體" w:eastAsia="標楷體" w:hAnsi="標楷體" w:cs="Calibri"/>
          <w:szCs w:val="24"/>
        </w:rPr>
      </w:pPr>
      <w:r w:rsidRPr="001F13B2">
        <w:rPr>
          <w:rFonts w:ascii="標楷體" w:eastAsia="標楷體" w:hAnsi="標楷體" w:hint="eastAsia"/>
        </w:rPr>
        <w:t>114年2月1日修訂</w:t>
      </w:r>
    </w:p>
    <w:tbl>
      <w:tblPr>
        <w:tblW w:w="9781" w:type="dxa"/>
        <w:tblInd w:w="-5" w:type="dxa"/>
        <w:tblCellMar>
          <w:left w:w="10" w:type="dxa"/>
          <w:right w:w="10" w:type="dxa"/>
        </w:tblCellMar>
        <w:tblLook w:val="04A0" w:firstRow="1" w:lastRow="0" w:firstColumn="1" w:lastColumn="0" w:noHBand="0" w:noVBand="1"/>
      </w:tblPr>
      <w:tblGrid>
        <w:gridCol w:w="3544"/>
        <w:gridCol w:w="5528"/>
        <w:gridCol w:w="709"/>
      </w:tblGrid>
      <w:tr w:rsidR="001F13B2" w:rsidRPr="001F13B2" w14:paraId="04180482" w14:textId="77777777" w:rsidTr="001F13B2">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E2E03" w14:textId="77777777" w:rsidR="001F13B2" w:rsidRPr="001F13B2" w:rsidRDefault="001F13B2" w:rsidP="001F13B2">
            <w:pPr>
              <w:snapToGrid w:val="0"/>
              <w:rPr>
                <w:rFonts w:ascii="標楷體" w:eastAsia="標楷體" w:hAnsi="標楷體"/>
                <w:szCs w:val="24"/>
              </w:rPr>
            </w:pPr>
            <w:r w:rsidRPr="001F13B2">
              <w:rPr>
                <w:rFonts w:ascii="標楷體" w:eastAsia="標楷體" w:hAnsi="標楷體" w:cs="Calibri"/>
                <w:b/>
                <w:szCs w:val="24"/>
              </w:rPr>
              <w:t>新個案初次申請</w:t>
            </w:r>
          </w:p>
        </w:tc>
      </w:tr>
      <w:tr w:rsidR="001F13B2" w:rsidRPr="001F13B2" w14:paraId="510E1FC0" w14:textId="77777777" w:rsidTr="001F13B2">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1936B" w14:textId="77777777" w:rsidR="001F13B2" w:rsidRPr="001F13B2" w:rsidRDefault="001F13B2" w:rsidP="001F13B2">
            <w:pPr>
              <w:widowControl/>
              <w:snapToGrid w:val="0"/>
              <w:ind w:left="480"/>
              <w:jc w:val="both"/>
              <w:rPr>
                <w:rFonts w:ascii="標楷體" w:eastAsia="標楷體" w:hAnsi="標楷體" w:cs="Calibri"/>
                <w:kern w:val="0"/>
                <w:szCs w:val="24"/>
              </w:rPr>
            </w:pPr>
            <w:r w:rsidRPr="001F13B2">
              <w:rPr>
                <w:rFonts w:ascii="標楷體" w:eastAsia="標楷體" w:hAnsi="標楷體" w:cs="Calibri"/>
                <w:kern w:val="0"/>
                <w:szCs w:val="24"/>
              </w:rPr>
              <w:t>給付規定</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13F72" w14:textId="77777777" w:rsidR="001F13B2" w:rsidRPr="001F13B2" w:rsidRDefault="001F13B2" w:rsidP="001F13B2">
            <w:pPr>
              <w:snapToGrid w:val="0"/>
              <w:jc w:val="center"/>
              <w:rPr>
                <w:rFonts w:ascii="標楷體" w:eastAsia="標楷體" w:hAnsi="標楷體" w:cs="Calibri"/>
                <w:szCs w:val="24"/>
              </w:rPr>
            </w:pPr>
            <w:r w:rsidRPr="001F13B2">
              <w:rPr>
                <w:rFonts w:ascii="標楷體" w:eastAsia="標楷體" w:hAnsi="標楷體" w:cs="Calibri"/>
                <w:szCs w:val="24"/>
              </w:rPr>
              <w:t>送審應檢附資料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CE83" w14:textId="77777777" w:rsidR="001F13B2" w:rsidRPr="001F13B2" w:rsidRDefault="001F13B2" w:rsidP="001F13B2">
            <w:pPr>
              <w:snapToGrid w:val="0"/>
              <w:rPr>
                <w:rFonts w:ascii="標楷體" w:eastAsia="標楷體" w:hAnsi="標楷體" w:cs="Calibri"/>
                <w:szCs w:val="24"/>
              </w:rPr>
            </w:pPr>
            <w:r w:rsidRPr="001F13B2">
              <w:rPr>
                <w:rFonts w:ascii="標楷體" w:eastAsia="標楷體" w:hAnsi="標楷體" w:cs="Calibri"/>
                <w:szCs w:val="24"/>
              </w:rPr>
              <w:t>資料確認</w:t>
            </w:r>
          </w:p>
        </w:tc>
      </w:tr>
      <w:tr w:rsidR="001F13B2" w:rsidRPr="001F13B2" w14:paraId="19FA45DC" w14:textId="77777777" w:rsidTr="001F13B2">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4F061" w14:textId="77777777" w:rsidR="001F13B2" w:rsidRPr="001F13B2" w:rsidRDefault="001F13B2" w:rsidP="008A7063">
            <w:pPr>
              <w:numPr>
                <w:ilvl w:val="0"/>
                <w:numId w:val="130"/>
              </w:numPr>
              <w:snapToGrid w:val="0"/>
              <w:ind w:left="603" w:hanging="567"/>
              <w:jc w:val="both"/>
              <w:rPr>
                <w:rFonts w:ascii="標楷體" w:eastAsia="標楷體" w:hAnsi="標楷體" w:cs="Calibri"/>
                <w:kern w:val="0"/>
                <w:szCs w:val="24"/>
              </w:rPr>
            </w:pPr>
            <w:r w:rsidRPr="001F13B2">
              <w:rPr>
                <w:rFonts w:ascii="標楷體" w:eastAsia="標楷體" w:hAnsi="標楷體" w:cs="Calibri"/>
                <w:kern w:val="0"/>
                <w:szCs w:val="24"/>
              </w:rPr>
              <w:t>限用於陣發性夜間血紅素尿症患者且PNH granulocyte clone size經兩種抗體確認大於50%，並符合下列條件之一者使用：</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674BB" w14:textId="77777777" w:rsidR="001F13B2" w:rsidRPr="001F13B2" w:rsidRDefault="001F13B2" w:rsidP="001F13B2">
            <w:pPr>
              <w:snapToGrid w:val="0"/>
              <w:rPr>
                <w:rFonts w:ascii="標楷體" w:eastAsia="標楷體" w:hAnsi="標楷體" w:cs="Calibri"/>
                <w:b/>
                <w:szCs w:val="24"/>
              </w:rPr>
            </w:pPr>
            <w:r w:rsidRPr="001F13B2">
              <w:rPr>
                <w:rFonts w:ascii="標楷體" w:eastAsia="標楷體" w:hAnsi="標楷體" w:cs="Calibri"/>
                <w:b/>
                <w:szCs w:val="24"/>
              </w:rPr>
              <w:t>診斷依據(必備)：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90C50" w14:textId="77777777" w:rsidR="001F13B2" w:rsidRPr="001F13B2" w:rsidRDefault="001F13B2" w:rsidP="001F13B2">
            <w:pPr>
              <w:snapToGrid w:val="0"/>
              <w:rPr>
                <w:rFonts w:ascii="標楷體" w:eastAsia="標楷體" w:hAnsi="標楷體" w:cs="Calibri"/>
                <w:szCs w:val="24"/>
              </w:rPr>
            </w:pPr>
          </w:p>
        </w:tc>
      </w:tr>
      <w:tr w:rsidR="001F13B2" w:rsidRPr="001F13B2" w14:paraId="0567A6B9"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6D8DF"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AB595" w14:textId="77777777" w:rsidR="001F13B2" w:rsidRPr="001F13B2" w:rsidRDefault="001F13B2" w:rsidP="008A7063">
            <w:pPr>
              <w:numPr>
                <w:ilvl w:val="0"/>
                <w:numId w:val="131"/>
              </w:numPr>
              <w:snapToGrid w:val="0"/>
              <w:rPr>
                <w:rFonts w:ascii="標楷體" w:eastAsia="標楷體" w:hAnsi="標楷體" w:cs="Calibri"/>
                <w:szCs w:val="24"/>
              </w:rPr>
            </w:pPr>
            <w:r w:rsidRPr="001F13B2">
              <w:rPr>
                <w:rFonts w:ascii="標楷體" w:eastAsia="標楷體" w:hAnsi="標楷體" w:cs="Calibri"/>
                <w:szCs w:val="24"/>
              </w:rPr>
              <w:t>病史摘要說明。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F569" w14:textId="77777777" w:rsidR="001F13B2" w:rsidRPr="001F13B2" w:rsidRDefault="001F13B2" w:rsidP="001F13B2">
            <w:pPr>
              <w:snapToGrid w:val="0"/>
              <w:rPr>
                <w:rFonts w:ascii="標楷體" w:eastAsia="標楷體" w:hAnsi="標楷體" w:cs="Calibri"/>
                <w:szCs w:val="24"/>
              </w:rPr>
            </w:pPr>
          </w:p>
        </w:tc>
      </w:tr>
      <w:tr w:rsidR="001F13B2" w:rsidRPr="001F13B2" w14:paraId="251981CB"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3B80F"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901C6" w14:textId="77777777" w:rsidR="001F13B2" w:rsidRPr="001F13B2" w:rsidRDefault="001F13B2" w:rsidP="008A7063">
            <w:pPr>
              <w:numPr>
                <w:ilvl w:val="0"/>
                <w:numId w:val="131"/>
              </w:numPr>
              <w:snapToGrid w:val="0"/>
              <w:rPr>
                <w:rFonts w:ascii="標楷體" w:eastAsia="標楷體" w:hAnsi="標楷體" w:cs="Calibri"/>
                <w:szCs w:val="24"/>
              </w:rPr>
            </w:pPr>
            <w:r w:rsidRPr="001F13B2">
              <w:rPr>
                <w:rFonts w:ascii="標楷體" w:eastAsia="標楷體" w:hAnsi="標楷體" w:cs="Calibri"/>
                <w:szCs w:val="24"/>
              </w:rPr>
              <w:t>治療計畫，必須包含meningococcal vaccine之施打計畫。</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5D92D" w14:textId="77777777" w:rsidR="001F13B2" w:rsidRPr="001F13B2" w:rsidRDefault="001F13B2" w:rsidP="001F13B2">
            <w:pPr>
              <w:snapToGrid w:val="0"/>
              <w:rPr>
                <w:rFonts w:ascii="標楷體" w:eastAsia="標楷體" w:hAnsi="標楷體" w:cs="Calibri"/>
                <w:szCs w:val="24"/>
              </w:rPr>
            </w:pPr>
          </w:p>
        </w:tc>
      </w:tr>
      <w:tr w:rsidR="001F13B2" w:rsidRPr="001F13B2" w14:paraId="0E8F29B7"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5188B"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B777F" w14:textId="77777777" w:rsidR="001F13B2" w:rsidRPr="001F13B2" w:rsidRDefault="001F13B2" w:rsidP="008A7063">
            <w:pPr>
              <w:numPr>
                <w:ilvl w:val="0"/>
                <w:numId w:val="131"/>
              </w:numPr>
              <w:snapToGrid w:val="0"/>
              <w:jc w:val="both"/>
              <w:rPr>
                <w:rFonts w:ascii="標楷體" w:eastAsia="標楷體" w:hAnsi="標楷體" w:cs="Calibri"/>
                <w:szCs w:val="24"/>
              </w:rPr>
            </w:pPr>
            <w:r w:rsidRPr="001F13B2">
              <w:rPr>
                <w:rFonts w:ascii="標楷體" w:eastAsia="標楷體" w:hAnsi="標楷體" w:cs="Calibri"/>
                <w:szCs w:val="24"/>
              </w:rPr>
              <w:t>近三個月內之CBC、WBC分類及reticulocyte至少兩次。</w:t>
            </w:r>
          </w:p>
          <w:p w14:paraId="3684054D" w14:textId="77777777" w:rsidR="001F13B2" w:rsidRPr="001F13B2" w:rsidRDefault="001F13B2" w:rsidP="001F13B2">
            <w:pPr>
              <w:snapToGrid w:val="0"/>
              <w:ind w:left="317"/>
              <w:jc w:val="both"/>
              <w:rPr>
                <w:rFonts w:ascii="標楷體" w:eastAsia="標楷體" w:hAnsi="標楷體" w:cs="Calibri"/>
                <w:szCs w:val="24"/>
              </w:rPr>
            </w:pPr>
            <w:r w:rsidRPr="001F13B2">
              <w:rPr>
                <w:rFonts w:ascii="標楷體" w:eastAsia="標楷體" w:hAnsi="標楷體" w:cs="Calibri"/>
                <w:szCs w:val="24"/>
              </w:rPr>
              <w:t>若病患已接受長期輸血中，可酌加附診斷時或開始接受輸血時之CBC、WBC分類及reticulocyte，並附加說明近三個月內之CBC結果與輸血之關係，以利評估目前之造血功能。</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1D5D" w14:textId="77777777" w:rsidR="001F13B2" w:rsidRPr="001F13B2" w:rsidRDefault="001F13B2" w:rsidP="001F13B2">
            <w:pPr>
              <w:snapToGrid w:val="0"/>
              <w:rPr>
                <w:rFonts w:ascii="標楷體" w:eastAsia="標楷體" w:hAnsi="標楷體" w:cs="Calibri"/>
                <w:szCs w:val="24"/>
              </w:rPr>
            </w:pPr>
          </w:p>
        </w:tc>
      </w:tr>
      <w:tr w:rsidR="001F13B2" w:rsidRPr="001F13B2" w14:paraId="6CFAC848"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01C6A"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ECB34" w14:textId="77777777" w:rsidR="001F13B2" w:rsidRPr="001F13B2" w:rsidRDefault="001F13B2" w:rsidP="008A7063">
            <w:pPr>
              <w:numPr>
                <w:ilvl w:val="0"/>
                <w:numId w:val="131"/>
              </w:numPr>
              <w:snapToGrid w:val="0"/>
              <w:rPr>
                <w:rFonts w:ascii="標楷體" w:eastAsia="標楷體" w:hAnsi="標楷體" w:cs="Calibri"/>
                <w:szCs w:val="24"/>
              </w:rPr>
            </w:pPr>
            <w:r w:rsidRPr="001F13B2">
              <w:rPr>
                <w:rFonts w:ascii="標楷體" w:eastAsia="標楷體" w:hAnsi="標楷體" w:cs="Calibri"/>
                <w:szCs w:val="24"/>
              </w:rPr>
              <w:t>近三個月內有關溶血性貧血活性之評估檢驗報告。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64250" w14:textId="77777777" w:rsidR="001F13B2" w:rsidRPr="001F13B2" w:rsidRDefault="001F13B2" w:rsidP="001F13B2">
            <w:pPr>
              <w:snapToGrid w:val="0"/>
              <w:rPr>
                <w:rFonts w:ascii="標楷體" w:eastAsia="標楷體" w:hAnsi="標楷體" w:cs="Calibri"/>
                <w:szCs w:val="24"/>
              </w:rPr>
            </w:pPr>
          </w:p>
        </w:tc>
      </w:tr>
      <w:tr w:rsidR="001F13B2" w:rsidRPr="001F13B2" w14:paraId="2F8E569E"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26E76"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48BE4" w14:textId="77777777" w:rsidR="001F13B2" w:rsidRPr="001F13B2" w:rsidRDefault="001F13B2" w:rsidP="008A7063">
            <w:pPr>
              <w:numPr>
                <w:ilvl w:val="0"/>
                <w:numId w:val="131"/>
              </w:numPr>
              <w:snapToGrid w:val="0"/>
              <w:rPr>
                <w:rFonts w:ascii="標楷體" w:eastAsia="標楷體" w:hAnsi="標楷體" w:cs="Calibri"/>
                <w:szCs w:val="24"/>
              </w:rPr>
            </w:pPr>
            <w:r w:rsidRPr="001F13B2">
              <w:rPr>
                <w:rFonts w:ascii="標楷體" w:eastAsia="標楷體" w:hAnsi="標楷體" w:cs="Calibri"/>
                <w:szCs w:val="24"/>
              </w:rPr>
              <w:t>六個月內之骨髓檢查報告。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7A0BD" w14:textId="77777777" w:rsidR="001F13B2" w:rsidRPr="001F13B2" w:rsidRDefault="001F13B2" w:rsidP="001F13B2">
            <w:pPr>
              <w:snapToGrid w:val="0"/>
              <w:rPr>
                <w:rFonts w:ascii="標楷體" w:eastAsia="標楷體" w:hAnsi="標楷體" w:cs="Calibri"/>
                <w:szCs w:val="24"/>
              </w:rPr>
            </w:pPr>
          </w:p>
        </w:tc>
      </w:tr>
      <w:tr w:rsidR="001F13B2" w:rsidRPr="001F13B2" w14:paraId="09B28D6D"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DAADE"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0B45A" w14:textId="77777777" w:rsidR="001F13B2" w:rsidRPr="001F13B2" w:rsidRDefault="001F13B2" w:rsidP="008A7063">
            <w:pPr>
              <w:numPr>
                <w:ilvl w:val="0"/>
                <w:numId w:val="131"/>
              </w:numPr>
              <w:snapToGrid w:val="0"/>
              <w:jc w:val="both"/>
              <w:rPr>
                <w:rFonts w:ascii="標楷體" w:eastAsia="標楷體" w:hAnsi="標楷體" w:cs="Calibri"/>
                <w:szCs w:val="24"/>
              </w:rPr>
            </w:pPr>
            <w:r w:rsidRPr="001F13B2">
              <w:rPr>
                <w:rFonts w:ascii="標楷體" w:eastAsia="標楷體" w:hAnsi="標楷體" w:cs="Calibri"/>
                <w:szCs w:val="24"/>
              </w:rPr>
              <w:t>六個月內之流式細胞儀的診斷報告，須包含細胞圈選(gating)圖及細胞表面抗原-抗體作用強度圖(即histogram或dotplots圖)：須符合經兩種以上抗體確認PNH之granulocyte clone size均大於50%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3D943" w14:textId="77777777" w:rsidR="001F13B2" w:rsidRPr="001F13B2" w:rsidRDefault="001F13B2" w:rsidP="001F13B2">
            <w:pPr>
              <w:snapToGrid w:val="0"/>
              <w:rPr>
                <w:rFonts w:ascii="標楷體" w:eastAsia="標楷體" w:hAnsi="標楷體" w:cs="Calibri"/>
                <w:szCs w:val="24"/>
              </w:rPr>
            </w:pPr>
          </w:p>
        </w:tc>
      </w:tr>
      <w:tr w:rsidR="001F13B2" w:rsidRPr="001F13B2" w14:paraId="6193AFC2" w14:textId="77777777" w:rsidTr="001F13B2">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836E9" w14:textId="77777777" w:rsidR="001F13B2" w:rsidRPr="001F13B2" w:rsidRDefault="001F13B2" w:rsidP="008A7063">
            <w:pPr>
              <w:numPr>
                <w:ilvl w:val="0"/>
                <w:numId w:val="132"/>
              </w:numPr>
              <w:snapToGrid w:val="0"/>
              <w:jc w:val="both"/>
              <w:rPr>
                <w:rFonts w:ascii="標楷體" w:eastAsia="標楷體" w:hAnsi="標楷體" w:cs="Calibri"/>
                <w:szCs w:val="24"/>
              </w:rPr>
            </w:pPr>
            <w:r w:rsidRPr="001F13B2">
              <w:rPr>
                <w:rFonts w:ascii="標楷體" w:eastAsia="標楷體" w:hAnsi="標楷體" w:cs="Calibri"/>
                <w:szCs w:val="24"/>
              </w:rPr>
              <w:t>有溶血性貧血，血紅素濃度至少有兩次檢測數值低於7g/dL或有心肺功能不全症狀（NewYork Heart Association ClassIII或IV）且血紅素濃度低於9g/dL，並須長期大量輸血（3個月內至少輸血6個單位以上）。須排除其他原因引起之貧血，包括缺鐵性貧血或出血等。</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F57D8" w14:textId="77777777" w:rsidR="001F13B2" w:rsidRPr="001F13B2" w:rsidRDefault="001F13B2" w:rsidP="008A7063">
            <w:pPr>
              <w:numPr>
                <w:ilvl w:val="0"/>
                <w:numId w:val="133"/>
              </w:numPr>
              <w:tabs>
                <w:tab w:val="left" w:pos="391"/>
                <w:tab w:val="left" w:pos="459"/>
              </w:tabs>
              <w:snapToGrid w:val="0"/>
              <w:ind w:left="371" w:hanging="357"/>
              <w:rPr>
                <w:rFonts w:ascii="標楷體" w:eastAsia="標楷體" w:hAnsi="標楷體" w:cs="Calibri"/>
                <w:kern w:val="0"/>
                <w:szCs w:val="24"/>
              </w:rPr>
            </w:pPr>
            <w:r w:rsidRPr="001F13B2">
              <w:rPr>
                <w:rFonts w:ascii="標楷體" w:eastAsia="標楷體" w:hAnsi="標楷體" w:cs="Calibri"/>
                <w:kern w:val="0"/>
                <w:szCs w:val="24"/>
              </w:rPr>
              <w:t>溶血性貧血：近三個月以內兩次以上Hb小於7.0gm/dL之CBC及WBC分類報告。若病患已接受長期輸血中，可酌加附診斷時或開始接受輸血時Hb小於7.0gm/dL之CBC、WBC分類及reticulocyte報告，並附加說明近三個月內之CBC結果與輸血之關係，以利評估目前之造血功能。</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9D315" w14:textId="77777777" w:rsidR="001F13B2" w:rsidRPr="001F13B2" w:rsidRDefault="001F13B2" w:rsidP="001F13B2">
            <w:pPr>
              <w:snapToGrid w:val="0"/>
              <w:rPr>
                <w:rFonts w:ascii="標楷體" w:eastAsia="標楷體" w:hAnsi="標楷體" w:cs="Calibri"/>
                <w:szCs w:val="24"/>
              </w:rPr>
            </w:pPr>
          </w:p>
        </w:tc>
      </w:tr>
      <w:tr w:rsidR="001F13B2" w:rsidRPr="001F13B2" w14:paraId="32C4B04B"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8B3A"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C2388" w14:textId="77777777" w:rsidR="001F13B2" w:rsidRPr="001F13B2" w:rsidRDefault="001F13B2" w:rsidP="008A7063">
            <w:pPr>
              <w:numPr>
                <w:ilvl w:val="0"/>
                <w:numId w:val="133"/>
              </w:numPr>
              <w:tabs>
                <w:tab w:val="left" w:pos="391"/>
              </w:tabs>
              <w:snapToGrid w:val="0"/>
              <w:ind w:left="371" w:hanging="357"/>
              <w:rPr>
                <w:rFonts w:ascii="標楷體" w:eastAsia="標楷體" w:hAnsi="標楷體" w:cs="Calibri"/>
                <w:kern w:val="0"/>
                <w:szCs w:val="24"/>
              </w:rPr>
            </w:pPr>
            <w:r w:rsidRPr="001F13B2">
              <w:rPr>
                <w:rFonts w:ascii="標楷體" w:eastAsia="標楷體" w:hAnsi="標楷體" w:cs="Calibri"/>
                <w:kern w:val="0"/>
                <w:szCs w:val="24"/>
              </w:rPr>
              <w:t>心肺功能不全症狀（NewYork Heart Association ClassIII或IV）：檢附六個月內評估為NewYork Heart Association ClassIII或IV之門住診病歷影本(含症狀描述)，並需加附相關之心肺功能評估檢驗或檢查報告，及血紅素濃度低於9.0g/dL之CBC及WBC分類報告。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C152A" w14:textId="77777777" w:rsidR="001F13B2" w:rsidRPr="001F13B2" w:rsidRDefault="001F13B2" w:rsidP="001F13B2">
            <w:pPr>
              <w:snapToGrid w:val="0"/>
              <w:rPr>
                <w:rFonts w:ascii="標楷體" w:eastAsia="標楷體" w:hAnsi="標楷體" w:cs="Calibri"/>
                <w:szCs w:val="24"/>
              </w:rPr>
            </w:pPr>
          </w:p>
        </w:tc>
      </w:tr>
      <w:tr w:rsidR="001F13B2" w:rsidRPr="001F13B2" w14:paraId="5D7947BB"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C0463"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2D51" w14:textId="77777777" w:rsidR="001F13B2" w:rsidRPr="001F13B2" w:rsidRDefault="001F13B2" w:rsidP="008A7063">
            <w:pPr>
              <w:numPr>
                <w:ilvl w:val="0"/>
                <w:numId w:val="133"/>
              </w:numPr>
              <w:tabs>
                <w:tab w:val="left" w:pos="391"/>
              </w:tabs>
              <w:snapToGrid w:val="0"/>
              <w:ind w:left="371" w:hanging="357"/>
              <w:rPr>
                <w:rFonts w:ascii="標楷體" w:eastAsia="標楷體" w:hAnsi="標楷體" w:cs="Calibri"/>
                <w:kern w:val="0"/>
                <w:szCs w:val="24"/>
              </w:rPr>
            </w:pPr>
            <w:r w:rsidRPr="001F13B2">
              <w:rPr>
                <w:rFonts w:ascii="標楷體" w:eastAsia="標楷體" w:hAnsi="標楷體" w:cs="Calibri"/>
                <w:kern w:val="0"/>
                <w:szCs w:val="24"/>
              </w:rPr>
              <w:t>近三個月內輸血超過packed RBCs六個單位之病歷記錄影本。</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47715" w14:textId="77777777" w:rsidR="001F13B2" w:rsidRPr="001F13B2" w:rsidRDefault="001F13B2" w:rsidP="001F13B2">
            <w:pPr>
              <w:snapToGrid w:val="0"/>
              <w:rPr>
                <w:rFonts w:ascii="標楷體" w:eastAsia="標楷體" w:hAnsi="標楷體" w:cs="Calibri"/>
                <w:szCs w:val="24"/>
              </w:rPr>
            </w:pPr>
          </w:p>
        </w:tc>
      </w:tr>
      <w:tr w:rsidR="001F13B2" w:rsidRPr="001F13B2" w14:paraId="17083B0E" w14:textId="77777777" w:rsidTr="001F13B2">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1A861"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543BD" w14:textId="77777777" w:rsidR="001F13B2" w:rsidRPr="001F13B2" w:rsidRDefault="001F13B2" w:rsidP="008A7063">
            <w:pPr>
              <w:numPr>
                <w:ilvl w:val="0"/>
                <w:numId w:val="133"/>
              </w:numPr>
              <w:tabs>
                <w:tab w:val="left" w:pos="391"/>
              </w:tabs>
              <w:snapToGrid w:val="0"/>
              <w:ind w:left="371" w:hanging="357"/>
              <w:rPr>
                <w:rFonts w:ascii="標楷體" w:eastAsia="標楷體" w:hAnsi="標楷體" w:cs="Calibri"/>
                <w:kern w:val="0"/>
                <w:szCs w:val="24"/>
              </w:rPr>
            </w:pPr>
            <w:r w:rsidRPr="001F13B2">
              <w:rPr>
                <w:rFonts w:ascii="標楷體" w:eastAsia="標楷體" w:hAnsi="標楷體" w:cs="Calibri"/>
                <w:kern w:val="0"/>
                <w:szCs w:val="24"/>
              </w:rPr>
              <w:t>近三個月內之Iron profiles。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493D5" w14:textId="77777777" w:rsidR="001F13B2" w:rsidRPr="001F13B2" w:rsidRDefault="001F13B2" w:rsidP="001F13B2">
            <w:pPr>
              <w:snapToGrid w:val="0"/>
              <w:rPr>
                <w:rFonts w:ascii="標楷體" w:eastAsia="標楷體" w:hAnsi="標楷體" w:cs="Calibri"/>
                <w:szCs w:val="24"/>
              </w:rPr>
            </w:pPr>
          </w:p>
        </w:tc>
      </w:tr>
      <w:tr w:rsidR="001F13B2" w:rsidRPr="001F13B2" w14:paraId="2317BB35" w14:textId="77777777" w:rsidTr="001F13B2">
        <w:trPr>
          <w:trHeight w:val="969"/>
        </w:trPr>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E587C" w14:textId="77777777" w:rsidR="001F13B2" w:rsidRPr="001F13B2" w:rsidRDefault="001F13B2" w:rsidP="008A7063">
            <w:pPr>
              <w:numPr>
                <w:ilvl w:val="0"/>
                <w:numId w:val="132"/>
              </w:numPr>
              <w:snapToGrid w:val="0"/>
              <w:jc w:val="both"/>
              <w:rPr>
                <w:rFonts w:ascii="標楷體" w:eastAsia="標楷體" w:hAnsi="標楷體" w:cs="Calibri"/>
                <w:szCs w:val="24"/>
              </w:rPr>
            </w:pPr>
            <w:r w:rsidRPr="001F13B2">
              <w:rPr>
                <w:rFonts w:ascii="標楷體" w:eastAsia="標楷體" w:hAnsi="標楷體" w:cs="Calibri"/>
                <w:szCs w:val="24"/>
              </w:rPr>
              <w:t>有發生危及生命之虞之血栓並導致明顯器官功能受損者，但須排除其他已知原因引起之血</w:t>
            </w:r>
            <w:r w:rsidRPr="001F13B2">
              <w:rPr>
                <w:rFonts w:ascii="標楷體" w:eastAsia="標楷體" w:hAnsi="標楷體" w:cs="Calibri"/>
                <w:szCs w:val="24"/>
              </w:rPr>
              <w:lastRenderedPageBreak/>
              <w:t>栓。</w:t>
            </w:r>
          </w:p>
          <w:p w14:paraId="54256310" w14:textId="77777777" w:rsidR="001F13B2" w:rsidRPr="001F13B2" w:rsidRDefault="001F13B2" w:rsidP="008A7063">
            <w:pPr>
              <w:numPr>
                <w:ilvl w:val="0"/>
                <w:numId w:val="134"/>
              </w:numPr>
              <w:snapToGrid w:val="0"/>
              <w:jc w:val="both"/>
              <w:rPr>
                <w:rFonts w:ascii="標楷體" w:eastAsia="標楷體" w:hAnsi="標楷體" w:cs="Calibri"/>
                <w:szCs w:val="24"/>
              </w:rPr>
            </w:pPr>
            <w:r w:rsidRPr="001F13B2">
              <w:rPr>
                <w:rFonts w:ascii="標楷體" w:eastAsia="標楷體" w:hAnsi="標楷體" w:cs="Calibri"/>
                <w:szCs w:val="24"/>
              </w:rPr>
              <w:t>任何位置之動脈血栓。</w:t>
            </w:r>
          </w:p>
          <w:p w14:paraId="39564ABC" w14:textId="77777777" w:rsidR="001F13B2" w:rsidRPr="001F13B2" w:rsidRDefault="001F13B2" w:rsidP="008A7063">
            <w:pPr>
              <w:numPr>
                <w:ilvl w:val="0"/>
                <w:numId w:val="134"/>
              </w:numPr>
              <w:snapToGrid w:val="0"/>
              <w:ind w:left="941" w:hanging="198"/>
              <w:jc w:val="both"/>
              <w:rPr>
                <w:rFonts w:ascii="標楷體" w:eastAsia="標楷體" w:hAnsi="標楷體" w:cs="Calibri"/>
                <w:szCs w:val="24"/>
              </w:rPr>
            </w:pPr>
            <w:r w:rsidRPr="001F13B2">
              <w:rPr>
                <w:rFonts w:ascii="標楷體" w:eastAsia="標楷體" w:hAnsi="標楷體" w:cs="Calibri"/>
                <w:szCs w:val="24"/>
              </w:rPr>
              <w:t>重要部位之靜脈性血栓，包括腦部靜脈、靜脈竇、上下腔靜脈、近端深部靜脈、肝靜脈或肝門靜脈血栓等。</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DD3AE" w14:textId="77777777" w:rsidR="001F13B2" w:rsidRPr="001F13B2" w:rsidRDefault="001F13B2" w:rsidP="008A7063">
            <w:pPr>
              <w:numPr>
                <w:ilvl w:val="0"/>
                <w:numId w:val="135"/>
              </w:numPr>
              <w:tabs>
                <w:tab w:val="left" w:pos="8389"/>
              </w:tabs>
              <w:snapToGrid w:val="0"/>
              <w:rPr>
                <w:rFonts w:ascii="標楷體" w:eastAsia="標楷體" w:hAnsi="標楷體" w:cs="新細明體"/>
                <w:kern w:val="0"/>
                <w:szCs w:val="24"/>
              </w:rPr>
            </w:pPr>
            <w:r w:rsidRPr="001F13B2">
              <w:rPr>
                <w:rFonts w:ascii="標楷體" w:eastAsia="標楷體" w:hAnsi="標楷體" w:cs="Calibri"/>
                <w:kern w:val="0"/>
                <w:szCs w:val="24"/>
              </w:rPr>
              <w:lastRenderedPageBreak/>
              <w:t>確認發生動脈或靜脈血栓(包括腦部靜脈、靜脈竇、上下腔靜脈、近端深部靜脈、肺栓塞、肝靜脈或肝門靜脈血栓等)之檢驗或檢查報告。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E9BB0" w14:textId="77777777" w:rsidR="001F13B2" w:rsidRPr="001F13B2" w:rsidRDefault="001F13B2" w:rsidP="001F13B2">
            <w:pPr>
              <w:snapToGrid w:val="0"/>
              <w:rPr>
                <w:rFonts w:ascii="標楷體" w:eastAsia="標楷體" w:hAnsi="標楷體" w:cs="Calibri"/>
                <w:szCs w:val="24"/>
              </w:rPr>
            </w:pPr>
          </w:p>
        </w:tc>
      </w:tr>
      <w:tr w:rsidR="001F13B2" w:rsidRPr="001F13B2" w14:paraId="4FC9397F" w14:textId="77777777" w:rsidTr="001F13B2">
        <w:trPr>
          <w:trHeight w:val="968"/>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94ED"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F3C8A" w14:textId="77777777" w:rsidR="001F13B2" w:rsidRPr="001F13B2" w:rsidRDefault="001F13B2" w:rsidP="008A7063">
            <w:pPr>
              <w:numPr>
                <w:ilvl w:val="0"/>
                <w:numId w:val="135"/>
              </w:numPr>
              <w:tabs>
                <w:tab w:val="left" w:pos="8389"/>
              </w:tabs>
              <w:snapToGrid w:val="0"/>
              <w:rPr>
                <w:rFonts w:ascii="標楷體" w:eastAsia="標楷體" w:hAnsi="標楷體" w:cs="Calibri"/>
                <w:kern w:val="0"/>
                <w:szCs w:val="24"/>
              </w:rPr>
            </w:pPr>
            <w:r w:rsidRPr="001F13B2">
              <w:rPr>
                <w:rFonts w:ascii="標楷體" w:eastAsia="標楷體" w:hAnsi="標楷體" w:cs="Calibri"/>
                <w:kern w:val="0"/>
                <w:szCs w:val="24"/>
              </w:rPr>
              <w:t>排除凝血功能異常(如Protein C、Protein S等因子之功能)之檢驗評估報告。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237F3" w14:textId="77777777" w:rsidR="001F13B2" w:rsidRPr="001F13B2" w:rsidRDefault="001F13B2" w:rsidP="001F13B2">
            <w:pPr>
              <w:snapToGrid w:val="0"/>
              <w:rPr>
                <w:rFonts w:ascii="標楷體" w:eastAsia="標楷體" w:hAnsi="標楷體" w:cs="Calibri"/>
                <w:szCs w:val="24"/>
              </w:rPr>
            </w:pPr>
          </w:p>
        </w:tc>
      </w:tr>
      <w:tr w:rsidR="001F13B2" w:rsidRPr="001F13B2" w14:paraId="0DAC8F56" w14:textId="77777777" w:rsidTr="001F13B2">
        <w:trPr>
          <w:trHeight w:val="968"/>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9D44"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13BA0" w14:textId="77777777" w:rsidR="001F13B2" w:rsidRPr="001F13B2" w:rsidRDefault="001F13B2" w:rsidP="008A7063">
            <w:pPr>
              <w:numPr>
                <w:ilvl w:val="0"/>
                <w:numId w:val="135"/>
              </w:numPr>
              <w:tabs>
                <w:tab w:val="left" w:pos="8389"/>
              </w:tabs>
              <w:snapToGrid w:val="0"/>
              <w:rPr>
                <w:rFonts w:ascii="標楷體" w:eastAsia="標楷體" w:hAnsi="標楷體" w:cs="Calibri"/>
                <w:kern w:val="0"/>
                <w:szCs w:val="24"/>
              </w:rPr>
            </w:pPr>
            <w:r w:rsidRPr="001F13B2">
              <w:rPr>
                <w:rFonts w:ascii="標楷體" w:eastAsia="標楷體" w:hAnsi="標楷體" w:cs="Calibri"/>
                <w:kern w:val="0"/>
                <w:szCs w:val="24"/>
              </w:rPr>
              <w:t>排除其他血栓誘發原因(如長期臥床、手術、estrogen)等之評估，可以病歷說明並檢附影本為之。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96822" w14:textId="77777777" w:rsidR="001F13B2" w:rsidRPr="001F13B2" w:rsidRDefault="001F13B2" w:rsidP="001F13B2">
            <w:pPr>
              <w:snapToGrid w:val="0"/>
              <w:rPr>
                <w:rFonts w:ascii="標楷體" w:eastAsia="標楷體" w:hAnsi="標楷體" w:cs="Calibri"/>
                <w:szCs w:val="24"/>
              </w:rPr>
            </w:pPr>
          </w:p>
        </w:tc>
      </w:tr>
      <w:tr w:rsidR="001F13B2" w:rsidRPr="001F13B2" w14:paraId="7080D0A2" w14:textId="77777777" w:rsidTr="001F13B2">
        <w:trPr>
          <w:trHeight w:val="1353"/>
        </w:trPr>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38573" w14:textId="77777777" w:rsidR="001F13B2" w:rsidRPr="001F13B2" w:rsidRDefault="001F13B2" w:rsidP="008A7063">
            <w:pPr>
              <w:numPr>
                <w:ilvl w:val="0"/>
                <w:numId w:val="132"/>
              </w:numPr>
              <w:snapToGrid w:val="0"/>
              <w:jc w:val="both"/>
              <w:rPr>
                <w:rFonts w:ascii="標楷體" w:eastAsia="標楷體" w:hAnsi="標楷體" w:cs="Calibri"/>
                <w:szCs w:val="24"/>
              </w:rPr>
            </w:pPr>
            <w:r w:rsidRPr="001F13B2">
              <w:rPr>
                <w:rFonts w:ascii="標楷體" w:eastAsia="標楷體" w:hAnsi="標楷體" w:cs="Calibri"/>
                <w:szCs w:val="24"/>
              </w:rPr>
              <w:t>發生因血管內溶血導致的進行性腎功能衰竭（serum creatinine大於2.0mg/dL），且無法以其他原因解釋者。</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350E4" w14:textId="77777777" w:rsidR="001F13B2" w:rsidRPr="001F13B2" w:rsidRDefault="001F13B2" w:rsidP="008A7063">
            <w:pPr>
              <w:numPr>
                <w:ilvl w:val="0"/>
                <w:numId w:val="136"/>
              </w:numPr>
              <w:tabs>
                <w:tab w:val="left" w:pos="8389"/>
              </w:tabs>
              <w:snapToGrid w:val="0"/>
              <w:rPr>
                <w:rFonts w:ascii="標楷體" w:eastAsia="標楷體" w:hAnsi="標楷體" w:cs="Calibri"/>
                <w:kern w:val="0"/>
                <w:szCs w:val="24"/>
              </w:rPr>
            </w:pPr>
            <w:r w:rsidRPr="001F13B2">
              <w:rPr>
                <w:rFonts w:ascii="標楷體" w:eastAsia="標楷體" w:hAnsi="標楷體" w:cs="Calibri"/>
                <w:kern w:val="0"/>
                <w:szCs w:val="24"/>
              </w:rPr>
              <w:t>兩次以上之serum creatinine報告證明病患處於進行性腎功能惡化中，且送審前一個月內之serum creatinine已超過2.0mg/dL。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2F292" w14:textId="77777777" w:rsidR="001F13B2" w:rsidRPr="001F13B2" w:rsidRDefault="001F13B2" w:rsidP="001F13B2">
            <w:pPr>
              <w:snapToGrid w:val="0"/>
              <w:rPr>
                <w:rFonts w:ascii="標楷體" w:eastAsia="標楷體" w:hAnsi="標楷體" w:cs="Calibri"/>
                <w:szCs w:val="24"/>
              </w:rPr>
            </w:pPr>
          </w:p>
        </w:tc>
      </w:tr>
      <w:tr w:rsidR="001F13B2" w:rsidRPr="001F13B2" w14:paraId="70CF7AF9" w14:textId="77777777" w:rsidTr="001F13B2">
        <w:trPr>
          <w:trHeight w:val="1352"/>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0D1F6"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38EA1" w14:textId="77777777" w:rsidR="001F13B2" w:rsidRPr="001F13B2" w:rsidRDefault="001F13B2" w:rsidP="008A7063">
            <w:pPr>
              <w:numPr>
                <w:ilvl w:val="0"/>
                <w:numId w:val="136"/>
              </w:numPr>
              <w:tabs>
                <w:tab w:val="left" w:pos="8389"/>
              </w:tabs>
              <w:snapToGrid w:val="0"/>
              <w:rPr>
                <w:rFonts w:ascii="標楷體" w:eastAsia="標楷體" w:hAnsi="標楷體" w:cs="Calibri"/>
                <w:kern w:val="0"/>
                <w:szCs w:val="24"/>
              </w:rPr>
            </w:pPr>
            <w:r w:rsidRPr="001F13B2">
              <w:rPr>
                <w:rFonts w:ascii="標楷體" w:eastAsia="標楷體" w:hAnsi="標楷體" w:cs="Calibri"/>
                <w:kern w:val="0"/>
                <w:szCs w:val="24"/>
              </w:rPr>
              <w:t>可排除其他常見腎功能異常原因(如糖尿病、高血壓、自體免疫疾病或藥物引起之腎毒性)之病歷影本或檢驗報告。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37C2B" w14:textId="77777777" w:rsidR="001F13B2" w:rsidRPr="001F13B2" w:rsidRDefault="001F13B2" w:rsidP="001F13B2">
            <w:pPr>
              <w:snapToGrid w:val="0"/>
              <w:rPr>
                <w:rFonts w:ascii="標楷體" w:eastAsia="標楷體" w:hAnsi="標楷體" w:cs="Calibri"/>
                <w:szCs w:val="24"/>
              </w:rPr>
            </w:pPr>
          </w:p>
        </w:tc>
      </w:tr>
      <w:tr w:rsidR="001F13B2" w:rsidRPr="001F13B2" w14:paraId="11039E7A" w14:textId="77777777" w:rsidTr="001F13B2">
        <w:trPr>
          <w:trHeight w:val="1352"/>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D9E50" w14:textId="77777777" w:rsidR="001F13B2" w:rsidRPr="001F13B2" w:rsidRDefault="001F13B2" w:rsidP="001F13B2">
            <w:pPr>
              <w:snapToGrid w:val="0"/>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46A5" w14:textId="77777777" w:rsidR="001F13B2" w:rsidRPr="001F13B2" w:rsidRDefault="001F13B2" w:rsidP="008A7063">
            <w:pPr>
              <w:numPr>
                <w:ilvl w:val="0"/>
                <w:numId w:val="136"/>
              </w:numPr>
              <w:tabs>
                <w:tab w:val="left" w:pos="8389"/>
              </w:tabs>
              <w:snapToGrid w:val="0"/>
              <w:rPr>
                <w:rFonts w:ascii="標楷體" w:eastAsia="標楷體" w:hAnsi="標楷體" w:cs="Calibri"/>
                <w:kern w:val="0"/>
                <w:szCs w:val="24"/>
              </w:rPr>
            </w:pPr>
            <w:r w:rsidRPr="001F13B2">
              <w:rPr>
                <w:rFonts w:ascii="標楷體" w:eastAsia="標楷體" w:hAnsi="標楷體" w:cs="Calibri"/>
                <w:kern w:val="0"/>
                <w:szCs w:val="24"/>
              </w:rPr>
              <w:t>腎臟切片病理報告。</w:t>
            </w:r>
          </w:p>
          <w:p w14:paraId="2E65EAC7" w14:textId="77777777" w:rsidR="001F13B2" w:rsidRPr="001F13B2" w:rsidRDefault="001F13B2" w:rsidP="001F13B2">
            <w:pPr>
              <w:widowControl/>
              <w:snapToGrid w:val="0"/>
              <w:ind w:left="480"/>
              <w:rPr>
                <w:rFonts w:ascii="標楷體" w:eastAsia="標楷體" w:hAnsi="標楷體" w:cs="Calibri"/>
                <w:kern w:val="0"/>
                <w:szCs w:val="24"/>
              </w:rPr>
            </w:pPr>
            <w:r w:rsidRPr="001F13B2">
              <w:rPr>
                <w:rFonts w:ascii="標楷體" w:eastAsia="標楷體" w:hAnsi="標楷體" w:cs="Calibri"/>
                <w:kern w:val="0"/>
                <w:szCs w:val="24"/>
              </w:rPr>
              <w:t>若病患有腎臟切片之禁忌症，請加以說明並附病歷或報告影本，並須另行檢附腎臟專科醫師關於腎功能惡化原因評估之門或住診病歷影本。</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CAF09" w14:textId="77777777" w:rsidR="001F13B2" w:rsidRPr="001F13B2" w:rsidRDefault="001F13B2" w:rsidP="001F13B2">
            <w:pPr>
              <w:snapToGrid w:val="0"/>
              <w:rPr>
                <w:rFonts w:ascii="標楷體" w:eastAsia="標楷體" w:hAnsi="標楷體" w:cs="Calibri"/>
                <w:szCs w:val="24"/>
              </w:rPr>
            </w:pPr>
          </w:p>
        </w:tc>
      </w:tr>
      <w:tr w:rsidR="001F13B2" w:rsidRPr="001F13B2" w14:paraId="4841456F" w14:textId="77777777" w:rsidTr="001F13B2">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35642" w14:textId="77777777" w:rsidR="001F13B2" w:rsidRPr="001F13B2" w:rsidRDefault="001F13B2" w:rsidP="008A7063">
            <w:pPr>
              <w:numPr>
                <w:ilvl w:val="0"/>
                <w:numId w:val="130"/>
              </w:numPr>
              <w:snapToGrid w:val="0"/>
              <w:ind w:left="603" w:hanging="567"/>
              <w:jc w:val="both"/>
              <w:rPr>
                <w:rFonts w:ascii="標楷體" w:eastAsia="標楷體" w:hAnsi="標楷體" w:cs="Calibri"/>
                <w:kern w:val="0"/>
                <w:szCs w:val="24"/>
              </w:rPr>
            </w:pPr>
            <w:r w:rsidRPr="001F13B2">
              <w:rPr>
                <w:rFonts w:ascii="標楷體" w:eastAsia="標楷體" w:hAnsi="標楷體" w:cs="Calibri"/>
                <w:kern w:val="0"/>
                <w:szCs w:val="24"/>
              </w:rPr>
              <w:t>排除有高危險之骨髓化生不良症候群（RAEB-1或RAEB-2）的病患。</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0F4B2" w14:textId="77777777" w:rsidR="001F13B2" w:rsidRPr="001F13B2" w:rsidRDefault="001F13B2" w:rsidP="001F13B2">
            <w:pPr>
              <w:snapToGrid w:val="0"/>
              <w:rPr>
                <w:rFonts w:ascii="標楷體" w:eastAsia="標楷體" w:hAnsi="標楷體" w:cs="Calibri"/>
                <w:szCs w:val="24"/>
              </w:rPr>
            </w:pPr>
            <w:r w:rsidRPr="001F13B2">
              <w:rPr>
                <w:rFonts w:ascii="標楷體" w:eastAsia="標楷體" w:hAnsi="標楷體" w:cs="Calibri"/>
                <w:szCs w:val="24"/>
              </w:rPr>
              <w:t>六個月內骨髓檢查報告(新申請案必備)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83EE2" w14:textId="77777777" w:rsidR="001F13B2" w:rsidRPr="001F13B2" w:rsidRDefault="001F13B2" w:rsidP="001F13B2">
            <w:pPr>
              <w:snapToGrid w:val="0"/>
              <w:rPr>
                <w:rFonts w:ascii="標楷體" w:eastAsia="標楷體" w:hAnsi="標楷體" w:cs="Calibri"/>
                <w:szCs w:val="24"/>
              </w:rPr>
            </w:pPr>
          </w:p>
        </w:tc>
      </w:tr>
      <w:tr w:rsidR="001F13B2" w:rsidRPr="001F13B2" w14:paraId="42F7F85A" w14:textId="77777777" w:rsidTr="001F13B2">
        <w:trPr>
          <w:trHeight w:val="11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18B4B" w14:textId="77777777" w:rsidR="001F13B2" w:rsidRPr="001F13B2" w:rsidRDefault="001F13B2" w:rsidP="008A7063">
            <w:pPr>
              <w:numPr>
                <w:ilvl w:val="0"/>
                <w:numId w:val="130"/>
              </w:numPr>
              <w:snapToGrid w:val="0"/>
              <w:ind w:left="603" w:hanging="567"/>
              <w:jc w:val="both"/>
              <w:rPr>
                <w:rFonts w:ascii="標楷體" w:eastAsia="標楷體" w:hAnsi="標楷體" w:cs="Calibri"/>
                <w:kern w:val="0"/>
                <w:szCs w:val="24"/>
              </w:rPr>
            </w:pPr>
            <w:r w:rsidRPr="001F13B2">
              <w:rPr>
                <w:rFonts w:ascii="標楷體" w:eastAsia="標楷體" w:hAnsi="標楷體" w:cs="Calibri"/>
                <w:kern w:val="0"/>
                <w:szCs w:val="24"/>
              </w:rPr>
              <w:t>新個案需經專家小組事前審查核准後使用，每次申請期限為6個月。</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9792A" w14:textId="77777777" w:rsidR="001F13B2" w:rsidRPr="001F13B2" w:rsidRDefault="001F13B2" w:rsidP="001F13B2">
            <w:pPr>
              <w:snapToGrid w:val="0"/>
              <w:rPr>
                <w:rFonts w:ascii="標楷體" w:eastAsia="標楷體" w:hAnsi="標楷體" w:cs="Calibri"/>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A0D95" w14:textId="77777777" w:rsidR="001F13B2" w:rsidRPr="001F13B2" w:rsidRDefault="001F13B2" w:rsidP="001F13B2">
            <w:pPr>
              <w:snapToGrid w:val="0"/>
              <w:rPr>
                <w:rFonts w:ascii="標楷體" w:eastAsia="標楷體" w:hAnsi="標楷體" w:cs="Calibri"/>
                <w:szCs w:val="24"/>
              </w:rPr>
            </w:pPr>
          </w:p>
        </w:tc>
      </w:tr>
      <w:tr w:rsidR="001F13B2" w:rsidRPr="001F13B2" w14:paraId="0AD5F43B" w14:textId="77777777" w:rsidTr="001F13B2">
        <w:trPr>
          <w:trHeight w:val="315"/>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F6BC3" w14:textId="77777777" w:rsidR="001F13B2" w:rsidRPr="001F13B2" w:rsidRDefault="001F13B2" w:rsidP="001F13B2">
            <w:pPr>
              <w:snapToGrid w:val="0"/>
              <w:jc w:val="both"/>
              <w:rPr>
                <w:rFonts w:ascii="標楷體" w:eastAsia="標楷體" w:hAnsi="標楷體" w:cs="Calibri"/>
                <w:b/>
                <w:szCs w:val="24"/>
              </w:rPr>
            </w:pPr>
            <w:r w:rsidRPr="001F13B2">
              <w:rPr>
                <w:rFonts w:ascii="標楷體" w:eastAsia="標楷體" w:hAnsi="標楷體" w:cs="Calibri"/>
                <w:b/>
                <w:szCs w:val="24"/>
              </w:rPr>
              <w:t>續用申請</w:t>
            </w:r>
          </w:p>
        </w:tc>
      </w:tr>
      <w:tr w:rsidR="001F13B2" w:rsidRPr="001F13B2" w14:paraId="4B583A4C" w14:textId="77777777" w:rsidTr="001F13B2">
        <w:trPr>
          <w:trHeight w:val="27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72D7C" w14:textId="77777777" w:rsidR="001F13B2" w:rsidRPr="001F13B2" w:rsidRDefault="001F13B2" w:rsidP="001F13B2">
            <w:pPr>
              <w:widowControl/>
              <w:snapToGrid w:val="0"/>
              <w:ind w:left="480"/>
              <w:jc w:val="both"/>
              <w:rPr>
                <w:rFonts w:ascii="標楷體" w:eastAsia="標楷體" w:hAnsi="標楷體" w:cs="Calibri"/>
                <w:kern w:val="0"/>
                <w:szCs w:val="24"/>
              </w:rPr>
            </w:pPr>
            <w:r w:rsidRPr="001F13B2">
              <w:rPr>
                <w:rFonts w:ascii="標楷體" w:eastAsia="標楷體" w:hAnsi="標楷體" w:cs="Calibri"/>
                <w:kern w:val="0"/>
                <w:szCs w:val="24"/>
              </w:rPr>
              <w:t>給付規定</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8D4C6" w14:textId="77777777" w:rsidR="001F13B2" w:rsidRPr="001F13B2" w:rsidRDefault="001F13B2" w:rsidP="001F13B2">
            <w:pPr>
              <w:snapToGrid w:val="0"/>
              <w:jc w:val="center"/>
              <w:rPr>
                <w:rFonts w:ascii="標楷體" w:eastAsia="標楷體" w:hAnsi="標楷體" w:cs="Calibri"/>
                <w:szCs w:val="24"/>
              </w:rPr>
            </w:pPr>
            <w:r w:rsidRPr="001F13B2">
              <w:rPr>
                <w:rFonts w:ascii="標楷體" w:eastAsia="標楷體" w:hAnsi="標楷體" w:cs="Calibri"/>
                <w:szCs w:val="24"/>
              </w:rPr>
              <w:t>送審應檢附資料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8AE4" w14:textId="77777777" w:rsidR="001F13B2" w:rsidRPr="001F13B2" w:rsidRDefault="001F13B2" w:rsidP="001F13B2">
            <w:pPr>
              <w:snapToGrid w:val="0"/>
              <w:rPr>
                <w:rFonts w:ascii="標楷體" w:eastAsia="標楷體" w:hAnsi="標楷體" w:cs="Calibri"/>
                <w:szCs w:val="24"/>
              </w:rPr>
            </w:pPr>
            <w:r w:rsidRPr="001F13B2">
              <w:rPr>
                <w:rFonts w:ascii="標楷體" w:eastAsia="標楷體" w:hAnsi="標楷體" w:cs="Calibri"/>
                <w:szCs w:val="24"/>
              </w:rPr>
              <w:t>資料確認</w:t>
            </w:r>
          </w:p>
        </w:tc>
      </w:tr>
      <w:tr w:rsidR="001F13B2" w:rsidRPr="001F13B2" w14:paraId="1AC5D026" w14:textId="77777777" w:rsidTr="001F13B2">
        <w:trPr>
          <w:trHeight w:val="332"/>
        </w:trPr>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15DFD" w14:textId="77777777" w:rsidR="001F13B2" w:rsidRPr="001F13B2" w:rsidRDefault="001F13B2" w:rsidP="008A7063">
            <w:pPr>
              <w:numPr>
                <w:ilvl w:val="0"/>
                <w:numId w:val="137"/>
              </w:numPr>
              <w:snapToGrid w:val="0"/>
              <w:ind w:left="603" w:hanging="567"/>
              <w:jc w:val="both"/>
              <w:rPr>
                <w:rFonts w:ascii="標楷體" w:eastAsia="標楷體" w:hAnsi="標楷體" w:cs="Calibri"/>
                <w:kern w:val="0"/>
                <w:szCs w:val="24"/>
              </w:rPr>
            </w:pPr>
            <w:r w:rsidRPr="001F13B2">
              <w:rPr>
                <w:rFonts w:ascii="標楷體" w:eastAsia="標楷體" w:hAnsi="標楷體" w:cs="Calibri"/>
                <w:kern w:val="0"/>
                <w:szCs w:val="24"/>
              </w:rPr>
              <w:t>每6個月須重新評估治療結果。</w:t>
            </w:r>
          </w:p>
          <w:p w14:paraId="1F3F675D" w14:textId="77777777" w:rsidR="001F13B2" w:rsidRPr="001F13B2" w:rsidRDefault="001F13B2" w:rsidP="008A7063">
            <w:pPr>
              <w:numPr>
                <w:ilvl w:val="0"/>
                <w:numId w:val="137"/>
              </w:numPr>
              <w:snapToGrid w:val="0"/>
              <w:ind w:left="603" w:hanging="567"/>
              <w:jc w:val="both"/>
              <w:rPr>
                <w:rFonts w:ascii="標楷體" w:eastAsia="標楷體" w:hAnsi="標楷體" w:cs="Calibri"/>
                <w:kern w:val="0"/>
                <w:szCs w:val="24"/>
              </w:rPr>
            </w:pPr>
            <w:r w:rsidRPr="001F13B2">
              <w:rPr>
                <w:rFonts w:ascii="標楷體" w:eastAsia="標楷體" w:hAnsi="標楷體" w:cs="Calibri"/>
                <w:kern w:val="0"/>
                <w:szCs w:val="24"/>
              </w:rPr>
              <w:t>若符合下列條件之一，則不予同意使用。</w:t>
            </w:r>
          </w:p>
          <w:p w14:paraId="5E6D13F4" w14:textId="77777777" w:rsidR="001F13B2" w:rsidRPr="001F13B2" w:rsidRDefault="001F13B2" w:rsidP="008A7063">
            <w:pPr>
              <w:numPr>
                <w:ilvl w:val="0"/>
                <w:numId w:val="138"/>
              </w:numPr>
              <w:snapToGrid w:val="0"/>
              <w:jc w:val="both"/>
              <w:rPr>
                <w:rFonts w:ascii="標楷體" w:eastAsia="標楷體" w:hAnsi="標楷體" w:cs="Calibri"/>
                <w:szCs w:val="24"/>
              </w:rPr>
            </w:pPr>
            <w:r w:rsidRPr="001F13B2">
              <w:rPr>
                <w:rFonts w:ascii="標楷體" w:eastAsia="標楷體" w:hAnsi="標楷體" w:cs="Calibri"/>
                <w:szCs w:val="24"/>
              </w:rPr>
              <w:t>接受治療的患者用藥後病情沒有改善者（LDH超過正常值上限的1.5倍或最近3個月內輸血多於2個單位）。</w:t>
            </w:r>
          </w:p>
          <w:p w14:paraId="19A36830" w14:textId="77777777" w:rsidR="001F13B2" w:rsidRPr="001F13B2" w:rsidRDefault="001F13B2" w:rsidP="008A7063">
            <w:pPr>
              <w:numPr>
                <w:ilvl w:val="0"/>
                <w:numId w:val="138"/>
              </w:numPr>
              <w:snapToGrid w:val="0"/>
              <w:jc w:val="both"/>
              <w:rPr>
                <w:rFonts w:ascii="標楷體" w:eastAsia="標楷體" w:hAnsi="標楷體" w:cs="Calibri"/>
                <w:szCs w:val="24"/>
              </w:rPr>
            </w:pPr>
            <w:r w:rsidRPr="001F13B2">
              <w:rPr>
                <w:rFonts w:ascii="標楷體" w:eastAsia="標楷體" w:hAnsi="標楷體" w:cs="Calibri"/>
                <w:szCs w:val="24"/>
              </w:rPr>
              <w:t>PNH granulocyte clone size</w:t>
            </w:r>
          </w:p>
          <w:p w14:paraId="2CE0A62C" w14:textId="77777777" w:rsidR="001F13B2" w:rsidRPr="001F13B2" w:rsidRDefault="001F13B2" w:rsidP="001F13B2">
            <w:pPr>
              <w:snapToGrid w:val="0"/>
              <w:ind w:left="602" w:firstLine="240"/>
              <w:jc w:val="both"/>
              <w:rPr>
                <w:rFonts w:ascii="Times New Roman" w:hAnsi="Times New Roman"/>
                <w:szCs w:val="24"/>
              </w:rPr>
            </w:pPr>
            <w:r w:rsidRPr="001F13B2">
              <w:rPr>
                <w:rFonts w:ascii="標楷體" w:eastAsia="標楷體" w:hAnsi="標楷體" w:cs="新細明體"/>
                <w:szCs w:val="24"/>
              </w:rPr>
              <w:t>≦</w:t>
            </w:r>
            <w:r w:rsidRPr="001F13B2">
              <w:rPr>
                <w:rFonts w:ascii="標楷體" w:eastAsia="標楷體" w:hAnsi="標楷體" w:cs="Calibri"/>
                <w:szCs w:val="24"/>
              </w:rPr>
              <w:t>50%。</w:t>
            </w:r>
          </w:p>
          <w:p w14:paraId="4153AA52" w14:textId="77777777" w:rsidR="001F13B2" w:rsidRPr="001F13B2" w:rsidRDefault="001F13B2" w:rsidP="008A7063">
            <w:pPr>
              <w:numPr>
                <w:ilvl w:val="0"/>
                <w:numId w:val="138"/>
              </w:numPr>
              <w:snapToGrid w:val="0"/>
              <w:jc w:val="both"/>
              <w:rPr>
                <w:rFonts w:ascii="標楷體" w:eastAsia="標楷體" w:hAnsi="標楷體" w:cs="Calibri"/>
                <w:szCs w:val="24"/>
              </w:rPr>
            </w:pPr>
            <w:r w:rsidRPr="001F13B2">
              <w:rPr>
                <w:rFonts w:ascii="標楷體" w:eastAsia="標楷體" w:hAnsi="標楷體" w:cs="Calibri"/>
                <w:szCs w:val="24"/>
              </w:rPr>
              <w:t>發生嚴重再生不良性貧血，其檢查結果符合下</w:t>
            </w:r>
            <w:r w:rsidRPr="001F13B2">
              <w:rPr>
                <w:rFonts w:ascii="標楷體" w:eastAsia="標楷體" w:hAnsi="標楷體" w:cs="Calibri"/>
                <w:szCs w:val="24"/>
              </w:rPr>
              <w:lastRenderedPageBreak/>
              <w:t>列兩項或兩項以上者：</w:t>
            </w:r>
          </w:p>
          <w:p w14:paraId="41B9D871" w14:textId="77777777" w:rsidR="001F13B2" w:rsidRPr="001F13B2" w:rsidRDefault="001F13B2" w:rsidP="008A7063">
            <w:pPr>
              <w:numPr>
                <w:ilvl w:val="0"/>
                <w:numId w:val="139"/>
              </w:numPr>
              <w:snapToGrid w:val="0"/>
              <w:ind w:left="1018" w:hanging="284"/>
              <w:jc w:val="both"/>
              <w:rPr>
                <w:rFonts w:ascii="Times New Roman" w:hAnsi="Times New Roman"/>
                <w:szCs w:val="24"/>
              </w:rPr>
            </w:pPr>
            <w:r w:rsidRPr="001F13B2">
              <w:rPr>
                <w:rFonts w:ascii="標楷體" w:eastAsia="標楷體" w:hAnsi="標楷體" w:cs="Calibri"/>
                <w:szCs w:val="24"/>
              </w:rPr>
              <w:t>中性白血球數目（neutrophil count）＜0.5x10</w:t>
            </w:r>
            <w:r w:rsidRPr="001F13B2">
              <w:rPr>
                <w:rFonts w:ascii="標楷體" w:eastAsia="標楷體" w:hAnsi="標楷體" w:cs="Calibri"/>
                <w:szCs w:val="24"/>
                <w:vertAlign w:val="superscript"/>
              </w:rPr>
              <w:t>9</w:t>
            </w:r>
            <w:r w:rsidRPr="001F13B2">
              <w:rPr>
                <w:rFonts w:ascii="標楷體" w:eastAsia="標楷體" w:hAnsi="標楷體" w:cs="Calibri"/>
                <w:szCs w:val="24"/>
              </w:rPr>
              <w:t>/L。</w:t>
            </w:r>
          </w:p>
          <w:p w14:paraId="11B139ED" w14:textId="77777777" w:rsidR="001F13B2" w:rsidRPr="001F13B2" w:rsidRDefault="001F13B2" w:rsidP="008A7063">
            <w:pPr>
              <w:numPr>
                <w:ilvl w:val="0"/>
                <w:numId w:val="139"/>
              </w:numPr>
              <w:snapToGrid w:val="0"/>
              <w:ind w:left="1018" w:hanging="284"/>
              <w:jc w:val="both"/>
              <w:rPr>
                <w:rFonts w:ascii="Times New Roman" w:hAnsi="Times New Roman"/>
                <w:szCs w:val="24"/>
              </w:rPr>
            </w:pPr>
            <w:r w:rsidRPr="001F13B2">
              <w:rPr>
                <w:rFonts w:ascii="標楷體" w:eastAsia="標楷體" w:hAnsi="標楷體" w:cs="Calibri"/>
                <w:szCs w:val="24"/>
              </w:rPr>
              <w:t>血小板數目（platelet count）＜20x10</w:t>
            </w:r>
            <w:r w:rsidRPr="001F13B2">
              <w:rPr>
                <w:rFonts w:ascii="標楷體" w:eastAsia="標楷體" w:hAnsi="標楷體" w:cs="Calibri"/>
                <w:szCs w:val="24"/>
                <w:vertAlign w:val="superscript"/>
              </w:rPr>
              <w:t>9</w:t>
            </w:r>
            <w:r w:rsidRPr="001F13B2">
              <w:rPr>
                <w:rFonts w:ascii="標楷體" w:eastAsia="標楷體" w:hAnsi="標楷體" w:cs="Calibri"/>
                <w:szCs w:val="24"/>
              </w:rPr>
              <w:t>/L。</w:t>
            </w:r>
          </w:p>
          <w:p w14:paraId="5707E887" w14:textId="77777777" w:rsidR="001F13B2" w:rsidRPr="001F13B2" w:rsidRDefault="001F13B2" w:rsidP="008A7063">
            <w:pPr>
              <w:numPr>
                <w:ilvl w:val="0"/>
                <w:numId w:val="139"/>
              </w:numPr>
              <w:snapToGrid w:val="0"/>
              <w:ind w:left="1018" w:hanging="284"/>
              <w:jc w:val="both"/>
              <w:rPr>
                <w:rFonts w:ascii="標楷體" w:eastAsia="標楷體" w:hAnsi="標楷體" w:cs="Calibri"/>
                <w:szCs w:val="24"/>
              </w:rPr>
            </w:pPr>
            <w:r w:rsidRPr="001F13B2">
              <w:rPr>
                <w:rFonts w:ascii="標楷體" w:eastAsia="標楷體" w:hAnsi="標楷體" w:cs="Calibri"/>
                <w:szCs w:val="24"/>
              </w:rPr>
              <w:t>網狀細胞（reticulocytes）</w:t>
            </w:r>
          </w:p>
          <w:p w14:paraId="65705C0E" w14:textId="77777777" w:rsidR="001F13B2" w:rsidRPr="001F13B2" w:rsidRDefault="001F13B2" w:rsidP="001F13B2">
            <w:pPr>
              <w:snapToGrid w:val="0"/>
              <w:ind w:left="1018"/>
              <w:jc w:val="both"/>
              <w:rPr>
                <w:rFonts w:ascii="Times New Roman" w:hAnsi="Times New Roman"/>
                <w:szCs w:val="24"/>
              </w:rPr>
            </w:pPr>
            <w:r w:rsidRPr="001F13B2">
              <w:rPr>
                <w:rFonts w:ascii="標楷體" w:eastAsia="標楷體" w:hAnsi="標楷體" w:cs="Calibri"/>
                <w:szCs w:val="24"/>
              </w:rPr>
              <w:t>＜25x10</w:t>
            </w:r>
            <w:r w:rsidRPr="001F13B2">
              <w:rPr>
                <w:rFonts w:ascii="標楷體" w:eastAsia="標楷體" w:hAnsi="標楷體" w:cs="Calibri"/>
                <w:szCs w:val="24"/>
                <w:vertAlign w:val="superscript"/>
              </w:rPr>
              <w:t>9</w:t>
            </w:r>
            <w:r w:rsidRPr="001F13B2">
              <w:rPr>
                <w:rFonts w:ascii="標楷體" w:eastAsia="標楷體" w:hAnsi="標楷體" w:cs="Calibri"/>
                <w:szCs w:val="24"/>
              </w:rPr>
              <w:t>/L。</w:t>
            </w:r>
          </w:p>
          <w:p w14:paraId="22887D33" w14:textId="77777777" w:rsidR="001F13B2" w:rsidRPr="001F13B2" w:rsidRDefault="001F13B2" w:rsidP="008A7063">
            <w:pPr>
              <w:numPr>
                <w:ilvl w:val="0"/>
                <w:numId w:val="139"/>
              </w:numPr>
              <w:snapToGrid w:val="0"/>
              <w:ind w:left="1018" w:hanging="284"/>
              <w:jc w:val="both"/>
              <w:rPr>
                <w:rFonts w:ascii="標楷體" w:eastAsia="標楷體" w:hAnsi="標楷體" w:cs="Calibri"/>
                <w:szCs w:val="24"/>
              </w:rPr>
            </w:pPr>
            <w:r w:rsidRPr="001F13B2">
              <w:rPr>
                <w:rFonts w:ascii="標楷體" w:eastAsia="標楷體" w:hAnsi="標楷體" w:cs="Calibri"/>
                <w:szCs w:val="24"/>
              </w:rPr>
              <w:t>骨髓內造血細胞密度＜30%。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7C785" w14:textId="77777777" w:rsidR="001F13B2" w:rsidRPr="001F13B2" w:rsidRDefault="001F13B2" w:rsidP="001F13B2">
            <w:pPr>
              <w:snapToGrid w:val="0"/>
              <w:rPr>
                <w:rFonts w:ascii="標楷體" w:eastAsia="標楷體" w:hAnsi="標楷體" w:cs="Calibri"/>
                <w:b/>
                <w:szCs w:val="24"/>
              </w:rPr>
            </w:pPr>
            <w:r w:rsidRPr="001F13B2">
              <w:rPr>
                <w:rFonts w:ascii="標楷體" w:eastAsia="標楷體" w:hAnsi="標楷體" w:cs="Calibri"/>
                <w:b/>
                <w:szCs w:val="24"/>
              </w:rPr>
              <w:lastRenderedPageBreak/>
              <w:t>必備：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E29C9" w14:textId="77777777" w:rsidR="001F13B2" w:rsidRPr="001F13B2" w:rsidRDefault="001F13B2" w:rsidP="001F13B2">
            <w:pPr>
              <w:snapToGrid w:val="0"/>
              <w:rPr>
                <w:rFonts w:ascii="標楷體" w:eastAsia="標楷體" w:hAnsi="標楷體" w:cs="Calibri"/>
                <w:szCs w:val="24"/>
              </w:rPr>
            </w:pPr>
          </w:p>
        </w:tc>
      </w:tr>
      <w:tr w:rsidR="001F13B2" w:rsidRPr="001F13B2" w14:paraId="24A7FEDC"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F0A43" w14:textId="77777777" w:rsidR="001F13B2" w:rsidRPr="001F13B2" w:rsidRDefault="001F13B2" w:rsidP="008A7063">
            <w:pPr>
              <w:numPr>
                <w:ilvl w:val="0"/>
                <w:numId w:val="140"/>
              </w:numPr>
              <w:snapToGrid w:val="0"/>
              <w:ind w:left="839" w:hanging="357"/>
              <w:jc w:val="both"/>
              <w:rPr>
                <w:rFonts w:ascii="標楷體" w:eastAsia="標楷體" w:hAnsi="標楷體" w:cs="Calibri"/>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9789D" w14:textId="77777777" w:rsidR="001F13B2" w:rsidRPr="001F13B2" w:rsidRDefault="001F13B2" w:rsidP="008A7063">
            <w:pPr>
              <w:numPr>
                <w:ilvl w:val="0"/>
                <w:numId w:val="141"/>
              </w:numPr>
              <w:snapToGrid w:val="0"/>
              <w:rPr>
                <w:rFonts w:ascii="標楷體" w:eastAsia="標楷體" w:hAnsi="標楷體" w:cs="Calibri"/>
                <w:szCs w:val="24"/>
              </w:rPr>
            </w:pPr>
            <w:r w:rsidRPr="001F13B2">
              <w:rPr>
                <w:rFonts w:ascii="標楷體" w:eastAsia="標楷體" w:hAnsi="標楷體" w:cs="Calibri"/>
                <w:szCs w:val="24"/>
              </w:rPr>
              <w:t>病史摘要說明及治療後療效評估說明。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51BCA" w14:textId="77777777" w:rsidR="001F13B2" w:rsidRPr="001F13B2" w:rsidRDefault="001F13B2" w:rsidP="001F13B2">
            <w:pPr>
              <w:snapToGrid w:val="0"/>
              <w:rPr>
                <w:rFonts w:ascii="標楷體" w:eastAsia="標楷體" w:hAnsi="標楷體" w:cs="Calibri"/>
                <w:szCs w:val="24"/>
              </w:rPr>
            </w:pPr>
          </w:p>
        </w:tc>
      </w:tr>
      <w:tr w:rsidR="001F13B2" w:rsidRPr="001F13B2" w14:paraId="19617E27"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8F5AB"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5805C" w14:textId="77777777" w:rsidR="001F13B2" w:rsidRPr="001F13B2" w:rsidRDefault="001F13B2" w:rsidP="008A7063">
            <w:pPr>
              <w:numPr>
                <w:ilvl w:val="0"/>
                <w:numId w:val="141"/>
              </w:numPr>
              <w:snapToGrid w:val="0"/>
              <w:rPr>
                <w:rFonts w:ascii="標楷體" w:eastAsia="標楷體" w:hAnsi="標楷體" w:cs="Calibri"/>
                <w:szCs w:val="24"/>
              </w:rPr>
            </w:pPr>
            <w:r w:rsidRPr="001F13B2">
              <w:rPr>
                <w:rFonts w:ascii="標楷體" w:eastAsia="標楷體" w:hAnsi="標楷體" w:cs="Calibri"/>
                <w:szCs w:val="24"/>
              </w:rPr>
              <w:t>治療計畫書，須說明eculizumab申請續治療期間已在過往施打meningococcal vaccine效期內，或是有再次施打之計畫。</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9F7BB" w14:textId="77777777" w:rsidR="001F13B2" w:rsidRPr="001F13B2" w:rsidRDefault="001F13B2" w:rsidP="001F13B2">
            <w:pPr>
              <w:snapToGrid w:val="0"/>
              <w:rPr>
                <w:rFonts w:ascii="標楷體" w:eastAsia="標楷體" w:hAnsi="標楷體" w:cs="Calibri"/>
                <w:szCs w:val="24"/>
              </w:rPr>
            </w:pPr>
          </w:p>
        </w:tc>
      </w:tr>
      <w:tr w:rsidR="001F13B2" w:rsidRPr="001F13B2" w14:paraId="0607F565"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16101"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33E1B" w14:textId="77777777" w:rsidR="001F13B2" w:rsidRPr="001F13B2" w:rsidRDefault="001F13B2" w:rsidP="008A7063">
            <w:pPr>
              <w:numPr>
                <w:ilvl w:val="0"/>
                <w:numId w:val="141"/>
              </w:numPr>
              <w:snapToGrid w:val="0"/>
              <w:rPr>
                <w:rFonts w:ascii="標楷體" w:eastAsia="標楷體" w:hAnsi="標楷體"/>
                <w:szCs w:val="24"/>
              </w:rPr>
            </w:pPr>
            <w:r w:rsidRPr="001F13B2">
              <w:rPr>
                <w:rFonts w:ascii="標楷體" w:eastAsia="標楷體" w:hAnsi="標楷體" w:cs="Calibri"/>
                <w:szCs w:val="24"/>
              </w:rPr>
              <w:t>近三個月內之CBC、WBC分類、LDH及reticulocyte至少兩次。</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24404" w14:textId="77777777" w:rsidR="001F13B2" w:rsidRPr="001F13B2" w:rsidRDefault="001F13B2" w:rsidP="001F13B2">
            <w:pPr>
              <w:snapToGrid w:val="0"/>
              <w:rPr>
                <w:rFonts w:ascii="標楷體" w:eastAsia="標楷體" w:hAnsi="標楷體" w:cs="Calibri"/>
                <w:szCs w:val="24"/>
              </w:rPr>
            </w:pPr>
          </w:p>
        </w:tc>
      </w:tr>
      <w:tr w:rsidR="001F13B2" w:rsidRPr="001F13B2" w14:paraId="5DE81F3D"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DD00C"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36192" w14:textId="77777777" w:rsidR="001F13B2" w:rsidRPr="001F13B2" w:rsidRDefault="001F13B2" w:rsidP="008A7063">
            <w:pPr>
              <w:numPr>
                <w:ilvl w:val="0"/>
                <w:numId w:val="141"/>
              </w:numPr>
              <w:snapToGrid w:val="0"/>
              <w:rPr>
                <w:rFonts w:ascii="標楷體" w:eastAsia="標楷體" w:hAnsi="標楷體"/>
                <w:szCs w:val="24"/>
              </w:rPr>
            </w:pPr>
            <w:r w:rsidRPr="001F13B2">
              <w:rPr>
                <w:rFonts w:ascii="標楷體" w:eastAsia="標楷體" w:hAnsi="標楷體" w:cs="Calibri"/>
                <w:szCs w:val="24"/>
              </w:rPr>
              <w:t>近三個月內之溶血性貧血活性評估，必須包含LDH。因嚴重貧血而通過申請者，LDH仍超過正常值上限的1.5倍且排除因其他疾病因素所致之LDH上升(如感染等)，則不再核准，但病人呈現Coomb’stest為陽性(須檢附Coomb’stest陽性之檢驗報告)且輸血量及頻</w:t>
            </w:r>
            <w:r w:rsidRPr="001F13B2">
              <w:rPr>
                <w:rFonts w:ascii="標楷體" w:eastAsia="標楷體" w:hAnsi="標楷體" w:cs="Calibri"/>
                <w:szCs w:val="24"/>
              </w:rPr>
              <w:lastRenderedPageBreak/>
              <w:t>率未超過用藥前者除外。</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0D76" w14:textId="77777777" w:rsidR="001F13B2" w:rsidRPr="001F13B2" w:rsidRDefault="001F13B2" w:rsidP="001F13B2">
            <w:pPr>
              <w:snapToGrid w:val="0"/>
              <w:rPr>
                <w:rFonts w:ascii="標楷體" w:eastAsia="標楷體" w:hAnsi="標楷體" w:cs="Calibri"/>
                <w:szCs w:val="24"/>
              </w:rPr>
            </w:pPr>
          </w:p>
        </w:tc>
      </w:tr>
      <w:tr w:rsidR="001F13B2" w:rsidRPr="001F13B2" w14:paraId="5D7EC8BA"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349EB"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77F48" w14:textId="77777777" w:rsidR="001F13B2" w:rsidRPr="001F13B2" w:rsidRDefault="001F13B2" w:rsidP="008A7063">
            <w:pPr>
              <w:numPr>
                <w:ilvl w:val="0"/>
                <w:numId w:val="141"/>
              </w:numPr>
              <w:snapToGrid w:val="0"/>
              <w:rPr>
                <w:rFonts w:ascii="標楷體" w:eastAsia="標楷體" w:hAnsi="標楷體" w:cs="Calibri"/>
                <w:szCs w:val="24"/>
              </w:rPr>
            </w:pPr>
            <w:r w:rsidRPr="001F13B2">
              <w:rPr>
                <w:rFonts w:ascii="標楷體" w:eastAsia="標楷體" w:hAnsi="標楷體" w:cs="Calibri"/>
                <w:szCs w:val="24"/>
              </w:rPr>
              <w:t>第一次送審時所附之CBC及WBC分類</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ACEDD" w14:textId="77777777" w:rsidR="001F13B2" w:rsidRPr="001F13B2" w:rsidRDefault="001F13B2" w:rsidP="001F13B2">
            <w:pPr>
              <w:snapToGrid w:val="0"/>
              <w:rPr>
                <w:rFonts w:ascii="標楷體" w:eastAsia="標楷體" w:hAnsi="標楷體" w:cs="Calibri"/>
                <w:szCs w:val="24"/>
              </w:rPr>
            </w:pPr>
          </w:p>
        </w:tc>
      </w:tr>
      <w:tr w:rsidR="001F13B2" w:rsidRPr="001F13B2" w14:paraId="708CE441" w14:textId="77777777" w:rsidTr="001F13B2">
        <w:trPr>
          <w:trHeight w:val="25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77C9B"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3BDF" w14:textId="77777777" w:rsidR="001F13B2" w:rsidRPr="001F13B2" w:rsidRDefault="001F13B2" w:rsidP="008A7063">
            <w:pPr>
              <w:numPr>
                <w:ilvl w:val="0"/>
                <w:numId w:val="141"/>
              </w:numPr>
              <w:snapToGrid w:val="0"/>
              <w:rPr>
                <w:rFonts w:ascii="標楷體" w:eastAsia="標楷體" w:hAnsi="標楷體" w:cs="Calibri"/>
                <w:szCs w:val="24"/>
              </w:rPr>
            </w:pPr>
            <w:r w:rsidRPr="001F13B2">
              <w:rPr>
                <w:rFonts w:ascii="標楷體" w:eastAsia="標楷體" w:hAnsi="標楷體" w:cs="Calibri"/>
                <w:szCs w:val="24"/>
              </w:rPr>
              <w:t>六個月內之流式細胞儀的診斷報告及細胞圈選(gating)圖：仍須符合經兩種以上抗體確認PNH之granulocyte clone size均大於50%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B3A1" w14:textId="77777777" w:rsidR="001F13B2" w:rsidRPr="001F13B2" w:rsidRDefault="001F13B2" w:rsidP="001F13B2">
            <w:pPr>
              <w:snapToGrid w:val="0"/>
              <w:rPr>
                <w:rFonts w:ascii="標楷體" w:eastAsia="標楷體" w:hAnsi="標楷體" w:cs="Calibri"/>
                <w:szCs w:val="24"/>
              </w:rPr>
            </w:pPr>
          </w:p>
        </w:tc>
      </w:tr>
      <w:tr w:rsidR="001F13B2" w:rsidRPr="001F13B2" w14:paraId="444198E3" w14:textId="77777777" w:rsidTr="001F13B2">
        <w:trPr>
          <w:trHeight w:val="250"/>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D775D"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91E66" w14:textId="77777777" w:rsidR="001F13B2" w:rsidRPr="001F13B2" w:rsidRDefault="001F13B2" w:rsidP="001F13B2">
            <w:pPr>
              <w:snapToGrid w:val="0"/>
              <w:rPr>
                <w:rFonts w:ascii="標楷體" w:eastAsia="標楷體" w:hAnsi="標楷體"/>
                <w:szCs w:val="24"/>
              </w:rPr>
            </w:pPr>
            <w:r w:rsidRPr="001F13B2">
              <w:rPr>
                <w:rFonts w:ascii="標楷體" w:eastAsia="標楷體" w:hAnsi="標楷體" w:cs="Calibri"/>
                <w:szCs w:val="24"/>
              </w:rPr>
              <w:t>其他</w:t>
            </w:r>
            <w:r w:rsidRPr="001F13B2">
              <w:rPr>
                <w:rFonts w:ascii="標楷體" w:eastAsia="標楷體" w:hAnsi="標楷體" w:cs="Calibri"/>
                <w:b/>
                <w:szCs w:val="24"/>
              </w:rPr>
              <w:t>應備</w:t>
            </w:r>
            <w:r w:rsidRPr="001F13B2">
              <w:rPr>
                <w:rFonts w:ascii="標楷體" w:eastAsia="標楷體" w:hAnsi="標楷體" w:cs="Calibri"/>
                <w:szCs w:val="24"/>
              </w:rPr>
              <w:t>項目：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0134F" w14:textId="77777777" w:rsidR="001F13B2" w:rsidRPr="001F13B2" w:rsidRDefault="001F13B2" w:rsidP="001F13B2">
            <w:pPr>
              <w:snapToGrid w:val="0"/>
              <w:rPr>
                <w:rFonts w:ascii="標楷體" w:eastAsia="標楷體" w:hAnsi="標楷體" w:cs="Calibri"/>
                <w:szCs w:val="24"/>
              </w:rPr>
            </w:pPr>
          </w:p>
        </w:tc>
      </w:tr>
      <w:tr w:rsidR="001F13B2" w:rsidRPr="001F13B2" w14:paraId="5B68B101"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3187B"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EDC42" w14:textId="77777777" w:rsidR="001F13B2" w:rsidRPr="001F13B2" w:rsidRDefault="001F13B2" w:rsidP="008A7063">
            <w:pPr>
              <w:numPr>
                <w:ilvl w:val="0"/>
                <w:numId w:val="142"/>
              </w:numPr>
              <w:snapToGrid w:val="0"/>
              <w:rPr>
                <w:rFonts w:ascii="標楷體" w:eastAsia="標楷體" w:hAnsi="標楷體" w:cs="Calibri"/>
                <w:szCs w:val="24"/>
              </w:rPr>
            </w:pPr>
            <w:r w:rsidRPr="001F13B2">
              <w:rPr>
                <w:rFonts w:ascii="標楷體" w:eastAsia="標楷體" w:hAnsi="標楷體" w:cs="Calibri"/>
                <w:szCs w:val="24"/>
              </w:rPr>
              <w:t>若初次申請依溶血性貧血或心肺功能不全症狀（NewYork Heart Association Class III或IV）申請者需附六個月內完整輸血紀錄或相關說明。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4A4F3" w14:textId="77777777" w:rsidR="001F13B2" w:rsidRPr="001F13B2" w:rsidRDefault="001F13B2" w:rsidP="001F13B2">
            <w:pPr>
              <w:snapToGrid w:val="0"/>
              <w:rPr>
                <w:rFonts w:ascii="標楷體" w:eastAsia="標楷體" w:hAnsi="標楷體" w:cs="Calibri"/>
                <w:szCs w:val="24"/>
              </w:rPr>
            </w:pPr>
          </w:p>
        </w:tc>
      </w:tr>
      <w:tr w:rsidR="001F13B2" w:rsidRPr="001F13B2" w14:paraId="4EA9AAB9"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B4C14"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27780" w14:textId="77777777" w:rsidR="001F13B2" w:rsidRPr="001F13B2" w:rsidRDefault="001F13B2" w:rsidP="008A7063">
            <w:pPr>
              <w:numPr>
                <w:ilvl w:val="0"/>
                <w:numId w:val="142"/>
              </w:numPr>
              <w:snapToGrid w:val="0"/>
              <w:rPr>
                <w:rFonts w:ascii="標楷體" w:eastAsia="標楷體" w:hAnsi="標楷體" w:cs="Calibri"/>
                <w:szCs w:val="24"/>
              </w:rPr>
            </w:pPr>
            <w:r w:rsidRPr="001F13B2">
              <w:rPr>
                <w:rFonts w:ascii="標楷體" w:eastAsia="標楷體" w:hAnsi="標楷體" w:cs="Calibri"/>
                <w:szCs w:val="24"/>
              </w:rPr>
              <w:t>若第一次申請時依有發生危及生命之虞之血栓並導致明顯器官功能受損申請者需附原血栓部位之評估(病歷影本或檢驗報告任擇)及是否發生新血栓之說明。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F5A57" w14:textId="77777777" w:rsidR="001F13B2" w:rsidRPr="001F13B2" w:rsidRDefault="001F13B2" w:rsidP="001F13B2">
            <w:pPr>
              <w:snapToGrid w:val="0"/>
              <w:rPr>
                <w:rFonts w:ascii="標楷體" w:eastAsia="標楷體" w:hAnsi="標楷體" w:cs="Calibri"/>
                <w:szCs w:val="24"/>
              </w:rPr>
            </w:pPr>
          </w:p>
        </w:tc>
      </w:tr>
      <w:tr w:rsidR="001F13B2" w:rsidRPr="001F13B2" w14:paraId="05971B91" w14:textId="77777777" w:rsidTr="001F13B2">
        <w:trPr>
          <w:trHeight w:val="601"/>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7635B"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B8654" w14:textId="77777777" w:rsidR="001F13B2" w:rsidRPr="001F13B2" w:rsidRDefault="001F13B2" w:rsidP="008A7063">
            <w:pPr>
              <w:numPr>
                <w:ilvl w:val="0"/>
                <w:numId w:val="142"/>
              </w:numPr>
              <w:snapToGrid w:val="0"/>
              <w:rPr>
                <w:rFonts w:ascii="標楷體" w:eastAsia="標楷體" w:hAnsi="標楷體" w:cs="Calibri"/>
                <w:szCs w:val="24"/>
              </w:rPr>
            </w:pPr>
            <w:r w:rsidRPr="001F13B2">
              <w:rPr>
                <w:rFonts w:ascii="標楷體" w:eastAsia="標楷體" w:hAnsi="標楷體" w:cs="Calibri"/>
                <w:szCs w:val="24"/>
              </w:rPr>
              <w:t>若第一次申請時依發生因血管內溶血導致的進行性腎功能衰竭申請者須附治療後腎功能之評估，以證明腎功能未續有明顯惡化。如病患：係以「發生因血管內溶血導致的進行性腎功能衰竭(serum creatinine大於2.0mg/dL)，且無法以其他原因解釋者」之條件申請者，serum creatinine以上一次數值計算，上升超過該數值達2.0mg/dL或以上者，例如serum creatinine由3.0mg/dL升高至5.0mg/dL，或4.0mg/dL升高至6.0mg/dL，則不再核准。</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306A" w14:textId="77777777" w:rsidR="001F13B2" w:rsidRPr="001F13B2" w:rsidRDefault="001F13B2" w:rsidP="001F13B2">
            <w:pPr>
              <w:snapToGrid w:val="0"/>
              <w:rPr>
                <w:rFonts w:ascii="標楷體" w:eastAsia="標楷體" w:hAnsi="標楷體" w:cs="Calibri"/>
                <w:szCs w:val="24"/>
              </w:rPr>
            </w:pPr>
          </w:p>
        </w:tc>
      </w:tr>
      <w:tr w:rsidR="001F13B2" w:rsidRPr="001F13B2" w14:paraId="467ADFB4" w14:textId="77777777" w:rsidTr="001F13B2">
        <w:trPr>
          <w:trHeight w:val="1440"/>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940FA" w14:textId="77777777" w:rsidR="001F13B2" w:rsidRPr="001F13B2" w:rsidRDefault="001F13B2" w:rsidP="008A7063">
            <w:pPr>
              <w:numPr>
                <w:ilvl w:val="0"/>
                <w:numId w:val="137"/>
              </w:numPr>
              <w:snapToGrid w:val="0"/>
              <w:rPr>
                <w:rFonts w:ascii="標楷體" w:eastAsia="標楷體" w:hAnsi="標楷體" w:cs="Calibri"/>
                <w:kern w:val="0"/>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6C3F" w14:textId="77777777" w:rsidR="001F13B2" w:rsidRPr="001F13B2" w:rsidRDefault="001F13B2" w:rsidP="008A7063">
            <w:pPr>
              <w:numPr>
                <w:ilvl w:val="0"/>
                <w:numId w:val="142"/>
              </w:numPr>
              <w:snapToGrid w:val="0"/>
              <w:rPr>
                <w:rFonts w:ascii="標楷體" w:eastAsia="標楷體" w:hAnsi="標楷體" w:cs="Calibri"/>
                <w:szCs w:val="24"/>
              </w:rPr>
            </w:pPr>
            <w:r w:rsidRPr="001F13B2">
              <w:rPr>
                <w:rFonts w:ascii="標楷體" w:eastAsia="標楷體" w:hAnsi="標楷體" w:cs="Calibri"/>
                <w:szCs w:val="24"/>
              </w:rPr>
              <w:t>若再次申請之CBC、WBC分類及reticulocyte和第一次送審之報告有除血紅素上升外之明顯惡化，建議再次申請時加附六個月內之骨髓檢查報告。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B73EB" w14:textId="77777777" w:rsidR="001F13B2" w:rsidRPr="001F13B2" w:rsidRDefault="001F13B2" w:rsidP="001F13B2">
            <w:pPr>
              <w:snapToGrid w:val="0"/>
              <w:rPr>
                <w:rFonts w:ascii="標楷體" w:eastAsia="標楷體" w:hAnsi="標楷體" w:cs="Calibri"/>
                <w:szCs w:val="24"/>
              </w:rPr>
            </w:pPr>
          </w:p>
        </w:tc>
      </w:tr>
    </w:tbl>
    <w:p w14:paraId="438CEC98" w14:textId="2E98AED5" w:rsidR="00BD776B" w:rsidRPr="001F13B2" w:rsidRDefault="00BD776B" w:rsidP="001F13B2">
      <w:pPr>
        <w:snapToGrid w:val="0"/>
        <w:rPr>
          <w:rFonts w:ascii="標楷體" w:eastAsia="標楷體" w:hAnsi="標楷體"/>
        </w:rPr>
      </w:pPr>
    </w:p>
    <w:p w14:paraId="105D63F4" w14:textId="77777777" w:rsidR="00BD776B" w:rsidRDefault="00DF0C24">
      <w:pPr>
        <w:pageBreakBefore/>
        <w:snapToGrid w:val="0"/>
        <w:spacing w:line="360" w:lineRule="exact"/>
        <w:jc w:val="center"/>
      </w:pPr>
      <w:r>
        <w:rPr>
          <w:rFonts w:ascii="標楷體" w:eastAsia="標楷體" w:hAnsi="標楷體"/>
          <w:color w:val="000000"/>
          <w:sz w:val="32"/>
          <w:szCs w:val="32"/>
        </w:rPr>
        <w:lastRenderedPageBreak/>
        <w:t>附表三十一：全民健康保險使用abatacept申請表</w:t>
      </w:r>
    </w:p>
    <w:p w14:paraId="69D04E39" w14:textId="77777777" w:rsidR="00BD776B" w:rsidRDefault="00DF0C24">
      <w:pPr>
        <w:snapToGrid w:val="0"/>
        <w:jc w:val="center"/>
      </w:pPr>
      <w:r>
        <w:rPr>
          <w:rFonts w:ascii="標楷體" w:eastAsia="標楷體" w:hAnsi="標楷體"/>
          <w:color w:val="000000"/>
          <w:sz w:val="32"/>
          <w:szCs w:val="32"/>
        </w:rPr>
        <w:t>(六歲至十七歲兒童)</w:t>
      </w:r>
    </w:p>
    <w:tbl>
      <w:tblPr>
        <w:tblW w:w="9667" w:type="dxa"/>
        <w:tblCellMar>
          <w:left w:w="10" w:type="dxa"/>
          <w:right w:w="10" w:type="dxa"/>
        </w:tblCellMar>
        <w:tblLook w:val="0000" w:firstRow="0" w:lastRow="0" w:firstColumn="0" w:lastColumn="0" w:noHBand="0" w:noVBand="0"/>
      </w:tblPr>
      <w:tblGrid>
        <w:gridCol w:w="1108"/>
        <w:gridCol w:w="1256"/>
        <w:gridCol w:w="216"/>
        <w:gridCol w:w="850"/>
        <w:gridCol w:w="993"/>
        <w:gridCol w:w="1701"/>
        <w:gridCol w:w="567"/>
        <w:gridCol w:w="1134"/>
        <w:gridCol w:w="1842"/>
      </w:tblGrid>
      <w:tr w:rsidR="00BD776B" w14:paraId="6E086F6D" w14:textId="77777777">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5BE97" w14:textId="77777777" w:rsidR="00BD776B" w:rsidRDefault="00DF0C24">
            <w:pPr>
              <w:snapToGrid w:val="0"/>
              <w:spacing w:line="240" w:lineRule="exact"/>
            </w:pPr>
            <w:r>
              <w:rPr>
                <w:rFonts w:ascii="標楷體" w:eastAsia="標楷體" w:hAnsi="標楷體" w:cs="標楷體"/>
                <w:color w:val="000000"/>
                <w:sz w:val="20"/>
                <w:szCs w:val="20"/>
              </w:rPr>
              <w:t>醫院代號</w:t>
            </w:r>
          </w:p>
        </w:tc>
        <w:tc>
          <w:tcPr>
            <w:tcW w:w="23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D978D" w14:textId="77777777" w:rsidR="00BD776B" w:rsidRDefault="00BD776B">
            <w:pPr>
              <w:snapToGrid w:val="0"/>
              <w:spacing w:line="240" w:lineRule="exact"/>
              <w:rPr>
                <w:rFonts w:ascii="標楷體" w:eastAsia="標楷體" w:hAnsi="標楷體"/>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BB6E5" w14:textId="77777777" w:rsidR="00BD776B" w:rsidRDefault="00DF0C24">
            <w:pPr>
              <w:snapToGrid w:val="0"/>
              <w:spacing w:line="240" w:lineRule="exact"/>
            </w:pPr>
            <w:r>
              <w:rPr>
                <w:rFonts w:ascii="標楷體" w:eastAsia="標楷體" w:hAnsi="標楷體" w:cs="標楷體"/>
                <w:color w:val="000000"/>
                <w:sz w:val="20"/>
                <w:szCs w:val="20"/>
              </w:rPr>
              <w:t>醫院名稱</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42B49" w14:textId="77777777" w:rsidR="00BD776B" w:rsidRDefault="00BD776B">
            <w:pPr>
              <w:snapToGrid w:val="0"/>
              <w:spacing w:line="240" w:lineRule="exact"/>
              <w:rPr>
                <w:rFonts w:ascii="標楷體" w:eastAsia="標楷體" w:hAnsi="標楷體"/>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D5CEC" w14:textId="77777777" w:rsidR="00BD776B" w:rsidRDefault="00DF0C24">
            <w:pPr>
              <w:snapToGrid w:val="0"/>
              <w:spacing w:line="240" w:lineRule="exact"/>
            </w:pPr>
            <w:r>
              <w:rPr>
                <w:rFonts w:ascii="標楷體" w:eastAsia="標楷體" w:hAnsi="標楷體" w:cs="標楷體"/>
                <w:color w:val="000000"/>
                <w:sz w:val="20"/>
                <w:szCs w:val="20"/>
              </w:rPr>
              <w:t>申請日期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2A3F2" w14:textId="77777777" w:rsidR="00BD776B" w:rsidRDefault="00BD776B">
            <w:pPr>
              <w:snapToGrid w:val="0"/>
              <w:spacing w:line="240" w:lineRule="exact"/>
              <w:rPr>
                <w:rFonts w:ascii="標楷體" w:eastAsia="標楷體" w:hAnsi="標楷體"/>
                <w:color w:val="000000"/>
                <w:sz w:val="20"/>
                <w:szCs w:val="20"/>
              </w:rPr>
            </w:pPr>
          </w:p>
        </w:tc>
      </w:tr>
      <w:tr w:rsidR="00BD776B" w14:paraId="1D28F870" w14:textId="77777777">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793BF" w14:textId="77777777" w:rsidR="00BD776B" w:rsidRDefault="00DF0C24">
            <w:pPr>
              <w:snapToGrid w:val="0"/>
              <w:spacing w:line="240" w:lineRule="exact"/>
            </w:pPr>
            <w:r>
              <w:rPr>
                <w:rFonts w:ascii="標楷體" w:eastAsia="標楷體" w:hAnsi="標楷體" w:cs="標楷體"/>
                <w:color w:val="000000"/>
                <w:sz w:val="20"/>
                <w:szCs w:val="20"/>
              </w:rPr>
              <w:t>病人姓名</w:t>
            </w:r>
          </w:p>
        </w:tc>
        <w:tc>
          <w:tcPr>
            <w:tcW w:w="23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DBD6A3" w14:textId="77777777" w:rsidR="00BD776B" w:rsidRDefault="00BD776B">
            <w:pPr>
              <w:snapToGrid w:val="0"/>
              <w:spacing w:line="240" w:lineRule="exact"/>
              <w:rPr>
                <w:rFonts w:ascii="標楷體" w:eastAsia="標楷體" w:hAnsi="標楷體"/>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5F34B" w14:textId="77777777" w:rsidR="00BD776B" w:rsidRDefault="00DF0C24">
            <w:pPr>
              <w:snapToGrid w:val="0"/>
              <w:spacing w:line="240" w:lineRule="exact"/>
            </w:pPr>
            <w:r>
              <w:rPr>
                <w:rFonts w:ascii="標楷體" w:eastAsia="標楷體" w:hAnsi="標楷體" w:cs="標楷體"/>
                <w:color w:val="000000"/>
                <w:sz w:val="20"/>
                <w:szCs w:val="20"/>
              </w:rPr>
              <w:t>性别</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37A68" w14:textId="77777777" w:rsidR="00BD776B" w:rsidRDefault="00BD776B">
            <w:pPr>
              <w:snapToGrid w:val="0"/>
              <w:spacing w:line="240" w:lineRule="exact"/>
              <w:rPr>
                <w:rFonts w:ascii="標楷體" w:eastAsia="標楷體" w:hAnsi="標楷體"/>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BD2DB" w14:textId="77777777" w:rsidR="00BD776B" w:rsidRDefault="00DF0C24">
            <w:pPr>
              <w:snapToGrid w:val="0"/>
              <w:spacing w:line="240" w:lineRule="exact"/>
            </w:pPr>
            <w:r>
              <w:rPr>
                <w:rFonts w:ascii="標楷體" w:eastAsia="標楷體" w:hAnsi="標楷體" w:cs="標楷體"/>
                <w:color w:val="000000"/>
                <w:sz w:val="20"/>
                <w:szCs w:val="20"/>
              </w:rPr>
              <w:t>出生日期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4E4C4" w14:textId="77777777" w:rsidR="00BD776B" w:rsidRDefault="00BD776B">
            <w:pPr>
              <w:snapToGrid w:val="0"/>
              <w:spacing w:line="240" w:lineRule="exact"/>
              <w:rPr>
                <w:rFonts w:ascii="標楷體" w:eastAsia="標楷體" w:hAnsi="標楷體"/>
                <w:color w:val="000000"/>
                <w:sz w:val="20"/>
                <w:szCs w:val="20"/>
              </w:rPr>
            </w:pPr>
          </w:p>
        </w:tc>
      </w:tr>
      <w:tr w:rsidR="00BD776B" w14:paraId="0FFDF976" w14:textId="77777777">
        <w:trPr>
          <w:cantSplit/>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FB43B" w14:textId="77777777" w:rsidR="00BD776B" w:rsidRDefault="00DF0C24">
            <w:pPr>
              <w:snapToGrid w:val="0"/>
              <w:spacing w:line="240" w:lineRule="exact"/>
            </w:pPr>
            <w:r>
              <w:rPr>
                <w:rFonts w:ascii="標楷體" w:eastAsia="標楷體" w:hAnsi="標楷體" w:cs="標楷體"/>
                <w:color w:val="000000"/>
                <w:sz w:val="20"/>
                <w:szCs w:val="20"/>
              </w:rPr>
              <w:t>身份證號</w:t>
            </w:r>
          </w:p>
        </w:tc>
        <w:tc>
          <w:tcPr>
            <w:tcW w:w="23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22995" w14:textId="77777777" w:rsidR="00BD776B" w:rsidRDefault="00BD776B">
            <w:pPr>
              <w:snapToGrid w:val="0"/>
              <w:spacing w:line="240" w:lineRule="exact"/>
              <w:rPr>
                <w:rFonts w:ascii="標楷體" w:eastAsia="標楷體" w:hAnsi="標楷體"/>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1ED0E" w14:textId="77777777" w:rsidR="00BD776B" w:rsidRDefault="00DF0C24">
            <w:pPr>
              <w:snapToGrid w:val="0"/>
              <w:spacing w:line="240" w:lineRule="exact"/>
            </w:pPr>
            <w:r>
              <w:rPr>
                <w:rFonts w:ascii="標楷體" w:eastAsia="標楷體" w:hAnsi="標楷體" w:cs="標楷體"/>
                <w:color w:val="000000"/>
                <w:sz w:val="20"/>
                <w:szCs w:val="20"/>
              </w:rPr>
              <w:t>病歷號碼</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00735" w14:textId="77777777" w:rsidR="00BD776B" w:rsidRDefault="00BD776B">
            <w:pPr>
              <w:snapToGrid w:val="0"/>
              <w:spacing w:line="240" w:lineRule="exact"/>
              <w:rPr>
                <w:rFonts w:ascii="標楷體" w:eastAsia="標楷體" w:hAnsi="標楷體"/>
                <w:color w:val="000000"/>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913CEA" w14:textId="77777777" w:rsidR="00BD776B" w:rsidRDefault="00DF0C24">
            <w:pPr>
              <w:snapToGrid w:val="0"/>
              <w:spacing w:line="240" w:lineRule="exact"/>
              <w:jc w:val="center"/>
            </w:pPr>
            <w:r>
              <w:rPr>
                <w:rFonts w:ascii="標楷體" w:eastAsia="標楷體" w:hAnsi="標楷體" w:cs="標楷體"/>
                <w:sz w:val="20"/>
                <w:szCs w:val="20"/>
              </w:rPr>
              <w:t>使用期間</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AD3D9" w14:textId="77777777" w:rsidR="00BD776B" w:rsidRDefault="00DF0C24">
            <w:pPr>
              <w:snapToGrid w:val="0"/>
              <w:spacing w:line="240" w:lineRule="exact"/>
            </w:pPr>
            <w:r>
              <w:rPr>
                <w:rFonts w:ascii="標楷體" w:eastAsia="標楷體" w:hAnsi="標楷體" w:cs="標楷體"/>
                <w:color w:val="000000"/>
                <w:sz w:val="20"/>
                <w:szCs w:val="20"/>
              </w:rPr>
              <w:t>自年月日</w:t>
            </w:r>
          </w:p>
        </w:tc>
      </w:tr>
      <w:tr w:rsidR="00BD776B" w14:paraId="248B9E0D" w14:textId="77777777">
        <w:trPr>
          <w:cantSplit/>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7DE3D" w14:textId="77777777" w:rsidR="00BD776B" w:rsidRDefault="00DF0C24">
            <w:pPr>
              <w:snapToGrid w:val="0"/>
              <w:spacing w:line="240" w:lineRule="exact"/>
            </w:pPr>
            <w:r>
              <w:rPr>
                <w:rFonts w:ascii="標楷體" w:eastAsia="標楷體" w:hAnsi="標楷體" w:cs="標楷體"/>
                <w:color w:val="000000"/>
                <w:sz w:val="20"/>
                <w:szCs w:val="20"/>
              </w:rPr>
              <w:t>藥品代碼</w:t>
            </w:r>
          </w:p>
        </w:tc>
        <w:tc>
          <w:tcPr>
            <w:tcW w:w="23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590BE" w14:textId="77777777" w:rsidR="00BD776B" w:rsidRDefault="00BD776B">
            <w:pPr>
              <w:snapToGrid w:val="0"/>
              <w:spacing w:line="240" w:lineRule="exact"/>
              <w:rPr>
                <w:rFonts w:ascii="標楷體" w:eastAsia="標楷體" w:hAnsi="標楷體"/>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EA6E9" w14:textId="77777777" w:rsidR="00BD776B" w:rsidRDefault="00DF0C24">
            <w:pPr>
              <w:snapToGrid w:val="0"/>
              <w:spacing w:line="240" w:lineRule="exact"/>
            </w:pPr>
            <w:r>
              <w:rPr>
                <w:rFonts w:ascii="標楷體" w:eastAsia="標楷體" w:hAnsi="標楷體" w:cs="標楷體"/>
                <w:color w:val="000000"/>
                <w:sz w:val="20"/>
                <w:szCs w:val="20"/>
              </w:rPr>
              <w:t>用法用量</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602F9" w14:textId="77777777" w:rsidR="00BD776B" w:rsidRDefault="00BD776B">
            <w:pPr>
              <w:snapToGrid w:val="0"/>
              <w:spacing w:line="240" w:lineRule="exact"/>
              <w:rPr>
                <w:rFonts w:ascii="標楷體" w:eastAsia="標楷體" w:hAnsi="標楷體"/>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7CEB7E" w14:textId="77777777" w:rsidR="00BD776B" w:rsidRDefault="00BD776B">
            <w:pPr>
              <w:snapToGrid w:val="0"/>
              <w:spacing w:line="240" w:lineRule="exact"/>
              <w:rPr>
                <w:rFonts w:ascii="標楷體" w:eastAsia="標楷體" w:hAnsi="標楷體"/>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2FCDE" w14:textId="77777777" w:rsidR="00BD776B" w:rsidRDefault="00DF0C24">
            <w:pPr>
              <w:snapToGrid w:val="0"/>
              <w:spacing w:line="240" w:lineRule="exact"/>
            </w:pPr>
            <w:r>
              <w:rPr>
                <w:rFonts w:ascii="標楷體" w:eastAsia="標楷體" w:hAnsi="標楷體" w:cs="標楷體"/>
                <w:color w:val="000000"/>
                <w:sz w:val="20"/>
                <w:szCs w:val="20"/>
              </w:rPr>
              <w:t>至年月日</w:t>
            </w:r>
          </w:p>
        </w:tc>
      </w:tr>
      <w:tr w:rsidR="00BD776B" w14:paraId="67A43661" w14:textId="77777777">
        <w:trPr>
          <w:cantSplit/>
        </w:trPr>
        <w:tc>
          <w:tcPr>
            <w:tcW w:w="966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B248D" w14:textId="77777777" w:rsidR="00BD776B" w:rsidRDefault="00DF0C24">
            <w:pPr>
              <w:snapToGrid w:val="0"/>
              <w:spacing w:line="360" w:lineRule="exact"/>
              <w:rPr>
                <w:rFonts w:ascii="標楷體" w:eastAsia="標楷體" w:hAnsi="標楷體"/>
                <w:sz w:val="28"/>
                <w:szCs w:val="28"/>
              </w:rPr>
            </w:pPr>
            <w:r>
              <w:rPr>
                <w:rFonts w:ascii="標楷體" w:eastAsia="標楷體" w:hAnsi="標楷體"/>
                <w:sz w:val="28"/>
                <w:szCs w:val="28"/>
              </w:rPr>
              <w:t>□符合曾經接受抗腫瘤壞死因子拮抗劑治療，但未達療效（請附治療前後關節腫脹之相關照片或關節X光檢查報告）</w:t>
            </w:r>
          </w:p>
          <w:p w14:paraId="46F6082B" w14:textId="77777777" w:rsidR="00BD776B" w:rsidRDefault="00DF0C24">
            <w:pPr>
              <w:snapToGrid w:val="0"/>
              <w:spacing w:line="360" w:lineRule="exact"/>
              <w:ind w:left="480"/>
            </w:pPr>
            <w:r>
              <w:rPr>
                <w:rFonts w:ascii="標楷體" w:eastAsia="標楷體" w:hAnsi="標楷體" w:cs="Webdings"/>
              </w:rPr>
              <w:t></w:t>
            </w:r>
            <w:r>
              <w:rPr>
                <w:rFonts w:ascii="標楷體" w:eastAsia="標楷體" w:hAnsi="標楷體"/>
              </w:rPr>
              <w:t>Etanercept</w:t>
            </w:r>
            <w:r>
              <w:rPr>
                <w:rFonts w:ascii="標楷體" w:eastAsia="標楷體" w:hAnsi="標楷體"/>
                <w:u w:val="single"/>
              </w:rPr>
              <w:t xml:space="preserve">　　　</w:t>
            </w:r>
            <w:r>
              <w:rPr>
                <w:rFonts w:ascii="標楷體" w:eastAsia="標楷體" w:hAnsi="標楷體"/>
              </w:rPr>
              <w:t>mg/week</w:t>
            </w:r>
          </w:p>
        </w:tc>
      </w:tr>
      <w:tr w:rsidR="00BD776B" w14:paraId="0A579B81" w14:textId="77777777">
        <w:trPr>
          <w:trHeight w:val="315"/>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27F" w14:textId="77777777" w:rsidR="00BD776B" w:rsidRDefault="00BD776B">
            <w:pPr>
              <w:snapToGrid w:val="0"/>
              <w:rPr>
                <w:rFonts w:ascii="標楷體" w:eastAsia="標楷體" w:hAnsi="標楷體"/>
                <w:color w:val="000000"/>
                <w:sz w:val="20"/>
                <w:szCs w:val="20"/>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33441" w14:textId="77777777" w:rsidR="00BD776B" w:rsidRDefault="00DF0C24">
            <w:pPr>
              <w:snapToGrid w:val="0"/>
            </w:pPr>
            <w:r>
              <w:rPr>
                <w:rFonts w:ascii="標楷體" w:eastAsia="標楷體" w:hAnsi="標楷體" w:cs="標楷體"/>
                <w:color w:val="000000"/>
                <w:sz w:val="20"/>
                <w:szCs w:val="20"/>
              </w:rPr>
              <w:t>評估時間____年____月____日</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A4D1" w14:textId="77777777" w:rsidR="00BD776B" w:rsidRDefault="00DF0C24">
            <w:pPr>
              <w:snapToGrid w:val="0"/>
            </w:pPr>
            <w:r>
              <w:rPr>
                <w:rFonts w:ascii="標楷體" w:eastAsia="標楷體" w:hAnsi="標楷體" w:cs="標楷體"/>
                <w:color w:val="000000"/>
                <w:sz w:val="20"/>
                <w:szCs w:val="20"/>
              </w:rPr>
              <w:t>評估時間____年____月____日</w:t>
            </w:r>
          </w:p>
        </w:tc>
      </w:tr>
      <w:tr w:rsidR="00BD776B" w14:paraId="23AD75B4" w14:textId="77777777">
        <w:trPr>
          <w:cantSplit/>
          <w:trHeight w:val="980"/>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55278" w14:textId="77777777" w:rsidR="00BD776B" w:rsidRDefault="00DF0C24">
            <w:pPr>
              <w:snapToGrid w:val="0"/>
            </w:pPr>
            <w:r>
              <w:rPr>
                <w:rFonts w:ascii="標楷體" w:eastAsia="標楷體" w:hAnsi="標楷體" w:cs="標楷體"/>
                <w:color w:val="000000"/>
              </w:rPr>
              <w:t>腫脹關節</w:t>
            </w:r>
          </w:p>
          <w:p w14:paraId="27699EAF" w14:textId="77777777" w:rsidR="00BD776B" w:rsidRDefault="00BD776B">
            <w:pPr>
              <w:snapToGrid w:val="0"/>
              <w:rPr>
                <w:rFonts w:ascii="標楷體" w:eastAsia="標楷體" w:hAnsi="標楷體"/>
                <w:color w:val="000000"/>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9784B" w14:textId="77777777" w:rsidR="00BD776B" w:rsidRDefault="00DF0C24">
            <w:pPr>
              <w:snapToGrid w:val="0"/>
            </w:pPr>
            <w:r>
              <w:rPr>
                <w:rFonts w:ascii="標楷體" w:eastAsia="標楷體" w:hAnsi="標楷體" w:cs="標楷體"/>
                <w:color w:val="000000"/>
              </w:rPr>
              <w:t>請詳列關節於下</w:t>
            </w:r>
          </w:p>
          <w:p w14:paraId="12888B1F" w14:textId="77777777" w:rsidR="00BD776B" w:rsidRDefault="00BD776B">
            <w:pPr>
              <w:snapToGrid w:val="0"/>
              <w:rPr>
                <w:rFonts w:ascii="標楷體" w:eastAsia="標楷體" w:hAnsi="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DEEBE" w14:textId="77777777" w:rsidR="00BD776B" w:rsidRDefault="00DF0C24">
            <w:pPr>
              <w:snapToGrid w:val="0"/>
            </w:pPr>
            <w:r>
              <w:rPr>
                <w:rFonts w:ascii="標楷體" w:eastAsia="標楷體" w:hAnsi="標楷體" w:cs="標楷體"/>
                <w:color w:val="000000"/>
              </w:rPr>
              <w:t>請詳列關節於下</w:t>
            </w:r>
          </w:p>
          <w:p w14:paraId="17CCB7A2" w14:textId="77777777" w:rsidR="00BD776B" w:rsidRDefault="00BD776B">
            <w:pPr>
              <w:snapToGrid w:val="0"/>
              <w:rPr>
                <w:rFonts w:ascii="標楷體" w:eastAsia="標楷體" w:hAnsi="標楷體"/>
                <w:color w:val="000000"/>
              </w:rPr>
            </w:pPr>
          </w:p>
        </w:tc>
      </w:tr>
      <w:tr w:rsidR="00BD776B" w14:paraId="63AE19E9" w14:textId="77777777">
        <w:trPr>
          <w:cantSplit/>
          <w:trHeight w:val="1078"/>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9488A" w14:textId="77777777" w:rsidR="00BD776B" w:rsidRDefault="00DF0C24">
            <w:pPr>
              <w:snapToGrid w:val="0"/>
            </w:pPr>
            <w:r>
              <w:rPr>
                <w:rFonts w:ascii="標楷體" w:eastAsia="標楷體" w:hAnsi="標楷體" w:cs="標楷體"/>
                <w:color w:val="000000"/>
              </w:rPr>
              <w:t>疼痛或壓痛關節</w:t>
            </w:r>
          </w:p>
          <w:p w14:paraId="3DB0C148" w14:textId="77777777" w:rsidR="00BD776B" w:rsidRDefault="00BD776B">
            <w:pPr>
              <w:snapToGrid w:val="0"/>
              <w:rPr>
                <w:rFonts w:ascii="標楷體" w:eastAsia="標楷體" w:hAnsi="標楷體"/>
                <w:color w:val="000000"/>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B741" w14:textId="77777777" w:rsidR="00BD776B" w:rsidRDefault="00DF0C24">
            <w:pPr>
              <w:snapToGrid w:val="0"/>
            </w:pPr>
            <w:r>
              <w:rPr>
                <w:rFonts w:ascii="標楷體" w:eastAsia="標楷體" w:hAnsi="標楷體" w:cs="標楷體"/>
                <w:color w:val="000000"/>
              </w:rPr>
              <w:t>請詳列關節於下</w:t>
            </w:r>
          </w:p>
          <w:p w14:paraId="60CA191F" w14:textId="77777777" w:rsidR="00BD776B" w:rsidRDefault="00BD776B">
            <w:pPr>
              <w:snapToGrid w:val="0"/>
              <w:rPr>
                <w:rFonts w:ascii="標楷體" w:eastAsia="標楷體" w:hAnsi="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2924D" w14:textId="77777777" w:rsidR="00BD776B" w:rsidRDefault="00DF0C24">
            <w:pPr>
              <w:snapToGrid w:val="0"/>
            </w:pPr>
            <w:r>
              <w:rPr>
                <w:rFonts w:ascii="標楷體" w:eastAsia="標楷體" w:hAnsi="標楷體" w:cs="標楷體"/>
                <w:color w:val="000000"/>
              </w:rPr>
              <w:t>請詳列關節於下</w:t>
            </w:r>
          </w:p>
          <w:p w14:paraId="63237E38" w14:textId="77777777" w:rsidR="00BD776B" w:rsidRDefault="00BD776B">
            <w:pPr>
              <w:snapToGrid w:val="0"/>
              <w:rPr>
                <w:rFonts w:ascii="標楷體" w:eastAsia="標楷體" w:hAnsi="標楷體"/>
                <w:color w:val="000000"/>
              </w:rPr>
            </w:pPr>
          </w:p>
        </w:tc>
      </w:tr>
      <w:tr w:rsidR="00BD776B" w14:paraId="3B522363" w14:textId="77777777">
        <w:trPr>
          <w:cantSplit/>
          <w:trHeight w:val="1064"/>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4EB3E" w14:textId="77777777" w:rsidR="00BD776B" w:rsidRDefault="00DF0C24">
            <w:pPr>
              <w:snapToGrid w:val="0"/>
            </w:pPr>
            <w:r>
              <w:rPr>
                <w:rFonts w:ascii="標楷體" w:eastAsia="標楷體" w:hAnsi="標楷體" w:cs="標楷體"/>
                <w:color w:val="000000"/>
              </w:rPr>
              <w:t>活動範圍受到限制關節</w:t>
            </w:r>
          </w:p>
          <w:p w14:paraId="08617D12" w14:textId="77777777" w:rsidR="00BD776B" w:rsidRDefault="00BD776B">
            <w:pPr>
              <w:snapToGrid w:val="0"/>
              <w:rPr>
                <w:rFonts w:ascii="標楷體" w:eastAsia="標楷體" w:hAnsi="標楷體"/>
                <w:color w:val="000000"/>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7E353" w14:textId="77777777" w:rsidR="00BD776B" w:rsidRDefault="00DF0C24">
            <w:pPr>
              <w:snapToGrid w:val="0"/>
            </w:pPr>
            <w:r>
              <w:rPr>
                <w:rFonts w:ascii="標楷體" w:eastAsia="標楷體" w:hAnsi="標楷體" w:cs="標楷體"/>
                <w:color w:val="000000"/>
              </w:rPr>
              <w:t>請詳列關節於下</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89B15" w14:textId="77777777" w:rsidR="00BD776B" w:rsidRDefault="00DF0C24">
            <w:pPr>
              <w:snapToGrid w:val="0"/>
            </w:pPr>
            <w:r>
              <w:rPr>
                <w:rFonts w:ascii="標楷體" w:eastAsia="標楷體" w:hAnsi="標楷體" w:cs="標楷體"/>
                <w:color w:val="000000"/>
              </w:rPr>
              <w:t>請詳列關節於下</w:t>
            </w:r>
          </w:p>
        </w:tc>
      </w:tr>
      <w:tr w:rsidR="00BD776B" w14:paraId="13D4E97F" w14:textId="77777777">
        <w:trPr>
          <w:cantSplit/>
          <w:trHeight w:val="632"/>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244DA0" w14:textId="77777777" w:rsidR="00BD776B" w:rsidRDefault="00DF0C24">
            <w:pPr>
              <w:snapToGrid w:val="0"/>
            </w:pPr>
            <w:r>
              <w:rPr>
                <w:rFonts w:ascii="標楷體" w:eastAsia="標楷體" w:hAnsi="標楷體" w:cs="標楷體"/>
                <w:color w:val="000000"/>
              </w:rPr>
              <w:t>腫脹關節的總數</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2E9F6" w14:textId="77777777" w:rsidR="00BD776B" w:rsidRDefault="00BD776B">
            <w:pPr>
              <w:snapToGrid w:val="0"/>
              <w:rPr>
                <w:rFonts w:ascii="標楷體" w:eastAsia="標楷體" w:hAnsi="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65F5B" w14:textId="77777777" w:rsidR="00BD776B" w:rsidRDefault="00BD776B">
            <w:pPr>
              <w:snapToGrid w:val="0"/>
              <w:rPr>
                <w:rFonts w:ascii="標楷體" w:eastAsia="標楷體" w:hAnsi="標楷體"/>
                <w:color w:val="000000"/>
              </w:rPr>
            </w:pPr>
          </w:p>
        </w:tc>
      </w:tr>
      <w:tr w:rsidR="00BD776B" w14:paraId="46133824" w14:textId="77777777">
        <w:trPr>
          <w:cantSplit/>
          <w:trHeight w:val="708"/>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E72E5" w14:textId="77777777" w:rsidR="00BD776B" w:rsidRDefault="00DF0C24">
            <w:pPr>
              <w:snapToGrid w:val="0"/>
            </w:pPr>
            <w:r>
              <w:rPr>
                <w:rFonts w:ascii="標楷體" w:eastAsia="標楷體" w:hAnsi="標楷體" w:cs="標楷體"/>
                <w:color w:val="000000"/>
              </w:rPr>
              <w:t>疼痛或壓痛關節的總數</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A9927" w14:textId="77777777" w:rsidR="00BD776B" w:rsidRDefault="00BD776B">
            <w:pPr>
              <w:snapToGrid w:val="0"/>
              <w:rPr>
                <w:rFonts w:ascii="標楷體" w:eastAsia="標楷體" w:hAnsi="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3E76" w14:textId="77777777" w:rsidR="00BD776B" w:rsidRDefault="00BD776B">
            <w:pPr>
              <w:snapToGrid w:val="0"/>
              <w:rPr>
                <w:rFonts w:ascii="標楷體" w:eastAsia="標楷體" w:hAnsi="標楷體"/>
                <w:color w:val="000000"/>
              </w:rPr>
            </w:pPr>
          </w:p>
        </w:tc>
      </w:tr>
      <w:tr w:rsidR="00BD776B" w14:paraId="7B5F5E85" w14:textId="77777777">
        <w:trPr>
          <w:cantSplit/>
          <w:trHeight w:val="360"/>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9FE8" w14:textId="77777777" w:rsidR="00BD776B" w:rsidRDefault="00DF0C24">
            <w:pPr>
              <w:snapToGrid w:val="0"/>
            </w:pPr>
            <w:r>
              <w:rPr>
                <w:rFonts w:ascii="標楷體" w:eastAsia="標楷體" w:hAnsi="標楷體" w:cs="標楷體"/>
                <w:color w:val="000000"/>
              </w:rPr>
              <w:t>活動範圍受到限制的關節總數</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C7787" w14:textId="77777777" w:rsidR="00BD776B" w:rsidRDefault="00BD776B">
            <w:pPr>
              <w:snapToGrid w:val="0"/>
              <w:rPr>
                <w:rFonts w:ascii="標楷體" w:eastAsia="標楷體" w:hAnsi="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22D44" w14:textId="77777777" w:rsidR="00BD776B" w:rsidRDefault="00BD776B">
            <w:pPr>
              <w:snapToGrid w:val="0"/>
              <w:rPr>
                <w:rFonts w:ascii="標楷體" w:eastAsia="標楷體" w:hAnsi="標楷體"/>
                <w:color w:val="000000"/>
              </w:rPr>
            </w:pPr>
          </w:p>
        </w:tc>
      </w:tr>
      <w:tr w:rsidR="00BD776B" w14:paraId="2B4F8C59" w14:textId="77777777">
        <w:trPr>
          <w:cantSplit/>
          <w:trHeight w:val="614"/>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A05D6" w14:textId="77777777" w:rsidR="00BD776B" w:rsidRDefault="00DF0C24">
            <w:pPr>
              <w:snapToGrid w:val="0"/>
            </w:pPr>
            <w:r>
              <w:rPr>
                <w:rFonts w:ascii="標楷體" w:eastAsia="標楷體" w:hAnsi="標楷體" w:cs="標楷體"/>
                <w:color w:val="000000"/>
              </w:rPr>
              <w:t>醫師的整體評估</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E9D69" w14:textId="77777777" w:rsidR="00BD776B" w:rsidRDefault="00BD776B">
            <w:pPr>
              <w:snapToGrid w:val="0"/>
              <w:rPr>
                <w:rFonts w:ascii="標楷體" w:eastAsia="標楷體" w:hAnsi="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9A799" w14:textId="77777777" w:rsidR="00BD776B" w:rsidRDefault="00BD776B">
            <w:pPr>
              <w:snapToGrid w:val="0"/>
              <w:rPr>
                <w:rFonts w:ascii="標楷體" w:eastAsia="標楷體" w:hAnsi="標楷體"/>
                <w:color w:val="000000"/>
              </w:rPr>
            </w:pPr>
          </w:p>
        </w:tc>
      </w:tr>
      <w:tr w:rsidR="00BD776B" w14:paraId="0F6992C0" w14:textId="77777777">
        <w:trPr>
          <w:trHeight w:val="553"/>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7FE3C" w14:textId="77777777" w:rsidR="00BD776B" w:rsidRDefault="00DF0C24">
            <w:pPr>
              <w:snapToGrid w:val="0"/>
            </w:pPr>
            <w:r>
              <w:rPr>
                <w:rFonts w:ascii="標楷體" w:eastAsia="標楷體" w:hAnsi="標楷體"/>
                <w:color w:val="000000"/>
              </w:rPr>
              <w:t>紅血球沈降速率(ESR)</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11DB7" w14:textId="77777777" w:rsidR="00BD776B" w:rsidRDefault="00BD776B">
            <w:pPr>
              <w:snapToGrid w:val="0"/>
              <w:rPr>
                <w:rFonts w:ascii="標楷體" w:eastAsia="標楷體" w:hAnsi="標楷體" w:cs="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DA7C3" w14:textId="77777777" w:rsidR="00BD776B" w:rsidRDefault="00BD776B">
            <w:pPr>
              <w:snapToGrid w:val="0"/>
              <w:rPr>
                <w:rFonts w:ascii="標楷體" w:eastAsia="標楷體" w:hAnsi="標楷體" w:cs="標楷體"/>
                <w:color w:val="000000"/>
              </w:rPr>
            </w:pPr>
          </w:p>
        </w:tc>
      </w:tr>
      <w:tr w:rsidR="00BD776B" w14:paraId="062819C1" w14:textId="77777777">
        <w:trPr>
          <w:trHeight w:val="716"/>
        </w:trPr>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F77FD" w14:textId="77777777" w:rsidR="00BD776B" w:rsidRDefault="00DF0C24">
            <w:pPr>
              <w:snapToGrid w:val="0"/>
              <w:rPr>
                <w:rFonts w:ascii="標楷體" w:eastAsia="標楷體" w:hAnsi="標楷體"/>
                <w:color w:val="000000"/>
              </w:rPr>
            </w:pPr>
            <w:r>
              <w:rPr>
                <w:rFonts w:ascii="標楷體" w:eastAsia="標楷體" w:hAnsi="標楷體"/>
                <w:color w:val="000000"/>
              </w:rPr>
              <w:t>CRP(mg/dL)</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B0426" w14:textId="77777777" w:rsidR="00BD776B" w:rsidRDefault="00BD776B">
            <w:pPr>
              <w:snapToGrid w:val="0"/>
              <w:rPr>
                <w:rFonts w:ascii="標楷體" w:eastAsia="標楷體" w:hAnsi="標楷體" w:cs="標楷體"/>
                <w:color w:val="000000"/>
              </w:rPr>
            </w:pP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AD41C" w14:textId="77777777" w:rsidR="00BD776B" w:rsidRDefault="00BD776B">
            <w:pPr>
              <w:snapToGrid w:val="0"/>
              <w:rPr>
                <w:rFonts w:ascii="標楷體" w:eastAsia="標楷體" w:hAnsi="標楷體" w:cs="標楷體"/>
                <w:color w:val="000000"/>
              </w:rPr>
            </w:pPr>
          </w:p>
        </w:tc>
      </w:tr>
      <w:tr w:rsidR="00BD776B" w14:paraId="44B19E05" w14:textId="77777777">
        <w:trPr>
          <w:trHeight w:val="277"/>
        </w:trPr>
        <w:tc>
          <w:tcPr>
            <w:tcW w:w="9667" w:type="dxa"/>
            <w:gridSpan w:val="9"/>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B70C3F3" w14:textId="77777777" w:rsidR="00BD776B" w:rsidRDefault="00DF0C24">
            <w:pPr>
              <w:snapToGrid w:val="0"/>
              <w:ind w:left="86"/>
              <w:jc w:val="both"/>
              <w:textAlignment w:val="center"/>
            </w:pPr>
            <w:r>
              <w:rPr>
                <w:rFonts w:ascii="標楷體" w:eastAsia="標楷體" w:hAnsi="標楷體" w:cs="Webdings"/>
                <w:sz w:val="28"/>
              </w:rPr>
              <w:t></w:t>
            </w:r>
            <w:r>
              <w:rPr>
                <w:rFonts w:ascii="標楷體" w:eastAsia="標楷體" w:hAnsi="標楷體"/>
                <w:sz w:val="28"/>
              </w:rPr>
              <w:t>符合腫瘤壞死因子(TNF)抑制療法無法耐受</w:t>
            </w:r>
            <w:r>
              <w:rPr>
                <w:rFonts w:ascii="標楷體" w:eastAsia="標楷體" w:hAnsi="標楷體"/>
                <w:sz w:val="28"/>
                <w:szCs w:val="28"/>
              </w:rPr>
              <w:t>(請檢附病歷影本)</w:t>
            </w:r>
          </w:p>
          <w:p w14:paraId="401A1C04" w14:textId="77777777" w:rsidR="00BD776B" w:rsidRDefault="00DF0C24">
            <w:pPr>
              <w:snapToGrid w:val="0"/>
            </w:pPr>
            <w:r>
              <w:rPr>
                <w:rFonts w:ascii="標楷體" w:eastAsia="標楷體" w:hAnsi="標楷體"/>
                <w:sz w:val="28"/>
              </w:rPr>
              <w:t>(</w:t>
            </w:r>
            <w:r>
              <w:rPr>
                <w:rFonts w:ascii="標楷體" w:eastAsia="標楷體" w:hAnsi="標楷體"/>
              </w:rPr>
              <w:t>請說明藥物引起不良反應之情形如副作用、發生TB或惡性腫瘤等)：</w:t>
            </w:r>
          </w:p>
        </w:tc>
      </w:tr>
      <w:tr w:rsidR="00BD776B" w14:paraId="0C2EC3F3" w14:textId="77777777">
        <w:trPr>
          <w:trHeight w:val="277"/>
        </w:trPr>
        <w:tc>
          <w:tcPr>
            <w:tcW w:w="9667" w:type="dxa"/>
            <w:gridSpan w:val="9"/>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7F41D" w14:textId="77777777" w:rsidR="00BD776B" w:rsidRDefault="00DF0C24">
            <w:pPr>
              <w:snapToGrid w:val="0"/>
              <w:ind w:left="329"/>
              <w:textAlignment w:val="center"/>
            </w:pPr>
            <w:r>
              <w:rPr>
                <w:rFonts w:ascii="標楷體" w:eastAsia="標楷體" w:hAnsi="標楷體" w:cs="Webdings"/>
              </w:rPr>
              <w:t></w:t>
            </w:r>
            <w:r>
              <w:rPr>
                <w:rFonts w:ascii="標楷體" w:eastAsia="標楷體" w:hAnsi="標楷體"/>
                <w:sz w:val="22"/>
              </w:rPr>
              <w:t>Etanercept</w:t>
            </w:r>
          </w:p>
          <w:p w14:paraId="652CF59E" w14:textId="77777777" w:rsidR="00BD776B" w:rsidRDefault="00DF0C24">
            <w:pPr>
              <w:snapToGrid w:val="0"/>
              <w:ind w:left="329"/>
              <w:textAlignment w:val="center"/>
            </w:pPr>
            <w:r>
              <w:rPr>
                <w:rFonts w:ascii="標楷體" w:eastAsia="標楷體" w:hAnsi="標楷體"/>
                <w:sz w:val="22"/>
                <w:u w:val="single"/>
              </w:rPr>
              <w:t xml:space="preserve">　　　</w:t>
            </w:r>
            <w:r>
              <w:rPr>
                <w:rFonts w:ascii="標楷體" w:eastAsia="標楷體" w:hAnsi="標楷體"/>
                <w:sz w:val="22"/>
              </w:rPr>
              <w:t>mg/week引起之不良事件:________________________________________________</w:t>
            </w:r>
          </w:p>
          <w:p w14:paraId="08D79C9F" w14:textId="77777777" w:rsidR="00BD776B" w:rsidRDefault="00DF0C24">
            <w:pPr>
              <w:snapToGrid w:val="0"/>
              <w:spacing w:line="360" w:lineRule="exact"/>
              <w:ind w:left="331"/>
              <w:textAlignment w:val="center"/>
              <w:rPr>
                <w:rFonts w:ascii="標楷體" w:eastAsia="標楷體" w:hAnsi="標楷體"/>
              </w:rPr>
            </w:pPr>
            <w:r>
              <w:rPr>
                <w:rFonts w:ascii="標楷體" w:eastAsia="標楷體" w:hAnsi="標楷體"/>
              </w:rPr>
              <w:t>___________________________________________</w:t>
            </w:r>
          </w:p>
          <w:p w14:paraId="52A03AA8" w14:textId="77777777" w:rsidR="00BD776B" w:rsidRDefault="00DF0C24">
            <w:pPr>
              <w:snapToGrid w:val="0"/>
              <w:spacing w:line="360" w:lineRule="exact"/>
              <w:ind w:left="331"/>
              <w:textAlignment w:val="center"/>
              <w:rPr>
                <w:rFonts w:ascii="標楷體" w:eastAsia="標楷體" w:hAnsi="標楷體"/>
              </w:rPr>
            </w:pPr>
            <w:r>
              <w:rPr>
                <w:rFonts w:ascii="標楷體" w:eastAsia="標楷體" w:hAnsi="標楷體"/>
              </w:rPr>
              <w:t>___________________________________________</w:t>
            </w:r>
          </w:p>
          <w:p w14:paraId="67F71007" w14:textId="77777777" w:rsidR="00BD776B" w:rsidRDefault="00BD776B">
            <w:pPr>
              <w:snapToGrid w:val="0"/>
              <w:spacing w:line="360" w:lineRule="exact"/>
              <w:ind w:left="331"/>
              <w:textAlignment w:val="center"/>
              <w:rPr>
                <w:rFonts w:ascii="標楷體" w:eastAsia="標楷體" w:hAnsi="標楷體"/>
              </w:rPr>
            </w:pPr>
          </w:p>
        </w:tc>
      </w:tr>
      <w:tr w:rsidR="00BD776B" w14:paraId="580EF807" w14:textId="77777777">
        <w:trPr>
          <w:trHeight w:val="526"/>
        </w:trPr>
        <w:tc>
          <w:tcPr>
            <w:tcW w:w="966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FE7DD" w14:textId="77777777" w:rsidR="00BD776B" w:rsidRDefault="00DF0C24">
            <w:pPr>
              <w:snapToGrid w:val="0"/>
              <w:textAlignment w:val="center"/>
            </w:pPr>
            <w:r>
              <w:rPr>
                <w:rFonts w:ascii="標楷體" w:eastAsia="標楷體" w:hAnsi="標楷體"/>
                <w:sz w:val="28"/>
              </w:rPr>
              <w:t>□符合「須排除或停止abatacept使用之情形」</w:t>
            </w:r>
          </w:p>
        </w:tc>
      </w:tr>
      <w:tr w:rsidR="00BD776B" w14:paraId="35C0F42E"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E105D"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3AD6A83C"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00E794" w14:textId="77777777" w:rsidR="00BD776B" w:rsidRDefault="00DF0C24">
            <w:pPr>
              <w:snapToGrid w:val="0"/>
              <w:spacing w:line="60" w:lineRule="atLeast"/>
              <w:jc w:val="both"/>
              <w:textAlignment w:val="center"/>
              <w:rPr>
                <w:rFonts w:ascii="標楷體" w:eastAsia="標楷體" w:hAnsi="標楷體"/>
                <w:sz w:val="22"/>
              </w:rPr>
            </w:pPr>
            <w:r>
              <w:rPr>
                <w:rFonts w:ascii="標楷體" w:eastAsia="標楷體" w:hAnsi="標楷體"/>
                <w:sz w:val="22"/>
              </w:rPr>
              <w:t>是否有abatacept仿單記載之禁忌情形。</w:t>
            </w:r>
          </w:p>
        </w:tc>
      </w:tr>
      <w:tr w:rsidR="00BD776B" w14:paraId="588866FD"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45344"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11DB2748"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7EA4E3" w14:textId="77777777" w:rsidR="00BD776B" w:rsidRDefault="00DF0C24">
            <w:pPr>
              <w:snapToGrid w:val="0"/>
              <w:spacing w:line="60" w:lineRule="atLeast"/>
              <w:jc w:val="both"/>
              <w:textAlignment w:val="center"/>
              <w:rPr>
                <w:rFonts w:ascii="標楷體" w:eastAsia="標楷體" w:hAnsi="標楷體"/>
                <w:sz w:val="22"/>
              </w:rPr>
            </w:pPr>
            <w:r>
              <w:rPr>
                <w:rFonts w:ascii="標楷體" w:eastAsia="標楷體" w:hAnsi="標楷體"/>
                <w:sz w:val="22"/>
              </w:rPr>
              <w:t>病患是否懷孕或正在授乳。</w:t>
            </w:r>
          </w:p>
        </w:tc>
      </w:tr>
      <w:tr w:rsidR="00BD776B" w14:paraId="2597F9A9"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3DF8A"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lastRenderedPageBreak/>
              <w:t>是</w:t>
            </w:r>
          </w:p>
          <w:p w14:paraId="58036CA0"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6B1882" w14:textId="77777777" w:rsidR="00BD776B" w:rsidRDefault="00DF0C24">
            <w:pPr>
              <w:widowControl/>
              <w:snapToGrid w:val="0"/>
              <w:jc w:val="both"/>
              <w:rPr>
                <w:rFonts w:ascii="標楷體" w:eastAsia="標楷體" w:hAnsi="標楷體"/>
                <w:sz w:val="22"/>
              </w:rPr>
            </w:pPr>
            <w:r>
              <w:rPr>
                <w:rFonts w:ascii="標楷體" w:eastAsia="標楷體" w:hAnsi="標楷體"/>
                <w:sz w:val="22"/>
              </w:rPr>
              <w:t>病患是否罹患活動性的感染症。</w:t>
            </w:r>
          </w:p>
        </w:tc>
      </w:tr>
      <w:tr w:rsidR="00BD776B" w14:paraId="0C9EEC03"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19858"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1F4E3A8B"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28A06B" w14:textId="77777777" w:rsidR="00BD776B" w:rsidRDefault="00DF0C24">
            <w:pPr>
              <w:widowControl/>
              <w:snapToGrid w:val="0"/>
              <w:jc w:val="both"/>
              <w:rPr>
                <w:rFonts w:ascii="標楷體" w:eastAsia="標楷體" w:hAnsi="標楷體"/>
                <w:sz w:val="22"/>
              </w:rPr>
            </w:pPr>
            <w:r>
              <w:rPr>
                <w:rFonts w:ascii="標楷體" w:eastAsia="標楷體" w:hAnsi="標楷體"/>
                <w:sz w:val="22"/>
              </w:rPr>
              <w:t>未經完整治療之結核病的患者（包括潛伏結核感染治療未達四週者，申請時應檢附潛伏結核感染篩檢紀錄及治療紀錄供審查）。</w:t>
            </w:r>
          </w:p>
        </w:tc>
      </w:tr>
      <w:tr w:rsidR="00BD776B" w14:paraId="519DD67A"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0D8FA"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3220B6E7"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58BB8" w14:textId="77777777" w:rsidR="00BD776B" w:rsidRDefault="00DF0C24">
            <w:pPr>
              <w:widowControl/>
              <w:snapToGrid w:val="0"/>
              <w:jc w:val="both"/>
              <w:rPr>
                <w:rFonts w:ascii="標楷體" w:eastAsia="標楷體" w:hAnsi="標楷體"/>
                <w:sz w:val="22"/>
              </w:rPr>
            </w:pPr>
            <w:r>
              <w:rPr>
                <w:rFonts w:ascii="標楷體" w:eastAsia="標楷體" w:hAnsi="標楷體"/>
                <w:sz w:val="22"/>
              </w:rPr>
              <w:t>病患身上是否帶有人工關節，罹患或先前曾罹患敗血症（sepsis）。</w:t>
            </w:r>
          </w:p>
        </w:tc>
      </w:tr>
      <w:tr w:rsidR="00BD776B" w14:paraId="2DA70C25"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9EED9"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5C8CBD38"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43E4A3" w14:textId="77777777" w:rsidR="00BD776B" w:rsidRDefault="00DF0C24">
            <w:pPr>
              <w:widowControl/>
              <w:snapToGrid w:val="0"/>
              <w:jc w:val="both"/>
              <w:rPr>
                <w:rFonts w:ascii="標楷體" w:eastAsia="標楷體" w:hAnsi="標楷體"/>
                <w:sz w:val="22"/>
              </w:rPr>
            </w:pPr>
            <w:r>
              <w:rPr>
                <w:rFonts w:ascii="標楷體" w:eastAsia="標楷體" w:hAnsi="標楷體"/>
                <w:sz w:val="22"/>
              </w:rPr>
              <w:t>病患是否罹患惡性腫瘤或具有癌症前兆（pre-malignancy）。</w:t>
            </w:r>
          </w:p>
        </w:tc>
      </w:tr>
      <w:tr w:rsidR="00BD776B" w14:paraId="33625C71"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9B37E"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49B7D0A0"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B5AAD" w14:textId="77777777" w:rsidR="00BD776B" w:rsidRDefault="00DF0C24">
            <w:pPr>
              <w:widowControl/>
              <w:snapToGrid w:val="0"/>
              <w:jc w:val="both"/>
              <w:rPr>
                <w:rFonts w:ascii="標楷體" w:eastAsia="標楷體" w:hAnsi="標楷體"/>
                <w:sz w:val="22"/>
              </w:rPr>
            </w:pPr>
            <w:r>
              <w:rPr>
                <w:rFonts w:ascii="標楷體" w:eastAsia="標楷體" w:hAnsi="標楷體"/>
                <w:sz w:val="22"/>
              </w:rPr>
              <w:t>病患是否有免疫功能不全。</w:t>
            </w:r>
          </w:p>
        </w:tc>
      </w:tr>
      <w:tr w:rsidR="00BD776B" w14:paraId="5D6A7C59"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11A5D"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76DD4E47"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0FA99" w14:textId="77777777" w:rsidR="00BD776B" w:rsidRDefault="00DF0C24">
            <w:pPr>
              <w:widowControl/>
              <w:snapToGrid w:val="0"/>
              <w:jc w:val="both"/>
              <w:rPr>
                <w:rFonts w:ascii="標楷體" w:eastAsia="標楷體" w:hAnsi="標楷體"/>
                <w:sz w:val="22"/>
              </w:rPr>
            </w:pPr>
            <w:r>
              <w:rPr>
                <w:rFonts w:ascii="標楷體" w:eastAsia="標楷體" w:hAnsi="標楷體"/>
                <w:sz w:val="22"/>
              </w:rPr>
              <w:t>使用abatacept療效不彰：經過6個月治療後，未達療效反應標準或有惡化現象。</w:t>
            </w:r>
          </w:p>
        </w:tc>
      </w:tr>
      <w:tr w:rsidR="00BD776B" w14:paraId="3FCF98B3" w14:textId="77777777">
        <w:trPr>
          <w:trHeight w:val="277"/>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4815"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是</w:t>
            </w:r>
          </w:p>
          <w:p w14:paraId="52A74118" w14:textId="77777777" w:rsidR="00BD776B" w:rsidRDefault="00DF0C24" w:rsidP="008A7063">
            <w:pPr>
              <w:numPr>
                <w:ilvl w:val="0"/>
                <w:numId w:val="84"/>
              </w:numPr>
              <w:tabs>
                <w:tab w:val="left" w:pos="425"/>
              </w:tabs>
              <w:snapToGrid w:val="0"/>
              <w:spacing w:line="60" w:lineRule="atLeast"/>
              <w:ind w:left="1384" w:hanging="333"/>
              <w:textAlignment w:val="center"/>
              <w:rPr>
                <w:rFonts w:ascii="標楷體" w:eastAsia="標楷體" w:hAnsi="標楷體"/>
                <w:sz w:val="22"/>
              </w:rPr>
            </w:pPr>
            <w:r>
              <w:rPr>
                <w:rFonts w:ascii="標楷體" w:eastAsia="標楷體" w:hAnsi="標楷體"/>
                <w:sz w:val="22"/>
              </w:rPr>
              <w:t>否</w:t>
            </w:r>
          </w:p>
        </w:tc>
        <w:tc>
          <w:tcPr>
            <w:tcW w:w="730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790C09" w14:textId="77777777" w:rsidR="00BD776B" w:rsidRDefault="00DF0C24">
            <w:pPr>
              <w:widowControl/>
              <w:snapToGrid w:val="0"/>
              <w:jc w:val="both"/>
              <w:rPr>
                <w:rFonts w:ascii="標楷體" w:eastAsia="標楷體" w:hAnsi="標楷體"/>
                <w:sz w:val="22"/>
              </w:rPr>
            </w:pPr>
            <w:r>
              <w:rPr>
                <w:rFonts w:ascii="標楷體" w:eastAsia="標楷體" w:hAnsi="標楷體"/>
                <w:sz w:val="22"/>
              </w:rPr>
              <w:t>使用abatacept發生懷孕或不良事件(包括：惡性腫瘤、該藥物引起的嚴重毒性、嚴重的感染性疾病)。</w:t>
            </w:r>
          </w:p>
        </w:tc>
      </w:tr>
    </w:tbl>
    <w:p w14:paraId="1A21E65E" w14:textId="77777777" w:rsidR="00BD776B" w:rsidRDefault="00BD776B">
      <w:pPr>
        <w:snapToGrid w:val="0"/>
        <w:spacing w:line="360" w:lineRule="exact"/>
        <w:jc w:val="center"/>
        <w:rPr>
          <w:rFonts w:ascii="標楷體" w:eastAsia="標楷體" w:hAnsi="標楷體"/>
          <w:color w:val="000000"/>
          <w:sz w:val="32"/>
          <w:szCs w:val="32"/>
        </w:rPr>
      </w:pPr>
    </w:p>
    <w:p w14:paraId="218F67BC" w14:textId="77777777" w:rsidR="00BD776B" w:rsidRDefault="00BD776B">
      <w:pPr>
        <w:snapToGrid w:val="0"/>
        <w:spacing w:line="360" w:lineRule="exact"/>
        <w:jc w:val="center"/>
        <w:rPr>
          <w:rFonts w:ascii="標楷體" w:eastAsia="標楷體" w:hAnsi="標楷體"/>
          <w:color w:val="000000"/>
        </w:rPr>
      </w:pPr>
    </w:p>
    <w:p w14:paraId="158B6AFF" w14:textId="77777777" w:rsidR="00BD776B" w:rsidRDefault="00DF0C24">
      <w:pPr>
        <w:snapToGrid w:val="0"/>
      </w:pPr>
      <w:r>
        <w:rPr>
          <w:rFonts w:ascii="標楷體" w:eastAsia="標楷體" w:hAnsi="標楷體" w:cs="標楷體"/>
          <w:color w:val="000000"/>
        </w:rPr>
        <w:t>申請醫師(簽名蓋章)：</w:t>
      </w:r>
    </w:p>
    <w:p w14:paraId="209467FE" w14:textId="77777777" w:rsidR="00BD776B" w:rsidRDefault="00DF0C24">
      <w:pPr>
        <w:snapToGrid w:val="0"/>
      </w:pPr>
      <w:r>
        <w:rPr>
          <w:rFonts w:ascii="標楷體" w:eastAsia="標楷體" w:hAnsi="標楷體" w:cs="標楷體"/>
          <w:color w:val="000000"/>
        </w:rPr>
        <w:t>內科專科醫師證書：內專醫字第號</w:t>
      </w:r>
    </w:p>
    <w:p w14:paraId="78664D51" w14:textId="77777777" w:rsidR="00BD776B" w:rsidRDefault="00DF0C24">
      <w:pPr>
        <w:snapToGrid w:val="0"/>
      </w:pPr>
      <w:r>
        <w:rPr>
          <w:rFonts w:ascii="標楷體" w:eastAsia="標楷體" w:hAnsi="標楷體" w:cs="標楷體"/>
          <w:color w:val="000000"/>
        </w:rPr>
        <w:t>風濕病專科醫師證書：中僂專醫字第號醫事機構章戳：</w:t>
      </w:r>
    </w:p>
    <w:p w14:paraId="07B118A9" w14:textId="77777777" w:rsidR="00BD776B" w:rsidRDefault="00DF0C24">
      <w:pPr>
        <w:snapToGrid w:val="0"/>
      </w:pPr>
      <w:r>
        <w:rPr>
          <w:rFonts w:ascii="標楷體" w:eastAsia="標楷體" w:hAnsi="標楷體" w:cs="標楷體"/>
          <w:color w:val="000000"/>
        </w:rPr>
        <w:t>小兒科專科醫師證書：兒專醫字第號</w:t>
      </w:r>
    </w:p>
    <w:p w14:paraId="300BC52A" w14:textId="77777777" w:rsidR="00BD776B" w:rsidRDefault="00DF0C24">
      <w:pPr>
        <w:snapToGrid w:val="0"/>
      </w:pPr>
      <w:r>
        <w:rPr>
          <w:rFonts w:ascii="標楷體" w:eastAsia="標楷體" w:hAnsi="標楷體" w:cs="標楷體"/>
          <w:color w:val="000000"/>
        </w:rPr>
        <w:t>小兒過敏免疫專科醫師證書:專醫字第號</w:t>
      </w:r>
    </w:p>
    <w:p w14:paraId="4E97B7D2" w14:textId="77777777" w:rsidR="00BD776B" w:rsidRDefault="00BD776B">
      <w:pPr>
        <w:pageBreakBefore/>
        <w:widowControl/>
        <w:suppressAutoHyphens w:val="0"/>
        <w:rPr>
          <w:rFonts w:ascii="標楷體" w:eastAsia="標楷體" w:hAnsi="標楷體"/>
          <w:color w:val="000000"/>
        </w:rPr>
      </w:pPr>
    </w:p>
    <w:p w14:paraId="2D73CBC8" w14:textId="77777777" w:rsidR="00BD776B" w:rsidRDefault="00DF0C24">
      <w:pPr>
        <w:widowControl/>
        <w:suppressAutoHyphens w:val="0"/>
        <w:jc w:val="center"/>
        <w:rPr>
          <w:rFonts w:ascii="標楷體" w:eastAsia="標楷體" w:hAnsi="標楷體"/>
          <w:b/>
          <w:bCs/>
          <w:color w:val="000000"/>
          <w:sz w:val="28"/>
          <w:szCs w:val="28"/>
        </w:rPr>
      </w:pPr>
      <w:r>
        <w:rPr>
          <w:rFonts w:ascii="標楷體" w:eastAsia="標楷體" w:hAnsi="標楷體"/>
          <w:b/>
          <w:bCs/>
          <w:color w:val="000000"/>
          <w:sz w:val="28"/>
          <w:szCs w:val="28"/>
        </w:rPr>
        <w:t>附表三十二：異位性皮膚炎面積暨嚴重度指數【Eczema Area and Severity Index (EASI)】</w:t>
      </w:r>
    </w:p>
    <w:p w14:paraId="4E5D7EFD" w14:textId="77777777" w:rsidR="00BD776B" w:rsidRDefault="00BD776B">
      <w:pPr>
        <w:widowControl/>
        <w:suppressAutoHyphens w:val="0"/>
      </w:pPr>
    </w:p>
    <w:p w14:paraId="73DD86C0" w14:textId="77777777" w:rsidR="00BD776B" w:rsidRDefault="00DF0C24">
      <w:pPr>
        <w:widowControl/>
        <w:spacing w:before="100" w:after="100" w:line="240" w:lineRule="exact"/>
        <w:jc w:val="both"/>
      </w:pPr>
      <w:r>
        <w:rPr>
          <w:rFonts w:ascii="標楷體" w:eastAsia="標楷體" w:hAnsi="標楷體"/>
          <w:b/>
          <w:bCs/>
          <w:color w:val="000000"/>
        </w:rPr>
        <w:t xml:space="preserve">     異位性皮膚炎面積</w:t>
      </w:r>
      <w:r>
        <w:rPr>
          <w:rFonts w:ascii="標楷體" w:eastAsia="標楷體" w:hAnsi="標楷體"/>
          <w:color w:val="000000"/>
        </w:rPr>
        <w:t>（Area）：合併總面積佔體表%____________</w:t>
      </w:r>
    </w:p>
    <w:tbl>
      <w:tblPr>
        <w:tblW w:w="8818" w:type="dxa"/>
        <w:jc w:val="center"/>
        <w:tblCellMar>
          <w:left w:w="10" w:type="dxa"/>
          <w:right w:w="10" w:type="dxa"/>
        </w:tblCellMar>
        <w:tblLook w:val="0000" w:firstRow="0" w:lastRow="0" w:firstColumn="0" w:lastColumn="0" w:noHBand="0" w:noVBand="0"/>
      </w:tblPr>
      <w:tblGrid>
        <w:gridCol w:w="947"/>
        <w:gridCol w:w="959"/>
        <w:gridCol w:w="959"/>
        <w:gridCol w:w="1145"/>
        <w:gridCol w:w="1145"/>
        <w:gridCol w:w="1146"/>
        <w:gridCol w:w="1125"/>
        <w:gridCol w:w="1392"/>
      </w:tblGrid>
      <w:tr w:rsidR="00BD776B" w14:paraId="421BFE41" w14:textId="77777777">
        <w:trPr>
          <w:trHeight w:val="561"/>
          <w:jc w:val="center"/>
        </w:trPr>
        <w:tc>
          <w:tcPr>
            <w:tcW w:w="947" w:type="dxa"/>
            <w:tcBorders>
              <w:top w:val="double" w:sz="6" w:space="0" w:color="000000"/>
              <w:left w:val="doub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4876199" w14:textId="77777777" w:rsidR="00BD776B" w:rsidRDefault="00DF0C24">
            <w:pPr>
              <w:widowControl/>
              <w:spacing w:before="100" w:after="142" w:line="240" w:lineRule="exact"/>
              <w:jc w:val="center"/>
            </w:pPr>
            <w:r>
              <w:rPr>
                <w:rFonts w:ascii="標楷體" w:eastAsia="標楷體" w:hAnsi="標楷體"/>
                <w:caps/>
                <w:color w:val="000000"/>
              </w:rPr>
              <w:t>涵蓋程度</w:t>
            </w:r>
          </w:p>
        </w:tc>
        <w:tc>
          <w:tcPr>
            <w:tcW w:w="959"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8B7E926" w14:textId="77777777" w:rsidR="00BD776B" w:rsidRDefault="00DF0C24">
            <w:pPr>
              <w:widowControl/>
              <w:spacing w:before="100" w:after="142" w:line="240" w:lineRule="exact"/>
              <w:jc w:val="center"/>
            </w:pPr>
            <w:r>
              <w:rPr>
                <w:rFonts w:ascii="標楷體" w:eastAsia="標楷體" w:hAnsi="標楷體"/>
                <w:caps/>
                <w:color w:val="000000"/>
              </w:rPr>
              <w:t>0﹪</w:t>
            </w:r>
          </w:p>
        </w:tc>
        <w:tc>
          <w:tcPr>
            <w:tcW w:w="959"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27823FB" w14:textId="77777777" w:rsidR="00BD776B" w:rsidRDefault="00DF0C24">
            <w:pPr>
              <w:widowControl/>
              <w:spacing w:before="100" w:after="142" w:line="240" w:lineRule="exact"/>
              <w:jc w:val="center"/>
            </w:pPr>
            <w:r>
              <w:rPr>
                <w:rFonts w:ascii="標楷體" w:eastAsia="標楷體" w:hAnsi="標楷體"/>
                <w:caps/>
                <w:color w:val="000000"/>
              </w:rPr>
              <w:t>1-9﹪</w:t>
            </w:r>
          </w:p>
        </w:tc>
        <w:tc>
          <w:tcPr>
            <w:tcW w:w="1145"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46093178" w14:textId="77777777" w:rsidR="00BD776B" w:rsidRDefault="00DF0C24">
            <w:pPr>
              <w:widowControl/>
              <w:spacing w:before="100" w:after="142" w:line="240" w:lineRule="exact"/>
              <w:jc w:val="center"/>
            </w:pPr>
            <w:r>
              <w:rPr>
                <w:rFonts w:ascii="標楷體" w:eastAsia="標楷體" w:hAnsi="標楷體"/>
                <w:caps/>
                <w:color w:val="000000"/>
              </w:rPr>
              <w:t>10-29﹪</w:t>
            </w:r>
          </w:p>
        </w:tc>
        <w:tc>
          <w:tcPr>
            <w:tcW w:w="1145"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9BBA7E6" w14:textId="77777777" w:rsidR="00BD776B" w:rsidRDefault="00DF0C24">
            <w:pPr>
              <w:widowControl/>
              <w:spacing w:before="100" w:after="142" w:line="240" w:lineRule="exact"/>
              <w:jc w:val="center"/>
            </w:pPr>
            <w:r>
              <w:rPr>
                <w:rFonts w:ascii="標楷體" w:eastAsia="標楷體" w:hAnsi="標楷體"/>
                <w:caps/>
                <w:color w:val="000000"/>
              </w:rPr>
              <w:t>30-49﹪</w:t>
            </w:r>
          </w:p>
        </w:tc>
        <w:tc>
          <w:tcPr>
            <w:tcW w:w="1146"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F25248E" w14:textId="77777777" w:rsidR="00BD776B" w:rsidRDefault="00DF0C24">
            <w:pPr>
              <w:widowControl/>
              <w:spacing w:before="100" w:after="142" w:line="240" w:lineRule="exact"/>
              <w:jc w:val="center"/>
            </w:pPr>
            <w:r>
              <w:rPr>
                <w:rFonts w:ascii="標楷體" w:eastAsia="標楷體" w:hAnsi="標楷體"/>
                <w:caps/>
                <w:color w:val="000000"/>
              </w:rPr>
              <w:t>50-69﹪</w:t>
            </w:r>
          </w:p>
        </w:tc>
        <w:tc>
          <w:tcPr>
            <w:tcW w:w="1125"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EF83B0C" w14:textId="77777777" w:rsidR="00BD776B" w:rsidRDefault="00DF0C24">
            <w:pPr>
              <w:widowControl/>
              <w:spacing w:before="100" w:after="142" w:line="240" w:lineRule="exact"/>
              <w:jc w:val="center"/>
            </w:pPr>
            <w:r>
              <w:rPr>
                <w:rFonts w:ascii="標楷體" w:eastAsia="標楷體" w:hAnsi="標楷體"/>
                <w:caps/>
                <w:color w:val="000000"/>
              </w:rPr>
              <w:t>70-89﹪</w:t>
            </w:r>
          </w:p>
        </w:tc>
        <w:tc>
          <w:tcPr>
            <w:tcW w:w="1392" w:type="dxa"/>
            <w:tcBorders>
              <w:top w:val="double" w:sz="6" w:space="0" w:color="000000"/>
              <w:left w:val="single" w:sz="6" w:space="0" w:color="000000"/>
              <w:bottom w:val="single" w:sz="6" w:space="0" w:color="000000"/>
              <w:right w:val="double" w:sz="6" w:space="0" w:color="000000"/>
            </w:tcBorders>
            <w:shd w:val="clear" w:color="auto" w:fill="FFFFFF"/>
            <w:tcMar>
              <w:top w:w="0" w:type="dxa"/>
              <w:left w:w="108" w:type="dxa"/>
              <w:bottom w:w="0" w:type="dxa"/>
              <w:right w:w="108" w:type="dxa"/>
            </w:tcMar>
            <w:vAlign w:val="center"/>
          </w:tcPr>
          <w:p w14:paraId="03FDFE93" w14:textId="77777777" w:rsidR="00BD776B" w:rsidRDefault="00DF0C24">
            <w:pPr>
              <w:widowControl/>
              <w:spacing w:before="100" w:after="142" w:line="240" w:lineRule="exact"/>
              <w:jc w:val="center"/>
            </w:pPr>
            <w:r>
              <w:rPr>
                <w:rFonts w:ascii="標楷體" w:eastAsia="標楷體" w:hAnsi="標楷體"/>
                <w:caps/>
                <w:color w:val="000000"/>
              </w:rPr>
              <w:t>90-100﹪</w:t>
            </w:r>
          </w:p>
        </w:tc>
      </w:tr>
      <w:tr w:rsidR="00BD776B" w14:paraId="573B39AE" w14:textId="77777777">
        <w:trPr>
          <w:trHeight w:val="609"/>
          <w:jc w:val="center"/>
        </w:trPr>
        <w:tc>
          <w:tcPr>
            <w:tcW w:w="947" w:type="dxa"/>
            <w:tcBorders>
              <w:top w:val="single" w:sz="6" w:space="0" w:color="000000"/>
              <w:left w:val="double" w:sz="6" w:space="0" w:color="000000"/>
              <w:bottom w:val="double" w:sz="4" w:space="0" w:color="000000"/>
              <w:right w:val="single" w:sz="6" w:space="0" w:color="000000"/>
            </w:tcBorders>
            <w:shd w:val="clear" w:color="auto" w:fill="FFFFFF"/>
            <w:tcMar>
              <w:top w:w="0" w:type="dxa"/>
              <w:left w:w="108" w:type="dxa"/>
              <w:bottom w:w="0" w:type="dxa"/>
              <w:right w:w="108" w:type="dxa"/>
            </w:tcMar>
          </w:tcPr>
          <w:p w14:paraId="46F5EDF0" w14:textId="77777777" w:rsidR="00BD776B" w:rsidRDefault="00DF0C24">
            <w:pPr>
              <w:widowControl/>
              <w:spacing w:before="100" w:after="142" w:line="240" w:lineRule="exact"/>
              <w:ind w:right="110"/>
              <w:jc w:val="right"/>
            </w:pPr>
            <w:r>
              <w:rPr>
                <w:rFonts w:ascii="標楷體" w:eastAsia="標楷體" w:hAnsi="標楷體"/>
                <w:color w:val="000000"/>
              </w:rPr>
              <w:t>面積分數</w:t>
            </w:r>
          </w:p>
        </w:tc>
        <w:tc>
          <w:tcPr>
            <w:tcW w:w="959" w:type="dxa"/>
            <w:tcBorders>
              <w:top w:val="single" w:sz="6" w:space="0" w:color="000000"/>
              <w:left w:val="single" w:sz="6" w:space="0" w:color="000000"/>
              <w:bottom w:val="double" w:sz="4" w:space="0" w:color="000000"/>
              <w:right w:val="single" w:sz="6" w:space="0" w:color="000000"/>
            </w:tcBorders>
            <w:shd w:val="clear" w:color="auto" w:fill="FFFFFF"/>
            <w:tcMar>
              <w:top w:w="0" w:type="dxa"/>
              <w:left w:w="108" w:type="dxa"/>
              <w:bottom w:w="0" w:type="dxa"/>
              <w:right w:w="108" w:type="dxa"/>
            </w:tcMar>
            <w:vAlign w:val="center"/>
          </w:tcPr>
          <w:p w14:paraId="63B5E05C" w14:textId="77777777" w:rsidR="00BD776B" w:rsidRDefault="00DF0C24">
            <w:pPr>
              <w:widowControl/>
              <w:spacing w:before="100" w:after="142" w:line="240" w:lineRule="exact"/>
              <w:jc w:val="center"/>
            </w:pPr>
            <w:r>
              <w:rPr>
                <w:rFonts w:ascii="標楷體" w:eastAsia="標楷體" w:hAnsi="標楷體"/>
                <w:color w:val="000000"/>
              </w:rPr>
              <w:t>0</w:t>
            </w:r>
          </w:p>
        </w:tc>
        <w:tc>
          <w:tcPr>
            <w:tcW w:w="959" w:type="dxa"/>
            <w:tcBorders>
              <w:top w:val="single" w:sz="6" w:space="0" w:color="000000"/>
              <w:left w:val="single" w:sz="6" w:space="0" w:color="000000"/>
              <w:bottom w:val="double" w:sz="4" w:space="0" w:color="000000"/>
              <w:right w:val="single" w:sz="6" w:space="0" w:color="000000"/>
            </w:tcBorders>
            <w:shd w:val="clear" w:color="auto" w:fill="FFFFFF"/>
            <w:tcMar>
              <w:top w:w="0" w:type="dxa"/>
              <w:left w:w="108" w:type="dxa"/>
              <w:bottom w:w="0" w:type="dxa"/>
              <w:right w:w="108" w:type="dxa"/>
            </w:tcMar>
            <w:vAlign w:val="center"/>
          </w:tcPr>
          <w:p w14:paraId="536D10E6" w14:textId="77777777" w:rsidR="00BD776B" w:rsidRDefault="00DF0C24">
            <w:pPr>
              <w:widowControl/>
              <w:spacing w:before="100" w:after="142" w:line="240" w:lineRule="exact"/>
              <w:jc w:val="center"/>
            </w:pPr>
            <w:r>
              <w:rPr>
                <w:rFonts w:ascii="標楷體" w:eastAsia="標楷體" w:hAnsi="標楷體"/>
                <w:color w:val="000000"/>
              </w:rPr>
              <w:t>1</w:t>
            </w:r>
          </w:p>
        </w:tc>
        <w:tc>
          <w:tcPr>
            <w:tcW w:w="1145" w:type="dxa"/>
            <w:tcBorders>
              <w:top w:val="single" w:sz="6" w:space="0" w:color="000000"/>
              <w:left w:val="single" w:sz="6" w:space="0" w:color="000000"/>
              <w:bottom w:val="double" w:sz="6" w:space="0" w:color="000000"/>
              <w:right w:val="single" w:sz="6" w:space="0" w:color="000000"/>
            </w:tcBorders>
            <w:shd w:val="clear" w:color="auto" w:fill="FFFFFF"/>
            <w:tcMar>
              <w:top w:w="0" w:type="dxa"/>
              <w:left w:w="108" w:type="dxa"/>
              <w:bottom w:w="0" w:type="dxa"/>
              <w:right w:w="108" w:type="dxa"/>
            </w:tcMar>
            <w:vAlign w:val="center"/>
          </w:tcPr>
          <w:p w14:paraId="1A2E1B7A" w14:textId="77777777" w:rsidR="00BD776B" w:rsidRDefault="00DF0C24">
            <w:pPr>
              <w:widowControl/>
              <w:spacing w:before="100" w:after="142" w:line="240" w:lineRule="exact"/>
              <w:jc w:val="center"/>
            </w:pPr>
            <w:r>
              <w:rPr>
                <w:rFonts w:ascii="標楷體" w:eastAsia="標楷體" w:hAnsi="標楷體"/>
                <w:color w:val="000000"/>
              </w:rPr>
              <w:t>2</w:t>
            </w:r>
          </w:p>
        </w:tc>
        <w:tc>
          <w:tcPr>
            <w:tcW w:w="1145" w:type="dxa"/>
            <w:tcBorders>
              <w:top w:val="single" w:sz="6" w:space="0" w:color="000000"/>
              <w:left w:val="single" w:sz="6" w:space="0" w:color="000000"/>
              <w:bottom w:val="double" w:sz="6" w:space="0" w:color="000000"/>
              <w:right w:val="single" w:sz="6" w:space="0" w:color="000000"/>
            </w:tcBorders>
            <w:shd w:val="clear" w:color="auto" w:fill="FFFFFF"/>
            <w:tcMar>
              <w:top w:w="0" w:type="dxa"/>
              <w:left w:w="108" w:type="dxa"/>
              <w:bottom w:w="0" w:type="dxa"/>
              <w:right w:w="108" w:type="dxa"/>
            </w:tcMar>
            <w:vAlign w:val="center"/>
          </w:tcPr>
          <w:p w14:paraId="75E0DB94" w14:textId="77777777" w:rsidR="00BD776B" w:rsidRDefault="00DF0C24">
            <w:pPr>
              <w:widowControl/>
              <w:spacing w:before="100" w:after="142" w:line="240" w:lineRule="exact"/>
              <w:jc w:val="center"/>
            </w:pPr>
            <w:r>
              <w:rPr>
                <w:rFonts w:ascii="標楷體" w:eastAsia="標楷體" w:hAnsi="標楷體"/>
                <w:color w:val="000000"/>
              </w:rPr>
              <w:t>3</w:t>
            </w:r>
          </w:p>
        </w:tc>
        <w:tc>
          <w:tcPr>
            <w:tcW w:w="1146" w:type="dxa"/>
            <w:tcBorders>
              <w:top w:val="single" w:sz="6" w:space="0" w:color="000000"/>
              <w:left w:val="single" w:sz="6" w:space="0" w:color="000000"/>
              <w:bottom w:val="double" w:sz="6" w:space="0" w:color="000000"/>
              <w:right w:val="single" w:sz="6" w:space="0" w:color="000000"/>
            </w:tcBorders>
            <w:shd w:val="clear" w:color="auto" w:fill="FFFFFF"/>
            <w:tcMar>
              <w:top w:w="0" w:type="dxa"/>
              <w:left w:w="108" w:type="dxa"/>
              <w:bottom w:w="0" w:type="dxa"/>
              <w:right w:w="108" w:type="dxa"/>
            </w:tcMar>
            <w:vAlign w:val="center"/>
          </w:tcPr>
          <w:p w14:paraId="4E54A8D0" w14:textId="77777777" w:rsidR="00BD776B" w:rsidRDefault="00DF0C24">
            <w:pPr>
              <w:widowControl/>
              <w:spacing w:before="100" w:after="142" w:line="240" w:lineRule="exact"/>
              <w:jc w:val="center"/>
            </w:pPr>
            <w:r>
              <w:rPr>
                <w:rFonts w:ascii="標楷體" w:eastAsia="標楷體" w:hAnsi="標楷體"/>
                <w:color w:val="000000"/>
              </w:rPr>
              <w:t>4</w:t>
            </w:r>
          </w:p>
        </w:tc>
        <w:tc>
          <w:tcPr>
            <w:tcW w:w="1125" w:type="dxa"/>
            <w:tcBorders>
              <w:top w:val="single" w:sz="6" w:space="0" w:color="000000"/>
              <w:left w:val="single" w:sz="6" w:space="0" w:color="000000"/>
              <w:bottom w:val="double" w:sz="6" w:space="0" w:color="000000"/>
              <w:right w:val="single" w:sz="6" w:space="0" w:color="000000"/>
            </w:tcBorders>
            <w:shd w:val="clear" w:color="auto" w:fill="FFFFFF"/>
            <w:tcMar>
              <w:top w:w="0" w:type="dxa"/>
              <w:left w:w="108" w:type="dxa"/>
              <w:bottom w:w="0" w:type="dxa"/>
              <w:right w:w="108" w:type="dxa"/>
            </w:tcMar>
            <w:vAlign w:val="center"/>
          </w:tcPr>
          <w:p w14:paraId="20DD0AB5" w14:textId="77777777" w:rsidR="00BD776B" w:rsidRDefault="00DF0C24">
            <w:pPr>
              <w:widowControl/>
              <w:spacing w:before="100" w:after="142" w:line="240" w:lineRule="exact"/>
              <w:jc w:val="center"/>
            </w:pPr>
            <w:r>
              <w:rPr>
                <w:rFonts w:ascii="標楷體" w:eastAsia="標楷體" w:hAnsi="標楷體"/>
                <w:color w:val="000000"/>
              </w:rPr>
              <w:t>5</w:t>
            </w:r>
          </w:p>
        </w:tc>
        <w:tc>
          <w:tcPr>
            <w:tcW w:w="1392" w:type="dxa"/>
            <w:tcBorders>
              <w:top w:val="single" w:sz="6" w:space="0" w:color="000000"/>
              <w:left w:val="single" w:sz="6" w:space="0" w:color="000000"/>
              <w:bottom w:val="double" w:sz="6" w:space="0" w:color="000000"/>
              <w:right w:val="double" w:sz="6" w:space="0" w:color="000000"/>
            </w:tcBorders>
            <w:shd w:val="clear" w:color="auto" w:fill="FFFFFF"/>
            <w:tcMar>
              <w:top w:w="0" w:type="dxa"/>
              <w:left w:w="108" w:type="dxa"/>
              <w:bottom w:w="0" w:type="dxa"/>
              <w:right w:w="108" w:type="dxa"/>
            </w:tcMar>
            <w:vAlign w:val="center"/>
          </w:tcPr>
          <w:p w14:paraId="5AF07EBF" w14:textId="77777777" w:rsidR="00BD776B" w:rsidRDefault="00DF0C24">
            <w:pPr>
              <w:widowControl/>
              <w:spacing w:before="100" w:after="142" w:line="240" w:lineRule="exact"/>
              <w:jc w:val="center"/>
            </w:pPr>
            <w:r>
              <w:rPr>
                <w:rFonts w:ascii="標楷體" w:eastAsia="標楷體" w:hAnsi="標楷體"/>
                <w:color w:val="000000"/>
              </w:rPr>
              <w:t>6</w:t>
            </w:r>
          </w:p>
        </w:tc>
      </w:tr>
    </w:tbl>
    <w:p w14:paraId="1620AF51" w14:textId="77777777" w:rsidR="00BD776B" w:rsidRDefault="00DF0C24">
      <w:pPr>
        <w:widowControl/>
        <w:spacing w:before="100" w:after="142" w:line="180" w:lineRule="exact"/>
      </w:pPr>
      <w:r>
        <w:rPr>
          <w:rFonts w:ascii="標楷體" w:eastAsia="標楷體" w:hAnsi="標楷體"/>
          <w:color w:val="000000"/>
        </w:rPr>
        <w:t xml:space="preserve">     部位：頭部(h)、軀幹(t)、上肢(u)、下肢(l)</w:t>
      </w:r>
    </w:p>
    <w:p w14:paraId="7EF26780" w14:textId="77777777" w:rsidR="00BD776B" w:rsidRDefault="00DF0C24">
      <w:pPr>
        <w:widowControl/>
        <w:snapToGrid w:val="0"/>
        <w:spacing w:before="100" w:after="142"/>
      </w:pPr>
      <w:r>
        <w:rPr>
          <w:rFonts w:ascii="標楷體" w:eastAsia="標楷體" w:hAnsi="標楷體"/>
          <w:b/>
          <w:bCs/>
          <w:color w:val="000000"/>
        </w:rPr>
        <w:t xml:space="preserve">     異位性皮膚炎嚴重度</w:t>
      </w:r>
      <w:r>
        <w:rPr>
          <w:rFonts w:ascii="標楷體" w:eastAsia="標楷體" w:hAnsi="標楷體"/>
          <w:color w:val="000000"/>
        </w:rPr>
        <w:t>（Severity）：</w:t>
      </w:r>
    </w:p>
    <w:tbl>
      <w:tblPr>
        <w:tblW w:w="8850" w:type="dxa"/>
        <w:jc w:val="center"/>
        <w:tblCellMar>
          <w:left w:w="10" w:type="dxa"/>
          <w:right w:w="10" w:type="dxa"/>
        </w:tblCellMar>
        <w:tblLook w:val="0000" w:firstRow="0" w:lastRow="0" w:firstColumn="0" w:lastColumn="0" w:noHBand="0" w:noVBand="0"/>
      </w:tblPr>
      <w:tblGrid>
        <w:gridCol w:w="1630"/>
        <w:gridCol w:w="1178"/>
        <w:gridCol w:w="1110"/>
        <w:gridCol w:w="1709"/>
        <w:gridCol w:w="3223"/>
      </w:tblGrid>
      <w:tr w:rsidR="00BD776B" w14:paraId="550DAAFC" w14:textId="77777777">
        <w:trPr>
          <w:jc w:val="center"/>
        </w:trPr>
        <w:tc>
          <w:tcPr>
            <w:tcW w:w="1630" w:type="dxa"/>
            <w:tcBorders>
              <w:top w:val="double" w:sz="6" w:space="0" w:color="000000"/>
              <w:left w:val="doub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47998BB" w14:textId="77777777" w:rsidR="00BD776B" w:rsidRDefault="00DF0C24">
            <w:pPr>
              <w:widowControl/>
              <w:spacing w:before="100" w:line="276" w:lineRule="auto"/>
              <w:jc w:val="center"/>
            </w:pPr>
            <w:r>
              <w:rPr>
                <w:rFonts w:ascii="標楷體" w:eastAsia="標楷體" w:hAnsi="標楷體"/>
                <w:color w:val="000000"/>
              </w:rPr>
              <w:t>嚴重度</w:t>
            </w:r>
          </w:p>
        </w:tc>
        <w:tc>
          <w:tcPr>
            <w:tcW w:w="1178"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7E501E5" w14:textId="77777777" w:rsidR="00BD776B" w:rsidRDefault="00DF0C24">
            <w:pPr>
              <w:widowControl/>
              <w:spacing w:before="100" w:line="240" w:lineRule="exact"/>
              <w:jc w:val="center"/>
              <w:rPr>
                <w:rFonts w:ascii="標楷體" w:eastAsia="標楷體" w:hAnsi="標楷體"/>
                <w:color w:val="000000"/>
              </w:rPr>
            </w:pPr>
            <w:r>
              <w:rPr>
                <w:rFonts w:ascii="標楷體" w:eastAsia="標楷體" w:hAnsi="標楷體"/>
                <w:color w:val="000000"/>
              </w:rPr>
              <w:t>None</w:t>
            </w:r>
          </w:p>
          <w:p w14:paraId="67867E5D" w14:textId="77777777" w:rsidR="00BD776B" w:rsidRDefault="00DF0C24">
            <w:pPr>
              <w:widowControl/>
              <w:spacing w:before="100" w:line="240" w:lineRule="exact"/>
              <w:jc w:val="center"/>
            </w:pPr>
            <w:r>
              <w:rPr>
                <w:rFonts w:ascii="標楷體" w:eastAsia="標楷體" w:hAnsi="標楷體"/>
                <w:color w:val="000000"/>
              </w:rPr>
              <w:t>無</w:t>
            </w:r>
          </w:p>
        </w:tc>
        <w:tc>
          <w:tcPr>
            <w:tcW w:w="1110"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DAA9D43" w14:textId="77777777" w:rsidR="00BD776B" w:rsidRDefault="00DF0C24">
            <w:pPr>
              <w:widowControl/>
              <w:spacing w:before="100" w:line="240" w:lineRule="exact"/>
              <w:jc w:val="center"/>
              <w:rPr>
                <w:rFonts w:ascii="標楷體" w:eastAsia="標楷體" w:hAnsi="標楷體"/>
                <w:color w:val="000000"/>
              </w:rPr>
            </w:pPr>
            <w:r>
              <w:rPr>
                <w:rFonts w:ascii="標楷體" w:eastAsia="標楷體" w:hAnsi="標楷體"/>
                <w:color w:val="000000"/>
              </w:rPr>
              <w:t>Mild</w:t>
            </w:r>
          </w:p>
          <w:p w14:paraId="055FE743" w14:textId="77777777" w:rsidR="00BD776B" w:rsidRDefault="00DF0C24">
            <w:pPr>
              <w:widowControl/>
              <w:spacing w:before="100" w:line="240" w:lineRule="exact"/>
              <w:jc w:val="center"/>
            </w:pPr>
            <w:r>
              <w:rPr>
                <w:rFonts w:ascii="標楷體" w:eastAsia="標楷體" w:hAnsi="標楷體"/>
                <w:color w:val="000000"/>
              </w:rPr>
              <w:t>輕度</w:t>
            </w:r>
          </w:p>
        </w:tc>
        <w:tc>
          <w:tcPr>
            <w:tcW w:w="1709"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4B37B999" w14:textId="77777777" w:rsidR="00BD776B" w:rsidRDefault="00DF0C24">
            <w:pPr>
              <w:widowControl/>
              <w:spacing w:before="100" w:line="240" w:lineRule="exact"/>
              <w:jc w:val="center"/>
            </w:pPr>
            <w:r>
              <w:rPr>
                <w:rFonts w:ascii="標楷體" w:eastAsia="標楷體" w:hAnsi="標楷體"/>
                <w:color w:val="000000"/>
              </w:rPr>
              <w:t>Moderate</w:t>
            </w:r>
          </w:p>
          <w:p w14:paraId="33D80EA1" w14:textId="77777777" w:rsidR="00BD776B" w:rsidRDefault="00DF0C24">
            <w:pPr>
              <w:widowControl/>
              <w:spacing w:before="100" w:line="240" w:lineRule="exact"/>
              <w:jc w:val="center"/>
            </w:pPr>
            <w:r>
              <w:rPr>
                <w:rFonts w:ascii="標楷體" w:eastAsia="標楷體" w:hAnsi="標楷體"/>
                <w:color w:val="000000"/>
              </w:rPr>
              <w:t>中度</w:t>
            </w:r>
          </w:p>
        </w:tc>
        <w:tc>
          <w:tcPr>
            <w:tcW w:w="3223" w:type="dxa"/>
            <w:tcBorders>
              <w:top w:val="doub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2B60D7C" w14:textId="77777777" w:rsidR="00BD776B" w:rsidRDefault="00DF0C24">
            <w:pPr>
              <w:widowControl/>
              <w:spacing w:before="100" w:line="240" w:lineRule="exact"/>
              <w:jc w:val="center"/>
            </w:pPr>
            <w:r>
              <w:rPr>
                <w:rFonts w:ascii="標楷體" w:eastAsia="標楷體" w:hAnsi="標楷體"/>
                <w:color w:val="000000"/>
              </w:rPr>
              <w:t>Severe</w:t>
            </w:r>
          </w:p>
          <w:p w14:paraId="1D2FFD1B" w14:textId="77777777" w:rsidR="00BD776B" w:rsidRDefault="00DF0C24">
            <w:pPr>
              <w:widowControl/>
              <w:spacing w:before="100" w:line="240" w:lineRule="exact"/>
              <w:jc w:val="center"/>
            </w:pPr>
            <w:r>
              <w:rPr>
                <w:rFonts w:ascii="標楷體" w:eastAsia="標楷體" w:hAnsi="標楷體"/>
                <w:color w:val="000000"/>
              </w:rPr>
              <w:t>重度</w:t>
            </w:r>
          </w:p>
        </w:tc>
      </w:tr>
      <w:tr w:rsidR="00BD776B" w14:paraId="4E5E17AC" w14:textId="77777777">
        <w:trPr>
          <w:jc w:val="center"/>
        </w:trPr>
        <w:tc>
          <w:tcPr>
            <w:tcW w:w="1630" w:type="dxa"/>
            <w:tcBorders>
              <w:top w:val="single" w:sz="6" w:space="0" w:color="000000"/>
              <w:left w:val="doub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8655C8B" w14:textId="77777777" w:rsidR="00BD776B" w:rsidRDefault="00DF0C24">
            <w:pPr>
              <w:widowControl/>
              <w:spacing w:before="100" w:line="276" w:lineRule="auto"/>
              <w:jc w:val="center"/>
            </w:pPr>
            <w:r>
              <w:rPr>
                <w:rFonts w:ascii="標楷體" w:eastAsia="標楷體" w:hAnsi="標楷體"/>
                <w:color w:val="000000"/>
              </w:rPr>
              <w:t>分數</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39BEF8D" w14:textId="77777777" w:rsidR="00BD776B" w:rsidRDefault="00DF0C24">
            <w:pPr>
              <w:widowControl/>
              <w:spacing w:before="100" w:line="276" w:lineRule="auto"/>
              <w:jc w:val="center"/>
            </w:pPr>
            <w:r>
              <w:rPr>
                <w:rFonts w:ascii="標楷體" w:eastAsia="標楷體" w:hAnsi="標楷體"/>
                <w:color w:val="000000"/>
              </w:rPr>
              <w:t>0</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041D0C3" w14:textId="77777777" w:rsidR="00BD776B" w:rsidRDefault="00DF0C24">
            <w:pPr>
              <w:widowControl/>
              <w:spacing w:before="100" w:line="276" w:lineRule="auto"/>
              <w:jc w:val="center"/>
            </w:pPr>
            <w:r>
              <w:rPr>
                <w:rFonts w:ascii="標楷體" w:eastAsia="標楷體" w:hAnsi="標楷體"/>
                <w:color w:val="000000"/>
              </w:rPr>
              <w:t>1</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7F288D3" w14:textId="77777777" w:rsidR="00BD776B" w:rsidRDefault="00DF0C24">
            <w:pPr>
              <w:widowControl/>
              <w:spacing w:before="100" w:line="276" w:lineRule="auto"/>
              <w:jc w:val="center"/>
            </w:pPr>
            <w:r>
              <w:rPr>
                <w:rFonts w:ascii="標楷體" w:eastAsia="標楷體" w:hAnsi="標楷體"/>
                <w:color w:val="000000"/>
              </w:rPr>
              <w:t>2</w:t>
            </w:r>
          </w:p>
        </w:tc>
        <w:tc>
          <w:tcPr>
            <w:tcW w:w="32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E780B81" w14:textId="77777777" w:rsidR="00BD776B" w:rsidRDefault="00DF0C24">
            <w:pPr>
              <w:widowControl/>
              <w:spacing w:before="100" w:line="276" w:lineRule="auto"/>
              <w:jc w:val="center"/>
            </w:pPr>
            <w:r>
              <w:rPr>
                <w:rFonts w:ascii="標楷體" w:eastAsia="標楷體" w:hAnsi="標楷體"/>
                <w:color w:val="000000"/>
              </w:rPr>
              <w:t>3</w:t>
            </w:r>
          </w:p>
        </w:tc>
      </w:tr>
    </w:tbl>
    <w:p w14:paraId="0ABF0A16" w14:textId="77777777" w:rsidR="00BD776B" w:rsidRDefault="00BD776B">
      <w:pPr>
        <w:widowControl/>
        <w:spacing w:before="100" w:after="142" w:line="276" w:lineRule="auto"/>
        <w:rPr>
          <w:rFonts w:ascii="標楷體" w:eastAsia="標楷體" w:hAnsi="標楷體"/>
          <w:b/>
          <w:bCs/>
          <w:color w:val="000000"/>
        </w:rPr>
      </w:pPr>
    </w:p>
    <w:p w14:paraId="5DF2B758" w14:textId="77777777" w:rsidR="00BD776B" w:rsidRDefault="00BD776B">
      <w:pPr>
        <w:widowControl/>
        <w:spacing w:before="100" w:after="142" w:line="276" w:lineRule="auto"/>
        <w:rPr>
          <w:rFonts w:ascii="標楷體" w:eastAsia="標楷體" w:hAnsi="標楷體"/>
          <w:b/>
          <w:bCs/>
          <w:color w:val="000000"/>
        </w:rPr>
      </w:pPr>
    </w:p>
    <w:p w14:paraId="4370A481" w14:textId="77777777" w:rsidR="00BD776B" w:rsidRDefault="00DF0C24">
      <w:pPr>
        <w:widowControl/>
        <w:spacing w:before="100" w:after="142" w:line="276" w:lineRule="auto"/>
      </w:pPr>
      <w:r>
        <w:rPr>
          <w:rFonts w:ascii="標楷體" w:eastAsia="標楷體" w:hAnsi="標楷體"/>
          <w:b/>
          <w:bCs/>
          <w:color w:val="000000"/>
        </w:rPr>
        <w:t>異位性皮膚炎面積暨嚴重程度指數(EASI)評分表：</w:t>
      </w:r>
    </w:p>
    <w:p w14:paraId="5363B42A" w14:textId="77777777" w:rsidR="00BD776B" w:rsidRDefault="00DF0C24">
      <w:pPr>
        <w:widowControl/>
        <w:spacing w:before="100" w:after="142" w:line="276" w:lineRule="auto"/>
      </w:pPr>
      <w:r>
        <w:rPr>
          <w:rFonts w:ascii="標楷體" w:eastAsia="標楷體" w:hAnsi="標楷體"/>
          <w:b/>
          <w:bCs/>
          <w:color w:val="000000"/>
        </w:rPr>
        <w:t>8歲以上病人：</w:t>
      </w:r>
    </w:p>
    <w:tbl>
      <w:tblPr>
        <w:tblW w:w="10338" w:type="dxa"/>
        <w:jc w:val="center"/>
        <w:tblLayout w:type="fixed"/>
        <w:tblCellMar>
          <w:left w:w="10" w:type="dxa"/>
          <w:right w:w="10" w:type="dxa"/>
        </w:tblCellMar>
        <w:tblLook w:val="0000" w:firstRow="0" w:lastRow="0" w:firstColumn="0" w:lastColumn="0" w:noHBand="0" w:noVBand="0"/>
      </w:tblPr>
      <w:tblGrid>
        <w:gridCol w:w="1217"/>
        <w:gridCol w:w="1134"/>
        <w:gridCol w:w="1417"/>
        <w:gridCol w:w="1467"/>
        <w:gridCol w:w="1843"/>
        <w:gridCol w:w="1134"/>
        <w:gridCol w:w="1276"/>
        <w:gridCol w:w="850"/>
      </w:tblGrid>
      <w:tr w:rsidR="00BD776B" w14:paraId="39D6B5BC" w14:textId="77777777">
        <w:trPr>
          <w:jc w:val="center"/>
        </w:trPr>
        <w:tc>
          <w:tcPr>
            <w:tcW w:w="12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3039E27" w14:textId="77777777" w:rsidR="00BD776B" w:rsidRDefault="00DF0C24">
            <w:pPr>
              <w:widowControl/>
              <w:spacing w:line="240" w:lineRule="exact"/>
              <w:jc w:val="center"/>
            </w:pPr>
            <w:r>
              <w:rPr>
                <w:rFonts w:ascii="標楷體" w:eastAsia="標楷體" w:hAnsi="標楷體"/>
                <w:color w:val="000000"/>
              </w:rPr>
              <w:t>身體部位</w:t>
            </w:r>
          </w:p>
        </w:tc>
        <w:tc>
          <w:tcPr>
            <w:tcW w:w="1134"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2CD7116A" w14:textId="77777777" w:rsidR="00BD776B" w:rsidRDefault="00DF0C24">
            <w:pPr>
              <w:widowControl/>
              <w:spacing w:line="240" w:lineRule="exact"/>
              <w:jc w:val="center"/>
              <w:rPr>
                <w:rFonts w:ascii="標楷體" w:eastAsia="標楷體" w:hAnsi="標楷體"/>
                <w:color w:val="000000"/>
              </w:rPr>
            </w:pPr>
            <w:r>
              <w:rPr>
                <w:rFonts w:ascii="標楷體" w:eastAsia="標楷體" w:hAnsi="標楷體"/>
                <w:color w:val="000000"/>
              </w:rPr>
              <w:t>Redness/</w:t>
            </w:r>
          </w:p>
          <w:p w14:paraId="51C3E1C7" w14:textId="77777777" w:rsidR="00BD776B" w:rsidRDefault="00DF0C24">
            <w:pPr>
              <w:widowControl/>
              <w:spacing w:line="240" w:lineRule="exact"/>
              <w:jc w:val="center"/>
            </w:pPr>
            <w:r>
              <w:rPr>
                <w:rFonts w:ascii="標楷體" w:eastAsia="標楷體" w:hAnsi="標楷體"/>
                <w:color w:val="000000"/>
              </w:rPr>
              <w:t>Erythema</w:t>
            </w:r>
          </w:p>
          <w:p w14:paraId="62B97A10" w14:textId="77777777" w:rsidR="00BD776B" w:rsidRDefault="00DF0C24">
            <w:pPr>
              <w:widowControl/>
              <w:spacing w:line="240" w:lineRule="exact"/>
              <w:jc w:val="center"/>
            </w:pPr>
            <w:r>
              <w:rPr>
                <w:rFonts w:ascii="標楷體" w:eastAsia="標楷體" w:hAnsi="標楷體"/>
                <w:color w:val="000000"/>
              </w:rPr>
              <w:t>發紅</w:t>
            </w:r>
          </w:p>
          <w:p w14:paraId="008CB1CD" w14:textId="77777777" w:rsidR="00BD776B" w:rsidRDefault="00DF0C24">
            <w:pPr>
              <w:widowControl/>
              <w:spacing w:line="240" w:lineRule="exact"/>
              <w:jc w:val="center"/>
            </w:pPr>
            <w:r>
              <w:rPr>
                <w:rFonts w:ascii="標楷體" w:eastAsia="標楷體" w:hAnsi="標楷體"/>
                <w:b/>
                <w:bCs/>
                <w:color w:val="000000"/>
              </w:rPr>
              <w:t>(0-3)</w:t>
            </w:r>
          </w:p>
        </w:tc>
        <w:tc>
          <w:tcPr>
            <w:tcW w:w="1417"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308DADDC" w14:textId="77777777" w:rsidR="00BD776B" w:rsidRDefault="00DF0C24">
            <w:pPr>
              <w:widowControl/>
              <w:spacing w:line="240" w:lineRule="exact"/>
              <w:jc w:val="center"/>
            </w:pPr>
            <w:r>
              <w:rPr>
                <w:rFonts w:ascii="標楷體" w:eastAsia="標楷體" w:hAnsi="標楷體"/>
                <w:color w:val="000000"/>
              </w:rPr>
              <w:t>Edema/</w:t>
            </w:r>
          </w:p>
          <w:p w14:paraId="4653A717" w14:textId="77777777" w:rsidR="00BD776B" w:rsidRDefault="00DF0C24">
            <w:pPr>
              <w:widowControl/>
              <w:spacing w:line="240" w:lineRule="exact"/>
              <w:jc w:val="center"/>
            </w:pPr>
            <w:r>
              <w:rPr>
                <w:rFonts w:ascii="標楷體" w:eastAsia="標楷體" w:hAnsi="標楷體"/>
                <w:color w:val="000000"/>
              </w:rPr>
              <w:t>Papulation</w:t>
            </w:r>
          </w:p>
          <w:p w14:paraId="123DFE5A" w14:textId="77777777" w:rsidR="00BD776B" w:rsidRDefault="00DF0C24">
            <w:pPr>
              <w:widowControl/>
              <w:spacing w:line="240" w:lineRule="exact"/>
              <w:jc w:val="center"/>
            </w:pPr>
            <w:r>
              <w:rPr>
                <w:rFonts w:ascii="標楷體" w:eastAsia="標楷體" w:hAnsi="標楷體"/>
                <w:color w:val="000000"/>
              </w:rPr>
              <w:t>浮腫/丘疹</w:t>
            </w:r>
          </w:p>
          <w:p w14:paraId="6F538E85" w14:textId="77777777" w:rsidR="00BD776B" w:rsidRDefault="00DF0C24">
            <w:pPr>
              <w:widowControl/>
              <w:spacing w:line="240" w:lineRule="exact"/>
              <w:jc w:val="center"/>
            </w:pPr>
            <w:r>
              <w:rPr>
                <w:rFonts w:ascii="標楷體" w:eastAsia="標楷體" w:hAnsi="標楷體"/>
                <w:b/>
                <w:bCs/>
                <w:color w:val="000000"/>
              </w:rPr>
              <w:t>(0-3)</w:t>
            </w:r>
          </w:p>
        </w:tc>
        <w:tc>
          <w:tcPr>
            <w:tcW w:w="1467"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738F7D9F" w14:textId="77777777" w:rsidR="00BD776B" w:rsidRDefault="00DF0C24">
            <w:pPr>
              <w:widowControl/>
              <w:spacing w:line="240" w:lineRule="exact"/>
              <w:jc w:val="center"/>
            </w:pPr>
            <w:r>
              <w:rPr>
                <w:rFonts w:ascii="標楷體" w:eastAsia="標楷體" w:hAnsi="標楷體"/>
                <w:color w:val="000000"/>
              </w:rPr>
              <w:t>Scratching/Excoriation</w:t>
            </w:r>
          </w:p>
          <w:p w14:paraId="62D33FF6" w14:textId="77777777" w:rsidR="00BD776B" w:rsidRDefault="00DF0C24">
            <w:pPr>
              <w:widowControl/>
              <w:spacing w:line="240" w:lineRule="exact"/>
              <w:jc w:val="center"/>
            </w:pPr>
            <w:r>
              <w:rPr>
                <w:rFonts w:ascii="標楷體" w:eastAsia="標楷體" w:hAnsi="標楷體"/>
                <w:color w:val="000000"/>
              </w:rPr>
              <w:t>抓痕</w:t>
            </w:r>
          </w:p>
          <w:p w14:paraId="5D499C4E" w14:textId="77777777" w:rsidR="00BD776B" w:rsidRDefault="00DF0C24">
            <w:pPr>
              <w:widowControl/>
              <w:spacing w:line="240" w:lineRule="exact"/>
              <w:jc w:val="center"/>
            </w:pPr>
            <w:r>
              <w:rPr>
                <w:rFonts w:ascii="標楷體" w:eastAsia="標楷體" w:hAnsi="標楷體"/>
                <w:b/>
                <w:bCs/>
                <w:color w:val="000000"/>
              </w:rPr>
              <w:t>(0-3)</w:t>
            </w:r>
          </w:p>
        </w:tc>
        <w:tc>
          <w:tcPr>
            <w:tcW w:w="1843"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6BFE314D" w14:textId="77777777" w:rsidR="00BD776B" w:rsidRDefault="00DF0C24">
            <w:pPr>
              <w:widowControl/>
              <w:spacing w:line="240" w:lineRule="exact"/>
              <w:jc w:val="center"/>
            </w:pPr>
            <w:r>
              <w:rPr>
                <w:rFonts w:ascii="標楷體" w:eastAsia="標楷體" w:hAnsi="標楷體"/>
                <w:color w:val="000000"/>
              </w:rPr>
              <w:t>Lichenification</w:t>
            </w:r>
          </w:p>
          <w:p w14:paraId="11B6566E" w14:textId="77777777" w:rsidR="00BD776B" w:rsidRDefault="00BD776B">
            <w:pPr>
              <w:widowControl/>
              <w:spacing w:line="240" w:lineRule="exact"/>
              <w:jc w:val="center"/>
              <w:rPr>
                <w:rFonts w:ascii="標楷體" w:eastAsia="標楷體" w:hAnsi="標楷體"/>
                <w:color w:val="000000"/>
              </w:rPr>
            </w:pPr>
          </w:p>
          <w:p w14:paraId="1B1E6C64" w14:textId="77777777" w:rsidR="00BD776B" w:rsidRDefault="00DF0C24">
            <w:pPr>
              <w:widowControl/>
              <w:spacing w:line="240" w:lineRule="exact"/>
              <w:jc w:val="center"/>
            </w:pPr>
            <w:r>
              <w:rPr>
                <w:rFonts w:ascii="標楷體" w:eastAsia="標楷體" w:hAnsi="標楷體"/>
                <w:color w:val="000000"/>
              </w:rPr>
              <w:t>苔癬化</w:t>
            </w:r>
          </w:p>
          <w:p w14:paraId="7930F52B" w14:textId="77777777" w:rsidR="00BD776B" w:rsidRDefault="00DF0C24">
            <w:pPr>
              <w:widowControl/>
              <w:spacing w:line="240" w:lineRule="exact"/>
              <w:jc w:val="center"/>
            </w:pPr>
            <w:r>
              <w:rPr>
                <w:rFonts w:ascii="標楷體" w:eastAsia="標楷體" w:hAnsi="標楷體"/>
                <w:b/>
                <w:bCs/>
                <w:color w:val="000000"/>
              </w:rPr>
              <w:t>(0-3)</w:t>
            </w:r>
          </w:p>
        </w:tc>
        <w:tc>
          <w:tcPr>
            <w:tcW w:w="1134"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663A5F57" w14:textId="77777777" w:rsidR="00BD776B" w:rsidRDefault="00DF0C24">
            <w:pPr>
              <w:widowControl/>
              <w:spacing w:line="240" w:lineRule="exact"/>
              <w:jc w:val="center"/>
            </w:pPr>
            <w:r>
              <w:rPr>
                <w:rFonts w:ascii="標楷體" w:eastAsia="標楷體" w:hAnsi="標楷體"/>
                <w:color w:val="000000"/>
              </w:rPr>
              <w:t>Region score</w:t>
            </w:r>
          </w:p>
          <w:p w14:paraId="68687C06" w14:textId="77777777" w:rsidR="00BD776B" w:rsidRDefault="00DF0C24">
            <w:pPr>
              <w:widowControl/>
              <w:spacing w:line="240" w:lineRule="exact"/>
              <w:jc w:val="center"/>
            </w:pPr>
            <w:r>
              <w:rPr>
                <w:rFonts w:ascii="標楷體" w:eastAsia="標楷體" w:hAnsi="標楷體"/>
                <w:color w:val="000000"/>
              </w:rPr>
              <w:t>面積分數</w:t>
            </w:r>
          </w:p>
          <w:p w14:paraId="0B6ACFD8" w14:textId="77777777" w:rsidR="00BD776B" w:rsidRDefault="00DF0C24">
            <w:pPr>
              <w:widowControl/>
              <w:spacing w:line="240" w:lineRule="exact"/>
              <w:jc w:val="center"/>
            </w:pPr>
            <w:r>
              <w:rPr>
                <w:rFonts w:ascii="標楷體" w:eastAsia="標楷體" w:hAnsi="標楷體"/>
                <w:b/>
                <w:bCs/>
                <w:color w:val="000000"/>
              </w:rPr>
              <w:t>(0-6)</w:t>
            </w:r>
          </w:p>
        </w:tc>
        <w:tc>
          <w:tcPr>
            <w:tcW w:w="1276"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1BB446E5" w14:textId="77777777" w:rsidR="00BD776B" w:rsidRDefault="00DF0C24">
            <w:pPr>
              <w:widowControl/>
              <w:spacing w:line="240" w:lineRule="exact"/>
              <w:jc w:val="center"/>
            </w:pPr>
            <w:r>
              <w:rPr>
                <w:rFonts w:ascii="標楷體" w:eastAsia="標楷體" w:hAnsi="標楷體"/>
                <w:color w:val="000000"/>
              </w:rPr>
              <w:t>Multiplier</w:t>
            </w:r>
          </w:p>
          <w:p w14:paraId="6E108639" w14:textId="77777777" w:rsidR="00BD776B" w:rsidRDefault="00BD776B">
            <w:pPr>
              <w:widowControl/>
              <w:spacing w:line="240" w:lineRule="exact"/>
              <w:jc w:val="center"/>
              <w:rPr>
                <w:rFonts w:ascii="標楷體" w:eastAsia="標楷體" w:hAnsi="標楷體"/>
                <w:color w:val="000000"/>
              </w:rPr>
            </w:pPr>
          </w:p>
          <w:p w14:paraId="0AFA1A0B" w14:textId="77777777" w:rsidR="00BD776B" w:rsidRDefault="00DF0C24">
            <w:pPr>
              <w:widowControl/>
              <w:spacing w:line="240" w:lineRule="exact"/>
              <w:jc w:val="center"/>
            </w:pPr>
            <w:r>
              <w:rPr>
                <w:rFonts w:ascii="標楷體" w:eastAsia="標楷體" w:hAnsi="標楷體"/>
                <w:color w:val="000000"/>
              </w:rPr>
              <w:t>乘數</w:t>
            </w:r>
          </w:p>
        </w:tc>
        <w:tc>
          <w:tcPr>
            <w:tcW w:w="850"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37C5C9AD" w14:textId="77777777" w:rsidR="00BD776B" w:rsidRDefault="00DF0C24">
            <w:pPr>
              <w:widowControl/>
              <w:spacing w:line="240" w:lineRule="exact"/>
              <w:jc w:val="center"/>
            </w:pPr>
            <w:r>
              <w:rPr>
                <w:rFonts w:ascii="標楷體" w:eastAsia="標楷體" w:hAnsi="標楷體"/>
                <w:color w:val="000000"/>
              </w:rPr>
              <w:t>身體部位分數</w:t>
            </w:r>
          </w:p>
        </w:tc>
      </w:tr>
      <w:tr w:rsidR="00BD776B" w14:paraId="1081FC6A"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7D06B680" w14:textId="77777777" w:rsidR="00BD776B" w:rsidRDefault="00DF0C24">
            <w:pPr>
              <w:widowControl/>
              <w:spacing w:before="100" w:line="240" w:lineRule="exact"/>
            </w:pPr>
            <w:r>
              <w:rPr>
                <w:rFonts w:ascii="標楷體" w:eastAsia="標楷體" w:hAnsi="標楷體"/>
                <w:color w:val="000000"/>
              </w:rPr>
              <w:t>Head/neck 頭/頸</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594381A"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2238EAA1"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7C8DEA44"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6B61335A"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AFBFF41"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007C2853" w14:textId="77777777" w:rsidR="00BD776B" w:rsidRDefault="00DF0C24">
            <w:pPr>
              <w:widowControl/>
              <w:spacing w:before="100" w:line="240" w:lineRule="exact"/>
              <w:jc w:val="center"/>
            </w:pPr>
            <w:r>
              <w:rPr>
                <w:rFonts w:ascii="標楷體" w:eastAsia="標楷體" w:hAnsi="標楷體"/>
                <w:b/>
                <w:bCs/>
                <w:color w:val="000000"/>
              </w:rPr>
              <w:t>× 0.1</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3623A51C"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18A856C2"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65BD3A42" w14:textId="77777777" w:rsidR="00BD776B" w:rsidRDefault="00DF0C24">
            <w:pPr>
              <w:widowControl/>
              <w:spacing w:before="100" w:line="240" w:lineRule="exact"/>
            </w:pPr>
            <w:r>
              <w:rPr>
                <w:rFonts w:ascii="標楷體" w:eastAsia="標楷體" w:hAnsi="標楷體"/>
                <w:color w:val="000000"/>
              </w:rPr>
              <w:t xml:space="preserve">Trunk </w:t>
            </w:r>
          </w:p>
          <w:p w14:paraId="2770E852" w14:textId="77777777" w:rsidR="00BD776B" w:rsidRDefault="00DF0C24">
            <w:pPr>
              <w:widowControl/>
              <w:spacing w:line="240" w:lineRule="exact"/>
            </w:pPr>
            <w:r>
              <w:rPr>
                <w:rFonts w:ascii="標楷體" w:eastAsia="標楷體" w:hAnsi="標楷體"/>
                <w:color w:val="000000"/>
              </w:rPr>
              <w:t>軀幹</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318D4C4F"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14B54739"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097A04FE"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291E28FD"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5174BE7"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69C79629" w14:textId="77777777" w:rsidR="00BD776B" w:rsidRDefault="00DF0C24">
            <w:pPr>
              <w:widowControl/>
              <w:spacing w:before="100" w:line="240" w:lineRule="exact"/>
              <w:jc w:val="center"/>
            </w:pPr>
            <w:r>
              <w:rPr>
                <w:rFonts w:ascii="標楷體" w:eastAsia="標楷體" w:hAnsi="標楷體"/>
                <w:b/>
                <w:bCs/>
                <w:color w:val="000000"/>
              </w:rPr>
              <w:t>× 0.3</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28D89A68"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7B48D948"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0D151530" w14:textId="77777777" w:rsidR="00BD776B" w:rsidRDefault="00DF0C24">
            <w:pPr>
              <w:widowControl/>
              <w:spacing w:before="100" w:line="240" w:lineRule="exact"/>
            </w:pPr>
            <w:r>
              <w:rPr>
                <w:rFonts w:ascii="標楷體" w:eastAsia="標楷體" w:hAnsi="標楷體"/>
                <w:color w:val="000000"/>
              </w:rPr>
              <w:t>Upper limbs上肢</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7CDA9B90"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698EEE4D"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2B58FE14"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101813A5"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6B65445"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1BCB9ECE" w14:textId="77777777" w:rsidR="00BD776B" w:rsidRDefault="00DF0C24">
            <w:pPr>
              <w:widowControl/>
              <w:spacing w:before="100" w:line="240" w:lineRule="exact"/>
              <w:jc w:val="center"/>
            </w:pPr>
            <w:r>
              <w:rPr>
                <w:rFonts w:ascii="標楷體" w:eastAsia="標楷體" w:hAnsi="標楷體"/>
                <w:b/>
                <w:bCs/>
                <w:color w:val="000000"/>
              </w:rPr>
              <w:t>× 0.2</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6D98001A"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303F11FD"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34C49877" w14:textId="77777777" w:rsidR="00BD776B" w:rsidRDefault="00DF0C24">
            <w:pPr>
              <w:widowControl/>
              <w:spacing w:before="100" w:line="240" w:lineRule="exact"/>
            </w:pPr>
            <w:r>
              <w:rPr>
                <w:rFonts w:ascii="標楷體" w:eastAsia="標楷體" w:hAnsi="標楷體"/>
                <w:color w:val="000000"/>
              </w:rPr>
              <w:t>Lower limbs下肢</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7519EA10"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7E356A09"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6231CFC8"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2BFD16E1"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27638CCF"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311D9739" w14:textId="77777777" w:rsidR="00BD776B" w:rsidRDefault="00DF0C24">
            <w:pPr>
              <w:widowControl/>
              <w:spacing w:before="100" w:line="240" w:lineRule="exact"/>
              <w:jc w:val="center"/>
            </w:pPr>
            <w:r>
              <w:rPr>
                <w:rFonts w:ascii="標楷體" w:eastAsia="標楷體" w:hAnsi="標楷體"/>
                <w:b/>
                <w:bCs/>
                <w:color w:val="000000"/>
              </w:rPr>
              <w:t>× 0.4</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573F3E1F"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741A23DF" w14:textId="77777777">
        <w:trPr>
          <w:trHeight w:val="728"/>
          <w:jc w:val="center"/>
        </w:trPr>
        <w:tc>
          <w:tcPr>
            <w:tcW w:w="9488" w:type="dxa"/>
            <w:gridSpan w:val="7"/>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7EA1F1DF" w14:textId="77777777" w:rsidR="00BD776B" w:rsidRDefault="00DF0C24">
            <w:pPr>
              <w:widowControl/>
              <w:spacing w:before="100" w:line="276" w:lineRule="auto"/>
              <w:jc w:val="right"/>
            </w:pPr>
            <w:r>
              <w:rPr>
                <w:rFonts w:ascii="標楷體" w:eastAsia="標楷體" w:hAnsi="標楷體"/>
                <w:color w:val="000000"/>
              </w:rPr>
              <w:t>EASI總分由四項身體部位分數加總</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25C8E57C" w14:textId="77777777" w:rsidR="00BD776B" w:rsidRDefault="00DF0C24">
            <w:pPr>
              <w:widowControl/>
              <w:spacing w:line="240" w:lineRule="exact"/>
              <w:rPr>
                <w:rFonts w:ascii="標楷體" w:eastAsia="標楷體" w:hAnsi="標楷體"/>
                <w:color w:val="000000"/>
              </w:rPr>
            </w:pPr>
            <w:r>
              <w:rPr>
                <w:rFonts w:ascii="標楷體" w:eastAsia="標楷體" w:hAnsi="標楷體"/>
                <w:color w:val="000000"/>
              </w:rPr>
              <w:t> </w:t>
            </w:r>
          </w:p>
          <w:p w14:paraId="27188810" w14:textId="77777777" w:rsidR="00BD776B" w:rsidRDefault="00DF0C24">
            <w:pPr>
              <w:widowControl/>
              <w:spacing w:line="240" w:lineRule="exact"/>
              <w:rPr>
                <w:rFonts w:ascii="標楷體" w:eastAsia="標楷體" w:hAnsi="標楷體"/>
                <w:color w:val="000000"/>
              </w:rPr>
            </w:pPr>
            <w:r>
              <w:rPr>
                <w:rFonts w:ascii="標楷體" w:eastAsia="標楷體" w:hAnsi="標楷體"/>
                <w:color w:val="000000"/>
              </w:rPr>
              <w:t xml:space="preserve">      </w:t>
            </w:r>
          </w:p>
          <w:p w14:paraId="73288242" w14:textId="77777777" w:rsidR="00BD776B" w:rsidRDefault="00DF0C24">
            <w:pPr>
              <w:widowControl/>
              <w:spacing w:before="100" w:line="240" w:lineRule="exact"/>
            </w:pPr>
            <w:r>
              <w:rPr>
                <w:rFonts w:ascii="標楷體" w:eastAsia="標楷體" w:hAnsi="標楷體"/>
                <w:b/>
                <w:bCs/>
                <w:color w:val="000000"/>
              </w:rPr>
              <w:t>(0-72)</w:t>
            </w:r>
          </w:p>
        </w:tc>
      </w:tr>
    </w:tbl>
    <w:p w14:paraId="29DF12A1" w14:textId="77777777" w:rsidR="00BD776B" w:rsidRDefault="00DF0C24">
      <w:pPr>
        <w:widowControl/>
        <w:spacing w:before="100" w:after="142" w:line="320" w:lineRule="exact"/>
      </w:pPr>
      <w:r>
        <w:rPr>
          <w:rFonts w:ascii="標楷體" w:eastAsia="標楷體" w:hAnsi="標楷體"/>
          <w:b/>
          <w:bCs/>
          <w:color w:val="000000"/>
        </w:rPr>
        <w:t>EASI = 0.1 (Red＋Edema＋Scratch＋Lichenification)×(頭部%)＋0.3 (Red＋Edema＋Scratch＋Lichenification)×(軀幹%)＋0.2 (Red＋Edema＋Scratch＋Lichenification)×(上肢%)＋0.4(Red＋Edema＋Scratch＋Lichenification)×(下肢%)</w:t>
      </w:r>
    </w:p>
    <w:p w14:paraId="6DDA84A0" w14:textId="77777777" w:rsidR="00BD776B" w:rsidRDefault="00BD776B">
      <w:pPr>
        <w:widowControl/>
        <w:spacing w:before="100" w:after="142" w:line="276" w:lineRule="auto"/>
        <w:rPr>
          <w:rFonts w:ascii="標楷體" w:eastAsia="標楷體" w:hAnsi="標楷體"/>
          <w:b/>
          <w:bCs/>
          <w:color w:val="000000"/>
        </w:rPr>
      </w:pPr>
    </w:p>
    <w:p w14:paraId="731EDBAB" w14:textId="77777777" w:rsidR="00BD776B" w:rsidRDefault="00BD776B">
      <w:pPr>
        <w:widowControl/>
        <w:spacing w:before="100" w:after="142" w:line="276" w:lineRule="auto"/>
        <w:rPr>
          <w:rFonts w:ascii="標楷體" w:eastAsia="標楷體" w:hAnsi="標楷體"/>
          <w:b/>
          <w:bCs/>
          <w:color w:val="000000"/>
        </w:rPr>
      </w:pPr>
    </w:p>
    <w:p w14:paraId="01DE1E8B" w14:textId="77777777" w:rsidR="00BD776B" w:rsidRDefault="00DF0C24">
      <w:pPr>
        <w:widowControl/>
        <w:spacing w:before="100" w:after="142" w:line="276" w:lineRule="auto"/>
      </w:pPr>
      <w:r>
        <w:rPr>
          <w:rFonts w:ascii="標楷體" w:eastAsia="標楷體" w:hAnsi="標楷體"/>
          <w:b/>
          <w:bCs/>
          <w:color w:val="000000"/>
        </w:rPr>
        <w:t>未滿8歲病人：</w:t>
      </w:r>
    </w:p>
    <w:tbl>
      <w:tblPr>
        <w:tblW w:w="10338" w:type="dxa"/>
        <w:jc w:val="center"/>
        <w:tblLayout w:type="fixed"/>
        <w:tblCellMar>
          <w:left w:w="10" w:type="dxa"/>
          <w:right w:w="10" w:type="dxa"/>
        </w:tblCellMar>
        <w:tblLook w:val="0000" w:firstRow="0" w:lastRow="0" w:firstColumn="0" w:lastColumn="0" w:noHBand="0" w:noVBand="0"/>
      </w:tblPr>
      <w:tblGrid>
        <w:gridCol w:w="1217"/>
        <w:gridCol w:w="1134"/>
        <w:gridCol w:w="1417"/>
        <w:gridCol w:w="1467"/>
        <w:gridCol w:w="1843"/>
        <w:gridCol w:w="1134"/>
        <w:gridCol w:w="1276"/>
        <w:gridCol w:w="850"/>
      </w:tblGrid>
      <w:tr w:rsidR="00BD776B" w14:paraId="2FAE6ACC" w14:textId="77777777">
        <w:trPr>
          <w:jc w:val="center"/>
        </w:trPr>
        <w:tc>
          <w:tcPr>
            <w:tcW w:w="12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14671DE" w14:textId="77777777" w:rsidR="00BD776B" w:rsidRDefault="00DF0C24">
            <w:pPr>
              <w:widowControl/>
              <w:spacing w:line="240" w:lineRule="exact"/>
              <w:jc w:val="center"/>
            </w:pPr>
            <w:r>
              <w:rPr>
                <w:rFonts w:ascii="標楷體" w:eastAsia="標楷體" w:hAnsi="標楷體"/>
                <w:color w:val="000000"/>
              </w:rPr>
              <w:t>身體部位</w:t>
            </w:r>
          </w:p>
        </w:tc>
        <w:tc>
          <w:tcPr>
            <w:tcW w:w="1134"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468B3468" w14:textId="77777777" w:rsidR="00BD776B" w:rsidRDefault="00DF0C24">
            <w:pPr>
              <w:widowControl/>
              <w:spacing w:line="240" w:lineRule="exact"/>
              <w:jc w:val="center"/>
              <w:rPr>
                <w:rFonts w:ascii="標楷體" w:eastAsia="標楷體" w:hAnsi="標楷體"/>
                <w:color w:val="000000"/>
              </w:rPr>
            </w:pPr>
            <w:r>
              <w:rPr>
                <w:rFonts w:ascii="標楷體" w:eastAsia="標楷體" w:hAnsi="標楷體"/>
                <w:color w:val="000000"/>
              </w:rPr>
              <w:t>Redness/</w:t>
            </w:r>
          </w:p>
          <w:p w14:paraId="656653B1" w14:textId="77777777" w:rsidR="00BD776B" w:rsidRDefault="00DF0C24">
            <w:pPr>
              <w:widowControl/>
              <w:spacing w:line="240" w:lineRule="exact"/>
              <w:jc w:val="center"/>
            </w:pPr>
            <w:r>
              <w:rPr>
                <w:rFonts w:ascii="標楷體" w:eastAsia="標楷體" w:hAnsi="標楷體"/>
                <w:color w:val="000000"/>
              </w:rPr>
              <w:t>Erythema</w:t>
            </w:r>
          </w:p>
          <w:p w14:paraId="21A5AC4E" w14:textId="77777777" w:rsidR="00BD776B" w:rsidRDefault="00DF0C24">
            <w:pPr>
              <w:widowControl/>
              <w:spacing w:line="240" w:lineRule="exact"/>
              <w:jc w:val="center"/>
            </w:pPr>
            <w:r>
              <w:rPr>
                <w:rFonts w:ascii="標楷體" w:eastAsia="標楷體" w:hAnsi="標楷體"/>
                <w:color w:val="000000"/>
              </w:rPr>
              <w:t>發紅</w:t>
            </w:r>
          </w:p>
          <w:p w14:paraId="6BD0019A" w14:textId="77777777" w:rsidR="00BD776B" w:rsidRDefault="00DF0C24">
            <w:pPr>
              <w:widowControl/>
              <w:spacing w:line="240" w:lineRule="exact"/>
              <w:jc w:val="center"/>
            </w:pPr>
            <w:r>
              <w:rPr>
                <w:rFonts w:ascii="標楷體" w:eastAsia="標楷體" w:hAnsi="標楷體"/>
                <w:b/>
                <w:bCs/>
                <w:color w:val="000000"/>
              </w:rPr>
              <w:t>(0-3)</w:t>
            </w:r>
          </w:p>
        </w:tc>
        <w:tc>
          <w:tcPr>
            <w:tcW w:w="1417"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25DA65E9" w14:textId="77777777" w:rsidR="00BD776B" w:rsidRDefault="00DF0C24">
            <w:pPr>
              <w:widowControl/>
              <w:spacing w:line="240" w:lineRule="exact"/>
              <w:jc w:val="center"/>
            </w:pPr>
            <w:r>
              <w:rPr>
                <w:rFonts w:ascii="標楷體" w:eastAsia="標楷體" w:hAnsi="標楷體"/>
                <w:color w:val="000000"/>
              </w:rPr>
              <w:t>Edema/</w:t>
            </w:r>
          </w:p>
          <w:p w14:paraId="468463F3" w14:textId="77777777" w:rsidR="00BD776B" w:rsidRDefault="00DF0C24">
            <w:pPr>
              <w:widowControl/>
              <w:spacing w:line="240" w:lineRule="exact"/>
              <w:jc w:val="center"/>
            </w:pPr>
            <w:r>
              <w:rPr>
                <w:rFonts w:ascii="標楷體" w:eastAsia="標楷體" w:hAnsi="標楷體"/>
                <w:color w:val="000000"/>
              </w:rPr>
              <w:t>Papulation</w:t>
            </w:r>
          </w:p>
          <w:p w14:paraId="5FFB45FB" w14:textId="77777777" w:rsidR="00BD776B" w:rsidRDefault="00DF0C24">
            <w:pPr>
              <w:widowControl/>
              <w:spacing w:line="240" w:lineRule="exact"/>
              <w:jc w:val="center"/>
            </w:pPr>
            <w:r>
              <w:rPr>
                <w:rFonts w:ascii="標楷體" w:eastAsia="標楷體" w:hAnsi="標楷體"/>
                <w:color w:val="000000"/>
              </w:rPr>
              <w:t>浮腫/丘疹</w:t>
            </w:r>
          </w:p>
          <w:p w14:paraId="45B88CD1" w14:textId="77777777" w:rsidR="00BD776B" w:rsidRDefault="00DF0C24">
            <w:pPr>
              <w:widowControl/>
              <w:spacing w:line="240" w:lineRule="exact"/>
              <w:jc w:val="center"/>
            </w:pPr>
            <w:r>
              <w:rPr>
                <w:rFonts w:ascii="標楷體" w:eastAsia="標楷體" w:hAnsi="標楷體"/>
                <w:b/>
                <w:bCs/>
                <w:color w:val="000000"/>
              </w:rPr>
              <w:t>(0-3)</w:t>
            </w:r>
          </w:p>
        </w:tc>
        <w:tc>
          <w:tcPr>
            <w:tcW w:w="1467"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53FF1793" w14:textId="77777777" w:rsidR="00BD776B" w:rsidRDefault="00DF0C24">
            <w:pPr>
              <w:widowControl/>
              <w:spacing w:line="240" w:lineRule="exact"/>
              <w:jc w:val="center"/>
            </w:pPr>
            <w:r>
              <w:rPr>
                <w:rFonts w:ascii="標楷體" w:eastAsia="標楷體" w:hAnsi="標楷體"/>
                <w:color w:val="000000"/>
              </w:rPr>
              <w:t>Scratching/Excoriation</w:t>
            </w:r>
          </w:p>
          <w:p w14:paraId="7C384095" w14:textId="77777777" w:rsidR="00BD776B" w:rsidRDefault="00DF0C24">
            <w:pPr>
              <w:widowControl/>
              <w:spacing w:line="240" w:lineRule="exact"/>
              <w:jc w:val="center"/>
            </w:pPr>
            <w:r>
              <w:rPr>
                <w:rFonts w:ascii="標楷體" w:eastAsia="標楷體" w:hAnsi="標楷體"/>
                <w:color w:val="000000"/>
              </w:rPr>
              <w:t>抓痕</w:t>
            </w:r>
          </w:p>
          <w:p w14:paraId="1512A0B3" w14:textId="77777777" w:rsidR="00BD776B" w:rsidRDefault="00DF0C24">
            <w:pPr>
              <w:widowControl/>
              <w:spacing w:line="240" w:lineRule="exact"/>
              <w:jc w:val="center"/>
            </w:pPr>
            <w:r>
              <w:rPr>
                <w:rFonts w:ascii="標楷體" w:eastAsia="標楷體" w:hAnsi="標楷體"/>
                <w:b/>
                <w:bCs/>
                <w:color w:val="000000"/>
              </w:rPr>
              <w:t>(0-3)</w:t>
            </w:r>
          </w:p>
        </w:tc>
        <w:tc>
          <w:tcPr>
            <w:tcW w:w="1843"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06AB9D37" w14:textId="77777777" w:rsidR="00BD776B" w:rsidRDefault="00DF0C24">
            <w:pPr>
              <w:widowControl/>
              <w:spacing w:line="240" w:lineRule="exact"/>
              <w:jc w:val="center"/>
            </w:pPr>
            <w:r>
              <w:rPr>
                <w:rFonts w:ascii="標楷體" w:eastAsia="標楷體" w:hAnsi="標楷體"/>
                <w:color w:val="000000"/>
              </w:rPr>
              <w:t>Lichenification</w:t>
            </w:r>
          </w:p>
          <w:p w14:paraId="00BB0493" w14:textId="77777777" w:rsidR="00BD776B" w:rsidRDefault="00BD776B">
            <w:pPr>
              <w:widowControl/>
              <w:spacing w:line="240" w:lineRule="exact"/>
              <w:jc w:val="center"/>
              <w:rPr>
                <w:rFonts w:ascii="標楷體" w:eastAsia="標楷體" w:hAnsi="標楷體"/>
                <w:color w:val="000000"/>
              </w:rPr>
            </w:pPr>
          </w:p>
          <w:p w14:paraId="21AB3AB8" w14:textId="77777777" w:rsidR="00BD776B" w:rsidRDefault="00DF0C24">
            <w:pPr>
              <w:widowControl/>
              <w:spacing w:line="240" w:lineRule="exact"/>
              <w:jc w:val="center"/>
            </w:pPr>
            <w:r>
              <w:rPr>
                <w:rFonts w:ascii="標楷體" w:eastAsia="標楷體" w:hAnsi="標楷體"/>
                <w:color w:val="000000"/>
              </w:rPr>
              <w:t>苔癬化</w:t>
            </w:r>
          </w:p>
          <w:p w14:paraId="40F86AFA" w14:textId="77777777" w:rsidR="00BD776B" w:rsidRDefault="00DF0C24">
            <w:pPr>
              <w:widowControl/>
              <w:spacing w:line="240" w:lineRule="exact"/>
              <w:jc w:val="center"/>
            </w:pPr>
            <w:r>
              <w:rPr>
                <w:rFonts w:ascii="標楷體" w:eastAsia="標楷體" w:hAnsi="標楷體"/>
                <w:b/>
                <w:bCs/>
                <w:color w:val="000000"/>
              </w:rPr>
              <w:t>(0-3)</w:t>
            </w:r>
          </w:p>
        </w:tc>
        <w:tc>
          <w:tcPr>
            <w:tcW w:w="1134"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152CDEC3" w14:textId="77777777" w:rsidR="00BD776B" w:rsidRDefault="00DF0C24">
            <w:pPr>
              <w:widowControl/>
              <w:spacing w:line="240" w:lineRule="exact"/>
              <w:jc w:val="center"/>
            </w:pPr>
            <w:r>
              <w:rPr>
                <w:rFonts w:ascii="標楷體" w:eastAsia="標楷體" w:hAnsi="標楷體"/>
                <w:color w:val="000000"/>
              </w:rPr>
              <w:t>Region score</w:t>
            </w:r>
          </w:p>
          <w:p w14:paraId="756AAA37" w14:textId="77777777" w:rsidR="00BD776B" w:rsidRDefault="00DF0C24">
            <w:pPr>
              <w:widowControl/>
              <w:spacing w:line="240" w:lineRule="exact"/>
              <w:jc w:val="center"/>
            </w:pPr>
            <w:r>
              <w:rPr>
                <w:rFonts w:ascii="標楷體" w:eastAsia="標楷體" w:hAnsi="標楷體"/>
                <w:color w:val="000000"/>
              </w:rPr>
              <w:t>面積分數</w:t>
            </w:r>
          </w:p>
          <w:p w14:paraId="1810F5D8" w14:textId="77777777" w:rsidR="00BD776B" w:rsidRDefault="00DF0C24">
            <w:pPr>
              <w:widowControl/>
              <w:spacing w:line="240" w:lineRule="exact"/>
              <w:jc w:val="center"/>
            </w:pPr>
            <w:r>
              <w:rPr>
                <w:rFonts w:ascii="標楷體" w:eastAsia="標楷體" w:hAnsi="標楷體"/>
                <w:b/>
                <w:bCs/>
                <w:color w:val="000000"/>
              </w:rPr>
              <w:t>(0-6)</w:t>
            </w:r>
          </w:p>
        </w:tc>
        <w:tc>
          <w:tcPr>
            <w:tcW w:w="1276"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5DB42EAB" w14:textId="77777777" w:rsidR="00BD776B" w:rsidRDefault="00DF0C24">
            <w:pPr>
              <w:widowControl/>
              <w:spacing w:line="240" w:lineRule="exact"/>
              <w:jc w:val="center"/>
            </w:pPr>
            <w:r>
              <w:rPr>
                <w:rFonts w:ascii="標楷體" w:eastAsia="標楷體" w:hAnsi="標楷體"/>
                <w:color w:val="000000"/>
              </w:rPr>
              <w:t>Multiplier</w:t>
            </w:r>
          </w:p>
          <w:p w14:paraId="646F2FBC" w14:textId="77777777" w:rsidR="00BD776B" w:rsidRDefault="00BD776B">
            <w:pPr>
              <w:widowControl/>
              <w:spacing w:line="240" w:lineRule="exact"/>
              <w:jc w:val="center"/>
              <w:rPr>
                <w:rFonts w:ascii="標楷體" w:eastAsia="標楷體" w:hAnsi="標楷體"/>
                <w:color w:val="000000"/>
              </w:rPr>
            </w:pPr>
          </w:p>
          <w:p w14:paraId="1887226E" w14:textId="77777777" w:rsidR="00BD776B" w:rsidRDefault="00DF0C24">
            <w:pPr>
              <w:widowControl/>
              <w:spacing w:line="240" w:lineRule="exact"/>
              <w:jc w:val="center"/>
            </w:pPr>
            <w:r>
              <w:rPr>
                <w:rFonts w:ascii="標楷體" w:eastAsia="標楷體" w:hAnsi="標楷體"/>
                <w:color w:val="000000"/>
              </w:rPr>
              <w:t>乘數</w:t>
            </w:r>
          </w:p>
        </w:tc>
        <w:tc>
          <w:tcPr>
            <w:tcW w:w="850"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1340955A" w14:textId="77777777" w:rsidR="00BD776B" w:rsidRDefault="00DF0C24">
            <w:pPr>
              <w:widowControl/>
              <w:spacing w:line="240" w:lineRule="exact"/>
              <w:jc w:val="center"/>
            </w:pPr>
            <w:r>
              <w:rPr>
                <w:rFonts w:ascii="標楷體" w:eastAsia="標楷體" w:hAnsi="標楷體"/>
                <w:color w:val="000000"/>
              </w:rPr>
              <w:t>身體部位分數</w:t>
            </w:r>
          </w:p>
        </w:tc>
      </w:tr>
      <w:tr w:rsidR="00BD776B" w14:paraId="07F541D4"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5143EA6D" w14:textId="77777777" w:rsidR="00BD776B" w:rsidRDefault="00DF0C24">
            <w:pPr>
              <w:widowControl/>
              <w:spacing w:before="100" w:line="240" w:lineRule="exact"/>
            </w:pPr>
            <w:r>
              <w:rPr>
                <w:rFonts w:ascii="標楷體" w:eastAsia="標楷體" w:hAnsi="標楷體"/>
                <w:color w:val="000000"/>
              </w:rPr>
              <w:t>Head/neck 頭/頸</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35853B07"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533656CE"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66ACFFD0"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15DECCBF"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1F616A5E"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773A6DB7" w14:textId="77777777" w:rsidR="00BD776B" w:rsidRDefault="00DF0C24">
            <w:pPr>
              <w:widowControl/>
              <w:spacing w:before="100" w:line="240" w:lineRule="exact"/>
              <w:jc w:val="center"/>
            </w:pPr>
            <w:r>
              <w:rPr>
                <w:rFonts w:ascii="標楷體" w:eastAsia="標楷體" w:hAnsi="標楷體"/>
                <w:b/>
                <w:bCs/>
                <w:color w:val="000000"/>
              </w:rPr>
              <w:t>× 0.2</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178FEFF5"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393F6DA5"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66EB21DA" w14:textId="77777777" w:rsidR="00BD776B" w:rsidRDefault="00DF0C24">
            <w:pPr>
              <w:widowControl/>
              <w:spacing w:before="100" w:line="240" w:lineRule="exact"/>
            </w:pPr>
            <w:r>
              <w:rPr>
                <w:rFonts w:ascii="標楷體" w:eastAsia="標楷體" w:hAnsi="標楷體"/>
                <w:color w:val="000000"/>
              </w:rPr>
              <w:t xml:space="preserve">Trunk </w:t>
            </w:r>
          </w:p>
          <w:p w14:paraId="657E9F1B" w14:textId="77777777" w:rsidR="00BD776B" w:rsidRDefault="00DF0C24">
            <w:pPr>
              <w:widowControl/>
              <w:spacing w:line="240" w:lineRule="exact"/>
            </w:pPr>
            <w:r>
              <w:rPr>
                <w:rFonts w:ascii="標楷體" w:eastAsia="標楷體" w:hAnsi="標楷體"/>
                <w:color w:val="000000"/>
              </w:rPr>
              <w:t>軀幹</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45AAB2C3"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4098C885"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40515C73"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0C548238"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21145B0A"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24F5470E" w14:textId="77777777" w:rsidR="00BD776B" w:rsidRDefault="00DF0C24">
            <w:pPr>
              <w:widowControl/>
              <w:spacing w:before="100" w:line="240" w:lineRule="exact"/>
              <w:jc w:val="center"/>
            </w:pPr>
            <w:r>
              <w:rPr>
                <w:rFonts w:ascii="標楷體" w:eastAsia="標楷體" w:hAnsi="標楷體"/>
                <w:b/>
                <w:bCs/>
                <w:color w:val="000000"/>
              </w:rPr>
              <w:t>× 0.3</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70B3B54E"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513ACC3A"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515E139B" w14:textId="77777777" w:rsidR="00BD776B" w:rsidRDefault="00DF0C24">
            <w:pPr>
              <w:widowControl/>
              <w:spacing w:before="100" w:line="240" w:lineRule="exact"/>
            </w:pPr>
            <w:r>
              <w:rPr>
                <w:rFonts w:ascii="標楷體" w:eastAsia="標楷體" w:hAnsi="標楷體"/>
                <w:color w:val="000000"/>
              </w:rPr>
              <w:t>Upper limbs上肢</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2122F1C9"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54A262A4"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74AF1760"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7C20A9FE"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C2679AD"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3B1693D3" w14:textId="77777777" w:rsidR="00BD776B" w:rsidRDefault="00DF0C24">
            <w:pPr>
              <w:widowControl/>
              <w:spacing w:before="100" w:line="240" w:lineRule="exact"/>
              <w:jc w:val="center"/>
            </w:pPr>
            <w:r>
              <w:rPr>
                <w:rFonts w:ascii="標楷體" w:eastAsia="標楷體" w:hAnsi="標楷體"/>
                <w:b/>
                <w:bCs/>
                <w:color w:val="000000"/>
              </w:rPr>
              <w:t>× 0.2</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6C31E569"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17867B69" w14:textId="77777777">
        <w:trPr>
          <w:jc w:val="center"/>
        </w:trPr>
        <w:tc>
          <w:tcPr>
            <w:tcW w:w="121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57B9BA3D" w14:textId="77777777" w:rsidR="00BD776B" w:rsidRDefault="00DF0C24">
            <w:pPr>
              <w:widowControl/>
              <w:spacing w:before="100" w:line="240" w:lineRule="exact"/>
            </w:pPr>
            <w:r>
              <w:rPr>
                <w:rFonts w:ascii="標楷體" w:eastAsia="標楷體" w:hAnsi="標楷體"/>
                <w:color w:val="000000"/>
              </w:rPr>
              <w:t>Lower limbs下肢</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0B2AA8F4" w14:textId="77777777" w:rsidR="00BD776B" w:rsidRDefault="00DF0C24">
            <w:pPr>
              <w:widowControl/>
              <w:spacing w:before="100" w:line="240" w:lineRule="exact"/>
            </w:pPr>
            <w:r>
              <w:rPr>
                <w:rFonts w:ascii="標楷體" w:eastAsia="標楷體" w:hAnsi="標楷體"/>
                <w:color w:val="000000"/>
              </w:rPr>
              <w:t>(     +</w:t>
            </w:r>
          </w:p>
        </w:tc>
        <w:tc>
          <w:tcPr>
            <w:tcW w:w="1417" w:type="dxa"/>
            <w:tcBorders>
              <w:bottom w:val="single" w:sz="8" w:space="0" w:color="000000"/>
              <w:right w:val="single" w:sz="8" w:space="0" w:color="000000"/>
            </w:tcBorders>
            <w:shd w:val="clear" w:color="auto" w:fill="auto"/>
            <w:tcMar>
              <w:top w:w="0" w:type="dxa"/>
              <w:left w:w="0" w:type="dxa"/>
              <w:bottom w:w="28" w:type="dxa"/>
              <w:right w:w="28" w:type="dxa"/>
            </w:tcMar>
          </w:tcPr>
          <w:p w14:paraId="7EA0569A" w14:textId="77777777" w:rsidR="00BD776B" w:rsidRDefault="00DF0C24">
            <w:pPr>
              <w:widowControl/>
              <w:spacing w:before="100" w:line="240" w:lineRule="exact"/>
              <w:jc w:val="right"/>
            </w:pPr>
            <w:r>
              <w:rPr>
                <w:rFonts w:ascii="標楷體" w:eastAsia="標楷體" w:hAnsi="標楷體"/>
                <w:color w:val="000000"/>
              </w:rPr>
              <w:t>+</w:t>
            </w:r>
          </w:p>
        </w:tc>
        <w:tc>
          <w:tcPr>
            <w:tcW w:w="1467" w:type="dxa"/>
            <w:tcBorders>
              <w:bottom w:val="single" w:sz="8" w:space="0" w:color="000000"/>
              <w:right w:val="single" w:sz="8" w:space="0" w:color="000000"/>
            </w:tcBorders>
            <w:shd w:val="clear" w:color="auto" w:fill="auto"/>
            <w:tcMar>
              <w:top w:w="0" w:type="dxa"/>
              <w:left w:w="0" w:type="dxa"/>
              <w:bottom w:w="28" w:type="dxa"/>
              <w:right w:w="28" w:type="dxa"/>
            </w:tcMar>
          </w:tcPr>
          <w:p w14:paraId="68275A76" w14:textId="77777777" w:rsidR="00BD776B" w:rsidRDefault="00DF0C24">
            <w:pPr>
              <w:widowControl/>
              <w:spacing w:before="100" w:line="240" w:lineRule="exact"/>
              <w:jc w:val="right"/>
            </w:pPr>
            <w:r>
              <w:rPr>
                <w:rFonts w:ascii="標楷體" w:eastAsia="標楷體" w:hAnsi="標楷體"/>
                <w:color w:val="000000"/>
              </w:rPr>
              <w:t>+</w:t>
            </w:r>
          </w:p>
        </w:tc>
        <w:tc>
          <w:tcPr>
            <w:tcW w:w="1843" w:type="dxa"/>
            <w:tcBorders>
              <w:bottom w:val="single" w:sz="8" w:space="0" w:color="000000"/>
              <w:right w:val="single" w:sz="8" w:space="0" w:color="000000"/>
            </w:tcBorders>
            <w:shd w:val="clear" w:color="auto" w:fill="auto"/>
            <w:tcMar>
              <w:top w:w="0" w:type="dxa"/>
              <w:left w:w="0" w:type="dxa"/>
              <w:bottom w:w="28" w:type="dxa"/>
              <w:right w:w="28" w:type="dxa"/>
            </w:tcMar>
          </w:tcPr>
          <w:p w14:paraId="48C65F45" w14:textId="77777777" w:rsidR="00BD776B" w:rsidRDefault="00DF0C24">
            <w:pPr>
              <w:widowControl/>
              <w:spacing w:before="100" w:line="240" w:lineRule="exact"/>
              <w:jc w:val="right"/>
            </w:pPr>
            <w:r>
              <w:rPr>
                <w:rFonts w:ascii="標楷體" w:eastAsia="標楷體" w:hAnsi="標楷體"/>
                <w:color w:val="000000"/>
              </w:rPr>
              <w:t>)</w:t>
            </w:r>
          </w:p>
        </w:tc>
        <w:tc>
          <w:tcPr>
            <w:tcW w:w="1134" w:type="dxa"/>
            <w:tcBorders>
              <w:bottom w:val="single" w:sz="8" w:space="0" w:color="000000"/>
              <w:right w:val="single" w:sz="8" w:space="0" w:color="000000"/>
            </w:tcBorders>
            <w:shd w:val="clear" w:color="auto" w:fill="auto"/>
            <w:tcMar>
              <w:top w:w="0" w:type="dxa"/>
              <w:left w:w="0" w:type="dxa"/>
              <w:bottom w:w="28" w:type="dxa"/>
              <w:right w:w="28" w:type="dxa"/>
            </w:tcMar>
          </w:tcPr>
          <w:p w14:paraId="7D41C450" w14:textId="77777777" w:rsidR="00BD776B" w:rsidRDefault="00DF0C24">
            <w:pPr>
              <w:widowControl/>
              <w:spacing w:before="100" w:line="240" w:lineRule="exact"/>
            </w:pPr>
            <w:r>
              <w:rPr>
                <w:rFonts w:ascii="標楷體" w:eastAsia="標楷體" w:hAnsi="標楷體"/>
                <w:color w:val="000000"/>
              </w:rPr>
              <w:t>×</w:t>
            </w:r>
          </w:p>
        </w:tc>
        <w:tc>
          <w:tcPr>
            <w:tcW w:w="1276" w:type="dxa"/>
            <w:tcBorders>
              <w:bottom w:val="single" w:sz="8" w:space="0" w:color="000000"/>
              <w:right w:val="single" w:sz="8" w:space="0" w:color="000000"/>
            </w:tcBorders>
            <w:shd w:val="clear" w:color="auto" w:fill="auto"/>
            <w:tcMar>
              <w:top w:w="0" w:type="dxa"/>
              <w:left w:w="0" w:type="dxa"/>
              <w:bottom w:w="28" w:type="dxa"/>
              <w:right w:w="28" w:type="dxa"/>
            </w:tcMar>
          </w:tcPr>
          <w:p w14:paraId="5F1520A1" w14:textId="77777777" w:rsidR="00BD776B" w:rsidRDefault="00DF0C24">
            <w:pPr>
              <w:widowControl/>
              <w:spacing w:before="100" w:line="240" w:lineRule="exact"/>
              <w:jc w:val="center"/>
            </w:pPr>
            <w:r>
              <w:rPr>
                <w:rFonts w:ascii="標楷體" w:eastAsia="標楷體" w:hAnsi="標楷體"/>
                <w:b/>
                <w:bCs/>
                <w:color w:val="000000"/>
              </w:rPr>
              <w:t>× 0.3</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4891AC29" w14:textId="77777777" w:rsidR="00BD776B" w:rsidRDefault="00DF0C24">
            <w:pPr>
              <w:widowControl/>
              <w:spacing w:before="100" w:line="240" w:lineRule="exact"/>
              <w:rPr>
                <w:rFonts w:ascii="標楷體" w:eastAsia="標楷體" w:hAnsi="標楷體"/>
                <w:color w:val="000000"/>
              </w:rPr>
            </w:pPr>
            <w:r>
              <w:rPr>
                <w:rFonts w:ascii="標楷體" w:eastAsia="標楷體" w:hAnsi="標楷體"/>
                <w:color w:val="000000"/>
              </w:rPr>
              <w:t> </w:t>
            </w:r>
          </w:p>
        </w:tc>
      </w:tr>
      <w:tr w:rsidR="00BD776B" w14:paraId="1A5DFF36" w14:textId="77777777">
        <w:trPr>
          <w:trHeight w:val="728"/>
          <w:jc w:val="center"/>
        </w:trPr>
        <w:tc>
          <w:tcPr>
            <w:tcW w:w="9488" w:type="dxa"/>
            <w:gridSpan w:val="7"/>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1D392ECF" w14:textId="77777777" w:rsidR="00BD776B" w:rsidRDefault="00DF0C24">
            <w:pPr>
              <w:widowControl/>
              <w:spacing w:before="100" w:line="276" w:lineRule="auto"/>
              <w:jc w:val="right"/>
            </w:pPr>
            <w:r>
              <w:rPr>
                <w:rFonts w:ascii="標楷體" w:eastAsia="標楷體" w:hAnsi="標楷體"/>
                <w:color w:val="000000"/>
              </w:rPr>
              <w:t>EASI總分由四項身體部位分數加總</w:t>
            </w:r>
          </w:p>
        </w:tc>
        <w:tc>
          <w:tcPr>
            <w:tcW w:w="850" w:type="dxa"/>
            <w:tcBorders>
              <w:bottom w:val="single" w:sz="8" w:space="0" w:color="000000"/>
              <w:right w:val="single" w:sz="8" w:space="0" w:color="000000"/>
            </w:tcBorders>
            <w:shd w:val="clear" w:color="auto" w:fill="auto"/>
            <w:tcMar>
              <w:top w:w="0" w:type="dxa"/>
              <w:left w:w="0" w:type="dxa"/>
              <w:bottom w:w="28" w:type="dxa"/>
              <w:right w:w="28" w:type="dxa"/>
            </w:tcMar>
          </w:tcPr>
          <w:p w14:paraId="35C56F80" w14:textId="77777777" w:rsidR="00BD776B" w:rsidRDefault="00DF0C24">
            <w:pPr>
              <w:widowControl/>
              <w:spacing w:line="240" w:lineRule="exact"/>
              <w:rPr>
                <w:rFonts w:ascii="標楷體" w:eastAsia="標楷體" w:hAnsi="標楷體"/>
                <w:color w:val="000000"/>
              </w:rPr>
            </w:pPr>
            <w:r>
              <w:rPr>
                <w:rFonts w:ascii="標楷體" w:eastAsia="標楷體" w:hAnsi="標楷體"/>
                <w:color w:val="000000"/>
              </w:rPr>
              <w:t> </w:t>
            </w:r>
          </w:p>
          <w:p w14:paraId="72535318" w14:textId="77777777" w:rsidR="00BD776B" w:rsidRDefault="00DF0C24">
            <w:pPr>
              <w:widowControl/>
              <w:spacing w:line="240" w:lineRule="exact"/>
              <w:rPr>
                <w:rFonts w:ascii="標楷體" w:eastAsia="標楷體" w:hAnsi="標楷體"/>
                <w:color w:val="000000"/>
              </w:rPr>
            </w:pPr>
            <w:r>
              <w:rPr>
                <w:rFonts w:ascii="標楷體" w:eastAsia="標楷體" w:hAnsi="標楷體"/>
                <w:color w:val="000000"/>
              </w:rPr>
              <w:t xml:space="preserve">      </w:t>
            </w:r>
          </w:p>
          <w:p w14:paraId="01A7B882" w14:textId="77777777" w:rsidR="00BD776B" w:rsidRDefault="00DF0C24">
            <w:pPr>
              <w:widowControl/>
              <w:spacing w:before="100" w:line="240" w:lineRule="exact"/>
            </w:pPr>
            <w:r>
              <w:rPr>
                <w:rFonts w:ascii="標楷體" w:eastAsia="標楷體" w:hAnsi="標楷體"/>
                <w:b/>
                <w:bCs/>
                <w:color w:val="000000"/>
              </w:rPr>
              <w:t>(0-72)</w:t>
            </w:r>
          </w:p>
        </w:tc>
      </w:tr>
    </w:tbl>
    <w:p w14:paraId="23148600" w14:textId="77777777" w:rsidR="00BD776B" w:rsidRDefault="00DF0C24">
      <w:pPr>
        <w:widowControl/>
        <w:spacing w:before="100" w:after="142" w:line="320" w:lineRule="exact"/>
      </w:pPr>
      <w:r>
        <w:rPr>
          <w:rFonts w:ascii="標楷體" w:eastAsia="標楷體" w:hAnsi="標楷體"/>
          <w:b/>
          <w:bCs/>
          <w:color w:val="000000"/>
        </w:rPr>
        <w:t>EASI = 0.2 (Red＋Edema＋Scratch＋Lichenification)×(頭部%)＋0.3 (Red＋Edema＋Scratch＋Lichenification)×(軀幹%)+0.2 (Red＋Edema＋Scratch＋Lichenification)×(上肢%)＋0.3(Red＋Edema＋Scratch＋Lichenification)×(下肢%)</w:t>
      </w:r>
    </w:p>
    <w:p w14:paraId="656562A3" w14:textId="77777777" w:rsidR="00BD776B" w:rsidRDefault="00DF0C24">
      <w:pPr>
        <w:spacing w:line="320" w:lineRule="exact"/>
        <w:ind w:left="711" w:hanging="709"/>
      </w:pPr>
      <w:r>
        <w:rPr>
          <w:rFonts w:ascii="標楷體" w:eastAsia="標楷體" w:hAnsi="標楷體"/>
          <w:b/>
          <w:bCs/>
          <w:color w:val="000000"/>
        </w:rPr>
        <w:t>附註：Eczema area severity index (EASI)之異位性皮膚炎面積計算，只含皮膚紅腫濕疹部位，單純的皮膚乾燥、脫皮、抓痕，不可列入計算。</w:t>
      </w:r>
    </w:p>
    <w:p w14:paraId="7D85E4FC" w14:textId="77777777" w:rsidR="00BD776B" w:rsidRDefault="00BD776B">
      <w:pPr>
        <w:spacing w:line="320" w:lineRule="exact"/>
        <w:ind w:left="711" w:hanging="709"/>
        <w:rPr>
          <w:rFonts w:ascii="標楷體" w:eastAsia="標楷體" w:hAnsi="標楷體"/>
          <w:color w:val="000000"/>
        </w:rPr>
      </w:pPr>
    </w:p>
    <w:p w14:paraId="14AE90EF" w14:textId="77777777" w:rsidR="00BD776B" w:rsidRDefault="00DF0C24">
      <w:pPr>
        <w:pageBreakBefore/>
        <w:spacing w:line="480" w:lineRule="exact"/>
        <w:ind w:left="-850" w:right="-617"/>
        <w:jc w:val="center"/>
      </w:pPr>
      <w:r>
        <w:rPr>
          <w:rFonts w:ascii="標楷體" w:eastAsia="標楷體" w:hAnsi="標楷體"/>
          <w:b/>
          <w:bCs/>
          <w:color w:val="000000"/>
          <w:sz w:val="28"/>
          <w:szCs w:val="28"/>
        </w:rPr>
        <w:lastRenderedPageBreak/>
        <w:t>附表三十二之一：全民健康保險12歲以上病人異位性皮膚炎使用生物製劑申請表</w:t>
      </w:r>
    </w:p>
    <w:tbl>
      <w:tblPr>
        <w:tblW w:w="10372" w:type="dxa"/>
        <w:jc w:val="center"/>
        <w:tblCellMar>
          <w:left w:w="10" w:type="dxa"/>
          <w:right w:w="10" w:type="dxa"/>
        </w:tblCellMar>
        <w:tblLook w:val="0000" w:firstRow="0" w:lastRow="0" w:firstColumn="0" w:lastColumn="0" w:noHBand="0" w:noVBand="0"/>
      </w:tblPr>
      <w:tblGrid>
        <w:gridCol w:w="2106"/>
        <w:gridCol w:w="1733"/>
        <w:gridCol w:w="1287"/>
        <w:gridCol w:w="1589"/>
        <w:gridCol w:w="1273"/>
        <w:gridCol w:w="2384"/>
      </w:tblGrid>
      <w:tr w:rsidR="00BD776B" w14:paraId="5E846827" w14:textId="77777777">
        <w:trPr>
          <w:trHeight w:val="270"/>
          <w:jc w:val="center"/>
        </w:trPr>
        <w:tc>
          <w:tcPr>
            <w:tcW w:w="2106"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7FADE32" w14:textId="77777777" w:rsidR="00BD776B" w:rsidRDefault="00DF0C24">
            <w:pPr>
              <w:spacing w:before="100"/>
              <w:rPr>
                <w:rFonts w:ascii="標楷體" w:eastAsia="標楷體" w:hAnsi="標楷體"/>
                <w:color w:val="000000"/>
              </w:rPr>
            </w:pPr>
            <w:r>
              <w:rPr>
                <w:rFonts w:ascii="標楷體" w:eastAsia="標楷體" w:hAnsi="標楷體"/>
                <w:color w:val="000000"/>
              </w:rPr>
              <w:t>醫院代號</w:t>
            </w:r>
          </w:p>
        </w:tc>
        <w:tc>
          <w:tcPr>
            <w:tcW w:w="173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2ACE93" w14:textId="77777777" w:rsidR="00BD776B" w:rsidRDefault="00BD776B">
            <w:pPr>
              <w:spacing w:before="100"/>
              <w:rPr>
                <w:rFonts w:ascii="標楷體" w:eastAsia="標楷體" w:hAnsi="標楷體"/>
                <w:color w:val="000000"/>
              </w:rPr>
            </w:pPr>
          </w:p>
        </w:tc>
        <w:tc>
          <w:tcPr>
            <w:tcW w:w="128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B43AFE7" w14:textId="77777777" w:rsidR="00BD776B" w:rsidRDefault="00DF0C24">
            <w:pPr>
              <w:spacing w:before="100"/>
              <w:rPr>
                <w:rFonts w:ascii="標楷體" w:eastAsia="標楷體" w:hAnsi="標楷體"/>
                <w:color w:val="000000"/>
              </w:rPr>
            </w:pPr>
            <w:r>
              <w:rPr>
                <w:rFonts w:ascii="標楷體" w:eastAsia="標楷體" w:hAnsi="標楷體"/>
                <w:color w:val="000000"/>
              </w:rPr>
              <w:t>醫院名稱</w:t>
            </w:r>
          </w:p>
        </w:tc>
        <w:tc>
          <w:tcPr>
            <w:tcW w:w="1589"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BFE3DF" w14:textId="77777777" w:rsidR="00BD776B" w:rsidRDefault="00BD776B">
            <w:pPr>
              <w:spacing w:before="100"/>
              <w:rPr>
                <w:rFonts w:ascii="標楷體" w:eastAsia="標楷體" w:hAnsi="標楷體"/>
                <w:color w:val="000000"/>
              </w:rPr>
            </w:pPr>
          </w:p>
        </w:tc>
        <w:tc>
          <w:tcPr>
            <w:tcW w:w="127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295A944" w14:textId="77777777" w:rsidR="00BD776B" w:rsidRDefault="00DF0C24">
            <w:pPr>
              <w:spacing w:before="100"/>
              <w:rPr>
                <w:rFonts w:ascii="標楷體" w:eastAsia="標楷體" w:hAnsi="標楷體"/>
                <w:color w:val="000000"/>
              </w:rPr>
            </w:pPr>
            <w:r>
              <w:rPr>
                <w:rFonts w:ascii="標楷體" w:eastAsia="標楷體" w:hAnsi="標楷體"/>
                <w:color w:val="000000"/>
              </w:rPr>
              <w:t>申請日期</w:t>
            </w:r>
          </w:p>
        </w:tc>
        <w:tc>
          <w:tcPr>
            <w:tcW w:w="2384"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28B8BF1" w14:textId="77777777" w:rsidR="00BD776B" w:rsidRDefault="00BD776B">
            <w:pPr>
              <w:spacing w:before="100"/>
              <w:rPr>
                <w:rFonts w:ascii="標楷體" w:eastAsia="標楷體" w:hAnsi="標楷體"/>
                <w:color w:val="000000"/>
              </w:rPr>
            </w:pPr>
          </w:p>
        </w:tc>
      </w:tr>
      <w:tr w:rsidR="00BD776B" w14:paraId="69FAD21C" w14:textId="77777777">
        <w:trPr>
          <w:trHeight w:val="255"/>
          <w:jc w:val="center"/>
        </w:trPr>
        <w:tc>
          <w:tcPr>
            <w:tcW w:w="2106"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189C8493" w14:textId="77777777" w:rsidR="00BD776B" w:rsidRDefault="00DF0C24">
            <w:pPr>
              <w:spacing w:before="100"/>
              <w:rPr>
                <w:rFonts w:ascii="標楷體" w:eastAsia="標楷體" w:hAnsi="標楷體"/>
                <w:color w:val="000000"/>
              </w:rPr>
            </w:pPr>
            <w:r>
              <w:rPr>
                <w:rFonts w:ascii="標楷體" w:eastAsia="標楷體" w:hAnsi="標楷體"/>
                <w:color w:val="000000"/>
              </w:rPr>
              <w:t>病人姓名</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96BE2A" w14:textId="77777777" w:rsidR="00BD776B" w:rsidRDefault="00BD776B">
            <w:pPr>
              <w:spacing w:before="100"/>
              <w:rPr>
                <w:rFonts w:ascii="標楷體" w:eastAsia="標楷體" w:hAnsi="標楷體"/>
                <w:color w:val="000000"/>
              </w:rPr>
            </w:pPr>
          </w:p>
        </w:tc>
        <w:tc>
          <w:tcPr>
            <w:tcW w:w="12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0A2506" w14:textId="77777777" w:rsidR="00BD776B" w:rsidRDefault="00DF0C24">
            <w:pPr>
              <w:spacing w:before="100"/>
              <w:rPr>
                <w:rFonts w:ascii="標楷體" w:eastAsia="標楷體" w:hAnsi="標楷體"/>
                <w:color w:val="000000"/>
              </w:rPr>
            </w:pPr>
            <w:r>
              <w:rPr>
                <w:rFonts w:ascii="標楷體" w:eastAsia="標楷體" w:hAnsi="標楷體"/>
                <w:color w:val="000000"/>
              </w:rPr>
              <w:t>性別</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93B5A3C" w14:textId="77777777" w:rsidR="00BD776B" w:rsidRDefault="00BD776B">
            <w:pPr>
              <w:spacing w:before="100"/>
              <w:rPr>
                <w:rFonts w:ascii="標楷體" w:eastAsia="標楷體" w:hAnsi="標楷體"/>
                <w:color w:val="000000"/>
              </w:rPr>
            </w:pPr>
          </w:p>
        </w:tc>
        <w:tc>
          <w:tcPr>
            <w:tcW w:w="12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501576F" w14:textId="77777777" w:rsidR="00BD776B" w:rsidRDefault="00DF0C24">
            <w:pPr>
              <w:spacing w:before="100"/>
              <w:rPr>
                <w:rFonts w:ascii="標楷體" w:eastAsia="標楷體" w:hAnsi="標楷體"/>
                <w:color w:val="000000"/>
              </w:rPr>
            </w:pPr>
            <w:r>
              <w:rPr>
                <w:rFonts w:ascii="標楷體" w:eastAsia="標楷體" w:hAnsi="標楷體"/>
                <w:color w:val="000000"/>
              </w:rPr>
              <w:t>出生日期</w:t>
            </w:r>
          </w:p>
        </w:tc>
        <w:tc>
          <w:tcPr>
            <w:tcW w:w="238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5F841A89" w14:textId="77777777" w:rsidR="00BD776B" w:rsidRDefault="00BD776B">
            <w:pPr>
              <w:spacing w:before="100"/>
              <w:rPr>
                <w:rFonts w:ascii="標楷體" w:eastAsia="標楷體" w:hAnsi="標楷體"/>
                <w:color w:val="000000"/>
              </w:rPr>
            </w:pPr>
          </w:p>
        </w:tc>
      </w:tr>
      <w:tr w:rsidR="00BD776B" w14:paraId="5F9CEA8E" w14:textId="77777777">
        <w:trPr>
          <w:trHeight w:val="255"/>
          <w:jc w:val="center"/>
        </w:trPr>
        <w:tc>
          <w:tcPr>
            <w:tcW w:w="2106"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65B5BEE" w14:textId="77777777" w:rsidR="00BD776B" w:rsidRDefault="00DF0C24">
            <w:pPr>
              <w:spacing w:before="100"/>
              <w:rPr>
                <w:rFonts w:ascii="標楷體" w:eastAsia="標楷體" w:hAnsi="標楷體"/>
                <w:color w:val="000000"/>
              </w:rPr>
            </w:pPr>
            <w:r>
              <w:rPr>
                <w:rFonts w:ascii="標楷體" w:eastAsia="標楷體" w:hAnsi="標楷體"/>
                <w:color w:val="000000"/>
              </w:rPr>
              <w:t>身分證號</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9E2988C" w14:textId="77777777" w:rsidR="00BD776B" w:rsidRDefault="00BD776B">
            <w:pPr>
              <w:spacing w:before="100"/>
              <w:rPr>
                <w:rFonts w:ascii="標楷體" w:eastAsia="標楷體" w:hAnsi="標楷體"/>
                <w:color w:val="000000"/>
              </w:rPr>
            </w:pPr>
          </w:p>
        </w:tc>
        <w:tc>
          <w:tcPr>
            <w:tcW w:w="12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02F997" w14:textId="77777777" w:rsidR="00BD776B" w:rsidRDefault="00DF0C24">
            <w:pPr>
              <w:spacing w:before="100"/>
              <w:rPr>
                <w:rFonts w:ascii="標楷體" w:eastAsia="標楷體" w:hAnsi="標楷體"/>
                <w:color w:val="000000"/>
              </w:rPr>
            </w:pPr>
            <w:r>
              <w:rPr>
                <w:rFonts w:ascii="標楷體" w:eastAsia="標楷體" w:hAnsi="標楷體"/>
                <w:color w:val="000000"/>
              </w:rPr>
              <w:t>病歷號碼</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E2E01AD" w14:textId="77777777" w:rsidR="00BD776B" w:rsidRDefault="00BD776B">
            <w:pPr>
              <w:spacing w:before="100"/>
              <w:rPr>
                <w:rFonts w:ascii="標楷體" w:eastAsia="標楷體" w:hAnsi="標楷體"/>
                <w:color w:val="000000"/>
              </w:rPr>
            </w:pPr>
          </w:p>
        </w:tc>
        <w:tc>
          <w:tcPr>
            <w:tcW w:w="1273"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603324B" w14:textId="77777777" w:rsidR="00BD776B" w:rsidRDefault="00DF0C24">
            <w:pPr>
              <w:spacing w:before="100"/>
              <w:rPr>
                <w:rFonts w:ascii="標楷體" w:eastAsia="標楷體" w:hAnsi="標楷體"/>
                <w:color w:val="000000"/>
              </w:rPr>
            </w:pPr>
            <w:r>
              <w:rPr>
                <w:rFonts w:ascii="標楷體" w:eastAsia="標楷體" w:hAnsi="標楷體"/>
                <w:color w:val="000000"/>
              </w:rPr>
              <w:t>使用期間</w:t>
            </w:r>
          </w:p>
        </w:tc>
        <w:tc>
          <w:tcPr>
            <w:tcW w:w="2384"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3AD6F8A" w14:textId="77777777" w:rsidR="00BD776B" w:rsidRDefault="00DF0C24">
            <w:pPr>
              <w:spacing w:before="100"/>
              <w:rPr>
                <w:rFonts w:ascii="標楷體" w:eastAsia="標楷體" w:hAnsi="標楷體"/>
                <w:color w:val="000000"/>
              </w:rPr>
            </w:pPr>
            <w:r>
              <w:rPr>
                <w:rFonts w:ascii="標楷體" w:eastAsia="標楷體" w:hAnsi="標楷體"/>
                <w:color w:val="000000"/>
              </w:rPr>
              <w:t>自　 年 　月　　日</w:t>
            </w:r>
          </w:p>
        </w:tc>
      </w:tr>
      <w:tr w:rsidR="00BD776B" w14:paraId="7224B35C" w14:textId="77777777">
        <w:trPr>
          <w:trHeight w:val="240"/>
          <w:jc w:val="center"/>
        </w:trPr>
        <w:tc>
          <w:tcPr>
            <w:tcW w:w="2106"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21DF394E" w14:textId="77777777" w:rsidR="00BD776B" w:rsidRDefault="00DF0C24">
            <w:pPr>
              <w:spacing w:before="100"/>
              <w:rPr>
                <w:rFonts w:ascii="標楷體" w:eastAsia="標楷體" w:hAnsi="標楷體"/>
                <w:color w:val="000000"/>
              </w:rPr>
            </w:pPr>
            <w:r>
              <w:rPr>
                <w:rFonts w:ascii="標楷體" w:eastAsia="標楷體" w:hAnsi="標楷體"/>
                <w:color w:val="000000"/>
              </w:rPr>
              <w:t>藥品代碼</w:t>
            </w:r>
          </w:p>
        </w:tc>
        <w:tc>
          <w:tcPr>
            <w:tcW w:w="1733"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BA63883" w14:textId="77777777" w:rsidR="00BD776B" w:rsidRDefault="00BD776B">
            <w:pPr>
              <w:spacing w:before="100"/>
              <w:rPr>
                <w:rFonts w:ascii="標楷體" w:eastAsia="標楷體" w:hAnsi="標楷體"/>
                <w:color w:val="000000"/>
              </w:rPr>
            </w:pPr>
          </w:p>
        </w:tc>
        <w:tc>
          <w:tcPr>
            <w:tcW w:w="128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2D29E89" w14:textId="77777777" w:rsidR="00BD776B" w:rsidRDefault="00DF0C24">
            <w:pPr>
              <w:spacing w:before="100"/>
              <w:rPr>
                <w:rFonts w:ascii="標楷體" w:eastAsia="標楷體" w:hAnsi="標楷體"/>
                <w:color w:val="000000"/>
              </w:rPr>
            </w:pPr>
            <w:r>
              <w:rPr>
                <w:rFonts w:ascii="標楷體" w:eastAsia="標楷體" w:hAnsi="標楷體"/>
                <w:color w:val="000000"/>
              </w:rPr>
              <w:t>用法用量</w:t>
            </w:r>
          </w:p>
        </w:tc>
        <w:tc>
          <w:tcPr>
            <w:tcW w:w="1589"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5188FEF" w14:textId="77777777" w:rsidR="00BD776B" w:rsidRDefault="00BD776B">
            <w:pPr>
              <w:spacing w:before="100"/>
              <w:rPr>
                <w:rFonts w:ascii="標楷體" w:eastAsia="標楷體" w:hAnsi="標楷體"/>
                <w:color w:val="000000"/>
              </w:rPr>
            </w:pPr>
          </w:p>
        </w:tc>
        <w:tc>
          <w:tcPr>
            <w:tcW w:w="1273"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A56BD6F" w14:textId="77777777" w:rsidR="00BD776B" w:rsidRDefault="00BD776B">
            <w:pPr>
              <w:rPr>
                <w:rFonts w:ascii="標楷體" w:eastAsia="標楷體" w:hAnsi="標楷體"/>
                <w:color w:val="000000"/>
              </w:rPr>
            </w:pPr>
          </w:p>
        </w:tc>
        <w:tc>
          <w:tcPr>
            <w:tcW w:w="2384"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6CAE3499" w14:textId="77777777" w:rsidR="00BD776B" w:rsidRDefault="00DF0C24">
            <w:pPr>
              <w:spacing w:before="100"/>
              <w:rPr>
                <w:rFonts w:ascii="標楷體" w:eastAsia="標楷體" w:hAnsi="標楷體"/>
                <w:color w:val="000000"/>
              </w:rPr>
            </w:pPr>
            <w:r>
              <w:rPr>
                <w:rFonts w:ascii="標楷體" w:eastAsia="標楷體" w:hAnsi="標楷體"/>
                <w:color w:val="000000"/>
              </w:rPr>
              <w:t>至　 年 　月　　日</w:t>
            </w:r>
          </w:p>
        </w:tc>
      </w:tr>
    </w:tbl>
    <w:p w14:paraId="0501D247" w14:textId="77777777" w:rsidR="00BD776B" w:rsidRDefault="00BD776B">
      <w:pPr>
        <w:spacing w:line="20" w:lineRule="exact"/>
        <w:rPr>
          <w:rFonts w:ascii="標楷體" w:eastAsia="標楷體" w:hAnsi="標楷體"/>
          <w:color w:val="000000"/>
        </w:rPr>
      </w:pPr>
    </w:p>
    <w:p w14:paraId="31EC9907" w14:textId="77777777" w:rsidR="00BD776B" w:rsidRDefault="00BD776B">
      <w:pPr>
        <w:spacing w:line="20" w:lineRule="exact"/>
        <w:rPr>
          <w:rFonts w:ascii="標楷體" w:eastAsia="標楷體" w:hAnsi="標楷體"/>
          <w:vanish/>
          <w:color w:val="000000"/>
        </w:rPr>
      </w:pPr>
    </w:p>
    <w:tbl>
      <w:tblPr>
        <w:tblW w:w="12339" w:type="dxa"/>
        <w:tblInd w:w="-1829" w:type="dxa"/>
        <w:tblLayout w:type="fixed"/>
        <w:tblCellMar>
          <w:left w:w="10" w:type="dxa"/>
          <w:right w:w="10" w:type="dxa"/>
        </w:tblCellMar>
        <w:tblLook w:val="0000" w:firstRow="0" w:lastRow="0" w:firstColumn="0" w:lastColumn="0" w:noHBand="0" w:noVBand="0"/>
      </w:tblPr>
      <w:tblGrid>
        <w:gridCol w:w="1541"/>
        <w:gridCol w:w="1242"/>
        <w:gridCol w:w="1782"/>
        <w:gridCol w:w="3554"/>
        <w:gridCol w:w="3757"/>
        <w:gridCol w:w="35"/>
        <w:gridCol w:w="72"/>
        <w:gridCol w:w="316"/>
        <w:gridCol w:w="40"/>
      </w:tblGrid>
      <w:tr w:rsidR="00BD776B" w14:paraId="2C89DA65" w14:textId="77777777">
        <w:tc>
          <w:tcPr>
            <w:tcW w:w="1542" w:type="dxa"/>
            <w:shd w:val="clear" w:color="auto" w:fill="auto"/>
            <w:tcMar>
              <w:top w:w="0" w:type="dxa"/>
              <w:left w:w="0" w:type="dxa"/>
              <w:bottom w:w="0" w:type="dxa"/>
              <w:right w:w="0" w:type="dxa"/>
            </w:tcMar>
          </w:tcPr>
          <w:p w14:paraId="5CB773F6" w14:textId="77777777" w:rsidR="00BD776B" w:rsidRDefault="00BD776B">
            <w:pPr>
              <w:spacing w:before="100"/>
              <w:ind w:left="374" w:hanging="374"/>
              <w:rPr>
                <w:rFonts w:ascii="標楷體" w:eastAsia="標楷體" w:hAnsi="標楷體"/>
                <w:color w:val="000000"/>
              </w:rPr>
            </w:pPr>
          </w:p>
        </w:tc>
        <w:tc>
          <w:tcPr>
            <w:tcW w:w="10337"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04E89D15" w14:textId="77777777" w:rsidR="00BD776B" w:rsidRDefault="00DF0C24">
            <w:pPr>
              <w:spacing w:before="100" w:line="320" w:lineRule="exact"/>
              <w:ind w:left="374" w:right="38" w:hanging="374"/>
            </w:pPr>
            <w:r>
              <w:rPr>
                <w:rFonts w:ascii="標楷體" w:eastAsia="標楷體" w:hAnsi="標楷體"/>
                <w:color w:val="000000"/>
              </w:rPr>
              <w:t xml:space="preserve">□ </w:t>
            </w:r>
            <w:r>
              <w:rPr>
                <w:rFonts w:ascii="標楷體" w:eastAsia="標楷體" w:hAnsi="標楷體"/>
                <w:b/>
                <w:color w:val="000000"/>
              </w:rPr>
              <w:t>符合照光治療及其他系統性(全身性)治療無效(治療需6個月完整療程)，或因醫療因素而無法接受其他系統性(全身性)治療之全身慢性、重度異位性皮膚炎：（定義請參照給付規定）</w:t>
            </w:r>
          </w:p>
          <w:p w14:paraId="6ADED3A4" w14:textId="77777777" w:rsidR="00BD776B" w:rsidRDefault="00DF0C24">
            <w:pPr>
              <w:spacing w:before="180" w:line="320" w:lineRule="exact"/>
              <w:ind w:left="374" w:right="38" w:hanging="374"/>
            </w:pPr>
            <w:r>
              <w:rPr>
                <w:rFonts w:ascii="標楷體" w:eastAsia="標楷體" w:hAnsi="標楷體"/>
                <w:color w:val="000000"/>
              </w:rPr>
              <w:t xml:space="preserve">□ </w:t>
            </w:r>
            <w:r>
              <w:rPr>
                <w:rFonts w:ascii="標楷體" w:eastAsia="標楷體" w:hAnsi="標楷體"/>
                <w:b/>
                <w:color w:val="000000"/>
              </w:rPr>
              <w:t xml:space="preserve">符合Eczema area severity index (EASI) </w:t>
            </w:r>
            <w:r>
              <w:rPr>
                <w:rFonts w:ascii="標楷體" w:eastAsia="標楷體" w:hAnsi="標楷體" w:cs="新細明體"/>
                <w:b/>
                <w:color w:val="000000"/>
              </w:rPr>
              <w:t>≧16</w:t>
            </w:r>
            <w:r>
              <w:rPr>
                <w:rFonts w:ascii="標楷體" w:eastAsia="標楷體" w:hAnsi="標楷體"/>
                <w:b/>
                <w:color w:val="000000"/>
              </w:rPr>
              <w:t>且異位性皮膚炎皮膚紅腫體表面積需</w:t>
            </w:r>
            <w:r>
              <w:rPr>
                <w:rFonts w:ascii="標楷體" w:eastAsia="標楷體" w:hAnsi="標楷體" w:cs="新細明體"/>
                <w:b/>
                <w:color w:val="000000"/>
              </w:rPr>
              <w:t>≧</w:t>
            </w:r>
            <w:r>
              <w:rPr>
                <w:rFonts w:ascii="標楷體" w:eastAsia="標楷體" w:hAnsi="標楷體"/>
                <w:b/>
                <w:color w:val="000000"/>
              </w:rPr>
              <w:t>30%，且「Investigator’s Global Assessment (IGA):3~4」之全身慢性異位性皮膚炎。(檢附至少6個月病歷影本與相關照片，得合併他院就診病歷)</w:t>
            </w:r>
          </w:p>
          <w:p w14:paraId="016A3072" w14:textId="77777777" w:rsidR="00BD776B" w:rsidRDefault="00DF0C24">
            <w:pPr>
              <w:spacing w:line="320" w:lineRule="exact"/>
              <w:ind w:left="480" w:right="38"/>
              <w:rPr>
                <w:rFonts w:ascii="標楷體" w:eastAsia="標楷體" w:hAnsi="標楷體"/>
                <w:color w:val="000000"/>
              </w:rPr>
            </w:pPr>
            <w:r>
              <w:rPr>
                <w:rFonts w:ascii="標楷體" w:eastAsia="標楷體" w:hAnsi="標楷體"/>
                <w:color w:val="000000"/>
              </w:rPr>
              <w:t>1.□ 符合照光治療無效（檢附詳細3個月照光劑量記錄）。</w:t>
            </w:r>
          </w:p>
          <w:p w14:paraId="61D12E40" w14:textId="77777777" w:rsidR="00BD776B" w:rsidRDefault="00DF0C24">
            <w:pPr>
              <w:spacing w:line="320" w:lineRule="exact"/>
              <w:ind w:left="987" w:right="38" w:hanging="507"/>
              <w:rPr>
                <w:rFonts w:ascii="標楷體" w:eastAsia="標楷體" w:hAnsi="標楷體"/>
                <w:color w:val="000000"/>
              </w:rPr>
            </w:pPr>
            <w:r>
              <w:rPr>
                <w:rFonts w:ascii="標楷體" w:eastAsia="標楷體" w:hAnsi="標楷體"/>
                <w:color w:val="000000"/>
              </w:rPr>
              <w:t>2.□ 符合其他系統性(全身性)治療無效（目前未達EASI申請標準者，需同時附治療前後資料）。</w:t>
            </w:r>
          </w:p>
          <w:p w14:paraId="30E826DE" w14:textId="77777777" w:rsidR="00BD776B" w:rsidRDefault="00DF0C24">
            <w:pPr>
              <w:spacing w:before="180" w:after="180" w:line="320" w:lineRule="exact"/>
              <w:ind w:left="360" w:right="22"/>
            </w:pPr>
            <w:r>
              <w:rPr>
                <w:rFonts w:ascii="標楷體" w:eastAsia="標楷體" w:hAnsi="標楷體"/>
                <w:b/>
                <w:color w:val="000000"/>
              </w:rPr>
              <w:t>至少2種其他系統性(全身性)用藥之使用時間、劑量及停用</w:t>
            </w:r>
            <w:r>
              <w:rPr>
                <w:rFonts w:ascii="標楷體" w:eastAsia="標楷體" w:hAnsi="標楷體" w:cs="新細明體"/>
                <w:b/>
                <w:color w:val="000000"/>
              </w:rPr>
              <w:t>或減量</w:t>
            </w:r>
            <w:r>
              <w:rPr>
                <w:rFonts w:ascii="標楷體" w:eastAsia="標楷體" w:hAnsi="標楷體"/>
                <w:b/>
                <w:color w:val="000000"/>
              </w:rPr>
              <w:t>理由(患者目前體重:___kg)</w:t>
            </w:r>
          </w:p>
          <w:tbl>
            <w:tblPr>
              <w:tblW w:w="9351" w:type="dxa"/>
              <w:tblInd w:w="459" w:type="dxa"/>
              <w:tblLayout w:type="fixed"/>
              <w:tblCellMar>
                <w:left w:w="10" w:type="dxa"/>
                <w:right w:w="10" w:type="dxa"/>
              </w:tblCellMar>
              <w:tblLook w:val="0000" w:firstRow="0" w:lastRow="0" w:firstColumn="0" w:lastColumn="0" w:noHBand="0" w:noVBand="0"/>
            </w:tblPr>
            <w:tblGrid>
              <w:gridCol w:w="2263"/>
              <w:gridCol w:w="2045"/>
              <w:gridCol w:w="2350"/>
              <w:gridCol w:w="2693"/>
            </w:tblGrid>
            <w:tr w:rsidR="00BD776B" w14:paraId="2692B7C7" w14:textId="77777777">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527DAE1" w14:textId="77777777" w:rsidR="00BD776B" w:rsidRDefault="00BD776B">
                  <w:pPr>
                    <w:spacing w:before="100"/>
                    <w:ind w:right="38"/>
                    <w:rPr>
                      <w:rFonts w:ascii="標楷體" w:eastAsia="標楷體" w:hAnsi="標楷體"/>
                      <w:color w:val="000000"/>
                    </w:rPr>
                  </w:pPr>
                </w:p>
              </w:tc>
              <w:tc>
                <w:tcPr>
                  <w:tcW w:w="20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504C778" w14:textId="77777777" w:rsidR="00BD776B" w:rsidRDefault="00DF0C24">
                  <w:pPr>
                    <w:spacing w:before="100"/>
                    <w:ind w:right="38"/>
                    <w:rPr>
                      <w:rFonts w:ascii="標楷體" w:eastAsia="標楷體" w:hAnsi="標楷體"/>
                      <w:color w:val="000000"/>
                    </w:rPr>
                  </w:pPr>
                  <w:r>
                    <w:rPr>
                      <w:rFonts w:ascii="標楷體" w:eastAsia="標楷體" w:hAnsi="標楷體"/>
                      <w:color w:val="000000"/>
                    </w:rPr>
                    <w:t>使用劑量</w:t>
                  </w:r>
                </w:p>
              </w:tc>
              <w:tc>
                <w:tcPr>
                  <w:tcW w:w="23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3654FB6" w14:textId="77777777" w:rsidR="00BD776B" w:rsidRDefault="00DF0C24">
                  <w:pPr>
                    <w:spacing w:before="100"/>
                    <w:ind w:right="38"/>
                    <w:jc w:val="center"/>
                    <w:rPr>
                      <w:rFonts w:ascii="標楷體" w:eastAsia="標楷體" w:hAnsi="標楷體"/>
                      <w:color w:val="000000"/>
                    </w:rPr>
                  </w:pPr>
                  <w:r>
                    <w:rPr>
                      <w:rFonts w:ascii="標楷體" w:eastAsia="標楷體" w:hAnsi="標楷體"/>
                      <w:color w:val="000000"/>
                    </w:rPr>
                    <w:t>使用時間</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0AFE28A" w14:textId="77777777" w:rsidR="00BD776B" w:rsidRDefault="00DF0C24">
                  <w:pPr>
                    <w:spacing w:before="100"/>
                    <w:ind w:right="38"/>
                  </w:pPr>
                  <w:r>
                    <w:rPr>
                      <w:rFonts w:ascii="標楷體" w:eastAsia="標楷體" w:hAnsi="標楷體"/>
                      <w:color w:val="000000"/>
                    </w:rPr>
                    <w:t>停用</w:t>
                  </w:r>
                  <w:r>
                    <w:rPr>
                      <w:rFonts w:ascii="標楷體" w:eastAsia="標楷體" w:hAnsi="標楷體" w:cs="新細明體"/>
                      <w:color w:val="000000"/>
                    </w:rPr>
                    <w:t>或減量</w:t>
                  </w:r>
                  <w:r>
                    <w:rPr>
                      <w:rFonts w:ascii="標楷體" w:eastAsia="標楷體" w:hAnsi="標楷體"/>
                      <w:color w:val="000000"/>
                    </w:rPr>
                    <w:t>理由</w:t>
                  </w:r>
                </w:p>
              </w:tc>
            </w:tr>
            <w:tr w:rsidR="00BD776B" w14:paraId="5C0118DB" w14:textId="77777777">
              <w:trPr>
                <w:trHeight w:val="691"/>
              </w:trPr>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A119A5" w14:textId="77777777" w:rsidR="00BD776B" w:rsidRDefault="00DF0C24">
                  <w:pPr>
                    <w:spacing w:line="380" w:lineRule="exact"/>
                    <w:ind w:right="38"/>
                    <w:rPr>
                      <w:rFonts w:ascii="標楷體" w:eastAsia="標楷體" w:hAnsi="標楷體"/>
                      <w:color w:val="000000"/>
                    </w:rPr>
                  </w:pPr>
                  <w:r>
                    <w:rPr>
                      <w:rFonts w:ascii="標楷體" w:eastAsia="標楷體" w:hAnsi="標楷體"/>
                      <w:color w:val="000000"/>
                    </w:rPr>
                    <w:t>Azathioprine</w:t>
                  </w:r>
                </w:p>
                <w:p w14:paraId="7061AC4D" w14:textId="77777777" w:rsidR="00BD776B" w:rsidRDefault="00DF0C24">
                  <w:pPr>
                    <w:spacing w:line="380" w:lineRule="exact"/>
                    <w:ind w:right="38"/>
                    <w:rPr>
                      <w:rFonts w:ascii="標楷體" w:eastAsia="標楷體" w:hAnsi="標楷體"/>
                      <w:color w:val="000000"/>
                    </w:rPr>
                  </w:pPr>
                  <w:r>
                    <w:rPr>
                      <w:rFonts w:ascii="標楷體" w:eastAsia="標楷體" w:hAnsi="標楷體"/>
                      <w:color w:val="000000"/>
                    </w:rPr>
                    <w:t>(體重: ___ kg)</w:t>
                  </w:r>
                </w:p>
              </w:tc>
              <w:tc>
                <w:tcPr>
                  <w:tcW w:w="20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E1BEC3F" w14:textId="77777777" w:rsidR="00BD776B" w:rsidRDefault="00DF0C24">
                  <w:pPr>
                    <w:spacing w:before="100"/>
                    <w:ind w:right="38"/>
                    <w:rPr>
                      <w:rFonts w:ascii="標楷體" w:eastAsia="標楷體" w:hAnsi="標楷體"/>
                      <w:color w:val="000000"/>
                    </w:rPr>
                  </w:pPr>
                  <w:r>
                    <w:rPr>
                      <w:rFonts w:ascii="標楷體" w:eastAsia="標楷體" w:hAnsi="標楷體"/>
                      <w:color w:val="000000"/>
                    </w:rPr>
                    <w:t>___mg/day</w:t>
                  </w:r>
                </w:p>
              </w:tc>
              <w:tc>
                <w:tcPr>
                  <w:tcW w:w="23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432AD7" w14:textId="77777777" w:rsidR="00BD776B" w:rsidRDefault="00DF0C24">
                  <w:pPr>
                    <w:ind w:right="38"/>
                    <w:jc w:val="center"/>
                    <w:rPr>
                      <w:rFonts w:ascii="標楷體" w:eastAsia="標楷體" w:hAnsi="標楷體"/>
                      <w:color w:val="000000"/>
                    </w:rPr>
                  </w:pPr>
                  <w:r>
                    <w:rPr>
                      <w:rFonts w:ascii="標楷體" w:eastAsia="標楷體" w:hAnsi="標楷體"/>
                      <w:color w:val="000000"/>
                    </w:rPr>
                    <w:t>__年__月__日至</w:t>
                  </w:r>
                </w:p>
                <w:p w14:paraId="6BCF60FB" w14:textId="77777777" w:rsidR="00BD776B" w:rsidRDefault="00DF0C24">
                  <w:pPr>
                    <w:ind w:right="38"/>
                    <w:rPr>
                      <w:rFonts w:ascii="標楷體" w:eastAsia="標楷體" w:hAnsi="標楷體"/>
                      <w:color w:val="000000"/>
                    </w:rPr>
                  </w:pPr>
                  <w:r>
                    <w:rPr>
                      <w:rFonts w:ascii="標楷體" w:eastAsia="標楷體" w:hAnsi="標楷體"/>
                      <w:color w:val="000000"/>
                    </w:rPr>
                    <w:t>__年__月__日</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DC86616" w14:textId="77777777" w:rsidR="00BD776B" w:rsidRDefault="00BD776B">
                  <w:pPr>
                    <w:spacing w:before="100"/>
                    <w:ind w:right="38"/>
                    <w:rPr>
                      <w:rFonts w:ascii="標楷體" w:eastAsia="標楷體" w:hAnsi="標楷體"/>
                      <w:color w:val="000000"/>
                    </w:rPr>
                  </w:pPr>
                </w:p>
              </w:tc>
            </w:tr>
            <w:tr w:rsidR="00BD776B" w14:paraId="3688F071" w14:textId="77777777">
              <w:trPr>
                <w:trHeight w:val="461"/>
              </w:trPr>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123729C" w14:textId="77777777" w:rsidR="00BD776B" w:rsidRDefault="00DF0C24">
                  <w:pPr>
                    <w:spacing w:before="100" w:line="380" w:lineRule="exact"/>
                    <w:ind w:right="38"/>
                    <w:rPr>
                      <w:rFonts w:ascii="標楷體" w:eastAsia="標楷體" w:hAnsi="標楷體"/>
                      <w:color w:val="000000"/>
                    </w:rPr>
                  </w:pPr>
                  <w:r>
                    <w:rPr>
                      <w:rFonts w:ascii="標楷體" w:eastAsia="標楷體" w:hAnsi="標楷體"/>
                      <w:color w:val="000000"/>
                    </w:rPr>
                    <w:t>Methotrexate</w:t>
                  </w:r>
                </w:p>
              </w:tc>
              <w:tc>
                <w:tcPr>
                  <w:tcW w:w="20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7F09779" w14:textId="77777777" w:rsidR="00BD776B" w:rsidRDefault="00DF0C24">
                  <w:pPr>
                    <w:spacing w:before="100"/>
                    <w:ind w:right="38"/>
                    <w:rPr>
                      <w:rFonts w:ascii="標楷體" w:eastAsia="標楷體" w:hAnsi="標楷體"/>
                      <w:color w:val="000000"/>
                    </w:rPr>
                  </w:pPr>
                  <w:r>
                    <w:rPr>
                      <w:rFonts w:ascii="標楷體" w:eastAsia="標楷體" w:hAnsi="標楷體"/>
                      <w:color w:val="000000"/>
                    </w:rPr>
                    <w:t>___mg/week</w:t>
                  </w:r>
                </w:p>
              </w:tc>
              <w:tc>
                <w:tcPr>
                  <w:tcW w:w="23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3EFDDC4" w14:textId="77777777" w:rsidR="00BD776B" w:rsidRDefault="00DF0C24">
                  <w:pPr>
                    <w:ind w:right="38"/>
                    <w:jc w:val="center"/>
                    <w:rPr>
                      <w:rFonts w:ascii="標楷體" w:eastAsia="標楷體" w:hAnsi="標楷體"/>
                      <w:color w:val="000000"/>
                    </w:rPr>
                  </w:pPr>
                  <w:r>
                    <w:rPr>
                      <w:rFonts w:ascii="標楷體" w:eastAsia="標楷體" w:hAnsi="標楷體"/>
                      <w:color w:val="000000"/>
                    </w:rPr>
                    <w:t>__年__月__日至</w:t>
                  </w:r>
                </w:p>
                <w:p w14:paraId="441B75C1" w14:textId="77777777" w:rsidR="00BD776B" w:rsidRDefault="00DF0C24">
                  <w:pPr>
                    <w:ind w:right="38"/>
                    <w:rPr>
                      <w:rFonts w:ascii="標楷體" w:eastAsia="標楷體" w:hAnsi="標楷體"/>
                      <w:color w:val="000000"/>
                    </w:rPr>
                  </w:pPr>
                  <w:r>
                    <w:rPr>
                      <w:rFonts w:ascii="標楷體" w:eastAsia="標楷體" w:hAnsi="標楷體"/>
                      <w:color w:val="000000"/>
                    </w:rPr>
                    <w:t>__年__月__日</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C8146E0" w14:textId="77777777" w:rsidR="00BD776B" w:rsidRDefault="00BD776B">
                  <w:pPr>
                    <w:spacing w:before="100"/>
                    <w:ind w:right="38"/>
                    <w:rPr>
                      <w:rFonts w:ascii="標楷體" w:eastAsia="標楷體" w:hAnsi="標楷體"/>
                      <w:color w:val="000000"/>
                    </w:rPr>
                  </w:pPr>
                </w:p>
              </w:tc>
            </w:tr>
            <w:tr w:rsidR="00BD776B" w14:paraId="58C21E3C" w14:textId="77777777">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E7CFCA3" w14:textId="77777777" w:rsidR="00BD776B" w:rsidRDefault="00DF0C24">
                  <w:pPr>
                    <w:spacing w:line="380" w:lineRule="exact"/>
                    <w:ind w:right="38"/>
                    <w:rPr>
                      <w:rFonts w:ascii="標楷體" w:eastAsia="標楷體" w:hAnsi="標楷體"/>
                      <w:color w:val="000000"/>
                    </w:rPr>
                  </w:pPr>
                  <w:r>
                    <w:rPr>
                      <w:rFonts w:ascii="標楷體" w:eastAsia="標楷體" w:hAnsi="標楷體"/>
                      <w:color w:val="000000"/>
                    </w:rPr>
                    <w:t xml:space="preserve">Cyclosporin </w:t>
                  </w:r>
                </w:p>
                <w:p w14:paraId="5BF4CE08" w14:textId="77777777" w:rsidR="00BD776B" w:rsidRDefault="00DF0C24">
                  <w:pPr>
                    <w:spacing w:line="380" w:lineRule="exact"/>
                    <w:ind w:right="38"/>
                    <w:rPr>
                      <w:rFonts w:ascii="標楷體" w:eastAsia="標楷體" w:hAnsi="標楷體"/>
                      <w:color w:val="000000"/>
                    </w:rPr>
                  </w:pPr>
                  <w:r>
                    <w:rPr>
                      <w:rFonts w:ascii="標楷體" w:eastAsia="標楷體" w:hAnsi="標楷體"/>
                      <w:color w:val="000000"/>
                    </w:rPr>
                    <w:t>(體重: ___ kg)</w:t>
                  </w:r>
                </w:p>
              </w:tc>
              <w:tc>
                <w:tcPr>
                  <w:tcW w:w="20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90FA6C" w14:textId="77777777" w:rsidR="00BD776B" w:rsidRDefault="00DF0C24">
                  <w:pPr>
                    <w:spacing w:before="100"/>
                    <w:ind w:right="38"/>
                    <w:rPr>
                      <w:rFonts w:ascii="標楷體" w:eastAsia="標楷體" w:hAnsi="標楷體"/>
                      <w:color w:val="000000"/>
                    </w:rPr>
                  </w:pPr>
                  <w:r>
                    <w:rPr>
                      <w:rFonts w:ascii="標楷體" w:eastAsia="標楷體" w:hAnsi="標楷體"/>
                      <w:color w:val="000000"/>
                    </w:rPr>
                    <w:t>___mg/day</w:t>
                  </w:r>
                </w:p>
              </w:tc>
              <w:tc>
                <w:tcPr>
                  <w:tcW w:w="23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9E3E231" w14:textId="77777777" w:rsidR="00BD776B" w:rsidRDefault="00DF0C24">
                  <w:pPr>
                    <w:ind w:right="38"/>
                    <w:jc w:val="center"/>
                    <w:rPr>
                      <w:rFonts w:ascii="標楷體" w:eastAsia="標楷體" w:hAnsi="標楷體"/>
                      <w:color w:val="000000"/>
                    </w:rPr>
                  </w:pPr>
                  <w:r>
                    <w:rPr>
                      <w:rFonts w:ascii="標楷體" w:eastAsia="標楷體" w:hAnsi="標楷體"/>
                      <w:color w:val="000000"/>
                    </w:rPr>
                    <w:t>__年__月__日至</w:t>
                  </w:r>
                </w:p>
                <w:p w14:paraId="26694D4A" w14:textId="77777777" w:rsidR="00BD776B" w:rsidRDefault="00DF0C24">
                  <w:pPr>
                    <w:ind w:right="38"/>
                    <w:rPr>
                      <w:rFonts w:ascii="標楷體" w:eastAsia="標楷體" w:hAnsi="標楷體"/>
                      <w:color w:val="000000"/>
                    </w:rPr>
                  </w:pPr>
                  <w:r>
                    <w:rPr>
                      <w:rFonts w:ascii="標楷體" w:eastAsia="標楷體" w:hAnsi="標楷體"/>
                      <w:color w:val="000000"/>
                    </w:rPr>
                    <w:t>__年__月__日</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C6E168" w14:textId="77777777" w:rsidR="00BD776B" w:rsidRDefault="00BD776B">
                  <w:pPr>
                    <w:spacing w:before="100"/>
                    <w:ind w:right="38"/>
                    <w:rPr>
                      <w:rFonts w:ascii="標楷體" w:eastAsia="標楷體" w:hAnsi="標楷體"/>
                      <w:color w:val="000000"/>
                    </w:rPr>
                  </w:pPr>
                </w:p>
              </w:tc>
            </w:tr>
          </w:tbl>
          <w:p w14:paraId="2A0EBA44" w14:textId="77777777" w:rsidR="00BD776B" w:rsidRDefault="00DF0C24">
            <w:pPr>
              <w:spacing w:before="180" w:line="320" w:lineRule="exact"/>
              <w:ind w:left="845" w:right="38" w:hanging="283"/>
              <w:rPr>
                <w:rFonts w:ascii="標楷體" w:eastAsia="標楷體" w:hAnsi="標楷體"/>
                <w:color w:val="000000"/>
              </w:rPr>
            </w:pPr>
            <w:r>
              <w:rPr>
                <w:rFonts w:ascii="標楷體" w:eastAsia="標楷體" w:hAnsi="標楷體"/>
                <w:color w:val="000000"/>
              </w:rPr>
              <w:t>□患者不曾核准使用治療乾癬之生物製劑，或曾有乾癬但症狀消失已達至少兩年，或申請前已切片排除乾癬診斷，並經皮膚科專科醫師確立目前為異位性皮膚炎診斷。</w:t>
            </w:r>
          </w:p>
          <w:p w14:paraId="120C8DB6" w14:textId="77777777" w:rsidR="00BD776B" w:rsidRDefault="00DF0C24">
            <w:pPr>
              <w:tabs>
                <w:tab w:val="left" w:pos="462"/>
                <w:tab w:val="left" w:pos="9123"/>
              </w:tabs>
              <w:spacing w:line="320" w:lineRule="exact"/>
              <w:ind w:left="845" w:right="38" w:hanging="283"/>
              <w:rPr>
                <w:rFonts w:ascii="標楷體" w:eastAsia="標楷體" w:hAnsi="標楷體"/>
                <w:color w:val="000000"/>
              </w:rPr>
            </w:pPr>
            <w:r>
              <w:rPr>
                <w:rFonts w:ascii="標楷體" w:eastAsia="標楷體" w:hAnsi="標楷體"/>
                <w:color w:val="000000"/>
              </w:rPr>
              <w:t>□因醫療因素而無法接受照光治療及其他系統性(全身性)治療。請詳述原因：</w:t>
            </w:r>
          </w:p>
          <w:p w14:paraId="06A52BC7" w14:textId="77777777" w:rsidR="00BD776B" w:rsidRDefault="00DF0C24">
            <w:pPr>
              <w:tabs>
                <w:tab w:val="left" w:pos="3528"/>
              </w:tabs>
              <w:spacing w:line="320" w:lineRule="exact"/>
              <w:ind w:left="684" w:right="38" w:hanging="12"/>
            </w:pPr>
            <w:r>
              <w:rPr>
                <w:rFonts w:ascii="標楷體" w:eastAsia="標楷體" w:hAnsi="標楷體"/>
                <w:color w:val="000000"/>
              </w:rPr>
              <w:tab/>
              <w:t xml:space="preserve"> </w:t>
            </w:r>
            <w:r>
              <w:rPr>
                <w:rFonts w:ascii="標楷體" w:eastAsia="標楷體" w:hAnsi="標楷體"/>
                <w:color w:val="000000"/>
                <w:u w:val="single"/>
              </w:rPr>
              <w:tab/>
            </w:r>
            <w:r>
              <w:rPr>
                <w:rFonts w:ascii="標楷體" w:eastAsia="標楷體" w:hAnsi="標楷體"/>
                <w:color w:val="000000"/>
                <w:u w:val="single"/>
              </w:rPr>
              <w:tab/>
              <w:t xml:space="preserve">                                               </w:t>
            </w:r>
          </w:p>
          <w:p w14:paraId="098D2EAA" w14:textId="77777777" w:rsidR="00BD776B" w:rsidRDefault="00DF0C24">
            <w:pPr>
              <w:tabs>
                <w:tab w:val="left" w:pos="9677"/>
              </w:tabs>
              <w:spacing w:line="320" w:lineRule="exact"/>
              <w:ind w:left="879" w:right="38" w:hanging="561"/>
              <w:rPr>
                <w:rFonts w:ascii="標楷體" w:eastAsia="標楷體" w:hAnsi="標楷體"/>
                <w:color w:val="000000"/>
              </w:rPr>
            </w:pPr>
            <w:r>
              <w:rPr>
                <w:rFonts w:ascii="標楷體" w:eastAsia="標楷體" w:hAnsi="標楷體"/>
                <w:color w:val="000000"/>
              </w:rPr>
              <w:t>3.□符合全身慢性重度之異位性皮膚炎（檢附至少6個月病歷影本，治療已滿3個月，未滿6個月，得合併它院就診病歷）。</w:t>
            </w:r>
          </w:p>
          <w:p w14:paraId="0843DA2C" w14:textId="77777777" w:rsidR="00BD776B" w:rsidRDefault="00DF0C24">
            <w:pPr>
              <w:tabs>
                <w:tab w:val="left" w:pos="9677"/>
              </w:tabs>
              <w:spacing w:line="320" w:lineRule="exact"/>
              <w:ind w:left="879" w:right="38" w:hanging="561"/>
            </w:pPr>
            <w:r>
              <w:rPr>
                <w:rFonts w:ascii="標楷體" w:eastAsia="標楷體" w:hAnsi="標楷體"/>
                <w:color w:val="000000"/>
              </w:rPr>
              <w:t>4.□異位性皮膚炎面積暨嚴重度指數〔Eczema Area Severity Index〕</w:t>
            </w:r>
            <w:r>
              <w:rPr>
                <w:rFonts w:ascii="標楷體" w:eastAsia="標楷體" w:hAnsi="標楷體" w:cs="新細明體"/>
                <w:color w:val="000000"/>
              </w:rPr>
              <w:t>≧16</w:t>
            </w:r>
            <w:r>
              <w:rPr>
                <w:rFonts w:ascii="標楷體" w:eastAsia="標楷體" w:hAnsi="標楷體"/>
                <w:color w:val="000000"/>
              </w:rPr>
              <w:t>。</w:t>
            </w:r>
          </w:p>
          <w:p w14:paraId="2E15761E" w14:textId="77777777" w:rsidR="00BD776B" w:rsidRDefault="00DF0C24">
            <w:pPr>
              <w:spacing w:before="180" w:line="320" w:lineRule="exact"/>
              <w:ind w:left="2311" w:right="38" w:hanging="1493"/>
              <w:rPr>
                <w:rFonts w:ascii="標楷體" w:eastAsia="標楷體" w:hAnsi="標楷體"/>
                <w:color w:val="000000"/>
              </w:rPr>
            </w:pPr>
            <w:r>
              <w:rPr>
                <w:rFonts w:ascii="標楷體" w:eastAsia="標楷體" w:hAnsi="標楷體"/>
                <w:color w:val="000000"/>
              </w:rPr>
              <w:t>第一次EASI＝0.1*（___＋___＋___＋___）*___＋</w:t>
            </w:r>
            <w:r>
              <w:rPr>
                <w:rFonts w:ascii="標楷體" w:eastAsia="標楷體" w:hAnsi="標楷體"/>
                <w:color w:val="000000"/>
              </w:rPr>
              <w:br/>
              <w:t>0.3*（___＋___＋___＋___）*___＋</w:t>
            </w:r>
            <w:r>
              <w:rPr>
                <w:rFonts w:ascii="標楷體" w:eastAsia="標楷體" w:hAnsi="標楷體"/>
                <w:color w:val="000000"/>
              </w:rPr>
              <w:br/>
              <w:t>0.2*（___＋___＋___＋___）*___＋</w:t>
            </w:r>
            <w:r>
              <w:rPr>
                <w:rFonts w:ascii="標楷體" w:eastAsia="標楷體" w:hAnsi="標楷體"/>
                <w:color w:val="000000"/>
              </w:rPr>
              <w:br/>
              <w:t>0.4*（___＋___＋___＋___）*___</w:t>
            </w:r>
          </w:p>
          <w:p w14:paraId="08613637" w14:textId="77777777" w:rsidR="00BD776B" w:rsidRDefault="00DF0C24">
            <w:pPr>
              <w:spacing w:line="320" w:lineRule="exact"/>
              <w:ind w:left="3425" w:right="38" w:hanging="1366"/>
              <w:rPr>
                <w:rFonts w:ascii="標楷體" w:eastAsia="標楷體" w:hAnsi="標楷體"/>
                <w:color w:val="000000"/>
              </w:rPr>
            </w:pPr>
            <w:r>
              <w:rPr>
                <w:rFonts w:ascii="標楷體" w:eastAsia="標楷體" w:hAnsi="標楷體"/>
                <w:color w:val="000000"/>
              </w:rPr>
              <w:t>＝____</w:t>
            </w:r>
          </w:p>
          <w:p w14:paraId="1469A33E" w14:textId="77777777" w:rsidR="00BD776B" w:rsidRDefault="00DF0C24">
            <w:pPr>
              <w:spacing w:before="180" w:line="320" w:lineRule="exact"/>
              <w:ind w:left="2311" w:right="38" w:hanging="1493"/>
              <w:rPr>
                <w:rFonts w:ascii="標楷體" w:eastAsia="標楷體" w:hAnsi="標楷體"/>
                <w:color w:val="000000"/>
              </w:rPr>
            </w:pPr>
            <w:r>
              <w:rPr>
                <w:rFonts w:ascii="標楷體" w:eastAsia="標楷體" w:hAnsi="標楷體"/>
                <w:color w:val="000000"/>
              </w:rPr>
              <w:t>第二次EASI＝0.1*（___＋___＋___＋___）*___＋</w:t>
            </w:r>
            <w:r>
              <w:rPr>
                <w:rFonts w:ascii="標楷體" w:eastAsia="標楷體" w:hAnsi="標楷體"/>
                <w:color w:val="000000"/>
              </w:rPr>
              <w:br/>
              <w:t>0.3*（___＋___＋___＋___）*___＋</w:t>
            </w:r>
            <w:r>
              <w:rPr>
                <w:rFonts w:ascii="標楷體" w:eastAsia="標楷體" w:hAnsi="標楷體"/>
                <w:color w:val="000000"/>
              </w:rPr>
              <w:br/>
              <w:t>0.2*（___＋___＋___＋___）*___＋</w:t>
            </w:r>
            <w:r>
              <w:rPr>
                <w:rFonts w:ascii="標楷體" w:eastAsia="標楷體" w:hAnsi="標楷體"/>
                <w:color w:val="000000"/>
              </w:rPr>
              <w:br/>
              <w:t>0.4*（___＋___＋___＋___）*___</w:t>
            </w:r>
          </w:p>
          <w:p w14:paraId="33A82B09" w14:textId="77777777" w:rsidR="00BD776B" w:rsidRDefault="00DF0C24">
            <w:pPr>
              <w:spacing w:line="320" w:lineRule="exact"/>
              <w:ind w:left="3425" w:right="38" w:hanging="1366"/>
              <w:rPr>
                <w:rFonts w:ascii="標楷體" w:eastAsia="標楷體" w:hAnsi="標楷體"/>
                <w:color w:val="000000"/>
              </w:rPr>
            </w:pPr>
            <w:r>
              <w:rPr>
                <w:rFonts w:ascii="標楷體" w:eastAsia="標楷體" w:hAnsi="標楷體"/>
                <w:color w:val="000000"/>
              </w:rPr>
              <w:lastRenderedPageBreak/>
              <w:t>＝____</w:t>
            </w:r>
          </w:p>
          <w:p w14:paraId="5587C3DF" w14:textId="77777777" w:rsidR="00BD776B" w:rsidRDefault="00DF0C24">
            <w:pPr>
              <w:spacing w:before="180" w:line="320" w:lineRule="exact"/>
              <w:ind w:left="1345" w:right="38" w:hanging="560"/>
              <w:rPr>
                <w:rFonts w:ascii="標楷體" w:eastAsia="標楷體" w:hAnsi="標楷體"/>
                <w:color w:val="000000"/>
              </w:rPr>
            </w:pPr>
            <w:r>
              <w:rPr>
                <w:rFonts w:ascii="標楷體" w:eastAsia="標楷體" w:hAnsi="標楷體"/>
                <w:color w:val="000000"/>
              </w:rPr>
              <w:t>註：Eczema area severity index (EASI)之異位性皮膚炎面積計算，只含皮膚紅腫濕疹部位，單純的皮膚乾燥、脫皮、抓痕，不可列入計算。</w:t>
            </w:r>
          </w:p>
          <w:p w14:paraId="5472266A" w14:textId="77777777" w:rsidR="00BD776B" w:rsidRDefault="00DF0C24">
            <w:pPr>
              <w:spacing w:before="180" w:line="320" w:lineRule="exact"/>
              <w:ind w:left="360" w:right="38"/>
            </w:pPr>
            <w:r>
              <w:rPr>
                <w:rFonts w:ascii="標楷體" w:eastAsia="標楷體" w:hAnsi="標楷體"/>
                <w:color w:val="000000"/>
              </w:rPr>
              <w:t>5.□異位性皮膚炎皮膚紅腫體表面積需</w:t>
            </w:r>
            <w:r>
              <w:rPr>
                <w:rFonts w:ascii="標楷體" w:eastAsia="標楷體" w:hAnsi="標楷體" w:cs="新細明體"/>
                <w:color w:val="000000"/>
              </w:rPr>
              <w:t>≧</w:t>
            </w:r>
            <w:r>
              <w:rPr>
                <w:rFonts w:ascii="標楷體" w:eastAsia="標楷體" w:hAnsi="標楷體"/>
                <w:color w:val="000000"/>
              </w:rPr>
              <w:t>30%</w:t>
            </w:r>
          </w:p>
          <w:p w14:paraId="3A3899A2" w14:textId="77777777" w:rsidR="00BD776B" w:rsidRDefault="00DF0C24">
            <w:pPr>
              <w:tabs>
                <w:tab w:val="left" w:pos="345"/>
              </w:tabs>
              <w:spacing w:before="180" w:line="320" w:lineRule="exact"/>
              <w:ind w:left="623" w:right="38" w:hanging="266"/>
              <w:rPr>
                <w:rFonts w:ascii="標楷體" w:eastAsia="標楷體" w:hAnsi="標楷體"/>
                <w:color w:val="000000"/>
              </w:rPr>
            </w:pPr>
            <w:r>
              <w:rPr>
                <w:rFonts w:ascii="標楷體" w:eastAsia="標楷體" w:hAnsi="標楷體"/>
                <w:color w:val="000000"/>
              </w:rPr>
              <w:t>6.□Investigator’s Global Assessment (IGA):3~4。</w:t>
            </w:r>
          </w:p>
          <w:p w14:paraId="286AAFA0" w14:textId="77777777" w:rsidR="00BD776B" w:rsidRDefault="00DF0C24">
            <w:pPr>
              <w:spacing w:line="400" w:lineRule="exact"/>
              <w:ind w:left="374" w:right="38" w:hanging="374"/>
            </w:pPr>
            <w:r>
              <w:rPr>
                <w:rFonts w:ascii="標楷體" w:eastAsia="標楷體" w:hAnsi="標楷體"/>
                <w:b/>
                <w:color w:val="000000"/>
              </w:rPr>
              <w:t>□ 暫緩續用後疾病再復發之重新申請：</w:t>
            </w:r>
            <w:r>
              <w:rPr>
                <w:rFonts w:ascii="標楷體" w:eastAsia="標楷體" w:hAnsi="標楷體"/>
                <w:color w:val="000000"/>
              </w:rPr>
              <w:t>（需附上次療程治療前、後，及本次照片）</w:t>
            </w:r>
          </w:p>
          <w:p w14:paraId="1FE04373" w14:textId="77777777" w:rsidR="00BD776B" w:rsidRDefault="00DF0C24">
            <w:pPr>
              <w:spacing w:line="400" w:lineRule="exact"/>
              <w:ind w:left="623" w:right="38" w:hanging="266"/>
            </w:pPr>
            <w:r>
              <w:rPr>
                <w:rFonts w:ascii="標楷體" w:eastAsia="標楷體" w:hAnsi="標楷體"/>
                <w:color w:val="000000"/>
              </w:rPr>
              <w:t>□ 符合至少有EASI</w:t>
            </w:r>
            <w:r>
              <w:rPr>
                <w:rFonts w:ascii="標楷體" w:eastAsia="標楷體" w:hAnsi="標楷體" w:cs="新細明體"/>
                <w:color w:val="000000"/>
              </w:rPr>
              <w:t>≧</w:t>
            </w:r>
            <w:r>
              <w:rPr>
                <w:rFonts w:ascii="標楷體" w:eastAsia="標楷體" w:hAnsi="標楷體"/>
                <w:color w:val="000000"/>
              </w:rPr>
              <w:t>50%復發或EASI</w:t>
            </w:r>
            <w:r>
              <w:rPr>
                <w:rFonts w:ascii="標楷體" w:eastAsia="標楷體" w:hAnsi="標楷體" w:cs="新細明體"/>
                <w:color w:val="000000"/>
              </w:rPr>
              <w:t>≧16</w:t>
            </w:r>
            <w:r>
              <w:rPr>
                <w:rFonts w:ascii="標楷體" w:eastAsia="標楷體" w:hAnsi="標楷體"/>
                <w:color w:val="000000"/>
              </w:rPr>
              <w:t>。</w:t>
            </w:r>
          </w:p>
        </w:tc>
        <w:tc>
          <w:tcPr>
            <w:tcW w:w="107" w:type="dxa"/>
            <w:gridSpan w:val="2"/>
            <w:shd w:val="clear" w:color="auto" w:fill="auto"/>
            <w:tcMar>
              <w:top w:w="0" w:type="dxa"/>
              <w:left w:w="10" w:type="dxa"/>
              <w:bottom w:w="0" w:type="dxa"/>
              <w:right w:w="10" w:type="dxa"/>
            </w:tcMar>
          </w:tcPr>
          <w:p w14:paraId="798860B3" w14:textId="77777777" w:rsidR="00BD776B" w:rsidRDefault="00BD776B">
            <w:pPr>
              <w:spacing w:line="400" w:lineRule="exact"/>
              <w:ind w:left="623" w:hanging="266"/>
              <w:rPr>
                <w:rFonts w:ascii="標楷體" w:eastAsia="標楷體" w:hAnsi="標楷體"/>
                <w:color w:val="000000"/>
              </w:rPr>
            </w:pPr>
          </w:p>
        </w:tc>
        <w:tc>
          <w:tcPr>
            <w:tcW w:w="316" w:type="dxa"/>
          </w:tcPr>
          <w:p w14:paraId="7FF2AFA1" w14:textId="77777777" w:rsidR="00BD776B" w:rsidRDefault="00BD776B">
            <w:pPr>
              <w:spacing w:line="400" w:lineRule="exact"/>
              <w:ind w:left="623" w:hanging="266"/>
              <w:rPr>
                <w:rFonts w:ascii="標楷體" w:eastAsia="標楷體" w:hAnsi="標楷體"/>
                <w:color w:val="000000"/>
              </w:rPr>
            </w:pPr>
          </w:p>
        </w:tc>
        <w:tc>
          <w:tcPr>
            <w:tcW w:w="37" w:type="dxa"/>
          </w:tcPr>
          <w:p w14:paraId="1C48B664" w14:textId="77777777" w:rsidR="00BD776B" w:rsidRDefault="00BD776B">
            <w:pPr>
              <w:spacing w:line="400" w:lineRule="exact"/>
              <w:ind w:left="623" w:hanging="266"/>
              <w:rPr>
                <w:rFonts w:ascii="標楷體" w:eastAsia="標楷體" w:hAnsi="標楷體"/>
                <w:color w:val="000000"/>
              </w:rPr>
            </w:pPr>
          </w:p>
        </w:tc>
      </w:tr>
      <w:tr w:rsidR="00BD776B" w14:paraId="0188CFB2" w14:textId="77777777">
        <w:trPr>
          <w:trHeight w:val="6385"/>
        </w:trPr>
        <w:tc>
          <w:tcPr>
            <w:tcW w:w="1542" w:type="dxa"/>
            <w:shd w:val="clear" w:color="auto" w:fill="auto"/>
            <w:tcMar>
              <w:top w:w="0" w:type="dxa"/>
              <w:left w:w="0" w:type="dxa"/>
              <w:bottom w:w="0" w:type="dxa"/>
              <w:right w:w="0" w:type="dxa"/>
            </w:tcMar>
          </w:tcPr>
          <w:p w14:paraId="3F8C13C8" w14:textId="77777777" w:rsidR="00BD776B" w:rsidRDefault="00BD776B">
            <w:pPr>
              <w:spacing w:before="181" w:line="276" w:lineRule="auto"/>
              <w:rPr>
                <w:rFonts w:ascii="標楷體" w:eastAsia="標楷體" w:hAnsi="標楷體"/>
                <w:color w:val="000000"/>
              </w:rPr>
            </w:pPr>
          </w:p>
        </w:tc>
        <w:tc>
          <w:tcPr>
            <w:tcW w:w="10337"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7BDFB73E" w14:textId="77777777" w:rsidR="00BD776B" w:rsidRDefault="00DF0C24">
            <w:pPr>
              <w:spacing w:line="400" w:lineRule="exact"/>
              <w:rPr>
                <w:rFonts w:ascii="標楷體" w:eastAsia="標楷體" w:hAnsi="標楷體"/>
                <w:color w:val="000000"/>
              </w:rPr>
            </w:pPr>
            <w:r>
              <w:rPr>
                <w:rFonts w:ascii="標楷體" w:eastAsia="標楷體" w:hAnsi="標楷體"/>
                <w:color w:val="000000"/>
              </w:rPr>
              <w:t>□符合繼續使用之療效評估：</w:t>
            </w:r>
          </w:p>
          <w:p w14:paraId="5085D2B0" w14:textId="77777777" w:rsidR="00BD776B" w:rsidRDefault="00DF0C24">
            <w:pPr>
              <w:spacing w:line="400" w:lineRule="exact"/>
              <w:ind w:left="318"/>
              <w:rPr>
                <w:rFonts w:ascii="標楷體" w:eastAsia="標楷體" w:hAnsi="標楷體"/>
                <w:b/>
                <w:color w:val="000000"/>
              </w:rPr>
            </w:pPr>
            <w:r>
              <w:rPr>
                <w:rFonts w:ascii="標楷體" w:eastAsia="標楷體" w:hAnsi="標楷體"/>
                <w:b/>
                <w:color w:val="000000"/>
              </w:rPr>
              <w:t>初次療程</w:t>
            </w:r>
          </w:p>
          <w:p w14:paraId="38F08BDF" w14:textId="77777777" w:rsidR="00BD776B" w:rsidRDefault="00DF0C24">
            <w:pPr>
              <w:spacing w:line="400" w:lineRule="exact"/>
              <w:ind w:left="345"/>
              <w:rPr>
                <w:rFonts w:ascii="標楷體" w:eastAsia="標楷體" w:hAnsi="標楷體"/>
                <w:color w:val="000000"/>
              </w:rPr>
            </w:pPr>
            <w:r>
              <w:rPr>
                <w:rFonts w:ascii="標楷體" w:eastAsia="標楷體" w:hAnsi="標楷體"/>
                <w:color w:val="000000"/>
              </w:rPr>
              <w:t>□ 於初次療程之第16週先行評估時，至少有EASI 50療效，方可使用。</w:t>
            </w:r>
          </w:p>
          <w:p w14:paraId="7F32ACFE" w14:textId="77777777" w:rsidR="00BD776B" w:rsidRDefault="00DF0C24">
            <w:pPr>
              <w:spacing w:line="400" w:lineRule="exact"/>
              <w:ind w:left="318"/>
              <w:rPr>
                <w:rFonts w:ascii="標楷體" w:eastAsia="標楷體" w:hAnsi="標楷體"/>
                <w:b/>
                <w:color w:val="000000"/>
              </w:rPr>
            </w:pPr>
            <w:r>
              <w:rPr>
                <w:rFonts w:ascii="標楷體" w:eastAsia="標楷體" w:hAnsi="標楷體"/>
                <w:b/>
                <w:color w:val="000000"/>
              </w:rPr>
              <w:t>重複療程</w:t>
            </w:r>
          </w:p>
          <w:p w14:paraId="56239B4F" w14:textId="77777777" w:rsidR="00BD776B" w:rsidRDefault="00DF0C24">
            <w:pPr>
              <w:spacing w:line="400" w:lineRule="exact"/>
              <w:ind w:left="360"/>
              <w:rPr>
                <w:rFonts w:ascii="標楷體" w:eastAsia="標楷體" w:hAnsi="標楷體"/>
                <w:color w:val="000000"/>
              </w:rPr>
            </w:pPr>
            <w:r>
              <w:rPr>
                <w:rFonts w:ascii="標楷體" w:eastAsia="標楷體" w:hAnsi="標楷體"/>
                <w:color w:val="000000"/>
              </w:rPr>
              <w:t>1.□再次申請時，符合下列條件之一：</w:t>
            </w:r>
          </w:p>
          <w:p w14:paraId="2F0A1C76" w14:textId="77777777" w:rsidR="00BD776B" w:rsidRDefault="00DF0C24">
            <w:pPr>
              <w:spacing w:line="400" w:lineRule="exact"/>
              <w:ind w:left="960"/>
            </w:pPr>
            <w:r>
              <w:rPr>
                <w:rFonts w:ascii="標楷體" w:eastAsia="標楷體" w:hAnsi="標楷體"/>
                <w:color w:val="000000"/>
              </w:rPr>
              <w:t>i.□與初次治療前之療效達EASI 50；</w:t>
            </w:r>
          </w:p>
          <w:p w14:paraId="31F2B0E3" w14:textId="77777777" w:rsidR="00BD776B" w:rsidRDefault="00DF0C24">
            <w:pPr>
              <w:spacing w:line="400" w:lineRule="exact"/>
              <w:ind w:left="1459" w:hanging="619"/>
            </w:pPr>
            <w:r>
              <w:rPr>
                <w:rFonts w:ascii="標楷體" w:eastAsia="標楷體" w:hAnsi="標楷體"/>
                <w:color w:val="000000"/>
              </w:rPr>
              <w:t>ii.□暫緩續用後至少有50%復發或EASI</w:t>
            </w:r>
            <w:r>
              <w:rPr>
                <w:rFonts w:ascii="標楷體" w:eastAsia="標楷體" w:hAnsi="標楷體" w:cs="新細明體"/>
                <w:color w:val="000000"/>
              </w:rPr>
              <w:t>≧</w:t>
            </w:r>
            <w:r>
              <w:rPr>
                <w:rFonts w:ascii="標楷體" w:eastAsia="標楷體" w:hAnsi="標楷體"/>
                <w:color w:val="000000"/>
              </w:rPr>
              <w:t>16（需附上次療程治療前、後及本次照片）。</w:t>
            </w:r>
          </w:p>
          <w:p w14:paraId="4678BC05" w14:textId="77777777" w:rsidR="00BD776B" w:rsidRDefault="00DF0C24">
            <w:pPr>
              <w:spacing w:line="400" w:lineRule="exact"/>
              <w:ind w:left="360"/>
              <w:rPr>
                <w:rFonts w:ascii="標楷體" w:eastAsia="標楷體" w:hAnsi="標楷體"/>
                <w:color w:val="000000"/>
              </w:rPr>
            </w:pPr>
            <w:r>
              <w:rPr>
                <w:rFonts w:ascii="標楷體" w:eastAsia="標楷體" w:hAnsi="標楷體"/>
                <w:color w:val="000000"/>
              </w:rPr>
              <w:t>2.□上次治療至今病歷影本(至多附6個月)，以及申請日期之臨床照片。</w:t>
            </w:r>
          </w:p>
          <w:p w14:paraId="20D1F791" w14:textId="77777777" w:rsidR="00BD776B" w:rsidRDefault="00DF0C24">
            <w:pPr>
              <w:spacing w:line="400" w:lineRule="exact"/>
              <w:ind w:left="958"/>
              <w:rPr>
                <w:rFonts w:ascii="標楷體" w:eastAsia="標楷體" w:hAnsi="標楷體"/>
                <w:color w:val="000000"/>
              </w:rPr>
            </w:pPr>
            <w:r>
              <w:rPr>
                <w:rFonts w:ascii="標楷體" w:eastAsia="標楷體" w:hAnsi="標楷體"/>
                <w:color w:val="000000"/>
              </w:rPr>
              <w:t>上次申請之生物製劑dupilumab使用時間及使用劑量：</w:t>
            </w:r>
          </w:p>
          <w:tbl>
            <w:tblPr>
              <w:tblW w:w="9090" w:type="dxa"/>
              <w:tblInd w:w="720" w:type="dxa"/>
              <w:tblLayout w:type="fixed"/>
              <w:tblCellMar>
                <w:left w:w="10" w:type="dxa"/>
                <w:right w:w="10" w:type="dxa"/>
              </w:tblCellMar>
              <w:tblLook w:val="0000" w:firstRow="0" w:lastRow="0" w:firstColumn="0" w:lastColumn="0" w:noHBand="0" w:noVBand="0"/>
            </w:tblPr>
            <w:tblGrid>
              <w:gridCol w:w="2154"/>
              <w:gridCol w:w="2154"/>
              <w:gridCol w:w="2154"/>
              <w:gridCol w:w="2628"/>
            </w:tblGrid>
            <w:tr w:rsidR="00BD776B" w14:paraId="3BFD682D" w14:textId="77777777">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21330CC"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使用生物製劑</w:t>
                  </w: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543C1A7"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使用劑量</w:t>
                  </w: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368D858"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使用時間</w:t>
                  </w:r>
                </w:p>
              </w:tc>
              <w:tc>
                <w:tcPr>
                  <w:tcW w:w="26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840760B"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EASI治療前後數值</w:t>
                  </w:r>
                </w:p>
              </w:tc>
            </w:tr>
            <w:tr w:rsidR="00BD776B" w14:paraId="052CA777" w14:textId="77777777">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925A92" w14:textId="77777777" w:rsidR="00BD776B" w:rsidRDefault="00BD776B">
                  <w:pPr>
                    <w:spacing w:before="100" w:line="320" w:lineRule="exact"/>
                    <w:rPr>
                      <w:rFonts w:ascii="標楷體" w:eastAsia="標楷體" w:hAnsi="標楷體"/>
                      <w:color w:val="000000"/>
                    </w:rPr>
                  </w:pP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A94CD0" w14:textId="77777777" w:rsidR="00BD776B" w:rsidRDefault="00DF0C24">
                  <w:pPr>
                    <w:spacing w:before="100" w:line="320" w:lineRule="exact"/>
                    <w:rPr>
                      <w:rFonts w:ascii="標楷體" w:eastAsia="標楷體" w:hAnsi="標楷體"/>
                      <w:color w:val="000000"/>
                    </w:rPr>
                  </w:pPr>
                  <w:r>
                    <w:rPr>
                      <w:rFonts w:ascii="標楷體" w:eastAsia="標楷體" w:hAnsi="標楷體"/>
                      <w:color w:val="000000"/>
                    </w:rPr>
                    <w:t>___mg/___週</w:t>
                  </w: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9F47CC4"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__年__月__日至</w:t>
                  </w:r>
                </w:p>
                <w:p w14:paraId="53631D54"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w:t>
                  </w:r>
                </w:p>
              </w:tc>
              <w:tc>
                <w:tcPr>
                  <w:tcW w:w="26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C690D37" w14:textId="77777777" w:rsidR="00BD776B" w:rsidRDefault="00BD776B">
                  <w:pPr>
                    <w:spacing w:before="100" w:line="320" w:lineRule="exact"/>
                    <w:rPr>
                      <w:rFonts w:ascii="標楷體" w:eastAsia="標楷體" w:hAnsi="標楷體"/>
                      <w:color w:val="000000"/>
                    </w:rPr>
                  </w:pPr>
                </w:p>
              </w:tc>
            </w:tr>
            <w:tr w:rsidR="00BD776B" w14:paraId="0739B77F" w14:textId="77777777">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D21215A" w14:textId="77777777" w:rsidR="00BD776B" w:rsidRDefault="00BD776B">
                  <w:pPr>
                    <w:spacing w:before="100" w:line="320" w:lineRule="exact"/>
                    <w:rPr>
                      <w:rFonts w:ascii="標楷體" w:eastAsia="標楷體" w:hAnsi="標楷體"/>
                      <w:color w:val="000000"/>
                    </w:rPr>
                  </w:pP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B09381D" w14:textId="77777777" w:rsidR="00BD776B" w:rsidRDefault="00DF0C24">
                  <w:pPr>
                    <w:spacing w:before="100" w:line="320" w:lineRule="exact"/>
                    <w:rPr>
                      <w:rFonts w:ascii="標楷體" w:eastAsia="標楷體" w:hAnsi="標楷體"/>
                      <w:color w:val="000000"/>
                    </w:rPr>
                  </w:pPr>
                  <w:r>
                    <w:rPr>
                      <w:rFonts w:ascii="標楷體" w:eastAsia="標楷體" w:hAnsi="標楷體"/>
                      <w:color w:val="000000"/>
                    </w:rPr>
                    <w:t>___mg/___週</w:t>
                  </w: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BBA6FC6"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__年__月__日至</w:t>
                  </w:r>
                </w:p>
                <w:p w14:paraId="4A5EE475"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w:t>
                  </w:r>
                </w:p>
              </w:tc>
              <w:tc>
                <w:tcPr>
                  <w:tcW w:w="26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56F3B10" w14:textId="77777777" w:rsidR="00BD776B" w:rsidRDefault="00BD776B">
                  <w:pPr>
                    <w:spacing w:before="100" w:line="320" w:lineRule="exact"/>
                    <w:rPr>
                      <w:rFonts w:ascii="標楷體" w:eastAsia="標楷體" w:hAnsi="標楷體"/>
                      <w:color w:val="000000"/>
                    </w:rPr>
                  </w:pPr>
                </w:p>
              </w:tc>
            </w:tr>
            <w:tr w:rsidR="00BD776B" w14:paraId="273D2C90" w14:textId="77777777">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C413F14" w14:textId="77777777" w:rsidR="00BD776B" w:rsidRDefault="00BD776B">
                  <w:pPr>
                    <w:spacing w:before="100" w:line="320" w:lineRule="exact"/>
                    <w:rPr>
                      <w:rFonts w:ascii="標楷體" w:eastAsia="標楷體" w:hAnsi="標楷體"/>
                      <w:color w:val="000000"/>
                    </w:rPr>
                  </w:pP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E1DC817" w14:textId="77777777" w:rsidR="00BD776B" w:rsidRDefault="00DF0C24">
                  <w:pPr>
                    <w:spacing w:before="100" w:line="320" w:lineRule="exact"/>
                    <w:rPr>
                      <w:rFonts w:ascii="標楷體" w:eastAsia="標楷體" w:hAnsi="標楷體"/>
                      <w:color w:val="000000"/>
                    </w:rPr>
                  </w:pPr>
                  <w:r>
                    <w:rPr>
                      <w:rFonts w:ascii="標楷體" w:eastAsia="標楷體" w:hAnsi="標楷體"/>
                      <w:color w:val="000000"/>
                    </w:rPr>
                    <w:t>___mg/___週</w:t>
                  </w:r>
                </w:p>
              </w:tc>
              <w:tc>
                <w:tcPr>
                  <w:tcW w:w="21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9214CA"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__年__月__日至</w:t>
                  </w:r>
                </w:p>
                <w:p w14:paraId="1A345BBB" w14:textId="77777777" w:rsidR="00BD776B" w:rsidRDefault="00DF0C24">
                  <w:pPr>
                    <w:spacing w:line="320" w:lineRule="exact"/>
                    <w:rPr>
                      <w:rFonts w:ascii="標楷體" w:eastAsia="標楷體" w:hAnsi="標楷體"/>
                      <w:color w:val="000000"/>
                    </w:rPr>
                  </w:pPr>
                  <w:r>
                    <w:rPr>
                      <w:rFonts w:ascii="標楷體" w:eastAsia="標楷體" w:hAnsi="標楷體"/>
                      <w:color w:val="000000"/>
                    </w:rPr>
                    <w:t>__年__月__日</w:t>
                  </w:r>
                </w:p>
              </w:tc>
              <w:tc>
                <w:tcPr>
                  <w:tcW w:w="26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AFE04F" w14:textId="77777777" w:rsidR="00BD776B" w:rsidRDefault="00BD776B">
                  <w:pPr>
                    <w:spacing w:before="100" w:line="320" w:lineRule="exact"/>
                    <w:rPr>
                      <w:rFonts w:ascii="標楷體" w:eastAsia="標楷體" w:hAnsi="標楷體"/>
                      <w:color w:val="000000"/>
                    </w:rPr>
                  </w:pPr>
                </w:p>
              </w:tc>
            </w:tr>
          </w:tbl>
          <w:p w14:paraId="70E35F6F" w14:textId="77777777" w:rsidR="00BD776B" w:rsidRDefault="00BD776B">
            <w:pPr>
              <w:spacing w:before="100" w:line="320" w:lineRule="exact"/>
              <w:rPr>
                <w:rFonts w:ascii="標楷體" w:eastAsia="標楷體" w:hAnsi="標楷體"/>
                <w:color w:val="000000"/>
              </w:rPr>
            </w:pPr>
          </w:p>
        </w:tc>
        <w:tc>
          <w:tcPr>
            <w:tcW w:w="35" w:type="dxa"/>
            <w:shd w:val="clear" w:color="auto" w:fill="auto"/>
            <w:tcMar>
              <w:top w:w="0" w:type="dxa"/>
              <w:left w:w="0" w:type="dxa"/>
              <w:bottom w:w="0" w:type="dxa"/>
              <w:right w:w="0" w:type="dxa"/>
            </w:tcMar>
          </w:tcPr>
          <w:p w14:paraId="5DD11E55" w14:textId="77777777" w:rsidR="00BD776B" w:rsidRDefault="00BD776B">
            <w:pPr>
              <w:spacing w:before="100"/>
              <w:ind w:left="340"/>
              <w:rPr>
                <w:rFonts w:ascii="標楷體" w:eastAsia="標楷體" w:hAnsi="標楷體"/>
                <w:color w:val="000000"/>
              </w:rPr>
            </w:pPr>
          </w:p>
        </w:tc>
        <w:tc>
          <w:tcPr>
            <w:tcW w:w="72" w:type="dxa"/>
          </w:tcPr>
          <w:p w14:paraId="3A858A35" w14:textId="77777777" w:rsidR="00BD776B" w:rsidRDefault="00BD776B">
            <w:pPr>
              <w:spacing w:before="100"/>
              <w:ind w:left="340"/>
              <w:rPr>
                <w:rFonts w:ascii="標楷體" w:eastAsia="標楷體" w:hAnsi="標楷體"/>
                <w:color w:val="000000"/>
              </w:rPr>
            </w:pPr>
          </w:p>
        </w:tc>
        <w:tc>
          <w:tcPr>
            <w:tcW w:w="316" w:type="dxa"/>
          </w:tcPr>
          <w:p w14:paraId="3013D93D" w14:textId="77777777" w:rsidR="00BD776B" w:rsidRDefault="00BD776B">
            <w:pPr>
              <w:spacing w:before="100"/>
              <w:ind w:left="340"/>
              <w:rPr>
                <w:rFonts w:ascii="標楷體" w:eastAsia="標楷體" w:hAnsi="標楷體"/>
                <w:color w:val="000000"/>
              </w:rPr>
            </w:pPr>
          </w:p>
        </w:tc>
        <w:tc>
          <w:tcPr>
            <w:tcW w:w="37" w:type="dxa"/>
          </w:tcPr>
          <w:p w14:paraId="0481C5AA" w14:textId="77777777" w:rsidR="00BD776B" w:rsidRDefault="00BD776B">
            <w:pPr>
              <w:spacing w:before="100"/>
              <w:ind w:left="340"/>
              <w:rPr>
                <w:rFonts w:ascii="標楷體" w:eastAsia="標楷體" w:hAnsi="標楷體"/>
                <w:color w:val="000000"/>
              </w:rPr>
            </w:pPr>
          </w:p>
        </w:tc>
      </w:tr>
      <w:tr w:rsidR="00BD776B" w14:paraId="78E19AC8" w14:textId="77777777">
        <w:trPr>
          <w:trHeight w:val="291"/>
        </w:trPr>
        <w:tc>
          <w:tcPr>
            <w:tcW w:w="1542" w:type="dxa"/>
            <w:shd w:val="clear" w:color="auto" w:fill="auto"/>
            <w:tcMar>
              <w:top w:w="0" w:type="dxa"/>
              <w:left w:w="0" w:type="dxa"/>
              <w:bottom w:w="0" w:type="dxa"/>
              <w:right w:w="0" w:type="dxa"/>
            </w:tcMar>
          </w:tcPr>
          <w:p w14:paraId="78949755" w14:textId="77777777" w:rsidR="00BD776B" w:rsidRDefault="00BD776B">
            <w:pPr>
              <w:spacing w:before="100"/>
              <w:ind w:left="119"/>
              <w:rPr>
                <w:rFonts w:ascii="標楷體" w:eastAsia="標楷體" w:hAnsi="標楷體"/>
                <w:color w:val="000000"/>
              </w:rPr>
            </w:pPr>
          </w:p>
        </w:tc>
        <w:tc>
          <w:tcPr>
            <w:tcW w:w="10337" w:type="dxa"/>
            <w:gridSpan w:val="4"/>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777E9681" w14:textId="77777777" w:rsidR="00BD776B" w:rsidRDefault="00DF0C24">
            <w:pPr>
              <w:spacing w:before="181" w:line="200" w:lineRule="exact"/>
              <w:rPr>
                <w:rFonts w:ascii="標楷體" w:eastAsia="標楷體" w:hAnsi="標楷體"/>
                <w:b/>
                <w:color w:val="000000"/>
              </w:rPr>
            </w:pPr>
            <w:r>
              <w:rPr>
                <w:rFonts w:ascii="標楷體" w:eastAsia="標楷體" w:hAnsi="標楷體"/>
                <w:b/>
                <w:color w:val="000000"/>
              </w:rPr>
              <w:t>□符合「需排除或停止使用之情形」</w:t>
            </w:r>
          </w:p>
        </w:tc>
        <w:tc>
          <w:tcPr>
            <w:tcW w:w="423" w:type="dxa"/>
            <w:gridSpan w:val="3"/>
            <w:shd w:val="clear" w:color="auto" w:fill="auto"/>
            <w:tcMar>
              <w:top w:w="0" w:type="dxa"/>
              <w:left w:w="0" w:type="dxa"/>
              <w:bottom w:w="0" w:type="dxa"/>
              <w:right w:w="0" w:type="dxa"/>
            </w:tcMar>
          </w:tcPr>
          <w:p w14:paraId="4E60DD8E" w14:textId="77777777" w:rsidR="00BD776B" w:rsidRDefault="00BD776B">
            <w:pPr>
              <w:spacing w:before="100"/>
              <w:ind w:left="119"/>
              <w:rPr>
                <w:rFonts w:ascii="標楷體" w:eastAsia="標楷體" w:hAnsi="標楷體"/>
                <w:color w:val="000000"/>
              </w:rPr>
            </w:pPr>
          </w:p>
        </w:tc>
        <w:tc>
          <w:tcPr>
            <w:tcW w:w="37" w:type="dxa"/>
          </w:tcPr>
          <w:p w14:paraId="752072D0" w14:textId="77777777" w:rsidR="00BD776B" w:rsidRDefault="00BD776B">
            <w:pPr>
              <w:spacing w:before="100"/>
              <w:ind w:left="119"/>
              <w:rPr>
                <w:rFonts w:ascii="標楷體" w:eastAsia="標楷體" w:hAnsi="標楷體"/>
                <w:color w:val="000000"/>
              </w:rPr>
            </w:pPr>
          </w:p>
        </w:tc>
      </w:tr>
      <w:tr w:rsidR="00BD776B" w14:paraId="7FD725CB" w14:textId="77777777">
        <w:trPr>
          <w:trHeight w:val="414"/>
        </w:trPr>
        <w:tc>
          <w:tcPr>
            <w:tcW w:w="1542" w:type="dxa"/>
            <w:shd w:val="clear" w:color="auto" w:fill="auto"/>
            <w:tcMar>
              <w:top w:w="0" w:type="dxa"/>
              <w:left w:w="0" w:type="dxa"/>
              <w:bottom w:w="0" w:type="dxa"/>
              <w:right w:w="0" w:type="dxa"/>
            </w:tcMar>
          </w:tcPr>
          <w:p w14:paraId="01FBE95D" w14:textId="77777777" w:rsidR="00BD776B" w:rsidRDefault="00BD776B">
            <w:pPr>
              <w:spacing w:before="100"/>
              <w:rPr>
                <w:rFonts w:ascii="標楷體" w:eastAsia="標楷體" w:hAnsi="標楷體"/>
                <w:color w:val="000000"/>
              </w:rPr>
            </w:pPr>
          </w:p>
        </w:tc>
        <w:tc>
          <w:tcPr>
            <w:tcW w:w="1242" w:type="dxa"/>
            <w:tcBorders>
              <w:top w:val="single" w:sz="6" w:space="0" w:color="000000"/>
              <w:left w:val="double" w:sz="4" w:space="0" w:color="000000"/>
              <w:bottom w:val="single" w:sz="6" w:space="0" w:color="000000"/>
            </w:tcBorders>
            <w:shd w:val="clear" w:color="auto" w:fill="auto"/>
            <w:tcMar>
              <w:top w:w="0" w:type="dxa"/>
              <w:left w:w="28" w:type="dxa"/>
              <w:bottom w:w="0" w:type="dxa"/>
              <w:right w:w="0" w:type="dxa"/>
            </w:tcMar>
            <w:vAlign w:val="center"/>
          </w:tcPr>
          <w:p w14:paraId="38344E42" w14:textId="77777777" w:rsidR="00BD776B" w:rsidRDefault="00BD776B">
            <w:pPr>
              <w:spacing w:before="181" w:line="200" w:lineRule="exact"/>
              <w:rPr>
                <w:rFonts w:ascii="標楷體" w:eastAsia="標楷體" w:hAnsi="標楷體"/>
                <w:color w:val="000000"/>
              </w:rPr>
            </w:pPr>
          </w:p>
        </w:tc>
        <w:tc>
          <w:tcPr>
            <w:tcW w:w="1782" w:type="dxa"/>
            <w:tcBorders>
              <w:top w:val="single" w:sz="6" w:space="0" w:color="000000"/>
              <w:bottom w:val="single" w:sz="6" w:space="0" w:color="000000"/>
              <w:right w:val="single" w:sz="6" w:space="0" w:color="000000"/>
            </w:tcBorders>
            <w:shd w:val="clear" w:color="auto" w:fill="auto"/>
            <w:tcMar>
              <w:top w:w="0" w:type="dxa"/>
              <w:left w:w="0" w:type="dxa"/>
              <w:bottom w:w="0" w:type="dxa"/>
              <w:right w:w="28" w:type="dxa"/>
            </w:tcMar>
            <w:vAlign w:val="center"/>
          </w:tcPr>
          <w:p w14:paraId="49AAF9AB"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□是</w:t>
            </w:r>
          </w:p>
          <w:p w14:paraId="3F38EEBC"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□否</w:t>
            </w:r>
          </w:p>
        </w:tc>
        <w:tc>
          <w:tcPr>
            <w:tcW w:w="7313"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62B856E" w14:textId="77777777" w:rsidR="00BD776B" w:rsidRDefault="00DF0C24">
            <w:pPr>
              <w:spacing w:before="181" w:line="200" w:lineRule="exact"/>
              <w:rPr>
                <w:rFonts w:ascii="標楷體" w:eastAsia="標楷體" w:hAnsi="標楷體"/>
                <w:color w:val="000000"/>
              </w:rPr>
            </w:pPr>
            <w:r>
              <w:rPr>
                <w:rFonts w:ascii="標楷體" w:eastAsia="標楷體" w:hAnsi="標楷體"/>
                <w:color w:val="000000"/>
              </w:rPr>
              <w:t>病患是否罹患惡性腫瘤或為癌前狀態。</w:t>
            </w:r>
          </w:p>
        </w:tc>
        <w:tc>
          <w:tcPr>
            <w:tcW w:w="460" w:type="dxa"/>
            <w:gridSpan w:val="4"/>
            <w:shd w:val="clear" w:color="auto" w:fill="auto"/>
            <w:tcMar>
              <w:top w:w="0" w:type="dxa"/>
              <w:left w:w="0" w:type="dxa"/>
              <w:bottom w:w="0" w:type="dxa"/>
              <w:right w:w="0" w:type="dxa"/>
            </w:tcMar>
          </w:tcPr>
          <w:p w14:paraId="4EAA8C5A" w14:textId="77777777" w:rsidR="00BD776B" w:rsidRDefault="00BD776B">
            <w:pPr>
              <w:spacing w:before="100"/>
              <w:rPr>
                <w:rFonts w:ascii="標楷體" w:eastAsia="標楷體" w:hAnsi="標楷體"/>
                <w:color w:val="000000"/>
              </w:rPr>
            </w:pPr>
          </w:p>
        </w:tc>
      </w:tr>
      <w:tr w:rsidR="00BD776B" w14:paraId="2A5BCDDD" w14:textId="77777777">
        <w:trPr>
          <w:trHeight w:val="419"/>
        </w:trPr>
        <w:tc>
          <w:tcPr>
            <w:tcW w:w="1542" w:type="dxa"/>
            <w:shd w:val="clear" w:color="auto" w:fill="auto"/>
            <w:tcMar>
              <w:top w:w="0" w:type="dxa"/>
              <w:left w:w="0" w:type="dxa"/>
              <w:bottom w:w="0" w:type="dxa"/>
              <w:right w:w="0" w:type="dxa"/>
            </w:tcMar>
          </w:tcPr>
          <w:p w14:paraId="7BD1D96C" w14:textId="77777777" w:rsidR="00BD776B" w:rsidRDefault="00BD776B">
            <w:pPr>
              <w:spacing w:before="100"/>
              <w:rPr>
                <w:rFonts w:ascii="標楷體" w:eastAsia="標楷體" w:hAnsi="標楷體"/>
                <w:color w:val="000000"/>
              </w:rPr>
            </w:pPr>
          </w:p>
        </w:tc>
        <w:tc>
          <w:tcPr>
            <w:tcW w:w="1242" w:type="dxa"/>
            <w:tcBorders>
              <w:top w:val="single" w:sz="6" w:space="0" w:color="000000"/>
              <w:left w:val="double" w:sz="4" w:space="0" w:color="000000"/>
              <w:bottom w:val="single" w:sz="6" w:space="0" w:color="000000"/>
            </w:tcBorders>
            <w:shd w:val="clear" w:color="auto" w:fill="auto"/>
            <w:tcMar>
              <w:top w:w="0" w:type="dxa"/>
              <w:left w:w="28" w:type="dxa"/>
              <w:bottom w:w="0" w:type="dxa"/>
              <w:right w:w="0" w:type="dxa"/>
            </w:tcMar>
            <w:vAlign w:val="center"/>
          </w:tcPr>
          <w:p w14:paraId="3C8F0E07" w14:textId="77777777" w:rsidR="00BD776B" w:rsidRDefault="00BD776B">
            <w:pPr>
              <w:spacing w:before="181" w:line="200" w:lineRule="exact"/>
              <w:rPr>
                <w:rFonts w:ascii="標楷體" w:eastAsia="標楷體" w:hAnsi="標楷體"/>
                <w:color w:val="000000"/>
              </w:rPr>
            </w:pPr>
          </w:p>
          <w:p w14:paraId="5719FDE1" w14:textId="77777777" w:rsidR="00BD776B" w:rsidRDefault="00BD776B">
            <w:pPr>
              <w:spacing w:before="181" w:line="200" w:lineRule="exact"/>
              <w:rPr>
                <w:rFonts w:ascii="標楷體" w:eastAsia="標楷體" w:hAnsi="標楷體"/>
                <w:color w:val="000000"/>
              </w:rPr>
            </w:pPr>
          </w:p>
        </w:tc>
        <w:tc>
          <w:tcPr>
            <w:tcW w:w="1782" w:type="dxa"/>
            <w:tcBorders>
              <w:top w:val="single" w:sz="6" w:space="0" w:color="000000"/>
              <w:bottom w:val="single" w:sz="6" w:space="0" w:color="000000"/>
              <w:right w:val="single" w:sz="6" w:space="0" w:color="000000"/>
            </w:tcBorders>
            <w:shd w:val="clear" w:color="auto" w:fill="auto"/>
            <w:tcMar>
              <w:top w:w="0" w:type="dxa"/>
              <w:left w:w="0" w:type="dxa"/>
              <w:bottom w:w="0" w:type="dxa"/>
              <w:right w:w="28" w:type="dxa"/>
            </w:tcMar>
            <w:vAlign w:val="center"/>
          </w:tcPr>
          <w:p w14:paraId="1B2D8AB1"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□是</w:t>
            </w:r>
          </w:p>
          <w:p w14:paraId="3D2E55A2"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□否</w:t>
            </w:r>
          </w:p>
        </w:tc>
        <w:tc>
          <w:tcPr>
            <w:tcW w:w="7313"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597FD92" w14:textId="77777777" w:rsidR="00BD776B" w:rsidRDefault="00DF0C24">
            <w:pPr>
              <w:spacing w:before="181" w:line="200" w:lineRule="exact"/>
              <w:rPr>
                <w:rFonts w:ascii="標楷體" w:eastAsia="標楷體" w:hAnsi="標楷體"/>
                <w:color w:val="000000"/>
              </w:rPr>
            </w:pPr>
            <w:r>
              <w:rPr>
                <w:rFonts w:ascii="標楷體" w:eastAsia="標楷體" w:hAnsi="標楷體"/>
                <w:color w:val="000000"/>
              </w:rPr>
              <w:t>婦女是否正在懷孕或授乳。</w:t>
            </w:r>
          </w:p>
        </w:tc>
        <w:tc>
          <w:tcPr>
            <w:tcW w:w="460" w:type="dxa"/>
            <w:gridSpan w:val="4"/>
            <w:shd w:val="clear" w:color="auto" w:fill="auto"/>
            <w:tcMar>
              <w:top w:w="0" w:type="dxa"/>
              <w:left w:w="0" w:type="dxa"/>
              <w:bottom w:w="0" w:type="dxa"/>
              <w:right w:w="0" w:type="dxa"/>
            </w:tcMar>
          </w:tcPr>
          <w:p w14:paraId="22E79C16" w14:textId="77777777" w:rsidR="00BD776B" w:rsidRDefault="00BD776B">
            <w:pPr>
              <w:spacing w:before="100"/>
              <w:rPr>
                <w:rFonts w:ascii="標楷體" w:eastAsia="標楷體" w:hAnsi="標楷體"/>
                <w:color w:val="000000"/>
              </w:rPr>
            </w:pPr>
          </w:p>
        </w:tc>
      </w:tr>
      <w:tr w:rsidR="00BD776B" w14:paraId="267A51F5" w14:textId="77777777">
        <w:trPr>
          <w:trHeight w:val="360"/>
        </w:trPr>
        <w:tc>
          <w:tcPr>
            <w:tcW w:w="1542" w:type="dxa"/>
            <w:shd w:val="clear" w:color="auto" w:fill="auto"/>
            <w:tcMar>
              <w:top w:w="0" w:type="dxa"/>
              <w:left w:w="0" w:type="dxa"/>
              <w:bottom w:w="0" w:type="dxa"/>
              <w:right w:w="0" w:type="dxa"/>
            </w:tcMar>
          </w:tcPr>
          <w:p w14:paraId="1EF550E8" w14:textId="77777777" w:rsidR="00BD776B" w:rsidRDefault="00BD776B">
            <w:pPr>
              <w:spacing w:before="100"/>
              <w:rPr>
                <w:rFonts w:ascii="標楷體" w:eastAsia="標楷體" w:hAnsi="標楷體"/>
                <w:color w:val="000000"/>
              </w:rPr>
            </w:pPr>
          </w:p>
        </w:tc>
        <w:tc>
          <w:tcPr>
            <w:tcW w:w="1242" w:type="dxa"/>
            <w:tcBorders>
              <w:top w:val="single" w:sz="6" w:space="0" w:color="000000"/>
              <w:left w:val="double" w:sz="4" w:space="0" w:color="000000"/>
              <w:bottom w:val="single" w:sz="6" w:space="0" w:color="000000"/>
            </w:tcBorders>
            <w:shd w:val="clear" w:color="auto" w:fill="auto"/>
            <w:tcMar>
              <w:top w:w="0" w:type="dxa"/>
              <w:left w:w="28" w:type="dxa"/>
              <w:bottom w:w="0" w:type="dxa"/>
              <w:right w:w="0" w:type="dxa"/>
            </w:tcMar>
            <w:vAlign w:val="center"/>
          </w:tcPr>
          <w:p w14:paraId="442DA1E8" w14:textId="77777777" w:rsidR="00BD776B" w:rsidRDefault="00BD776B">
            <w:pPr>
              <w:spacing w:before="181" w:line="200" w:lineRule="exact"/>
              <w:rPr>
                <w:rFonts w:ascii="標楷體" w:eastAsia="標楷體" w:hAnsi="標楷體"/>
                <w:color w:val="000000"/>
              </w:rPr>
            </w:pPr>
          </w:p>
        </w:tc>
        <w:tc>
          <w:tcPr>
            <w:tcW w:w="1782" w:type="dxa"/>
            <w:tcBorders>
              <w:top w:val="single" w:sz="6" w:space="0" w:color="000000"/>
              <w:bottom w:val="single" w:sz="6" w:space="0" w:color="000000"/>
              <w:right w:val="single" w:sz="6" w:space="0" w:color="000000"/>
            </w:tcBorders>
            <w:shd w:val="clear" w:color="auto" w:fill="auto"/>
            <w:tcMar>
              <w:top w:w="0" w:type="dxa"/>
              <w:left w:w="0" w:type="dxa"/>
              <w:bottom w:w="0" w:type="dxa"/>
              <w:right w:w="28" w:type="dxa"/>
            </w:tcMar>
            <w:vAlign w:val="center"/>
          </w:tcPr>
          <w:p w14:paraId="25A92204"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□是</w:t>
            </w:r>
          </w:p>
          <w:p w14:paraId="648ABA09"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□否</w:t>
            </w:r>
          </w:p>
        </w:tc>
        <w:tc>
          <w:tcPr>
            <w:tcW w:w="7313"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90FC928" w14:textId="77777777" w:rsidR="00BD776B" w:rsidRDefault="00DF0C24">
            <w:pPr>
              <w:spacing w:before="181" w:line="200" w:lineRule="exact"/>
              <w:rPr>
                <w:rFonts w:ascii="標楷體" w:eastAsia="標楷體" w:hAnsi="標楷體"/>
                <w:color w:val="000000"/>
              </w:rPr>
            </w:pPr>
            <w:r>
              <w:rPr>
                <w:rFonts w:ascii="標楷體" w:eastAsia="標楷體" w:hAnsi="標楷體"/>
                <w:color w:val="000000"/>
              </w:rPr>
              <w:t>病患是否罹患寄生蟲 (蠕蟲) 感染。</w:t>
            </w:r>
          </w:p>
        </w:tc>
        <w:tc>
          <w:tcPr>
            <w:tcW w:w="460" w:type="dxa"/>
            <w:gridSpan w:val="4"/>
            <w:shd w:val="clear" w:color="auto" w:fill="auto"/>
            <w:tcMar>
              <w:top w:w="0" w:type="dxa"/>
              <w:left w:w="0" w:type="dxa"/>
              <w:bottom w:w="0" w:type="dxa"/>
              <w:right w:w="0" w:type="dxa"/>
            </w:tcMar>
          </w:tcPr>
          <w:p w14:paraId="2DA4CDDD" w14:textId="77777777" w:rsidR="00BD776B" w:rsidRDefault="00BD776B">
            <w:pPr>
              <w:spacing w:before="100"/>
              <w:rPr>
                <w:rFonts w:ascii="標楷體" w:eastAsia="標楷體" w:hAnsi="標楷體"/>
                <w:color w:val="000000"/>
              </w:rPr>
            </w:pPr>
          </w:p>
        </w:tc>
      </w:tr>
      <w:tr w:rsidR="00BD776B" w14:paraId="3C709052" w14:textId="77777777">
        <w:trPr>
          <w:trHeight w:val="187"/>
        </w:trPr>
        <w:tc>
          <w:tcPr>
            <w:tcW w:w="1542" w:type="dxa"/>
            <w:shd w:val="clear" w:color="auto" w:fill="auto"/>
            <w:tcMar>
              <w:top w:w="0" w:type="dxa"/>
              <w:left w:w="0" w:type="dxa"/>
              <w:bottom w:w="0" w:type="dxa"/>
              <w:right w:w="0" w:type="dxa"/>
            </w:tcMar>
          </w:tcPr>
          <w:p w14:paraId="3DA6E019" w14:textId="77777777" w:rsidR="00BD776B" w:rsidRDefault="00BD776B">
            <w:pPr>
              <w:spacing w:before="100"/>
              <w:rPr>
                <w:rFonts w:ascii="標楷體" w:eastAsia="標楷體" w:hAnsi="標楷體"/>
                <w:color w:val="000000"/>
              </w:rPr>
            </w:pPr>
          </w:p>
        </w:tc>
        <w:tc>
          <w:tcPr>
            <w:tcW w:w="10337" w:type="dxa"/>
            <w:gridSpan w:val="4"/>
            <w:tcBorders>
              <w:top w:val="double" w:sz="4" w:space="0" w:color="000000"/>
              <w:left w:val="doub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5EFEC7C" w14:textId="77777777" w:rsidR="00BD776B" w:rsidRDefault="00DF0C24">
            <w:pPr>
              <w:spacing w:before="181" w:line="200" w:lineRule="exact"/>
              <w:rPr>
                <w:rFonts w:ascii="標楷體" w:eastAsia="標楷體" w:hAnsi="標楷體"/>
                <w:b/>
                <w:color w:val="000000"/>
              </w:rPr>
            </w:pPr>
            <w:r>
              <w:rPr>
                <w:rFonts w:ascii="標楷體" w:eastAsia="標楷體" w:hAnsi="標楷體"/>
                <w:b/>
                <w:color w:val="000000"/>
              </w:rPr>
              <w:t>□符合「需暫緩續用之情形」</w:t>
            </w:r>
          </w:p>
        </w:tc>
        <w:tc>
          <w:tcPr>
            <w:tcW w:w="460" w:type="dxa"/>
            <w:gridSpan w:val="4"/>
            <w:shd w:val="clear" w:color="auto" w:fill="auto"/>
            <w:tcMar>
              <w:top w:w="0" w:type="dxa"/>
              <w:left w:w="0" w:type="dxa"/>
              <w:bottom w:w="0" w:type="dxa"/>
              <w:right w:w="0" w:type="dxa"/>
            </w:tcMar>
          </w:tcPr>
          <w:p w14:paraId="20501CE0" w14:textId="77777777" w:rsidR="00BD776B" w:rsidRDefault="00BD776B">
            <w:pPr>
              <w:spacing w:before="100"/>
              <w:rPr>
                <w:rFonts w:ascii="標楷體" w:eastAsia="標楷體" w:hAnsi="標楷體"/>
                <w:color w:val="000000"/>
              </w:rPr>
            </w:pPr>
          </w:p>
        </w:tc>
      </w:tr>
      <w:tr w:rsidR="00BD776B" w14:paraId="09669EC5" w14:textId="77777777">
        <w:trPr>
          <w:trHeight w:val="795"/>
        </w:trPr>
        <w:tc>
          <w:tcPr>
            <w:tcW w:w="1542" w:type="dxa"/>
            <w:shd w:val="clear" w:color="auto" w:fill="auto"/>
            <w:tcMar>
              <w:top w:w="0" w:type="dxa"/>
              <w:left w:w="0" w:type="dxa"/>
              <w:bottom w:w="0" w:type="dxa"/>
              <w:right w:w="0" w:type="dxa"/>
            </w:tcMar>
          </w:tcPr>
          <w:p w14:paraId="455D768D" w14:textId="77777777" w:rsidR="00BD776B" w:rsidRDefault="00BD776B">
            <w:pPr>
              <w:spacing w:before="100"/>
              <w:rPr>
                <w:rFonts w:ascii="標楷體" w:eastAsia="標楷體" w:hAnsi="標楷體"/>
                <w:color w:val="000000"/>
              </w:rPr>
            </w:pPr>
          </w:p>
        </w:tc>
        <w:tc>
          <w:tcPr>
            <w:tcW w:w="1242" w:type="dxa"/>
            <w:tcBorders>
              <w:top w:val="single" w:sz="6" w:space="0" w:color="000000"/>
              <w:left w:val="double" w:sz="4" w:space="0" w:color="000000"/>
              <w:bottom w:val="double" w:sz="4" w:space="0" w:color="000000"/>
            </w:tcBorders>
            <w:shd w:val="clear" w:color="auto" w:fill="auto"/>
            <w:tcMar>
              <w:top w:w="0" w:type="dxa"/>
              <w:left w:w="28" w:type="dxa"/>
              <w:bottom w:w="0" w:type="dxa"/>
              <w:right w:w="0" w:type="dxa"/>
            </w:tcMar>
            <w:vAlign w:val="center"/>
          </w:tcPr>
          <w:p w14:paraId="2D99D41E" w14:textId="77777777" w:rsidR="00BD776B" w:rsidRDefault="00BD776B">
            <w:pPr>
              <w:spacing w:before="181" w:line="200" w:lineRule="exact"/>
              <w:rPr>
                <w:rFonts w:ascii="標楷體" w:eastAsia="標楷體" w:hAnsi="標楷體"/>
                <w:color w:val="000000"/>
              </w:rPr>
            </w:pPr>
          </w:p>
        </w:tc>
        <w:tc>
          <w:tcPr>
            <w:tcW w:w="1782" w:type="dxa"/>
            <w:tcBorders>
              <w:top w:val="single" w:sz="6" w:space="0" w:color="000000"/>
              <w:bottom w:val="double" w:sz="4" w:space="0" w:color="000000"/>
              <w:right w:val="single" w:sz="6" w:space="0" w:color="000000"/>
            </w:tcBorders>
            <w:shd w:val="clear" w:color="auto" w:fill="auto"/>
            <w:tcMar>
              <w:top w:w="0" w:type="dxa"/>
              <w:left w:w="0" w:type="dxa"/>
              <w:bottom w:w="0" w:type="dxa"/>
              <w:right w:w="28" w:type="dxa"/>
            </w:tcMar>
            <w:vAlign w:val="center"/>
          </w:tcPr>
          <w:p w14:paraId="016B5506"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□是</w:t>
            </w:r>
          </w:p>
          <w:p w14:paraId="0DA97DA8"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□否</w:t>
            </w:r>
          </w:p>
        </w:tc>
        <w:tc>
          <w:tcPr>
            <w:tcW w:w="7313"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3A464B88" w14:textId="77777777" w:rsidR="00BD776B" w:rsidRDefault="00DF0C24">
            <w:pPr>
              <w:spacing w:before="181" w:line="320" w:lineRule="exact"/>
            </w:pPr>
            <w:r>
              <w:rPr>
                <w:rFonts w:ascii="標楷體" w:eastAsia="標楷體" w:hAnsi="標楷體"/>
                <w:color w:val="000000"/>
              </w:rPr>
              <w:t>1.</w:t>
            </w:r>
            <w:r>
              <w:rPr>
                <w:rFonts w:ascii="標楷體" w:eastAsia="標楷體" w:hAnsi="標楷體" w:cs="新細明體"/>
                <w:color w:val="000000"/>
              </w:rPr>
              <w:t>使用生物製劑治療滿1年後，符合EASI&lt;16</w:t>
            </w:r>
          </w:p>
          <w:p w14:paraId="35CC79E9" w14:textId="77777777" w:rsidR="00BD776B" w:rsidRDefault="00DF0C24">
            <w:pPr>
              <w:spacing w:before="181" w:line="300" w:lineRule="exact"/>
            </w:pPr>
            <w:r>
              <w:rPr>
                <w:rFonts w:ascii="標楷體" w:eastAsia="標楷體" w:hAnsi="標楷體"/>
                <w:color w:val="000000"/>
              </w:rPr>
              <w:t>2.</w:t>
            </w:r>
            <w:r>
              <w:rPr>
                <w:rFonts w:ascii="標楷體" w:eastAsia="標楷體" w:hAnsi="標楷體" w:cs="新細明體"/>
                <w:color w:val="000000"/>
              </w:rPr>
              <w:t>使用生物製劑治療和初次治療前相比EASI改善未達50%</w:t>
            </w:r>
          </w:p>
        </w:tc>
        <w:tc>
          <w:tcPr>
            <w:tcW w:w="460" w:type="dxa"/>
            <w:gridSpan w:val="4"/>
            <w:shd w:val="clear" w:color="auto" w:fill="auto"/>
            <w:tcMar>
              <w:top w:w="0" w:type="dxa"/>
              <w:left w:w="0" w:type="dxa"/>
              <w:bottom w:w="0" w:type="dxa"/>
              <w:right w:w="0" w:type="dxa"/>
            </w:tcMar>
          </w:tcPr>
          <w:p w14:paraId="006DA52F" w14:textId="77777777" w:rsidR="00BD776B" w:rsidRDefault="00BD776B">
            <w:pPr>
              <w:spacing w:before="100"/>
              <w:rPr>
                <w:rFonts w:ascii="標楷體" w:eastAsia="標楷體" w:hAnsi="標楷體"/>
                <w:color w:val="000000"/>
              </w:rPr>
            </w:pPr>
          </w:p>
        </w:tc>
      </w:tr>
      <w:tr w:rsidR="00BD776B" w14:paraId="69F35205" w14:textId="77777777">
        <w:trPr>
          <w:trHeight w:val="1005"/>
        </w:trPr>
        <w:tc>
          <w:tcPr>
            <w:tcW w:w="1542" w:type="dxa"/>
            <w:shd w:val="clear" w:color="auto" w:fill="auto"/>
            <w:tcMar>
              <w:top w:w="0" w:type="dxa"/>
              <w:left w:w="0" w:type="dxa"/>
              <w:bottom w:w="0" w:type="dxa"/>
              <w:right w:w="0" w:type="dxa"/>
            </w:tcMar>
          </w:tcPr>
          <w:p w14:paraId="40E5A2DD" w14:textId="77777777" w:rsidR="00BD776B" w:rsidRDefault="00BD776B">
            <w:pPr>
              <w:spacing w:before="100" w:line="276" w:lineRule="auto"/>
              <w:rPr>
                <w:rFonts w:ascii="標楷體" w:eastAsia="標楷體" w:hAnsi="標楷體"/>
                <w:color w:val="000000"/>
              </w:rPr>
            </w:pPr>
          </w:p>
        </w:tc>
        <w:tc>
          <w:tcPr>
            <w:tcW w:w="6579" w:type="dxa"/>
            <w:gridSpan w:val="3"/>
            <w:shd w:val="clear" w:color="auto" w:fill="auto"/>
            <w:tcMar>
              <w:top w:w="0" w:type="dxa"/>
              <w:left w:w="0" w:type="dxa"/>
              <w:bottom w:w="0" w:type="dxa"/>
              <w:right w:w="0" w:type="dxa"/>
            </w:tcMar>
          </w:tcPr>
          <w:p w14:paraId="44A5DF93" w14:textId="77777777" w:rsidR="00BD776B" w:rsidRDefault="00DF0C24">
            <w:pPr>
              <w:spacing w:before="100" w:line="276" w:lineRule="auto"/>
            </w:pPr>
            <w:r>
              <w:rPr>
                <w:rFonts w:ascii="標楷體" w:eastAsia="標楷體" w:hAnsi="標楷體"/>
                <w:color w:val="000000"/>
              </w:rPr>
              <w:t xml:space="preserve">申請醫師（簽名蓋章）：　　　　　　　 </w:t>
            </w:r>
          </w:p>
          <w:p w14:paraId="2A7EE01F" w14:textId="77777777" w:rsidR="00BD776B" w:rsidRDefault="00DF0C24">
            <w:pPr>
              <w:spacing w:before="100" w:line="276" w:lineRule="auto"/>
            </w:pPr>
            <w:r>
              <w:rPr>
                <w:rFonts w:ascii="標楷體" w:eastAsia="標楷體" w:hAnsi="標楷體"/>
                <w:color w:val="000000"/>
              </w:rPr>
              <w:t>專科醫師證書：  專字第　　　　 　 號</w:t>
            </w:r>
          </w:p>
        </w:tc>
        <w:tc>
          <w:tcPr>
            <w:tcW w:w="3758" w:type="dxa"/>
            <w:shd w:val="clear" w:color="auto" w:fill="auto"/>
            <w:tcMar>
              <w:top w:w="0" w:type="dxa"/>
              <w:left w:w="0" w:type="dxa"/>
              <w:bottom w:w="0" w:type="dxa"/>
              <w:right w:w="0" w:type="dxa"/>
            </w:tcMar>
          </w:tcPr>
          <w:p w14:paraId="6068D74E" w14:textId="77777777" w:rsidR="00BD776B" w:rsidRDefault="00DF0C24">
            <w:pPr>
              <w:spacing w:before="100" w:line="276" w:lineRule="auto"/>
            </w:pPr>
            <w:r>
              <w:rPr>
                <w:rFonts w:ascii="標楷體" w:eastAsia="標楷體" w:hAnsi="標楷體"/>
                <w:color w:val="000000"/>
              </w:rPr>
              <w:t>醫事機構章戳：</w:t>
            </w:r>
          </w:p>
        </w:tc>
        <w:tc>
          <w:tcPr>
            <w:tcW w:w="423" w:type="dxa"/>
            <w:gridSpan w:val="3"/>
            <w:shd w:val="clear" w:color="auto" w:fill="auto"/>
            <w:tcMar>
              <w:top w:w="0" w:type="dxa"/>
              <w:left w:w="0" w:type="dxa"/>
              <w:bottom w:w="0" w:type="dxa"/>
              <w:right w:w="0" w:type="dxa"/>
            </w:tcMar>
          </w:tcPr>
          <w:p w14:paraId="3118C791" w14:textId="77777777" w:rsidR="00BD776B" w:rsidRDefault="00BD776B">
            <w:pPr>
              <w:spacing w:before="100" w:line="276" w:lineRule="auto"/>
              <w:rPr>
                <w:rFonts w:ascii="標楷體" w:eastAsia="標楷體" w:hAnsi="標楷體"/>
                <w:color w:val="000000"/>
              </w:rPr>
            </w:pPr>
          </w:p>
        </w:tc>
        <w:tc>
          <w:tcPr>
            <w:tcW w:w="37" w:type="dxa"/>
          </w:tcPr>
          <w:p w14:paraId="1EACE5A9" w14:textId="77777777" w:rsidR="00BD776B" w:rsidRDefault="00BD776B">
            <w:pPr>
              <w:spacing w:before="100" w:line="276" w:lineRule="auto"/>
              <w:rPr>
                <w:rFonts w:ascii="標楷體" w:eastAsia="標楷體" w:hAnsi="標楷體"/>
                <w:color w:val="000000"/>
              </w:rPr>
            </w:pPr>
          </w:p>
        </w:tc>
      </w:tr>
    </w:tbl>
    <w:p w14:paraId="369E6A8D" w14:textId="77777777" w:rsidR="00BD776B" w:rsidRDefault="00DF0C24">
      <w:pPr>
        <w:pageBreakBefore/>
        <w:spacing w:line="480" w:lineRule="exact"/>
        <w:ind w:left="-850" w:right="-617"/>
        <w:jc w:val="center"/>
      </w:pPr>
      <w:r>
        <w:rPr>
          <w:rFonts w:ascii="標楷體" w:eastAsia="標楷體" w:hAnsi="標楷體"/>
          <w:b/>
          <w:bCs/>
          <w:color w:val="000000"/>
          <w:sz w:val="28"/>
          <w:szCs w:val="28"/>
        </w:rPr>
        <w:lastRenderedPageBreak/>
        <w:t>附表三十二之二：全民健康保險6歲以上未滿12歲兒童</w:t>
      </w:r>
    </w:p>
    <w:p w14:paraId="766A69CD" w14:textId="77777777" w:rsidR="00BD776B" w:rsidRDefault="00DF0C24">
      <w:pPr>
        <w:spacing w:line="480" w:lineRule="exact"/>
        <w:ind w:left="-850" w:right="-617"/>
        <w:jc w:val="center"/>
      </w:pPr>
      <w:r>
        <w:rPr>
          <w:rFonts w:ascii="標楷體" w:eastAsia="標楷體" w:hAnsi="標楷體"/>
          <w:b/>
          <w:bCs/>
          <w:color w:val="000000"/>
          <w:sz w:val="28"/>
          <w:szCs w:val="28"/>
        </w:rPr>
        <w:t>異位性皮膚炎使用生物製劑申請表</w:t>
      </w:r>
    </w:p>
    <w:tbl>
      <w:tblPr>
        <w:tblW w:w="10372" w:type="dxa"/>
        <w:jc w:val="center"/>
        <w:tblCellMar>
          <w:left w:w="10" w:type="dxa"/>
          <w:right w:w="10" w:type="dxa"/>
        </w:tblCellMar>
        <w:tblLook w:val="0000" w:firstRow="0" w:lastRow="0" w:firstColumn="0" w:lastColumn="0" w:noHBand="0" w:noVBand="0"/>
      </w:tblPr>
      <w:tblGrid>
        <w:gridCol w:w="1799"/>
        <w:gridCol w:w="1733"/>
        <w:gridCol w:w="1287"/>
        <w:gridCol w:w="1589"/>
        <w:gridCol w:w="1273"/>
        <w:gridCol w:w="2691"/>
      </w:tblGrid>
      <w:tr w:rsidR="00BD776B" w14:paraId="798EE0C1" w14:textId="77777777">
        <w:trPr>
          <w:trHeight w:val="270"/>
          <w:jc w:val="center"/>
        </w:trPr>
        <w:tc>
          <w:tcPr>
            <w:tcW w:w="1799"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6B69E1B8" w14:textId="77777777" w:rsidR="00BD776B" w:rsidRDefault="00DF0C24">
            <w:pPr>
              <w:spacing w:before="100"/>
              <w:rPr>
                <w:rFonts w:ascii="標楷體" w:eastAsia="標楷體" w:hAnsi="標楷體"/>
                <w:color w:val="000000"/>
              </w:rPr>
            </w:pPr>
            <w:r>
              <w:rPr>
                <w:rFonts w:ascii="標楷體" w:eastAsia="標楷體" w:hAnsi="標楷體"/>
                <w:color w:val="000000"/>
              </w:rPr>
              <w:t>醫院代號</w:t>
            </w:r>
          </w:p>
        </w:tc>
        <w:tc>
          <w:tcPr>
            <w:tcW w:w="173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805409C" w14:textId="77777777" w:rsidR="00BD776B" w:rsidRDefault="00BD776B">
            <w:pPr>
              <w:spacing w:before="100"/>
              <w:rPr>
                <w:rFonts w:ascii="標楷體" w:eastAsia="標楷體" w:hAnsi="標楷體"/>
                <w:color w:val="000000"/>
              </w:rPr>
            </w:pPr>
          </w:p>
        </w:tc>
        <w:tc>
          <w:tcPr>
            <w:tcW w:w="128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C8C88BF" w14:textId="77777777" w:rsidR="00BD776B" w:rsidRDefault="00DF0C24">
            <w:pPr>
              <w:spacing w:before="100"/>
              <w:rPr>
                <w:rFonts w:ascii="標楷體" w:eastAsia="標楷體" w:hAnsi="標楷體"/>
                <w:color w:val="000000"/>
              </w:rPr>
            </w:pPr>
            <w:r>
              <w:rPr>
                <w:rFonts w:ascii="標楷體" w:eastAsia="標楷體" w:hAnsi="標楷體"/>
                <w:color w:val="000000"/>
              </w:rPr>
              <w:t>醫院名稱</w:t>
            </w:r>
          </w:p>
        </w:tc>
        <w:tc>
          <w:tcPr>
            <w:tcW w:w="1589"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66ECB1" w14:textId="77777777" w:rsidR="00BD776B" w:rsidRDefault="00BD776B">
            <w:pPr>
              <w:spacing w:before="100"/>
              <w:rPr>
                <w:rFonts w:ascii="標楷體" w:eastAsia="標楷體" w:hAnsi="標楷體"/>
                <w:color w:val="000000"/>
              </w:rPr>
            </w:pPr>
          </w:p>
        </w:tc>
        <w:tc>
          <w:tcPr>
            <w:tcW w:w="127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5930BF6" w14:textId="77777777" w:rsidR="00BD776B" w:rsidRDefault="00DF0C24">
            <w:pPr>
              <w:spacing w:before="100"/>
              <w:rPr>
                <w:rFonts w:ascii="標楷體" w:eastAsia="標楷體" w:hAnsi="標楷體"/>
                <w:color w:val="000000"/>
              </w:rPr>
            </w:pPr>
            <w:r>
              <w:rPr>
                <w:rFonts w:ascii="標楷體" w:eastAsia="標楷體" w:hAnsi="標楷體"/>
                <w:color w:val="000000"/>
              </w:rPr>
              <w:t>申請日期</w:t>
            </w:r>
          </w:p>
        </w:tc>
        <w:tc>
          <w:tcPr>
            <w:tcW w:w="2691"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53E7EAE" w14:textId="77777777" w:rsidR="00BD776B" w:rsidRDefault="00BD776B">
            <w:pPr>
              <w:spacing w:before="100"/>
              <w:rPr>
                <w:rFonts w:ascii="標楷體" w:eastAsia="標楷體" w:hAnsi="標楷體"/>
                <w:color w:val="000000"/>
              </w:rPr>
            </w:pPr>
          </w:p>
        </w:tc>
      </w:tr>
      <w:tr w:rsidR="00BD776B" w14:paraId="1CDBC5FF" w14:textId="77777777">
        <w:trPr>
          <w:trHeight w:val="255"/>
          <w:jc w:val="center"/>
        </w:trPr>
        <w:tc>
          <w:tcPr>
            <w:tcW w:w="1799"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79513C94" w14:textId="77777777" w:rsidR="00BD776B" w:rsidRDefault="00DF0C24">
            <w:pPr>
              <w:spacing w:before="100"/>
              <w:rPr>
                <w:rFonts w:ascii="標楷體" w:eastAsia="標楷體" w:hAnsi="標楷體"/>
                <w:color w:val="000000"/>
              </w:rPr>
            </w:pPr>
            <w:r>
              <w:rPr>
                <w:rFonts w:ascii="標楷體" w:eastAsia="標楷體" w:hAnsi="標楷體"/>
                <w:color w:val="000000"/>
              </w:rPr>
              <w:t>病人姓名</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C8DEC55" w14:textId="77777777" w:rsidR="00BD776B" w:rsidRDefault="00BD776B">
            <w:pPr>
              <w:spacing w:before="100"/>
              <w:rPr>
                <w:rFonts w:ascii="標楷體" w:eastAsia="標楷體" w:hAnsi="標楷體"/>
                <w:color w:val="000000"/>
              </w:rPr>
            </w:pPr>
          </w:p>
        </w:tc>
        <w:tc>
          <w:tcPr>
            <w:tcW w:w="12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B04861" w14:textId="77777777" w:rsidR="00BD776B" w:rsidRDefault="00DF0C24">
            <w:pPr>
              <w:spacing w:before="100"/>
              <w:rPr>
                <w:rFonts w:ascii="標楷體" w:eastAsia="標楷體" w:hAnsi="標楷體"/>
                <w:color w:val="000000"/>
              </w:rPr>
            </w:pPr>
            <w:r>
              <w:rPr>
                <w:rFonts w:ascii="標楷體" w:eastAsia="標楷體" w:hAnsi="標楷體"/>
                <w:color w:val="000000"/>
              </w:rPr>
              <w:t>性別</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4D5805D" w14:textId="77777777" w:rsidR="00BD776B" w:rsidRDefault="00BD776B">
            <w:pPr>
              <w:spacing w:before="100"/>
              <w:rPr>
                <w:rFonts w:ascii="標楷體" w:eastAsia="標楷體" w:hAnsi="標楷體"/>
                <w:color w:val="000000"/>
              </w:rPr>
            </w:pPr>
          </w:p>
        </w:tc>
        <w:tc>
          <w:tcPr>
            <w:tcW w:w="12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AA426F" w14:textId="77777777" w:rsidR="00BD776B" w:rsidRDefault="00DF0C24">
            <w:pPr>
              <w:spacing w:before="100"/>
              <w:rPr>
                <w:rFonts w:ascii="標楷體" w:eastAsia="標楷體" w:hAnsi="標楷體"/>
                <w:color w:val="000000"/>
              </w:rPr>
            </w:pPr>
            <w:r>
              <w:rPr>
                <w:rFonts w:ascii="標楷體" w:eastAsia="標楷體" w:hAnsi="標楷體"/>
                <w:color w:val="000000"/>
              </w:rPr>
              <w:t>出生日期</w:t>
            </w:r>
          </w:p>
        </w:tc>
        <w:tc>
          <w:tcPr>
            <w:tcW w:w="2691"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77C35D36" w14:textId="77777777" w:rsidR="00BD776B" w:rsidRDefault="00BD776B">
            <w:pPr>
              <w:spacing w:before="100"/>
              <w:rPr>
                <w:rFonts w:ascii="標楷體" w:eastAsia="標楷體" w:hAnsi="標楷體"/>
                <w:color w:val="000000"/>
              </w:rPr>
            </w:pPr>
          </w:p>
        </w:tc>
      </w:tr>
      <w:tr w:rsidR="00BD776B" w14:paraId="23CFAA98" w14:textId="77777777">
        <w:trPr>
          <w:trHeight w:val="255"/>
          <w:jc w:val="center"/>
        </w:trPr>
        <w:tc>
          <w:tcPr>
            <w:tcW w:w="1799"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6479856" w14:textId="77777777" w:rsidR="00BD776B" w:rsidRDefault="00DF0C24">
            <w:pPr>
              <w:spacing w:before="100"/>
              <w:rPr>
                <w:rFonts w:ascii="標楷體" w:eastAsia="標楷體" w:hAnsi="標楷體"/>
                <w:color w:val="000000"/>
              </w:rPr>
            </w:pPr>
            <w:r>
              <w:rPr>
                <w:rFonts w:ascii="標楷體" w:eastAsia="標楷體" w:hAnsi="標楷體"/>
                <w:color w:val="000000"/>
              </w:rPr>
              <w:t>身分證號</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ABE6C4" w14:textId="77777777" w:rsidR="00BD776B" w:rsidRDefault="00BD776B">
            <w:pPr>
              <w:spacing w:before="100"/>
              <w:rPr>
                <w:rFonts w:ascii="標楷體" w:eastAsia="標楷體" w:hAnsi="標楷體"/>
                <w:color w:val="000000"/>
              </w:rPr>
            </w:pPr>
          </w:p>
        </w:tc>
        <w:tc>
          <w:tcPr>
            <w:tcW w:w="12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4C0F101" w14:textId="77777777" w:rsidR="00BD776B" w:rsidRDefault="00DF0C24">
            <w:pPr>
              <w:spacing w:before="100"/>
              <w:rPr>
                <w:rFonts w:ascii="標楷體" w:eastAsia="標楷體" w:hAnsi="標楷體"/>
                <w:color w:val="000000"/>
              </w:rPr>
            </w:pPr>
            <w:r>
              <w:rPr>
                <w:rFonts w:ascii="標楷體" w:eastAsia="標楷體" w:hAnsi="標楷體"/>
                <w:color w:val="000000"/>
              </w:rPr>
              <w:t>病歷號碼</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8EA7A53" w14:textId="77777777" w:rsidR="00BD776B" w:rsidRDefault="00BD776B">
            <w:pPr>
              <w:spacing w:before="100"/>
              <w:rPr>
                <w:rFonts w:ascii="標楷體" w:eastAsia="標楷體" w:hAnsi="標楷體"/>
                <w:color w:val="000000"/>
              </w:rPr>
            </w:pPr>
          </w:p>
        </w:tc>
        <w:tc>
          <w:tcPr>
            <w:tcW w:w="1273"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76637626" w14:textId="77777777" w:rsidR="00BD776B" w:rsidRDefault="00DF0C24">
            <w:pPr>
              <w:spacing w:before="100"/>
              <w:rPr>
                <w:rFonts w:ascii="標楷體" w:eastAsia="標楷體" w:hAnsi="標楷體"/>
                <w:color w:val="000000"/>
              </w:rPr>
            </w:pPr>
            <w:r>
              <w:rPr>
                <w:rFonts w:ascii="標楷體" w:eastAsia="標楷體" w:hAnsi="標楷體"/>
                <w:color w:val="000000"/>
              </w:rPr>
              <w:t>使用期間</w:t>
            </w:r>
          </w:p>
        </w:tc>
        <w:tc>
          <w:tcPr>
            <w:tcW w:w="2691"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0B89241" w14:textId="77777777" w:rsidR="00BD776B" w:rsidRDefault="00DF0C24">
            <w:pPr>
              <w:spacing w:before="100"/>
              <w:rPr>
                <w:rFonts w:ascii="標楷體" w:eastAsia="標楷體" w:hAnsi="標楷體"/>
                <w:color w:val="000000"/>
              </w:rPr>
            </w:pPr>
            <w:r>
              <w:rPr>
                <w:rFonts w:ascii="標楷體" w:eastAsia="標楷體" w:hAnsi="標楷體"/>
                <w:color w:val="000000"/>
              </w:rPr>
              <w:t>自　 年 　月　　日</w:t>
            </w:r>
          </w:p>
        </w:tc>
      </w:tr>
      <w:tr w:rsidR="00BD776B" w14:paraId="76E477E8" w14:textId="77777777">
        <w:trPr>
          <w:trHeight w:val="240"/>
          <w:jc w:val="center"/>
        </w:trPr>
        <w:tc>
          <w:tcPr>
            <w:tcW w:w="1799"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70D06108" w14:textId="77777777" w:rsidR="00BD776B" w:rsidRDefault="00DF0C24">
            <w:pPr>
              <w:spacing w:before="100"/>
              <w:rPr>
                <w:rFonts w:ascii="標楷體" w:eastAsia="標楷體" w:hAnsi="標楷體"/>
                <w:color w:val="000000"/>
              </w:rPr>
            </w:pPr>
            <w:r>
              <w:rPr>
                <w:rFonts w:ascii="標楷體" w:eastAsia="標楷體" w:hAnsi="標楷體"/>
                <w:color w:val="000000"/>
              </w:rPr>
              <w:t>藥品代碼</w:t>
            </w:r>
          </w:p>
        </w:tc>
        <w:tc>
          <w:tcPr>
            <w:tcW w:w="1733"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05276B9E" w14:textId="77777777" w:rsidR="00BD776B" w:rsidRDefault="00BD776B">
            <w:pPr>
              <w:spacing w:before="100"/>
              <w:rPr>
                <w:rFonts w:ascii="標楷體" w:eastAsia="標楷體" w:hAnsi="標楷體"/>
                <w:color w:val="000000"/>
              </w:rPr>
            </w:pPr>
          </w:p>
        </w:tc>
        <w:tc>
          <w:tcPr>
            <w:tcW w:w="128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4583BAD" w14:textId="77777777" w:rsidR="00BD776B" w:rsidRDefault="00DF0C24">
            <w:pPr>
              <w:spacing w:before="100"/>
              <w:rPr>
                <w:rFonts w:ascii="標楷體" w:eastAsia="標楷體" w:hAnsi="標楷體"/>
                <w:color w:val="000000"/>
              </w:rPr>
            </w:pPr>
            <w:r>
              <w:rPr>
                <w:rFonts w:ascii="標楷體" w:eastAsia="標楷體" w:hAnsi="標楷體"/>
                <w:color w:val="000000"/>
              </w:rPr>
              <w:t>用法用量</w:t>
            </w:r>
          </w:p>
        </w:tc>
        <w:tc>
          <w:tcPr>
            <w:tcW w:w="1589"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7F64D4A" w14:textId="77777777" w:rsidR="00BD776B" w:rsidRDefault="00BD776B">
            <w:pPr>
              <w:spacing w:before="100"/>
              <w:rPr>
                <w:rFonts w:ascii="標楷體" w:eastAsia="標楷體" w:hAnsi="標楷體"/>
                <w:color w:val="000000"/>
              </w:rPr>
            </w:pPr>
          </w:p>
        </w:tc>
        <w:tc>
          <w:tcPr>
            <w:tcW w:w="1273"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1EFFE9E0" w14:textId="77777777" w:rsidR="00BD776B" w:rsidRDefault="00BD776B">
            <w:pPr>
              <w:rPr>
                <w:rFonts w:ascii="標楷體" w:eastAsia="標楷體" w:hAnsi="標楷體"/>
                <w:color w:val="000000"/>
              </w:rPr>
            </w:pPr>
          </w:p>
        </w:tc>
        <w:tc>
          <w:tcPr>
            <w:tcW w:w="2691"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5ABBEF9E" w14:textId="77777777" w:rsidR="00BD776B" w:rsidRDefault="00DF0C24">
            <w:pPr>
              <w:spacing w:before="100"/>
              <w:rPr>
                <w:rFonts w:ascii="標楷體" w:eastAsia="標楷體" w:hAnsi="標楷體"/>
                <w:color w:val="000000"/>
              </w:rPr>
            </w:pPr>
            <w:r>
              <w:rPr>
                <w:rFonts w:ascii="標楷體" w:eastAsia="標楷體" w:hAnsi="標楷體"/>
                <w:color w:val="000000"/>
              </w:rPr>
              <w:t>至　 年 　月　　日</w:t>
            </w:r>
          </w:p>
        </w:tc>
      </w:tr>
    </w:tbl>
    <w:p w14:paraId="35D8F49F" w14:textId="77777777" w:rsidR="00BD776B" w:rsidRDefault="00BD776B">
      <w:pPr>
        <w:spacing w:line="20" w:lineRule="exact"/>
        <w:rPr>
          <w:rFonts w:ascii="標楷體" w:eastAsia="標楷體" w:hAnsi="標楷體"/>
          <w:color w:val="000000"/>
        </w:rPr>
      </w:pPr>
    </w:p>
    <w:p w14:paraId="5F2D3C9F" w14:textId="77777777" w:rsidR="00BD776B" w:rsidRDefault="00BD776B">
      <w:pPr>
        <w:spacing w:line="20" w:lineRule="exact"/>
        <w:rPr>
          <w:rFonts w:ascii="標楷體" w:eastAsia="標楷體" w:hAnsi="標楷體"/>
          <w:vanish/>
          <w:color w:val="000000"/>
        </w:rPr>
      </w:pPr>
    </w:p>
    <w:tbl>
      <w:tblPr>
        <w:tblW w:w="12075" w:type="dxa"/>
        <w:tblInd w:w="-1829" w:type="dxa"/>
        <w:tblLayout w:type="fixed"/>
        <w:tblCellMar>
          <w:left w:w="10" w:type="dxa"/>
          <w:right w:w="10" w:type="dxa"/>
        </w:tblCellMar>
        <w:tblLook w:val="0000" w:firstRow="0" w:lastRow="0" w:firstColumn="0" w:lastColumn="0" w:noHBand="0" w:noVBand="0"/>
      </w:tblPr>
      <w:tblGrid>
        <w:gridCol w:w="1545"/>
        <w:gridCol w:w="1247"/>
        <w:gridCol w:w="1786"/>
        <w:gridCol w:w="3564"/>
        <w:gridCol w:w="3752"/>
        <w:gridCol w:w="181"/>
      </w:tblGrid>
      <w:tr w:rsidR="00BD776B" w14:paraId="20B765D2" w14:textId="77777777">
        <w:tc>
          <w:tcPr>
            <w:tcW w:w="1545" w:type="dxa"/>
            <w:shd w:val="clear" w:color="auto" w:fill="auto"/>
            <w:tcMar>
              <w:top w:w="0" w:type="dxa"/>
              <w:left w:w="0" w:type="dxa"/>
              <w:bottom w:w="0" w:type="dxa"/>
              <w:right w:w="0" w:type="dxa"/>
            </w:tcMar>
          </w:tcPr>
          <w:p w14:paraId="657B76D4" w14:textId="77777777" w:rsidR="00BD776B" w:rsidRDefault="00BD776B">
            <w:pPr>
              <w:spacing w:before="100"/>
              <w:ind w:left="374" w:hanging="374"/>
              <w:rPr>
                <w:rFonts w:ascii="標楷體" w:eastAsia="標楷體" w:hAnsi="標楷體"/>
                <w:color w:val="000000"/>
              </w:rPr>
            </w:pPr>
          </w:p>
        </w:tc>
        <w:tc>
          <w:tcPr>
            <w:tcW w:w="10349"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4C8A7F67" w14:textId="77777777" w:rsidR="00BD776B" w:rsidRDefault="00DF0C24">
            <w:pPr>
              <w:spacing w:before="100" w:line="320" w:lineRule="exact"/>
              <w:ind w:left="374" w:hanging="374"/>
            </w:pPr>
            <w:r>
              <w:rPr>
                <w:rFonts w:ascii="標楷體" w:eastAsia="標楷體" w:hAnsi="標楷體"/>
                <w:color w:val="000000"/>
              </w:rPr>
              <w:t xml:space="preserve">□ </w:t>
            </w:r>
            <w:r>
              <w:rPr>
                <w:rFonts w:ascii="標楷體" w:eastAsia="標楷體" w:hAnsi="標楷體"/>
                <w:b/>
                <w:bCs/>
                <w:color w:val="000000"/>
              </w:rPr>
              <w:t>符合外用藥物及一種全身性免疫抑制劑治療無效(治療需3個月的完整療程)之全身慢性中重度之異位性皮膚炎：（定義請參照給付規定）</w:t>
            </w:r>
          </w:p>
          <w:p w14:paraId="78466AD5" w14:textId="77777777" w:rsidR="00BD776B" w:rsidRDefault="00DF0C24">
            <w:pPr>
              <w:spacing w:before="180" w:line="320" w:lineRule="exact"/>
              <w:ind w:left="374" w:hanging="374"/>
            </w:pPr>
            <w:r>
              <w:rPr>
                <w:rFonts w:ascii="標楷體" w:eastAsia="標楷體" w:hAnsi="標楷體"/>
                <w:color w:val="000000"/>
              </w:rPr>
              <w:t xml:space="preserve">□ </w:t>
            </w:r>
            <w:r>
              <w:rPr>
                <w:rFonts w:ascii="標楷體" w:eastAsia="標楷體" w:hAnsi="標楷體"/>
                <w:b/>
                <w:color w:val="000000"/>
              </w:rPr>
              <w:t xml:space="preserve">符合Eczema area severity index (EASI) </w:t>
            </w:r>
            <w:r>
              <w:rPr>
                <w:rFonts w:ascii="標楷體" w:eastAsia="標楷體" w:hAnsi="標楷體" w:cs="新細明體"/>
                <w:b/>
                <w:color w:val="000000"/>
              </w:rPr>
              <w:t>≧16</w:t>
            </w:r>
            <w:r>
              <w:rPr>
                <w:rFonts w:ascii="標楷體" w:eastAsia="標楷體" w:hAnsi="標楷體"/>
                <w:b/>
                <w:color w:val="000000"/>
              </w:rPr>
              <w:t>且「Investigator’s Global Assessment (IGA)</w:t>
            </w:r>
            <w:r>
              <w:rPr>
                <w:rFonts w:ascii="標楷體" w:eastAsia="標楷體" w:hAnsi="標楷體" w:cs="新細明體"/>
                <w:b/>
                <w:color w:val="000000"/>
              </w:rPr>
              <w:t>≧3</w:t>
            </w:r>
            <w:r>
              <w:rPr>
                <w:rFonts w:ascii="標楷體" w:eastAsia="標楷體" w:hAnsi="標楷體"/>
                <w:b/>
                <w:color w:val="000000"/>
              </w:rPr>
              <w:t>」之全身慢性異位性皮膚炎。(檢附至少3個月病歷影本與相關照片，得合併他院就診病歷)</w:t>
            </w:r>
          </w:p>
          <w:p w14:paraId="407D541B" w14:textId="77777777" w:rsidR="00BD776B" w:rsidRDefault="00DF0C24">
            <w:pPr>
              <w:spacing w:before="180" w:after="180" w:line="320" w:lineRule="exact"/>
              <w:ind w:left="360" w:right="-192" w:firstLine="28"/>
              <w:rPr>
                <w:rFonts w:ascii="標楷體" w:eastAsia="標楷體" w:hAnsi="標楷體"/>
                <w:b/>
                <w:color w:val="000000"/>
              </w:rPr>
            </w:pPr>
            <w:r>
              <w:rPr>
                <w:rFonts w:ascii="標楷體" w:eastAsia="標楷體" w:hAnsi="標楷體"/>
                <w:b/>
                <w:color w:val="000000"/>
              </w:rPr>
              <w:t>外用藥物及全身性免疫抑制劑之名稱、使用期間、劑量及停用或減量理由 (病人目前體重：___ kg)</w:t>
            </w:r>
          </w:p>
          <w:tbl>
            <w:tblPr>
              <w:tblW w:w="9311" w:type="dxa"/>
              <w:tblInd w:w="360" w:type="dxa"/>
              <w:tblLayout w:type="fixed"/>
              <w:tblCellMar>
                <w:left w:w="10" w:type="dxa"/>
                <w:right w:w="10" w:type="dxa"/>
              </w:tblCellMar>
              <w:tblLook w:val="0000" w:firstRow="0" w:lastRow="0" w:firstColumn="0" w:lastColumn="0" w:noHBand="0" w:noVBand="0"/>
            </w:tblPr>
            <w:tblGrid>
              <w:gridCol w:w="2082"/>
              <w:gridCol w:w="1276"/>
              <w:gridCol w:w="1330"/>
              <w:gridCol w:w="2340"/>
              <w:gridCol w:w="2283"/>
            </w:tblGrid>
            <w:tr w:rsidR="00BD776B" w14:paraId="5C5BDA30" w14:textId="77777777">
              <w:trPr>
                <w:trHeight w:val="579"/>
              </w:trPr>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06AD9" w14:textId="77777777" w:rsidR="00BD776B" w:rsidRDefault="00BD776B">
                  <w:pPr>
                    <w:rPr>
                      <w:rFonts w:ascii="標楷體" w:eastAsia="標楷體" w:hAnsi="標楷體"/>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FD4E8" w14:textId="77777777" w:rsidR="00BD776B" w:rsidRDefault="00DF0C24">
                  <w:pPr>
                    <w:jc w:val="center"/>
                    <w:rPr>
                      <w:rFonts w:ascii="標楷體" w:eastAsia="標楷體" w:hAnsi="標楷體"/>
                      <w:color w:val="000000"/>
                    </w:rPr>
                  </w:pPr>
                  <w:r>
                    <w:rPr>
                      <w:rFonts w:ascii="標楷體" w:eastAsia="標楷體" w:hAnsi="標楷體"/>
                      <w:color w:val="000000"/>
                    </w:rPr>
                    <w:t>藥品名稱</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7AC75" w14:textId="77777777" w:rsidR="00BD776B" w:rsidRDefault="00DF0C24">
                  <w:pPr>
                    <w:jc w:val="center"/>
                    <w:rPr>
                      <w:rFonts w:ascii="標楷體" w:eastAsia="標楷體" w:hAnsi="標楷體"/>
                      <w:color w:val="000000"/>
                    </w:rPr>
                  </w:pPr>
                  <w:r>
                    <w:rPr>
                      <w:rFonts w:ascii="標楷體" w:eastAsia="標楷體" w:hAnsi="標楷體"/>
                      <w:color w:val="000000"/>
                    </w:rPr>
                    <w:t>使用劑量</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FF16" w14:textId="77777777" w:rsidR="00BD776B" w:rsidRDefault="00DF0C24">
                  <w:pPr>
                    <w:jc w:val="center"/>
                    <w:rPr>
                      <w:rFonts w:ascii="標楷體" w:eastAsia="標楷體" w:hAnsi="標楷體"/>
                      <w:color w:val="000000"/>
                    </w:rPr>
                  </w:pPr>
                  <w:r>
                    <w:rPr>
                      <w:rFonts w:ascii="標楷體" w:eastAsia="標楷體" w:hAnsi="標楷體"/>
                      <w:color w:val="000000"/>
                    </w:rPr>
                    <w:t>使用期間</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9CF20" w14:textId="77777777" w:rsidR="00BD776B" w:rsidRDefault="00DF0C24">
                  <w:pPr>
                    <w:jc w:val="center"/>
                    <w:rPr>
                      <w:rFonts w:ascii="標楷體" w:eastAsia="標楷體" w:hAnsi="標楷體"/>
                      <w:color w:val="000000"/>
                    </w:rPr>
                  </w:pPr>
                  <w:r>
                    <w:rPr>
                      <w:rFonts w:ascii="標楷體" w:eastAsia="標楷體" w:hAnsi="標楷體"/>
                      <w:color w:val="000000"/>
                    </w:rPr>
                    <w:t>停用或減量理由</w:t>
                  </w:r>
                </w:p>
              </w:tc>
            </w:tr>
            <w:tr w:rsidR="00BD776B" w14:paraId="4E2E3166" w14:textId="77777777">
              <w:trPr>
                <w:trHeight w:val="170"/>
              </w:trPr>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E3BED" w14:textId="77777777" w:rsidR="00BD776B" w:rsidRDefault="00DF0C24">
                  <w:pPr>
                    <w:rPr>
                      <w:rFonts w:ascii="標楷體" w:eastAsia="標楷體" w:hAnsi="標楷體"/>
                      <w:color w:val="000000"/>
                    </w:rPr>
                  </w:pPr>
                  <w:r>
                    <w:rPr>
                      <w:rFonts w:ascii="標楷體" w:eastAsia="標楷體" w:hAnsi="標楷體"/>
                      <w:color w:val="000000"/>
                    </w:rPr>
                    <w:t>Topical corticosteroid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DE0CA" w14:textId="77777777" w:rsidR="00BD776B" w:rsidRDefault="00BD776B">
                  <w:pPr>
                    <w:rPr>
                      <w:rFonts w:ascii="標楷體" w:eastAsia="標楷體" w:hAnsi="標楷體"/>
                      <w:color w:val="000000"/>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5A297" w14:textId="77777777" w:rsidR="00BD776B" w:rsidRDefault="00DF0C24">
                  <w:pPr>
                    <w:jc w:val="center"/>
                    <w:rPr>
                      <w:rFonts w:ascii="標楷體" w:eastAsia="標楷體" w:hAnsi="標楷體"/>
                      <w:color w:val="000000"/>
                    </w:rPr>
                  </w:pPr>
                  <w:r>
                    <w:rPr>
                      <w:rFonts w:ascii="標楷體" w:eastAsia="標楷體" w:hAnsi="標楷體"/>
                      <w:color w:val="000000"/>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B4257" w14:textId="77777777" w:rsidR="00BD776B" w:rsidRDefault="00DF0C24">
                  <w:pPr>
                    <w:rPr>
                      <w:rFonts w:ascii="標楷體" w:eastAsia="標楷體" w:hAnsi="標楷體"/>
                      <w:color w:val="000000"/>
                    </w:rPr>
                  </w:pPr>
                  <w:r>
                    <w:rPr>
                      <w:rFonts w:ascii="標楷體" w:eastAsia="標楷體" w:hAnsi="標楷體"/>
                      <w:color w:val="000000"/>
                    </w:rPr>
                    <w:t>___年___月___日至</w:t>
                  </w:r>
                </w:p>
                <w:p w14:paraId="2A6CC206" w14:textId="77777777" w:rsidR="00BD776B" w:rsidRDefault="00DF0C24">
                  <w:pPr>
                    <w:rPr>
                      <w:rFonts w:ascii="標楷體" w:eastAsia="標楷體" w:hAnsi="標楷體"/>
                      <w:color w:val="000000"/>
                    </w:rPr>
                  </w:pPr>
                  <w:r>
                    <w:rPr>
                      <w:rFonts w:ascii="標楷體" w:eastAsia="標楷體" w:hAnsi="標楷體"/>
                      <w:color w:val="000000"/>
                    </w:rPr>
                    <w:t>___年___月___日</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C1F6C" w14:textId="77777777" w:rsidR="00BD776B" w:rsidRDefault="00BD776B">
                  <w:pPr>
                    <w:rPr>
                      <w:rFonts w:ascii="標楷體" w:eastAsia="標楷體" w:hAnsi="標楷體"/>
                      <w:color w:val="000000"/>
                    </w:rPr>
                  </w:pPr>
                </w:p>
              </w:tc>
            </w:tr>
            <w:tr w:rsidR="00BD776B" w14:paraId="3FE9CF57" w14:textId="77777777">
              <w:trPr>
                <w:trHeight w:val="170"/>
              </w:trPr>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9F49D" w14:textId="77777777" w:rsidR="00BD776B" w:rsidRDefault="00DF0C24">
                  <w:pPr>
                    <w:rPr>
                      <w:rFonts w:ascii="標楷體" w:eastAsia="標楷體" w:hAnsi="標楷體"/>
                      <w:color w:val="000000"/>
                    </w:rPr>
                  </w:pPr>
                  <w:r>
                    <w:rPr>
                      <w:rFonts w:ascii="標楷體" w:eastAsia="標楷體" w:hAnsi="標楷體"/>
                      <w:color w:val="000000"/>
                    </w:rPr>
                    <w:t>Topical calcineurin inhibitor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A0DB8" w14:textId="77777777" w:rsidR="00BD776B" w:rsidRDefault="00BD776B">
                  <w:pPr>
                    <w:rPr>
                      <w:rFonts w:ascii="標楷體" w:eastAsia="標楷體" w:hAnsi="標楷體"/>
                      <w:color w:val="000000"/>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D07CA" w14:textId="77777777" w:rsidR="00BD776B" w:rsidRDefault="00DF0C24">
                  <w:pPr>
                    <w:jc w:val="center"/>
                    <w:rPr>
                      <w:rFonts w:ascii="標楷體" w:eastAsia="標楷體" w:hAnsi="標楷體"/>
                      <w:color w:val="000000"/>
                    </w:rPr>
                  </w:pPr>
                  <w:r>
                    <w:rPr>
                      <w:rFonts w:ascii="標楷體" w:eastAsia="標楷體" w:hAnsi="標楷體"/>
                      <w:color w:val="000000"/>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08FD9" w14:textId="77777777" w:rsidR="00BD776B" w:rsidRDefault="00DF0C24">
                  <w:pPr>
                    <w:rPr>
                      <w:rFonts w:ascii="標楷體" w:eastAsia="標楷體" w:hAnsi="標楷體"/>
                      <w:color w:val="000000"/>
                    </w:rPr>
                  </w:pPr>
                  <w:r>
                    <w:rPr>
                      <w:rFonts w:ascii="標楷體" w:eastAsia="標楷體" w:hAnsi="標楷體"/>
                      <w:color w:val="000000"/>
                    </w:rPr>
                    <w:t>___年___月___日至</w:t>
                  </w:r>
                </w:p>
                <w:p w14:paraId="17CB4BE8" w14:textId="77777777" w:rsidR="00BD776B" w:rsidRDefault="00DF0C24">
                  <w:pPr>
                    <w:rPr>
                      <w:rFonts w:ascii="標楷體" w:eastAsia="標楷體" w:hAnsi="標楷體"/>
                      <w:color w:val="000000"/>
                    </w:rPr>
                  </w:pPr>
                  <w:r>
                    <w:rPr>
                      <w:rFonts w:ascii="標楷體" w:eastAsia="標楷體" w:hAnsi="標楷體"/>
                      <w:color w:val="000000"/>
                    </w:rPr>
                    <w:t>___年___月___日</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BAF1D" w14:textId="77777777" w:rsidR="00BD776B" w:rsidRDefault="00BD776B">
                  <w:pPr>
                    <w:rPr>
                      <w:rFonts w:ascii="標楷體" w:eastAsia="標楷體" w:hAnsi="標楷體"/>
                      <w:color w:val="000000"/>
                    </w:rPr>
                  </w:pPr>
                </w:p>
              </w:tc>
            </w:tr>
            <w:tr w:rsidR="00BD776B" w14:paraId="4B2AD50E" w14:textId="77777777">
              <w:trPr>
                <w:trHeight w:val="170"/>
              </w:trPr>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4145A" w14:textId="77777777" w:rsidR="00BD776B" w:rsidRDefault="00DF0C24">
                  <w:pPr>
                    <w:rPr>
                      <w:rFonts w:ascii="標楷體" w:eastAsia="標楷體" w:hAnsi="標楷體"/>
                      <w:color w:val="000000"/>
                    </w:rPr>
                  </w:pPr>
                  <w:r>
                    <w:rPr>
                      <w:rFonts w:ascii="標楷體" w:eastAsia="標楷體" w:hAnsi="標楷體"/>
                      <w:color w:val="000000"/>
                    </w:rPr>
                    <w:t>全身性免疫抑制劑</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D68B6" w14:textId="77777777" w:rsidR="00BD776B" w:rsidRDefault="00BD776B">
                  <w:pPr>
                    <w:rPr>
                      <w:rFonts w:ascii="標楷體" w:eastAsia="標楷體" w:hAnsi="標楷體"/>
                      <w:color w:val="000000"/>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6C172" w14:textId="77777777" w:rsidR="00BD776B" w:rsidRDefault="00BD776B">
                  <w:pPr>
                    <w:rPr>
                      <w:rFonts w:ascii="標楷體" w:eastAsia="標楷體" w:hAnsi="標楷體"/>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7F627" w14:textId="77777777" w:rsidR="00BD776B" w:rsidRDefault="00DF0C24">
                  <w:pPr>
                    <w:rPr>
                      <w:rFonts w:ascii="標楷體" w:eastAsia="標楷體" w:hAnsi="標楷體"/>
                      <w:color w:val="000000"/>
                    </w:rPr>
                  </w:pPr>
                  <w:r>
                    <w:rPr>
                      <w:rFonts w:ascii="標楷體" w:eastAsia="標楷體" w:hAnsi="標楷體"/>
                      <w:color w:val="000000"/>
                    </w:rPr>
                    <w:t>___年___月___日至</w:t>
                  </w:r>
                </w:p>
                <w:p w14:paraId="5A1AF16F" w14:textId="77777777" w:rsidR="00BD776B" w:rsidRDefault="00DF0C24">
                  <w:pPr>
                    <w:rPr>
                      <w:rFonts w:ascii="標楷體" w:eastAsia="標楷體" w:hAnsi="標楷體"/>
                      <w:color w:val="000000"/>
                    </w:rPr>
                  </w:pPr>
                  <w:r>
                    <w:rPr>
                      <w:rFonts w:ascii="標楷體" w:eastAsia="標楷體" w:hAnsi="標楷體"/>
                      <w:color w:val="000000"/>
                    </w:rPr>
                    <w:t>___年___月___日</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D232A" w14:textId="77777777" w:rsidR="00BD776B" w:rsidRDefault="00BD776B">
                  <w:pPr>
                    <w:rPr>
                      <w:rFonts w:ascii="標楷體" w:eastAsia="標楷體" w:hAnsi="標楷體"/>
                      <w:color w:val="000000"/>
                    </w:rPr>
                  </w:pPr>
                </w:p>
              </w:tc>
            </w:tr>
          </w:tbl>
          <w:p w14:paraId="453C48E9" w14:textId="77777777" w:rsidR="00BD776B" w:rsidRDefault="00DF0C24">
            <w:pPr>
              <w:spacing w:before="180" w:line="320" w:lineRule="exact"/>
              <w:ind w:left="845" w:hanging="283"/>
              <w:rPr>
                <w:rFonts w:ascii="標楷體" w:eastAsia="標楷體" w:hAnsi="標楷體"/>
                <w:color w:val="000000"/>
              </w:rPr>
            </w:pPr>
            <w:r>
              <w:rPr>
                <w:rFonts w:ascii="標楷體" w:eastAsia="標楷體" w:hAnsi="標楷體"/>
                <w:color w:val="000000"/>
              </w:rPr>
              <w:t>□患者不曾核准使用治療乾癬之生物製劑，或曾有乾癬但症狀消失已達至少兩年，或申請前已切片排除乾癬診斷，並經皮膚科專科醫師確立目前為異位性皮膚炎診斷。</w:t>
            </w:r>
          </w:p>
          <w:p w14:paraId="34C5EFC8" w14:textId="77777777" w:rsidR="00BD776B" w:rsidRDefault="00BD776B">
            <w:pPr>
              <w:tabs>
                <w:tab w:val="left" w:pos="3528"/>
              </w:tabs>
              <w:spacing w:line="320" w:lineRule="exact"/>
              <w:rPr>
                <w:rFonts w:ascii="標楷體" w:eastAsia="標楷體" w:hAnsi="標楷體"/>
                <w:color w:val="000000"/>
              </w:rPr>
            </w:pPr>
          </w:p>
          <w:p w14:paraId="288C9D08" w14:textId="77777777" w:rsidR="00BD776B" w:rsidRDefault="00DF0C24">
            <w:pPr>
              <w:tabs>
                <w:tab w:val="left" w:pos="9677"/>
              </w:tabs>
              <w:spacing w:line="320" w:lineRule="exact"/>
              <w:ind w:left="879" w:hanging="561"/>
              <w:rPr>
                <w:rFonts w:ascii="標楷體" w:eastAsia="標楷體" w:hAnsi="標楷體"/>
                <w:color w:val="000000"/>
              </w:rPr>
            </w:pPr>
            <w:r>
              <w:rPr>
                <w:rFonts w:ascii="標楷體" w:eastAsia="標楷體" w:hAnsi="標楷體"/>
                <w:color w:val="000000"/>
              </w:rPr>
              <w:t>1.□符合全身慢性中重度之異位性皮膚炎（檢附至少3個月病歷影本，得合併它院就診病歷）。</w:t>
            </w:r>
          </w:p>
          <w:p w14:paraId="3570F96C" w14:textId="77777777" w:rsidR="00BD776B" w:rsidRDefault="00DF0C24">
            <w:pPr>
              <w:tabs>
                <w:tab w:val="left" w:pos="9677"/>
              </w:tabs>
              <w:spacing w:line="320" w:lineRule="exact"/>
              <w:ind w:left="879" w:hanging="561"/>
            </w:pPr>
            <w:r>
              <w:rPr>
                <w:rFonts w:ascii="標楷體" w:eastAsia="標楷體" w:hAnsi="標楷體"/>
                <w:color w:val="000000"/>
              </w:rPr>
              <w:t>2.□異位性皮膚炎面積暨嚴重度指數〔Eczema Area Severity Index〕</w:t>
            </w:r>
            <w:r>
              <w:rPr>
                <w:rFonts w:ascii="標楷體" w:eastAsia="標楷體" w:hAnsi="標楷體" w:cs="新細明體"/>
                <w:color w:val="000000"/>
              </w:rPr>
              <w:t>≧16</w:t>
            </w:r>
            <w:r>
              <w:rPr>
                <w:rFonts w:ascii="標楷體" w:eastAsia="標楷體" w:hAnsi="標楷體"/>
                <w:color w:val="000000"/>
              </w:rPr>
              <w:t>。</w:t>
            </w:r>
          </w:p>
          <w:p w14:paraId="4A1D82F2" w14:textId="77777777" w:rsidR="00BD776B" w:rsidRDefault="00DF0C24">
            <w:pPr>
              <w:spacing w:before="180" w:line="320" w:lineRule="exact"/>
              <w:ind w:left="2311" w:hanging="1493"/>
              <w:rPr>
                <w:rFonts w:ascii="標楷體" w:eastAsia="標楷體" w:hAnsi="標楷體"/>
                <w:color w:val="000000"/>
              </w:rPr>
            </w:pPr>
            <w:r>
              <w:rPr>
                <w:rFonts w:ascii="標楷體" w:eastAsia="標楷體" w:hAnsi="標楷體"/>
                <w:color w:val="000000"/>
              </w:rPr>
              <w:t>8歲以上兒童：</w:t>
            </w:r>
          </w:p>
          <w:p w14:paraId="6935482A" w14:textId="77777777" w:rsidR="00BD776B" w:rsidRDefault="00DF0C24">
            <w:pPr>
              <w:spacing w:before="180" w:line="320" w:lineRule="exact"/>
              <w:ind w:left="2311" w:hanging="1493"/>
              <w:rPr>
                <w:rFonts w:ascii="標楷體" w:eastAsia="標楷體" w:hAnsi="標楷體"/>
                <w:color w:val="000000"/>
              </w:rPr>
            </w:pPr>
            <w:r>
              <w:rPr>
                <w:rFonts w:ascii="標楷體" w:eastAsia="標楷體" w:hAnsi="標楷體"/>
                <w:color w:val="000000"/>
              </w:rPr>
              <w:t>第一次EASI＝0.1*（___＋___＋___＋___）*___＋</w:t>
            </w:r>
            <w:r>
              <w:rPr>
                <w:rFonts w:ascii="標楷體" w:eastAsia="標楷體" w:hAnsi="標楷體"/>
                <w:color w:val="000000"/>
              </w:rPr>
              <w:br/>
              <w:t>0.3*（___＋___＋___＋___）*___＋</w:t>
            </w:r>
            <w:r>
              <w:rPr>
                <w:rFonts w:ascii="標楷體" w:eastAsia="標楷體" w:hAnsi="標楷體"/>
                <w:color w:val="000000"/>
              </w:rPr>
              <w:br/>
              <w:t>0.2*（___＋___＋___＋___）*___＋</w:t>
            </w:r>
            <w:r>
              <w:rPr>
                <w:rFonts w:ascii="標楷體" w:eastAsia="標楷體" w:hAnsi="標楷體"/>
                <w:color w:val="000000"/>
              </w:rPr>
              <w:br/>
              <w:t>0.4*（___＋___＋___＋___）*___</w:t>
            </w:r>
          </w:p>
          <w:p w14:paraId="3C1E73AF" w14:textId="77777777" w:rsidR="00BD776B" w:rsidRDefault="00DF0C24">
            <w:pPr>
              <w:spacing w:line="320" w:lineRule="exact"/>
              <w:ind w:left="3425" w:hanging="1366"/>
              <w:rPr>
                <w:rFonts w:ascii="標楷體" w:eastAsia="標楷體" w:hAnsi="標楷體"/>
                <w:color w:val="000000"/>
              </w:rPr>
            </w:pPr>
            <w:r>
              <w:rPr>
                <w:rFonts w:ascii="標楷體" w:eastAsia="標楷體" w:hAnsi="標楷體"/>
                <w:color w:val="000000"/>
              </w:rPr>
              <w:t>＝____</w:t>
            </w:r>
          </w:p>
          <w:p w14:paraId="7748E726" w14:textId="77777777" w:rsidR="00BD776B" w:rsidRDefault="00DF0C24">
            <w:pPr>
              <w:spacing w:before="180" w:line="320" w:lineRule="exact"/>
              <w:ind w:left="2311" w:hanging="1493"/>
              <w:rPr>
                <w:rFonts w:ascii="標楷體" w:eastAsia="標楷體" w:hAnsi="標楷體"/>
                <w:color w:val="000000"/>
              </w:rPr>
            </w:pPr>
            <w:r>
              <w:rPr>
                <w:rFonts w:ascii="標楷體" w:eastAsia="標楷體" w:hAnsi="標楷體"/>
                <w:color w:val="000000"/>
              </w:rPr>
              <w:t>第二次EASI＝0.1*（___＋___＋___＋___）*___＋</w:t>
            </w:r>
            <w:r>
              <w:rPr>
                <w:rFonts w:ascii="標楷體" w:eastAsia="標楷體" w:hAnsi="標楷體"/>
                <w:color w:val="000000"/>
              </w:rPr>
              <w:br/>
              <w:t>0.3*（___＋___＋___＋___）*___＋</w:t>
            </w:r>
            <w:r>
              <w:rPr>
                <w:rFonts w:ascii="標楷體" w:eastAsia="標楷體" w:hAnsi="標楷體"/>
                <w:color w:val="000000"/>
              </w:rPr>
              <w:br/>
              <w:t>0.2*（___＋___＋___＋___）*___＋</w:t>
            </w:r>
            <w:r>
              <w:rPr>
                <w:rFonts w:ascii="標楷體" w:eastAsia="標楷體" w:hAnsi="標楷體"/>
                <w:color w:val="000000"/>
              </w:rPr>
              <w:br/>
              <w:t>0.4*（___＋___＋___＋___）*___</w:t>
            </w:r>
          </w:p>
          <w:p w14:paraId="42D89032" w14:textId="77777777" w:rsidR="00BD776B" w:rsidRDefault="00DF0C24">
            <w:pPr>
              <w:spacing w:line="320" w:lineRule="exact"/>
              <w:ind w:left="3425" w:hanging="1366"/>
              <w:rPr>
                <w:rFonts w:ascii="標楷體" w:eastAsia="標楷體" w:hAnsi="標楷體"/>
                <w:color w:val="000000"/>
              </w:rPr>
            </w:pPr>
            <w:r>
              <w:rPr>
                <w:rFonts w:ascii="標楷體" w:eastAsia="標楷體" w:hAnsi="標楷體"/>
                <w:color w:val="000000"/>
              </w:rPr>
              <w:lastRenderedPageBreak/>
              <w:t>＝____</w:t>
            </w:r>
          </w:p>
          <w:p w14:paraId="09209D84" w14:textId="77777777" w:rsidR="00BD776B" w:rsidRDefault="00BD776B">
            <w:pPr>
              <w:spacing w:before="180" w:line="320" w:lineRule="exact"/>
              <w:ind w:left="1345" w:hanging="560"/>
              <w:rPr>
                <w:rFonts w:ascii="標楷體" w:eastAsia="標楷體" w:hAnsi="標楷體"/>
                <w:color w:val="000000"/>
              </w:rPr>
            </w:pPr>
          </w:p>
          <w:p w14:paraId="43479224" w14:textId="77777777" w:rsidR="00BD776B" w:rsidRDefault="00DF0C24">
            <w:pPr>
              <w:spacing w:before="180" w:line="320" w:lineRule="exact"/>
              <w:ind w:left="1345" w:hanging="560"/>
              <w:rPr>
                <w:rFonts w:ascii="標楷體" w:eastAsia="標楷體" w:hAnsi="標楷體"/>
                <w:color w:val="000000"/>
              </w:rPr>
            </w:pPr>
            <w:r>
              <w:rPr>
                <w:rFonts w:ascii="標楷體" w:eastAsia="標楷體" w:hAnsi="標楷體"/>
                <w:color w:val="000000"/>
              </w:rPr>
              <w:t>未滿8歲兒童：</w:t>
            </w:r>
          </w:p>
          <w:p w14:paraId="2BBE49F8" w14:textId="77777777" w:rsidR="00BD776B" w:rsidRDefault="00DF0C24">
            <w:pPr>
              <w:spacing w:before="180" w:line="320" w:lineRule="exact"/>
              <w:ind w:left="2311" w:hanging="1493"/>
              <w:rPr>
                <w:rFonts w:ascii="標楷體" w:eastAsia="標楷體" w:hAnsi="標楷體"/>
                <w:color w:val="000000"/>
              </w:rPr>
            </w:pPr>
            <w:r>
              <w:rPr>
                <w:rFonts w:ascii="標楷體" w:eastAsia="標楷體" w:hAnsi="標楷體"/>
                <w:color w:val="000000"/>
              </w:rPr>
              <w:t>第一次EASI＝0.2*（___＋___＋___＋___）*___＋</w:t>
            </w:r>
            <w:r>
              <w:rPr>
                <w:rFonts w:ascii="標楷體" w:eastAsia="標楷體" w:hAnsi="標楷體"/>
                <w:color w:val="000000"/>
              </w:rPr>
              <w:br/>
              <w:t>0.3*（___＋___＋___＋___）*___＋</w:t>
            </w:r>
            <w:r>
              <w:rPr>
                <w:rFonts w:ascii="標楷體" w:eastAsia="標楷體" w:hAnsi="標楷體"/>
                <w:color w:val="000000"/>
              </w:rPr>
              <w:br/>
              <w:t>0.2*（___＋___＋___＋___）*___＋</w:t>
            </w:r>
            <w:r>
              <w:rPr>
                <w:rFonts w:ascii="標楷體" w:eastAsia="標楷體" w:hAnsi="標楷體"/>
                <w:color w:val="000000"/>
              </w:rPr>
              <w:br/>
              <w:t>0.3*（___＋___＋___＋___）*___</w:t>
            </w:r>
          </w:p>
          <w:p w14:paraId="3E286F3C" w14:textId="77777777" w:rsidR="00BD776B" w:rsidRDefault="00DF0C24">
            <w:pPr>
              <w:spacing w:line="320" w:lineRule="exact"/>
              <w:ind w:left="3425" w:hanging="1366"/>
              <w:rPr>
                <w:rFonts w:ascii="標楷體" w:eastAsia="標楷體" w:hAnsi="標楷體"/>
                <w:color w:val="000000"/>
              </w:rPr>
            </w:pPr>
            <w:r>
              <w:rPr>
                <w:rFonts w:ascii="標楷體" w:eastAsia="標楷體" w:hAnsi="標楷體"/>
                <w:color w:val="000000"/>
              </w:rPr>
              <w:t>＝____</w:t>
            </w:r>
          </w:p>
          <w:p w14:paraId="304016DB" w14:textId="77777777" w:rsidR="00BD776B" w:rsidRDefault="00DF0C24">
            <w:pPr>
              <w:spacing w:before="180" w:line="320" w:lineRule="exact"/>
              <w:ind w:left="2311" w:hanging="1493"/>
              <w:rPr>
                <w:rFonts w:ascii="標楷體" w:eastAsia="標楷體" w:hAnsi="標楷體"/>
                <w:color w:val="000000"/>
              </w:rPr>
            </w:pPr>
            <w:r>
              <w:rPr>
                <w:rFonts w:ascii="標楷體" w:eastAsia="標楷體" w:hAnsi="標楷體"/>
                <w:color w:val="000000"/>
              </w:rPr>
              <w:t>第二次EASI＝0.2*（___＋___＋___＋___）*___＋</w:t>
            </w:r>
            <w:r>
              <w:rPr>
                <w:rFonts w:ascii="標楷體" w:eastAsia="標楷體" w:hAnsi="標楷體"/>
                <w:color w:val="000000"/>
              </w:rPr>
              <w:br/>
              <w:t>0.3*（___＋___＋___＋___）*___＋</w:t>
            </w:r>
            <w:r>
              <w:rPr>
                <w:rFonts w:ascii="標楷體" w:eastAsia="標楷體" w:hAnsi="標楷體"/>
                <w:color w:val="000000"/>
              </w:rPr>
              <w:br/>
              <w:t>0.2*（___＋___＋___＋___）*___＋</w:t>
            </w:r>
            <w:r>
              <w:rPr>
                <w:rFonts w:ascii="標楷體" w:eastAsia="標楷體" w:hAnsi="標楷體"/>
                <w:color w:val="000000"/>
              </w:rPr>
              <w:br/>
              <w:t>0.3*（___＋___＋___＋___）*___</w:t>
            </w:r>
          </w:p>
          <w:p w14:paraId="25B9A308" w14:textId="77777777" w:rsidR="00BD776B" w:rsidRDefault="00DF0C24">
            <w:pPr>
              <w:spacing w:line="320" w:lineRule="exact"/>
              <w:ind w:left="3425" w:hanging="1366"/>
              <w:rPr>
                <w:rFonts w:ascii="標楷體" w:eastAsia="標楷體" w:hAnsi="標楷體"/>
                <w:color w:val="000000"/>
              </w:rPr>
            </w:pPr>
            <w:r>
              <w:rPr>
                <w:rFonts w:ascii="標楷體" w:eastAsia="標楷體" w:hAnsi="標楷體"/>
                <w:color w:val="000000"/>
              </w:rPr>
              <w:t>＝____</w:t>
            </w:r>
          </w:p>
          <w:p w14:paraId="5DB02AB8" w14:textId="77777777" w:rsidR="00BD776B" w:rsidRDefault="00DF0C24">
            <w:pPr>
              <w:spacing w:before="180" w:line="320" w:lineRule="exact"/>
              <w:ind w:left="1345" w:hanging="560"/>
              <w:rPr>
                <w:rFonts w:ascii="標楷體" w:eastAsia="標楷體" w:hAnsi="標楷體"/>
                <w:color w:val="000000"/>
              </w:rPr>
            </w:pPr>
            <w:r>
              <w:rPr>
                <w:rFonts w:ascii="標楷體" w:eastAsia="標楷體" w:hAnsi="標楷體"/>
                <w:color w:val="000000"/>
              </w:rPr>
              <w:t>註：Eczema area severity index (EASI)之異位性皮膚炎面積計算，只含皮膚紅腫濕疹部位，單純的皮膚乾燥、脫皮、抓痕，不可列入計算。</w:t>
            </w:r>
          </w:p>
          <w:p w14:paraId="4A63B341" w14:textId="77777777" w:rsidR="00BD776B" w:rsidRDefault="00DF0C24">
            <w:pPr>
              <w:tabs>
                <w:tab w:val="left" w:pos="345"/>
              </w:tabs>
              <w:spacing w:before="180" w:line="320" w:lineRule="exact"/>
              <w:ind w:left="623" w:hanging="266"/>
            </w:pPr>
            <w:r>
              <w:rPr>
                <w:rFonts w:ascii="標楷體" w:eastAsia="標楷體" w:hAnsi="標楷體"/>
                <w:color w:val="000000"/>
              </w:rPr>
              <w:t>3.□Investigator’s Global Assessment (IGA)</w:t>
            </w:r>
            <w:r>
              <w:rPr>
                <w:rFonts w:eastAsia="標楷體"/>
                <w:color w:val="000000"/>
              </w:rPr>
              <w:t>≥</w:t>
            </w:r>
            <w:r>
              <w:rPr>
                <w:rFonts w:ascii="標楷體" w:eastAsia="標楷體" w:hAnsi="標楷體"/>
                <w:color w:val="000000"/>
              </w:rPr>
              <w:t>3。</w:t>
            </w:r>
          </w:p>
          <w:p w14:paraId="6DE0995B" w14:textId="77777777" w:rsidR="00BD776B" w:rsidRDefault="00DF0C24">
            <w:pPr>
              <w:spacing w:line="400" w:lineRule="exact"/>
              <w:ind w:left="374" w:hanging="374"/>
            </w:pPr>
            <w:r>
              <w:rPr>
                <w:rFonts w:ascii="標楷體" w:eastAsia="標楷體" w:hAnsi="標楷體"/>
                <w:b/>
                <w:color w:val="000000"/>
              </w:rPr>
              <w:t>□ 暫緩續用後疾病再復發之重新申請：</w:t>
            </w:r>
            <w:r>
              <w:rPr>
                <w:rFonts w:ascii="標楷體" w:eastAsia="標楷體" w:hAnsi="標楷體"/>
                <w:color w:val="000000"/>
              </w:rPr>
              <w:t>（需附上次療程治療前、後，及本次照片）</w:t>
            </w:r>
          </w:p>
          <w:p w14:paraId="5C68229B" w14:textId="77777777" w:rsidR="00BD776B" w:rsidRDefault="00DF0C24">
            <w:pPr>
              <w:spacing w:line="400" w:lineRule="exact"/>
              <w:ind w:left="623" w:hanging="266"/>
            </w:pPr>
            <w:r>
              <w:rPr>
                <w:rFonts w:ascii="標楷體" w:eastAsia="標楷體" w:hAnsi="標楷體"/>
                <w:color w:val="000000"/>
              </w:rPr>
              <w:t>□ 符合至少有EASI</w:t>
            </w:r>
            <w:r>
              <w:rPr>
                <w:rFonts w:ascii="標楷體" w:eastAsia="標楷體" w:hAnsi="標楷體" w:cs="新細明體"/>
                <w:color w:val="000000"/>
              </w:rPr>
              <w:t>≧</w:t>
            </w:r>
            <w:r>
              <w:rPr>
                <w:rFonts w:ascii="標楷體" w:eastAsia="標楷體" w:hAnsi="標楷體"/>
                <w:color w:val="000000"/>
              </w:rPr>
              <w:t>50%復發或EASI</w:t>
            </w:r>
            <w:r>
              <w:rPr>
                <w:rFonts w:ascii="標楷體" w:eastAsia="標楷體" w:hAnsi="標楷體" w:cs="新細明體"/>
                <w:color w:val="000000"/>
              </w:rPr>
              <w:t>≧16</w:t>
            </w:r>
            <w:r>
              <w:rPr>
                <w:rFonts w:ascii="標楷體" w:eastAsia="標楷體" w:hAnsi="標楷體"/>
                <w:color w:val="000000"/>
              </w:rPr>
              <w:t>。</w:t>
            </w:r>
          </w:p>
        </w:tc>
        <w:tc>
          <w:tcPr>
            <w:tcW w:w="181" w:type="dxa"/>
            <w:shd w:val="clear" w:color="auto" w:fill="auto"/>
            <w:tcMar>
              <w:top w:w="0" w:type="dxa"/>
              <w:left w:w="10" w:type="dxa"/>
              <w:bottom w:w="0" w:type="dxa"/>
              <w:right w:w="10" w:type="dxa"/>
            </w:tcMar>
          </w:tcPr>
          <w:p w14:paraId="2204798A" w14:textId="77777777" w:rsidR="00BD776B" w:rsidRDefault="00BD776B">
            <w:pPr>
              <w:spacing w:line="400" w:lineRule="exact"/>
              <w:ind w:left="623" w:hanging="266"/>
              <w:rPr>
                <w:rFonts w:ascii="標楷體" w:eastAsia="標楷體" w:hAnsi="標楷體"/>
              </w:rPr>
            </w:pPr>
          </w:p>
        </w:tc>
      </w:tr>
      <w:tr w:rsidR="00BD776B" w14:paraId="1C8DC686" w14:textId="77777777">
        <w:trPr>
          <w:trHeight w:val="6250"/>
        </w:trPr>
        <w:tc>
          <w:tcPr>
            <w:tcW w:w="1545" w:type="dxa"/>
            <w:shd w:val="clear" w:color="auto" w:fill="auto"/>
            <w:tcMar>
              <w:top w:w="0" w:type="dxa"/>
              <w:left w:w="0" w:type="dxa"/>
              <w:bottom w:w="0" w:type="dxa"/>
              <w:right w:w="0" w:type="dxa"/>
            </w:tcMar>
          </w:tcPr>
          <w:p w14:paraId="36C9F617" w14:textId="77777777" w:rsidR="00BD776B" w:rsidRDefault="00BD776B">
            <w:pPr>
              <w:spacing w:before="181" w:line="276" w:lineRule="auto"/>
              <w:rPr>
                <w:rFonts w:ascii="標楷體" w:eastAsia="標楷體" w:hAnsi="標楷體"/>
                <w:color w:val="000000"/>
              </w:rPr>
            </w:pPr>
          </w:p>
        </w:tc>
        <w:tc>
          <w:tcPr>
            <w:tcW w:w="10349" w:type="dxa"/>
            <w:gridSpan w:val="4"/>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7CF2B129" w14:textId="77777777" w:rsidR="00BD776B" w:rsidRDefault="00DF0C24">
            <w:pPr>
              <w:spacing w:line="400" w:lineRule="exact"/>
              <w:rPr>
                <w:rFonts w:ascii="標楷體" w:eastAsia="標楷體" w:hAnsi="標楷體"/>
                <w:color w:val="000000"/>
              </w:rPr>
            </w:pPr>
            <w:r>
              <w:rPr>
                <w:rFonts w:ascii="標楷體" w:eastAsia="標楷體" w:hAnsi="標楷體"/>
                <w:color w:val="000000"/>
              </w:rPr>
              <w:t>□符合繼續使用之療效評估：</w:t>
            </w:r>
          </w:p>
          <w:p w14:paraId="058365D0" w14:textId="77777777" w:rsidR="00BD776B" w:rsidRDefault="00DF0C24">
            <w:pPr>
              <w:spacing w:line="400" w:lineRule="exact"/>
              <w:ind w:left="318"/>
              <w:rPr>
                <w:rFonts w:ascii="標楷體" w:eastAsia="標楷體" w:hAnsi="標楷體"/>
                <w:b/>
                <w:color w:val="000000"/>
              </w:rPr>
            </w:pPr>
            <w:r>
              <w:rPr>
                <w:rFonts w:ascii="標楷體" w:eastAsia="標楷體" w:hAnsi="標楷體"/>
                <w:b/>
                <w:color w:val="000000"/>
              </w:rPr>
              <w:t>初次療程</w:t>
            </w:r>
          </w:p>
          <w:p w14:paraId="1CE5900A" w14:textId="77777777" w:rsidR="00BD776B" w:rsidRDefault="00DF0C24">
            <w:pPr>
              <w:spacing w:line="400" w:lineRule="exact"/>
              <w:ind w:left="345"/>
              <w:rPr>
                <w:rFonts w:ascii="標楷體" w:eastAsia="標楷體" w:hAnsi="標楷體"/>
                <w:color w:val="000000"/>
              </w:rPr>
            </w:pPr>
            <w:r>
              <w:rPr>
                <w:rFonts w:ascii="標楷體" w:eastAsia="標楷體" w:hAnsi="標楷體"/>
                <w:color w:val="000000"/>
              </w:rPr>
              <w:t>□ 於初次療程之第16週先行評估時，至少有EASI 50療效，方可使用。</w:t>
            </w:r>
          </w:p>
          <w:p w14:paraId="2DD3A14E" w14:textId="77777777" w:rsidR="00BD776B" w:rsidRDefault="00DF0C24">
            <w:pPr>
              <w:spacing w:line="400" w:lineRule="exact"/>
              <w:ind w:left="318"/>
              <w:rPr>
                <w:rFonts w:ascii="標楷體" w:eastAsia="標楷體" w:hAnsi="標楷體"/>
                <w:b/>
                <w:color w:val="000000"/>
              </w:rPr>
            </w:pPr>
            <w:r>
              <w:rPr>
                <w:rFonts w:ascii="標楷體" w:eastAsia="標楷體" w:hAnsi="標楷體"/>
                <w:b/>
                <w:color w:val="000000"/>
              </w:rPr>
              <w:t>重複療程</w:t>
            </w:r>
          </w:p>
          <w:p w14:paraId="2AE006BA" w14:textId="77777777" w:rsidR="00BD776B" w:rsidRDefault="00DF0C24">
            <w:pPr>
              <w:spacing w:line="400" w:lineRule="exact"/>
              <w:ind w:left="360"/>
              <w:rPr>
                <w:rFonts w:ascii="標楷體" w:eastAsia="標楷體" w:hAnsi="標楷體"/>
                <w:color w:val="000000"/>
              </w:rPr>
            </w:pPr>
            <w:r>
              <w:rPr>
                <w:rFonts w:ascii="標楷體" w:eastAsia="標楷體" w:hAnsi="標楷體"/>
                <w:color w:val="000000"/>
              </w:rPr>
              <w:t>1.□再次申請時，符合下列條件之一：</w:t>
            </w:r>
          </w:p>
          <w:p w14:paraId="6F6EDBCB" w14:textId="77777777" w:rsidR="00BD776B" w:rsidRDefault="00DF0C24">
            <w:pPr>
              <w:spacing w:line="400" w:lineRule="exact"/>
              <w:ind w:left="960"/>
            </w:pPr>
            <w:r>
              <w:rPr>
                <w:rFonts w:ascii="標楷體" w:eastAsia="標楷體" w:hAnsi="標楷體"/>
                <w:color w:val="000000"/>
              </w:rPr>
              <w:t>i.□與初次治療前之療效達EASI 50；</w:t>
            </w:r>
          </w:p>
          <w:p w14:paraId="0AF2ECDE" w14:textId="77777777" w:rsidR="00BD776B" w:rsidRDefault="00DF0C24">
            <w:pPr>
              <w:spacing w:line="400" w:lineRule="exact"/>
              <w:ind w:left="1459" w:hanging="619"/>
            </w:pPr>
            <w:r>
              <w:rPr>
                <w:rFonts w:ascii="標楷體" w:eastAsia="標楷體" w:hAnsi="標楷體"/>
                <w:color w:val="000000"/>
              </w:rPr>
              <w:t>ii.□暫緩續用後至少有50%復發或EASI</w:t>
            </w:r>
            <w:r>
              <w:rPr>
                <w:rFonts w:ascii="標楷體" w:eastAsia="標楷體" w:hAnsi="標楷體" w:cs="新細明體"/>
                <w:color w:val="000000"/>
              </w:rPr>
              <w:t>≧</w:t>
            </w:r>
            <w:r>
              <w:rPr>
                <w:rFonts w:ascii="標楷體" w:eastAsia="標楷體" w:hAnsi="標楷體"/>
                <w:color w:val="000000"/>
              </w:rPr>
              <w:t>16（需附上次療程治療前、後及本次照片）。</w:t>
            </w:r>
          </w:p>
          <w:p w14:paraId="2475A657" w14:textId="77777777" w:rsidR="00BD776B" w:rsidRDefault="00DF0C24">
            <w:pPr>
              <w:spacing w:line="400" w:lineRule="exact"/>
              <w:ind w:left="360"/>
              <w:rPr>
                <w:rFonts w:ascii="標楷體" w:eastAsia="標楷體" w:hAnsi="標楷體"/>
                <w:color w:val="000000"/>
              </w:rPr>
            </w:pPr>
            <w:r>
              <w:rPr>
                <w:rFonts w:ascii="標楷體" w:eastAsia="標楷體" w:hAnsi="標楷體"/>
                <w:color w:val="000000"/>
              </w:rPr>
              <w:t>2.□上次治療至今病歷影本(至多附3個月)，以及申請日期之臨床照片。</w:t>
            </w:r>
          </w:p>
          <w:p w14:paraId="507B1918" w14:textId="77777777" w:rsidR="00BD776B" w:rsidRDefault="00DF0C24">
            <w:pPr>
              <w:spacing w:line="400" w:lineRule="exact"/>
              <w:ind w:left="958"/>
              <w:rPr>
                <w:rFonts w:ascii="標楷體" w:eastAsia="標楷體" w:hAnsi="標楷體"/>
                <w:color w:val="000000"/>
              </w:rPr>
            </w:pPr>
            <w:r>
              <w:rPr>
                <w:rFonts w:ascii="標楷體" w:eastAsia="標楷體" w:hAnsi="標楷體"/>
                <w:color w:val="000000"/>
              </w:rPr>
              <w:t>上次申請之生物製劑dupilumab使用時間及使用劑量：</w:t>
            </w:r>
          </w:p>
          <w:tbl>
            <w:tblPr>
              <w:tblW w:w="8582" w:type="dxa"/>
              <w:tblInd w:w="720" w:type="dxa"/>
              <w:tblLayout w:type="fixed"/>
              <w:tblCellMar>
                <w:left w:w="10" w:type="dxa"/>
                <w:right w:w="10" w:type="dxa"/>
              </w:tblCellMar>
              <w:tblLook w:val="0000" w:firstRow="0" w:lastRow="0" w:firstColumn="0" w:lastColumn="0" w:noHBand="0" w:noVBand="0"/>
            </w:tblPr>
            <w:tblGrid>
              <w:gridCol w:w="2098"/>
              <w:gridCol w:w="2098"/>
              <w:gridCol w:w="2098"/>
              <w:gridCol w:w="2288"/>
            </w:tblGrid>
            <w:tr w:rsidR="00BD776B" w14:paraId="7B6182F2" w14:textId="77777777">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D7E7E1F"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使用生物製劑</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8B91AEB"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使用劑量</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4A70EE"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使用時間</w:t>
                  </w:r>
                </w:p>
              </w:tc>
              <w:tc>
                <w:tcPr>
                  <w:tcW w:w="22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DB1FD9" w14:textId="77777777" w:rsidR="00BD776B" w:rsidRDefault="00DF0C24">
                  <w:pPr>
                    <w:spacing w:before="100" w:line="320" w:lineRule="exact"/>
                    <w:jc w:val="center"/>
                    <w:rPr>
                      <w:rFonts w:ascii="標楷體" w:eastAsia="標楷體" w:hAnsi="標楷體"/>
                      <w:color w:val="000000"/>
                    </w:rPr>
                  </w:pPr>
                  <w:r>
                    <w:rPr>
                      <w:rFonts w:ascii="標楷體" w:eastAsia="標楷體" w:hAnsi="標楷體"/>
                      <w:color w:val="000000"/>
                    </w:rPr>
                    <w:t>EASI治療前後數值</w:t>
                  </w:r>
                </w:p>
              </w:tc>
            </w:tr>
            <w:tr w:rsidR="00BD776B" w14:paraId="7AD7D2B6" w14:textId="77777777">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6E98A2E" w14:textId="77777777" w:rsidR="00BD776B" w:rsidRDefault="00BD776B">
                  <w:pPr>
                    <w:spacing w:before="100" w:line="320" w:lineRule="exact"/>
                    <w:rPr>
                      <w:rFonts w:ascii="標楷體" w:eastAsia="標楷體" w:hAnsi="標楷體"/>
                      <w:color w:val="000000"/>
                    </w:rPr>
                  </w:pP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866E1C0" w14:textId="77777777" w:rsidR="00BD776B" w:rsidRDefault="00DF0C24">
                  <w:pPr>
                    <w:spacing w:before="100" w:line="320" w:lineRule="exact"/>
                    <w:rPr>
                      <w:rFonts w:ascii="標楷體" w:eastAsia="標楷體" w:hAnsi="標楷體"/>
                      <w:color w:val="000000"/>
                    </w:rPr>
                  </w:pPr>
                  <w:r>
                    <w:rPr>
                      <w:rFonts w:ascii="標楷體" w:eastAsia="標楷體" w:hAnsi="標楷體"/>
                      <w:color w:val="000000"/>
                    </w:rPr>
                    <w:t>___mg/___週</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DEF50D4"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__年__月__日至</w:t>
                  </w:r>
                </w:p>
                <w:p w14:paraId="30FC92D5"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w:t>
                  </w:r>
                </w:p>
              </w:tc>
              <w:tc>
                <w:tcPr>
                  <w:tcW w:w="22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499C999" w14:textId="77777777" w:rsidR="00BD776B" w:rsidRDefault="00BD776B">
                  <w:pPr>
                    <w:spacing w:before="100" w:line="320" w:lineRule="exact"/>
                    <w:rPr>
                      <w:rFonts w:ascii="標楷體" w:eastAsia="標楷體" w:hAnsi="標楷體"/>
                      <w:color w:val="000000"/>
                    </w:rPr>
                  </w:pPr>
                </w:p>
              </w:tc>
            </w:tr>
            <w:tr w:rsidR="00BD776B" w14:paraId="11BA2E29" w14:textId="77777777">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BB920B" w14:textId="77777777" w:rsidR="00BD776B" w:rsidRDefault="00BD776B">
                  <w:pPr>
                    <w:spacing w:before="100" w:line="320" w:lineRule="exact"/>
                    <w:rPr>
                      <w:rFonts w:ascii="標楷體" w:eastAsia="標楷體" w:hAnsi="標楷體"/>
                      <w:color w:val="000000"/>
                    </w:rPr>
                  </w:pP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ADE88A2" w14:textId="77777777" w:rsidR="00BD776B" w:rsidRDefault="00DF0C24">
                  <w:pPr>
                    <w:spacing w:before="100" w:line="320" w:lineRule="exact"/>
                    <w:rPr>
                      <w:rFonts w:ascii="標楷體" w:eastAsia="標楷體" w:hAnsi="標楷體"/>
                      <w:color w:val="000000"/>
                    </w:rPr>
                  </w:pPr>
                  <w:r>
                    <w:rPr>
                      <w:rFonts w:ascii="標楷體" w:eastAsia="標楷體" w:hAnsi="標楷體"/>
                      <w:color w:val="000000"/>
                    </w:rPr>
                    <w:t>___mg/___週</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62CAA7B"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__年__月__日至</w:t>
                  </w:r>
                </w:p>
                <w:p w14:paraId="2A9525CC"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w:t>
                  </w:r>
                </w:p>
              </w:tc>
              <w:tc>
                <w:tcPr>
                  <w:tcW w:w="22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6D7D95A" w14:textId="77777777" w:rsidR="00BD776B" w:rsidRDefault="00BD776B">
                  <w:pPr>
                    <w:spacing w:before="100" w:line="320" w:lineRule="exact"/>
                    <w:rPr>
                      <w:rFonts w:ascii="標楷體" w:eastAsia="標楷體" w:hAnsi="標楷體"/>
                      <w:color w:val="000000"/>
                    </w:rPr>
                  </w:pPr>
                </w:p>
              </w:tc>
            </w:tr>
            <w:tr w:rsidR="00BD776B" w14:paraId="36AA4812" w14:textId="77777777">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E8993EB" w14:textId="77777777" w:rsidR="00BD776B" w:rsidRDefault="00BD776B">
                  <w:pPr>
                    <w:spacing w:before="100" w:line="320" w:lineRule="exact"/>
                    <w:rPr>
                      <w:rFonts w:ascii="標楷體" w:eastAsia="標楷體" w:hAnsi="標楷體"/>
                      <w:color w:val="000000"/>
                    </w:rPr>
                  </w:pP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EFC5A9C" w14:textId="77777777" w:rsidR="00BD776B" w:rsidRDefault="00DF0C24">
                  <w:pPr>
                    <w:spacing w:before="100" w:line="320" w:lineRule="exact"/>
                    <w:rPr>
                      <w:rFonts w:ascii="標楷體" w:eastAsia="標楷體" w:hAnsi="標楷體"/>
                      <w:color w:val="000000"/>
                    </w:rPr>
                  </w:pPr>
                  <w:r>
                    <w:rPr>
                      <w:rFonts w:ascii="標楷體" w:eastAsia="標楷體" w:hAnsi="標楷體"/>
                      <w:color w:val="000000"/>
                    </w:rPr>
                    <w:t>___mg/___週</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2D145F" w14:textId="77777777" w:rsidR="00BD776B" w:rsidRDefault="00DF0C24">
                  <w:pPr>
                    <w:spacing w:line="320" w:lineRule="exact"/>
                    <w:jc w:val="center"/>
                    <w:rPr>
                      <w:rFonts w:ascii="標楷體" w:eastAsia="標楷體" w:hAnsi="標楷體"/>
                      <w:color w:val="000000"/>
                    </w:rPr>
                  </w:pPr>
                  <w:r>
                    <w:rPr>
                      <w:rFonts w:ascii="標楷體" w:eastAsia="標楷體" w:hAnsi="標楷體"/>
                      <w:color w:val="000000"/>
                    </w:rPr>
                    <w:t>__年__月__日至</w:t>
                  </w:r>
                </w:p>
                <w:p w14:paraId="76736A88" w14:textId="77777777" w:rsidR="00BD776B" w:rsidRDefault="00DF0C24">
                  <w:pPr>
                    <w:spacing w:line="320" w:lineRule="exact"/>
                    <w:rPr>
                      <w:rFonts w:ascii="標楷體" w:eastAsia="標楷體" w:hAnsi="標楷體"/>
                      <w:color w:val="000000"/>
                    </w:rPr>
                  </w:pPr>
                  <w:r>
                    <w:rPr>
                      <w:rFonts w:ascii="標楷體" w:eastAsia="標楷體" w:hAnsi="標楷體"/>
                      <w:color w:val="000000"/>
                    </w:rPr>
                    <w:t>__年__月__日</w:t>
                  </w:r>
                </w:p>
              </w:tc>
              <w:tc>
                <w:tcPr>
                  <w:tcW w:w="22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CAE46F" w14:textId="77777777" w:rsidR="00BD776B" w:rsidRDefault="00BD776B">
                  <w:pPr>
                    <w:spacing w:before="100" w:line="320" w:lineRule="exact"/>
                    <w:rPr>
                      <w:rFonts w:ascii="標楷體" w:eastAsia="標楷體" w:hAnsi="標楷體"/>
                      <w:color w:val="000000"/>
                    </w:rPr>
                  </w:pPr>
                </w:p>
              </w:tc>
            </w:tr>
          </w:tbl>
          <w:p w14:paraId="3D9BBAE6" w14:textId="77777777" w:rsidR="00BD776B" w:rsidRDefault="00BD776B">
            <w:pPr>
              <w:spacing w:before="100" w:line="320" w:lineRule="exact"/>
              <w:rPr>
                <w:rFonts w:ascii="標楷體" w:eastAsia="標楷體" w:hAnsi="標楷體"/>
                <w:color w:val="000000"/>
              </w:rPr>
            </w:pPr>
          </w:p>
        </w:tc>
        <w:tc>
          <w:tcPr>
            <w:tcW w:w="181" w:type="dxa"/>
            <w:shd w:val="clear" w:color="auto" w:fill="auto"/>
            <w:tcMar>
              <w:top w:w="0" w:type="dxa"/>
              <w:left w:w="0" w:type="dxa"/>
              <w:bottom w:w="0" w:type="dxa"/>
              <w:right w:w="0" w:type="dxa"/>
            </w:tcMar>
          </w:tcPr>
          <w:p w14:paraId="1A5DD3A9" w14:textId="77777777" w:rsidR="00BD776B" w:rsidRDefault="00BD776B">
            <w:pPr>
              <w:spacing w:before="100"/>
              <w:ind w:left="340"/>
              <w:rPr>
                <w:rFonts w:ascii="標楷體" w:eastAsia="標楷體" w:hAnsi="標楷體"/>
                <w:color w:val="000000"/>
              </w:rPr>
            </w:pPr>
          </w:p>
        </w:tc>
      </w:tr>
      <w:tr w:rsidR="00BD776B" w14:paraId="0908C329" w14:textId="77777777">
        <w:trPr>
          <w:trHeight w:val="636"/>
        </w:trPr>
        <w:tc>
          <w:tcPr>
            <w:tcW w:w="1545" w:type="dxa"/>
            <w:shd w:val="clear" w:color="auto" w:fill="auto"/>
            <w:tcMar>
              <w:top w:w="0" w:type="dxa"/>
              <w:left w:w="0" w:type="dxa"/>
              <w:bottom w:w="0" w:type="dxa"/>
              <w:right w:w="0" w:type="dxa"/>
            </w:tcMar>
          </w:tcPr>
          <w:p w14:paraId="0605CB24" w14:textId="77777777" w:rsidR="00BD776B" w:rsidRDefault="00BD776B">
            <w:pPr>
              <w:spacing w:before="100"/>
              <w:ind w:left="119"/>
              <w:rPr>
                <w:rFonts w:ascii="標楷體" w:eastAsia="標楷體" w:hAnsi="標楷體"/>
                <w:color w:val="000000"/>
              </w:rPr>
            </w:pPr>
          </w:p>
        </w:tc>
        <w:tc>
          <w:tcPr>
            <w:tcW w:w="10349" w:type="dxa"/>
            <w:gridSpan w:val="4"/>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tcPr>
          <w:p w14:paraId="274EC9FE" w14:textId="77777777" w:rsidR="00BD776B" w:rsidRDefault="00DF0C24">
            <w:pPr>
              <w:spacing w:before="181" w:line="200" w:lineRule="exact"/>
              <w:rPr>
                <w:rFonts w:ascii="標楷體" w:eastAsia="標楷體" w:hAnsi="標楷體"/>
                <w:b/>
                <w:color w:val="000000"/>
              </w:rPr>
            </w:pPr>
            <w:r>
              <w:rPr>
                <w:rFonts w:ascii="標楷體" w:eastAsia="標楷體" w:hAnsi="標楷體"/>
                <w:b/>
                <w:color w:val="000000"/>
              </w:rPr>
              <w:t>□符合「需排除或停止使用之情形」</w:t>
            </w:r>
          </w:p>
        </w:tc>
        <w:tc>
          <w:tcPr>
            <w:tcW w:w="181" w:type="dxa"/>
            <w:shd w:val="clear" w:color="auto" w:fill="auto"/>
            <w:tcMar>
              <w:top w:w="0" w:type="dxa"/>
              <w:left w:w="0" w:type="dxa"/>
              <w:bottom w:w="0" w:type="dxa"/>
              <w:right w:w="0" w:type="dxa"/>
            </w:tcMar>
          </w:tcPr>
          <w:p w14:paraId="14A7EBAB" w14:textId="77777777" w:rsidR="00BD776B" w:rsidRDefault="00BD776B">
            <w:pPr>
              <w:spacing w:before="100"/>
              <w:ind w:left="119"/>
              <w:rPr>
                <w:rFonts w:ascii="標楷體" w:eastAsia="標楷體" w:hAnsi="標楷體"/>
                <w:color w:val="000000"/>
              </w:rPr>
            </w:pPr>
          </w:p>
        </w:tc>
      </w:tr>
      <w:tr w:rsidR="00BD776B" w14:paraId="60CC52F6" w14:textId="77777777">
        <w:trPr>
          <w:trHeight w:val="414"/>
        </w:trPr>
        <w:tc>
          <w:tcPr>
            <w:tcW w:w="1545" w:type="dxa"/>
            <w:shd w:val="clear" w:color="auto" w:fill="auto"/>
            <w:tcMar>
              <w:top w:w="0" w:type="dxa"/>
              <w:left w:w="0" w:type="dxa"/>
              <w:bottom w:w="0" w:type="dxa"/>
              <w:right w:w="0" w:type="dxa"/>
            </w:tcMar>
          </w:tcPr>
          <w:p w14:paraId="3033ACAD" w14:textId="77777777" w:rsidR="00BD776B" w:rsidRDefault="00BD776B">
            <w:pPr>
              <w:spacing w:before="100"/>
              <w:rPr>
                <w:rFonts w:ascii="標楷體" w:eastAsia="標楷體" w:hAnsi="標楷體"/>
                <w:color w:val="000000"/>
              </w:rPr>
            </w:pPr>
          </w:p>
        </w:tc>
        <w:tc>
          <w:tcPr>
            <w:tcW w:w="1247" w:type="dxa"/>
            <w:tcBorders>
              <w:top w:val="single" w:sz="6" w:space="0" w:color="000000"/>
              <w:left w:val="double" w:sz="4" w:space="0" w:color="000000"/>
              <w:bottom w:val="single" w:sz="6" w:space="0" w:color="000000"/>
            </w:tcBorders>
            <w:shd w:val="clear" w:color="auto" w:fill="auto"/>
            <w:tcMar>
              <w:top w:w="0" w:type="dxa"/>
              <w:left w:w="28" w:type="dxa"/>
              <w:bottom w:w="0" w:type="dxa"/>
              <w:right w:w="0" w:type="dxa"/>
            </w:tcMar>
            <w:vAlign w:val="center"/>
          </w:tcPr>
          <w:p w14:paraId="497425D7" w14:textId="77777777" w:rsidR="00BD776B" w:rsidRDefault="00BD776B">
            <w:pPr>
              <w:spacing w:before="181" w:line="200" w:lineRule="exact"/>
              <w:rPr>
                <w:rFonts w:ascii="標楷體" w:eastAsia="標楷體" w:hAnsi="標楷體"/>
                <w:color w:val="000000"/>
              </w:rPr>
            </w:pPr>
          </w:p>
        </w:tc>
        <w:tc>
          <w:tcPr>
            <w:tcW w:w="1786" w:type="dxa"/>
            <w:tcBorders>
              <w:top w:val="single" w:sz="6" w:space="0" w:color="000000"/>
              <w:bottom w:val="single" w:sz="6" w:space="0" w:color="000000"/>
              <w:right w:val="single" w:sz="6" w:space="0" w:color="000000"/>
            </w:tcBorders>
            <w:shd w:val="clear" w:color="auto" w:fill="auto"/>
            <w:tcMar>
              <w:top w:w="0" w:type="dxa"/>
              <w:left w:w="0" w:type="dxa"/>
              <w:bottom w:w="0" w:type="dxa"/>
              <w:right w:w="28" w:type="dxa"/>
            </w:tcMar>
            <w:vAlign w:val="center"/>
          </w:tcPr>
          <w:p w14:paraId="07DC7D67"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□是</w:t>
            </w:r>
          </w:p>
          <w:p w14:paraId="30C39928"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lastRenderedPageBreak/>
              <w:t xml:space="preserve"> □否</w:t>
            </w:r>
          </w:p>
        </w:tc>
        <w:tc>
          <w:tcPr>
            <w:tcW w:w="7316"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AD76AF9" w14:textId="77777777" w:rsidR="00BD776B" w:rsidRDefault="00DF0C24">
            <w:pPr>
              <w:spacing w:before="181" w:line="200" w:lineRule="exact"/>
              <w:rPr>
                <w:rFonts w:ascii="標楷體" w:eastAsia="標楷體" w:hAnsi="標楷體"/>
                <w:color w:val="000000"/>
              </w:rPr>
            </w:pPr>
            <w:r>
              <w:rPr>
                <w:rFonts w:ascii="標楷體" w:eastAsia="標楷體" w:hAnsi="標楷體"/>
                <w:color w:val="000000"/>
              </w:rPr>
              <w:lastRenderedPageBreak/>
              <w:t>病患是否罹患惡性腫瘤或為癌前狀態。</w:t>
            </w:r>
          </w:p>
        </w:tc>
        <w:tc>
          <w:tcPr>
            <w:tcW w:w="181" w:type="dxa"/>
            <w:shd w:val="clear" w:color="auto" w:fill="auto"/>
            <w:tcMar>
              <w:top w:w="0" w:type="dxa"/>
              <w:left w:w="0" w:type="dxa"/>
              <w:bottom w:w="0" w:type="dxa"/>
              <w:right w:w="0" w:type="dxa"/>
            </w:tcMar>
          </w:tcPr>
          <w:p w14:paraId="152FAB53" w14:textId="77777777" w:rsidR="00BD776B" w:rsidRDefault="00BD776B">
            <w:pPr>
              <w:spacing w:before="100"/>
              <w:rPr>
                <w:rFonts w:ascii="標楷體" w:eastAsia="標楷體" w:hAnsi="標楷體"/>
                <w:color w:val="000000"/>
              </w:rPr>
            </w:pPr>
          </w:p>
        </w:tc>
      </w:tr>
      <w:tr w:rsidR="00BD776B" w14:paraId="581A94D9" w14:textId="77777777">
        <w:trPr>
          <w:trHeight w:val="360"/>
        </w:trPr>
        <w:tc>
          <w:tcPr>
            <w:tcW w:w="1545" w:type="dxa"/>
            <w:shd w:val="clear" w:color="auto" w:fill="auto"/>
            <w:tcMar>
              <w:top w:w="0" w:type="dxa"/>
              <w:left w:w="0" w:type="dxa"/>
              <w:bottom w:w="0" w:type="dxa"/>
              <w:right w:w="0" w:type="dxa"/>
            </w:tcMar>
          </w:tcPr>
          <w:p w14:paraId="19978FF8" w14:textId="77777777" w:rsidR="00BD776B" w:rsidRDefault="00BD776B">
            <w:pPr>
              <w:spacing w:before="100"/>
              <w:rPr>
                <w:rFonts w:ascii="標楷體" w:eastAsia="標楷體" w:hAnsi="標楷體"/>
                <w:color w:val="000000"/>
              </w:rPr>
            </w:pPr>
          </w:p>
        </w:tc>
        <w:tc>
          <w:tcPr>
            <w:tcW w:w="1247" w:type="dxa"/>
            <w:tcBorders>
              <w:top w:val="single" w:sz="6" w:space="0" w:color="000000"/>
              <w:left w:val="double" w:sz="4" w:space="0" w:color="000000"/>
              <w:bottom w:val="single" w:sz="6" w:space="0" w:color="000000"/>
            </w:tcBorders>
            <w:shd w:val="clear" w:color="auto" w:fill="auto"/>
            <w:tcMar>
              <w:top w:w="0" w:type="dxa"/>
              <w:left w:w="28" w:type="dxa"/>
              <w:bottom w:w="0" w:type="dxa"/>
              <w:right w:w="0" w:type="dxa"/>
            </w:tcMar>
            <w:vAlign w:val="center"/>
          </w:tcPr>
          <w:p w14:paraId="667AE672" w14:textId="77777777" w:rsidR="00BD776B" w:rsidRDefault="00BD776B">
            <w:pPr>
              <w:spacing w:before="181" w:line="200" w:lineRule="exact"/>
              <w:rPr>
                <w:rFonts w:ascii="標楷體" w:eastAsia="標楷體" w:hAnsi="標楷體"/>
                <w:color w:val="000000"/>
              </w:rPr>
            </w:pPr>
          </w:p>
        </w:tc>
        <w:tc>
          <w:tcPr>
            <w:tcW w:w="1786" w:type="dxa"/>
            <w:tcBorders>
              <w:top w:val="single" w:sz="6" w:space="0" w:color="000000"/>
              <w:bottom w:val="single" w:sz="6" w:space="0" w:color="000000"/>
              <w:right w:val="single" w:sz="6" w:space="0" w:color="000000"/>
            </w:tcBorders>
            <w:shd w:val="clear" w:color="auto" w:fill="auto"/>
            <w:tcMar>
              <w:top w:w="0" w:type="dxa"/>
              <w:left w:w="0" w:type="dxa"/>
              <w:bottom w:w="0" w:type="dxa"/>
              <w:right w:w="28" w:type="dxa"/>
            </w:tcMar>
            <w:vAlign w:val="center"/>
          </w:tcPr>
          <w:p w14:paraId="13E79CF3"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□是</w:t>
            </w:r>
          </w:p>
          <w:p w14:paraId="377CE195"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 xml:space="preserve"> □否</w:t>
            </w:r>
          </w:p>
        </w:tc>
        <w:tc>
          <w:tcPr>
            <w:tcW w:w="7316"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CE6D9A9" w14:textId="77777777" w:rsidR="00BD776B" w:rsidRDefault="00DF0C24">
            <w:pPr>
              <w:spacing w:before="181" w:line="200" w:lineRule="exact"/>
              <w:rPr>
                <w:rFonts w:ascii="標楷體" w:eastAsia="標楷體" w:hAnsi="標楷體"/>
                <w:color w:val="000000"/>
              </w:rPr>
            </w:pPr>
            <w:r>
              <w:rPr>
                <w:rFonts w:ascii="標楷體" w:eastAsia="標楷體" w:hAnsi="標楷體"/>
                <w:color w:val="000000"/>
              </w:rPr>
              <w:t>病患是否罹患寄生蟲 (蠕蟲) 感染。</w:t>
            </w:r>
          </w:p>
        </w:tc>
        <w:tc>
          <w:tcPr>
            <w:tcW w:w="181" w:type="dxa"/>
            <w:shd w:val="clear" w:color="auto" w:fill="auto"/>
            <w:tcMar>
              <w:top w:w="0" w:type="dxa"/>
              <w:left w:w="0" w:type="dxa"/>
              <w:bottom w:w="0" w:type="dxa"/>
              <w:right w:w="0" w:type="dxa"/>
            </w:tcMar>
          </w:tcPr>
          <w:p w14:paraId="4F38FBA4" w14:textId="77777777" w:rsidR="00BD776B" w:rsidRDefault="00BD776B">
            <w:pPr>
              <w:spacing w:before="100"/>
              <w:rPr>
                <w:rFonts w:ascii="標楷體" w:eastAsia="標楷體" w:hAnsi="標楷體"/>
                <w:color w:val="000000"/>
              </w:rPr>
            </w:pPr>
          </w:p>
        </w:tc>
      </w:tr>
      <w:tr w:rsidR="00BD776B" w14:paraId="706816DB" w14:textId="77777777">
        <w:trPr>
          <w:trHeight w:val="622"/>
        </w:trPr>
        <w:tc>
          <w:tcPr>
            <w:tcW w:w="1545" w:type="dxa"/>
            <w:shd w:val="clear" w:color="auto" w:fill="auto"/>
            <w:tcMar>
              <w:top w:w="0" w:type="dxa"/>
              <w:left w:w="0" w:type="dxa"/>
              <w:bottom w:w="0" w:type="dxa"/>
              <w:right w:w="0" w:type="dxa"/>
            </w:tcMar>
          </w:tcPr>
          <w:p w14:paraId="0ECD339C" w14:textId="77777777" w:rsidR="00BD776B" w:rsidRDefault="00BD776B">
            <w:pPr>
              <w:spacing w:before="100"/>
              <w:rPr>
                <w:rFonts w:ascii="標楷體" w:eastAsia="標楷體" w:hAnsi="標楷體"/>
                <w:color w:val="000000"/>
              </w:rPr>
            </w:pPr>
          </w:p>
        </w:tc>
        <w:tc>
          <w:tcPr>
            <w:tcW w:w="10349" w:type="dxa"/>
            <w:gridSpan w:val="4"/>
            <w:tcBorders>
              <w:top w:val="double" w:sz="4" w:space="0" w:color="000000"/>
              <w:left w:val="doub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714194ED" w14:textId="77777777" w:rsidR="00BD776B" w:rsidRDefault="00DF0C24">
            <w:pPr>
              <w:spacing w:before="181" w:line="200" w:lineRule="exact"/>
              <w:rPr>
                <w:rFonts w:ascii="標楷體" w:eastAsia="標楷體" w:hAnsi="標楷體"/>
                <w:b/>
                <w:color w:val="000000"/>
              </w:rPr>
            </w:pPr>
            <w:r>
              <w:rPr>
                <w:rFonts w:ascii="標楷體" w:eastAsia="標楷體" w:hAnsi="標楷體"/>
                <w:b/>
                <w:color w:val="000000"/>
              </w:rPr>
              <w:t>□符合「需暫緩續用之情形」</w:t>
            </w:r>
          </w:p>
        </w:tc>
        <w:tc>
          <w:tcPr>
            <w:tcW w:w="181" w:type="dxa"/>
            <w:shd w:val="clear" w:color="auto" w:fill="auto"/>
            <w:tcMar>
              <w:top w:w="0" w:type="dxa"/>
              <w:left w:w="0" w:type="dxa"/>
              <w:bottom w:w="0" w:type="dxa"/>
              <w:right w:w="0" w:type="dxa"/>
            </w:tcMar>
          </w:tcPr>
          <w:p w14:paraId="7BFB3D35" w14:textId="77777777" w:rsidR="00BD776B" w:rsidRDefault="00BD776B">
            <w:pPr>
              <w:spacing w:before="100"/>
              <w:rPr>
                <w:rFonts w:ascii="標楷體" w:eastAsia="標楷體" w:hAnsi="標楷體"/>
                <w:color w:val="000000"/>
              </w:rPr>
            </w:pPr>
          </w:p>
        </w:tc>
      </w:tr>
      <w:tr w:rsidR="00BD776B" w14:paraId="79CF30E1" w14:textId="77777777">
        <w:trPr>
          <w:trHeight w:val="795"/>
        </w:trPr>
        <w:tc>
          <w:tcPr>
            <w:tcW w:w="1545" w:type="dxa"/>
            <w:shd w:val="clear" w:color="auto" w:fill="auto"/>
            <w:tcMar>
              <w:top w:w="0" w:type="dxa"/>
              <w:left w:w="0" w:type="dxa"/>
              <w:bottom w:w="0" w:type="dxa"/>
              <w:right w:w="0" w:type="dxa"/>
            </w:tcMar>
          </w:tcPr>
          <w:p w14:paraId="6441D275" w14:textId="77777777" w:rsidR="00BD776B" w:rsidRDefault="00BD776B">
            <w:pPr>
              <w:spacing w:before="100"/>
              <w:rPr>
                <w:rFonts w:ascii="標楷體" w:eastAsia="標楷體" w:hAnsi="標楷體"/>
                <w:color w:val="000000"/>
              </w:rPr>
            </w:pPr>
          </w:p>
        </w:tc>
        <w:tc>
          <w:tcPr>
            <w:tcW w:w="1247" w:type="dxa"/>
            <w:tcBorders>
              <w:top w:val="single" w:sz="6" w:space="0" w:color="000000"/>
              <w:left w:val="double" w:sz="4" w:space="0" w:color="000000"/>
              <w:bottom w:val="double" w:sz="4" w:space="0" w:color="000000"/>
            </w:tcBorders>
            <w:shd w:val="clear" w:color="auto" w:fill="auto"/>
            <w:tcMar>
              <w:top w:w="0" w:type="dxa"/>
              <w:left w:w="28" w:type="dxa"/>
              <w:bottom w:w="0" w:type="dxa"/>
              <w:right w:w="0" w:type="dxa"/>
            </w:tcMar>
            <w:vAlign w:val="center"/>
          </w:tcPr>
          <w:p w14:paraId="4C33B8EE" w14:textId="77777777" w:rsidR="00BD776B" w:rsidRDefault="00BD776B">
            <w:pPr>
              <w:spacing w:before="181" w:line="200" w:lineRule="exact"/>
              <w:rPr>
                <w:rFonts w:ascii="標楷體" w:eastAsia="標楷體" w:hAnsi="標楷體"/>
                <w:color w:val="000000"/>
              </w:rPr>
            </w:pPr>
          </w:p>
        </w:tc>
        <w:tc>
          <w:tcPr>
            <w:tcW w:w="1786" w:type="dxa"/>
            <w:tcBorders>
              <w:top w:val="single" w:sz="6" w:space="0" w:color="000000"/>
              <w:bottom w:val="double" w:sz="4" w:space="0" w:color="000000"/>
              <w:right w:val="single" w:sz="6" w:space="0" w:color="000000"/>
            </w:tcBorders>
            <w:shd w:val="clear" w:color="auto" w:fill="auto"/>
            <w:tcMar>
              <w:top w:w="0" w:type="dxa"/>
              <w:left w:w="0" w:type="dxa"/>
              <w:bottom w:w="0" w:type="dxa"/>
              <w:right w:w="28" w:type="dxa"/>
            </w:tcMar>
            <w:vAlign w:val="center"/>
          </w:tcPr>
          <w:p w14:paraId="774A67E9"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□是</w:t>
            </w:r>
          </w:p>
          <w:p w14:paraId="7C815398" w14:textId="77777777" w:rsidR="00BD776B" w:rsidRDefault="00DF0C24">
            <w:pPr>
              <w:spacing w:before="120" w:line="200" w:lineRule="exact"/>
              <w:rPr>
                <w:rFonts w:ascii="標楷體" w:eastAsia="標楷體" w:hAnsi="標楷體"/>
                <w:color w:val="000000"/>
              </w:rPr>
            </w:pPr>
            <w:r>
              <w:rPr>
                <w:rFonts w:ascii="標楷體" w:eastAsia="標楷體" w:hAnsi="標楷體"/>
                <w:color w:val="000000"/>
              </w:rPr>
              <w:t>□否</w:t>
            </w:r>
          </w:p>
        </w:tc>
        <w:tc>
          <w:tcPr>
            <w:tcW w:w="7316" w:type="dxa"/>
            <w:gridSpan w:val="2"/>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0870FB76" w14:textId="77777777" w:rsidR="00BD776B" w:rsidRDefault="00DF0C24">
            <w:pPr>
              <w:spacing w:before="181" w:line="320" w:lineRule="exact"/>
            </w:pPr>
            <w:r>
              <w:rPr>
                <w:rFonts w:ascii="標楷體" w:eastAsia="標楷體" w:hAnsi="標楷體"/>
                <w:color w:val="000000"/>
              </w:rPr>
              <w:t>1.</w:t>
            </w:r>
            <w:r>
              <w:rPr>
                <w:rFonts w:ascii="標楷體" w:eastAsia="標楷體" w:hAnsi="標楷體" w:cs="新細明體"/>
                <w:color w:val="000000"/>
              </w:rPr>
              <w:t>使用生物製劑治療滿1年後，符合EASI&lt;16</w:t>
            </w:r>
          </w:p>
          <w:p w14:paraId="716BA07A" w14:textId="77777777" w:rsidR="00BD776B" w:rsidRDefault="00DF0C24">
            <w:pPr>
              <w:spacing w:before="181" w:line="300" w:lineRule="exact"/>
            </w:pPr>
            <w:r>
              <w:rPr>
                <w:rFonts w:ascii="標楷體" w:eastAsia="標楷體" w:hAnsi="標楷體"/>
                <w:color w:val="000000"/>
              </w:rPr>
              <w:t>2.</w:t>
            </w:r>
            <w:r>
              <w:rPr>
                <w:rFonts w:ascii="標楷體" w:eastAsia="標楷體" w:hAnsi="標楷體" w:cs="新細明體"/>
                <w:color w:val="000000"/>
              </w:rPr>
              <w:t>使用生物製劑治療和初次治療前相比EASI改善未達50%</w:t>
            </w:r>
          </w:p>
        </w:tc>
        <w:tc>
          <w:tcPr>
            <w:tcW w:w="181" w:type="dxa"/>
            <w:shd w:val="clear" w:color="auto" w:fill="auto"/>
            <w:tcMar>
              <w:top w:w="0" w:type="dxa"/>
              <w:left w:w="0" w:type="dxa"/>
              <w:bottom w:w="0" w:type="dxa"/>
              <w:right w:w="0" w:type="dxa"/>
            </w:tcMar>
          </w:tcPr>
          <w:p w14:paraId="48F85484" w14:textId="77777777" w:rsidR="00BD776B" w:rsidRDefault="00BD776B">
            <w:pPr>
              <w:spacing w:before="100"/>
              <w:rPr>
                <w:rFonts w:ascii="標楷體" w:eastAsia="標楷體" w:hAnsi="標楷體"/>
                <w:color w:val="000000"/>
              </w:rPr>
            </w:pPr>
          </w:p>
        </w:tc>
      </w:tr>
      <w:tr w:rsidR="00BD776B" w14:paraId="7B7A6EAA" w14:textId="77777777">
        <w:trPr>
          <w:trHeight w:val="1005"/>
        </w:trPr>
        <w:tc>
          <w:tcPr>
            <w:tcW w:w="1545" w:type="dxa"/>
            <w:shd w:val="clear" w:color="auto" w:fill="auto"/>
            <w:tcMar>
              <w:top w:w="0" w:type="dxa"/>
              <w:left w:w="0" w:type="dxa"/>
              <w:bottom w:w="0" w:type="dxa"/>
              <w:right w:w="0" w:type="dxa"/>
            </w:tcMar>
          </w:tcPr>
          <w:p w14:paraId="1C931B48" w14:textId="77777777" w:rsidR="00BD776B" w:rsidRDefault="00BD776B">
            <w:pPr>
              <w:spacing w:before="100" w:line="276" w:lineRule="auto"/>
              <w:rPr>
                <w:rFonts w:ascii="標楷體" w:eastAsia="標楷體" w:hAnsi="標楷體"/>
                <w:color w:val="000000"/>
              </w:rPr>
            </w:pPr>
          </w:p>
        </w:tc>
        <w:tc>
          <w:tcPr>
            <w:tcW w:w="6597" w:type="dxa"/>
            <w:gridSpan w:val="3"/>
            <w:shd w:val="clear" w:color="auto" w:fill="auto"/>
            <w:tcMar>
              <w:top w:w="0" w:type="dxa"/>
              <w:left w:w="0" w:type="dxa"/>
              <w:bottom w:w="0" w:type="dxa"/>
              <w:right w:w="0" w:type="dxa"/>
            </w:tcMar>
          </w:tcPr>
          <w:p w14:paraId="528A503A" w14:textId="77777777" w:rsidR="00BD776B" w:rsidRDefault="00DF0C24">
            <w:pPr>
              <w:spacing w:before="100" w:line="276" w:lineRule="auto"/>
            </w:pPr>
            <w:r>
              <w:rPr>
                <w:rFonts w:ascii="標楷體" w:eastAsia="標楷體" w:hAnsi="標楷體"/>
                <w:color w:val="000000"/>
              </w:rPr>
              <w:t xml:space="preserve">申請醫師（簽名蓋章）：　　　　　　　 </w:t>
            </w:r>
          </w:p>
          <w:p w14:paraId="1F34AE51" w14:textId="77777777" w:rsidR="00BD776B" w:rsidRDefault="00DF0C24">
            <w:pPr>
              <w:spacing w:before="100" w:line="276" w:lineRule="auto"/>
            </w:pPr>
            <w:r>
              <w:rPr>
                <w:rFonts w:ascii="標楷體" w:eastAsia="標楷體" w:hAnsi="標楷體"/>
                <w:color w:val="000000"/>
              </w:rPr>
              <w:t>專科醫師證書：  專字第　　　　 　 號</w:t>
            </w:r>
          </w:p>
        </w:tc>
        <w:tc>
          <w:tcPr>
            <w:tcW w:w="3752" w:type="dxa"/>
            <w:shd w:val="clear" w:color="auto" w:fill="auto"/>
            <w:tcMar>
              <w:top w:w="0" w:type="dxa"/>
              <w:left w:w="0" w:type="dxa"/>
              <w:bottom w:w="0" w:type="dxa"/>
              <w:right w:w="0" w:type="dxa"/>
            </w:tcMar>
          </w:tcPr>
          <w:p w14:paraId="43102CD2" w14:textId="77777777" w:rsidR="00BD776B" w:rsidRDefault="00DF0C24">
            <w:pPr>
              <w:spacing w:before="100" w:line="276" w:lineRule="auto"/>
            </w:pPr>
            <w:r>
              <w:rPr>
                <w:rFonts w:ascii="標楷體" w:eastAsia="標楷體" w:hAnsi="標楷體"/>
                <w:color w:val="000000"/>
              </w:rPr>
              <w:t>醫事機構章戳：</w:t>
            </w:r>
          </w:p>
        </w:tc>
        <w:tc>
          <w:tcPr>
            <w:tcW w:w="181" w:type="dxa"/>
            <w:shd w:val="clear" w:color="auto" w:fill="auto"/>
            <w:tcMar>
              <w:top w:w="0" w:type="dxa"/>
              <w:left w:w="0" w:type="dxa"/>
              <w:bottom w:w="0" w:type="dxa"/>
              <w:right w:w="0" w:type="dxa"/>
            </w:tcMar>
          </w:tcPr>
          <w:p w14:paraId="5E94547F" w14:textId="77777777" w:rsidR="00BD776B" w:rsidRDefault="00BD776B">
            <w:pPr>
              <w:spacing w:before="100" w:line="276" w:lineRule="auto"/>
              <w:rPr>
                <w:rFonts w:ascii="標楷體" w:eastAsia="標楷體" w:hAnsi="標楷體"/>
                <w:color w:val="000000"/>
              </w:rPr>
            </w:pPr>
          </w:p>
        </w:tc>
      </w:tr>
    </w:tbl>
    <w:p w14:paraId="22F46A7E" w14:textId="77777777" w:rsidR="00BD776B" w:rsidRDefault="00BD776B">
      <w:pPr>
        <w:widowControl/>
        <w:rPr>
          <w:rFonts w:ascii="標楷體" w:eastAsia="標楷體" w:hAnsi="標楷體"/>
          <w:color w:val="000000"/>
        </w:rPr>
      </w:pPr>
    </w:p>
    <w:p w14:paraId="15A62BA2" w14:textId="77777777" w:rsidR="00BD776B" w:rsidRDefault="00BD776B">
      <w:pPr>
        <w:ind w:left="670" w:hanging="708"/>
      </w:pPr>
    </w:p>
    <w:p w14:paraId="22E4A0BF" w14:textId="77777777" w:rsidR="00BD776B" w:rsidRDefault="00BD776B">
      <w:pPr>
        <w:pageBreakBefore/>
        <w:widowControl/>
        <w:suppressAutoHyphens w:val="0"/>
        <w:sectPr w:rsidR="00BD776B" w:rsidSect="007E1772">
          <w:footerReference w:type="default" r:id="rId45"/>
          <w:pgSz w:w="11906" w:h="16838"/>
          <w:pgMar w:top="1077" w:right="1077" w:bottom="1077" w:left="1077" w:header="720" w:footer="720" w:gutter="0"/>
          <w:cols w:space="720"/>
          <w:docGrid w:type="lines" w:linePitch="416"/>
        </w:sectPr>
      </w:pPr>
    </w:p>
    <w:p w14:paraId="37F79063" w14:textId="77777777" w:rsidR="00BD776B" w:rsidRDefault="00DF0C24">
      <w:pPr>
        <w:ind w:left="670" w:hanging="708"/>
      </w:pPr>
      <w:r>
        <w:rPr>
          <w:rFonts w:ascii="標楷體" w:eastAsia="標楷體" w:hAnsi="標楷體"/>
          <w:noProof/>
          <w:sz w:val="28"/>
          <w:szCs w:val="28"/>
          <w:lang w:val="zh-TW"/>
        </w:rPr>
        <w:lastRenderedPageBreak/>
        <mc:AlternateContent>
          <mc:Choice Requires="wps">
            <w:drawing>
              <wp:anchor distT="0" distB="0" distL="114300" distR="114300" simplePos="0" relativeHeight="251664384" behindDoc="0" locked="0" layoutInCell="1" allowOverlap="1" wp14:anchorId="43B753FB" wp14:editId="6B1D8A3D">
                <wp:simplePos x="0" y="0"/>
                <wp:positionH relativeFrom="column">
                  <wp:posOffset>7240905</wp:posOffset>
                </wp:positionH>
                <wp:positionV relativeFrom="paragraph">
                  <wp:posOffset>-396877</wp:posOffset>
                </wp:positionV>
                <wp:extent cx="1219196" cy="292736"/>
                <wp:effectExtent l="0" t="0" r="19054" b="12064"/>
                <wp:wrapNone/>
                <wp:docPr id="32" name="文字方塊 22"/>
                <wp:cNvGraphicFramePr/>
                <a:graphic xmlns:a="http://schemas.openxmlformats.org/drawingml/2006/main">
                  <a:graphicData uri="http://schemas.microsoft.com/office/word/2010/wordprocessingShape">
                    <wps:wsp>
                      <wps:cNvSpPr txBox="1"/>
                      <wps:spPr>
                        <a:xfrm>
                          <a:off x="0" y="0"/>
                          <a:ext cx="1219196" cy="292736"/>
                        </a:xfrm>
                        <a:prstGeom prst="rect">
                          <a:avLst/>
                        </a:prstGeom>
                        <a:solidFill>
                          <a:srgbClr val="FFFFFF"/>
                        </a:solidFill>
                        <a:ln w="6345">
                          <a:solidFill>
                            <a:srgbClr val="000000"/>
                          </a:solidFill>
                          <a:prstDash val="solid"/>
                        </a:ln>
                      </wps:spPr>
                      <wps:txbx>
                        <w:txbxContent>
                          <w:p w14:paraId="65C0EB2D" w14:textId="77777777" w:rsidR="00576CD7" w:rsidRDefault="00576CD7">
                            <w:pPr>
                              <w:rPr>
                                <w:rFonts w:ascii="標楷體" w:eastAsia="標楷體" w:hAnsi="標楷體"/>
                              </w:rPr>
                            </w:pPr>
                            <w:r>
                              <w:rPr>
                                <w:rFonts w:ascii="標楷體" w:eastAsia="標楷體" w:hAnsi="標楷體"/>
                              </w:rPr>
                              <w:t>(111.6.1更新)</w:t>
                            </w:r>
                          </w:p>
                        </w:txbxContent>
                      </wps:txbx>
                      <wps:bodyPr vert="horz" wrap="square" lIns="91440" tIns="45720" rIns="91440" bIns="45720" anchor="t" anchorCtr="0" compatLnSpc="1">
                        <a:noAutofit/>
                      </wps:bodyPr>
                    </wps:wsp>
                  </a:graphicData>
                </a:graphic>
              </wp:anchor>
            </w:drawing>
          </mc:Choice>
          <mc:Fallback>
            <w:pict>
              <v:shape w14:anchorId="43B753FB" id="文字方塊 22" o:spid="_x0000_s1044" type="#_x0000_t202" style="position:absolute;left:0;text-align:left;margin-left:570.15pt;margin-top:-31.25pt;width:96pt;height:2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" strokeweight=".17625mm">
                <v:textbox>
                  <w:txbxContent>
                    <w:p w14:paraId="65C0EB2D" w14:textId="77777777" w:rsidR="00576CD7" w:rsidRDefault="00576CD7">
                      <w:pPr>
                        <w:rPr>
                          <w:rFonts w:ascii="標楷體" w:eastAsia="標楷體" w:hAnsi="標楷體"/>
                        </w:rPr>
                      </w:pPr>
                      <w:r>
                        <w:rPr>
                          <w:rFonts w:ascii="標楷體" w:eastAsia="標楷體" w:hAnsi="標楷體"/>
                        </w:rPr>
                        <w:t>(111.6.1更新)</w:t>
                      </w:r>
                    </w:p>
                  </w:txbxContent>
                </v:textbox>
              </v:shape>
            </w:pict>
          </mc:Fallback>
        </mc:AlternateContent>
      </w:r>
      <w:r>
        <w:rPr>
          <w:rStyle w:val="15"/>
          <w:rFonts w:ascii="標楷體" w:eastAsia="標楷體" w:hAnsi="標楷體"/>
          <w:sz w:val="28"/>
          <w:szCs w:val="28"/>
        </w:rPr>
        <w:t>附表三十三 全民健康保險遺傳性血管性水腫患者使用Icatibant</w:t>
      </w:r>
      <w:r>
        <w:rPr>
          <w:rStyle w:val="15"/>
          <w:rFonts w:ascii="標楷體" w:eastAsia="標楷體" w:hAnsi="標楷體"/>
          <w:sz w:val="28"/>
          <w:szCs w:val="28"/>
          <w:u w:val="single"/>
        </w:rPr>
        <w:t>/</w:t>
      </w:r>
      <w:r>
        <w:rPr>
          <w:rFonts w:ascii="標楷體" w:eastAsia="標楷體" w:hAnsi="標楷體"/>
          <w:sz w:val="28"/>
          <w:szCs w:val="28"/>
          <w:u w:val="single"/>
        </w:rPr>
        <w:t>Human C1 esterase inhibitor</w:t>
      </w:r>
      <w:r>
        <w:rPr>
          <w:rStyle w:val="15"/>
          <w:rFonts w:ascii="標楷體" w:eastAsia="標楷體" w:hAnsi="標楷體"/>
          <w:sz w:val="28"/>
          <w:szCs w:val="28"/>
        </w:rPr>
        <w:t>治療紀錄表</w:t>
      </w:r>
    </w:p>
    <w:p w14:paraId="2F6AE701" w14:textId="77777777" w:rsidR="00BD776B" w:rsidRDefault="00BD776B">
      <w:pPr>
        <w:jc w:val="center"/>
        <w:rPr>
          <w:sz w:val="36"/>
          <w:szCs w:val="36"/>
        </w:rPr>
      </w:pPr>
    </w:p>
    <w:p w14:paraId="332CDE51" w14:textId="77777777" w:rsidR="00BD776B" w:rsidRDefault="00DF0C24">
      <w:pPr>
        <w:pStyle w:val="14"/>
        <w:spacing w:line="400" w:lineRule="exact"/>
      </w:pPr>
      <w:r>
        <w:rPr>
          <w:rStyle w:val="15"/>
        </w:rPr>
        <w:t>姓名：</w:t>
      </w:r>
      <w:r>
        <w:rPr>
          <w:rStyle w:val="15"/>
          <w:u w:val="single"/>
        </w:rPr>
        <w:t xml:space="preserve">　　　　　　　</w:t>
      </w:r>
      <w:r>
        <w:rPr>
          <w:rStyle w:val="15"/>
        </w:rPr>
        <w:t xml:space="preserve">　　　體重：</w:t>
      </w:r>
      <w:r>
        <w:rPr>
          <w:rStyle w:val="15"/>
          <w:u w:val="single"/>
        </w:rPr>
        <w:t xml:space="preserve">　　　　　</w:t>
      </w:r>
      <w:r>
        <w:rPr>
          <w:rStyle w:val="15"/>
        </w:rPr>
        <w:t>公斤</w:t>
      </w:r>
    </w:p>
    <w:p w14:paraId="5B5991CE" w14:textId="77777777" w:rsidR="00BD776B" w:rsidRDefault="00DF0C24">
      <w:pPr>
        <w:pStyle w:val="14"/>
        <w:spacing w:line="520" w:lineRule="exact"/>
      </w:pPr>
      <w:r>
        <w:rPr>
          <w:rStyle w:val="15"/>
        </w:rPr>
        <w:t>領藥日</w:t>
      </w:r>
      <w:r>
        <w:rPr>
          <w:rStyle w:val="15"/>
        </w:rPr>
        <w:t>(</w:t>
      </w:r>
      <w:r>
        <w:rPr>
          <w:rStyle w:val="15"/>
        </w:rPr>
        <w:t>年</w:t>
      </w:r>
      <w:r>
        <w:rPr>
          <w:rStyle w:val="15"/>
        </w:rPr>
        <w:t>/</w:t>
      </w:r>
      <w:r>
        <w:rPr>
          <w:rStyle w:val="15"/>
        </w:rPr>
        <w:t>月</w:t>
      </w:r>
      <w:r>
        <w:rPr>
          <w:rStyle w:val="15"/>
        </w:rPr>
        <w:t>/</w:t>
      </w:r>
      <w:r>
        <w:rPr>
          <w:rStyle w:val="15"/>
        </w:rPr>
        <w:t>日）：</w:t>
      </w:r>
      <w:r>
        <w:rPr>
          <w:rStyle w:val="15"/>
          <w:u w:val="single"/>
        </w:rPr>
        <w:t xml:space="preserve">　　／　　／　　</w:t>
      </w:r>
      <w:r>
        <w:rPr>
          <w:rStyle w:val="15"/>
        </w:rPr>
        <w:t xml:space="preserve">      </w:t>
      </w:r>
      <w:r>
        <w:rPr>
          <w:rStyle w:val="15"/>
        </w:rPr>
        <w:t>領藥量</w:t>
      </w:r>
      <w:r>
        <w:rPr>
          <w:rStyle w:val="15"/>
        </w:rPr>
        <w:t>(</w:t>
      </w:r>
      <w:r>
        <w:rPr>
          <w:rStyle w:val="15"/>
        </w:rPr>
        <w:t>針</w:t>
      </w:r>
      <w:r>
        <w:rPr>
          <w:rStyle w:val="15"/>
          <w:u w:val="single"/>
        </w:rPr>
        <w:t>/</w:t>
      </w:r>
      <w:r>
        <w:rPr>
          <w:rStyle w:val="15"/>
          <w:u w:val="single"/>
        </w:rPr>
        <w:t>瓶</w:t>
      </w:r>
      <w:r>
        <w:rPr>
          <w:rStyle w:val="15"/>
        </w:rPr>
        <w:t>)</w:t>
      </w:r>
      <w:r>
        <w:rPr>
          <w:rStyle w:val="15"/>
        </w:rPr>
        <w:t>：</w:t>
      </w:r>
      <w:r>
        <w:rPr>
          <w:rStyle w:val="15"/>
          <w:u w:val="single"/>
        </w:rPr>
        <w:t xml:space="preserve">               </w:t>
      </w:r>
      <w:r>
        <w:rPr>
          <w:rStyle w:val="15"/>
        </w:rPr>
        <w:t>藥品名稱及批號：</w:t>
      </w:r>
      <w:r>
        <w:rPr>
          <w:rStyle w:val="15"/>
          <w:u w:val="single"/>
        </w:rPr>
        <w:t xml:space="preserve">　　</w:t>
      </w:r>
      <w:r>
        <w:rPr>
          <w:rStyle w:val="15"/>
          <w:u w:val="single"/>
        </w:rPr>
        <w:t xml:space="preserve">              </w:t>
      </w:r>
    </w:p>
    <w:p w14:paraId="163B7783" w14:textId="77777777" w:rsidR="00BD776B" w:rsidRDefault="00DF0C24">
      <w:pPr>
        <w:pStyle w:val="14"/>
        <w:spacing w:line="520" w:lineRule="exact"/>
      </w:pPr>
      <w:r>
        <w:rPr>
          <w:rStyle w:val="15"/>
        </w:rPr>
        <w:t>繳回空針</w:t>
      </w:r>
      <w:r>
        <w:rPr>
          <w:rStyle w:val="15"/>
          <w:u w:val="single"/>
        </w:rPr>
        <w:t>/</w:t>
      </w:r>
      <w:r>
        <w:rPr>
          <w:rStyle w:val="15"/>
          <w:u w:val="single"/>
        </w:rPr>
        <w:t>空瓶</w:t>
      </w:r>
      <w:r>
        <w:rPr>
          <w:rStyle w:val="15"/>
        </w:rPr>
        <w:t>數量及批號：</w:t>
      </w:r>
      <w:r>
        <w:rPr>
          <w:rStyle w:val="15"/>
          <w:u w:val="single"/>
        </w:rPr>
        <w:t xml:space="preserve">                   </w:t>
      </w:r>
      <w:r>
        <w:rPr>
          <w:rStyle w:val="15"/>
        </w:rPr>
        <w:t xml:space="preserve"> </w:t>
      </w:r>
      <w:r>
        <w:rPr>
          <w:rStyle w:val="15"/>
        </w:rPr>
        <w:t>確認人員簽名</w:t>
      </w:r>
      <w:r>
        <w:rPr>
          <w:rStyle w:val="15"/>
        </w:rPr>
        <w:t>(</w:t>
      </w:r>
      <w:r>
        <w:rPr>
          <w:rStyle w:val="15"/>
        </w:rPr>
        <w:t>章</w:t>
      </w:r>
      <w:r>
        <w:rPr>
          <w:rStyle w:val="15"/>
        </w:rPr>
        <w:t>)</w:t>
      </w:r>
      <w:r>
        <w:rPr>
          <w:rStyle w:val="15"/>
        </w:rPr>
        <w:t>：</w:t>
      </w:r>
      <w:r>
        <w:rPr>
          <w:rStyle w:val="15"/>
          <w:u w:val="single"/>
        </w:rPr>
        <w:t xml:space="preserve">                  </w:t>
      </w:r>
    </w:p>
    <w:tbl>
      <w:tblPr>
        <w:tblW w:w="14852" w:type="dxa"/>
        <w:tblInd w:w="-162" w:type="dxa"/>
        <w:tblLayout w:type="fixed"/>
        <w:tblCellMar>
          <w:left w:w="10" w:type="dxa"/>
          <w:right w:w="10" w:type="dxa"/>
        </w:tblCellMar>
        <w:tblLook w:val="0000" w:firstRow="0" w:lastRow="0" w:firstColumn="0" w:lastColumn="0" w:noHBand="0" w:noVBand="0"/>
      </w:tblPr>
      <w:tblGrid>
        <w:gridCol w:w="1811"/>
        <w:gridCol w:w="1063"/>
        <w:gridCol w:w="1063"/>
        <w:gridCol w:w="2126"/>
        <w:gridCol w:w="1417"/>
        <w:gridCol w:w="1418"/>
        <w:gridCol w:w="3828"/>
        <w:gridCol w:w="2126"/>
      </w:tblGrid>
      <w:tr w:rsidR="00BD776B" w14:paraId="74D92755" w14:textId="77777777">
        <w:trPr>
          <w:cantSplit/>
          <w:trHeight w:val="743"/>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6490BE" w14:textId="77777777" w:rsidR="00BD776B" w:rsidRDefault="00DF0C24">
            <w:pPr>
              <w:pStyle w:val="14"/>
              <w:ind w:left="113" w:right="113"/>
              <w:jc w:val="center"/>
              <w:rPr>
                <w:rFonts w:ascii="標楷體" w:hAnsi="標楷體"/>
              </w:rPr>
            </w:pPr>
            <w:r>
              <w:rPr>
                <w:rFonts w:ascii="標楷體" w:hAnsi="標楷體"/>
              </w:rPr>
              <w:t>注射日</w:t>
            </w: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18CAE" w14:textId="77777777" w:rsidR="00BD776B" w:rsidRDefault="00DF0C24">
            <w:pPr>
              <w:pStyle w:val="14"/>
              <w:jc w:val="center"/>
              <w:rPr>
                <w:rFonts w:ascii="標楷體" w:hAnsi="標楷體"/>
              </w:rPr>
            </w:pPr>
            <w:r>
              <w:rPr>
                <w:rFonts w:ascii="標楷體" w:hAnsi="標楷體"/>
              </w:rPr>
              <w:t>注射時間</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4EF03E" w14:textId="77777777" w:rsidR="00BD776B" w:rsidRDefault="00DF0C24">
            <w:pPr>
              <w:pStyle w:val="14"/>
              <w:jc w:val="center"/>
              <w:rPr>
                <w:rFonts w:ascii="標楷體" w:hAnsi="標楷體"/>
              </w:rPr>
            </w:pPr>
            <w:r>
              <w:rPr>
                <w:rFonts w:ascii="標楷體" w:hAnsi="標楷體"/>
              </w:rPr>
              <w:t>注射後效果</w:t>
            </w:r>
          </w:p>
        </w:tc>
        <w:tc>
          <w:tcPr>
            <w:tcW w:w="38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633CC3" w14:textId="77777777" w:rsidR="00BD776B" w:rsidRDefault="00DF0C24">
            <w:pPr>
              <w:pStyle w:val="14"/>
              <w:rPr>
                <w:rFonts w:ascii="標楷體" w:hAnsi="標楷體"/>
              </w:rPr>
            </w:pPr>
            <w:r>
              <w:rPr>
                <w:rFonts w:ascii="標楷體" w:hAnsi="標楷體"/>
              </w:rPr>
              <w:t xml:space="preserve">    </w:t>
            </w:r>
            <w:r>
              <w:rPr>
                <w:rFonts w:ascii="標楷體" w:hAnsi="標楷體"/>
              </w:rPr>
              <w:t>注射後發生之不適症狀</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1ECE31" w14:textId="77777777" w:rsidR="00BD776B" w:rsidRDefault="00DF0C24">
            <w:pPr>
              <w:pStyle w:val="14"/>
              <w:rPr>
                <w:rFonts w:ascii="標楷體" w:hAnsi="標楷體"/>
              </w:rPr>
            </w:pPr>
            <w:r>
              <w:rPr>
                <w:rFonts w:ascii="標楷體" w:hAnsi="標楷體"/>
              </w:rPr>
              <w:t>注射者簽名</w:t>
            </w:r>
            <w:r>
              <w:rPr>
                <w:rFonts w:ascii="標楷體" w:hAnsi="標楷體"/>
              </w:rPr>
              <w:t>(</w:t>
            </w:r>
            <w:r>
              <w:rPr>
                <w:rFonts w:ascii="標楷體" w:hAnsi="標楷體"/>
              </w:rPr>
              <w:t>章</w:t>
            </w:r>
            <w:r>
              <w:rPr>
                <w:rFonts w:ascii="標楷體" w:hAnsi="標楷體"/>
              </w:rPr>
              <w:t>)</w:t>
            </w:r>
          </w:p>
        </w:tc>
      </w:tr>
      <w:tr w:rsidR="00BD776B" w14:paraId="5B9EF655" w14:textId="77777777">
        <w:trPr>
          <w:cantSplit/>
          <w:trHeight w:val="853"/>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C6D9B2" w14:textId="77777777" w:rsidR="00BD776B" w:rsidRDefault="00DF0C24">
            <w:pPr>
              <w:pStyle w:val="14"/>
              <w:rPr>
                <w:rFonts w:ascii="標楷體" w:hAnsi="標楷體"/>
              </w:rPr>
            </w:pPr>
            <w:r>
              <w:rPr>
                <w:rFonts w:ascii="標楷體" w:hAnsi="標楷體"/>
              </w:rPr>
              <w:t>(</w:t>
            </w:r>
            <w:r>
              <w:rPr>
                <w:rFonts w:ascii="標楷體" w:hAnsi="標楷體"/>
              </w:rPr>
              <w:t>月</w:t>
            </w:r>
            <w:r>
              <w:rPr>
                <w:rFonts w:ascii="標楷體" w:hAnsi="標楷體"/>
              </w:rPr>
              <w:t>/</w:t>
            </w:r>
            <w:r>
              <w:rPr>
                <w:rFonts w:ascii="標楷體" w:hAnsi="標楷體"/>
              </w:rPr>
              <w:t>日</w:t>
            </w:r>
            <w:r>
              <w:rPr>
                <w:rFonts w:ascii="標楷體" w:hAnsi="標楷體"/>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9A5834" w14:textId="77777777" w:rsidR="00BD776B" w:rsidRDefault="00DF0C24">
            <w:pPr>
              <w:pStyle w:val="14"/>
              <w:ind w:left="113" w:right="113"/>
              <w:jc w:val="center"/>
              <w:rPr>
                <w:rFonts w:ascii="標楷體" w:hAnsi="標楷體"/>
              </w:rPr>
            </w:pPr>
            <w:r>
              <w:rPr>
                <w:rFonts w:ascii="標楷體" w:hAnsi="標楷體"/>
              </w:rPr>
              <w:t>上午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6BB39" w14:textId="77777777" w:rsidR="00BD776B" w:rsidRDefault="00DF0C24">
            <w:pPr>
              <w:pStyle w:val="14"/>
              <w:ind w:left="113" w:right="113"/>
              <w:jc w:val="center"/>
              <w:rPr>
                <w:rFonts w:ascii="標楷體" w:hAnsi="標楷體"/>
              </w:rPr>
            </w:pPr>
            <w:r>
              <w:rPr>
                <w:rFonts w:ascii="標楷體" w:hAnsi="標楷體"/>
              </w:rPr>
              <w:t>下午</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B96F1E" w14:textId="77777777" w:rsidR="00BD776B" w:rsidRDefault="00DF0C24">
            <w:pPr>
              <w:pStyle w:val="14"/>
              <w:rPr>
                <w:rFonts w:ascii="標楷體" w:hAnsi="標楷體"/>
              </w:rPr>
            </w:pPr>
            <w:r>
              <w:rPr>
                <w:rFonts w:ascii="標楷體" w:hAnsi="標楷體"/>
              </w:rPr>
              <w:t>時間</w:t>
            </w:r>
            <w:r>
              <w:rPr>
                <w:rFonts w:ascii="標楷體" w:hAnsi="標楷體"/>
              </w:rPr>
              <w:t xml:space="preserve"> (</w:t>
            </w:r>
            <w:r>
              <w:rPr>
                <w:rFonts w:ascii="標楷體" w:hAnsi="標楷體"/>
              </w:rPr>
              <w:t>時</w:t>
            </w:r>
            <w:r>
              <w:rPr>
                <w:rFonts w:ascii="標楷體" w:hAnsi="標楷體"/>
              </w:rPr>
              <w:t>/</w:t>
            </w:r>
            <w:r>
              <w:rPr>
                <w:rFonts w:ascii="標楷體" w:hAnsi="標楷體"/>
              </w:rPr>
              <w:t>分</w:t>
            </w:r>
            <w:r>
              <w:rPr>
                <w:rFonts w:ascii="標楷體" w:hAnsi="標楷體"/>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E8C403" w14:textId="77777777" w:rsidR="00BD776B" w:rsidRDefault="00DF0C24">
            <w:pPr>
              <w:pStyle w:val="14"/>
              <w:ind w:left="113" w:right="113"/>
              <w:jc w:val="center"/>
              <w:rPr>
                <w:rFonts w:ascii="標楷體" w:hAnsi="標楷體"/>
              </w:rPr>
            </w:pPr>
            <w:r>
              <w:rPr>
                <w:rFonts w:ascii="標楷體" w:hAnsi="標楷體"/>
              </w:rPr>
              <w:t>改善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B4996E" w14:textId="77777777" w:rsidR="00BD776B" w:rsidRDefault="00DF0C24">
            <w:pPr>
              <w:pStyle w:val="14"/>
              <w:ind w:left="113" w:right="113"/>
              <w:jc w:val="center"/>
              <w:rPr>
                <w:rFonts w:ascii="標楷體" w:hAnsi="標楷體"/>
              </w:rPr>
            </w:pPr>
            <w:r>
              <w:rPr>
                <w:rFonts w:ascii="標楷體" w:hAnsi="標楷體"/>
              </w:rPr>
              <w:t>未改善</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EF1FE" w14:textId="77777777" w:rsidR="00BD776B" w:rsidRDefault="00BD776B">
            <w:pPr>
              <w:pStyle w:val="14"/>
              <w:rPr>
                <w:rFonts w:ascii="標楷體" w:hAnsi="標楷體"/>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467FBA" w14:textId="77777777" w:rsidR="00BD776B" w:rsidRDefault="00BD776B">
            <w:pPr>
              <w:pStyle w:val="14"/>
              <w:rPr>
                <w:rFonts w:ascii="標楷體" w:hAnsi="標楷體"/>
              </w:rPr>
            </w:pPr>
          </w:p>
        </w:tc>
      </w:tr>
      <w:tr w:rsidR="00BD776B" w14:paraId="4C0FEDCD" w14:textId="77777777">
        <w:trPr>
          <w:trHeight w:val="1777"/>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D0D24" w14:textId="77777777" w:rsidR="00BD776B" w:rsidRDefault="00BD776B">
            <w:pPr>
              <w:pStyle w:val="14"/>
              <w:rPr>
                <w:rFonts w:ascii="標楷體" w:hAnsi="標楷體"/>
              </w:rPr>
            </w:pPr>
          </w:p>
          <w:p w14:paraId="18CE1E5C" w14:textId="77777777" w:rsidR="00BD776B" w:rsidRDefault="00BD776B">
            <w:pPr>
              <w:pStyle w:val="14"/>
              <w:rPr>
                <w:rFonts w:ascii="標楷體" w:hAnsi="標楷體"/>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F61B3" w14:textId="77777777" w:rsidR="00BD776B" w:rsidRDefault="00BD776B">
            <w:pPr>
              <w:pStyle w:val="14"/>
              <w:rPr>
                <w:rFonts w:ascii="標楷體" w:hAnsi="標楷體"/>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3E54B" w14:textId="77777777" w:rsidR="00BD776B" w:rsidRDefault="00BD776B">
            <w:pPr>
              <w:pStyle w:val="14"/>
              <w:rPr>
                <w:rFonts w:ascii="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06336" w14:textId="77777777" w:rsidR="00BD776B" w:rsidRDefault="00BD776B">
            <w:pPr>
              <w:pStyle w:val="14"/>
              <w:rPr>
                <w:rFonts w:ascii="標楷體" w:hAnsi="標楷體"/>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D6DA" w14:textId="77777777" w:rsidR="00BD776B" w:rsidRDefault="00BD776B">
            <w:pPr>
              <w:pStyle w:val="14"/>
              <w:rPr>
                <w:rFonts w:ascii="標楷體" w:hAnsi="標楷體"/>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12091" w14:textId="77777777" w:rsidR="00BD776B" w:rsidRDefault="00BD776B">
            <w:pPr>
              <w:pStyle w:val="14"/>
              <w:rPr>
                <w:rFonts w:ascii="標楷體" w:hAnsi="標楷體"/>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B3D6F" w14:textId="77777777" w:rsidR="00BD776B" w:rsidRDefault="00BD776B">
            <w:pPr>
              <w:pStyle w:val="14"/>
              <w:rPr>
                <w:rFonts w:ascii="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A53C" w14:textId="77777777" w:rsidR="00BD776B" w:rsidRDefault="00BD776B">
            <w:pPr>
              <w:pStyle w:val="14"/>
              <w:rPr>
                <w:rFonts w:ascii="標楷體" w:hAnsi="標楷體"/>
              </w:rPr>
            </w:pPr>
          </w:p>
        </w:tc>
      </w:tr>
    </w:tbl>
    <w:p w14:paraId="1A22A6D2" w14:textId="77777777" w:rsidR="00BD776B" w:rsidRDefault="00DF0C24">
      <w:pPr>
        <w:pStyle w:val="14"/>
        <w:spacing w:line="300" w:lineRule="exact"/>
        <w:rPr>
          <w:rFonts w:ascii="標楷體" w:hAnsi="標楷體"/>
          <w:sz w:val="22"/>
          <w:szCs w:val="22"/>
        </w:rPr>
      </w:pPr>
      <w:r>
        <w:rPr>
          <w:rFonts w:ascii="標楷體" w:hAnsi="標楷體"/>
          <w:sz w:val="22"/>
          <w:szCs w:val="22"/>
        </w:rPr>
        <w:t>備註：</w:t>
      </w:r>
    </w:p>
    <w:p w14:paraId="3E66757F" w14:textId="77777777" w:rsidR="00BD776B" w:rsidRDefault="00DF0C24" w:rsidP="008A7063">
      <w:pPr>
        <w:pStyle w:val="14"/>
        <w:numPr>
          <w:ilvl w:val="0"/>
          <w:numId w:val="121"/>
        </w:numPr>
        <w:spacing w:line="300" w:lineRule="exact"/>
      </w:pPr>
      <w:r>
        <w:rPr>
          <w:rFonts w:ascii="標楷體" w:hAnsi="標楷體"/>
          <w:sz w:val="22"/>
          <w:szCs w:val="22"/>
        </w:rPr>
        <w:t>領藥量請詳記藥品針</w:t>
      </w:r>
      <w:r>
        <w:rPr>
          <w:rFonts w:ascii="標楷體" w:hAnsi="標楷體"/>
          <w:sz w:val="22"/>
          <w:szCs w:val="22"/>
          <w:u w:val="single"/>
        </w:rPr>
        <w:t>/</w:t>
      </w:r>
      <w:r>
        <w:rPr>
          <w:rFonts w:ascii="標楷體" w:hAnsi="標楷體"/>
          <w:sz w:val="22"/>
          <w:szCs w:val="22"/>
          <w:u w:val="single"/>
        </w:rPr>
        <w:t>瓶</w:t>
      </w:r>
      <w:r>
        <w:rPr>
          <w:rFonts w:ascii="標楷體" w:hAnsi="標楷體"/>
          <w:sz w:val="22"/>
          <w:szCs w:val="22"/>
        </w:rPr>
        <w:t>數，使用空針</w:t>
      </w:r>
      <w:r>
        <w:rPr>
          <w:rStyle w:val="15"/>
          <w:u w:val="single"/>
        </w:rPr>
        <w:t>/</w:t>
      </w:r>
      <w:r>
        <w:rPr>
          <w:rStyle w:val="15"/>
          <w:u w:val="single"/>
        </w:rPr>
        <w:t>空瓶</w:t>
      </w:r>
      <w:r>
        <w:rPr>
          <w:rFonts w:ascii="標楷體" w:hAnsi="標楷體"/>
          <w:sz w:val="22"/>
          <w:szCs w:val="22"/>
        </w:rPr>
        <w:t>於繳回時，請由醫療院所相關人員進行確認，並請確認人員簽名</w:t>
      </w:r>
      <w:r>
        <w:rPr>
          <w:rFonts w:ascii="標楷體" w:hAnsi="標楷體"/>
          <w:sz w:val="22"/>
          <w:szCs w:val="22"/>
        </w:rPr>
        <w:t>(</w:t>
      </w:r>
      <w:r>
        <w:rPr>
          <w:rFonts w:ascii="標楷體" w:hAnsi="標楷體"/>
          <w:sz w:val="22"/>
          <w:szCs w:val="22"/>
        </w:rPr>
        <w:t>章</w:t>
      </w:r>
      <w:r>
        <w:rPr>
          <w:rFonts w:ascii="標楷體" w:hAnsi="標楷體"/>
          <w:sz w:val="22"/>
          <w:szCs w:val="22"/>
        </w:rPr>
        <w:t>)</w:t>
      </w:r>
      <w:r>
        <w:rPr>
          <w:rFonts w:ascii="標楷體" w:hAnsi="標楷體"/>
          <w:sz w:val="22"/>
          <w:szCs w:val="22"/>
        </w:rPr>
        <w:t>。</w:t>
      </w:r>
    </w:p>
    <w:p w14:paraId="7BB64D3E" w14:textId="77777777" w:rsidR="00BD776B" w:rsidRDefault="00DF0C24" w:rsidP="008A7063">
      <w:pPr>
        <w:pStyle w:val="14"/>
        <w:numPr>
          <w:ilvl w:val="0"/>
          <w:numId w:val="121"/>
        </w:numPr>
        <w:spacing w:line="300" w:lineRule="exact"/>
      </w:pPr>
      <w:r>
        <w:rPr>
          <w:rFonts w:ascii="標楷體" w:hAnsi="標楷體"/>
          <w:sz w:val="22"/>
          <w:szCs w:val="22"/>
        </w:rPr>
        <w:t>本藥品貯存方式：</w:t>
      </w:r>
      <w:r>
        <w:rPr>
          <w:rFonts w:ascii="標楷體" w:hAnsi="標楷體"/>
          <w:sz w:val="22"/>
          <w:szCs w:val="22"/>
          <w:u w:val="single"/>
        </w:rPr>
        <w:t>請參考藥品仿單標示之溫度正確保存藥品。</w:t>
      </w:r>
    </w:p>
    <w:p w14:paraId="1BBE4800" w14:textId="77777777" w:rsidR="00BD776B" w:rsidRDefault="00DF0C24" w:rsidP="008A7063">
      <w:pPr>
        <w:pStyle w:val="14"/>
        <w:widowControl/>
        <w:numPr>
          <w:ilvl w:val="0"/>
          <w:numId w:val="121"/>
        </w:numPr>
        <w:spacing w:line="300" w:lineRule="exact"/>
        <w:sectPr w:rsidR="00BD776B" w:rsidSect="007E1772">
          <w:footerReference w:type="default" r:id="rId46"/>
          <w:pgSz w:w="16838" w:h="11906" w:orient="landscape"/>
          <w:pgMar w:top="1077" w:right="1077" w:bottom="1077" w:left="1077" w:header="720" w:footer="720" w:gutter="0"/>
          <w:cols w:space="720"/>
          <w:docGrid w:type="linesAndChars" w:linePitch="390"/>
        </w:sectPr>
      </w:pPr>
      <w:r>
        <w:rPr>
          <w:rFonts w:ascii="標楷體" w:hAnsi="標楷體"/>
          <w:sz w:val="22"/>
          <w:szCs w:val="22"/>
        </w:rPr>
        <w:t>遺傳性血管性水腫</w:t>
      </w:r>
      <w:r>
        <w:rPr>
          <w:rFonts w:ascii="標楷體" w:hAnsi="標楷體"/>
          <w:sz w:val="22"/>
          <w:szCs w:val="22"/>
        </w:rPr>
        <w:t>(HAE)</w:t>
      </w:r>
      <w:r>
        <w:rPr>
          <w:rFonts w:ascii="標楷體" w:hAnsi="標楷體"/>
          <w:sz w:val="22"/>
          <w:szCs w:val="22"/>
        </w:rPr>
        <w:t>可能症狀，請見「遺傳性血管性水腫衛教資訊及活動評估紀錄表」。</w:t>
      </w:r>
    </w:p>
    <w:p w14:paraId="6DDCE0DE" w14:textId="77777777" w:rsidR="00BD776B" w:rsidRDefault="00DF0C24">
      <w:pPr>
        <w:snapToGrid w:val="0"/>
        <w:spacing w:after="240"/>
        <w:jc w:val="center"/>
      </w:pPr>
      <w:r>
        <w:rPr>
          <w:rFonts w:ascii="標楷體" w:eastAsia="標楷體" w:hAnsi="標楷體"/>
          <w:noProof/>
        </w:rPr>
        <w:lastRenderedPageBreak/>
        <mc:AlternateContent>
          <mc:Choice Requires="wps">
            <w:drawing>
              <wp:anchor distT="0" distB="0" distL="114300" distR="114300" simplePos="0" relativeHeight="251663360" behindDoc="0" locked="0" layoutInCell="1" allowOverlap="1" wp14:anchorId="674D3FFE" wp14:editId="199CDA9A">
                <wp:simplePos x="0" y="0"/>
                <wp:positionH relativeFrom="column">
                  <wp:posOffset>4709159</wp:posOffset>
                </wp:positionH>
                <wp:positionV relativeFrom="paragraph">
                  <wp:posOffset>0</wp:posOffset>
                </wp:positionV>
                <wp:extent cx="1261113" cy="275591"/>
                <wp:effectExtent l="0" t="0" r="15237" b="10159"/>
                <wp:wrapSquare wrapText="bothSides"/>
                <wp:docPr id="33" name="文字方塊 23"/>
                <wp:cNvGraphicFramePr/>
                <a:graphic xmlns:a="http://schemas.openxmlformats.org/drawingml/2006/main">
                  <a:graphicData uri="http://schemas.microsoft.com/office/word/2010/wordprocessingShape">
                    <wps:wsp>
                      <wps:cNvSpPr txBox="1"/>
                      <wps:spPr>
                        <a:xfrm>
                          <a:off x="0" y="0"/>
                          <a:ext cx="1261113" cy="275591"/>
                        </a:xfrm>
                        <a:prstGeom prst="rect">
                          <a:avLst/>
                        </a:prstGeom>
                        <a:solidFill>
                          <a:srgbClr val="FFFFFF"/>
                        </a:solidFill>
                        <a:ln w="9528">
                          <a:solidFill>
                            <a:srgbClr val="000000"/>
                          </a:solidFill>
                          <a:prstDash val="solid"/>
                        </a:ln>
                      </wps:spPr>
                      <wps:txbx>
                        <w:txbxContent>
                          <w:p w14:paraId="00E7BC0B" w14:textId="77777777" w:rsidR="00576CD7" w:rsidRDefault="00576CD7">
                            <w:pPr>
                              <w:rPr>
                                <w:rFonts w:ascii="標楷體" w:eastAsia="標楷體" w:hAnsi="標楷體"/>
                                <w:sz w:val="20"/>
                                <w:szCs w:val="20"/>
                              </w:rPr>
                            </w:pPr>
                            <w:r>
                              <w:rPr>
                                <w:rFonts w:ascii="標楷體" w:eastAsia="標楷體" w:hAnsi="標楷體"/>
                                <w:sz w:val="20"/>
                                <w:szCs w:val="20"/>
                              </w:rPr>
                              <w:t>(111.6.1.更新)</w:t>
                            </w:r>
                          </w:p>
                        </w:txbxContent>
                      </wps:txbx>
                      <wps:bodyPr vert="horz" wrap="square" lIns="91440" tIns="45720" rIns="91440" bIns="45720" anchor="t" anchorCtr="0" compatLnSpc="0">
                        <a:spAutoFit/>
                      </wps:bodyPr>
                    </wps:wsp>
                  </a:graphicData>
                </a:graphic>
              </wp:anchor>
            </w:drawing>
          </mc:Choice>
          <mc:Fallback>
            <w:pict>
              <v:shape w14:anchorId="674D3FFE" id="文字方塊 23" o:spid="_x0000_s1045" type="#_x0000_t202" style="position:absolute;left:0;text-align:left;margin-left:370.8pt;margin-top:0;width:99.3pt;height:2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" strokeweight=".26467mm">
                <v:textbox style="mso-fit-shape-to-text:t">
                  <w:txbxContent>
                    <w:p w14:paraId="00E7BC0B" w14:textId="77777777" w:rsidR="00576CD7" w:rsidRDefault="00576CD7">
                      <w:pPr>
                        <w:rPr>
                          <w:rFonts w:ascii="標楷體" w:eastAsia="標楷體" w:hAnsi="標楷體"/>
                          <w:sz w:val="20"/>
                          <w:szCs w:val="20"/>
                        </w:rPr>
                      </w:pPr>
                      <w:r>
                        <w:rPr>
                          <w:rFonts w:ascii="標楷體" w:eastAsia="標楷體" w:hAnsi="標楷體"/>
                          <w:sz w:val="20"/>
                          <w:szCs w:val="20"/>
                        </w:rPr>
                        <w:t>(111.6.1.更新)</w:t>
                      </w:r>
                    </w:p>
                  </w:txbxContent>
                </v:textbox>
                <w10:wrap type="square"/>
              </v:shape>
            </w:pict>
          </mc:Fallback>
        </mc:AlternateContent>
      </w:r>
      <w:r>
        <w:rPr>
          <w:rFonts w:ascii="標楷體" w:eastAsia="標楷體" w:hAnsi="標楷體"/>
          <w:b/>
          <w:bCs/>
          <w:sz w:val="28"/>
          <w:szCs w:val="28"/>
        </w:rPr>
        <w:t>遺傳性血管性水腫衛教資訊及活動評估紀錄表</w:t>
      </w:r>
    </w:p>
    <w:p w14:paraId="4DAB9FAE" w14:textId="77777777" w:rsidR="00BD776B" w:rsidRDefault="00DF0C24">
      <w:pPr>
        <w:snapToGrid w:val="0"/>
        <w:rPr>
          <w:rFonts w:ascii="標楷體" w:eastAsia="標楷體" w:hAnsi="標楷體"/>
          <w:u w:val="thick"/>
        </w:rPr>
      </w:pPr>
      <w:r>
        <w:rPr>
          <w:rFonts w:ascii="標楷體" w:eastAsia="標楷體" w:hAnsi="標楷體"/>
          <w:u w:val="thick"/>
        </w:rPr>
        <w:t>症狀與疾病特色</w:t>
      </w:r>
    </w:p>
    <w:p w14:paraId="4C19B9F1" w14:textId="77777777" w:rsidR="00BD776B" w:rsidRDefault="00DF0C24">
      <w:pPr>
        <w:snapToGrid w:val="0"/>
        <w:spacing w:line="240" w:lineRule="atLeast"/>
        <w:ind w:left="360"/>
        <w:rPr>
          <w:rFonts w:ascii="標楷體" w:eastAsia="標楷體" w:hAnsi="標楷體"/>
        </w:rPr>
      </w:pPr>
      <w:r>
        <w:rPr>
          <w:rFonts w:ascii="標楷體" w:eastAsia="標楷體" w:hAnsi="標楷體"/>
        </w:rPr>
        <w:t>腫脹是遺傳性血管性水腫的主要症狀，在起先的24至36小時內，症狀通常會逐漸加劇，並在 48 小時內逐漸改善。</w:t>
      </w:r>
      <w:r>
        <w:rPr>
          <w:rFonts w:ascii="標楷體" w:eastAsia="標楷體" w:hAnsi="標楷體"/>
        </w:rPr>
        <w:br/>
        <w:t>腫脹情形可能發生在身體的任何部位，包含喉嚨、腹部、臉部、手掌、腳掌和生殖器。</w:t>
      </w:r>
    </w:p>
    <w:p w14:paraId="11FF2354" w14:textId="77777777" w:rsidR="00BD776B" w:rsidRDefault="00DF0C24">
      <w:pPr>
        <w:snapToGrid w:val="0"/>
        <w:spacing w:before="240"/>
        <w:rPr>
          <w:rFonts w:ascii="標楷體" w:eastAsia="標楷體" w:hAnsi="標楷體"/>
          <w:u w:val="thick"/>
        </w:rPr>
      </w:pPr>
      <w:r>
        <w:rPr>
          <w:rFonts w:ascii="標楷體" w:eastAsia="標楷體" w:hAnsi="標楷體"/>
          <w:u w:val="thick"/>
        </w:rPr>
        <w:t>導致遺傳性血管性水腫發生的因素</w:t>
      </w:r>
    </w:p>
    <w:p w14:paraId="03FAF9A7"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皮膚受到壓力或創傷</w:t>
      </w:r>
    </w:p>
    <w:p w14:paraId="4E482E9E"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 xml:space="preserve">反覆進行相同的動作或步驟 </w:t>
      </w:r>
    </w:p>
    <w:p w14:paraId="42315105"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情緒壓力</w:t>
      </w:r>
    </w:p>
    <w:p w14:paraId="78FDFCB0"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感染</w:t>
      </w:r>
    </w:p>
    <w:p w14:paraId="42D3DDE7"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荷爾蒙改變</w:t>
      </w:r>
    </w:p>
    <w:p w14:paraId="54F4CB65" w14:textId="77777777" w:rsidR="00BD776B" w:rsidRDefault="00DF0C24">
      <w:pPr>
        <w:snapToGrid w:val="0"/>
        <w:spacing w:before="240" w:line="240" w:lineRule="atLeast"/>
        <w:rPr>
          <w:rFonts w:ascii="標楷體" w:eastAsia="標楷體" w:hAnsi="標楷體"/>
          <w:u w:val="thick"/>
        </w:rPr>
      </w:pPr>
      <w:r>
        <w:rPr>
          <w:rFonts w:ascii="標楷體" w:eastAsia="標楷體" w:hAnsi="標楷體"/>
          <w:u w:val="thick"/>
        </w:rPr>
        <w:t>部分人可能會出現下列症狀：</w:t>
      </w:r>
    </w:p>
    <w:p w14:paraId="4E2BD1C9" w14:textId="77777777" w:rsidR="00BD776B" w:rsidRDefault="00DF0C24" w:rsidP="008A7063">
      <w:pPr>
        <w:pStyle w:val="af"/>
        <w:widowControl/>
        <w:numPr>
          <w:ilvl w:val="0"/>
          <w:numId w:val="122"/>
        </w:numPr>
        <w:suppressAutoHyphens w:val="0"/>
        <w:snapToGrid w:val="0"/>
        <w:spacing w:line="240" w:lineRule="atLeast"/>
        <w:ind w:left="714" w:hanging="357"/>
        <w:textAlignment w:val="auto"/>
        <w:rPr>
          <w:rFonts w:ascii="標楷體" w:eastAsia="標楷體" w:hAnsi="標楷體"/>
        </w:rPr>
      </w:pPr>
      <w:r>
        <w:rPr>
          <w:rFonts w:ascii="標楷體" w:eastAsia="標楷體" w:hAnsi="標楷體"/>
        </w:rPr>
        <w:t>刺痛感，是這種疾病的前驅症狀(可能比水腫更早發生)</w:t>
      </w:r>
    </w:p>
    <w:p w14:paraId="021BDBAC" w14:textId="77777777" w:rsidR="00BD776B" w:rsidRDefault="00DF0C24" w:rsidP="008A7063">
      <w:pPr>
        <w:pStyle w:val="af"/>
        <w:widowControl/>
        <w:numPr>
          <w:ilvl w:val="0"/>
          <w:numId w:val="122"/>
        </w:numPr>
        <w:suppressAutoHyphens w:val="0"/>
        <w:snapToGrid w:val="0"/>
        <w:spacing w:line="240" w:lineRule="atLeast"/>
        <w:ind w:left="714" w:hanging="357"/>
        <w:textAlignment w:val="auto"/>
        <w:rPr>
          <w:rFonts w:ascii="標楷體" w:eastAsia="標楷體" w:hAnsi="標楷體"/>
        </w:rPr>
      </w:pPr>
      <w:r>
        <w:rPr>
          <w:rFonts w:ascii="標楷體" w:eastAsia="標楷體" w:hAnsi="標楷體"/>
        </w:rPr>
        <w:t>排便習慣改變</w:t>
      </w:r>
    </w:p>
    <w:p w14:paraId="01C70C30" w14:textId="77777777" w:rsidR="00BD776B" w:rsidRDefault="00DF0C24" w:rsidP="008A7063">
      <w:pPr>
        <w:pStyle w:val="af"/>
        <w:widowControl/>
        <w:numPr>
          <w:ilvl w:val="0"/>
          <w:numId w:val="122"/>
        </w:numPr>
        <w:suppressAutoHyphens w:val="0"/>
        <w:snapToGrid w:val="0"/>
        <w:spacing w:line="240" w:lineRule="atLeast"/>
        <w:ind w:left="714" w:hanging="357"/>
        <w:textAlignment w:val="auto"/>
        <w:rPr>
          <w:rFonts w:ascii="標楷體" w:eastAsia="標楷體" w:hAnsi="標楷體"/>
        </w:rPr>
      </w:pPr>
      <w:r>
        <w:rPr>
          <w:rFonts w:ascii="標楷體" w:eastAsia="標楷體" w:hAnsi="標楷體"/>
        </w:rPr>
        <w:t>類似流感的症狀</w:t>
      </w:r>
    </w:p>
    <w:p w14:paraId="4C2B317B"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疲倦</w:t>
      </w:r>
    </w:p>
    <w:p w14:paraId="30161452" w14:textId="77777777" w:rsidR="00BD776B" w:rsidRDefault="00DF0C24" w:rsidP="008A7063">
      <w:pPr>
        <w:pStyle w:val="af"/>
        <w:widowControl/>
        <w:numPr>
          <w:ilvl w:val="0"/>
          <w:numId w:val="122"/>
        </w:numPr>
        <w:suppressAutoHyphens w:val="0"/>
        <w:snapToGrid w:val="0"/>
        <w:spacing w:line="240" w:lineRule="atLeast"/>
        <w:textAlignment w:val="auto"/>
        <w:rPr>
          <w:rFonts w:ascii="標楷體" w:eastAsia="標楷體" w:hAnsi="標楷體"/>
        </w:rPr>
      </w:pPr>
      <w:r>
        <w:rPr>
          <w:rFonts w:ascii="標楷體" w:eastAsia="標楷體" w:hAnsi="標楷體"/>
        </w:rPr>
        <w:t>範圍逐漸擴散的皮膚疹，正式醫學名稱為「邊緣性紅斑」</w:t>
      </w:r>
    </w:p>
    <w:p w14:paraId="5A165B6A" w14:textId="77777777" w:rsidR="00BD776B" w:rsidRDefault="00DF0C24">
      <w:pPr>
        <w:pStyle w:val="14"/>
        <w:spacing w:after="240" w:line="480" w:lineRule="atLeast"/>
        <w:rPr>
          <w:rFonts w:ascii="標楷體" w:hAnsi="標楷體"/>
          <w:u w:val="thick"/>
        </w:rPr>
      </w:pPr>
      <w:r>
        <w:rPr>
          <w:rFonts w:ascii="標楷體" w:hAnsi="標楷體"/>
          <w:u w:val="thick"/>
        </w:rPr>
        <w:t>活動評估紀錄表：請於注射後</w:t>
      </w:r>
      <w:r>
        <w:rPr>
          <w:rFonts w:ascii="標楷體" w:hAnsi="標楷體"/>
          <w:u w:val="thick"/>
        </w:rPr>
        <w:t>24</w:t>
      </w:r>
      <w:r>
        <w:rPr>
          <w:rFonts w:ascii="標楷體" w:hAnsi="標楷體"/>
          <w:u w:val="thick"/>
        </w:rPr>
        <w:t>小時內填寫以下評量表</w:t>
      </w:r>
    </w:p>
    <w:tbl>
      <w:tblPr>
        <w:tblW w:w="9493" w:type="dxa"/>
        <w:jc w:val="center"/>
        <w:tblCellMar>
          <w:left w:w="10" w:type="dxa"/>
          <w:right w:w="10" w:type="dxa"/>
        </w:tblCellMar>
        <w:tblLook w:val="0000" w:firstRow="0" w:lastRow="0" w:firstColumn="0" w:lastColumn="0" w:noHBand="0" w:noVBand="0"/>
      </w:tblPr>
      <w:tblGrid>
        <w:gridCol w:w="6525"/>
        <w:gridCol w:w="2968"/>
      </w:tblGrid>
      <w:tr w:rsidR="00BD776B" w14:paraId="75AEF8B1" w14:textId="77777777">
        <w:trPr>
          <w:trHeight w:val="340"/>
          <w:jc w:val="center"/>
        </w:trPr>
        <w:tc>
          <w:tcPr>
            <w:tcW w:w="65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DD23E" w14:textId="77777777" w:rsidR="00BD776B" w:rsidRDefault="00DF0C24" w:rsidP="008A7063">
            <w:pPr>
              <w:pStyle w:val="af"/>
              <w:widowControl/>
              <w:numPr>
                <w:ilvl w:val="0"/>
                <w:numId w:val="123"/>
              </w:numPr>
              <w:suppressAutoHyphens w:val="0"/>
              <w:snapToGrid w:val="0"/>
              <w:spacing w:after="160" w:line="240" w:lineRule="atLeast"/>
              <w:textAlignment w:val="auto"/>
              <w:rPr>
                <w:rFonts w:ascii="標楷體" w:eastAsia="標楷體" w:hAnsi="標楷體"/>
              </w:rPr>
            </w:pPr>
            <w:r>
              <w:rPr>
                <w:rFonts w:ascii="標楷體" w:eastAsia="標楷體" w:hAnsi="標楷體"/>
              </w:rPr>
              <w:t>腫脹情形都發生在一天當中的哪些時間區段？(請勾選所有符合的時間區段)</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75B1B"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半夜 – 早上 8 點</w:t>
            </w:r>
          </w:p>
        </w:tc>
      </w:tr>
      <w:tr w:rsidR="00BD776B" w14:paraId="70A49DCA"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78EFE"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5874E"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早上 8 點- 下午 4 點</w:t>
            </w:r>
          </w:p>
        </w:tc>
      </w:tr>
      <w:tr w:rsidR="00BD776B" w14:paraId="05DE0887"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6424B"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A3774"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下午 4 點 – 半夜</w:t>
            </w:r>
          </w:p>
        </w:tc>
      </w:tr>
      <w:tr w:rsidR="00BD776B" w14:paraId="284036EE" w14:textId="77777777">
        <w:trPr>
          <w:trHeight w:val="340"/>
          <w:jc w:val="center"/>
        </w:trPr>
        <w:tc>
          <w:tcPr>
            <w:tcW w:w="65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9DD0A" w14:textId="77777777" w:rsidR="00BD776B" w:rsidRDefault="00DF0C24" w:rsidP="008A7063">
            <w:pPr>
              <w:pStyle w:val="af"/>
              <w:widowControl/>
              <w:numPr>
                <w:ilvl w:val="0"/>
                <w:numId w:val="123"/>
              </w:numPr>
              <w:suppressAutoHyphens w:val="0"/>
              <w:snapToGrid w:val="0"/>
              <w:spacing w:after="160" w:line="240" w:lineRule="atLeast"/>
              <w:textAlignment w:val="auto"/>
              <w:rPr>
                <w:rFonts w:ascii="標楷體" w:eastAsia="標楷體" w:hAnsi="標楷體"/>
              </w:rPr>
            </w:pPr>
            <w:r>
              <w:rPr>
                <w:rFonts w:ascii="標楷體" w:eastAsia="標楷體" w:hAnsi="標楷體"/>
              </w:rPr>
              <w:t>這些腫脹情形所引起的身體不適 (如疼痛、灼熱感、搔癢) 有多嚴重 (或曾經有多嚴重)？</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19E3C"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沒有不適</w:t>
            </w:r>
          </w:p>
        </w:tc>
      </w:tr>
      <w:tr w:rsidR="00BD776B" w14:paraId="229D88B1"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8236D"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3D3B4"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輕微不適</w:t>
            </w:r>
          </w:p>
        </w:tc>
      </w:tr>
      <w:tr w:rsidR="00BD776B" w14:paraId="09E82DE4"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1C226"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1E919"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中度不適</w:t>
            </w:r>
          </w:p>
        </w:tc>
      </w:tr>
      <w:tr w:rsidR="00BD776B" w14:paraId="4FCFC5D1"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53415"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BE292"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嚴重不適</w:t>
            </w:r>
          </w:p>
        </w:tc>
      </w:tr>
      <w:tr w:rsidR="00BD776B" w14:paraId="2E14333D" w14:textId="77777777">
        <w:trPr>
          <w:trHeight w:val="340"/>
          <w:jc w:val="center"/>
        </w:trPr>
        <w:tc>
          <w:tcPr>
            <w:tcW w:w="65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4C767" w14:textId="77777777" w:rsidR="00BD776B" w:rsidRDefault="00DF0C24" w:rsidP="008A7063">
            <w:pPr>
              <w:pStyle w:val="af"/>
              <w:widowControl/>
              <w:numPr>
                <w:ilvl w:val="0"/>
                <w:numId w:val="123"/>
              </w:numPr>
              <w:suppressAutoHyphens w:val="0"/>
              <w:snapToGrid w:val="0"/>
              <w:spacing w:after="160" w:line="240" w:lineRule="atLeast"/>
              <w:textAlignment w:val="auto"/>
              <w:rPr>
                <w:rFonts w:ascii="標楷體" w:eastAsia="標楷體" w:hAnsi="標楷體"/>
              </w:rPr>
            </w:pPr>
            <w:r>
              <w:rPr>
                <w:rFonts w:ascii="標楷體" w:eastAsia="標楷體" w:hAnsi="標楷體"/>
              </w:rPr>
              <w:t>在發生這些腫脹的期間，您是否能夠維持日常活動？</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2AA84"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不受限制</w:t>
            </w:r>
          </w:p>
        </w:tc>
      </w:tr>
      <w:tr w:rsidR="00BD776B" w14:paraId="15AFC32D"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E8838"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CBD1C"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輕微受限</w:t>
            </w:r>
          </w:p>
        </w:tc>
      </w:tr>
      <w:tr w:rsidR="00BD776B" w14:paraId="4CD652FB"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F4D52"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61091"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嚴重受限</w:t>
            </w:r>
          </w:p>
        </w:tc>
      </w:tr>
      <w:tr w:rsidR="00BD776B" w14:paraId="59EF02BB"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A4BE3"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E221A"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無法進行任何活動</w:t>
            </w:r>
          </w:p>
        </w:tc>
      </w:tr>
      <w:tr w:rsidR="00BD776B" w14:paraId="460A74FE" w14:textId="77777777">
        <w:trPr>
          <w:trHeight w:val="340"/>
          <w:jc w:val="center"/>
        </w:trPr>
        <w:tc>
          <w:tcPr>
            <w:tcW w:w="65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89E1E" w14:textId="77777777" w:rsidR="00BD776B" w:rsidRDefault="00DF0C24" w:rsidP="008A7063">
            <w:pPr>
              <w:pStyle w:val="af"/>
              <w:widowControl/>
              <w:numPr>
                <w:ilvl w:val="0"/>
                <w:numId w:val="123"/>
              </w:numPr>
              <w:suppressAutoHyphens w:val="0"/>
              <w:snapToGrid w:val="0"/>
              <w:spacing w:after="160" w:line="240" w:lineRule="atLeast"/>
              <w:textAlignment w:val="auto"/>
              <w:rPr>
                <w:rFonts w:ascii="標楷體" w:eastAsia="標楷體" w:hAnsi="標楷體"/>
              </w:rPr>
            </w:pPr>
            <w:r>
              <w:rPr>
                <w:rFonts w:ascii="標楷體" w:eastAsia="標楷體" w:hAnsi="標楷體"/>
              </w:rPr>
              <w:t>您覺得這些腫脹是否影響到您的外表？</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6CB1A"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沒有影響</w:t>
            </w:r>
          </w:p>
        </w:tc>
      </w:tr>
      <w:tr w:rsidR="00BD776B" w14:paraId="503EE1E2"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7183B"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94EBF"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有輕微影響</w:t>
            </w:r>
          </w:p>
        </w:tc>
      </w:tr>
      <w:tr w:rsidR="00BD776B" w14:paraId="33549A39"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C758B"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61230"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有中度影響</w:t>
            </w:r>
          </w:p>
        </w:tc>
      </w:tr>
      <w:tr w:rsidR="00BD776B" w14:paraId="22A54B5F"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D4DEE"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37967"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有嚴重影響</w:t>
            </w:r>
          </w:p>
        </w:tc>
      </w:tr>
      <w:tr w:rsidR="00BD776B" w14:paraId="459BD660" w14:textId="77777777">
        <w:trPr>
          <w:trHeight w:val="340"/>
          <w:jc w:val="center"/>
        </w:trPr>
        <w:tc>
          <w:tcPr>
            <w:tcW w:w="65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94504" w14:textId="77777777" w:rsidR="00BD776B" w:rsidRDefault="00DF0C24" w:rsidP="008A7063">
            <w:pPr>
              <w:pStyle w:val="af"/>
              <w:widowControl/>
              <w:numPr>
                <w:ilvl w:val="0"/>
                <w:numId w:val="123"/>
              </w:numPr>
              <w:suppressAutoHyphens w:val="0"/>
              <w:snapToGrid w:val="0"/>
              <w:spacing w:after="160" w:line="240" w:lineRule="atLeast"/>
              <w:textAlignment w:val="auto"/>
              <w:rPr>
                <w:rFonts w:ascii="標楷體" w:eastAsia="標楷體" w:hAnsi="標楷體"/>
              </w:rPr>
            </w:pPr>
            <w:r>
              <w:rPr>
                <w:rFonts w:ascii="標楷體" w:eastAsia="標楷體" w:hAnsi="標楷體"/>
              </w:rPr>
              <w:t>您認為這些腫脹的整體嚴重度如何？</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98B90"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可忽略</w:t>
            </w:r>
          </w:p>
        </w:tc>
      </w:tr>
      <w:tr w:rsidR="00BD776B" w14:paraId="640517B8"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BEA29"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2CCBB"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輕微</w:t>
            </w:r>
          </w:p>
        </w:tc>
      </w:tr>
      <w:tr w:rsidR="00BD776B" w14:paraId="495BB219"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BDC5D"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1B28D"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中度</w:t>
            </w:r>
          </w:p>
        </w:tc>
      </w:tr>
      <w:tr w:rsidR="00BD776B" w14:paraId="5640E215" w14:textId="77777777">
        <w:trPr>
          <w:trHeight w:val="340"/>
          <w:jc w:val="center"/>
        </w:trPr>
        <w:tc>
          <w:tcPr>
            <w:tcW w:w="6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C520E" w14:textId="77777777" w:rsidR="00BD776B" w:rsidRDefault="00BD776B">
            <w:pPr>
              <w:snapToGrid w:val="0"/>
              <w:spacing w:line="240" w:lineRule="atLeast"/>
              <w:rPr>
                <w:rFonts w:ascii="標楷體" w:eastAsia="標楷體" w:hAnsi="標楷體"/>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4CF49" w14:textId="77777777" w:rsidR="00BD776B" w:rsidRDefault="00DF0C24" w:rsidP="008A7063">
            <w:pPr>
              <w:pStyle w:val="af"/>
              <w:widowControl/>
              <w:numPr>
                <w:ilvl w:val="0"/>
                <w:numId w:val="124"/>
              </w:numPr>
              <w:suppressAutoHyphens w:val="0"/>
              <w:snapToGrid w:val="0"/>
              <w:spacing w:line="240" w:lineRule="atLeast"/>
              <w:ind w:left="267" w:hanging="267"/>
              <w:textAlignment w:val="auto"/>
              <w:rPr>
                <w:rFonts w:ascii="標楷體" w:eastAsia="標楷體" w:hAnsi="標楷體"/>
              </w:rPr>
            </w:pPr>
            <w:r>
              <w:rPr>
                <w:rFonts w:ascii="標楷體" w:eastAsia="標楷體" w:hAnsi="標楷體"/>
              </w:rPr>
              <w:t>嚴重</w:t>
            </w:r>
          </w:p>
        </w:tc>
      </w:tr>
    </w:tbl>
    <w:p w14:paraId="122E332C" w14:textId="77777777" w:rsidR="00BD776B" w:rsidRDefault="00BD776B">
      <w:pPr>
        <w:pageBreakBefore/>
        <w:widowControl/>
        <w:suppressAutoHyphens w:val="0"/>
        <w:rPr>
          <w:rFonts w:ascii="標楷體" w:eastAsia="標楷體" w:hAnsi="標楷體"/>
          <w:kern w:val="0"/>
          <w:sz w:val="32"/>
          <w:szCs w:val="32"/>
        </w:rPr>
      </w:pPr>
    </w:p>
    <w:p w14:paraId="116DECEA" w14:textId="77777777" w:rsidR="00BD776B" w:rsidRDefault="00DF0C24">
      <w:pPr>
        <w:widowControl/>
        <w:ind w:left="240"/>
        <w:jc w:val="both"/>
      </w:pPr>
      <w:r>
        <w:rPr>
          <w:rFonts w:ascii="標楷體" w:eastAsia="標楷體" w:hAnsi="標楷體"/>
          <w:kern w:val="0"/>
          <w:sz w:val="32"/>
          <w:szCs w:val="32"/>
        </w:rPr>
        <w:t>附表三十四：肝炎治療醫療資源不足地區及山地離島地區一覽表</w:t>
      </w:r>
    </w:p>
    <w:tbl>
      <w:tblPr>
        <w:tblW w:w="9214" w:type="dxa"/>
        <w:jc w:val="center"/>
        <w:tblCellMar>
          <w:left w:w="10" w:type="dxa"/>
          <w:right w:w="10" w:type="dxa"/>
        </w:tblCellMar>
        <w:tblLook w:val="0000" w:firstRow="0" w:lastRow="0" w:firstColumn="0" w:lastColumn="0" w:noHBand="0" w:noVBand="0"/>
      </w:tblPr>
      <w:tblGrid>
        <w:gridCol w:w="1276"/>
        <w:gridCol w:w="1418"/>
        <w:gridCol w:w="6520"/>
      </w:tblGrid>
      <w:tr w:rsidR="00BD776B" w14:paraId="4833945D" w14:textId="77777777">
        <w:trPr>
          <w:trHeight w:val="45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7CE3"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分區別</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1ECEC"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縣市別</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B1F7C"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鄉鎮區別</w:t>
            </w:r>
          </w:p>
        </w:tc>
      </w:tr>
      <w:tr w:rsidR="00BD776B" w14:paraId="21724683" w14:textId="77777777">
        <w:trPr>
          <w:trHeight w:val="300"/>
          <w:jc w:val="cent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F9616"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臺北</w:t>
            </w:r>
          </w:p>
        </w:tc>
        <w:tc>
          <w:tcPr>
            <w:tcW w:w="141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FBDD62F"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新北市</w:t>
            </w:r>
          </w:p>
        </w:tc>
        <w:tc>
          <w:tcPr>
            <w:tcW w:w="6520" w:type="dxa"/>
            <w:tcBorders>
              <w:top w:val="single" w:sz="4" w:space="0" w:color="000000"/>
              <w:left w:val="double" w:sz="4" w:space="0" w:color="000000"/>
              <w:right w:val="single" w:sz="4" w:space="0" w:color="000000"/>
            </w:tcBorders>
            <w:shd w:val="clear" w:color="auto" w:fill="auto"/>
            <w:tcMar>
              <w:top w:w="0" w:type="dxa"/>
              <w:left w:w="108" w:type="dxa"/>
              <w:bottom w:w="0" w:type="dxa"/>
              <w:right w:w="108" w:type="dxa"/>
            </w:tcMar>
            <w:vAlign w:val="center"/>
          </w:tcPr>
          <w:p w14:paraId="50CE9D38"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烏來區、石門區、坪林區、萬里區、雙溪區</w:t>
            </w:r>
          </w:p>
        </w:tc>
      </w:tr>
      <w:tr w:rsidR="00BD776B" w14:paraId="12FCC2C0" w14:textId="77777777">
        <w:trPr>
          <w:trHeight w:val="340"/>
          <w:jc w:val="center"/>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7C8E9"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36AC3"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宜蘭縣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385B2"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南澳鄉、大同鄉</w:t>
            </w:r>
          </w:p>
        </w:tc>
      </w:tr>
      <w:tr w:rsidR="00BD776B" w14:paraId="780C1CCD" w14:textId="77777777">
        <w:trPr>
          <w:trHeight w:val="340"/>
          <w:jc w:val="center"/>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8055D"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26A71"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金門縣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A70F4"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所有鄉鎮區</w:t>
            </w:r>
          </w:p>
        </w:tc>
      </w:tr>
      <w:tr w:rsidR="00BD776B" w14:paraId="517DE872" w14:textId="77777777">
        <w:trPr>
          <w:trHeight w:val="340"/>
          <w:jc w:val="center"/>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9CE5A"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DF923"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連江縣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B6E2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所有鄉鎮區</w:t>
            </w:r>
          </w:p>
        </w:tc>
      </w:tr>
      <w:tr w:rsidR="00BD776B" w14:paraId="2C16C7AB" w14:textId="77777777">
        <w:trPr>
          <w:trHeight w:val="36"/>
          <w:jc w:val="center"/>
        </w:trPr>
        <w:tc>
          <w:tcPr>
            <w:tcW w:w="1276"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64B372D"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北區</w:t>
            </w:r>
          </w:p>
        </w:tc>
        <w:tc>
          <w:tcPr>
            <w:tcW w:w="1418" w:type="dxa"/>
            <w:tcBorders>
              <w:top w:val="doub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E90AA6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桃園市</w:t>
            </w:r>
          </w:p>
        </w:tc>
        <w:tc>
          <w:tcPr>
            <w:tcW w:w="6520" w:type="dxa"/>
            <w:tcBorders>
              <w:top w:val="double" w:sz="4" w:space="0" w:color="000000"/>
              <w:left w:val="double" w:sz="4" w:space="0" w:color="000000"/>
              <w:right w:val="single" w:sz="4" w:space="0" w:color="000000"/>
            </w:tcBorders>
            <w:shd w:val="clear" w:color="auto" w:fill="auto"/>
            <w:tcMar>
              <w:top w:w="0" w:type="dxa"/>
              <w:left w:w="108" w:type="dxa"/>
              <w:bottom w:w="0" w:type="dxa"/>
              <w:right w:w="108" w:type="dxa"/>
            </w:tcMar>
            <w:vAlign w:val="center"/>
          </w:tcPr>
          <w:p w14:paraId="3EE68205"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復興區</w:t>
            </w:r>
          </w:p>
        </w:tc>
      </w:tr>
      <w:tr w:rsidR="00BD776B" w14:paraId="32992351"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0F6BA66"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99547"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新竹縣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07D71"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五峰鄉、尖石鄉</w:t>
            </w:r>
          </w:p>
        </w:tc>
      </w:tr>
      <w:tr w:rsidR="00BD776B" w14:paraId="596B4CAB"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7ECB2B1"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E900918"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苗栗縣</w:t>
            </w:r>
          </w:p>
        </w:tc>
        <w:tc>
          <w:tcPr>
            <w:tcW w:w="65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6B99A8F"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泰安鄉</w:t>
            </w:r>
          </w:p>
        </w:tc>
      </w:tr>
      <w:tr w:rsidR="00BD776B" w14:paraId="59B2C399" w14:textId="77777777">
        <w:trPr>
          <w:trHeight w:val="397"/>
          <w:jc w:val="center"/>
        </w:trPr>
        <w:tc>
          <w:tcPr>
            <w:tcW w:w="1276"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4692B78"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中區</w:t>
            </w:r>
          </w:p>
        </w:tc>
        <w:tc>
          <w:tcPr>
            <w:tcW w:w="1418" w:type="dxa"/>
            <w:tcBorders>
              <w:top w:val="doub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B54AEC"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台中市</w:t>
            </w:r>
          </w:p>
        </w:tc>
        <w:tc>
          <w:tcPr>
            <w:tcW w:w="6520" w:type="dxa"/>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81FA5"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和平區、大安區</w:t>
            </w:r>
          </w:p>
        </w:tc>
      </w:tr>
      <w:tr w:rsidR="00BD776B" w14:paraId="2BE8C185"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A06A970"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EF3E6"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彰化縣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F799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大城鄉、芳苑鄉、埤頭鄉、福興鄉、線西鄉、田尾鄉、埔鹽鄉、溪州鄉</w:t>
            </w:r>
          </w:p>
        </w:tc>
      </w:tr>
      <w:tr w:rsidR="00BD776B" w14:paraId="435ECBF6"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B54C41D"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DF45A3D"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南投縣</w:t>
            </w:r>
          </w:p>
        </w:tc>
        <w:tc>
          <w:tcPr>
            <w:tcW w:w="65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236977F"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國姓鄉、信義鄉、仁愛鄉</w:t>
            </w:r>
          </w:p>
        </w:tc>
      </w:tr>
      <w:tr w:rsidR="00BD776B" w14:paraId="789D6E98" w14:textId="77777777">
        <w:trPr>
          <w:trHeight w:val="340"/>
          <w:jc w:val="center"/>
        </w:trPr>
        <w:tc>
          <w:tcPr>
            <w:tcW w:w="1276"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26C37AA1"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南區</w:t>
            </w:r>
          </w:p>
        </w:tc>
        <w:tc>
          <w:tcPr>
            <w:tcW w:w="1418"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394C"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雲林縣</w:t>
            </w:r>
          </w:p>
        </w:tc>
        <w:tc>
          <w:tcPr>
            <w:tcW w:w="6520" w:type="dxa"/>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6E50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所有鄉鎮區</w:t>
            </w:r>
          </w:p>
        </w:tc>
      </w:tr>
      <w:tr w:rsidR="00BD776B" w14:paraId="1A1CE900"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AA8C5BD"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6BBB3"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嘉義市</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BAC47"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所有鄉鎮區</w:t>
            </w:r>
          </w:p>
        </w:tc>
      </w:tr>
      <w:tr w:rsidR="00BD776B" w14:paraId="1031860B"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2236A3B"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F535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嘉義縣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D1EBF"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所有鄉鎮區</w:t>
            </w:r>
          </w:p>
        </w:tc>
      </w:tr>
      <w:tr w:rsidR="00BD776B" w14:paraId="16F37C65" w14:textId="77777777">
        <w:trPr>
          <w:trHeight w:val="758"/>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56F002D3"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A946A5"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台南市</w:t>
            </w:r>
          </w:p>
        </w:tc>
        <w:tc>
          <w:tcPr>
            <w:tcW w:w="65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9081AA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排除中西區、安平區、安南區及南區，其餘原台南縣鄉鎮區域持續列為醫療資源不足地區</w:t>
            </w:r>
          </w:p>
        </w:tc>
      </w:tr>
      <w:tr w:rsidR="00BD776B" w14:paraId="7DA34019" w14:textId="77777777">
        <w:trPr>
          <w:trHeight w:val="413"/>
          <w:jc w:val="center"/>
        </w:trPr>
        <w:tc>
          <w:tcPr>
            <w:tcW w:w="1276"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5F7EE9C"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高屏</w:t>
            </w:r>
          </w:p>
        </w:tc>
        <w:tc>
          <w:tcPr>
            <w:tcW w:w="1418" w:type="dxa"/>
            <w:tcBorders>
              <w:top w:val="doub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8987D3"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高雄市</w:t>
            </w:r>
          </w:p>
        </w:tc>
        <w:tc>
          <w:tcPr>
            <w:tcW w:w="6520" w:type="dxa"/>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C897D"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那瑪夏區、桃源區、茂林區</w:t>
            </w:r>
          </w:p>
        </w:tc>
      </w:tr>
      <w:tr w:rsidR="00BD776B" w14:paraId="39046AEE" w14:textId="77777777">
        <w:trPr>
          <w:trHeight w:val="68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ADEE80E"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94D5B"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屏東縣</w:t>
            </w:r>
          </w:p>
        </w:tc>
        <w:tc>
          <w:tcPr>
            <w:tcW w:w="65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98808"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琉球鄉、新園鄉、霧台鄉、枋山鄉、獅子鄉、三地門鄉、車城鄉、來義鄉、春日鄉、泰武鄉、長治鄉、崁頂鄉、萬巒鄉、麟洛鄉、瑪家鄉、牡丹鄉</w:t>
            </w:r>
          </w:p>
        </w:tc>
      </w:tr>
      <w:tr w:rsidR="00BD776B" w14:paraId="73080208"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98705FF"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BFE0A2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澎湖縣</w:t>
            </w:r>
          </w:p>
        </w:tc>
        <w:tc>
          <w:tcPr>
            <w:tcW w:w="65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BD8B0EA"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所有鄉鎮區</w:t>
            </w:r>
          </w:p>
        </w:tc>
      </w:tr>
      <w:tr w:rsidR="00BD776B" w14:paraId="51E25123" w14:textId="77777777">
        <w:trPr>
          <w:trHeight w:val="340"/>
          <w:jc w:val="center"/>
        </w:trPr>
        <w:tc>
          <w:tcPr>
            <w:tcW w:w="1276"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542E505"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東區</w:t>
            </w:r>
          </w:p>
        </w:tc>
        <w:tc>
          <w:tcPr>
            <w:tcW w:w="1418"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8AAE3"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花蓮縣</w:t>
            </w:r>
          </w:p>
        </w:tc>
        <w:tc>
          <w:tcPr>
            <w:tcW w:w="6520" w:type="dxa"/>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09789"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秀林鄉、萬榮鄉、卓溪鄉</w:t>
            </w:r>
          </w:p>
        </w:tc>
      </w:tr>
      <w:tr w:rsidR="00BD776B" w14:paraId="1A13F11C" w14:textId="77777777">
        <w:trPr>
          <w:trHeight w:val="340"/>
          <w:jc w:val="center"/>
        </w:trPr>
        <w:tc>
          <w:tcPr>
            <w:tcW w:w="1276"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24F9AE8" w14:textId="77777777" w:rsidR="00BD776B" w:rsidRDefault="00BD776B">
            <w:pPr>
              <w:widowControl/>
              <w:spacing w:line="360" w:lineRule="exact"/>
              <w:jc w:val="both"/>
              <w:rPr>
                <w:rFonts w:ascii="標楷體" w:eastAsia="標楷體" w:hAnsi="標楷體"/>
                <w:sz w:val="28"/>
                <w:szCs w:val="28"/>
              </w:rPr>
            </w:pPr>
          </w:p>
        </w:tc>
        <w:tc>
          <w:tcPr>
            <w:tcW w:w="141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2F6A566"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台東縣</w:t>
            </w:r>
          </w:p>
        </w:tc>
        <w:tc>
          <w:tcPr>
            <w:tcW w:w="65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B342247" w14:textId="77777777" w:rsidR="00BD776B" w:rsidRDefault="00DF0C24">
            <w:pPr>
              <w:spacing w:line="360" w:lineRule="exact"/>
              <w:jc w:val="both"/>
              <w:rPr>
                <w:rFonts w:ascii="標楷體" w:eastAsia="標楷體" w:hAnsi="標楷體"/>
                <w:sz w:val="28"/>
                <w:szCs w:val="28"/>
              </w:rPr>
            </w:pPr>
            <w:r>
              <w:rPr>
                <w:rFonts w:ascii="標楷體" w:eastAsia="標楷體" w:hAnsi="標楷體"/>
                <w:sz w:val="28"/>
                <w:szCs w:val="28"/>
              </w:rPr>
              <w:t>海端鄉、延平鄉、金峰鄉、達仁鄉、蘭嶼鄉、綠島鄉</w:t>
            </w:r>
          </w:p>
        </w:tc>
      </w:tr>
    </w:tbl>
    <w:p w14:paraId="0A1587A2" w14:textId="77777777" w:rsidR="00BD776B" w:rsidRDefault="00BD776B">
      <w:pPr>
        <w:snapToGrid w:val="0"/>
        <w:rPr>
          <w:rFonts w:eastAsia="標楷體"/>
          <w:sz w:val="28"/>
          <w:szCs w:val="28"/>
        </w:rPr>
      </w:pPr>
    </w:p>
    <w:p w14:paraId="7700F7C3" w14:textId="77777777" w:rsidR="00BD776B" w:rsidRDefault="00BD776B">
      <w:pPr>
        <w:snapToGrid w:val="0"/>
        <w:rPr>
          <w:rFonts w:ascii="標楷體" w:eastAsia="標楷體" w:hAnsi="標楷體"/>
          <w:color w:val="000000"/>
        </w:rPr>
      </w:pPr>
    </w:p>
    <w:p w14:paraId="7B2DF098" w14:textId="77777777" w:rsidR="00BD776B" w:rsidRDefault="00BD776B">
      <w:pPr>
        <w:snapToGrid w:val="0"/>
        <w:rPr>
          <w:rFonts w:ascii="標楷體" w:eastAsia="標楷體" w:hAnsi="標楷體"/>
          <w:color w:val="000000"/>
        </w:rPr>
      </w:pPr>
    </w:p>
    <w:p w14:paraId="2C73E1B2" w14:textId="77777777" w:rsidR="00BD776B" w:rsidRDefault="00BD776B">
      <w:pPr>
        <w:snapToGrid w:val="0"/>
        <w:rPr>
          <w:rFonts w:ascii="標楷體" w:eastAsia="標楷體" w:hAnsi="標楷體"/>
          <w:color w:val="000000"/>
        </w:rPr>
      </w:pPr>
    </w:p>
    <w:p w14:paraId="74A6217C" w14:textId="77777777" w:rsidR="00BD776B" w:rsidRDefault="00BD776B">
      <w:pPr>
        <w:snapToGrid w:val="0"/>
        <w:rPr>
          <w:rFonts w:ascii="標楷體" w:eastAsia="標楷體" w:hAnsi="標楷體"/>
          <w:color w:val="000000"/>
        </w:rPr>
      </w:pPr>
    </w:p>
    <w:p w14:paraId="245F7840" w14:textId="77777777" w:rsidR="00BD776B" w:rsidRDefault="00BD776B">
      <w:pPr>
        <w:snapToGrid w:val="0"/>
        <w:rPr>
          <w:rFonts w:ascii="標楷體" w:eastAsia="標楷體" w:hAnsi="標楷體"/>
          <w:color w:val="000000"/>
        </w:rPr>
      </w:pPr>
    </w:p>
    <w:p w14:paraId="7D94FFCB" w14:textId="77777777" w:rsidR="00BD776B" w:rsidRDefault="00BD776B">
      <w:pPr>
        <w:snapToGrid w:val="0"/>
        <w:rPr>
          <w:rFonts w:ascii="標楷體" w:eastAsia="標楷體" w:hAnsi="標楷體"/>
          <w:color w:val="000000"/>
        </w:rPr>
      </w:pPr>
    </w:p>
    <w:p w14:paraId="58261910" w14:textId="77777777" w:rsidR="00BD776B" w:rsidRDefault="00BD776B">
      <w:pPr>
        <w:snapToGrid w:val="0"/>
        <w:rPr>
          <w:rFonts w:ascii="標楷體" w:eastAsia="標楷體" w:hAnsi="標楷體"/>
          <w:color w:val="000000"/>
        </w:rPr>
      </w:pPr>
    </w:p>
    <w:p w14:paraId="489C60A4" w14:textId="77777777" w:rsidR="00BD776B" w:rsidRDefault="00BD776B">
      <w:pPr>
        <w:snapToGrid w:val="0"/>
        <w:rPr>
          <w:rFonts w:ascii="標楷體" w:eastAsia="標楷體" w:hAnsi="標楷體"/>
          <w:color w:val="000000"/>
        </w:rPr>
      </w:pPr>
    </w:p>
    <w:p w14:paraId="323447A6" w14:textId="77777777" w:rsidR="00BD776B" w:rsidRDefault="00BD776B">
      <w:pPr>
        <w:snapToGrid w:val="0"/>
        <w:rPr>
          <w:rFonts w:ascii="標楷體" w:eastAsia="標楷體" w:hAnsi="標楷體"/>
          <w:color w:val="000000"/>
        </w:rPr>
      </w:pPr>
    </w:p>
    <w:p w14:paraId="1AAD7D81" w14:textId="77777777" w:rsidR="00BD776B" w:rsidRDefault="00BD776B">
      <w:pPr>
        <w:snapToGrid w:val="0"/>
        <w:rPr>
          <w:rFonts w:ascii="標楷體" w:eastAsia="標楷體" w:hAnsi="標楷體"/>
          <w:color w:val="000000"/>
        </w:rPr>
      </w:pPr>
    </w:p>
    <w:p w14:paraId="0CB47B4F" w14:textId="77777777" w:rsidR="00BD776B" w:rsidRDefault="00BD776B">
      <w:pPr>
        <w:pageBreakBefore/>
        <w:widowControl/>
        <w:suppressAutoHyphens w:val="0"/>
        <w:rPr>
          <w:rFonts w:ascii="Arial" w:eastAsia="標楷體" w:hAnsi="Arial" w:cs="Arial"/>
          <w:b/>
          <w:sz w:val="28"/>
          <w:szCs w:val="28"/>
          <w:u w:val="single"/>
        </w:rPr>
      </w:pPr>
    </w:p>
    <w:p w14:paraId="02EB3715" w14:textId="77777777" w:rsidR="00BD776B" w:rsidRDefault="00DF0C24">
      <w:pPr>
        <w:widowControl/>
        <w:spacing w:line="400" w:lineRule="exact"/>
        <w:ind w:left="-142"/>
        <w:jc w:val="center"/>
      </w:pPr>
      <w:r>
        <w:rPr>
          <w:rFonts w:ascii="Arial" w:eastAsia="標楷體" w:hAnsi="Arial" w:cs="Arial"/>
          <w:b/>
          <w:sz w:val="28"/>
          <w:szCs w:val="28"/>
          <w:u w:val="single"/>
        </w:rPr>
        <w:t>附表三十五</w:t>
      </w:r>
      <w:r>
        <w:rPr>
          <w:rFonts w:ascii="新細明體" w:hAnsi="新細明體" w:cs="Arial"/>
          <w:b/>
          <w:sz w:val="28"/>
          <w:szCs w:val="28"/>
          <w:u w:val="single"/>
        </w:rPr>
        <w:t>：</w:t>
      </w:r>
      <w:r>
        <w:rPr>
          <w:rFonts w:ascii="Arial" w:eastAsia="標楷體" w:hAnsi="Arial" w:cs="Arial"/>
          <w:b/>
          <w:sz w:val="28"/>
          <w:szCs w:val="28"/>
          <w:u w:val="single"/>
        </w:rPr>
        <w:t>成人中風後之手臂或下肢痙攣</w:t>
      </w:r>
      <w:r>
        <w:rPr>
          <w:rFonts w:ascii="Arial" w:eastAsia="標楷體" w:hAnsi="Arial" w:cs="Arial"/>
          <w:b/>
          <w:sz w:val="28"/>
          <w:szCs w:val="28"/>
          <w:u w:val="single"/>
        </w:rPr>
        <w:t xml:space="preserve"> </w:t>
      </w:r>
    </w:p>
    <w:p w14:paraId="14ACC8A5" w14:textId="77777777" w:rsidR="00BD776B" w:rsidRDefault="00DF0C24">
      <w:pPr>
        <w:widowControl/>
        <w:spacing w:line="400" w:lineRule="exact"/>
        <w:ind w:left="-142"/>
        <w:jc w:val="center"/>
        <w:rPr>
          <w:rFonts w:ascii="Arial" w:eastAsia="標楷體" w:hAnsi="Arial" w:cs="Arial"/>
          <w:b/>
          <w:bCs/>
          <w:color w:val="000000"/>
          <w:sz w:val="28"/>
          <w:szCs w:val="28"/>
          <w:u w:val="single"/>
        </w:rPr>
      </w:pPr>
      <w:r>
        <w:rPr>
          <w:rFonts w:ascii="Arial" w:eastAsia="標楷體" w:hAnsi="Arial" w:cs="Arial"/>
          <w:b/>
          <w:bCs/>
          <w:color w:val="000000"/>
          <w:sz w:val="28"/>
          <w:szCs w:val="28"/>
          <w:u w:val="single"/>
        </w:rPr>
        <w:t>肉毒桿菌素再次申請治療效果評估表</w:t>
      </w:r>
    </w:p>
    <w:p w14:paraId="439A1545" w14:textId="77777777" w:rsidR="00BD776B" w:rsidRDefault="00DF0C24">
      <w:pPr>
        <w:pStyle w:val="ab"/>
        <w:tabs>
          <w:tab w:val="left" w:pos="2356"/>
          <w:tab w:val="left" w:pos="2552"/>
          <w:tab w:val="left" w:pos="3325"/>
        </w:tabs>
        <w:spacing w:before="240" w:line="240" w:lineRule="exact"/>
        <w:ind w:left="-142" w:firstLine="114"/>
      </w:pPr>
      <w:r>
        <w:rPr>
          <w:rFonts w:ascii="Arial" w:eastAsia="標楷體" w:hAnsi="Arial" w:cs="Arial"/>
          <w:color w:val="221815"/>
          <w:w w:val="95"/>
        </w:rPr>
        <w:t>姓名</w:t>
      </w:r>
      <w:r>
        <w:rPr>
          <w:rFonts w:ascii="Arial" w:eastAsia="標楷體" w:hAnsi="Arial" w:cs="Arial"/>
          <w:color w:val="221815"/>
          <w:w w:val="95"/>
          <w:u w:val="single" w:color="221815"/>
        </w:rPr>
        <w:t xml:space="preserve">                           </w:t>
      </w:r>
      <w:r>
        <w:rPr>
          <w:rFonts w:ascii="Arial" w:eastAsia="標楷體" w:hAnsi="Arial" w:cs="Arial"/>
          <w:color w:val="221815"/>
        </w:rPr>
        <w:t>病歷號碼</w:t>
      </w:r>
      <w:r>
        <w:rPr>
          <w:rFonts w:ascii="Arial" w:eastAsia="標楷體" w:hAnsi="Arial" w:cs="Arial"/>
          <w:color w:val="221815"/>
          <w:w w:val="95"/>
          <w:u w:val="single" w:color="221815"/>
        </w:rPr>
        <w:t xml:space="preserve">                                     </w:t>
      </w:r>
      <w:r>
        <w:rPr>
          <w:rFonts w:ascii="Arial" w:eastAsia="標楷體" w:hAnsi="Arial" w:cs="Arial"/>
          <w:color w:val="221815"/>
        </w:rPr>
        <w:t xml:space="preserve">  </w:t>
      </w:r>
      <w:r>
        <w:rPr>
          <w:rFonts w:ascii="Arial" w:eastAsia="標楷體" w:hAnsi="Arial" w:cs="Arial"/>
          <w:color w:val="221815"/>
        </w:rPr>
        <w:t>一年施打總劑量：</w:t>
      </w:r>
      <w:r>
        <w:rPr>
          <w:rFonts w:ascii="Arial" w:eastAsia="標楷體" w:hAnsi="Arial" w:cs="Arial"/>
          <w:color w:val="221815"/>
        </w:rPr>
        <w:t xml:space="preserve"> </w:t>
      </w:r>
      <w:r>
        <w:rPr>
          <w:rFonts w:ascii="Arial" w:eastAsia="標楷體" w:hAnsi="Arial" w:cs="Arial"/>
          <w:szCs w:val="28"/>
        </w:rPr>
        <w:t>手臂</w:t>
      </w:r>
      <w:r>
        <w:rPr>
          <w:rFonts w:ascii="Arial" w:eastAsia="標楷體" w:hAnsi="Arial" w:cs="Arial"/>
          <w:color w:val="221815"/>
          <w:w w:val="95"/>
          <w:u w:val="single" w:color="221815"/>
        </w:rPr>
        <w:t xml:space="preserve">      </w:t>
      </w:r>
      <w:r>
        <w:rPr>
          <w:rFonts w:ascii="Arial" w:eastAsia="標楷體" w:hAnsi="Arial" w:cs="Arial"/>
          <w:color w:val="221815"/>
          <w:w w:val="95"/>
        </w:rPr>
        <w:t xml:space="preserve">units, </w:t>
      </w:r>
      <w:r>
        <w:rPr>
          <w:rFonts w:ascii="Arial" w:eastAsia="標楷體" w:hAnsi="Arial" w:cs="Arial"/>
          <w:szCs w:val="28"/>
        </w:rPr>
        <w:t>下肢</w:t>
      </w:r>
      <w:r>
        <w:rPr>
          <w:rFonts w:ascii="Arial" w:eastAsia="標楷體" w:hAnsi="Arial" w:cs="Arial"/>
          <w:color w:val="221815"/>
          <w:w w:val="95"/>
          <w:u w:val="single" w:color="221815"/>
        </w:rPr>
        <w:t xml:space="preserve">       </w:t>
      </w:r>
      <w:r>
        <w:rPr>
          <w:rFonts w:ascii="Arial" w:eastAsia="標楷體" w:hAnsi="Arial" w:cs="Arial"/>
          <w:color w:val="221815"/>
          <w:w w:val="95"/>
        </w:rPr>
        <w:t>units</w:t>
      </w:r>
    </w:p>
    <w:p w14:paraId="092ED2CF" w14:textId="77777777" w:rsidR="00BD776B" w:rsidRDefault="00DF0C24">
      <w:pPr>
        <w:pStyle w:val="ab"/>
        <w:tabs>
          <w:tab w:val="left" w:pos="2356"/>
          <w:tab w:val="left" w:pos="2552"/>
          <w:tab w:val="left" w:pos="3325"/>
        </w:tabs>
        <w:spacing w:line="240" w:lineRule="exact"/>
        <w:ind w:left="-142" w:firstLine="114"/>
      </w:pPr>
      <w:r>
        <w:rPr>
          <w:rFonts w:ascii="Arial" w:eastAsia="標楷體" w:hAnsi="Arial" w:cs="Arial"/>
          <w:color w:val="221815"/>
          <w:w w:val="95"/>
        </w:rPr>
        <w:t>注射部位</w:t>
      </w:r>
      <w:r>
        <w:rPr>
          <w:rFonts w:ascii="Arial" w:eastAsia="標楷體" w:hAnsi="Arial" w:cs="Arial"/>
          <w:color w:val="221815"/>
          <w:w w:val="95"/>
        </w:rPr>
        <w:t xml:space="preserve"> </w:t>
      </w:r>
      <w:r>
        <w:rPr>
          <w:rFonts w:ascii="標楷體" w:eastAsia="標楷體" w:hAnsi="標楷體" w:cs="Arial"/>
          <w:color w:val="221815"/>
          <w:w w:val="95"/>
        </w:rPr>
        <w:t>□</w:t>
      </w:r>
      <w:r>
        <w:rPr>
          <w:rFonts w:ascii="Arial" w:eastAsia="標楷體" w:hAnsi="Arial" w:cs="Arial"/>
          <w:color w:val="221815"/>
          <w:w w:val="95"/>
        </w:rPr>
        <w:t>左側</w:t>
      </w:r>
      <w:r>
        <w:rPr>
          <w:rFonts w:ascii="Arial" w:eastAsia="標楷體" w:hAnsi="Arial" w:cs="Arial"/>
          <w:color w:val="221815"/>
          <w:w w:val="95"/>
        </w:rPr>
        <w:t xml:space="preserve"> </w:t>
      </w:r>
      <w:r>
        <w:rPr>
          <w:rFonts w:ascii="標楷體" w:eastAsia="標楷體" w:hAnsi="標楷體" w:cs="Arial"/>
          <w:color w:val="221815"/>
          <w:w w:val="95"/>
        </w:rPr>
        <w:t>□</w:t>
      </w:r>
      <w:r>
        <w:rPr>
          <w:rFonts w:ascii="Arial" w:eastAsia="標楷體" w:hAnsi="Arial" w:cs="Arial"/>
          <w:color w:val="221815"/>
          <w:w w:val="95"/>
        </w:rPr>
        <w:t>右側</w:t>
      </w:r>
      <w:r>
        <w:rPr>
          <w:rFonts w:ascii="Arial" w:eastAsia="標楷體" w:hAnsi="Arial" w:cs="Arial"/>
          <w:color w:val="221815"/>
          <w:w w:val="95"/>
        </w:rPr>
        <w:t xml:space="preserve"> </w:t>
      </w:r>
      <w:r>
        <w:rPr>
          <w:rFonts w:ascii="標楷體" w:eastAsia="標楷體" w:hAnsi="標楷體" w:cs="Arial"/>
          <w:color w:val="221815"/>
          <w:w w:val="95"/>
        </w:rPr>
        <w:t>□</w:t>
      </w:r>
      <w:r>
        <w:rPr>
          <w:rFonts w:ascii="Arial" w:eastAsia="標楷體" w:hAnsi="Arial" w:cs="Arial"/>
          <w:color w:val="221815"/>
          <w:w w:val="95"/>
        </w:rPr>
        <w:t>上肢</w:t>
      </w:r>
      <w:r>
        <w:rPr>
          <w:rFonts w:ascii="Arial" w:eastAsia="標楷體" w:hAnsi="Arial" w:cs="Arial"/>
          <w:color w:val="221815"/>
          <w:w w:val="95"/>
        </w:rPr>
        <w:t xml:space="preserve"> </w:t>
      </w:r>
      <w:r>
        <w:rPr>
          <w:rFonts w:ascii="標楷體" w:eastAsia="標楷體" w:hAnsi="標楷體" w:cs="Arial"/>
          <w:color w:val="221815"/>
          <w:w w:val="95"/>
        </w:rPr>
        <w:t>□</w:t>
      </w:r>
      <w:r>
        <w:rPr>
          <w:rFonts w:ascii="Arial" w:eastAsia="標楷體" w:hAnsi="Arial" w:cs="Arial"/>
          <w:color w:val="221815"/>
          <w:w w:val="95"/>
        </w:rPr>
        <w:t>下肢</w:t>
      </w:r>
      <w:r>
        <w:rPr>
          <w:rFonts w:ascii="Arial" w:eastAsia="標楷體" w:hAnsi="Arial" w:cs="Arial"/>
          <w:color w:val="221815"/>
          <w:w w:val="95"/>
        </w:rPr>
        <w:t xml:space="preserve">    </w:t>
      </w:r>
      <w:r>
        <w:rPr>
          <w:rFonts w:ascii="Arial" w:eastAsia="標楷體" w:hAnsi="Arial" w:cs="Arial"/>
          <w:color w:val="221815"/>
          <w:w w:val="95"/>
        </w:rPr>
        <w:t>注射藥物</w:t>
      </w:r>
      <w:r>
        <w:rPr>
          <w:rFonts w:ascii="Arial" w:eastAsia="標楷體" w:hAnsi="Arial" w:cs="Arial"/>
          <w:color w:val="221815"/>
          <w:w w:val="95"/>
        </w:rPr>
        <w:t xml:space="preserve"> </w:t>
      </w:r>
      <w:r>
        <w:rPr>
          <w:rFonts w:ascii="標楷體" w:eastAsia="標楷體" w:hAnsi="標楷體" w:cs="Arial"/>
          <w:color w:val="221815"/>
          <w:w w:val="95"/>
        </w:rPr>
        <w:t xml:space="preserve">□ </w:t>
      </w:r>
      <w:r>
        <w:rPr>
          <w:rFonts w:eastAsia="標楷體"/>
          <w:color w:val="221815"/>
          <w:w w:val="95"/>
        </w:rPr>
        <w:t>Botox</w:t>
      </w:r>
      <w:r>
        <w:rPr>
          <w:rFonts w:ascii="標楷體" w:eastAsia="標楷體" w:hAnsi="標楷體" w:cs="Arial"/>
          <w:color w:val="221815"/>
          <w:w w:val="95"/>
        </w:rPr>
        <w:t xml:space="preserve">   □ </w:t>
      </w:r>
      <w:r>
        <w:rPr>
          <w:rFonts w:eastAsia="標楷體"/>
          <w:color w:val="221815"/>
          <w:w w:val="95"/>
        </w:rPr>
        <w:t>Dysport</w:t>
      </w:r>
    </w:p>
    <w:tbl>
      <w:tblPr>
        <w:tblW w:w="5000" w:type="pct"/>
        <w:tblCellMar>
          <w:left w:w="10" w:type="dxa"/>
          <w:right w:w="10" w:type="dxa"/>
        </w:tblCellMar>
        <w:tblLook w:val="0000" w:firstRow="0" w:lastRow="0" w:firstColumn="0" w:lastColumn="0" w:noHBand="0" w:noVBand="0"/>
      </w:tblPr>
      <w:tblGrid>
        <w:gridCol w:w="360"/>
        <w:gridCol w:w="1693"/>
        <w:gridCol w:w="3163"/>
        <w:gridCol w:w="853"/>
        <w:gridCol w:w="1152"/>
        <w:gridCol w:w="1152"/>
        <w:gridCol w:w="410"/>
        <w:gridCol w:w="410"/>
        <w:gridCol w:w="539"/>
      </w:tblGrid>
      <w:tr w:rsidR="00BD776B" w14:paraId="1D6D716F" w14:textId="77777777">
        <w:trPr>
          <w:trHeight w:val="262"/>
        </w:trPr>
        <w:tc>
          <w:tcPr>
            <w:tcW w:w="351"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645A0166" w14:textId="77777777" w:rsidR="00BD776B" w:rsidRDefault="00DF0C24">
            <w:pPr>
              <w:widowControl/>
              <w:spacing w:line="300" w:lineRule="exact"/>
              <w:ind w:left="-142"/>
              <w:jc w:val="center"/>
            </w:pPr>
            <w:r>
              <w:rPr>
                <w:rFonts w:eastAsia="標楷體"/>
                <w:b/>
                <w:bCs/>
                <w:color w:val="000000"/>
              </w:rPr>
              <w:t>Upper  Limb</w:t>
            </w:r>
            <w:r>
              <w:rPr>
                <w:rFonts w:eastAsia="標楷體"/>
                <w:color w:val="000000"/>
              </w:rPr>
              <w:t xml:space="preserve"> </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BF49AB7" w14:textId="77777777" w:rsidR="00BD776B" w:rsidRDefault="00DF0C24">
            <w:pPr>
              <w:widowControl/>
              <w:spacing w:line="240" w:lineRule="exact"/>
              <w:ind w:left="14"/>
              <w:rPr>
                <w:rFonts w:eastAsia="標楷體"/>
                <w:color w:val="221815"/>
              </w:rPr>
            </w:pPr>
            <w:r>
              <w:rPr>
                <w:rFonts w:eastAsia="標楷體"/>
                <w:color w:val="221815"/>
              </w:rPr>
              <w:t>Clinical Pattern</w:t>
            </w:r>
          </w:p>
        </w:tc>
        <w:tc>
          <w:tcPr>
            <w:tcW w:w="3181"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21E05791" w14:textId="77777777" w:rsidR="00BD776B" w:rsidRDefault="00DF0C24">
            <w:pPr>
              <w:widowControl/>
              <w:spacing w:line="300" w:lineRule="exact"/>
              <w:ind w:left="-12"/>
              <w:rPr>
                <w:rFonts w:eastAsia="標楷體"/>
                <w:color w:val="221815"/>
              </w:rPr>
            </w:pPr>
            <w:r>
              <w:rPr>
                <w:rFonts w:eastAsia="標楷體"/>
                <w:color w:val="221815"/>
              </w:rPr>
              <w:t>Potential Muscle involved</w:t>
            </w:r>
          </w:p>
        </w:tc>
        <w:tc>
          <w:tcPr>
            <w:tcW w:w="83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68C1D88" w14:textId="77777777" w:rsidR="00BD776B" w:rsidRDefault="00DF0C24">
            <w:pPr>
              <w:widowControl/>
              <w:spacing w:line="300" w:lineRule="exact"/>
              <w:ind w:left="-142"/>
              <w:jc w:val="center"/>
            </w:pPr>
            <w:r>
              <w:rPr>
                <w:color w:val="070002"/>
              </w:rPr>
              <w:t>Modified Ashworth Scale</w:t>
            </w:r>
            <w:r>
              <w:rPr>
                <w:rFonts w:eastAsia="標楷體"/>
                <w:color w:val="000000"/>
              </w:rPr>
              <w:t xml:space="preserve"> </w:t>
            </w:r>
          </w:p>
          <w:p w14:paraId="3855CBAA" w14:textId="77777777" w:rsidR="00BD776B" w:rsidRDefault="00DF0C24">
            <w:pPr>
              <w:widowControl/>
              <w:spacing w:line="300" w:lineRule="exact"/>
              <w:ind w:left="-142"/>
              <w:jc w:val="center"/>
              <w:rPr>
                <w:rFonts w:eastAsia="標楷體"/>
                <w:color w:val="000000"/>
              </w:rPr>
            </w:pPr>
            <w:r>
              <w:rPr>
                <w:rFonts w:eastAsia="標楷體"/>
                <w:color w:val="000000"/>
              </w:rPr>
              <w:t>(</w:t>
            </w:r>
            <w:r>
              <w:rPr>
                <w:rFonts w:eastAsia="標楷體"/>
                <w:color w:val="000000"/>
              </w:rPr>
              <w:t>注射相關</w:t>
            </w:r>
          </w:p>
          <w:p w14:paraId="4E7309C1" w14:textId="77777777" w:rsidR="00BD776B" w:rsidRDefault="00DF0C24">
            <w:pPr>
              <w:widowControl/>
              <w:spacing w:line="300" w:lineRule="exact"/>
              <w:ind w:left="-142"/>
              <w:jc w:val="center"/>
            </w:pPr>
            <w:r>
              <w:rPr>
                <w:rFonts w:eastAsia="標楷體"/>
                <w:color w:val="000000"/>
              </w:rPr>
              <w:t>部位必填</w:t>
            </w:r>
            <w:r>
              <w:rPr>
                <w:rFonts w:eastAsia="標楷體"/>
                <w:color w:val="000000"/>
              </w:rPr>
              <w:t>)</w:t>
            </w:r>
          </w:p>
        </w:tc>
        <w:tc>
          <w:tcPr>
            <w:tcW w:w="231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E4A1884" w14:textId="77777777" w:rsidR="00BD776B" w:rsidRDefault="00DF0C24">
            <w:pPr>
              <w:widowControl/>
              <w:spacing w:line="300" w:lineRule="exact"/>
              <w:ind w:left="-142"/>
              <w:jc w:val="center"/>
              <w:rPr>
                <w:rFonts w:eastAsia="標楷體"/>
                <w:color w:val="000000"/>
              </w:rPr>
            </w:pPr>
            <w:r>
              <w:rPr>
                <w:rFonts w:eastAsia="標楷體"/>
                <w:color w:val="000000"/>
              </w:rPr>
              <w:t xml:space="preserve">ROM (R1/R2) </w:t>
            </w:r>
          </w:p>
          <w:p w14:paraId="6B9B4CE7" w14:textId="77777777" w:rsidR="00BD776B" w:rsidRDefault="00DF0C24">
            <w:pPr>
              <w:widowControl/>
              <w:spacing w:line="300" w:lineRule="exact"/>
              <w:ind w:left="-142"/>
              <w:jc w:val="center"/>
              <w:rPr>
                <w:rFonts w:eastAsia="標楷體"/>
                <w:color w:val="000000"/>
              </w:rPr>
            </w:pPr>
            <w:r>
              <w:rPr>
                <w:rFonts w:eastAsia="標楷體"/>
                <w:color w:val="000000"/>
              </w:rPr>
              <w:t>(</w:t>
            </w:r>
            <w:r>
              <w:rPr>
                <w:rFonts w:eastAsia="標楷體"/>
                <w:color w:val="000000"/>
              </w:rPr>
              <w:t>依需要填寫</w:t>
            </w:r>
            <w:r>
              <w:rPr>
                <w:rFonts w:eastAsia="標楷體"/>
                <w:color w:val="000000"/>
              </w:rPr>
              <w:t>)</w:t>
            </w:r>
          </w:p>
        </w:tc>
        <w:tc>
          <w:tcPr>
            <w:tcW w:w="82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FE228AA" w14:textId="77777777" w:rsidR="00BD776B" w:rsidRDefault="00DF0C24">
            <w:pPr>
              <w:widowControl/>
              <w:spacing w:line="300" w:lineRule="exact"/>
              <w:ind w:left="-142"/>
              <w:jc w:val="center"/>
            </w:pPr>
            <w:r>
              <w:rPr>
                <w:rFonts w:eastAsia="標楷體"/>
                <w:color w:val="000000"/>
                <w:lang w:val="zh-TW"/>
              </w:rPr>
              <w:t>是否改善</w:t>
            </w:r>
          </w:p>
        </w:tc>
        <w:tc>
          <w:tcPr>
            <w:tcW w:w="52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23EC737" w14:textId="77777777" w:rsidR="00BD776B" w:rsidRDefault="00DF0C24">
            <w:pPr>
              <w:widowControl/>
              <w:spacing w:line="300" w:lineRule="exact"/>
              <w:ind w:left="-142"/>
              <w:jc w:val="center"/>
              <w:rPr>
                <w:rFonts w:eastAsia="標楷體"/>
                <w:color w:val="000000"/>
                <w:lang w:val="zh-TW"/>
              </w:rPr>
            </w:pPr>
            <w:r>
              <w:rPr>
                <w:rFonts w:eastAsia="標楷體"/>
                <w:color w:val="000000"/>
                <w:lang w:val="zh-TW"/>
              </w:rPr>
              <w:t>擬注射劑量</w:t>
            </w:r>
            <w:r>
              <w:rPr>
                <w:rFonts w:eastAsia="標楷體"/>
                <w:color w:val="000000"/>
                <w:lang w:val="zh-TW"/>
              </w:rPr>
              <w:t>(units)</w:t>
            </w:r>
          </w:p>
        </w:tc>
      </w:tr>
      <w:tr w:rsidR="00BD776B" w14:paraId="4DD2AD9C"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0AA56ABF"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06FCD671" w14:textId="77777777" w:rsidR="00BD776B" w:rsidRDefault="00BD776B">
            <w:pPr>
              <w:widowControl/>
              <w:spacing w:line="240" w:lineRule="exact"/>
              <w:ind w:left="14"/>
              <w:rPr>
                <w:rFonts w:eastAsia="標楷體"/>
                <w:color w:val="221815"/>
              </w:rPr>
            </w:pPr>
          </w:p>
        </w:tc>
        <w:tc>
          <w:tcPr>
            <w:tcW w:w="318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2CBB513E" w14:textId="77777777" w:rsidR="00BD776B" w:rsidRDefault="00BD776B">
            <w:pPr>
              <w:widowControl/>
              <w:spacing w:line="300" w:lineRule="exact"/>
              <w:ind w:left="-12"/>
              <w:rPr>
                <w:rFonts w:eastAsia="標楷體"/>
                <w:color w:val="221815"/>
              </w:rPr>
            </w:pPr>
          </w:p>
        </w:tc>
        <w:tc>
          <w:tcPr>
            <w:tcW w:w="831"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9288719" w14:textId="77777777" w:rsidR="00BD776B" w:rsidRDefault="00BD776B">
            <w:pPr>
              <w:widowControl/>
              <w:spacing w:line="300" w:lineRule="exact"/>
              <w:ind w:left="-142"/>
              <w:jc w:val="center"/>
              <w:rPr>
                <w:rFonts w:eastAsia="標楷體"/>
                <w:color w:val="000000"/>
              </w:rPr>
            </w:pPr>
          </w:p>
        </w:tc>
        <w:tc>
          <w:tcPr>
            <w:tcW w:w="115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12D3A02D" w14:textId="77777777" w:rsidR="00BD776B" w:rsidRDefault="00DF0C24">
            <w:pPr>
              <w:widowControl/>
              <w:spacing w:line="300" w:lineRule="exact"/>
              <w:ind w:left="-142"/>
              <w:jc w:val="center"/>
              <w:rPr>
                <w:rFonts w:eastAsia="標楷體"/>
                <w:color w:val="000000"/>
              </w:rPr>
            </w:pPr>
            <w:r>
              <w:rPr>
                <w:rFonts w:eastAsia="標楷體"/>
                <w:color w:val="000000"/>
              </w:rPr>
              <w:t xml:space="preserve">Initial </w:t>
            </w:r>
          </w:p>
          <w:p w14:paraId="5BB4ACDF" w14:textId="77777777" w:rsidR="00BD776B" w:rsidRDefault="00DF0C24">
            <w:pPr>
              <w:widowControl/>
              <w:spacing w:line="300" w:lineRule="exact"/>
              <w:ind w:left="-142"/>
              <w:jc w:val="center"/>
              <w:rPr>
                <w:rFonts w:eastAsia="標楷體"/>
                <w:color w:val="000000"/>
              </w:rPr>
            </w:pPr>
            <w:r>
              <w:rPr>
                <w:rFonts w:eastAsia="標楷體"/>
                <w:color w:val="000000"/>
              </w:rPr>
              <w:t xml:space="preserve">Angle </w:t>
            </w:r>
          </w:p>
        </w:tc>
        <w:tc>
          <w:tcPr>
            <w:tcW w:w="115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3D58CEA3" w14:textId="77777777" w:rsidR="00BD776B" w:rsidRDefault="00DF0C24">
            <w:pPr>
              <w:widowControl/>
              <w:spacing w:line="300" w:lineRule="exact"/>
              <w:ind w:left="-142"/>
              <w:jc w:val="center"/>
              <w:rPr>
                <w:rFonts w:eastAsia="標楷體"/>
                <w:color w:val="000000"/>
              </w:rPr>
            </w:pPr>
            <w:r>
              <w:rPr>
                <w:rFonts w:eastAsia="標楷體"/>
                <w:color w:val="000000"/>
              </w:rPr>
              <w:t xml:space="preserve">Review </w:t>
            </w:r>
          </w:p>
          <w:p w14:paraId="12FC2513" w14:textId="77777777" w:rsidR="00BD776B" w:rsidRDefault="00DF0C24">
            <w:pPr>
              <w:widowControl/>
              <w:spacing w:line="300" w:lineRule="exact"/>
              <w:ind w:left="-142"/>
              <w:jc w:val="center"/>
              <w:rPr>
                <w:rFonts w:eastAsia="標楷體"/>
                <w:color w:val="000000"/>
              </w:rPr>
            </w:pPr>
            <w:r>
              <w:rPr>
                <w:rFonts w:eastAsia="標楷體"/>
                <w:color w:val="000000"/>
              </w:rPr>
              <w:t xml:space="preserve">Angle </w:t>
            </w:r>
          </w:p>
        </w:tc>
        <w:tc>
          <w:tcPr>
            <w:tcW w:w="41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E2705EB" w14:textId="77777777" w:rsidR="00BD776B" w:rsidRDefault="00DF0C24">
            <w:pPr>
              <w:widowControl/>
              <w:spacing w:line="300" w:lineRule="exact"/>
              <w:ind w:left="-142"/>
              <w:jc w:val="center"/>
            </w:pPr>
            <w:r>
              <w:rPr>
                <w:rFonts w:eastAsia="標楷體"/>
                <w:color w:val="000000"/>
                <w:lang w:val="zh-TW"/>
              </w:rPr>
              <w:t>是</w:t>
            </w:r>
          </w:p>
        </w:tc>
        <w:tc>
          <w:tcPr>
            <w:tcW w:w="41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A1AF52A" w14:textId="77777777" w:rsidR="00BD776B" w:rsidRDefault="00DF0C24">
            <w:pPr>
              <w:widowControl/>
              <w:spacing w:line="300" w:lineRule="exact"/>
              <w:ind w:left="-142"/>
              <w:jc w:val="center"/>
            </w:pPr>
            <w:r>
              <w:rPr>
                <w:rFonts w:eastAsia="標楷體"/>
                <w:color w:val="000000"/>
                <w:lang w:val="zh-TW"/>
              </w:rPr>
              <w:t>否</w:t>
            </w:r>
          </w:p>
        </w:tc>
        <w:tc>
          <w:tcPr>
            <w:tcW w:w="52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73C4292" w14:textId="77777777" w:rsidR="00BD776B" w:rsidRDefault="00BD776B">
            <w:pPr>
              <w:widowControl/>
              <w:spacing w:line="300" w:lineRule="exact"/>
              <w:ind w:left="-142"/>
              <w:jc w:val="center"/>
              <w:rPr>
                <w:rFonts w:eastAsia="標楷體"/>
                <w:color w:val="000000"/>
                <w:lang w:val="zh-TW"/>
              </w:rPr>
            </w:pPr>
          </w:p>
        </w:tc>
      </w:tr>
      <w:tr w:rsidR="00BD776B" w14:paraId="2BE45487"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265B19F5"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FFF8F25" w14:textId="77777777" w:rsidR="00BD776B" w:rsidRDefault="00DF0C24">
            <w:pPr>
              <w:widowControl/>
              <w:spacing w:line="240" w:lineRule="exact"/>
              <w:ind w:left="14"/>
              <w:rPr>
                <w:rFonts w:eastAsia="標楷體"/>
                <w:color w:val="000000"/>
              </w:rPr>
            </w:pPr>
            <w:r>
              <w:rPr>
                <w:rFonts w:eastAsia="標楷體"/>
                <w:color w:val="000000"/>
              </w:rPr>
              <w:t>Adducted/ Internally Rotated Shoulder</w:t>
            </w:r>
          </w:p>
        </w:tc>
        <w:tc>
          <w:tcPr>
            <w:tcW w:w="3181"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A232853" w14:textId="77777777" w:rsidR="00BD776B" w:rsidRDefault="00DF0C24">
            <w:pPr>
              <w:widowControl/>
              <w:spacing w:line="300" w:lineRule="exact"/>
              <w:ind w:left="-12"/>
              <w:rPr>
                <w:rFonts w:eastAsia="標楷體"/>
                <w:color w:val="221815"/>
              </w:rPr>
            </w:pPr>
            <w:r>
              <w:rPr>
                <w:rFonts w:eastAsia="標楷體"/>
                <w:color w:val="221815"/>
              </w:rPr>
              <w:t>Pectoralis complex</w:t>
            </w: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11CEE69A"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9714B61"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A65B33D"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99ED52"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E324B8B"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3A88C46D" w14:textId="77777777" w:rsidR="00BD776B" w:rsidRDefault="00BD776B">
            <w:pPr>
              <w:widowControl/>
              <w:spacing w:line="300" w:lineRule="exact"/>
              <w:ind w:left="-142"/>
              <w:rPr>
                <w:rFonts w:eastAsia="標楷體"/>
                <w:color w:val="000000"/>
              </w:rPr>
            </w:pPr>
          </w:p>
        </w:tc>
      </w:tr>
      <w:tr w:rsidR="00BD776B" w14:paraId="5F688D79"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718B8B18"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163FF93"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4505496" w14:textId="77777777" w:rsidR="00BD776B" w:rsidRDefault="00DF0C24">
            <w:pPr>
              <w:widowControl/>
              <w:spacing w:line="300" w:lineRule="exact"/>
              <w:ind w:left="-12"/>
              <w:rPr>
                <w:rFonts w:eastAsia="標楷體"/>
                <w:color w:val="000000"/>
              </w:rPr>
            </w:pPr>
            <w:r>
              <w:rPr>
                <w:rFonts w:eastAsia="標楷體"/>
                <w:color w:val="000000"/>
              </w:rPr>
              <w:t>Latissimus dorsi</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58C9E272"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4011517"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892FFDA"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6E28A2"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F19B1E7"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17CAF011" w14:textId="77777777" w:rsidR="00BD776B" w:rsidRDefault="00BD776B">
            <w:pPr>
              <w:widowControl/>
              <w:spacing w:line="300" w:lineRule="exact"/>
              <w:ind w:left="-142"/>
              <w:rPr>
                <w:rFonts w:eastAsia="標楷體"/>
                <w:color w:val="000000"/>
              </w:rPr>
            </w:pPr>
          </w:p>
        </w:tc>
      </w:tr>
      <w:tr w:rsidR="00BD776B" w14:paraId="3E70FBC7"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490837DE"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B54227A"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5BB9290" w14:textId="77777777" w:rsidR="00BD776B" w:rsidRDefault="00DF0C24">
            <w:pPr>
              <w:widowControl/>
              <w:spacing w:line="300" w:lineRule="exact"/>
              <w:ind w:left="-12"/>
              <w:rPr>
                <w:rFonts w:eastAsia="標楷體"/>
                <w:color w:val="000000"/>
              </w:rPr>
            </w:pPr>
            <w:r>
              <w:rPr>
                <w:rFonts w:eastAsia="標楷體"/>
                <w:color w:val="000000"/>
              </w:rPr>
              <w:t>Teres major</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47F27BE6"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C87FB60"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7C35D07"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CD4B680"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76A27FC"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3E8CE66F" w14:textId="77777777" w:rsidR="00BD776B" w:rsidRDefault="00BD776B">
            <w:pPr>
              <w:widowControl/>
              <w:spacing w:line="300" w:lineRule="exact"/>
              <w:ind w:left="-142"/>
              <w:rPr>
                <w:rFonts w:eastAsia="標楷體"/>
                <w:color w:val="000000"/>
              </w:rPr>
            </w:pPr>
          </w:p>
        </w:tc>
      </w:tr>
      <w:tr w:rsidR="00BD776B" w14:paraId="715FE329"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0F77D7C3"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39D1ED9"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3DB5177D" w14:textId="77777777" w:rsidR="00BD776B" w:rsidRDefault="00DF0C24">
            <w:pPr>
              <w:widowControl/>
              <w:spacing w:line="300" w:lineRule="exact"/>
              <w:ind w:left="-12"/>
              <w:rPr>
                <w:rFonts w:eastAsia="標楷體"/>
                <w:color w:val="000000"/>
              </w:rPr>
            </w:pPr>
            <w:r>
              <w:rPr>
                <w:rFonts w:eastAsia="標楷體"/>
                <w:color w:val="000000"/>
              </w:rPr>
              <w:t>Subscapularis</w:t>
            </w: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752FA23"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755307D9"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0D6108B2"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5E9747B0"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CA61F86"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3C1449CC" w14:textId="77777777" w:rsidR="00BD776B" w:rsidRDefault="00BD776B">
            <w:pPr>
              <w:widowControl/>
              <w:spacing w:line="300" w:lineRule="exact"/>
              <w:ind w:left="-142"/>
              <w:rPr>
                <w:rFonts w:eastAsia="標楷體"/>
                <w:color w:val="000000"/>
              </w:rPr>
            </w:pPr>
          </w:p>
        </w:tc>
      </w:tr>
      <w:tr w:rsidR="00BD776B" w14:paraId="2DF71A48"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069A83C0"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70BD06EF" w14:textId="77777777" w:rsidR="00BD776B" w:rsidRDefault="00DF0C24">
            <w:pPr>
              <w:widowControl/>
              <w:spacing w:line="240" w:lineRule="exact"/>
              <w:ind w:left="14"/>
              <w:rPr>
                <w:rFonts w:eastAsia="標楷體"/>
                <w:color w:val="000000"/>
              </w:rPr>
            </w:pPr>
            <w:r>
              <w:rPr>
                <w:rFonts w:eastAsia="標楷體"/>
                <w:color w:val="000000"/>
              </w:rPr>
              <w:t>Flexed Elbow</w:t>
            </w:r>
          </w:p>
        </w:tc>
        <w:tc>
          <w:tcPr>
            <w:tcW w:w="3181"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EBFE2C8" w14:textId="77777777" w:rsidR="00BD776B" w:rsidRDefault="00DF0C24">
            <w:pPr>
              <w:widowControl/>
              <w:spacing w:line="300" w:lineRule="exact"/>
              <w:ind w:left="-12"/>
              <w:rPr>
                <w:rFonts w:eastAsia="標楷體"/>
                <w:color w:val="000000"/>
              </w:rPr>
            </w:pPr>
            <w:r>
              <w:rPr>
                <w:rFonts w:eastAsia="標楷體"/>
                <w:color w:val="000000"/>
              </w:rPr>
              <w:t>Brachioradialis</w:t>
            </w: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426BD21F"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D68C355"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71A6612"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CACAB5"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0CF597E"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0DA92B84" w14:textId="77777777" w:rsidR="00BD776B" w:rsidRDefault="00BD776B">
            <w:pPr>
              <w:widowControl/>
              <w:spacing w:line="300" w:lineRule="exact"/>
              <w:ind w:left="-142"/>
              <w:rPr>
                <w:rFonts w:eastAsia="標楷體"/>
                <w:color w:val="000000"/>
              </w:rPr>
            </w:pPr>
          </w:p>
        </w:tc>
      </w:tr>
      <w:tr w:rsidR="00BD776B" w14:paraId="150C86F1"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7BB7FFE3"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5CE0AF75"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2B80F6B" w14:textId="77777777" w:rsidR="00BD776B" w:rsidRDefault="00DF0C24">
            <w:pPr>
              <w:widowControl/>
              <w:spacing w:line="300" w:lineRule="exact"/>
              <w:ind w:left="-12"/>
              <w:rPr>
                <w:rFonts w:eastAsia="標楷體"/>
                <w:color w:val="000000"/>
              </w:rPr>
            </w:pPr>
            <w:r>
              <w:rPr>
                <w:rFonts w:eastAsia="標楷體"/>
                <w:color w:val="000000"/>
              </w:rPr>
              <w:t>Biceps</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5A3455A2"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4C618EC"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EB6CCE1"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5DEC7F4"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EA9AAEA"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7E0EB396" w14:textId="77777777" w:rsidR="00BD776B" w:rsidRDefault="00BD776B">
            <w:pPr>
              <w:widowControl/>
              <w:spacing w:line="300" w:lineRule="exact"/>
              <w:ind w:left="-142"/>
              <w:rPr>
                <w:rFonts w:eastAsia="標楷體"/>
                <w:color w:val="000000"/>
              </w:rPr>
            </w:pPr>
          </w:p>
        </w:tc>
      </w:tr>
      <w:tr w:rsidR="00BD776B" w14:paraId="748B55E7"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1CA1925C"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7D789FD8"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17992C2A" w14:textId="77777777" w:rsidR="00BD776B" w:rsidRDefault="00DF0C24">
            <w:pPr>
              <w:widowControl/>
              <w:spacing w:line="300" w:lineRule="exact"/>
              <w:ind w:left="-12"/>
              <w:rPr>
                <w:rFonts w:eastAsia="標楷體"/>
                <w:color w:val="000000"/>
              </w:rPr>
            </w:pPr>
            <w:r>
              <w:rPr>
                <w:rFonts w:eastAsia="標楷體"/>
                <w:color w:val="000000"/>
              </w:rPr>
              <w:t>Brachialis</w:t>
            </w: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A400320"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34C4C17C"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7B3F8A3C"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4FA717FB"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584FDF82"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0B3E6A94" w14:textId="77777777" w:rsidR="00BD776B" w:rsidRDefault="00BD776B">
            <w:pPr>
              <w:widowControl/>
              <w:spacing w:line="300" w:lineRule="exact"/>
              <w:ind w:left="-142"/>
              <w:rPr>
                <w:rFonts w:eastAsia="標楷體"/>
                <w:color w:val="000000"/>
              </w:rPr>
            </w:pPr>
          </w:p>
        </w:tc>
      </w:tr>
      <w:tr w:rsidR="00BD776B" w14:paraId="3E853914"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206B6A38"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3D69E04" w14:textId="77777777" w:rsidR="00BD776B" w:rsidRDefault="00DF0C24">
            <w:pPr>
              <w:widowControl/>
              <w:spacing w:line="240" w:lineRule="exact"/>
              <w:ind w:left="14"/>
              <w:rPr>
                <w:rFonts w:eastAsia="標楷體"/>
                <w:color w:val="000000"/>
              </w:rPr>
            </w:pPr>
            <w:r>
              <w:rPr>
                <w:rFonts w:eastAsia="標楷體"/>
                <w:color w:val="000000"/>
              </w:rPr>
              <w:t>Pronated Forearm</w:t>
            </w:r>
          </w:p>
        </w:tc>
        <w:tc>
          <w:tcPr>
            <w:tcW w:w="3181"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B78D7B7" w14:textId="77777777" w:rsidR="00BD776B" w:rsidRDefault="00DF0C24">
            <w:pPr>
              <w:widowControl/>
              <w:spacing w:line="300" w:lineRule="exact"/>
              <w:ind w:left="-12"/>
              <w:rPr>
                <w:rFonts w:eastAsia="標楷體"/>
                <w:color w:val="000000"/>
              </w:rPr>
            </w:pPr>
            <w:r>
              <w:rPr>
                <w:rFonts w:eastAsia="標楷體"/>
                <w:color w:val="000000"/>
              </w:rPr>
              <w:t>Pronator quadratus</w:t>
            </w: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15F886A3"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A51D821"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0DD5DAE"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75FA112"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AB3069A"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711144B1" w14:textId="77777777" w:rsidR="00BD776B" w:rsidRDefault="00BD776B">
            <w:pPr>
              <w:widowControl/>
              <w:spacing w:line="300" w:lineRule="exact"/>
              <w:ind w:left="-142"/>
              <w:rPr>
                <w:rFonts w:eastAsia="標楷體"/>
                <w:color w:val="000000"/>
              </w:rPr>
            </w:pPr>
          </w:p>
        </w:tc>
      </w:tr>
      <w:tr w:rsidR="00BD776B" w14:paraId="093CD8E0"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17EB9AFF"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4A5DD3D"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A253445" w14:textId="77777777" w:rsidR="00BD776B" w:rsidRDefault="00DF0C24">
            <w:pPr>
              <w:widowControl/>
              <w:spacing w:line="300" w:lineRule="exact"/>
              <w:ind w:left="-12"/>
              <w:rPr>
                <w:rFonts w:eastAsia="標楷體"/>
                <w:color w:val="000000"/>
              </w:rPr>
            </w:pPr>
            <w:r>
              <w:rPr>
                <w:rFonts w:eastAsia="標楷體"/>
                <w:color w:val="000000"/>
              </w:rPr>
              <w:t>Pronator teres</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7052FD00"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AC0E335"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4D94BFD"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F44D351"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E6BC349"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472FA0E9" w14:textId="77777777" w:rsidR="00BD776B" w:rsidRDefault="00BD776B">
            <w:pPr>
              <w:widowControl/>
              <w:spacing w:line="300" w:lineRule="exact"/>
              <w:ind w:left="-142"/>
              <w:rPr>
                <w:rFonts w:eastAsia="標楷體"/>
                <w:color w:val="000000"/>
              </w:rPr>
            </w:pPr>
          </w:p>
        </w:tc>
      </w:tr>
      <w:tr w:rsidR="00BD776B" w14:paraId="1B272B98"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7E58AEC3"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2B35612F" w14:textId="77777777" w:rsidR="00BD776B" w:rsidRDefault="00DF0C24">
            <w:pPr>
              <w:widowControl/>
              <w:spacing w:line="240" w:lineRule="exact"/>
              <w:ind w:left="14"/>
              <w:rPr>
                <w:rFonts w:eastAsia="標楷體"/>
                <w:color w:val="000000"/>
              </w:rPr>
            </w:pPr>
            <w:r>
              <w:rPr>
                <w:rFonts w:eastAsia="標楷體"/>
                <w:color w:val="000000"/>
              </w:rPr>
              <w:t>Flexed Wrist</w:t>
            </w:r>
          </w:p>
        </w:tc>
        <w:tc>
          <w:tcPr>
            <w:tcW w:w="3181"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9DE02BE" w14:textId="77777777" w:rsidR="00BD776B" w:rsidRDefault="00DF0C24">
            <w:pPr>
              <w:widowControl/>
              <w:spacing w:line="300" w:lineRule="exact"/>
              <w:ind w:left="-12"/>
              <w:rPr>
                <w:rFonts w:eastAsia="標楷體"/>
                <w:color w:val="000000"/>
              </w:rPr>
            </w:pPr>
            <w:r>
              <w:rPr>
                <w:rFonts w:eastAsia="標楷體"/>
                <w:color w:val="000000"/>
              </w:rPr>
              <w:t>Flexor carpi radialis</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151C157B"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170DD15"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1DE60D3"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B352B3D"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1C8798E"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62EC37D7" w14:textId="77777777" w:rsidR="00BD776B" w:rsidRDefault="00BD776B">
            <w:pPr>
              <w:widowControl/>
              <w:spacing w:line="300" w:lineRule="exact"/>
              <w:ind w:left="-142"/>
              <w:rPr>
                <w:rFonts w:eastAsia="標楷體"/>
                <w:color w:val="000000"/>
              </w:rPr>
            </w:pPr>
          </w:p>
        </w:tc>
      </w:tr>
      <w:tr w:rsidR="00BD776B" w14:paraId="5FAA839B"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48C01CB1"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0D198E2B"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286FAF43" w14:textId="77777777" w:rsidR="00BD776B" w:rsidRDefault="00DF0C24">
            <w:pPr>
              <w:widowControl/>
              <w:spacing w:line="300" w:lineRule="exact"/>
              <w:ind w:left="-12"/>
              <w:rPr>
                <w:rFonts w:eastAsia="標楷體"/>
                <w:color w:val="000000"/>
              </w:rPr>
            </w:pPr>
            <w:r>
              <w:rPr>
                <w:rFonts w:eastAsia="標楷體"/>
                <w:color w:val="000000"/>
              </w:rPr>
              <w:t>Flexor carpi ulnaris</w:t>
            </w: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FA35430"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17E18DC8"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4308EB0D"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482E30CE"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2F133BEF"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0FEF0549" w14:textId="77777777" w:rsidR="00BD776B" w:rsidRDefault="00BD776B">
            <w:pPr>
              <w:widowControl/>
              <w:spacing w:line="300" w:lineRule="exact"/>
              <w:ind w:left="-142"/>
              <w:rPr>
                <w:rFonts w:eastAsia="標楷體"/>
                <w:color w:val="000000"/>
              </w:rPr>
            </w:pPr>
          </w:p>
        </w:tc>
      </w:tr>
      <w:tr w:rsidR="00BD776B" w14:paraId="032020A1"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2B87B317"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FEE54C5" w14:textId="77777777" w:rsidR="00BD776B" w:rsidRDefault="00DF0C24">
            <w:pPr>
              <w:widowControl/>
              <w:spacing w:line="240" w:lineRule="exact"/>
              <w:ind w:left="14"/>
              <w:rPr>
                <w:rFonts w:eastAsia="標楷體"/>
                <w:color w:val="000000"/>
              </w:rPr>
            </w:pPr>
            <w:r>
              <w:rPr>
                <w:rFonts w:eastAsia="標楷體"/>
                <w:color w:val="000000"/>
              </w:rPr>
              <w:t>Thumb-in -Palm</w:t>
            </w:r>
          </w:p>
        </w:tc>
        <w:tc>
          <w:tcPr>
            <w:tcW w:w="3181"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536D41F" w14:textId="77777777" w:rsidR="00BD776B" w:rsidRDefault="00DF0C24">
            <w:pPr>
              <w:widowControl/>
              <w:spacing w:line="300" w:lineRule="exact"/>
              <w:ind w:left="-12"/>
              <w:rPr>
                <w:rFonts w:eastAsia="標楷體"/>
                <w:color w:val="000000"/>
              </w:rPr>
            </w:pPr>
            <w:r>
              <w:rPr>
                <w:rFonts w:eastAsia="標楷體"/>
                <w:color w:val="000000"/>
              </w:rPr>
              <w:t>Flexor pollicis longus</w:t>
            </w: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637478D5"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64C7FD7"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FD10344"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0772F54"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75F8B60"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77729DE4" w14:textId="77777777" w:rsidR="00BD776B" w:rsidRDefault="00BD776B">
            <w:pPr>
              <w:widowControl/>
              <w:spacing w:line="300" w:lineRule="exact"/>
              <w:ind w:left="-142"/>
              <w:rPr>
                <w:rFonts w:eastAsia="標楷體"/>
                <w:color w:val="000000"/>
              </w:rPr>
            </w:pPr>
          </w:p>
        </w:tc>
      </w:tr>
      <w:tr w:rsidR="00BD776B" w14:paraId="38A07160"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02906A14"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9422D79"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AD7723C" w14:textId="77777777" w:rsidR="00BD776B" w:rsidRDefault="00DF0C24">
            <w:pPr>
              <w:widowControl/>
              <w:spacing w:line="300" w:lineRule="exact"/>
              <w:ind w:left="-12"/>
              <w:rPr>
                <w:rFonts w:eastAsia="標楷體"/>
                <w:color w:val="000000"/>
              </w:rPr>
            </w:pPr>
            <w:r>
              <w:rPr>
                <w:rFonts w:eastAsia="標楷體"/>
                <w:color w:val="000000"/>
              </w:rPr>
              <w:t>Adductor pollicis</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3646671A"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5EE1B4C"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A9A1E0E"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57FEB0E"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7696E78"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22BFF180" w14:textId="77777777" w:rsidR="00BD776B" w:rsidRDefault="00BD776B">
            <w:pPr>
              <w:widowControl/>
              <w:spacing w:line="300" w:lineRule="exact"/>
              <w:ind w:left="-142"/>
              <w:rPr>
                <w:rFonts w:eastAsia="標楷體"/>
                <w:color w:val="000000"/>
              </w:rPr>
            </w:pPr>
          </w:p>
        </w:tc>
      </w:tr>
      <w:tr w:rsidR="00BD776B" w14:paraId="32514AA5"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7E2A3A5A"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50D7DAA"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19ABD0B" w14:textId="77777777" w:rsidR="00BD776B" w:rsidRDefault="00DF0C24">
            <w:pPr>
              <w:widowControl/>
              <w:spacing w:line="300" w:lineRule="exact"/>
              <w:ind w:left="-12"/>
              <w:rPr>
                <w:rFonts w:eastAsia="標楷體"/>
                <w:color w:val="000000"/>
              </w:rPr>
            </w:pPr>
            <w:r>
              <w:rPr>
                <w:rFonts w:eastAsia="標楷體"/>
                <w:color w:val="000000"/>
              </w:rPr>
              <w:t>Flexor pollicis brevis/ opponens</w:t>
            </w: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534A7B"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7E5D1158"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536F53CE"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70EEE2F8"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17863BD5"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13B2180C" w14:textId="77777777" w:rsidR="00BD776B" w:rsidRDefault="00BD776B">
            <w:pPr>
              <w:widowControl/>
              <w:spacing w:line="300" w:lineRule="exact"/>
              <w:ind w:left="-142"/>
              <w:rPr>
                <w:rFonts w:eastAsia="標楷體"/>
                <w:color w:val="000000"/>
              </w:rPr>
            </w:pPr>
          </w:p>
        </w:tc>
      </w:tr>
      <w:tr w:rsidR="00BD776B" w14:paraId="285B9827"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73A95DF3"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3863474" w14:textId="77777777" w:rsidR="00BD776B" w:rsidRDefault="00DF0C24">
            <w:pPr>
              <w:widowControl/>
              <w:spacing w:line="240" w:lineRule="exact"/>
              <w:ind w:left="14"/>
              <w:rPr>
                <w:rFonts w:eastAsia="標楷體"/>
                <w:color w:val="000000"/>
              </w:rPr>
            </w:pPr>
            <w:r>
              <w:rPr>
                <w:rFonts w:eastAsia="標楷體"/>
                <w:color w:val="000000"/>
              </w:rPr>
              <w:t>Clenched Fist</w:t>
            </w:r>
          </w:p>
        </w:tc>
        <w:tc>
          <w:tcPr>
            <w:tcW w:w="318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0E9725AD" w14:textId="77777777" w:rsidR="00BD776B" w:rsidRDefault="00DF0C24">
            <w:pPr>
              <w:widowControl/>
              <w:spacing w:line="300" w:lineRule="exact"/>
              <w:ind w:left="-12"/>
              <w:rPr>
                <w:rFonts w:eastAsia="標楷體"/>
                <w:color w:val="000000"/>
              </w:rPr>
            </w:pPr>
            <w:r>
              <w:rPr>
                <w:rFonts w:eastAsia="標楷體"/>
                <w:color w:val="000000"/>
              </w:rPr>
              <w:t>Flexor digitorum superficialis (per fascicle)</w:t>
            </w: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578D2807"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4567A3"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5C2EA"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43357A9"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0B6C144"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0E212380" w14:textId="77777777" w:rsidR="00BD776B" w:rsidRDefault="00BD776B">
            <w:pPr>
              <w:widowControl/>
              <w:spacing w:line="300" w:lineRule="exact"/>
              <w:ind w:left="-142"/>
              <w:rPr>
                <w:rFonts w:eastAsia="標楷體"/>
                <w:color w:val="000000"/>
              </w:rPr>
            </w:pPr>
          </w:p>
        </w:tc>
      </w:tr>
      <w:tr w:rsidR="00BD776B" w14:paraId="32BA4477"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5CE8E1EA"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D2FAE5D"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9411640" w14:textId="77777777" w:rsidR="00BD776B" w:rsidRDefault="00DF0C24">
            <w:pPr>
              <w:widowControl/>
              <w:spacing w:line="300" w:lineRule="exact"/>
              <w:ind w:left="-12"/>
              <w:rPr>
                <w:rFonts w:eastAsia="標楷體"/>
                <w:color w:val="000000"/>
              </w:rPr>
            </w:pPr>
            <w:r>
              <w:rPr>
                <w:rFonts w:eastAsia="標楷體"/>
                <w:color w:val="000000"/>
              </w:rPr>
              <w:t>Flexor digitorum profundus (per fascicle)</w:t>
            </w: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FF87D1"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560A2C59"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5F5440DA"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3E48C1F6"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0845E13F"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7BDEF06B" w14:textId="77777777" w:rsidR="00BD776B" w:rsidRDefault="00BD776B">
            <w:pPr>
              <w:widowControl/>
              <w:spacing w:line="300" w:lineRule="exact"/>
              <w:ind w:left="-142"/>
              <w:rPr>
                <w:rFonts w:eastAsia="標楷體"/>
                <w:color w:val="000000"/>
              </w:rPr>
            </w:pPr>
          </w:p>
        </w:tc>
      </w:tr>
      <w:tr w:rsidR="00BD776B" w14:paraId="51D2620A"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2EE14BFE" w14:textId="77777777" w:rsidR="00BD776B" w:rsidRDefault="00BD776B">
            <w:pPr>
              <w:widowControl/>
              <w:spacing w:line="300" w:lineRule="exact"/>
              <w:ind w:left="-142"/>
              <w:rPr>
                <w:rFonts w:eastAsia="標楷體"/>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42D230C" w14:textId="77777777" w:rsidR="00BD776B" w:rsidRDefault="00DF0C24">
            <w:pPr>
              <w:widowControl/>
              <w:spacing w:line="240" w:lineRule="exact"/>
              <w:ind w:left="14"/>
              <w:rPr>
                <w:rFonts w:eastAsia="標楷體"/>
                <w:color w:val="221815"/>
              </w:rPr>
            </w:pPr>
            <w:r>
              <w:rPr>
                <w:rFonts w:eastAsia="標楷體"/>
                <w:color w:val="221815"/>
              </w:rPr>
              <w:t>Intrinsic plus hand</w:t>
            </w:r>
          </w:p>
        </w:tc>
        <w:tc>
          <w:tcPr>
            <w:tcW w:w="318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2A639AF" w14:textId="77777777" w:rsidR="00BD776B" w:rsidRDefault="00DF0C24">
            <w:pPr>
              <w:widowControl/>
              <w:spacing w:line="300" w:lineRule="exact"/>
              <w:ind w:left="-12"/>
              <w:rPr>
                <w:rFonts w:eastAsia="標楷體"/>
                <w:color w:val="000000"/>
              </w:rPr>
            </w:pPr>
            <w:r>
              <w:rPr>
                <w:rFonts w:eastAsia="標楷體"/>
                <w:color w:val="000000"/>
              </w:rPr>
              <w:t>Lumbricales/interossei (per lumbrical)</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DFFBC80"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36EF50BE"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15F9657D"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1BB7256F"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5C23CF91"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64DEC903" w14:textId="77777777" w:rsidR="00BD776B" w:rsidRDefault="00BD776B">
            <w:pPr>
              <w:widowControl/>
              <w:spacing w:line="300" w:lineRule="exact"/>
              <w:ind w:left="-142"/>
              <w:rPr>
                <w:rFonts w:eastAsia="標楷體"/>
                <w:color w:val="000000"/>
              </w:rPr>
            </w:pPr>
          </w:p>
        </w:tc>
      </w:tr>
      <w:tr w:rsidR="00BD776B" w14:paraId="431B8FC6"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0F07ED55" w14:textId="77777777" w:rsidR="00BD776B" w:rsidRDefault="00BD776B">
            <w:pPr>
              <w:widowControl/>
              <w:spacing w:line="300" w:lineRule="exact"/>
              <w:ind w:left="-142"/>
              <w:rPr>
                <w:rFonts w:eastAsia="標楷體"/>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3E28853C" w14:textId="77777777" w:rsidR="00BD776B" w:rsidRDefault="00DF0C24">
            <w:pPr>
              <w:widowControl/>
              <w:spacing w:line="240" w:lineRule="exact"/>
              <w:ind w:left="14"/>
              <w:rPr>
                <w:rFonts w:eastAsia="標楷體"/>
                <w:color w:val="221815"/>
              </w:rPr>
            </w:pPr>
            <w:r>
              <w:rPr>
                <w:rFonts w:eastAsia="標楷體"/>
                <w:color w:val="221815"/>
              </w:rPr>
              <w:t>Others</w:t>
            </w:r>
          </w:p>
        </w:tc>
        <w:tc>
          <w:tcPr>
            <w:tcW w:w="3181"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38C20D8" w14:textId="77777777" w:rsidR="00BD776B" w:rsidRDefault="00BD776B">
            <w:pPr>
              <w:widowControl/>
              <w:spacing w:line="300" w:lineRule="exact"/>
              <w:ind w:left="-12"/>
              <w:rPr>
                <w:rFonts w:eastAsia="標楷體"/>
                <w:color w:val="000000"/>
              </w:rPr>
            </w:pP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21D4D457"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E2C739"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301C9B3"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6A39266"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C3419A4"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15C8601A" w14:textId="77777777" w:rsidR="00BD776B" w:rsidRDefault="00BD776B">
            <w:pPr>
              <w:widowControl/>
              <w:spacing w:line="300" w:lineRule="exact"/>
              <w:ind w:left="-142"/>
              <w:rPr>
                <w:rFonts w:eastAsia="標楷體"/>
                <w:color w:val="000000"/>
              </w:rPr>
            </w:pPr>
          </w:p>
        </w:tc>
      </w:tr>
      <w:tr w:rsidR="00BD776B" w14:paraId="2AFCF295"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13677FF7" w14:textId="77777777" w:rsidR="00BD776B" w:rsidRDefault="00BD776B">
            <w:pPr>
              <w:widowControl/>
              <w:spacing w:line="300" w:lineRule="exact"/>
              <w:ind w:left="-142"/>
              <w:rPr>
                <w:rFonts w:eastAsia="標楷體"/>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04A4E2D4" w14:textId="77777777" w:rsidR="00BD776B" w:rsidRDefault="00BD776B">
            <w:pPr>
              <w:widowControl/>
              <w:spacing w:line="240" w:lineRule="exact"/>
              <w:ind w:left="14"/>
              <w:rPr>
                <w:rFonts w:eastAsia="標楷體"/>
                <w:color w:val="221815"/>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449E860E" w14:textId="77777777" w:rsidR="00BD776B" w:rsidRDefault="00BD776B">
            <w:pPr>
              <w:widowControl/>
              <w:spacing w:line="300" w:lineRule="exact"/>
              <w:ind w:left="-12"/>
              <w:rPr>
                <w:rFonts w:eastAsia="標楷體"/>
                <w:color w:val="000000"/>
              </w:rPr>
            </w:pP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08992EB"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08D5EDF5"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12168668"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052EF251"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7512B92E"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6A571CE8" w14:textId="77777777" w:rsidR="00BD776B" w:rsidRDefault="00BD776B">
            <w:pPr>
              <w:widowControl/>
              <w:spacing w:line="300" w:lineRule="exact"/>
              <w:ind w:left="-142"/>
              <w:rPr>
                <w:rFonts w:eastAsia="標楷體"/>
                <w:color w:val="000000"/>
              </w:rPr>
            </w:pPr>
          </w:p>
        </w:tc>
      </w:tr>
      <w:tr w:rsidR="00BD776B" w14:paraId="4DE55DDE" w14:textId="77777777">
        <w:trPr>
          <w:trHeight w:val="262"/>
        </w:trPr>
        <w:tc>
          <w:tcPr>
            <w:tcW w:w="351"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44F31319" w14:textId="77777777" w:rsidR="00BD776B" w:rsidRDefault="00DF0C24">
            <w:pPr>
              <w:widowControl/>
              <w:spacing w:line="300" w:lineRule="exact"/>
              <w:ind w:left="-142"/>
              <w:jc w:val="center"/>
              <w:rPr>
                <w:rFonts w:eastAsia="標楷體"/>
                <w:b/>
                <w:bCs/>
                <w:color w:val="000000"/>
              </w:rPr>
            </w:pPr>
            <w:r>
              <w:rPr>
                <w:rFonts w:eastAsia="標楷體"/>
                <w:b/>
                <w:bCs/>
                <w:color w:val="000000"/>
              </w:rPr>
              <w:t>Lower Limb</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3C307F2C" w14:textId="77777777" w:rsidR="00BD776B" w:rsidRDefault="00DF0C24">
            <w:pPr>
              <w:widowControl/>
              <w:spacing w:line="240" w:lineRule="exact"/>
              <w:ind w:left="14"/>
              <w:rPr>
                <w:rFonts w:eastAsia="標楷體"/>
                <w:color w:val="000000"/>
              </w:rPr>
            </w:pPr>
            <w:r>
              <w:rPr>
                <w:rFonts w:eastAsia="標楷體"/>
                <w:color w:val="000000"/>
              </w:rPr>
              <w:t>Equinovarus Foot</w:t>
            </w:r>
          </w:p>
        </w:tc>
        <w:tc>
          <w:tcPr>
            <w:tcW w:w="318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2B8B93B3" w14:textId="77777777" w:rsidR="00BD776B" w:rsidRDefault="00DF0C24">
            <w:pPr>
              <w:widowControl/>
              <w:spacing w:line="300" w:lineRule="exact"/>
              <w:ind w:left="-12"/>
              <w:rPr>
                <w:rFonts w:eastAsia="標楷體"/>
                <w:color w:val="000000"/>
              </w:rPr>
            </w:pPr>
            <w:r>
              <w:rPr>
                <w:rFonts w:eastAsia="標楷體"/>
                <w:color w:val="000000"/>
              </w:rPr>
              <w:t>Gastrocnemius medial/lateral</w:t>
            </w: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24AE1644"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598F92F"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89C48AF"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E9D156D"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B4BC4C0"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14C7BE8A" w14:textId="77777777" w:rsidR="00BD776B" w:rsidRDefault="00BD776B">
            <w:pPr>
              <w:widowControl/>
              <w:spacing w:line="300" w:lineRule="exact"/>
              <w:ind w:left="-142"/>
              <w:rPr>
                <w:rFonts w:eastAsia="標楷體"/>
                <w:color w:val="000000"/>
              </w:rPr>
            </w:pPr>
          </w:p>
        </w:tc>
      </w:tr>
      <w:tr w:rsidR="00BD776B" w14:paraId="7CB057F1"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734EEE27" w14:textId="77777777" w:rsidR="00BD776B" w:rsidRDefault="00BD776B">
            <w:pPr>
              <w:widowControl/>
              <w:spacing w:line="300" w:lineRule="exact"/>
              <w:ind w:left="-142"/>
              <w:rPr>
                <w:rFonts w:eastAsia="標楷體"/>
                <w:b/>
                <w:bCs/>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36134C93"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1D6D675D" w14:textId="77777777" w:rsidR="00BD776B" w:rsidRDefault="00DF0C24">
            <w:pPr>
              <w:widowControl/>
              <w:spacing w:line="300" w:lineRule="exact"/>
              <w:ind w:left="-12"/>
              <w:rPr>
                <w:rFonts w:eastAsia="標楷體"/>
                <w:color w:val="000000"/>
              </w:rPr>
            </w:pPr>
            <w:r>
              <w:rPr>
                <w:rFonts w:eastAsia="標楷體"/>
                <w:color w:val="000000"/>
              </w:rPr>
              <w:t>Soleus</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09232AF6"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533E07B"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237A29A"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B65D892"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D321EB9"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16D17634" w14:textId="77777777" w:rsidR="00BD776B" w:rsidRDefault="00BD776B">
            <w:pPr>
              <w:widowControl/>
              <w:spacing w:line="300" w:lineRule="exact"/>
              <w:ind w:left="-142"/>
              <w:rPr>
                <w:rFonts w:eastAsia="標楷體"/>
                <w:color w:val="000000"/>
              </w:rPr>
            </w:pPr>
          </w:p>
        </w:tc>
      </w:tr>
      <w:tr w:rsidR="00BD776B" w14:paraId="01FDC9D5"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142ABB74" w14:textId="77777777" w:rsidR="00BD776B" w:rsidRDefault="00BD776B">
            <w:pPr>
              <w:widowControl/>
              <w:spacing w:line="300" w:lineRule="exact"/>
              <w:ind w:left="-142"/>
              <w:rPr>
                <w:rFonts w:eastAsia="標楷體"/>
                <w:b/>
                <w:bCs/>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46661134"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54AEDD58" w14:textId="77777777" w:rsidR="00BD776B" w:rsidRDefault="00DF0C24">
            <w:pPr>
              <w:widowControl/>
              <w:spacing w:line="300" w:lineRule="exact"/>
              <w:ind w:left="-12"/>
              <w:rPr>
                <w:rFonts w:eastAsia="標楷體"/>
                <w:color w:val="000000"/>
              </w:rPr>
            </w:pPr>
            <w:r>
              <w:rPr>
                <w:rFonts w:eastAsia="標楷體"/>
                <w:color w:val="000000"/>
              </w:rPr>
              <w:t>Tibialis posterior</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536E508F"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1564C0"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1C6FBAF"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9B22B90"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33DF5A1"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7B04CB72" w14:textId="77777777" w:rsidR="00BD776B" w:rsidRDefault="00BD776B">
            <w:pPr>
              <w:widowControl/>
              <w:spacing w:line="300" w:lineRule="exact"/>
              <w:ind w:left="-142"/>
              <w:rPr>
                <w:rFonts w:eastAsia="標楷體"/>
                <w:color w:val="000000"/>
              </w:rPr>
            </w:pPr>
          </w:p>
        </w:tc>
      </w:tr>
      <w:tr w:rsidR="00BD776B" w14:paraId="1F6C6170"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0034ACB3" w14:textId="77777777" w:rsidR="00BD776B" w:rsidRDefault="00BD776B">
            <w:pPr>
              <w:widowControl/>
              <w:spacing w:line="300" w:lineRule="exact"/>
              <w:ind w:left="-142"/>
              <w:rPr>
                <w:rFonts w:eastAsia="標楷體"/>
                <w:b/>
                <w:bCs/>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7FD20AF8"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37FBC8EB" w14:textId="77777777" w:rsidR="00BD776B" w:rsidRDefault="00DF0C24">
            <w:pPr>
              <w:widowControl/>
              <w:spacing w:line="300" w:lineRule="exact"/>
              <w:ind w:left="-12"/>
              <w:rPr>
                <w:rFonts w:eastAsia="標楷體"/>
                <w:color w:val="000000"/>
              </w:rPr>
            </w:pPr>
            <w:r>
              <w:rPr>
                <w:rFonts w:eastAsia="標楷體"/>
                <w:color w:val="000000"/>
              </w:rPr>
              <w:t>Flexor digitorum longus</w:t>
            </w: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5157C08D"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E82D19E"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BB05F8E"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84EBD86"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FC9B019"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67757091" w14:textId="77777777" w:rsidR="00BD776B" w:rsidRDefault="00BD776B">
            <w:pPr>
              <w:widowControl/>
              <w:spacing w:line="300" w:lineRule="exact"/>
              <w:ind w:left="-142"/>
              <w:rPr>
                <w:rFonts w:eastAsia="標楷體"/>
                <w:color w:val="000000"/>
              </w:rPr>
            </w:pPr>
          </w:p>
        </w:tc>
      </w:tr>
      <w:tr w:rsidR="00BD776B" w14:paraId="2AE0E559"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1BE2DBB5" w14:textId="77777777" w:rsidR="00BD776B" w:rsidRDefault="00BD776B">
            <w:pPr>
              <w:widowControl/>
              <w:spacing w:line="300" w:lineRule="exact"/>
              <w:ind w:left="-142"/>
              <w:rPr>
                <w:rFonts w:eastAsia="標楷體"/>
                <w:b/>
                <w:bCs/>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913764F" w14:textId="77777777" w:rsidR="00BD776B" w:rsidRDefault="00BD776B">
            <w:pPr>
              <w:widowControl/>
              <w:spacing w:line="240" w:lineRule="exact"/>
              <w:ind w:left="14"/>
              <w:rPr>
                <w:rFonts w:eastAsia="標楷體"/>
                <w:color w:val="000000"/>
              </w:rPr>
            </w:pPr>
          </w:p>
        </w:tc>
        <w:tc>
          <w:tcPr>
            <w:tcW w:w="318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AAEA073" w14:textId="77777777" w:rsidR="00BD776B" w:rsidRDefault="00DF0C24">
            <w:pPr>
              <w:widowControl/>
              <w:spacing w:line="300" w:lineRule="exact"/>
              <w:ind w:left="-12"/>
              <w:rPr>
                <w:rFonts w:eastAsia="標楷體"/>
                <w:color w:val="000000"/>
              </w:rPr>
            </w:pPr>
            <w:r>
              <w:rPr>
                <w:rFonts w:eastAsia="標楷體"/>
                <w:color w:val="000000"/>
              </w:rPr>
              <w:t>Flexor hallucis longus</w:t>
            </w:r>
          </w:p>
        </w:tc>
        <w:tc>
          <w:tcPr>
            <w:tcW w:w="831"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4E16E6"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36D13518"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12EEB4C2"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6A99448D"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14E7B968"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tcPr>
          <w:p w14:paraId="18C078A4" w14:textId="77777777" w:rsidR="00BD776B" w:rsidRDefault="00BD776B">
            <w:pPr>
              <w:widowControl/>
              <w:spacing w:line="300" w:lineRule="exact"/>
              <w:ind w:left="-142"/>
              <w:rPr>
                <w:rFonts w:eastAsia="標楷體"/>
                <w:color w:val="000000"/>
              </w:rPr>
            </w:pPr>
          </w:p>
        </w:tc>
      </w:tr>
      <w:tr w:rsidR="00BD776B" w14:paraId="5DD43EF6"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10CB62E6" w14:textId="77777777" w:rsidR="00BD776B" w:rsidRDefault="00BD776B">
            <w:pPr>
              <w:widowControl/>
              <w:spacing w:line="300" w:lineRule="exact"/>
              <w:ind w:left="-142"/>
              <w:rPr>
                <w:rFonts w:eastAsia="標楷體"/>
                <w:b/>
                <w:bCs/>
                <w:color w:val="000000"/>
              </w:rPr>
            </w:pP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659DC3AE" w14:textId="77777777" w:rsidR="00BD776B" w:rsidRDefault="00DF0C24">
            <w:pPr>
              <w:widowControl/>
              <w:spacing w:line="240" w:lineRule="exact"/>
              <w:ind w:left="14"/>
              <w:rPr>
                <w:rFonts w:eastAsia="標楷體"/>
                <w:color w:val="000000"/>
              </w:rPr>
            </w:pPr>
            <w:r>
              <w:rPr>
                <w:rFonts w:eastAsia="標楷體"/>
                <w:color w:val="000000"/>
              </w:rPr>
              <w:t>Others</w:t>
            </w:r>
          </w:p>
        </w:tc>
        <w:tc>
          <w:tcPr>
            <w:tcW w:w="318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7068D7E7" w14:textId="77777777" w:rsidR="00BD776B" w:rsidRDefault="00BD776B">
            <w:pPr>
              <w:widowControl/>
              <w:spacing w:line="300" w:lineRule="exact"/>
              <w:ind w:left="-142"/>
              <w:rPr>
                <w:rFonts w:eastAsia="標楷體"/>
                <w:color w:val="000000"/>
              </w:rPr>
            </w:pPr>
          </w:p>
        </w:tc>
        <w:tc>
          <w:tcPr>
            <w:tcW w:w="831" w:type="dxa"/>
            <w:tcBorders>
              <w:top w:val="single" w:sz="8"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012FB621"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E6AB12F" w14:textId="77777777" w:rsidR="00BD776B" w:rsidRDefault="00BD776B">
            <w:pPr>
              <w:widowControl/>
              <w:spacing w:line="300" w:lineRule="exact"/>
              <w:ind w:left="-142"/>
              <w:rPr>
                <w:rFonts w:eastAsia="標楷體"/>
                <w:color w:val="000000"/>
              </w:rPr>
            </w:pPr>
          </w:p>
        </w:tc>
        <w:tc>
          <w:tcPr>
            <w:tcW w:w="1158"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E1C1D75"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7A2FE7D" w14:textId="77777777" w:rsidR="00BD776B" w:rsidRDefault="00BD776B">
            <w:pPr>
              <w:widowControl/>
              <w:spacing w:line="300" w:lineRule="exact"/>
              <w:ind w:left="-142"/>
              <w:rPr>
                <w:rFonts w:eastAsia="標楷體"/>
                <w:color w:val="000000"/>
              </w:rPr>
            </w:pPr>
          </w:p>
        </w:tc>
        <w:tc>
          <w:tcPr>
            <w:tcW w:w="412" w:type="dxa"/>
            <w:tcBorders>
              <w:top w:val="single" w:sz="8"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309CFB5" w14:textId="77777777" w:rsidR="00BD776B" w:rsidRDefault="00BD776B">
            <w:pPr>
              <w:widowControl/>
              <w:spacing w:line="300" w:lineRule="exact"/>
              <w:ind w:left="-142"/>
              <w:rPr>
                <w:rFonts w:eastAsia="標楷體"/>
                <w:color w:val="000000"/>
              </w:rPr>
            </w:pPr>
          </w:p>
        </w:tc>
        <w:tc>
          <w:tcPr>
            <w:tcW w:w="526"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0A724BD7" w14:textId="77777777" w:rsidR="00BD776B" w:rsidRDefault="00BD776B">
            <w:pPr>
              <w:widowControl/>
              <w:spacing w:line="300" w:lineRule="exact"/>
              <w:ind w:left="-142"/>
              <w:rPr>
                <w:rFonts w:eastAsia="標楷體"/>
                <w:color w:val="000000"/>
              </w:rPr>
            </w:pPr>
          </w:p>
        </w:tc>
      </w:tr>
      <w:tr w:rsidR="00BD776B" w14:paraId="2202C8B8" w14:textId="77777777">
        <w:trPr>
          <w:trHeight w:val="262"/>
        </w:trPr>
        <w:tc>
          <w:tcPr>
            <w:tcW w:w="351"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textDirection w:val="btLr"/>
            <w:vAlign w:val="center"/>
          </w:tcPr>
          <w:p w14:paraId="328044A0" w14:textId="77777777" w:rsidR="00BD776B" w:rsidRDefault="00BD776B">
            <w:pPr>
              <w:widowControl/>
              <w:spacing w:line="300" w:lineRule="exact"/>
              <w:ind w:left="-142"/>
              <w:rPr>
                <w:rFonts w:eastAsia="標楷體"/>
                <w:b/>
                <w:bCs/>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14:paraId="7DD57F1E" w14:textId="77777777" w:rsidR="00BD776B" w:rsidRDefault="00BD776B">
            <w:pPr>
              <w:widowControl/>
              <w:spacing w:line="240" w:lineRule="exact"/>
              <w:ind w:left="-142"/>
              <w:rPr>
                <w:rFonts w:eastAsia="標楷體"/>
                <w:color w:val="000000"/>
              </w:rPr>
            </w:pPr>
          </w:p>
        </w:tc>
        <w:tc>
          <w:tcPr>
            <w:tcW w:w="318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027AAFAB" w14:textId="77777777" w:rsidR="00BD776B" w:rsidRDefault="00BD776B">
            <w:pPr>
              <w:widowControl/>
              <w:spacing w:line="300" w:lineRule="exact"/>
              <w:ind w:left="-142"/>
              <w:rPr>
                <w:rFonts w:eastAsia="標楷體"/>
                <w:color w:val="000000"/>
              </w:rPr>
            </w:pPr>
          </w:p>
        </w:tc>
        <w:tc>
          <w:tcPr>
            <w:tcW w:w="831" w:type="dxa"/>
            <w:tcBorders>
              <w:top w:val="single" w:sz="4" w:space="0" w:color="000000"/>
              <w:left w:val="single" w:sz="8" w:space="0" w:color="000000"/>
              <w:bottom w:val="single" w:sz="4" w:space="0" w:color="000000"/>
              <w:right w:val="single" w:sz="8" w:space="0" w:color="000000"/>
            </w:tcBorders>
            <w:shd w:val="clear" w:color="auto" w:fill="auto"/>
            <w:tcMar>
              <w:top w:w="0" w:type="dxa"/>
              <w:left w:w="28" w:type="dxa"/>
              <w:bottom w:w="0" w:type="dxa"/>
              <w:right w:w="28" w:type="dxa"/>
            </w:tcMar>
          </w:tcPr>
          <w:p w14:paraId="37B1D9B6"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CF9E380" w14:textId="77777777" w:rsidR="00BD776B" w:rsidRDefault="00BD776B">
            <w:pPr>
              <w:widowControl/>
              <w:spacing w:line="300" w:lineRule="exact"/>
              <w:ind w:left="-142"/>
              <w:rPr>
                <w:rFonts w:eastAsia="標楷體"/>
                <w:color w:val="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99981CF"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115DA02" w14:textId="77777777" w:rsidR="00BD776B" w:rsidRDefault="00BD776B">
            <w:pPr>
              <w:widowControl/>
              <w:spacing w:line="300" w:lineRule="exact"/>
              <w:ind w:left="-142"/>
              <w:rPr>
                <w:rFonts w:eastAsia="標楷體"/>
                <w:color w:val="000000"/>
              </w:rPr>
            </w:pPr>
          </w:p>
        </w:tc>
        <w:tc>
          <w:tcPr>
            <w:tcW w:w="412" w:type="dxa"/>
            <w:tcBorders>
              <w:top w:val="single" w:sz="4" w:space="0" w:color="000000"/>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E596992" w14:textId="77777777" w:rsidR="00BD776B" w:rsidRDefault="00BD776B">
            <w:pPr>
              <w:widowControl/>
              <w:spacing w:line="300" w:lineRule="exact"/>
              <w:ind w:left="-142"/>
              <w:rPr>
                <w:rFonts w:eastAsia="標楷體"/>
                <w:color w:val="000000"/>
              </w:rPr>
            </w:pPr>
          </w:p>
        </w:tc>
        <w:tc>
          <w:tcPr>
            <w:tcW w:w="526"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tcPr>
          <w:p w14:paraId="77340723" w14:textId="77777777" w:rsidR="00BD776B" w:rsidRDefault="00BD776B">
            <w:pPr>
              <w:widowControl/>
              <w:spacing w:line="300" w:lineRule="exact"/>
              <w:ind w:left="-142"/>
              <w:rPr>
                <w:rFonts w:eastAsia="標楷體"/>
                <w:color w:val="000000"/>
              </w:rPr>
            </w:pPr>
          </w:p>
        </w:tc>
      </w:tr>
      <w:tr w:rsidR="00BD776B" w14:paraId="04C39544" w14:textId="77777777">
        <w:trPr>
          <w:trHeight w:val="262"/>
        </w:trPr>
        <w:tc>
          <w:tcPr>
            <w:tcW w:w="973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FDB102F" w14:textId="77777777" w:rsidR="00BD776B" w:rsidRDefault="00DF0C24">
            <w:pPr>
              <w:widowControl/>
              <w:spacing w:before="115" w:after="115"/>
              <w:rPr>
                <w:rFonts w:eastAsia="標楷體"/>
                <w:b/>
                <w:bCs/>
                <w:color w:val="000000"/>
                <w:sz w:val="22"/>
              </w:rPr>
            </w:pPr>
            <w:r>
              <w:rPr>
                <w:rFonts w:eastAsia="標楷體"/>
                <w:b/>
                <w:bCs/>
                <w:color w:val="000000"/>
                <w:sz w:val="22"/>
              </w:rPr>
              <w:t>以下條件均須為是</w:t>
            </w:r>
            <w:r>
              <w:rPr>
                <w:rFonts w:eastAsia="標楷體"/>
                <w:b/>
                <w:bCs/>
                <w:color w:val="000000"/>
                <w:sz w:val="22"/>
              </w:rPr>
              <w:t>:</w:t>
            </w:r>
          </w:p>
          <w:p w14:paraId="7208D701" w14:textId="77777777" w:rsidR="00BD776B" w:rsidRDefault="00DF0C24">
            <w:pPr>
              <w:widowControl/>
              <w:spacing w:before="115" w:after="115"/>
              <w:ind w:left="231" w:hanging="231"/>
            </w:pPr>
            <w:r>
              <w:rPr>
                <w:rFonts w:eastAsia="標楷體"/>
                <w:b/>
                <w:bCs/>
                <w:color w:val="000000"/>
                <w:sz w:val="22"/>
              </w:rPr>
              <w:lastRenderedPageBreak/>
              <w:t xml:space="preserve">□ </w:t>
            </w:r>
            <w:r>
              <w:rPr>
                <w:rFonts w:eastAsia="標楷體"/>
                <w:color w:val="000000"/>
                <w:sz w:val="22"/>
              </w:rPr>
              <w:t>使用</w:t>
            </w:r>
            <w:r>
              <w:rPr>
                <w:rFonts w:eastAsia="標楷體"/>
                <w:color w:val="000000"/>
                <w:sz w:val="22"/>
              </w:rPr>
              <w:t>Dysport</w:t>
            </w:r>
            <w:r>
              <w:rPr>
                <w:rFonts w:eastAsia="標楷體"/>
                <w:color w:val="000000"/>
                <w:sz w:val="22"/>
              </w:rPr>
              <w:t>者，須為腦中風經藥物</w:t>
            </w:r>
            <w:r>
              <w:rPr>
                <w:rFonts w:eastAsia="標楷體"/>
                <w:color w:val="000000"/>
                <w:sz w:val="22"/>
              </w:rPr>
              <w:t>/</w:t>
            </w:r>
            <w:r>
              <w:rPr>
                <w:rFonts w:eastAsia="標楷體"/>
                <w:color w:val="000000"/>
                <w:sz w:val="22"/>
              </w:rPr>
              <w:t>復健治療</w:t>
            </w:r>
            <w:r>
              <w:rPr>
                <w:rFonts w:eastAsia="標楷體"/>
                <w:color w:val="000000"/>
                <w:sz w:val="22"/>
              </w:rPr>
              <w:t>3</w:t>
            </w:r>
            <w:r>
              <w:rPr>
                <w:rFonts w:eastAsia="標楷體"/>
                <w:color w:val="000000"/>
                <w:sz w:val="22"/>
              </w:rPr>
              <w:t>個月後仍有手臂或下肢痙攣；</w:t>
            </w:r>
          </w:p>
          <w:p w14:paraId="582D2BD6" w14:textId="77777777" w:rsidR="00BD776B" w:rsidRDefault="00DF0C24">
            <w:pPr>
              <w:widowControl/>
              <w:spacing w:before="115" w:after="115"/>
              <w:ind w:left="1200" w:hanging="960"/>
            </w:pPr>
            <w:r>
              <w:rPr>
                <w:rFonts w:eastAsia="標楷體"/>
                <w:color w:val="000000"/>
                <w:sz w:val="22"/>
              </w:rPr>
              <w:t>或使用</w:t>
            </w:r>
            <w:r>
              <w:rPr>
                <w:rFonts w:eastAsia="標楷體"/>
                <w:color w:val="221815"/>
                <w:w w:val="95"/>
                <w:sz w:val="22"/>
              </w:rPr>
              <w:t>Botox</w:t>
            </w:r>
            <w:r>
              <w:rPr>
                <w:rFonts w:eastAsia="標楷體"/>
                <w:color w:val="000000"/>
                <w:sz w:val="22"/>
              </w:rPr>
              <w:t>者，須為腦中風經藥物</w:t>
            </w:r>
            <w:r>
              <w:rPr>
                <w:rFonts w:eastAsia="標楷體"/>
                <w:color w:val="000000"/>
                <w:sz w:val="22"/>
              </w:rPr>
              <w:t>/</w:t>
            </w:r>
            <w:r>
              <w:rPr>
                <w:rFonts w:eastAsia="標楷體"/>
                <w:color w:val="000000"/>
                <w:sz w:val="22"/>
              </w:rPr>
              <w:t>復健治療</w:t>
            </w:r>
            <w:r>
              <w:rPr>
                <w:rFonts w:eastAsia="標楷體"/>
                <w:color w:val="000000"/>
                <w:sz w:val="22"/>
              </w:rPr>
              <w:t>6</w:t>
            </w:r>
            <w:r>
              <w:rPr>
                <w:rFonts w:eastAsia="標楷體"/>
                <w:color w:val="000000"/>
                <w:sz w:val="22"/>
              </w:rPr>
              <w:t>個月後仍有手臂痙攣或前述治療</w:t>
            </w:r>
            <w:r>
              <w:rPr>
                <w:rFonts w:eastAsia="標楷體"/>
                <w:color w:val="000000"/>
                <w:sz w:val="22"/>
              </w:rPr>
              <w:t>3</w:t>
            </w:r>
            <w:r>
              <w:rPr>
                <w:rFonts w:eastAsia="標楷體"/>
                <w:color w:val="000000"/>
                <w:sz w:val="22"/>
              </w:rPr>
              <w:t>個月後仍有下肢痙攣</w:t>
            </w:r>
          </w:p>
          <w:p w14:paraId="57F78EED" w14:textId="77777777" w:rsidR="00BD776B" w:rsidRDefault="00DF0C24">
            <w:pPr>
              <w:widowControl/>
              <w:spacing w:before="115" w:after="115"/>
            </w:pPr>
            <w:r>
              <w:rPr>
                <w:rFonts w:eastAsia="標楷體"/>
                <w:b/>
                <w:bCs/>
                <w:color w:val="000000"/>
                <w:sz w:val="22"/>
              </w:rPr>
              <w:t xml:space="preserve">□ </w:t>
            </w:r>
            <w:r>
              <w:rPr>
                <w:rFonts w:eastAsia="標楷體"/>
                <w:color w:val="000000"/>
                <w:sz w:val="22"/>
              </w:rPr>
              <w:t>已排除意識不清且合併臥床</w:t>
            </w:r>
          </w:p>
          <w:p w14:paraId="4F33004D" w14:textId="77777777" w:rsidR="00BD776B" w:rsidRDefault="00DF0C24">
            <w:pPr>
              <w:widowControl/>
              <w:spacing w:before="115" w:after="115"/>
            </w:pPr>
            <w:r>
              <w:rPr>
                <w:rFonts w:eastAsia="標楷體"/>
                <w:b/>
                <w:bCs/>
                <w:color w:val="000000"/>
                <w:sz w:val="22"/>
              </w:rPr>
              <w:t xml:space="preserve">□ </w:t>
            </w:r>
            <w:r>
              <w:rPr>
                <w:rFonts w:eastAsia="標楷體"/>
                <w:color w:val="000000"/>
                <w:sz w:val="22"/>
              </w:rPr>
              <w:t>已排除手部或下肢注射部位呈現明顯不可逆攣縮肌肉或固定關節</w:t>
            </w:r>
          </w:p>
          <w:p w14:paraId="729F5A85" w14:textId="77777777" w:rsidR="00BD776B" w:rsidRDefault="00DF0C24">
            <w:pPr>
              <w:widowControl/>
              <w:spacing w:before="115" w:after="115"/>
            </w:pPr>
            <w:r>
              <w:rPr>
                <w:rFonts w:eastAsia="標楷體"/>
                <w:b/>
                <w:bCs/>
                <w:color w:val="000000"/>
                <w:sz w:val="22"/>
              </w:rPr>
              <w:t>以下條件任一符合</w:t>
            </w:r>
            <w:r>
              <w:rPr>
                <w:rFonts w:eastAsia="標楷體"/>
                <w:b/>
                <w:bCs/>
                <w:color w:val="000000"/>
                <w:sz w:val="22"/>
              </w:rPr>
              <w:t>:</w:t>
            </w:r>
          </w:p>
          <w:p w14:paraId="66608445" w14:textId="77777777" w:rsidR="00BD776B" w:rsidRDefault="00DF0C24">
            <w:pPr>
              <w:widowControl/>
              <w:spacing w:before="115" w:after="115"/>
              <w:rPr>
                <w:rFonts w:eastAsia="標楷體"/>
                <w:color w:val="000000"/>
                <w:sz w:val="22"/>
              </w:rPr>
            </w:pPr>
            <w:r>
              <w:rPr>
                <w:rFonts w:eastAsia="標楷體"/>
                <w:color w:val="000000"/>
                <w:sz w:val="22"/>
              </w:rPr>
              <w:t xml:space="preserve">□ </w:t>
            </w:r>
            <w:r>
              <w:rPr>
                <w:rFonts w:eastAsia="標楷體"/>
                <w:color w:val="000000"/>
                <w:sz w:val="22"/>
              </w:rPr>
              <w:t>改善病患清潔</w:t>
            </w:r>
            <w:r>
              <w:rPr>
                <w:rFonts w:eastAsia="標楷體"/>
                <w:color w:val="000000"/>
                <w:sz w:val="22"/>
              </w:rPr>
              <w:t xml:space="preserve">   □ </w:t>
            </w:r>
            <w:r>
              <w:rPr>
                <w:rFonts w:eastAsia="標楷體"/>
                <w:color w:val="000000"/>
                <w:sz w:val="22"/>
              </w:rPr>
              <w:t>降低輔具穿戴困難度</w:t>
            </w:r>
            <w:r>
              <w:rPr>
                <w:rFonts w:eastAsia="標楷體"/>
                <w:color w:val="000000"/>
                <w:sz w:val="22"/>
              </w:rPr>
              <w:t xml:space="preserve">  □ </w:t>
            </w:r>
            <w:r>
              <w:rPr>
                <w:rFonts w:eastAsia="標楷體"/>
                <w:color w:val="000000"/>
                <w:sz w:val="22"/>
              </w:rPr>
              <w:t>減低肢體痙攣所致之疼痛</w:t>
            </w:r>
            <w:r>
              <w:rPr>
                <w:rFonts w:eastAsia="標楷體"/>
                <w:color w:val="000000"/>
                <w:sz w:val="22"/>
              </w:rPr>
              <w:t xml:space="preserve">  □ </w:t>
            </w:r>
            <w:r>
              <w:rPr>
                <w:rFonts w:eastAsia="標楷體"/>
                <w:color w:val="000000"/>
                <w:sz w:val="22"/>
              </w:rPr>
              <w:t>改善關節活動度或活動能力</w:t>
            </w:r>
          </w:p>
          <w:p w14:paraId="1FBF30E5" w14:textId="77777777" w:rsidR="00BD776B" w:rsidRDefault="00DF0C24">
            <w:pPr>
              <w:widowControl/>
              <w:spacing w:before="115" w:after="115"/>
            </w:pPr>
            <w:r>
              <w:rPr>
                <w:rFonts w:eastAsia="標楷體"/>
                <w:color w:val="000000"/>
                <w:sz w:val="22"/>
              </w:rPr>
              <w:t xml:space="preserve">□ </w:t>
            </w:r>
            <w:r>
              <w:rPr>
                <w:rFonts w:eastAsia="標楷體"/>
                <w:color w:val="000000"/>
                <w:sz w:val="22"/>
              </w:rPr>
              <w:t>其他因肉毒桿菌素注射所改善之功能，</w:t>
            </w:r>
            <w:r>
              <w:rPr>
                <w:rFonts w:eastAsia="標楷體"/>
                <w:color w:val="000000"/>
                <w:sz w:val="22"/>
                <w:u w:val="single"/>
              </w:rPr>
              <w:t>如</w:t>
            </w:r>
            <w:r>
              <w:rPr>
                <w:rFonts w:eastAsia="標楷體"/>
                <w:color w:val="000000"/>
                <w:sz w:val="22"/>
                <w:u w:val="single"/>
              </w:rPr>
              <w:t xml:space="preserve">:              </w:t>
            </w:r>
            <w:r>
              <w:rPr>
                <w:rFonts w:eastAsia="標楷體"/>
                <w:color w:val="000000"/>
                <w:u w:val="single"/>
              </w:rPr>
              <w:t xml:space="preserve">                                        </w:t>
            </w:r>
          </w:p>
        </w:tc>
      </w:tr>
      <w:tr w:rsidR="00BD776B" w14:paraId="24A85493" w14:textId="77777777">
        <w:trPr>
          <w:trHeight w:val="262"/>
        </w:trPr>
        <w:tc>
          <w:tcPr>
            <w:tcW w:w="973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E41FD89" w14:textId="77777777" w:rsidR="00BD776B" w:rsidRDefault="00DF0C24">
            <w:pPr>
              <w:widowControl/>
              <w:spacing w:line="240" w:lineRule="exact"/>
              <w:ind w:left="103"/>
              <w:rPr>
                <w:rFonts w:eastAsia="標楷體"/>
                <w:color w:val="000000"/>
              </w:rPr>
            </w:pPr>
            <w:r>
              <w:rPr>
                <w:rFonts w:eastAsia="標楷體"/>
                <w:color w:val="000000"/>
              </w:rPr>
              <w:lastRenderedPageBreak/>
              <w:t>Additional Comments :</w:t>
            </w:r>
          </w:p>
        </w:tc>
      </w:tr>
      <w:tr w:rsidR="00BD776B" w14:paraId="5E0550D1" w14:textId="77777777">
        <w:trPr>
          <w:trHeight w:val="197"/>
        </w:trPr>
        <w:tc>
          <w:tcPr>
            <w:tcW w:w="973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8C16324" w14:textId="77777777" w:rsidR="00BD776B" w:rsidRDefault="00DF0C24">
            <w:pPr>
              <w:widowControl/>
              <w:spacing w:line="240" w:lineRule="exact"/>
              <w:ind w:left="103"/>
            </w:pPr>
            <w:r>
              <w:rPr>
                <w:rFonts w:eastAsia="標楷體"/>
                <w:color w:val="000000"/>
              </w:rPr>
              <w:t>主治醫師：</w:t>
            </w:r>
            <w:r>
              <w:rPr>
                <w:rFonts w:eastAsia="標楷體"/>
                <w:color w:val="000000"/>
              </w:rPr>
              <w:t xml:space="preserve">                                               </w:t>
            </w:r>
            <w:r>
              <w:rPr>
                <w:rFonts w:eastAsia="標楷體"/>
                <w:color w:val="000000"/>
              </w:rPr>
              <w:t>日期：</w:t>
            </w:r>
            <w:r>
              <w:rPr>
                <w:rFonts w:eastAsia="標楷體"/>
                <w:color w:val="221815"/>
                <w:w w:val="95"/>
                <w:u w:val="single" w:color="221815"/>
              </w:rPr>
              <w:t xml:space="preserve">        </w:t>
            </w:r>
            <w:r>
              <w:rPr>
                <w:rFonts w:eastAsia="標楷體"/>
                <w:color w:val="000000"/>
              </w:rPr>
              <w:t>年</w:t>
            </w:r>
            <w:r>
              <w:rPr>
                <w:rFonts w:eastAsia="標楷體"/>
                <w:color w:val="221815"/>
                <w:w w:val="95"/>
                <w:u w:val="single" w:color="221815"/>
              </w:rPr>
              <w:t xml:space="preserve">        </w:t>
            </w:r>
            <w:r>
              <w:rPr>
                <w:rFonts w:eastAsia="標楷體"/>
                <w:color w:val="000000"/>
              </w:rPr>
              <w:t>月</w:t>
            </w:r>
            <w:r>
              <w:rPr>
                <w:rFonts w:eastAsia="標楷體"/>
                <w:color w:val="221815"/>
                <w:w w:val="95"/>
                <w:u w:val="single" w:color="221815"/>
              </w:rPr>
              <w:t xml:space="preserve">        </w:t>
            </w:r>
            <w:r>
              <w:rPr>
                <w:rFonts w:eastAsia="標楷體"/>
                <w:color w:val="000000"/>
              </w:rPr>
              <w:t>日</w:t>
            </w:r>
          </w:p>
        </w:tc>
      </w:tr>
    </w:tbl>
    <w:p w14:paraId="0CFA3B9E" w14:textId="77777777" w:rsidR="00BD776B" w:rsidRDefault="00BD776B">
      <w:pPr>
        <w:widowControl/>
        <w:jc w:val="center"/>
        <w:rPr>
          <w:rFonts w:eastAsia="標楷體"/>
          <w:b/>
          <w:bCs/>
          <w:kern w:val="0"/>
        </w:rPr>
      </w:pPr>
    </w:p>
    <w:p w14:paraId="76CDE021" w14:textId="77777777" w:rsidR="00BD776B" w:rsidRDefault="00BD776B">
      <w:pPr>
        <w:pageBreakBefore/>
        <w:widowControl/>
        <w:suppressAutoHyphens w:val="0"/>
        <w:rPr>
          <w:rFonts w:eastAsia="標楷體"/>
          <w:b/>
          <w:bCs/>
          <w:kern w:val="0"/>
        </w:rPr>
      </w:pPr>
    </w:p>
    <w:p w14:paraId="531C59FB" w14:textId="77777777" w:rsidR="00BD776B" w:rsidRDefault="00DF0C24">
      <w:pPr>
        <w:widowControl/>
        <w:jc w:val="center"/>
      </w:pPr>
      <w:r>
        <w:rPr>
          <w:rFonts w:eastAsia="標楷體"/>
          <w:b/>
          <w:bCs/>
          <w:kern w:val="0"/>
        </w:rPr>
        <w:t>附表三十六：全民健康保險狼瘡腎炎使用</w:t>
      </w:r>
      <w:r>
        <w:rPr>
          <w:rFonts w:eastAsia="標楷體"/>
          <w:b/>
          <w:bCs/>
          <w:kern w:val="0"/>
        </w:rPr>
        <w:t>belimumab</w:t>
      </w:r>
      <w:r>
        <w:rPr>
          <w:rFonts w:eastAsia="標楷體"/>
          <w:b/>
          <w:bCs/>
          <w:kern w:val="0"/>
        </w:rPr>
        <w:t>生物製劑申請表</w:t>
      </w:r>
    </w:p>
    <w:tbl>
      <w:tblPr>
        <w:tblW w:w="10325" w:type="dxa"/>
        <w:jc w:val="center"/>
        <w:tblCellMar>
          <w:left w:w="10" w:type="dxa"/>
          <w:right w:w="10" w:type="dxa"/>
        </w:tblCellMar>
        <w:tblLook w:val="0000" w:firstRow="0" w:lastRow="0" w:firstColumn="0" w:lastColumn="0" w:noHBand="0" w:noVBand="0"/>
      </w:tblPr>
      <w:tblGrid>
        <w:gridCol w:w="1327"/>
        <w:gridCol w:w="1733"/>
        <w:gridCol w:w="1287"/>
        <w:gridCol w:w="1287"/>
        <w:gridCol w:w="1589"/>
        <w:gridCol w:w="1143"/>
        <w:gridCol w:w="1959"/>
      </w:tblGrid>
      <w:tr w:rsidR="005F25EC" w14:paraId="481738D5" w14:textId="77777777" w:rsidTr="000007EB">
        <w:trPr>
          <w:trHeight w:val="270"/>
          <w:jc w:val="center"/>
        </w:trPr>
        <w:tc>
          <w:tcPr>
            <w:tcW w:w="1327" w:type="dxa"/>
            <w:tcBorders>
              <w:top w:val="doub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01B4E61A" w14:textId="77777777" w:rsidR="005F25EC" w:rsidRDefault="005F25EC">
            <w:pPr>
              <w:widowControl/>
              <w:spacing w:before="100"/>
              <w:rPr>
                <w:rFonts w:eastAsia="標楷體"/>
                <w:kern w:val="0"/>
              </w:rPr>
            </w:pPr>
            <w:r>
              <w:rPr>
                <w:rFonts w:eastAsia="標楷體"/>
                <w:kern w:val="0"/>
              </w:rPr>
              <w:t>醫院代號</w:t>
            </w:r>
          </w:p>
        </w:tc>
        <w:tc>
          <w:tcPr>
            <w:tcW w:w="173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3EC26D9" w14:textId="77777777" w:rsidR="005F25EC" w:rsidRDefault="005F25EC">
            <w:pPr>
              <w:widowControl/>
              <w:spacing w:before="100"/>
              <w:rPr>
                <w:rFonts w:eastAsia="標楷體"/>
                <w:kern w:val="0"/>
              </w:rPr>
            </w:pPr>
          </w:p>
        </w:tc>
        <w:tc>
          <w:tcPr>
            <w:tcW w:w="1287" w:type="dxa"/>
            <w:tcBorders>
              <w:top w:val="double" w:sz="6" w:space="0" w:color="000000"/>
              <w:left w:val="single" w:sz="6" w:space="0" w:color="000000"/>
              <w:bottom w:val="single" w:sz="6" w:space="0" w:color="000000"/>
              <w:right w:val="single" w:sz="6" w:space="0" w:color="000000"/>
            </w:tcBorders>
          </w:tcPr>
          <w:p w14:paraId="524BDEC6" w14:textId="77777777" w:rsidR="005F25EC" w:rsidRDefault="005F25EC">
            <w:pPr>
              <w:widowControl/>
              <w:spacing w:before="100"/>
              <w:rPr>
                <w:rFonts w:eastAsia="標楷體"/>
                <w:kern w:val="0"/>
              </w:rPr>
            </w:pPr>
          </w:p>
        </w:tc>
        <w:tc>
          <w:tcPr>
            <w:tcW w:w="1287"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9B1D89" w14:textId="0B58373D" w:rsidR="005F25EC" w:rsidRDefault="005F25EC">
            <w:pPr>
              <w:widowControl/>
              <w:spacing w:before="100"/>
              <w:rPr>
                <w:rFonts w:eastAsia="標楷體"/>
                <w:kern w:val="0"/>
              </w:rPr>
            </w:pPr>
            <w:r>
              <w:rPr>
                <w:rFonts w:eastAsia="標楷體"/>
                <w:kern w:val="0"/>
              </w:rPr>
              <w:t>醫院名稱</w:t>
            </w:r>
          </w:p>
        </w:tc>
        <w:tc>
          <w:tcPr>
            <w:tcW w:w="1589"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C90549" w14:textId="77777777" w:rsidR="005F25EC" w:rsidRDefault="005F25EC">
            <w:pPr>
              <w:widowControl/>
              <w:spacing w:before="100"/>
              <w:rPr>
                <w:rFonts w:eastAsia="標楷體"/>
                <w:kern w:val="0"/>
              </w:rPr>
            </w:pPr>
          </w:p>
        </w:tc>
        <w:tc>
          <w:tcPr>
            <w:tcW w:w="1143" w:type="dxa"/>
            <w:tcBorders>
              <w:top w:val="doub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CDC864D" w14:textId="77777777" w:rsidR="005F25EC" w:rsidRDefault="005F25EC">
            <w:pPr>
              <w:widowControl/>
              <w:spacing w:before="100"/>
              <w:rPr>
                <w:rFonts w:eastAsia="標楷體"/>
                <w:kern w:val="0"/>
              </w:rPr>
            </w:pPr>
            <w:r>
              <w:rPr>
                <w:rFonts w:eastAsia="標楷體"/>
                <w:kern w:val="0"/>
              </w:rPr>
              <w:t>申請日期</w:t>
            </w:r>
          </w:p>
        </w:tc>
        <w:tc>
          <w:tcPr>
            <w:tcW w:w="1959" w:type="dxa"/>
            <w:tcBorders>
              <w:top w:val="doub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13192E70" w14:textId="77777777" w:rsidR="005F25EC" w:rsidRDefault="005F25EC">
            <w:pPr>
              <w:widowControl/>
              <w:spacing w:before="100"/>
              <w:rPr>
                <w:rFonts w:eastAsia="標楷體"/>
                <w:kern w:val="0"/>
              </w:rPr>
            </w:pPr>
          </w:p>
        </w:tc>
      </w:tr>
      <w:tr w:rsidR="005F25EC" w14:paraId="53C55F02" w14:textId="77777777" w:rsidTr="000007EB">
        <w:trPr>
          <w:trHeight w:val="255"/>
          <w:jc w:val="center"/>
        </w:trPr>
        <w:tc>
          <w:tcPr>
            <w:tcW w:w="132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3DEC1B6C" w14:textId="77777777" w:rsidR="005F25EC" w:rsidRDefault="005F25EC">
            <w:pPr>
              <w:widowControl/>
              <w:spacing w:before="100"/>
              <w:rPr>
                <w:rFonts w:eastAsia="標楷體"/>
                <w:kern w:val="0"/>
              </w:rPr>
            </w:pPr>
            <w:r>
              <w:rPr>
                <w:rFonts w:eastAsia="標楷體"/>
                <w:kern w:val="0"/>
              </w:rPr>
              <w:t>病人姓名</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E4C21F" w14:textId="77777777" w:rsidR="005F25EC" w:rsidRDefault="005F25EC">
            <w:pPr>
              <w:widowControl/>
              <w:spacing w:before="100"/>
              <w:rPr>
                <w:rFonts w:eastAsia="標楷體"/>
                <w:kern w:val="0"/>
              </w:rPr>
            </w:pPr>
          </w:p>
        </w:tc>
        <w:tc>
          <w:tcPr>
            <w:tcW w:w="1287" w:type="dxa"/>
            <w:tcBorders>
              <w:top w:val="single" w:sz="6" w:space="0" w:color="000000"/>
              <w:left w:val="single" w:sz="6" w:space="0" w:color="000000"/>
              <w:bottom w:val="single" w:sz="6" w:space="0" w:color="000000"/>
              <w:right w:val="single" w:sz="6" w:space="0" w:color="000000"/>
            </w:tcBorders>
          </w:tcPr>
          <w:p w14:paraId="0D0B4825" w14:textId="77777777" w:rsidR="005F25EC" w:rsidRDefault="005F25EC">
            <w:pPr>
              <w:widowControl/>
              <w:spacing w:before="100"/>
              <w:rPr>
                <w:rFonts w:eastAsia="標楷體"/>
                <w:kern w:val="0"/>
              </w:rPr>
            </w:pPr>
          </w:p>
        </w:tc>
        <w:tc>
          <w:tcPr>
            <w:tcW w:w="12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F7E877" w14:textId="43AE33F0" w:rsidR="005F25EC" w:rsidRDefault="005F25EC">
            <w:pPr>
              <w:widowControl/>
              <w:spacing w:before="100"/>
              <w:rPr>
                <w:rFonts w:eastAsia="標楷體"/>
                <w:kern w:val="0"/>
              </w:rPr>
            </w:pPr>
            <w:r>
              <w:rPr>
                <w:rFonts w:eastAsia="標楷體"/>
                <w:kern w:val="0"/>
              </w:rPr>
              <w:t>性別</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89E08D3" w14:textId="77777777" w:rsidR="005F25EC" w:rsidRDefault="005F25EC">
            <w:pPr>
              <w:widowControl/>
              <w:spacing w:before="100"/>
              <w:rPr>
                <w:rFonts w:eastAsia="標楷體"/>
                <w:kern w:val="0"/>
              </w:rPr>
            </w:pPr>
          </w:p>
        </w:tc>
        <w:tc>
          <w:tcPr>
            <w:tcW w:w="11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C58090" w14:textId="77777777" w:rsidR="005F25EC" w:rsidRDefault="005F25EC">
            <w:pPr>
              <w:widowControl/>
              <w:spacing w:before="100"/>
              <w:rPr>
                <w:rFonts w:eastAsia="標楷體"/>
                <w:kern w:val="0"/>
              </w:rPr>
            </w:pPr>
            <w:r>
              <w:rPr>
                <w:rFonts w:eastAsia="標楷體"/>
                <w:kern w:val="0"/>
              </w:rPr>
              <w:t>出生日期</w:t>
            </w:r>
          </w:p>
        </w:tc>
        <w:tc>
          <w:tcPr>
            <w:tcW w:w="1959"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60E1DC18" w14:textId="77777777" w:rsidR="005F25EC" w:rsidRDefault="005F25EC">
            <w:pPr>
              <w:widowControl/>
              <w:spacing w:before="100"/>
              <w:rPr>
                <w:rFonts w:eastAsia="標楷體"/>
                <w:kern w:val="0"/>
              </w:rPr>
            </w:pPr>
          </w:p>
        </w:tc>
      </w:tr>
      <w:tr w:rsidR="005F25EC" w14:paraId="122D1DAE" w14:textId="77777777" w:rsidTr="000007EB">
        <w:trPr>
          <w:trHeight w:val="255"/>
          <w:jc w:val="center"/>
        </w:trPr>
        <w:tc>
          <w:tcPr>
            <w:tcW w:w="1327" w:type="dxa"/>
            <w:tcBorders>
              <w:top w:val="single" w:sz="6" w:space="0" w:color="000000"/>
              <w:left w:val="double" w:sz="6" w:space="0" w:color="000000"/>
              <w:bottom w:val="single" w:sz="6" w:space="0" w:color="000000"/>
              <w:right w:val="single" w:sz="6" w:space="0" w:color="000000"/>
            </w:tcBorders>
            <w:shd w:val="clear" w:color="auto" w:fill="auto"/>
            <w:tcMar>
              <w:top w:w="0" w:type="dxa"/>
              <w:left w:w="28" w:type="dxa"/>
              <w:bottom w:w="0" w:type="dxa"/>
              <w:right w:w="28" w:type="dxa"/>
            </w:tcMar>
          </w:tcPr>
          <w:p w14:paraId="55DAA4D8" w14:textId="77777777" w:rsidR="005F25EC" w:rsidRDefault="005F25EC">
            <w:pPr>
              <w:widowControl/>
              <w:spacing w:before="100"/>
              <w:rPr>
                <w:rFonts w:eastAsia="標楷體"/>
                <w:kern w:val="0"/>
              </w:rPr>
            </w:pPr>
            <w:r>
              <w:rPr>
                <w:rFonts w:eastAsia="標楷體"/>
                <w:kern w:val="0"/>
              </w:rPr>
              <w:t>身分證號</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F2D97F" w14:textId="77777777" w:rsidR="005F25EC" w:rsidRDefault="005F25EC">
            <w:pPr>
              <w:widowControl/>
              <w:spacing w:before="100"/>
              <w:rPr>
                <w:rFonts w:eastAsia="標楷體"/>
                <w:kern w:val="0"/>
              </w:rPr>
            </w:pPr>
          </w:p>
        </w:tc>
        <w:tc>
          <w:tcPr>
            <w:tcW w:w="1287" w:type="dxa"/>
            <w:tcBorders>
              <w:top w:val="single" w:sz="6" w:space="0" w:color="000000"/>
              <w:left w:val="single" w:sz="6" w:space="0" w:color="000000"/>
              <w:bottom w:val="single" w:sz="6" w:space="0" w:color="000000"/>
              <w:right w:val="single" w:sz="6" w:space="0" w:color="000000"/>
            </w:tcBorders>
          </w:tcPr>
          <w:p w14:paraId="71A3248C" w14:textId="77777777" w:rsidR="005F25EC" w:rsidRDefault="005F25EC">
            <w:pPr>
              <w:widowControl/>
              <w:spacing w:before="100"/>
              <w:rPr>
                <w:rFonts w:eastAsia="標楷體"/>
                <w:kern w:val="0"/>
              </w:rPr>
            </w:pPr>
          </w:p>
        </w:tc>
        <w:tc>
          <w:tcPr>
            <w:tcW w:w="12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28EAD9C" w14:textId="04DB71A3" w:rsidR="005F25EC" w:rsidRDefault="005F25EC">
            <w:pPr>
              <w:widowControl/>
              <w:spacing w:before="100"/>
              <w:rPr>
                <w:rFonts w:eastAsia="標楷體"/>
                <w:kern w:val="0"/>
              </w:rPr>
            </w:pPr>
            <w:r>
              <w:rPr>
                <w:rFonts w:eastAsia="標楷體"/>
                <w:kern w:val="0"/>
              </w:rPr>
              <w:t>病歷號碼</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A716A9" w14:textId="77777777" w:rsidR="005F25EC" w:rsidRDefault="005F25EC">
            <w:pPr>
              <w:widowControl/>
              <w:spacing w:before="100"/>
              <w:rPr>
                <w:rFonts w:eastAsia="標楷體"/>
                <w:kern w:val="0"/>
              </w:rPr>
            </w:pPr>
          </w:p>
        </w:tc>
        <w:tc>
          <w:tcPr>
            <w:tcW w:w="1143" w:type="dxa"/>
            <w:vMerge w:val="restart"/>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231D14D5" w14:textId="77777777" w:rsidR="005F25EC" w:rsidRDefault="005F25EC">
            <w:pPr>
              <w:spacing w:before="100"/>
              <w:rPr>
                <w:rFonts w:eastAsia="標楷體"/>
                <w:kern w:val="0"/>
              </w:rPr>
            </w:pPr>
            <w:r>
              <w:rPr>
                <w:rFonts w:eastAsia="標楷體"/>
                <w:kern w:val="0"/>
              </w:rPr>
              <w:t>使用期間</w:t>
            </w:r>
          </w:p>
        </w:tc>
        <w:tc>
          <w:tcPr>
            <w:tcW w:w="1959" w:type="dxa"/>
            <w:tcBorders>
              <w:top w:val="single" w:sz="6" w:space="0" w:color="000000"/>
              <w:left w:val="single" w:sz="6" w:space="0" w:color="000000"/>
              <w:bottom w:val="single" w:sz="6" w:space="0" w:color="000000"/>
              <w:right w:val="double" w:sz="6" w:space="0" w:color="000000"/>
            </w:tcBorders>
            <w:shd w:val="clear" w:color="auto" w:fill="auto"/>
            <w:tcMar>
              <w:top w:w="0" w:type="dxa"/>
              <w:left w:w="28" w:type="dxa"/>
              <w:bottom w:w="0" w:type="dxa"/>
              <w:right w:w="28" w:type="dxa"/>
            </w:tcMar>
          </w:tcPr>
          <w:p w14:paraId="2DB4F523" w14:textId="77777777" w:rsidR="005F25EC" w:rsidRDefault="005F25EC">
            <w:pPr>
              <w:widowControl/>
              <w:spacing w:before="100"/>
              <w:rPr>
                <w:rFonts w:eastAsia="標楷體"/>
                <w:kern w:val="0"/>
              </w:rPr>
            </w:pPr>
            <w:r>
              <w:rPr>
                <w:rFonts w:eastAsia="標楷體"/>
                <w:kern w:val="0"/>
              </w:rPr>
              <w:t>自　　年　　月　　日</w:t>
            </w:r>
          </w:p>
        </w:tc>
      </w:tr>
      <w:tr w:rsidR="005F25EC" w14:paraId="6B308F07" w14:textId="77777777" w:rsidTr="000007EB">
        <w:trPr>
          <w:trHeight w:val="240"/>
          <w:jc w:val="center"/>
        </w:trPr>
        <w:tc>
          <w:tcPr>
            <w:tcW w:w="1327" w:type="dxa"/>
            <w:tcBorders>
              <w:top w:val="single" w:sz="6" w:space="0" w:color="000000"/>
              <w:left w:val="double" w:sz="6" w:space="0" w:color="000000"/>
              <w:bottom w:val="double" w:sz="6" w:space="0" w:color="000000"/>
              <w:right w:val="single" w:sz="6" w:space="0" w:color="000000"/>
            </w:tcBorders>
            <w:shd w:val="clear" w:color="auto" w:fill="auto"/>
            <w:tcMar>
              <w:top w:w="0" w:type="dxa"/>
              <w:left w:w="28" w:type="dxa"/>
              <w:bottom w:w="0" w:type="dxa"/>
              <w:right w:w="28" w:type="dxa"/>
            </w:tcMar>
          </w:tcPr>
          <w:p w14:paraId="67D84725" w14:textId="77777777" w:rsidR="005F25EC" w:rsidRDefault="005F25EC">
            <w:pPr>
              <w:widowControl/>
              <w:spacing w:before="100"/>
              <w:rPr>
                <w:rFonts w:eastAsia="標楷體"/>
                <w:kern w:val="0"/>
              </w:rPr>
            </w:pPr>
            <w:r>
              <w:rPr>
                <w:rFonts w:eastAsia="標楷體"/>
                <w:kern w:val="0"/>
              </w:rPr>
              <w:t>藥品代碼</w:t>
            </w:r>
          </w:p>
        </w:tc>
        <w:tc>
          <w:tcPr>
            <w:tcW w:w="1733"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6F2E335A" w14:textId="77777777" w:rsidR="005F25EC" w:rsidRDefault="005F25EC">
            <w:pPr>
              <w:widowControl/>
              <w:spacing w:before="100"/>
              <w:rPr>
                <w:rFonts w:eastAsia="標楷體"/>
                <w:kern w:val="0"/>
              </w:rPr>
            </w:pPr>
          </w:p>
        </w:tc>
        <w:tc>
          <w:tcPr>
            <w:tcW w:w="1287" w:type="dxa"/>
            <w:tcBorders>
              <w:top w:val="single" w:sz="6" w:space="0" w:color="000000"/>
              <w:left w:val="single" w:sz="6" w:space="0" w:color="000000"/>
              <w:bottom w:val="double" w:sz="6" w:space="0" w:color="000000"/>
              <w:right w:val="single" w:sz="6" w:space="0" w:color="000000"/>
            </w:tcBorders>
          </w:tcPr>
          <w:p w14:paraId="062FA330" w14:textId="77777777" w:rsidR="005F25EC" w:rsidRDefault="005F25EC">
            <w:pPr>
              <w:widowControl/>
              <w:spacing w:before="100"/>
              <w:rPr>
                <w:rFonts w:eastAsia="標楷體"/>
                <w:kern w:val="0"/>
              </w:rPr>
            </w:pPr>
          </w:p>
        </w:tc>
        <w:tc>
          <w:tcPr>
            <w:tcW w:w="1287"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A74E686" w14:textId="1ABE00C1" w:rsidR="005F25EC" w:rsidRDefault="005F25EC">
            <w:pPr>
              <w:widowControl/>
              <w:spacing w:before="100"/>
              <w:rPr>
                <w:rFonts w:eastAsia="標楷體"/>
                <w:kern w:val="0"/>
              </w:rPr>
            </w:pPr>
            <w:r>
              <w:rPr>
                <w:rFonts w:eastAsia="標楷體"/>
                <w:kern w:val="0"/>
              </w:rPr>
              <w:t>用法用量</w:t>
            </w:r>
          </w:p>
        </w:tc>
        <w:tc>
          <w:tcPr>
            <w:tcW w:w="1589" w:type="dxa"/>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51BC92FF" w14:textId="77777777" w:rsidR="005F25EC" w:rsidRDefault="005F25EC">
            <w:pPr>
              <w:widowControl/>
              <w:spacing w:before="100"/>
              <w:rPr>
                <w:rFonts w:eastAsia="標楷體"/>
                <w:kern w:val="0"/>
              </w:rPr>
            </w:pPr>
          </w:p>
        </w:tc>
        <w:tc>
          <w:tcPr>
            <w:tcW w:w="1143" w:type="dxa"/>
            <w:vMerge/>
            <w:tcBorders>
              <w:top w:val="single" w:sz="6" w:space="0" w:color="000000"/>
              <w:left w:val="single" w:sz="6" w:space="0" w:color="000000"/>
              <w:bottom w:val="double" w:sz="6" w:space="0" w:color="000000"/>
              <w:right w:val="single" w:sz="6" w:space="0" w:color="000000"/>
            </w:tcBorders>
            <w:shd w:val="clear" w:color="auto" w:fill="auto"/>
            <w:tcMar>
              <w:top w:w="0" w:type="dxa"/>
              <w:left w:w="28" w:type="dxa"/>
              <w:bottom w:w="0" w:type="dxa"/>
              <w:right w:w="28" w:type="dxa"/>
            </w:tcMar>
          </w:tcPr>
          <w:p w14:paraId="4A602531" w14:textId="77777777" w:rsidR="005F25EC" w:rsidRDefault="005F25EC">
            <w:pPr>
              <w:widowControl/>
              <w:rPr>
                <w:rFonts w:eastAsia="標楷體"/>
                <w:kern w:val="0"/>
              </w:rPr>
            </w:pPr>
          </w:p>
        </w:tc>
        <w:tc>
          <w:tcPr>
            <w:tcW w:w="1959" w:type="dxa"/>
            <w:tcBorders>
              <w:top w:val="single" w:sz="6" w:space="0" w:color="000000"/>
              <w:left w:val="single" w:sz="6" w:space="0" w:color="000000"/>
              <w:bottom w:val="double" w:sz="6" w:space="0" w:color="000000"/>
              <w:right w:val="double" w:sz="6" w:space="0" w:color="000000"/>
            </w:tcBorders>
            <w:shd w:val="clear" w:color="auto" w:fill="auto"/>
            <w:tcMar>
              <w:top w:w="0" w:type="dxa"/>
              <w:left w:w="28" w:type="dxa"/>
              <w:bottom w:w="0" w:type="dxa"/>
              <w:right w:w="28" w:type="dxa"/>
            </w:tcMar>
          </w:tcPr>
          <w:p w14:paraId="657F997F" w14:textId="77777777" w:rsidR="005F25EC" w:rsidRDefault="005F25EC">
            <w:pPr>
              <w:widowControl/>
              <w:spacing w:before="100"/>
              <w:rPr>
                <w:rFonts w:eastAsia="標楷體"/>
                <w:kern w:val="0"/>
              </w:rPr>
            </w:pPr>
            <w:r>
              <w:rPr>
                <w:rFonts w:eastAsia="標楷體"/>
                <w:kern w:val="0"/>
              </w:rPr>
              <w:t>至　　年　　月　　日</w:t>
            </w:r>
          </w:p>
        </w:tc>
      </w:tr>
    </w:tbl>
    <w:p w14:paraId="40EBDCFB" w14:textId="77777777" w:rsidR="00BD776B" w:rsidRDefault="00BD776B">
      <w:pPr>
        <w:rPr>
          <w:vanish/>
        </w:rPr>
      </w:pPr>
    </w:p>
    <w:tbl>
      <w:tblPr>
        <w:tblW w:w="10307" w:type="dxa"/>
        <w:jc w:val="center"/>
        <w:tblCellMar>
          <w:left w:w="10" w:type="dxa"/>
          <w:right w:w="10" w:type="dxa"/>
        </w:tblCellMar>
        <w:tblLook w:val="0000" w:firstRow="0" w:lastRow="0" w:firstColumn="0" w:lastColumn="0" w:noHBand="0" w:noVBand="0"/>
      </w:tblPr>
      <w:tblGrid>
        <w:gridCol w:w="27"/>
        <w:gridCol w:w="10280"/>
      </w:tblGrid>
      <w:tr w:rsidR="00BD776B" w14:paraId="1E3A820B" w14:textId="77777777">
        <w:trPr>
          <w:trHeight w:val="10524"/>
          <w:jc w:val="center"/>
        </w:trPr>
        <w:tc>
          <w:tcPr>
            <w:tcW w:w="27" w:type="dxa"/>
            <w:shd w:val="clear" w:color="auto" w:fill="auto"/>
            <w:tcMar>
              <w:top w:w="0" w:type="dxa"/>
              <w:left w:w="0" w:type="dxa"/>
              <w:bottom w:w="0" w:type="dxa"/>
              <w:right w:w="0" w:type="dxa"/>
            </w:tcMar>
          </w:tcPr>
          <w:p w14:paraId="33895024" w14:textId="77777777" w:rsidR="00BD776B" w:rsidRDefault="00BD776B">
            <w:pPr>
              <w:widowControl/>
              <w:ind w:left="374" w:hanging="374"/>
              <w:rPr>
                <w:rFonts w:eastAsia="標楷體"/>
                <w:kern w:val="0"/>
              </w:rPr>
            </w:pPr>
          </w:p>
        </w:tc>
        <w:tc>
          <w:tcPr>
            <w:tcW w:w="10280"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35D44F71" w14:textId="77777777" w:rsidR="00BD776B" w:rsidRDefault="00DF0C24">
            <w:pPr>
              <w:widowControl/>
              <w:spacing w:line="320" w:lineRule="exact"/>
              <w:ind w:left="374" w:hanging="374"/>
            </w:pPr>
            <w:r>
              <w:rPr>
                <w:rFonts w:ascii="標楷體" w:eastAsia="標楷體" w:hAnsi="標楷體"/>
                <w:kern w:val="0"/>
              </w:rPr>
              <w:t xml:space="preserve">□ </w:t>
            </w:r>
            <w:r>
              <w:rPr>
                <w:rFonts w:eastAsia="標楷體"/>
                <w:kern w:val="0"/>
              </w:rPr>
              <w:t>用於接受標準治療至少</w:t>
            </w:r>
            <w:r>
              <w:rPr>
                <w:rFonts w:eastAsia="標楷體"/>
                <w:kern w:val="0"/>
              </w:rPr>
              <w:t>6</w:t>
            </w:r>
            <w:r>
              <w:rPr>
                <w:rFonts w:eastAsia="標楷體"/>
                <w:kern w:val="0"/>
              </w:rPr>
              <w:t>個月但仍然無法有效控制疾病的第</w:t>
            </w:r>
            <w:r>
              <w:rPr>
                <w:rFonts w:eastAsia="標楷體"/>
                <w:kern w:val="0"/>
              </w:rPr>
              <w:t>III, IV</w:t>
            </w:r>
            <w:r>
              <w:rPr>
                <w:rFonts w:eastAsia="標楷體"/>
                <w:kern w:val="0"/>
              </w:rPr>
              <w:t>或</w:t>
            </w:r>
            <w:r>
              <w:rPr>
                <w:rFonts w:eastAsia="標楷體"/>
                <w:kern w:val="0"/>
              </w:rPr>
              <w:t>V</w:t>
            </w:r>
            <w:r>
              <w:rPr>
                <w:rFonts w:eastAsia="標楷體"/>
                <w:kern w:val="0"/>
              </w:rPr>
              <w:t>型狼瘡腎炎成人病人，且自體抗體陽性</w:t>
            </w:r>
            <w:r>
              <w:rPr>
                <w:rFonts w:eastAsia="標楷體"/>
                <w:kern w:val="0"/>
              </w:rPr>
              <w:t>(anti-nuclear antibodies</w:t>
            </w:r>
            <w:r>
              <w:rPr>
                <w:rFonts w:eastAsia="標楷體"/>
                <w:kern w:val="0"/>
              </w:rPr>
              <w:t>或</w:t>
            </w:r>
            <w:r>
              <w:rPr>
                <w:rFonts w:eastAsia="標楷體"/>
                <w:kern w:val="0"/>
              </w:rPr>
              <w:t>anti–ds DNAantibodies</w:t>
            </w:r>
            <w:r>
              <w:rPr>
                <w:rFonts w:eastAsia="標楷體"/>
                <w:kern w:val="0"/>
              </w:rPr>
              <w:t>陽性</w:t>
            </w:r>
            <w:r>
              <w:rPr>
                <w:rFonts w:eastAsia="標楷體"/>
                <w:kern w:val="0"/>
              </w:rPr>
              <w:t>)</w:t>
            </w:r>
            <w:r>
              <w:rPr>
                <w:rFonts w:eastAsia="標楷體"/>
                <w:b/>
                <w:bCs/>
                <w:kern w:val="0"/>
              </w:rPr>
              <w:t xml:space="preserve"> </w:t>
            </w:r>
          </w:p>
          <w:p w14:paraId="2CF87E24" w14:textId="77777777" w:rsidR="00BD776B" w:rsidRDefault="00DF0C24" w:rsidP="008A7063">
            <w:pPr>
              <w:widowControl/>
              <w:numPr>
                <w:ilvl w:val="1"/>
                <w:numId w:val="125"/>
              </w:numPr>
              <w:spacing w:before="240" w:line="320" w:lineRule="exact"/>
              <w:ind w:left="629" w:hanging="284"/>
            </w:pPr>
            <w:r>
              <w:rPr>
                <w:rFonts w:ascii="標楷體" w:eastAsia="標楷體" w:hAnsi="標楷體"/>
                <w:kern w:val="0"/>
              </w:rPr>
              <w:t xml:space="preserve">□ </w:t>
            </w:r>
            <w:r>
              <w:rPr>
                <w:rFonts w:eastAsia="標楷體"/>
                <w:kern w:val="0"/>
              </w:rPr>
              <w:t>標準治療係指同時使用以下藥物</w:t>
            </w:r>
            <w:r>
              <w:rPr>
                <w:rFonts w:eastAsia="標楷體"/>
                <w:kern w:val="0"/>
              </w:rPr>
              <w:t>:</w:t>
            </w:r>
          </w:p>
          <w:p w14:paraId="540BE79F" w14:textId="77777777" w:rsidR="00BD776B" w:rsidRDefault="00DF0C24" w:rsidP="008A7063">
            <w:pPr>
              <w:widowControl/>
              <w:numPr>
                <w:ilvl w:val="2"/>
                <w:numId w:val="125"/>
              </w:numPr>
              <w:spacing w:line="320" w:lineRule="exact"/>
              <w:ind w:left="1255" w:hanging="284"/>
            </w:pPr>
            <w:r>
              <w:rPr>
                <w:rFonts w:ascii="標楷體" w:eastAsia="標楷體" w:hAnsi="標楷體"/>
                <w:kern w:val="0"/>
              </w:rPr>
              <w:t xml:space="preserve">□ </w:t>
            </w:r>
            <w:r>
              <w:rPr>
                <w:rFonts w:eastAsia="標楷體"/>
                <w:kern w:val="0"/>
              </w:rPr>
              <w:t>Prednisolone≥ 0.5mg/kg/day(</w:t>
            </w:r>
            <w:r>
              <w:rPr>
                <w:rFonts w:eastAsia="標楷體"/>
                <w:kern w:val="0"/>
              </w:rPr>
              <w:t>或相等強度劑量之類固醇類藥物</w:t>
            </w:r>
            <w:r>
              <w:rPr>
                <w:rFonts w:eastAsia="標楷體"/>
                <w:kern w:val="0"/>
              </w:rPr>
              <w:t>)</w:t>
            </w:r>
            <w:r>
              <w:rPr>
                <w:rFonts w:eastAsia="標楷體"/>
                <w:kern w:val="0"/>
              </w:rPr>
              <w:t>且</w:t>
            </w:r>
          </w:p>
          <w:p w14:paraId="67C18F9B" w14:textId="77777777" w:rsidR="00BD776B" w:rsidRDefault="00DF0C24" w:rsidP="008A7063">
            <w:pPr>
              <w:widowControl/>
              <w:numPr>
                <w:ilvl w:val="2"/>
                <w:numId w:val="125"/>
              </w:numPr>
              <w:spacing w:line="320" w:lineRule="exact"/>
              <w:ind w:left="1255" w:hanging="284"/>
            </w:pPr>
            <w:r>
              <w:rPr>
                <w:rFonts w:ascii="標楷體" w:eastAsia="標楷體" w:hAnsi="標楷體"/>
                <w:kern w:val="0"/>
              </w:rPr>
              <w:t xml:space="preserve">□ </w:t>
            </w:r>
            <w:r>
              <w:rPr>
                <w:rFonts w:eastAsia="標楷體"/>
                <w:kern w:val="0"/>
              </w:rPr>
              <w:t>使用足量前導治療</w:t>
            </w:r>
            <w:r>
              <w:rPr>
                <w:rFonts w:eastAsia="標楷體"/>
                <w:kern w:val="0"/>
              </w:rPr>
              <w:t>(induction phase)</w:t>
            </w:r>
            <w:r>
              <w:rPr>
                <w:rFonts w:eastAsia="標楷體"/>
                <w:kern w:val="0"/>
              </w:rPr>
              <w:t>免疫抑制劑</w:t>
            </w:r>
          </w:p>
          <w:tbl>
            <w:tblPr>
              <w:tblW w:w="9315" w:type="dxa"/>
              <w:tblInd w:w="650" w:type="dxa"/>
              <w:tblCellMar>
                <w:left w:w="10" w:type="dxa"/>
                <w:right w:w="10" w:type="dxa"/>
              </w:tblCellMar>
              <w:tblLook w:val="0000" w:firstRow="0" w:lastRow="0" w:firstColumn="0" w:lastColumn="0" w:noHBand="0" w:noVBand="0"/>
            </w:tblPr>
            <w:tblGrid>
              <w:gridCol w:w="3189"/>
              <w:gridCol w:w="2583"/>
              <w:gridCol w:w="3543"/>
            </w:tblGrid>
            <w:tr w:rsidR="00BD776B" w14:paraId="6EA2E624" w14:textId="77777777">
              <w:trPr>
                <w:trHeight w:val="253"/>
              </w:trPr>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F2D24" w14:textId="77777777" w:rsidR="00BD776B" w:rsidRDefault="00BD776B">
                  <w:pPr>
                    <w:widowControl/>
                    <w:spacing w:line="320" w:lineRule="exact"/>
                    <w:rPr>
                      <w:rFonts w:eastAsia="標楷體"/>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36CE8" w14:textId="77777777" w:rsidR="00BD776B" w:rsidRDefault="00DF0C24">
                  <w:pPr>
                    <w:widowControl/>
                    <w:spacing w:line="320" w:lineRule="exact"/>
                    <w:rPr>
                      <w:rFonts w:eastAsia="標楷體"/>
                    </w:rPr>
                  </w:pPr>
                  <w:r>
                    <w:rPr>
                      <w:rFonts w:eastAsia="標楷體"/>
                    </w:rPr>
                    <w:t>使用劑量</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EE47" w14:textId="77777777" w:rsidR="00BD776B" w:rsidRDefault="00DF0C24">
                  <w:pPr>
                    <w:widowControl/>
                    <w:spacing w:line="320" w:lineRule="exact"/>
                    <w:rPr>
                      <w:rFonts w:eastAsia="標楷體"/>
                    </w:rPr>
                  </w:pPr>
                  <w:r>
                    <w:rPr>
                      <w:rFonts w:eastAsia="標楷體"/>
                    </w:rPr>
                    <w:t>使用時間</w:t>
                  </w:r>
                </w:p>
              </w:tc>
            </w:tr>
            <w:tr w:rsidR="00BD776B" w14:paraId="2C1BA931" w14:textId="77777777">
              <w:trPr>
                <w:trHeight w:val="253"/>
              </w:trPr>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3F6CD" w14:textId="77777777" w:rsidR="00BD776B" w:rsidRDefault="00DF0C24">
                  <w:pPr>
                    <w:widowControl/>
                    <w:spacing w:line="320" w:lineRule="exact"/>
                    <w:rPr>
                      <w:rFonts w:eastAsia="標楷體"/>
                    </w:rPr>
                  </w:pPr>
                  <w:r>
                    <w:rPr>
                      <w:rFonts w:eastAsia="標楷體"/>
                    </w:rPr>
                    <w:t>Mycophenolate mofetil</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FFCE6" w14:textId="77777777" w:rsidR="00BD776B" w:rsidRDefault="00BD776B">
                  <w:pPr>
                    <w:widowControl/>
                    <w:spacing w:line="320" w:lineRule="exact"/>
                    <w:rPr>
                      <w:rFonts w:eastAsia="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5E915" w14:textId="77777777" w:rsidR="00BD776B" w:rsidRDefault="00DF0C24">
                  <w:pPr>
                    <w:widowControl/>
                    <w:spacing w:line="320" w:lineRule="exact"/>
                    <w:rPr>
                      <w:rFonts w:eastAsia="標楷體"/>
                    </w:rPr>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r>
            <w:tr w:rsidR="00BD776B" w14:paraId="6EA6DCE9" w14:textId="77777777">
              <w:trPr>
                <w:trHeight w:val="253"/>
              </w:trPr>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6791E" w14:textId="77777777" w:rsidR="00BD776B" w:rsidRDefault="00DF0C24">
                  <w:pPr>
                    <w:widowControl/>
                    <w:spacing w:line="320" w:lineRule="exact"/>
                    <w:rPr>
                      <w:rFonts w:eastAsia="標楷體"/>
                    </w:rPr>
                  </w:pPr>
                  <w:r>
                    <w:rPr>
                      <w:rFonts w:eastAsia="標楷體"/>
                    </w:rPr>
                    <w:t>Mycophenolic acid(MPA)</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15635" w14:textId="77777777" w:rsidR="00BD776B" w:rsidRDefault="00BD776B">
                  <w:pPr>
                    <w:widowControl/>
                    <w:spacing w:line="320" w:lineRule="exact"/>
                    <w:rPr>
                      <w:rFonts w:eastAsia="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4EEB8" w14:textId="77777777" w:rsidR="00BD776B" w:rsidRDefault="00DF0C24">
                  <w:pPr>
                    <w:widowControl/>
                    <w:spacing w:line="320" w:lineRule="exact"/>
                    <w:rPr>
                      <w:rFonts w:eastAsia="標楷體"/>
                    </w:rPr>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r>
            <w:tr w:rsidR="00BD776B" w14:paraId="210D6B0D" w14:textId="77777777">
              <w:trPr>
                <w:trHeight w:val="253"/>
              </w:trPr>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CF35" w14:textId="77777777" w:rsidR="00BD776B" w:rsidRDefault="00DF0C24">
                  <w:pPr>
                    <w:widowControl/>
                    <w:spacing w:line="320" w:lineRule="exact"/>
                  </w:pPr>
                  <w:r>
                    <w:rPr>
                      <w:rFonts w:eastAsia="標楷體"/>
                      <w:color w:val="2A2720"/>
                    </w:rPr>
                    <w:t>Cyclophosphamide</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AE1C5" w14:textId="77777777" w:rsidR="00BD776B" w:rsidRDefault="00BD776B">
                  <w:pPr>
                    <w:widowControl/>
                    <w:spacing w:line="320" w:lineRule="exact"/>
                    <w:rPr>
                      <w:rFonts w:eastAsia="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42146" w14:textId="77777777" w:rsidR="00BD776B" w:rsidRDefault="00DF0C24">
                  <w:pPr>
                    <w:widowControl/>
                    <w:spacing w:line="320" w:lineRule="exact"/>
                    <w:rPr>
                      <w:rFonts w:eastAsia="標楷體"/>
                    </w:rPr>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r>
            <w:tr w:rsidR="00BD776B" w14:paraId="7E89EE67" w14:textId="77777777">
              <w:trPr>
                <w:trHeight w:val="253"/>
              </w:trPr>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08580" w14:textId="77777777" w:rsidR="00BD776B" w:rsidRDefault="00DF0C24">
                  <w:pPr>
                    <w:widowControl/>
                    <w:spacing w:line="320" w:lineRule="exact"/>
                    <w:rPr>
                      <w:rFonts w:eastAsia="標楷體"/>
                    </w:rPr>
                  </w:pPr>
                  <w:r>
                    <w:rPr>
                      <w:rFonts w:eastAsia="標楷體"/>
                    </w:rPr>
                    <w:t>Azathioprine (</w:t>
                  </w:r>
                  <w:r>
                    <w:rPr>
                      <w:rFonts w:eastAsia="標楷體"/>
                    </w:rPr>
                    <w:t>體重</w:t>
                  </w:r>
                  <w:r>
                    <w:rPr>
                      <w:rFonts w:eastAsia="標楷體"/>
                    </w:rPr>
                    <w:t>: ___ kg)</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E46AE" w14:textId="77777777" w:rsidR="00BD776B" w:rsidRDefault="00BD776B">
                  <w:pPr>
                    <w:widowControl/>
                    <w:spacing w:line="320" w:lineRule="exact"/>
                    <w:rPr>
                      <w:rFonts w:eastAsia="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A707A" w14:textId="77777777" w:rsidR="00BD776B" w:rsidRDefault="00DF0C24">
                  <w:pPr>
                    <w:widowControl/>
                    <w:spacing w:line="320" w:lineRule="exact"/>
                    <w:rPr>
                      <w:rFonts w:eastAsia="標楷體"/>
                    </w:rPr>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r>
            <w:tr w:rsidR="00BD776B" w14:paraId="452AF553" w14:textId="77777777">
              <w:trPr>
                <w:trHeight w:val="253"/>
              </w:trPr>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BEFD0" w14:textId="77777777" w:rsidR="00BD776B" w:rsidRDefault="00DF0C24">
                  <w:pPr>
                    <w:widowControl/>
                    <w:spacing w:line="320" w:lineRule="exact"/>
                    <w:rPr>
                      <w:rFonts w:eastAsia="標楷體"/>
                    </w:rPr>
                  </w:pPr>
                  <w:r>
                    <w:rPr>
                      <w:rFonts w:eastAsia="標楷體"/>
                    </w:rPr>
                    <w:t>其他免疫抑制劑</w:t>
                  </w:r>
                  <w:r>
                    <w:rPr>
                      <w:rFonts w:eastAsia="標楷體"/>
                    </w:rPr>
                    <w:t>__________</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BC4EB" w14:textId="77777777" w:rsidR="00BD776B" w:rsidRDefault="00BD776B">
                  <w:pPr>
                    <w:widowControl/>
                    <w:spacing w:line="320" w:lineRule="exact"/>
                    <w:rPr>
                      <w:rFonts w:eastAsia="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E5AB6" w14:textId="77777777" w:rsidR="00BD776B" w:rsidRDefault="00DF0C24">
                  <w:pPr>
                    <w:widowControl/>
                    <w:spacing w:line="320" w:lineRule="exact"/>
                    <w:rPr>
                      <w:rFonts w:eastAsia="標楷體"/>
                    </w:rPr>
                  </w:pP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日至</w:t>
                  </w:r>
                  <w:r>
                    <w:rPr>
                      <w:rFonts w:eastAsia="標楷體"/>
                    </w:rPr>
                    <w:t>__</w:t>
                  </w:r>
                  <w:r>
                    <w:rPr>
                      <w:rFonts w:eastAsia="標楷體"/>
                    </w:rPr>
                    <w:t>年</w:t>
                  </w:r>
                  <w:r>
                    <w:rPr>
                      <w:rFonts w:eastAsia="標楷體"/>
                    </w:rPr>
                    <w:t>__</w:t>
                  </w:r>
                  <w:r>
                    <w:rPr>
                      <w:rFonts w:eastAsia="標楷體"/>
                    </w:rPr>
                    <w:t>月</w:t>
                  </w:r>
                  <w:r>
                    <w:rPr>
                      <w:rFonts w:eastAsia="標楷體"/>
                    </w:rPr>
                    <w:t>__</w:t>
                  </w:r>
                  <w:r>
                    <w:rPr>
                      <w:rFonts w:eastAsia="標楷體"/>
                    </w:rPr>
                    <w:t>日</w:t>
                  </w:r>
                </w:p>
              </w:tc>
            </w:tr>
          </w:tbl>
          <w:p w14:paraId="1C1238B6" w14:textId="77777777" w:rsidR="00BD776B" w:rsidRDefault="00DF0C24" w:rsidP="008A7063">
            <w:pPr>
              <w:widowControl/>
              <w:numPr>
                <w:ilvl w:val="0"/>
                <w:numId w:val="126"/>
              </w:numPr>
              <w:tabs>
                <w:tab w:val="left" w:pos="-1440"/>
              </w:tabs>
              <w:spacing w:before="240" w:line="320" w:lineRule="exact"/>
            </w:pPr>
            <w:r>
              <w:rPr>
                <w:rFonts w:ascii="標楷體" w:eastAsia="標楷體" w:hAnsi="標楷體" w:cs="新細明體"/>
                <w:kern w:val="0"/>
              </w:rPr>
              <w:t xml:space="preserve">□ </w:t>
            </w:r>
            <w:r>
              <w:rPr>
                <w:rFonts w:eastAsia="標楷體" w:cs="新細明體"/>
                <w:kern w:val="0"/>
              </w:rPr>
              <w:t>無法有效控制疾病的定義為經標準治療至少</w:t>
            </w:r>
            <w:r>
              <w:rPr>
                <w:rFonts w:eastAsia="標楷體" w:cs="新細明體"/>
                <w:kern w:val="0"/>
              </w:rPr>
              <w:t xml:space="preserve">6 </w:t>
            </w:r>
            <w:r>
              <w:rPr>
                <w:rFonts w:eastAsia="標楷體" w:cs="新細明體"/>
                <w:kern w:val="0"/>
              </w:rPr>
              <w:t>個月後仍有以下情形</w:t>
            </w:r>
            <w:r>
              <w:rPr>
                <w:rFonts w:eastAsia="標楷體" w:cs="新細明體"/>
                <w:kern w:val="0"/>
              </w:rPr>
              <w:t>:</w:t>
            </w:r>
          </w:p>
          <w:p w14:paraId="02166381" w14:textId="77777777" w:rsidR="00BD776B" w:rsidRDefault="00DF0C24" w:rsidP="008A7063">
            <w:pPr>
              <w:widowControl/>
              <w:numPr>
                <w:ilvl w:val="1"/>
                <w:numId w:val="126"/>
              </w:numPr>
              <w:tabs>
                <w:tab w:val="left" w:pos="-3065"/>
              </w:tabs>
              <w:spacing w:line="320" w:lineRule="exact"/>
              <w:ind w:hanging="469"/>
            </w:pPr>
            <w:r>
              <w:rPr>
                <w:rFonts w:ascii="標楷體" w:eastAsia="標楷體" w:hAnsi="標楷體" w:cs="新細明體"/>
                <w:kern w:val="0"/>
              </w:rPr>
              <w:t>□</w:t>
            </w:r>
            <w:r>
              <w:rPr>
                <w:rFonts w:eastAsia="標楷體" w:cs="新細明體"/>
                <w:kern w:val="0"/>
              </w:rPr>
              <w:t xml:space="preserve"> </w:t>
            </w:r>
            <w:r>
              <w:rPr>
                <w:rFonts w:eastAsia="標楷體" w:cs="新細明體"/>
                <w:kern w:val="0"/>
              </w:rPr>
              <w:t>蛋白尿相較基期下降比例</w:t>
            </w:r>
            <w:r>
              <w:rPr>
                <w:rFonts w:eastAsia="標楷體" w:cs="新細明體"/>
                <w:kern w:val="0"/>
              </w:rPr>
              <w:t>&lt;50%</w:t>
            </w:r>
            <w:r>
              <w:rPr>
                <w:rFonts w:eastAsia="標楷體" w:cs="新細明體"/>
                <w:kern w:val="0"/>
              </w:rPr>
              <w:t>，且</w:t>
            </w:r>
            <w:r>
              <w:rPr>
                <w:rFonts w:eastAsia="標楷體" w:cs="新細明體"/>
                <w:kern w:val="0"/>
              </w:rPr>
              <w:t>uPCR</w:t>
            </w:r>
            <w:r>
              <w:rPr>
                <w:rFonts w:eastAsia="標楷體" w:cs="新細明體"/>
                <w:kern w:val="0"/>
              </w:rPr>
              <w:t>或</w:t>
            </w:r>
            <w:r>
              <w:rPr>
                <w:rFonts w:eastAsia="標楷體" w:cs="新細明體"/>
                <w:kern w:val="0"/>
              </w:rPr>
              <w:t>24</w:t>
            </w:r>
            <w:r>
              <w:rPr>
                <w:rFonts w:eastAsia="標楷體" w:cs="新細明體"/>
                <w:kern w:val="0"/>
              </w:rPr>
              <w:t>小時蛋白尿</w:t>
            </w:r>
            <w:r>
              <w:rPr>
                <w:rFonts w:eastAsia="標楷體" w:cs="新細明體"/>
                <w:kern w:val="0"/>
              </w:rPr>
              <w:t>≥ 1.0</w:t>
            </w:r>
          </w:p>
          <w:p w14:paraId="2FF406FC" w14:textId="77777777" w:rsidR="00BD776B" w:rsidRDefault="00DF0C24" w:rsidP="008A7063">
            <w:pPr>
              <w:widowControl/>
              <w:numPr>
                <w:ilvl w:val="1"/>
                <w:numId w:val="126"/>
              </w:numPr>
              <w:tabs>
                <w:tab w:val="left" w:pos="-3065"/>
              </w:tabs>
              <w:spacing w:line="320" w:lineRule="exact"/>
              <w:ind w:hanging="469"/>
            </w:pPr>
            <w:r>
              <w:rPr>
                <w:rFonts w:ascii="標楷體" w:eastAsia="標楷體" w:hAnsi="標楷體" w:cs="新細明體"/>
                <w:kern w:val="0"/>
              </w:rPr>
              <w:t xml:space="preserve">□ </w:t>
            </w:r>
            <w:r>
              <w:rPr>
                <w:rFonts w:eastAsia="標楷體" w:cs="新細明體"/>
                <w:kern w:val="0"/>
              </w:rPr>
              <w:t>腎絲球過濾率</w:t>
            </w:r>
            <w:r>
              <w:rPr>
                <w:rFonts w:eastAsia="標楷體" w:cs="新細明體"/>
                <w:kern w:val="0"/>
              </w:rPr>
              <w:t xml:space="preserve"> (glomerular filtration rate,GFR)</w:t>
            </w:r>
            <w:r>
              <w:rPr>
                <w:rFonts w:eastAsia="標楷體" w:cs="新細明體"/>
                <w:kern w:val="0"/>
              </w:rPr>
              <w:t>下降超過</w:t>
            </w:r>
            <w:r>
              <w:rPr>
                <w:rFonts w:eastAsia="標楷體" w:cs="新細明體"/>
                <w:kern w:val="0"/>
              </w:rPr>
              <w:t>20%</w:t>
            </w:r>
            <w:r>
              <w:rPr>
                <w:rFonts w:eastAsia="標楷體" w:cs="新細明體"/>
                <w:kern w:val="0"/>
              </w:rPr>
              <w:t>以上且伴隨</w:t>
            </w:r>
            <w:r>
              <w:rPr>
                <w:rFonts w:eastAsia="標楷體" w:cs="新細明體"/>
                <w:kern w:val="0"/>
              </w:rPr>
              <w:t>uPCR</w:t>
            </w:r>
            <w:r>
              <w:rPr>
                <w:rFonts w:eastAsia="標楷體" w:cs="新細明體"/>
                <w:kern w:val="0"/>
              </w:rPr>
              <w:t>或</w:t>
            </w:r>
            <w:r>
              <w:rPr>
                <w:rFonts w:eastAsia="標楷體" w:cs="新細明體"/>
                <w:kern w:val="0"/>
              </w:rPr>
              <w:t>24</w:t>
            </w:r>
            <w:r>
              <w:rPr>
                <w:rFonts w:eastAsia="標楷體" w:cs="新細明體"/>
                <w:kern w:val="0"/>
              </w:rPr>
              <w:t>小時蛋白尿</w:t>
            </w:r>
            <w:r>
              <w:rPr>
                <w:rFonts w:eastAsia="標楷體" w:cs="新細明體"/>
                <w:kern w:val="0"/>
              </w:rPr>
              <w:t>≥ 1.0</w:t>
            </w:r>
            <w:r>
              <w:rPr>
                <w:rFonts w:eastAsia="標楷體" w:cs="新細明體"/>
                <w:kern w:val="0"/>
              </w:rPr>
              <w:t>或是出現尿沉渣。</w:t>
            </w:r>
          </w:p>
          <w:p w14:paraId="369EAEA2" w14:textId="15263F92" w:rsidR="00AC35DB" w:rsidRPr="00AC35DB" w:rsidRDefault="00AC35DB" w:rsidP="00AC35DB">
            <w:pPr>
              <w:spacing w:before="240"/>
              <w:ind w:left="406" w:hanging="406"/>
              <w:rPr>
                <w:rFonts w:eastAsia="標楷體"/>
              </w:rPr>
            </w:pPr>
            <w:r w:rsidRPr="00AC35DB">
              <w:rPr>
                <w:rFonts w:eastAsia="標楷體" w:hint="eastAsia"/>
              </w:rPr>
              <w:t>□</w:t>
            </w:r>
            <w:r w:rsidRPr="00AC35DB">
              <w:rPr>
                <w:rFonts w:eastAsia="標楷體" w:hint="eastAsia"/>
              </w:rPr>
              <w:t xml:space="preserve"> </w:t>
            </w:r>
            <w:r w:rsidRPr="00AC35DB">
              <w:rPr>
                <w:rFonts w:eastAsia="標楷體" w:hint="eastAsia"/>
              </w:rPr>
              <w:t>療效評估與繼續使用</w:t>
            </w:r>
            <w:r w:rsidRPr="00AC35DB">
              <w:rPr>
                <w:rFonts w:eastAsia="標楷體" w:hint="eastAsia"/>
              </w:rPr>
              <w:t>:</w:t>
            </w:r>
            <w:r w:rsidRPr="00AC35DB">
              <w:rPr>
                <w:rFonts w:eastAsia="標楷體" w:hint="eastAsia"/>
              </w:rPr>
              <w:t>每治療</w:t>
            </w:r>
            <w:r w:rsidRPr="00AC35DB">
              <w:rPr>
                <w:rFonts w:eastAsia="標楷體" w:hint="eastAsia"/>
              </w:rPr>
              <w:t xml:space="preserve">12 </w:t>
            </w:r>
            <w:r w:rsidRPr="00AC35DB">
              <w:rPr>
                <w:rFonts w:eastAsia="標楷體" w:hint="eastAsia"/>
              </w:rPr>
              <w:t>個月需評估病人在使用期間內是否達充分改善腎臟指標，必須達到以下標準才可以繼續使用：</w:t>
            </w:r>
          </w:p>
          <w:p w14:paraId="009E4AB5" w14:textId="77777777" w:rsidR="00AC35DB" w:rsidRPr="00AC35DB" w:rsidRDefault="00AC35DB" w:rsidP="008A7063">
            <w:pPr>
              <w:widowControl/>
              <w:numPr>
                <w:ilvl w:val="0"/>
                <w:numId w:val="143"/>
              </w:numPr>
              <w:spacing w:before="240"/>
              <w:rPr>
                <w:rFonts w:eastAsia="標楷體"/>
                <w:kern w:val="0"/>
              </w:rPr>
            </w:pPr>
            <w:r w:rsidRPr="00AC35DB">
              <w:rPr>
                <w:rFonts w:eastAsia="標楷體" w:hint="eastAsia"/>
                <w:kern w:val="0"/>
              </w:rPr>
              <w:t>□</w:t>
            </w:r>
            <w:r w:rsidRPr="00AC35DB">
              <w:rPr>
                <w:rFonts w:eastAsia="標楷體" w:hint="eastAsia"/>
                <w:kern w:val="0"/>
              </w:rPr>
              <w:t xml:space="preserve"> uPCR</w:t>
            </w:r>
            <w:r w:rsidRPr="00AC35DB">
              <w:rPr>
                <w:rFonts w:eastAsia="標楷體" w:hint="eastAsia"/>
                <w:kern w:val="0"/>
              </w:rPr>
              <w:t>或</w:t>
            </w:r>
            <w:r w:rsidRPr="00AC35DB">
              <w:rPr>
                <w:rFonts w:eastAsia="標楷體" w:hint="eastAsia"/>
                <w:kern w:val="0"/>
              </w:rPr>
              <w:t>24</w:t>
            </w:r>
            <w:r w:rsidRPr="00AC35DB">
              <w:rPr>
                <w:rFonts w:eastAsia="標楷體" w:hint="eastAsia"/>
                <w:kern w:val="0"/>
              </w:rPr>
              <w:t>小時蛋白尿</w:t>
            </w:r>
            <w:r w:rsidRPr="00AC35DB">
              <w:rPr>
                <w:rFonts w:ascii="Times New Roman" w:eastAsia="標楷體" w:hAnsi="Times New Roman"/>
                <w:kern w:val="0"/>
              </w:rPr>
              <w:t>≤</w:t>
            </w:r>
            <w:r w:rsidRPr="00AC35DB">
              <w:rPr>
                <w:rFonts w:eastAsia="標楷體" w:hint="eastAsia"/>
                <w:kern w:val="0"/>
              </w:rPr>
              <w:t xml:space="preserve"> 0.7gm/</w:t>
            </w:r>
            <w:r w:rsidRPr="00AC35DB">
              <w:rPr>
                <w:rFonts w:eastAsia="標楷體" w:hint="eastAsia"/>
                <w:kern w:val="0"/>
              </w:rPr>
              <w:t>天或相較於基期下降一半以上。</w:t>
            </w:r>
          </w:p>
          <w:p w14:paraId="53A4AAAA" w14:textId="77777777" w:rsidR="00AC35DB" w:rsidRPr="00AC35DB" w:rsidRDefault="00AC35DB" w:rsidP="008A7063">
            <w:pPr>
              <w:widowControl/>
              <w:numPr>
                <w:ilvl w:val="0"/>
                <w:numId w:val="143"/>
              </w:numPr>
              <w:spacing w:before="240"/>
              <w:rPr>
                <w:rFonts w:eastAsia="標楷體"/>
                <w:kern w:val="0"/>
              </w:rPr>
            </w:pPr>
            <w:r w:rsidRPr="00AC35DB">
              <w:rPr>
                <w:rFonts w:eastAsia="標楷體" w:hint="eastAsia"/>
                <w:kern w:val="0"/>
              </w:rPr>
              <w:t>□</w:t>
            </w:r>
            <w:r w:rsidRPr="00AC35DB">
              <w:rPr>
                <w:rFonts w:eastAsia="標楷體" w:hint="eastAsia"/>
                <w:kern w:val="0"/>
              </w:rPr>
              <w:t xml:space="preserve"> </w:t>
            </w:r>
            <w:r w:rsidRPr="00AC35DB">
              <w:rPr>
                <w:rFonts w:eastAsia="標楷體" w:hint="eastAsia"/>
                <w:kern w:val="0"/>
              </w:rPr>
              <w:t>腎絲球過濾率</w:t>
            </w:r>
            <w:r w:rsidRPr="00AC35DB">
              <w:rPr>
                <w:rFonts w:eastAsia="標楷體" w:hint="eastAsia"/>
                <w:kern w:val="0"/>
              </w:rPr>
              <w:t>(glomerular filtration rate, GFR)</w:t>
            </w:r>
            <w:r w:rsidRPr="00AC35DB">
              <w:rPr>
                <w:rFonts w:eastAsia="標楷體" w:hint="eastAsia"/>
                <w:kern w:val="0"/>
              </w:rPr>
              <w:t>沒有下降超過</w:t>
            </w:r>
            <w:r w:rsidRPr="00AC35DB">
              <w:rPr>
                <w:rFonts w:eastAsia="標楷體" w:hint="eastAsia"/>
                <w:kern w:val="0"/>
              </w:rPr>
              <w:t xml:space="preserve"> 20%</w:t>
            </w:r>
            <w:r w:rsidRPr="00AC35DB">
              <w:rPr>
                <w:rFonts w:eastAsia="標楷體" w:hint="eastAsia"/>
                <w:kern w:val="0"/>
              </w:rPr>
              <w:t>以上。</w:t>
            </w:r>
          </w:p>
          <w:p w14:paraId="6F341C57" w14:textId="77777777" w:rsidR="00AC35DB" w:rsidRPr="00AC35DB" w:rsidRDefault="00AC35DB" w:rsidP="008A7063">
            <w:pPr>
              <w:widowControl/>
              <w:numPr>
                <w:ilvl w:val="0"/>
                <w:numId w:val="143"/>
              </w:numPr>
              <w:spacing w:before="240"/>
              <w:rPr>
                <w:rFonts w:eastAsia="標楷體"/>
                <w:kern w:val="0"/>
              </w:rPr>
            </w:pPr>
            <w:r w:rsidRPr="00AC35DB">
              <w:rPr>
                <w:rFonts w:eastAsia="標楷體" w:hint="eastAsia"/>
                <w:kern w:val="0"/>
              </w:rPr>
              <w:t>□</w:t>
            </w:r>
            <w:r w:rsidRPr="00AC35DB">
              <w:rPr>
                <w:rFonts w:eastAsia="標楷體" w:hint="eastAsia"/>
                <w:kern w:val="0"/>
              </w:rPr>
              <w:t xml:space="preserve"> </w:t>
            </w:r>
            <w:r w:rsidRPr="00AC35DB">
              <w:rPr>
                <w:rFonts w:eastAsia="標楷體" w:hint="eastAsia"/>
                <w:kern w:val="0"/>
              </w:rPr>
              <w:t>沒有末期腎臟病。</w:t>
            </w:r>
          </w:p>
          <w:p w14:paraId="3D302014" w14:textId="77777777" w:rsidR="00AC35DB" w:rsidRPr="00AC35DB" w:rsidRDefault="00AC35DB" w:rsidP="008A7063">
            <w:pPr>
              <w:widowControl/>
              <w:numPr>
                <w:ilvl w:val="0"/>
                <w:numId w:val="143"/>
              </w:numPr>
              <w:spacing w:before="240"/>
              <w:rPr>
                <w:rFonts w:eastAsia="標楷體"/>
                <w:kern w:val="0"/>
              </w:rPr>
            </w:pPr>
            <w:r w:rsidRPr="00AC35DB">
              <w:rPr>
                <w:rFonts w:eastAsia="標楷體" w:hint="eastAsia"/>
                <w:kern w:val="0"/>
              </w:rPr>
              <w:t>□</w:t>
            </w:r>
            <w:r w:rsidRPr="00AC35DB">
              <w:rPr>
                <w:rFonts w:eastAsia="標楷體" w:hint="eastAsia"/>
                <w:kern w:val="0"/>
              </w:rPr>
              <w:t xml:space="preserve"> </w:t>
            </w:r>
            <w:r w:rsidRPr="00AC35DB">
              <w:rPr>
                <w:rFonts w:eastAsia="標楷體" w:hint="eastAsia"/>
                <w:kern w:val="0"/>
              </w:rPr>
              <w:t>相較基期，血清肌酸酐沒有增加超過</w:t>
            </w:r>
            <w:r w:rsidRPr="00AC35DB">
              <w:rPr>
                <w:rFonts w:eastAsia="標楷體" w:hint="eastAsia"/>
                <w:kern w:val="0"/>
              </w:rPr>
              <w:t>1</w:t>
            </w:r>
            <w:r w:rsidRPr="00AC35DB">
              <w:rPr>
                <w:rFonts w:eastAsia="標楷體" w:hint="eastAsia"/>
                <w:kern w:val="0"/>
              </w:rPr>
              <w:t>倍。</w:t>
            </w:r>
          </w:p>
          <w:p w14:paraId="1314C0F0" w14:textId="2681CCD2" w:rsidR="00BD776B" w:rsidRPr="005F25EC" w:rsidRDefault="00AC35DB" w:rsidP="008A7063">
            <w:pPr>
              <w:widowControl/>
              <w:numPr>
                <w:ilvl w:val="0"/>
                <w:numId w:val="143"/>
              </w:numPr>
              <w:spacing w:before="240"/>
              <w:rPr>
                <w:rFonts w:eastAsia="標楷體"/>
                <w:kern w:val="0"/>
              </w:rPr>
            </w:pPr>
            <w:r w:rsidRPr="00AC35DB">
              <w:rPr>
                <w:rFonts w:eastAsia="標楷體" w:hint="eastAsia"/>
                <w:kern w:val="0"/>
              </w:rPr>
              <w:t>□</w:t>
            </w:r>
            <w:r w:rsidRPr="00AC35DB">
              <w:rPr>
                <w:rFonts w:eastAsia="標楷體" w:hint="eastAsia"/>
                <w:kern w:val="0"/>
              </w:rPr>
              <w:t xml:space="preserve"> </w:t>
            </w:r>
            <w:r w:rsidRPr="00AC35DB">
              <w:rPr>
                <w:rFonts w:eastAsia="標楷體" w:hint="eastAsia"/>
                <w:kern w:val="0"/>
              </w:rPr>
              <w:t>治療</w:t>
            </w:r>
            <w:r w:rsidRPr="00AC35DB">
              <w:rPr>
                <w:rFonts w:eastAsia="標楷體" w:hint="eastAsia"/>
                <w:kern w:val="0"/>
              </w:rPr>
              <w:t>2</w:t>
            </w:r>
            <w:r w:rsidRPr="00AC35DB">
              <w:rPr>
                <w:rFonts w:eastAsia="標楷體" w:hint="eastAsia"/>
                <w:kern w:val="0"/>
              </w:rPr>
              <w:t>年後，若腎炎已達完全緩解者</w:t>
            </w:r>
            <w:r w:rsidRPr="00AC35DB">
              <w:rPr>
                <w:rFonts w:eastAsia="標楷體" w:hint="eastAsia"/>
                <w:kern w:val="0"/>
              </w:rPr>
              <w:t>(complete renal response, CRR)</w:t>
            </w:r>
            <w:r w:rsidRPr="00AC35DB">
              <w:rPr>
                <w:rFonts w:eastAsia="標楷體" w:hint="eastAsia"/>
                <w:kern w:val="0"/>
              </w:rPr>
              <w:t>，應停止使用</w:t>
            </w:r>
            <w:r w:rsidRPr="00AC35DB">
              <w:rPr>
                <w:rFonts w:eastAsia="標楷體" w:hint="eastAsia"/>
                <w:kern w:val="0"/>
              </w:rPr>
              <w:t>belimumab</w:t>
            </w:r>
            <w:r w:rsidRPr="00AC35DB">
              <w:rPr>
                <w:rFonts w:eastAsia="標楷體" w:hint="eastAsia"/>
                <w:kern w:val="0"/>
              </w:rPr>
              <w:t>。</w:t>
            </w:r>
            <w:r w:rsidRPr="00AC35DB">
              <w:rPr>
                <w:rFonts w:eastAsia="標楷體" w:hint="eastAsia"/>
                <w:kern w:val="0"/>
              </w:rPr>
              <w:t>CRR</w:t>
            </w:r>
            <w:r w:rsidRPr="00AC35DB">
              <w:rPr>
                <w:rFonts w:eastAsia="標楷體" w:hint="eastAsia"/>
                <w:kern w:val="0"/>
              </w:rPr>
              <w:t>指病人</w:t>
            </w:r>
            <w:r w:rsidRPr="00AC35DB">
              <w:rPr>
                <w:rFonts w:eastAsia="標楷體" w:hint="eastAsia"/>
                <w:kern w:val="0"/>
              </w:rPr>
              <w:t>uPCR&lt;0.5</w:t>
            </w:r>
            <w:r w:rsidRPr="00AC35DB">
              <w:rPr>
                <w:rFonts w:eastAsia="標楷體" w:hint="eastAsia"/>
                <w:kern w:val="0"/>
              </w:rPr>
              <w:t>且</w:t>
            </w:r>
            <w:r w:rsidRPr="00AC35DB">
              <w:rPr>
                <w:rFonts w:eastAsia="標楷體" w:hint="eastAsia"/>
                <w:kern w:val="0"/>
              </w:rPr>
              <w:t>eGFR</w:t>
            </w:r>
            <w:r w:rsidRPr="00AC35DB">
              <w:rPr>
                <w:rFonts w:eastAsia="標楷體" w:hint="eastAsia"/>
                <w:kern w:val="0"/>
              </w:rPr>
              <w:t>下降與基期相比</w:t>
            </w:r>
            <w:r w:rsidRPr="00AC35DB">
              <w:rPr>
                <w:rFonts w:eastAsia="標楷體" w:hint="eastAsia"/>
                <w:kern w:val="0"/>
              </w:rPr>
              <w:t>&lt;10%</w:t>
            </w:r>
            <w:r w:rsidRPr="00AC35DB">
              <w:rPr>
                <w:rFonts w:eastAsia="標楷體" w:hint="eastAsia"/>
                <w:kern w:val="0"/>
              </w:rPr>
              <w:t>或持續</w:t>
            </w:r>
            <w:r w:rsidRPr="00AC35DB">
              <w:rPr>
                <w:rFonts w:ascii="Times New Roman" w:eastAsia="標楷體" w:hAnsi="Times New Roman"/>
                <w:kern w:val="0"/>
              </w:rPr>
              <w:t>≥</w:t>
            </w:r>
            <w:r w:rsidRPr="00AC35DB">
              <w:rPr>
                <w:rFonts w:eastAsia="標楷體" w:hint="eastAsia"/>
                <w:kern w:val="0"/>
              </w:rPr>
              <w:t>90 ml/min/1.73 m</w:t>
            </w:r>
            <w:r w:rsidRPr="00AC35DB">
              <w:rPr>
                <w:rFonts w:eastAsia="標楷體" w:hint="eastAsia"/>
                <w:kern w:val="0"/>
                <w:vertAlign w:val="superscript"/>
              </w:rPr>
              <w:t>2</w:t>
            </w:r>
            <w:r w:rsidRPr="00AC35DB">
              <w:rPr>
                <w:rFonts w:eastAsia="標楷體" w:hint="eastAsia"/>
                <w:kern w:val="0"/>
              </w:rPr>
              <w:t>。</w:t>
            </w:r>
          </w:p>
        </w:tc>
      </w:tr>
    </w:tbl>
    <w:p w14:paraId="459BA514" w14:textId="77777777" w:rsidR="00BD776B" w:rsidRDefault="00DF0C24">
      <w:pPr>
        <w:widowControl/>
        <w:spacing w:before="240" w:after="240" w:line="276" w:lineRule="auto"/>
      </w:pPr>
      <w:r>
        <w:rPr>
          <w:rFonts w:ascii="標楷體" w:eastAsia="標楷體" w:hAnsi="標楷體" w:cs="新細明體"/>
          <w:kern w:val="0"/>
        </w:rPr>
        <w:lastRenderedPageBreak/>
        <w:t>申請醫師（簽名蓋章）：</w:t>
      </w:r>
      <w:r>
        <w:rPr>
          <w:rFonts w:ascii="標楷體" w:eastAsia="標楷體" w:hAnsi="標楷體" w:cs="新細明體"/>
          <w:kern w:val="0"/>
          <w:u w:val="single"/>
        </w:rPr>
        <w:t xml:space="preserve">　　　　　　　 </w:t>
      </w:r>
      <w:r>
        <w:rPr>
          <w:rFonts w:ascii="標楷體" w:eastAsia="標楷體" w:hAnsi="標楷體" w:cs="新細明體"/>
          <w:kern w:val="0"/>
        </w:rPr>
        <w:t xml:space="preserve">     申請醫師（簽名蓋章）：</w:t>
      </w:r>
    </w:p>
    <w:p w14:paraId="7F18DC3C" w14:textId="7FB92E5A" w:rsidR="00C20805" w:rsidRDefault="00DF0C24">
      <w:pPr>
        <w:rPr>
          <w:rFonts w:ascii="標楷體" w:eastAsia="標楷體" w:hAnsi="標楷體" w:cs="新細明體"/>
          <w:kern w:val="0"/>
        </w:rPr>
      </w:pPr>
      <w:r>
        <w:rPr>
          <w:rFonts w:ascii="標楷體" w:eastAsia="標楷體" w:hAnsi="標楷體" w:cs="新細明體"/>
          <w:kern w:val="0"/>
        </w:rPr>
        <w:t>專科醫師證書：</w:t>
      </w:r>
      <w:r>
        <w:rPr>
          <w:rFonts w:ascii="標楷體" w:eastAsia="標楷體" w:hAnsi="標楷體" w:cs="新細明體"/>
          <w:kern w:val="0"/>
          <w:u w:val="single"/>
        </w:rPr>
        <w:t xml:space="preserve"> </w:t>
      </w:r>
      <w:r>
        <w:rPr>
          <w:rFonts w:ascii="標楷體" w:eastAsia="標楷體" w:hAnsi="標楷體" w:cs="新細明體"/>
          <w:kern w:val="0"/>
        </w:rPr>
        <w:t>專字第</w:t>
      </w:r>
      <w:r>
        <w:rPr>
          <w:rFonts w:ascii="標楷體" w:eastAsia="標楷體" w:hAnsi="標楷體" w:cs="新細明體"/>
          <w:kern w:val="0"/>
          <w:u w:val="single"/>
        </w:rPr>
        <w:t xml:space="preserve">　　　　 　 </w:t>
      </w:r>
      <w:r>
        <w:rPr>
          <w:rFonts w:ascii="標楷體" w:eastAsia="標楷體" w:hAnsi="標楷體" w:cs="新細明體"/>
          <w:kern w:val="0"/>
        </w:rPr>
        <w:t>號       醫事機構章戳：</w:t>
      </w:r>
    </w:p>
    <w:p w14:paraId="333EDFFE" w14:textId="350460BA" w:rsidR="00BD776B" w:rsidRDefault="00C20805" w:rsidP="00C20805">
      <w:pPr>
        <w:widowControl/>
        <w:suppressAutoHyphens w:val="0"/>
        <w:rPr>
          <w:rFonts w:ascii="標楷體" w:eastAsia="標楷體" w:hAnsi="標楷體" w:cs="新細明體"/>
          <w:kern w:val="0"/>
        </w:rPr>
      </w:pPr>
      <w:r>
        <w:rPr>
          <w:rFonts w:ascii="標楷體" w:eastAsia="標楷體" w:hAnsi="標楷體" w:cs="新細明體"/>
          <w:kern w:val="0"/>
        </w:rPr>
        <w:br w:type="page"/>
      </w:r>
    </w:p>
    <w:p w14:paraId="67F1F32C" w14:textId="77777777" w:rsidR="005F25EC" w:rsidRPr="005F25EC" w:rsidRDefault="005F25EC" w:rsidP="00DD67F7">
      <w:pPr>
        <w:widowControl/>
        <w:tabs>
          <w:tab w:val="left" w:pos="6521"/>
        </w:tabs>
        <w:jc w:val="center"/>
        <w:rPr>
          <w:rFonts w:ascii="標楷體" w:eastAsia="標楷體" w:hAnsi="標楷體"/>
          <w:b/>
        </w:rPr>
      </w:pPr>
      <w:bookmarkStart w:id="44" w:name="_Hlk188445473"/>
      <w:r w:rsidRPr="005F25EC">
        <w:rPr>
          <w:rFonts w:ascii="標楷體" w:eastAsia="標楷體" w:hAnsi="標楷體" w:hint="eastAsia"/>
          <w:b/>
        </w:rPr>
        <w:lastRenderedPageBreak/>
        <w:t>附表三十六之一：全民健康保險全身性狼瘡5-17歲病人使用belimumab生物製劑申請表</w:t>
      </w:r>
      <w:bookmarkEnd w:id="44"/>
    </w:p>
    <w:tbl>
      <w:tblPr>
        <w:tblW w:w="9639" w:type="dxa"/>
        <w:tblCellSpacing w:w="7" w:type="dxa"/>
        <w:tblCellMar>
          <w:top w:w="15" w:type="dxa"/>
          <w:left w:w="15" w:type="dxa"/>
          <w:bottom w:w="15" w:type="dxa"/>
          <w:right w:w="15" w:type="dxa"/>
        </w:tblCellMar>
        <w:tblLook w:val="04A0" w:firstRow="1" w:lastRow="0" w:firstColumn="1" w:lastColumn="0" w:noHBand="0" w:noVBand="1"/>
      </w:tblPr>
      <w:tblGrid>
        <w:gridCol w:w="26"/>
        <w:gridCol w:w="1769"/>
        <w:gridCol w:w="1553"/>
        <w:gridCol w:w="1368"/>
        <w:gridCol w:w="1424"/>
        <w:gridCol w:w="1239"/>
        <w:gridCol w:w="2350"/>
      </w:tblGrid>
      <w:tr w:rsidR="005F25EC" w:rsidRPr="005F25EC" w14:paraId="087AC9E3" w14:textId="77777777" w:rsidTr="00C20805">
        <w:trPr>
          <w:trHeight w:val="210"/>
          <w:tblCellSpacing w:w="7" w:type="dxa"/>
        </w:trPr>
        <w:tc>
          <w:tcPr>
            <w:tcW w:w="20" w:type="dxa"/>
            <w:tcBorders>
              <w:top w:val="nil"/>
              <w:left w:val="nil"/>
              <w:bottom w:val="nil"/>
              <w:right w:val="nil"/>
            </w:tcBorders>
            <w:tcMar>
              <w:top w:w="0" w:type="dxa"/>
              <w:left w:w="0" w:type="dxa"/>
              <w:bottom w:w="0" w:type="dxa"/>
              <w:right w:w="0" w:type="dxa"/>
            </w:tcMar>
            <w:hideMark/>
          </w:tcPr>
          <w:p w14:paraId="480ADDB0"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578" w:type="dxa"/>
            <w:tcBorders>
              <w:top w:val="double" w:sz="6" w:space="0" w:color="000000"/>
              <w:left w:val="double" w:sz="6" w:space="0" w:color="000000"/>
              <w:bottom w:val="single" w:sz="6" w:space="0" w:color="000000"/>
              <w:right w:val="single" w:sz="6" w:space="0" w:color="000000"/>
            </w:tcBorders>
            <w:tcMar>
              <w:top w:w="0" w:type="dxa"/>
              <w:left w:w="28" w:type="dxa"/>
              <w:bottom w:w="0" w:type="dxa"/>
              <w:right w:w="28" w:type="dxa"/>
            </w:tcMar>
            <w:hideMark/>
          </w:tcPr>
          <w:p w14:paraId="63E788B2"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醫院代號</w:t>
            </w:r>
          </w:p>
        </w:tc>
        <w:tc>
          <w:tcPr>
            <w:tcW w:w="1695"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473F3C0"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245"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F5AD37C"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醫院名稱</w:t>
            </w:r>
          </w:p>
        </w:tc>
        <w:tc>
          <w:tcPr>
            <w:tcW w:w="1545"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A700181"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095" w:type="dxa"/>
            <w:tcBorders>
              <w:top w:val="doub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5F69A50"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申請日期</w:t>
            </w:r>
          </w:p>
        </w:tc>
        <w:tc>
          <w:tcPr>
            <w:tcW w:w="2349" w:type="dxa"/>
            <w:tcBorders>
              <w:top w:val="double" w:sz="6" w:space="0" w:color="000000"/>
              <w:left w:val="single" w:sz="6" w:space="0" w:color="000000"/>
              <w:bottom w:val="single" w:sz="6" w:space="0" w:color="000000"/>
              <w:right w:val="double" w:sz="6" w:space="0" w:color="000000"/>
            </w:tcBorders>
            <w:tcMar>
              <w:top w:w="0" w:type="dxa"/>
              <w:left w:w="28" w:type="dxa"/>
              <w:bottom w:w="0" w:type="dxa"/>
              <w:right w:w="28" w:type="dxa"/>
            </w:tcMar>
            <w:hideMark/>
          </w:tcPr>
          <w:p w14:paraId="208AD0D9"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r>
      <w:tr w:rsidR="005F25EC" w:rsidRPr="005F25EC" w14:paraId="105B3FDE" w14:textId="77777777" w:rsidTr="00C20805">
        <w:trPr>
          <w:trHeight w:val="210"/>
          <w:tblCellSpacing w:w="7" w:type="dxa"/>
        </w:trPr>
        <w:tc>
          <w:tcPr>
            <w:tcW w:w="20" w:type="dxa"/>
            <w:tcBorders>
              <w:top w:val="nil"/>
              <w:left w:val="nil"/>
              <w:bottom w:val="nil"/>
              <w:right w:val="nil"/>
            </w:tcBorders>
            <w:tcMar>
              <w:top w:w="0" w:type="dxa"/>
              <w:left w:w="0" w:type="dxa"/>
              <w:bottom w:w="0" w:type="dxa"/>
              <w:right w:w="0" w:type="dxa"/>
            </w:tcMar>
            <w:hideMark/>
          </w:tcPr>
          <w:p w14:paraId="699FADA7"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578" w:type="dxa"/>
            <w:tcBorders>
              <w:top w:val="single" w:sz="6" w:space="0" w:color="000000"/>
              <w:left w:val="double" w:sz="6" w:space="0" w:color="000000"/>
              <w:bottom w:val="single" w:sz="6" w:space="0" w:color="000000"/>
              <w:right w:val="single" w:sz="6" w:space="0" w:color="000000"/>
            </w:tcBorders>
            <w:tcMar>
              <w:top w:w="0" w:type="dxa"/>
              <w:left w:w="28" w:type="dxa"/>
              <w:bottom w:w="0" w:type="dxa"/>
              <w:right w:w="28" w:type="dxa"/>
            </w:tcMar>
            <w:hideMark/>
          </w:tcPr>
          <w:p w14:paraId="2DD5D59B"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病人姓名</w:t>
            </w:r>
          </w:p>
        </w:tc>
        <w:tc>
          <w:tcPr>
            <w:tcW w:w="16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F707166"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24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7BB4AF2"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性別</w:t>
            </w:r>
          </w:p>
        </w:tc>
        <w:tc>
          <w:tcPr>
            <w:tcW w:w="154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736E72E"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0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04F8B34"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出生日期</w:t>
            </w:r>
          </w:p>
        </w:tc>
        <w:tc>
          <w:tcPr>
            <w:tcW w:w="2349" w:type="dxa"/>
            <w:tcBorders>
              <w:top w:val="single" w:sz="6" w:space="0" w:color="000000"/>
              <w:left w:val="single" w:sz="6" w:space="0" w:color="000000"/>
              <w:bottom w:val="single" w:sz="6" w:space="0" w:color="000000"/>
              <w:right w:val="double" w:sz="6" w:space="0" w:color="000000"/>
            </w:tcBorders>
            <w:tcMar>
              <w:top w:w="0" w:type="dxa"/>
              <w:left w:w="28" w:type="dxa"/>
              <w:bottom w:w="0" w:type="dxa"/>
              <w:right w:w="28" w:type="dxa"/>
            </w:tcMar>
            <w:hideMark/>
          </w:tcPr>
          <w:p w14:paraId="669C2C45"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r>
      <w:tr w:rsidR="005F25EC" w:rsidRPr="005F25EC" w14:paraId="11D7DD64" w14:textId="77777777" w:rsidTr="00C20805">
        <w:trPr>
          <w:trHeight w:val="210"/>
          <w:tblCellSpacing w:w="7" w:type="dxa"/>
        </w:trPr>
        <w:tc>
          <w:tcPr>
            <w:tcW w:w="20" w:type="dxa"/>
            <w:tcBorders>
              <w:top w:val="nil"/>
              <w:left w:val="nil"/>
              <w:bottom w:val="nil"/>
              <w:right w:val="nil"/>
            </w:tcBorders>
            <w:tcMar>
              <w:top w:w="0" w:type="dxa"/>
              <w:left w:w="0" w:type="dxa"/>
              <w:bottom w:w="0" w:type="dxa"/>
              <w:right w:w="0" w:type="dxa"/>
            </w:tcMar>
            <w:hideMark/>
          </w:tcPr>
          <w:p w14:paraId="17ADD13D"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578" w:type="dxa"/>
            <w:tcBorders>
              <w:top w:val="single" w:sz="6" w:space="0" w:color="000000"/>
              <w:left w:val="double" w:sz="6" w:space="0" w:color="000000"/>
              <w:bottom w:val="single" w:sz="6" w:space="0" w:color="000000"/>
              <w:right w:val="single" w:sz="6" w:space="0" w:color="000000"/>
            </w:tcBorders>
            <w:tcMar>
              <w:top w:w="0" w:type="dxa"/>
              <w:left w:w="28" w:type="dxa"/>
              <w:bottom w:w="0" w:type="dxa"/>
              <w:right w:w="28" w:type="dxa"/>
            </w:tcMar>
            <w:hideMark/>
          </w:tcPr>
          <w:p w14:paraId="0240BD5F"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身分證號</w:t>
            </w:r>
          </w:p>
        </w:tc>
        <w:tc>
          <w:tcPr>
            <w:tcW w:w="16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8AD9F6F"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24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7CA2877"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病歷號碼</w:t>
            </w:r>
          </w:p>
        </w:tc>
        <w:tc>
          <w:tcPr>
            <w:tcW w:w="154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17F1E1B"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095" w:type="dxa"/>
            <w:vMerge w:val="restart"/>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34B2EE4B"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使用期間</w:t>
            </w:r>
          </w:p>
        </w:tc>
        <w:tc>
          <w:tcPr>
            <w:tcW w:w="2349" w:type="dxa"/>
            <w:tcBorders>
              <w:top w:val="single" w:sz="6" w:space="0" w:color="000000"/>
              <w:left w:val="single" w:sz="6" w:space="0" w:color="000000"/>
              <w:bottom w:val="single" w:sz="6" w:space="0" w:color="000000"/>
              <w:right w:val="double" w:sz="6" w:space="0" w:color="000000"/>
            </w:tcBorders>
            <w:tcMar>
              <w:top w:w="0" w:type="dxa"/>
              <w:left w:w="28" w:type="dxa"/>
              <w:bottom w:w="0" w:type="dxa"/>
              <w:right w:w="28" w:type="dxa"/>
            </w:tcMar>
            <w:hideMark/>
          </w:tcPr>
          <w:p w14:paraId="4F6C8930"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自　　年　　月　　日</w:t>
            </w:r>
          </w:p>
        </w:tc>
      </w:tr>
      <w:tr w:rsidR="005F25EC" w:rsidRPr="005F25EC" w14:paraId="67B0BFB2" w14:textId="77777777" w:rsidTr="00C20805">
        <w:trPr>
          <w:trHeight w:val="195"/>
          <w:tblCellSpacing w:w="7" w:type="dxa"/>
        </w:trPr>
        <w:tc>
          <w:tcPr>
            <w:tcW w:w="20" w:type="dxa"/>
            <w:tcBorders>
              <w:top w:val="nil"/>
              <w:left w:val="nil"/>
              <w:bottom w:val="nil"/>
              <w:right w:val="nil"/>
            </w:tcBorders>
            <w:tcMar>
              <w:top w:w="0" w:type="dxa"/>
              <w:left w:w="0" w:type="dxa"/>
              <w:bottom w:w="0" w:type="dxa"/>
              <w:right w:w="0" w:type="dxa"/>
            </w:tcMar>
            <w:hideMark/>
          </w:tcPr>
          <w:p w14:paraId="21550ED6"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578" w:type="dxa"/>
            <w:tcBorders>
              <w:top w:val="single" w:sz="6" w:space="0" w:color="000000"/>
              <w:left w:val="double" w:sz="6" w:space="0" w:color="000000"/>
              <w:bottom w:val="double" w:sz="6" w:space="0" w:color="000000"/>
              <w:right w:val="single" w:sz="6" w:space="0" w:color="000000"/>
            </w:tcBorders>
            <w:tcMar>
              <w:top w:w="0" w:type="dxa"/>
              <w:left w:w="28" w:type="dxa"/>
              <w:bottom w:w="0" w:type="dxa"/>
              <w:right w:w="28" w:type="dxa"/>
            </w:tcMar>
            <w:hideMark/>
          </w:tcPr>
          <w:p w14:paraId="5726E27C"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藥品代碼</w:t>
            </w:r>
          </w:p>
        </w:tc>
        <w:tc>
          <w:tcPr>
            <w:tcW w:w="1695" w:type="dxa"/>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09CB987A"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1245" w:type="dxa"/>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62A5233C"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用法用量</w:t>
            </w:r>
          </w:p>
        </w:tc>
        <w:tc>
          <w:tcPr>
            <w:tcW w:w="1545" w:type="dxa"/>
            <w:tcBorders>
              <w:top w:val="single" w:sz="6" w:space="0" w:color="000000"/>
              <w:left w:val="single" w:sz="6" w:space="0" w:color="000000"/>
              <w:bottom w:val="double" w:sz="6" w:space="0" w:color="000000"/>
              <w:right w:val="single" w:sz="6" w:space="0" w:color="000000"/>
            </w:tcBorders>
            <w:tcMar>
              <w:top w:w="0" w:type="dxa"/>
              <w:left w:w="28" w:type="dxa"/>
              <w:bottom w:w="0" w:type="dxa"/>
              <w:right w:w="28" w:type="dxa"/>
            </w:tcMar>
            <w:hideMark/>
          </w:tcPr>
          <w:p w14:paraId="7445A75C"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p>
        </w:tc>
        <w:tc>
          <w:tcPr>
            <w:tcW w:w="0" w:type="auto"/>
            <w:vMerge/>
            <w:tcBorders>
              <w:top w:val="single" w:sz="6" w:space="0" w:color="000000"/>
              <w:left w:val="single" w:sz="6" w:space="0" w:color="000000"/>
              <w:bottom w:val="double" w:sz="6" w:space="0" w:color="000000"/>
              <w:right w:val="single" w:sz="6" w:space="0" w:color="000000"/>
            </w:tcBorders>
            <w:hideMark/>
          </w:tcPr>
          <w:p w14:paraId="2F326A36" w14:textId="77777777" w:rsidR="005F25EC" w:rsidRPr="005F25EC" w:rsidRDefault="005F25EC" w:rsidP="00DD67F7">
            <w:pPr>
              <w:widowControl/>
              <w:tabs>
                <w:tab w:val="left" w:pos="6521"/>
              </w:tabs>
              <w:suppressAutoHyphens w:val="0"/>
              <w:autoSpaceDN/>
              <w:textAlignment w:val="auto"/>
              <w:rPr>
                <w:rFonts w:ascii="新細明體" w:hAnsi="新細明體" w:cs="新細明體"/>
                <w:kern w:val="0"/>
                <w:szCs w:val="24"/>
              </w:rPr>
            </w:pPr>
          </w:p>
        </w:tc>
        <w:tc>
          <w:tcPr>
            <w:tcW w:w="2349" w:type="dxa"/>
            <w:tcBorders>
              <w:top w:val="single" w:sz="6" w:space="0" w:color="000000"/>
              <w:left w:val="single" w:sz="6" w:space="0" w:color="000000"/>
              <w:bottom w:val="double" w:sz="6" w:space="0" w:color="000000"/>
              <w:right w:val="double" w:sz="6" w:space="0" w:color="000000"/>
            </w:tcBorders>
            <w:tcMar>
              <w:top w:w="0" w:type="dxa"/>
              <w:left w:w="28" w:type="dxa"/>
              <w:bottom w:w="0" w:type="dxa"/>
              <w:right w:w="28" w:type="dxa"/>
            </w:tcMar>
            <w:hideMark/>
          </w:tcPr>
          <w:p w14:paraId="3C2161C6" w14:textId="77777777" w:rsidR="005F25EC" w:rsidRPr="005F25EC" w:rsidRDefault="005F25EC" w:rsidP="00DD67F7">
            <w:pPr>
              <w:widowControl/>
              <w:tabs>
                <w:tab w:val="left" w:pos="6521"/>
              </w:tabs>
              <w:suppressAutoHyphens w:val="0"/>
              <w:autoSpaceDN/>
              <w:spacing w:before="102" w:after="100" w:afterAutospacing="1"/>
              <w:textAlignment w:val="auto"/>
              <w:rPr>
                <w:rFonts w:ascii="新細明體" w:hAnsi="新細明體" w:cs="新細明體"/>
                <w:kern w:val="0"/>
                <w:szCs w:val="24"/>
              </w:rPr>
            </w:pPr>
            <w:r w:rsidRPr="005F25EC">
              <w:rPr>
                <w:rFonts w:ascii="標楷體" w:eastAsia="標楷體" w:hAnsi="標楷體" w:cs="新細明體"/>
                <w:kern w:val="0"/>
                <w:szCs w:val="24"/>
              </w:rPr>
              <w:t>至　　年　　月　　日</w:t>
            </w:r>
          </w:p>
        </w:tc>
      </w:tr>
      <w:tr w:rsidR="005F25EC" w:rsidRPr="005F25EC" w14:paraId="6FA42F84" w14:textId="77777777" w:rsidTr="00C20805">
        <w:trPr>
          <w:trHeight w:val="1050"/>
          <w:tblCellSpacing w:w="7" w:type="dxa"/>
        </w:trPr>
        <w:tc>
          <w:tcPr>
            <w:tcW w:w="20" w:type="dxa"/>
            <w:tcBorders>
              <w:top w:val="nil"/>
              <w:left w:val="nil"/>
              <w:bottom w:val="nil"/>
              <w:right w:val="nil"/>
            </w:tcBorders>
            <w:tcMar>
              <w:top w:w="0" w:type="dxa"/>
              <w:left w:w="0" w:type="dxa"/>
              <w:bottom w:w="0" w:type="dxa"/>
              <w:right w:w="0" w:type="dxa"/>
            </w:tcMar>
            <w:hideMark/>
          </w:tcPr>
          <w:p w14:paraId="02B6F68B" w14:textId="77777777" w:rsidR="005F25EC" w:rsidRPr="005F25EC" w:rsidRDefault="005F25EC" w:rsidP="00DD67F7">
            <w:pPr>
              <w:widowControl/>
              <w:tabs>
                <w:tab w:val="left" w:pos="6521"/>
              </w:tabs>
              <w:suppressAutoHyphens w:val="0"/>
              <w:autoSpaceDN/>
              <w:spacing w:before="100" w:beforeAutospacing="1" w:after="100" w:afterAutospacing="1"/>
              <w:ind w:left="374" w:hanging="374"/>
              <w:textAlignment w:val="auto"/>
              <w:rPr>
                <w:rFonts w:ascii="新細明體" w:hAnsi="新細明體" w:cs="新細明體"/>
                <w:kern w:val="0"/>
                <w:szCs w:val="24"/>
              </w:rPr>
            </w:pPr>
          </w:p>
        </w:tc>
        <w:tc>
          <w:tcPr>
            <w:tcW w:w="9577" w:type="dxa"/>
            <w:gridSpan w:val="6"/>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14:paraId="401CF508" w14:textId="77777777" w:rsidR="005F25EC" w:rsidRPr="005F25EC" w:rsidRDefault="005F25EC" w:rsidP="00DD67F7">
            <w:pPr>
              <w:widowControl/>
              <w:tabs>
                <w:tab w:val="left" w:pos="6521"/>
              </w:tabs>
              <w:suppressAutoHyphens w:val="0"/>
              <w:autoSpaceDN/>
              <w:spacing w:before="100" w:beforeAutospacing="1" w:after="100" w:afterAutospacing="1"/>
              <w:ind w:left="374" w:hanging="374"/>
              <w:textAlignment w:val="auto"/>
              <w:rPr>
                <w:rFonts w:ascii="新細明體" w:hAnsi="新細明體" w:cs="新細明體"/>
                <w:kern w:val="0"/>
                <w:szCs w:val="24"/>
              </w:rPr>
            </w:pPr>
            <w:r w:rsidRPr="005F25EC">
              <w:rPr>
                <w:rFonts w:ascii="新細明體" w:hAnsi="新細明體" w:cs="新細明體"/>
                <w:kern w:val="0"/>
                <w:szCs w:val="24"/>
              </w:rPr>
              <w:t xml:space="preserve">□ </w:t>
            </w:r>
            <w:r w:rsidRPr="005F25EC">
              <w:rPr>
                <w:rFonts w:ascii="標楷體" w:eastAsia="標楷體" w:hAnsi="標楷體" w:cs="新細明體"/>
                <w:kern w:val="0"/>
                <w:szCs w:val="24"/>
              </w:rPr>
              <w:t>限用於曾有</w:t>
            </w:r>
            <w:r w:rsidRPr="005F25EC">
              <w:rPr>
                <w:rFonts w:ascii="標楷體" w:eastAsia="標楷體" w:hAnsi="標楷體"/>
                <w:kern w:val="0"/>
                <w:szCs w:val="24"/>
              </w:rPr>
              <w:t>anti–ds DNA</w:t>
            </w:r>
            <w:r w:rsidRPr="005F25EC">
              <w:rPr>
                <w:rFonts w:ascii="標楷體" w:eastAsia="標楷體" w:hAnsi="標楷體" w:cs="新細明體"/>
                <w:kern w:val="0"/>
                <w:szCs w:val="24"/>
              </w:rPr>
              <w:t>抗體陽性之報告及低補體</w:t>
            </w:r>
            <w:r w:rsidRPr="005F25EC">
              <w:rPr>
                <w:rFonts w:ascii="標楷體" w:eastAsia="標楷體" w:hAnsi="標楷體"/>
                <w:kern w:val="0"/>
                <w:szCs w:val="24"/>
              </w:rPr>
              <w:t>(C3</w:t>
            </w:r>
            <w:r w:rsidRPr="005F25EC">
              <w:rPr>
                <w:rFonts w:ascii="標楷體" w:eastAsia="標楷體" w:hAnsi="標楷體" w:cs="新細明體"/>
                <w:kern w:val="0"/>
                <w:szCs w:val="24"/>
              </w:rPr>
              <w:t>或</w:t>
            </w:r>
            <w:r w:rsidRPr="005F25EC">
              <w:rPr>
                <w:rFonts w:ascii="標楷體" w:eastAsia="標楷體" w:hAnsi="標楷體"/>
                <w:kern w:val="0"/>
                <w:szCs w:val="24"/>
              </w:rPr>
              <w:t xml:space="preserve">C4) </w:t>
            </w:r>
            <w:r w:rsidRPr="005F25EC">
              <w:rPr>
                <w:rFonts w:ascii="標楷體" w:eastAsia="標楷體" w:hAnsi="標楷體" w:cs="新細明體"/>
                <w:kern w:val="0"/>
                <w:szCs w:val="24"/>
              </w:rPr>
              <w:t>濃度之報告，且正在接受標準治療至少</w:t>
            </w:r>
            <w:r w:rsidRPr="005F25EC">
              <w:rPr>
                <w:rFonts w:ascii="標楷體" w:eastAsia="標楷體" w:hAnsi="標楷體"/>
                <w:kern w:val="0"/>
                <w:szCs w:val="24"/>
              </w:rPr>
              <w:t>3</w:t>
            </w:r>
            <w:r w:rsidRPr="005F25EC">
              <w:rPr>
                <w:rFonts w:ascii="標楷體" w:eastAsia="標楷體" w:hAnsi="標楷體" w:cs="新細明體"/>
                <w:kern w:val="0"/>
                <w:szCs w:val="24"/>
              </w:rPr>
              <w:t>個月但仍然無法有效控制疾病的全身性狼瘡</w:t>
            </w:r>
            <w:r w:rsidRPr="005F25EC">
              <w:rPr>
                <w:rFonts w:ascii="標楷體" w:eastAsia="標楷體" w:hAnsi="標楷體"/>
                <w:kern w:val="0"/>
                <w:szCs w:val="24"/>
              </w:rPr>
              <w:t>5-17</w:t>
            </w:r>
            <w:r w:rsidRPr="005F25EC">
              <w:rPr>
                <w:rFonts w:ascii="標楷體" w:eastAsia="標楷體" w:hAnsi="標楷體" w:cs="新細明體"/>
                <w:kern w:val="0"/>
                <w:szCs w:val="24"/>
              </w:rPr>
              <w:t>歲患者，需經事前審查核准後使用。</w:t>
            </w:r>
            <w:r w:rsidRPr="005F25EC">
              <w:rPr>
                <w:rFonts w:ascii="標楷體" w:eastAsia="標楷體" w:hAnsi="標楷體" w:cs="新細明體"/>
                <w:b/>
                <w:bCs/>
                <w:kern w:val="0"/>
                <w:szCs w:val="24"/>
              </w:rPr>
              <w:t xml:space="preserve"> </w:t>
            </w:r>
          </w:p>
          <w:p w14:paraId="31F11923" w14:textId="4F743D06" w:rsidR="005F25EC" w:rsidRPr="005F25EC" w:rsidRDefault="005F25EC" w:rsidP="00DD67F7">
            <w:pPr>
              <w:widowControl/>
              <w:tabs>
                <w:tab w:val="left" w:pos="6521"/>
              </w:tabs>
              <w:suppressAutoHyphens w:val="0"/>
              <w:autoSpaceDN/>
              <w:spacing w:before="238" w:after="100" w:afterAutospacing="1"/>
              <w:textAlignment w:val="auto"/>
              <w:rPr>
                <w:rFonts w:ascii="新細明體" w:hAnsi="新細明體" w:cs="新細明體"/>
                <w:kern w:val="0"/>
                <w:szCs w:val="24"/>
              </w:rPr>
            </w:pPr>
            <w:r>
              <w:rPr>
                <w:rFonts w:ascii="新細明體" w:hAnsi="新細明體" w:cs="新細明體" w:hint="eastAsia"/>
                <w:kern w:val="0"/>
                <w:szCs w:val="24"/>
              </w:rPr>
              <w:t>1.</w:t>
            </w:r>
            <w:r w:rsidRPr="005F25EC">
              <w:rPr>
                <w:rFonts w:ascii="新細明體" w:hAnsi="新細明體" w:cs="新細明體"/>
                <w:kern w:val="0"/>
                <w:szCs w:val="24"/>
              </w:rPr>
              <w:t xml:space="preserve">□ </w:t>
            </w:r>
            <w:r w:rsidRPr="005F25EC">
              <w:rPr>
                <w:rFonts w:ascii="標楷體" w:eastAsia="標楷體" w:hAnsi="標楷體" w:cs="新細明體"/>
                <w:kern w:val="0"/>
                <w:szCs w:val="24"/>
              </w:rPr>
              <w:t>申請前</w:t>
            </w:r>
            <w:r w:rsidRPr="005F25EC">
              <w:rPr>
                <w:rFonts w:ascii="標楷體" w:eastAsia="標楷體" w:hAnsi="標楷體"/>
                <w:kern w:val="0"/>
                <w:szCs w:val="24"/>
              </w:rPr>
              <w:t>3</w:t>
            </w:r>
            <w:r w:rsidRPr="005F25EC">
              <w:rPr>
                <w:rFonts w:ascii="標楷體" w:eastAsia="標楷體" w:hAnsi="標楷體" w:cs="新細明體"/>
                <w:kern w:val="0"/>
                <w:szCs w:val="24"/>
              </w:rPr>
              <w:t>個月同時接受下列三項標準治療之至少兩項，且達到建議劑量</w:t>
            </w:r>
            <w:r w:rsidRPr="005F25EC">
              <w:rPr>
                <w:rFonts w:ascii="標楷體" w:eastAsia="標楷體" w:hAnsi="標楷體"/>
                <w:kern w:val="0"/>
                <w:szCs w:val="24"/>
              </w:rPr>
              <w:t>:</w:t>
            </w:r>
          </w:p>
          <w:p w14:paraId="095E2D68" w14:textId="77777777" w:rsidR="005F25EC" w:rsidRPr="005F25EC" w:rsidRDefault="005F25EC" w:rsidP="00DD67F7">
            <w:pPr>
              <w:widowControl/>
              <w:tabs>
                <w:tab w:val="left" w:pos="6521"/>
              </w:tabs>
              <w:suppressAutoHyphens w:val="0"/>
              <w:autoSpaceDN/>
              <w:spacing w:before="100" w:beforeAutospacing="1" w:after="100" w:afterAutospacing="1"/>
              <w:ind w:firstLine="828"/>
              <w:textAlignment w:val="auto"/>
              <w:rPr>
                <w:rFonts w:ascii="新細明體" w:hAnsi="新細明體" w:cs="新細明體"/>
                <w:kern w:val="0"/>
                <w:szCs w:val="24"/>
              </w:rPr>
            </w:pPr>
            <w:r w:rsidRPr="005F25EC">
              <w:rPr>
                <w:rFonts w:ascii="新細明體" w:hAnsi="新細明體" w:cs="新細明體"/>
                <w:kern w:val="0"/>
                <w:szCs w:val="24"/>
              </w:rPr>
              <w:t>Ⅰ</w:t>
            </w:r>
            <w:r w:rsidRPr="005F25EC">
              <w:rPr>
                <w:rFonts w:ascii="標楷體" w:eastAsia="標楷體" w:hAnsi="標楷體"/>
                <w:kern w:val="0"/>
                <w:szCs w:val="24"/>
              </w:rPr>
              <w:t>.□</w:t>
            </w:r>
            <w:r w:rsidRPr="005F25EC">
              <w:rPr>
                <w:rFonts w:ascii="標楷體" w:eastAsia="標楷體" w:hAnsi="標楷體" w:cs="新細明體"/>
                <w:kern w:val="0"/>
                <w:szCs w:val="24"/>
              </w:rPr>
              <w:t>類固醇</w:t>
            </w:r>
          </w:p>
          <w:tbl>
            <w:tblPr>
              <w:tblW w:w="909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3025"/>
              <w:gridCol w:w="2620"/>
              <w:gridCol w:w="3445"/>
            </w:tblGrid>
            <w:tr w:rsidR="005F25EC" w:rsidRPr="005F25EC" w14:paraId="660CD2C2" w14:textId="77777777">
              <w:trPr>
                <w:tblCellSpacing w:w="0" w:type="dxa"/>
              </w:trPr>
              <w:tc>
                <w:tcPr>
                  <w:tcW w:w="28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0B283" w14:textId="77777777" w:rsidR="005F25EC" w:rsidRPr="005F25EC" w:rsidRDefault="005F25EC" w:rsidP="00DD67F7">
                  <w:pPr>
                    <w:widowControl/>
                    <w:tabs>
                      <w:tab w:val="left" w:pos="6521"/>
                    </w:tabs>
                    <w:suppressAutoHyphens w:val="0"/>
                    <w:autoSpaceDN/>
                    <w:spacing w:before="100" w:beforeAutospacing="1" w:after="100" w:afterAutospacing="1"/>
                    <w:jc w:val="center"/>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藥品名稱</w:t>
                  </w:r>
                </w:p>
              </w:tc>
              <w:tc>
                <w:tcPr>
                  <w:tcW w:w="2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D5396" w14:textId="77777777" w:rsidR="005F25EC" w:rsidRPr="005F25EC" w:rsidRDefault="005F25EC" w:rsidP="00DD67F7">
                  <w:pPr>
                    <w:widowControl/>
                    <w:tabs>
                      <w:tab w:val="left" w:pos="6521"/>
                    </w:tabs>
                    <w:suppressAutoHyphens w:val="0"/>
                    <w:autoSpaceDN/>
                    <w:spacing w:before="100" w:beforeAutospacing="1" w:after="100" w:afterAutospacing="1"/>
                    <w:jc w:val="center"/>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使用劑量</w:t>
                  </w:r>
                </w:p>
              </w:tc>
              <w:tc>
                <w:tcPr>
                  <w:tcW w:w="3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C6F0B" w14:textId="77777777" w:rsidR="005F25EC" w:rsidRPr="005F25EC" w:rsidRDefault="005F25EC" w:rsidP="00DD67F7">
                  <w:pPr>
                    <w:widowControl/>
                    <w:tabs>
                      <w:tab w:val="left" w:pos="6521"/>
                    </w:tabs>
                    <w:suppressAutoHyphens w:val="0"/>
                    <w:autoSpaceDN/>
                    <w:spacing w:before="100" w:beforeAutospacing="1" w:after="100" w:afterAutospacing="1"/>
                    <w:jc w:val="center"/>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使用時間</w:t>
                  </w:r>
                </w:p>
              </w:tc>
            </w:tr>
            <w:tr w:rsidR="005F25EC" w:rsidRPr="005F25EC" w14:paraId="68BFB21D" w14:textId="77777777">
              <w:trPr>
                <w:tblCellSpacing w:w="0" w:type="dxa"/>
              </w:trPr>
              <w:tc>
                <w:tcPr>
                  <w:tcW w:w="28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E4D8C"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藥名</w:t>
                  </w:r>
                </w:p>
              </w:tc>
              <w:tc>
                <w:tcPr>
                  <w:tcW w:w="2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1AB01"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A3994"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bl>
          <w:p w14:paraId="1D20EA17" w14:textId="77777777" w:rsidR="005F25EC" w:rsidRPr="005F25EC" w:rsidRDefault="005F25EC" w:rsidP="00DD67F7">
            <w:pPr>
              <w:widowControl/>
              <w:tabs>
                <w:tab w:val="left" w:pos="6521"/>
              </w:tabs>
              <w:suppressAutoHyphens w:val="0"/>
              <w:autoSpaceDN/>
              <w:spacing w:before="100" w:beforeAutospacing="1" w:after="100" w:afterAutospacing="1" w:line="318" w:lineRule="atLeast"/>
              <w:ind w:left="1803" w:hanging="941"/>
              <w:textAlignment w:val="auto"/>
              <w:rPr>
                <w:rFonts w:ascii="新細明體" w:hAnsi="新細明體" w:cs="新細明體"/>
                <w:kern w:val="0"/>
                <w:szCs w:val="24"/>
              </w:rPr>
            </w:pPr>
            <w:r w:rsidRPr="005F25EC">
              <w:rPr>
                <w:rFonts w:ascii="新細明體" w:hAnsi="新細明體" w:cs="新細明體"/>
                <w:kern w:val="0"/>
                <w:szCs w:val="24"/>
              </w:rPr>
              <w:t>Ⅱ</w:t>
            </w:r>
            <w:r w:rsidRPr="005F25EC">
              <w:rPr>
                <w:rFonts w:ascii="標楷體" w:eastAsia="標楷體" w:hAnsi="標楷體"/>
                <w:kern w:val="0"/>
                <w:szCs w:val="24"/>
              </w:rPr>
              <w:t>.□Hydroxychloroquine</w:t>
            </w:r>
          </w:p>
          <w:tbl>
            <w:tblPr>
              <w:tblW w:w="909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2897"/>
              <w:gridCol w:w="2480"/>
              <w:gridCol w:w="3713"/>
            </w:tblGrid>
            <w:tr w:rsidR="005F25EC" w:rsidRPr="005F25EC" w14:paraId="19CCCD9A" w14:textId="77777777">
              <w:trPr>
                <w:tblCellSpacing w:w="0" w:type="dxa"/>
              </w:trPr>
              <w:tc>
                <w:tcPr>
                  <w:tcW w:w="2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128E2" w14:textId="77777777" w:rsidR="005F25EC" w:rsidRPr="005F25EC" w:rsidRDefault="005F25EC" w:rsidP="00DD67F7">
                  <w:pPr>
                    <w:widowControl/>
                    <w:tabs>
                      <w:tab w:val="left" w:pos="6521"/>
                    </w:tabs>
                    <w:suppressAutoHyphens w:val="0"/>
                    <w:autoSpaceDN/>
                    <w:spacing w:before="100" w:beforeAutospacing="1" w:after="100" w:afterAutospacing="1"/>
                    <w:jc w:val="center"/>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藥品名稱</w:t>
                  </w:r>
                </w:p>
              </w:tc>
              <w:tc>
                <w:tcPr>
                  <w:tcW w:w="2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A263E" w14:textId="77777777" w:rsidR="005F25EC" w:rsidRPr="005F25EC" w:rsidRDefault="005F25EC" w:rsidP="00DD67F7">
                  <w:pPr>
                    <w:widowControl/>
                    <w:tabs>
                      <w:tab w:val="left" w:pos="6521"/>
                    </w:tabs>
                    <w:suppressAutoHyphens w:val="0"/>
                    <w:autoSpaceDN/>
                    <w:spacing w:before="100" w:beforeAutospacing="1" w:after="100" w:afterAutospacing="1"/>
                    <w:jc w:val="center"/>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使用劑量</w:t>
                  </w:r>
                </w:p>
              </w:tc>
              <w:tc>
                <w:tcPr>
                  <w:tcW w:w="3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9DE96" w14:textId="77777777" w:rsidR="005F25EC" w:rsidRPr="005F25EC" w:rsidRDefault="005F25EC" w:rsidP="00DD67F7">
                  <w:pPr>
                    <w:widowControl/>
                    <w:tabs>
                      <w:tab w:val="left" w:pos="6521"/>
                    </w:tabs>
                    <w:suppressAutoHyphens w:val="0"/>
                    <w:autoSpaceDN/>
                    <w:spacing w:before="100" w:beforeAutospacing="1" w:after="100" w:afterAutospacing="1"/>
                    <w:jc w:val="center"/>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使用時間</w:t>
                  </w:r>
                </w:p>
              </w:tc>
            </w:tr>
            <w:tr w:rsidR="005F25EC" w:rsidRPr="005F25EC" w14:paraId="216EA1CE" w14:textId="77777777">
              <w:trPr>
                <w:tblCellSpacing w:w="0" w:type="dxa"/>
              </w:trPr>
              <w:tc>
                <w:tcPr>
                  <w:tcW w:w="2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84DC2"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kern w:val="0"/>
                      <w:sz w:val="20"/>
                      <w:szCs w:val="24"/>
                    </w:rPr>
                    <w:t>Hydroxychloroquine</w:t>
                  </w:r>
                </w:p>
              </w:tc>
              <w:tc>
                <w:tcPr>
                  <w:tcW w:w="2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BE9E3"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87E36"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7F016E55" w14:textId="77777777">
              <w:trPr>
                <w:trHeight w:val="165"/>
                <w:tblCellSpacing w:w="0" w:type="dxa"/>
              </w:trPr>
              <w:tc>
                <w:tcPr>
                  <w:tcW w:w="885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21A8D"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若藥物治療未達建議劑量，請說明藥物引起副作用：</w:t>
                  </w:r>
                </w:p>
              </w:tc>
            </w:tr>
          </w:tbl>
          <w:p w14:paraId="74F2AE48" w14:textId="77777777" w:rsidR="005F25EC" w:rsidRPr="005F25EC" w:rsidRDefault="005F25EC" w:rsidP="00DD67F7">
            <w:pPr>
              <w:widowControl/>
              <w:tabs>
                <w:tab w:val="left" w:pos="6521"/>
              </w:tabs>
              <w:suppressAutoHyphens w:val="0"/>
              <w:autoSpaceDN/>
              <w:spacing w:before="100" w:beforeAutospacing="1" w:after="100" w:afterAutospacing="1" w:line="318" w:lineRule="atLeast"/>
              <w:ind w:left="1803" w:hanging="941"/>
              <w:textAlignment w:val="auto"/>
              <w:rPr>
                <w:rFonts w:ascii="新細明體" w:hAnsi="新細明體" w:cs="新細明體"/>
                <w:kern w:val="0"/>
                <w:szCs w:val="24"/>
              </w:rPr>
            </w:pPr>
            <w:r w:rsidRPr="005F25EC">
              <w:rPr>
                <w:rFonts w:ascii="新細明體" w:hAnsi="新細明體" w:cs="新細明體"/>
                <w:kern w:val="0"/>
                <w:szCs w:val="24"/>
              </w:rPr>
              <w:t>Ⅲ</w:t>
            </w:r>
            <w:r w:rsidRPr="005F25EC">
              <w:rPr>
                <w:rFonts w:ascii="標楷體" w:eastAsia="標楷體" w:hAnsi="標楷體"/>
                <w:kern w:val="0"/>
                <w:szCs w:val="24"/>
              </w:rPr>
              <w:t>. □</w:t>
            </w:r>
            <w:r w:rsidRPr="005F25EC">
              <w:rPr>
                <w:rFonts w:ascii="標楷體" w:eastAsia="標楷體" w:hAnsi="標楷體" w:cs="新細明體"/>
                <w:kern w:val="0"/>
                <w:szCs w:val="24"/>
              </w:rPr>
              <w:t>至少一種</w:t>
            </w:r>
            <w:r w:rsidRPr="005F25EC">
              <w:rPr>
                <w:rFonts w:ascii="標楷體" w:eastAsia="標楷體" w:hAnsi="標楷體"/>
                <w:kern w:val="0"/>
                <w:szCs w:val="24"/>
              </w:rPr>
              <w:t>(</w:t>
            </w:r>
            <w:r w:rsidRPr="005F25EC">
              <w:rPr>
                <w:rFonts w:ascii="標楷體" w:eastAsia="標楷體" w:hAnsi="標楷體" w:cs="新細明體"/>
                <w:kern w:val="0"/>
                <w:szCs w:val="24"/>
              </w:rPr>
              <w:t>含</w:t>
            </w:r>
            <w:r w:rsidRPr="005F25EC">
              <w:rPr>
                <w:rFonts w:ascii="標楷體" w:eastAsia="標楷體" w:hAnsi="標楷體"/>
                <w:kern w:val="0"/>
                <w:szCs w:val="24"/>
              </w:rPr>
              <w:t>)</w:t>
            </w:r>
            <w:r w:rsidRPr="005F25EC">
              <w:rPr>
                <w:rFonts w:ascii="標楷體" w:eastAsia="標楷體" w:hAnsi="標楷體" w:cs="新細明體"/>
                <w:kern w:val="0"/>
                <w:szCs w:val="24"/>
              </w:rPr>
              <w:t>免疫抑制劑</w:t>
            </w:r>
          </w:p>
          <w:tbl>
            <w:tblPr>
              <w:tblW w:w="903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3144"/>
              <w:gridCol w:w="2034"/>
              <w:gridCol w:w="3852"/>
            </w:tblGrid>
            <w:tr w:rsidR="005F25EC" w:rsidRPr="005F25EC" w14:paraId="6F02D851" w14:textId="77777777">
              <w:trPr>
                <w:trHeight w:val="30"/>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506A8"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藥品名稱</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D104E"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使用劑量</w:t>
                  </w: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75FCB"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使用時間</w:t>
                  </w:r>
                </w:p>
              </w:tc>
            </w:tr>
            <w:tr w:rsidR="005F25EC" w:rsidRPr="005F25EC" w14:paraId="2F91D0BE" w14:textId="77777777">
              <w:trPr>
                <w:trHeight w:val="45"/>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19914"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Azathioprine (體重: ___ kg)</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A85A3"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756AE0"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4C3FA48D" w14:textId="77777777">
              <w:trPr>
                <w:trHeight w:val="45"/>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1D9CD"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注射型cyclophosphamide</w:t>
                  </w:r>
                </w:p>
                <w:p w14:paraId="4A0D399B"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(身高： cm；體重：kg)</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7C89F"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86962"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3332233F" w14:textId="77777777">
              <w:trPr>
                <w:trHeight w:val="45"/>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9887CB"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cyclosporin(體重: ___ kg)</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E5708"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D910A"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3EB00278" w14:textId="77777777">
              <w:trPr>
                <w:trHeight w:val="45"/>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EF00B"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Mycophenolate mofetil(MMF)</w:t>
                  </w:r>
                </w:p>
                <w:p w14:paraId="11CBACC4"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(身高： cm；體重：kg)</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F9BB7"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5A461"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21BF5873" w14:textId="77777777" w:rsidTr="005F25EC">
              <w:trPr>
                <w:trHeight w:val="361"/>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B7849"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Mycophenolic acid(MPA)</w:t>
                  </w:r>
                </w:p>
                <w:p w14:paraId="2D222EF6"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(身高： cm；體重：kg)</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04DD1"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5FD9D"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2A554300" w14:textId="77777777">
              <w:trPr>
                <w:trHeight w:val="45"/>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0FEDB"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Methotrexate</w:t>
                  </w:r>
                </w:p>
                <w:p w14:paraId="552DF18C"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(身高： cm；體重：kg)</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86777"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637BE"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2352CE9F" w14:textId="77777777">
              <w:trPr>
                <w:trHeight w:val="45"/>
                <w:tblCellSpacing w:w="0" w:type="dxa"/>
              </w:trPr>
              <w:tc>
                <w:tcPr>
                  <w:tcW w:w="3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81BB6"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其他免疫抑制劑__________</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BDE40"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p>
              </w:tc>
              <w:tc>
                <w:tcPr>
                  <w:tcW w:w="3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9FB83"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__年__月__日至__年__月__日</w:t>
                  </w:r>
                </w:p>
              </w:tc>
            </w:tr>
            <w:tr w:rsidR="005F25EC" w:rsidRPr="005F25EC" w14:paraId="78A34399" w14:textId="77777777">
              <w:trPr>
                <w:trHeight w:val="255"/>
                <w:tblCellSpacing w:w="0" w:type="dxa"/>
              </w:trPr>
              <w:tc>
                <w:tcPr>
                  <w:tcW w:w="879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D7F8E" w14:textId="77777777" w:rsidR="005F25EC" w:rsidRPr="005F25EC" w:rsidRDefault="005F25EC" w:rsidP="00DD67F7">
                  <w:pPr>
                    <w:widowControl/>
                    <w:tabs>
                      <w:tab w:val="left" w:pos="6521"/>
                    </w:tabs>
                    <w:suppressAutoHyphens w:val="0"/>
                    <w:autoSpaceDN/>
                    <w:spacing w:before="100" w:beforeAutospacing="1" w:after="100" w:afterAutospacing="1"/>
                    <w:textAlignment w:val="auto"/>
                    <w:rPr>
                      <w:rFonts w:ascii="新細明體" w:hAnsi="新細明體" w:cs="新細明體"/>
                      <w:kern w:val="0"/>
                      <w:sz w:val="20"/>
                      <w:szCs w:val="24"/>
                    </w:rPr>
                  </w:pPr>
                  <w:r w:rsidRPr="005F25EC">
                    <w:rPr>
                      <w:rFonts w:ascii="標楷體" w:eastAsia="標楷體" w:hAnsi="標楷體" w:cs="新細明體"/>
                      <w:kern w:val="0"/>
                      <w:sz w:val="20"/>
                      <w:szCs w:val="24"/>
                    </w:rPr>
                    <w:t>若藥物治療未達建議劑量，請說明藥物引起副作用：</w:t>
                  </w:r>
                </w:p>
              </w:tc>
            </w:tr>
          </w:tbl>
          <w:p w14:paraId="08D632BD" w14:textId="16F7DFA7" w:rsidR="005F25EC" w:rsidRPr="005F25EC" w:rsidRDefault="005F25EC" w:rsidP="00DD67F7">
            <w:pPr>
              <w:widowControl/>
              <w:tabs>
                <w:tab w:val="left" w:pos="6521"/>
              </w:tabs>
              <w:suppressAutoHyphens w:val="0"/>
              <w:autoSpaceDN/>
              <w:spacing w:before="238" w:after="100" w:afterAutospacing="1" w:line="181" w:lineRule="atLeast"/>
              <w:textAlignment w:val="auto"/>
              <w:rPr>
                <w:rFonts w:ascii="新細明體" w:hAnsi="新細明體" w:cs="新細明體"/>
                <w:kern w:val="0"/>
                <w:szCs w:val="24"/>
              </w:rPr>
            </w:pPr>
            <w:r>
              <w:rPr>
                <w:rFonts w:ascii="新細明體" w:hAnsi="新細明體" w:cs="新細明體" w:hint="eastAsia"/>
                <w:kern w:val="0"/>
                <w:szCs w:val="24"/>
              </w:rPr>
              <w:t>2.</w:t>
            </w:r>
            <w:r w:rsidRPr="005F25EC">
              <w:rPr>
                <w:rFonts w:ascii="新細明體" w:hAnsi="新細明體" w:cs="新細明體"/>
                <w:kern w:val="0"/>
                <w:szCs w:val="24"/>
              </w:rPr>
              <w:t xml:space="preserve">□ </w:t>
            </w:r>
            <w:r w:rsidRPr="005F25EC">
              <w:rPr>
                <w:rFonts w:ascii="標楷體" w:eastAsia="標楷體" w:hAnsi="標楷體" w:cs="新細明體"/>
                <w:kern w:val="0"/>
                <w:szCs w:val="24"/>
              </w:rPr>
              <w:t>無法有效控制疾病的定義為經標準治療至少</w:t>
            </w:r>
            <w:r w:rsidRPr="005F25EC">
              <w:rPr>
                <w:rFonts w:ascii="標楷體" w:eastAsia="標楷體" w:hAnsi="標楷體"/>
                <w:kern w:val="0"/>
                <w:szCs w:val="24"/>
              </w:rPr>
              <w:t>3</w:t>
            </w:r>
            <w:r w:rsidRPr="005F25EC">
              <w:rPr>
                <w:rFonts w:ascii="標楷體" w:eastAsia="標楷體" w:hAnsi="標楷體" w:cs="新細明體"/>
                <w:kern w:val="0"/>
                <w:szCs w:val="24"/>
              </w:rPr>
              <w:t>個月後仍有疾病活動性</w:t>
            </w:r>
            <w:r w:rsidRPr="005F25EC">
              <w:rPr>
                <w:rFonts w:ascii="標楷體" w:eastAsia="標楷體" w:hAnsi="標楷體"/>
                <w:kern w:val="0"/>
                <w:szCs w:val="24"/>
              </w:rPr>
              <w:t>SELENA SLEDAI</w:t>
            </w:r>
            <w:r w:rsidRPr="005F25EC">
              <w:rPr>
                <w:rFonts w:ascii="標楷體" w:eastAsia="標楷體" w:hAnsi="標楷體" w:cs="新細明體"/>
                <w:kern w:val="0"/>
                <w:szCs w:val="24"/>
              </w:rPr>
              <w:t>積分</w:t>
            </w:r>
            <w:r w:rsidRPr="005F25EC">
              <w:rPr>
                <w:rFonts w:ascii="Times New Roman" w:eastAsia="標楷體" w:hAnsi="Times New Roman"/>
                <w:kern w:val="0"/>
                <w:szCs w:val="24"/>
              </w:rPr>
              <w:t>≥</w:t>
            </w:r>
            <w:r w:rsidRPr="005F25EC">
              <w:rPr>
                <w:rFonts w:ascii="標楷體" w:eastAsia="標楷體" w:hAnsi="標楷體"/>
                <w:kern w:val="0"/>
                <w:szCs w:val="24"/>
              </w:rPr>
              <w:t>8</w:t>
            </w:r>
            <w:r w:rsidRPr="005F25EC">
              <w:rPr>
                <w:rFonts w:ascii="標楷體" w:eastAsia="標楷體" w:hAnsi="標楷體" w:cs="新細明體"/>
                <w:kern w:val="0"/>
                <w:szCs w:val="24"/>
              </w:rPr>
              <w:t>。</w:t>
            </w:r>
          </w:p>
          <w:p w14:paraId="1C65275F" w14:textId="77777777" w:rsidR="005F25EC" w:rsidRPr="005F25EC" w:rsidRDefault="005F25EC" w:rsidP="00DD67F7">
            <w:pPr>
              <w:widowControl/>
              <w:tabs>
                <w:tab w:val="left" w:pos="6521"/>
              </w:tabs>
              <w:suppressAutoHyphens w:val="0"/>
              <w:autoSpaceDN/>
              <w:spacing w:before="238" w:after="100" w:afterAutospacing="1"/>
              <w:ind w:left="408" w:hanging="408"/>
              <w:textAlignment w:val="auto"/>
              <w:rPr>
                <w:rFonts w:ascii="新細明體" w:hAnsi="新細明體" w:cs="新細明體"/>
                <w:kern w:val="0"/>
                <w:szCs w:val="24"/>
              </w:rPr>
            </w:pPr>
            <w:bookmarkStart w:id="45" w:name="_Hlk168496515"/>
            <w:bookmarkEnd w:id="45"/>
            <w:r w:rsidRPr="005F25EC">
              <w:rPr>
                <w:rFonts w:ascii="新細明體" w:hAnsi="新細明體" w:cs="新細明體"/>
                <w:kern w:val="0"/>
                <w:szCs w:val="24"/>
              </w:rPr>
              <w:lastRenderedPageBreak/>
              <w:t xml:space="preserve">□ </w:t>
            </w:r>
            <w:r w:rsidRPr="005F25EC">
              <w:rPr>
                <w:rFonts w:ascii="標楷體" w:eastAsia="標楷體" w:hAnsi="標楷體" w:cs="新細明體"/>
                <w:kern w:val="0"/>
                <w:szCs w:val="24"/>
              </w:rPr>
              <w:t>療效評估與繼續使用</w:t>
            </w:r>
            <w:r w:rsidRPr="005F25EC">
              <w:rPr>
                <w:rFonts w:ascii="標楷體" w:eastAsia="標楷體" w:hAnsi="標楷體"/>
                <w:kern w:val="0"/>
                <w:szCs w:val="24"/>
              </w:rPr>
              <w:t>:</w:t>
            </w:r>
            <w:r w:rsidRPr="005F25EC">
              <w:rPr>
                <w:rFonts w:ascii="標楷體" w:eastAsia="標楷體" w:hAnsi="標楷體" w:cs="新細明體"/>
                <w:kern w:val="0"/>
                <w:szCs w:val="24"/>
              </w:rPr>
              <w:t>每治療</w:t>
            </w:r>
            <w:r w:rsidRPr="005F25EC">
              <w:rPr>
                <w:rFonts w:ascii="標楷體" w:eastAsia="標楷體" w:hAnsi="標楷體"/>
                <w:kern w:val="0"/>
                <w:szCs w:val="24"/>
              </w:rPr>
              <w:t xml:space="preserve">12 </w:t>
            </w:r>
            <w:r w:rsidRPr="005F25EC">
              <w:rPr>
                <w:rFonts w:ascii="標楷體" w:eastAsia="標楷體" w:hAnsi="標楷體" w:cs="新細明體"/>
                <w:kern w:val="0"/>
                <w:szCs w:val="24"/>
              </w:rPr>
              <w:t>個月後評估</w:t>
            </w:r>
            <w:r w:rsidRPr="005F25EC">
              <w:rPr>
                <w:rFonts w:ascii="標楷體" w:eastAsia="標楷體" w:hAnsi="標楷體"/>
                <w:kern w:val="0"/>
                <w:szCs w:val="24"/>
              </w:rPr>
              <w:t>SELENA SLEDAI</w:t>
            </w:r>
            <w:r w:rsidRPr="005F25EC">
              <w:rPr>
                <w:rFonts w:ascii="標楷體" w:eastAsia="標楷體" w:hAnsi="標楷體" w:cs="新細明體"/>
                <w:kern w:val="0"/>
                <w:szCs w:val="24"/>
              </w:rPr>
              <w:t>積分：與初次申請之積分比較，減少</w:t>
            </w:r>
            <w:r w:rsidRPr="005F25EC">
              <w:rPr>
                <w:rFonts w:ascii="Times New Roman" w:eastAsia="標楷體" w:hAnsi="Times New Roman"/>
                <w:kern w:val="0"/>
                <w:szCs w:val="24"/>
              </w:rPr>
              <w:t>≥</w:t>
            </w:r>
            <w:r w:rsidRPr="005F25EC">
              <w:rPr>
                <w:rFonts w:ascii="標楷體" w:eastAsia="標楷體" w:hAnsi="標楷體"/>
                <w:kern w:val="0"/>
                <w:szCs w:val="24"/>
              </w:rPr>
              <w:t>4</w:t>
            </w:r>
            <w:r w:rsidRPr="005F25EC">
              <w:rPr>
                <w:rFonts w:ascii="標楷體" w:eastAsia="標楷體" w:hAnsi="標楷體" w:cs="新細明體"/>
                <w:kern w:val="0"/>
                <w:szCs w:val="24"/>
              </w:rPr>
              <w:t>方得繼續使用。若需繼續使用，需重新提出申請。</w:t>
            </w:r>
          </w:p>
        </w:tc>
      </w:tr>
    </w:tbl>
    <w:p w14:paraId="5AE2D9C2" w14:textId="56853850" w:rsidR="005F25EC" w:rsidRDefault="005F25EC" w:rsidP="00DD67F7">
      <w:pPr>
        <w:widowControl/>
        <w:tabs>
          <w:tab w:val="left" w:pos="6521"/>
        </w:tabs>
        <w:suppressAutoHyphens w:val="0"/>
        <w:autoSpaceDN/>
        <w:spacing w:before="238" w:after="238" w:line="278" w:lineRule="atLeast"/>
        <w:textAlignment w:val="auto"/>
        <w:rPr>
          <w:rFonts w:ascii="標楷體" w:eastAsia="標楷體" w:hAnsi="標楷體" w:cs="新細明體"/>
          <w:kern w:val="0"/>
          <w:szCs w:val="24"/>
        </w:rPr>
      </w:pPr>
      <w:r>
        <w:rPr>
          <w:rFonts w:ascii="標楷體" w:eastAsia="標楷體" w:hAnsi="標楷體" w:cs="新細明體" w:hint="eastAsia"/>
          <w:kern w:val="0"/>
          <w:szCs w:val="24"/>
        </w:rPr>
        <w:lastRenderedPageBreak/>
        <w:t xml:space="preserve">     </w:t>
      </w:r>
      <w:r w:rsidRPr="005F25EC">
        <w:rPr>
          <w:rFonts w:ascii="標楷體" w:eastAsia="標楷體" w:hAnsi="標楷體" w:cs="新細明體" w:hint="eastAsia"/>
          <w:kern w:val="0"/>
          <w:szCs w:val="24"/>
        </w:rPr>
        <w:t>申請醫師（簽名蓋章）：　　　　　　　 申請醫師（簽名蓋章）：</w:t>
      </w:r>
    </w:p>
    <w:p w14:paraId="0E8572C0" w14:textId="7E589699" w:rsidR="00C20805" w:rsidRDefault="005F25EC" w:rsidP="00DD67F7">
      <w:pPr>
        <w:widowControl/>
        <w:tabs>
          <w:tab w:val="left" w:pos="6521"/>
        </w:tabs>
        <w:suppressAutoHyphens w:val="0"/>
        <w:autoSpaceDN/>
        <w:spacing w:before="238" w:after="238" w:line="278" w:lineRule="atLeast"/>
        <w:textAlignment w:val="auto"/>
        <w:rPr>
          <w:rFonts w:ascii="標楷體" w:eastAsia="標楷體" w:hAnsi="標楷體" w:cs="新細明體"/>
          <w:kern w:val="0"/>
          <w:szCs w:val="24"/>
        </w:rPr>
      </w:pPr>
      <w:r>
        <w:rPr>
          <w:rFonts w:ascii="標楷體" w:eastAsia="標楷體" w:hAnsi="標楷體" w:cs="新細明體" w:hint="eastAsia"/>
          <w:kern w:val="0"/>
          <w:szCs w:val="24"/>
        </w:rPr>
        <w:t xml:space="preserve">     </w:t>
      </w:r>
      <w:r w:rsidRPr="005F25EC">
        <w:rPr>
          <w:rFonts w:ascii="標楷體" w:eastAsia="標楷體" w:hAnsi="標楷體" w:cs="新細明體" w:hint="eastAsia"/>
          <w:kern w:val="0"/>
          <w:szCs w:val="24"/>
        </w:rPr>
        <w:t xml:space="preserve">專科醫師證書：專字第　　　　 　 號 </w:t>
      </w:r>
      <w:r>
        <w:rPr>
          <w:rFonts w:ascii="標楷體" w:eastAsia="標楷體" w:hAnsi="標楷體" w:cs="新細明體" w:hint="eastAsia"/>
          <w:kern w:val="0"/>
          <w:szCs w:val="24"/>
        </w:rPr>
        <w:t xml:space="preserve">  </w:t>
      </w:r>
      <w:r w:rsidRPr="005F25EC">
        <w:rPr>
          <w:rFonts w:ascii="標楷體" w:eastAsia="標楷體" w:hAnsi="標楷體" w:cs="新細明體" w:hint="eastAsia"/>
          <w:kern w:val="0"/>
          <w:szCs w:val="24"/>
        </w:rPr>
        <w:t>醫事機構章戳：</w:t>
      </w:r>
    </w:p>
    <w:p w14:paraId="33053944" w14:textId="0CEDDBCA" w:rsidR="00A86D0F" w:rsidRDefault="00C20805">
      <w:pPr>
        <w:widowControl/>
        <w:suppressAutoHyphens w:val="0"/>
        <w:rPr>
          <w:rFonts w:ascii="標楷體" w:eastAsia="標楷體" w:hAnsi="標楷體" w:cs="新細明體"/>
          <w:kern w:val="0"/>
          <w:szCs w:val="24"/>
        </w:rPr>
      </w:pPr>
      <w:r>
        <w:rPr>
          <w:rFonts w:ascii="標楷體" w:eastAsia="標楷體" w:hAnsi="標楷體" w:cs="新細明體"/>
          <w:kern w:val="0"/>
          <w:szCs w:val="24"/>
        </w:rPr>
        <w:br w:type="page"/>
      </w:r>
    </w:p>
    <w:p w14:paraId="5BD65314" w14:textId="673368ED" w:rsidR="005F25EC" w:rsidRDefault="00A86D0F" w:rsidP="00A86D0F">
      <w:pPr>
        <w:widowControl/>
        <w:jc w:val="center"/>
        <w:rPr>
          <w:rFonts w:ascii="標楷體" w:eastAsia="標楷體" w:hAnsi="標楷體"/>
          <w:b/>
        </w:rPr>
      </w:pPr>
      <w:bookmarkStart w:id="46" w:name="_Hlk188445756"/>
      <w:r w:rsidRPr="00A86D0F">
        <w:rPr>
          <w:rFonts w:ascii="標楷體" w:eastAsia="標楷體" w:hAnsi="標楷體" w:hint="eastAsia"/>
          <w:b/>
        </w:rPr>
        <w:lastRenderedPageBreak/>
        <w:t>附表三十六之二SELENA SLEDAI積分表</w:t>
      </w:r>
      <w:bookmarkEnd w:id="46"/>
    </w:p>
    <w:tbl>
      <w:tblPr>
        <w:tblW w:w="9735" w:type="dxa"/>
        <w:tblCellSpacing w:w="0" w:type="dxa"/>
        <w:tblCellMar>
          <w:top w:w="105" w:type="dxa"/>
          <w:left w:w="105" w:type="dxa"/>
          <w:bottom w:w="105" w:type="dxa"/>
          <w:right w:w="105" w:type="dxa"/>
        </w:tblCellMar>
        <w:tblLook w:val="04A0" w:firstRow="1" w:lastRow="0" w:firstColumn="1" w:lastColumn="0" w:noHBand="0" w:noVBand="1"/>
      </w:tblPr>
      <w:tblGrid>
        <w:gridCol w:w="1006"/>
        <w:gridCol w:w="1038"/>
        <w:gridCol w:w="1856"/>
        <w:gridCol w:w="5835"/>
      </w:tblGrid>
      <w:tr w:rsidR="00A86D0F" w:rsidRPr="00A86D0F" w14:paraId="70B6F3D8"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1CD6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bookmarkStart w:id="47" w:name="_Hlk188445809"/>
            <w:r w:rsidRPr="00A86D0F">
              <w:rPr>
                <w:rFonts w:ascii="標楷體" w:eastAsia="標楷體" w:hAnsi="標楷體" w:cs="新細明體"/>
                <w:b/>
                <w:bCs/>
                <w:kern w:val="0"/>
                <w:szCs w:val="24"/>
              </w:rPr>
              <w:t>Check if</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1801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C01D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CF8F3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p>
        </w:tc>
      </w:tr>
      <w:tr w:rsidR="00A86D0F" w:rsidRPr="00A86D0F" w14:paraId="595EDED1"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599D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b/>
                <w:bCs/>
                <w:color w:val="020202"/>
                <w:kern w:val="0"/>
                <w:sz w:val="20"/>
                <w:szCs w:val="20"/>
              </w:rPr>
              <w:t>Wt</w:t>
            </w:r>
          </w:p>
          <w:p w14:paraId="12DB5DAB"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b/>
                <w:bCs/>
                <w:color w:val="020202"/>
                <w:kern w:val="0"/>
                <w:sz w:val="20"/>
                <w:szCs w:val="20"/>
              </w:rPr>
              <w:t>權重</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5221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b/>
                <w:bCs/>
                <w:color w:val="020202"/>
                <w:kern w:val="0"/>
                <w:sz w:val="20"/>
                <w:szCs w:val="20"/>
              </w:rPr>
              <w:t>Present</w:t>
            </w:r>
            <w:r w:rsidRPr="00A86D0F">
              <w:rPr>
                <w:rFonts w:ascii="標楷體" w:eastAsia="標楷體" w:hAnsi="標楷體" w:cs="新細明體"/>
                <w:b/>
                <w:bCs/>
                <w:kern w:val="0"/>
                <w:sz w:val="20"/>
                <w:szCs w:val="20"/>
              </w:rPr>
              <w:t>勾選</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8C1D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b/>
                <w:bCs/>
                <w:color w:val="020202"/>
                <w:kern w:val="0"/>
                <w:sz w:val="20"/>
                <w:szCs w:val="20"/>
              </w:rPr>
              <w:t>Descriptor</w:t>
            </w:r>
            <w:r w:rsidRPr="00A86D0F">
              <w:rPr>
                <w:rFonts w:ascii="標楷體" w:eastAsia="標楷體" w:hAnsi="標楷體"/>
                <w:b/>
                <w:bCs/>
                <w:kern w:val="0"/>
                <w:sz w:val="20"/>
                <w:szCs w:val="20"/>
              </w:rPr>
              <w:t xml:space="preserve"> </w:t>
            </w:r>
          </w:p>
          <w:p w14:paraId="26D0280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b/>
                <w:bCs/>
                <w:kern w:val="0"/>
                <w:sz w:val="20"/>
                <w:szCs w:val="20"/>
              </w:rPr>
              <w:t>描述項</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C316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b/>
                <w:bCs/>
                <w:kern w:val="0"/>
                <w:sz w:val="20"/>
                <w:szCs w:val="20"/>
              </w:rPr>
              <w:t>Definition</w:t>
            </w:r>
          </w:p>
          <w:p w14:paraId="751FA08B"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b/>
                <w:bCs/>
                <w:kern w:val="0"/>
                <w:sz w:val="20"/>
                <w:szCs w:val="20"/>
              </w:rPr>
              <w:t>定義</w:t>
            </w:r>
          </w:p>
        </w:tc>
      </w:tr>
      <w:tr w:rsidR="00A86D0F" w:rsidRPr="00A86D0F" w14:paraId="3FFF3D64"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6EE8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49EC3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7C9C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60606"/>
                <w:kern w:val="0"/>
                <w:sz w:val="22"/>
              </w:rPr>
              <w:t xml:space="preserve">Seizure </w:t>
            </w:r>
          </w:p>
          <w:p w14:paraId="7704C24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癲癇發作</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E796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Recent onset (last 10 days). Exclude metabolic, infectious or drug cause, or seizure due to past irreversible CNS damage.</w:t>
            </w:r>
          </w:p>
          <w:p w14:paraId="36A48A8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近期發生（過去 10 天）。</w:t>
            </w:r>
          </w:p>
          <w:p w14:paraId="616377F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 xml:space="preserve">排除代謝、感染或藥物原因，或因為過去不可逆的中樞神經系統 </w:t>
            </w:r>
            <w:r w:rsidRPr="00A86D0F">
              <w:rPr>
                <w:rFonts w:ascii="標楷體" w:eastAsia="標楷體" w:hAnsi="標楷體" w:hint="eastAsia"/>
                <w:kern w:val="0"/>
                <w:sz w:val="22"/>
              </w:rPr>
              <w:t xml:space="preserve">(CNS) </w:t>
            </w:r>
            <w:r w:rsidRPr="00A86D0F">
              <w:rPr>
                <w:rFonts w:ascii="標楷體" w:eastAsia="標楷體" w:hAnsi="標楷體" w:cs="新細明體"/>
                <w:kern w:val="0"/>
                <w:sz w:val="22"/>
              </w:rPr>
              <w:t>損傷導致的癲癇發作</w:t>
            </w:r>
          </w:p>
        </w:tc>
      </w:tr>
      <w:tr w:rsidR="00A86D0F" w:rsidRPr="00A86D0F" w14:paraId="09A906E0"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2F14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01E3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41ED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80808"/>
                <w:kern w:val="0"/>
                <w:sz w:val="22"/>
              </w:rPr>
              <w:t>Psychosis</w:t>
            </w:r>
          </w:p>
          <w:p w14:paraId="5540D9E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精神疾病</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54A8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60606"/>
                <w:kern w:val="0"/>
                <w:sz w:val="22"/>
              </w:rPr>
              <w:t>Altered ability to function in normal activity due to severe disturbance in the perception of reality. Include hallucinations; incoherence; marked loose associations; impoverished thought content; marked illogical thinking; bizarre, disorganized or catatonic behavior. Exclude uremia and drug causes.</w:t>
            </w:r>
            <w:r w:rsidRPr="00A86D0F">
              <w:rPr>
                <w:rFonts w:ascii="標楷體" w:eastAsia="標楷體" w:hAnsi="標楷體"/>
                <w:kern w:val="0"/>
                <w:sz w:val="22"/>
              </w:rPr>
              <w:t xml:space="preserve"> </w:t>
            </w:r>
          </w:p>
          <w:p w14:paraId="64396A1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由於現實感的嚴重異常而導致正常活動功能的能力發生改變，包括幻覺、語無倫次、明顯的連結鬆散、思考內容貧乏、明顯不合邏輯的思考、怪異、混亂或僵直行為。排除尿毒症和藥物原因</w:t>
            </w:r>
          </w:p>
        </w:tc>
      </w:tr>
      <w:tr w:rsidR="00A86D0F" w:rsidRPr="00A86D0F" w14:paraId="16DB4D9F"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96A2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A75D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8B0B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A0A0A"/>
                <w:kern w:val="0"/>
                <w:sz w:val="22"/>
              </w:rPr>
              <w:t>Organic brain syndrome</w:t>
            </w:r>
          </w:p>
          <w:p w14:paraId="2160725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器質性腦部症候群</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F31E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B0B0B"/>
                <w:kern w:val="0"/>
                <w:sz w:val="22"/>
              </w:rPr>
              <w:t>Altered mental function with impaired orientation, memory or other intellectual function, with rapid onset and fluctuating clinical features. Include clouding of consciousness with reduced capacity to focus, and inability to sustain attention to environment, plus at least 2 of the following: perceptual disturbance, incoherent speech, insomnia or daytime drowsiness, or increased or decreased psychomotor activity. Exclude metabolic, infectious or drug causes.</w:t>
            </w:r>
            <w:r w:rsidRPr="00A86D0F">
              <w:rPr>
                <w:rFonts w:ascii="標楷體" w:eastAsia="標楷體" w:hAnsi="標楷體"/>
                <w:color w:val="1F1821"/>
                <w:kern w:val="0"/>
                <w:sz w:val="22"/>
              </w:rPr>
              <w:t xml:space="preserve"> </w:t>
            </w:r>
          </w:p>
          <w:p w14:paraId="3DF90FA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心理功能改變，伴隨方向感、記憶力或其他智力功能損傷，具有快速發作和時好時壞的臨床特徵，包括意識模糊伴隨專注力下降，以及無法對環境維持注意力，加上至少下列兩種症狀：感覺異常、語無倫次、失眠或白天困倦，或精神活動上升或下降。排除代謝、感染或藥物原因</w:t>
            </w:r>
          </w:p>
        </w:tc>
      </w:tr>
      <w:tr w:rsidR="00A86D0F" w:rsidRPr="00A86D0F" w14:paraId="2566A3CC"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D843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5CEFB"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2320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A0A0A"/>
                <w:kern w:val="0"/>
                <w:sz w:val="22"/>
              </w:rPr>
              <w:t>Visual disturbance</w:t>
            </w:r>
            <w:r w:rsidRPr="00A86D0F">
              <w:rPr>
                <w:rFonts w:ascii="標楷體" w:eastAsia="標楷體" w:hAnsi="標楷體" w:cs="新細明體"/>
                <w:kern w:val="0"/>
                <w:sz w:val="22"/>
              </w:rPr>
              <w:t>視覺異常</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6DF6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Retinal and eye changes of SLE. Include cytoid bodies, retinal hemorrhages, serous exudate or hemorrhages in the choroid, optic neuritis, scleritis or episcleritis. Exclude hypertension, infection or drug causes.</w:t>
            </w:r>
            <w:r w:rsidRPr="00A86D0F">
              <w:rPr>
                <w:rFonts w:ascii="標楷體" w:eastAsia="標楷體" w:hAnsi="標楷體"/>
                <w:kern w:val="0"/>
                <w:sz w:val="22"/>
              </w:rPr>
              <w:t xml:space="preserve"> </w:t>
            </w:r>
          </w:p>
          <w:p w14:paraId="12D58BF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kern w:val="0"/>
                <w:sz w:val="22"/>
              </w:rPr>
              <w:lastRenderedPageBreak/>
              <w:t xml:space="preserve">SLE </w:t>
            </w:r>
            <w:r w:rsidRPr="00A86D0F">
              <w:rPr>
                <w:rFonts w:ascii="標楷體" w:eastAsia="標楷體" w:hAnsi="標楷體" w:cs="新細明體"/>
                <w:kern w:val="0"/>
                <w:sz w:val="22"/>
              </w:rPr>
              <w:t>的視網膜和眼部變化，包括細胞狀體、視網膜出血、脈絡膜漿液性滲出液或出血、視神經炎、鞏膜炎或表層鞏膜炎。排除高血壓、感染或藥物原因</w:t>
            </w:r>
          </w:p>
        </w:tc>
      </w:tr>
      <w:tr w:rsidR="00A86D0F" w:rsidRPr="00A86D0F" w14:paraId="759FCE3F"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69DA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lastRenderedPageBreak/>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9FF2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D868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Cranial nerve disorder</w:t>
            </w:r>
          </w:p>
          <w:p w14:paraId="71DDE3D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腦神經疾患</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9CAC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New onset of sensory or motor neuropathy involving cranial nerves. Include vertigo due to Lupus.</w:t>
            </w:r>
            <w:r w:rsidRPr="00A86D0F">
              <w:rPr>
                <w:rFonts w:ascii="標楷體" w:eastAsia="標楷體" w:hAnsi="標楷體"/>
                <w:kern w:val="0"/>
                <w:sz w:val="22"/>
              </w:rPr>
              <w:t xml:space="preserve"> </w:t>
            </w:r>
          </w:p>
          <w:p w14:paraId="236505E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新發生的感覺或運動神經病變，涉及腦神經，包括狼瘡引起的暈眩</w:t>
            </w:r>
          </w:p>
        </w:tc>
      </w:tr>
      <w:tr w:rsidR="00A86D0F" w:rsidRPr="00A86D0F" w14:paraId="4CD2DCF4"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83F9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C9C0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ADBB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80808"/>
                <w:kern w:val="0"/>
                <w:sz w:val="22"/>
              </w:rPr>
              <w:t>Lupus headache</w:t>
            </w:r>
          </w:p>
          <w:p w14:paraId="67BCACA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狼瘡性頭痛</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8C8C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A0A0A"/>
                <w:kern w:val="0"/>
                <w:sz w:val="22"/>
              </w:rPr>
              <w:t>Severe persistent headache: may be migraimous, but must be nonrespons1ve to narcotic analgesia.</w:t>
            </w:r>
            <w:r w:rsidRPr="00A86D0F">
              <w:rPr>
                <w:rFonts w:ascii="標楷體" w:eastAsia="標楷體" w:hAnsi="標楷體"/>
                <w:color w:val="1F1821"/>
                <w:kern w:val="0"/>
                <w:sz w:val="22"/>
              </w:rPr>
              <w:t xml:space="preserve"> </w:t>
            </w:r>
          </w:p>
          <w:p w14:paraId="397B5E0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嚴重的持續性頭痛：可能為偏頭痛，但必須對麻醉性鎮痛劑無反應</w:t>
            </w:r>
          </w:p>
        </w:tc>
      </w:tr>
      <w:tr w:rsidR="00A86D0F" w:rsidRPr="00A86D0F" w14:paraId="149C2B54"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34F2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FCB0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CB92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50505"/>
                <w:kern w:val="0"/>
                <w:sz w:val="22"/>
              </w:rPr>
              <w:t>CVA</w:t>
            </w:r>
          </w:p>
          <w:p w14:paraId="4C28503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腦血管事件</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9D3D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60606"/>
                <w:kern w:val="0"/>
                <w:sz w:val="22"/>
              </w:rPr>
              <w:t>New onset of cerebrovascular accident(s). Exclude arteriosclerosis or hypertensive causes.</w:t>
            </w:r>
            <w:r w:rsidRPr="00A86D0F">
              <w:rPr>
                <w:rFonts w:ascii="標楷體" w:eastAsia="標楷體" w:hAnsi="標楷體"/>
                <w:kern w:val="0"/>
                <w:sz w:val="22"/>
              </w:rPr>
              <w:t xml:space="preserve"> </w:t>
            </w:r>
          </w:p>
          <w:p w14:paraId="456025E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新發生的腦血管事件。排除動脈硬化或高血壓原因</w:t>
            </w:r>
          </w:p>
        </w:tc>
      </w:tr>
      <w:tr w:rsidR="00A86D0F" w:rsidRPr="00A86D0F" w14:paraId="0E141548"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36DF6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8</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53A8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2104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Vasculitis</w:t>
            </w:r>
          </w:p>
          <w:p w14:paraId="66781E9B"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血管炎</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B08D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60606"/>
                <w:kern w:val="0"/>
                <w:sz w:val="22"/>
              </w:rPr>
              <w:t>Ulceration, gangrene, tender finger nodules, periungual infarction, splinter hemorrhages, or biopsy or angiogram proof of vasculitis.</w:t>
            </w:r>
            <w:r w:rsidRPr="00A86D0F">
              <w:rPr>
                <w:rFonts w:ascii="標楷體" w:eastAsia="標楷體" w:hAnsi="標楷體"/>
                <w:kern w:val="0"/>
                <w:sz w:val="22"/>
              </w:rPr>
              <w:t xml:space="preserve"> </w:t>
            </w:r>
          </w:p>
          <w:p w14:paraId="58CEBC2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潰瘍、壞疽、手指結節壓痛、指甲周圍梗塞、指甲下線狀出血，或證實血管炎的切片或血管攝影</w:t>
            </w:r>
          </w:p>
        </w:tc>
      </w:tr>
      <w:tr w:rsidR="00A86D0F" w:rsidRPr="00A86D0F" w14:paraId="0FBAA0B6"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1361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4</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4B60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8ABD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D0D0D"/>
                <w:kern w:val="0"/>
                <w:sz w:val="22"/>
              </w:rPr>
              <w:t>Arthritis</w:t>
            </w:r>
          </w:p>
          <w:p w14:paraId="1775746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關節炎</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FE914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More than 2 joints with pain and signs of inflammation (i.e., tenderness, swelling or effusion).</w:t>
            </w:r>
            <w:r w:rsidRPr="00A86D0F">
              <w:rPr>
                <w:rFonts w:ascii="標楷體" w:eastAsia="標楷體" w:hAnsi="標楷體"/>
                <w:kern w:val="0"/>
                <w:sz w:val="22"/>
              </w:rPr>
              <w:t xml:space="preserve"> </w:t>
            </w:r>
          </w:p>
          <w:p w14:paraId="3417CA5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 xml:space="preserve">超過 </w:t>
            </w:r>
            <w:r w:rsidRPr="00A86D0F">
              <w:rPr>
                <w:rFonts w:ascii="標楷體" w:eastAsia="標楷體" w:hAnsi="標楷體"/>
                <w:kern w:val="0"/>
                <w:sz w:val="22"/>
              </w:rPr>
              <w:t xml:space="preserve">2 </w:t>
            </w:r>
            <w:r w:rsidRPr="00A86D0F">
              <w:rPr>
                <w:rFonts w:ascii="標楷體" w:eastAsia="標楷體" w:hAnsi="標楷體" w:cs="新細明體"/>
                <w:kern w:val="0"/>
                <w:sz w:val="22"/>
              </w:rPr>
              <w:t>個關節發生疼痛和發炎徵象（即壓痛、腫脹或積液）</w:t>
            </w:r>
          </w:p>
        </w:tc>
      </w:tr>
      <w:tr w:rsidR="00A86D0F" w:rsidRPr="00A86D0F" w14:paraId="298133FD"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41A9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4</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C0C3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D3DCB"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Myositis</w:t>
            </w:r>
          </w:p>
          <w:p w14:paraId="09D88E3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肌炎</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D44BA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Proximal muscle aching/weakness, associated with elevated creatine phosphokinase/aldolase or electromyogram changes or a biopsy showing myositis.</w:t>
            </w:r>
            <w:r w:rsidRPr="00A86D0F">
              <w:rPr>
                <w:rFonts w:ascii="標楷體" w:eastAsia="標楷體" w:hAnsi="標楷體"/>
                <w:kern w:val="0"/>
                <w:sz w:val="22"/>
              </w:rPr>
              <w:t xml:space="preserve"> </w:t>
            </w:r>
          </w:p>
          <w:p w14:paraId="12678C6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近端肌肉疼痛／虛弱，與肌酸磷酸激酶／醛縮酶的上升或顯示為肌炎的肌電圖變化或切片有關</w:t>
            </w:r>
          </w:p>
        </w:tc>
      </w:tr>
      <w:tr w:rsidR="00A86D0F" w:rsidRPr="00A86D0F" w14:paraId="7CF74D2A"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4471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4</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79FC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8B8F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B0B0B"/>
                <w:kern w:val="0"/>
                <w:sz w:val="22"/>
              </w:rPr>
              <w:t>Urinary casts</w:t>
            </w:r>
          </w:p>
          <w:p w14:paraId="7ABD576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尿圓柱體</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F5C5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Heme-granular or red blood cell casts.</w:t>
            </w:r>
            <w:r w:rsidRPr="00A86D0F">
              <w:rPr>
                <w:rFonts w:ascii="標楷體" w:eastAsia="標楷體" w:hAnsi="標楷體"/>
                <w:kern w:val="0"/>
                <w:sz w:val="22"/>
              </w:rPr>
              <w:t xml:space="preserve"> </w:t>
            </w:r>
          </w:p>
          <w:p w14:paraId="4A175A7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血紅素顆粒或紅血球圓柱體</w:t>
            </w:r>
          </w:p>
        </w:tc>
      </w:tr>
      <w:tr w:rsidR="00A86D0F" w:rsidRPr="00A86D0F" w14:paraId="3B72657D"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849B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4</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06B8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B3FB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Hematuria</w:t>
            </w:r>
          </w:p>
          <w:p w14:paraId="25C919F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血尿</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6E11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&gt;5 red blood cells/high power field. Exclude stone, infection or other cause.</w:t>
            </w:r>
            <w:r w:rsidRPr="00A86D0F">
              <w:rPr>
                <w:rFonts w:ascii="標楷體" w:eastAsia="標楷體" w:hAnsi="標楷體"/>
                <w:kern w:val="0"/>
                <w:sz w:val="22"/>
              </w:rPr>
              <w:t xml:space="preserve"> </w:t>
            </w:r>
          </w:p>
          <w:p w14:paraId="5025211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kern w:val="0"/>
                <w:sz w:val="22"/>
              </w:rPr>
              <w:t xml:space="preserve">&gt;5 </w:t>
            </w:r>
            <w:r w:rsidRPr="00A86D0F">
              <w:rPr>
                <w:rFonts w:ascii="標楷體" w:eastAsia="標楷體" w:hAnsi="標楷體" w:cs="新細明體"/>
                <w:kern w:val="0"/>
                <w:sz w:val="22"/>
              </w:rPr>
              <w:t>個紅血球／高倍視野。排除結石、感染或藥物原因</w:t>
            </w:r>
          </w:p>
        </w:tc>
      </w:tr>
      <w:tr w:rsidR="00A86D0F" w:rsidRPr="00A86D0F" w14:paraId="59E5D332"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C3DD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4</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CDE56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6A15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B0B0B"/>
                <w:kern w:val="0"/>
                <w:sz w:val="22"/>
              </w:rPr>
              <w:t>Proteinuria</w:t>
            </w:r>
          </w:p>
          <w:p w14:paraId="4BC9842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蛋白尿</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F2FA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New onset or recent increase of more than 0.5 gm/24 hours.</w:t>
            </w:r>
            <w:r w:rsidRPr="00A86D0F">
              <w:rPr>
                <w:rFonts w:ascii="標楷體" w:eastAsia="標楷體" w:hAnsi="標楷體"/>
                <w:kern w:val="0"/>
                <w:sz w:val="22"/>
              </w:rPr>
              <w:t xml:space="preserve"> </w:t>
            </w:r>
          </w:p>
          <w:p w14:paraId="6932B8BB"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 xml:space="preserve">新發生或近 </w:t>
            </w:r>
            <w:r w:rsidRPr="00A86D0F">
              <w:rPr>
                <w:rFonts w:ascii="標楷體" w:eastAsia="標楷體" w:hAnsi="標楷體" w:hint="eastAsia"/>
                <w:kern w:val="0"/>
                <w:sz w:val="22"/>
              </w:rPr>
              <w:t xml:space="preserve">24 </w:t>
            </w:r>
            <w:r w:rsidRPr="00A86D0F">
              <w:rPr>
                <w:rFonts w:ascii="標楷體" w:eastAsia="標楷體" w:hAnsi="標楷體" w:cs="新細明體"/>
                <w:kern w:val="0"/>
                <w:sz w:val="22"/>
              </w:rPr>
              <w:t xml:space="preserve">小時增加超過 </w:t>
            </w:r>
            <w:r w:rsidRPr="00A86D0F">
              <w:rPr>
                <w:rFonts w:ascii="標楷體" w:eastAsia="標楷體" w:hAnsi="標楷體" w:hint="eastAsia"/>
                <w:kern w:val="0"/>
                <w:sz w:val="22"/>
              </w:rPr>
              <w:t>0.5 gm</w:t>
            </w:r>
          </w:p>
        </w:tc>
      </w:tr>
      <w:tr w:rsidR="00A86D0F" w:rsidRPr="00A86D0F" w14:paraId="06E79495"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4094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4</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44695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892CA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Pyuria</w:t>
            </w:r>
          </w:p>
          <w:p w14:paraId="5783EA6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膿尿</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4271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A0A0A"/>
                <w:kern w:val="0"/>
                <w:sz w:val="22"/>
              </w:rPr>
              <w:t>&gt;5 white blood cells/high power field. Exclude infection.</w:t>
            </w:r>
            <w:r w:rsidRPr="00A86D0F">
              <w:rPr>
                <w:rFonts w:ascii="標楷體" w:eastAsia="標楷體" w:hAnsi="標楷體" w:hint="eastAsia"/>
                <w:kern w:val="0"/>
                <w:sz w:val="22"/>
              </w:rPr>
              <w:t xml:space="preserve"> </w:t>
            </w:r>
          </w:p>
          <w:p w14:paraId="521B931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kern w:val="0"/>
                <w:sz w:val="22"/>
              </w:rPr>
              <w:t xml:space="preserve">&gt;5 </w:t>
            </w:r>
            <w:r w:rsidRPr="00A86D0F">
              <w:rPr>
                <w:rFonts w:ascii="標楷體" w:eastAsia="標楷體" w:hAnsi="標楷體" w:cs="新細明體"/>
                <w:kern w:val="0"/>
                <w:sz w:val="22"/>
              </w:rPr>
              <w:t>個白血球／高倍視野。排除感染</w:t>
            </w:r>
          </w:p>
        </w:tc>
      </w:tr>
      <w:tr w:rsidR="00A86D0F" w:rsidRPr="00A86D0F" w14:paraId="278CB8AB"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BD1D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lastRenderedPageBreak/>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D603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22D9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60606"/>
                <w:kern w:val="0"/>
                <w:sz w:val="22"/>
              </w:rPr>
              <w:t>Rash</w:t>
            </w:r>
          </w:p>
          <w:p w14:paraId="25EB2E6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皮疹</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002B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Ongoing inflammatory lupus rash.</w:t>
            </w:r>
            <w:r w:rsidRPr="00A86D0F">
              <w:rPr>
                <w:rFonts w:ascii="標楷體" w:eastAsia="標楷體" w:hAnsi="標楷體" w:hint="eastAsia"/>
                <w:kern w:val="0"/>
                <w:sz w:val="22"/>
              </w:rPr>
              <w:t xml:space="preserve"> </w:t>
            </w:r>
          </w:p>
          <w:p w14:paraId="605492B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持續的發炎性狼瘡皮疹</w:t>
            </w:r>
          </w:p>
        </w:tc>
      </w:tr>
      <w:tr w:rsidR="00A86D0F" w:rsidRPr="00A86D0F" w14:paraId="79A84FA9"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5313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DF48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BC2C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80808"/>
                <w:kern w:val="0"/>
                <w:sz w:val="22"/>
              </w:rPr>
              <w:t>Alopecia</w:t>
            </w:r>
          </w:p>
          <w:p w14:paraId="419D1CC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掉髮</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68E5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Ongoing abnormal, patchy or diffuse loss of hair due to active lupus.</w:t>
            </w:r>
            <w:r w:rsidRPr="00A86D0F">
              <w:rPr>
                <w:rFonts w:ascii="標楷體" w:eastAsia="標楷體" w:hAnsi="標楷體"/>
                <w:color w:val="1F1821"/>
                <w:kern w:val="0"/>
                <w:sz w:val="22"/>
              </w:rPr>
              <w:t xml:space="preserve"> </w:t>
            </w:r>
          </w:p>
          <w:p w14:paraId="5070278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因為活躍性狼瘡而造成持續性的異常、斑狀性或瀰漫性脫髮</w:t>
            </w:r>
          </w:p>
        </w:tc>
      </w:tr>
      <w:tr w:rsidR="00A86D0F" w:rsidRPr="00A86D0F" w14:paraId="2C39917A"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4F16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D71D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5A0F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Mucosal ulcers</w:t>
            </w:r>
          </w:p>
          <w:p w14:paraId="272C3B3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黏膜潰瘍</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82B2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Ongoing oral or nasal ulcerations due to active lupus.</w:t>
            </w:r>
            <w:r w:rsidRPr="00A86D0F">
              <w:rPr>
                <w:rFonts w:ascii="標楷體" w:eastAsia="標楷體" w:hAnsi="標楷體"/>
                <w:kern w:val="0"/>
                <w:sz w:val="22"/>
              </w:rPr>
              <w:t xml:space="preserve"> </w:t>
            </w:r>
          </w:p>
          <w:p w14:paraId="73CD762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因為活躍性狼瘡而造成持續性的口腔或鼻腔潰瘍</w:t>
            </w:r>
          </w:p>
        </w:tc>
      </w:tr>
      <w:tr w:rsidR="00A86D0F" w:rsidRPr="00A86D0F" w14:paraId="52A2D04C"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EC5D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9B99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22E9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Pleurisy</w:t>
            </w:r>
          </w:p>
          <w:p w14:paraId="0FA37656"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胸膜炎</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FF7C4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 xml:space="preserve">Classic and severe pleuritic chest pain or pleural rub or effusion or new pleural thickening due to </w:t>
            </w:r>
            <w:r w:rsidRPr="00A86D0F">
              <w:rPr>
                <w:rFonts w:ascii="標楷體" w:eastAsia="標楷體" w:hAnsi="標楷體"/>
                <w:color w:val="0A0A0A"/>
                <w:kern w:val="0"/>
                <w:sz w:val="22"/>
              </w:rPr>
              <w:t>Lupus.</w:t>
            </w:r>
            <w:r w:rsidRPr="00A86D0F">
              <w:rPr>
                <w:rFonts w:ascii="標楷體" w:eastAsia="標楷體" w:hAnsi="標楷體"/>
                <w:color w:val="1F1821"/>
                <w:kern w:val="0"/>
                <w:sz w:val="22"/>
              </w:rPr>
              <w:t xml:space="preserve"> </w:t>
            </w:r>
          </w:p>
          <w:p w14:paraId="404FDB7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典型和嚴重的胸膜炎性胸痛，或胸膜摩擦音或積液，或因為狼瘡而造成的胸膜增厚</w:t>
            </w:r>
          </w:p>
        </w:tc>
      </w:tr>
      <w:tr w:rsidR="00A86D0F" w:rsidRPr="00A86D0F" w14:paraId="5FC73E89"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DE7A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D992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A88E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B0B0B"/>
                <w:kern w:val="0"/>
                <w:sz w:val="22"/>
              </w:rPr>
              <w:t>Pericarditis</w:t>
            </w:r>
          </w:p>
          <w:p w14:paraId="5262BDD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心包膜炎</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8C1B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Classic and severe pericardial pam or rub or effusion, or electrocardiogram confirmation.</w:t>
            </w:r>
            <w:r w:rsidRPr="00A86D0F">
              <w:rPr>
                <w:rFonts w:ascii="標楷體" w:eastAsia="標楷體" w:hAnsi="標楷體"/>
                <w:kern w:val="0"/>
                <w:sz w:val="22"/>
              </w:rPr>
              <w:t xml:space="preserve"> </w:t>
            </w:r>
          </w:p>
          <w:p w14:paraId="1DCD15B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典型和嚴重的心包膜疼痛，或摩擦音或積液，或經心電圖證實</w:t>
            </w:r>
          </w:p>
        </w:tc>
      </w:tr>
      <w:tr w:rsidR="00A86D0F" w:rsidRPr="00A86D0F" w14:paraId="3BB8AD23"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6EFE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F2EF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A7C4D"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Low complement</w:t>
            </w:r>
            <w:r w:rsidRPr="00A86D0F">
              <w:rPr>
                <w:rFonts w:ascii="標楷體" w:eastAsia="標楷體" w:hAnsi="標楷體" w:cs="新細明體"/>
                <w:kern w:val="0"/>
                <w:sz w:val="22"/>
              </w:rPr>
              <w:t>補體低</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F481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Decrease in CH50, C3 or C4 below the lower limit of normal for testing laboratory.</w:t>
            </w:r>
            <w:r w:rsidRPr="00A86D0F">
              <w:rPr>
                <w:rFonts w:ascii="標楷體" w:eastAsia="標楷體" w:hAnsi="標楷體"/>
                <w:color w:val="1F1821"/>
                <w:kern w:val="0"/>
                <w:sz w:val="22"/>
              </w:rPr>
              <w:t xml:space="preserve"> </w:t>
            </w:r>
          </w:p>
          <w:p w14:paraId="455DD4C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color w:val="1F1821"/>
                <w:kern w:val="0"/>
                <w:sz w:val="22"/>
              </w:rPr>
              <w:t>CH50</w:t>
            </w:r>
            <w:r w:rsidRPr="00A86D0F">
              <w:rPr>
                <w:rFonts w:ascii="標楷體" w:eastAsia="標楷體" w:hAnsi="標楷體"/>
                <w:kern w:val="0"/>
                <w:sz w:val="22"/>
              </w:rPr>
              <w:t>、</w:t>
            </w:r>
            <w:r w:rsidRPr="00A86D0F">
              <w:rPr>
                <w:rFonts w:ascii="標楷體" w:eastAsia="標楷體" w:hAnsi="標楷體" w:hint="eastAsia"/>
                <w:kern w:val="0"/>
                <w:sz w:val="22"/>
              </w:rPr>
              <w:t xml:space="preserve">C3 </w:t>
            </w:r>
            <w:r w:rsidRPr="00A86D0F">
              <w:rPr>
                <w:rFonts w:ascii="標楷體" w:eastAsia="標楷體" w:hAnsi="標楷體"/>
                <w:kern w:val="0"/>
                <w:sz w:val="22"/>
              </w:rPr>
              <w:t xml:space="preserve">或 </w:t>
            </w:r>
            <w:r w:rsidRPr="00A86D0F">
              <w:rPr>
                <w:rFonts w:ascii="標楷體" w:eastAsia="標楷體" w:hAnsi="標楷體" w:hint="eastAsia"/>
                <w:kern w:val="0"/>
                <w:sz w:val="22"/>
              </w:rPr>
              <w:t xml:space="preserve">C4 </w:t>
            </w:r>
            <w:r w:rsidRPr="00A86D0F">
              <w:rPr>
                <w:rFonts w:ascii="標楷體" w:eastAsia="標楷體" w:hAnsi="標楷體"/>
                <w:kern w:val="0"/>
                <w:sz w:val="22"/>
              </w:rPr>
              <w:t>下降，低於實驗室檢測的正常值下限</w:t>
            </w:r>
          </w:p>
        </w:tc>
      </w:tr>
      <w:tr w:rsidR="00A86D0F" w:rsidRPr="00A86D0F" w14:paraId="0703D904"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6DF3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D65F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CB42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80808"/>
                <w:kern w:val="0"/>
                <w:sz w:val="22"/>
              </w:rPr>
              <w:t>Increased DNA binding</w:t>
            </w:r>
            <w:r w:rsidRPr="00A86D0F">
              <w:rPr>
                <w:rFonts w:ascii="標楷體" w:eastAsia="標楷體" w:hAnsi="標楷體" w:hint="eastAsia"/>
                <w:kern w:val="0"/>
                <w:sz w:val="22"/>
              </w:rPr>
              <w:t xml:space="preserve"> </w:t>
            </w:r>
          </w:p>
          <w:p w14:paraId="6D1821B2"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kern w:val="0"/>
                <w:sz w:val="22"/>
              </w:rPr>
              <w:t xml:space="preserve">DNA </w:t>
            </w:r>
            <w:r w:rsidRPr="00A86D0F">
              <w:rPr>
                <w:rFonts w:ascii="標楷體" w:eastAsia="標楷體" w:hAnsi="標楷體" w:cs="新細明體"/>
                <w:kern w:val="0"/>
                <w:sz w:val="22"/>
              </w:rPr>
              <w:t>結合增加</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1883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&gt;25% binding by Farr assay or above normal range for testing laboratory.</w:t>
            </w:r>
            <w:r w:rsidRPr="00A86D0F">
              <w:rPr>
                <w:rFonts w:ascii="標楷體" w:eastAsia="標楷體" w:hAnsi="標楷體"/>
                <w:kern w:val="0"/>
                <w:sz w:val="22"/>
              </w:rPr>
              <w:t xml:space="preserve"> </w:t>
            </w:r>
          </w:p>
          <w:p w14:paraId="6E63D58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kern w:val="0"/>
                <w:sz w:val="22"/>
              </w:rPr>
              <w:t xml:space="preserve">Farr </w:t>
            </w:r>
            <w:r w:rsidRPr="00A86D0F">
              <w:rPr>
                <w:rFonts w:ascii="標楷體" w:eastAsia="標楷體" w:hAnsi="標楷體" w:cs="新細明體"/>
                <w:kern w:val="0"/>
                <w:sz w:val="22"/>
              </w:rPr>
              <w:t xml:space="preserve">分析 </w:t>
            </w:r>
            <w:r w:rsidRPr="00A86D0F">
              <w:rPr>
                <w:rFonts w:ascii="標楷體" w:eastAsia="標楷體" w:hAnsi="標楷體" w:hint="eastAsia"/>
                <w:kern w:val="0"/>
                <w:sz w:val="22"/>
              </w:rPr>
              <w:t xml:space="preserve">&gt;25% </w:t>
            </w:r>
            <w:r w:rsidRPr="00A86D0F">
              <w:rPr>
                <w:rFonts w:ascii="標楷體" w:eastAsia="標楷體" w:hAnsi="標楷體" w:cs="新細明體"/>
                <w:kern w:val="0"/>
                <w:sz w:val="22"/>
              </w:rPr>
              <w:t>的結合，或超過檢測實驗室的正常範圍</w:t>
            </w:r>
          </w:p>
        </w:tc>
      </w:tr>
      <w:tr w:rsidR="00A86D0F" w:rsidRPr="00A86D0F" w14:paraId="01C5C086"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925D3"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1</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CF26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C690E"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50505"/>
                <w:kern w:val="0"/>
                <w:sz w:val="22"/>
              </w:rPr>
              <w:t>Fever</w:t>
            </w:r>
          </w:p>
          <w:p w14:paraId="63A71FC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1F1821"/>
                <w:kern w:val="0"/>
                <w:sz w:val="22"/>
              </w:rPr>
              <w:t>發燒</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B8331"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A0A0A"/>
                <w:kern w:val="0"/>
                <w:sz w:val="22"/>
              </w:rPr>
              <w:t>&gt;38°C. Exclude infectious cause.</w:t>
            </w:r>
            <w:r w:rsidRPr="00A86D0F">
              <w:rPr>
                <w:rFonts w:ascii="標楷體" w:eastAsia="標楷體" w:hAnsi="標楷體"/>
                <w:kern w:val="0"/>
                <w:sz w:val="22"/>
              </w:rPr>
              <w:t xml:space="preserve"> </w:t>
            </w:r>
          </w:p>
          <w:p w14:paraId="2664BD7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kern w:val="0"/>
                <w:sz w:val="22"/>
              </w:rPr>
              <w:t>&gt;38°C</w:t>
            </w:r>
            <w:r w:rsidRPr="00A86D0F">
              <w:rPr>
                <w:rFonts w:ascii="標楷體" w:eastAsia="標楷體" w:hAnsi="標楷體" w:cs="新細明體"/>
                <w:kern w:val="0"/>
                <w:sz w:val="22"/>
              </w:rPr>
              <w:t>。排除感染原因</w:t>
            </w:r>
          </w:p>
        </w:tc>
      </w:tr>
      <w:tr w:rsidR="00A86D0F" w:rsidRPr="00A86D0F" w14:paraId="62CD1153"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787EF"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1</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69897"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8D59C"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Thrombocytopenia</w:t>
            </w:r>
            <w:r w:rsidRPr="00A86D0F">
              <w:rPr>
                <w:rFonts w:ascii="標楷體" w:eastAsia="標楷體" w:hAnsi="標楷體" w:cs="新細明體"/>
                <w:kern w:val="0"/>
                <w:sz w:val="22"/>
              </w:rPr>
              <w:t>血小板減少症</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7AC2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color w:val="090909"/>
                <w:kern w:val="0"/>
                <w:sz w:val="22"/>
              </w:rPr>
              <w:t xml:space="preserve">&lt;100,000 platelets/mm3 </w:t>
            </w:r>
          </w:p>
          <w:p w14:paraId="5743E5A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color w:val="1F1821"/>
                <w:kern w:val="0"/>
                <w:sz w:val="22"/>
              </w:rPr>
              <w:t xml:space="preserve">&lt;100,000 </w:t>
            </w:r>
            <w:r w:rsidRPr="00A86D0F">
              <w:rPr>
                <w:rFonts w:ascii="標楷體" w:eastAsia="標楷體" w:hAnsi="標楷體"/>
                <w:kern w:val="0"/>
                <w:sz w:val="22"/>
              </w:rPr>
              <w:t>個血小板／</w:t>
            </w:r>
            <w:r w:rsidRPr="00A86D0F">
              <w:rPr>
                <w:rFonts w:ascii="標楷體" w:eastAsia="標楷體" w:hAnsi="標楷體" w:hint="eastAsia"/>
                <w:kern w:val="0"/>
                <w:sz w:val="22"/>
              </w:rPr>
              <w:t>mm</w:t>
            </w:r>
            <w:r w:rsidRPr="00A86D0F">
              <w:rPr>
                <w:rFonts w:ascii="標楷體" w:eastAsia="標楷體" w:hAnsi="標楷體" w:hint="eastAsia"/>
                <w:kern w:val="0"/>
                <w:sz w:val="22"/>
                <w:vertAlign w:val="superscript"/>
              </w:rPr>
              <w:t>3</w:t>
            </w:r>
          </w:p>
        </w:tc>
      </w:tr>
      <w:tr w:rsidR="00A86D0F" w:rsidRPr="00A86D0F" w14:paraId="292CAE42" w14:textId="77777777" w:rsidTr="00A86D0F">
        <w:trPr>
          <w:tblCellSpacing w:w="0" w:type="dxa"/>
        </w:trPr>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E9410"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Cs w:val="24"/>
              </w:rPr>
              <w:t>1</w:t>
            </w:r>
          </w:p>
        </w:tc>
        <w:tc>
          <w:tcPr>
            <w:tcW w:w="7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30DC4"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新細明體" w:hAnsi="新細明體" w:cs="新細明體"/>
                <w:kern w:val="0"/>
                <w:szCs w:val="24"/>
              </w:rPr>
              <w:t>□</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3FE0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olor w:val="090909"/>
                <w:kern w:val="0"/>
                <w:sz w:val="22"/>
              </w:rPr>
              <w:t>Leukopenia</w:t>
            </w:r>
            <w:r w:rsidRPr="00A86D0F">
              <w:rPr>
                <w:rFonts w:ascii="標楷體" w:eastAsia="標楷體" w:hAnsi="標楷體" w:cs="新細明體"/>
                <w:kern w:val="0"/>
                <w:sz w:val="22"/>
              </w:rPr>
              <w:t>白血球減少症</w:t>
            </w:r>
          </w:p>
        </w:tc>
        <w:tc>
          <w:tcPr>
            <w:tcW w:w="53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54CFA"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&lt;3,000 white blood cells/mm3. Exclude drug causes.</w:t>
            </w:r>
          </w:p>
          <w:p w14:paraId="0226E50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hint="eastAsia"/>
                <w:kern w:val="0"/>
                <w:sz w:val="22"/>
              </w:rPr>
              <w:t xml:space="preserve">&lt;3,000 </w:t>
            </w:r>
            <w:r w:rsidRPr="00A86D0F">
              <w:rPr>
                <w:rFonts w:ascii="標楷體" w:eastAsia="標楷體" w:hAnsi="標楷體" w:cs="新細明體"/>
                <w:kern w:val="0"/>
                <w:sz w:val="22"/>
              </w:rPr>
              <w:t>個白血球細胞／</w:t>
            </w:r>
            <w:r w:rsidRPr="00A86D0F">
              <w:rPr>
                <w:rFonts w:ascii="標楷體" w:eastAsia="標楷體" w:hAnsi="標楷體" w:hint="eastAsia"/>
                <w:kern w:val="0"/>
                <w:sz w:val="22"/>
              </w:rPr>
              <w:t>mm</w:t>
            </w:r>
            <w:r w:rsidRPr="00A86D0F">
              <w:rPr>
                <w:rFonts w:ascii="標楷體" w:eastAsia="標楷體" w:hAnsi="標楷體" w:hint="eastAsia"/>
                <w:kern w:val="0"/>
                <w:sz w:val="22"/>
                <w:vertAlign w:val="superscript"/>
              </w:rPr>
              <w:t>3</w:t>
            </w:r>
            <w:r w:rsidRPr="00A86D0F">
              <w:rPr>
                <w:rFonts w:ascii="標楷體" w:eastAsia="標楷體" w:hAnsi="標楷體" w:cs="新細明體"/>
                <w:kern w:val="0"/>
                <w:sz w:val="22"/>
              </w:rPr>
              <w:t>。排除藥物原因</w:t>
            </w:r>
          </w:p>
        </w:tc>
      </w:tr>
      <w:tr w:rsidR="00A86D0F" w:rsidRPr="00A86D0F" w14:paraId="1AC17D71" w14:textId="77777777" w:rsidTr="00A86D0F">
        <w:trPr>
          <w:tblCellSpacing w:w="0" w:type="dxa"/>
        </w:trPr>
        <w:tc>
          <w:tcPr>
            <w:tcW w:w="19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5F1B9"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p>
        </w:tc>
        <w:tc>
          <w:tcPr>
            <w:tcW w:w="73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70538"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b/>
                <w:bCs/>
                <w:kern w:val="0"/>
                <w:sz w:val="16"/>
                <w:szCs w:val="16"/>
              </w:rPr>
              <w:t>TOTAL SCORE</w:t>
            </w:r>
            <w:r w:rsidRPr="00A86D0F">
              <w:rPr>
                <w:rFonts w:ascii="標楷體" w:eastAsia="標楷體" w:hAnsi="標楷體"/>
                <w:kern w:val="0"/>
                <w:szCs w:val="24"/>
              </w:rPr>
              <w:t xml:space="preserve"> </w:t>
            </w:r>
            <w:r w:rsidRPr="00A86D0F">
              <w:rPr>
                <w:rFonts w:ascii="標楷體" w:eastAsia="標楷體" w:hAnsi="標楷體"/>
                <w:b/>
                <w:bCs/>
                <w:kern w:val="0"/>
                <w:sz w:val="16"/>
                <w:szCs w:val="16"/>
              </w:rPr>
              <w:t>(Sum of weights next to descriptors marked present)</w:t>
            </w:r>
          </w:p>
          <w:p w14:paraId="2C502C55" w14:textId="77777777" w:rsidR="00A86D0F" w:rsidRPr="00A86D0F" w:rsidRDefault="00A86D0F" w:rsidP="00A86D0F">
            <w:pPr>
              <w:widowControl/>
              <w:suppressAutoHyphens w:val="0"/>
              <w:autoSpaceDN/>
              <w:spacing w:before="100" w:beforeAutospacing="1" w:after="100" w:afterAutospacing="1"/>
              <w:textAlignment w:val="auto"/>
              <w:rPr>
                <w:rFonts w:ascii="新細明體" w:hAnsi="新細明體" w:cs="新細明體"/>
                <w:kern w:val="0"/>
                <w:szCs w:val="24"/>
              </w:rPr>
            </w:pPr>
            <w:r w:rsidRPr="00A86D0F">
              <w:rPr>
                <w:rFonts w:ascii="標楷體" w:eastAsia="標楷體" w:hAnsi="標楷體" w:cs="新細明體"/>
                <w:kern w:val="0"/>
                <w:sz w:val="22"/>
              </w:rPr>
              <w:t>總分（勾選的描述符旁邊的權重總和）</w:t>
            </w:r>
          </w:p>
        </w:tc>
      </w:tr>
      <w:bookmarkEnd w:id="47"/>
    </w:tbl>
    <w:p w14:paraId="3A4D3958" w14:textId="77777777" w:rsidR="00A86D0F" w:rsidRPr="00A86D0F" w:rsidRDefault="00A86D0F" w:rsidP="00A86D0F">
      <w:pPr>
        <w:widowControl/>
        <w:jc w:val="center"/>
        <w:rPr>
          <w:rFonts w:ascii="標楷體" w:eastAsia="標楷體" w:hAnsi="標楷體"/>
          <w:b/>
        </w:rPr>
      </w:pPr>
    </w:p>
    <w:p w14:paraId="77C5E02E" w14:textId="77777777" w:rsidR="00BD776B" w:rsidRDefault="00BD776B">
      <w:pPr>
        <w:pageBreakBefore/>
        <w:widowControl/>
        <w:suppressAutoHyphens w:val="0"/>
        <w:rPr>
          <w:rFonts w:ascii="標楷體" w:eastAsia="標楷體" w:hAnsi="標楷體"/>
          <w:color w:val="000000"/>
        </w:rPr>
      </w:pPr>
    </w:p>
    <w:tbl>
      <w:tblPr>
        <w:tblW w:w="8628" w:type="dxa"/>
        <w:jc w:val="center"/>
        <w:tblLayout w:type="fixed"/>
        <w:tblCellMar>
          <w:left w:w="10" w:type="dxa"/>
          <w:right w:w="10" w:type="dxa"/>
        </w:tblCellMar>
        <w:tblLook w:val="0000" w:firstRow="0" w:lastRow="0" w:firstColumn="0" w:lastColumn="0" w:noHBand="0" w:noVBand="0"/>
      </w:tblPr>
      <w:tblGrid>
        <w:gridCol w:w="8628"/>
      </w:tblGrid>
      <w:tr w:rsidR="00BD776B" w14:paraId="25F31746" w14:textId="77777777">
        <w:trPr>
          <w:cantSplit/>
          <w:trHeight w:val="568"/>
          <w:jc w:val="center"/>
        </w:trPr>
        <w:tc>
          <w:tcPr>
            <w:tcW w:w="8628" w:type="dxa"/>
            <w:shd w:val="clear" w:color="auto" w:fill="auto"/>
            <w:tcMar>
              <w:top w:w="0" w:type="dxa"/>
              <w:left w:w="28" w:type="dxa"/>
              <w:bottom w:w="0" w:type="dxa"/>
              <w:right w:w="28" w:type="dxa"/>
            </w:tcMar>
          </w:tcPr>
          <w:p w14:paraId="7D36449C" w14:textId="77777777" w:rsidR="00BD776B" w:rsidRDefault="00DF0C24">
            <w:pPr>
              <w:widowControl/>
              <w:autoSpaceDE w:val="0"/>
              <w:snapToGrid w:val="0"/>
              <w:spacing w:line="440" w:lineRule="exact"/>
              <w:ind w:firstLine="40"/>
              <w:jc w:val="center"/>
              <w:textAlignment w:val="bottom"/>
            </w:pPr>
            <w:r>
              <w:rPr>
                <w:rFonts w:ascii="標楷體" w:eastAsia="標楷體" w:hAnsi="標楷體"/>
                <w:color w:val="000000"/>
                <w:sz w:val="32"/>
                <w:szCs w:val="24"/>
              </w:rPr>
              <w:t>附表三十七-</w:t>
            </w:r>
            <w:r>
              <w:rPr>
                <w:rFonts w:ascii="標楷體" w:eastAsia="標楷體" w:hAnsi="標楷體"/>
                <w:color w:val="000000"/>
                <w:sz w:val="32"/>
                <w:szCs w:val="24"/>
                <w:u w:val="single"/>
              </w:rPr>
              <w:t>全民健康保險保險對象使用onasemnogene abeparvovec基因療法製劑協議書</w:t>
            </w:r>
          </w:p>
        </w:tc>
      </w:tr>
    </w:tbl>
    <w:p w14:paraId="79D0A2FB" w14:textId="77777777" w:rsidR="00BD776B" w:rsidRDefault="00BD776B">
      <w:pPr>
        <w:spacing w:after="192" w:line="480" w:lineRule="exact"/>
        <w:rPr>
          <w:rFonts w:ascii="標楷體" w:eastAsia="標楷體" w:hAnsi="標楷體"/>
          <w:sz w:val="28"/>
          <w:szCs w:val="28"/>
        </w:rPr>
      </w:pPr>
    </w:p>
    <w:p w14:paraId="54096D1F" w14:textId="77777777" w:rsidR="00BD776B" w:rsidRDefault="00DF0C24">
      <w:pPr>
        <w:spacing w:after="192" w:line="480" w:lineRule="exact"/>
      </w:pPr>
      <w:r>
        <w:rPr>
          <w:rFonts w:ascii="標楷體" w:eastAsia="標楷體" w:hAnsi="標楷體"/>
          <w:szCs w:val="24"/>
        </w:rPr>
        <w:t>衛生福利部中央健康保險署（以下簡稱甲方）為辦理全民健康保險（以下稱本保險）業務與保險對象</w:t>
      </w:r>
      <w:r>
        <w:rPr>
          <w:rFonts w:ascii="標楷體" w:eastAsia="標楷體" w:hAnsi="標楷體"/>
          <w:szCs w:val="24"/>
          <w:u w:val="single"/>
        </w:rPr>
        <w:t xml:space="preserve">   (姓名)    </w:t>
      </w:r>
      <w:r>
        <w:rPr>
          <w:rFonts w:ascii="標楷體" w:eastAsia="標楷體" w:hAnsi="標楷體"/>
          <w:szCs w:val="24"/>
        </w:rPr>
        <w:t>（以下簡稱乙方）就含onasemnogene abeparvovec基因療法製劑（商品名稱為「Zolgensma」，以下簡稱本協議藥品）之給付事宜簽訂本協議書，內容如下：</w:t>
      </w:r>
    </w:p>
    <w:p w14:paraId="08AC1482" w14:textId="77777777" w:rsidR="00BD776B" w:rsidRDefault="00DF0C24" w:rsidP="008A7063">
      <w:pPr>
        <w:numPr>
          <w:ilvl w:val="0"/>
          <w:numId w:val="127"/>
        </w:numPr>
        <w:suppressAutoHyphens w:val="0"/>
        <w:spacing w:before="192" w:line="440" w:lineRule="exact"/>
        <w:ind w:left="567" w:hanging="567"/>
        <w:jc w:val="both"/>
        <w:textAlignment w:val="auto"/>
        <w:rPr>
          <w:rFonts w:ascii="標楷體" w:eastAsia="標楷體" w:hAnsi="標楷體"/>
          <w:szCs w:val="24"/>
        </w:rPr>
      </w:pPr>
      <w:r>
        <w:rPr>
          <w:rFonts w:ascii="標楷體" w:eastAsia="標楷體" w:hAnsi="標楷體"/>
          <w:szCs w:val="24"/>
        </w:rPr>
        <w:t>甲方同意乙方申請使用onasemnogene abeparvovec基因療法製劑，於符合本協議藥品給付規定並經特殊專案審查核准時，委由本保險特約醫事服務機構（機構名稱）施打本協議藥品及相關作業事宜。</w:t>
      </w:r>
    </w:p>
    <w:p w14:paraId="4C9B7553" w14:textId="77777777" w:rsidR="00BD776B" w:rsidRDefault="00DF0C24" w:rsidP="008A7063">
      <w:pPr>
        <w:numPr>
          <w:ilvl w:val="0"/>
          <w:numId w:val="127"/>
        </w:numPr>
        <w:suppressAutoHyphens w:val="0"/>
        <w:spacing w:before="192" w:line="440" w:lineRule="exact"/>
        <w:ind w:left="567" w:hanging="567"/>
        <w:jc w:val="both"/>
        <w:textAlignment w:val="auto"/>
        <w:rPr>
          <w:rFonts w:ascii="標楷體" w:eastAsia="標楷體" w:hAnsi="標楷體"/>
          <w:szCs w:val="24"/>
        </w:rPr>
      </w:pPr>
      <w:r>
        <w:rPr>
          <w:rFonts w:ascii="標楷體" w:eastAsia="標楷體" w:hAnsi="標楷體"/>
          <w:szCs w:val="24"/>
        </w:rPr>
        <w:t>甲方授權（特約醫事服務機構名稱）（○○○醫師）代表告知乙方下列事項與應負擔義務，並經乙方同意如下：</w:t>
      </w:r>
    </w:p>
    <w:p w14:paraId="02F0D08A" w14:textId="77777777" w:rsidR="00BD776B" w:rsidRDefault="00DF0C24" w:rsidP="008A7063">
      <w:pPr>
        <w:numPr>
          <w:ilvl w:val="1"/>
          <w:numId w:val="127"/>
        </w:numPr>
        <w:suppressAutoHyphens w:val="0"/>
        <w:spacing w:before="192" w:line="440" w:lineRule="exact"/>
        <w:jc w:val="both"/>
        <w:textAlignment w:val="auto"/>
        <w:rPr>
          <w:rFonts w:ascii="標楷體" w:eastAsia="標楷體" w:hAnsi="標楷體"/>
          <w:kern w:val="0"/>
          <w:szCs w:val="24"/>
        </w:rPr>
      </w:pPr>
      <w:r>
        <w:rPr>
          <w:rFonts w:ascii="標楷體" w:eastAsia="標楷體" w:hAnsi="標楷體"/>
          <w:kern w:val="0"/>
          <w:szCs w:val="24"/>
        </w:rPr>
        <w:t>乙方使用onasemnogene abeparvovec基因療法製劑，需依照本協議藥品給付規定內容（包括且不限於施打劑量、次數、方式、地點），並於使用該基因療法製劑之日起每4個月主動回到施打該藥品之醫院進行療效評估，且至少持續10年。</w:t>
      </w:r>
    </w:p>
    <w:p w14:paraId="6B7CFA5F" w14:textId="77777777" w:rsidR="00BD776B" w:rsidRDefault="00DF0C24" w:rsidP="008A7063">
      <w:pPr>
        <w:numPr>
          <w:ilvl w:val="1"/>
          <w:numId w:val="127"/>
        </w:numPr>
        <w:suppressAutoHyphens w:val="0"/>
        <w:spacing w:before="192" w:line="440" w:lineRule="exact"/>
        <w:jc w:val="both"/>
        <w:textAlignment w:val="auto"/>
        <w:rPr>
          <w:rFonts w:ascii="標楷體" w:eastAsia="標楷體" w:hAnsi="標楷體"/>
          <w:kern w:val="0"/>
          <w:szCs w:val="24"/>
        </w:rPr>
      </w:pPr>
      <w:r>
        <w:rPr>
          <w:rFonts w:ascii="標楷體" w:eastAsia="標楷體" w:hAnsi="標楷體"/>
          <w:kern w:val="0"/>
          <w:szCs w:val="24"/>
        </w:rPr>
        <w:t>乙方應配合並同意甲方蒐集運用相關醫療資訊，作為後續醫療給付核定依據及效益評估之參考。</w:t>
      </w:r>
    </w:p>
    <w:p w14:paraId="349E1037" w14:textId="77777777" w:rsidR="00BD776B" w:rsidRDefault="00DF0C24" w:rsidP="008A7063">
      <w:pPr>
        <w:numPr>
          <w:ilvl w:val="1"/>
          <w:numId w:val="127"/>
        </w:numPr>
        <w:suppressAutoHyphens w:val="0"/>
        <w:spacing w:before="192" w:line="440" w:lineRule="exact"/>
        <w:jc w:val="both"/>
        <w:textAlignment w:val="auto"/>
        <w:rPr>
          <w:rFonts w:ascii="標楷體" w:eastAsia="標楷體" w:hAnsi="標楷體"/>
          <w:kern w:val="0"/>
          <w:szCs w:val="24"/>
        </w:rPr>
      </w:pPr>
      <w:r>
        <w:rPr>
          <w:rFonts w:ascii="標楷體" w:eastAsia="標楷體" w:hAnsi="標楷體"/>
          <w:kern w:val="0"/>
          <w:szCs w:val="24"/>
        </w:rPr>
        <w:t>乙方或其法定代理人任一人，如發生聯絡方式(地址、電話…)變更、遷移他地、失蹤或其他情事，致無法按時回院進行療效評估時，乙方及其法定代理人應於事由發生之日起30天以書面通知甲方及施打藥品之特約醫事服務機構，並提供變更後可確實連絡之方式與地址，必要時應檢附證明資料。</w:t>
      </w:r>
    </w:p>
    <w:p w14:paraId="2EE0E892" w14:textId="77777777" w:rsidR="00BD776B" w:rsidRDefault="00DF0C24" w:rsidP="008A7063">
      <w:pPr>
        <w:numPr>
          <w:ilvl w:val="1"/>
          <w:numId w:val="127"/>
        </w:numPr>
        <w:suppressAutoHyphens w:val="0"/>
        <w:spacing w:before="192" w:line="440" w:lineRule="exact"/>
        <w:jc w:val="both"/>
        <w:textAlignment w:val="auto"/>
        <w:rPr>
          <w:rFonts w:ascii="標楷體" w:eastAsia="標楷體" w:hAnsi="標楷體"/>
          <w:kern w:val="0"/>
          <w:szCs w:val="24"/>
        </w:rPr>
      </w:pPr>
      <w:r>
        <w:rPr>
          <w:rFonts w:ascii="標楷體" w:eastAsia="標楷體" w:hAnsi="標楷體"/>
          <w:kern w:val="0"/>
          <w:szCs w:val="24"/>
        </w:rPr>
        <w:t>本協議書不因乙方之法定代理人變更或喪失資格而失其效力，但乙方之法定代理人變更時，原法定代理人應主動告知繼任者本協議書之存在與內容。</w:t>
      </w:r>
    </w:p>
    <w:p w14:paraId="0546F3AC" w14:textId="77777777" w:rsidR="00BD776B" w:rsidRDefault="00DF0C24" w:rsidP="008A7063">
      <w:pPr>
        <w:numPr>
          <w:ilvl w:val="1"/>
          <w:numId w:val="127"/>
        </w:numPr>
        <w:suppressAutoHyphens w:val="0"/>
        <w:spacing w:before="192" w:line="440" w:lineRule="exact"/>
        <w:jc w:val="both"/>
        <w:textAlignment w:val="auto"/>
        <w:rPr>
          <w:rFonts w:ascii="標楷體" w:eastAsia="標楷體" w:hAnsi="標楷體"/>
          <w:kern w:val="0"/>
          <w:szCs w:val="24"/>
        </w:rPr>
      </w:pPr>
      <w:r>
        <w:rPr>
          <w:rFonts w:ascii="標楷體" w:eastAsia="標楷體" w:hAnsi="標楷體"/>
          <w:kern w:val="0"/>
          <w:szCs w:val="24"/>
        </w:rPr>
        <w:t>本協議書簽訂後，如發生法規變更或政策調整或廠商不再提供本協議藥品，甲方得減、免提供乙方本協議藥品，但應依全民健康保險相關法規採取其他方法協助乙方之治療。</w:t>
      </w:r>
    </w:p>
    <w:p w14:paraId="0DFEBDAB" w14:textId="77777777" w:rsidR="00BD776B" w:rsidRDefault="00DF0C24" w:rsidP="008A7063">
      <w:pPr>
        <w:numPr>
          <w:ilvl w:val="1"/>
          <w:numId w:val="127"/>
        </w:numPr>
        <w:suppressAutoHyphens w:val="0"/>
        <w:spacing w:before="192" w:line="440" w:lineRule="exact"/>
        <w:jc w:val="both"/>
        <w:textAlignment w:val="auto"/>
        <w:rPr>
          <w:rFonts w:ascii="標楷體" w:eastAsia="標楷體" w:hAnsi="標楷體"/>
          <w:kern w:val="0"/>
          <w:szCs w:val="24"/>
        </w:rPr>
      </w:pPr>
      <w:r>
        <w:rPr>
          <w:rFonts w:ascii="標楷體" w:eastAsia="標楷體" w:hAnsi="標楷體"/>
          <w:kern w:val="0"/>
          <w:szCs w:val="24"/>
        </w:rPr>
        <w:t>乙方及其法定代理人有未遵守本條第一項至第四項任一規定時，經甲方或施打藥品之特約醫事服務機構通知限期改善而未改善，甲方不予給付後續治療脊髓肌肉萎縮症(Spinal Muscular Atrophy,簡稱SMA)相關用藥及費用。乙方不得異議，亦</w:t>
      </w:r>
      <w:r>
        <w:rPr>
          <w:rFonts w:ascii="標楷體" w:eastAsia="標楷體" w:hAnsi="標楷體"/>
          <w:kern w:val="0"/>
          <w:szCs w:val="24"/>
        </w:rPr>
        <w:lastRenderedPageBreak/>
        <w:t>不得要求任何補償。</w:t>
      </w:r>
    </w:p>
    <w:p w14:paraId="00BEF4BC" w14:textId="77777777" w:rsidR="00BD776B" w:rsidRDefault="00DF0C24" w:rsidP="008A7063">
      <w:pPr>
        <w:numPr>
          <w:ilvl w:val="0"/>
          <w:numId w:val="127"/>
        </w:numPr>
        <w:suppressAutoHyphens w:val="0"/>
        <w:spacing w:before="192" w:line="440" w:lineRule="exact"/>
        <w:ind w:left="567" w:hanging="567"/>
        <w:jc w:val="both"/>
        <w:textAlignment w:val="auto"/>
        <w:rPr>
          <w:rFonts w:ascii="標楷體" w:eastAsia="標楷體" w:hAnsi="標楷體"/>
          <w:szCs w:val="24"/>
        </w:rPr>
      </w:pPr>
      <w:r>
        <w:rPr>
          <w:rFonts w:ascii="標楷體" w:eastAsia="標楷體" w:hAnsi="標楷體"/>
          <w:szCs w:val="24"/>
        </w:rPr>
        <w:t>本協議書正本二份，副本一份。正本由甲方、乙雙方各執一份存照，副本一份由甲方存照。</w:t>
      </w:r>
    </w:p>
    <w:p w14:paraId="38BF78D5" w14:textId="77777777" w:rsidR="00BD776B" w:rsidRDefault="00DF0C24" w:rsidP="008A7063">
      <w:pPr>
        <w:numPr>
          <w:ilvl w:val="0"/>
          <w:numId w:val="127"/>
        </w:numPr>
        <w:suppressAutoHyphens w:val="0"/>
        <w:spacing w:before="192" w:line="440" w:lineRule="exact"/>
        <w:ind w:left="567" w:hanging="567"/>
        <w:jc w:val="both"/>
        <w:textAlignment w:val="auto"/>
        <w:rPr>
          <w:rFonts w:ascii="標楷體" w:eastAsia="標楷體" w:hAnsi="標楷體"/>
          <w:szCs w:val="24"/>
        </w:rPr>
      </w:pPr>
      <w:r>
        <w:rPr>
          <w:rFonts w:ascii="標楷體" w:eastAsia="標楷體" w:hAnsi="標楷體"/>
          <w:szCs w:val="24"/>
        </w:rPr>
        <w:t>本協議書之成立、解釋及執行應以中華民國法律為準據法，任何因本協議書有關之爭議，應以臺北高等行政法院為第一審管轄法院。</w:t>
      </w:r>
    </w:p>
    <w:p w14:paraId="248B677C" w14:textId="77777777" w:rsidR="00BD776B" w:rsidRDefault="00DF0C24" w:rsidP="008A7063">
      <w:pPr>
        <w:numPr>
          <w:ilvl w:val="0"/>
          <w:numId w:val="127"/>
        </w:numPr>
        <w:suppressAutoHyphens w:val="0"/>
        <w:spacing w:before="192" w:line="440" w:lineRule="exact"/>
        <w:ind w:left="567" w:hanging="567"/>
        <w:jc w:val="both"/>
        <w:textAlignment w:val="auto"/>
        <w:rPr>
          <w:rFonts w:ascii="標楷體" w:eastAsia="標楷體" w:hAnsi="標楷體"/>
          <w:szCs w:val="24"/>
        </w:rPr>
      </w:pPr>
      <w:r>
        <w:rPr>
          <w:rFonts w:ascii="標楷體" w:eastAsia="標楷體" w:hAnsi="標楷體"/>
          <w:szCs w:val="24"/>
        </w:rPr>
        <w:t>本協議書未盡事宜，概以全民健康保險法暨相關法規、行政程序法第三章行政契約及民法等辦理或補充之。</w:t>
      </w:r>
    </w:p>
    <w:p w14:paraId="130DD8C4" w14:textId="77777777" w:rsidR="00BD776B" w:rsidRDefault="00BD776B">
      <w:pPr>
        <w:spacing w:line="440" w:lineRule="exact"/>
        <w:ind w:left="851"/>
        <w:jc w:val="both"/>
        <w:rPr>
          <w:rFonts w:ascii="標楷體" w:eastAsia="標楷體" w:hAnsi="標楷體"/>
          <w:szCs w:val="24"/>
        </w:rPr>
      </w:pPr>
    </w:p>
    <w:p w14:paraId="15418D14"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甲方：衛生福利部中央健康保險署</w:t>
      </w:r>
    </w:p>
    <w:p w14:paraId="0ECE02BF"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代表人：○</w:t>
      </w:r>
    </w:p>
    <w:p w14:paraId="104C21FF"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地址：臺北市大安區信義路3段140號</w:t>
      </w:r>
    </w:p>
    <w:p w14:paraId="53C0E77C"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電話：</w:t>
      </w:r>
    </w:p>
    <w:p w14:paraId="2A7D7490" w14:textId="77777777" w:rsidR="00BD776B" w:rsidRDefault="00BD776B">
      <w:pPr>
        <w:snapToGrid w:val="0"/>
        <w:spacing w:line="400" w:lineRule="exact"/>
        <w:jc w:val="both"/>
        <w:rPr>
          <w:rFonts w:ascii="標楷體" w:eastAsia="標楷體" w:hAnsi="標楷體"/>
          <w:szCs w:val="24"/>
        </w:rPr>
      </w:pPr>
    </w:p>
    <w:p w14:paraId="29ED7D19"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 xml:space="preserve">乙方： </w:t>
      </w:r>
    </w:p>
    <w:p w14:paraId="16E4F82F"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出生日期：</w:t>
      </w:r>
      <w:r>
        <w:rPr>
          <w:rFonts w:ascii="標楷體" w:eastAsia="標楷體" w:hAnsi="標楷體"/>
          <w:szCs w:val="24"/>
        </w:rPr>
        <w:tab/>
      </w:r>
      <w:r>
        <w:rPr>
          <w:rFonts w:ascii="標楷體" w:eastAsia="標楷體" w:hAnsi="標楷體"/>
          <w:szCs w:val="24"/>
        </w:rPr>
        <w:tab/>
        <w:t>年</w:t>
      </w:r>
      <w:r>
        <w:rPr>
          <w:rFonts w:ascii="標楷體" w:eastAsia="標楷體" w:hAnsi="標楷體"/>
          <w:szCs w:val="24"/>
        </w:rPr>
        <w:tab/>
      </w:r>
      <w:r>
        <w:rPr>
          <w:rFonts w:ascii="標楷體" w:eastAsia="標楷體" w:hAnsi="標楷體"/>
          <w:szCs w:val="24"/>
        </w:rPr>
        <w:tab/>
        <w:t>月</w:t>
      </w:r>
      <w:r>
        <w:rPr>
          <w:rFonts w:ascii="標楷體" w:eastAsia="標楷體" w:hAnsi="標楷體"/>
          <w:szCs w:val="24"/>
        </w:rPr>
        <w:tab/>
      </w:r>
      <w:r>
        <w:rPr>
          <w:rFonts w:ascii="標楷體" w:eastAsia="標楷體" w:hAnsi="標楷體"/>
          <w:szCs w:val="24"/>
        </w:rPr>
        <w:tab/>
        <w:t>日</w:t>
      </w:r>
    </w:p>
    <w:p w14:paraId="6911DD37"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身分證號:</w:t>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p>
    <w:p w14:paraId="6D608562"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地址：</w:t>
      </w:r>
    </w:p>
    <w:p w14:paraId="2AE9EADA"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法定代理人（未成年人需經法定代理人之同意）：</w:t>
      </w:r>
    </w:p>
    <w:p w14:paraId="6AE3768C"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與乙方之關係：</w:t>
      </w:r>
      <w:r>
        <w:rPr>
          <w:rFonts w:ascii="標楷體" w:eastAsia="標楷體" w:hAnsi="標楷體"/>
          <w:szCs w:val="24"/>
        </w:rPr>
        <w:br/>
        <w:t>法定代理人之身分證號：</w:t>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r>
    </w:p>
    <w:p w14:paraId="3347D265"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 xml:space="preserve">地址： </w:t>
      </w:r>
    </w:p>
    <w:p w14:paraId="655F3824" w14:textId="77777777" w:rsidR="00BD776B" w:rsidRDefault="00DF0C24">
      <w:pPr>
        <w:snapToGrid w:val="0"/>
        <w:spacing w:line="400" w:lineRule="exact"/>
        <w:jc w:val="both"/>
        <w:rPr>
          <w:rFonts w:ascii="標楷體" w:eastAsia="標楷體" w:hAnsi="標楷體"/>
          <w:szCs w:val="24"/>
        </w:rPr>
      </w:pPr>
      <w:r>
        <w:rPr>
          <w:rFonts w:ascii="標楷體" w:eastAsia="標楷體" w:hAnsi="標楷體"/>
          <w:szCs w:val="24"/>
        </w:rPr>
        <w:t>電話：</w:t>
      </w:r>
    </w:p>
    <w:p w14:paraId="10F9B9E9" w14:textId="77777777" w:rsidR="00BD776B" w:rsidRDefault="00DF0C24">
      <w:pPr>
        <w:spacing w:before="192" w:line="400" w:lineRule="exact"/>
        <w:jc w:val="both"/>
        <w:rPr>
          <w:rFonts w:ascii="標楷體" w:eastAsia="標楷體" w:hAnsi="標楷體"/>
          <w:szCs w:val="24"/>
        </w:rPr>
      </w:pPr>
      <w:r>
        <w:rPr>
          <w:rFonts w:ascii="標楷體" w:eastAsia="標楷體" w:hAnsi="標楷體"/>
          <w:szCs w:val="24"/>
        </w:rPr>
        <w:t>中華民國   年  月  日</w:t>
      </w:r>
    </w:p>
    <w:p w14:paraId="575DEAA6" w14:textId="77777777" w:rsidR="00BD776B" w:rsidRDefault="00BD776B">
      <w:pPr>
        <w:rPr>
          <w:szCs w:val="24"/>
        </w:rPr>
      </w:pPr>
    </w:p>
    <w:p w14:paraId="48FFB553" w14:textId="77777777" w:rsidR="00BD776B" w:rsidRDefault="00BD776B">
      <w:pPr>
        <w:widowControl/>
        <w:suppressAutoHyphens w:val="0"/>
        <w:rPr>
          <w:rFonts w:ascii="標楷體" w:eastAsia="標楷體" w:hAnsi="標楷體"/>
          <w:color w:val="000000"/>
        </w:rPr>
      </w:pPr>
    </w:p>
    <w:sectPr w:rsidR="00BD776B" w:rsidSect="007E1772">
      <w:footerReference w:type="default" r:id="rId47"/>
      <w:pgSz w:w="11906" w:h="16838"/>
      <w:pgMar w:top="1077" w:right="1077" w:bottom="1077" w:left="1077" w:header="720" w:footer="720" w:gutter="0"/>
      <w:cols w:space="720"/>
      <w:docGrid w:type="lines" w:linePitch="4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2BBE1" w14:textId="77777777" w:rsidR="00576CD7" w:rsidRDefault="00576CD7">
      <w:r>
        <w:separator/>
      </w:r>
    </w:p>
  </w:endnote>
  <w:endnote w:type="continuationSeparator" w:id="0">
    <w:p w14:paraId="4A1ECF45" w14:textId="77777777" w:rsidR="00576CD7" w:rsidRDefault="0057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全真楷書">
    <w:altName w:val="Calibri"/>
    <w:charset w:val="00"/>
    <w:family w:val="modern"/>
    <w:pitch w:val="fixe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新細明體, PMingLiU">
    <w:charset w:val="00"/>
    <w:family w:val="roman"/>
    <w:pitch w:val="variable"/>
  </w:font>
  <w:font w:name="Cambria Math">
    <w:panose1 w:val="02040503050406030204"/>
    <w:charset w:val="00"/>
    <w:family w:val="roman"/>
    <w:pitch w:val="variable"/>
    <w:sig w:usb0="E00006FF" w:usb1="420024FF" w:usb2="02000000" w:usb3="00000000" w:csb0="0000019F" w:csb1="00000000"/>
  </w:font>
  <w:font w:name="+mn-cs">
    <w:charset w:val="00"/>
    <w:family w:val="roman"/>
    <w:pitch w:val="default"/>
  </w:font>
  <w:font w:name="標楷體.鬁...">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BiauKai">
    <w:charset w:val="00"/>
    <w:family w:val="script"/>
    <w:pitch w:val="fixed"/>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新細明體;PMingLiU">
    <w:panose1 w:val="00000000000000000000"/>
    <w:charset w:val="88"/>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C5954" w14:textId="77777777" w:rsidR="00576CD7" w:rsidRDefault="00576CD7">
    <w:pPr>
      <w:pStyle w:val="a7"/>
      <w:jc w:val="center"/>
    </w:pPr>
    <w:r>
      <w:rPr>
        <w:rFonts w:eastAsia="標楷體"/>
        <w:lang w:val="zh-TW"/>
      </w:rPr>
      <w:fldChar w:fldCharType="begin"/>
    </w:r>
    <w:r>
      <w:rPr>
        <w:rFonts w:eastAsia="標楷體"/>
        <w:lang w:val="zh-TW"/>
      </w:rPr>
      <w:instrText xml:space="preserve"> PAGE </w:instrText>
    </w:r>
    <w:r>
      <w:rPr>
        <w:rFonts w:eastAsia="標楷體"/>
        <w:lang w:val="zh-TW"/>
      </w:rPr>
      <w:fldChar w:fldCharType="separate"/>
    </w:r>
    <w:r>
      <w:rPr>
        <w:rFonts w:eastAsia="標楷體"/>
        <w:lang w:val="zh-TW"/>
      </w:rPr>
      <w:t>78</w:t>
    </w:r>
    <w:r>
      <w:rPr>
        <w:rFonts w:eastAsia="標楷體"/>
        <w:lang w:val="zh-TW"/>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9E0F9"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213</w:t>
    </w:r>
    <w:r>
      <w:rPr>
        <w:lang w:val="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499A2"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214</w:t>
    </w:r>
    <w:r>
      <w:rPr>
        <w:lang w:val="zh-TW"/>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3CD83"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215</w:t>
    </w:r>
    <w:r>
      <w:rPr>
        <w:lang w:val="zh-TW"/>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C6B4D"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216</w:t>
    </w:r>
    <w:r>
      <w:rPr>
        <w:lang w:val="zh-TW"/>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48D2"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217</w:t>
    </w:r>
    <w:r>
      <w:rPr>
        <w:lang w:val="zh-TW"/>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CE97"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230</w:t>
    </w:r>
    <w:r>
      <w:rPr>
        <w:lang w:val="zh-TW"/>
      </w:rPr>
      <w:fldChar w:fldCharType="end"/>
    </w:r>
  </w:p>
  <w:p w14:paraId="4ED278C8" w14:textId="77777777" w:rsidR="00576CD7" w:rsidRDefault="00576CD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4495"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230</w:t>
    </w:r>
    <w:r>
      <w:rPr>
        <w:lang w:val="zh-TW"/>
      </w:rPr>
      <w:fldChar w:fldCharType="end"/>
    </w:r>
  </w:p>
  <w:p w14:paraId="0BD3B743" w14:textId="77777777" w:rsidR="00576CD7" w:rsidRDefault="00576CD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09FD"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230</w:t>
    </w:r>
    <w:r>
      <w:rPr>
        <w:lang w:val="zh-TW"/>
      </w:rPr>
      <w:fldChar w:fldCharType="end"/>
    </w:r>
  </w:p>
  <w:p w14:paraId="455B0EAB" w14:textId="77777777" w:rsidR="00576CD7" w:rsidRDefault="00576CD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E2999" w14:textId="77777777" w:rsidR="00576CD7" w:rsidRDefault="00576CD7">
    <w:pPr>
      <w:pStyle w:val="a7"/>
      <w:jc w:val="center"/>
    </w:pPr>
    <w:r>
      <w:rPr>
        <w:rStyle w:val="ae"/>
      </w:rPr>
      <w:fldChar w:fldCharType="begin"/>
    </w:r>
    <w:r>
      <w:rPr>
        <w:rStyle w:val="ae"/>
      </w:rPr>
      <w:instrText xml:space="preserve"> PAGE </w:instrText>
    </w:r>
    <w:r>
      <w:rPr>
        <w:rStyle w:val="ae"/>
      </w:rPr>
      <w:fldChar w:fldCharType="separate"/>
    </w:r>
    <w:r>
      <w:rPr>
        <w:rStyle w:val="ae"/>
      </w:rPr>
      <w:t>255</w:t>
    </w:r>
    <w:r>
      <w:rPr>
        <w:rStyle w:val="ae"/>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2F47" w14:textId="77777777" w:rsidR="00576CD7" w:rsidRDefault="00576CD7">
    <w:pPr>
      <w:pStyle w:val="a7"/>
      <w:jc w:val="center"/>
    </w:pPr>
    <w:r>
      <w:rPr>
        <w:rStyle w:val="ae"/>
      </w:rPr>
      <w:fldChar w:fldCharType="begin"/>
    </w:r>
    <w:r>
      <w:rPr>
        <w:rStyle w:val="ae"/>
      </w:rPr>
      <w:instrText xml:space="preserve"> PAGE </w:instrText>
    </w:r>
    <w:r>
      <w:rPr>
        <w:rStyle w:val="ae"/>
      </w:rPr>
      <w:fldChar w:fldCharType="separate"/>
    </w:r>
    <w:r>
      <w:rPr>
        <w:rStyle w:val="ae"/>
      </w:rPr>
      <w:t>256</w:t>
    </w:r>
    <w:r>
      <w:rPr>
        <w:rStyle w:val="a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C285" w14:textId="77777777" w:rsidR="00576CD7" w:rsidRDefault="00576CD7">
    <w:pPr>
      <w:pStyle w:val="a7"/>
      <w:jc w:val="center"/>
    </w:pPr>
    <w:r>
      <w:rPr>
        <w:rFonts w:ascii="Times New Roman" w:eastAsia="標楷體" w:hAnsi="Times New Roman"/>
        <w:lang w:val="zh-TW"/>
      </w:rPr>
      <w:fldChar w:fldCharType="begin"/>
    </w:r>
    <w:r>
      <w:rPr>
        <w:rFonts w:ascii="Times New Roman" w:eastAsia="標楷體" w:hAnsi="Times New Roman"/>
        <w:lang w:val="zh-TW"/>
      </w:rPr>
      <w:instrText xml:space="preserve"> PAGE </w:instrText>
    </w:r>
    <w:r>
      <w:rPr>
        <w:rFonts w:ascii="Times New Roman" w:eastAsia="標楷體" w:hAnsi="Times New Roman"/>
        <w:lang w:val="zh-TW"/>
      </w:rPr>
      <w:fldChar w:fldCharType="separate"/>
    </w:r>
    <w:r>
      <w:rPr>
        <w:rFonts w:ascii="Times New Roman" w:eastAsia="標楷體" w:hAnsi="Times New Roman"/>
        <w:lang w:val="zh-TW"/>
      </w:rPr>
      <w:t>155</w:t>
    </w:r>
    <w:r>
      <w:rPr>
        <w:rFonts w:ascii="Times New Roman" w:eastAsia="標楷體" w:hAnsi="Times New Roman"/>
        <w:lang w:val="zh-TW"/>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467B0"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260</w:t>
    </w:r>
    <w:r>
      <w:rPr>
        <w:lang w:val="zh-TW"/>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C163"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267</w:t>
    </w:r>
    <w:r>
      <w:rPr>
        <w:lang w:val="zh-TW"/>
      </w:rPr>
      <w:fldChar w:fldCharType="end"/>
    </w:r>
  </w:p>
  <w:p w14:paraId="70D4C95B" w14:textId="77777777" w:rsidR="00576CD7" w:rsidRDefault="00576CD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B1E6"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267</w:t>
    </w:r>
    <w:r>
      <w:rPr>
        <w:lang w:val="zh-TW"/>
      </w:rPr>
      <w:fldChar w:fldCharType="end"/>
    </w:r>
  </w:p>
  <w:p w14:paraId="1868D206" w14:textId="77777777" w:rsidR="00576CD7" w:rsidRDefault="00576CD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E764" w14:textId="77777777" w:rsidR="00576CD7" w:rsidRDefault="00576CD7">
    <w:pPr>
      <w:pStyle w:val="17"/>
      <w:jc w:val="center"/>
    </w:pPr>
    <w:r>
      <w:rPr>
        <w:rStyle w:val="15"/>
        <w:lang w:val="zh-TW"/>
      </w:rPr>
      <w:fldChar w:fldCharType="begin"/>
    </w:r>
    <w:r>
      <w:rPr>
        <w:rStyle w:val="15"/>
        <w:lang w:val="zh-TW"/>
      </w:rPr>
      <w:instrText xml:space="preserve"> PAGE </w:instrText>
    </w:r>
    <w:r>
      <w:rPr>
        <w:rStyle w:val="15"/>
        <w:lang w:val="zh-TW"/>
      </w:rPr>
      <w:fldChar w:fldCharType="separate"/>
    </w:r>
    <w:r>
      <w:rPr>
        <w:rStyle w:val="15"/>
        <w:lang w:val="zh-TW"/>
      </w:rPr>
      <w:t>272</w:t>
    </w:r>
    <w:r>
      <w:rPr>
        <w:rStyle w:val="15"/>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FE61" w14:textId="77777777" w:rsidR="00576CD7" w:rsidRDefault="00576CD7">
    <w:pPr>
      <w:pStyle w:val="a7"/>
      <w:jc w:val="center"/>
    </w:pPr>
    <w:r>
      <w:rPr>
        <w:rFonts w:eastAsia="標楷體"/>
        <w:lang w:val="zh-TW"/>
      </w:rPr>
      <w:fldChar w:fldCharType="begin"/>
    </w:r>
    <w:r>
      <w:rPr>
        <w:rFonts w:eastAsia="標楷體"/>
        <w:lang w:val="zh-TW"/>
      </w:rPr>
      <w:instrText xml:space="preserve"> PAGE </w:instrText>
    </w:r>
    <w:r>
      <w:rPr>
        <w:rFonts w:eastAsia="標楷體"/>
        <w:lang w:val="zh-TW"/>
      </w:rPr>
      <w:fldChar w:fldCharType="separate"/>
    </w:r>
    <w:r>
      <w:rPr>
        <w:rFonts w:eastAsia="標楷體"/>
        <w:lang w:val="zh-TW"/>
      </w:rPr>
      <w:t>156</w:t>
    </w:r>
    <w:r>
      <w:rPr>
        <w:rFonts w:eastAsia="標楷體"/>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1178F" w14:textId="77777777" w:rsidR="00576CD7" w:rsidRDefault="00576CD7">
    <w:pPr>
      <w:pStyle w:val="a7"/>
      <w:jc w:val="center"/>
    </w:pPr>
    <w:r>
      <w:rPr>
        <w:rFonts w:eastAsia="標楷體"/>
        <w:lang w:val="zh-TW"/>
      </w:rPr>
      <w:fldChar w:fldCharType="begin"/>
    </w:r>
    <w:r>
      <w:rPr>
        <w:rFonts w:eastAsia="標楷體"/>
        <w:lang w:val="zh-TW"/>
      </w:rPr>
      <w:instrText xml:space="preserve"> PAGE </w:instrText>
    </w:r>
    <w:r>
      <w:rPr>
        <w:rFonts w:eastAsia="標楷體"/>
        <w:lang w:val="zh-TW"/>
      </w:rPr>
      <w:fldChar w:fldCharType="separate"/>
    </w:r>
    <w:r>
      <w:rPr>
        <w:rFonts w:eastAsia="標楷體"/>
        <w:lang w:val="zh-TW"/>
      </w:rPr>
      <w:t>167</w:t>
    </w:r>
    <w:r>
      <w:rPr>
        <w:rFonts w:eastAsia="標楷體"/>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3F48" w14:textId="77777777" w:rsidR="00576CD7" w:rsidRDefault="00576CD7">
    <w:pPr>
      <w:pStyle w:val="a7"/>
      <w:jc w:val="center"/>
    </w:pPr>
    <w:r>
      <w:rPr>
        <w:rFonts w:ascii="標楷體" w:eastAsia="標楷體" w:hAnsi="標楷體"/>
        <w:lang w:val="zh-TW"/>
      </w:rPr>
      <w:fldChar w:fldCharType="begin"/>
    </w:r>
    <w:r>
      <w:rPr>
        <w:rFonts w:ascii="標楷體" w:eastAsia="標楷體" w:hAnsi="標楷體"/>
        <w:lang w:val="zh-TW"/>
      </w:rPr>
      <w:instrText xml:space="preserve"> PAGE </w:instrText>
    </w:r>
    <w:r>
      <w:rPr>
        <w:rFonts w:ascii="標楷體" w:eastAsia="標楷體" w:hAnsi="標楷體"/>
        <w:lang w:val="zh-TW"/>
      </w:rPr>
      <w:fldChar w:fldCharType="separate"/>
    </w:r>
    <w:r>
      <w:rPr>
        <w:rFonts w:ascii="標楷體" w:eastAsia="標楷體" w:hAnsi="標楷體"/>
        <w:lang w:val="zh-TW"/>
      </w:rPr>
      <w:t>168</w:t>
    </w:r>
    <w:r>
      <w:rPr>
        <w:rFonts w:ascii="標楷體" w:eastAsia="標楷體" w:hAnsi="標楷體"/>
        <w:lang w:val="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A85CF" w14:textId="77777777" w:rsidR="00576CD7" w:rsidRDefault="00576CD7">
    <w:pPr>
      <w:pStyle w:val="a7"/>
      <w:jc w:val="center"/>
    </w:pPr>
    <w:r>
      <w:rPr>
        <w:rFonts w:eastAsia="標楷體"/>
        <w:lang w:val="zh-TW"/>
      </w:rPr>
      <w:fldChar w:fldCharType="begin"/>
    </w:r>
    <w:r>
      <w:rPr>
        <w:rFonts w:eastAsia="標楷體"/>
        <w:lang w:val="zh-TW"/>
      </w:rPr>
      <w:instrText xml:space="preserve"> PAGE </w:instrText>
    </w:r>
    <w:r>
      <w:rPr>
        <w:rFonts w:eastAsia="標楷體"/>
        <w:lang w:val="zh-TW"/>
      </w:rPr>
      <w:fldChar w:fldCharType="separate"/>
    </w:r>
    <w:r>
      <w:rPr>
        <w:rFonts w:eastAsia="標楷體"/>
        <w:lang w:val="zh-TW"/>
      </w:rPr>
      <w:t>181</w:t>
    </w:r>
    <w:r>
      <w:rPr>
        <w:rFonts w:eastAsia="標楷體"/>
        <w:lang w:val="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739D"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189</w:t>
    </w:r>
    <w:r>
      <w:rPr>
        <w:lang w:val="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6BBAE"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211</w:t>
    </w:r>
    <w:r>
      <w:rPr>
        <w:lang w:val="zh-TW"/>
      </w:rPr>
      <w:fldChar w:fldCharType="end"/>
    </w:r>
  </w:p>
  <w:p w14:paraId="1E0ABA8F" w14:textId="77777777" w:rsidR="00576CD7" w:rsidRDefault="00576CD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3225F" w14:textId="77777777" w:rsidR="00576CD7" w:rsidRDefault="00576CD7">
    <w:pPr>
      <w:pStyle w:val="a7"/>
      <w:jc w:val="center"/>
    </w:pPr>
    <w:r>
      <w:rPr>
        <w:lang w:val="zh-TW"/>
      </w:rPr>
      <w:fldChar w:fldCharType="begin"/>
    </w:r>
    <w:r>
      <w:rPr>
        <w:lang w:val="zh-TW"/>
      </w:rPr>
      <w:instrText xml:space="preserve"> PAGE </w:instrText>
    </w:r>
    <w:r>
      <w:rPr>
        <w:lang w:val="zh-TW"/>
      </w:rPr>
      <w:fldChar w:fldCharType="separate"/>
    </w:r>
    <w:r>
      <w:rPr>
        <w:lang w:val="zh-TW"/>
      </w:rPr>
      <w:t>212</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575F6" w14:textId="77777777" w:rsidR="00576CD7" w:rsidRDefault="00576CD7">
      <w:r>
        <w:rPr>
          <w:color w:val="000000"/>
        </w:rPr>
        <w:separator/>
      </w:r>
    </w:p>
  </w:footnote>
  <w:footnote w:type="continuationSeparator" w:id="0">
    <w:p w14:paraId="3315DCCB" w14:textId="77777777" w:rsidR="00576CD7" w:rsidRDefault="00576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87D6" w14:textId="283EC13A" w:rsidR="00576CD7" w:rsidRDefault="00576CD7">
    <w:pPr>
      <w:pStyle w:val="a5"/>
      <w:jc w:val="right"/>
      <w:rPr>
        <w:rFonts w:ascii="Times New Roman" w:eastAsia="標楷體" w:hAnsi="Times New Roman"/>
      </w:rPr>
    </w:pPr>
    <w:r>
      <w:rPr>
        <w:rFonts w:ascii="Times New Roman" w:eastAsia="標楷體" w:hAnsi="Times New Roman"/>
      </w:rPr>
      <w:t>(11</w:t>
    </w:r>
    <w:r>
      <w:rPr>
        <w:rFonts w:ascii="Times New Roman" w:eastAsia="標楷體" w:hAnsi="Times New Roman" w:hint="eastAsia"/>
      </w:rPr>
      <w:t>4</w:t>
    </w:r>
    <w:r>
      <w:rPr>
        <w:rFonts w:ascii="Times New Roman" w:eastAsia="標楷體" w:hAnsi="Times New Roman"/>
      </w:rPr>
      <w:t>.</w:t>
    </w:r>
    <w:r>
      <w:rPr>
        <w:rFonts w:ascii="Times New Roman" w:eastAsia="標楷體" w:hAnsi="Times New Roman" w:hint="eastAsia"/>
      </w:rPr>
      <w:t>4</w:t>
    </w:r>
    <w:r>
      <w:rPr>
        <w:rFonts w:ascii="Times New Roman" w:eastAsia="標楷體" w:hAnsi="Times New Roman"/>
      </w:rPr>
      <w:t>.</w:t>
    </w:r>
    <w:r>
      <w:rPr>
        <w:rFonts w:ascii="Times New Roman" w:eastAsia="標楷體" w:hAnsi="Times New Roman" w:hint="eastAsia"/>
      </w:rPr>
      <w:t>23</w:t>
    </w:r>
    <w:r>
      <w:rPr>
        <w:rFonts w:ascii="Times New Roman" w:eastAsia="標楷體" w:hAnsi="Times New Roman"/>
      </w:rPr>
      <w:t>更新</w:t>
    </w:r>
    <w:r>
      <w:rPr>
        <w:rFonts w:ascii="Times New Roman" w:eastAsia="標楷體" w:hAnsi="Times New Roma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CB3"/>
    <w:multiLevelType w:val="multilevel"/>
    <w:tmpl w:val="A9B40FA4"/>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07D714C"/>
    <w:multiLevelType w:val="multilevel"/>
    <w:tmpl w:val="9034AB90"/>
    <w:styleLink w:val="16"/>
    <w:lvl w:ilvl="0">
      <w:start w:val="1"/>
      <w:numFmt w:val="taiwaneseCountingThousand"/>
      <w:lvlText w:val="%1、"/>
      <w:lvlJc w:val="left"/>
      <w:pPr>
        <w:ind w:left="652" w:hanging="652"/>
      </w:pPr>
      <w:rPr>
        <w:rFonts w:ascii="標楷體" w:eastAsia="標楷體" w:hAnsi="標楷體"/>
        <w:kern w:val="3"/>
        <w:sz w:val="32"/>
      </w:rPr>
    </w:lvl>
    <w:lvl w:ilvl="1">
      <w:start w:val="1"/>
      <w:numFmt w:val="taiwaneseCountingThousand"/>
      <w:lvlText w:val="(%2)"/>
      <w:lvlJc w:val="left"/>
      <w:pPr>
        <w:ind w:left="1132" w:hanging="652"/>
      </w:pPr>
      <w:rPr>
        <w:strike w:val="0"/>
        <w:dstrike w:val="0"/>
        <w:color w:val="000000"/>
      </w:rPr>
    </w:lvl>
    <w:lvl w:ilvl="2">
      <w:numFmt w:val="bullet"/>
      <w:lvlText w:val="※"/>
      <w:lvlJc w:val="left"/>
      <w:pPr>
        <w:ind w:left="1320" w:hanging="360"/>
      </w:pPr>
      <w:rPr>
        <w:rFonts w:ascii="標楷體" w:eastAsia="標楷體" w:hAnsi="標楷體" w:cs="Times New Roman"/>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454227"/>
    <w:multiLevelType w:val="multilevel"/>
    <w:tmpl w:val="19844B00"/>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3476C7E"/>
    <w:multiLevelType w:val="multilevel"/>
    <w:tmpl w:val="D478914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4741856"/>
    <w:multiLevelType w:val="multilevel"/>
    <w:tmpl w:val="B71418EE"/>
    <w:styleLink w:val="LFO1"/>
    <w:lvl w:ilvl="0">
      <w:start w:val="1"/>
      <w:numFmt w:val="decimal"/>
      <w:pStyle w:val="a"/>
      <w:lvlText w:val="%1."/>
      <w:lvlJc w:val="left"/>
      <w:pPr>
        <w:ind w:left="660" w:hanging="30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標楷體" w:eastAsia="標楷體" w:hAnsi="標楷體"/>
        <w:sz w:val="28"/>
        <w:szCs w:val="28"/>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066A476B"/>
    <w:multiLevelType w:val="multilevel"/>
    <w:tmpl w:val="23303BA4"/>
    <w:lvl w:ilvl="0">
      <w:numFmt w:val="bullet"/>
      <w:lvlText w:val=""/>
      <w:lvlJc w:val="left"/>
      <w:pPr>
        <w:ind w:left="480" w:hanging="480"/>
      </w:pPr>
      <w:rPr>
        <w:rFonts w:ascii="Wingdings" w:hAnsi="Wingdings" w:cs="Times New Roman"/>
      </w:rPr>
    </w:lvl>
    <w:lvl w:ilvl="1">
      <w:numFmt w:val="bullet"/>
      <w:lvlText w:val=""/>
      <w:lvlJc w:val="left"/>
      <w:pPr>
        <w:ind w:left="960" w:hanging="480"/>
      </w:pPr>
      <w:rPr>
        <w:rFonts w:ascii="Wingdings" w:hAnsi="Wingdings" w:cs="Times New Roman"/>
      </w:rPr>
    </w:lvl>
    <w:lvl w:ilvl="2">
      <w:numFmt w:val="bullet"/>
      <w:lvlText w:val=""/>
      <w:lvlJc w:val="left"/>
      <w:pPr>
        <w:ind w:left="1440" w:hanging="480"/>
      </w:pPr>
      <w:rPr>
        <w:rFonts w:ascii="Wingdings" w:hAnsi="Wingdings" w:cs="Times New Roman"/>
      </w:rPr>
    </w:lvl>
    <w:lvl w:ilvl="3">
      <w:numFmt w:val="bullet"/>
      <w:lvlText w:val=""/>
      <w:lvlJc w:val="left"/>
      <w:pPr>
        <w:ind w:left="1920" w:hanging="480"/>
      </w:pPr>
      <w:rPr>
        <w:rFonts w:ascii="Wingdings" w:hAnsi="Wingdings" w:cs="Times New Roman"/>
      </w:rPr>
    </w:lvl>
    <w:lvl w:ilvl="4">
      <w:numFmt w:val="bullet"/>
      <w:lvlText w:val=""/>
      <w:lvlJc w:val="left"/>
      <w:pPr>
        <w:ind w:left="2400" w:hanging="480"/>
      </w:pPr>
      <w:rPr>
        <w:rFonts w:ascii="Wingdings" w:hAnsi="Wingdings" w:cs="Times New Roman"/>
      </w:rPr>
    </w:lvl>
    <w:lvl w:ilvl="5">
      <w:numFmt w:val="bullet"/>
      <w:lvlText w:val=""/>
      <w:lvlJc w:val="left"/>
      <w:pPr>
        <w:ind w:left="2880" w:hanging="480"/>
      </w:pPr>
      <w:rPr>
        <w:rFonts w:ascii="Wingdings" w:hAnsi="Wingdings" w:cs="Times New Roman"/>
      </w:rPr>
    </w:lvl>
    <w:lvl w:ilvl="6">
      <w:numFmt w:val="bullet"/>
      <w:lvlText w:val=""/>
      <w:lvlJc w:val="left"/>
      <w:pPr>
        <w:ind w:left="3360" w:hanging="480"/>
      </w:pPr>
      <w:rPr>
        <w:rFonts w:ascii="Wingdings" w:hAnsi="Wingdings" w:cs="Times New Roman"/>
      </w:rPr>
    </w:lvl>
    <w:lvl w:ilvl="7">
      <w:numFmt w:val="bullet"/>
      <w:lvlText w:val=""/>
      <w:lvlJc w:val="left"/>
      <w:pPr>
        <w:ind w:left="3840" w:hanging="480"/>
      </w:pPr>
      <w:rPr>
        <w:rFonts w:ascii="Wingdings" w:hAnsi="Wingdings" w:cs="Times New Roman"/>
      </w:rPr>
    </w:lvl>
    <w:lvl w:ilvl="8">
      <w:numFmt w:val="bullet"/>
      <w:lvlText w:val=""/>
      <w:lvlJc w:val="left"/>
      <w:pPr>
        <w:ind w:left="4320" w:hanging="480"/>
      </w:pPr>
      <w:rPr>
        <w:rFonts w:ascii="Wingdings" w:hAnsi="Wingdings" w:cs="Times New Roman"/>
      </w:rPr>
    </w:lvl>
  </w:abstractNum>
  <w:abstractNum w:abstractNumId="6" w15:restartNumberingAfterBreak="0">
    <w:nsid w:val="06AB6F2E"/>
    <w:multiLevelType w:val="multilevel"/>
    <w:tmpl w:val="25B6155E"/>
    <w:lvl w:ilvl="0">
      <w:start w:val="1"/>
      <w:numFmt w:val="decimal"/>
      <w:lvlText w:val="%1."/>
      <w:lvlJc w:val="left"/>
      <w:pPr>
        <w:ind w:left="764" w:hanging="360"/>
      </w:pPr>
    </w:lvl>
    <w:lvl w:ilvl="1">
      <w:start w:val="1"/>
      <w:numFmt w:val="ideographTraditional"/>
      <w:lvlText w:val="%2、"/>
      <w:lvlJc w:val="left"/>
      <w:pPr>
        <w:ind w:left="1124" w:hanging="480"/>
      </w:pPr>
    </w:lvl>
    <w:lvl w:ilvl="2">
      <w:start w:val="1"/>
      <w:numFmt w:val="lowerRoman"/>
      <w:lvlText w:val="%3."/>
      <w:lvlJc w:val="right"/>
      <w:pPr>
        <w:ind w:left="1604" w:hanging="480"/>
      </w:pPr>
    </w:lvl>
    <w:lvl w:ilvl="3">
      <w:start w:val="1"/>
      <w:numFmt w:val="decimal"/>
      <w:lvlText w:val="%4."/>
      <w:lvlJc w:val="left"/>
      <w:pPr>
        <w:ind w:left="2084" w:hanging="480"/>
      </w:pPr>
    </w:lvl>
    <w:lvl w:ilvl="4">
      <w:start w:val="1"/>
      <w:numFmt w:val="ideographTraditional"/>
      <w:lvlText w:val="%5、"/>
      <w:lvlJc w:val="left"/>
      <w:pPr>
        <w:ind w:left="2564" w:hanging="480"/>
      </w:pPr>
    </w:lvl>
    <w:lvl w:ilvl="5">
      <w:start w:val="1"/>
      <w:numFmt w:val="lowerRoman"/>
      <w:lvlText w:val="%6."/>
      <w:lvlJc w:val="right"/>
      <w:pPr>
        <w:ind w:left="3044" w:hanging="480"/>
      </w:pPr>
    </w:lvl>
    <w:lvl w:ilvl="6">
      <w:start w:val="1"/>
      <w:numFmt w:val="decimal"/>
      <w:lvlText w:val="%7."/>
      <w:lvlJc w:val="left"/>
      <w:pPr>
        <w:ind w:left="3524" w:hanging="480"/>
      </w:pPr>
    </w:lvl>
    <w:lvl w:ilvl="7">
      <w:start w:val="1"/>
      <w:numFmt w:val="ideographTraditional"/>
      <w:lvlText w:val="%8、"/>
      <w:lvlJc w:val="left"/>
      <w:pPr>
        <w:ind w:left="4004" w:hanging="480"/>
      </w:pPr>
    </w:lvl>
    <w:lvl w:ilvl="8">
      <w:start w:val="1"/>
      <w:numFmt w:val="lowerRoman"/>
      <w:lvlText w:val="%9."/>
      <w:lvlJc w:val="right"/>
      <w:pPr>
        <w:ind w:left="4484" w:hanging="480"/>
      </w:pPr>
    </w:lvl>
  </w:abstractNum>
  <w:abstractNum w:abstractNumId="7" w15:restartNumberingAfterBreak="0">
    <w:nsid w:val="06F644D1"/>
    <w:multiLevelType w:val="multilevel"/>
    <w:tmpl w:val="770EAE72"/>
    <w:lvl w:ilvl="0">
      <w:start w:val="1"/>
      <w:numFmt w:val="upperRoman"/>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8" w15:restartNumberingAfterBreak="0">
    <w:nsid w:val="07AD2F3B"/>
    <w:multiLevelType w:val="multilevel"/>
    <w:tmpl w:val="2B6C336C"/>
    <w:styleLink w:val="LFO10"/>
    <w:lvl w:ilvl="0">
      <w:start w:val="1"/>
      <w:numFmt w:val="decimal"/>
      <w:lvlText w:val="%1."/>
      <w:lvlJc w:val="left"/>
      <w:pPr>
        <w:ind w:left="660" w:hanging="30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9" w15:restartNumberingAfterBreak="0">
    <w:nsid w:val="0820519D"/>
    <w:multiLevelType w:val="multilevel"/>
    <w:tmpl w:val="72B8809C"/>
    <w:lvl w:ilvl="0">
      <w:start w:val="1"/>
      <w:numFmt w:val="upperLetter"/>
      <w:lvlText w:val="%1."/>
      <w:lvlJc w:val="left"/>
      <w:pPr>
        <w:ind w:left="394" w:hanging="360"/>
      </w:pPr>
      <w:rPr>
        <w:rFonts w:ascii="Times New Roman" w:hAnsi="Times New Roman" w:cs="Times New Roman"/>
        <w:u w:val="none"/>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10" w15:restartNumberingAfterBreak="0">
    <w:nsid w:val="08A96BB0"/>
    <w:multiLevelType w:val="multilevel"/>
    <w:tmpl w:val="F5960BB0"/>
    <w:lvl w:ilvl="0">
      <w:start w:val="1"/>
      <w:numFmt w:val="upperRoman"/>
      <w:lvlText w:val="%1."/>
      <w:lvlJc w:val="left"/>
      <w:pPr>
        <w:ind w:left="1190" w:hanging="480"/>
      </w:pPr>
    </w:lvl>
    <w:lvl w:ilvl="1">
      <w:start w:val="1"/>
      <w:numFmt w:val="ideographTraditional"/>
      <w:lvlText w:val="%2、"/>
      <w:lvlJc w:val="left"/>
      <w:pPr>
        <w:ind w:left="1670" w:hanging="480"/>
      </w:pPr>
    </w:lvl>
    <w:lvl w:ilvl="2">
      <w:start w:val="1"/>
      <w:numFmt w:val="lowerRoman"/>
      <w:lvlText w:val="%3."/>
      <w:lvlJc w:val="right"/>
      <w:pPr>
        <w:ind w:left="2150" w:hanging="480"/>
      </w:p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11" w15:restartNumberingAfterBreak="0">
    <w:nsid w:val="095C46CE"/>
    <w:multiLevelType w:val="multilevel"/>
    <w:tmpl w:val="349EE200"/>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0A4A74BD"/>
    <w:multiLevelType w:val="multilevel"/>
    <w:tmpl w:val="B14071B4"/>
    <w:lvl w:ilvl="0">
      <w:numFmt w:val="bullet"/>
      <w:lvlText w:val="□"/>
      <w:lvlJc w:val="left"/>
      <w:pPr>
        <w:ind w:left="360" w:hanging="360"/>
      </w:pPr>
      <w:rPr>
        <w:rFonts w:ascii="標楷體" w:eastAsia="標楷體" w:hAnsi="標楷體"/>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13" w15:restartNumberingAfterBreak="0">
    <w:nsid w:val="0A98182B"/>
    <w:multiLevelType w:val="multilevel"/>
    <w:tmpl w:val="C798BACC"/>
    <w:lvl w:ilvl="0">
      <w:numFmt w:val="bullet"/>
      <w:lvlText w:val=""/>
      <w:lvlJc w:val="left"/>
      <w:pPr>
        <w:ind w:left="480" w:hanging="480"/>
      </w:pPr>
      <w:rPr>
        <w:rFonts w:ascii="Wingdings" w:hAnsi="Wingdings"/>
      </w:rPr>
    </w:lvl>
    <w:lvl w:ilvl="1">
      <w:start w:val="2"/>
      <w:numFmt w:val="decimal"/>
      <w:lvlText w:val="%2."/>
      <w:lvlJc w:val="left"/>
      <w:pPr>
        <w:ind w:left="960" w:hanging="480"/>
      </w:p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4" w15:restartNumberingAfterBreak="0">
    <w:nsid w:val="0AA04BA0"/>
    <w:multiLevelType w:val="multilevel"/>
    <w:tmpl w:val="E4809C46"/>
    <w:lvl w:ilvl="0">
      <w:start w:val="1"/>
      <w:numFmt w:val="decimal"/>
      <w:lvlText w:val="%1."/>
      <w:lvlJc w:val="left"/>
      <w:pPr>
        <w:ind w:left="360" w:hanging="360"/>
      </w:pPr>
      <w:rPr>
        <w:u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0AA33CB0"/>
    <w:multiLevelType w:val="multilevel"/>
    <w:tmpl w:val="F2900570"/>
    <w:lvl w:ilvl="0">
      <w:start w:val="1"/>
      <w:numFmt w:val="decimal"/>
      <w:lvlText w:val="(%1)"/>
      <w:lvlJc w:val="left"/>
      <w:pPr>
        <w:ind w:left="1397" w:hanging="720"/>
      </w:pPr>
      <w:rPr>
        <w:u w:val="none"/>
      </w:rPr>
    </w:lvl>
    <w:lvl w:ilvl="1">
      <w:start w:val="1"/>
      <w:numFmt w:val="ideographTraditional"/>
      <w:lvlText w:val="%2、"/>
      <w:lvlJc w:val="left"/>
      <w:pPr>
        <w:ind w:left="1637" w:hanging="480"/>
      </w:pPr>
    </w:lvl>
    <w:lvl w:ilvl="2">
      <w:start w:val="1"/>
      <w:numFmt w:val="lowerRoman"/>
      <w:lvlText w:val="%3."/>
      <w:lvlJc w:val="right"/>
      <w:pPr>
        <w:ind w:left="2117" w:hanging="480"/>
      </w:pPr>
    </w:lvl>
    <w:lvl w:ilvl="3">
      <w:start w:val="1"/>
      <w:numFmt w:val="decimal"/>
      <w:lvlText w:val="%4."/>
      <w:lvlJc w:val="left"/>
      <w:pPr>
        <w:ind w:left="2597" w:hanging="480"/>
      </w:pPr>
    </w:lvl>
    <w:lvl w:ilvl="4">
      <w:start w:val="1"/>
      <w:numFmt w:val="ideographTraditional"/>
      <w:lvlText w:val="%5、"/>
      <w:lvlJc w:val="left"/>
      <w:pPr>
        <w:ind w:left="3077" w:hanging="480"/>
      </w:pPr>
    </w:lvl>
    <w:lvl w:ilvl="5">
      <w:start w:val="1"/>
      <w:numFmt w:val="lowerRoman"/>
      <w:lvlText w:val="%6."/>
      <w:lvlJc w:val="right"/>
      <w:pPr>
        <w:ind w:left="3557" w:hanging="480"/>
      </w:pPr>
    </w:lvl>
    <w:lvl w:ilvl="6">
      <w:start w:val="1"/>
      <w:numFmt w:val="decimal"/>
      <w:lvlText w:val="%7."/>
      <w:lvlJc w:val="left"/>
      <w:pPr>
        <w:ind w:left="4037" w:hanging="480"/>
      </w:pPr>
    </w:lvl>
    <w:lvl w:ilvl="7">
      <w:start w:val="1"/>
      <w:numFmt w:val="ideographTraditional"/>
      <w:lvlText w:val="%8、"/>
      <w:lvlJc w:val="left"/>
      <w:pPr>
        <w:ind w:left="4517" w:hanging="480"/>
      </w:pPr>
    </w:lvl>
    <w:lvl w:ilvl="8">
      <w:start w:val="1"/>
      <w:numFmt w:val="lowerRoman"/>
      <w:lvlText w:val="%9."/>
      <w:lvlJc w:val="right"/>
      <w:pPr>
        <w:ind w:left="4997" w:hanging="480"/>
      </w:pPr>
    </w:lvl>
  </w:abstractNum>
  <w:abstractNum w:abstractNumId="16" w15:restartNumberingAfterBreak="0">
    <w:nsid w:val="0AB6084B"/>
    <w:multiLevelType w:val="multilevel"/>
    <w:tmpl w:val="B02C0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C070BFA"/>
    <w:multiLevelType w:val="multilevel"/>
    <w:tmpl w:val="58564CB4"/>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0C083667"/>
    <w:multiLevelType w:val="multilevel"/>
    <w:tmpl w:val="71F0A1C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0C6F2D5A"/>
    <w:multiLevelType w:val="multilevel"/>
    <w:tmpl w:val="2466B8F2"/>
    <w:lvl w:ilvl="0">
      <w:start w:val="1"/>
      <w:numFmt w:val="decimal"/>
      <w:lvlText w:val="%1."/>
      <w:lvlJc w:val="left"/>
      <w:pPr>
        <w:ind w:left="1361" w:hanging="598"/>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0D801AF7"/>
    <w:multiLevelType w:val="multilevel"/>
    <w:tmpl w:val="38F20ADE"/>
    <w:lvl w:ilvl="0">
      <w:start w:val="1"/>
      <w:numFmt w:val="decimal"/>
      <w:lvlText w:val="%1."/>
      <w:lvlJc w:val="left"/>
      <w:pPr>
        <w:ind w:left="763" w:hanging="480"/>
      </w:pPr>
      <w:rPr>
        <w:rFonts w:cs="Times New Roman"/>
      </w:rPr>
    </w:lvl>
    <w:lvl w:ilvl="1">
      <w:start w:val="1"/>
      <w:numFmt w:val="decimal"/>
      <w:lvlText w:val="%2."/>
      <w:lvlJc w:val="left"/>
      <w:pPr>
        <w:ind w:left="1243" w:hanging="480"/>
      </w:pPr>
      <w:rPr>
        <w:rFonts w:cs="Times New Roman"/>
      </w:rPr>
    </w:lvl>
    <w:lvl w:ilvl="2">
      <w:start w:val="1"/>
      <w:numFmt w:val="lowerRoman"/>
      <w:lvlText w:val="%3."/>
      <w:lvlJc w:val="right"/>
      <w:pPr>
        <w:ind w:left="1723" w:hanging="480"/>
      </w:pPr>
      <w:rPr>
        <w:rFonts w:cs="Times New Roman"/>
      </w:rPr>
    </w:lvl>
    <w:lvl w:ilvl="3">
      <w:start w:val="1"/>
      <w:numFmt w:val="decimal"/>
      <w:lvlText w:val="%4."/>
      <w:lvlJc w:val="left"/>
      <w:pPr>
        <w:ind w:left="2203" w:hanging="480"/>
      </w:pPr>
      <w:rPr>
        <w:rFonts w:cs="Times New Roman"/>
      </w:rPr>
    </w:lvl>
    <w:lvl w:ilvl="4">
      <w:start w:val="1"/>
      <w:numFmt w:val="ideographTraditional"/>
      <w:lvlText w:val="%5、"/>
      <w:lvlJc w:val="left"/>
      <w:pPr>
        <w:ind w:left="2683" w:hanging="480"/>
      </w:pPr>
      <w:rPr>
        <w:rFonts w:cs="Times New Roman"/>
      </w:rPr>
    </w:lvl>
    <w:lvl w:ilvl="5">
      <w:start w:val="1"/>
      <w:numFmt w:val="lowerRoman"/>
      <w:lvlText w:val="%6."/>
      <w:lvlJc w:val="right"/>
      <w:pPr>
        <w:ind w:left="3163" w:hanging="480"/>
      </w:pPr>
      <w:rPr>
        <w:rFonts w:cs="Times New Roman"/>
      </w:rPr>
    </w:lvl>
    <w:lvl w:ilvl="6">
      <w:start w:val="1"/>
      <w:numFmt w:val="decimal"/>
      <w:lvlText w:val="%7."/>
      <w:lvlJc w:val="left"/>
      <w:pPr>
        <w:ind w:left="3643" w:hanging="480"/>
      </w:pPr>
      <w:rPr>
        <w:rFonts w:cs="Times New Roman"/>
      </w:rPr>
    </w:lvl>
    <w:lvl w:ilvl="7">
      <w:start w:val="1"/>
      <w:numFmt w:val="ideographTraditional"/>
      <w:lvlText w:val="%8、"/>
      <w:lvlJc w:val="left"/>
      <w:pPr>
        <w:ind w:left="4123" w:hanging="480"/>
      </w:pPr>
      <w:rPr>
        <w:rFonts w:cs="Times New Roman"/>
      </w:rPr>
    </w:lvl>
    <w:lvl w:ilvl="8">
      <w:start w:val="1"/>
      <w:numFmt w:val="lowerRoman"/>
      <w:lvlText w:val="%9."/>
      <w:lvlJc w:val="right"/>
      <w:pPr>
        <w:ind w:left="4603" w:hanging="480"/>
      </w:pPr>
      <w:rPr>
        <w:rFonts w:cs="Times New Roman"/>
      </w:rPr>
    </w:lvl>
  </w:abstractNum>
  <w:abstractNum w:abstractNumId="21" w15:restartNumberingAfterBreak="0">
    <w:nsid w:val="0E78393E"/>
    <w:multiLevelType w:val="multilevel"/>
    <w:tmpl w:val="7D20CD34"/>
    <w:lvl w:ilvl="0">
      <w:start w:val="1"/>
      <w:numFmt w:val="decimal"/>
      <w:lvlText w:val="%1."/>
      <w:lvlJc w:val="left"/>
      <w:pPr>
        <w:ind w:left="1361" w:hanging="598"/>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10897906"/>
    <w:multiLevelType w:val="multilevel"/>
    <w:tmpl w:val="7A604922"/>
    <w:lvl w:ilvl="0">
      <w:numFmt w:val="bullet"/>
      <w:lvlText w:val=""/>
      <w:lvlJc w:val="left"/>
      <w:pPr>
        <w:ind w:left="480" w:hanging="480"/>
      </w:pPr>
      <w:rPr>
        <w:rFonts w:ascii="Wingdings" w:hAnsi="Wingdings" w:cs="Wingdings"/>
        <w:sz w:val="24"/>
        <w:szCs w:val="24"/>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3" w15:restartNumberingAfterBreak="0">
    <w:nsid w:val="10B526F4"/>
    <w:multiLevelType w:val="multilevel"/>
    <w:tmpl w:val="285EFC6A"/>
    <w:lvl w:ilvl="0">
      <w:numFmt w:val="bullet"/>
      <w:lvlText w:val="□"/>
      <w:lvlJc w:val="left"/>
      <w:pPr>
        <w:ind w:left="495" w:hanging="495"/>
      </w:pPr>
      <w:rPr>
        <w:rFonts w:ascii="全真楷書" w:eastAsia="全真楷書" w:hAnsi="全真楷書"/>
        <w:b w:val="0"/>
        <w:bCs w:val="0"/>
        <w:i w:val="0"/>
        <w:iCs w:val="0"/>
        <w:sz w:val="32"/>
        <w:szCs w:val="3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119234AC"/>
    <w:multiLevelType w:val="hybridMultilevel"/>
    <w:tmpl w:val="C554BBAE"/>
    <w:lvl w:ilvl="0" w:tplc="96B4EDE6">
      <w:start w:val="1"/>
      <w:numFmt w:val="upperRoman"/>
      <w:lvlText w:val="%1."/>
      <w:lvlJc w:val="left"/>
      <w:pPr>
        <w:ind w:left="764" w:hanging="480"/>
      </w:pPr>
      <w:rPr>
        <w:rFonts w:hint="eastAsia"/>
      </w:rPr>
    </w:lvl>
    <w:lvl w:ilvl="1" w:tplc="04090019" w:tentative="1">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5" w15:restartNumberingAfterBreak="0">
    <w:nsid w:val="11EA7D67"/>
    <w:multiLevelType w:val="multilevel"/>
    <w:tmpl w:val="3F0E5FD8"/>
    <w:lvl w:ilvl="0">
      <w:start w:val="1"/>
      <w:numFmt w:val="taiwaneseCountingThousand"/>
      <w:lvlText w:val="(%1)"/>
      <w:lvlJc w:val="left"/>
      <w:pPr>
        <w:ind w:left="790" w:hanging="480"/>
      </w:pPr>
      <w:rPr>
        <w:rFonts w:eastAsia="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12DF236A"/>
    <w:multiLevelType w:val="multilevel"/>
    <w:tmpl w:val="94EA483C"/>
    <w:lvl w:ilvl="0">
      <w:start w:val="1"/>
      <w:numFmt w:val="upperLetter"/>
      <w:lvlText w:val="%1."/>
      <w:lvlJc w:val="left"/>
      <w:pPr>
        <w:ind w:left="394" w:hanging="360"/>
      </w:pPr>
      <w:rPr>
        <w:rFonts w:ascii="Times New Roman" w:hAnsi="Times New Roman" w:cs="Times New Roman"/>
        <w:u w:val="none"/>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27" w15:restartNumberingAfterBreak="0">
    <w:nsid w:val="13C3513F"/>
    <w:multiLevelType w:val="multilevel"/>
    <w:tmpl w:val="57F4B3D8"/>
    <w:lvl w:ilvl="0">
      <w:numFmt w:val="bullet"/>
      <w:lvlText w:val=""/>
      <w:lvlJc w:val="left"/>
      <w:rPr>
        <w:rFonts w:ascii="Wingdings" w:hAnsi="Wingdings" w:cs="Wingdings"/>
        <w:sz w:val="24"/>
        <w:szCs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13F60030"/>
    <w:multiLevelType w:val="multilevel"/>
    <w:tmpl w:val="B07C34B0"/>
    <w:lvl w:ilvl="0">
      <w:numFmt w:val="bullet"/>
      <w:lvlText w:val=""/>
      <w:lvlJc w:val="left"/>
      <w:pPr>
        <w:ind w:left="960" w:hanging="480"/>
      </w:pPr>
      <w:rPr>
        <w:rFonts w:ascii="Wingdings" w:hAnsi="Wingdings"/>
      </w:rPr>
    </w:lvl>
    <w:lvl w:ilvl="1">
      <w:numFmt w:val="bullet"/>
      <w:lvlText w:val=""/>
      <w:lvlJc w:val="left"/>
      <w:pPr>
        <w:ind w:left="1440" w:hanging="480"/>
      </w:pPr>
      <w:rPr>
        <w:rFonts w:ascii="Wingdings" w:hAnsi="Wingdings"/>
      </w:rPr>
    </w:lvl>
    <w:lvl w:ilvl="2">
      <w:numFmt w:val="bullet"/>
      <w:lvlText w:val=""/>
      <w:lvlJc w:val="left"/>
      <w:pPr>
        <w:ind w:left="1920" w:hanging="480"/>
      </w:pPr>
      <w:rPr>
        <w:rFonts w:ascii="Wingdings" w:hAnsi="Wingdings"/>
      </w:rPr>
    </w:lvl>
    <w:lvl w:ilvl="3">
      <w:numFmt w:val="bullet"/>
      <w:lvlText w:val=""/>
      <w:lvlJc w:val="left"/>
      <w:pPr>
        <w:ind w:left="2400" w:hanging="480"/>
      </w:pPr>
      <w:rPr>
        <w:rFonts w:ascii="Wingdings" w:hAnsi="Wingdings"/>
      </w:rPr>
    </w:lvl>
    <w:lvl w:ilvl="4">
      <w:numFmt w:val="bullet"/>
      <w:lvlText w:val=""/>
      <w:lvlJc w:val="left"/>
      <w:pPr>
        <w:ind w:left="2880" w:hanging="480"/>
      </w:pPr>
      <w:rPr>
        <w:rFonts w:ascii="Wingdings" w:hAnsi="Wingdings"/>
      </w:rPr>
    </w:lvl>
    <w:lvl w:ilvl="5">
      <w:numFmt w:val="bullet"/>
      <w:lvlText w:val=""/>
      <w:lvlJc w:val="left"/>
      <w:pPr>
        <w:ind w:left="3360" w:hanging="480"/>
      </w:pPr>
      <w:rPr>
        <w:rFonts w:ascii="Wingdings" w:hAnsi="Wingdings"/>
      </w:rPr>
    </w:lvl>
    <w:lvl w:ilvl="6">
      <w:numFmt w:val="bullet"/>
      <w:lvlText w:val=""/>
      <w:lvlJc w:val="left"/>
      <w:pPr>
        <w:ind w:left="3840" w:hanging="480"/>
      </w:pPr>
      <w:rPr>
        <w:rFonts w:ascii="Wingdings" w:hAnsi="Wingdings"/>
      </w:rPr>
    </w:lvl>
    <w:lvl w:ilvl="7">
      <w:numFmt w:val="bullet"/>
      <w:lvlText w:val=""/>
      <w:lvlJc w:val="left"/>
      <w:pPr>
        <w:ind w:left="4320" w:hanging="480"/>
      </w:pPr>
      <w:rPr>
        <w:rFonts w:ascii="Wingdings" w:hAnsi="Wingdings"/>
      </w:rPr>
    </w:lvl>
    <w:lvl w:ilvl="8">
      <w:numFmt w:val="bullet"/>
      <w:lvlText w:val=""/>
      <w:lvlJc w:val="left"/>
      <w:pPr>
        <w:ind w:left="4800" w:hanging="480"/>
      </w:pPr>
      <w:rPr>
        <w:rFonts w:ascii="Wingdings" w:hAnsi="Wingdings"/>
      </w:rPr>
    </w:lvl>
  </w:abstractNum>
  <w:abstractNum w:abstractNumId="29" w15:restartNumberingAfterBreak="0">
    <w:nsid w:val="1578488B"/>
    <w:multiLevelType w:val="multilevel"/>
    <w:tmpl w:val="92845282"/>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15FC1302"/>
    <w:multiLevelType w:val="hybridMultilevel"/>
    <w:tmpl w:val="F57AD8BC"/>
    <w:lvl w:ilvl="0" w:tplc="96B4EDE6">
      <w:start w:val="1"/>
      <w:numFmt w:val="upperRoman"/>
      <w:lvlText w:val="%1."/>
      <w:lvlJc w:val="left"/>
      <w:pPr>
        <w:ind w:left="1428" w:hanging="480"/>
      </w:pPr>
      <w:rPr>
        <w:rFonts w:hint="eastAsia"/>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31" w15:restartNumberingAfterBreak="0">
    <w:nsid w:val="174E354E"/>
    <w:multiLevelType w:val="multilevel"/>
    <w:tmpl w:val="3D92934A"/>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178804C6"/>
    <w:multiLevelType w:val="multilevel"/>
    <w:tmpl w:val="B702711E"/>
    <w:lvl w:ilvl="0">
      <w:numFmt w:val="bullet"/>
      <w:lvlText w:val=""/>
      <w:lvlJc w:val="left"/>
      <w:rPr>
        <w:rFonts w:ascii="Wingdings" w:hAnsi="Wingdings" w:cs="Wingdings"/>
        <w:sz w:val="24"/>
        <w:szCs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190B756C"/>
    <w:multiLevelType w:val="multilevel"/>
    <w:tmpl w:val="EAFEA028"/>
    <w:lvl w:ilvl="0">
      <w:numFmt w:val="bullet"/>
      <w:lvlText w:val=""/>
      <w:lvlJc w:val="left"/>
      <w:rPr>
        <w:rFonts w:ascii="Wingdings" w:hAnsi="Wingdings" w:cs="Wingdings"/>
        <w:sz w:val="24"/>
        <w:szCs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196F7EDD"/>
    <w:multiLevelType w:val="multilevel"/>
    <w:tmpl w:val="85487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D066B8"/>
    <w:multiLevelType w:val="multilevel"/>
    <w:tmpl w:val="E45AF9B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1B024379"/>
    <w:multiLevelType w:val="multilevel"/>
    <w:tmpl w:val="7044508C"/>
    <w:lvl w:ilvl="0">
      <w:numFmt w:val="bullet"/>
      <w:lvlText w:val="□"/>
      <w:lvlJc w:val="left"/>
      <w:pPr>
        <w:ind w:left="1320" w:hanging="360"/>
      </w:pPr>
      <w:rPr>
        <w:rFonts w:ascii="標楷體" w:eastAsia="標楷體" w:hAnsi="標楷體"/>
      </w:rPr>
    </w:lvl>
    <w:lvl w:ilvl="1">
      <w:numFmt w:val="bullet"/>
      <w:lvlText w:val=""/>
      <w:lvlJc w:val="left"/>
      <w:pPr>
        <w:ind w:left="1920" w:hanging="480"/>
      </w:pPr>
      <w:rPr>
        <w:rFonts w:ascii="Wingdings" w:hAnsi="Wingdings" w:cs="Wingdings"/>
      </w:rPr>
    </w:lvl>
    <w:lvl w:ilvl="2">
      <w:numFmt w:val="bullet"/>
      <w:lvlText w:val=""/>
      <w:lvlJc w:val="left"/>
      <w:pPr>
        <w:ind w:left="2400" w:hanging="480"/>
      </w:pPr>
      <w:rPr>
        <w:rFonts w:ascii="Wingdings" w:hAnsi="Wingdings" w:cs="Wingdings"/>
      </w:rPr>
    </w:lvl>
    <w:lvl w:ilvl="3">
      <w:numFmt w:val="bullet"/>
      <w:lvlText w:val=""/>
      <w:lvlJc w:val="left"/>
      <w:pPr>
        <w:ind w:left="2880" w:hanging="480"/>
      </w:pPr>
      <w:rPr>
        <w:rFonts w:ascii="Wingdings" w:hAnsi="Wingdings" w:cs="Wingdings"/>
      </w:rPr>
    </w:lvl>
    <w:lvl w:ilvl="4">
      <w:numFmt w:val="bullet"/>
      <w:lvlText w:val=""/>
      <w:lvlJc w:val="left"/>
      <w:pPr>
        <w:ind w:left="3360" w:hanging="480"/>
      </w:pPr>
      <w:rPr>
        <w:rFonts w:ascii="Wingdings" w:hAnsi="Wingdings" w:cs="Wingdings"/>
      </w:rPr>
    </w:lvl>
    <w:lvl w:ilvl="5">
      <w:numFmt w:val="bullet"/>
      <w:lvlText w:val=""/>
      <w:lvlJc w:val="left"/>
      <w:pPr>
        <w:ind w:left="3840" w:hanging="480"/>
      </w:pPr>
      <w:rPr>
        <w:rFonts w:ascii="Wingdings" w:hAnsi="Wingdings" w:cs="Wingdings"/>
      </w:rPr>
    </w:lvl>
    <w:lvl w:ilvl="6">
      <w:numFmt w:val="bullet"/>
      <w:lvlText w:val=""/>
      <w:lvlJc w:val="left"/>
      <w:pPr>
        <w:ind w:left="4320" w:hanging="480"/>
      </w:pPr>
      <w:rPr>
        <w:rFonts w:ascii="Wingdings" w:hAnsi="Wingdings" w:cs="Wingdings"/>
      </w:rPr>
    </w:lvl>
    <w:lvl w:ilvl="7">
      <w:numFmt w:val="bullet"/>
      <w:lvlText w:val=""/>
      <w:lvlJc w:val="left"/>
      <w:pPr>
        <w:ind w:left="4800" w:hanging="480"/>
      </w:pPr>
      <w:rPr>
        <w:rFonts w:ascii="Wingdings" w:hAnsi="Wingdings" w:cs="Wingdings"/>
      </w:rPr>
    </w:lvl>
    <w:lvl w:ilvl="8">
      <w:numFmt w:val="bullet"/>
      <w:lvlText w:val=""/>
      <w:lvlJc w:val="left"/>
      <w:pPr>
        <w:ind w:left="5280" w:hanging="480"/>
      </w:pPr>
      <w:rPr>
        <w:rFonts w:ascii="Wingdings" w:hAnsi="Wingdings" w:cs="Wingdings"/>
      </w:rPr>
    </w:lvl>
  </w:abstractNum>
  <w:abstractNum w:abstractNumId="37" w15:restartNumberingAfterBreak="0">
    <w:nsid w:val="1C867947"/>
    <w:multiLevelType w:val="multilevel"/>
    <w:tmpl w:val="DF02D28C"/>
    <w:lvl w:ilvl="0">
      <w:start w:val="1"/>
      <w:numFmt w:val="bullet"/>
      <w:lvlText w:val=""/>
      <w:lvlJc w:val="left"/>
      <w:pPr>
        <w:tabs>
          <w:tab w:val="num" w:pos="0"/>
        </w:tabs>
        <w:ind w:left="0" w:firstLine="0"/>
      </w:pPr>
      <w:rPr>
        <w:rFonts w:ascii="Wingdings" w:hAnsi="Wingdings" w:cs="Wingdings" w:hint="default"/>
        <w:sz w:val="24"/>
        <w:szCs w:val="24"/>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8" w15:restartNumberingAfterBreak="0">
    <w:nsid w:val="1DB85107"/>
    <w:multiLevelType w:val="multilevel"/>
    <w:tmpl w:val="75AEEF64"/>
    <w:lvl w:ilvl="0">
      <w:start w:val="1"/>
      <w:numFmt w:val="ideographLegalTraditional"/>
      <w:lvlText w:val="%1、"/>
      <w:lvlJc w:val="left"/>
      <w:pPr>
        <w:ind w:left="3256" w:hanging="420"/>
      </w:pPr>
      <w:rPr>
        <w:lang w:val="en-US"/>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1E765C85"/>
    <w:multiLevelType w:val="multilevel"/>
    <w:tmpl w:val="39E42C62"/>
    <w:lvl w:ilvl="0">
      <w:start w:val="1"/>
      <w:numFmt w:val="decimal"/>
      <w:suff w:val="nothing"/>
      <w:lvlText w:val="(%1)"/>
      <w:lvlJc w:val="left"/>
      <w:pPr>
        <w:ind w:left="84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20BA422A"/>
    <w:multiLevelType w:val="multilevel"/>
    <w:tmpl w:val="04882EC2"/>
    <w:lvl w:ilvl="0">
      <w:start w:val="1"/>
      <w:numFmt w:val="decimal"/>
      <w:lvlText w:val="(%1)"/>
      <w:lvlJc w:val="left"/>
      <w:pPr>
        <w:ind w:left="480" w:hanging="480"/>
      </w:pPr>
      <w:rPr>
        <w:rFonts w:eastAsia="標楷體"/>
        <w:b w:val="0"/>
        <w:i w:val="0"/>
        <w:sz w:val="20"/>
      </w:rPr>
    </w:lvl>
    <w:lvl w:ilvl="1">
      <w:start w:val="1"/>
      <w:numFmt w:val="ideographTraditional"/>
      <w:lvlText w:val="%2、"/>
      <w:lvlJc w:val="left"/>
      <w:pPr>
        <w:ind w:left="960" w:hanging="480"/>
      </w:pPr>
    </w:lvl>
    <w:lvl w:ilvl="2">
      <w:start w:val="1"/>
      <w:numFmt w:val="upperRoman"/>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223F04AB"/>
    <w:multiLevelType w:val="multilevel"/>
    <w:tmpl w:val="9FAE5818"/>
    <w:lvl w:ilvl="0">
      <w:start w:val="1"/>
      <w:numFmt w:val="decimal"/>
      <w:suff w:val="nothing"/>
      <w:lvlText w:val="%1."/>
      <w:lvlJc w:val="left"/>
      <w:pPr>
        <w:ind w:left="480" w:hanging="480"/>
      </w:pPr>
      <w:rPr>
        <w:u w:val="none"/>
      </w:rPr>
    </w:lvl>
    <w:lvl w:ilvl="1">
      <w:start w:val="1"/>
      <w:numFmt w:val="decimal"/>
      <w:suff w:val="nothing"/>
      <w:lvlText w:val="(%2)"/>
      <w:lvlJc w:val="left"/>
      <w:pPr>
        <w:ind w:left="960" w:hanging="480"/>
      </w:pPr>
      <w:rPr>
        <w:rFonts w:ascii="標楷體" w:eastAsia="標楷體" w:hAnsi="標楷體"/>
        <w:strike w:val="0"/>
        <w:dstrike w:val="0"/>
        <w:sz w:val="24"/>
        <w:szCs w:val="28"/>
        <w:u w:val="none"/>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26636BA9"/>
    <w:multiLevelType w:val="multilevel"/>
    <w:tmpl w:val="FC60732E"/>
    <w:styleLink w:val="LFO33"/>
    <w:lvl w:ilvl="0">
      <w:numFmt w:val="bullet"/>
      <w:pStyle w:val="3"/>
      <w:lvlText w:val=""/>
      <w:lvlJc w:val="left"/>
      <w:pPr>
        <w:ind w:left="180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272E3F5D"/>
    <w:multiLevelType w:val="multilevel"/>
    <w:tmpl w:val="20662C02"/>
    <w:lvl w:ilvl="0">
      <w:numFmt w:val="bullet"/>
      <w:lvlText w:val="□"/>
      <w:lvlJc w:val="left"/>
      <w:pPr>
        <w:ind w:left="720" w:hanging="360"/>
      </w:pPr>
      <w:rPr>
        <w:rFonts w:ascii="標楷體" w:eastAsia="標楷體" w:hAnsi="標楷體"/>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28004B92"/>
    <w:multiLevelType w:val="hybridMultilevel"/>
    <w:tmpl w:val="C592F896"/>
    <w:lvl w:ilvl="0" w:tplc="B95202AA">
      <w:start w:val="1"/>
      <w:numFmt w:val="decimal"/>
      <w:lvlText w:val="(%1)"/>
      <w:lvlJc w:val="left"/>
      <w:pPr>
        <w:ind w:left="480"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8201D34"/>
    <w:multiLevelType w:val="multilevel"/>
    <w:tmpl w:val="F076A402"/>
    <w:lvl w:ilvl="0">
      <w:start w:val="1"/>
      <w:numFmt w:val="decimal"/>
      <w:lvlText w:val="%1."/>
      <w:lvlJc w:val="left"/>
      <w:pPr>
        <w:ind w:left="240" w:hanging="2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285D2A55"/>
    <w:multiLevelType w:val="hybridMultilevel"/>
    <w:tmpl w:val="5CE6577A"/>
    <w:lvl w:ilvl="0" w:tplc="42DA1536">
      <w:start w:val="1"/>
      <w:numFmt w:val="upperRoman"/>
      <w:lvlText w:val="%1."/>
      <w:lvlJc w:val="left"/>
      <w:pPr>
        <w:ind w:left="1526" w:hanging="480"/>
      </w:pPr>
      <w:rPr>
        <w:u w:val="no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47" w15:restartNumberingAfterBreak="0">
    <w:nsid w:val="28743502"/>
    <w:multiLevelType w:val="multilevel"/>
    <w:tmpl w:val="888AA006"/>
    <w:lvl w:ilvl="0">
      <w:start w:val="4"/>
      <w:numFmt w:val="decimal"/>
      <w:lvlText w:val="%1."/>
      <w:lvlJc w:val="left"/>
      <w:pPr>
        <w:ind w:left="1459" w:hanging="480"/>
      </w:pPr>
      <w:rPr>
        <w:rFonts w:cs="Times New Roman"/>
      </w:rPr>
    </w:lvl>
    <w:lvl w:ilvl="1">
      <w:start w:val="1"/>
      <w:numFmt w:val="ideographTraditional"/>
      <w:lvlText w:val="%2、"/>
      <w:lvlJc w:val="left"/>
      <w:pPr>
        <w:ind w:left="1176" w:hanging="480"/>
      </w:pPr>
      <w:rPr>
        <w:rFonts w:cs="Times New Roman"/>
      </w:rPr>
    </w:lvl>
    <w:lvl w:ilvl="2">
      <w:start w:val="1"/>
      <w:numFmt w:val="lowerRoman"/>
      <w:lvlText w:val="%3."/>
      <w:lvlJc w:val="right"/>
      <w:pPr>
        <w:ind w:left="1656" w:hanging="480"/>
      </w:pPr>
      <w:rPr>
        <w:rFonts w:cs="Times New Roman"/>
      </w:rPr>
    </w:lvl>
    <w:lvl w:ilvl="3">
      <w:start w:val="1"/>
      <w:numFmt w:val="decimal"/>
      <w:lvlText w:val="%4."/>
      <w:lvlJc w:val="left"/>
      <w:pPr>
        <w:ind w:left="2136" w:hanging="480"/>
      </w:pPr>
      <w:rPr>
        <w:rFonts w:cs="Times New Roman"/>
      </w:rPr>
    </w:lvl>
    <w:lvl w:ilvl="4">
      <w:start w:val="1"/>
      <w:numFmt w:val="ideographTraditional"/>
      <w:lvlText w:val="%5、"/>
      <w:lvlJc w:val="left"/>
      <w:pPr>
        <w:ind w:left="2616" w:hanging="480"/>
      </w:pPr>
      <w:rPr>
        <w:rFonts w:cs="Times New Roman"/>
      </w:rPr>
    </w:lvl>
    <w:lvl w:ilvl="5">
      <w:start w:val="1"/>
      <w:numFmt w:val="lowerRoman"/>
      <w:lvlText w:val="%6."/>
      <w:lvlJc w:val="right"/>
      <w:pPr>
        <w:ind w:left="3096" w:hanging="480"/>
      </w:pPr>
      <w:rPr>
        <w:rFonts w:cs="Times New Roman"/>
      </w:rPr>
    </w:lvl>
    <w:lvl w:ilvl="6">
      <w:start w:val="1"/>
      <w:numFmt w:val="decimal"/>
      <w:lvlText w:val="%7."/>
      <w:lvlJc w:val="left"/>
      <w:pPr>
        <w:ind w:left="3576" w:hanging="480"/>
      </w:pPr>
      <w:rPr>
        <w:rFonts w:cs="Times New Roman"/>
      </w:rPr>
    </w:lvl>
    <w:lvl w:ilvl="7">
      <w:start w:val="1"/>
      <w:numFmt w:val="ideographTraditional"/>
      <w:lvlText w:val="%8、"/>
      <w:lvlJc w:val="left"/>
      <w:pPr>
        <w:ind w:left="4056" w:hanging="480"/>
      </w:pPr>
      <w:rPr>
        <w:rFonts w:cs="Times New Roman"/>
      </w:rPr>
    </w:lvl>
    <w:lvl w:ilvl="8">
      <w:start w:val="1"/>
      <w:numFmt w:val="lowerRoman"/>
      <w:lvlText w:val="%9."/>
      <w:lvlJc w:val="right"/>
      <w:pPr>
        <w:ind w:left="4536" w:hanging="480"/>
      </w:pPr>
      <w:rPr>
        <w:rFonts w:cs="Times New Roman"/>
      </w:rPr>
    </w:lvl>
  </w:abstractNum>
  <w:abstractNum w:abstractNumId="48" w15:restartNumberingAfterBreak="0">
    <w:nsid w:val="289E64DF"/>
    <w:multiLevelType w:val="hybridMultilevel"/>
    <w:tmpl w:val="0A18AFA0"/>
    <w:lvl w:ilvl="0" w:tplc="14BA9D08">
      <w:start w:val="1"/>
      <w:numFmt w:val="decimal"/>
      <w:lvlText w:val="%1."/>
      <w:lvlJc w:val="left"/>
      <w:pPr>
        <w:ind w:left="480" w:hanging="480"/>
      </w:pPr>
      <w:rPr>
        <w:rFonts w:ascii="標楷體" w:eastAsia="標楷體" w:hAnsi="標楷體"/>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90023D5"/>
    <w:multiLevelType w:val="multilevel"/>
    <w:tmpl w:val="BB287B06"/>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2C2E14FE"/>
    <w:multiLevelType w:val="multilevel"/>
    <w:tmpl w:val="0D8E7830"/>
    <w:lvl w:ilvl="0">
      <w:start w:val="1"/>
      <w:numFmt w:val="decimal"/>
      <w:lvlText w:val="%1."/>
      <w:lvlJc w:val="left"/>
      <w:pPr>
        <w:ind w:left="310" w:hanging="360"/>
      </w:pPr>
    </w:lvl>
    <w:lvl w:ilvl="1">
      <w:start w:val="1"/>
      <w:numFmt w:val="ideographTraditional"/>
      <w:lvlText w:val="%2、"/>
      <w:lvlJc w:val="left"/>
      <w:pPr>
        <w:ind w:left="910" w:hanging="480"/>
      </w:pPr>
    </w:lvl>
    <w:lvl w:ilvl="2">
      <w:start w:val="1"/>
      <w:numFmt w:val="lowerRoman"/>
      <w:lvlText w:val="%3."/>
      <w:lvlJc w:val="right"/>
      <w:pPr>
        <w:ind w:left="1390" w:hanging="480"/>
      </w:pPr>
    </w:lvl>
    <w:lvl w:ilvl="3">
      <w:start w:val="1"/>
      <w:numFmt w:val="decimal"/>
      <w:lvlText w:val="%4."/>
      <w:lvlJc w:val="left"/>
      <w:pPr>
        <w:ind w:left="1870" w:hanging="480"/>
      </w:pPr>
    </w:lvl>
    <w:lvl w:ilvl="4">
      <w:start w:val="1"/>
      <w:numFmt w:val="ideographTraditional"/>
      <w:lvlText w:val="%5、"/>
      <w:lvlJc w:val="left"/>
      <w:pPr>
        <w:ind w:left="2350" w:hanging="480"/>
      </w:pPr>
    </w:lvl>
    <w:lvl w:ilvl="5">
      <w:start w:val="1"/>
      <w:numFmt w:val="lowerRoman"/>
      <w:lvlText w:val="%6."/>
      <w:lvlJc w:val="right"/>
      <w:pPr>
        <w:ind w:left="2830" w:hanging="480"/>
      </w:pPr>
    </w:lvl>
    <w:lvl w:ilvl="6">
      <w:start w:val="1"/>
      <w:numFmt w:val="decimal"/>
      <w:lvlText w:val="%7."/>
      <w:lvlJc w:val="left"/>
      <w:pPr>
        <w:ind w:left="3310" w:hanging="480"/>
      </w:pPr>
    </w:lvl>
    <w:lvl w:ilvl="7">
      <w:start w:val="1"/>
      <w:numFmt w:val="ideographTraditional"/>
      <w:lvlText w:val="%8、"/>
      <w:lvlJc w:val="left"/>
      <w:pPr>
        <w:ind w:left="3790" w:hanging="480"/>
      </w:pPr>
    </w:lvl>
    <w:lvl w:ilvl="8">
      <w:start w:val="1"/>
      <w:numFmt w:val="lowerRoman"/>
      <w:lvlText w:val="%9."/>
      <w:lvlJc w:val="right"/>
      <w:pPr>
        <w:ind w:left="4270" w:hanging="480"/>
      </w:pPr>
    </w:lvl>
  </w:abstractNum>
  <w:abstractNum w:abstractNumId="51" w15:restartNumberingAfterBreak="0">
    <w:nsid w:val="2CA311E6"/>
    <w:multiLevelType w:val="multilevel"/>
    <w:tmpl w:val="B754C468"/>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2D932331"/>
    <w:multiLevelType w:val="multilevel"/>
    <w:tmpl w:val="8904E05C"/>
    <w:lvl w:ilvl="0">
      <w:start w:val="1"/>
      <w:numFmt w:val="decimal"/>
      <w:lvlText w:val="(%1)"/>
      <w:lvlJc w:val="left"/>
      <w:pPr>
        <w:ind w:left="394" w:hanging="360"/>
      </w:pPr>
    </w:lvl>
    <w:lvl w:ilvl="1">
      <w:start w:val="1"/>
      <w:numFmt w:val="ideographTraditional"/>
      <w:lvlText w:val="%2、"/>
      <w:lvlJc w:val="left"/>
      <w:pPr>
        <w:ind w:left="994" w:hanging="480"/>
      </w:pPr>
    </w:lvl>
    <w:lvl w:ilvl="2">
      <w:start w:val="1"/>
      <w:numFmt w:val="lowerRoman"/>
      <w:lvlText w:val="%3."/>
      <w:lvlJc w:val="right"/>
      <w:pPr>
        <w:ind w:left="1474" w:hanging="480"/>
      </w:pPr>
    </w:lvl>
    <w:lvl w:ilvl="3">
      <w:start w:val="1"/>
      <w:numFmt w:val="decimal"/>
      <w:lvlText w:val="%4."/>
      <w:lvlJc w:val="left"/>
      <w:pPr>
        <w:ind w:left="1954" w:hanging="480"/>
      </w:pPr>
    </w:lvl>
    <w:lvl w:ilvl="4">
      <w:start w:val="1"/>
      <w:numFmt w:val="ideographTraditional"/>
      <w:lvlText w:val="%5、"/>
      <w:lvlJc w:val="left"/>
      <w:pPr>
        <w:ind w:left="2434" w:hanging="480"/>
      </w:pPr>
    </w:lvl>
    <w:lvl w:ilvl="5">
      <w:start w:val="1"/>
      <w:numFmt w:val="lowerRoman"/>
      <w:lvlText w:val="%6."/>
      <w:lvlJc w:val="right"/>
      <w:pPr>
        <w:ind w:left="2914" w:hanging="480"/>
      </w:pPr>
    </w:lvl>
    <w:lvl w:ilvl="6">
      <w:start w:val="1"/>
      <w:numFmt w:val="decimal"/>
      <w:lvlText w:val="%7."/>
      <w:lvlJc w:val="left"/>
      <w:pPr>
        <w:ind w:left="3394" w:hanging="480"/>
      </w:pPr>
    </w:lvl>
    <w:lvl w:ilvl="7">
      <w:start w:val="1"/>
      <w:numFmt w:val="ideographTraditional"/>
      <w:lvlText w:val="%8、"/>
      <w:lvlJc w:val="left"/>
      <w:pPr>
        <w:ind w:left="3874" w:hanging="480"/>
      </w:pPr>
    </w:lvl>
    <w:lvl w:ilvl="8">
      <w:start w:val="1"/>
      <w:numFmt w:val="lowerRoman"/>
      <w:lvlText w:val="%9."/>
      <w:lvlJc w:val="right"/>
      <w:pPr>
        <w:ind w:left="4354" w:hanging="480"/>
      </w:pPr>
    </w:lvl>
  </w:abstractNum>
  <w:abstractNum w:abstractNumId="53" w15:restartNumberingAfterBreak="0">
    <w:nsid w:val="30A8654E"/>
    <w:multiLevelType w:val="multilevel"/>
    <w:tmpl w:val="599AD0DC"/>
    <w:lvl w:ilvl="0">
      <w:numFmt w:val="bullet"/>
      <w:lvlText w:val="□"/>
      <w:lvlJc w:val="left"/>
      <w:pPr>
        <w:ind w:left="495" w:hanging="495"/>
      </w:pPr>
      <w:rPr>
        <w:rFonts w:ascii="全真楷書" w:hAnsi="全真楷書"/>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33EC14E2"/>
    <w:multiLevelType w:val="multilevel"/>
    <w:tmpl w:val="AEEAEC9E"/>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34E91D09"/>
    <w:multiLevelType w:val="multilevel"/>
    <w:tmpl w:val="41223028"/>
    <w:lvl w:ilvl="0">
      <w:numFmt w:val="bullet"/>
      <w:lvlText w:val="□"/>
      <w:lvlJc w:val="left"/>
      <w:pPr>
        <w:ind w:left="381" w:hanging="285"/>
      </w:pPr>
      <w:rPr>
        <w:rFonts w:ascii="全真楷書" w:eastAsia="全真楷書" w:hAnsi="全真楷書"/>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352B640C"/>
    <w:multiLevelType w:val="multilevel"/>
    <w:tmpl w:val="C9902930"/>
    <w:lvl w:ilvl="0">
      <w:start w:val="1"/>
      <w:numFmt w:val="decimal"/>
      <w:lvlText w:val="%1、"/>
      <w:lvlJc w:val="left"/>
      <w:pPr>
        <w:ind w:left="720" w:hanging="720"/>
      </w:pPr>
      <w:rPr>
        <w:rFonts w:ascii="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35B51899"/>
    <w:multiLevelType w:val="multilevel"/>
    <w:tmpl w:val="97922F7A"/>
    <w:lvl w:ilvl="0">
      <w:start w:val="1"/>
      <w:numFmt w:val="decimal"/>
      <w:lvlText w:val="(%1)"/>
      <w:lvlJc w:val="left"/>
      <w:pPr>
        <w:ind w:left="1514" w:hanging="720"/>
      </w:pPr>
    </w:lvl>
    <w:lvl w:ilvl="1">
      <w:start w:val="1"/>
      <w:numFmt w:val="ideographTraditional"/>
      <w:lvlText w:val="%2、"/>
      <w:lvlJc w:val="left"/>
      <w:pPr>
        <w:ind w:left="1754" w:hanging="480"/>
      </w:pPr>
    </w:lvl>
    <w:lvl w:ilvl="2">
      <w:start w:val="1"/>
      <w:numFmt w:val="lowerRoman"/>
      <w:lvlText w:val="%3."/>
      <w:lvlJc w:val="right"/>
      <w:pPr>
        <w:ind w:left="2234" w:hanging="480"/>
      </w:pPr>
    </w:lvl>
    <w:lvl w:ilvl="3">
      <w:start w:val="1"/>
      <w:numFmt w:val="decimal"/>
      <w:lvlText w:val="%4."/>
      <w:lvlJc w:val="left"/>
      <w:pPr>
        <w:ind w:left="2714" w:hanging="480"/>
      </w:pPr>
    </w:lvl>
    <w:lvl w:ilvl="4">
      <w:start w:val="1"/>
      <w:numFmt w:val="ideographTraditional"/>
      <w:lvlText w:val="%5、"/>
      <w:lvlJc w:val="left"/>
      <w:pPr>
        <w:ind w:left="3194" w:hanging="480"/>
      </w:pPr>
    </w:lvl>
    <w:lvl w:ilvl="5">
      <w:start w:val="1"/>
      <w:numFmt w:val="lowerRoman"/>
      <w:lvlText w:val="%6."/>
      <w:lvlJc w:val="right"/>
      <w:pPr>
        <w:ind w:left="3674" w:hanging="480"/>
      </w:pPr>
    </w:lvl>
    <w:lvl w:ilvl="6">
      <w:start w:val="1"/>
      <w:numFmt w:val="decimal"/>
      <w:lvlText w:val="%7."/>
      <w:lvlJc w:val="left"/>
      <w:pPr>
        <w:ind w:left="4154" w:hanging="480"/>
      </w:pPr>
    </w:lvl>
    <w:lvl w:ilvl="7">
      <w:start w:val="1"/>
      <w:numFmt w:val="ideographTraditional"/>
      <w:lvlText w:val="%8、"/>
      <w:lvlJc w:val="left"/>
      <w:pPr>
        <w:ind w:left="4634" w:hanging="480"/>
      </w:pPr>
    </w:lvl>
    <w:lvl w:ilvl="8">
      <w:start w:val="1"/>
      <w:numFmt w:val="lowerRoman"/>
      <w:lvlText w:val="%9."/>
      <w:lvlJc w:val="right"/>
      <w:pPr>
        <w:ind w:left="5114" w:hanging="480"/>
      </w:pPr>
    </w:lvl>
  </w:abstractNum>
  <w:abstractNum w:abstractNumId="58" w15:restartNumberingAfterBreak="0">
    <w:nsid w:val="35EC652E"/>
    <w:multiLevelType w:val="multilevel"/>
    <w:tmpl w:val="B0762214"/>
    <w:lvl w:ilvl="0">
      <w:numFmt w:val="bullet"/>
      <w:lvlText w:val="□"/>
      <w:lvlJc w:val="left"/>
      <w:pPr>
        <w:ind w:left="420" w:hanging="420"/>
      </w:pPr>
      <w:rPr>
        <w:rFonts w:ascii="標楷體" w:eastAsia="標楷體" w:hAnsi="標楷體" w:cs="Times New Roman"/>
        <w:b/>
        <w:sz w:val="28"/>
        <w:szCs w:val="28"/>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9" w15:restartNumberingAfterBreak="0">
    <w:nsid w:val="363555DD"/>
    <w:multiLevelType w:val="multilevel"/>
    <w:tmpl w:val="84DC8A5E"/>
    <w:lvl w:ilvl="0">
      <w:start w:val="1"/>
      <w:numFmt w:val="decimal"/>
      <w:lvlText w:val="%1."/>
      <w:lvlJc w:val="left"/>
      <w:pPr>
        <w:ind w:left="763" w:hanging="480"/>
      </w:pPr>
      <w:rPr>
        <w:rFonts w:cs="Times New Roman"/>
      </w:rPr>
    </w:lvl>
    <w:lvl w:ilvl="1">
      <w:start w:val="1"/>
      <w:numFmt w:val="decimal"/>
      <w:lvlText w:val="%2."/>
      <w:lvlJc w:val="left"/>
      <w:pPr>
        <w:ind w:left="1243" w:hanging="480"/>
      </w:pPr>
      <w:rPr>
        <w:rFonts w:cs="Times New Roman"/>
      </w:rPr>
    </w:lvl>
    <w:lvl w:ilvl="2">
      <w:start w:val="1"/>
      <w:numFmt w:val="lowerRoman"/>
      <w:lvlText w:val="%3."/>
      <w:lvlJc w:val="right"/>
      <w:pPr>
        <w:ind w:left="1723" w:hanging="480"/>
      </w:pPr>
      <w:rPr>
        <w:rFonts w:cs="Times New Roman"/>
      </w:rPr>
    </w:lvl>
    <w:lvl w:ilvl="3">
      <w:start w:val="1"/>
      <w:numFmt w:val="decimal"/>
      <w:lvlText w:val="%4."/>
      <w:lvlJc w:val="left"/>
      <w:pPr>
        <w:ind w:left="2203" w:hanging="480"/>
      </w:pPr>
      <w:rPr>
        <w:rFonts w:cs="Times New Roman"/>
      </w:rPr>
    </w:lvl>
    <w:lvl w:ilvl="4">
      <w:start w:val="1"/>
      <w:numFmt w:val="ideographTraditional"/>
      <w:lvlText w:val="%5、"/>
      <w:lvlJc w:val="left"/>
      <w:pPr>
        <w:ind w:left="2683" w:hanging="480"/>
      </w:pPr>
      <w:rPr>
        <w:rFonts w:cs="Times New Roman"/>
      </w:rPr>
    </w:lvl>
    <w:lvl w:ilvl="5">
      <w:start w:val="1"/>
      <w:numFmt w:val="lowerRoman"/>
      <w:lvlText w:val="%6."/>
      <w:lvlJc w:val="right"/>
      <w:pPr>
        <w:ind w:left="3163" w:hanging="480"/>
      </w:pPr>
      <w:rPr>
        <w:rFonts w:cs="Times New Roman"/>
      </w:rPr>
    </w:lvl>
    <w:lvl w:ilvl="6">
      <w:start w:val="1"/>
      <w:numFmt w:val="decimal"/>
      <w:lvlText w:val="%7."/>
      <w:lvlJc w:val="left"/>
      <w:pPr>
        <w:ind w:left="3643" w:hanging="480"/>
      </w:pPr>
      <w:rPr>
        <w:rFonts w:cs="Times New Roman"/>
      </w:rPr>
    </w:lvl>
    <w:lvl w:ilvl="7">
      <w:start w:val="1"/>
      <w:numFmt w:val="ideographTraditional"/>
      <w:lvlText w:val="%8、"/>
      <w:lvlJc w:val="left"/>
      <w:pPr>
        <w:ind w:left="4123" w:hanging="480"/>
      </w:pPr>
      <w:rPr>
        <w:rFonts w:cs="Times New Roman"/>
      </w:rPr>
    </w:lvl>
    <w:lvl w:ilvl="8">
      <w:start w:val="1"/>
      <w:numFmt w:val="lowerRoman"/>
      <w:lvlText w:val="%9."/>
      <w:lvlJc w:val="right"/>
      <w:pPr>
        <w:ind w:left="4603" w:hanging="480"/>
      </w:pPr>
      <w:rPr>
        <w:rFonts w:cs="Times New Roman"/>
      </w:rPr>
    </w:lvl>
  </w:abstractNum>
  <w:abstractNum w:abstractNumId="60" w15:restartNumberingAfterBreak="0">
    <w:nsid w:val="384B6397"/>
    <w:multiLevelType w:val="multilevel"/>
    <w:tmpl w:val="C53065B0"/>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39AB2071"/>
    <w:multiLevelType w:val="multilevel"/>
    <w:tmpl w:val="6C1853CC"/>
    <w:lvl w:ilvl="0">
      <w:start w:val="1"/>
      <w:numFmt w:val="decimal"/>
      <w:lvlText w:val="(%1)"/>
      <w:lvlJc w:val="left"/>
      <w:pPr>
        <w:ind w:left="2720" w:hanging="480"/>
      </w:pPr>
    </w:lvl>
    <w:lvl w:ilvl="1">
      <w:start w:val="1"/>
      <w:numFmt w:val="ideographTraditional"/>
      <w:lvlText w:val="%2、"/>
      <w:lvlJc w:val="left"/>
      <w:pPr>
        <w:ind w:left="1760" w:hanging="480"/>
      </w:pPr>
    </w:lvl>
    <w:lvl w:ilvl="2">
      <w:start w:val="1"/>
      <w:numFmt w:val="lowerRoman"/>
      <w:lvlText w:val="%3."/>
      <w:lvlJc w:val="right"/>
      <w:pPr>
        <w:ind w:left="1760" w:hanging="480"/>
      </w:pPr>
    </w:lvl>
    <w:lvl w:ilvl="3">
      <w:start w:val="1"/>
      <w:numFmt w:val="decimal"/>
      <w:lvlText w:val="%4."/>
      <w:lvlJc w:val="left"/>
      <w:pPr>
        <w:ind w:left="2235" w:hanging="480"/>
      </w:pPr>
    </w:lvl>
    <w:lvl w:ilvl="4">
      <w:start w:val="1"/>
      <w:numFmt w:val="ideographTraditional"/>
      <w:lvlText w:val="%5、"/>
      <w:lvlJc w:val="left"/>
      <w:pPr>
        <w:ind w:left="2715" w:hanging="480"/>
      </w:pPr>
    </w:lvl>
    <w:lvl w:ilvl="5">
      <w:start w:val="1"/>
      <w:numFmt w:val="lowerRoman"/>
      <w:lvlText w:val="%6."/>
      <w:lvlJc w:val="right"/>
      <w:pPr>
        <w:ind w:left="3195" w:hanging="480"/>
      </w:pPr>
    </w:lvl>
    <w:lvl w:ilvl="6">
      <w:start w:val="1"/>
      <w:numFmt w:val="decimal"/>
      <w:lvlText w:val="%7."/>
      <w:lvlJc w:val="left"/>
      <w:pPr>
        <w:ind w:left="3675" w:hanging="480"/>
      </w:pPr>
    </w:lvl>
    <w:lvl w:ilvl="7">
      <w:start w:val="1"/>
      <w:numFmt w:val="ideographTraditional"/>
      <w:lvlText w:val="%8、"/>
      <w:lvlJc w:val="left"/>
      <w:pPr>
        <w:ind w:left="4155" w:hanging="480"/>
      </w:pPr>
    </w:lvl>
    <w:lvl w:ilvl="8">
      <w:start w:val="1"/>
      <w:numFmt w:val="lowerRoman"/>
      <w:lvlText w:val="%9."/>
      <w:lvlJc w:val="right"/>
      <w:pPr>
        <w:ind w:left="4635" w:hanging="480"/>
      </w:pPr>
    </w:lvl>
  </w:abstractNum>
  <w:abstractNum w:abstractNumId="62" w15:restartNumberingAfterBreak="0">
    <w:nsid w:val="3BC837B7"/>
    <w:multiLevelType w:val="multilevel"/>
    <w:tmpl w:val="34D8B484"/>
    <w:lvl w:ilvl="0">
      <w:numFmt w:val="bullet"/>
      <w:lvlText w:val="◎"/>
      <w:lvlJc w:val="left"/>
      <w:pPr>
        <w:ind w:left="360" w:hanging="360"/>
      </w:pPr>
      <w:rPr>
        <w:rFonts w:ascii="全真楷書" w:hAnsi="全真楷書"/>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3CCA59E2"/>
    <w:multiLevelType w:val="multilevel"/>
    <w:tmpl w:val="0AE43FE4"/>
    <w:lvl w:ilvl="0">
      <w:numFmt w:val="bullet"/>
      <w:lvlText w:val="□"/>
      <w:lvlJc w:val="left"/>
      <w:pPr>
        <w:ind w:left="480" w:hanging="480"/>
      </w:pPr>
      <w:rPr>
        <w:rFonts w:ascii="標楷體" w:eastAsia="標楷體" w:hAnsi="標楷體"/>
        <w:sz w:val="28"/>
        <w:szCs w:val="2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3D3B2F47"/>
    <w:multiLevelType w:val="multilevel"/>
    <w:tmpl w:val="DA1CDEF4"/>
    <w:lvl w:ilvl="0">
      <w:numFmt w:val="bullet"/>
      <w:lvlText w:val="□"/>
      <w:lvlJc w:val="left"/>
      <w:pPr>
        <w:ind w:left="240" w:hanging="240"/>
      </w:pPr>
      <w:rPr>
        <w:rFonts w:ascii="標楷體" w:hAnsi="標楷體"/>
        <w:sz w:val="20"/>
        <w:szCs w:val="24"/>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65" w15:restartNumberingAfterBreak="0">
    <w:nsid w:val="3D8D15E7"/>
    <w:multiLevelType w:val="multilevel"/>
    <w:tmpl w:val="D2C205F2"/>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3DC44839"/>
    <w:multiLevelType w:val="multilevel"/>
    <w:tmpl w:val="0110165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15:restartNumberingAfterBreak="0">
    <w:nsid w:val="3DEB27BE"/>
    <w:multiLevelType w:val="multilevel"/>
    <w:tmpl w:val="D682E108"/>
    <w:lvl w:ilvl="0">
      <w:start w:val="1"/>
      <w:numFmt w:val="decimal"/>
      <w:lvlText w:val="%1."/>
      <w:lvlJc w:val="left"/>
      <w:pPr>
        <w:ind w:left="360" w:hanging="360"/>
      </w:pPr>
    </w:lvl>
    <w:lvl w:ilvl="1">
      <w:start w:val="1"/>
      <w:numFmt w:val="decimal"/>
      <w:suff w:val="nothing"/>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3F2F3F9F"/>
    <w:multiLevelType w:val="multilevel"/>
    <w:tmpl w:val="F43E7638"/>
    <w:lvl w:ilvl="0">
      <w:start w:val="1"/>
      <w:numFmt w:val="upperLetter"/>
      <w:lvlText w:val="%1."/>
      <w:lvlJc w:val="left"/>
      <w:pPr>
        <w:ind w:left="394" w:hanging="360"/>
      </w:pPr>
      <w:rPr>
        <w:rFonts w:ascii="Times New Roman" w:hAnsi="Times New Roman" w:cs="Times New Roman"/>
        <w:u w:val="none"/>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69" w15:restartNumberingAfterBreak="0">
    <w:nsid w:val="3F5F4F06"/>
    <w:multiLevelType w:val="hybridMultilevel"/>
    <w:tmpl w:val="6936A88C"/>
    <w:lvl w:ilvl="0" w:tplc="0409000F">
      <w:start w:val="1"/>
      <w:numFmt w:val="decimal"/>
      <w:lvlText w:val="%1."/>
      <w:lvlJc w:val="left"/>
      <w:pPr>
        <w:ind w:left="516" w:hanging="360"/>
      </w:pPr>
      <w:rPr>
        <w:rFonts w:hint="default"/>
      </w:rPr>
    </w:lvl>
    <w:lvl w:ilvl="1" w:tplc="C414CD7C">
      <w:start w:val="1"/>
      <w:numFmt w:val="decimal"/>
      <w:lvlText w:val="(%2)"/>
      <w:lvlJc w:val="left"/>
      <w:pPr>
        <w:ind w:left="1116" w:hanging="480"/>
      </w:pPr>
      <w:rPr>
        <w:rFonts w:hint="eastAsia"/>
      </w:rPr>
    </w:lvl>
    <w:lvl w:ilvl="2" w:tplc="04090013">
      <w:start w:val="1"/>
      <w:numFmt w:val="upperRoman"/>
      <w:lvlText w:val="%3."/>
      <w:lvlJc w:val="left"/>
      <w:pPr>
        <w:ind w:left="1596" w:hanging="480"/>
      </w:pPr>
    </w:lvl>
    <w:lvl w:ilvl="3" w:tplc="F8E4F2A4">
      <w:start w:val="1"/>
      <w:numFmt w:val="lowerRoman"/>
      <w:lvlText w:val="%4."/>
      <w:lvlJc w:val="left"/>
      <w:pPr>
        <w:ind w:left="2316" w:hanging="720"/>
      </w:pPr>
      <w:rPr>
        <w:rFonts w:hint="default"/>
      </w:r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70" w15:restartNumberingAfterBreak="0">
    <w:nsid w:val="402927F1"/>
    <w:multiLevelType w:val="multilevel"/>
    <w:tmpl w:val="DFCC4574"/>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15:restartNumberingAfterBreak="0">
    <w:nsid w:val="418A1034"/>
    <w:multiLevelType w:val="multilevel"/>
    <w:tmpl w:val="7F46119A"/>
    <w:lvl w:ilvl="0">
      <w:numFmt w:val="bullet"/>
      <w:lvlText w:val=""/>
      <w:lvlJc w:val="left"/>
      <w:rPr>
        <w:rFonts w:ascii="Wingdings" w:hAnsi="Wingdings" w:cs="Wingdings"/>
        <w:sz w:val="24"/>
        <w:szCs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436B2316"/>
    <w:multiLevelType w:val="multilevel"/>
    <w:tmpl w:val="720496D2"/>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15:restartNumberingAfterBreak="0">
    <w:nsid w:val="437361DA"/>
    <w:multiLevelType w:val="multilevel"/>
    <w:tmpl w:val="6C94F6F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43C81927"/>
    <w:multiLevelType w:val="multilevel"/>
    <w:tmpl w:val="6B9830EE"/>
    <w:lvl w:ilvl="0">
      <w:start w:val="1"/>
      <w:numFmt w:val="decimal"/>
      <w:lvlText w:val="%1."/>
      <w:lvlJc w:val="left"/>
      <w:pPr>
        <w:ind w:left="720" w:hanging="720"/>
      </w:pPr>
      <w:rPr>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461304EB"/>
    <w:multiLevelType w:val="multilevel"/>
    <w:tmpl w:val="A7A031A0"/>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6" w15:restartNumberingAfterBreak="0">
    <w:nsid w:val="4674091D"/>
    <w:multiLevelType w:val="multilevel"/>
    <w:tmpl w:val="9BA6DB0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475012E4"/>
    <w:multiLevelType w:val="multilevel"/>
    <w:tmpl w:val="E65E608E"/>
    <w:lvl w:ilvl="0">
      <w:start w:val="1"/>
      <w:numFmt w:val="decimal"/>
      <w:lvlText w:val="%1."/>
      <w:lvlJc w:val="left"/>
      <w:pPr>
        <w:ind w:left="720" w:hanging="720"/>
      </w:pPr>
      <w:rPr>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8" w15:restartNumberingAfterBreak="0">
    <w:nsid w:val="47F30A63"/>
    <w:multiLevelType w:val="multilevel"/>
    <w:tmpl w:val="5CE2A948"/>
    <w:lvl w:ilvl="0">
      <w:numFmt w:val="bullet"/>
      <w:lvlText w:val=""/>
      <w:lvlJc w:val="left"/>
      <w:rPr>
        <w:rFonts w:ascii="Wingdings" w:hAnsi="Wingdings" w:cs="Wingdings"/>
        <w:sz w:val="24"/>
        <w:szCs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9" w15:restartNumberingAfterBreak="0">
    <w:nsid w:val="47FD6742"/>
    <w:multiLevelType w:val="multilevel"/>
    <w:tmpl w:val="2A6CE7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48645DB3"/>
    <w:multiLevelType w:val="multilevel"/>
    <w:tmpl w:val="B5762902"/>
    <w:lvl w:ilvl="0">
      <w:start w:val="1"/>
      <w:numFmt w:val="decimal"/>
      <w:lvlText w:val="%1."/>
      <w:lvlJc w:val="left"/>
      <w:pPr>
        <w:ind w:left="425" w:hanging="425"/>
      </w:pPr>
      <w:rPr>
        <w:rFonts w:ascii="Arial" w:hAnsi="Arial" w:cs="Arial"/>
        <w:sz w:val="20"/>
        <w:szCs w:val="24"/>
      </w:rPr>
    </w:lvl>
    <w:lvl w:ilvl="1">
      <w:start w:val="1"/>
      <w:numFmt w:val="ideographTraditional"/>
      <w:lvlText w:val="%2、"/>
      <w:lvlJc w:val="left"/>
      <w:pPr>
        <w:ind w:left="960" w:hanging="480"/>
      </w:pPr>
    </w:lvl>
    <w:lvl w:ilvl="2">
      <w:start w:val="1"/>
      <w:numFmt w:val="lowerRoman"/>
      <w:lvlText w:val="%3."/>
      <w:lvlJc w:val="right"/>
      <w:pPr>
        <w:ind w:left="1440" w:firstLine="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firstLine="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firstLine="0"/>
      </w:pPr>
    </w:lvl>
  </w:abstractNum>
  <w:abstractNum w:abstractNumId="81" w15:restartNumberingAfterBreak="0">
    <w:nsid w:val="48E83B0C"/>
    <w:multiLevelType w:val="multilevel"/>
    <w:tmpl w:val="F33A9D8E"/>
    <w:lvl w:ilvl="0">
      <w:numFmt w:val="bullet"/>
      <w:lvlText w:val="□"/>
      <w:lvlJc w:val="left"/>
      <w:pPr>
        <w:ind w:left="480" w:hanging="480"/>
      </w:pPr>
      <w:rPr>
        <w:rFonts w:ascii="標楷體" w:eastAsia="標楷體" w:hAnsi="標楷體"/>
        <w:sz w:val="28"/>
        <w:szCs w:val="2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49A205EA"/>
    <w:multiLevelType w:val="multilevel"/>
    <w:tmpl w:val="13FE6EE2"/>
    <w:lvl w:ilvl="0">
      <w:start w:val="1"/>
      <w:numFmt w:val="decimal"/>
      <w:lvlText w:val="%1."/>
      <w:lvlJc w:val="left"/>
      <w:pPr>
        <w:ind w:left="1222" w:hanging="480"/>
      </w:pPr>
      <w:rPr>
        <w:b w:val="0"/>
        <w:i w:val="0"/>
        <w:sz w:val="28"/>
      </w:rPr>
    </w:lvl>
    <w:lvl w:ilvl="1">
      <w:start w:val="1"/>
      <w:numFmt w:val="ideographTraditional"/>
      <w:lvlText w:val="%2、"/>
      <w:lvlJc w:val="left"/>
      <w:pPr>
        <w:ind w:left="1702" w:hanging="480"/>
      </w:pPr>
    </w:lvl>
    <w:lvl w:ilvl="2">
      <w:start w:val="1"/>
      <w:numFmt w:val="lowerRoman"/>
      <w:lvlText w:val="%3."/>
      <w:lvlJc w:val="right"/>
      <w:pPr>
        <w:ind w:left="2182" w:hanging="480"/>
      </w:pPr>
    </w:lvl>
    <w:lvl w:ilvl="3">
      <w:start w:val="1"/>
      <w:numFmt w:val="decimal"/>
      <w:lvlText w:val="%4."/>
      <w:lvlJc w:val="left"/>
      <w:pPr>
        <w:ind w:left="2662" w:hanging="480"/>
      </w:pPr>
    </w:lvl>
    <w:lvl w:ilvl="4">
      <w:start w:val="1"/>
      <w:numFmt w:val="ideographTraditional"/>
      <w:lvlText w:val="%5、"/>
      <w:lvlJc w:val="left"/>
      <w:pPr>
        <w:ind w:left="3142" w:hanging="480"/>
      </w:pPr>
    </w:lvl>
    <w:lvl w:ilvl="5">
      <w:start w:val="1"/>
      <w:numFmt w:val="lowerRoman"/>
      <w:lvlText w:val="%6."/>
      <w:lvlJc w:val="right"/>
      <w:pPr>
        <w:ind w:left="3622" w:hanging="480"/>
      </w:pPr>
    </w:lvl>
    <w:lvl w:ilvl="6">
      <w:start w:val="1"/>
      <w:numFmt w:val="decimal"/>
      <w:lvlText w:val="%7."/>
      <w:lvlJc w:val="left"/>
      <w:pPr>
        <w:ind w:left="4102" w:hanging="480"/>
      </w:pPr>
    </w:lvl>
    <w:lvl w:ilvl="7">
      <w:start w:val="1"/>
      <w:numFmt w:val="ideographTraditional"/>
      <w:lvlText w:val="%8、"/>
      <w:lvlJc w:val="left"/>
      <w:pPr>
        <w:ind w:left="4582" w:hanging="480"/>
      </w:pPr>
    </w:lvl>
    <w:lvl w:ilvl="8">
      <w:start w:val="1"/>
      <w:numFmt w:val="lowerRoman"/>
      <w:lvlText w:val="%9."/>
      <w:lvlJc w:val="right"/>
      <w:pPr>
        <w:ind w:left="5062" w:hanging="480"/>
      </w:pPr>
    </w:lvl>
  </w:abstractNum>
  <w:abstractNum w:abstractNumId="83" w15:restartNumberingAfterBreak="0">
    <w:nsid w:val="4A3C2D20"/>
    <w:multiLevelType w:val="multilevel"/>
    <w:tmpl w:val="BFC80EA0"/>
    <w:lvl w:ilvl="0">
      <w:start w:val="1"/>
      <w:numFmt w:val="decimal"/>
      <w:lvlText w:val="%1."/>
      <w:lvlJc w:val="left"/>
      <w:pPr>
        <w:ind w:left="360" w:hanging="360"/>
      </w:pPr>
    </w:lvl>
    <w:lvl w:ilvl="1">
      <w:start w:val="1"/>
      <w:numFmt w:val="decimal"/>
      <w:suff w:val="nothing"/>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4" w15:restartNumberingAfterBreak="0">
    <w:nsid w:val="4A6F579E"/>
    <w:multiLevelType w:val="multilevel"/>
    <w:tmpl w:val="3C2E3ABC"/>
    <w:lvl w:ilvl="0">
      <w:start w:val="1"/>
      <w:numFmt w:val="decimal"/>
      <w:lvlText w:val="%1."/>
      <w:lvlJc w:val="left"/>
      <w:pPr>
        <w:ind w:left="764" w:hanging="360"/>
      </w:pPr>
    </w:lvl>
    <w:lvl w:ilvl="1">
      <w:start w:val="1"/>
      <w:numFmt w:val="ideographTraditional"/>
      <w:lvlText w:val="%2、"/>
      <w:lvlJc w:val="left"/>
      <w:pPr>
        <w:ind w:left="1124" w:hanging="480"/>
      </w:pPr>
    </w:lvl>
    <w:lvl w:ilvl="2">
      <w:start w:val="1"/>
      <w:numFmt w:val="lowerRoman"/>
      <w:lvlText w:val="%3."/>
      <w:lvlJc w:val="right"/>
      <w:pPr>
        <w:ind w:left="1604" w:hanging="480"/>
      </w:pPr>
    </w:lvl>
    <w:lvl w:ilvl="3">
      <w:start w:val="1"/>
      <w:numFmt w:val="decimal"/>
      <w:lvlText w:val="%4."/>
      <w:lvlJc w:val="left"/>
      <w:pPr>
        <w:ind w:left="2084" w:hanging="480"/>
      </w:pPr>
    </w:lvl>
    <w:lvl w:ilvl="4">
      <w:start w:val="1"/>
      <w:numFmt w:val="ideographTraditional"/>
      <w:lvlText w:val="%5、"/>
      <w:lvlJc w:val="left"/>
      <w:pPr>
        <w:ind w:left="2564" w:hanging="480"/>
      </w:pPr>
    </w:lvl>
    <w:lvl w:ilvl="5">
      <w:start w:val="1"/>
      <w:numFmt w:val="lowerRoman"/>
      <w:lvlText w:val="%6."/>
      <w:lvlJc w:val="right"/>
      <w:pPr>
        <w:ind w:left="3044" w:hanging="480"/>
      </w:pPr>
    </w:lvl>
    <w:lvl w:ilvl="6">
      <w:start w:val="1"/>
      <w:numFmt w:val="decimal"/>
      <w:lvlText w:val="%7."/>
      <w:lvlJc w:val="left"/>
      <w:pPr>
        <w:ind w:left="3524" w:hanging="480"/>
      </w:pPr>
    </w:lvl>
    <w:lvl w:ilvl="7">
      <w:start w:val="1"/>
      <w:numFmt w:val="ideographTraditional"/>
      <w:lvlText w:val="%8、"/>
      <w:lvlJc w:val="left"/>
      <w:pPr>
        <w:ind w:left="4004" w:hanging="480"/>
      </w:pPr>
    </w:lvl>
    <w:lvl w:ilvl="8">
      <w:start w:val="1"/>
      <w:numFmt w:val="lowerRoman"/>
      <w:lvlText w:val="%9."/>
      <w:lvlJc w:val="right"/>
      <w:pPr>
        <w:ind w:left="4484" w:hanging="480"/>
      </w:pPr>
    </w:lvl>
  </w:abstractNum>
  <w:abstractNum w:abstractNumId="85" w15:restartNumberingAfterBreak="0">
    <w:nsid w:val="4AC82A17"/>
    <w:multiLevelType w:val="multilevel"/>
    <w:tmpl w:val="046E2E18"/>
    <w:lvl w:ilvl="0">
      <w:start w:val="1"/>
      <w:numFmt w:val="decimal"/>
      <w:lvlText w:val="%1."/>
      <w:lvlJc w:val="left"/>
      <w:pPr>
        <w:ind w:left="360" w:hanging="360"/>
      </w:pPr>
      <w:rPr>
        <w:rFonts w:ascii="新細明體" w:hAnsi="新細明體"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4BF94B56"/>
    <w:multiLevelType w:val="multilevel"/>
    <w:tmpl w:val="D40E9CDE"/>
    <w:lvl w:ilvl="0">
      <w:start w:val="1"/>
      <w:numFmt w:val="decimal"/>
      <w:lvlText w:val="%1."/>
      <w:lvlJc w:val="left"/>
      <w:pPr>
        <w:ind w:left="480" w:hanging="480"/>
      </w:pPr>
      <w:rPr>
        <w:rFonts w:ascii="標楷體" w:eastAsia="標楷體" w:hAnsi="標楷體"/>
        <w:sz w:val="24"/>
        <w:szCs w:val="24"/>
        <w:u w:val="none"/>
      </w:rPr>
    </w:lvl>
    <w:lvl w:ilvl="1">
      <w:start w:val="1"/>
      <w:numFmt w:val="decimal"/>
      <w:lvlText w:val="(%2)"/>
      <w:lvlJc w:val="left"/>
      <w:pPr>
        <w:ind w:left="960" w:hanging="480"/>
      </w:pPr>
      <w:rPr>
        <w:rFonts w:ascii="標楷體" w:eastAsia="標楷體" w:hAnsi="標楷體"/>
        <w:sz w:val="24"/>
        <w:szCs w:val="24"/>
        <w:u w:val="none"/>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7" w15:restartNumberingAfterBreak="0">
    <w:nsid w:val="4C2F78E2"/>
    <w:multiLevelType w:val="multilevel"/>
    <w:tmpl w:val="B4E069DE"/>
    <w:lvl w:ilvl="0">
      <w:start w:val="1"/>
      <w:numFmt w:val="decimal"/>
      <w:lvlText w:val="(%1)"/>
      <w:lvlJc w:val="left"/>
      <w:pPr>
        <w:ind w:left="394" w:hanging="360"/>
      </w:pPr>
    </w:lvl>
    <w:lvl w:ilvl="1">
      <w:start w:val="1"/>
      <w:numFmt w:val="ideographTraditional"/>
      <w:lvlText w:val="%2、"/>
      <w:lvlJc w:val="left"/>
      <w:pPr>
        <w:ind w:left="994" w:hanging="480"/>
      </w:pPr>
    </w:lvl>
    <w:lvl w:ilvl="2">
      <w:start w:val="1"/>
      <w:numFmt w:val="lowerRoman"/>
      <w:lvlText w:val="%3."/>
      <w:lvlJc w:val="right"/>
      <w:pPr>
        <w:ind w:left="1474" w:hanging="480"/>
      </w:pPr>
    </w:lvl>
    <w:lvl w:ilvl="3">
      <w:start w:val="1"/>
      <w:numFmt w:val="decimal"/>
      <w:lvlText w:val="%4."/>
      <w:lvlJc w:val="left"/>
      <w:pPr>
        <w:ind w:left="1954" w:hanging="480"/>
      </w:pPr>
    </w:lvl>
    <w:lvl w:ilvl="4">
      <w:start w:val="1"/>
      <w:numFmt w:val="ideographTraditional"/>
      <w:lvlText w:val="%5、"/>
      <w:lvlJc w:val="left"/>
      <w:pPr>
        <w:ind w:left="2434" w:hanging="480"/>
      </w:pPr>
    </w:lvl>
    <w:lvl w:ilvl="5">
      <w:start w:val="1"/>
      <w:numFmt w:val="lowerRoman"/>
      <w:lvlText w:val="%6."/>
      <w:lvlJc w:val="right"/>
      <w:pPr>
        <w:ind w:left="2914" w:hanging="480"/>
      </w:pPr>
    </w:lvl>
    <w:lvl w:ilvl="6">
      <w:start w:val="1"/>
      <w:numFmt w:val="decimal"/>
      <w:lvlText w:val="%7."/>
      <w:lvlJc w:val="left"/>
      <w:pPr>
        <w:ind w:left="3394" w:hanging="480"/>
      </w:pPr>
    </w:lvl>
    <w:lvl w:ilvl="7">
      <w:start w:val="1"/>
      <w:numFmt w:val="ideographTraditional"/>
      <w:lvlText w:val="%8、"/>
      <w:lvlJc w:val="left"/>
      <w:pPr>
        <w:ind w:left="3874" w:hanging="480"/>
      </w:pPr>
    </w:lvl>
    <w:lvl w:ilvl="8">
      <w:start w:val="1"/>
      <w:numFmt w:val="lowerRoman"/>
      <w:lvlText w:val="%9."/>
      <w:lvlJc w:val="right"/>
      <w:pPr>
        <w:ind w:left="4354" w:hanging="480"/>
      </w:pPr>
    </w:lvl>
  </w:abstractNum>
  <w:abstractNum w:abstractNumId="88" w15:restartNumberingAfterBreak="0">
    <w:nsid w:val="4C4115D8"/>
    <w:multiLevelType w:val="multilevel"/>
    <w:tmpl w:val="701A094C"/>
    <w:lvl w:ilvl="0">
      <w:start w:val="4"/>
      <w:numFmt w:val="decimal"/>
      <w:lvlText w:val="%1."/>
      <w:lvlJc w:val="left"/>
      <w:pPr>
        <w:ind w:left="1459" w:hanging="480"/>
      </w:pPr>
      <w:rPr>
        <w:rFonts w:cs="Times New Roman"/>
      </w:rPr>
    </w:lvl>
    <w:lvl w:ilvl="1">
      <w:start w:val="1"/>
      <w:numFmt w:val="ideographTraditional"/>
      <w:lvlText w:val="%2、"/>
      <w:lvlJc w:val="left"/>
      <w:pPr>
        <w:ind w:left="1176" w:hanging="480"/>
      </w:pPr>
      <w:rPr>
        <w:rFonts w:cs="Times New Roman"/>
      </w:rPr>
    </w:lvl>
    <w:lvl w:ilvl="2">
      <w:start w:val="1"/>
      <w:numFmt w:val="lowerRoman"/>
      <w:lvlText w:val="%3."/>
      <w:lvlJc w:val="right"/>
      <w:pPr>
        <w:ind w:left="1656" w:hanging="480"/>
      </w:pPr>
      <w:rPr>
        <w:rFonts w:cs="Times New Roman"/>
      </w:rPr>
    </w:lvl>
    <w:lvl w:ilvl="3">
      <w:start w:val="1"/>
      <w:numFmt w:val="decimal"/>
      <w:lvlText w:val="%4."/>
      <w:lvlJc w:val="left"/>
      <w:pPr>
        <w:ind w:left="2136" w:hanging="480"/>
      </w:pPr>
      <w:rPr>
        <w:rFonts w:cs="Times New Roman"/>
      </w:rPr>
    </w:lvl>
    <w:lvl w:ilvl="4">
      <w:start w:val="1"/>
      <w:numFmt w:val="ideographTraditional"/>
      <w:lvlText w:val="%5、"/>
      <w:lvlJc w:val="left"/>
      <w:pPr>
        <w:ind w:left="2616" w:hanging="480"/>
      </w:pPr>
      <w:rPr>
        <w:rFonts w:cs="Times New Roman"/>
      </w:rPr>
    </w:lvl>
    <w:lvl w:ilvl="5">
      <w:start w:val="1"/>
      <w:numFmt w:val="lowerRoman"/>
      <w:lvlText w:val="%6."/>
      <w:lvlJc w:val="right"/>
      <w:pPr>
        <w:ind w:left="3096" w:hanging="480"/>
      </w:pPr>
      <w:rPr>
        <w:rFonts w:cs="Times New Roman"/>
      </w:rPr>
    </w:lvl>
    <w:lvl w:ilvl="6">
      <w:start w:val="1"/>
      <w:numFmt w:val="decimal"/>
      <w:lvlText w:val="%7."/>
      <w:lvlJc w:val="left"/>
      <w:pPr>
        <w:ind w:left="3576" w:hanging="480"/>
      </w:pPr>
      <w:rPr>
        <w:rFonts w:cs="Times New Roman"/>
      </w:rPr>
    </w:lvl>
    <w:lvl w:ilvl="7">
      <w:start w:val="1"/>
      <w:numFmt w:val="ideographTraditional"/>
      <w:lvlText w:val="%8、"/>
      <w:lvlJc w:val="left"/>
      <w:pPr>
        <w:ind w:left="4056" w:hanging="480"/>
      </w:pPr>
      <w:rPr>
        <w:rFonts w:cs="Times New Roman"/>
      </w:rPr>
    </w:lvl>
    <w:lvl w:ilvl="8">
      <w:start w:val="1"/>
      <w:numFmt w:val="lowerRoman"/>
      <w:lvlText w:val="%9."/>
      <w:lvlJc w:val="right"/>
      <w:pPr>
        <w:ind w:left="4536" w:hanging="480"/>
      </w:pPr>
      <w:rPr>
        <w:rFonts w:cs="Times New Roman"/>
      </w:rPr>
    </w:lvl>
  </w:abstractNum>
  <w:abstractNum w:abstractNumId="89" w15:restartNumberingAfterBreak="0">
    <w:nsid w:val="4D8660F3"/>
    <w:multiLevelType w:val="multilevel"/>
    <w:tmpl w:val="23E8DDEA"/>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4DE74E45"/>
    <w:multiLevelType w:val="multilevel"/>
    <w:tmpl w:val="E3EC88F6"/>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start w:val="1"/>
      <w:numFmt w:val="decimal"/>
      <w:lvlText w:val="%7."/>
      <w:lvlJc w:val="left"/>
      <w:pPr>
        <w:ind w:left="3360" w:hanging="480"/>
      </w:p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1" w15:restartNumberingAfterBreak="0">
    <w:nsid w:val="4E2E1208"/>
    <w:multiLevelType w:val="multilevel"/>
    <w:tmpl w:val="C9AECD00"/>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15:restartNumberingAfterBreak="0">
    <w:nsid w:val="4F007B8A"/>
    <w:multiLevelType w:val="multilevel"/>
    <w:tmpl w:val="73C0EE54"/>
    <w:lvl w:ilvl="0">
      <w:start w:val="1"/>
      <w:numFmt w:val="decimal"/>
      <w:lvlText w:val="(%1)"/>
      <w:lvlJc w:val="left"/>
      <w:pPr>
        <w:ind w:left="394" w:hanging="360"/>
      </w:pPr>
    </w:lvl>
    <w:lvl w:ilvl="1">
      <w:start w:val="1"/>
      <w:numFmt w:val="ideographTraditional"/>
      <w:lvlText w:val="%2、"/>
      <w:lvlJc w:val="left"/>
      <w:pPr>
        <w:ind w:left="994" w:hanging="480"/>
      </w:pPr>
    </w:lvl>
    <w:lvl w:ilvl="2">
      <w:start w:val="1"/>
      <w:numFmt w:val="lowerRoman"/>
      <w:lvlText w:val="%3."/>
      <w:lvlJc w:val="right"/>
      <w:pPr>
        <w:ind w:left="1474" w:hanging="480"/>
      </w:pPr>
    </w:lvl>
    <w:lvl w:ilvl="3">
      <w:start w:val="1"/>
      <w:numFmt w:val="decimal"/>
      <w:lvlText w:val="%4."/>
      <w:lvlJc w:val="left"/>
      <w:pPr>
        <w:ind w:left="1954" w:hanging="480"/>
      </w:pPr>
    </w:lvl>
    <w:lvl w:ilvl="4">
      <w:start w:val="1"/>
      <w:numFmt w:val="ideographTraditional"/>
      <w:lvlText w:val="%5、"/>
      <w:lvlJc w:val="left"/>
      <w:pPr>
        <w:ind w:left="2434" w:hanging="480"/>
      </w:pPr>
    </w:lvl>
    <w:lvl w:ilvl="5">
      <w:start w:val="1"/>
      <w:numFmt w:val="lowerRoman"/>
      <w:lvlText w:val="%6."/>
      <w:lvlJc w:val="right"/>
      <w:pPr>
        <w:ind w:left="2914" w:hanging="480"/>
      </w:pPr>
    </w:lvl>
    <w:lvl w:ilvl="6">
      <w:start w:val="1"/>
      <w:numFmt w:val="decimal"/>
      <w:lvlText w:val="%7."/>
      <w:lvlJc w:val="left"/>
      <w:pPr>
        <w:ind w:left="3394" w:hanging="480"/>
      </w:pPr>
    </w:lvl>
    <w:lvl w:ilvl="7">
      <w:start w:val="1"/>
      <w:numFmt w:val="ideographTraditional"/>
      <w:lvlText w:val="%8、"/>
      <w:lvlJc w:val="left"/>
      <w:pPr>
        <w:ind w:left="3874" w:hanging="480"/>
      </w:pPr>
    </w:lvl>
    <w:lvl w:ilvl="8">
      <w:start w:val="1"/>
      <w:numFmt w:val="lowerRoman"/>
      <w:lvlText w:val="%9."/>
      <w:lvlJc w:val="right"/>
      <w:pPr>
        <w:ind w:left="4354" w:hanging="480"/>
      </w:pPr>
    </w:lvl>
  </w:abstractNum>
  <w:abstractNum w:abstractNumId="93" w15:restartNumberingAfterBreak="0">
    <w:nsid w:val="51FA3DAF"/>
    <w:multiLevelType w:val="multilevel"/>
    <w:tmpl w:val="5FF220EA"/>
    <w:lvl w:ilvl="0">
      <w:start w:val="1"/>
      <w:numFmt w:val="lowerRoman"/>
      <w:lvlText w:val="%1."/>
      <w:lvlJc w:val="right"/>
      <w:pPr>
        <w:ind w:left="1723" w:hanging="480"/>
      </w:pPr>
    </w:lvl>
    <w:lvl w:ilvl="1">
      <w:start w:val="1"/>
      <w:numFmt w:val="ideographTraditional"/>
      <w:lvlText w:val="%2、"/>
      <w:lvlJc w:val="left"/>
      <w:pPr>
        <w:ind w:left="1723" w:hanging="480"/>
      </w:pPr>
    </w:lvl>
    <w:lvl w:ilvl="2">
      <w:start w:val="1"/>
      <w:numFmt w:val="lowerRoman"/>
      <w:lvlText w:val="%3."/>
      <w:lvlJc w:val="right"/>
      <w:pPr>
        <w:ind w:left="2203" w:hanging="480"/>
      </w:pPr>
    </w:lvl>
    <w:lvl w:ilvl="3">
      <w:start w:val="1"/>
      <w:numFmt w:val="decimal"/>
      <w:lvlText w:val="%4."/>
      <w:lvlJc w:val="left"/>
      <w:pPr>
        <w:ind w:left="2683" w:hanging="480"/>
      </w:pPr>
    </w:lvl>
    <w:lvl w:ilvl="4">
      <w:start w:val="1"/>
      <w:numFmt w:val="ideographTraditional"/>
      <w:lvlText w:val="%5、"/>
      <w:lvlJc w:val="left"/>
      <w:pPr>
        <w:ind w:left="3163" w:hanging="480"/>
      </w:pPr>
    </w:lvl>
    <w:lvl w:ilvl="5">
      <w:start w:val="1"/>
      <w:numFmt w:val="lowerRoman"/>
      <w:lvlText w:val="%6."/>
      <w:lvlJc w:val="right"/>
      <w:pPr>
        <w:ind w:left="3643" w:hanging="480"/>
      </w:pPr>
    </w:lvl>
    <w:lvl w:ilvl="6">
      <w:start w:val="1"/>
      <w:numFmt w:val="decimal"/>
      <w:lvlText w:val="%7."/>
      <w:lvlJc w:val="left"/>
      <w:pPr>
        <w:ind w:left="4123" w:hanging="480"/>
      </w:pPr>
    </w:lvl>
    <w:lvl w:ilvl="7">
      <w:start w:val="1"/>
      <w:numFmt w:val="ideographTraditional"/>
      <w:lvlText w:val="%8、"/>
      <w:lvlJc w:val="left"/>
      <w:pPr>
        <w:ind w:left="4603" w:hanging="480"/>
      </w:pPr>
    </w:lvl>
    <w:lvl w:ilvl="8">
      <w:start w:val="1"/>
      <w:numFmt w:val="lowerRoman"/>
      <w:lvlText w:val="%9."/>
      <w:lvlJc w:val="right"/>
      <w:pPr>
        <w:ind w:left="5083" w:hanging="480"/>
      </w:pPr>
    </w:lvl>
  </w:abstractNum>
  <w:abstractNum w:abstractNumId="94" w15:restartNumberingAfterBreak="0">
    <w:nsid w:val="52F71433"/>
    <w:multiLevelType w:val="multilevel"/>
    <w:tmpl w:val="48F8B3E0"/>
    <w:styleLink w:val="LFO6"/>
    <w:lvl w:ilvl="0">
      <w:start w:val="1"/>
      <w:numFmt w:val="decimal"/>
      <w:lvlText w:val="%1."/>
      <w:lvlJc w:val="left"/>
      <w:pPr>
        <w:ind w:left="660" w:hanging="30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95" w15:restartNumberingAfterBreak="0">
    <w:nsid w:val="533730EC"/>
    <w:multiLevelType w:val="multilevel"/>
    <w:tmpl w:val="1A967236"/>
    <w:lvl w:ilvl="0">
      <w:start w:val="1"/>
      <w:numFmt w:val="decimal"/>
      <w:lvlText w:val="(%1)"/>
      <w:lvlJc w:val="left"/>
      <w:pPr>
        <w:ind w:left="480" w:hanging="480"/>
      </w:pPr>
      <w:rPr>
        <w:rFonts w:eastAsia="標楷體"/>
        <w:u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53831CF0"/>
    <w:multiLevelType w:val="multilevel"/>
    <w:tmpl w:val="A26474CE"/>
    <w:lvl w:ilvl="0">
      <w:numFmt w:val="bullet"/>
      <w:lvlText w:val="□"/>
      <w:lvlJc w:val="left"/>
      <w:pPr>
        <w:ind w:left="360" w:hanging="360"/>
      </w:pPr>
      <w:rPr>
        <w:rFonts w:ascii="細明體" w:eastAsia="細明體" w:hAnsi="細明體"/>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7" w15:restartNumberingAfterBreak="0">
    <w:nsid w:val="544055FF"/>
    <w:multiLevelType w:val="multilevel"/>
    <w:tmpl w:val="DC5428B0"/>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8" w15:restartNumberingAfterBreak="0">
    <w:nsid w:val="54E47332"/>
    <w:multiLevelType w:val="multilevel"/>
    <w:tmpl w:val="4740D9C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9" w15:restartNumberingAfterBreak="0">
    <w:nsid w:val="5527742A"/>
    <w:multiLevelType w:val="multilevel"/>
    <w:tmpl w:val="9BEAD994"/>
    <w:lvl w:ilvl="0">
      <w:start w:val="1"/>
      <w:numFmt w:val="decimal"/>
      <w:lvlText w:val="%1."/>
      <w:lvlJc w:val="left"/>
      <w:pPr>
        <w:ind w:left="960" w:hanging="480"/>
      </w:pPr>
      <w:rPr>
        <w:b w:val="0"/>
        <w:i w:val="0"/>
        <w:sz w:val="28"/>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100" w15:restartNumberingAfterBreak="0">
    <w:nsid w:val="555D222A"/>
    <w:multiLevelType w:val="multilevel"/>
    <w:tmpl w:val="D44E5108"/>
    <w:lvl w:ilvl="0">
      <w:start w:val="1"/>
      <w:numFmt w:val="decimal"/>
      <w:lvlText w:val="%1、"/>
      <w:lvlJc w:val="left"/>
      <w:pPr>
        <w:ind w:left="720" w:hanging="720"/>
      </w:pPr>
    </w:lvl>
    <w:lvl w:ilvl="1">
      <w:numFmt w:val="bullet"/>
      <w:lvlText w:val="□"/>
      <w:lvlJc w:val="left"/>
      <w:pPr>
        <w:ind w:left="1455" w:hanging="975"/>
      </w:pPr>
      <w:rPr>
        <w:rFonts w:ascii="標楷體" w:hAnsi="標楷體"/>
        <w:lang w:val="en-US"/>
      </w:rPr>
    </w:lvl>
    <w:lvl w:ilvl="2">
      <w:start w:val="1"/>
      <w:numFmt w:val="lowerRoman"/>
      <w:lvlText w:val="%3."/>
      <w:lvlJc w:val="right"/>
      <w:pPr>
        <w:ind w:left="1440" w:firstLine="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firstLine="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firstLine="0"/>
      </w:pPr>
    </w:lvl>
  </w:abstractNum>
  <w:abstractNum w:abstractNumId="101" w15:restartNumberingAfterBreak="0">
    <w:nsid w:val="57A04B1D"/>
    <w:multiLevelType w:val="multilevel"/>
    <w:tmpl w:val="9A506E52"/>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2" w15:restartNumberingAfterBreak="0">
    <w:nsid w:val="588E1604"/>
    <w:multiLevelType w:val="multilevel"/>
    <w:tmpl w:val="89CE0E20"/>
    <w:lvl w:ilvl="0">
      <w:numFmt w:val="bullet"/>
      <w:lvlText w:val="□"/>
      <w:lvlJc w:val="left"/>
      <w:pPr>
        <w:ind w:left="405" w:hanging="405"/>
      </w:pPr>
      <w:rPr>
        <w:rFonts w:ascii="全真楷書" w:hAnsi="全真楷書"/>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3" w15:restartNumberingAfterBreak="0">
    <w:nsid w:val="58CE260C"/>
    <w:multiLevelType w:val="multilevel"/>
    <w:tmpl w:val="25B6155E"/>
    <w:lvl w:ilvl="0">
      <w:start w:val="1"/>
      <w:numFmt w:val="decimal"/>
      <w:lvlText w:val="%1."/>
      <w:lvlJc w:val="left"/>
      <w:pPr>
        <w:ind w:left="764" w:hanging="360"/>
      </w:pPr>
    </w:lvl>
    <w:lvl w:ilvl="1">
      <w:start w:val="1"/>
      <w:numFmt w:val="ideographTraditional"/>
      <w:lvlText w:val="%2、"/>
      <w:lvlJc w:val="left"/>
      <w:pPr>
        <w:ind w:left="1124" w:hanging="480"/>
      </w:pPr>
    </w:lvl>
    <w:lvl w:ilvl="2">
      <w:start w:val="1"/>
      <w:numFmt w:val="lowerRoman"/>
      <w:lvlText w:val="%3."/>
      <w:lvlJc w:val="right"/>
      <w:pPr>
        <w:ind w:left="1604" w:hanging="480"/>
      </w:pPr>
    </w:lvl>
    <w:lvl w:ilvl="3">
      <w:start w:val="1"/>
      <w:numFmt w:val="decimal"/>
      <w:lvlText w:val="%4."/>
      <w:lvlJc w:val="left"/>
      <w:pPr>
        <w:ind w:left="2084" w:hanging="480"/>
      </w:pPr>
    </w:lvl>
    <w:lvl w:ilvl="4">
      <w:start w:val="1"/>
      <w:numFmt w:val="ideographTraditional"/>
      <w:lvlText w:val="%5、"/>
      <w:lvlJc w:val="left"/>
      <w:pPr>
        <w:ind w:left="2564" w:hanging="480"/>
      </w:pPr>
    </w:lvl>
    <w:lvl w:ilvl="5">
      <w:start w:val="1"/>
      <w:numFmt w:val="lowerRoman"/>
      <w:lvlText w:val="%6."/>
      <w:lvlJc w:val="right"/>
      <w:pPr>
        <w:ind w:left="3044" w:hanging="480"/>
      </w:pPr>
    </w:lvl>
    <w:lvl w:ilvl="6">
      <w:start w:val="1"/>
      <w:numFmt w:val="decimal"/>
      <w:lvlText w:val="%7."/>
      <w:lvlJc w:val="left"/>
      <w:pPr>
        <w:ind w:left="3524" w:hanging="480"/>
      </w:pPr>
    </w:lvl>
    <w:lvl w:ilvl="7">
      <w:start w:val="1"/>
      <w:numFmt w:val="ideographTraditional"/>
      <w:lvlText w:val="%8、"/>
      <w:lvlJc w:val="left"/>
      <w:pPr>
        <w:ind w:left="4004" w:hanging="480"/>
      </w:pPr>
    </w:lvl>
    <w:lvl w:ilvl="8">
      <w:start w:val="1"/>
      <w:numFmt w:val="lowerRoman"/>
      <w:lvlText w:val="%9."/>
      <w:lvlJc w:val="right"/>
      <w:pPr>
        <w:ind w:left="4484" w:hanging="480"/>
      </w:pPr>
    </w:lvl>
  </w:abstractNum>
  <w:abstractNum w:abstractNumId="104" w15:restartNumberingAfterBreak="0">
    <w:nsid w:val="59A14BAF"/>
    <w:multiLevelType w:val="multilevel"/>
    <w:tmpl w:val="86026F0C"/>
    <w:lvl w:ilvl="0">
      <w:start w:val="4"/>
      <w:numFmt w:val="decimal"/>
      <w:lvlText w:val="%1."/>
      <w:lvlJc w:val="left"/>
      <w:pPr>
        <w:ind w:left="1459" w:hanging="480"/>
      </w:pPr>
      <w:rPr>
        <w:rFonts w:cs="Times New Roman"/>
      </w:rPr>
    </w:lvl>
    <w:lvl w:ilvl="1">
      <w:start w:val="1"/>
      <w:numFmt w:val="ideographTraditional"/>
      <w:lvlText w:val="%2、"/>
      <w:lvlJc w:val="left"/>
      <w:pPr>
        <w:ind w:left="1176" w:hanging="480"/>
      </w:pPr>
      <w:rPr>
        <w:rFonts w:cs="Times New Roman"/>
      </w:rPr>
    </w:lvl>
    <w:lvl w:ilvl="2">
      <w:start w:val="1"/>
      <w:numFmt w:val="lowerRoman"/>
      <w:lvlText w:val="%3."/>
      <w:lvlJc w:val="right"/>
      <w:pPr>
        <w:ind w:left="1656" w:hanging="480"/>
      </w:pPr>
      <w:rPr>
        <w:rFonts w:cs="Times New Roman"/>
      </w:rPr>
    </w:lvl>
    <w:lvl w:ilvl="3">
      <w:start w:val="1"/>
      <w:numFmt w:val="decimal"/>
      <w:lvlText w:val="%4."/>
      <w:lvlJc w:val="left"/>
      <w:pPr>
        <w:ind w:left="2136" w:hanging="480"/>
      </w:pPr>
      <w:rPr>
        <w:rFonts w:cs="Times New Roman"/>
      </w:rPr>
    </w:lvl>
    <w:lvl w:ilvl="4">
      <w:start w:val="1"/>
      <w:numFmt w:val="ideographTraditional"/>
      <w:lvlText w:val="%5、"/>
      <w:lvlJc w:val="left"/>
      <w:pPr>
        <w:ind w:left="2616" w:hanging="480"/>
      </w:pPr>
      <w:rPr>
        <w:rFonts w:cs="Times New Roman"/>
      </w:rPr>
    </w:lvl>
    <w:lvl w:ilvl="5">
      <w:start w:val="1"/>
      <w:numFmt w:val="lowerRoman"/>
      <w:lvlText w:val="%6."/>
      <w:lvlJc w:val="right"/>
      <w:pPr>
        <w:ind w:left="3096" w:hanging="480"/>
      </w:pPr>
      <w:rPr>
        <w:rFonts w:cs="Times New Roman"/>
      </w:rPr>
    </w:lvl>
    <w:lvl w:ilvl="6">
      <w:start w:val="1"/>
      <w:numFmt w:val="decimal"/>
      <w:lvlText w:val="%7."/>
      <w:lvlJc w:val="left"/>
      <w:pPr>
        <w:ind w:left="3576" w:hanging="480"/>
      </w:pPr>
      <w:rPr>
        <w:rFonts w:cs="Times New Roman"/>
      </w:rPr>
    </w:lvl>
    <w:lvl w:ilvl="7">
      <w:start w:val="1"/>
      <w:numFmt w:val="ideographTraditional"/>
      <w:lvlText w:val="%8、"/>
      <w:lvlJc w:val="left"/>
      <w:pPr>
        <w:ind w:left="4056" w:hanging="480"/>
      </w:pPr>
      <w:rPr>
        <w:rFonts w:cs="Times New Roman"/>
      </w:rPr>
    </w:lvl>
    <w:lvl w:ilvl="8">
      <w:start w:val="1"/>
      <w:numFmt w:val="lowerRoman"/>
      <w:lvlText w:val="%9."/>
      <w:lvlJc w:val="right"/>
      <w:pPr>
        <w:ind w:left="4536" w:hanging="480"/>
      </w:pPr>
      <w:rPr>
        <w:rFonts w:cs="Times New Roman"/>
      </w:rPr>
    </w:lvl>
  </w:abstractNum>
  <w:abstractNum w:abstractNumId="105" w15:restartNumberingAfterBreak="0">
    <w:nsid w:val="59FD7BD0"/>
    <w:multiLevelType w:val="multilevel"/>
    <w:tmpl w:val="590E074A"/>
    <w:lvl w:ilvl="0">
      <w:start w:val="4"/>
      <w:numFmt w:val="upperRoman"/>
      <w:lvlText w:val="%1."/>
      <w:lvlJc w:val="left"/>
      <w:pPr>
        <w:ind w:left="797" w:hanging="480"/>
      </w:pPr>
      <w:rPr>
        <w:u w:val="none"/>
      </w:rPr>
    </w:lvl>
    <w:lvl w:ilvl="1">
      <w:start w:val="1"/>
      <w:numFmt w:val="ideographTraditional"/>
      <w:lvlText w:val="%2、"/>
      <w:lvlJc w:val="left"/>
      <w:pPr>
        <w:ind w:left="1277" w:hanging="480"/>
      </w:pPr>
    </w:lvl>
    <w:lvl w:ilvl="2">
      <w:start w:val="1"/>
      <w:numFmt w:val="lowerRoman"/>
      <w:lvlText w:val="%3."/>
      <w:lvlJc w:val="right"/>
      <w:pPr>
        <w:ind w:left="1757" w:hanging="480"/>
      </w:pPr>
    </w:lvl>
    <w:lvl w:ilvl="3">
      <w:start w:val="1"/>
      <w:numFmt w:val="decimal"/>
      <w:lvlText w:val="%4."/>
      <w:lvlJc w:val="left"/>
      <w:pPr>
        <w:ind w:left="2237" w:hanging="480"/>
      </w:pPr>
    </w:lvl>
    <w:lvl w:ilvl="4">
      <w:start w:val="1"/>
      <w:numFmt w:val="ideographTraditional"/>
      <w:lvlText w:val="%5、"/>
      <w:lvlJc w:val="left"/>
      <w:pPr>
        <w:ind w:left="2717" w:hanging="480"/>
      </w:pPr>
    </w:lvl>
    <w:lvl w:ilvl="5">
      <w:start w:val="1"/>
      <w:numFmt w:val="lowerRoman"/>
      <w:lvlText w:val="%6."/>
      <w:lvlJc w:val="right"/>
      <w:pPr>
        <w:ind w:left="3197" w:hanging="480"/>
      </w:pPr>
    </w:lvl>
    <w:lvl w:ilvl="6">
      <w:start w:val="1"/>
      <w:numFmt w:val="decimal"/>
      <w:lvlText w:val="%7."/>
      <w:lvlJc w:val="left"/>
      <w:pPr>
        <w:ind w:left="3677" w:hanging="480"/>
      </w:pPr>
    </w:lvl>
    <w:lvl w:ilvl="7">
      <w:start w:val="1"/>
      <w:numFmt w:val="ideographTraditional"/>
      <w:lvlText w:val="%8、"/>
      <w:lvlJc w:val="left"/>
      <w:pPr>
        <w:ind w:left="4157" w:hanging="480"/>
      </w:pPr>
    </w:lvl>
    <w:lvl w:ilvl="8">
      <w:start w:val="1"/>
      <w:numFmt w:val="lowerRoman"/>
      <w:lvlText w:val="%9."/>
      <w:lvlJc w:val="right"/>
      <w:pPr>
        <w:ind w:left="4637" w:hanging="480"/>
      </w:pPr>
    </w:lvl>
  </w:abstractNum>
  <w:abstractNum w:abstractNumId="106" w15:restartNumberingAfterBreak="0">
    <w:nsid w:val="5AB3440C"/>
    <w:multiLevelType w:val="multilevel"/>
    <w:tmpl w:val="98162080"/>
    <w:lvl w:ilvl="0">
      <w:numFmt w:val="bullet"/>
      <w:lvlText w:val="□"/>
      <w:lvlJc w:val="left"/>
      <w:pPr>
        <w:ind w:left="495" w:hanging="495"/>
      </w:pPr>
      <w:rPr>
        <w:rFonts w:ascii="全真楷書" w:eastAsia="全真楷書" w:hAnsi="全真楷書"/>
        <w:b w:val="0"/>
        <w:bCs w:val="0"/>
        <w:i w:val="0"/>
        <w:iCs w:val="0"/>
        <w:sz w:val="32"/>
        <w:szCs w:val="3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7" w15:restartNumberingAfterBreak="0">
    <w:nsid w:val="5B87197A"/>
    <w:multiLevelType w:val="multilevel"/>
    <w:tmpl w:val="371807D0"/>
    <w:lvl w:ilvl="0">
      <w:start w:val="1"/>
      <w:numFmt w:val="decimal"/>
      <w:lvlText w:val="%1."/>
      <w:lvlJc w:val="left"/>
      <w:pPr>
        <w:ind w:left="763" w:hanging="480"/>
      </w:pPr>
      <w:rPr>
        <w:rFonts w:cs="Times New Roman"/>
      </w:rPr>
    </w:lvl>
    <w:lvl w:ilvl="1">
      <w:start w:val="1"/>
      <w:numFmt w:val="decimal"/>
      <w:lvlText w:val="%2."/>
      <w:lvlJc w:val="left"/>
      <w:pPr>
        <w:ind w:left="1243" w:hanging="480"/>
      </w:pPr>
      <w:rPr>
        <w:rFonts w:cs="Times New Roman"/>
      </w:rPr>
    </w:lvl>
    <w:lvl w:ilvl="2">
      <w:start w:val="1"/>
      <w:numFmt w:val="lowerRoman"/>
      <w:lvlText w:val="%3."/>
      <w:lvlJc w:val="right"/>
      <w:pPr>
        <w:ind w:left="1723" w:hanging="480"/>
      </w:pPr>
      <w:rPr>
        <w:rFonts w:cs="Times New Roman"/>
      </w:rPr>
    </w:lvl>
    <w:lvl w:ilvl="3">
      <w:start w:val="1"/>
      <w:numFmt w:val="decimal"/>
      <w:lvlText w:val="%4."/>
      <w:lvlJc w:val="left"/>
      <w:pPr>
        <w:ind w:left="2203" w:hanging="480"/>
      </w:pPr>
      <w:rPr>
        <w:rFonts w:cs="Times New Roman"/>
      </w:rPr>
    </w:lvl>
    <w:lvl w:ilvl="4">
      <w:start w:val="1"/>
      <w:numFmt w:val="ideographTraditional"/>
      <w:lvlText w:val="%5、"/>
      <w:lvlJc w:val="left"/>
      <w:pPr>
        <w:ind w:left="2683" w:hanging="480"/>
      </w:pPr>
      <w:rPr>
        <w:rFonts w:cs="Times New Roman"/>
      </w:rPr>
    </w:lvl>
    <w:lvl w:ilvl="5">
      <w:start w:val="1"/>
      <w:numFmt w:val="lowerRoman"/>
      <w:lvlText w:val="%6."/>
      <w:lvlJc w:val="right"/>
      <w:pPr>
        <w:ind w:left="3163" w:hanging="480"/>
      </w:pPr>
      <w:rPr>
        <w:rFonts w:cs="Times New Roman"/>
      </w:rPr>
    </w:lvl>
    <w:lvl w:ilvl="6">
      <w:start w:val="1"/>
      <w:numFmt w:val="decimal"/>
      <w:lvlText w:val="%7."/>
      <w:lvlJc w:val="left"/>
      <w:pPr>
        <w:ind w:left="3643" w:hanging="480"/>
      </w:pPr>
      <w:rPr>
        <w:rFonts w:cs="Times New Roman"/>
      </w:rPr>
    </w:lvl>
    <w:lvl w:ilvl="7">
      <w:start w:val="1"/>
      <w:numFmt w:val="ideographTraditional"/>
      <w:lvlText w:val="%8、"/>
      <w:lvlJc w:val="left"/>
      <w:pPr>
        <w:ind w:left="4123" w:hanging="480"/>
      </w:pPr>
      <w:rPr>
        <w:rFonts w:cs="Times New Roman"/>
      </w:rPr>
    </w:lvl>
    <w:lvl w:ilvl="8">
      <w:start w:val="1"/>
      <w:numFmt w:val="lowerRoman"/>
      <w:lvlText w:val="%9."/>
      <w:lvlJc w:val="right"/>
      <w:pPr>
        <w:ind w:left="4603" w:hanging="480"/>
      </w:pPr>
      <w:rPr>
        <w:rFonts w:cs="Times New Roman"/>
      </w:rPr>
    </w:lvl>
  </w:abstractNum>
  <w:abstractNum w:abstractNumId="108" w15:restartNumberingAfterBreak="0">
    <w:nsid w:val="5C377EAD"/>
    <w:multiLevelType w:val="multilevel"/>
    <w:tmpl w:val="1938FE58"/>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9" w15:restartNumberingAfterBreak="0">
    <w:nsid w:val="5DEB43B0"/>
    <w:multiLevelType w:val="multilevel"/>
    <w:tmpl w:val="FBDE22A6"/>
    <w:styleLink w:val="LFO7"/>
    <w:lvl w:ilvl="0">
      <w:start w:val="1"/>
      <w:numFmt w:val="decimal"/>
      <w:pStyle w:val="05cm752"/>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0" w15:restartNumberingAfterBreak="0">
    <w:nsid w:val="5E0C4619"/>
    <w:multiLevelType w:val="multilevel"/>
    <w:tmpl w:val="E6D0646A"/>
    <w:lvl w:ilvl="0">
      <w:start w:val="1"/>
      <w:numFmt w:val="decimal"/>
      <w:lvlText w:val="%1."/>
      <w:lvlJc w:val="left"/>
      <w:pPr>
        <w:ind w:left="425" w:hanging="425"/>
      </w:pPr>
      <w:rPr>
        <w:rFonts w:ascii="Arial" w:hAnsi="Arial" w:cs="Arial"/>
        <w:sz w:val="20"/>
        <w:szCs w:val="24"/>
      </w:rPr>
    </w:lvl>
    <w:lvl w:ilvl="1">
      <w:start w:val="1"/>
      <w:numFmt w:val="ideographTraditional"/>
      <w:lvlText w:val="%2、"/>
      <w:lvlJc w:val="left"/>
      <w:pPr>
        <w:ind w:left="960" w:hanging="480"/>
      </w:pPr>
    </w:lvl>
    <w:lvl w:ilvl="2">
      <w:start w:val="1"/>
      <w:numFmt w:val="lowerRoman"/>
      <w:lvlText w:val="%3."/>
      <w:lvlJc w:val="right"/>
      <w:pPr>
        <w:ind w:left="1440" w:firstLine="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firstLine="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firstLine="0"/>
      </w:pPr>
    </w:lvl>
  </w:abstractNum>
  <w:abstractNum w:abstractNumId="111" w15:restartNumberingAfterBreak="0">
    <w:nsid w:val="5F200882"/>
    <w:multiLevelType w:val="multilevel"/>
    <w:tmpl w:val="45788156"/>
    <w:lvl w:ilvl="0">
      <w:start w:val="1"/>
      <w:numFmt w:val="decimal"/>
      <w:lvlText w:val="%1."/>
      <w:lvlJc w:val="left"/>
      <w:pPr>
        <w:ind w:left="763" w:hanging="480"/>
      </w:pPr>
      <w:rPr>
        <w:rFonts w:cs="Times New Roman"/>
      </w:rPr>
    </w:lvl>
    <w:lvl w:ilvl="1">
      <w:start w:val="1"/>
      <w:numFmt w:val="decimal"/>
      <w:lvlText w:val="%2."/>
      <w:lvlJc w:val="left"/>
      <w:pPr>
        <w:ind w:left="1243" w:hanging="480"/>
      </w:pPr>
      <w:rPr>
        <w:rFonts w:cs="Times New Roman"/>
      </w:rPr>
    </w:lvl>
    <w:lvl w:ilvl="2">
      <w:start w:val="1"/>
      <w:numFmt w:val="lowerRoman"/>
      <w:lvlText w:val="%3."/>
      <w:lvlJc w:val="right"/>
      <w:pPr>
        <w:ind w:left="1723" w:hanging="480"/>
      </w:pPr>
      <w:rPr>
        <w:rFonts w:cs="Times New Roman"/>
      </w:rPr>
    </w:lvl>
    <w:lvl w:ilvl="3">
      <w:start w:val="1"/>
      <w:numFmt w:val="decimal"/>
      <w:lvlText w:val="%4."/>
      <w:lvlJc w:val="left"/>
      <w:pPr>
        <w:ind w:left="2203" w:hanging="480"/>
      </w:pPr>
      <w:rPr>
        <w:rFonts w:cs="Times New Roman"/>
      </w:rPr>
    </w:lvl>
    <w:lvl w:ilvl="4">
      <w:start w:val="1"/>
      <w:numFmt w:val="ideographTraditional"/>
      <w:lvlText w:val="%5、"/>
      <w:lvlJc w:val="left"/>
      <w:pPr>
        <w:ind w:left="2683" w:hanging="480"/>
      </w:pPr>
      <w:rPr>
        <w:rFonts w:cs="Times New Roman"/>
      </w:rPr>
    </w:lvl>
    <w:lvl w:ilvl="5">
      <w:start w:val="1"/>
      <w:numFmt w:val="lowerRoman"/>
      <w:lvlText w:val="%6."/>
      <w:lvlJc w:val="right"/>
      <w:pPr>
        <w:ind w:left="3163" w:hanging="480"/>
      </w:pPr>
      <w:rPr>
        <w:rFonts w:cs="Times New Roman"/>
      </w:rPr>
    </w:lvl>
    <w:lvl w:ilvl="6">
      <w:start w:val="1"/>
      <w:numFmt w:val="decimal"/>
      <w:lvlText w:val="%7."/>
      <w:lvlJc w:val="left"/>
      <w:pPr>
        <w:ind w:left="3643" w:hanging="480"/>
      </w:pPr>
      <w:rPr>
        <w:rFonts w:cs="Times New Roman"/>
      </w:rPr>
    </w:lvl>
    <w:lvl w:ilvl="7">
      <w:start w:val="1"/>
      <w:numFmt w:val="ideographTraditional"/>
      <w:lvlText w:val="%8、"/>
      <w:lvlJc w:val="left"/>
      <w:pPr>
        <w:ind w:left="4123" w:hanging="480"/>
      </w:pPr>
      <w:rPr>
        <w:rFonts w:cs="Times New Roman"/>
      </w:rPr>
    </w:lvl>
    <w:lvl w:ilvl="8">
      <w:start w:val="1"/>
      <w:numFmt w:val="lowerRoman"/>
      <w:lvlText w:val="%9."/>
      <w:lvlJc w:val="right"/>
      <w:pPr>
        <w:ind w:left="4603" w:hanging="480"/>
      </w:pPr>
      <w:rPr>
        <w:rFonts w:cs="Times New Roman"/>
      </w:rPr>
    </w:lvl>
  </w:abstractNum>
  <w:abstractNum w:abstractNumId="112" w15:restartNumberingAfterBreak="0">
    <w:nsid w:val="61A3023C"/>
    <w:multiLevelType w:val="multilevel"/>
    <w:tmpl w:val="DEA02C52"/>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3" w15:restartNumberingAfterBreak="0">
    <w:nsid w:val="627A399F"/>
    <w:multiLevelType w:val="multilevel"/>
    <w:tmpl w:val="72C8C048"/>
    <w:lvl w:ilvl="0">
      <w:start w:val="1"/>
      <w:numFmt w:val="decimal"/>
      <w:lvlText w:val="(%1)"/>
      <w:lvlJc w:val="left"/>
      <w:pPr>
        <w:ind w:left="480" w:hanging="480"/>
      </w:pPr>
      <w:rPr>
        <w:rFonts w:eastAsia="標楷體"/>
        <w:b w:val="0"/>
        <w:i w:val="0"/>
        <w:sz w:val="20"/>
      </w:rPr>
    </w:lvl>
    <w:lvl w:ilvl="1">
      <w:start w:val="1"/>
      <w:numFmt w:val="ideographTraditional"/>
      <w:lvlText w:val="%2、"/>
      <w:lvlJc w:val="left"/>
      <w:pPr>
        <w:ind w:left="960" w:hanging="480"/>
      </w:pPr>
    </w:lvl>
    <w:lvl w:ilvl="2">
      <w:start w:val="1"/>
      <w:numFmt w:val="upperRoman"/>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4" w15:restartNumberingAfterBreak="0">
    <w:nsid w:val="633838E9"/>
    <w:multiLevelType w:val="multilevel"/>
    <w:tmpl w:val="21807060"/>
    <w:lvl w:ilvl="0">
      <w:start w:val="1"/>
      <w:numFmt w:val="taiwaneseCountingThousand"/>
      <w:lvlText w:val="(%1)"/>
      <w:lvlJc w:val="left"/>
      <w:pPr>
        <w:ind w:left="790" w:hanging="480"/>
      </w:pPr>
      <w:rPr>
        <w:rFonts w:eastAsia="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5" w15:restartNumberingAfterBreak="0">
    <w:nsid w:val="6346319E"/>
    <w:multiLevelType w:val="multilevel"/>
    <w:tmpl w:val="62C49966"/>
    <w:lvl w:ilvl="0">
      <w:numFmt w:val="bullet"/>
      <w:lvlText w:val=""/>
      <w:lvlJc w:val="left"/>
      <w:rPr>
        <w:rFonts w:ascii="Wingdings" w:hAnsi="Wingdings"/>
        <w:sz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6" w15:restartNumberingAfterBreak="0">
    <w:nsid w:val="634936CA"/>
    <w:multiLevelType w:val="multilevel"/>
    <w:tmpl w:val="38EAEE3E"/>
    <w:lvl w:ilvl="0">
      <w:numFmt w:val="bullet"/>
      <w:lvlText w:val="□"/>
      <w:lvlJc w:val="left"/>
      <w:pPr>
        <w:ind w:left="48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7" w15:restartNumberingAfterBreak="0">
    <w:nsid w:val="6407309F"/>
    <w:multiLevelType w:val="multilevel"/>
    <w:tmpl w:val="EC42306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8" w15:restartNumberingAfterBreak="0">
    <w:nsid w:val="65082B2E"/>
    <w:multiLevelType w:val="multilevel"/>
    <w:tmpl w:val="9AE0EAF0"/>
    <w:styleLink w:val="LFO8"/>
    <w:lvl w:ilvl="0">
      <w:start w:val="1"/>
      <w:numFmt w:val="decimal"/>
      <w:pStyle w:val="a0"/>
      <w:lvlText w:val="（%1）"/>
      <w:lvlJc w:val="left"/>
      <w:pPr>
        <w:ind w:left="1200" w:hanging="720"/>
      </w:pPr>
      <w:rPr>
        <w:lang w:val="en-US"/>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19" w15:restartNumberingAfterBreak="0">
    <w:nsid w:val="655B0F6C"/>
    <w:multiLevelType w:val="multilevel"/>
    <w:tmpl w:val="B3B4A174"/>
    <w:lvl w:ilvl="0">
      <w:start w:val="1"/>
      <w:numFmt w:val="decimal"/>
      <w:lvlText w:val="%1."/>
      <w:lvlJc w:val="left"/>
      <w:pPr>
        <w:ind w:left="1047" w:hanging="48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20" w15:restartNumberingAfterBreak="0">
    <w:nsid w:val="65C63475"/>
    <w:multiLevelType w:val="multilevel"/>
    <w:tmpl w:val="639CD8C0"/>
    <w:lvl w:ilvl="0">
      <w:start w:val="1"/>
      <w:numFmt w:val="decimal"/>
      <w:lvlText w:val="(%1)"/>
      <w:lvlJc w:val="left"/>
      <w:pPr>
        <w:ind w:left="1397" w:hanging="720"/>
      </w:pPr>
      <w:rPr>
        <w:u w:val="none"/>
      </w:rPr>
    </w:lvl>
    <w:lvl w:ilvl="1">
      <w:start w:val="1"/>
      <w:numFmt w:val="ideographTraditional"/>
      <w:lvlText w:val="%2、"/>
      <w:lvlJc w:val="left"/>
      <w:pPr>
        <w:ind w:left="1637" w:hanging="480"/>
      </w:pPr>
    </w:lvl>
    <w:lvl w:ilvl="2">
      <w:start w:val="1"/>
      <w:numFmt w:val="lowerRoman"/>
      <w:lvlText w:val="%3."/>
      <w:lvlJc w:val="right"/>
      <w:pPr>
        <w:ind w:left="2117" w:hanging="480"/>
      </w:pPr>
    </w:lvl>
    <w:lvl w:ilvl="3">
      <w:start w:val="1"/>
      <w:numFmt w:val="decimal"/>
      <w:lvlText w:val="%4."/>
      <w:lvlJc w:val="left"/>
      <w:pPr>
        <w:ind w:left="2597" w:hanging="480"/>
      </w:pPr>
    </w:lvl>
    <w:lvl w:ilvl="4">
      <w:start w:val="1"/>
      <w:numFmt w:val="ideographTraditional"/>
      <w:lvlText w:val="%5、"/>
      <w:lvlJc w:val="left"/>
      <w:pPr>
        <w:ind w:left="3077" w:hanging="480"/>
      </w:pPr>
    </w:lvl>
    <w:lvl w:ilvl="5">
      <w:start w:val="1"/>
      <w:numFmt w:val="lowerRoman"/>
      <w:lvlText w:val="%6."/>
      <w:lvlJc w:val="right"/>
      <w:pPr>
        <w:ind w:left="3557" w:hanging="480"/>
      </w:pPr>
    </w:lvl>
    <w:lvl w:ilvl="6">
      <w:start w:val="1"/>
      <w:numFmt w:val="decimal"/>
      <w:lvlText w:val="%7."/>
      <w:lvlJc w:val="left"/>
      <w:pPr>
        <w:ind w:left="4037" w:hanging="480"/>
      </w:pPr>
    </w:lvl>
    <w:lvl w:ilvl="7">
      <w:start w:val="1"/>
      <w:numFmt w:val="ideographTraditional"/>
      <w:lvlText w:val="%8、"/>
      <w:lvlJc w:val="left"/>
      <w:pPr>
        <w:ind w:left="4517" w:hanging="480"/>
      </w:pPr>
    </w:lvl>
    <w:lvl w:ilvl="8">
      <w:start w:val="1"/>
      <w:numFmt w:val="lowerRoman"/>
      <w:lvlText w:val="%9."/>
      <w:lvlJc w:val="right"/>
      <w:pPr>
        <w:ind w:left="4997" w:hanging="480"/>
      </w:pPr>
    </w:lvl>
  </w:abstractNum>
  <w:abstractNum w:abstractNumId="121" w15:restartNumberingAfterBreak="0">
    <w:nsid w:val="65F360C6"/>
    <w:multiLevelType w:val="multilevel"/>
    <w:tmpl w:val="BD3648D0"/>
    <w:lvl w:ilvl="0">
      <w:start w:val="1"/>
      <w:numFmt w:val="decimal"/>
      <w:lvlText w:val="%1."/>
      <w:lvlJc w:val="left"/>
      <w:pPr>
        <w:ind w:left="797" w:hanging="480"/>
      </w:pPr>
      <w:rPr>
        <w:rFonts w:cs="Times New Roman"/>
      </w:rPr>
    </w:lvl>
    <w:lvl w:ilvl="1">
      <w:start w:val="1"/>
      <w:numFmt w:val="ideographTraditional"/>
      <w:lvlText w:val="%2、"/>
      <w:lvlJc w:val="left"/>
      <w:pPr>
        <w:ind w:left="514" w:hanging="480"/>
      </w:pPr>
    </w:lvl>
    <w:lvl w:ilvl="2">
      <w:start w:val="1"/>
      <w:numFmt w:val="lowerRoman"/>
      <w:lvlText w:val="%3."/>
      <w:lvlJc w:val="right"/>
      <w:pPr>
        <w:ind w:left="994" w:hanging="480"/>
      </w:pPr>
    </w:lvl>
    <w:lvl w:ilvl="3">
      <w:start w:val="1"/>
      <w:numFmt w:val="decimal"/>
      <w:lvlText w:val="%4."/>
      <w:lvlJc w:val="left"/>
      <w:pPr>
        <w:ind w:left="1474" w:hanging="480"/>
      </w:pPr>
    </w:lvl>
    <w:lvl w:ilvl="4">
      <w:start w:val="1"/>
      <w:numFmt w:val="ideographTraditional"/>
      <w:lvlText w:val="%5、"/>
      <w:lvlJc w:val="left"/>
      <w:pPr>
        <w:ind w:left="1954" w:hanging="480"/>
      </w:pPr>
    </w:lvl>
    <w:lvl w:ilvl="5">
      <w:start w:val="1"/>
      <w:numFmt w:val="lowerRoman"/>
      <w:lvlText w:val="%6."/>
      <w:lvlJc w:val="right"/>
      <w:pPr>
        <w:ind w:left="2434" w:hanging="480"/>
      </w:pPr>
    </w:lvl>
    <w:lvl w:ilvl="6">
      <w:start w:val="1"/>
      <w:numFmt w:val="decimal"/>
      <w:lvlText w:val="%7."/>
      <w:lvlJc w:val="left"/>
      <w:pPr>
        <w:ind w:left="2914" w:hanging="480"/>
      </w:pPr>
    </w:lvl>
    <w:lvl w:ilvl="7">
      <w:start w:val="1"/>
      <w:numFmt w:val="ideographTraditional"/>
      <w:lvlText w:val="%8、"/>
      <w:lvlJc w:val="left"/>
      <w:pPr>
        <w:ind w:left="3394" w:hanging="480"/>
      </w:pPr>
    </w:lvl>
    <w:lvl w:ilvl="8">
      <w:start w:val="1"/>
      <w:numFmt w:val="lowerRoman"/>
      <w:lvlText w:val="%9."/>
      <w:lvlJc w:val="right"/>
      <w:pPr>
        <w:ind w:left="3874" w:hanging="480"/>
      </w:pPr>
    </w:lvl>
  </w:abstractNum>
  <w:abstractNum w:abstractNumId="122" w15:restartNumberingAfterBreak="0">
    <w:nsid w:val="67FE3C4E"/>
    <w:multiLevelType w:val="multilevel"/>
    <w:tmpl w:val="5E1260D4"/>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15:restartNumberingAfterBreak="0">
    <w:nsid w:val="68664F8E"/>
    <w:multiLevelType w:val="multilevel"/>
    <w:tmpl w:val="7512B9D2"/>
    <w:lvl w:ilvl="0">
      <w:numFmt w:val="bullet"/>
      <w:lvlText w:val="□"/>
      <w:lvlJc w:val="left"/>
      <w:pPr>
        <w:ind w:left="330" w:hanging="330"/>
      </w:pPr>
      <w:rPr>
        <w:rFonts w:ascii="全真楷書" w:hAnsi="全真楷書"/>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4" w15:restartNumberingAfterBreak="0">
    <w:nsid w:val="68BF45CD"/>
    <w:multiLevelType w:val="multilevel"/>
    <w:tmpl w:val="3A38D4EC"/>
    <w:lvl w:ilvl="0">
      <w:start w:val="1"/>
      <w:numFmt w:val="decimal"/>
      <w:lvlText w:val="(%1)"/>
      <w:lvlJc w:val="left"/>
      <w:pPr>
        <w:ind w:left="1397" w:hanging="720"/>
      </w:pPr>
    </w:lvl>
    <w:lvl w:ilvl="1">
      <w:start w:val="1"/>
      <w:numFmt w:val="ideographTraditional"/>
      <w:lvlText w:val="%2、"/>
      <w:lvlJc w:val="left"/>
      <w:pPr>
        <w:ind w:left="1637" w:hanging="480"/>
      </w:pPr>
    </w:lvl>
    <w:lvl w:ilvl="2">
      <w:start w:val="1"/>
      <w:numFmt w:val="lowerRoman"/>
      <w:lvlText w:val="%3."/>
      <w:lvlJc w:val="right"/>
      <w:pPr>
        <w:ind w:left="2117" w:hanging="480"/>
      </w:pPr>
    </w:lvl>
    <w:lvl w:ilvl="3">
      <w:start w:val="1"/>
      <w:numFmt w:val="decimal"/>
      <w:lvlText w:val="%4."/>
      <w:lvlJc w:val="left"/>
      <w:pPr>
        <w:ind w:left="2597" w:hanging="480"/>
      </w:pPr>
    </w:lvl>
    <w:lvl w:ilvl="4">
      <w:start w:val="1"/>
      <w:numFmt w:val="ideographTraditional"/>
      <w:lvlText w:val="%5、"/>
      <w:lvlJc w:val="left"/>
      <w:pPr>
        <w:ind w:left="3077" w:hanging="480"/>
      </w:pPr>
    </w:lvl>
    <w:lvl w:ilvl="5">
      <w:start w:val="1"/>
      <w:numFmt w:val="lowerRoman"/>
      <w:lvlText w:val="%6."/>
      <w:lvlJc w:val="right"/>
      <w:pPr>
        <w:ind w:left="3557" w:hanging="480"/>
      </w:pPr>
    </w:lvl>
    <w:lvl w:ilvl="6">
      <w:start w:val="1"/>
      <w:numFmt w:val="decimal"/>
      <w:lvlText w:val="%7."/>
      <w:lvlJc w:val="left"/>
      <w:pPr>
        <w:ind w:left="4037" w:hanging="480"/>
      </w:pPr>
    </w:lvl>
    <w:lvl w:ilvl="7">
      <w:start w:val="1"/>
      <w:numFmt w:val="ideographTraditional"/>
      <w:lvlText w:val="%8、"/>
      <w:lvlJc w:val="left"/>
      <w:pPr>
        <w:ind w:left="4517" w:hanging="480"/>
      </w:pPr>
    </w:lvl>
    <w:lvl w:ilvl="8">
      <w:start w:val="1"/>
      <w:numFmt w:val="lowerRoman"/>
      <w:lvlText w:val="%9."/>
      <w:lvlJc w:val="right"/>
      <w:pPr>
        <w:ind w:left="4997" w:hanging="480"/>
      </w:pPr>
    </w:lvl>
  </w:abstractNum>
  <w:abstractNum w:abstractNumId="125" w15:restartNumberingAfterBreak="0">
    <w:nsid w:val="69C45F35"/>
    <w:multiLevelType w:val="multilevel"/>
    <w:tmpl w:val="7D52349A"/>
    <w:lvl w:ilvl="0">
      <w:start w:val="1"/>
      <w:numFmt w:val="decimal"/>
      <w:lvlText w:val="%1."/>
      <w:lvlJc w:val="left"/>
      <w:pPr>
        <w:ind w:left="480" w:hanging="480"/>
      </w:pPr>
    </w:lvl>
    <w:lvl w:ilvl="1">
      <w:start w:val="1"/>
      <w:numFmt w:val="decimal"/>
      <w:suff w:val="nothing"/>
      <w:lvlText w:val="(%2)"/>
      <w:lvlJc w:val="left"/>
      <w:pPr>
        <w:ind w:left="840" w:hanging="360"/>
      </w:pPr>
    </w:lvl>
    <w:lvl w:ilvl="2">
      <w:start w:val="1"/>
      <w:numFmt w:val="upperRoman"/>
      <w:lvlText w:val="%3."/>
      <w:lvlJc w:val="left"/>
      <w:pPr>
        <w:ind w:left="1584" w:hanging="792"/>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6" w15:restartNumberingAfterBreak="0">
    <w:nsid w:val="69F64135"/>
    <w:multiLevelType w:val="multilevel"/>
    <w:tmpl w:val="9F3A22A0"/>
    <w:lvl w:ilvl="0">
      <w:start w:val="1"/>
      <w:numFmt w:val="decimal"/>
      <w:lvlText w:val="(%1)"/>
      <w:lvlJc w:val="left"/>
      <w:pPr>
        <w:ind w:left="1397" w:hanging="720"/>
      </w:pPr>
      <w:rPr>
        <w:u w:val="none"/>
      </w:rPr>
    </w:lvl>
    <w:lvl w:ilvl="1">
      <w:start w:val="1"/>
      <w:numFmt w:val="ideographTraditional"/>
      <w:lvlText w:val="%2、"/>
      <w:lvlJc w:val="left"/>
      <w:pPr>
        <w:ind w:left="1637" w:hanging="480"/>
      </w:pPr>
    </w:lvl>
    <w:lvl w:ilvl="2">
      <w:start w:val="1"/>
      <w:numFmt w:val="lowerRoman"/>
      <w:lvlText w:val="%3."/>
      <w:lvlJc w:val="right"/>
      <w:pPr>
        <w:ind w:left="2117" w:hanging="480"/>
      </w:pPr>
    </w:lvl>
    <w:lvl w:ilvl="3">
      <w:start w:val="1"/>
      <w:numFmt w:val="decimal"/>
      <w:lvlText w:val="%4."/>
      <w:lvlJc w:val="left"/>
      <w:pPr>
        <w:ind w:left="2597" w:hanging="480"/>
      </w:pPr>
    </w:lvl>
    <w:lvl w:ilvl="4">
      <w:start w:val="1"/>
      <w:numFmt w:val="ideographTraditional"/>
      <w:lvlText w:val="%5、"/>
      <w:lvlJc w:val="left"/>
      <w:pPr>
        <w:ind w:left="3077" w:hanging="480"/>
      </w:pPr>
    </w:lvl>
    <w:lvl w:ilvl="5">
      <w:start w:val="1"/>
      <w:numFmt w:val="lowerRoman"/>
      <w:lvlText w:val="%6."/>
      <w:lvlJc w:val="right"/>
      <w:pPr>
        <w:ind w:left="3557" w:hanging="480"/>
      </w:pPr>
    </w:lvl>
    <w:lvl w:ilvl="6">
      <w:start w:val="1"/>
      <w:numFmt w:val="decimal"/>
      <w:lvlText w:val="%7."/>
      <w:lvlJc w:val="left"/>
      <w:pPr>
        <w:ind w:left="4037" w:hanging="480"/>
      </w:pPr>
    </w:lvl>
    <w:lvl w:ilvl="7">
      <w:start w:val="1"/>
      <w:numFmt w:val="ideographTraditional"/>
      <w:lvlText w:val="%8、"/>
      <w:lvlJc w:val="left"/>
      <w:pPr>
        <w:ind w:left="4517" w:hanging="480"/>
      </w:pPr>
    </w:lvl>
    <w:lvl w:ilvl="8">
      <w:start w:val="1"/>
      <w:numFmt w:val="lowerRoman"/>
      <w:lvlText w:val="%9."/>
      <w:lvlJc w:val="right"/>
      <w:pPr>
        <w:ind w:left="4997" w:hanging="480"/>
      </w:pPr>
    </w:lvl>
  </w:abstractNum>
  <w:abstractNum w:abstractNumId="127" w15:restartNumberingAfterBreak="0">
    <w:nsid w:val="6A6D1982"/>
    <w:multiLevelType w:val="multilevel"/>
    <w:tmpl w:val="701C7ECE"/>
    <w:lvl w:ilvl="0">
      <w:numFmt w:val="bullet"/>
      <w:lvlText w:val="□"/>
      <w:lvlJc w:val="left"/>
      <w:pPr>
        <w:ind w:left="495" w:hanging="495"/>
      </w:pPr>
      <w:rPr>
        <w:rFonts w:ascii="全真楷書" w:eastAsia="全真楷書" w:hAnsi="全真楷書"/>
        <w:b w:val="0"/>
        <w:bCs w:val="0"/>
        <w:i w:val="0"/>
        <w:iCs w:val="0"/>
        <w:sz w:val="32"/>
        <w:szCs w:val="3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8" w15:restartNumberingAfterBreak="0">
    <w:nsid w:val="6B9C0E5C"/>
    <w:multiLevelType w:val="multilevel"/>
    <w:tmpl w:val="0428F296"/>
    <w:lvl w:ilvl="0">
      <w:start w:val="1"/>
      <w:numFmt w:val="decimal"/>
      <w:lvlText w:val="%1."/>
      <w:lvlJc w:val="left"/>
      <w:pPr>
        <w:ind w:left="1222" w:hanging="480"/>
      </w:pPr>
      <w:rPr>
        <w:b w:val="0"/>
        <w:i w:val="0"/>
        <w:sz w:val="28"/>
      </w:rPr>
    </w:lvl>
    <w:lvl w:ilvl="1">
      <w:start w:val="1"/>
      <w:numFmt w:val="ideographTraditional"/>
      <w:lvlText w:val="%2、"/>
      <w:lvlJc w:val="left"/>
      <w:pPr>
        <w:ind w:left="1702" w:hanging="480"/>
      </w:pPr>
    </w:lvl>
    <w:lvl w:ilvl="2">
      <w:start w:val="1"/>
      <w:numFmt w:val="lowerRoman"/>
      <w:lvlText w:val="%3."/>
      <w:lvlJc w:val="right"/>
      <w:pPr>
        <w:ind w:left="2182" w:hanging="480"/>
      </w:pPr>
    </w:lvl>
    <w:lvl w:ilvl="3">
      <w:start w:val="1"/>
      <w:numFmt w:val="decimal"/>
      <w:lvlText w:val="%4."/>
      <w:lvlJc w:val="left"/>
      <w:pPr>
        <w:ind w:left="2662" w:hanging="480"/>
      </w:pPr>
    </w:lvl>
    <w:lvl w:ilvl="4">
      <w:start w:val="1"/>
      <w:numFmt w:val="ideographTraditional"/>
      <w:lvlText w:val="%5、"/>
      <w:lvlJc w:val="left"/>
      <w:pPr>
        <w:ind w:left="3142" w:hanging="480"/>
      </w:pPr>
    </w:lvl>
    <w:lvl w:ilvl="5">
      <w:start w:val="1"/>
      <w:numFmt w:val="lowerRoman"/>
      <w:lvlText w:val="%6."/>
      <w:lvlJc w:val="right"/>
      <w:pPr>
        <w:ind w:left="3622" w:hanging="480"/>
      </w:pPr>
    </w:lvl>
    <w:lvl w:ilvl="6">
      <w:start w:val="1"/>
      <w:numFmt w:val="decimal"/>
      <w:lvlText w:val="%7."/>
      <w:lvlJc w:val="left"/>
      <w:pPr>
        <w:ind w:left="4102" w:hanging="480"/>
      </w:pPr>
    </w:lvl>
    <w:lvl w:ilvl="7">
      <w:start w:val="1"/>
      <w:numFmt w:val="ideographTraditional"/>
      <w:lvlText w:val="%8、"/>
      <w:lvlJc w:val="left"/>
      <w:pPr>
        <w:ind w:left="4582" w:hanging="480"/>
      </w:pPr>
    </w:lvl>
    <w:lvl w:ilvl="8">
      <w:start w:val="1"/>
      <w:numFmt w:val="lowerRoman"/>
      <w:lvlText w:val="%9."/>
      <w:lvlJc w:val="right"/>
      <w:pPr>
        <w:ind w:left="5062" w:hanging="480"/>
      </w:pPr>
    </w:lvl>
  </w:abstractNum>
  <w:abstractNum w:abstractNumId="129" w15:restartNumberingAfterBreak="0">
    <w:nsid w:val="6D174DA7"/>
    <w:multiLevelType w:val="multilevel"/>
    <w:tmpl w:val="AD2601C0"/>
    <w:lvl w:ilvl="0">
      <w:numFmt w:val="bullet"/>
      <w:lvlText w:val="□"/>
      <w:lvlJc w:val="left"/>
      <w:pPr>
        <w:ind w:left="720" w:hanging="360"/>
      </w:pPr>
      <w:rPr>
        <w:rFonts w:ascii="標楷體" w:hAnsi="標楷體"/>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15:restartNumberingAfterBreak="0">
    <w:nsid w:val="6F2A6FCE"/>
    <w:multiLevelType w:val="multilevel"/>
    <w:tmpl w:val="066CB49A"/>
    <w:lvl w:ilvl="0">
      <w:start w:val="1"/>
      <w:numFmt w:val="decimal"/>
      <w:lvlText w:val="%1."/>
      <w:lvlJc w:val="left"/>
      <w:pPr>
        <w:ind w:left="360" w:hanging="360"/>
      </w:pPr>
      <w:rPr>
        <w:rFonts w:ascii="新細明體" w:hAnsi="新細明體" w:cs="Times New Roman"/>
      </w:r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1" w15:restartNumberingAfterBreak="0">
    <w:nsid w:val="6F916CD1"/>
    <w:multiLevelType w:val="multilevel"/>
    <w:tmpl w:val="A1D883FE"/>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2" w15:restartNumberingAfterBreak="0">
    <w:nsid w:val="700828FA"/>
    <w:multiLevelType w:val="multilevel"/>
    <w:tmpl w:val="53F0AAC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3" w15:restartNumberingAfterBreak="0">
    <w:nsid w:val="70280782"/>
    <w:multiLevelType w:val="multilevel"/>
    <w:tmpl w:val="5640557A"/>
    <w:lvl w:ilvl="0">
      <w:start w:val="1"/>
      <w:numFmt w:val="upperRoman"/>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34" w15:restartNumberingAfterBreak="0">
    <w:nsid w:val="706656AD"/>
    <w:multiLevelType w:val="multilevel"/>
    <w:tmpl w:val="EF2621C2"/>
    <w:lvl w:ilvl="0">
      <w:start w:val="1"/>
      <w:numFmt w:val="upperLett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5" w15:restartNumberingAfterBreak="0">
    <w:nsid w:val="72D40312"/>
    <w:multiLevelType w:val="multilevel"/>
    <w:tmpl w:val="FFF61114"/>
    <w:lvl w:ilvl="0">
      <w:start w:val="1"/>
      <w:numFmt w:val="decimal"/>
      <w:lvlText w:val="%1."/>
      <w:lvlJc w:val="left"/>
      <w:pPr>
        <w:ind w:left="643" w:hanging="360"/>
      </w:pPr>
      <w:rPr>
        <w:rFonts w:ascii="標楷體" w:eastAsia="標楷體" w:hAnsi="標楷體"/>
        <w:sz w:val="24"/>
        <w:szCs w:val="24"/>
        <w:u w:val="none"/>
      </w:rPr>
    </w:lvl>
    <w:lvl w:ilvl="1">
      <w:start w:val="1"/>
      <w:numFmt w:val="ideographTraditional"/>
      <w:lvlText w:val="%2、"/>
      <w:lvlJc w:val="left"/>
      <w:pPr>
        <w:ind w:left="1243" w:hanging="480"/>
      </w:pPr>
    </w:lvl>
    <w:lvl w:ilvl="2">
      <w:start w:val="1"/>
      <w:numFmt w:val="decimal"/>
      <w:lvlText w:val="(%3)"/>
      <w:lvlJc w:val="left"/>
      <w:pPr>
        <w:ind w:left="1963" w:hanging="720"/>
      </w:pPr>
      <w:rPr>
        <w:u w:val="none"/>
      </w:rPr>
    </w:lvl>
    <w:lvl w:ilvl="3">
      <w:start w:val="1"/>
      <w:numFmt w:val="decimal"/>
      <w:lvlText w:val="%4."/>
      <w:lvlJc w:val="left"/>
      <w:pPr>
        <w:ind w:left="2203" w:hanging="480"/>
      </w:pPr>
    </w:lvl>
    <w:lvl w:ilvl="4">
      <w:start w:val="1"/>
      <w:numFmt w:val="ideographTraditional"/>
      <w:lvlText w:val="%5、"/>
      <w:lvlJc w:val="left"/>
      <w:pPr>
        <w:ind w:left="2683" w:hanging="480"/>
      </w:pPr>
    </w:lvl>
    <w:lvl w:ilvl="5">
      <w:start w:val="1"/>
      <w:numFmt w:val="lowerRoman"/>
      <w:lvlText w:val="%6."/>
      <w:lvlJc w:val="right"/>
      <w:pPr>
        <w:ind w:left="3163" w:hanging="480"/>
      </w:pPr>
    </w:lvl>
    <w:lvl w:ilvl="6">
      <w:start w:val="1"/>
      <w:numFmt w:val="decimal"/>
      <w:lvlText w:val="%7."/>
      <w:lvlJc w:val="left"/>
      <w:pPr>
        <w:ind w:left="3643" w:hanging="480"/>
      </w:pPr>
    </w:lvl>
    <w:lvl w:ilvl="7">
      <w:start w:val="1"/>
      <w:numFmt w:val="ideographTraditional"/>
      <w:lvlText w:val="%8、"/>
      <w:lvlJc w:val="left"/>
      <w:pPr>
        <w:ind w:left="4123" w:hanging="480"/>
      </w:pPr>
    </w:lvl>
    <w:lvl w:ilvl="8">
      <w:start w:val="1"/>
      <w:numFmt w:val="lowerRoman"/>
      <w:lvlText w:val="%9."/>
      <w:lvlJc w:val="right"/>
      <w:pPr>
        <w:ind w:left="4603" w:hanging="480"/>
      </w:pPr>
    </w:lvl>
  </w:abstractNum>
  <w:abstractNum w:abstractNumId="136" w15:restartNumberingAfterBreak="0">
    <w:nsid w:val="74763553"/>
    <w:multiLevelType w:val="multilevel"/>
    <w:tmpl w:val="E3302A38"/>
    <w:lvl w:ilvl="0">
      <w:start w:val="1"/>
      <w:numFmt w:val="decimal"/>
      <w:lvlText w:val="%1."/>
      <w:lvlJc w:val="left"/>
      <w:pPr>
        <w:ind w:left="24" w:hanging="480"/>
      </w:pPr>
    </w:lvl>
    <w:lvl w:ilvl="1">
      <w:start w:val="1"/>
      <w:numFmt w:val="decimal"/>
      <w:suff w:val="nothing"/>
      <w:lvlText w:val="(%2)"/>
      <w:lvlJc w:val="left"/>
      <w:pPr>
        <w:ind w:left="384" w:hanging="360"/>
      </w:pPr>
    </w:lvl>
    <w:lvl w:ilvl="2">
      <w:start w:val="1"/>
      <w:numFmt w:val="lowerRoman"/>
      <w:lvlText w:val="%3."/>
      <w:lvlJc w:val="right"/>
      <w:pPr>
        <w:ind w:left="984" w:hanging="480"/>
      </w:pPr>
    </w:lvl>
    <w:lvl w:ilvl="3">
      <w:start w:val="1"/>
      <w:numFmt w:val="decimal"/>
      <w:lvlText w:val="%4."/>
      <w:lvlJc w:val="left"/>
      <w:pPr>
        <w:ind w:left="1464" w:hanging="480"/>
      </w:pPr>
    </w:lvl>
    <w:lvl w:ilvl="4">
      <w:start w:val="1"/>
      <w:numFmt w:val="ideographTraditional"/>
      <w:lvlText w:val="%5、"/>
      <w:lvlJc w:val="left"/>
      <w:pPr>
        <w:ind w:left="1944" w:hanging="480"/>
      </w:pPr>
    </w:lvl>
    <w:lvl w:ilvl="5">
      <w:start w:val="1"/>
      <w:numFmt w:val="lowerRoman"/>
      <w:lvlText w:val="%6."/>
      <w:lvlJc w:val="right"/>
      <w:pPr>
        <w:ind w:left="2424" w:hanging="480"/>
      </w:pPr>
    </w:lvl>
    <w:lvl w:ilvl="6">
      <w:start w:val="1"/>
      <w:numFmt w:val="decimal"/>
      <w:lvlText w:val="%7."/>
      <w:lvlJc w:val="left"/>
      <w:pPr>
        <w:ind w:left="2904" w:hanging="480"/>
      </w:pPr>
    </w:lvl>
    <w:lvl w:ilvl="7">
      <w:start w:val="1"/>
      <w:numFmt w:val="ideographTraditional"/>
      <w:lvlText w:val="%8、"/>
      <w:lvlJc w:val="left"/>
      <w:pPr>
        <w:ind w:left="3384" w:hanging="480"/>
      </w:pPr>
    </w:lvl>
    <w:lvl w:ilvl="8">
      <w:start w:val="1"/>
      <w:numFmt w:val="lowerRoman"/>
      <w:lvlText w:val="%9."/>
      <w:lvlJc w:val="right"/>
      <w:pPr>
        <w:ind w:left="3864" w:hanging="480"/>
      </w:pPr>
    </w:lvl>
  </w:abstractNum>
  <w:abstractNum w:abstractNumId="137" w15:restartNumberingAfterBreak="0">
    <w:nsid w:val="77414F73"/>
    <w:multiLevelType w:val="multilevel"/>
    <w:tmpl w:val="4788B5F4"/>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8" w15:restartNumberingAfterBreak="0">
    <w:nsid w:val="788D7FE6"/>
    <w:multiLevelType w:val="multilevel"/>
    <w:tmpl w:val="E7E83374"/>
    <w:lvl w:ilvl="0">
      <w:start w:val="1"/>
      <w:numFmt w:val="decimal"/>
      <w:lvlText w:val="%1."/>
      <w:lvlJc w:val="left"/>
      <w:pPr>
        <w:ind w:left="1361" w:hanging="598"/>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9" w15:restartNumberingAfterBreak="0">
    <w:nsid w:val="79C67E1E"/>
    <w:multiLevelType w:val="multilevel"/>
    <w:tmpl w:val="4306A9DA"/>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0" w15:restartNumberingAfterBreak="0">
    <w:nsid w:val="7A5201BF"/>
    <w:multiLevelType w:val="hybridMultilevel"/>
    <w:tmpl w:val="33DCC792"/>
    <w:lvl w:ilvl="0" w:tplc="B95202AA">
      <w:start w:val="1"/>
      <w:numFmt w:val="decimal"/>
      <w:lvlText w:val="(%1)"/>
      <w:lvlJc w:val="left"/>
      <w:pPr>
        <w:ind w:left="480"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7A7A6509"/>
    <w:multiLevelType w:val="multilevel"/>
    <w:tmpl w:val="AC1AE082"/>
    <w:lvl w:ilvl="0">
      <w:numFmt w:val="bullet"/>
      <w:lvlText w:val="□"/>
      <w:lvlJc w:val="left"/>
      <w:pPr>
        <w:ind w:left="360" w:hanging="360"/>
      </w:pPr>
      <w:rPr>
        <w:rFonts w:ascii="新細明體" w:eastAsia="新細明體" w:hAnsi="新細明體"/>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142" w15:restartNumberingAfterBreak="0">
    <w:nsid w:val="7B5549AC"/>
    <w:multiLevelType w:val="multilevel"/>
    <w:tmpl w:val="FA064440"/>
    <w:lvl w:ilvl="0">
      <w:start w:val="1"/>
      <w:numFmt w:val="decimal"/>
      <w:lvlText w:val="%1."/>
      <w:lvlJc w:val="left"/>
      <w:pPr>
        <w:ind w:left="763" w:hanging="480"/>
      </w:pPr>
      <w:rPr>
        <w:rFonts w:cs="Times New Roman"/>
      </w:rPr>
    </w:lvl>
    <w:lvl w:ilvl="1">
      <w:start w:val="1"/>
      <w:numFmt w:val="decimal"/>
      <w:lvlText w:val="%2."/>
      <w:lvlJc w:val="left"/>
      <w:pPr>
        <w:ind w:left="1243" w:hanging="480"/>
      </w:pPr>
      <w:rPr>
        <w:rFonts w:cs="Times New Roman"/>
      </w:rPr>
    </w:lvl>
    <w:lvl w:ilvl="2">
      <w:start w:val="1"/>
      <w:numFmt w:val="lowerRoman"/>
      <w:lvlText w:val="%3."/>
      <w:lvlJc w:val="right"/>
      <w:pPr>
        <w:ind w:left="1723" w:hanging="480"/>
      </w:pPr>
      <w:rPr>
        <w:rFonts w:cs="Times New Roman"/>
      </w:rPr>
    </w:lvl>
    <w:lvl w:ilvl="3">
      <w:start w:val="1"/>
      <w:numFmt w:val="decimal"/>
      <w:lvlText w:val="%4."/>
      <w:lvlJc w:val="left"/>
      <w:pPr>
        <w:ind w:left="2203" w:hanging="480"/>
      </w:pPr>
      <w:rPr>
        <w:rFonts w:cs="Times New Roman"/>
      </w:rPr>
    </w:lvl>
    <w:lvl w:ilvl="4">
      <w:start w:val="1"/>
      <w:numFmt w:val="ideographTraditional"/>
      <w:lvlText w:val="%5、"/>
      <w:lvlJc w:val="left"/>
      <w:pPr>
        <w:ind w:left="2683" w:hanging="480"/>
      </w:pPr>
      <w:rPr>
        <w:rFonts w:cs="Times New Roman"/>
      </w:rPr>
    </w:lvl>
    <w:lvl w:ilvl="5">
      <w:start w:val="1"/>
      <w:numFmt w:val="lowerRoman"/>
      <w:lvlText w:val="%6."/>
      <w:lvlJc w:val="right"/>
      <w:pPr>
        <w:ind w:left="3163" w:hanging="480"/>
      </w:pPr>
      <w:rPr>
        <w:rFonts w:cs="Times New Roman"/>
      </w:rPr>
    </w:lvl>
    <w:lvl w:ilvl="6">
      <w:start w:val="1"/>
      <w:numFmt w:val="decimal"/>
      <w:lvlText w:val="%7."/>
      <w:lvlJc w:val="left"/>
      <w:pPr>
        <w:ind w:left="3643" w:hanging="480"/>
      </w:pPr>
      <w:rPr>
        <w:rFonts w:cs="Times New Roman"/>
      </w:rPr>
    </w:lvl>
    <w:lvl w:ilvl="7">
      <w:start w:val="1"/>
      <w:numFmt w:val="ideographTraditional"/>
      <w:lvlText w:val="%8、"/>
      <w:lvlJc w:val="left"/>
      <w:pPr>
        <w:ind w:left="4123" w:hanging="480"/>
      </w:pPr>
      <w:rPr>
        <w:rFonts w:cs="Times New Roman"/>
      </w:rPr>
    </w:lvl>
    <w:lvl w:ilvl="8">
      <w:start w:val="1"/>
      <w:numFmt w:val="lowerRoman"/>
      <w:lvlText w:val="%9."/>
      <w:lvlJc w:val="right"/>
      <w:pPr>
        <w:ind w:left="4603" w:hanging="480"/>
      </w:pPr>
      <w:rPr>
        <w:rFonts w:cs="Times New Roman"/>
      </w:rPr>
    </w:lvl>
  </w:abstractNum>
  <w:abstractNum w:abstractNumId="143" w15:restartNumberingAfterBreak="0">
    <w:nsid w:val="7B611414"/>
    <w:multiLevelType w:val="multilevel"/>
    <w:tmpl w:val="E8B05BBC"/>
    <w:lvl w:ilvl="0">
      <w:start w:val="1"/>
      <w:numFmt w:val="decimal"/>
      <w:lvlText w:val="%1."/>
      <w:lvlJc w:val="left"/>
      <w:pPr>
        <w:ind w:left="1047" w:hanging="48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4" w15:restartNumberingAfterBreak="0">
    <w:nsid w:val="7B6E0FC8"/>
    <w:multiLevelType w:val="hybridMultilevel"/>
    <w:tmpl w:val="33DCC792"/>
    <w:lvl w:ilvl="0" w:tplc="B95202AA">
      <w:start w:val="1"/>
      <w:numFmt w:val="decimal"/>
      <w:lvlText w:val="(%1)"/>
      <w:lvlJc w:val="left"/>
      <w:pPr>
        <w:ind w:left="480"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B873C96"/>
    <w:multiLevelType w:val="multilevel"/>
    <w:tmpl w:val="1AA0AE1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6" w15:restartNumberingAfterBreak="0">
    <w:nsid w:val="7B8E3821"/>
    <w:multiLevelType w:val="multilevel"/>
    <w:tmpl w:val="F048C3A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7" w15:restartNumberingAfterBreak="0">
    <w:nsid w:val="7D127F41"/>
    <w:multiLevelType w:val="multilevel"/>
    <w:tmpl w:val="8A0202AC"/>
    <w:lvl w:ilvl="0">
      <w:start w:val="1"/>
      <w:numFmt w:val="decimal"/>
      <w:lvlText w:val="%1."/>
      <w:lvlJc w:val="left"/>
      <w:pPr>
        <w:ind w:left="425" w:hanging="42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8" w15:restartNumberingAfterBreak="0">
    <w:nsid w:val="7F583468"/>
    <w:multiLevelType w:val="multilevel"/>
    <w:tmpl w:val="92041ADA"/>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9" w15:restartNumberingAfterBreak="0">
    <w:nsid w:val="7F9E21BC"/>
    <w:multiLevelType w:val="multilevel"/>
    <w:tmpl w:val="DB3AF0E0"/>
    <w:lvl w:ilvl="0">
      <w:numFmt w:val="bullet"/>
      <w:lvlText w:val="□"/>
      <w:lvlJc w:val="left"/>
      <w:pPr>
        <w:ind w:left="918"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94"/>
  </w:num>
  <w:num w:numId="2">
    <w:abstractNumId w:val="8"/>
  </w:num>
  <w:num w:numId="3">
    <w:abstractNumId w:val="1"/>
  </w:num>
  <w:num w:numId="4">
    <w:abstractNumId w:val="42"/>
  </w:num>
  <w:num w:numId="5">
    <w:abstractNumId w:val="4"/>
  </w:num>
  <w:num w:numId="6">
    <w:abstractNumId w:val="118"/>
  </w:num>
  <w:num w:numId="7">
    <w:abstractNumId w:val="109"/>
  </w:num>
  <w:num w:numId="8">
    <w:abstractNumId w:val="14"/>
  </w:num>
  <w:num w:numId="9">
    <w:abstractNumId w:val="7"/>
  </w:num>
  <w:num w:numId="10">
    <w:abstractNumId w:val="133"/>
  </w:num>
  <w:num w:numId="11">
    <w:abstractNumId w:val="10"/>
  </w:num>
  <w:num w:numId="12">
    <w:abstractNumId w:val="50"/>
  </w:num>
  <w:num w:numId="13">
    <w:abstractNumId w:val="5"/>
  </w:num>
  <w:num w:numId="14">
    <w:abstractNumId w:val="105"/>
  </w:num>
  <w:num w:numId="15">
    <w:abstractNumId w:val="57"/>
  </w:num>
  <w:num w:numId="16">
    <w:abstractNumId w:val="6"/>
  </w:num>
  <w:num w:numId="17">
    <w:abstractNumId w:val="113"/>
  </w:num>
  <w:num w:numId="18">
    <w:abstractNumId w:val="40"/>
  </w:num>
  <w:num w:numId="19">
    <w:abstractNumId w:val="132"/>
  </w:num>
  <w:num w:numId="20">
    <w:abstractNumId w:val="95"/>
  </w:num>
  <w:num w:numId="21">
    <w:abstractNumId w:val="61"/>
  </w:num>
  <w:num w:numId="22">
    <w:abstractNumId w:val="135"/>
  </w:num>
  <w:num w:numId="23">
    <w:abstractNumId w:val="86"/>
  </w:num>
  <w:num w:numId="24">
    <w:abstractNumId w:val="83"/>
  </w:num>
  <w:num w:numId="25">
    <w:abstractNumId w:val="67"/>
  </w:num>
  <w:num w:numId="26">
    <w:abstractNumId w:val="136"/>
  </w:num>
  <w:num w:numId="27">
    <w:abstractNumId w:val="125"/>
  </w:num>
  <w:num w:numId="28">
    <w:abstractNumId w:val="39"/>
  </w:num>
  <w:num w:numId="29">
    <w:abstractNumId w:val="41"/>
  </w:num>
  <w:num w:numId="30">
    <w:abstractNumId w:val="41"/>
    <w:lvlOverride w:ilvl="0">
      <w:startOverride w:val="1"/>
    </w:lvlOverride>
  </w:num>
  <w:num w:numId="31">
    <w:abstractNumId w:val="84"/>
  </w:num>
  <w:num w:numId="32">
    <w:abstractNumId w:val="124"/>
  </w:num>
  <w:num w:numId="33">
    <w:abstractNumId w:val="15"/>
  </w:num>
  <w:num w:numId="34">
    <w:abstractNumId w:val="120"/>
  </w:num>
  <w:num w:numId="35">
    <w:abstractNumId w:val="126"/>
  </w:num>
  <w:num w:numId="36">
    <w:abstractNumId w:val="55"/>
  </w:num>
  <w:num w:numId="37">
    <w:abstractNumId w:val="123"/>
  </w:num>
  <w:num w:numId="38">
    <w:abstractNumId w:val="102"/>
  </w:num>
  <w:num w:numId="39">
    <w:abstractNumId w:val="100"/>
  </w:num>
  <w:num w:numId="40">
    <w:abstractNumId w:val="116"/>
  </w:num>
  <w:num w:numId="41">
    <w:abstractNumId w:val="53"/>
  </w:num>
  <w:num w:numId="42">
    <w:abstractNumId w:val="127"/>
  </w:num>
  <w:num w:numId="43">
    <w:abstractNumId w:val="106"/>
  </w:num>
  <w:num w:numId="44">
    <w:abstractNumId w:val="23"/>
  </w:num>
  <w:num w:numId="45">
    <w:abstractNumId w:val="134"/>
  </w:num>
  <w:num w:numId="46">
    <w:abstractNumId w:val="62"/>
  </w:num>
  <w:num w:numId="47">
    <w:abstractNumId w:val="122"/>
  </w:num>
  <w:num w:numId="48">
    <w:abstractNumId w:val="31"/>
  </w:num>
  <w:num w:numId="49">
    <w:abstractNumId w:val="17"/>
  </w:num>
  <w:num w:numId="50">
    <w:abstractNumId w:val="139"/>
  </w:num>
  <w:num w:numId="51">
    <w:abstractNumId w:val="97"/>
  </w:num>
  <w:num w:numId="52">
    <w:abstractNumId w:val="54"/>
  </w:num>
  <w:num w:numId="53">
    <w:abstractNumId w:val="11"/>
  </w:num>
  <w:num w:numId="54">
    <w:abstractNumId w:val="91"/>
  </w:num>
  <w:num w:numId="55">
    <w:abstractNumId w:val="0"/>
  </w:num>
  <w:num w:numId="56">
    <w:abstractNumId w:val="51"/>
  </w:num>
  <w:num w:numId="57">
    <w:abstractNumId w:val="65"/>
  </w:num>
  <w:num w:numId="58">
    <w:abstractNumId w:val="49"/>
  </w:num>
  <w:num w:numId="59">
    <w:abstractNumId w:val="12"/>
  </w:num>
  <w:num w:numId="60">
    <w:abstractNumId w:val="60"/>
  </w:num>
  <w:num w:numId="61">
    <w:abstractNumId w:val="72"/>
  </w:num>
  <w:num w:numId="62">
    <w:abstractNumId w:val="70"/>
  </w:num>
  <w:num w:numId="63">
    <w:abstractNumId w:val="147"/>
  </w:num>
  <w:num w:numId="64">
    <w:abstractNumId w:val="148"/>
  </w:num>
  <w:num w:numId="65">
    <w:abstractNumId w:val="66"/>
  </w:num>
  <w:num w:numId="66">
    <w:abstractNumId w:val="22"/>
  </w:num>
  <w:num w:numId="67">
    <w:abstractNumId w:val="137"/>
  </w:num>
  <w:num w:numId="68">
    <w:abstractNumId w:val="2"/>
  </w:num>
  <w:num w:numId="69">
    <w:abstractNumId w:val="101"/>
  </w:num>
  <w:num w:numId="70">
    <w:abstractNumId w:val="131"/>
  </w:num>
  <w:num w:numId="71">
    <w:abstractNumId w:val="29"/>
  </w:num>
  <w:num w:numId="72">
    <w:abstractNumId w:val="108"/>
  </w:num>
  <w:num w:numId="73">
    <w:abstractNumId w:val="149"/>
  </w:num>
  <w:num w:numId="74">
    <w:abstractNumId w:val="75"/>
  </w:num>
  <w:num w:numId="75">
    <w:abstractNumId w:val="45"/>
  </w:num>
  <w:num w:numId="76">
    <w:abstractNumId w:val="81"/>
  </w:num>
  <w:num w:numId="77">
    <w:abstractNumId w:val="141"/>
  </w:num>
  <w:num w:numId="78">
    <w:abstractNumId w:val="58"/>
  </w:num>
  <w:num w:numId="79">
    <w:abstractNumId w:val="146"/>
    <w:lvlOverride w:ilvl="0">
      <w:startOverride w:val="1"/>
    </w:lvlOverride>
  </w:num>
  <w:num w:numId="80">
    <w:abstractNumId w:val="36"/>
  </w:num>
  <w:num w:numId="81">
    <w:abstractNumId w:val="90"/>
  </w:num>
  <w:num w:numId="82">
    <w:abstractNumId w:val="130"/>
  </w:num>
  <w:num w:numId="83">
    <w:abstractNumId w:val="143"/>
  </w:num>
  <w:num w:numId="84">
    <w:abstractNumId w:val="78"/>
  </w:num>
  <w:num w:numId="85">
    <w:abstractNumId w:val="112"/>
  </w:num>
  <w:num w:numId="86">
    <w:abstractNumId w:val="98"/>
  </w:num>
  <w:num w:numId="87">
    <w:abstractNumId w:val="13"/>
  </w:num>
  <w:num w:numId="88">
    <w:abstractNumId w:val="117"/>
  </w:num>
  <w:num w:numId="89">
    <w:abstractNumId w:val="28"/>
  </w:num>
  <w:num w:numId="90">
    <w:abstractNumId w:val="85"/>
  </w:num>
  <w:num w:numId="91">
    <w:abstractNumId w:val="119"/>
  </w:num>
  <w:num w:numId="92">
    <w:abstractNumId w:val="63"/>
  </w:num>
  <w:num w:numId="93">
    <w:abstractNumId w:val="59"/>
  </w:num>
  <w:num w:numId="94">
    <w:abstractNumId w:val="104"/>
  </w:num>
  <w:num w:numId="95">
    <w:abstractNumId w:val="111"/>
  </w:num>
  <w:num w:numId="96">
    <w:abstractNumId w:val="32"/>
  </w:num>
  <w:num w:numId="97">
    <w:abstractNumId w:val="19"/>
  </w:num>
  <w:num w:numId="98">
    <w:abstractNumId w:val="121"/>
  </w:num>
  <w:num w:numId="99">
    <w:abstractNumId w:val="93"/>
  </w:num>
  <w:num w:numId="100">
    <w:abstractNumId w:val="21"/>
  </w:num>
  <w:num w:numId="101">
    <w:abstractNumId w:val="138"/>
  </w:num>
  <w:num w:numId="102">
    <w:abstractNumId w:val="33"/>
  </w:num>
  <w:num w:numId="103">
    <w:abstractNumId w:val="107"/>
  </w:num>
  <w:num w:numId="104">
    <w:abstractNumId w:val="142"/>
  </w:num>
  <w:num w:numId="105">
    <w:abstractNumId w:val="88"/>
  </w:num>
  <w:num w:numId="106">
    <w:abstractNumId w:val="27"/>
  </w:num>
  <w:num w:numId="107">
    <w:abstractNumId w:val="20"/>
  </w:num>
  <w:num w:numId="108">
    <w:abstractNumId w:val="47"/>
  </w:num>
  <w:num w:numId="109">
    <w:abstractNumId w:val="71"/>
  </w:num>
  <w:num w:numId="110">
    <w:abstractNumId w:val="76"/>
  </w:num>
  <w:num w:numId="111">
    <w:abstractNumId w:val="115"/>
  </w:num>
  <w:num w:numId="112">
    <w:abstractNumId w:val="43"/>
  </w:num>
  <w:num w:numId="113">
    <w:abstractNumId w:val="89"/>
  </w:num>
  <w:num w:numId="114">
    <w:abstractNumId w:val="129"/>
  </w:num>
  <w:num w:numId="115">
    <w:abstractNumId w:val="56"/>
  </w:num>
  <w:num w:numId="116">
    <w:abstractNumId w:val="80"/>
  </w:num>
  <w:num w:numId="117">
    <w:abstractNumId w:val="77"/>
  </w:num>
  <w:num w:numId="118">
    <w:abstractNumId w:val="74"/>
  </w:num>
  <w:num w:numId="119">
    <w:abstractNumId w:val="64"/>
  </w:num>
  <w:num w:numId="120">
    <w:abstractNumId w:val="110"/>
  </w:num>
  <w:num w:numId="121">
    <w:abstractNumId w:val="3"/>
  </w:num>
  <w:num w:numId="122">
    <w:abstractNumId w:val="35"/>
  </w:num>
  <w:num w:numId="123">
    <w:abstractNumId w:val="16"/>
  </w:num>
  <w:num w:numId="124">
    <w:abstractNumId w:val="96"/>
  </w:num>
  <w:num w:numId="125">
    <w:abstractNumId w:val="79"/>
  </w:num>
  <w:num w:numId="126">
    <w:abstractNumId w:val="18"/>
  </w:num>
  <w:num w:numId="127">
    <w:abstractNumId w:val="38"/>
  </w:num>
  <w:num w:numId="128">
    <w:abstractNumId w:val="103"/>
  </w:num>
  <w:num w:numId="129">
    <w:abstractNumId w:val="37"/>
  </w:num>
  <w:num w:numId="130">
    <w:abstractNumId w:val="73"/>
  </w:num>
  <w:num w:numId="131">
    <w:abstractNumId w:val="52"/>
  </w:num>
  <w:num w:numId="132">
    <w:abstractNumId w:val="114"/>
  </w:num>
  <w:num w:numId="133">
    <w:abstractNumId w:val="26"/>
  </w:num>
  <w:num w:numId="134">
    <w:abstractNumId w:val="128"/>
  </w:num>
  <w:num w:numId="135">
    <w:abstractNumId w:val="9"/>
  </w:num>
  <w:num w:numId="136">
    <w:abstractNumId w:val="68"/>
  </w:num>
  <w:num w:numId="137">
    <w:abstractNumId w:val="145"/>
  </w:num>
  <w:num w:numId="138">
    <w:abstractNumId w:val="25"/>
  </w:num>
  <w:num w:numId="139">
    <w:abstractNumId w:val="82"/>
  </w:num>
  <w:num w:numId="140">
    <w:abstractNumId w:val="99"/>
  </w:num>
  <w:num w:numId="141">
    <w:abstractNumId w:val="92"/>
  </w:num>
  <w:num w:numId="142">
    <w:abstractNumId w:val="87"/>
  </w:num>
  <w:num w:numId="143">
    <w:abstractNumId w:val="34"/>
  </w:num>
  <w:num w:numId="144">
    <w:abstractNumId w:val="30"/>
  </w:num>
  <w:num w:numId="145">
    <w:abstractNumId w:val="24"/>
  </w:num>
  <w:num w:numId="146">
    <w:abstractNumId w:val="69"/>
  </w:num>
  <w:num w:numId="147">
    <w:abstractNumId w:val="144"/>
  </w:num>
  <w:num w:numId="148">
    <w:abstractNumId w:val="46"/>
  </w:num>
  <w:num w:numId="149">
    <w:abstractNumId w:val="48"/>
  </w:num>
  <w:num w:numId="150">
    <w:abstractNumId w:val="140"/>
  </w:num>
  <w:num w:numId="151">
    <w:abstractNumId w:val="44"/>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defaultTabStop w:val="480"/>
  <w:autoHyphenation/>
  <w:drawingGridHorizontalSpacing w:val="120"/>
  <w:drawingGridVerticalSpacing w:val="163"/>
  <w:displayHorizontalDrawingGridEvery w:val="2"/>
  <w:displayVerticalDrawingGridEvery w:val="2"/>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76B"/>
    <w:rsid w:val="000007EB"/>
    <w:rsid w:val="0000130D"/>
    <w:rsid w:val="00002075"/>
    <w:rsid w:val="000150D3"/>
    <w:rsid w:val="000158A3"/>
    <w:rsid w:val="000168A1"/>
    <w:rsid w:val="000169D7"/>
    <w:rsid w:val="00017490"/>
    <w:rsid w:val="00032DE3"/>
    <w:rsid w:val="00036986"/>
    <w:rsid w:val="000373EB"/>
    <w:rsid w:val="00045FA6"/>
    <w:rsid w:val="00046A1A"/>
    <w:rsid w:val="0004758B"/>
    <w:rsid w:val="00064F38"/>
    <w:rsid w:val="00066574"/>
    <w:rsid w:val="000726DF"/>
    <w:rsid w:val="00072DE2"/>
    <w:rsid w:val="00073780"/>
    <w:rsid w:val="00077137"/>
    <w:rsid w:val="000852BF"/>
    <w:rsid w:val="0008533F"/>
    <w:rsid w:val="00094560"/>
    <w:rsid w:val="00096B2E"/>
    <w:rsid w:val="000A05B7"/>
    <w:rsid w:val="000A143F"/>
    <w:rsid w:val="000B0861"/>
    <w:rsid w:val="000B35A4"/>
    <w:rsid w:val="000B4671"/>
    <w:rsid w:val="000B55A5"/>
    <w:rsid w:val="000D071F"/>
    <w:rsid w:val="000D5B13"/>
    <w:rsid w:val="000E2C01"/>
    <w:rsid w:val="000F0D40"/>
    <w:rsid w:val="000F4020"/>
    <w:rsid w:val="000F5C71"/>
    <w:rsid w:val="00100D37"/>
    <w:rsid w:val="001122C1"/>
    <w:rsid w:val="00113E3B"/>
    <w:rsid w:val="00120B60"/>
    <w:rsid w:val="00124574"/>
    <w:rsid w:val="00125BD5"/>
    <w:rsid w:val="001303ED"/>
    <w:rsid w:val="0014095A"/>
    <w:rsid w:val="00142B10"/>
    <w:rsid w:val="001435A9"/>
    <w:rsid w:val="00154B03"/>
    <w:rsid w:val="00154EC5"/>
    <w:rsid w:val="00155792"/>
    <w:rsid w:val="00156262"/>
    <w:rsid w:val="00163F29"/>
    <w:rsid w:val="0016424A"/>
    <w:rsid w:val="001658D1"/>
    <w:rsid w:val="001662FC"/>
    <w:rsid w:val="0016772D"/>
    <w:rsid w:val="0017315D"/>
    <w:rsid w:val="001744DF"/>
    <w:rsid w:val="00176071"/>
    <w:rsid w:val="00176BFD"/>
    <w:rsid w:val="00180200"/>
    <w:rsid w:val="0018357C"/>
    <w:rsid w:val="00184C73"/>
    <w:rsid w:val="00195B5F"/>
    <w:rsid w:val="001B4ECA"/>
    <w:rsid w:val="001C5E05"/>
    <w:rsid w:val="001D175E"/>
    <w:rsid w:val="001D1A1C"/>
    <w:rsid w:val="001D58CF"/>
    <w:rsid w:val="001E4221"/>
    <w:rsid w:val="001E6DB7"/>
    <w:rsid w:val="001E7369"/>
    <w:rsid w:val="001F13B2"/>
    <w:rsid w:val="001F37AD"/>
    <w:rsid w:val="0020015D"/>
    <w:rsid w:val="00226290"/>
    <w:rsid w:val="002359AD"/>
    <w:rsid w:val="002378B3"/>
    <w:rsid w:val="0024093A"/>
    <w:rsid w:val="002438A9"/>
    <w:rsid w:val="00244363"/>
    <w:rsid w:val="00247DBB"/>
    <w:rsid w:val="0025023F"/>
    <w:rsid w:val="00251BF6"/>
    <w:rsid w:val="00257390"/>
    <w:rsid w:val="00260893"/>
    <w:rsid w:val="00266275"/>
    <w:rsid w:val="00270F33"/>
    <w:rsid w:val="00272B25"/>
    <w:rsid w:val="00290D2F"/>
    <w:rsid w:val="002A0C40"/>
    <w:rsid w:val="002A3AB6"/>
    <w:rsid w:val="002B08EC"/>
    <w:rsid w:val="002B2A1A"/>
    <w:rsid w:val="002B4954"/>
    <w:rsid w:val="002B5EC8"/>
    <w:rsid w:val="002C04E9"/>
    <w:rsid w:val="002D09EA"/>
    <w:rsid w:val="002D25A6"/>
    <w:rsid w:val="002D656F"/>
    <w:rsid w:val="002D6973"/>
    <w:rsid w:val="002D7A21"/>
    <w:rsid w:val="002E66C2"/>
    <w:rsid w:val="002F2ACD"/>
    <w:rsid w:val="002F3470"/>
    <w:rsid w:val="00300566"/>
    <w:rsid w:val="0030575F"/>
    <w:rsid w:val="00323215"/>
    <w:rsid w:val="00340659"/>
    <w:rsid w:val="0034337C"/>
    <w:rsid w:val="00345D7C"/>
    <w:rsid w:val="00354391"/>
    <w:rsid w:val="0035465F"/>
    <w:rsid w:val="00356566"/>
    <w:rsid w:val="00357D2A"/>
    <w:rsid w:val="00363ED3"/>
    <w:rsid w:val="003640FE"/>
    <w:rsid w:val="00367CCA"/>
    <w:rsid w:val="003708F6"/>
    <w:rsid w:val="0037093C"/>
    <w:rsid w:val="00373529"/>
    <w:rsid w:val="003736B1"/>
    <w:rsid w:val="003744B7"/>
    <w:rsid w:val="00390D15"/>
    <w:rsid w:val="0039422B"/>
    <w:rsid w:val="003A03A0"/>
    <w:rsid w:val="003A26F0"/>
    <w:rsid w:val="003A43FF"/>
    <w:rsid w:val="003A63DD"/>
    <w:rsid w:val="003B460E"/>
    <w:rsid w:val="003C04E4"/>
    <w:rsid w:val="003C06DE"/>
    <w:rsid w:val="003C1200"/>
    <w:rsid w:val="003C2A46"/>
    <w:rsid w:val="003C2AE3"/>
    <w:rsid w:val="003D7D1F"/>
    <w:rsid w:val="003F4180"/>
    <w:rsid w:val="003F49A0"/>
    <w:rsid w:val="003F52C0"/>
    <w:rsid w:val="003F6E90"/>
    <w:rsid w:val="004019EF"/>
    <w:rsid w:val="00406D60"/>
    <w:rsid w:val="00421398"/>
    <w:rsid w:val="00425657"/>
    <w:rsid w:val="0042704F"/>
    <w:rsid w:val="00436819"/>
    <w:rsid w:val="00437DF9"/>
    <w:rsid w:val="00440DF0"/>
    <w:rsid w:val="00442987"/>
    <w:rsid w:val="00443F17"/>
    <w:rsid w:val="00444FD5"/>
    <w:rsid w:val="004461B7"/>
    <w:rsid w:val="00447886"/>
    <w:rsid w:val="00451423"/>
    <w:rsid w:val="00452918"/>
    <w:rsid w:val="00454749"/>
    <w:rsid w:val="0046330A"/>
    <w:rsid w:val="0047445F"/>
    <w:rsid w:val="004831DE"/>
    <w:rsid w:val="004834B1"/>
    <w:rsid w:val="004844CD"/>
    <w:rsid w:val="004934B8"/>
    <w:rsid w:val="00496C07"/>
    <w:rsid w:val="004A3E16"/>
    <w:rsid w:val="004C03D2"/>
    <w:rsid w:val="004C595B"/>
    <w:rsid w:val="004C6C56"/>
    <w:rsid w:val="004D1476"/>
    <w:rsid w:val="004D1555"/>
    <w:rsid w:val="004D24D5"/>
    <w:rsid w:val="004D3100"/>
    <w:rsid w:val="004E089E"/>
    <w:rsid w:val="004E6346"/>
    <w:rsid w:val="004F052E"/>
    <w:rsid w:val="004F09CE"/>
    <w:rsid w:val="004F2C6E"/>
    <w:rsid w:val="004F3D75"/>
    <w:rsid w:val="004F5861"/>
    <w:rsid w:val="004F5AD9"/>
    <w:rsid w:val="00500AB7"/>
    <w:rsid w:val="00511895"/>
    <w:rsid w:val="00512523"/>
    <w:rsid w:val="00520F57"/>
    <w:rsid w:val="00521BE8"/>
    <w:rsid w:val="005232A3"/>
    <w:rsid w:val="005247F7"/>
    <w:rsid w:val="00534C12"/>
    <w:rsid w:val="00535CF3"/>
    <w:rsid w:val="00541C45"/>
    <w:rsid w:val="005426CD"/>
    <w:rsid w:val="00544356"/>
    <w:rsid w:val="0054687C"/>
    <w:rsid w:val="00547EF6"/>
    <w:rsid w:val="005506B6"/>
    <w:rsid w:val="005533EC"/>
    <w:rsid w:val="00553792"/>
    <w:rsid w:val="00553B8A"/>
    <w:rsid w:val="00554D75"/>
    <w:rsid w:val="00560500"/>
    <w:rsid w:val="00562F62"/>
    <w:rsid w:val="00564F9C"/>
    <w:rsid w:val="00576CD7"/>
    <w:rsid w:val="0057735D"/>
    <w:rsid w:val="00581BC0"/>
    <w:rsid w:val="00582FBA"/>
    <w:rsid w:val="00590552"/>
    <w:rsid w:val="0059273C"/>
    <w:rsid w:val="005A0F82"/>
    <w:rsid w:val="005A2844"/>
    <w:rsid w:val="005A29F5"/>
    <w:rsid w:val="005A410D"/>
    <w:rsid w:val="005B227C"/>
    <w:rsid w:val="005B5643"/>
    <w:rsid w:val="005B5C8F"/>
    <w:rsid w:val="005C4867"/>
    <w:rsid w:val="005C7C11"/>
    <w:rsid w:val="005F0454"/>
    <w:rsid w:val="005F25EC"/>
    <w:rsid w:val="005F7A6A"/>
    <w:rsid w:val="006142C0"/>
    <w:rsid w:val="00621FE5"/>
    <w:rsid w:val="00630B92"/>
    <w:rsid w:val="00630FBB"/>
    <w:rsid w:val="006330FC"/>
    <w:rsid w:val="0063663A"/>
    <w:rsid w:val="00640584"/>
    <w:rsid w:val="00640BF4"/>
    <w:rsid w:val="00643119"/>
    <w:rsid w:val="00657C28"/>
    <w:rsid w:val="00657E40"/>
    <w:rsid w:val="00662B1E"/>
    <w:rsid w:val="00663179"/>
    <w:rsid w:val="00663DCD"/>
    <w:rsid w:val="006656DD"/>
    <w:rsid w:val="006731F8"/>
    <w:rsid w:val="006757D3"/>
    <w:rsid w:val="00676FFB"/>
    <w:rsid w:val="00681305"/>
    <w:rsid w:val="00682B6B"/>
    <w:rsid w:val="00695991"/>
    <w:rsid w:val="006A0BB8"/>
    <w:rsid w:val="006A28AB"/>
    <w:rsid w:val="006A4031"/>
    <w:rsid w:val="006A4EB2"/>
    <w:rsid w:val="006B6356"/>
    <w:rsid w:val="006B6D3F"/>
    <w:rsid w:val="006D0DA5"/>
    <w:rsid w:val="006D4977"/>
    <w:rsid w:val="006D7409"/>
    <w:rsid w:val="006E2DAF"/>
    <w:rsid w:val="006E3D79"/>
    <w:rsid w:val="006F2B5D"/>
    <w:rsid w:val="00700757"/>
    <w:rsid w:val="0070591C"/>
    <w:rsid w:val="00713D79"/>
    <w:rsid w:val="0071481F"/>
    <w:rsid w:val="00723245"/>
    <w:rsid w:val="00723C11"/>
    <w:rsid w:val="0072458A"/>
    <w:rsid w:val="0072461E"/>
    <w:rsid w:val="0073339B"/>
    <w:rsid w:val="00733656"/>
    <w:rsid w:val="0073397E"/>
    <w:rsid w:val="00735175"/>
    <w:rsid w:val="0074154C"/>
    <w:rsid w:val="00741EEC"/>
    <w:rsid w:val="0074257F"/>
    <w:rsid w:val="00746F14"/>
    <w:rsid w:val="0075138D"/>
    <w:rsid w:val="00755887"/>
    <w:rsid w:val="00760271"/>
    <w:rsid w:val="00761B17"/>
    <w:rsid w:val="00767451"/>
    <w:rsid w:val="007747E1"/>
    <w:rsid w:val="007813E4"/>
    <w:rsid w:val="007908E2"/>
    <w:rsid w:val="007924CE"/>
    <w:rsid w:val="007A1182"/>
    <w:rsid w:val="007A3721"/>
    <w:rsid w:val="007A558B"/>
    <w:rsid w:val="007B1748"/>
    <w:rsid w:val="007C4253"/>
    <w:rsid w:val="007C436E"/>
    <w:rsid w:val="007C481E"/>
    <w:rsid w:val="007C5F36"/>
    <w:rsid w:val="007C7119"/>
    <w:rsid w:val="007D0F5F"/>
    <w:rsid w:val="007D5E35"/>
    <w:rsid w:val="007E1334"/>
    <w:rsid w:val="007E1772"/>
    <w:rsid w:val="007E5654"/>
    <w:rsid w:val="007F053F"/>
    <w:rsid w:val="0080165B"/>
    <w:rsid w:val="008115FF"/>
    <w:rsid w:val="00814084"/>
    <w:rsid w:val="00814E21"/>
    <w:rsid w:val="008178AB"/>
    <w:rsid w:val="00821092"/>
    <w:rsid w:val="008216B6"/>
    <w:rsid w:val="008218B1"/>
    <w:rsid w:val="00825C98"/>
    <w:rsid w:val="008260B0"/>
    <w:rsid w:val="00827A76"/>
    <w:rsid w:val="008315BD"/>
    <w:rsid w:val="008423E7"/>
    <w:rsid w:val="00845C11"/>
    <w:rsid w:val="008475ED"/>
    <w:rsid w:val="00847C14"/>
    <w:rsid w:val="00860958"/>
    <w:rsid w:val="0086140B"/>
    <w:rsid w:val="00876214"/>
    <w:rsid w:val="008801FC"/>
    <w:rsid w:val="008870CD"/>
    <w:rsid w:val="00890312"/>
    <w:rsid w:val="00893537"/>
    <w:rsid w:val="00893962"/>
    <w:rsid w:val="008953AD"/>
    <w:rsid w:val="008A7063"/>
    <w:rsid w:val="008A7F5E"/>
    <w:rsid w:val="008B07D1"/>
    <w:rsid w:val="008B0E7B"/>
    <w:rsid w:val="008B1F22"/>
    <w:rsid w:val="008B391D"/>
    <w:rsid w:val="008B72D5"/>
    <w:rsid w:val="008B7B17"/>
    <w:rsid w:val="008C559D"/>
    <w:rsid w:val="008C5C9A"/>
    <w:rsid w:val="008D00B6"/>
    <w:rsid w:val="008D1CD1"/>
    <w:rsid w:val="008D3A05"/>
    <w:rsid w:val="008D426B"/>
    <w:rsid w:val="008E57B7"/>
    <w:rsid w:val="008F290E"/>
    <w:rsid w:val="008F5CC7"/>
    <w:rsid w:val="0090299E"/>
    <w:rsid w:val="00905EC5"/>
    <w:rsid w:val="00912B96"/>
    <w:rsid w:val="00912E5F"/>
    <w:rsid w:val="00915909"/>
    <w:rsid w:val="009239F4"/>
    <w:rsid w:val="00926792"/>
    <w:rsid w:val="0093558E"/>
    <w:rsid w:val="00935A1E"/>
    <w:rsid w:val="0094150D"/>
    <w:rsid w:val="00947762"/>
    <w:rsid w:val="00947B0E"/>
    <w:rsid w:val="0095300B"/>
    <w:rsid w:val="0095501A"/>
    <w:rsid w:val="00966317"/>
    <w:rsid w:val="00967544"/>
    <w:rsid w:val="00973F5B"/>
    <w:rsid w:val="0097588C"/>
    <w:rsid w:val="0098164B"/>
    <w:rsid w:val="009911DA"/>
    <w:rsid w:val="00993C48"/>
    <w:rsid w:val="009954B3"/>
    <w:rsid w:val="009A1A75"/>
    <w:rsid w:val="009A5166"/>
    <w:rsid w:val="009A53F4"/>
    <w:rsid w:val="009B736B"/>
    <w:rsid w:val="009C6227"/>
    <w:rsid w:val="009D3447"/>
    <w:rsid w:val="009D5CB3"/>
    <w:rsid w:val="009E5448"/>
    <w:rsid w:val="009E5EA5"/>
    <w:rsid w:val="009F0543"/>
    <w:rsid w:val="009F23F8"/>
    <w:rsid w:val="009F6B48"/>
    <w:rsid w:val="009F77C2"/>
    <w:rsid w:val="00A00620"/>
    <w:rsid w:val="00A03781"/>
    <w:rsid w:val="00A0502E"/>
    <w:rsid w:val="00A25117"/>
    <w:rsid w:val="00A25CFE"/>
    <w:rsid w:val="00A36833"/>
    <w:rsid w:val="00A547C1"/>
    <w:rsid w:val="00A548B9"/>
    <w:rsid w:val="00A57593"/>
    <w:rsid w:val="00A711B9"/>
    <w:rsid w:val="00A71768"/>
    <w:rsid w:val="00A727C8"/>
    <w:rsid w:val="00A812EF"/>
    <w:rsid w:val="00A85132"/>
    <w:rsid w:val="00A86D0F"/>
    <w:rsid w:val="00A92F12"/>
    <w:rsid w:val="00A96C86"/>
    <w:rsid w:val="00A96FA0"/>
    <w:rsid w:val="00AA04A5"/>
    <w:rsid w:val="00AA4ED4"/>
    <w:rsid w:val="00AB2E46"/>
    <w:rsid w:val="00AB4BCE"/>
    <w:rsid w:val="00AB7720"/>
    <w:rsid w:val="00AC0100"/>
    <w:rsid w:val="00AC35DB"/>
    <w:rsid w:val="00AC5285"/>
    <w:rsid w:val="00AD1FA8"/>
    <w:rsid w:val="00AD34F4"/>
    <w:rsid w:val="00AD4FFA"/>
    <w:rsid w:val="00AE2E0D"/>
    <w:rsid w:val="00AF27DE"/>
    <w:rsid w:val="00AF4F7E"/>
    <w:rsid w:val="00B00548"/>
    <w:rsid w:val="00B013F7"/>
    <w:rsid w:val="00B05711"/>
    <w:rsid w:val="00B06714"/>
    <w:rsid w:val="00B067DB"/>
    <w:rsid w:val="00B12B2D"/>
    <w:rsid w:val="00B143D2"/>
    <w:rsid w:val="00B166AA"/>
    <w:rsid w:val="00B236AA"/>
    <w:rsid w:val="00B2498D"/>
    <w:rsid w:val="00B3269C"/>
    <w:rsid w:val="00B37AFF"/>
    <w:rsid w:val="00B42C83"/>
    <w:rsid w:val="00B437A0"/>
    <w:rsid w:val="00B5514D"/>
    <w:rsid w:val="00B55949"/>
    <w:rsid w:val="00B80AC5"/>
    <w:rsid w:val="00B82487"/>
    <w:rsid w:val="00B84866"/>
    <w:rsid w:val="00B91CD9"/>
    <w:rsid w:val="00B94E03"/>
    <w:rsid w:val="00BA1EB4"/>
    <w:rsid w:val="00BA3568"/>
    <w:rsid w:val="00BA6BB7"/>
    <w:rsid w:val="00BB1BE8"/>
    <w:rsid w:val="00BB1C41"/>
    <w:rsid w:val="00BB55E5"/>
    <w:rsid w:val="00BC5650"/>
    <w:rsid w:val="00BD03FD"/>
    <w:rsid w:val="00BD776B"/>
    <w:rsid w:val="00BD7B65"/>
    <w:rsid w:val="00BD7D4E"/>
    <w:rsid w:val="00BE32A2"/>
    <w:rsid w:val="00BE3D2D"/>
    <w:rsid w:val="00BE42C3"/>
    <w:rsid w:val="00BE5B20"/>
    <w:rsid w:val="00C016F1"/>
    <w:rsid w:val="00C04B20"/>
    <w:rsid w:val="00C07BBE"/>
    <w:rsid w:val="00C144A9"/>
    <w:rsid w:val="00C20805"/>
    <w:rsid w:val="00C212C8"/>
    <w:rsid w:val="00C24191"/>
    <w:rsid w:val="00C25C62"/>
    <w:rsid w:val="00C26768"/>
    <w:rsid w:val="00C26F84"/>
    <w:rsid w:val="00C342B1"/>
    <w:rsid w:val="00C3753B"/>
    <w:rsid w:val="00C45405"/>
    <w:rsid w:val="00C47BA4"/>
    <w:rsid w:val="00C50BBC"/>
    <w:rsid w:val="00C606FD"/>
    <w:rsid w:val="00C61804"/>
    <w:rsid w:val="00C64BFD"/>
    <w:rsid w:val="00C71FEA"/>
    <w:rsid w:val="00C752EB"/>
    <w:rsid w:val="00C76D56"/>
    <w:rsid w:val="00C82C17"/>
    <w:rsid w:val="00C839FE"/>
    <w:rsid w:val="00C9033D"/>
    <w:rsid w:val="00C96240"/>
    <w:rsid w:val="00C96847"/>
    <w:rsid w:val="00CA01B8"/>
    <w:rsid w:val="00CA3C31"/>
    <w:rsid w:val="00CA79BC"/>
    <w:rsid w:val="00CB08C7"/>
    <w:rsid w:val="00CB0CEB"/>
    <w:rsid w:val="00CB12D6"/>
    <w:rsid w:val="00CB5BF5"/>
    <w:rsid w:val="00CB7A31"/>
    <w:rsid w:val="00CC2AD3"/>
    <w:rsid w:val="00CD1F55"/>
    <w:rsid w:val="00CD4701"/>
    <w:rsid w:val="00CE4739"/>
    <w:rsid w:val="00CE6EC5"/>
    <w:rsid w:val="00CF1C23"/>
    <w:rsid w:val="00CF380E"/>
    <w:rsid w:val="00CF6490"/>
    <w:rsid w:val="00CF7C72"/>
    <w:rsid w:val="00D00D43"/>
    <w:rsid w:val="00D03B8E"/>
    <w:rsid w:val="00D13B82"/>
    <w:rsid w:val="00D151EB"/>
    <w:rsid w:val="00D17574"/>
    <w:rsid w:val="00D2792D"/>
    <w:rsid w:val="00D310CC"/>
    <w:rsid w:val="00D352F9"/>
    <w:rsid w:val="00D40C05"/>
    <w:rsid w:val="00D43DB7"/>
    <w:rsid w:val="00D43F03"/>
    <w:rsid w:val="00D44612"/>
    <w:rsid w:val="00D5441D"/>
    <w:rsid w:val="00D551BC"/>
    <w:rsid w:val="00D7142A"/>
    <w:rsid w:val="00D73D93"/>
    <w:rsid w:val="00D75A4A"/>
    <w:rsid w:val="00D802BE"/>
    <w:rsid w:val="00D814E2"/>
    <w:rsid w:val="00D84474"/>
    <w:rsid w:val="00D85917"/>
    <w:rsid w:val="00D865C3"/>
    <w:rsid w:val="00D86840"/>
    <w:rsid w:val="00D91EB8"/>
    <w:rsid w:val="00D93C01"/>
    <w:rsid w:val="00D97266"/>
    <w:rsid w:val="00DA4B3A"/>
    <w:rsid w:val="00DB2849"/>
    <w:rsid w:val="00DB3CC5"/>
    <w:rsid w:val="00DB6225"/>
    <w:rsid w:val="00DC1911"/>
    <w:rsid w:val="00DC54E7"/>
    <w:rsid w:val="00DD4666"/>
    <w:rsid w:val="00DD468D"/>
    <w:rsid w:val="00DD67F7"/>
    <w:rsid w:val="00DE289D"/>
    <w:rsid w:val="00DF0C24"/>
    <w:rsid w:val="00DF36A8"/>
    <w:rsid w:val="00DF3C45"/>
    <w:rsid w:val="00E153CE"/>
    <w:rsid w:val="00E26F17"/>
    <w:rsid w:val="00E5376E"/>
    <w:rsid w:val="00E5651C"/>
    <w:rsid w:val="00E61FF0"/>
    <w:rsid w:val="00E62393"/>
    <w:rsid w:val="00E67607"/>
    <w:rsid w:val="00E83CA5"/>
    <w:rsid w:val="00E864B3"/>
    <w:rsid w:val="00E91160"/>
    <w:rsid w:val="00EA7BD3"/>
    <w:rsid w:val="00EB7011"/>
    <w:rsid w:val="00EC4E85"/>
    <w:rsid w:val="00EC6AB1"/>
    <w:rsid w:val="00EC6FEF"/>
    <w:rsid w:val="00ED41EB"/>
    <w:rsid w:val="00EE4BE6"/>
    <w:rsid w:val="00EE56D0"/>
    <w:rsid w:val="00EE73A6"/>
    <w:rsid w:val="00F03391"/>
    <w:rsid w:val="00F07D8E"/>
    <w:rsid w:val="00F24146"/>
    <w:rsid w:val="00F24D32"/>
    <w:rsid w:val="00F31581"/>
    <w:rsid w:val="00F3775D"/>
    <w:rsid w:val="00F41829"/>
    <w:rsid w:val="00F419A0"/>
    <w:rsid w:val="00F439EB"/>
    <w:rsid w:val="00F44152"/>
    <w:rsid w:val="00F56FA4"/>
    <w:rsid w:val="00F636D9"/>
    <w:rsid w:val="00F64625"/>
    <w:rsid w:val="00F701EF"/>
    <w:rsid w:val="00F71A54"/>
    <w:rsid w:val="00F74800"/>
    <w:rsid w:val="00F75326"/>
    <w:rsid w:val="00F80D94"/>
    <w:rsid w:val="00F840E7"/>
    <w:rsid w:val="00F85BF1"/>
    <w:rsid w:val="00F86AA3"/>
    <w:rsid w:val="00F95EC1"/>
    <w:rsid w:val="00F97D91"/>
    <w:rsid w:val="00FB53E4"/>
    <w:rsid w:val="00FB651C"/>
    <w:rsid w:val="00FB73CC"/>
    <w:rsid w:val="00FD0DB9"/>
    <w:rsid w:val="00FD47EB"/>
    <w:rsid w:val="00FE5DBF"/>
    <w:rsid w:val="00FF00C9"/>
    <w:rsid w:val="00FF3FCB"/>
    <w:rsid w:val="00FF5486"/>
    <w:rsid w:val="00FF5A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D284B68"/>
  <w15:docId w15:val="{4A7D708C-1DBF-45A0-B8ED-DD138BE5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widowControl w:val="0"/>
      <w:suppressAutoHyphens/>
    </w:pPr>
    <w:rPr>
      <w:kern w:val="3"/>
      <w:sz w:val="24"/>
      <w:szCs w:val="22"/>
    </w:rPr>
  </w:style>
  <w:style w:type="paragraph" w:styleId="1">
    <w:name w:val="heading 1"/>
    <w:basedOn w:val="a1"/>
    <w:next w:val="a1"/>
    <w:uiPriority w:val="9"/>
    <w:qFormat/>
    <w:pPr>
      <w:keepNext/>
      <w:spacing w:line="360" w:lineRule="exact"/>
      <w:jc w:val="center"/>
      <w:outlineLvl w:val="0"/>
    </w:pPr>
    <w:rPr>
      <w:rFonts w:ascii="Times New Roman" w:eastAsia="標楷體" w:hAnsi="Times New Roman"/>
      <w:b/>
      <w:bCs/>
      <w:sz w:val="32"/>
      <w:szCs w:val="32"/>
    </w:rPr>
  </w:style>
  <w:style w:type="paragraph" w:styleId="2">
    <w:name w:val="heading 2"/>
    <w:basedOn w:val="a1"/>
    <w:next w:val="a1"/>
    <w:uiPriority w:val="9"/>
    <w:unhideWhenUsed/>
    <w:qFormat/>
    <w:pPr>
      <w:snapToGrid w:val="0"/>
      <w:spacing w:line="400" w:lineRule="exact"/>
      <w:jc w:val="center"/>
      <w:outlineLvl w:val="1"/>
    </w:pPr>
    <w:rPr>
      <w:rFonts w:ascii="標楷體" w:eastAsia="標楷體" w:hAnsi="標楷體"/>
      <w:b/>
      <w:sz w:val="32"/>
      <w:szCs w:val="32"/>
    </w:rPr>
  </w:style>
  <w:style w:type="paragraph" w:styleId="5">
    <w:name w:val="heading 5"/>
    <w:basedOn w:val="a1"/>
    <w:next w:val="a1"/>
    <w:uiPriority w:val="9"/>
    <w:semiHidden/>
    <w:unhideWhenUsed/>
    <w:qFormat/>
    <w:pPr>
      <w:keepNext/>
      <w:autoSpaceDE w:val="0"/>
      <w:outlineLvl w:val="4"/>
    </w:pPr>
    <w:rPr>
      <w:rFonts w:ascii="Times New Roman" w:hAnsi="Times New Roman"/>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pPr>
      <w:tabs>
        <w:tab w:val="center" w:pos="4153"/>
        <w:tab w:val="right" w:pos="8306"/>
      </w:tabs>
      <w:snapToGrid w:val="0"/>
    </w:pPr>
    <w:rPr>
      <w:sz w:val="20"/>
      <w:szCs w:val="20"/>
    </w:rPr>
  </w:style>
  <w:style w:type="character" w:customStyle="1" w:styleId="a6">
    <w:name w:val="頁首 字元"/>
    <w:rPr>
      <w:kern w:val="3"/>
    </w:rPr>
  </w:style>
  <w:style w:type="paragraph" w:styleId="a7">
    <w:name w:val="footer"/>
    <w:basedOn w:val="a1"/>
    <w:pPr>
      <w:tabs>
        <w:tab w:val="center" w:pos="4153"/>
        <w:tab w:val="right" w:pos="8306"/>
      </w:tabs>
      <w:snapToGrid w:val="0"/>
    </w:pPr>
    <w:rPr>
      <w:sz w:val="20"/>
      <w:szCs w:val="20"/>
    </w:rPr>
  </w:style>
  <w:style w:type="character" w:customStyle="1" w:styleId="a8">
    <w:name w:val="頁尾 字元"/>
    <w:rPr>
      <w:kern w:val="3"/>
    </w:rPr>
  </w:style>
  <w:style w:type="character" w:customStyle="1" w:styleId="10">
    <w:name w:val="標題 1 字元"/>
    <w:rPr>
      <w:rFonts w:ascii="Times New Roman" w:eastAsia="標楷體" w:hAnsi="Times New Roman"/>
      <w:b/>
      <w:bCs/>
      <w:kern w:val="3"/>
      <w:sz w:val="32"/>
      <w:szCs w:val="32"/>
    </w:rPr>
  </w:style>
  <w:style w:type="paragraph" w:styleId="Web">
    <w:name w:val="Normal (Web)"/>
    <w:basedOn w:val="a1"/>
    <w:pPr>
      <w:widowControl/>
      <w:spacing w:before="100" w:after="100"/>
    </w:pPr>
    <w:rPr>
      <w:rFonts w:ascii="Arial Unicode MS" w:eastAsia="Arial Unicode MS" w:hAnsi="Arial Unicode MS" w:cs="Arial Unicode MS"/>
      <w:kern w:val="0"/>
      <w:szCs w:val="24"/>
    </w:rPr>
  </w:style>
  <w:style w:type="paragraph" w:customStyle="1" w:styleId="11">
    <w:name w:val="1."/>
    <w:basedOn w:val="a1"/>
    <w:pPr>
      <w:spacing w:line="240" w:lineRule="exact"/>
      <w:ind w:left="242" w:hanging="142"/>
    </w:pPr>
    <w:rPr>
      <w:rFonts w:ascii="Times New Roman" w:eastAsia="標楷體" w:hAnsi="Times New Roman"/>
      <w:color w:val="000000"/>
      <w:kern w:val="0"/>
      <w:sz w:val="20"/>
      <w:szCs w:val="20"/>
    </w:rPr>
  </w:style>
  <w:style w:type="paragraph" w:styleId="a9">
    <w:name w:val="Balloon Text"/>
    <w:basedOn w:val="a1"/>
    <w:rPr>
      <w:rFonts w:ascii="Cambria" w:hAnsi="Cambria"/>
      <w:sz w:val="18"/>
      <w:szCs w:val="18"/>
    </w:rPr>
  </w:style>
  <w:style w:type="character" w:customStyle="1" w:styleId="aa">
    <w:name w:val="註解方塊文字 字元"/>
    <w:rPr>
      <w:rFonts w:ascii="Cambria" w:eastAsia="新細明體" w:hAnsi="Cambria" w:cs="Times New Roman"/>
      <w:kern w:val="3"/>
      <w:sz w:val="18"/>
      <w:szCs w:val="18"/>
    </w:rPr>
  </w:style>
  <w:style w:type="paragraph" w:styleId="ab">
    <w:name w:val="Body Text"/>
    <w:basedOn w:val="a1"/>
    <w:pPr>
      <w:spacing w:after="120"/>
    </w:pPr>
    <w:rPr>
      <w:rFonts w:ascii="Times New Roman" w:hAnsi="Times New Roman"/>
      <w:szCs w:val="24"/>
    </w:rPr>
  </w:style>
  <w:style w:type="character" w:customStyle="1" w:styleId="ac">
    <w:name w:val="本文 字元"/>
    <w:rPr>
      <w:rFonts w:ascii="Times New Roman" w:hAnsi="Times New Roman"/>
      <w:kern w:val="3"/>
      <w:sz w:val="24"/>
      <w:szCs w:val="24"/>
    </w:rPr>
  </w:style>
  <w:style w:type="paragraph" w:customStyle="1" w:styleId="ad">
    <w:name w:val="段落"/>
    <w:basedOn w:val="a1"/>
    <w:pPr>
      <w:spacing w:before="50" w:after="50" w:line="240" w:lineRule="exact"/>
      <w:ind w:left="100" w:hanging="100"/>
    </w:pPr>
    <w:rPr>
      <w:rFonts w:ascii="標楷體" w:eastAsia="標楷體" w:hAnsi="標楷體" w:cs="標楷體"/>
      <w:color w:val="000000"/>
      <w:sz w:val="20"/>
      <w:szCs w:val="20"/>
    </w:rPr>
  </w:style>
  <w:style w:type="character" w:styleId="ae">
    <w:name w:val="page number"/>
    <w:basedOn w:val="a2"/>
  </w:style>
  <w:style w:type="paragraph" w:customStyle="1" w:styleId="Default">
    <w:name w:val="Default"/>
    <w:pPr>
      <w:widowControl w:val="0"/>
      <w:suppressAutoHyphens/>
      <w:autoSpaceDE w:val="0"/>
    </w:pPr>
    <w:rPr>
      <w:rFonts w:ascii="Arial Black" w:hAnsi="Arial Black"/>
      <w:color w:val="000000"/>
      <w:sz w:val="24"/>
      <w:szCs w:val="24"/>
    </w:rPr>
  </w:style>
  <w:style w:type="paragraph" w:customStyle="1" w:styleId="12">
    <w:name w:val="(1)"/>
    <w:basedOn w:val="a1"/>
    <w:pPr>
      <w:spacing w:before="120" w:line="380" w:lineRule="exact"/>
      <w:ind w:left="958" w:hanging="357"/>
    </w:pPr>
    <w:rPr>
      <w:rFonts w:ascii="標楷體" w:eastAsia="標楷體" w:hAnsi="標楷體"/>
      <w:sz w:val="28"/>
      <w:szCs w:val="20"/>
    </w:rPr>
  </w:style>
  <w:style w:type="paragraph" w:styleId="af">
    <w:name w:val="List Paragraph"/>
    <w:aliases w:val="Bullet1,Bullet 1,Bullet List,Table bullet,樣式 清單段落+標題2,Numbered para,BulletPoints,List Paragraph1,Bullets Points,Styl moj,Akapit z listą1,Akapit z listą11,Footnote,Bullet point,List Paragraph11,Recommendation,ES Paragraph,PBAC ES Paragraph"/>
    <w:basedOn w:val="a1"/>
    <w:uiPriority w:val="34"/>
    <w:qFormat/>
    <w:pPr>
      <w:ind w:left="480"/>
    </w:pPr>
  </w:style>
  <w:style w:type="paragraph" w:customStyle="1" w:styleId="13">
    <w:name w:val="清單段落1"/>
    <w:basedOn w:val="a1"/>
    <w:pPr>
      <w:ind w:left="480"/>
    </w:pPr>
  </w:style>
  <w:style w:type="character" w:customStyle="1" w:styleId="50">
    <w:name w:val="標題 5 字元"/>
    <w:rPr>
      <w:rFonts w:ascii="Times New Roman" w:hAnsi="Times New Roman"/>
      <w:b/>
      <w:kern w:val="3"/>
      <w:sz w:val="28"/>
    </w:rPr>
  </w:style>
  <w:style w:type="paragraph" w:styleId="3">
    <w:name w:val="List Bullet 3"/>
    <w:basedOn w:val="a1"/>
    <w:autoRedefine/>
    <w:pPr>
      <w:numPr>
        <w:numId w:val="4"/>
      </w:numPr>
      <w:tabs>
        <w:tab w:val="left" w:pos="26280"/>
      </w:tabs>
    </w:pPr>
    <w:rPr>
      <w:rFonts w:ascii="Times New Roman" w:hAnsi="Times New Roman"/>
      <w:szCs w:val="20"/>
    </w:rPr>
  </w:style>
  <w:style w:type="paragraph" w:customStyle="1" w:styleId="Textbody">
    <w:name w:val="Text body"/>
    <w:pPr>
      <w:widowControl w:val="0"/>
      <w:suppressAutoHyphens/>
    </w:pPr>
    <w:rPr>
      <w:rFonts w:ascii="Times New Roman" w:hAnsi="Times New Roman"/>
      <w:kern w:val="3"/>
      <w:sz w:val="24"/>
      <w:szCs w:val="24"/>
    </w:rPr>
  </w:style>
  <w:style w:type="paragraph" w:customStyle="1" w:styleId="a">
    <w:name w:val="a."/>
    <w:basedOn w:val="Textbody"/>
    <w:pPr>
      <w:numPr>
        <w:numId w:val="5"/>
      </w:numPr>
      <w:spacing w:line="520" w:lineRule="exact"/>
      <w:jc w:val="both"/>
    </w:pPr>
    <w:rPr>
      <w:rFonts w:ascii="標楷體" w:eastAsia="標楷體" w:hAnsi="標楷體" w:cs="標楷體"/>
      <w:sz w:val="28"/>
      <w:szCs w:val="28"/>
    </w:rPr>
  </w:style>
  <w:style w:type="paragraph" w:styleId="af0">
    <w:name w:val="Date"/>
    <w:basedOn w:val="a1"/>
    <w:next w:val="a1"/>
    <w:pPr>
      <w:suppressAutoHyphens w:val="0"/>
      <w:jc w:val="right"/>
      <w:textAlignment w:val="auto"/>
    </w:pPr>
  </w:style>
  <w:style w:type="character" w:customStyle="1" w:styleId="af1">
    <w:name w:val="日期 字元"/>
    <w:basedOn w:val="a2"/>
    <w:rPr>
      <w:kern w:val="3"/>
      <w:sz w:val="24"/>
      <w:szCs w:val="22"/>
    </w:rPr>
  </w:style>
  <w:style w:type="character" w:styleId="af2">
    <w:name w:val="Hyperlink"/>
    <w:rPr>
      <w:color w:val="0000FF"/>
      <w:u w:val="single"/>
    </w:rPr>
  </w:style>
  <w:style w:type="paragraph" w:styleId="af3">
    <w:name w:val="No Spacing"/>
    <w:uiPriority w:val="1"/>
    <w:qFormat/>
    <w:pPr>
      <w:widowControl w:val="0"/>
      <w:suppressAutoHyphens/>
    </w:pPr>
    <w:rPr>
      <w:kern w:val="3"/>
      <w:sz w:val="24"/>
      <w:szCs w:val="22"/>
    </w:rPr>
  </w:style>
  <w:style w:type="character" w:customStyle="1" w:styleId="20">
    <w:name w:val="標題 2 字元"/>
    <w:basedOn w:val="a2"/>
    <w:rPr>
      <w:rFonts w:ascii="標楷體" w:eastAsia="標楷體" w:hAnsi="標楷體"/>
      <w:b/>
      <w:kern w:val="3"/>
      <w:sz w:val="32"/>
      <w:szCs w:val="32"/>
    </w:rPr>
  </w:style>
  <w:style w:type="paragraph" w:customStyle="1" w:styleId="14">
    <w:name w:val="內文1"/>
    <w:pPr>
      <w:widowControl w:val="0"/>
      <w:suppressAutoHyphens/>
    </w:pPr>
    <w:rPr>
      <w:rFonts w:ascii="Times New Roman" w:hAnsi="Times New Roman"/>
      <w:kern w:val="3"/>
      <w:sz w:val="24"/>
      <w:szCs w:val="24"/>
    </w:rPr>
  </w:style>
  <w:style w:type="character" w:customStyle="1" w:styleId="15">
    <w:name w:val="預設段落字型1"/>
  </w:style>
  <w:style w:type="paragraph" w:customStyle="1" w:styleId="17">
    <w:name w:val="頁尾1"/>
    <w:basedOn w:val="14"/>
    <w:pPr>
      <w:tabs>
        <w:tab w:val="center" w:pos="4153"/>
        <w:tab w:val="right" w:pos="8306"/>
      </w:tabs>
      <w:snapToGrid w:val="0"/>
    </w:pPr>
    <w:rPr>
      <w:sz w:val="20"/>
      <w:szCs w:val="20"/>
    </w:rPr>
  </w:style>
  <w:style w:type="character" w:customStyle="1" w:styleId="af4">
    <w:name w:val="清單段落 字元"/>
    <w:aliases w:val="Bullet1 字元,Bullet 1 字元,Bullet List 字元,清單段落1 字元,Table bullet 字元,樣式 清單段落+標題2 字元,Numbered para 字元,BulletPoints 字元,List Paragraph1 字元,Bullets Points 字元,Styl moj 字元,Akapit z listą1 字元,Akapit z listą11 字元,Footnote 字元,Bullet point 字元,Recommendation 字元"/>
    <w:uiPriority w:val="34"/>
    <w:rPr>
      <w:kern w:val="3"/>
      <w:sz w:val="24"/>
      <w:szCs w:val="22"/>
    </w:rPr>
  </w:style>
  <w:style w:type="paragraph" w:customStyle="1" w:styleId="msonormal0">
    <w:name w:val="msonormal"/>
    <w:basedOn w:val="a1"/>
    <w:pPr>
      <w:widowControl/>
      <w:suppressAutoHyphens w:val="0"/>
      <w:spacing w:before="100" w:after="100"/>
      <w:textAlignment w:val="auto"/>
    </w:pPr>
    <w:rPr>
      <w:rFonts w:ascii="Arial Unicode MS" w:eastAsia="Arial Unicode MS" w:hAnsi="Arial Unicode MS" w:cs="Arial Unicode MS"/>
      <w:kern w:val="0"/>
      <w:szCs w:val="24"/>
    </w:rPr>
  </w:style>
  <w:style w:type="paragraph" w:customStyle="1" w:styleId="Heading">
    <w:name w:val="Heading"/>
    <w:basedOn w:val="a1"/>
    <w:next w:val="Textbody"/>
    <w:pPr>
      <w:keepNext/>
      <w:spacing w:before="240" w:after="120"/>
    </w:pPr>
    <w:rPr>
      <w:rFonts w:ascii="Liberation Sans" w:eastAsia="微軟正黑體" w:hAnsi="Liberation Sans" w:cs="Tahoma"/>
      <w:sz w:val="28"/>
      <w:szCs w:val="28"/>
    </w:rPr>
  </w:style>
  <w:style w:type="paragraph" w:styleId="af5">
    <w:name w:val="annotation text"/>
    <w:basedOn w:val="a1"/>
  </w:style>
  <w:style w:type="character" w:customStyle="1" w:styleId="af6">
    <w:name w:val="註解文字 字元"/>
    <w:basedOn w:val="a2"/>
    <w:rPr>
      <w:kern w:val="3"/>
      <w:sz w:val="24"/>
      <w:szCs w:val="22"/>
    </w:rPr>
  </w:style>
  <w:style w:type="paragraph" w:styleId="af7">
    <w:name w:val="annotation subject"/>
    <w:basedOn w:val="af5"/>
    <w:next w:val="af5"/>
    <w:rPr>
      <w:rFonts w:ascii="Times New Roman" w:hAnsi="Times New Roman"/>
      <w:b/>
      <w:bCs/>
      <w:szCs w:val="24"/>
    </w:rPr>
  </w:style>
  <w:style w:type="character" w:customStyle="1" w:styleId="af8">
    <w:name w:val="註解主旨 字元"/>
    <w:basedOn w:val="af6"/>
    <w:rPr>
      <w:rFonts w:ascii="Times New Roman" w:hAnsi="Times New Roman"/>
      <w:b/>
      <w:bCs/>
      <w:kern w:val="3"/>
      <w:sz w:val="24"/>
      <w:szCs w:val="24"/>
    </w:rPr>
  </w:style>
  <w:style w:type="paragraph" w:customStyle="1" w:styleId="a0">
    <w:name w:val="結(一）"/>
    <w:basedOn w:val="Textbody"/>
    <w:pPr>
      <w:numPr>
        <w:numId w:val="6"/>
      </w:numPr>
      <w:tabs>
        <w:tab w:val="left" w:pos="-3593"/>
        <w:tab w:val="left" w:pos="-3540"/>
      </w:tabs>
      <w:spacing w:line="480" w:lineRule="exact"/>
    </w:pPr>
    <w:rPr>
      <w:rFonts w:ascii="標楷體" w:eastAsia="標楷體" w:hAnsi="標楷體" w:cs="標楷體"/>
      <w:sz w:val="28"/>
      <w:szCs w:val="28"/>
    </w:rPr>
  </w:style>
  <w:style w:type="paragraph" w:customStyle="1" w:styleId="05cm752">
    <w:name w:val="樣式 (一) + 左右對齊 左:  0.5 cm 凸出:  7.52 字元"/>
    <w:basedOn w:val="a1"/>
    <w:pPr>
      <w:numPr>
        <w:numId w:val="7"/>
      </w:numPr>
      <w:tabs>
        <w:tab w:val="left" w:pos="-1440"/>
      </w:tabs>
      <w:spacing w:line="500" w:lineRule="exact"/>
      <w:jc w:val="both"/>
    </w:pPr>
    <w:rPr>
      <w:rFonts w:ascii="Arial" w:eastAsia="標楷體" w:hAnsi="Arial" w:cs="新細明體"/>
      <w:sz w:val="28"/>
      <w:szCs w:val="20"/>
    </w:rPr>
  </w:style>
  <w:style w:type="paragraph" w:customStyle="1" w:styleId="af9">
    <w:name w:val="一"/>
    <w:basedOn w:val="Textbody"/>
    <w:pPr>
      <w:spacing w:line="480" w:lineRule="exact"/>
      <w:jc w:val="both"/>
    </w:pPr>
    <w:rPr>
      <w:rFonts w:eastAsia="標楷體"/>
      <w:sz w:val="28"/>
      <w:szCs w:val="28"/>
    </w:rPr>
  </w:style>
  <w:style w:type="paragraph" w:customStyle="1" w:styleId="Standard">
    <w:name w:val="Standard"/>
    <w:pPr>
      <w:textAlignment w:val="auto"/>
    </w:pPr>
    <w:rPr>
      <w:rFonts w:ascii="Times New Roman" w:eastAsia="新細明體, PMingLiU" w:hAnsi="Times New Roman"/>
    </w:rPr>
  </w:style>
  <w:style w:type="paragraph" w:customStyle="1" w:styleId="xmsonormal">
    <w:name w:val="x_msonormal"/>
    <w:basedOn w:val="a1"/>
    <w:pPr>
      <w:widowControl/>
      <w:suppressAutoHyphens w:val="0"/>
      <w:spacing w:before="100" w:after="100"/>
      <w:textAlignment w:val="auto"/>
    </w:pPr>
    <w:rPr>
      <w:rFonts w:ascii="新細明體" w:hAnsi="新細明體" w:cs="新細明體"/>
      <w:kern w:val="0"/>
      <w:szCs w:val="24"/>
    </w:rPr>
  </w:style>
  <w:style w:type="numbering" w:customStyle="1" w:styleId="LFO6">
    <w:name w:val="LFO6"/>
    <w:basedOn w:val="a4"/>
    <w:pPr>
      <w:numPr>
        <w:numId w:val="1"/>
      </w:numPr>
    </w:pPr>
  </w:style>
  <w:style w:type="numbering" w:customStyle="1" w:styleId="LFO10">
    <w:name w:val="LFO10"/>
    <w:basedOn w:val="a4"/>
    <w:pPr>
      <w:numPr>
        <w:numId w:val="2"/>
      </w:numPr>
    </w:pPr>
  </w:style>
  <w:style w:type="numbering" w:customStyle="1" w:styleId="16">
    <w:name w:val="樣式 編號 標楷體 16 點"/>
    <w:basedOn w:val="a4"/>
    <w:pPr>
      <w:numPr>
        <w:numId w:val="3"/>
      </w:numPr>
    </w:pPr>
  </w:style>
  <w:style w:type="numbering" w:customStyle="1" w:styleId="LFO33">
    <w:name w:val="LFO33"/>
    <w:basedOn w:val="a4"/>
    <w:pPr>
      <w:numPr>
        <w:numId w:val="4"/>
      </w:numPr>
    </w:pPr>
  </w:style>
  <w:style w:type="numbering" w:customStyle="1" w:styleId="LFO1">
    <w:name w:val="LFO1"/>
    <w:basedOn w:val="a4"/>
    <w:pPr>
      <w:numPr>
        <w:numId w:val="5"/>
      </w:numPr>
    </w:pPr>
  </w:style>
  <w:style w:type="numbering" w:customStyle="1" w:styleId="LFO8">
    <w:name w:val="LFO8"/>
    <w:basedOn w:val="a4"/>
    <w:pPr>
      <w:numPr>
        <w:numId w:val="6"/>
      </w:numPr>
    </w:pPr>
  </w:style>
  <w:style w:type="numbering" w:customStyle="1" w:styleId="LFO7">
    <w:name w:val="LFO7"/>
    <w:basedOn w:val="a4"/>
    <w:pPr>
      <w:numPr>
        <w:numId w:val="7"/>
      </w:numPr>
    </w:pPr>
  </w:style>
  <w:style w:type="table" w:styleId="afa">
    <w:name w:val="Table Grid"/>
    <w:basedOn w:val="a3"/>
    <w:uiPriority w:val="39"/>
    <w:rsid w:val="00640BF4"/>
    <w:pPr>
      <w:autoSpaceDN/>
      <w:textAlignment w:val="auto"/>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63654">
      <w:bodyDiv w:val="1"/>
      <w:marLeft w:val="0"/>
      <w:marRight w:val="0"/>
      <w:marTop w:val="0"/>
      <w:marBottom w:val="0"/>
      <w:divBdr>
        <w:top w:val="none" w:sz="0" w:space="0" w:color="auto"/>
        <w:left w:val="none" w:sz="0" w:space="0" w:color="auto"/>
        <w:bottom w:val="none" w:sz="0" w:space="0" w:color="auto"/>
        <w:right w:val="none" w:sz="0" w:space="0" w:color="auto"/>
      </w:divBdr>
    </w:div>
    <w:div w:id="173694783">
      <w:bodyDiv w:val="1"/>
      <w:marLeft w:val="0"/>
      <w:marRight w:val="0"/>
      <w:marTop w:val="0"/>
      <w:marBottom w:val="0"/>
      <w:divBdr>
        <w:top w:val="none" w:sz="0" w:space="0" w:color="auto"/>
        <w:left w:val="none" w:sz="0" w:space="0" w:color="auto"/>
        <w:bottom w:val="none" w:sz="0" w:space="0" w:color="auto"/>
        <w:right w:val="none" w:sz="0" w:space="0" w:color="auto"/>
      </w:divBdr>
    </w:div>
    <w:div w:id="245965506">
      <w:bodyDiv w:val="1"/>
      <w:marLeft w:val="0"/>
      <w:marRight w:val="0"/>
      <w:marTop w:val="0"/>
      <w:marBottom w:val="0"/>
      <w:divBdr>
        <w:top w:val="none" w:sz="0" w:space="0" w:color="auto"/>
        <w:left w:val="none" w:sz="0" w:space="0" w:color="auto"/>
        <w:bottom w:val="none" w:sz="0" w:space="0" w:color="auto"/>
        <w:right w:val="none" w:sz="0" w:space="0" w:color="auto"/>
      </w:divBdr>
    </w:div>
    <w:div w:id="342829818">
      <w:bodyDiv w:val="1"/>
      <w:marLeft w:val="0"/>
      <w:marRight w:val="0"/>
      <w:marTop w:val="0"/>
      <w:marBottom w:val="0"/>
      <w:divBdr>
        <w:top w:val="none" w:sz="0" w:space="0" w:color="auto"/>
        <w:left w:val="none" w:sz="0" w:space="0" w:color="auto"/>
        <w:bottom w:val="none" w:sz="0" w:space="0" w:color="auto"/>
        <w:right w:val="none" w:sz="0" w:space="0" w:color="auto"/>
      </w:divBdr>
    </w:div>
    <w:div w:id="960696554">
      <w:bodyDiv w:val="1"/>
      <w:marLeft w:val="0"/>
      <w:marRight w:val="0"/>
      <w:marTop w:val="0"/>
      <w:marBottom w:val="0"/>
      <w:divBdr>
        <w:top w:val="none" w:sz="0" w:space="0" w:color="auto"/>
        <w:left w:val="none" w:sz="0" w:space="0" w:color="auto"/>
        <w:bottom w:val="none" w:sz="0" w:space="0" w:color="auto"/>
        <w:right w:val="none" w:sz="0" w:space="0" w:color="auto"/>
      </w:divBdr>
    </w:div>
    <w:div w:id="1197044152">
      <w:bodyDiv w:val="1"/>
      <w:marLeft w:val="0"/>
      <w:marRight w:val="0"/>
      <w:marTop w:val="0"/>
      <w:marBottom w:val="0"/>
      <w:divBdr>
        <w:top w:val="none" w:sz="0" w:space="0" w:color="auto"/>
        <w:left w:val="none" w:sz="0" w:space="0" w:color="auto"/>
        <w:bottom w:val="none" w:sz="0" w:space="0" w:color="auto"/>
        <w:right w:val="none" w:sz="0" w:space="0" w:color="auto"/>
      </w:divBdr>
    </w:div>
    <w:div w:id="1253203292">
      <w:bodyDiv w:val="1"/>
      <w:marLeft w:val="0"/>
      <w:marRight w:val="0"/>
      <w:marTop w:val="0"/>
      <w:marBottom w:val="0"/>
      <w:divBdr>
        <w:top w:val="none" w:sz="0" w:space="0" w:color="auto"/>
        <w:left w:val="none" w:sz="0" w:space="0" w:color="auto"/>
        <w:bottom w:val="none" w:sz="0" w:space="0" w:color="auto"/>
        <w:right w:val="none" w:sz="0" w:space="0" w:color="auto"/>
      </w:divBdr>
    </w:div>
    <w:div w:id="1410540521">
      <w:bodyDiv w:val="1"/>
      <w:marLeft w:val="0"/>
      <w:marRight w:val="0"/>
      <w:marTop w:val="0"/>
      <w:marBottom w:val="0"/>
      <w:divBdr>
        <w:top w:val="none" w:sz="0" w:space="0" w:color="auto"/>
        <w:left w:val="none" w:sz="0" w:space="0" w:color="auto"/>
        <w:bottom w:val="none" w:sz="0" w:space="0" w:color="auto"/>
        <w:right w:val="none" w:sz="0" w:space="0" w:color="auto"/>
      </w:divBdr>
    </w:div>
    <w:div w:id="1446071686">
      <w:bodyDiv w:val="1"/>
      <w:marLeft w:val="0"/>
      <w:marRight w:val="0"/>
      <w:marTop w:val="0"/>
      <w:marBottom w:val="0"/>
      <w:divBdr>
        <w:top w:val="none" w:sz="0" w:space="0" w:color="auto"/>
        <w:left w:val="none" w:sz="0" w:space="0" w:color="auto"/>
        <w:bottom w:val="none" w:sz="0" w:space="0" w:color="auto"/>
        <w:right w:val="none" w:sz="0" w:space="0" w:color="auto"/>
      </w:divBdr>
    </w:div>
    <w:div w:id="1521316128">
      <w:bodyDiv w:val="1"/>
      <w:marLeft w:val="0"/>
      <w:marRight w:val="0"/>
      <w:marTop w:val="0"/>
      <w:marBottom w:val="0"/>
      <w:divBdr>
        <w:top w:val="none" w:sz="0" w:space="0" w:color="auto"/>
        <w:left w:val="none" w:sz="0" w:space="0" w:color="auto"/>
        <w:bottom w:val="none" w:sz="0" w:space="0" w:color="auto"/>
        <w:right w:val="none" w:sz="0" w:space="0" w:color="auto"/>
      </w:divBdr>
    </w:div>
    <w:div w:id="1704939675">
      <w:bodyDiv w:val="1"/>
      <w:marLeft w:val="0"/>
      <w:marRight w:val="0"/>
      <w:marTop w:val="0"/>
      <w:marBottom w:val="0"/>
      <w:divBdr>
        <w:top w:val="none" w:sz="0" w:space="0" w:color="auto"/>
        <w:left w:val="none" w:sz="0" w:space="0" w:color="auto"/>
        <w:bottom w:val="none" w:sz="0" w:space="0" w:color="auto"/>
        <w:right w:val="none" w:sz="0" w:space="0" w:color="auto"/>
      </w:divBdr>
    </w:div>
    <w:div w:id="1790011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hyperlink" Target="http://en.wikipedia.org/wiki/Erythema_nodosum" TargetMode="External"/><Relationship Id="rId21" Type="http://schemas.openxmlformats.org/officeDocument/2006/relationships/image" Target="media/image2.png"/><Relationship Id="rId34" Type="http://schemas.openxmlformats.org/officeDocument/2006/relationships/footer" Target="footer16.xml"/><Relationship Id="rId42" Type="http://schemas.openxmlformats.org/officeDocument/2006/relationships/footer" Target="footer18.xml"/><Relationship Id="rId47" Type="http://schemas.openxmlformats.org/officeDocument/2006/relationships/footer" Target="foot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203.65.100.151/DO8180T.asp?Type=Lic&amp;LicId=02023291" TargetMode="External"/><Relationship Id="rId29" Type="http://schemas.openxmlformats.org/officeDocument/2006/relationships/oleObject" Target="embeddings/oleObject2.bin"/><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oleObject" Target="embeddings/oleObject3.bin"/><Relationship Id="rId37" Type="http://schemas.openxmlformats.org/officeDocument/2006/relationships/hyperlink" Target="http://en.wikipedia.org/wiki/Iris_(anatomy)" TargetMode="External"/><Relationship Id="rId40" Type="http://schemas.openxmlformats.org/officeDocument/2006/relationships/hyperlink" Target="http://en.wikipedia.org/wiki/Pyoderma_gangrenosum" TargetMode="External"/><Relationship Id="rId45"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image" Target="media/image4.wmf"/><Relationship Id="rId36" Type="http://schemas.openxmlformats.org/officeDocument/2006/relationships/footer" Target="footer17.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footer" Target="footer14.xml"/><Relationship Id="rId44"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jfma.2018.11.017" TargetMode="Externa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oleObject" Target="embeddings/oleObject4.bin"/><Relationship Id="rId43" Type="http://schemas.openxmlformats.org/officeDocument/2006/relationships/footer" Target="footer19.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203.65.100.151/DO8180T.asp?Type=Lic&amp;LicId=02024027" TargetMode="External"/><Relationship Id="rId25" Type="http://schemas.openxmlformats.org/officeDocument/2006/relationships/oleObject" Target="embeddings/oleObject1.bin"/><Relationship Id="rId33" Type="http://schemas.openxmlformats.org/officeDocument/2006/relationships/footer" Target="footer15.xml"/><Relationship Id="rId38" Type="http://schemas.openxmlformats.org/officeDocument/2006/relationships/hyperlink" Target="http://en.wikipedia.org/wiki/Uveitis" TargetMode="External"/><Relationship Id="rId46" Type="http://schemas.openxmlformats.org/officeDocument/2006/relationships/footer" Target="footer22.xml"/><Relationship Id="rId20" Type="http://schemas.openxmlformats.org/officeDocument/2006/relationships/footer" Target="footer8.xml"/><Relationship Id="rId41" Type="http://schemas.openxmlformats.org/officeDocument/2006/relationships/hyperlink" Target="http://en.wikipedia.org/wiki/Mouth_ulc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51903-C10F-4428-809F-911461AB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398</Pages>
  <Words>67471</Words>
  <Characters>384587</Characters>
  <Application>Microsoft Office Word</Application>
  <DocSecurity>0</DocSecurity>
  <Lines>3204</Lines>
  <Paragraphs>902</Paragraphs>
  <ScaleCrop>false</ScaleCrop>
  <Company/>
  <LinksUpToDate>false</LinksUpToDate>
  <CharactersWithSpaces>451156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NHI</dc:creator>
  <cp:lastModifiedBy>簡瑞庭</cp:lastModifiedBy>
  <cp:revision>16</cp:revision>
  <cp:lastPrinted>2025-01-24T07:50:00Z</cp:lastPrinted>
  <dcterms:created xsi:type="dcterms:W3CDTF">2025-04-23T06:33:00Z</dcterms:created>
  <dcterms:modified xsi:type="dcterms:W3CDTF">2025-04-25T03:15:00Z</dcterms:modified>
</cp:coreProperties>
</file>