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29" w:rsidRPr="00A07D29" w:rsidRDefault="00A07D29" w:rsidP="008A69C3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kern w:val="2"/>
          <w:szCs w:val="24"/>
        </w:rPr>
      </w:pPr>
      <w:r w:rsidRPr="00A07D29">
        <w:rPr>
          <w:rFonts w:ascii="標楷體" w:eastAsia="標楷體" w:hAnsi="標楷體"/>
          <w:kern w:val="2"/>
          <w:szCs w:val="24"/>
        </w:rPr>
        <w:t>附表二十六之五：全民健康保險潰瘍性結腸炎使用生物製劑申請表</w:t>
      </w:r>
    </w:p>
    <w:tbl>
      <w:tblPr>
        <w:tblW w:w="9640" w:type="dxa"/>
        <w:tblInd w:w="-3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1"/>
        <w:gridCol w:w="850"/>
        <w:gridCol w:w="1134"/>
        <w:gridCol w:w="1560"/>
        <w:gridCol w:w="1145"/>
        <w:gridCol w:w="272"/>
        <w:gridCol w:w="2410"/>
      </w:tblGrid>
      <w:tr w:rsidR="00A07D29" w:rsidRPr="00A07D29" w:rsidTr="00E35957">
        <w:trPr>
          <w:cantSplit/>
          <w:trHeight w:val="376"/>
        </w:trPr>
        <w:tc>
          <w:tcPr>
            <w:tcW w:w="141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醫院代號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醫院名稱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申請日期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napToGrid w:val="0"/>
              <w:spacing w:line="380" w:lineRule="exact"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年   月  日</w:t>
            </w:r>
          </w:p>
        </w:tc>
      </w:tr>
      <w:tr w:rsidR="00A07D29" w:rsidRPr="00A07D29" w:rsidTr="00E35957">
        <w:trPr>
          <w:cantSplit/>
          <w:trHeight w:val="332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病人姓名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性別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出生日期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ind w:firstLineChars="200" w:firstLine="48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年   月  日</w:t>
            </w:r>
          </w:p>
        </w:tc>
      </w:tr>
      <w:tr w:rsidR="00A07D29" w:rsidRPr="00A07D29" w:rsidTr="00E35957">
        <w:trPr>
          <w:cantSplit/>
          <w:trHeight w:val="356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身分證號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病歷號碼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使用期間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自    年   月   日</w:t>
            </w:r>
          </w:p>
        </w:tc>
      </w:tr>
      <w:tr w:rsidR="00A07D29" w:rsidRPr="00A07D29" w:rsidTr="00E35957">
        <w:trPr>
          <w:cantSplit/>
          <w:trHeight w:val="337"/>
        </w:trPr>
        <w:tc>
          <w:tcPr>
            <w:tcW w:w="141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藥品代碼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用法用量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line="38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至　年  月　日</w:t>
            </w:r>
          </w:p>
        </w:tc>
      </w:tr>
      <w:tr w:rsidR="00A07D29" w:rsidRPr="00A07D29" w:rsidTr="00E35957">
        <w:trPr>
          <w:trHeight w:val="35"/>
        </w:trPr>
        <w:tc>
          <w:tcPr>
            <w:tcW w:w="964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before="202"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bCs/>
                <w:kern w:val="2"/>
                <w:szCs w:val="17"/>
              </w:rPr>
              <w:t>初次使用符合下列所有條件：(中度以上之潰瘍性結腸炎)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53" w:hanging="283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診斷為潰瘍性結腸炎且領有該症重大傷病卡。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99" w:hanging="427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符合下列條件之一，且附上影像診斷評估報告。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Chars="286" w:left="1025" w:hanging="33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經5-ASA、皮質類固醇和6-mercaptopurine (6-MP)或azathioprine (AZA)充分治療六個月，仍然無法控制病情(Mayo score </w:t>
            </w:r>
            <w:r w:rsidRPr="00A07D29">
              <w:rPr>
                <w:rFonts w:ascii="標楷體" w:eastAsia="標楷體" w:hAnsi="標楷體" w:cs="新細明體" w:hint="eastAsia"/>
                <w:kern w:val="2"/>
                <w:szCs w:val="24"/>
              </w:rPr>
              <w:t>≧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9和 endoscopy subscore</w:t>
            </w:r>
            <w:r w:rsidRPr="00A07D29">
              <w:rPr>
                <w:rFonts w:ascii="標楷體" w:eastAsia="標楷體" w:hAnsi="標楷體" w:cs="新細明體" w:hint="eastAsia"/>
                <w:kern w:val="2"/>
                <w:szCs w:val="24"/>
              </w:rPr>
              <w:t>≧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2) 或對這種療法無法耐受或有醫療禁者。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21" w:firstLineChars="12" w:firstLine="2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無法控制病情（Mayo score： _______；endoscopy score：_______）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35" w:firstLineChars="14" w:firstLine="34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產生嚴重藥物副作用：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35" w:firstLineChars="14" w:firstLine="34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藥名_________________時間__________副作用說明：___________________________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735" w:firstLineChars="14" w:firstLine="34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Chars="13" w:left="1987" w:hangingChars="815" w:hanging="1956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初次使用符合下列所有條件：(急性嚴重之潰瘍性結腸炎)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596" w:hanging="1423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bCs/>
                <w:kern w:val="2"/>
                <w:szCs w:val="17"/>
              </w:rPr>
              <w:t>診斷為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潰瘍性結腸炎，同時符合下列四要件：</w:t>
            </w:r>
          </w:p>
          <w:p w:rsidR="00A07D29" w:rsidRPr="00A07D29" w:rsidRDefault="00A07D29" w:rsidP="00A07D29">
            <w:pPr>
              <w:suppressAutoHyphens w:val="0"/>
              <w:autoSpaceDN/>
              <w:ind w:leftChars="131" w:left="1557" w:hangingChars="518" w:hanging="1243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Ⅰ.內視鏡下符合潰瘍性結腸炎。</w:t>
            </w:r>
          </w:p>
          <w:p w:rsidR="00A07D29" w:rsidRPr="00A07D29" w:rsidRDefault="00A07D29" w:rsidP="00A07D29">
            <w:pPr>
              <w:suppressAutoHyphens w:val="0"/>
              <w:autoSpaceDN/>
              <w:ind w:leftChars="138" w:left="1560" w:hangingChars="512" w:hanging="1229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Ⅱ.病理切片排除巨細胞病毒腸炎、阿米巴結腸炎、淋巴癌。</w:t>
            </w:r>
          </w:p>
          <w:p w:rsidR="00A07D29" w:rsidRPr="00A07D29" w:rsidRDefault="00A07D29" w:rsidP="00A07D29">
            <w:pPr>
              <w:suppressAutoHyphens w:val="0"/>
              <w:autoSpaceDN/>
              <w:ind w:leftChars="132" w:left="1560" w:hangingChars="518" w:hanging="1243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Ⅲ.糞便檢測排除困難梭狀桿菌感染。</w:t>
            </w:r>
          </w:p>
          <w:p w:rsidR="00A07D29" w:rsidRPr="00A07D29" w:rsidRDefault="00A07D29" w:rsidP="00A07D29">
            <w:pPr>
              <w:suppressAutoHyphens w:val="0"/>
              <w:autoSpaceDN/>
              <w:ind w:leftChars="131" w:left="739" w:hangingChars="177" w:hanging="425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Ⅳ.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Mayo Score為12分，經類固醇全劑量靜脈注射(如methylprednisolone 40-60mg/day等)連續治療5天無效。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591" w:hanging="184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</w:t>
            </w: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無法控制病情（Mayo score： _______；endoscopy score：_______）</w:t>
            </w:r>
          </w:p>
          <w:p w:rsidR="00A07D29" w:rsidRPr="00A07D29" w:rsidRDefault="00A07D29" w:rsidP="00A07D29">
            <w:pPr>
              <w:suppressAutoHyphens w:val="0"/>
              <w:autoSpaceDN/>
              <w:spacing w:before="202" w:line="400" w:lineRule="exact"/>
              <w:textAlignment w:val="auto"/>
              <w:rPr>
                <w:rFonts w:ascii="標楷體" w:eastAsia="標楷體" w:hAnsi="標楷體"/>
                <w:b/>
                <w:bCs/>
                <w:kern w:val="2"/>
                <w:szCs w:val="17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bCs/>
                <w:kern w:val="2"/>
                <w:szCs w:val="17"/>
              </w:rPr>
              <w:t>符合繼續使用之療效評估：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94" w:hanging="322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初次使用者：golimumab以2週(使用2劑)、adalimumab以6週(使用4劑)、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694" w:hanging="95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vedolizumab以6週(使用3劑)、infliximab以6週(使用3劑)、tofacitinib 以 8 週為限(且 tofacitinib 限用於其他生物製劑 治療失敗或無法耐受之中至重度活動性潰瘍性結腸炎病人，另使用前應排除有血栓風險之病患，且不建議與azathioprine 與 cyclosporine 合併使用)、ustekinumab以使用靜脈注射1劑為限，治療後達到臨床反應評估，誘導緩解失敗者，得提出申請轉換他類生物製劑，然同一療程不得合併使用。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Chars="307" w:left="1164" w:hangingChars="178" w:hanging="427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達到有效緩解之誘導(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partial Mayo score評估，相較於初次申請，partial Mayo score減少</w:t>
            </w:r>
            <w:r w:rsidRPr="00A07D29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≧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2分且血便項”rectal bleeding”減少</w:t>
            </w:r>
            <w:r w:rsidRPr="00A07D29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≧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1分以上。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) 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1222" w:hanging="425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 緩解誘導之使用期間：____年____月至_____年___月</w:t>
            </w:r>
          </w:p>
          <w:p w:rsidR="00A07D29" w:rsidRPr="00A07D29" w:rsidRDefault="00A07D29" w:rsidP="00A3704B">
            <w:pPr>
              <w:suppressAutoHyphens w:val="0"/>
              <w:autoSpaceDN/>
              <w:spacing w:line="400" w:lineRule="exact"/>
              <w:ind w:left="599" w:hanging="22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="00A3704B" w:rsidRPr="00A3704B">
              <w:rPr>
                <w:rFonts w:ascii="標楷體" w:eastAsia="標楷體" w:hAnsi="標楷體" w:hint="eastAsia"/>
                <w:kern w:val="2"/>
                <w:szCs w:val="24"/>
              </w:rPr>
              <w:t>繼續使用者：第一次續用評估採Partial Mayo Score評估，最長24週需再續用評</w:t>
            </w:r>
            <w:r w:rsidR="00A3704B" w:rsidRPr="00A3704B"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估一次。第二次續用評估，必須Mayo Score≦ 6分，且Mayo Endoscopic subscore≦ 1分方可再申請繼續使用。ustekinumab治療達到部分有效緩解者，經消化系專科醫師評估後，得申請繼續使用，以每隔8週給予皮下注射維持劑量90mg。golimumab(使用6劑)、adalimumab需每24週(使用12劑)；infliximab需每16週(使用2劑)或24週(使用3劑)，vedolizumab需每16週(使用2劑)或24週(使用3劑) 評估一次，以及tofacitinib每24週(使用2劑)、ustekinumab繼續使用以24週(2劑或3劑)為限</w:t>
            </w:r>
            <w:r w:rsidRPr="00A07D29">
              <w:rPr>
                <w:rFonts w:ascii="標楷體" w:eastAsia="標楷體" w:hAnsi="標楷體"/>
                <w:color w:val="000000"/>
                <w:kern w:val="2"/>
                <w:szCs w:val="24"/>
              </w:rPr>
              <w:t>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599" w:hanging="22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="00A3704B" w:rsidRPr="00A3704B">
              <w:rPr>
                <w:rFonts w:ascii="標楷體" w:eastAsia="標楷體" w:hAnsi="標楷體" w:hint="eastAsia"/>
                <w:kern w:val="2"/>
                <w:szCs w:val="24"/>
              </w:rPr>
              <w:t>golimumab治療期滿50週(使用14劑)、adalimumab治療期滿54週(使用28劑)；infliximab治療期滿46週 (使用8劑)，vedolizumab治療期滿46週(使用8劑)，以及tofacitinib治療56週後；ustekinumab 治療44 週使用5 劑(共使用1 劑靜脈注射及4 劑皮下注射)或48週(使用5劑或7劑)後，再提出續用者，必須 距離前次生物製劑治療結束間隔3個月以上，若病情復發，依初次使用標準(其中經5-aminosalicylic acid藥物、類固醇、及/或免疫抑制劑充分治療，連續超過3個月)再次提出申請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。</w:t>
            </w:r>
          </w:p>
          <w:p w:rsidR="00A07D29" w:rsidRPr="00A07D29" w:rsidRDefault="00A07D29" w:rsidP="00A07D29">
            <w:pPr>
              <w:suppressAutoHyphens w:val="0"/>
              <w:autoSpaceDN/>
              <w:spacing w:line="400" w:lineRule="exact"/>
              <w:ind w:left="599" w:hanging="229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連續2次因療程結束暫緩用藥而疾病復發，且第2次復發於藥效終止後3個月內發生，則可持續使用；惟需每24週提出續用</w:t>
            </w:r>
            <w:r w:rsidRPr="00A07D29">
              <w:rPr>
                <w:rFonts w:ascii="標楷體" w:eastAsia="標楷體" w:hAnsi="標楷體" w:hint="eastAsia"/>
                <w:kern w:val="2"/>
                <w:szCs w:val="24"/>
              </w:rPr>
              <w:t>事前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審查</w:t>
            </w:r>
            <w:r w:rsidRPr="00A07D29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必須Mayo score</w:t>
            </w:r>
            <w:r w:rsidRPr="00A07D29">
              <w:rPr>
                <w:rFonts w:ascii="標楷體" w:eastAsia="標楷體" w:hAnsi="標楷體" w:cs="新細明體" w:hint="eastAsia"/>
                <w:kern w:val="2"/>
                <w:szCs w:val="24"/>
              </w:rPr>
              <w:t>≦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6分且Mayo endoscopic subscore</w:t>
            </w:r>
            <w:r w:rsidRPr="00A07D29">
              <w:rPr>
                <w:rFonts w:ascii="標楷體" w:eastAsia="標楷體" w:hAnsi="標楷體" w:cs="新細明體" w:hint="eastAsia"/>
                <w:kern w:val="2"/>
                <w:szCs w:val="24"/>
              </w:rPr>
              <w:t>≦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1分，才可繼續使用。連續2年(4次評估)達到Mayo score</w:t>
            </w:r>
            <w:r w:rsidRPr="00A07D29">
              <w:rPr>
                <w:rFonts w:ascii="標楷體" w:eastAsia="標楷體" w:hAnsi="標楷體" w:cs="新細明體" w:hint="eastAsia"/>
                <w:kern w:val="2"/>
                <w:szCs w:val="24"/>
              </w:rPr>
              <w:t>≦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 xml:space="preserve">2分，且Mayo endoscopic subscore </w:t>
            </w:r>
            <w:r w:rsidRPr="00A07D29">
              <w:rPr>
                <w:rFonts w:ascii="標楷體" w:eastAsia="標楷體" w:hAnsi="標楷體" w:cs="新細明體" w:hint="eastAsia"/>
                <w:kern w:val="2"/>
                <w:szCs w:val="24"/>
              </w:rPr>
              <w:t>≦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1，則應考慮停藥。</w:t>
            </w:r>
          </w:p>
        </w:tc>
      </w:tr>
      <w:tr w:rsidR="00A07D29" w:rsidRPr="00A07D29" w:rsidTr="00E35957">
        <w:trPr>
          <w:trHeight w:val="35"/>
        </w:trPr>
        <w:tc>
          <w:tcPr>
            <w:tcW w:w="9640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D29" w:rsidRPr="00A07D29" w:rsidRDefault="00A07D29" w:rsidP="00A07D29">
            <w:pPr>
              <w:suppressAutoHyphens w:val="0"/>
              <w:autoSpaceDN/>
              <w:spacing w:before="202"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lastRenderedPageBreak/>
              <w:br w:type="page"/>
            </w: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  <w:bookmarkStart w:id="0" w:name="_GoBack"/>
            <w:bookmarkEnd w:id="0"/>
            <w:r w:rsidR="00A3704B"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b/>
                <w:kern w:val="2"/>
                <w:szCs w:val="24"/>
              </w:rPr>
              <w:t>符合「須排除或停止生物製劑使用之情形」</w:t>
            </w:r>
          </w:p>
        </w:tc>
      </w:tr>
      <w:tr w:rsidR="00C44347" w:rsidRPr="00A07D29" w:rsidTr="00084C50">
        <w:trPr>
          <w:cantSplit/>
          <w:trHeight w:val="40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E35957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62D28" wp14:editId="490F0C2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199390</wp:posOffset>
                      </wp:positionV>
                      <wp:extent cx="695325" cy="0"/>
                      <wp:effectExtent l="0" t="0" r="0" b="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1E806A0F" id="直線接點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5.7pt" to="8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" strokecolor="#4a7ebb"/>
                  </w:pict>
                </mc:Fallback>
              </mc:AlternateConten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是否</w:t>
            </w:r>
            <w:r w:rsidRPr="00A3704B">
              <w:rPr>
                <w:rFonts w:ascii="標楷體" w:eastAsia="標楷體" w:hAnsi="標楷體"/>
                <w:color w:val="000000" w:themeColor="text1"/>
                <w:kern w:val="2"/>
                <w:szCs w:val="24"/>
              </w:rPr>
              <w:t>有</w:t>
            </w:r>
            <w:r w:rsidRPr="00A3704B">
              <w:rPr>
                <w:rFonts w:ascii="標楷體" w:eastAsia="標楷體" w:hAnsi="標楷體"/>
                <w:kern w:val="2"/>
                <w:szCs w:val="24"/>
              </w:rPr>
              <w:t xml:space="preserve">         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仿單記載之禁忌情形。</w:t>
            </w:r>
          </w:p>
        </w:tc>
      </w:tr>
      <w:tr w:rsidR="00084C50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婦女是否正在懷孕或授乳。</w:t>
            </w:r>
          </w:p>
        </w:tc>
      </w:tr>
      <w:tr w:rsidR="00084C50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病患是否有活動性感染症。</w:t>
            </w:r>
          </w:p>
        </w:tc>
      </w:tr>
      <w:tr w:rsidR="00084C50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未經完整治療之結核病的病患（包括潛伏結核感染治療未達四週者，申請時應檢附潛伏結核感染篩檢紀錄及治療紀錄供審查）。</w:t>
            </w:r>
          </w:p>
        </w:tc>
      </w:tr>
      <w:tr w:rsidR="00084C50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tabs>
                <w:tab w:val="left" w:pos="425"/>
              </w:tabs>
              <w:suppressAutoHyphens w:val="0"/>
              <w:autoSpaceDN/>
              <w:ind w:firstLineChars="250" w:firstLine="60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</w:t>
            </w:r>
          </w:p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病患是否具有高度感染機會之情形，其中包括：</w:t>
            </w:r>
          </w:p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1.慢性腿部潰瘍。</w:t>
            </w:r>
          </w:p>
          <w:p w:rsidR="00A07D29" w:rsidRPr="00A07D29" w:rsidRDefault="00A07D29" w:rsidP="00A07D29">
            <w:pPr>
              <w:suppressAutoHyphens w:val="0"/>
              <w:autoSpaceDN/>
              <w:ind w:left="240" w:hanging="24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2.具有留置導尿管或身上有引流管之情形。</w:t>
            </w:r>
          </w:p>
          <w:p w:rsidR="00A07D29" w:rsidRPr="00A07D29" w:rsidRDefault="00A07D29" w:rsidP="00A07D29">
            <w:pPr>
              <w:suppressAutoHyphens w:val="0"/>
              <w:autoSpaceDN/>
              <w:ind w:left="240" w:hanging="24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3.人工關節感染，該人工關節尚未摘除。</w:t>
            </w:r>
          </w:p>
          <w:p w:rsidR="00A07D29" w:rsidRPr="00A07D29" w:rsidRDefault="00A07D29" w:rsidP="00A07D29">
            <w:pPr>
              <w:suppressAutoHyphens w:val="0"/>
              <w:autoSpaceDN/>
              <w:ind w:left="240" w:hanging="240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4.頑固性或復發性的胸腔感染疾病。</w:t>
            </w:r>
          </w:p>
        </w:tc>
      </w:tr>
      <w:tr w:rsidR="00084C50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病患是否罹患惡性腫瘤或具有癌症前兆(pre-malignancy)</w:t>
            </w:r>
          </w:p>
        </w:tc>
      </w:tr>
      <w:tr w:rsidR="00084C50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病患是否罹患多發性硬化症(multiple sclerosis)</w:t>
            </w:r>
          </w:p>
        </w:tc>
      </w:tr>
      <w:tr w:rsidR="00C44347" w:rsidRPr="00A07D29" w:rsidTr="00084C50">
        <w:trPr>
          <w:cantSplit/>
          <w:trHeight w:val="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是</w:t>
            </w:r>
          </w:p>
          <w:p w:rsidR="00A07D29" w:rsidRPr="00A07D29" w:rsidRDefault="00A07D29" w:rsidP="00084C50">
            <w:pPr>
              <w:tabs>
                <w:tab w:val="left" w:pos="425"/>
              </w:tabs>
              <w:suppressAutoHyphens w:val="0"/>
              <w:autoSpaceDN/>
              <w:ind w:leftChars="-13" w:hangingChars="13" w:hanging="31"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Webdings" w:eastAsia="Webdings" w:hAnsi="Webdings" w:cs="Webdings"/>
                <w:kern w:val="2"/>
                <w:szCs w:val="24"/>
              </w:rPr>
              <w:t></w:t>
            </w:r>
            <w:r w:rsidRPr="00A07D29">
              <w:rPr>
                <w:rFonts w:ascii="標楷體" w:eastAsia="標楷體" w:hAnsi="標楷體"/>
                <w:kern w:val="2"/>
                <w:szCs w:val="24"/>
              </w:rPr>
              <w:t>否</w:t>
            </w:r>
          </w:p>
        </w:tc>
        <w:tc>
          <w:tcPr>
            <w:tcW w:w="7371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D29" w:rsidRPr="00A07D29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A07D29">
              <w:rPr>
                <w:rFonts w:ascii="標楷體" w:eastAsia="標楷體" w:hAnsi="標楷體"/>
                <w:kern w:val="2"/>
                <w:szCs w:val="24"/>
              </w:rPr>
              <w:t>使用infliximab,golimumab,adalimumab,vedolizumab,tofacitinib, ustekinumab發生懷孕或不良事件(包括：惡性腫瘤、該藥物引起的嚴重毒性、嚴重的感染性疾病)</w:t>
            </w:r>
          </w:p>
        </w:tc>
      </w:tr>
      <w:tr w:rsidR="00A07D29" w:rsidRPr="00A07D29" w:rsidTr="00E35957">
        <w:trPr>
          <w:cantSplit/>
          <w:trHeight w:val="1772"/>
        </w:trPr>
        <w:tc>
          <w:tcPr>
            <w:tcW w:w="6958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231EDE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231EDE">
              <w:rPr>
                <w:rFonts w:ascii="標楷體" w:eastAsia="標楷體" w:hAnsi="標楷體"/>
                <w:kern w:val="2"/>
                <w:szCs w:val="24"/>
              </w:rPr>
              <w:t>申請醫師（簽名蓋章）：</w:t>
            </w:r>
            <w:r w:rsidR="00231EDE" w:rsidRPr="00663E2E">
              <w:rPr>
                <w:rFonts w:asciiTheme="minorEastAsia" w:eastAsiaTheme="minorEastAsia" w:hAnsiTheme="minorEastAsia"/>
                <w:u w:val="single"/>
              </w:rPr>
              <w:t xml:space="preserve">　　　　　　　  </w:t>
            </w:r>
            <w:r w:rsidRPr="00231EDE">
              <w:rPr>
                <w:rFonts w:ascii="標楷體" w:eastAsia="標楷體" w:hAnsi="標楷體"/>
                <w:kern w:val="2"/>
                <w:szCs w:val="24"/>
              </w:rPr>
              <w:t xml:space="preserve">　　　　　　　    </w:t>
            </w:r>
          </w:p>
          <w:p w:rsidR="00A07D29" w:rsidRPr="00231EDE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231EDE">
              <w:rPr>
                <w:rFonts w:ascii="標楷體" w:eastAsia="標楷體" w:hAnsi="標楷體"/>
                <w:kern w:val="2"/>
                <w:szCs w:val="24"/>
              </w:rPr>
              <w:t>消化系專科醫師證書：</w:t>
            </w:r>
            <w:r w:rsidR="00231EDE" w:rsidRPr="00663E2E">
              <w:rPr>
                <w:rFonts w:asciiTheme="minorEastAsia" w:eastAsiaTheme="minorEastAsia" w:hAnsiTheme="minorEastAsia"/>
                <w:u w:val="single"/>
              </w:rPr>
              <w:t xml:space="preserve">　　　　　　　  </w:t>
            </w:r>
            <w:r w:rsidRPr="00231EDE">
              <w:rPr>
                <w:rFonts w:ascii="標楷體" w:eastAsia="標楷體" w:hAnsi="標楷體"/>
                <w:kern w:val="2"/>
                <w:szCs w:val="24"/>
              </w:rPr>
              <w:t xml:space="preserve">    　　　　　　</w:t>
            </w:r>
            <w:r w:rsidR="00231EDE" w:rsidRPr="00231EDE">
              <w:rPr>
                <w:rFonts w:ascii="標楷體" w:eastAsia="標楷體" w:hAnsi="標楷體"/>
                <w:kern w:val="2"/>
                <w:szCs w:val="24"/>
              </w:rPr>
              <w:t xml:space="preserve">  </w:t>
            </w:r>
          </w:p>
          <w:p w:rsidR="00A07D29" w:rsidRPr="00231EDE" w:rsidRDefault="00A07D29" w:rsidP="00A07D29">
            <w:pPr>
              <w:tabs>
                <w:tab w:val="left" w:pos="2912"/>
              </w:tabs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7D29" w:rsidRPr="00231EDE" w:rsidRDefault="00A07D29" w:rsidP="00A07D29">
            <w:pPr>
              <w:suppressAutoHyphens w:val="0"/>
              <w:autoSpaceDN/>
              <w:textAlignment w:val="center"/>
              <w:rPr>
                <w:rFonts w:ascii="標楷體" w:eastAsia="標楷體" w:hAnsi="標楷體"/>
                <w:kern w:val="2"/>
                <w:szCs w:val="24"/>
              </w:rPr>
            </w:pPr>
            <w:r w:rsidRPr="00231EDE">
              <w:rPr>
                <w:rFonts w:ascii="標楷體" w:eastAsia="標楷體" w:hAnsi="標楷體"/>
                <w:kern w:val="2"/>
                <w:szCs w:val="24"/>
              </w:rPr>
              <w:t>醫事機構章戳：</w:t>
            </w:r>
          </w:p>
        </w:tc>
      </w:tr>
    </w:tbl>
    <w:p w:rsidR="00A07D29" w:rsidRPr="00A07D29" w:rsidRDefault="00A07D29" w:rsidP="00A07D29">
      <w:pPr>
        <w:widowControl/>
        <w:suppressAutoHyphens w:val="0"/>
        <w:autoSpaceDN/>
        <w:textAlignment w:val="auto"/>
        <w:rPr>
          <w:rFonts w:ascii="標楷體" w:eastAsia="標楷體" w:hAnsi="標楷體"/>
          <w:kern w:val="2"/>
          <w:sz w:val="28"/>
          <w:szCs w:val="28"/>
        </w:rPr>
      </w:pPr>
    </w:p>
    <w:sectPr w:rsidR="00A07D29" w:rsidRPr="00A07D29" w:rsidSect="00D01728">
      <w:pgSz w:w="11906" w:h="16838" w:code="9"/>
      <w:pgMar w:top="1021" w:right="1841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D3"/>
    <w:rsid w:val="000510BF"/>
    <w:rsid w:val="00082B5B"/>
    <w:rsid w:val="00084C50"/>
    <w:rsid w:val="00152454"/>
    <w:rsid w:val="00231EDE"/>
    <w:rsid w:val="0029199D"/>
    <w:rsid w:val="00465FBD"/>
    <w:rsid w:val="0048669C"/>
    <w:rsid w:val="00497B44"/>
    <w:rsid w:val="004F41CC"/>
    <w:rsid w:val="005C27D3"/>
    <w:rsid w:val="00635E07"/>
    <w:rsid w:val="00675096"/>
    <w:rsid w:val="006F2A68"/>
    <w:rsid w:val="007556F9"/>
    <w:rsid w:val="008A69C3"/>
    <w:rsid w:val="0098555C"/>
    <w:rsid w:val="00A07D29"/>
    <w:rsid w:val="00A3704B"/>
    <w:rsid w:val="00AF075C"/>
    <w:rsid w:val="00BF2ED1"/>
    <w:rsid w:val="00C44347"/>
    <w:rsid w:val="00CA4EE1"/>
    <w:rsid w:val="00CE227B"/>
    <w:rsid w:val="00CF101A"/>
    <w:rsid w:val="00CF5AFB"/>
    <w:rsid w:val="00D01728"/>
    <w:rsid w:val="00D2458E"/>
    <w:rsid w:val="00E35957"/>
    <w:rsid w:val="00E67F2F"/>
    <w:rsid w:val="00EA7F7F"/>
    <w:rsid w:val="00EF2EF0"/>
    <w:rsid w:val="00F9317B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64C2"/>
  <w15:chartTrackingRefBased/>
  <w15:docId w15:val="{850F13F8-9647-4E4D-B606-AF942E4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7D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2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李芝蘭</dc:creator>
  <cp:keywords/>
  <dc:description/>
  <cp:lastModifiedBy>張耿睿</cp:lastModifiedBy>
  <cp:revision>2</cp:revision>
  <dcterms:created xsi:type="dcterms:W3CDTF">2024-10-25T02:25:00Z</dcterms:created>
  <dcterms:modified xsi:type="dcterms:W3CDTF">2024-10-25T02:25:00Z</dcterms:modified>
</cp:coreProperties>
</file>