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D29" w:rsidRPr="00047C83" w:rsidRDefault="00A07D29" w:rsidP="00C96DAC">
      <w:pPr>
        <w:widowControl/>
        <w:suppressAutoHyphens w:val="0"/>
        <w:autoSpaceDN/>
        <w:ind w:leftChars="-300" w:left="-720" w:rightChars="-98" w:right="-235"/>
        <w:jc w:val="center"/>
        <w:textAlignment w:val="auto"/>
        <w:rPr>
          <w:rFonts w:ascii="標楷體" w:eastAsia="標楷體" w:hAnsi="標楷體"/>
          <w:kern w:val="2"/>
          <w:szCs w:val="24"/>
        </w:rPr>
      </w:pPr>
      <w:bookmarkStart w:id="0" w:name="_GoBack"/>
      <w:bookmarkEnd w:id="0"/>
      <w:r w:rsidRPr="00047C83">
        <w:rPr>
          <w:rFonts w:ascii="標楷體" w:eastAsia="標楷體" w:hAnsi="標楷體"/>
          <w:kern w:val="2"/>
          <w:szCs w:val="24"/>
        </w:rPr>
        <w:t>附表二十六之七 全民健康保險小兒潰瘍性結腸炎使用adalimumab、infliximab申請表</w:t>
      </w:r>
    </w:p>
    <w:tbl>
      <w:tblPr>
        <w:tblW w:w="9501" w:type="dxa"/>
        <w:tblInd w:w="-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7"/>
        <w:gridCol w:w="1547"/>
        <w:gridCol w:w="1408"/>
        <w:gridCol w:w="1601"/>
        <w:gridCol w:w="1050"/>
        <w:gridCol w:w="2418"/>
      </w:tblGrid>
      <w:tr w:rsidR="00A07D29" w:rsidRPr="00A07D29" w:rsidTr="00D01728">
        <w:trPr>
          <w:cantSplit/>
          <w:trHeight w:val="376"/>
        </w:trPr>
        <w:tc>
          <w:tcPr>
            <w:tcW w:w="147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napToGrid w:val="0"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br w:type="page"/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醫院代號</w:t>
            </w:r>
          </w:p>
        </w:tc>
        <w:tc>
          <w:tcPr>
            <w:tcW w:w="15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napToGrid w:val="0"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napToGrid w:val="0"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醫院名稱</w:t>
            </w:r>
          </w:p>
        </w:tc>
        <w:tc>
          <w:tcPr>
            <w:tcW w:w="16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napToGrid w:val="0"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0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napToGrid w:val="0"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申請日期</w:t>
            </w:r>
          </w:p>
        </w:tc>
        <w:tc>
          <w:tcPr>
            <w:tcW w:w="2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napToGrid w:val="0"/>
              <w:spacing w:line="380" w:lineRule="exact"/>
              <w:ind w:firstLineChars="200" w:firstLine="48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年   月  日</w:t>
            </w:r>
          </w:p>
        </w:tc>
      </w:tr>
      <w:tr w:rsidR="00A07D29" w:rsidRPr="00A07D29" w:rsidTr="00D01728">
        <w:trPr>
          <w:cantSplit/>
          <w:trHeight w:val="332"/>
        </w:trPr>
        <w:tc>
          <w:tcPr>
            <w:tcW w:w="147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病人姓名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性別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出生日期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ind w:firstLineChars="200" w:firstLine="48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年   月  日</w:t>
            </w:r>
          </w:p>
        </w:tc>
      </w:tr>
      <w:tr w:rsidR="00A07D29" w:rsidRPr="00A07D29" w:rsidTr="00D01728">
        <w:trPr>
          <w:cantSplit/>
          <w:trHeight w:val="356"/>
        </w:trPr>
        <w:tc>
          <w:tcPr>
            <w:tcW w:w="147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身分證號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病歷號碼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使用期間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自    年   月   日</w:t>
            </w:r>
          </w:p>
        </w:tc>
      </w:tr>
      <w:tr w:rsidR="00A07D29" w:rsidRPr="00A07D29" w:rsidTr="00D01728">
        <w:trPr>
          <w:cantSplit/>
          <w:trHeight w:val="337"/>
        </w:trPr>
        <w:tc>
          <w:tcPr>
            <w:tcW w:w="147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藥品代碼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用法用量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  <w:u w:val="single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至　年  月　日</w:t>
            </w:r>
          </w:p>
        </w:tc>
      </w:tr>
      <w:tr w:rsidR="00A07D29" w:rsidRPr="00A07D29" w:rsidTr="00D01728">
        <w:trPr>
          <w:trHeight w:val="12065"/>
        </w:trPr>
        <w:tc>
          <w:tcPr>
            <w:tcW w:w="950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before="202"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  <w:u w:val="single"/>
              </w:rPr>
              <w:br w:type="page"/>
            </w:r>
            <w:r w:rsidRPr="00A07D29">
              <w:rPr>
                <w:rFonts w:ascii="Webdings" w:eastAsia="Webdings" w:hAnsi="Webdings" w:cs="Webdings"/>
                <w:kern w:val="2"/>
                <w:szCs w:val="24"/>
                <w:u w:val="single"/>
              </w:rPr>
              <w:t></w:t>
            </w:r>
            <w:r w:rsidRPr="00A07D29">
              <w:rPr>
                <w:rFonts w:ascii="標楷體" w:eastAsia="標楷體" w:hAnsi="標楷體"/>
                <w:b/>
                <w:bCs/>
                <w:kern w:val="2"/>
                <w:szCs w:val="17"/>
              </w:rPr>
              <w:t>符合下列所有條件：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653" w:hanging="283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六歲(含)以上診斷為小兒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潰瘍性結腸炎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 xml:space="preserve">。 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799" w:hanging="427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符合下列條件之一：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1596" w:hanging="799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 xml:space="preserve"> 一、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同時符合下列條件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Chars="654" w:left="1994" w:hanging="424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 xml:space="preserve"> 經5-aminosalicylic acid藥物、類固醇、及/或免疫調節劑充分治療無效，或對5-aminosalicylic acid藥物、免疫調節劑產生嚴重藥物副作用。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1649" w:firstLineChars="143" w:firstLine="343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 xml:space="preserve"> 無法控制病情（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PUCAI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分數：_______）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1649" w:firstLineChars="143" w:firstLine="343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產生嚴重藥物副作用：藥名_________________時間__________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199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副作用說明：___________________________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Chars="653" w:left="1989" w:hangingChars="176" w:hanging="422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PUCAI</w:t>
            </w:r>
            <w:r w:rsidRPr="00A07D29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≧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35分，或合併生長遲緩(height velocity Z score -1 to -2.5)孩童經營養治療與免疫抑制劑治療失敗者。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1596" w:hanging="799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二、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急性嚴重的潰瘍性結腸炎，同時符合下列四要件：</w:t>
            </w:r>
          </w:p>
          <w:p w:rsidR="00A07D29" w:rsidRPr="00A07D29" w:rsidRDefault="00A07D29" w:rsidP="00A07D29">
            <w:pPr>
              <w:suppressAutoHyphens w:val="0"/>
              <w:autoSpaceDN/>
              <w:ind w:leftChars="650" w:left="1560" w:firstLineChars="3" w:firstLine="7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內視鏡下符合潰瘍性結腸炎。</w:t>
            </w:r>
          </w:p>
          <w:p w:rsidR="00A07D29" w:rsidRPr="00A07D29" w:rsidRDefault="00A07D29" w:rsidP="00A07D29">
            <w:pPr>
              <w:suppressAutoHyphens w:val="0"/>
              <w:autoSpaceDN/>
              <w:ind w:leftChars="650" w:left="1560" w:firstLineChars="3" w:firstLine="7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病理切片排除巨細胞病毒腸炎、阿米巴結腸炎、淋巴癌。</w:t>
            </w:r>
          </w:p>
          <w:p w:rsidR="00A07D29" w:rsidRPr="00A07D29" w:rsidRDefault="00A07D29" w:rsidP="00A07D29">
            <w:pPr>
              <w:suppressAutoHyphens w:val="0"/>
              <w:autoSpaceDN/>
              <w:ind w:leftChars="650" w:left="1560" w:firstLineChars="3" w:firstLine="7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糞便檢測排除困難梭狀桿菌感染。</w:t>
            </w:r>
          </w:p>
          <w:p w:rsidR="00A07D29" w:rsidRPr="00A07D29" w:rsidRDefault="00A07D29" w:rsidP="00A07D29">
            <w:pPr>
              <w:suppressAutoHyphens w:val="0"/>
              <w:autoSpaceDN/>
              <w:ind w:leftChars="650" w:left="1560" w:firstLineChars="3" w:firstLine="7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PUCAI為50分，經類固醇全劑量靜脈注射連續治療5天無效。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2074" w:hanging="425"/>
              <w:textAlignment w:val="auto"/>
              <w:rPr>
                <w:rFonts w:ascii="標楷體" w:eastAsia="標楷體" w:hAnsi="標楷體"/>
                <w:kern w:val="2"/>
                <w:szCs w:val="24"/>
                <w:u w:val="single"/>
              </w:rPr>
            </w:pPr>
          </w:p>
          <w:p w:rsidR="00A07D29" w:rsidRPr="00A07D29" w:rsidRDefault="00A07D29" w:rsidP="00A07D29">
            <w:pPr>
              <w:suppressAutoHyphens w:val="0"/>
              <w:autoSpaceDN/>
              <w:spacing w:before="202" w:line="400" w:lineRule="exact"/>
              <w:textAlignment w:val="auto"/>
              <w:rPr>
                <w:rFonts w:ascii="標楷體" w:eastAsia="標楷體" w:hAnsi="標楷體"/>
                <w:b/>
                <w:bCs/>
                <w:kern w:val="2"/>
                <w:szCs w:val="17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b/>
                <w:bCs/>
                <w:kern w:val="2"/>
                <w:szCs w:val="17"/>
              </w:rPr>
              <w:t xml:space="preserve"> 符合繼續使用之療效評估：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694" w:hanging="322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初次使用者：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infliximab以6週(使用3劑)為限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，達到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臨床反應評估者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，方得申請繼續使用。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797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 xml:space="preserve"> 達到有效緩解之誘導(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PUCAI減少20分或PUCAI＜10分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 xml:space="preserve">) 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1222" w:hanging="425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緩解誘導之使用期間：____年____月至_____年___月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694" w:hanging="324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 xml:space="preserve"> 繼續使用者：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以申請一次24週(使用3劑)為限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。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694" w:hanging="324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infliximab治療期滿46週 (使用8劑)，再提出續用者，必須距離前次生物製劑治療結束間隔3個月以上，且因病情復發或以其他治療難以控制達規定之標準。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694" w:hanging="324"/>
              <w:textAlignment w:val="auto"/>
              <w:rPr>
                <w:rFonts w:ascii="標楷體" w:eastAsia="標楷體" w:hAnsi="標楷體"/>
                <w:kern w:val="2"/>
                <w:szCs w:val="24"/>
                <w:u w:val="single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連續2次因療程結束而暫緩用藥疾病復發，且第2次復發於藥效終止後3個月內發生，則可持續使用，惟需每24週提出續用</w:t>
            </w:r>
            <w:r w:rsidRPr="00A07D29">
              <w:rPr>
                <w:rFonts w:ascii="標楷體" w:eastAsia="標楷體" w:hAnsi="標楷體" w:hint="eastAsia"/>
                <w:kern w:val="2"/>
                <w:szCs w:val="24"/>
              </w:rPr>
              <w:t>事前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審查</w:t>
            </w:r>
            <w:r w:rsidRPr="00A07D29"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連續2年(4次評估)達到PUCIA &lt; 5分，則應考慮停藥。</w:t>
            </w:r>
          </w:p>
        </w:tc>
      </w:tr>
    </w:tbl>
    <w:p w:rsidR="00C96DAC" w:rsidRDefault="00C96DAC">
      <w:pPr>
        <w:widowControl/>
        <w:suppressAutoHyphens w:val="0"/>
        <w:autoSpaceDN/>
        <w:textAlignment w:val="auto"/>
        <w:rPr>
          <w:rFonts w:ascii="標楷體" w:eastAsia="標楷體" w:hAnsi="標楷體" w:hint="eastAsia"/>
          <w:kern w:val="2"/>
          <w:szCs w:val="24"/>
        </w:rPr>
      </w:pPr>
    </w:p>
    <w:p w:rsidR="00A07D29" w:rsidRPr="00A07D29" w:rsidRDefault="00A07D29" w:rsidP="00C96DAC">
      <w:pPr>
        <w:widowControl/>
        <w:suppressAutoHyphens w:val="0"/>
        <w:autoSpaceDN/>
        <w:ind w:leftChars="-354" w:left="-123" w:rightChars="-98" w:right="-235" w:hangingChars="303" w:hanging="727"/>
        <w:jc w:val="center"/>
        <w:textAlignment w:val="auto"/>
        <w:rPr>
          <w:rFonts w:ascii="標楷體" w:eastAsia="標楷體" w:hAnsi="標楷體"/>
          <w:kern w:val="2"/>
          <w:szCs w:val="24"/>
        </w:rPr>
      </w:pPr>
      <w:r w:rsidRPr="00A07D29">
        <w:rPr>
          <w:rFonts w:ascii="標楷體" w:eastAsia="標楷體" w:hAnsi="標楷體"/>
          <w:kern w:val="2"/>
          <w:szCs w:val="24"/>
        </w:rPr>
        <w:lastRenderedPageBreak/>
        <w:t>附表二十六之七 全民健康保險小兒潰瘍性結腸炎使用adalimumab、infliximab申請表</w:t>
      </w:r>
    </w:p>
    <w:tbl>
      <w:tblPr>
        <w:tblW w:w="9938" w:type="dxa"/>
        <w:tblInd w:w="-8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"/>
        <w:gridCol w:w="1324"/>
        <w:gridCol w:w="4074"/>
        <w:gridCol w:w="3644"/>
      </w:tblGrid>
      <w:tr w:rsidR="00A07D29" w:rsidRPr="00A07D29" w:rsidTr="00D01728">
        <w:trPr>
          <w:cantSplit/>
          <w:trHeight w:val="282"/>
        </w:trPr>
        <w:tc>
          <w:tcPr>
            <w:tcW w:w="9938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before="202"/>
              <w:ind w:left="12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br w:type="page"/>
            </w: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b/>
                <w:kern w:val="2"/>
                <w:szCs w:val="24"/>
              </w:rPr>
              <w:t>符合「須排除或停止</w:t>
            </w:r>
            <w:r w:rsidRPr="00A07D29">
              <w:rPr>
                <w:rFonts w:ascii="標楷體" w:eastAsia="標楷體" w:hAnsi="標楷體" w:hint="eastAsia"/>
                <w:b/>
                <w:kern w:val="2"/>
                <w:szCs w:val="24"/>
              </w:rPr>
              <w:t>adalimumab、</w:t>
            </w:r>
            <w:r w:rsidRPr="00A07D29">
              <w:rPr>
                <w:rFonts w:ascii="標楷體" w:eastAsia="標楷體" w:hAnsi="標楷體"/>
                <w:b/>
                <w:kern w:val="2"/>
                <w:szCs w:val="24"/>
              </w:rPr>
              <w:t>infliximab使用之情形」</w:t>
            </w:r>
          </w:p>
        </w:tc>
      </w:tr>
      <w:tr w:rsidR="00A07D29" w:rsidRPr="00A07D29" w:rsidTr="00D01728">
        <w:trPr>
          <w:cantSplit/>
          <w:trHeight w:val="401"/>
        </w:trPr>
        <w:tc>
          <w:tcPr>
            <w:tcW w:w="8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  <w:u w:val="single"/>
              </w:rPr>
            </w:pP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tabs>
                <w:tab w:val="left" w:pos="425"/>
              </w:tabs>
              <w:suppressAutoHyphens w:val="0"/>
              <w:autoSpaceDN/>
              <w:ind w:firstLineChars="37" w:firstLine="89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是</w:t>
            </w:r>
          </w:p>
          <w:p w:rsidR="00A07D29" w:rsidRPr="00A07D29" w:rsidRDefault="00A07D29" w:rsidP="00A07D29">
            <w:pPr>
              <w:tabs>
                <w:tab w:val="left" w:pos="425"/>
              </w:tabs>
              <w:suppressAutoHyphens w:val="0"/>
              <w:autoSpaceDN/>
              <w:ind w:left="92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否</w:t>
            </w:r>
          </w:p>
        </w:tc>
        <w:tc>
          <w:tcPr>
            <w:tcW w:w="7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是否有</w:t>
            </w:r>
            <w:r w:rsidRPr="00A07D29">
              <w:rPr>
                <w:rFonts w:ascii="標楷體" w:eastAsia="標楷體" w:hAnsi="標楷體" w:hint="eastAsia"/>
                <w:kern w:val="2"/>
                <w:szCs w:val="24"/>
              </w:rPr>
              <w:t>adalimumab、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infliximab仿單記載之禁忌情形。</w:t>
            </w:r>
          </w:p>
        </w:tc>
      </w:tr>
      <w:tr w:rsidR="00A07D29" w:rsidRPr="00A07D29" w:rsidTr="00D01728">
        <w:trPr>
          <w:cantSplit/>
          <w:trHeight w:val="401"/>
        </w:trPr>
        <w:tc>
          <w:tcPr>
            <w:tcW w:w="8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  <w:u w:val="single"/>
              </w:rPr>
            </w:pP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tabs>
                <w:tab w:val="left" w:pos="425"/>
              </w:tabs>
              <w:suppressAutoHyphens w:val="0"/>
              <w:autoSpaceDN/>
              <w:ind w:firstLineChars="37" w:firstLine="89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是</w:t>
            </w:r>
          </w:p>
          <w:p w:rsidR="00A07D29" w:rsidRPr="00A07D29" w:rsidRDefault="00A07D29" w:rsidP="00A07D29">
            <w:pPr>
              <w:tabs>
                <w:tab w:val="left" w:pos="425"/>
              </w:tabs>
              <w:suppressAutoHyphens w:val="0"/>
              <w:autoSpaceDN/>
              <w:ind w:left="92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否</w:t>
            </w:r>
          </w:p>
        </w:tc>
        <w:tc>
          <w:tcPr>
            <w:tcW w:w="7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病患是否有活動性感染症。</w:t>
            </w:r>
          </w:p>
        </w:tc>
      </w:tr>
      <w:tr w:rsidR="00A07D29" w:rsidRPr="00A07D29" w:rsidTr="00D01728">
        <w:trPr>
          <w:cantSplit/>
          <w:trHeight w:val="401"/>
        </w:trPr>
        <w:tc>
          <w:tcPr>
            <w:tcW w:w="8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  <w:u w:val="single"/>
              </w:rPr>
            </w:pP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tabs>
                <w:tab w:val="left" w:pos="425"/>
              </w:tabs>
              <w:suppressAutoHyphens w:val="0"/>
              <w:autoSpaceDN/>
              <w:ind w:firstLineChars="37" w:firstLine="89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是</w:t>
            </w:r>
          </w:p>
          <w:p w:rsidR="00A07D29" w:rsidRPr="00A07D29" w:rsidRDefault="00A07D29" w:rsidP="00A07D29">
            <w:pPr>
              <w:tabs>
                <w:tab w:val="left" w:pos="425"/>
              </w:tabs>
              <w:suppressAutoHyphens w:val="0"/>
              <w:autoSpaceDN/>
              <w:ind w:left="92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否</w:t>
            </w:r>
          </w:p>
        </w:tc>
        <w:tc>
          <w:tcPr>
            <w:tcW w:w="7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未經完整治療之結核病的病患（包括潛伏結核感染治療未達四週者，申請時應檢附潛伏結核感染篩檢紀錄及治療紀錄供審查）。</w:t>
            </w:r>
          </w:p>
        </w:tc>
      </w:tr>
      <w:tr w:rsidR="00A07D29" w:rsidRPr="00A07D29" w:rsidTr="00D01728">
        <w:trPr>
          <w:cantSplit/>
          <w:trHeight w:val="401"/>
        </w:trPr>
        <w:tc>
          <w:tcPr>
            <w:tcW w:w="8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tabs>
                <w:tab w:val="left" w:pos="425"/>
              </w:tabs>
              <w:suppressAutoHyphens w:val="0"/>
              <w:autoSpaceDN/>
              <w:ind w:firstLineChars="250" w:firstLine="600"/>
              <w:textAlignment w:val="center"/>
              <w:rPr>
                <w:rFonts w:ascii="標楷體" w:eastAsia="標楷體" w:hAnsi="標楷體"/>
                <w:kern w:val="2"/>
                <w:szCs w:val="24"/>
                <w:u w:val="single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  <w:u w:val="single"/>
              </w:rPr>
              <w:t></w:t>
            </w:r>
          </w:p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  <w:u w:val="single"/>
              </w:rPr>
            </w:pP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tabs>
                <w:tab w:val="left" w:pos="425"/>
              </w:tabs>
              <w:suppressAutoHyphens w:val="0"/>
              <w:autoSpaceDN/>
              <w:ind w:firstLineChars="37" w:firstLine="89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是</w:t>
            </w:r>
          </w:p>
          <w:p w:rsidR="00A07D29" w:rsidRPr="00A07D29" w:rsidRDefault="00A07D29" w:rsidP="00A07D29">
            <w:pPr>
              <w:tabs>
                <w:tab w:val="left" w:pos="425"/>
              </w:tabs>
              <w:suppressAutoHyphens w:val="0"/>
              <w:autoSpaceDN/>
              <w:ind w:firstLineChars="37" w:firstLine="89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否</w:t>
            </w:r>
          </w:p>
        </w:tc>
        <w:tc>
          <w:tcPr>
            <w:tcW w:w="7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病患是否具有高度感染機會之情形，其中包括：</w:t>
            </w:r>
          </w:p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1.慢性腿部潰瘍。</w:t>
            </w:r>
          </w:p>
          <w:p w:rsidR="00A07D29" w:rsidRPr="00A07D29" w:rsidRDefault="00A07D29" w:rsidP="00A07D29">
            <w:pPr>
              <w:suppressAutoHyphens w:val="0"/>
              <w:autoSpaceDN/>
              <w:ind w:left="240" w:hanging="240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2.具有留置導尿管或身上有引流管之情形。</w:t>
            </w:r>
          </w:p>
          <w:p w:rsidR="00A07D29" w:rsidRPr="00A07D29" w:rsidRDefault="00A07D29" w:rsidP="00A07D29">
            <w:pPr>
              <w:suppressAutoHyphens w:val="0"/>
              <w:autoSpaceDN/>
              <w:ind w:left="240" w:hanging="240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3.人工關節感染，該人工關節尚未摘除。</w:t>
            </w:r>
          </w:p>
          <w:p w:rsidR="00A07D29" w:rsidRPr="00A07D29" w:rsidRDefault="00A07D29" w:rsidP="00A07D29">
            <w:pPr>
              <w:suppressAutoHyphens w:val="0"/>
              <w:autoSpaceDN/>
              <w:ind w:left="240" w:hanging="240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4.頑固性或復發性的胸腔感染疾病。</w:t>
            </w:r>
          </w:p>
        </w:tc>
      </w:tr>
      <w:tr w:rsidR="00A07D29" w:rsidRPr="00A07D29" w:rsidTr="00D01728">
        <w:trPr>
          <w:cantSplit/>
          <w:trHeight w:val="401"/>
        </w:trPr>
        <w:tc>
          <w:tcPr>
            <w:tcW w:w="8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  <w:u w:val="single"/>
              </w:rPr>
            </w:pP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tabs>
                <w:tab w:val="left" w:pos="425"/>
              </w:tabs>
              <w:suppressAutoHyphens w:val="0"/>
              <w:autoSpaceDN/>
              <w:ind w:firstLineChars="37" w:firstLine="89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是</w:t>
            </w:r>
          </w:p>
          <w:p w:rsidR="00A07D29" w:rsidRPr="00A07D29" w:rsidRDefault="00A07D29" w:rsidP="00A07D29">
            <w:pPr>
              <w:tabs>
                <w:tab w:val="left" w:pos="425"/>
              </w:tabs>
              <w:suppressAutoHyphens w:val="0"/>
              <w:autoSpaceDN/>
              <w:ind w:left="92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否</w:t>
            </w:r>
          </w:p>
        </w:tc>
        <w:tc>
          <w:tcPr>
            <w:tcW w:w="7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病患是否罹患惡性腫瘤或具有癌症前兆(pre-malignancy)</w:t>
            </w:r>
          </w:p>
        </w:tc>
      </w:tr>
      <w:tr w:rsidR="00A07D29" w:rsidRPr="00A07D29" w:rsidTr="00D01728">
        <w:trPr>
          <w:cantSplit/>
          <w:trHeight w:val="401"/>
        </w:trPr>
        <w:tc>
          <w:tcPr>
            <w:tcW w:w="8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  <w:u w:val="single"/>
              </w:rPr>
            </w:pPr>
          </w:p>
        </w:tc>
        <w:tc>
          <w:tcPr>
            <w:tcW w:w="1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tabs>
                <w:tab w:val="left" w:pos="425"/>
              </w:tabs>
              <w:suppressAutoHyphens w:val="0"/>
              <w:autoSpaceDN/>
              <w:ind w:firstLineChars="37" w:firstLine="89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是</w:t>
            </w:r>
          </w:p>
          <w:p w:rsidR="00A07D29" w:rsidRPr="00A07D29" w:rsidRDefault="00A07D29" w:rsidP="00A07D29">
            <w:pPr>
              <w:tabs>
                <w:tab w:val="left" w:pos="425"/>
              </w:tabs>
              <w:suppressAutoHyphens w:val="0"/>
              <w:autoSpaceDN/>
              <w:ind w:left="92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否</w:t>
            </w:r>
          </w:p>
        </w:tc>
        <w:tc>
          <w:tcPr>
            <w:tcW w:w="7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病患是否罹患多發性硬化症(multiple sclerosis)</w:t>
            </w:r>
          </w:p>
        </w:tc>
      </w:tr>
      <w:tr w:rsidR="00A07D29" w:rsidRPr="00A07D29" w:rsidTr="00D01728">
        <w:trPr>
          <w:cantSplit/>
          <w:trHeight w:val="401"/>
        </w:trPr>
        <w:tc>
          <w:tcPr>
            <w:tcW w:w="89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  <w:u w:val="single"/>
              </w:rPr>
            </w:pPr>
          </w:p>
        </w:tc>
        <w:tc>
          <w:tcPr>
            <w:tcW w:w="1324" w:type="dxa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tabs>
                <w:tab w:val="left" w:pos="425"/>
              </w:tabs>
              <w:suppressAutoHyphens w:val="0"/>
              <w:autoSpaceDN/>
              <w:ind w:firstLineChars="37" w:firstLine="89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是</w:t>
            </w:r>
          </w:p>
          <w:p w:rsidR="00A07D29" w:rsidRPr="00A07D29" w:rsidRDefault="00A07D29" w:rsidP="00A07D29">
            <w:pPr>
              <w:tabs>
                <w:tab w:val="left" w:pos="425"/>
              </w:tabs>
              <w:suppressAutoHyphens w:val="0"/>
              <w:autoSpaceDN/>
              <w:ind w:left="92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否</w:t>
            </w:r>
          </w:p>
        </w:tc>
        <w:tc>
          <w:tcPr>
            <w:tcW w:w="771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 xml:space="preserve">使用infliximab發生懷孕或不良事件(包括：惡性腫瘤、該藥物引起的嚴重毒性、嚴重的感染性疾病) </w:t>
            </w:r>
          </w:p>
        </w:tc>
      </w:tr>
      <w:tr w:rsidR="00A07D29" w:rsidRPr="00A07D29" w:rsidTr="00D01728">
        <w:trPr>
          <w:cantSplit/>
          <w:trHeight w:val="1772"/>
        </w:trPr>
        <w:tc>
          <w:tcPr>
            <w:tcW w:w="629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C96DAC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C96DAC">
              <w:rPr>
                <w:rFonts w:ascii="標楷體" w:eastAsia="標楷體" w:hAnsi="標楷體"/>
                <w:kern w:val="2"/>
                <w:szCs w:val="24"/>
              </w:rPr>
              <w:t>申請醫師（簽名蓋章）：</w:t>
            </w:r>
            <w:r w:rsidR="00C96DAC" w:rsidRPr="00C96DAC">
              <w:rPr>
                <w:rFonts w:ascii="標楷體" w:eastAsia="標楷體" w:hAnsi="標楷體"/>
                <w:kern w:val="2"/>
                <w:szCs w:val="24"/>
                <w:u w:val="single"/>
              </w:rPr>
              <w:t xml:space="preserve">  </w:t>
            </w:r>
            <w:r w:rsidR="00C96DAC" w:rsidRPr="00A07D29">
              <w:rPr>
                <w:rFonts w:ascii="標楷體" w:eastAsia="標楷體" w:hAnsi="標楷體"/>
                <w:kern w:val="2"/>
                <w:szCs w:val="24"/>
                <w:u w:val="single"/>
              </w:rPr>
              <w:t xml:space="preserve">  　　　　　　</w:t>
            </w:r>
          </w:p>
          <w:p w:rsidR="00A07D29" w:rsidRPr="00C96DAC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C96DAC">
              <w:rPr>
                <w:rFonts w:ascii="標楷體" w:eastAsia="標楷體" w:hAnsi="標楷體"/>
                <w:kern w:val="2"/>
                <w:szCs w:val="24"/>
              </w:rPr>
              <w:t>消化系專科醫師證書：</w:t>
            </w:r>
            <w:r w:rsidR="00C96DAC" w:rsidRPr="00C96DAC">
              <w:rPr>
                <w:rFonts w:ascii="標楷體" w:eastAsia="標楷體" w:hAnsi="標楷體"/>
                <w:kern w:val="2"/>
                <w:szCs w:val="24"/>
                <w:u w:val="single"/>
              </w:rPr>
              <w:t xml:space="preserve">  </w:t>
            </w:r>
            <w:r w:rsidR="00C96DAC" w:rsidRPr="00A07D29">
              <w:rPr>
                <w:rFonts w:ascii="標楷體" w:eastAsia="標楷體" w:hAnsi="標楷體"/>
                <w:kern w:val="2"/>
                <w:szCs w:val="24"/>
                <w:u w:val="single"/>
              </w:rPr>
              <w:t xml:space="preserve">  　　　　　　</w:t>
            </w:r>
          </w:p>
          <w:p w:rsidR="00A07D29" w:rsidRPr="00A07D29" w:rsidRDefault="00A07D29" w:rsidP="00A07D29">
            <w:pPr>
              <w:tabs>
                <w:tab w:val="left" w:pos="2912"/>
              </w:tabs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  <w:u w:val="single"/>
              </w:rPr>
            </w:pPr>
            <w:r w:rsidRPr="00C96DAC">
              <w:rPr>
                <w:rFonts w:ascii="標楷體" w:eastAsia="標楷體" w:hAnsi="標楷體"/>
                <w:kern w:val="2"/>
                <w:szCs w:val="24"/>
              </w:rPr>
              <w:t>小兒專科醫師證書：</w:t>
            </w:r>
            <w:r w:rsidRPr="00C96DAC">
              <w:rPr>
                <w:rFonts w:ascii="標楷體" w:eastAsia="標楷體" w:hAnsi="標楷體"/>
                <w:kern w:val="2"/>
                <w:szCs w:val="24"/>
                <w:u w:val="single"/>
              </w:rPr>
              <w:t xml:space="preserve">  </w:t>
            </w:r>
            <w:r w:rsidRPr="00A07D29">
              <w:rPr>
                <w:rFonts w:ascii="標楷體" w:eastAsia="標楷體" w:hAnsi="標楷體"/>
                <w:kern w:val="2"/>
                <w:szCs w:val="24"/>
                <w:u w:val="single"/>
              </w:rPr>
              <w:t xml:space="preserve">  　　　　　　</w:t>
            </w:r>
          </w:p>
        </w:tc>
        <w:tc>
          <w:tcPr>
            <w:tcW w:w="36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C96DAC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C96DAC">
              <w:rPr>
                <w:rFonts w:ascii="標楷體" w:eastAsia="標楷體" w:hAnsi="標楷體"/>
                <w:kern w:val="2"/>
                <w:szCs w:val="24"/>
              </w:rPr>
              <w:t>醫事機構章戳：</w:t>
            </w:r>
          </w:p>
        </w:tc>
      </w:tr>
    </w:tbl>
    <w:p w:rsidR="00A07D29" w:rsidRPr="00A07D29" w:rsidRDefault="00A07D29" w:rsidP="00A07D29">
      <w:pPr>
        <w:widowControl/>
        <w:suppressAutoHyphens w:val="0"/>
        <w:autoSpaceDN/>
        <w:textAlignment w:val="auto"/>
        <w:rPr>
          <w:rFonts w:ascii="標楷體" w:eastAsia="標楷體" w:hAnsi="標楷體"/>
          <w:kern w:val="2"/>
          <w:sz w:val="28"/>
          <w:szCs w:val="28"/>
        </w:rPr>
      </w:pPr>
    </w:p>
    <w:p w:rsidR="00A07D29" w:rsidRPr="00A07D29" w:rsidRDefault="00A07D29" w:rsidP="00A07D29">
      <w:pPr>
        <w:widowControl/>
        <w:suppressAutoHyphens w:val="0"/>
        <w:autoSpaceDN/>
        <w:textAlignment w:val="auto"/>
        <w:rPr>
          <w:rFonts w:ascii="標楷體" w:eastAsia="標楷體" w:hAnsi="標楷體"/>
          <w:kern w:val="2"/>
          <w:sz w:val="28"/>
          <w:szCs w:val="28"/>
        </w:rPr>
      </w:pPr>
    </w:p>
    <w:sectPr w:rsidR="00A07D29" w:rsidRPr="00A07D29" w:rsidSect="00D01728">
      <w:pgSz w:w="11906" w:h="16838" w:code="9"/>
      <w:pgMar w:top="1021" w:right="1841" w:bottom="102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D3"/>
    <w:rsid w:val="00047C83"/>
    <w:rsid w:val="000510BF"/>
    <w:rsid w:val="00082B5B"/>
    <w:rsid w:val="00084C50"/>
    <w:rsid w:val="00152454"/>
    <w:rsid w:val="0029199D"/>
    <w:rsid w:val="00465FBD"/>
    <w:rsid w:val="0048669C"/>
    <w:rsid w:val="00497B44"/>
    <w:rsid w:val="004F41CC"/>
    <w:rsid w:val="005C27D3"/>
    <w:rsid w:val="00635E07"/>
    <w:rsid w:val="00675096"/>
    <w:rsid w:val="006F2A68"/>
    <w:rsid w:val="007556F9"/>
    <w:rsid w:val="0098555C"/>
    <w:rsid w:val="00A07D29"/>
    <w:rsid w:val="00AF075C"/>
    <w:rsid w:val="00BF2ED1"/>
    <w:rsid w:val="00C44347"/>
    <w:rsid w:val="00C96DAC"/>
    <w:rsid w:val="00CA4EE1"/>
    <w:rsid w:val="00CE227B"/>
    <w:rsid w:val="00CF5AFB"/>
    <w:rsid w:val="00D01728"/>
    <w:rsid w:val="00D2458E"/>
    <w:rsid w:val="00E35957"/>
    <w:rsid w:val="00E67F2F"/>
    <w:rsid w:val="00EA7F7F"/>
    <w:rsid w:val="00EF2EF0"/>
    <w:rsid w:val="00FC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0019"/>
  <w15:chartTrackingRefBased/>
  <w15:docId w15:val="{850F13F8-9647-4E4D-B606-AF942E47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7D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D2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1260</Characters>
  <Application>Microsoft Office Word</Application>
  <DocSecurity>4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李芝蘭</dc:creator>
  <cp:keywords/>
  <dc:description/>
  <cp:lastModifiedBy>張耿睿</cp:lastModifiedBy>
  <cp:revision>2</cp:revision>
  <dcterms:created xsi:type="dcterms:W3CDTF">2024-05-23T02:09:00Z</dcterms:created>
  <dcterms:modified xsi:type="dcterms:W3CDTF">2024-05-23T02:09:00Z</dcterms:modified>
</cp:coreProperties>
</file>