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596" w:rsidRDefault="006B1596" w:rsidP="006B1596">
      <w:pPr>
        <w:snapToGrid w:val="0"/>
        <w:spacing w:line="240" w:lineRule="atLeast"/>
        <w:jc w:val="center"/>
        <w:rPr>
          <w:rFonts w:ascii="標楷體" w:eastAsia="標楷體" w:hAnsi="標楷體"/>
        </w:rPr>
      </w:pPr>
      <w:r w:rsidRPr="009121BF">
        <w:rPr>
          <w:rFonts w:ascii="標楷體" w:eastAsia="標楷體" w:hAnsi="標楷體"/>
        </w:rPr>
        <w:t>附表三十之</w:t>
      </w:r>
      <w:r w:rsidRPr="009121BF">
        <w:rPr>
          <w:rFonts w:ascii="標楷體" w:eastAsia="標楷體" w:hAnsi="標楷體" w:hint="eastAsia"/>
        </w:rPr>
        <w:t>四</w:t>
      </w:r>
      <w:r w:rsidRPr="009121BF">
        <w:rPr>
          <w:rFonts w:ascii="標楷體" w:eastAsia="標楷體" w:hAnsi="標楷體"/>
        </w:rPr>
        <w:t>陣發性夜間血紅素尿症患者</w:t>
      </w:r>
      <w:r w:rsidRPr="009121BF">
        <w:rPr>
          <w:rFonts w:ascii="標楷體" w:eastAsia="標楷體" w:hAnsi="標楷體" w:hint="eastAsia"/>
        </w:rPr>
        <w:t>第二線治療藥品</w:t>
      </w:r>
      <w:r>
        <w:rPr>
          <w:rFonts w:ascii="標楷體" w:eastAsia="標楷體" w:hAnsi="標楷體"/>
        </w:rPr>
        <w:t>特殊專案審查申請</w:t>
      </w:r>
      <w:proofErr w:type="spellStart"/>
      <w:r w:rsidRPr="009F2CEA">
        <w:rPr>
          <w:rFonts w:ascii="標楷體" w:eastAsia="標楷體" w:hAnsi="標楷體"/>
        </w:rPr>
        <w:t>Voydeya</w:t>
      </w:r>
      <w:proofErr w:type="spellEnd"/>
      <w:r w:rsidRPr="009F2CEA">
        <w:rPr>
          <w:rFonts w:ascii="標楷體" w:eastAsia="標楷體" w:hAnsi="標楷體"/>
        </w:rPr>
        <w:t>(</w:t>
      </w:r>
      <w:proofErr w:type="spellStart"/>
      <w:r w:rsidRPr="009F2CEA">
        <w:rPr>
          <w:rFonts w:ascii="標楷體" w:eastAsia="標楷體" w:hAnsi="標楷體"/>
        </w:rPr>
        <w:t>Danicopan</w:t>
      </w:r>
      <w:proofErr w:type="spellEnd"/>
      <w:r w:rsidRPr="009F2CEA">
        <w:rPr>
          <w:rFonts w:ascii="標楷體" w:eastAsia="標楷體" w:hAnsi="標楷體"/>
        </w:rPr>
        <w:t>)</w:t>
      </w:r>
      <w:r w:rsidRPr="009F2CEA">
        <w:rPr>
          <w:rFonts w:ascii="標楷體" w:eastAsia="標楷體" w:hAnsi="標楷體" w:hint="eastAsia"/>
        </w:rPr>
        <w:t>+</w:t>
      </w:r>
      <w:proofErr w:type="spellStart"/>
      <w:r w:rsidRPr="009F2CEA">
        <w:rPr>
          <w:rFonts w:ascii="標楷體" w:eastAsia="標楷體" w:hAnsi="標楷體"/>
        </w:rPr>
        <w:t>Soliris</w:t>
      </w:r>
      <w:proofErr w:type="spellEnd"/>
      <w:r w:rsidRPr="009F2CEA">
        <w:rPr>
          <w:rFonts w:ascii="標楷體" w:eastAsia="標楷體" w:hAnsi="標楷體"/>
        </w:rPr>
        <w:t>(</w:t>
      </w:r>
      <w:r w:rsidRPr="009F2CEA">
        <w:rPr>
          <w:rFonts w:ascii="標楷體" w:eastAsia="標楷體" w:hAnsi="標楷體" w:hint="eastAsia"/>
        </w:rPr>
        <w:t>e</w:t>
      </w:r>
      <w:r w:rsidRPr="009F2CEA">
        <w:rPr>
          <w:rFonts w:ascii="標楷體" w:eastAsia="標楷體" w:hAnsi="標楷體"/>
        </w:rPr>
        <w:t>culizumab)/</w:t>
      </w:r>
      <w:proofErr w:type="spellStart"/>
      <w:r w:rsidRPr="009F2CEA">
        <w:rPr>
          <w:rFonts w:ascii="標楷體" w:eastAsia="標楷體" w:hAnsi="標楷體"/>
        </w:rPr>
        <w:t>Ultomiris</w:t>
      </w:r>
      <w:proofErr w:type="spellEnd"/>
      <w:r w:rsidRPr="009F2CEA">
        <w:rPr>
          <w:rFonts w:ascii="標楷體" w:eastAsia="標楷體" w:hAnsi="標楷體"/>
        </w:rPr>
        <w:t>(</w:t>
      </w:r>
      <w:proofErr w:type="spellStart"/>
      <w:r w:rsidRPr="009F2CEA">
        <w:rPr>
          <w:rFonts w:ascii="標楷體" w:eastAsia="標楷體" w:hAnsi="標楷體"/>
        </w:rPr>
        <w:t>ravulizumab</w:t>
      </w:r>
      <w:proofErr w:type="spellEnd"/>
      <w:r w:rsidRPr="009F2CEA"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用藥檢附資料查檢表</w:t>
      </w:r>
    </w:p>
    <w:p w:rsidR="006B1596" w:rsidRPr="00F22DAD" w:rsidRDefault="006B1596" w:rsidP="006B1596">
      <w:pPr>
        <w:snapToGrid w:val="0"/>
        <w:spacing w:line="240" w:lineRule="atLeast"/>
        <w:jc w:val="center"/>
      </w:pPr>
      <w:r w:rsidRPr="00F22DAD">
        <w:rPr>
          <w:rFonts w:ascii="標楷體" w:eastAsia="標楷體" w:hAnsi="標楷體" w:hint="eastAsia"/>
        </w:rPr>
        <w:t>115</w:t>
      </w:r>
      <w:r w:rsidRPr="00F22DAD">
        <w:rPr>
          <w:rFonts w:ascii="標楷體" w:eastAsia="標楷體" w:hAnsi="標楷體"/>
        </w:rPr>
        <w:t>年</w:t>
      </w:r>
      <w:r w:rsidRPr="00F22DAD">
        <w:rPr>
          <w:rFonts w:ascii="標楷體" w:eastAsia="標楷體" w:hAnsi="標楷體" w:hint="eastAsia"/>
        </w:rPr>
        <w:t>3</w:t>
      </w:r>
      <w:r w:rsidRPr="00F22DAD">
        <w:rPr>
          <w:rFonts w:ascii="標楷體" w:eastAsia="標楷體" w:hAnsi="標楷體"/>
        </w:rPr>
        <w:t>月1日修訂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3"/>
        <w:gridCol w:w="4601"/>
        <w:gridCol w:w="1392"/>
      </w:tblGrid>
      <w:tr w:rsidR="006B1596" w:rsidTr="006D18A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Pr="00641F9D" w:rsidRDefault="006B1596" w:rsidP="006D18A7">
            <w:pPr>
              <w:snapToGrid w:val="0"/>
              <w:spacing w:line="240" w:lineRule="atLeast"/>
            </w:pPr>
            <w:r w:rsidRPr="00641F9D">
              <w:rPr>
                <w:rFonts w:ascii="標楷體" w:eastAsia="標楷體" w:hAnsi="標楷體" w:cs="Calibri"/>
                <w:b/>
              </w:rPr>
              <w:t>新個案初次申請</w:t>
            </w:r>
          </w:p>
        </w:tc>
      </w:tr>
      <w:tr w:rsidR="006B1596" w:rsidTr="006D18A7"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widowControl/>
              <w:snapToGrid w:val="0"/>
              <w:spacing w:line="240" w:lineRule="atLeast"/>
              <w:ind w:left="480"/>
              <w:jc w:val="both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/>
                <w:kern w:val="0"/>
              </w:rPr>
              <w:t>給付規定</w:t>
            </w: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送審應檢附資料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資料確認</w:t>
            </w:r>
          </w:p>
        </w:tc>
      </w:tr>
      <w:tr w:rsidR="006B1596" w:rsidTr="006D18A7">
        <w:tc>
          <w:tcPr>
            <w:tcW w:w="19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Pr="00641F9D" w:rsidRDefault="006B1596" w:rsidP="006D18A7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line="240" w:lineRule="atLeast"/>
              <w:ind w:left="603" w:hanging="567"/>
              <w:jc w:val="both"/>
              <w:textAlignment w:val="baseline"/>
              <w:rPr>
                <w:rFonts w:ascii="標楷體" w:eastAsia="標楷體" w:hAnsi="標楷體" w:cs="Calibri"/>
                <w:kern w:val="0"/>
              </w:rPr>
            </w:pPr>
            <w:r w:rsidRPr="00641F9D">
              <w:rPr>
                <w:rFonts w:ascii="標楷體" w:eastAsia="標楷體" w:hAnsi="標楷體" w:cs="Calibri"/>
                <w:kern w:val="0"/>
              </w:rPr>
              <w:t>限用於</w:t>
            </w:r>
            <w:r w:rsidRPr="00641F9D">
              <w:rPr>
                <w:rFonts w:ascii="標楷體" w:eastAsia="標楷體" w:hAnsi="標楷體" w:cs="Calibri" w:hint="eastAsia"/>
                <w:kern w:val="0"/>
              </w:rPr>
              <w:t>經衛生福利部國民</w:t>
            </w:r>
            <w:proofErr w:type="gramStart"/>
            <w:r w:rsidRPr="00641F9D">
              <w:rPr>
                <w:rFonts w:ascii="標楷體" w:eastAsia="標楷體" w:hAnsi="標楷體" w:cs="Calibri" w:hint="eastAsia"/>
                <w:kern w:val="0"/>
              </w:rPr>
              <w:t>健康署</w:t>
            </w:r>
            <w:proofErr w:type="gramEnd"/>
            <w:r w:rsidRPr="00641F9D">
              <w:rPr>
                <w:rFonts w:ascii="標楷體" w:eastAsia="標楷體" w:hAnsi="標楷體" w:cs="Calibri" w:hint="eastAsia"/>
                <w:kern w:val="0"/>
              </w:rPr>
              <w:t>認定之陣發性夜間血紅素尿症病人，且曾經接受一種</w:t>
            </w:r>
            <w:r w:rsidRPr="00641F9D">
              <w:rPr>
                <w:rFonts w:ascii="標楷體" w:eastAsia="標楷體" w:hAnsi="標楷體" w:cs="Calibri"/>
                <w:kern w:val="0"/>
              </w:rPr>
              <w:t>C5</w:t>
            </w:r>
            <w:proofErr w:type="gramStart"/>
            <w:r w:rsidRPr="00641F9D">
              <w:rPr>
                <w:rFonts w:ascii="標楷體" w:eastAsia="標楷體" w:hAnsi="標楷體" w:cs="Calibri" w:hint="eastAsia"/>
                <w:kern w:val="0"/>
              </w:rPr>
              <w:t>補體抑制</w:t>
            </w:r>
            <w:proofErr w:type="gramEnd"/>
            <w:r w:rsidRPr="00641F9D">
              <w:rPr>
                <w:rFonts w:ascii="標楷體" w:eastAsia="標楷體" w:hAnsi="標楷體" w:cs="Calibri" w:hint="eastAsia"/>
                <w:kern w:val="0"/>
              </w:rPr>
              <w:t>劑治療</w:t>
            </w:r>
            <w:r w:rsidRPr="00641F9D">
              <w:rPr>
                <w:rFonts w:ascii="標楷體" w:eastAsia="標楷體" w:hAnsi="標楷體" w:cs="Calibri"/>
                <w:kern w:val="0"/>
              </w:rPr>
              <w:t>：</w:t>
            </w: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Pr="00641F9D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  <w:b/>
              </w:rPr>
            </w:pPr>
            <w:r w:rsidRPr="00641F9D">
              <w:rPr>
                <w:rFonts w:ascii="標楷體" w:eastAsia="標楷體" w:hAnsi="標楷體" w:cs="Calibri"/>
                <w:b/>
              </w:rPr>
              <w:t>診斷依據(必備)：</w:t>
            </w:r>
            <w:bookmarkStart w:id="0" w:name="_GoBack"/>
            <w:bookmarkEnd w:id="0"/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c>
          <w:tcPr>
            <w:tcW w:w="19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</w:rPr>
            </w:pP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病史摘要說明。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c>
          <w:tcPr>
            <w:tcW w:w="19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</w:rPr>
            </w:pP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年齡1</w:t>
            </w:r>
            <w:r>
              <w:rPr>
                <w:rFonts w:ascii="標楷體" w:eastAsia="標楷體" w:hAnsi="標楷體" w:cs="Calibri"/>
              </w:rPr>
              <w:t>8</w:t>
            </w:r>
            <w:r>
              <w:rPr>
                <w:rFonts w:ascii="標楷體" w:eastAsia="標楷體" w:hAnsi="標楷體" w:cs="Calibri" w:hint="eastAsia"/>
              </w:rPr>
              <w:t>歲以上</w:t>
            </w:r>
            <w:r>
              <w:rPr>
                <w:rFonts w:ascii="新細明體" w:hAnsi="新細明體" w:cs="Calibri" w:hint="eastAsia"/>
              </w:rPr>
              <w:t>。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c>
          <w:tcPr>
            <w:tcW w:w="19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</w:rPr>
            </w:pP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Pr="00463943" w:rsidRDefault="006B1596" w:rsidP="006D18A7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若為申請使用</w:t>
            </w:r>
            <w:proofErr w:type="spellStart"/>
            <w:r>
              <w:rPr>
                <w:rFonts w:ascii="標楷體" w:eastAsia="標楷體" w:hAnsi="標楷體" w:cs="Calibri" w:hint="eastAsia"/>
              </w:rPr>
              <w:t>V</w:t>
            </w:r>
            <w:r>
              <w:rPr>
                <w:rFonts w:ascii="標楷體" w:eastAsia="標楷體" w:hAnsi="標楷體" w:cs="Calibri"/>
              </w:rPr>
              <w:t>oydeya</w:t>
            </w:r>
            <w:proofErr w:type="spellEnd"/>
            <w:r>
              <w:rPr>
                <w:rFonts w:ascii="標楷體" w:eastAsia="標楷體" w:hAnsi="標楷體" w:cs="Calibri"/>
              </w:rPr>
              <w:t xml:space="preserve"> (</w:t>
            </w:r>
            <w:proofErr w:type="spellStart"/>
            <w:r>
              <w:rPr>
                <w:rFonts w:ascii="標楷體" w:eastAsia="標楷體" w:hAnsi="標楷體" w:cs="Calibri" w:hint="eastAsia"/>
              </w:rPr>
              <w:t>d</w:t>
            </w:r>
            <w:r>
              <w:rPr>
                <w:rFonts w:ascii="標楷體" w:eastAsia="標楷體" w:hAnsi="標楷體" w:cs="Calibri"/>
              </w:rPr>
              <w:t>anicopan</w:t>
            </w:r>
            <w:proofErr w:type="spellEnd"/>
            <w:r>
              <w:rPr>
                <w:rFonts w:ascii="標楷體" w:eastAsia="標楷體" w:hAnsi="標楷體" w:cs="Calibri"/>
              </w:rPr>
              <w:t>)</w:t>
            </w:r>
            <w:r>
              <w:rPr>
                <w:rFonts w:ascii="新細明體" w:hAnsi="新細明體" w:cs="Calibri" w:hint="eastAsia"/>
              </w:rPr>
              <w:t>，</w:t>
            </w:r>
            <w:r>
              <w:rPr>
                <w:rFonts w:ascii="標楷體" w:eastAsia="標楷體" w:hAnsi="標楷體" w:cs="Calibri" w:hint="eastAsia"/>
              </w:rPr>
              <w:t>則須同時申請</w:t>
            </w:r>
            <w:proofErr w:type="spellStart"/>
            <w:r>
              <w:rPr>
                <w:rFonts w:ascii="標楷體" w:eastAsia="標楷體" w:hAnsi="標楷體" w:cs="Calibri" w:hint="eastAsia"/>
              </w:rPr>
              <w:t>r</w:t>
            </w:r>
            <w:r>
              <w:rPr>
                <w:rFonts w:ascii="標楷體" w:eastAsia="標楷體" w:hAnsi="標楷體" w:cs="Calibri"/>
              </w:rPr>
              <w:t>avulizumab</w:t>
            </w:r>
            <w:proofErr w:type="spellEnd"/>
            <w:r>
              <w:rPr>
                <w:rFonts w:ascii="標楷體" w:eastAsia="標楷體" w:hAnsi="標楷體" w:cs="Calibri"/>
              </w:rPr>
              <w:t xml:space="preserve"> </w:t>
            </w:r>
            <w:r>
              <w:rPr>
                <w:rFonts w:ascii="標楷體" w:eastAsia="標楷體" w:hAnsi="標楷體" w:cs="Calibri" w:hint="eastAsia"/>
              </w:rPr>
              <w:t>或 e</w:t>
            </w:r>
            <w:r>
              <w:rPr>
                <w:rFonts w:ascii="標楷體" w:eastAsia="標楷體" w:hAnsi="標楷體" w:cs="Calibri"/>
              </w:rPr>
              <w:t>culizumab</w:t>
            </w:r>
            <w:r>
              <w:rPr>
                <w:rFonts w:ascii="新細明體" w:hAnsi="新細明體" w:cs="Calibri" w:hint="eastAsia"/>
              </w:rPr>
              <w:t>。</w:t>
            </w:r>
          </w:p>
          <w:p w:rsidR="006B1596" w:rsidRDefault="006B1596" w:rsidP="006D18A7">
            <w:pPr>
              <w:suppressAutoHyphens/>
              <w:autoSpaceDN w:val="0"/>
              <w:snapToGrid w:val="0"/>
              <w:spacing w:line="240" w:lineRule="atLeast"/>
              <w:ind w:left="394"/>
              <w:jc w:val="both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若</w:t>
            </w:r>
            <w:proofErr w:type="spellStart"/>
            <w:r>
              <w:rPr>
                <w:rFonts w:ascii="標楷體" w:eastAsia="標楷體" w:hAnsi="標楷體" w:cs="Calibri" w:hint="eastAsia"/>
              </w:rPr>
              <w:t>Vo</w:t>
            </w:r>
            <w:r>
              <w:rPr>
                <w:rFonts w:ascii="標楷體" w:eastAsia="標楷體" w:hAnsi="標楷體" w:cs="Calibri"/>
              </w:rPr>
              <w:t>ydeya</w:t>
            </w:r>
            <w:proofErr w:type="spellEnd"/>
            <w:r>
              <w:rPr>
                <w:rFonts w:ascii="標楷體" w:eastAsia="標楷體" w:hAnsi="標楷體" w:cs="Calibri" w:hint="eastAsia"/>
              </w:rPr>
              <w:t>獲同意使用則</w:t>
            </w:r>
            <w:proofErr w:type="spellStart"/>
            <w:r>
              <w:rPr>
                <w:rFonts w:ascii="標楷體" w:eastAsia="標楷體" w:hAnsi="標楷體" w:cs="Calibri" w:hint="eastAsia"/>
              </w:rPr>
              <w:t>r</w:t>
            </w:r>
            <w:r>
              <w:rPr>
                <w:rFonts w:ascii="標楷體" w:eastAsia="標楷體" w:hAnsi="標楷體" w:cs="Calibri"/>
              </w:rPr>
              <w:t>avulizumab</w:t>
            </w:r>
            <w:proofErr w:type="spellEnd"/>
            <w:r>
              <w:rPr>
                <w:rFonts w:ascii="標楷體" w:eastAsia="標楷體" w:hAnsi="標楷體" w:cs="Calibri"/>
              </w:rPr>
              <w:t xml:space="preserve"> </w:t>
            </w:r>
            <w:r>
              <w:rPr>
                <w:rFonts w:ascii="標楷體" w:eastAsia="標楷體" w:hAnsi="標楷體" w:cs="Calibri" w:hint="eastAsia"/>
              </w:rPr>
              <w:t>或 e</w:t>
            </w:r>
            <w:r>
              <w:rPr>
                <w:rFonts w:ascii="標楷體" w:eastAsia="標楷體" w:hAnsi="標楷體" w:cs="Calibri"/>
              </w:rPr>
              <w:t>culizumab</w:t>
            </w:r>
            <w:r>
              <w:rPr>
                <w:rFonts w:ascii="標楷體" w:eastAsia="標楷體" w:hAnsi="標楷體" w:cs="Calibri" w:hint="eastAsia"/>
              </w:rPr>
              <w:t>也可同時使用</w:t>
            </w:r>
            <w:r>
              <w:rPr>
                <w:rFonts w:ascii="新細明體" w:hAnsi="新細明體" w:cs="Calibri" w:hint="eastAsia"/>
              </w:rPr>
              <w:t>。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c>
          <w:tcPr>
            <w:tcW w:w="19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</w:rPr>
            </w:pP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治療計畫，必須</w:t>
            </w:r>
            <w:proofErr w:type="gramStart"/>
            <w:r>
              <w:rPr>
                <w:rFonts w:ascii="標楷體" w:eastAsia="標楷體" w:hAnsi="標楷體" w:cs="Calibri"/>
              </w:rPr>
              <w:t>包含</w:t>
            </w:r>
            <w:r>
              <w:rPr>
                <w:rFonts w:ascii="標楷體" w:eastAsia="標楷體" w:hAnsi="標楷體" w:cs="Calibri" w:hint="eastAsia"/>
              </w:rPr>
              <w:t>莢膜細菌</w:t>
            </w:r>
            <w:proofErr w:type="gramEnd"/>
            <w:r>
              <w:rPr>
                <w:rFonts w:ascii="標楷體" w:eastAsia="標楷體" w:hAnsi="標楷體" w:cs="Calibri" w:hint="eastAsia"/>
              </w:rPr>
              <w:t xml:space="preserve"> (</w:t>
            </w:r>
            <w:r w:rsidRPr="0008233A">
              <w:rPr>
                <w:rFonts w:ascii="標楷體" w:eastAsia="標楷體" w:hAnsi="標楷體" w:cs="Calibri" w:hint="eastAsia"/>
              </w:rPr>
              <w:t>腦膜炎雙球菌、肺炎鏈球菌和 B 型</w:t>
            </w:r>
            <w:proofErr w:type="gramStart"/>
            <w:r w:rsidRPr="0008233A">
              <w:rPr>
                <w:rFonts w:ascii="標楷體" w:eastAsia="標楷體" w:hAnsi="標楷體" w:cs="Calibri" w:hint="eastAsia"/>
              </w:rPr>
              <w:t>流感嗜</w:t>
            </w:r>
            <w:proofErr w:type="gramEnd"/>
            <w:r w:rsidRPr="0008233A">
              <w:rPr>
                <w:rFonts w:ascii="標楷體" w:eastAsia="標楷體" w:hAnsi="標楷體" w:cs="Calibri" w:hint="eastAsia"/>
              </w:rPr>
              <w:t>血桿菌</w:t>
            </w:r>
            <w:r>
              <w:rPr>
                <w:rFonts w:ascii="標楷體" w:eastAsia="標楷體" w:hAnsi="標楷體" w:cs="Calibri" w:hint="eastAsia"/>
              </w:rPr>
              <w:t>)</w:t>
            </w:r>
            <w:r>
              <w:rPr>
                <w:rFonts w:ascii="標楷體" w:eastAsia="標楷體" w:hAnsi="標楷體" w:cs="Calibri"/>
              </w:rPr>
              <w:t>之</w:t>
            </w:r>
            <w:r>
              <w:rPr>
                <w:rFonts w:ascii="標楷體" w:eastAsia="標楷體" w:hAnsi="標楷體" w:cs="Calibri" w:hint="eastAsia"/>
              </w:rPr>
              <w:t>疫苗</w:t>
            </w:r>
            <w:r>
              <w:rPr>
                <w:rFonts w:ascii="標楷體" w:eastAsia="標楷體" w:hAnsi="標楷體" w:cs="Calibri"/>
              </w:rPr>
              <w:t>施打計畫。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c>
          <w:tcPr>
            <w:tcW w:w="19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</w:rPr>
            </w:pP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textAlignment w:val="baseline"/>
              <w:rPr>
                <w:rFonts w:ascii="標楷體" w:eastAsia="標楷體" w:hAnsi="標楷體" w:cs="Calibri"/>
              </w:rPr>
            </w:pPr>
            <w:r w:rsidRPr="00806F98">
              <w:rPr>
                <w:rFonts w:ascii="標楷體" w:eastAsia="標楷體" w:hAnsi="標楷體" w:cs="Calibri" w:hint="eastAsia"/>
              </w:rPr>
              <w:t>曾經接受C5</w:t>
            </w:r>
            <w:proofErr w:type="gramStart"/>
            <w:r w:rsidRPr="00806F98">
              <w:rPr>
                <w:rFonts w:ascii="標楷體" w:eastAsia="標楷體" w:hAnsi="標楷體" w:cs="Calibri" w:hint="eastAsia"/>
              </w:rPr>
              <w:t>補體抑制劑</w:t>
            </w:r>
            <w:proofErr w:type="gramEnd"/>
            <w:r w:rsidRPr="00806F98">
              <w:rPr>
                <w:rFonts w:ascii="標楷體" w:eastAsia="標楷體" w:hAnsi="標楷體" w:cs="Calibri" w:hint="eastAsia"/>
              </w:rPr>
              <w:t>治療</w:t>
            </w:r>
            <w:r>
              <w:rPr>
                <w:rFonts w:ascii="標楷體" w:eastAsia="標楷體" w:hAnsi="標楷體" w:cs="Calibri" w:hint="eastAsia"/>
              </w:rPr>
              <w:t>之紀錄</w:t>
            </w:r>
            <w:r>
              <w:rPr>
                <w:rFonts w:ascii="新細明體" w:hAnsi="新細明體" w:cs="Calibri" w:hint="eastAsia"/>
              </w:rPr>
              <w:t>。</w:t>
            </w:r>
          </w:p>
          <w:p w:rsidR="006B1596" w:rsidRDefault="006B1596" w:rsidP="006D18A7">
            <w:pPr>
              <w:suppressAutoHyphens/>
              <w:autoSpaceDN w:val="0"/>
              <w:snapToGrid w:val="0"/>
              <w:spacing w:line="240" w:lineRule="atLeast"/>
              <w:ind w:left="394"/>
              <w:jc w:val="both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若為申請使用</w:t>
            </w:r>
            <w:proofErr w:type="spellStart"/>
            <w:r>
              <w:rPr>
                <w:rFonts w:ascii="標楷體" w:eastAsia="標楷體" w:hAnsi="標楷體" w:cs="Calibri" w:hint="eastAsia"/>
              </w:rPr>
              <w:t>V</w:t>
            </w:r>
            <w:r>
              <w:rPr>
                <w:rFonts w:ascii="標楷體" w:eastAsia="標楷體" w:hAnsi="標楷體" w:cs="Calibri"/>
              </w:rPr>
              <w:t>oydeya</w:t>
            </w:r>
            <w:proofErr w:type="spellEnd"/>
            <w:r>
              <w:rPr>
                <w:rFonts w:ascii="標楷體" w:eastAsia="標楷體" w:hAnsi="標楷體" w:cs="Calibri"/>
              </w:rPr>
              <w:t xml:space="preserve"> (</w:t>
            </w:r>
            <w:proofErr w:type="spellStart"/>
            <w:r>
              <w:rPr>
                <w:rFonts w:ascii="標楷體" w:eastAsia="標楷體" w:hAnsi="標楷體" w:cs="Calibri" w:hint="eastAsia"/>
              </w:rPr>
              <w:t>d</w:t>
            </w:r>
            <w:r>
              <w:rPr>
                <w:rFonts w:ascii="標楷體" w:eastAsia="標楷體" w:hAnsi="標楷體" w:cs="Calibri"/>
              </w:rPr>
              <w:t>anicopan</w:t>
            </w:r>
            <w:proofErr w:type="spellEnd"/>
            <w:r>
              <w:rPr>
                <w:rFonts w:ascii="標楷體" w:eastAsia="標楷體" w:hAnsi="標楷體" w:cs="Calibri"/>
              </w:rPr>
              <w:t>)</w:t>
            </w:r>
            <w:r>
              <w:rPr>
                <w:rFonts w:ascii="新細明體" w:hAnsi="新細明體" w:cs="Calibri" w:hint="eastAsia"/>
              </w:rPr>
              <w:t>，</w:t>
            </w:r>
            <w:r>
              <w:rPr>
                <w:rFonts w:ascii="標楷體" w:eastAsia="標楷體" w:hAnsi="標楷體" w:cs="Calibri" w:hint="eastAsia"/>
              </w:rPr>
              <w:t>則須檢附使用</w:t>
            </w:r>
            <w:proofErr w:type="spellStart"/>
            <w:r>
              <w:rPr>
                <w:rFonts w:ascii="標楷體" w:eastAsia="標楷體" w:hAnsi="標楷體" w:cs="Calibri" w:hint="eastAsia"/>
              </w:rPr>
              <w:t>r</w:t>
            </w:r>
            <w:r>
              <w:rPr>
                <w:rFonts w:ascii="標楷體" w:eastAsia="標楷體" w:hAnsi="標楷體" w:cs="Calibri"/>
              </w:rPr>
              <w:t>avulizumab</w:t>
            </w:r>
            <w:proofErr w:type="spellEnd"/>
            <w:r>
              <w:rPr>
                <w:rFonts w:ascii="標楷體" w:eastAsia="標楷體" w:hAnsi="標楷體" w:cs="Calibri"/>
              </w:rPr>
              <w:t xml:space="preserve"> </w:t>
            </w:r>
            <w:r>
              <w:rPr>
                <w:rFonts w:ascii="標楷體" w:eastAsia="標楷體" w:hAnsi="標楷體" w:cs="Calibri" w:hint="eastAsia"/>
              </w:rPr>
              <w:t>或 e</w:t>
            </w:r>
            <w:r>
              <w:rPr>
                <w:rFonts w:ascii="標楷體" w:eastAsia="標楷體" w:hAnsi="標楷體" w:cs="Calibri"/>
              </w:rPr>
              <w:t xml:space="preserve">culizumab </w:t>
            </w:r>
            <w:r>
              <w:rPr>
                <w:rFonts w:ascii="標楷體" w:eastAsia="標楷體" w:hAnsi="標楷體" w:cs="Calibri" w:hint="eastAsia"/>
              </w:rPr>
              <w:t>的使用紀錄</w:t>
            </w:r>
            <w:r>
              <w:rPr>
                <w:rFonts w:ascii="新細明體" w:hAnsi="新細明體" w:cs="Calibri" w:hint="eastAsia"/>
              </w:rPr>
              <w:t>。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c>
          <w:tcPr>
            <w:tcW w:w="19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</w:rPr>
            </w:pP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近三</w:t>
            </w:r>
            <w:proofErr w:type="gramStart"/>
            <w:r>
              <w:rPr>
                <w:rFonts w:ascii="標楷體" w:eastAsia="標楷體" w:hAnsi="標楷體" w:cs="Calibri"/>
              </w:rPr>
              <w:t>個</w:t>
            </w:r>
            <w:proofErr w:type="gramEnd"/>
            <w:r>
              <w:rPr>
                <w:rFonts w:ascii="標楷體" w:eastAsia="標楷體" w:hAnsi="標楷體" w:cs="Calibri"/>
              </w:rPr>
              <w:t>月內之CBC、WBC分類及reticulocyte至少兩次。</w:t>
            </w:r>
          </w:p>
          <w:p w:rsidR="006B1596" w:rsidRDefault="006B1596" w:rsidP="006D18A7">
            <w:pPr>
              <w:snapToGrid w:val="0"/>
              <w:spacing w:line="240" w:lineRule="atLeast"/>
              <w:ind w:left="317"/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在</w:t>
            </w:r>
            <w:r w:rsidRPr="00F91B0C">
              <w:rPr>
                <w:rFonts w:ascii="標楷體" w:eastAsia="標楷體" w:hAnsi="標楷體" w:cs="Calibri" w:hint="eastAsia"/>
              </w:rPr>
              <w:t>使用C5抑制劑下</w:t>
            </w:r>
            <w:r>
              <w:rPr>
                <w:rFonts w:ascii="新細明體" w:hAnsi="新細明體" w:cs="Calibri" w:hint="eastAsia"/>
              </w:rPr>
              <w:t>，</w:t>
            </w:r>
            <w:proofErr w:type="gramStart"/>
            <w:r w:rsidRPr="00F91B0C">
              <w:rPr>
                <w:rFonts w:ascii="標楷體" w:eastAsia="標楷體" w:hAnsi="標楷體" w:cs="Calibri" w:hint="eastAsia"/>
              </w:rPr>
              <w:t>血紅素</w:t>
            </w:r>
            <w:r>
              <w:rPr>
                <w:rFonts w:ascii="標楷體" w:eastAsia="標楷體" w:hAnsi="標楷體" w:cs="Calibri" w:hint="eastAsia"/>
              </w:rPr>
              <w:t>需</w:t>
            </w:r>
            <w:r w:rsidRPr="00F91B0C">
              <w:rPr>
                <w:rFonts w:ascii="標楷體" w:eastAsia="標楷體" w:hAnsi="標楷體" w:cs="Calibri" w:hint="eastAsia"/>
              </w:rPr>
              <w:t>仍小於</w:t>
            </w:r>
            <w:proofErr w:type="gramEnd"/>
            <w:r w:rsidRPr="00F91B0C">
              <w:rPr>
                <w:rFonts w:ascii="標楷體" w:eastAsia="標楷體" w:hAnsi="標楷體" w:cs="Calibri" w:hint="eastAsia"/>
              </w:rPr>
              <w:t>或等於9.5g/dL</w:t>
            </w:r>
            <w:r>
              <w:rPr>
                <w:rFonts w:ascii="新細明體" w:hAnsi="新細明體" w:cs="Calibri" w:hint="eastAsia"/>
              </w:rPr>
              <w:t>，</w:t>
            </w:r>
            <w:r>
              <w:rPr>
                <w:rFonts w:ascii="標楷體" w:eastAsia="標楷體" w:hAnsi="標楷體" w:cs="Calibri" w:hint="eastAsia"/>
              </w:rPr>
              <w:t>並排除其他可能造成貧血的原因</w:t>
            </w:r>
            <w:r>
              <w:rPr>
                <w:rFonts w:ascii="新細明體" w:hAnsi="新細明體" w:cs="Calibri" w:hint="eastAsia"/>
              </w:rPr>
              <w:t>。</w:t>
            </w:r>
          </w:p>
          <w:p w:rsidR="006B1596" w:rsidRDefault="006B1596" w:rsidP="006D18A7">
            <w:pPr>
              <w:snapToGrid w:val="0"/>
              <w:spacing w:line="240" w:lineRule="atLeast"/>
              <w:ind w:left="317"/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同時需有</w:t>
            </w:r>
            <w:r w:rsidRPr="00DB61A8">
              <w:rPr>
                <w:rFonts w:ascii="標楷體" w:eastAsia="標楷體" w:hAnsi="標楷體" w:cs="Calibri" w:hint="eastAsia"/>
              </w:rPr>
              <w:t>絕對網狀紅血球計數大於或等於120×10</w:t>
            </w:r>
            <w:r w:rsidRPr="0073737E">
              <w:rPr>
                <w:rFonts w:ascii="標楷體" w:eastAsia="標楷體" w:hAnsi="標楷體" w:cs="Calibri" w:hint="eastAsia"/>
                <w:vertAlign w:val="superscript"/>
              </w:rPr>
              <w:t>9</w:t>
            </w:r>
            <w:r w:rsidRPr="00DB61A8">
              <w:rPr>
                <w:rFonts w:ascii="標楷體" w:eastAsia="標楷體" w:hAnsi="標楷體" w:cs="Calibri" w:hint="eastAsia"/>
              </w:rPr>
              <w:t>/L，或</w:t>
            </w:r>
            <w:r>
              <w:rPr>
                <w:rFonts w:ascii="標楷體" w:eastAsia="標楷體" w:hAnsi="標楷體" w:cs="Calibri" w:hint="eastAsia"/>
              </w:rPr>
              <w:t>是</w:t>
            </w:r>
            <w:r w:rsidRPr="00DB61A8">
              <w:rPr>
                <w:rFonts w:ascii="標楷體" w:eastAsia="標楷體" w:hAnsi="標楷體" w:cs="Calibri" w:hint="eastAsia"/>
              </w:rPr>
              <w:t>網狀紅血球</w:t>
            </w:r>
            <w:r>
              <w:rPr>
                <w:rFonts w:ascii="標楷體" w:eastAsia="標楷體" w:hAnsi="標楷體" w:cs="Calibri" w:hint="eastAsia"/>
              </w:rPr>
              <w:t>比例</w:t>
            </w:r>
            <w:r w:rsidRPr="00DB61A8">
              <w:rPr>
                <w:rFonts w:ascii="標楷體" w:eastAsia="標楷體" w:hAnsi="標楷體" w:cs="Calibri" w:hint="eastAsia"/>
              </w:rPr>
              <w:t>大於或等於3%。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c>
          <w:tcPr>
            <w:tcW w:w="19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</w:rPr>
            </w:pP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近三</w:t>
            </w:r>
            <w:proofErr w:type="gramStart"/>
            <w:r>
              <w:rPr>
                <w:rFonts w:ascii="標楷體" w:eastAsia="標楷體" w:hAnsi="標楷體" w:cs="Calibri"/>
              </w:rPr>
              <w:t>個</w:t>
            </w:r>
            <w:proofErr w:type="gramEnd"/>
            <w:r>
              <w:rPr>
                <w:rFonts w:ascii="標楷體" w:eastAsia="標楷體" w:hAnsi="標楷體" w:cs="Calibri"/>
              </w:rPr>
              <w:t>月內有關溶血性貧血活性之評估檢驗報告。</w:t>
            </w:r>
          </w:p>
          <w:p w:rsidR="006B1596" w:rsidRDefault="006B1596" w:rsidP="006D18A7">
            <w:pPr>
              <w:suppressAutoHyphens/>
              <w:autoSpaceDN w:val="0"/>
              <w:snapToGrid w:val="0"/>
              <w:spacing w:line="240" w:lineRule="atLeast"/>
              <w:ind w:left="394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需排除血管內溶血持續存在之情形</w:t>
            </w:r>
            <w:r>
              <w:rPr>
                <w:rFonts w:ascii="新細明體" w:hAnsi="新細明體" w:cs="Calibri" w:hint="eastAsia"/>
              </w:rPr>
              <w:t>。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c>
          <w:tcPr>
            <w:tcW w:w="19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</w:rPr>
            </w:pP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六個月內之骨髓檢查報告。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c>
          <w:tcPr>
            <w:tcW w:w="19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</w:rPr>
            </w:pP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六個月內之流式細胞儀的診斷報告，須包含細胞圈選(gating)圖及細胞表面抗原-抗體作用強度圖(即histogram或</w:t>
            </w:r>
            <w:proofErr w:type="spellStart"/>
            <w:r>
              <w:rPr>
                <w:rFonts w:ascii="標楷體" w:eastAsia="標楷體" w:hAnsi="標楷體" w:cs="Calibri"/>
              </w:rPr>
              <w:t>dotplots</w:t>
            </w:r>
            <w:proofErr w:type="spellEnd"/>
            <w:r>
              <w:rPr>
                <w:rFonts w:ascii="標楷體" w:eastAsia="標楷體" w:hAnsi="標楷體" w:cs="Calibri"/>
              </w:rPr>
              <w:t>圖)：須符合經兩種以上抗體確認PNH之granulocyte clone size均大於50%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line="240" w:lineRule="atLeast"/>
              <w:ind w:left="603" w:hanging="567"/>
              <w:jc w:val="both"/>
              <w:textAlignment w:val="baseline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/>
                <w:kern w:val="0"/>
              </w:rPr>
              <w:t>排除有高危險之骨髓化生不良症候群（RAEB-1或RAEB-2）的病患。</w:t>
            </w: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六個月內骨髓檢查報告(新申請案必備)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rPr>
          <w:trHeight w:val="11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line="240" w:lineRule="atLeast"/>
              <w:ind w:left="603" w:hanging="567"/>
              <w:jc w:val="both"/>
              <w:textAlignment w:val="baseline"/>
              <w:rPr>
                <w:rFonts w:ascii="標楷體" w:eastAsia="標楷體" w:hAnsi="標楷體" w:cs="Calibri"/>
                <w:kern w:val="0"/>
              </w:rPr>
            </w:pPr>
            <w:r w:rsidRPr="009121BF">
              <w:rPr>
                <w:rFonts w:ascii="標楷體" w:eastAsia="標楷體" w:hAnsi="標楷體" w:cs="Calibri"/>
                <w:kern w:val="0"/>
              </w:rPr>
              <w:t>需經</w:t>
            </w:r>
            <w:r w:rsidRPr="00FD4151">
              <w:rPr>
                <w:rFonts w:ascii="標楷體" w:eastAsia="標楷體" w:hAnsi="標楷體" w:cs="Calibri" w:hint="eastAsia"/>
                <w:kern w:val="0"/>
              </w:rPr>
              <w:t>特殊專案審查</w:t>
            </w:r>
            <w:r w:rsidRPr="00FD4151">
              <w:rPr>
                <w:rFonts w:ascii="標楷體" w:eastAsia="標楷體" w:hAnsi="標楷體" w:cs="Calibri"/>
                <w:kern w:val="0"/>
              </w:rPr>
              <w:t>核准</w:t>
            </w:r>
            <w:r w:rsidRPr="009121BF">
              <w:rPr>
                <w:rFonts w:ascii="標楷體" w:eastAsia="標楷體" w:hAnsi="標楷體" w:cs="Calibri"/>
                <w:kern w:val="0"/>
              </w:rPr>
              <w:t>後使用，每次申請期限為6個月。</w:t>
            </w: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</w:rPr>
            </w:pPr>
            <w:r>
              <w:rPr>
                <w:rFonts w:ascii="標楷體" w:eastAsia="標楷體" w:hAnsi="標楷體" w:cs="Calibri"/>
                <w:b/>
              </w:rPr>
              <w:t>續用申請</w:t>
            </w:r>
          </w:p>
        </w:tc>
      </w:tr>
      <w:tr w:rsidR="006B1596" w:rsidTr="006D18A7">
        <w:trPr>
          <w:trHeight w:val="272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widowControl/>
              <w:snapToGrid w:val="0"/>
              <w:spacing w:line="240" w:lineRule="atLeast"/>
              <w:ind w:left="480"/>
              <w:jc w:val="both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/>
                <w:kern w:val="0"/>
              </w:rPr>
              <w:lastRenderedPageBreak/>
              <w:t>給付規定</w:t>
            </w: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送審應檢附資料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資料確認</w:t>
            </w:r>
          </w:p>
        </w:tc>
      </w:tr>
      <w:tr w:rsidR="006B1596" w:rsidTr="006D18A7">
        <w:trPr>
          <w:trHeight w:val="332"/>
        </w:trPr>
        <w:tc>
          <w:tcPr>
            <w:tcW w:w="19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numPr>
                <w:ilvl w:val="0"/>
                <w:numId w:val="3"/>
              </w:numPr>
              <w:suppressAutoHyphens/>
              <w:autoSpaceDN w:val="0"/>
              <w:snapToGrid w:val="0"/>
              <w:spacing w:line="240" w:lineRule="atLeast"/>
              <w:ind w:left="603" w:hanging="567"/>
              <w:jc w:val="both"/>
              <w:textAlignment w:val="baseline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/>
                <w:kern w:val="0"/>
              </w:rPr>
              <w:t>每6個月須重新評估治療結果。</w:t>
            </w:r>
          </w:p>
          <w:p w:rsidR="006B1596" w:rsidRDefault="006B1596" w:rsidP="006D18A7">
            <w:pPr>
              <w:numPr>
                <w:ilvl w:val="0"/>
                <w:numId w:val="3"/>
              </w:numPr>
              <w:suppressAutoHyphens/>
              <w:autoSpaceDN w:val="0"/>
              <w:snapToGrid w:val="0"/>
              <w:spacing w:line="240" w:lineRule="atLeast"/>
              <w:ind w:left="603" w:hanging="567"/>
              <w:jc w:val="both"/>
              <w:textAlignment w:val="baseline"/>
              <w:rPr>
                <w:rFonts w:ascii="標楷體" w:eastAsia="標楷體" w:hAnsi="標楷體" w:cs="Calibri"/>
                <w:kern w:val="0"/>
              </w:rPr>
            </w:pPr>
            <w:r>
              <w:rPr>
                <w:rFonts w:ascii="標楷體" w:eastAsia="標楷體" w:hAnsi="標楷體" w:cs="Calibri"/>
                <w:kern w:val="0"/>
              </w:rPr>
              <w:t>若符合下列條件之一，則不予同意使用。</w:t>
            </w:r>
          </w:p>
          <w:p w:rsidR="006B1596" w:rsidRDefault="006B1596" w:rsidP="006D18A7">
            <w:pPr>
              <w:numPr>
                <w:ilvl w:val="0"/>
                <w:numId w:val="4"/>
              </w:num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接受治療的患者用藥後病情沒有改善者（LDH超過正常值上限的1.5倍或最近3個月內輸血多於2個單位）。</w:t>
            </w:r>
          </w:p>
          <w:p w:rsidR="006B1596" w:rsidRDefault="006B1596" w:rsidP="006D18A7">
            <w:pPr>
              <w:numPr>
                <w:ilvl w:val="0"/>
                <w:numId w:val="4"/>
              </w:num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PNH granulocyte clone size</w:t>
            </w:r>
          </w:p>
          <w:p w:rsidR="006B1596" w:rsidRDefault="006B1596" w:rsidP="006D18A7">
            <w:pPr>
              <w:snapToGrid w:val="0"/>
              <w:spacing w:line="240" w:lineRule="atLeast"/>
              <w:ind w:left="602" w:firstLine="240"/>
              <w:jc w:val="both"/>
            </w:pPr>
            <w:proofErr w:type="gramStart"/>
            <w:r>
              <w:rPr>
                <w:rFonts w:ascii="標楷體" w:eastAsia="標楷體" w:hAnsi="標楷體" w:cs="新細明體"/>
              </w:rPr>
              <w:t>≦</w:t>
            </w:r>
            <w:proofErr w:type="gramEnd"/>
            <w:r>
              <w:rPr>
                <w:rFonts w:ascii="標楷體" w:eastAsia="標楷體" w:hAnsi="標楷體" w:cs="Calibri"/>
              </w:rPr>
              <w:t>50%。</w:t>
            </w:r>
          </w:p>
          <w:p w:rsidR="006B1596" w:rsidRDefault="006B1596" w:rsidP="006D18A7">
            <w:pPr>
              <w:numPr>
                <w:ilvl w:val="0"/>
                <w:numId w:val="4"/>
              </w:num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發生嚴重再生不良性貧血，其檢查結果符合下列兩項或兩項以上者：</w:t>
            </w:r>
          </w:p>
          <w:p w:rsidR="006B1596" w:rsidRDefault="006B1596" w:rsidP="006D18A7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line="240" w:lineRule="atLeast"/>
              <w:ind w:left="1018" w:hanging="284"/>
              <w:jc w:val="both"/>
              <w:textAlignment w:val="baseline"/>
            </w:pPr>
            <w:r>
              <w:rPr>
                <w:rFonts w:ascii="標楷體" w:eastAsia="標楷體" w:hAnsi="標楷體" w:cs="Calibri"/>
              </w:rPr>
              <w:t>中性白血球數目（neutrophil count）＜0.5x10</w:t>
            </w:r>
            <w:r>
              <w:rPr>
                <w:rFonts w:ascii="標楷體" w:eastAsia="標楷體" w:hAnsi="標楷體" w:cs="Calibri"/>
                <w:vertAlign w:val="superscript"/>
              </w:rPr>
              <w:t>9</w:t>
            </w:r>
            <w:r>
              <w:rPr>
                <w:rFonts w:ascii="標楷體" w:eastAsia="標楷體" w:hAnsi="標楷體" w:cs="Calibri"/>
              </w:rPr>
              <w:t>/L。</w:t>
            </w:r>
          </w:p>
          <w:p w:rsidR="006B1596" w:rsidRDefault="006B1596" w:rsidP="006D18A7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line="240" w:lineRule="atLeast"/>
              <w:ind w:left="1018" w:hanging="284"/>
              <w:jc w:val="both"/>
              <w:textAlignment w:val="baseline"/>
            </w:pPr>
            <w:r>
              <w:rPr>
                <w:rFonts w:ascii="標楷體" w:eastAsia="標楷體" w:hAnsi="標楷體" w:cs="Calibri"/>
              </w:rPr>
              <w:t>血小板數目（platelet count）＜20x10</w:t>
            </w:r>
            <w:r>
              <w:rPr>
                <w:rFonts w:ascii="標楷體" w:eastAsia="標楷體" w:hAnsi="標楷體" w:cs="Calibri"/>
                <w:vertAlign w:val="superscript"/>
              </w:rPr>
              <w:t>9</w:t>
            </w:r>
            <w:r>
              <w:rPr>
                <w:rFonts w:ascii="標楷體" w:eastAsia="標楷體" w:hAnsi="標楷體" w:cs="Calibri"/>
              </w:rPr>
              <w:t>/L。</w:t>
            </w:r>
          </w:p>
          <w:p w:rsidR="006B1596" w:rsidRDefault="006B1596" w:rsidP="006D18A7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line="240" w:lineRule="atLeast"/>
              <w:ind w:left="1018" w:hanging="284"/>
              <w:jc w:val="both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網狀細胞（reticulocytes）</w:t>
            </w:r>
          </w:p>
          <w:p w:rsidR="006B1596" w:rsidRDefault="006B1596" w:rsidP="006D18A7">
            <w:pPr>
              <w:snapToGrid w:val="0"/>
              <w:spacing w:line="240" w:lineRule="atLeast"/>
              <w:ind w:left="1018"/>
              <w:jc w:val="both"/>
            </w:pPr>
            <w:r>
              <w:rPr>
                <w:rFonts w:ascii="標楷體" w:eastAsia="標楷體" w:hAnsi="標楷體" w:cs="Calibri"/>
              </w:rPr>
              <w:t>＜25x10</w:t>
            </w:r>
            <w:r>
              <w:rPr>
                <w:rFonts w:ascii="標楷體" w:eastAsia="標楷體" w:hAnsi="標楷體" w:cs="Calibri"/>
                <w:vertAlign w:val="superscript"/>
              </w:rPr>
              <w:t>9</w:t>
            </w:r>
            <w:r>
              <w:rPr>
                <w:rFonts w:ascii="標楷體" w:eastAsia="標楷體" w:hAnsi="標楷體" w:cs="Calibri"/>
              </w:rPr>
              <w:t>/L。</w:t>
            </w:r>
          </w:p>
          <w:p w:rsidR="006B1596" w:rsidRDefault="006B1596" w:rsidP="006D18A7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line="240" w:lineRule="atLeast"/>
              <w:ind w:left="1018" w:hanging="284"/>
              <w:jc w:val="both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骨髓內造血細胞密度＜30%。</w:t>
            </w: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  <w:b/>
              </w:rPr>
            </w:pPr>
            <w:r>
              <w:rPr>
                <w:rFonts w:ascii="標楷體" w:eastAsia="標楷體" w:hAnsi="標楷體" w:cs="Calibri"/>
                <w:b/>
              </w:rPr>
              <w:t>必備：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rPr>
          <w:trHeight w:val="601"/>
        </w:trPr>
        <w:tc>
          <w:tcPr>
            <w:tcW w:w="19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numPr>
                <w:ilvl w:val="0"/>
                <w:numId w:val="6"/>
              </w:numPr>
              <w:suppressAutoHyphens/>
              <w:autoSpaceDN w:val="0"/>
              <w:snapToGrid w:val="0"/>
              <w:spacing w:line="240" w:lineRule="atLeast"/>
              <w:ind w:left="839" w:hanging="357"/>
              <w:jc w:val="both"/>
              <w:textAlignment w:val="baseline"/>
              <w:rPr>
                <w:rFonts w:ascii="標楷體" w:eastAsia="標楷體" w:hAnsi="標楷體" w:cs="Calibri"/>
              </w:rPr>
            </w:pP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病史摘要說明及治療後療效評估說明。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rPr>
          <w:trHeight w:val="601"/>
        </w:trPr>
        <w:tc>
          <w:tcPr>
            <w:tcW w:w="19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numPr>
                <w:ilvl w:val="0"/>
                <w:numId w:val="6"/>
              </w:numPr>
              <w:suppressAutoHyphens/>
              <w:autoSpaceDN w:val="0"/>
              <w:snapToGrid w:val="0"/>
              <w:spacing w:line="240" w:lineRule="atLeast"/>
              <w:ind w:left="839" w:hanging="357"/>
              <w:jc w:val="both"/>
              <w:textAlignment w:val="baseline"/>
              <w:rPr>
                <w:rFonts w:ascii="標楷體" w:eastAsia="標楷體" w:hAnsi="標楷體" w:cs="Calibri"/>
              </w:rPr>
            </w:pP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Pr="00D14B25" w:rsidRDefault="006B1596" w:rsidP="006D18A7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Calibri"/>
              </w:rPr>
            </w:pPr>
            <w:r w:rsidRPr="00D14B25">
              <w:rPr>
                <w:rFonts w:ascii="標楷體" w:eastAsia="標楷體" w:hAnsi="標楷體" w:cs="Calibri" w:hint="eastAsia"/>
              </w:rPr>
              <w:t>若為申請</w:t>
            </w:r>
            <w:r>
              <w:rPr>
                <w:rFonts w:ascii="標楷體" w:eastAsia="標楷體" w:hAnsi="標楷體" w:cs="Calibri" w:hint="eastAsia"/>
              </w:rPr>
              <w:t>續</w:t>
            </w:r>
            <w:r w:rsidRPr="00D14B25">
              <w:rPr>
                <w:rFonts w:ascii="標楷體" w:eastAsia="標楷體" w:hAnsi="標楷體" w:cs="Calibri" w:hint="eastAsia"/>
              </w:rPr>
              <w:t>使用</w:t>
            </w:r>
            <w:proofErr w:type="spellStart"/>
            <w:r w:rsidRPr="00D14B25">
              <w:rPr>
                <w:rFonts w:ascii="標楷體" w:eastAsia="標楷體" w:hAnsi="標楷體" w:cs="Calibri" w:hint="eastAsia"/>
              </w:rPr>
              <w:t>Voydeya</w:t>
            </w:r>
            <w:proofErr w:type="spellEnd"/>
            <w:r w:rsidRPr="00D14B25">
              <w:rPr>
                <w:rFonts w:ascii="標楷體" w:eastAsia="標楷體" w:hAnsi="標楷體" w:cs="Calibri" w:hint="eastAsia"/>
              </w:rPr>
              <w:t xml:space="preserve"> (</w:t>
            </w:r>
            <w:proofErr w:type="spellStart"/>
            <w:r w:rsidRPr="00D14B25">
              <w:rPr>
                <w:rFonts w:ascii="標楷體" w:eastAsia="標楷體" w:hAnsi="標楷體" w:cs="Calibri" w:hint="eastAsia"/>
              </w:rPr>
              <w:t>danicopan</w:t>
            </w:r>
            <w:proofErr w:type="spellEnd"/>
            <w:r w:rsidRPr="00D14B25">
              <w:rPr>
                <w:rFonts w:ascii="標楷體" w:eastAsia="標楷體" w:hAnsi="標楷體" w:cs="Calibri" w:hint="eastAsia"/>
              </w:rPr>
              <w:t>)，則須同時申請</w:t>
            </w:r>
            <w:proofErr w:type="spellStart"/>
            <w:r w:rsidRPr="00D14B25">
              <w:rPr>
                <w:rFonts w:ascii="標楷體" w:eastAsia="標楷體" w:hAnsi="標楷體" w:cs="Calibri" w:hint="eastAsia"/>
              </w:rPr>
              <w:t>ravulizumab</w:t>
            </w:r>
            <w:proofErr w:type="spellEnd"/>
            <w:r w:rsidRPr="00D14B25">
              <w:rPr>
                <w:rFonts w:ascii="標楷體" w:eastAsia="標楷體" w:hAnsi="標楷體" w:cs="Calibri" w:hint="eastAsia"/>
              </w:rPr>
              <w:t xml:space="preserve"> 或 eculizumab。</w:t>
            </w:r>
          </w:p>
          <w:p w:rsidR="006B1596" w:rsidRDefault="006B1596" w:rsidP="006D18A7">
            <w:pPr>
              <w:suppressAutoHyphens/>
              <w:autoSpaceDN w:val="0"/>
              <w:snapToGrid w:val="0"/>
              <w:spacing w:line="240" w:lineRule="atLeast"/>
              <w:ind w:left="394"/>
              <w:jc w:val="both"/>
              <w:textAlignment w:val="baseline"/>
              <w:rPr>
                <w:rFonts w:ascii="標楷體" w:eastAsia="標楷體" w:hAnsi="標楷體" w:cs="Calibri"/>
              </w:rPr>
            </w:pPr>
            <w:r w:rsidRPr="00D14B25">
              <w:rPr>
                <w:rFonts w:ascii="標楷體" w:eastAsia="標楷體" w:hAnsi="標楷體" w:cs="Calibri" w:hint="eastAsia"/>
              </w:rPr>
              <w:t>若</w:t>
            </w:r>
            <w:proofErr w:type="spellStart"/>
            <w:r w:rsidRPr="00D14B25">
              <w:rPr>
                <w:rFonts w:ascii="標楷體" w:eastAsia="標楷體" w:hAnsi="標楷體" w:cs="Calibri" w:hint="eastAsia"/>
              </w:rPr>
              <w:t>Voydeya</w:t>
            </w:r>
            <w:proofErr w:type="spellEnd"/>
            <w:r w:rsidRPr="00D14B25">
              <w:rPr>
                <w:rFonts w:ascii="標楷體" w:eastAsia="標楷體" w:hAnsi="標楷體" w:cs="Calibri" w:hint="eastAsia"/>
              </w:rPr>
              <w:t>獲同意使用則</w:t>
            </w:r>
            <w:proofErr w:type="spellStart"/>
            <w:r w:rsidRPr="00D14B25">
              <w:rPr>
                <w:rFonts w:ascii="標楷體" w:eastAsia="標楷體" w:hAnsi="標楷體" w:cs="Calibri" w:hint="eastAsia"/>
              </w:rPr>
              <w:t>ravulizumab</w:t>
            </w:r>
            <w:proofErr w:type="spellEnd"/>
            <w:r w:rsidRPr="00D14B25">
              <w:rPr>
                <w:rFonts w:ascii="標楷體" w:eastAsia="標楷體" w:hAnsi="標楷體" w:cs="Calibri" w:hint="eastAsia"/>
              </w:rPr>
              <w:t xml:space="preserve"> 或 eculizumab也可同時使用。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rPr>
          <w:trHeight w:val="601"/>
        </w:trPr>
        <w:tc>
          <w:tcPr>
            <w:tcW w:w="19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numPr>
                <w:ilvl w:val="0"/>
                <w:numId w:val="3"/>
              </w:numPr>
              <w:suppressAutoHyphens/>
              <w:autoSpaceDN w:val="0"/>
              <w:snapToGrid w:val="0"/>
              <w:spacing w:line="240" w:lineRule="atLeast"/>
              <w:textAlignment w:val="baseline"/>
              <w:rPr>
                <w:rFonts w:ascii="標楷體" w:eastAsia="標楷體" w:hAnsi="標楷體" w:cs="Calibri"/>
                <w:kern w:val="0"/>
              </w:rPr>
            </w:pP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治療計畫書，須說明申請續治療期間</w:t>
            </w:r>
            <w:r>
              <w:rPr>
                <w:rFonts w:ascii="標楷體" w:eastAsia="標楷體" w:hAnsi="標楷體" w:cs="Calibri" w:hint="eastAsia"/>
              </w:rPr>
              <w:t>仍</w:t>
            </w:r>
            <w:r>
              <w:rPr>
                <w:rFonts w:ascii="標楷體" w:eastAsia="標楷體" w:hAnsi="標楷體" w:cs="Calibri"/>
              </w:rPr>
              <w:t>在過往施</w:t>
            </w:r>
            <w:proofErr w:type="gramStart"/>
            <w:r>
              <w:rPr>
                <w:rFonts w:ascii="標楷體" w:eastAsia="標楷體" w:hAnsi="標楷體" w:cs="Calibri"/>
              </w:rPr>
              <w:t>打</w:t>
            </w:r>
            <w:r w:rsidRPr="005D7147">
              <w:rPr>
                <w:rFonts w:ascii="標楷體" w:eastAsia="標楷體" w:hAnsi="標楷體" w:cs="Calibri" w:hint="eastAsia"/>
              </w:rPr>
              <w:t>莢膜細菌</w:t>
            </w:r>
            <w:proofErr w:type="gramEnd"/>
            <w:r w:rsidRPr="005D7147">
              <w:rPr>
                <w:rFonts w:ascii="標楷體" w:eastAsia="標楷體" w:hAnsi="標楷體" w:cs="Calibri" w:hint="eastAsia"/>
              </w:rPr>
              <w:t xml:space="preserve"> (腦膜炎雙球菌、肺炎鏈球菌和 B 型</w:t>
            </w:r>
            <w:proofErr w:type="gramStart"/>
            <w:r w:rsidRPr="005D7147">
              <w:rPr>
                <w:rFonts w:ascii="標楷體" w:eastAsia="標楷體" w:hAnsi="標楷體" w:cs="Calibri" w:hint="eastAsia"/>
              </w:rPr>
              <w:t>流感嗜</w:t>
            </w:r>
            <w:proofErr w:type="gramEnd"/>
            <w:r w:rsidRPr="005D7147">
              <w:rPr>
                <w:rFonts w:ascii="標楷體" w:eastAsia="標楷體" w:hAnsi="標楷體" w:cs="Calibri" w:hint="eastAsia"/>
              </w:rPr>
              <w:t>血桿菌)之疫苗</w:t>
            </w:r>
            <w:r>
              <w:rPr>
                <w:rFonts w:ascii="標楷體" w:eastAsia="標楷體" w:hAnsi="標楷體" w:cs="Calibri" w:hint="eastAsia"/>
              </w:rPr>
              <w:t>有效</w:t>
            </w:r>
            <w:proofErr w:type="gramStart"/>
            <w:r>
              <w:rPr>
                <w:rFonts w:ascii="標楷體" w:eastAsia="標楷體" w:hAnsi="標楷體" w:cs="Calibri" w:hint="eastAsia"/>
              </w:rPr>
              <w:t>期間</w:t>
            </w:r>
            <w:proofErr w:type="gramEnd"/>
            <w:r>
              <w:rPr>
                <w:rFonts w:ascii="標楷體" w:eastAsia="標楷體" w:hAnsi="標楷體" w:cs="Calibri"/>
              </w:rPr>
              <w:t>，或是有再次施打之計畫。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rPr>
          <w:trHeight w:val="601"/>
        </w:trPr>
        <w:tc>
          <w:tcPr>
            <w:tcW w:w="19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numPr>
                <w:ilvl w:val="0"/>
                <w:numId w:val="3"/>
              </w:numPr>
              <w:suppressAutoHyphens/>
              <w:autoSpaceDN w:val="0"/>
              <w:snapToGrid w:val="0"/>
              <w:spacing w:line="240" w:lineRule="atLeast"/>
              <w:textAlignment w:val="baseline"/>
              <w:rPr>
                <w:rFonts w:ascii="標楷體" w:eastAsia="標楷體" w:hAnsi="標楷體" w:cs="Calibri"/>
                <w:kern w:val="0"/>
              </w:rPr>
            </w:pP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</w:pPr>
            <w:r>
              <w:rPr>
                <w:rFonts w:ascii="標楷體" w:eastAsia="標楷體" w:hAnsi="標楷體" w:cs="Calibri"/>
              </w:rPr>
              <w:t>近三</w:t>
            </w:r>
            <w:proofErr w:type="gramStart"/>
            <w:r>
              <w:rPr>
                <w:rFonts w:ascii="標楷體" w:eastAsia="標楷體" w:hAnsi="標楷體" w:cs="Calibri"/>
              </w:rPr>
              <w:t>個</w:t>
            </w:r>
            <w:proofErr w:type="gramEnd"/>
            <w:r>
              <w:rPr>
                <w:rFonts w:ascii="標楷體" w:eastAsia="標楷體" w:hAnsi="標楷體" w:cs="Calibri"/>
              </w:rPr>
              <w:t>月內之CBC、WBC分類、LDH及reticulocyte至少兩次。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rPr>
          <w:trHeight w:val="601"/>
        </w:trPr>
        <w:tc>
          <w:tcPr>
            <w:tcW w:w="19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numPr>
                <w:ilvl w:val="0"/>
                <w:numId w:val="3"/>
              </w:numPr>
              <w:suppressAutoHyphens/>
              <w:autoSpaceDN w:val="0"/>
              <w:snapToGrid w:val="0"/>
              <w:spacing w:line="240" w:lineRule="atLeast"/>
              <w:textAlignment w:val="baseline"/>
              <w:rPr>
                <w:rFonts w:ascii="標楷體" w:eastAsia="標楷體" w:hAnsi="標楷體" w:cs="Calibri"/>
                <w:kern w:val="0"/>
              </w:rPr>
            </w:pP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</w:pPr>
            <w:r>
              <w:rPr>
                <w:rFonts w:ascii="標楷體" w:eastAsia="標楷體" w:hAnsi="標楷體" w:cs="Calibri"/>
              </w:rPr>
              <w:t>近三</w:t>
            </w:r>
            <w:proofErr w:type="gramStart"/>
            <w:r>
              <w:rPr>
                <w:rFonts w:ascii="標楷體" w:eastAsia="標楷體" w:hAnsi="標楷體" w:cs="Calibri"/>
              </w:rPr>
              <w:t>個</w:t>
            </w:r>
            <w:proofErr w:type="gramEnd"/>
            <w:r>
              <w:rPr>
                <w:rFonts w:ascii="標楷體" w:eastAsia="標楷體" w:hAnsi="標楷體" w:cs="Calibri"/>
              </w:rPr>
              <w:t>月內之溶血性貧血活性評估，必須包含LDH。</w:t>
            </w:r>
            <w:r>
              <w:rPr>
                <w:rFonts w:ascii="標楷體" w:eastAsia="標楷體" w:hAnsi="標楷體" w:cs="Calibri" w:hint="eastAsia"/>
              </w:rPr>
              <w:t>若</w:t>
            </w:r>
            <w:r>
              <w:rPr>
                <w:rFonts w:ascii="標楷體" w:eastAsia="標楷體" w:hAnsi="標楷體" w:cs="Calibri"/>
              </w:rPr>
              <w:t>LDH仍超過正常值上限的1.5倍且排除因其他疾病因素所致之LDH上升(如感染等)，則不再核准，但病人呈現</w:t>
            </w:r>
            <w:proofErr w:type="spellStart"/>
            <w:r>
              <w:rPr>
                <w:rFonts w:ascii="標楷體" w:eastAsia="標楷體" w:hAnsi="標楷體" w:cs="Calibri"/>
              </w:rPr>
              <w:t>Coomb</w:t>
            </w:r>
            <w:proofErr w:type="gramStart"/>
            <w:r>
              <w:rPr>
                <w:rFonts w:ascii="標楷體" w:eastAsia="標楷體" w:hAnsi="標楷體" w:cs="Calibri"/>
              </w:rPr>
              <w:t>’</w:t>
            </w:r>
            <w:proofErr w:type="gramEnd"/>
            <w:r>
              <w:rPr>
                <w:rFonts w:ascii="標楷體" w:eastAsia="標楷體" w:hAnsi="標楷體" w:cs="Calibri"/>
              </w:rPr>
              <w:t>stest</w:t>
            </w:r>
            <w:proofErr w:type="spellEnd"/>
            <w:r>
              <w:rPr>
                <w:rFonts w:ascii="標楷體" w:eastAsia="標楷體" w:hAnsi="標楷體" w:cs="Calibri"/>
              </w:rPr>
              <w:t>為陽性(須檢附</w:t>
            </w:r>
            <w:proofErr w:type="spellStart"/>
            <w:r>
              <w:rPr>
                <w:rFonts w:ascii="標楷體" w:eastAsia="標楷體" w:hAnsi="標楷體" w:cs="Calibri"/>
              </w:rPr>
              <w:t>Coomb’stest</w:t>
            </w:r>
            <w:proofErr w:type="spellEnd"/>
            <w:r>
              <w:rPr>
                <w:rFonts w:ascii="標楷體" w:eastAsia="標楷體" w:hAnsi="標楷體" w:cs="Calibri"/>
              </w:rPr>
              <w:t>陽性之檢驗報告)且輸血量及頻率未超過用藥前者除外。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rPr>
          <w:trHeight w:val="601"/>
        </w:trPr>
        <w:tc>
          <w:tcPr>
            <w:tcW w:w="19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numPr>
                <w:ilvl w:val="0"/>
                <w:numId w:val="3"/>
              </w:numPr>
              <w:suppressAutoHyphens/>
              <w:autoSpaceDN w:val="0"/>
              <w:snapToGrid w:val="0"/>
              <w:spacing w:line="240" w:lineRule="atLeast"/>
              <w:textAlignment w:val="baseline"/>
              <w:rPr>
                <w:rFonts w:ascii="標楷體" w:eastAsia="標楷體" w:hAnsi="標楷體" w:cs="Calibri"/>
                <w:kern w:val="0"/>
              </w:rPr>
            </w:pP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第一次送審時所附之CBC及WBC分類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rPr>
          <w:trHeight w:val="251"/>
        </w:trPr>
        <w:tc>
          <w:tcPr>
            <w:tcW w:w="19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numPr>
                <w:ilvl w:val="0"/>
                <w:numId w:val="3"/>
              </w:numPr>
              <w:suppressAutoHyphens/>
              <w:autoSpaceDN w:val="0"/>
              <w:snapToGrid w:val="0"/>
              <w:spacing w:line="240" w:lineRule="atLeast"/>
              <w:textAlignment w:val="baseline"/>
              <w:rPr>
                <w:rFonts w:ascii="標楷體" w:eastAsia="標楷體" w:hAnsi="標楷體" w:cs="Calibri"/>
                <w:kern w:val="0"/>
              </w:rPr>
            </w:pP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六個月內之流式細胞儀的診斷報告及細胞圈選(gating)圖：仍須符合經兩種以上抗體確認PNH之granulocyte clone size均大於50%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rPr>
          <w:trHeight w:val="250"/>
        </w:trPr>
        <w:tc>
          <w:tcPr>
            <w:tcW w:w="19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numPr>
                <w:ilvl w:val="0"/>
                <w:numId w:val="3"/>
              </w:numPr>
              <w:suppressAutoHyphens/>
              <w:autoSpaceDN w:val="0"/>
              <w:snapToGrid w:val="0"/>
              <w:spacing w:line="240" w:lineRule="atLeast"/>
              <w:textAlignment w:val="baseline"/>
              <w:rPr>
                <w:rFonts w:ascii="標楷體" w:eastAsia="標楷體" w:hAnsi="標楷體" w:cs="Calibri"/>
                <w:kern w:val="0"/>
              </w:rPr>
            </w:pP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Calibri"/>
              </w:rPr>
              <w:t>其他</w:t>
            </w:r>
            <w:r>
              <w:rPr>
                <w:rFonts w:ascii="標楷體" w:eastAsia="標楷體" w:hAnsi="標楷體" w:cs="Calibri"/>
                <w:b/>
              </w:rPr>
              <w:t>應備</w:t>
            </w:r>
            <w:r>
              <w:rPr>
                <w:rFonts w:ascii="標楷體" w:eastAsia="標楷體" w:hAnsi="標楷體" w:cs="Calibri"/>
              </w:rPr>
              <w:t>項目：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  <w:tr w:rsidR="006B1596" w:rsidTr="006D18A7">
        <w:trPr>
          <w:trHeight w:val="1440"/>
        </w:trPr>
        <w:tc>
          <w:tcPr>
            <w:tcW w:w="19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96" w:rsidRDefault="006B1596" w:rsidP="006D18A7">
            <w:pPr>
              <w:numPr>
                <w:ilvl w:val="0"/>
                <w:numId w:val="3"/>
              </w:numPr>
              <w:suppressAutoHyphens/>
              <w:autoSpaceDN w:val="0"/>
              <w:snapToGrid w:val="0"/>
              <w:spacing w:line="240" w:lineRule="atLeast"/>
              <w:textAlignment w:val="baseline"/>
              <w:rPr>
                <w:rFonts w:ascii="標楷體" w:eastAsia="標楷體" w:hAnsi="標楷體" w:cs="Calibri"/>
                <w:kern w:val="0"/>
              </w:rPr>
            </w:pP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若再次申請之CBC、WBC分類及reticulocyte和第一次送審之報告有除血紅素上升外之明顯惡化，建議再次申請時加附六個月內之骨髓檢查報告。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96" w:rsidRDefault="006B1596" w:rsidP="006D18A7">
            <w:pPr>
              <w:snapToGrid w:val="0"/>
              <w:spacing w:line="240" w:lineRule="atLeast"/>
              <w:rPr>
                <w:rFonts w:ascii="標楷體" w:eastAsia="標楷體" w:hAnsi="標楷體" w:cs="Calibri"/>
              </w:rPr>
            </w:pPr>
          </w:p>
        </w:tc>
      </w:tr>
    </w:tbl>
    <w:p w:rsidR="006B1596" w:rsidRPr="006B1596" w:rsidRDefault="006B1596"/>
    <w:sectPr w:rsidR="006B1596" w:rsidRPr="006B1596" w:rsidSect="006B15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2C1"/>
    <w:multiLevelType w:val="multilevel"/>
    <w:tmpl w:val="946EE990"/>
    <w:lvl w:ilvl="0">
      <w:start w:val="1"/>
      <w:numFmt w:val="decimal"/>
      <w:lvlText w:val="%1."/>
      <w:lvlJc w:val="left"/>
      <w:pPr>
        <w:ind w:left="960" w:hanging="480"/>
      </w:pPr>
      <w:rPr>
        <w:b w:val="0"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1236" w:hanging="480"/>
      </w:pPr>
    </w:lvl>
    <w:lvl w:ilvl="2">
      <w:start w:val="1"/>
      <w:numFmt w:val="lowerRoman"/>
      <w:lvlText w:val="%3."/>
      <w:lvlJc w:val="right"/>
      <w:pPr>
        <w:ind w:left="1716" w:hanging="480"/>
      </w:pPr>
    </w:lvl>
    <w:lvl w:ilvl="3">
      <w:start w:val="1"/>
      <w:numFmt w:val="decimal"/>
      <w:lvlText w:val="%4."/>
      <w:lvlJc w:val="left"/>
      <w:pPr>
        <w:ind w:left="2196" w:hanging="480"/>
      </w:pPr>
    </w:lvl>
    <w:lvl w:ilvl="4">
      <w:start w:val="1"/>
      <w:numFmt w:val="ideographTraditional"/>
      <w:lvlText w:val="%5、"/>
      <w:lvlJc w:val="left"/>
      <w:pPr>
        <w:ind w:left="2676" w:hanging="480"/>
      </w:pPr>
    </w:lvl>
    <w:lvl w:ilvl="5">
      <w:start w:val="1"/>
      <w:numFmt w:val="lowerRoman"/>
      <w:lvlText w:val="%6."/>
      <w:lvlJc w:val="right"/>
      <w:pPr>
        <w:ind w:left="3156" w:hanging="480"/>
      </w:pPr>
    </w:lvl>
    <w:lvl w:ilvl="6">
      <w:start w:val="1"/>
      <w:numFmt w:val="decimal"/>
      <w:lvlText w:val="%7."/>
      <w:lvlJc w:val="left"/>
      <w:pPr>
        <w:ind w:left="3636" w:hanging="480"/>
      </w:pPr>
    </w:lvl>
    <w:lvl w:ilvl="7">
      <w:start w:val="1"/>
      <w:numFmt w:val="ideographTraditional"/>
      <w:lvlText w:val="%8、"/>
      <w:lvlJc w:val="left"/>
      <w:pPr>
        <w:ind w:left="4116" w:hanging="480"/>
      </w:pPr>
    </w:lvl>
    <w:lvl w:ilvl="8">
      <w:start w:val="1"/>
      <w:numFmt w:val="lowerRoman"/>
      <w:lvlText w:val="%9."/>
      <w:lvlJc w:val="right"/>
      <w:pPr>
        <w:ind w:left="4596" w:hanging="480"/>
      </w:pPr>
    </w:lvl>
  </w:abstractNum>
  <w:abstractNum w:abstractNumId="1" w15:restartNumberingAfterBreak="0">
    <w:nsid w:val="2F2B3BE4"/>
    <w:multiLevelType w:val="multilevel"/>
    <w:tmpl w:val="B3C8A77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451C97"/>
    <w:multiLevelType w:val="multilevel"/>
    <w:tmpl w:val="1226AAA6"/>
    <w:lvl w:ilvl="0">
      <w:start w:val="1"/>
      <w:numFmt w:val="decimal"/>
      <w:lvlText w:val="%1."/>
      <w:lvlJc w:val="left"/>
      <w:pPr>
        <w:ind w:left="1222" w:hanging="480"/>
      </w:pPr>
      <w:rPr>
        <w:b w:val="0"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1702" w:hanging="480"/>
      </w:pPr>
    </w:lvl>
    <w:lvl w:ilvl="2">
      <w:start w:val="1"/>
      <w:numFmt w:val="lowerRoman"/>
      <w:lvlText w:val="%3."/>
      <w:lvlJc w:val="right"/>
      <w:pPr>
        <w:ind w:left="2182" w:hanging="480"/>
      </w:pPr>
    </w:lvl>
    <w:lvl w:ilvl="3">
      <w:start w:val="1"/>
      <w:numFmt w:val="decimal"/>
      <w:lvlText w:val="%4."/>
      <w:lvlJc w:val="left"/>
      <w:pPr>
        <w:ind w:left="2662" w:hanging="480"/>
      </w:pPr>
    </w:lvl>
    <w:lvl w:ilvl="4">
      <w:start w:val="1"/>
      <w:numFmt w:val="ideographTraditional"/>
      <w:lvlText w:val="%5、"/>
      <w:lvlJc w:val="left"/>
      <w:pPr>
        <w:ind w:left="3142" w:hanging="480"/>
      </w:pPr>
    </w:lvl>
    <w:lvl w:ilvl="5">
      <w:start w:val="1"/>
      <w:numFmt w:val="lowerRoman"/>
      <w:lvlText w:val="%6."/>
      <w:lvlJc w:val="right"/>
      <w:pPr>
        <w:ind w:left="3622" w:hanging="480"/>
      </w:pPr>
    </w:lvl>
    <w:lvl w:ilvl="6">
      <w:start w:val="1"/>
      <w:numFmt w:val="decimal"/>
      <w:lvlText w:val="%7."/>
      <w:lvlJc w:val="left"/>
      <w:pPr>
        <w:ind w:left="4102" w:hanging="480"/>
      </w:pPr>
    </w:lvl>
    <w:lvl w:ilvl="7">
      <w:start w:val="1"/>
      <w:numFmt w:val="ideographTraditional"/>
      <w:lvlText w:val="%8、"/>
      <w:lvlJc w:val="left"/>
      <w:pPr>
        <w:ind w:left="4582" w:hanging="480"/>
      </w:pPr>
    </w:lvl>
    <w:lvl w:ilvl="8">
      <w:start w:val="1"/>
      <w:numFmt w:val="lowerRoman"/>
      <w:lvlText w:val="%9."/>
      <w:lvlJc w:val="right"/>
      <w:pPr>
        <w:ind w:left="5062" w:hanging="480"/>
      </w:pPr>
    </w:lvl>
  </w:abstractNum>
  <w:abstractNum w:abstractNumId="3" w15:restartNumberingAfterBreak="0">
    <w:nsid w:val="340A1432"/>
    <w:multiLevelType w:val="multilevel"/>
    <w:tmpl w:val="D808388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C254C1"/>
    <w:multiLevelType w:val="multilevel"/>
    <w:tmpl w:val="4BD4700A"/>
    <w:lvl w:ilvl="0">
      <w:start w:val="1"/>
      <w:numFmt w:val="decimal"/>
      <w:lvlText w:val="(%1)"/>
      <w:lvlJc w:val="left"/>
      <w:pPr>
        <w:ind w:left="394" w:hanging="360"/>
      </w:pPr>
    </w:lvl>
    <w:lvl w:ilvl="1">
      <w:start w:val="1"/>
      <w:numFmt w:val="ideographTraditional"/>
      <w:lvlText w:val="%2、"/>
      <w:lvlJc w:val="left"/>
      <w:pPr>
        <w:ind w:left="994" w:hanging="480"/>
      </w:pPr>
    </w:lvl>
    <w:lvl w:ilvl="2">
      <w:start w:val="1"/>
      <w:numFmt w:val="lowerRoman"/>
      <w:lvlText w:val="%3."/>
      <w:lvlJc w:val="right"/>
      <w:pPr>
        <w:ind w:left="1474" w:hanging="480"/>
      </w:pPr>
    </w:lvl>
    <w:lvl w:ilvl="3">
      <w:start w:val="1"/>
      <w:numFmt w:val="decimal"/>
      <w:lvlText w:val="%4."/>
      <w:lvlJc w:val="left"/>
      <w:pPr>
        <w:ind w:left="1954" w:hanging="480"/>
      </w:pPr>
    </w:lvl>
    <w:lvl w:ilvl="4">
      <w:start w:val="1"/>
      <w:numFmt w:val="ideographTraditional"/>
      <w:lvlText w:val="%5、"/>
      <w:lvlJc w:val="left"/>
      <w:pPr>
        <w:ind w:left="2434" w:hanging="480"/>
      </w:pPr>
    </w:lvl>
    <w:lvl w:ilvl="5">
      <w:start w:val="1"/>
      <w:numFmt w:val="lowerRoman"/>
      <w:lvlText w:val="%6."/>
      <w:lvlJc w:val="right"/>
      <w:pPr>
        <w:ind w:left="2914" w:hanging="480"/>
      </w:pPr>
    </w:lvl>
    <w:lvl w:ilvl="6">
      <w:start w:val="1"/>
      <w:numFmt w:val="decimal"/>
      <w:lvlText w:val="%7."/>
      <w:lvlJc w:val="left"/>
      <w:pPr>
        <w:ind w:left="3394" w:hanging="480"/>
      </w:pPr>
    </w:lvl>
    <w:lvl w:ilvl="7">
      <w:start w:val="1"/>
      <w:numFmt w:val="ideographTraditional"/>
      <w:lvlText w:val="%8、"/>
      <w:lvlJc w:val="left"/>
      <w:pPr>
        <w:ind w:left="3874" w:hanging="480"/>
      </w:pPr>
    </w:lvl>
    <w:lvl w:ilvl="8">
      <w:start w:val="1"/>
      <w:numFmt w:val="lowerRoman"/>
      <w:lvlText w:val="%9."/>
      <w:lvlJc w:val="right"/>
      <w:pPr>
        <w:ind w:left="4354" w:hanging="480"/>
      </w:pPr>
    </w:lvl>
  </w:abstractNum>
  <w:abstractNum w:abstractNumId="5" w15:restartNumberingAfterBreak="0">
    <w:nsid w:val="4E3514AD"/>
    <w:multiLevelType w:val="multilevel"/>
    <w:tmpl w:val="B82263E2"/>
    <w:lvl w:ilvl="0">
      <w:start w:val="1"/>
      <w:numFmt w:val="taiwaneseCountingThousand"/>
      <w:lvlText w:val="(%1)"/>
      <w:lvlJc w:val="left"/>
      <w:pPr>
        <w:ind w:left="79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CB0EA6"/>
    <w:multiLevelType w:val="multilevel"/>
    <w:tmpl w:val="2424CCB6"/>
    <w:lvl w:ilvl="0">
      <w:start w:val="1"/>
      <w:numFmt w:val="decimal"/>
      <w:lvlText w:val="(%1)"/>
      <w:lvlJc w:val="left"/>
      <w:pPr>
        <w:ind w:left="394" w:hanging="36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94" w:hanging="480"/>
      </w:pPr>
    </w:lvl>
    <w:lvl w:ilvl="2">
      <w:start w:val="1"/>
      <w:numFmt w:val="lowerRoman"/>
      <w:lvlText w:val="%3."/>
      <w:lvlJc w:val="right"/>
      <w:pPr>
        <w:ind w:left="1474" w:hanging="480"/>
      </w:pPr>
    </w:lvl>
    <w:lvl w:ilvl="3">
      <w:start w:val="1"/>
      <w:numFmt w:val="decimal"/>
      <w:lvlText w:val="%4."/>
      <w:lvlJc w:val="left"/>
      <w:pPr>
        <w:ind w:left="1954" w:hanging="480"/>
      </w:pPr>
    </w:lvl>
    <w:lvl w:ilvl="4">
      <w:start w:val="1"/>
      <w:numFmt w:val="ideographTraditional"/>
      <w:lvlText w:val="%5、"/>
      <w:lvlJc w:val="left"/>
      <w:pPr>
        <w:ind w:left="2434" w:hanging="480"/>
      </w:pPr>
    </w:lvl>
    <w:lvl w:ilvl="5">
      <w:start w:val="1"/>
      <w:numFmt w:val="lowerRoman"/>
      <w:lvlText w:val="%6."/>
      <w:lvlJc w:val="right"/>
      <w:pPr>
        <w:ind w:left="2914" w:hanging="480"/>
      </w:pPr>
    </w:lvl>
    <w:lvl w:ilvl="6">
      <w:start w:val="1"/>
      <w:numFmt w:val="decimal"/>
      <w:lvlText w:val="%7."/>
      <w:lvlJc w:val="left"/>
      <w:pPr>
        <w:ind w:left="3394" w:hanging="480"/>
      </w:pPr>
    </w:lvl>
    <w:lvl w:ilvl="7">
      <w:start w:val="1"/>
      <w:numFmt w:val="ideographTraditional"/>
      <w:lvlText w:val="%8、"/>
      <w:lvlJc w:val="left"/>
      <w:pPr>
        <w:ind w:left="3874" w:hanging="480"/>
      </w:pPr>
    </w:lvl>
    <w:lvl w:ilvl="8">
      <w:start w:val="1"/>
      <w:numFmt w:val="lowerRoman"/>
      <w:lvlText w:val="%9."/>
      <w:lvlJc w:val="right"/>
      <w:pPr>
        <w:ind w:left="4354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96"/>
    <w:rsid w:val="006B1596"/>
    <w:rsid w:val="00F2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9E524-F826-4286-8584-06B53E33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5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李欣蓉</dc:creator>
  <cp:keywords/>
  <dc:description/>
  <cp:lastModifiedBy>陳玄然</cp:lastModifiedBy>
  <cp:revision>2</cp:revision>
  <dcterms:created xsi:type="dcterms:W3CDTF">2026-02-23T09:00:00Z</dcterms:created>
  <dcterms:modified xsi:type="dcterms:W3CDTF">2026-02-25T00:46:00Z</dcterms:modified>
</cp:coreProperties>
</file>