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FFB6B" w14:textId="77777777" w:rsidR="00311224" w:rsidRDefault="006C08F6">
      <w:pPr>
        <w:spacing w:line="240" w:lineRule="exact"/>
        <w:ind w:left="-397" w:hanging="680"/>
        <w:jc w:val="right"/>
        <w:rPr>
          <w:rFonts w:ascii="Times New Roman" w:eastAsia="標楷體" w:hAnsi="Times New Roman"/>
          <w:color w:val="000000"/>
        </w:rPr>
      </w:pPr>
      <w:r>
        <w:rPr>
          <w:rFonts w:ascii="Times New Roman" w:eastAsia="標楷體" w:hAnsi="Times New Roman"/>
          <w:color w:val="000000"/>
        </w:rPr>
        <w:t>第一版</w:t>
      </w:r>
      <w:r>
        <w:rPr>
          <w:rFonts w:ascii="Times New Roman" w:eastAsia="標楷體" w:hAnsi="Times New Roman"/>
          <w:color w:val="000000"/>
        </w:rPr>
        <w:t>1150</w:t>
      </w:r>
      <w:r w:rsidR="00431C76">
        <w:rPr>
          <w:rFonts w:ascii="Times New Roman" w:eastAsia="標楷體" w:hAnsi="Times New Roman" w:hint="eastAsia"/>
          <w:color w:val="000000"/>
        </w:rPr>
        <w:t>327</w:t>
      </w:r>
    </w:p>
    <w:p w14:paraId="3A1D07BF" w14:textId="77777777" w:rsidR="00311224" w:rsidRDefault="00311224">
      <w:pPr>
        <w:spacing w:line="240" w:lineRule="exact"/>
        <w:ind w:left="-397" w:hanging="680"/>
        <w:jc w:val="right"/>
        <w:rPr>
          <w:rFonts w:ascii="標楷體" w:eastAsia="標楷體" w:hAnsi="標楷體"/>
          <w:color w:val="000000"/>
        </w:rPr>
      </w:pPr>
    </w:p>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4111"/>
        <w:gridCol w:w="5954"/>
      </w:tblGrid>
      <w:tr w:rsidR="00311224" w14:paraId="18F11931" w14:textId="77777777" w:rsidTr="005D1545">
        <w:trPr>
          <w:trHeight w:val="402"/>
          <w:tblHeader/>
        </w:trPr>
        <w:tc>
          <w:tcPr>
            <w:tcW w:w="4111" w:type="dxa"/>
            <w:shd w:val="clear" w:color="auto" w:fill="F2F2F2"/>
            <w:tcMar>
              <w:top w:w="72" w:type="dxa"/>
              <w:left w:w="144" w:type="dxa"/>
              <w:bottom w:w="72" w:type="dxa"/>
              <w:right w:w="144" w:type="dxa"/>
            </w:tcMar>
            <w:vAlign w:val="center"/>
          </w:tcPr>
          <w:p w14:paraId="06BEF5FE" w14:textId="77777777" w:rsidR="00311224" w:rsidRDefault="006C08F6">
            <w:pPr>
              <w:spacing w:line="400" w:lineRule="exact"/>
              <w:jc w:val="center"/>
            </w:pPr>
            <w:r>
              <w:rPr>
                <w:rFonts w:ascii="Times New Roman" w:eastAsia="標楷體" w:hAnsi="Times New Roman"/>
                <w:b/>
                <w:bCs/>
                <w:color w:val="000000"/>
                <w:sz w:val="28"/>
                <w:szCs w:val="28"/>
              </w:rPr>
              <w:t>問題</w:t>
            </w:r>
            <w:r>
              <w:rPr>
                <w:rFonts w:ascii="Times New Roman" w:eastAsia="標楷體" w:hAnsi="Times New Roman"/>
                <w:b/>
                <w:bCs/>
                <w:color w:val="000000"/>
                <w:sz w:val="28"/>
                <w:szCs w:val="28"/>
              </w:rPr>
              <w:t>(Q)</w:t>
            </w:r>
          </w:p>
        </w:tc>
        <w:tc>
          <w:tcPr>
            <w:tcW w:w="5954" w:type="dxa"/>
            <w:shd w:val="clear" w:color="auto" w:fill="F2F2F2"/>
            <w:tcMar>
              <w:top w:w="72" w:type="dxa"/>
              <w:left w:w="144" w:type="dxa"/>
              <w:bottom w:w="72" w:type="dxa"/>
              <w:right w:w="144" w:type="dxa"/>
            </w:tcMar>
            <w:vAlign w:val="center"/>
          </w:tcPr>
          <w:p w14:paraId="66EFCF50" w14:textId="77777777" w:rsidR="00311224" w:rsidRDefault="006C08F6">
            <w:pPr>
              <w:spacing w:line="400" w:lineRule="exact"/>
              <w:jc w:val="center"/>
            </w:pPr>
            <w:r>
              <w:rPr>
                <w:rFonts w:ascii="Times New Roman" w:eastAsia="標楷體" w:hAnsi="Times New Roman"/>
                <w:b/>
                <w:bCs/>
                <w:color w:val="000000"/>
                <w:sz w:val="28"/>
                <w:szCs w:val="28"/>
              </w:rPr>
              <w:t>說明</w:t>
            </w:r>
            <w:r>
              <w:rPr>
                <w:rFonts w:ascii="Times New Roman" w:eastAsia="標楷體" w:hAnsi="Times New Roman"/>
                <w:b/>
                <w:bCs/>
                <w:color w:val="000000"/>
                <w:sz w:val="28"/>
                <w:szCs w:val="28"/>
              </w:rPr>
              <w:t>(A)</w:t>
            </w:r>
          </w:p>
        </w:tc>
      </w:tr>
      <w:tr w:rsidR="00311224" w14:paraId="25DA3FF1" w14:textId="77777777" w:rsidTr="005D1545">
        <w:trPr>
          <w:trHeight w:val="593"/>
        </w:trPr>
        <w:tc>
          <w:tcPr>
            <w:tcW w:w="10065" w:type="dxa"/>
            <w:gridSpan w:val="2"/>
            <w:shd w:val="clear" w:color="auto" w:fill="FFF2CC"/>
            <w:tcMar>
              <w:top w:w="15" w:type="dxa"/>
              <w:left w:w="28" w:type="dxa"/>
              <w:bottom w:w="0" w:type="dxa"/>
              <w:right w:w="28" w:type="dxa"/>
            </w:tcMar>
            <w:vAlign w:val="center"/>
          </w:tcPr>
          <w:p w14:paraId="74601A34" w14:textId="77777777" w:rsidR="00311224" w:rsidRDefault="006C08F6">
            <w:pPr>
              <w:pStyle w:val="a7"/>
              <w:numPr>
                <w:ilvl w:val="0"/>
                <w:numId w:val="2"/>
              </w:numPr>
              <w:suppressAutoHyphens w:val="0"/>
              <w:autoSpaceDE w:val="0"/>
              <w:ind w:left="244" w:hanging="244"/>
              <w:textAlignment w:val="auto"/>
              <w:rPr>
                <w:rFonts w:ascii="Times New Roman" w:eastAsia="標楷體" w:hAnsi="Times New Roman"/>
                <w:b/>
                <w:color w:val="000000"/>
                <w:kern w:val="0"/>
                <w:sz w:val="28"/>
                <w:szCs w:val="28"/>
              </w:rPr>
            </w:pPr>
            <w:r>
              <w:rPr>
                <w:rFonts w:ascii="Times New Roman" w:eastAsia="標楷體" w:hAnsi="Times New Roman"/>
                <w:b/>
                <w:color w:val="000000"/>
                <w:kern w:val="0"/>
                <w:sz w:val="28"/>
                <w:szCs w:val="28"/>
              </w:rPr>
              <w:t>方案申請</w:t>
            </w:r>
          </w:p>
        </w:tc>
      </w:tr>
      <w:tr w:rsidR="00311224" w14:paraId="44411F84" w14:textId="77777777" w:rsidTr="005D1545">
        <w:trPr>
          <w:trHeight w:val="2200"/>
        </w:trPr>
        <w:tc>
          <w:tcPr>
            <w:tcW w:w="4111" w:type="dxa"/>
            <w:shd w:val="clear" w:color="auto" w:fill="auto"/>
            <w:tcMar>
              <w:top w:w="15" w:type="dxa"/>
              <w:left w:w="28" w:type="dxa"/>
              <w:bottom w:w="0" w:type="dxa"/>
              <w:right w:w="28" w:type="dxa"/>
            </w:tcMar>
          </w:tcPr>
          <w:p w14:paraId="40D3CE8D" w14:textId="77777777" w:rsidR="00311224" w:rsidRDefault="006C08F6" w:rsidP="007C2DD2">
            <w:pPr>
              <w:pStyle w:val="a7"/>
              <w:numPr>
                <w:ilvl w:val="0"/>
                <w:numId w:val="3"/>
              </w:numPr>
              <w:tabs>
                <w:tab w:val="left" w:pos="537"/>
              </w:tabs>
              <w:spacing w:line="400" w:lineRule="exact"/>
              <w:ind w:left="395" w:hanging="395"/>
              <w:jc w:val="both"/>
            </w:pPr>
            <w:r>
              <w:rPr>
                <w:rFonts w:ascii="Times New Roman" w:eastAsia="標楷體" w:hAnsi="Times New Roman"/>
                <w:color w:val="000000"/>
                <w:kern w:val="0"/>
                <w:sz w:val="28"/>
                <w:szCs w:val="28"/>
              </w:rPr>
              <w:t>本</w:t>
            </w:r>
            <w:r w:rsidR="00471686">
              <w:rPr>
                <w:rFonts w:ascii="Times New Roman" w:eastAsia="標楷體" w:hAnsi="Times New Roman" w:hint="eastAsia"/>
                <w:color w:val="000000"/>
                <w:kern w:val="0"/>
                <w:sz w:val="28"/>
                <w:szCs w:val="28"/>
              </w:rPr>
              <w:t>方案</w:t>
            </w:r>
            <w:r w:rsidR="00F6192A">
              <w:rPr>
                <w:rFonts w:ascii="Times New Roman" w:eastAsia="標楷體" w:hAnsi="Times New Roman" w:hint="eastAsia"/>
                <w:color w:val="000000"/>
                <w:kern w:val="0"/>
                <w:sz w:val="28"/>
                <w:szCs w:val="28"/>
              </w:rPr>
              <w:t>之申請方式</w:t>
            </w:r>
            <w:r w:rsidR="007C2DD2">
              <w:rPr>
                <w:rFonts w:ascii="Times New Roman" w:eastAsia="標楷體" w:hAnsi="Times New Roman" w:hint="eastAsia"/>
                <w:color w:val="000000"/>
                <w:kern w:val="0"/>
                <w:sz w:val="28"/>
                <w:szCs w:val="28"/>
              </w:rPr>
              <w:t>(</w:t>
            </w:r>
            <w:r>
              <w:rPr>
                <w:rFonts w:ascii="Times New Roman" w:eastAsia="標楷體" w:hAnsi="Times New Roman"/>
                <w:color w:val="000000"/>
                <w:kern w:val="0"/>
                <w:sz w:val="28"/>
                <w:szCs w:val="28"/>
              </w:rPr>
              <w:t>VPN</w:t>
            </w:r>
            <w:proofErr w:type="gramStart"/>
            <w:r>
              <w:rPr>
                <w:rFonts w:ascii="Times New Roman" w:eastAsia="標楷體" w:hAnsi="Times New Roman"/>
                <w:color w:val="000000"/>
                <w:kern w:val="0"/>
                <w:sz w:val="28"/>
                <w:szCs w:val="28"/>
              </w:rPr>
              <w:t>線上申請</w:t>
            </w:r>
            <w:proofErr w:type="gramEnd"/>
            <w:r w:rsidR="007C2DD2">
              <w:rPr>
                <w:rFonts w:ascii="Times New Roman" w:eastAsia="標楷體" w:hAnsi="Times New Roman" w:hint="eastAsia"/>
                <w:color w:val="000000"/>
                <w:kern w:val="0"/>
                <w:sz w:val="28"/>
                <w:szCs w:val="28"/>
              </w:rPr>
              <w:t>或</w:t>
            </w:r>
            <w:r>
              <w:rPr>
                <w:rFonts w:ascii="Times New Roman" w:eastAsia="標楷體" w:hAnsi="Times New Roman"/>
                <w:color w:val="000000"/>
                <w:kern w:val="0"/>
                <w:sz w:val="28"/>
                <w:szCs w:val="28"/>
              </w:rPr>
              <w:t>書面公文</w:t>
            </w:r>
            <w:r w:rsidR="007C2DD2">
              <w:rPr>
                <w:rFonts w:ascii="Times New Roman" w:eastAsia="標楷體" w:hAnsi="Times New Roman" w:hint="eastAsia"/>
                <w:color w:val="000000"/>
                <w:kern w:val="0"/>
                <w:sz w:val="28"/>
                <w:szCs w:val="28"/>
              </w:rPr>
              <w:t>)</w:t>
            </w:r>
            <w:r>
              <w:rPr>
                <w:rFonts w:ascii="Times New Roman" w:eastAsia="標楷體" w:hAnsi="Times New Roman"/>
                <w:color w:val="000000"/>
                <w:kern w:val="0"/>
                <w:sz w:val="28"/>
                <w:szCs w:val="28"/>
              </w:rPr>
              <w:t>?</w:t>
            </w:r>
            <w:r>
              <w:rPr>
                <w:rFonts w:ascii="Times New Roman" w:eastAsia="標楷體" w:hAnsi="Times New Roman"/>
                <w:color w:val="000000"/>
                <w:kern w:val="0"/>
                <w:sz w:val="28"/>
                <w:szCs w:val="28"/>
              </w:rPr>
              <w:t>本</w:t>
            </w:r>
            <w:r w:rsidR="007C2DD2">
              <w:rPr>
                <w:rFonts w:ascii="Times New Roman" w:eastAsia="標楷體" w:hAnsi="Times New Roman" w:hint="eastAsia"/>
                <w:color w:val="000000"/>
                <w:kern w:val="0"/>
                <w:sz w:val="28"/>
                <w:szCs w:val="28"/>
              </w:rPr>
              <w:t>方案</w:t>
            </w:r>
            <w:r w:rsidRPr="007C2DD2">
              <w:rPr>
                <w:rFonts w:ascii="Times New Roman" w:eastAsia="標楷體" w:hAnsi="Times New Roman"/>
                <w:color w:val="000000"/>
                <w:kern w:val="0"/>
                <w:sz w:val="28"/>
                <w:szCs w:val="28"/>
              </w:rPr>
              <w:t>試辦計畫代碼</w:t>
            </w:r>
            <w:r w:rsidR="00517B8A" w:rsidRPr="007C2DD2">
              <w:rPr>
                <w:rFonts w:ascii="Times New Roman" w:eastAsia="標楷體" w:hAnsi="Times New Roman"/>
                <w:color w:val="000000"/>
                <w:kern w:val="0"/>
                <w:sz w:val="28"/>
                <w:szCs w:val="28"/>
              </w:rPr>
              <w:t>、參與人員資格代碼</w:t>
            </w:r>
            <w:r w:rsidRPr="007C2DD2">
              <w:rPr>
                <w:rFonts w:ascii="Times New Roman" w:eastAsia="標楷體" w:hAnsi="Times New Roman"/>
                <w:color w:val="000000"/>
                <w:kern w:val="0"/>
                <w:sz w:val="28"/>
                <w:szCs w:val="28"/>
              </w:rPr>
              <w:t>為何</w:t>
            </w:r>
            <w:r w:rsidR="00517B8A" w:rsidRPr="007C2DD2">
              <w:rPr>
                <w:rFonts w:ascii="Times New Roman" w:eastAsia="標楷體" w:hAnsi="Times New Roman"/>
                <w:color w:val="000000"/>
                <w:kern w:val="0"/>
                <w:sz w:val="28"/>
                <w:szCs w:val="28"/>
              </w:rPr>
              <w:t>?</w:t>
            </w:r>
          </w:p>
        </w:tc>
        <w:tc>
          <w:tcPr>
            <w:tcW w:w="5954" w:type="dxa"/>
            <w:shd w:val="clear" w:color="auto" w:fill="auto"/>
            <w:tcMar>
              <w:top w:w="15" w:type="dxa"/>
              <w:left w:w="28" w:type="dxa"/>
              <w:bottom w:w="0" w:type="dxa"/>
              <w:right w:w="28" w:type="dxa"/>
            </w:tcMar>
          </w:tcPr>
          <w:p w14:paraId="18A7D470" w14:textId="77777777" w:rsidR="00311224" w:rsidRPr="005E3514" w:rsidRDefault="006C08F6" w:rsidP="005E3514">
            <w:pPr>
              <w:pStyle w:val="a7"/>
              <w:numPr>
                <w:ilvl w:val="0"/>
                <w:numId w:val="17"/>
              </w:numPr>
              <w:suppressAutoHyphens w:val="0"/>
              <w:autoSpaceDE w:val="0"/>
              <w:ind w:left="406" w:hanging="284"/>
              <w:jc w:val="both"/>
              <w:textAlignment w:val="auto"/>
            </w:pPr>
            <w:r w:rsidRPr="005E3514">
              <w:rPr>
                <w:rFonts w:ascii="Times New Roman" w:eastAsia="標楷體" w:hAnsi="Times New Roman"/>
                <w:color w:val="000000"/>
                <w:kern w:val="0"/>
                <w:sz w:val="28"/>
                <w:szCs w:val="28"/>
              </w:rPr>
              <w:t>本</w:t>
            </w:r>
            <w:r w:rsidR="006934F8" w:rsidRPr="005E3514">
              <w:rPr>
                <w:rFonts w:ascii="Times New Roman" w:eastAsia="標楷體" w:hAnsi="Times New Roman" w:hint="eastAsia"/>
                <w:color w:val="000000"/>
                <w:kern w:val="0"/>
                <w:sz w:val="28"/>
                <w:szCs w:val="28"/>
              </w:rPr>
              <w:t>方案</w:t>
            </w:r>
            <w:r w:rsidRPr="005E3514">
              <w:rPr>
                <w:rFonts w:ascii="Times New Roman" w:eastAsia="標楷體" w:hAnsi="Times New Roman"/>
                <w:color w:val="000000"/>
                <w:kern w:val="0"/>
                <w:sz w:val="28"/>
                <w:szCs w:val="28"/>
              </w:rPr>
              <w:t>由同時具備各項資格之本保險特約醫院，填具「全民健康保險高血脂醫療給付改善方案」申請書並檢附相關佐證文件，以函</w:t>
            </w:r>
            <w:proofErr w:type="gramStart"/>
            <w:r w:rsidRPr="005E3514">
              <w:rPr>
                <w:rFonts w:ascii="Times New Roman" w:eastAsia="標楷體" w:hAnsi="Times New Roman"/>
                <w:color w:val="000000"/>
                <w:kern w:val="0"/>
                <w:sz w:val="28"/>
                <w:szCs w:val="28"/>
              </w:rPr>
              <w:t>送本署分區</w:t>
            </w:r>
            <w:proofErr w:type="gramEnd"/>
            <w:r w:rsidRPr="005E3514">
              <w:rPr>
                <w:rFonts w:ascii="Times New Roman" w:eastAsia="標楷體" w:hAnsi="Times New Roman"/>
                <w:color w:val="000000"/>
                <w:kern w:val="0"/>
                <w:sz w:val="28"/>
                <w:szCs w:val="28"/>
              </w:rPr>
              <w:t>業務組或電子化方式，提出申請。</w:t>
            </w:r>
          </w:p>
          <w:p w14:paraId="798D7EA9" w14:textId="77777777" w:rsidR="00897EF8" w:rsidRDefault="005E3514" w:rsidP="001C044C">
            <w:pPr>
              <w:pStyle w:val="a7"/>
              <w:numPr>
                <w:ilvl w:val="0"/>
                <w:numId w:val="17"/>
              </w:numPr>
              <w:suppressAutoHyphens w:val="0"/>
              <w:autoSpaceDE w:val="0"/>
              <w:ind w:left="406" w:hanging="284"/>
              <w:jc w:val="both"/>
              <w:textAlignment w:val="auto"/>
            </w:pPr>
            <w:r w:rsidRPr="005E3514">
              <w:rPr>
                <w:rFonts w:ascii="Times New Roman" w:eastAsia="標楷體" w:hAnsi="Times New Roman"/>
                <w:color w:val="000000"/>
                <w:kern w:val="0"/>
                <w:sz w:val="28"/>
                <w:szCs w:val="28"/>
              </w:rPr>
              <w:t>特約</w:t>
            </w:r>
            <w:proofErr w:type="gramStart"/>
            <w:r w:rsidRPr="005E3514">
              <w:rPr>
                <w:rFonts w:ascii="Times New Roman" w:eastAsia="標楷體" w:hAnsi="Times New Roman"/>
                <w:color w:val="000000"/>
                <w:kern w:val="0"/>
                <w:sz w:val="28"/>
                <w:szCs w:val="28"/>
              </w:rPr>
              <w:t>醫</w:t>
            </w:r>
            <w:proofErr w:type="gramEnd"/>
            <w:r w:rsidRPr="005E3514">
              <w:rPr>
                <w:rFonts w:ascii="Times New Roman" w:eastAsia="標楷體" w:hAnsi="Times New Roman"/>
                <w:color w:val="000000"/>
                <w:kern w:val="0"/>
                <w:sz w:val="28"/>
                <w:szCs w:val="28"/>
              </w:rPr>
              <w:t>事服務機構</w:t>
            </w:r>
            <w:r w:rsidR="00B0061F" w:rsidRPr="005E3514">
              <w:rPr>
                <w:rFonts w:ascii="Times New Roman" w:eastAsia="標楷體" w:hAnsi="Times New Roman"/>
                <w:color w:val="000000"/>
                <w:kern w:val="0"/>
                <w:sz w:val="28"/>
                <w:szCs w:val="28"/>
              </w:rPr>
              <w:t>得由</w:t>
            </w:r>
            <w:r w:rsidR="006C08F6" w:rsidRPr="005E3514">
              <w:rPr>
                <w:rFonts w:ascii="Times New Roman" w:eastAsia="標楷體" w:hAnsi="Times New Roman"/>
                <w:color w:val="000000"/>
                <w:kern w:val="0"/>
                <w:sz w:val="28"/>
                <w:szCs w:val="28"/>
              </w:rPr>
              <w:t>電子化方式申請</w:t>
            </w:r>
            <w:r w:rsidR="00B0061F">
              <w:rPr>
                <w:rFonts w:ascii="Times New Roman" w:eastAsia="標楷體" w:hAnsi="Times New Roman" w:hint="eastAsia"/>
                <w:color w:val="000000"/>
                <w:kern w:val="0"/>
                <w:sz w:val="28"/>
                <w:szCs w:val="28"/>
              </w:rPr>
              <w:t>：</w:t>
            </w:r>
            <w:r w:rsidR="006C08F6" w:rsidRPr="005E3514">
              <w:rPr>
                <w:rFonts w:ascii="Times New Roman" w:eastAsia="標楷體" w:hAnsi="Times New Roman"/>
                <w:color w:val="000000"/>
                <w:kern w:val="0"/>
                <w:sz w:val="28"/>
                <w:szCs w:val="28"/>
              </w:rPr>
              <w:t>透</w:t>
            </w:r>
            <w:bookmarkStart w:id="0" w:name="_GoBack"/>
            <w:bookmarkEnd w:id="0"/>
            <w:r w:rsidR="006C08F6" w:rsidRPr="005E3514">
              <w:rPr>
                <w:rFonts w:ascii="Times New Roman" w:eastAsia="標楷體" w:hAnsi="Times New Roman"/>
                <w:color w:val="000000"/>
                <w:kern w:val="0"/>
                <w:sz w:val="28"/>
                <w:szCs w:val="28"/>
              </w:rPr>
              <w:t>過健保資訊網服務系統</w:t>
            </w:r>
            <w:r w:rsidR="006C08F6" w:rsidRPr="005E3514">
              <w:rPr>
                <w:rFonts w:ascii="Times New Roman" w:eastAsia="標楷體" w:hAnsi="Times New Roman"/>
                <w:color w:val="000000"/>
                <w:kern w:val="0"/>
                <w:sz w:val="28"/>
                <w:szCs w:val="28"/>
              </w:rPr>
              <w:t>(VPN)</w:t>
            </w:r>
            <w:r w:rsidR="006C08F6" w:rsidRPr="005E3514">
              <w:rPr>
                <w:rFonts w:ascii="Times New Roman" w:eastAsia="標楷體" w:hAnsi="Times New Roman"/>
                <w:color w:val="000000"/>
                <w:kern w:val="0"/>
                <w:sz w:val="28"/>
                <w:szCs w:val="28"/>
              </w:rPr>
              <w:t>之「</w:t>
            </w:r>
            <w:proofErr w:type="gramStart"/>
            <w:r w:rsidR="006C08F6" w:rsidRPr="005E3514">
              <w:rPr>
                <w:rFonts w:ascii="Times New Roman" w:eastAsia="標楷體" w:hAnsi="Times New Roman"/>
                <w:color w:val="000000"/>
                <w:kern w:val="0"/>
                <w:sz w:val="28"/>
                <w:szCs w:val="28"/>
              </w:rPr>
              <w:t>醫</w:t>
            </w:r>
            <w:proofErr w:type="gramEnd"/>
            <w:r w:rsidR="006C08F6" w:rsidRPr="005E3514">
              <w:rPr>
                <w:rFonts w:ascii="Times New Roman" w:eastAsia="標楷體" w:hAnsi="Times New Roman"/>
                <w:color w:val="000000"/>
                <w:kern w:val="0"/>
                <w:sz w:val="28"/>
                <w:szCs w:val="28"/>
              </w:rPr>
              <w:t>事機構試辦</w:t>
            </w:r>
            <w:proofErr w:type="gramStart"/>
            <w:r w:rsidR="006C08F6" w:rsidRPr="005E3514">
              <w:rPr>
                <w:rFonts w:ascii="Times New Roman" w:eastAsia="標楷體" w:hAnsi="Times New Roman"/>
                <w:color w:val="000000"/>
                <w:kern w:val="0"/>
                <w:sz w:val="28"/>
                <w:szCs w:val="28"/>
              </w:rPr>
              <w:t>計畫線上申請</w:t>
            </w:r>
            <w:proofErr w:type="gramEnd"/>
            <w:r w:rsidR="006C08F6" w:rsidRPr="005E3514">
              <w:rPr>
                <w:rFonts w:ascii="Times New Roman" w:eastAsia="標楷體" w:hAnsi="Times New Roman"/>
                <w:color w:val="000000"/>
                <w:kern w:val="0"/>
                <w:sz w:val="28"/>
                <w:szCs w:val="28"/>
              </w:rPr>
              <w:t>作業」，以試辦計畫代碼：「</w:t>
            </w:r>
            <w:r w:rsidR="006C08F6" w:rsidRPr="005E3514">
              <w:rPr>
                <w:rFonts w:ascii="Times New Roman" w:eastAsia="標楷體" w:hAnsi="Times New Roman"/>
                <w:color w:val="000000"/>
                <w:kern w:val="0"/>
                <w:sz w:val="28"/>
                <w:szCs w:val="28"/>
              </w:rPr>
              <w:t>25</w:t>
            </w:r>
            <w:r w:rsidR="006C08F6" w:rsidRPr="005E3514">
              <w:rPr>
                <w:rFonts w:ascii="Times New Roman" w:eastAsia="標楷體" w:hAnsi="Times New Roman"/>
                <w:color w:val="000000"/>
                <w:kern w:val="0"/>
                <w:sz w:val="28"/>
                <w:szCs w:val="28"/>
              </w:rPr>
              <w:t>：高血脂醫療給付改善方案」</w:t>
            </w:r>
            <w:r w:rsidR="001C044C">
              <w:rPr>
                <w:rFonts w:ascii="Times New Roman" w:eastAsia="標楷體" w:hAnsi="Times New Roman" w:hint="eastAsia"/>
                <w:color w:val="000000"/>
                <w:kern w:val="0"/>
                <w:sz w:val="28"/>
                <w:szCs w:val="28"/>
              </w:rPr>
              <w:t>；人員資格代碼「</w:t>
            </w:r>
            <w:r w:rsidR="001C044C">
              <w:rPr>
                <w:rFonts w:ascii="Times New Roman" w:eastAsia="標楷體" w:hAnsi="Times New Roman" w:hint="eastAsia"/>
                <w:color w:val="000000"/>
                <w:kern w:val="0"/>
                <w:sz w:val="28"/>
                <w:szCs w:val="28"/>
              </w:rPr>
              <w:t>F</w:t>
            </w:r>
            <w:r w:rsidR="001C044C">
              <w:rPr>
                <w:rFonts w:ascii="Times New Roman" w:eastAsia="標楷體" w:hAnsi="Times New Roman"/>
                <w:color w:val="000000"/>
                <w:kern w:val="0"/>
                <w:sz w:val="28"/>
                <w:szCs w:val="28"/>
              </w:rPr>
              <w:t>Q-</w:t>
            </w:r>
            <w:r w:rsidR="001C044C">
              <w:rPr>
                <w:rFonts w:ascii="Times New Roman" w:eastAsia="標楷體" w:hAnsi="Times New Roman" w:hint="eastAsia"/>
                <w:color w:val="000000"/>
                <w:kern w:val="0"/>
                <w:sz w:val="28"/>
                <w:szCs w:val="28"/>
              </w:rPr>
              <w:t>高血脂方案</w:t>
            </w:r>
            <w:r w:rsidR="001C044C">
              <w:rPr>
                <w:rFonts w:ascii="Times New Roman" w:eastAsia="標楷體" w:hAnsi="Times New Roman" w:hint="eastAsia"/>
                <w:color w:val="000000"/>
                <w:kern w:val="0"/>
                <w:sz w:val="28"/>
                <w:szCs w:val="28"/>
              </w:rPr>
              <w:t>-</w:t>
            </w:r>
            <w:r w:rsidR="001C044C">
              <w:rPr>
                <w:rFonts w:ascii="Times New Roman" w:eastAsia="標楷體" w:hAnsi="Times New Roman" w:hint="eastAsia"/>
                <w:color w:val="000000"/>
                <w:kern w:val="0"/>
                <w:sz w:val="28"/>
                <w:szCs w:val="28"/>
              </w:rPr>
              <w:t>訓練課程</w:t>
            </w:r>
            <w:r w:rsidR="001C044C">
              <w:rPr>
                <w:rFonts w:ascii="Times New Roman" w:eastAsia="標楷體" w:hAnsi="Times New Roman" w:hint="eastAsia"/>
                <w:color w:val="000000"/>
                <w:kern w:val="0"/>
                <w:sz w:val="28"/>
                <w:szCs w:val="28"/>
              </w:rPr>
              <w:t>4</w:t>
            </w:r>
            <w:r w:rsidR="001C044C">
              <w:rPr>
                <w:rFonts w:ascii="Times New Roman" w:eastAsia="標楷體" w:hAnsi="Times New Roman" w:hint="eastAsia"/>
                <w:color w:val="000000"/>
                <w:kern w:val="0"/>
                <w:sz w:val="28"/>
                <w:szCs w:val="28"/>
              </w:rPr>
              <w:t>學分」、「</w:t>
            </w:r>
            <w:r w:rsidR="001C044C">
              <w:rPr>
                <w:rFonts w:ascii="Times New Roman" w:eastAsia="標楷體" w:hAnsi="Times New Roman" w:hint="eastAsia"/>
                <w:color w:val="000000"/>
                <w:kern w:val="0"/>
                <w:sz w:val="28"/>
                <w:szCs w:val="28"/>
              </w:rPr>
              <w:t>F</w:t>
            </w:r>
            <w:r w:rsidR="001C044C">
              <w:rPr>
                <w:rFonts w:ascii="Times New Roman" w:eastAsia="標楷體" w:hAnsi="Times New Roman"/>
                <w:color w:val="000000"/>
                <w:kern w:val="0"/>
                <w:sz w:val="28"/>
                <w:szCs w:val="28"/>
              </w:rPr>
              <w:t>R-</w:t>
            </w:r>
            <w:r w:rsidR="001C044C">
              <w:rPr>
                <w:rFonts w:ascii="Times New Roman" w:eastAsia="標楷體" w:hAnsi="Times New Roman" w:hint="eastAsia"/>
                <w:color w:val="000000"/>
                <w:kern w:val="0"/>
                <w:sz w:val="28"/>
                <w:szCs w:val="28"/>
              </w:rPr>
              <w:t>高血脂方案</w:t>
            </w:r>
            <w:r w:rsidR="001C044C">
              <w:rPr>
                <w:rFonts w:ascii="Times New Roman" w:eastAsia="標楷體" w:hAnsi="Times New Roman" w:hint="eastAsia"/>
                <w:color w:val="000000"/>
                <w:kern w:val="0"/>
                <w:sz w:val="28"/>
                <w:szCs w:val="28"/>
              </w:rPr>
              <w:t>-</w:t>
            </w:r>
            <w:proofErr w:type="gramStart"/>
            <w:r w:rsidR="001C044C">
              <w:rPr>
                <w:rFonts w:ascii="Times New Roman" w:eastAsia="標楷體" w:hAnsi="Times New Roman" w:hint="eastAsia"/>
                <w:color w:val="000000"/>
                <w:kern w:val="0"/>
                <w:sz w:val="28"/>
                <w:szCs w:val="28"/>
              </w:rPr>
              <w:t>糖尿病共照</w:t>
            </w:r>
            <w:r w:rsidR="00C82DEC">
              <w:rPr>
                <w:rFonts w:ascii="Times New Roman" w:eastAsia="標楷體" w:hAnsi="Times New Roman" w:hint="eastAsia"/>
                <w:color w:val="000000"/>
                <w:kern w:val="0"/>
                <w:sz w:val="28"/>
                <w:szCs w:val="28"/>
              </w:rPr>
              <w:t>網</w:t>
            </w:r>
            <w:proofErr w:type="gramEnd"/>
            <w:r w:rsidR="001C044C">
              <w:rPr>
                <w:rFonts w:ascii="Times New Roman" w:eastAsia="標楷體" w:hAnsi="Times New Roman" w:hint="eastAsia"/>
                <w:color w:val="000000"/>
                <w:kern w:val="0"/>
                <w:sz w:val="28"/>
                <w:szCs w:val="28"/>
              </w:rPr>
              <w:t>學分」</w:t>
            </w:r>
            <w:r w:rsidR="006C08F6" w:rsidRPr="005E3514">
              <w:rPr>
                <w:rFonts w:ascii="Times New Roman" w:eastAsia="標楷體" w:hAnsi="Times New Roman"/>
                <w:color w:val="000000"/>
                <w:kern w:val="0"/>
                <w:sz w:val="28"/>
                <w:szCs w:val="28"/>
              </w:rPr>
              <w:t>提出申請，計畫申請書及佐證文件請一併上傳至</w:t>
            </w:r>
            <w:r w:rsidR="006C08F6" w:rsidRPr="005E3514">
              <w:rPr>
                <w:rFonts w:ascii="Times New Roman" w:eastAsia="標楷體" w:hAnsi="Times New Roman"/>
                <w:color w:val="000000"/>
                <w:kern w:val="0"/>
                <w:sz w:val="28"/>
                <w:szCs w:val="28"/>
              </w:rPr>
              <w:t>VPN</w:t>
            </w:r>
            <w:r w:rsidR="006C08F6" w:rsidRPr="005E3514">
              <w:rPr>
                <w:rFonts w:ascii="Times New Roman" w:eastAsia="標楷體" w:hAnsi="Times New Roman"/>
                <w:color w:val="000000"/>
                <w:kern w:val="0"/>
                <w:sz w:val="28"/>
                <w:szCs w:val="28"/>
              </w:rPr>
              <w:t>系統。</w:t>
            </w:r>
          </w:p>
        </w:tc>
      </w:tr>
      <w:tr w:rsidR="00311224" w14:paraId="2DA6D764" w14:textId="77777777" w:rsidTr="005D1545">
        <w:trPr>
          <w:trHeight w:val="1232"/>
        </w:trPr>
        <w:tc>
          <w:tcPr>
            <w:tcW w:w="4111" w:type="dxa"/>
            <w:shd w:val="clear" w:color="auto" w:fill="auto"/>
            <w:tcMar>
              <w:top w:w="15" w:type="dxa"/>
              <w:left w:w="28" w:type="dxa"/>
              <w:bottom w:w="0" w:type="dxa"/>
              <w:right w:w="28" w:type="dxa"/>
            </w:tcMar>
          </w:tcPr>
          <w:p w14:paraId="1162EA31" w14:textId="77777777" w:rsidR="00311224" w:rsidRDefault="006C08F6">
            <w:pPr>
              <w:pStyle w:val="a7"/>
              <w:numPr>
                <w:ilvl w:val="0"/>
                <w:numId w:val="3"/>
              </w:numPr>
              <w:tabs>
                <w:tab w:val="left" w:pos="537"/>
              </w:tabs>
              <w:spacing w:line="400" w:lineRule="exact"/>
              <w:ind w:left="395" w:hanging="395"/>
              <w:jc w:val="both"/>
            </w:pPr>
            <w:r>
              <w:rPr>
                <w:rFonts w:ascii="Times New Roman" w:eastAsia="標楷體" w:hAnsi="Times New Roman"/>
                <w:color w:val="000000"/>
                <w:sz w:val="28"/>
                <w:szCs w:val="28"/>
              </w:rPr>
              <w:t>如醫院於</w:t>
            </w:r>
            <w:r>
              <w:rPr>
                <w:rFonts w:ascii="Times New Roman" w:eastAsia="標楷體" w:hAnsi="Times New Roman"/>
                <w:color w:val="000000"/>
                <w:sz w:val="28"/>
                <w:szCs w:val="28"/>
              </w:rPr>
              <w:t>115</w:t>
            </w:r>
            <w:r>
              <w:rPr>
                <w:rFonts w:ascii="Times New Roman" w:eastAsia="標楷體" w:hAnsi="Times New Roman"/>
                <w:color w:val="000000"/>
                <w:sz w:val="28"/>
                <w:szCs w:val="28"/>
              </w:rPr>
              <w:t>年</w:t>
            </w:r>
            <w:r>
              <w:rPr>
                <w:rFonts w:ascii="Times New Roman" w:eastAsia="標楷體" w:hAnsi="Times New Roman"/>
                <w:color w:val="000000"/>
                <w:sz w:val="28"/>
                <w:szCs w:val="28"/>
              </w:rPr>
              <w:t>1</w:t>
            </w:r>
            <w:r>
              <w:rPr>
                <w:rFonts w:ascii="Times New Roman" w:eastAsia="標楷體" w:hAnsi="Times New Roman"/>
                <w:color w:val="000000"/>
                <w:sz w:val="28"/>
                <w:szCs w:val="28"/>
              </w:rPr>
              <w:t>月</w:t>
            </w:r>
            <w:r>
              <w:rPr>
                <w:rFonts w:ascii="Times New Roman" w:eastAsia="標楷體" w:hAnsi="Times New Roman"/>
                <w:color w:val="000000"/>
                <w:sz w:val="28"/>
                <w:szCs w:val="28"/>
              </w:rPr>
              <w:t>2</w:t>
            </w:r>
            <w:r>
              <w:rPr>
                <w:rFonts w:ascii="Times New Roman" w:eastAsia="標楷體" w:hAnsi="Times New Roman"/>
                <w:color w:val="000000"/>
                <w:sz w:val="28"/>
                <w:szCs w:val="28"/>
              </w:rPr>
              <w:t>日以後申請，計畫生效起日</w:t>
            </w:r>
            <w:r w:rsidR="005F4591">
              <w:rPr>
                <w:rFonts w:ascii="Times New Roman" w:eastAsia="標楷體" w:hAnsi="Times New Roman" w:hint="eastAsia"/>
                <w:color w:val="000000"/>
                <w:sz w:val="28"/>
                <w:szCs w:val="28"/>
              </w:rPr>
              <w:t>之起算日</w:t>
            </w:r>
            <w:r w:rsidR="005F4591">
              <w:rPr>
                <w:rFonts w:ascii="Times New Roman" w:eastAsia="標楷體" w:hAnsi="Times New Roman" w:hint="eastAsia"/>
                <w:color w:val="000000"/>
                <w:sz w:val="28"/>
                <w:szCs w:val="28"/>
              </w:rPr>
              <w:t>?</w:t>
            </w:r>
          </w:p>
        </w:tc>
        <w:tc>
          <w:tcPr>
            <w:tcW w:w="5954" w:type="dxa"/>
            <w:shd w:val="clear" w:color="auto" w:fill="auto"/>
            <w:tcMar>
              <w:top w:w="15" w:type="dxa"/>
              <w:left w:w="28" w:type="dxa"/>
              <w:bottom w:w="0" w:type="dxa"/>
              <w:right w:w="28" w:type="dxa"/>
            </w:tcMar>
          </w:tcPr>
          <w:p w14:paraId="1ABF081C" w14:textId="77777777" w:rsidR="00311224" w:rsidRPr="005F4591" w:rsidRDefault="006C08F6" w:rsidP="005F4591">
            <w:pPr>
              <w:suppressAutoHyphens w:val="0"/>
              <w:autoSpaceDE w:val="0"/>
              <w:ind w:left="122"/>
              <w:textAlignment w:val="auto"/>
              <w:rPr>
                <w:rFonts w:ascii="Times New Roman" w:eastAsia="標楷體" w:hAnsi="Times New Roman"/>
                <w:color w:val="000000"/>
                <w:kern w:val="0"/>
                <w:sz w:val="28"/>
                <w:szCs w:val="28"/>
              </w:rPr>
            </w:pPr>
            <w:r>
              <w:rPr>
                <w:rFonts w:ascii="Times New Roman" w:eastAsia="標楷體" w:hAnsi="Times New Roman"/>
                <w:color w:val="000000"/>
                <w:kern w:val="0"/>
                <w:sz w:val="28"/>
                <w:szCs w:val="28"/>
              </w:rPr>
              <w:t>本方案公告生效日為</w:t>
            </w:r>
            <w:r>
              <w:rPr>
                <w:rFonts w:ascii="Times New Roman" w:eastAsia="標楷體" w:hAnsi="Times New Roman"/>
                <w:color w:val="000000"/>
                <w:kern w:val="0"/>
                <w:sz w:val="28"/>
                <w:szCs w:val="28"/>
              </w:rPr>
              <w:t>115</w:t>
            </w:r>
            <w:r>
              <w:rPr>
                <w:rFonts w:ascii="Times New Roman" w:eastAsia="標楷體" w:hAnsi="Times New Roman"/>
                <w:color w:val="000000"/>
                <w:kern w:val="0"/>
                <w:sz w:val="28"/>
                <w:szCs w:val="28"/>
              </w:rPr>
              <w:t>年</w:t>
            </w:r>
            <w:r>
              <w:rPr>
                <w:rFonts w:ascii="Times New Roman" w:eastAsia="標楷體" w:hAnsi="Times New Roman"/>
                <w:color w:val="000000"/>
                <w:kern w:val="0"/>
                <w:sz w:val="28"/>
                <w:szCs w:val="28"/>
              </w:rPr>
              <w:t>1</w:t>
            </w:r>
            <w:r>
              <w:rPr>
                <w:rFonts w:ascii="Times New Roman" w:eastAsia="標楷體" w:hAnsi="Times New Roman"/>
                <w:color w:val="000000"/>
                <w:kern w:val="0"/>
                <w:sz w:val="28"/>
                <w:szCs w:val="28"/>
              </w:rPr>
              <w:t>月</w:t>
            </w:r>
            <w:r>
              <w:rPr>
                <w:rFonts w:ascii="Times New Roman" w:eastAsia="標楷體" w:hAnsi="Times New Roman"/>
                <w:color w:val="000000"/>
                <w:kern w:val="0"/>
                <w:sz w:val="28"/>
                <w:szCs w:val="28"/>
              </w:rPr>
              <w:t>1</w:t>
            </w:r>
            <w:r>
              <w:rPr>
                <w:rFonts w:ascii="Times New Roman" w:eastAsia="標楷體" w:hAnsi="Times New Roman"/>
                <w:color w:val="000000"/>
                <w:kern w:val="0"/>
                <w:sz w:val="28"/>
                <w:szCs w:val="28"/>
              </w:rPr>
              <w:t>日，惟</w:t>
            </w:r>
            <w:r w:rsidR="005F4591">
              <w:rPr>
                <w:rFonts w:ascii="Times New Roman" w:eastAsia="標楷體" w:hAnsi="Times New Roman"/>
                <w:color w:val="000000"/>
                <w:kern w:val="0"/>
                <w:sz w:val="28"/>
                <w:szCs w:val="28"/>
              </w:rPr>
              <w:t>需經申請及核定方可</w:t>
            </w:r>
            <w:r w:rsidR="005F4591">
              <w:rPr>
                <w:rFonts w:ascii="Times New Roman" w:eastAsia="標楷體" w:hAnsi="Times New Roman" w:hint="eastAsia"/>
                <w:color w:val="000000"/>
                <w:kern w:val="0"/>
                <w:sz w:val="28"/>
                <w:szCs w:val="28"/>
              </w:rPr>
              <w:t>參與，個別院所之計畫起算日以</w:t>
            </w:r>
            <w:r w:rsidR="007315FA">
              <w:rPr>
                <w:rFonts w:ascii="Times New Roman" w:eastAsia="標楷體" w:hAnsi="Times New Roman" w:hint="eastAsia"/>
                <w:color w:val="000000"/>
                <w:kern w:val="0"/>
                <w:sz w:val="28"/>
                <w:szCs w:val="28"/>
              </w:rPr>
              <w:t>醫院申請日或補件完成日</w:t>
            </w:r>
            <w:r w:rsidR="005F4591">
              <w:rPr>
                <w:rFonts w:ascii="Times New Roman" w:eastAsia="標楷體" w:hAnsi="Times New Roman" w:hint="eastAsia"/>
                <w:color w:val="000000"/>
                <w:kern w:val="0"/>
                <w:sz w:val="28"/>
                <w:szCs w:val="28"/>
              </w:rPr>
              <w:t>起算。</w:t>
            </w:r>
          </w:p>
        </w:tc>
      </w:tr>
      <w:tr w:rsidR="00311224" w14:paraId="003B5800" w14:textId="77777777" w:rsidTr="005D1545">
        <w:trPr>
          <w:trHeight w:val="608"/>
        </w:trPr>
        <w:tc>
          <w:tcPr>
            <w:tcW w:w="10065" w:type="dxa"/>
            <w:gridSpan w:val="2"/>
            <w:shd w:val="clear" w:color="auto" w:fill="FFF2CC"/>
            <w:tcMar>
              <w:top w:w="15" w:type="dxa"/>
              <w:left w:w="28" w:type="dxa"/>
              <w:bottom w:w="0" w:type="dxa"/>
              <w:right w:w="28" w:type="dxa"/>
            </w:tcMar>
            <w:vAlign w:val="center"/>
          </w:tcPr>
          <w:p w14:paraId="74A1DA29" w14:textId="77777777" w:rsidR="00311224" w:rsidRDefault="006C08F6">
            <w:pPr>
              <w:pStyle w:val="a7"/>
              <w:numPr>
                <w:ilvl w:val="0"/>
                <w:numId w:val="2"/>
              </w:numPr>
              <w:suppressAutoHyphens w:val="0"/>
              <w:autoSpaceDE w:val="0"/>
              <w:ind w:left="482" w:hanging="482"/>
              <w:jc w:val="both"/>
              <w:textAlignment w:val="auto"/>
              <w:rPr>
                <w:rFonts w:ascii="Times New Roman" w:eastAsia="標楷體" w:hAnsi="Times New Roman"/>
                <w:b/>
                <w:color w:val="000000"/>
                <w:kern w:val="0"/>
                <w:sz w:val="28"/>
                <w:szCs w:val="28"/>
              </w:rPr>
            </w:pPr>
            <w:r>
              <w:rPr>
                <w:rFonts w:ascii="Times New Roman" w:eastAsia="標楷體" w:hAnsi="Times New Roman"/>
                <w:b/>
                <w:color w:val="000000"/>
                <w:kern w:val="0"/>
                <w:sz w:val="28"/>
                <w:szCs w:val="28"/>
              </w:rPr>
              <w:t>參與方案醫院、醫師資格及基本要求</w:t>
            </w:r>
          </w:p>
        </w:tc>
      </w:tr>
      <w:tr w:rsidR="00311224" w14:paraId="0941AF46" w14:textId="77777777" w:rsidTr="005D1545">
        <w:trPr>
          <w:trHeight w:val="2200"/>
        </w:trPr>
        <w:tc>
          <w:tcPr>
            <w:tcW w:w="4111" w:type="dxa"/>
            <w:shd w:val="clear" w:color="auto" w:fill="auto"/>
            <w:tcMar>
              <w:top w:w="15" w:type="dxa"/>
              <w:left w:w="28" w:type="dxa"/>
              <w:bottom w:w="0" w:type="dxa"/>
              <w:right w:w="28" w:type="dxa"/>
            </w:tcMar>
          </w:tcPr>
          <w:p w14:paraId="7FABAA46" w14:textId="77777777" w:rsidR="00311224" w:rsidRDefault="006C08F6">
            <w:pPr>
              <w:pStyle w:val="a7"/>
              <w:numPr>
                <w:ilvl w:val="0"/>
                <w:numId w:val="4"/>
              </w:numPr>
              <w:tabs>
                <w:tab w:val="left" w:pos="537"/>
              </w:tabs>
              <w:spacing w:line="400" w:lineRule="exact"/>
              <w:ind w:left="395" w:hanging="395"/>
              <w:jc w:val="both"/>
              <w:rPr>
                <w:rFonts w:ascii="Times New Roman" w:eastAsia="標楷體" w:hAnsi="Times New Roman"/>
                <w:color w:val="000000"/>
                <w:sz w:val="28"/>
                <w:szCs w:val="28"/>
              </w:rPr>
            </w:pPr>
            <w:r>
              <w:rPr>
                <w:rFonts w:ascii="Times New Roman" w:eastAsia="標楷體" w:hAnsi="Times New Roman"/>
                <w:color w:val="000000"/>
                <w:sz w:val="28"/>
                <w:szCs w:val="28"/>
              </w:rPr>
              <w:t>專任個案管理人員，應由執業登記於該醫院之</w:t>
            </w:r>
            <w:proofErr w:type="gramStart"/>
            <w:r>
              <w:rPr>
                <w:rFonts w:ascii="Times New Roman" w:eastAsia="標楷體" w:hAnsi="Times New Roman"/>
                <w:color w:val="000000"/>
                <w:sz w:val="28"/>
                <w:szCs w:val="28"/>
              </w:rPr>
              <w:t>醫</w:t>
            </w:r>
            <w:proofErr w:type="gramEnd"/>
            <w:r>
              <w:rPr>
                <w:rFonts w:ascii="Times New Roman" w:eastAsia="標楷體" w:hAnsi="Times New Roman"/>
                <w:color w:val="000000"/>
                <w:sz w:val="28"/>
                <w:szCs w:val="28"/>
              </w:rPr>
              <w:t>事人員、具醫務管理或公共衛生背景之非</w:t>
            </w:r>
            <w:proofErr w:type="gramStart"/>
            <w:r>
              <w:rPr>
                <w:rFonts w:ascii="Times New Roman" w:eastAsia="標楷體" w:hAnsi="Times New Roman"/>
                <w:color w:val="000000"/>
                <w:sz w:val="28"/>
                <w:szCs w:val="28"/>
              </w:rPr>
              <w:t>醫</w:t>
            </w:r>
            <w:proofErr w:type="gramEnd"/>
            <w:r>
              <w:rPr>
                <w:rFonts w:ascii="Times New Roman" w:eastAsia="標楷體" w:hAnsi="Times New Roman"/>
                <w:color w:val="000000"/>
                <w:sz w:val="28"/>
                <w:szCs w:val="28"/>
              </w:rPr>
              <w:t>事人員擔任，請問具有</w:t>
            </w:r>
            <w:proofErr w:type="gramStart"/>
            <w:r>
              <w:rPr>
                <w:rFonts w:ascii="Times New Roman" w:eastAsia="標楷體" w:hAnsi="Times New Roman"/>
                <w:color w:val="000000"/>
                <w:sz w:val="28"/>
                <w:szCs w:val="28"/>
              </w:rPr>
              <w:t>醫</w:t>
            </w:r>
            <w:proofErr w:type="gramEnd"/>
            <w:r>
              <w:rPr>
                <w:rFonts w:ascii="Times New Roman" w:eastAsia="標楷體" w:hAnsi="Times New Roman"/>
                <w:color w:val="000000"/>
                <w:sz w:val="28"/>
                <w:szCs w:val="28"/>
              </w:rPr>
              <w:t>管或公衛背景如何認定</w:t>
            </w:r>
            <w:r>
              <w:rPr>
                <w:rFonts w:ascii="Times New Roman" w:eastAsia="標楷體" w:hAnsi="Times New Roman"/>
                <w:color w:val="000000"/>
                <w:sz w:val="28"/>
                <w:szCs w:val="28"/>
              </w:rPr>
              <w:t>?</w:t>
            </w:r>
            <w:r>
              <w:rPr>
                <w:rFonts w:ascii="Times New Roman" w:eastAsia="標楷體" w:hAnsi="Times New Roman"/>
                <w:color w:val="000000"/>
                <w:sz w:val="28"/>
                <w:szCs w:val="28"/>
              </w:rPr>
              <w:t>具有相關工作經驗是否可以認定</w:t>
            </w:r>
            <w:r>
              <w:rPr>
                <w:rFonts w:ascii="Times New Roman" w:eastAsia="標楷體" w:hAnsi="Times New Roman"/>
                <w:color w:val="000000"/>
                <w:sz w:val="28"/>
                <w:szCs w:val="28"/>
              </w:rPr>
              <w:t>?</w:t>
            </w:r>
          </w:p>
        </w:tc>
        <w:tc>
          <w:tcPr>
            <w:tcW w:w="5954" w:type="dxa"/>
            <w:shd w:val="clear" w:color="auto" w:fill="auto"/>
            <w:tcMar>
              <w:top w:w="15" w:type="dxa"/>
              <w:left w:w="28" w:type="dxa"/>
              <w:bottom w:w="0" w:type="dxa"/>
              <w:right w:w="28" w:type="dxa"/>
            </w:tcMar>
          </w:tcPr>
          <w:p w14:paraId="77B03B0F" w14:textId="77777777" w:rsidR="008E60C8" w:rsidRDefault="006C08F6">
            <w:pPr>
              <w:spacing w:line="40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醫務管理或公共衛生背景人員應具備以下任一資格：</w:t>
            </w:r>
          </w:p>
          <w:p w14:paraId="3ED6B1CD" w14:textId="77777777" w:rsidR="008E60C8" w:rsidRDefault="006C08F6" w:rsidP="008E60C8">
            <w:pPr>
              <w:pStyle w:val="a7"/>
              <w:numPr>
                <w:ilvl w:val="0"/>
                <w:numId w:val="18"/>
              </w:numPr>
              <w:spacing w:line="400" w:lineRule="exact"/>
              <w:ind w:left="264" w:hanging="264"/>
              <w:jc w:val="both"/>
              <w:rPr>
                <w:rFonts w:ascii="Times New Roman" w:eastAsia="標楷體" w:hAnsi="Times New Roman"/>
                <w:color w:val="000000"/>
                <w:sz w:val="28"/>
                <w:szCs w:val="28"/>
              </w:rPr>
            </w:pPr>
            <w:r w:rsidRPr="008E60C8">
              <w:rPr>
                <w:rFonts w:ascii="Times New Roman" w:eastAsia="標楷體" w:hAnsi="Times New Roman"/>
                <w:color w:val="000000"/>
                <w:sz w:val="28"/>
                <w:szCs w:val="28"/>
              </w:rPr>
              <w:t>大學</w:t>
            </w:r>
            <w:r w:rsidRPr="008E60C8">
              <w:rPr>
                <w:rFonts w:ascii="Times New Roman" w:eastAsia="標楷體" w:hAnsi="Times New Roman"/>
                <w:color w:val="000000"/>
                <w:sz w:val="28"/>
                <w:szCs w:val="28"/>
              </w:rPr>
              <w:t>(</w:t>
            </w:r>
            <w:r w:rsidRPr="008E60C8">
              <w:rPr>
                <w:rFonts w:ascii="Times New Roman" w:eastAsia="標楷體" w:hAnsi="Times New Roman"/>
                <w:color w:val="000000"/>
                <w:sz w:val="28"/>
                <w:szCs w:val="28"/>
              </w:rPr>
              <w:t>含</w:t>
            </w:r>
            <w:r w:rsidRPr="008E60C8">
              <w:rPr>
                <w:rFonts w:ascii="Times New Roman" w:eastAsia="標楷體" w:hAnsi="Times New Roman"/>
                <w:color w:val="000000"/>
                <w:sz w:val="28"/>
                <w:szCs w:val="28"/>
              </w:rPr>
              <w:t>)</w:t>
            </w:r>
            <w:r w:rsidRPr="008E60C8">
              <w:rPr>
                <w:rFonts w:ascii="Times New Roman" w:eastAsia="標楷體" w:hAnsi="Times New Roman"/>
                <w:color w:val="000000"/>
                <w:sz w:val="28"/>
                <w:szCs w:val="28"/>
              </w:rPr>
              <w:t>以上，醫務管理或公共衛生相關系所畢業。</w:t>
            </w:r>
          </w:p>
          <w:p w14:paraId="4D6FC8FC" w14:textId="77777777" w:rsidR="008E60C8" w:rsidRDefault="006C08F6" w:rsidP="008E60C8">
            <w:pPr>
              <w:pStyle w:val="a7"/>
              <w:numPr>
                <w:ilvl w:val="0"/>
                <w:numId w:val="18"/>
              </w:numPr>
              <w:spacing w:line="400" w:lineRule="exact"/>
              <w:ind w:left="264" w:hanging="264"/>
              <w:jc w:val="both"/>
              <w:rPr>
                <w:rFonts w:ascii="Times New Roman" w:eastAsia="標楷體" w:hAnsi="Times New Roman"/>
                <w:color w:val="000000"/>
                <w:sz w:val="28"/>
                <w:szCs w:val="28"/>
              </w:rPr>
            </w:pPr>
            <w:r w:rsidRPr="008E60C8">
              <w:rPr>
                <w:rFonts w:ascii="Times New Roman" w:eastAsia="標楷體" w:hAnsi="Times New Roman"/>
                <w:color w:val="000000"/>
                <w:sz w:val="28"/>
                <w:szCs w:val="28"/>
              </w:rPr>
              <w:t>領有公共衛生師相關證書。</w:t>
            </w:r>
          </w:p>
          <w:p w14:paraId="547E3846" w14:textId="77777777" w:rsidR="00311224" w:rsidRPr="008E60C8" w:rsidRDefault="006C08F6" w:rsidP="008E60C8">
            <w:pPr>
              <w:pStyle w:val="a7"/>
              <w:numPr>
                <w:ilvl w:val="0"/>
                <w:numId w:val="18"/>
              </w:numPr>
              <w:spacing w:line="400" w:lineRule="exact"/>
              <w:ind w:left="264" w:hanging="264"/>
              <w:jc w:val="both"/>
              <w:rPr>
                <w:rFonts w:ascii="Times New Roman" w:eastAsia="標楷體" w:hAnsi="Times New Roman"/>
                <w:color w:val="000000"/>
                <w:sz w:val="28"/>
                <w:szCs w:val="28"/>
              </w:rPr>
            </w:pPr>
            <w:r w:rsidRPr="008E60C8">
              <w:rPr>
                <w:rFonts w:ascii="Times New Roman" w:eastAsia="標楷體" w:hAnsi="Times New Roman"/>
                <w:color w:val="000000"/>
                <w:sz w:val="28"/>
                <w:szCs w:val="28"/>
              </w:rPr>
              <w:t>具醫務管理或公共衛生相關工作經驗滿三年以上。</w:t>
            </w:r>
          </w:p>
        </w:tc>
      </w:tr>
      <w:tr w:rsidR="00311224" w14:paraId="07428FF4" w14:textId="77777777" w:rsidTr="005D1545">
        <w:trPr>
          <w:trHeight w:val="551"/>
        </w:trPr>
        <w:tc>
          <w:tcPr>
            <w:tcW w:w="4111" w:type="dxa"/>
            <w:shd w:val="clear" w:color="auto" w:fill="auto"/>
            <w:tcMar>
              <w:top w:w="15" w:type="dxa"/>
              <w:left w:w="28" w:type="dxa"/>
              <w:bottom w:w="0" w:type="dxa"/>
              <w:right w:w="28" w:type="dxa"/>
            </w:tcMar>
          </w:tcPr>
          <w:p w14:paraId="37EDBBBD" w14:textId="77777777" w:rsidR="00311224" w:rsidRDefault="006C08F6">
            <w:pPr>
              <w:pStyle w:val="a7"/>
              <w:numPr>
                <w:ilvl w:val="0"/>
                <w:numId w:val="4"/>
              </w:numPr>
              <w:tabs>
                <w:tab w:val="left" w:pos="537"/>
              </w:tabs>
              <w:spacing w:line="400" w:lineRule="exact"/>
              <w:ind w:left="395" w:hanging="395"/>
              <w:jc w:val="both"/>
              <w:rPr>
                <w:rFonts w:ascii="Times New Roman" w:eastAsia="標楷體" w:hAnsi="Times New Roman"/>
                <w:color w:val="000000"/>
                <w:sz w:val="28"/>
                <w:szCs w:val="28"/>
              </w:rPr>
            </w:pPr>
            <w:r>
              <w:rPr>
                <w:rFonts w:ascii="Times New Roman" w:eastAsia="標楷體" w:hAnsi="Times New Roman"/>
                <w:color w:val="000000"/>
                <w:sz w:val="28"/>
                <w:szCs w:val="28"/>
              </w:rPr>
              <w:t>參與</w:t>
            </w:r>
            <w:proofErr w:type="gramStart"/>
            <w:r>
              <w:rPr>
                <w:rFonts w:ascii="Times New Roman" w:eastAsia="標楷體" w:hAnsi="Times New Roman"/>
                <w:color w:val="000000"/>
                <w:sz w:val="28"/>
                <w:szCs w:val="28"/>
              </w:rPr>
              <w:t>醫</w:t>
            </w:r>
            <w:proofErr w:type="gramEnd"/>
            <w:r>
              <w:rPr>
                <w:rFonts w:ascii="Times New Roman" w:eastAsia="標楷體" w:hAnsi="Times New Roman"/>
                <w:color w:val="000000"/>
                <w:sz w:val="28"/>
                <w:szCs w:val="28"/>
              </w:rPr>
              <w:t>事服務機構資格，應具備心臟血管專科或神經科專科醫師人力，</w:t>
            </w:r>
            <w:r w:rsidR="0073163A">
              <w:rPr>
                <w:rFonts w:ascii="Times New Roman" w:eastAsia="標楷體" w:hAnsi="Times New Roman" w:hint="eastAsia"/>
                <w:color w:val="000000"/>
                <w:sz w:val="28"/>
                <w:szCs w:val="28"/>
              </w:rPr>
              <w:t>係包含</w:t>
            </w:r>
            <w:r>
              <w:rPr>
                <w:rFonts w:ascii="Times New Roman" w:eastAsia="標楷體" w:hAnsi="Times New Roman"/>
                <w:color w:val="000000"/>
                <w:sz w:val="28"/>
                <w:szCs w:val="28"/>
              </w:rPr>
              <w:t>心臟內科</w:t>
            </w:r>
            <w:r>
              <w:rPr>
                <w:rFonts w:ascii="Times New Roman" w:eastAsia="標楷體" w:hAnsi="Times New Roman"/>
                <w:color w:val="000000"/>
                <w:sz w:val="28"/>
                <w:szCs w:val="28"/>
              </w:rPr>
              <w:t>/</w:t>
            </w:r>
            <w:r>
              <w:rPr>
                <w:rFonts w:ascii="Times New Roman" w:eastAsia="標楷體" w:hAnsi="Times New Roman"/>
                <w:color w:val="000000"/>
                <w:sz w:val="28"/>
                <w:szCs w:val="28"/>
              </w:rPr>
              <w:t>外科及神經內科</w:t>
            </w:r>
            <w:r>
              <w:rPr>
                <w:rFonts w:ascii="Times New Roman" w:eastAsia="標楷體" w:hAnsi="Times New Roman"/>
                <w:color w:val="000000"/>
                <w:sz w:val="28"/>
                <w:szCs w:val="28"/>
              </w:rPr>
              <w:t>/</w:t>
            </w:r>
            <w:r>
              <w:rPr>
                <w:rFonts w:ascii="Times New Roman" w:eastAsia="標楷體" w:hAnsi="Times New Roman"/>
                <w:color w:val="000000"/>
                <w:sz w:val="28"/>
                <w:szCs w:val="28"/>
              </w:rPr>
              <w:t>外科嗎</w:t>
            </w:r>
            <w:r>
              <w:rPr>
                <w:rFonts w:ascii="Times New Roman" w:eastAsia="標楷體" w:hAnsi="Times New Roman"/>
                <w:color w:val="000000"/>
                <w:sz w:val="28"/>
                <w:szCs w:val="28"/>
              </w:rPr>
              <w:t>?</w:t>
            </w:r>
            <w:r>
              <w:rPr>
                <w:rFonts w:ascii="Times New Roman" w:eastAsia="標楷體" w:hAnsi="Times New Roman"/>
                <w:color w:val="000000"/>
                <w:sz w:val="28"/>
                <w:szCs w:val="28"/>
              </w:rPr>
              <w:t>附件</w:t>
            </w:r>
            <w:r>
              <w:rPr>
                <w:rFonts w:ascii="Times New Roman" w:eastAsia="標楷體" w:hAnsi="Times New Roman"/>
                <w:color w:val="000000"/>
                <w:sz w:val="28"/>
                <w:szCs w:val="28"/>
              </w:rPr>
              <w:t>2</w:t>
            </w:r>
            <w:r>
              <w:rPr>
                <w:rFonts w:ascii="Times New Roman" w:eastAsia="標楷體" w:hAnsi="Times New Roman"/>
                <w:color w:val="000000"/>
                <w:sz w:val="28"/>
                <w:szCs w:val="28"/>
              </w:rPr>
              <w:t>申請表的照護團隊名單是否要包含前述心臟血管專科或神</w:t>
            </w:r>
            <w:r>
              <w:rPr>
                <w:rFonts w:ascii="Times New Roman" w:eastAsia="標楷體" w:hAnsi="Times New Roman"/>
                <w:color w:val="000000"/>
                <w:sz w:val="28"/>
                <w:szCs w:val="28"/>
              </w:rPr>
              <w:lastRenderedPageBreak/>
              <w:t>經科專科醫師</w:t>
            </w:r>
            <w:r>
              <w:rPr>
                <w:rFonts w:ascii="Times New Roman" w:eastAsia="標楷體" w:hAnsi="Times New Roman"/>
                <w:color w:val="000000"/>
                <w:sz w:val="28"/>
                <w:szCs w:val="28"/>
              </w:rPr>
              <w:t>?</w:t>
            </w:r>
          </w:p>
        </w:tc>
        <w:tc>
          <w:tcPr>
            <w:tcW w:w="5954" w:type="dxa"/>
            <w:shd w:val="clear" w:color="auto" w:fill="auto"/>
            <w:tcMar>
              <w:top w:w="15" w:type="dxa"/>
              <w:left w:w="28" w:type="dxa"/>
              <w:bottom w:w="0" w:type="dxa"/>
              <w:right w:w="28" w:type="dxa"/>
            </w:tcMar>
          </w:tcPr>
          <w:p w14:paraId="36481B0D" w14:textId="77777777" w:rsidR="00311224" w:rsidRDefault="006C08F6">
            <w:pPr>
              <w:spacing w:line="40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lastRenderedPageBreak/>
              <w:t>查本方案之參與</w:t>
            </w:r>
            <w:proofErr w:type="gramStart"/>
            <w:r>
              <w:rPr>
                <w:rFonts w:ascii="Times New Roman" w:eastAsia="標楷體" w:hAnsi="Times New Roman"/>
                <w:color w:val="000000"/>
                <w:sz w:val="28"/>
                <w:szCs w:val="28"/>
              </w:rPr>
              <w:t>醫</w:t>
            </w:r>
            <w:proofErr w:type="gramEnd"/>
            <w:r>
              <w:rPr>
                <w:rFonts w:ascii="Times New Roman" w:eastAsia="標楷體" w:hAnsi="Times New Roman"/>
                <w:color w:val="000000"/>
                <w:sz w:val="28"/>
                <w:szCs w:val="28"/>
              </w:rPr>
              <w:t>事服務機構須具備「心臟血管專科或神經科專科醫師人力」，包含心臟內科</w:t>
            </w:r>
            <w:r>
              <w:rPr>
                <w:rFonts w:ascii="Times New Roman" w:eastAsia="標楷體" w:hAnsi="Times New Roman"/>
                <w:color w:val="000000"/>
                <w:sz w:val="28"/>
                <w:szCs w:val="28"/>
              </w:rPr>
              <w:t>/</w:t>
            </w:r>
            <w:r>
              <w:rPr>
                <w:rFonts w:ascii="Times New Roman" w:eastAsia="標楷體" w:hAnsi="Times New Roman"/>
                <w:color w:val="000000"/>
                <w:sz w:val="28"/>
                <w:szCs w:val="28"/>
              </w:rPr>
              <w:t>外科</w:t>
            </w:r>
            <w:r w:rsidR="00517B8A">
              <w:rPr>
                <w:rFonts w:ascii="Times New Roman" w:eastAsia="標楷體" w:hAnsi="Times New Roman" w:hint="eastAsia"/>
                <w:color w:val="000000"/>
                <w:sz w:val="28"/>
                <w:szCs w:val="28"/>
              </w:rPr>
              <w:t>，以</w:t>
            </w:r>
            <w:r>
              <w:rPr>
                <w:rFonts w:ascii="Times New Roman" w:eastAsia="標楷體" w:hAnsi="Times New Roman"/>
                <w:color w:val="000000"/>
                <w:sz w:val="28"/>
                <w:szCs w:val="28"/>
              </w:rPr>
              <w:t>及神經內科</w:t>
            </w:r>
            <w:r w:rsidR="0073163A">
              <w:rPr>
                <w:rFonts w:ascii="Times New Roman" w:eastAsia="標楷體" w:hAnsi="Times New Roman" w:hint="eastAsia"/>
                <w:color w:val="000000"/>
                <w:sz w:val="28"/>
                <w:szCs w:val="28"/>
              </w:rPr>
              <w:t>，並填具於照護團隊名單</w:t>
            </w:r>
            <w:r>
              <w:rPr>
                <w:rFonts w:ascii="Times New Roman" w:eastAsia="標楷體" w:hAnsi="Times New Roman"/>
                <w:color w:val="000000"/>
                <w:sz w:val="28"/>
                <w:szCs w:val="28"/>
              </w:rPr>
              <w:t>。</w:t>
            </w:r>
          </w:p>
        </w:tc>
      </w:tr>
      <w:tr w:rsidR="00311224" w14:paraId="7C7E35FB" w14:textId="77777777" w:rsidTr="005D1545">
        <w:trPr>
          <w:trHeight w:val="1815"/>
        </w:trPr>
        <w:tc>
          <w:tcPr>
            <w:tcW w:w="4111" w:type="dxa"/>
            <w:shd w:val="clear" w:color="auto" w:fill="auto"/>
            <w:tcMar>
              <w:top w:w="15" w:type="dxa"/>
              <w:left w:w="28" w:type="dxa"/>
              <w:bottom w:w="0" w:type="dxa"/>
              <w:right w:w="28" w:type="dxa"/>
            </w:tcMar>
          </w:tcPr>
          <w:p w14:paraId="1F992908" w14:textId="77777777" w:rsidR="00311224" w:rsidRDefault="006C08F6" w:rsidP="003A68E4">
            <w:pPr>
              <w:pStyle w:val="a7"/>
              <w:numPr>
                <w:ilvl w:val="0"/>
                <w:numId w:val="4"/>
              </w:numPr>
              <w:tabs>
                <w:tab w:val="left" w:pos="537"/>
              </w:tabs>
              <w:spacing w:line="400" w:lineRule="exact"/>
              <w:ind w:left="395" w:hanging="395"/>
              <w:jc w:val="both"/>
              <w:rPr>
                <w:rFonts w:ascii="Times New Roman" w:eastAsia="標楷體" w:hAnsi="Times New Roman"/>
                <w:color w:val="000000"/>
                <w:sz w:val="28"/>
                <w:szCs w:val="28"/>
              </w:rPr>
            </w:pPr>
            <w:r>
              <w:rPr>
                <w:rFonts w:ascii="Times New Roman" w:eastAsia="標楷體" w:hAnsi="Times New Roman"/>
                <w:color w:val="000000"/>
                <w:sz w:val="28"/>
                <w:szCs w:val="28"/>
              </w:rPr>
              <w:t>兼任主治醫師是否可加入本計畫</w:t>
            </w:r>
            <w:r>
              <w:rPr>
                <w:rFonts w:ascii="Times New Roman" w:eastAsia="標楷體" w:hAnsi="Times New Roman"/>
                <w:color w:val="000000"/>
                <w:sz w:val="28"/>
                <w:szCs w:val="28"/>
              </w:rPr>
              <w:t>?</w:t>
            </w:r>
            <w:r>
              <w:rPr>
                <w:rFonts w:ascii="Times New Roman" w:eastAsia="標楷體" w:hAnsi="Times New Roman"/>
                <w:color w:val="000000"/>
                <w:sz w:val="28"/>
                <w:szCs w:val="28"/>
              </w:rPr>
              <w:t>照護團隊是否可包含支援人員</w:t>
            </w:r>
            <w:r>
              <w:rPr>
                <w:rFonts w:ascii="Times New Roman" w:eastAsia="標楷體" w:hAnsi="Times New Roman"/>
                <w:color w:val="000000"/>
                <w:sz w:val="28"/>
                <w:szCs w:val="28"/>
              </w:rPr>
              <w:t>?</w:t>
            </w:r>
            <w:r>
              <w:rPr>
                <w:rFonts w:ascii="Times New Roman" w:eastAsia="標楷體" w:hAnsi="Times New Roman"/>
                <w:color w:val="000000"/>
                <w:sz w:val="28"/>
                <w:szCs w:val="28"/>
              </w:rPr>
              <w:t>若可以，則是否限定一位</w:t>
            </w:r>
            <w:proofErr w:type="gramStart"/>
            <w:r>
              <w:rPr>
                <w:rFonts w:ascii="Times New Roman" w:eastAsia="標楷體" w:hAnsi="Times New Roman"/>
                <w:color w:val="000000"/>
                <w:sz w:val="28"/>
                <w:szCs w:val="28"/>
              </w:rPr>
              <w:t>醫</w:t>
            </w:r>
            <w:proofErr w:type="gramEnd"/>
            <w:r>
              <w:rPr>
                <w:rFonts w:ascii="Times New Roman" w:eastAsia="標楷體" w:hAnsi="Times New Roman"/>
                <w:color w:val="000000"/>
                <w:sz w:val="28"/>
                <w:szCs w:val="28"/>
              </w:rPr>
              <w:t>事人員僅能參加一家醫院的照護團隊</w:t>
            </w:r>
            <w:r>
              <w:rPr>
                <w:rFonts w:ascii="Times New Roman" w:eastAsia="標楷體" w:hAnsi="Times New Roman"/>
                <w:color w:val="000000"/>
                <w:sz w:val="28"/>
                <w:szCs w:val="28"/>
              </w:rPr>
              <w:t>?</w:t>
            </w:r>
          </w:p>
        </w:tc>
        <w:tc>
          <w:tcPr>
            <w:tcW w:w="5954" w:type="dxa"/>
            <w:shd w:val="clear" w:color="auto" w:fill="auto"/>
            <w:tcMar>
              <w:top w:w="15" w:type="dxa"/>
              <w:left w:w="28" w:type="dxa"/>
              <w:bottom w:w="0" w:type="dxa"/>
              <w:right w:w="28" w:type="dxa"/>
            </w:tcMar>
          </w:tcPr>
          <w:p w14:paraId="51C7E3E2" w14:textId="77777777" w:rsidR="00311224" w:rsidRDefault="006C08F6">
            <w:pPr>
              <w:spacing w:line="400" w:lineRule="exact"/>
              <w:jc w:val="both"/>
            </w:pPr>
            <w:r>
              <w:rPr>
                <w:rFonts w:ascii="Times New Roman" w:eastAsia="標楷體" w:hAnsi="Times New Roman"/>
                <w:color w:val="000000"/>
                <w:sz w:val="28"/>
                <w:szCs w:val="28"/>
              </w:rPr>
              <w:t>本方案未限定醫師須為專任或兼任之醫師，</w:t>
            </w:r>
            <w:proofErr w:type="gramStart"/>
            <w:r w:rsidR="00924C45">
              <w:rPr>
                <w:rFonts w:ascii="Times New Roman" w:eastAsia="標楷體" w:hAnsi="Times New Roman" w:hint="eastAsia"/>
                <w:color w:val="000000"/>
                <w:sz w:val="28"/>
                <w:szCs w:val="28"/>
              </w:rPr>
              <w:t>爰</w:t>
            </w:r>
            <w:proofErr w:type="gramEnd"/>
            <w:r w:rsidR="00924C45">
              <w:rPr>
                <w:rFonts w:ascii="Times New Roman" w:eastAsia="標楷體" w:hAnsi="Times New Roman" w:hint="eastAsia"/>
                <w:color w:val="000000"/>
                <w:sz w:val="28"/>
                <w:szCs w:val="28"/>
              </w:rPr>
              <w:t>依法辦理執業登記或報備支援，且</w:t>
            </w:r>
            <w:r>
              <w:rPr>
                <w:rFonts w:ascii="Times New Roman" w:eastAsia="標楷體" w:hAnsi="Times New Roman"/>
                <w:color w:val="000000"/>
                <w:sz w:val="28"/>
                <w:szCs w:val="28"/>
              </w:rPr>
              <w:t>實際參與本方案照護者，均可納入照護團隊。</w:t>
            </w:r>
          </w:p>
        </w:tc>
      </w:tr>
      <w:tr w:rsidR="00311224" w14:paraId="763936D1" w14:textId="77777777" w:rsidTr="00163E8A">
        <w:trPr>
          <w:trHeight w:val="608"/>
        </w:trPr>
        <w:tc>
          <w:tcPr>
            <w:tcW w:w="10065" w:type="dxa"/>
            <w:gridSpan w:val="2"/>
            <w:tcBorders>
              <w:top w:val="single" w:sz="4" w:space="0" w:color="000000"/>
            </w:tcBorders>
            <w:shd w:val="clear" w:color="auto" w:fill="FFF2CC"/>
            <w:tcMar>
              <w:top w:w="15" w:type="dxa"/>
              <w:left w:w="28" w:type="dxa"/>
              <w:bottom w:w="0" w:type="dxa"/>
              <w:right w:w="28" w:type="dxa"/>
            </w:tcMar>
            <w:vAlign w:val="center"/>
          </w:tcPr>
          <w:p w14:paraId="10E9D912" w14:textId="77777777" w:rsidR="00311224" w:rsidRDefault="006C08F6">
            <w:pPr>
              <w:pStyle w:val="a7"/>
              <w:numPr>
                <w:ilvl w:val="0"/>
                <w:numId w:val="2"/>
              </w:numPr>
              <w:suppressAutoHyphens w:val="0"/>
              <w:autoSpaceDE w:val="0"/>
              <w:ind w:left="482" w:hanging="482"/>
              <w:jc w:val="both"/>
              <w:textAlignment w:val="auto"/>
              <w:rPr>
                <w:rFonts w:ascii="Times New Roman" w:eastAsia="標楷體" w:hAnsi="Times New Roman"/>
                <w:b/>
                <w:color w:val="000000"/>
                <w:kern w:val="0"/>
                <w:sz w:val="28"/>
                <w:szCs w:val="28"/>
              </w:rPr>
            </w:pPr>
            <w:r>
              <w:rPr>
                <w:rFonts w:ascii="Times New Roman" w:eastAsia="標楷體" w:hAnsi="Times New Roman"/>
                <w:b/>
                <w:color w:val="000000"/>
                <w:kern w:val="0"/>
                <w:sz w:val="28"/>
                <w:szCs w:val="28"/>
              </w:rPr>
              <w:t>收案對象</w:t>
            </w:r>
          </w:p>
        </w:tc>
      </w:tr>
      <w:tr w:rsidR="00311224" w14:paraId="7706B710" w14:textId="77777777" w:rsidTr="005D1545">
        <w:trPr>
          <w:trHeight w:val="976"/>
        </w:trPr>
        <w:tc>
          <w:tcPr>
            <w:tcW w:w="4111" w:type="dxa"/>
            <w:shd w:val="clear" w:color="auto" w:fill="auto"/>
            <w:tcMar>
              <w:top w:w="15" w:type="dxa"/>
              <w:left w:w="28" w:type="dxa"/>
              <w:bottom w:w="0" w:type="dxa"/>
              <w:right w:w="28" w:type="dxa"/>
            </w:tcMar>
          </w:tcPr>
          <w:p w14:paraId="0BF8E15F" w14:textId="77777777" w:rsidR="00311224" w:rsidRDefault="006C08F6">
            <w:pPr>
              <w:pStyle w:val="a7"/>
              <w:numPr>
                <w:ilvl w:val="0"/>
                <w:numId w:val="6"/>
              </w:numPr>
              <w:tabs>
                <w:tab w:val="left" w:pos="537"/>
              </w:tabs>
              <w:spacing w:line="400" w:lineRule="exact"/>
              <w:ind w:left="387"/>
              <w:jc w:val="both"/>
            </w:pPr>
            <w:r>
              <w:rPr>
                <w:rFonts w:ascii="Times New Roman" w:eastAsia="標楷體" w:hAnsi="Times New Roman"/>
                <w:color w:val="000000"/>
                <w:sz w:val="28"/>
                <w:szCs w:val="28"/>
              </w:rPr>
              <w:t>「新發生急性住院事件」之定義與時效</w:t>
            </w:r>
            <w:r>
              <w:rPr>
                <w:rFonts w:ascii="Times New Roman" w:eastAsia="標楷體" w:hAnsi="Times New Roman"/>
                <w:color w:val="000000"/>
                <w:sz w:val="28"/>
                <w:szCs w:val="28"/>
              </w:rPr>
              <w:t>?</w:t>
            </w:r>
            <w:r>
              <w:rPr>
                <w:rFonts w:ascii="Times New Roman" w:eastAsia="標楷體" w:hAnsi="Times New Roman"/>
                <w:color w:val="000000"/>
                <w:sz w:val="28"/>
                <w:szCs w:val="28"/>
              </w:rPr>
              <w:t>是否有限定收案時效</w:t>
            </w:r>
            <w:r w:rsidR="007E34A1">
              <w:rPr>
                <w:rFonts w:ascii="Times New Roman" w:eastAsia="標楷體" w:hAnsi="Times New Roman"/>
                <w:color w:val="000000"/>
                <w:sz w:val="28"/>
                <w:szCs w:val="28"/>
              </w:rPr>
              <w:t xml:space="preserve"> </w:t>
            </w:r>
            <w:r>
              <w:rPr>
                <w:rFonts w:ascii="Times New Roman" w:eastAsia="標楷體" w:hAnsi="Times New Roman"/>
                <w:color w:val="000000"/>
                <w:sz w:val="28"/>
                <w:szCs w:val="28"/>
              </w:rPr>
              <w:t>(</w:t>
            </w:r>
            <w:r>
              <w:rPr>
                <w:rFonts w:ascii="Times New Roman" w:eastAsia="標楷體" w:hAnsi="Times New Roman"/>
                <w:color w:val="000000"/>
                <w:sz w:val="28"/>
                <w:szCs w:val="28"/>
              </w:rPr>
              <w:t>如出院後幾日內須收案</w:t>
            </w:r>
            <w:r>
              <w:rPr>
                <w:rFonts w:ascii="Times New Roman" w:eastAsia="標楷體" w:hAnsi="Times New Roman"/>
                <w:color w:val="000000"/>
                <w:sz w:val="28"/>
                <w:szCs w:val="28"/>
              </w:rPr>
              <w:t>)?</w:t>
            </w:r>
            <w:r>
              <w:rPr>
                <w:rFonts w:ascii="Times New Roman" w:eastAsia="標楷體" w:hAnsi="Times New Roman"/>
                <w:color w:val="000000"/>
                <w:sz w:val="28"/>
                <w:szCs w:val="28"/>
              </w:rPr>
              <w:t>是否可回溯既往事件</w:t>
            </w:r>
            <w:r>
              <w:rPr>
                <w:rFonts w:ascii="Times New Roman" w:eastAsia="標楷體" w:hAnsi="Times New Roman"/>
                <w:color w:val="000000"/>
                <w:sz w:val="28"/>
                <w:szCs w:val="28"/>
              </w:rPr>
              <w:t>(115</w:t>
            </w:r>
            <w:r>
              <w:rPr>
                <w:rFonts w:ascii="Times New Roman" w:eastAsia="標楷體" w:hAnsi="Times New Roman"/>
                <w:color w:val="000000"/>
                <w:sz w:val="28"/>
                <w:szCs w:val="28"/>
              </w:rPr>
              <w:t>年前發生過事件的舊個案是否適用</w:t>
            </w:r>
            <w:r>
              <w:rPr>
                <w:rFonts w:ascii="Times New Roman" w:eastAsia="標楷體" w:hAnsi="Times New Roman"/>
                <w:color w:val="000000"/>
                <w:sz w:val="28"/>
                <w:szCs w:val="28"/>
              </w:rPr>
              <w:t>)?</w:t>
            </w:r>
            <w:r>
              <w:rPr>
                <w:rFonts w:ascii="Times New Roman" w:eastAsia="標楷體" w:hAnsi="Times New Roman"/>
                <w:color w:val="000000"/>
                <w:sz w:val="28"/>
                <w:szCs w:val="28"/>
              </w:rPr>
              <w:t>是否僅限於同院住院出院之病人</w:t>
            </w:r>
            <w:r>
              <w:rPr>
                <w:rFonts w:ascii="Times New Roman" w:eastAsia="標楷體" w:hAnsi="Times New Roman"/>
                <w:color w:val="000000"/>
                <w:sz w:val="28"/>
                <w:szCs w:val="28"/>
              </w:rPr>
              <w:t>?</w:t>
            </w:r>
            <w:r>
              <w:rPr>
                <w:rFonts w:ascii="Times New Roman" w:eastAsia="標楷體" w:hAnsi="Times New Roman"/>
                <w:color w:val="000000"/>
                <w:sz w:val="28"/>
                <w:szCs w:val="28"/>
              </w:rPr>
              <w:t>收案時，</w:t>
            </w:r>
            <w:r>
              <w:rPr>
                <w:rFonts w:ascii="Times New Roman" w:eastAsia="標楷體" w:hAnsi="Times New Roman"/>
                <w:color w:val="000000"/>
                <w:sz w:val="28"/>
                <w:szCs w:val="28"/>
              </w:rPr>
              <w:t>LDL</w:t>
            </w:r>
            <w:r>
              <w:rPr>
                <w:rFonts w:ascii="Times New Roman" w:eastAsia="標楷體" w:hAnsi="Times New Roman"/>
                <w:color w:val="000000"/>
                <w:sz w:val="28"/>
                <w:szCs w:val="28"/>
              </w:rPr>
              <w:t>是否需達特定數值始得收案</w:t>
            </w:r>
            <w:r>
              <w:rPr>
                <w:rFonts w:ascii="Times New Roman" w:eastAsia="標楷體" w:hAnsi="Times New Roman"/>
                <w:color w:val="000000"/>
                <w:sz w:val="28"/>
                <w:szCs w:val="28"/>
              </w:rPr>
              <w:t>?</w:t>
            </w:r>
          </w:p>
        </w:tc>
        <w:tc>
          <w:tcPr>
            <w:tcW w:w="5954" w:type="dxa"/>
            <w:shd w:val="clear" w:color="auto" w:fill="auto"/>
            <w:tcMar>
              <w:top w:w="15" w:type="dxa"/>
              <w:left w:w="28" w:type="dxa"/>
              <w:bottom w:w="0" w:type="dxa"/>
              <w:right w:w="28" w:type="dxa"/>
            </w:tcMar>
          </w:tcPr>
          <w:p w14:paraId="65EAAD49" w14:textId="77777777" w:rsidR="00311224" w:rsidRDefault="006C08F6" w:rsidP="002B649B">
            <w:pPr>
              <w:spacing w:line="400" w:lineRule="exact"/>
              <w:jc w:val="both"/>
            </w:pPr>
            <w:r w:rsidRPr="002B649B">
              <w:rPr>
                <w:rFonts w:ascii="Times New Roman" w:eastAsia="標楷體" w:hAnsi="Times New Roman"/>
                <w:color w:val="000000"/>
                <w:sz w:val="28"/>
                <w:szCs w:val="28"/>
              </w:rPr>
              <w:t>個案收案條件</w:t>
            </w:r>
            <w:r w:rsidR="00287CC1" w:rsidRPr="002B649B">
              <w:rPr>
                <w:rFonts w:ascii="Times New Roman" w:eastAsia="標楷體" w:hAnsi="Times New Roman" w:hint="eastAsia"/>
                <w:color w:val="000000"/>
                <w:sz w:val="28"/>
                <w:szCs w:val="28"/>
              </w:rPr>
              <w:t>為</w:t>
            </w:r>
            <w:r w:rsidR="00287CC1" w:rsidRPr="002B649B">
              <w:rPr>
                <w:rFonts w:ascii="Times New Roman" w:eastAsia="標楷體" w:hAnsi="Times New Roman" w:hint="eastAsia"/>
                <w:color w:val="000000"/>
                <w:sz w:val="28"/>
                <w:szCs w:val="28"/>
              </w:rPr>
              <w:t>18</w:t>
            </w:r>
            <w:r w:rsidR="00287CC1" w:rsidRPr="002B649B">
              <w:rPr>
                <w:rFonts w:ascii="Times New Roman" w:eastAsia="標楷體" w:hAnsi="Times New Roman" w:hint="eastAsia"/>
                <w:color w:val="000000"/>
                <w:sz w:val="28"/>
                <w:szCs w:val="28"/>
              </w:rPr>
              <w:t>歲以上</w:t>
            </w:r>
            <w:r w:rsidRPr="002B649B">
              <w:rPr>
                <w:rFonts w:ascii="Times New Roman" w:eastAsia="標楷體" w:hAnsi="Times New Roman"/>
                <w:color w:val="000000"/>
                <w:sz w:val="28"/>
                <w:szCs w:val="28"/>
              </w:rPr>
              <w:t>新發生急性住院事件之出院病人，</w:t>
            </w:r>
            <w:r w:rsidR="000435A5" w:rsidRPr="002B649B">
              <w:rPr>
                <w:rFonts w:ascii="Times New Roman" w:eastAsia="標楷體" w:hAnsi="Times New Roman" w:hint="eastAsia"/>
                <w:color w:val="000000"/>
                <w:sz w:val="28"/>
                <w:szCs w:val="28"/>
              </w:rPr>
              <w:t>經確認診為</w:t>
            </w:r>
            <w:proofErr w:type="gramStart"/>
            <w:r w:rsidR="000435A5" w:rsidRPr="002B649B">
              <w:rPr>
                <w:rFonts w:ascii="Times New Roman" w:eastAsia="標楷體" w:hAnsi="Times New Roman" w:hint="eastAsia"/>
                <w:color w:val="000000"/>
                <w:sz w:val="28"/>
                <w:szCs w:val="28"/>
              </w:rPr>
              <w:t>動脈粥狀硬化</w:t>
            </w:r>
            <w:proofErr w:type="gramEnd"/>
            <w:r w:rsidR="000435A5" w:rsidRPr="002B649B">
              <w:rPr>
                <w:rFonts w:ascii="Times New Roman" w:eastAsia="標楷體" w:hAnsi="Times New Roman" w:hint="eastAsia"/>
                <w:color w:val="000000"/>
                <w:sz w:val="28"/>
                <w:szCs w:val="28"/>
              </w:rPr>
              <w:t>心血管疾病</w:t>
            </w:r>
            <w:r w:rsidR="000435A5" w:rsidRPr="002B649B">
              <w:rPr>
                <w:rFonts w:ascii="Times New Roman" w:eastAsia="標楷體" w:hAnsi="Times New Roman" w:hint="eastAsia"/>
                <w:color w:val="000000"/>
                <w:sz w:val="28"/>
                <w:szCs w:val="28"/>
              </w:rPr>
              <w:t>(</w:t>
            </w:r>
            <w:r w:rsidR="000435A5" w:rsidRPr="002B649B">
              <w:rPr>
                <w:rFonts w:ascii="Times New Roman" w:eastAsia="標楷體" w:hAnsi="Times New Roman"/>
                <w:color w:val="000000"/>
                <w:sz w:val="28"/>
                <w:szCs w:val="28"/>
              </w:rPr>
              <w:t>ASCVD</w:t>
            </w:r>
            <w:r w:rsidR="000435A5" w:rsidRPr="002B649B">
              <w:rPr>
                <w:rFonts w:ascii="Times New Roman" w:eastAsia="標楷體" w:hAnsi="Times New Roman" w:hint="eastAsia"/>
                <w:color w:val="000000"/>
                <w:sz w:val="28"/>
                <w:szCs w:val="28"/>
              </w:rPr>
              <w:t>)</w:t>
            </w:r>
            <w:r w:rsidR="008571EC" w:rsidRPr="002B649B">
              <w:rPr>
                <w:rFonts w:ascii="Times New Roman" w:eastAsia="標楷體" w:hAnsi="Times New Roman" w:hint="eastAsia"/>
                <w:color w:val="000000"/>
                <w:sz w:val="28"/>
                <w:szCs w:val="28"/>
              </w:rPr>
              <w:t>，且風險分級為「非常高」或「極高」之個案，</w:t>
            </w:r>
            <w:proofErr w:type="gramStart"/>
            <w:r w:rsidR="00287CC1" w:rsidRPr="002B649B">
              <w:rPr>
                <w:rFonts w:ascii="Times New Roman" w:eastAsia="標楷體" w:hAnsi="Times New Roman" w:hint="eastAsia"/>
                <w:color w:val="000000"/>
                <w:sz w:val="28"/>
                <w:szCs w:val="28"/>
              </w:rPr>
              <w:t>爰</w:t>
            </w:r>
            <w:proofErr w:type="gramEnd"/>
            <w:r w:rsidR="00DC38E3" w:rsidRPr="002B649B">
              <w:rPr>
                <w:rFonts w:ascii="Times New Roman" w:eastAsia="標楷體" w:hAnsi="Times New Roman" w:hint="eastAsia"/>
                <w:color w:val="000000"/>
                <w:sz w:val="28"/>
                <w:szCs w:val="28"/>
              </w:rPr>
              <w:t>自方案生效日後，</w:t>
            </w:r>
            <w:r w:rsidRPr="002B649B">
              <w:rPr>
                <w:rFonts w:ascii="Times New Roman" w:eastAsia="標楷體" w:hAnsi="Times New Roman"/>
                <w:color w:val="000000"/>
                <w:sz w:val="28"/>
                <w:szCs w:val="28"/>
              </w:rPr>
              <w:t>臨床判定</w:t>
            </w:r>
            <w:r w:rsidRPr="002B649B">
              <w:rPr>
                <w:rFonts w:ascii="Times New Roman" w:eastAsia="標楷體" w:hAnsi="Times New Roman"/>
                <w:color w:val="000000"/>
                <w:sz w:val="28"/>
                <w:szCs w:val="28"/>
              </w:rPr>
              <w:t>(</w:t>
            </w:r>
            <w:r w:rsidRPr="002B649B">
              <w:rPr>
                <w:rFonts w:ascii="Times New Roman" w:eastAsia="標楷體" w:hAnsi="Times New Roman"/>
                <w:color w:val="000000"/>
                <w:sz w:val="28"/>
                <w:szCs w:val="28"/>
              </w:rPr>
              <w:t>當次住院主要診斷</w:t>
            </w:r>
            <w:r w:rsidR="003A68E4" w:rsidRPr="002B649B">
              <w:rPr>
                <w:rFonts w:ascii="Times New Roman" w:eastAsia="標楷體" w:hAnsi="Times New Roman" w:hint="eastAsia"/>
                <w:color w:val="000000"/>
                <w:sz w:val="28"/>
                <w:szCs w:val="28"/>
              </w:rPr>
              <w:t>符合附件</w:t>
            </w:r>
            <w:r w:rsidR="003A68E4" w:rsidRPr="002B649B">
              <w:rPr>
                <w:rFonts w:ascii="Times New Roman" w:eastAsia="標楷體" w:hAnsi="Times New Roman" w:hint="eastAsia"/>
                <w:color w:val="000000"/>
                <w:sz w:val="28"/>
                <w:szCs w:val="28"/>
              </w:rPr>
              <w:t>7</w:t>
            </w:r>
            <w:r w:rsidR="003A68E4" w:rsidRPr="002B649B">
              <w:rPr>
                <w:rFonts w:ascii="Times New Roman" w:eastAsia="標楷體" w:hAnsi="Times New Roman" w:hint="eastAsia"/>
                <w:color w:val="000000"/>
                <w:sz w:val="28"/>
                <w:szCs w:val="28"/>
              </w:rPr>
              <w:t>之</w:t>
            </w:r>
            <w:r w:rsidR="003A68E4" w:rsidRPr="002B649B">
              <w:rPr>
                <w:rFonts w:ascii="Times New Roman" w:eastAsia="標楷體" w:hAnsi="Times New Roman"/>
                <w:color w:val="000000"/>
                <w:sz w:val="28"/>
                <w:szCs w:val="28"/>
              </w:rPr>
              <w:t>ASCVD</w:t>
            </w:r>
            <w:r w:rsidR="003A68E4" w:rsidRPr="002B649B">
              <w:rPr>
                <w:rFonts w:ascii="Times New Roman" w:eastAsia="標楷體" w:hAnsi="Times New Roman" w:hint="eastAsia"/>
                <w:color w:val="000000"/>
                <w:sz w:val="28"/>
                <w:szCs w:val="28"/>
              </w:rPr>
              <w:t>疾病診斷碼</w:t>
            </w:r>
            <w:r w:rsidRPr="002B649B">
              <w:rPr>
                <w:rFonts w:ascii="Times New Roman" w:eastAsia="標楷體" w:hAnsi="Times New Roman"/>
                <w:color w:val="000000"/>
                <w:sz w:val="28"/>
                <w:szCs w:val="28"/>
              </w:rPr>
              <w:t>)</w:t>
            </w:r>
            <w:r w:rsidRPr="002B649B">
              <w:rPr>
                <w:rFonts w:ascii="Times New Roman" w:eastAsia="標楷體" w:hAnsi="Times New Roman"/>
                <w:color w:val="000000"/>
                <w:sz w:val="28"/>
                <w:szCs w:val="28"/>
              </w:rPr>
              <w:t>為新發生之急性事件</w:t>
            </w:r>
            <w:r w:rsidR="00CB6692" w:rsidRPr="002B649B">
              <w:rPr>
                <w:rFonts w:ascii="Times New Roman" w:eastAsia="標楷體" w:hAnsi="Times New Roman" w:hint="eastAsia"/>
                <w:color w:val="000000"/>
                <w:sz w:val="28"/>
                <w:szCs w:val="28"/>
              </w:rPr>
              <w:t>，於門診回診</w:t>
            </w:r>
            <w:proofErr w:type="gramStart"/>
            <w:r w:rsidRPr="002B649B">
              <w:rPr>
                <w:rFonts w:ascii="Times New Roman" w:eastAsia="標楷體" w:hAnsi="Times New Roman"/>
                <w:color w:val="000000"/>
                <w:sz w:val="28"/>
                <w:szCs w:val="28"/>
              </w:rPr>
              <w:t>即可收</w:t>
            </w:r>
            <w:proofErr w:type="gramEnd"/>
            <w:r w:rsidRPr="002B649B">
              <w:rPr>
                <w:rFonts w:ascii="Times New Roman" w:eastAsia="標楷體" w:hAnsi="Times New Roman"/>
                <w:color w:val="000000"/>
                <w:sz w:val="28"/>
                <w:szCs w:val="28"/>
              </w:rPr>
              <w:t>案，不限定天數</w:t>
            </w:r>
            <w:r w:rsidR="00CB6692" w:rsidRPr="002B649B">
              <w:rPr>
                <w:rFonts w:ascii="Times New Roman" w:eastAsia="標楷體" w:hAnsi="Times New Roman" w:hint="eastAsia"/>
                <w:color w:val="000000"/>
                <w:sz w:val="28"/>
                <w:szCs w:val="28"/>
              </w:rPr>
              <w:t>，亦未限定同院或他院，惟須</w:t>
            </w:r>
            <w:r w:rsidR="00487AF3">
              <w:rPr>
                <w:rFonts w:ascii="Times New Roman" w:eastAsia="標楷體" w:hAnsi="Times New Roman" w:hint="eastAsia"/>
                <w:color w:val="000000"/>
                <w:sz w:val="28"/>
                <w:szCs w:val="28"/>
              </w:rPr>
              <w:t>於病歷記載</w:t>
            </w:r>
            <w:r w:rsidRPr="002B649B">
              <w:rPr>
                <w:rFonts w:ascii="Times New Roman" w:eastAsia="標楷體" w:hAnsi="Times New Roman"/>
                <w:color w:val="000000"/>
                <w:sz w:val="28"/>
                <w:szCs w:val="28"/>
              </w:rPr>
              <w:t>符合前開條件</w:t>
            </w:r>
            <w:r w:rsidR="00CB6692" w:rsidRPr="002B649B">
              <w:rPr>
                <w:rFonts w:ascii="Times New Roman" w:eastAsia="標楷體" w:hAnsi="Times New Roman" w:hint="eastAsia"/>
                <w:color w:val="000000"/>
                <w:sz w:val="28"/>
                <w:szCs w:val="28"/>
              </w:rPr>
              <w:t>之證明</w:t>
            </w:r>
            <w:r w:rsidRPr="002B649B">
              <w:rPr>
                <w:rFonts w:ascii="Times New Roman" w:eastAsia="標楷體" w:hAnsi="Times New Roman"/>
                <w:color w:val="000000"/>
                <w:sz w:val="28"/>
                <w:szCs w:val="28"/>
              </w:rPr>
              <w:t>。</w:t>
            </w:r>
          </w:p>
        </w:tc>
      </w:tr>
      <w:tr w:rsidR="00A27CF7" w14:paraId="312B9199" w14:textId="77777777" w:rsidTr="005D1545">
        <w:trPr>
          <w:trHeight w:val="976"/>
        </w:trPr>
        <w:tc>
          <w:tcPr>
            <w:tcW w:w="4111" w:type="dxa"/>
            <w:shd w:val="clear" w:color="auto" w:fill="auto"/>
            <w:tcMar>
              <w:top w:w="15" w:type="dxa"/>
              <w:left w:w="28" w:type="dxa"/>
              <w:bottom w:w="0" w:type="dxa"/>
              <w:right w:w="28" w:type="dxa"/>
            </w:tcMar>
          </w:tcPr>
          <w:p w14:paraId="57A9D014" w14:textId="77777777" w:rsidR="00A27CF7" w:rsidRDefault="00A27CF7">
            <w:pPr>
              <w:pStyle w:val="a7"/>
              <w:numPr>
                <w:ilvl w:val="0"/>
                <w:numId w:val="6"/>
              </w:numPr>
              <w:tabs>
                <w:tab w:val="left" w:pos="537"/>
              </w:tabs>
              <w:spacing w:line="400" w:lineRule="exact"/>
              <w:ind w:left="387"/>
              <w:jc w:val="both"/>
              <w:rPr>
                <w:rFonts w:ascii="Times New Roman" w:eastAsia="標楷體" w:hAnsi="Times New Roman"/>
                <w:color w:val="000000"/>
                <w:sz w:val="28"/>
                <w:szCs w:val="28"/>
              </w:rPr>
            </w:pPr>
            <w:r>
              <w:rPr>
                <w:rFonts w:ascii="Times New Roman" w:eastAsia="標楷體" w:hAnsi="Times New Roman"/>
                <w:color w:val="000000"/>
                <w:sz w:val="28"/>
                <w:szCs w:val="28"/>
              </w:rPr>
              <w:t>如</w:t>
            </w:r>
            <w:r w:rsidR="00520B23">
              <w:rPr>
                <w:rFonts w:ascii="Times New Roman" w:eastAsia="標楷體" w:hAnsi="Times New Roman" w:hint="eastAsia"/>
                <w:color w:val="000000"/>
                <w:sz w:val="28"/>
                <w:szCs w:val="28"/>
              </w:rPr>
              <w:t>個案</w:t>
            </w:r>
            <w:r>
              <w:rPr>
                <w:rFonts w:ascii="Times New Roman" w:eastAsia="標楷體" w:hAnsi="Times New Roman"/>
                <w:color w:val="000000"/>
                <w:sz w:val="28"/>
                <w:szCs w:val="28"/>
              </w:rPr>
              <w:t>符合收案資格</w:t>
            </w:r>
            <w:r>
              <w:rPr>
                <w:rFonts w:ascii="Times New Roman" w:eastAsia="標楷體" w:hAnsi="Times New Roman"/>
                <w:color w:val="000000"/>
                <w:sz w:val="28"/>
                <w:szCs w:val="28"/>
              </w:rPr>
              <w:t>(</w:t>
            </w:r>
            <w:r>
              <w:rPr>
                <w:rFonts w:ascii="Times New Roman" w:eastAsia="標楷體" w:hAnsi="Times New Roman"/>
                <w:color w:val="000000"/>
                <w:sz w:val="28"/>
                <w:szCs w:val="28"/>
              </w:rPr>
              <w:t>非常高風險者</w:t>
            </w:r>
            <w:r>
              <w:rPr>
                <w:rFonts w:ascii="Times New Roman" w:eastAsia="標楷體" w:hAnsi="Times New Roman"/>
                <w:color w:val="000000"/>
                <w:sz w:val="28"/>
                <w:szCs w:val="28"/>
              </w:rPr>
              <w:t>LDL</w:t>
            </w:r>
            <w:r>
              <w:rPr>
                <w:rFonts w:ascii="Times New Roman" w:eastAsia="標楷體" w:hAnsi="Times New Roman"/>
                <w:color w:val="000000"/>
                <w:sz w:val="28"/>
                <w:szCs w:val="28"/>
              </w:rPr>
              <w:t>大於</w:t>
            </w:r>
            <w:r>
              <w:rPr>
                <w:rFonts w:ascii="Times New Roman" w:eastAsia="標楷體" w:hAnsi="Times New Roman"/>
                <w:color w:val="000000"/>
                <w:sz w:val="28"/>
                <w:szCs w:val="28"/>
              </w:rPr>
              <w:t>70mg/dL</w:t>
            </w:r>
            <w:r>
              <w:rPr>
                <w:rFonts w:ascii="Times New Roman" w:eastAsia="標楷體" w:hAnsi="Times New Roman"/>
                <w:color w:val="000000"/>
                <w:sz w:val="28"/>
                <w:szCs w:val="28"/>
              </w:rPr>
              <w:t>、極高風險者大於</w:t>
            </w:r>
            <w:r>
              <w:rPr>
                <w:rFonts w:ascii="Times New Roman" w:eastAsia="標楷體" w:hAnsi="Times New Roman"/>
                <w:color w:val="000000"/>
                <w:sz w:val="28"/>
                <w:szCs w:val="28"/>
              </w:rPr>
              <w:t>55mg/dL</w:t>
            </w:r>
            <w:r>
              <w:rPr>
                <w:rFonts w:ascii="Times New Roman" w:eastAsia="標楷體" w:hAnsi="Times New Roman"/>
                <w:color w:val="000000"/>
                <w:sz w:val="28"/>
                <w:szCs w:val="28"/>
              </w:rPr>
              <w:t>可收案</w:t>
            </w:r>
            <w:r>
              <w:rPr>
                <w:rFonts w:ascii="Times New Roman" w:eastAsia="標楷體" w:hAnsi="Times New Roman"/>
                <w:color w:val="000000"/>
                <w:sz w:val="28"/>
                <w:szCs w:val="28"/>
              </w:rPr>
              <w:t>)</w:t>
            </w:r>
            <w:r>
              <w:rPr>
                <w:rFonts w:ascii="Times New Roman" w:eastAsia="標楷體" w:hAnsi="Times New Roman"/>
                <w:color w:val="000000"/>
                <w:sz w:val="28"/>
                <w:szCs w:val="28"/>
              </w:rPr>
              <w:t>，惟起始藥物治療血</w:t>
            </w:r>
            <w:proofErr w:type="gramStart"/>
            <w:r>
              <w:rPr>
                <w:rFonts w:ascii="Times New Roman" w:eastAsia="標楷體" w:hAnsi="Times New Roman"/>
                <w:color w:val="000000"/>
                <w:sz w:val="28"/>
                <w:szCs w:val="28"/>
              </w:rPr>
              <w:t>脂值非</w:t>
            </w:r>
            <w:r>
              <w:rPr>
                <w:rFonts w:ascii="Times New Roman" w:eastAsia="標楷體" w:hAnsi="Times New Roman"/>
                <w:color w:val="000000"/>
                <w:sz w:val="28"/>
                <w:szCs w:val="28"/>
              </w:rPr>
              <w:t>LDL</w:t>
            </w:r>
            <w:r>
              <w:rPr>
                <w:rFonts w:ascii="新細明體" w:hAnsi="新細明體" w:cs="新細明體"/>
                <w:color w:val="000000"/>
                <w:sz w:val="28"/>
                <w:szCs w:val="28"/>
              </w:rPr>
              <w:t>≧</w:t>
            </w:r>
            <w:proofErr w:type="gramEnd"/>
            <w:r>
              <w:rPr>
                <w:rFonts w:ascii="Times New Roman" w:eastAsia="標楷體" w:hAnsi="Times New Roman"/>
                <w:color w:val="000000"/>
                <w:sz w:val="28"/>
                <w:szCs w:val="28"/>
              </w:rPr>
              <w:t>100mg/dL</w:t>
            </w:r>
            <w:r>
              <w:rPr>
                <w:rFonts w:ascii="Times New Roman" w:eastAsia="標楷體" w:hAnsi="Times New Roman"/>
                <w:color w:val="000000"/>
                <w:sz w:val="28"/>
                <w:szCs w:val="28"/>
              </w:rPr>
              <w:t>，收案對象不符藥品支付規定，是否可申報降血脂用藥</w:t>
            </w:r>
            <w:r>
              <w:rPr>
                <w:rFonts w:ascii="Times New Roman" w:eastAsia="標楷體" w:hAnsi="Times New Roman"/>
                <w:color w:val="000000"/>
                <w:sz w:val="28"/>
                <w:szCs w:val="28"/>
              </w:rPr>
              <w:t>(</w:t>
            </w:r>
            <w:r>
              <w:rPr>
                <w:rFonts w:ascii="Times New Roman" w:eastAsia="標楷體" w:hAnsi="Times New Roman"/>
                <w:color w:val="000000"/>
                <w:sz w:val="28"/>
                <w:szCs w:val="28"/>
              </w:rPr>
              <w:t>如</w:t>
            </w:r>
            <w:r>
              <w:rPr>
                <w:rFonts w:ascii="Times New Roman" w:eastAsia="標楷體" w:hAnsi="Times New Roman"/>
                <w:color w:val="000000"/>
                <w:sz w:val="28"/>
                <w:szCs w:val="28"/>
              </w:rPr>
              <w:t>Ezetimibe</w:t>
            </w:r>
            <w:r>
              <w:rPr>
                <w:rFonts w:ascii="Times New Roman" w:eastAsia="標楷體" w:hAnsi="Times New Roman"/>
                <w:color w:val="000000"/>
                <w:sz w:val="28"/>
                <w:szCs w:val="28"/>
              </w:rPr>
              <w:t>、</w:t>
            </w:r>
            <w:r>
              <w:rPr>
                <w:rFonts w:ascii="Times New Roman" w:eastAsia="標楷體" w:hAnsi="Times New Roman"/>
                <w:color w:val="000000"/>
                <w:sz w:val="28"/>
                <w:szCs w:val="28"/>
              </w:rPr>
              <w:t>Statins</w:t>
            </w:r>
            <w:r>
              <w:rPr>
                <w:rFonts w:ascii="Times New Roman" w:eastAsia="標楷體" w:hAnsi="Times New Roman"/>
                <w:color w:val="000000"/>
                <w:sz w:val="28"/>
                <w:szCs w:val="28"/>
              </w:rPr>
              <w:t>、</w:t>
            </w:r>
            <w:r>
              <w:rPr>
                <w:rFonts w:ascii="Times New Roman" w:eastAsia="標楷體" w:hAnsi="Times New Roman"/>
                <w:color w:val="000000"/>
                <w:sz w:val="28"/>
                <w:szCs w:val="28"/>
              </w:rPr>
              <w:t>PCSK9)?</w:t>
            </w:r>
          </w:p>
        </w:tc>
        <w:tc>
          <w:tcPr>
            <w:tcW w:w="5954" w:type="dxa"/>
            <w:shd w:val="clear" w:color="auto" w:fill="auto"/>
            <w:tcMar>
              <w:top w:w="15" w:type="dxa"/>
              <w:left w:w="28" w:type="dxa"/>
              <w:bottom w:w="0" w:type="dxa"/>
              <w:right w:w="28" w:type="dxa"/>
            </w:tcMar>
          </w:tcPr>
          <w:p w14:paraId="28A0856E" w14:textId="77777777" w:rsidR="00A27CF7" w:rsidRPr="00520B23" w:rsidRDefault="00520B23" w:rsidP="00520B23">
            <w:pPr>
              <w:spacing w:line="40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收案對象之用藥條件應符合全民健康保險藥品給付項目及支付標準規範。</w:t>
            </w:r>
          </w:p>
        </w:tc>
      </w:tr>
      <w:tr w:rsidR="00311224" w14:paraId="57F1FC5F" w14:textId="77777777" w:rsidTr="005D1545">
        <w:trPr>
          <w:trHeight w:val="550"/>
        </w:trPr>
        <w:tc>
          <w:tcPr>
            <w:tcW w:w="4111" w:type="dxa"/>
            <w:shd w:val="clear" w:color="auto" w:fill="auto"/>
            <w:tcMar>
              <w:top w:w="15" w:type="dxa"/>
              <w:left w:w="28" w:type="dxa"/>
              <w:bottom w:w="0" w:type="dxa"/>
              <w:right w:w="28" w:type="dxa"/>
            </w:tcMar>
          </w:tcPr>
          <w:p w14:paraId="6F7D5CBE" w14:textId="77777777" w:rsidR="00311224" w:rsidRDefault="006C08F6">
            <w:pPr>
              <w:pStyle w:val="a7"/>
              <w:numPr>
                <w:ilvl w:val="0"/>
                <w:numId w:val="6"/>
              </w:numPr>
              <w:tabs>
                <w:tab w:val="left" w:pos="537"/>
              </w:tabs>
              <w:spacing w:line="400" w:lineRule="exact"/>
              <w:ind w:left="395" w:hanging="395"/>
              <w:jc w:val="both"/>
            </w:pPr>
            <w:r>
              <w:rPr>
                <w:rFonts w:ascii="Times New Roman" w:eastAsia="標楷體" w:hAnsi="Times New Roman"/>
                <w:color w:val="000000"/>
                <w:sz w:val="28"/>
                <w:szCs w:val="28"/>
              </w:rPr>
              <w:t>本方案與</w:t>
            </w:r>
            <w:r w:rsidR="00A52F12" w:rsidRPr="00A52F12">
              <w:rPr>
                <w:rFonts w:ascii="Times New Roman" w:eastAsia="標楷體" w:hAnsi="Times New Roman" w:hint="eastAsia"/>
                <w:color w:val="000000"/>
                <w:sz w:val="28"/>
                <w:szCs w:val="28"/>
              </w:rPr>
              <w:t>糖尿病及初期慢性腎臟病照護整合方案</w:t>
            </w:r>
            <w:r w:rsidR="00A52F12">
              <w:rPr>
                <w:rFonts w:ascii="Times New Roman" w:eastAsia="標楷體" w:hAnsi="Times New Roman" w:hint="eastAsia"/>
                <w:color w:val="000000"/>
                <w:sz w:val="28"/>
                <w:szCs w:val="28"/>
              </w:rPr>
              <w:t>(</w:t>
            </w:r>
            <w:r>
              <w:rPr>
                <w:rFonts w:ascii="Times New Roman" w:eastAsia="標楷體" w:hAnsi="Times New Roman"/>
                <w:color w:val="000000"/>
                <w:sz w:val="28"/>
                <w:szCs w:val="28"/>
              </w:rPr>
              <w:t>P4P-DM/CKD/DKD</w:t>
            </w:r>
            <w:r w:rsidR="00A52F12">
              <w:rPr>
                <w:rFonts w:ascii="Times New Roman" w:eastAsia="標楷體" w:hAnsi="Times New Roman" w:hint="eastAsia"/>
                <w:color w:val="000000"/>
                <w:sz w:val="28"/>
                <w:szCs w:val="28"/>
              </w:rPr>
              <w:t>)</w:t>
            </w:r>
            <w:r>
              <w:rPr>
                <w:rFonts w:ascii="Times New Roman" w:eastAsia="標楷體" w:hAnsi="Times New Roman"/>
                <w:color w:val="000000"/>
                <w:sz w:val="28"/>
                <w:szCs w:val="28"/>
              </w:rPr>
              <w:t>是否可同時收案</w:t>
            </w:r>
            <w:r>
              <w:rPr>
                <w:rFonts w:ascii="Times New Roman" w:eastAsia="標楷體" w:hAnsi="Times New Roman"/>
                <w:color w:val="000000"/>
                <w:sz w:val="28"/>
                <w:szCs w:val="28"/>
              </w:rPr>
              <w:t>?</w:t>
            </w:r>
            <w:r>
              <w:rPr>
                <w:rFonts w:ascii="Times New Roman" w:eastAsia="標楷體" w:hAnsi="Times New Roman"/>
                <w:color w:val="000000"/>
                <w:sz w:val="28"/>
                <w:szCs w:val="28"/>
              </w:rPr>
              <w:t>若已在</w:t>
            </w:r>
            <w:r>
              <w:rPr>
                <w:rFonts w:ascii="Times New Roman" w:eastAsia="標楷體" w:hAnsi="Times New Roman"/>
                <w:color w:val="000000"/>
                <w:sz w:val="28"/>
                <w:szCs w:val="28"/>
              </w:rPr>
              <w:t>P4P</w:t>
            </w:r>
            <w:r>
              <w:rPr>
                <w:rFonts w:ascii="Times New Roman" w:eastAsia="標楷體" w:hAnsi="Times New Roman"/>
                <w:color w:val="000000"/>
                <w:sz w:val="28"/>
                <w:szCs w:val="28"/>
              </w:rPr>
              <w:t>計畫中，是否能因「新發生急性住院」再加入本方案</w:t>
            </w:r>
            <w:r>
              <w:rPr>
                <w:rFonts w:ascii="Times New Roman" w:eastAsia="標楷體" w:hAnsi="Times New Roman"/>
                <w:color w:val="000000"/>
                <w:sz w:val="28"/>
                <w:szCs w:val="28"/>
              </w:rPr>
              <w:t>?</w:t>
            </w:r>
            <w:r>
              <w:rPr>
                <w:rFonts w:ascii="Times New Roman" w:eastAsia="標楷體" w:hAnsi="Times New Roman"/>
                <w:color w:val="000000"/>
                <w:sz w:val="28"/>
                <w:szCs w:val="28"/>
              </w:rPr>
              <w:t>病人已在</w:t>
            </w:r>
            <w:r>
              <w:rPr>
                <w:rFonts w:ascii="Times New Roman" w:eastAsia="標楷體" w:hAnsi="Times New Roman"/>
                <w:color w:val="000000"/>
                <w:sz w:val="28"/>
                <w:szCs w:val="28"/>
              </w:rPr>
              <w:t>P4P-DM/CKD/DKD</w:t>
            </w:r>
            <w:r>
              <w:rPr>
                <w:rFonts w:ascii="Times New Roman" w:eastAsia="標楷體" w:hAnsi="Times New Roman"/>
                <w:color w:val="000000"/>
                <w:sz w:val="28"/>
                <w:szCs w:val="28"/>
              </w:rPr>
              <w:t>在案</w:t>
            </w:r>
            <w:proofErr w:type="gramStart"/>
            <w:r>
              <w:rPr>
                <w:rFonts w:ascii="Times New Roman" w:eastAsia="標楷體" w:hAnsi="Times New Roman"/>
                <w:color w:val="000000"/>
                <w:sz w:val="28"/>
                <w:szCs w:val="28"/>
              </w:rPr>
              <w:t>期間，</w:t>
            </w:r>
            <w:proofErr w:type="gramEnd"/>
            <w:r>
              <w:rPr>
                <w:rFonts w:ascii="Times New Roman" w:eastAsia="標楷體" w:hAnsi="Times New Roman"/>
                <w:color w:val="000000"/>
                <w:sz w:val="28"/>
                <w:szCs w:val="28"/>
              </w:rPr>
              <w:t>若發生新發生急性住院事件並符合本方案條件，是否可收案本</w:t>
            </w:r>
            <w:r>
              <w:rPr>
                <w:rFonts w:ascii="Times New Roman" w:eastAsia="標楷體" w:hAnsi="Times New Roman"/>
                <w:color w:val="000000"/>
                <w:sz w:val="28"/>
                <w:szCs w:val="28"/>
              </w:rPr>
              <w:lastRenderedPageBreak/>
              <w:t>方案</w:t>
            </w:r>
            <w:r>
              <w:rPr>
                <w:rFonts w:ascii="Times New Roman" w:eastAsia="標楷體" w:hAnsi="Times New Roman"/>
                <w:color w:val="000000"/>
                <w:sz w:val="28"/>
                <w:szCs w:val="28"/>
              </w:rPr>
              <w:t>?</w:t>
            </w:r>
          </w:p>
        </w:tc>
        <w:tc>
          <w:tcPr>
            <w:tcW w:w="5954" w:type="dxa"/>
            <w:shd w:val="clear" w:color="auto" w:fill="auto"/>
            <w:tcMar>
              <w:top w:w="15" w:type="dxa"/>
              <w:left w:w="28" w:type="dxa"/>
              <w:bottom w:w="0" w:type="dxa"/>
              <w:right w:w="28" w:type="dxa"/>
            </w:tcMar>
          </w:tcPr>
          <w:p w14:paraId="375BCDC6" w14:textId="77777777" w:rsidR="00311224" w:rsidRPr="002B649B" w:rsidRDefault="006C08F6" w:rsidP="002B649B">
            <w:pPr>
              <w:spacing w:line="400" w:lineRule="exact"/>
              <w:jc w:val="both"/>
            </w:pPr>
            <w:r w:rsidRPr="002B649B">
              <w:rPr>
                <w:rFonts w:ascii="Times New Roman" w:eastAsia="標楷體" w:hAnsi="Times New Roman"/>
                <w:color w:val="000000"/>
                <w:sz w:val="28"/>
                <w:szCs w:val="28"/>
              </w:rPr>
              <w:lastRenderedPageBreak/>
              <w:t>本方案與</w:t>
            </w:r>
            <w:r w:rsidRPr="002B649B">
              <w:rPr>
                <w:rFonts w:ascii="Times New Roman" w:eastAsia="標楷體" w:hAnsi="Times New Roman"/>
                <w:color w:val="000000"/>
                <w:sz w:val="28"/>
                <w:szCs w:val="28"/>
              </w:rPr>
              <w:t>P4P-DM/CKD/DKD</w:t>
            </w:r>
            <w:r w:rsidRPr="002B649B">
              <w:rPr>
                <w:rFonts w:ascii="Times New Roman" w:eastAsia="標楷體" w:hAnsi="Times New Roman"/>
                <w:color w:val="000000"/>
                <w:sz w:val="28"/>
                <w:szCs w:val="28"/>
              </w:rPr>
              <w:t>可同時收案，但需符合各計畫的收案條件。</w:t>
            </w:r>
          </w:p>
        </w:tc>
      </w:tr>
      <w:tr w:rsidR="00311224" w14:paraId="6BC61708" w14:textId="77777777" w:rsidTr="005D1545">
        <w:trPr>
          <w:trHeight w:val="737"/>
        </w:trPr>
        <w:tc>
          <w:tcPr>
            <w:tcW w:w="4111" w:type="dxa"/>
            <w:shd w:val="clear" w:color="auto" w:fill="auto"/>
            <w:tcMar>
              <w:top w:w="15" w:type="dxa"/>
              <w:left w:w="28" w:type="dxa"/>
              <w:bottom w:w="0" w:type="dxa"/>
              <w:right w:w="28" w:type="dxa"/>
            </w:tcMar>
          </w:tcPr>
          <w:p w14:paraId="796BA160" w14:textId="77777777" w:rsidR="00311224" w:rsidRDefault="006C08F6">
            <w:pPr>
              <w:pStyle w:val="a7"/>
              <w:numPr>
                <w:ilvl w:val="0"/>
                <w:numId w:val="6"/>
              </w:numPr>
              <w:tabs>
                <w:tab w:val="left" w:pos="537"/>
              </w:tabs>
              <w:spacing w:line="400" w:lineRule="exact"/>
              <w:ind w:left="395" w:hanging="395"/>
              <w:jc w:val="both"/>
              <w:rPr>
                <w:rFonts w:ascii="Times New Roman" w:eastAsia="標楷體" w:hAnsi="Times New Roman"/>
                <w:color w:val="000000"/>
                <w:sz w:val="28"/>
                <w:szCs w:val="28"/>
              </w:rPr>
            </w:pPr>
            <w:r>
              <w:rPr>
                <w:rFonts w:ascii="Times New Roman" w:eastAsia="標楷體" w:hAnsi="Times New Roman"/>
                <w:color w:val="000000"/>
                <w:sz w:val="28"/>
                <w:szCs w:val="28"/>
              </w:rPr>
              <w:t>收案醫師有科別限制嗎</w:t>
            </w:r>
            <w:r>
              <w:rPr>
                <w:rFonts w:ascii="Times New Roman" w:eastAsia="標楷體" w:hAnsi="Times New Roman"/>
                <w:color w:val="000000"/>
                <w:sz w:val="28"/>
                <w:szCs w:val="28"/>
              </w:rPr>
              <w:t>?</w:t>
            </w:r>
          </w:p>
        </w:tc>
        <w:tc>
          <w:tcPr>
            <w:tcW w:w="5954" w:type="dxa"/>
            <w:shd w:val="clear" w:color="auto" w:fill="auto"/>
            <w:tcMar>
              <w:top w:w="15" w:type="dxa"/>
              <w:left w:w="28" w:type="dxa"/>
              <w:bottom w:w="0" w:type="dxa"/>
              <w:right w:w="28" w:type="dxa"/>
            </w:tcMar>
          </w:tcPr>
          <w:p w14:paraId="311ACA0D" w14:textId="77777777" w:rsidR="00311224" w:rsidRDefault="006C08F6">
            <w:pPr>
              <w:spacing w:line="40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本方案未限定收案醫師之科別。</w:t>
            </w:r>
          </w:p>
        </w:tc>
      </w:tr>
      <w:tr w:rsidR="00311224" w14:paraId="2B15B078" w14:textId="77777777" w:rsidTr="005D1545">
        <w:trPr>
          <w:trHeight w:val="2200"/>
        </w:trPr>
        <w:tc>
          <w:tcPr>
            <w:tcW w:w="4111" w:type="dxa"/>
            <w:shd w:val="clear" w:color="auto" w:fill="auto"/>
            <w:tcMar>
              <w:top w:w="15" w:type="dxa"/>
              <w:left w:w="28" w:type="dxa"/>
              <w:bottom w:w="0" w:type="dxa"/>
              <w:right w:w="28" w:type="dxa"/>
            </w:tcMar>
          </w:tcPr>
          <w:p w14:paraId="296E8498" w14:textId="77777777" w:rsidR="00311224" w:rsidRPr="0037050E" w:rsidRDefault="006C08F6" w:rsidP="0037050E">
            <w:pPr>
              <w:pStyle w:val="a7"/>
              <w:numPr>
                <w:ilvl w:val="0"/>
                <w:numId w:val="6"/>
              </w:numPr>
              <w:tabs>
                <w:tab w:val="left" w:pos="537"/>
              </w:tabs>
              <w:spacing w:line="400" w:lineRule="exact"/>
              <w:ind w:left="395" w:hanging="395"/>
              <w:jc w:val="both"/>
              <w:rPr>
                <w:rFonts w:ascii="Times New Roman" w:eastAsia="標楷體" w:hAnsi="Times New Roman"/>
                <w:color w:val="000000"/>
                <w:sz w:val="28"/>
                <w:szCs w:val="28"/>
              </w:rPr>
            </w:pPr>
            <w:r>
              <w:rPr>
                <w:rFonts w:ascii="Times New Roman" w:eastAsia="標楷體" w:hAnsi="Times New Roman"/>
                <w:color w:val="000000"/>
                <w:sz w:val="28"/>
                <w:szCs w:val="28"/>
              </w:rPr>
              <w:t>ASCVD</w:t>
            </w:r>
            <w:r>
              <w:rPr>
                <w:rFonts w:ascii="Times New Roman" w:eastAsia="標楷體" w:hAnsi="Times New Roman"/>
                <w:color w:val="000000"/>
                <w:sz w:val="28"/>
                <w:szCs w:val="28"/>
              </w:rPr>
              <w:t>「非常高」及「極高」的判斷依據</w:t>
            </w:r>
            <w:r w:rsidR="00391C53">
              <w:rPr>
                <w:rFonts w:ascii="Times New Roman" w:eastAsia="標楷體" w:hAnsi="Times New Roman" w:hint="eastAsia"/>
                <w:color w:val="000000"/>
                <w:sz w:val="28"/>
                <w:szCs w:val="28"/>
              </w:rPr>
              <w:t>為何</w:t>
            </w:r>
            <w:r>
              <w:rPr>
                <w:rFonts w:ascii="Times New Roman" w:eastAsia="標楷體" w:hAnsi="Times New Roman"/>
                <w:color w:val="000000"/>
                <w:sz w:val="28"/>
                <w:szCs w:val="28"/>
              </w:rPr>
              <w:t>?</w:t>
            </w:r>
          </w:p>
        </w:tc>
        <w:tc>
          <w:tcPr>
            <w:tcW w:w="5954" w:type="dxa"/>
            <w:shd w:val="clear" w:color="auto" w:fill="auto"/>
            <w:tcMar>
              <w:top w:w="15" w:type="dxa"/>
              <w:left w:w="28" w:type="dxa"/>
              <w:bottom w:w="0" w:type="dxa"/>
              <w:right w:w="28" w:type="dxa"/>
            </w:tcMar>
          </w:tcPr>
          <w:p w14:paraId="0FE18A45" w14:textId="77777777" w:rsidR="0037050E" w:rsidRDefault="0037050E" w:rsidP="0037050E">
            <w:pPr>
              <w:pStyle w:val="a7"/>
              <w:numPr>
                <w:ilvl w:val="0"/>
                <w:numId w:val="19"/>
              </w:numPr>
              <w:tabs>
                <w:tab w:val="left" w:pos="-72"/>
              </w:tabs>
              <w:spacing w:line="400" w:lineRule="exact"/>
              <w:ind w:left="397"/>
              <w:jc w:val="both"/>
              <w:rPr>
                <w:rFonts w:ascii="Times New Roman" w:eastAsia="標楷體" w:hAnsi="Times New Roman"/>
                <w:color w:val="000000"/>
                <w:sz w:val="28"/>
                <w:szCs w:val="28"/>
              </w:rPr>
            </w:pPr>
            <w:r>
              <w:rPr>
                <w:rFonts w:ascii="Times New Roman" w:eastAsia="標楷體" w:hAnsi="Times New Roman"/>
                <w:color w:val="000000"/>
                <w:sz w:val="28"/>
                <w:szCs w:val="28"/>
              </w:rPr>
              <w:t>ASCVD</w:t>
            </w:r>
            <w:r>
              <w:rPr>
                <w:rFonts w:ascii="Times New Roman" w:eastAsia="標楷體" w:hAnsi="Times New Roman" w:hint="eastAsia"/>
                <w:color w:val="000000"/>
                <w:sz w:val="28"/>
                <w:szCs w:val="28"/>
              </w:rPr>
              <w:t>風險分級係以醫療病史作為判斷依據：</w:t>
            </w:r>
          </w:p>
          <w:p w14:paraId="5A8244BE" w14:textId="77777777" w:rsidR="0037050E" w:rsidRDefault="00790DD1" w:rsidP="0037050E">
            <w:pPr>
              <w:pStyle w:val="a7"/>
              <w:numPr>
                <w:ilvl w:val="0"/>
                <w:numId w:val="20"/>
              </w:numPr>
              <w:tabs>
                <w:tab w:val="left" w:pos="-72"/>
              </w:tabs>
              <w:spacing w:line="400" w:lineRule="exact"/>
              <w:ind w:left="680" w:hanging="283"/>
              <w:jc w:val="both"/>
              <w:rPr>
                <w:rFonts w:ascii="Times New Roman" w:eastAsia="標楷體" w:hAnsi="Times New Roman"/>
                <w:color w:val="000000"/>
                <w:sz w:val="28"/>
                <w:szCs w:val="28"/>
              </w:rPr>
            </w:pPr>
            <w:r>
              <w:rPr>
                <w:rFonts w:ascii="Times New Roman" w:eastAsia="標楷體" w:hAnsi="Times New Roman" w:hint="eastAsia"/>
                <w:color w:val="000000"/>
                <w:sz w:val="28"/>
                <w:szCs w:val="28"/>
              </w:rPr>
              <w:t>非常高風險：</w:t>
            </w:r>
            <w:r w:rsidR="0037050E">
              <w:rPr>
                <w:rFonts w:ascii="Times New Roman" w:eastAsia="標楷體" w:hAnsi="Times New Roman"/>
                <w:color w:val="000000"/>
                <w:sz w:val="28"/>
                <w:szCs w:val="28"/>
              </w:rPr>
              <w:t>經臨床檢查確診為動脈硬化心血管疾病</w:t>
            </w:r>
            <w:r w:rsidR="0037050E">
              <w:rPr>
                <w:rFonts w:ascii="Times New Roman" w:eastAsia="標楷體" w:hAnsi="Times New Roman" w:hint="eastAsia"/>
                <w:color w:val="000000"/>
                <w:sz w:val="28"/>
                <w:szCs w:val="28"/>
              </w:rPr>
              <w:t>。</w:t>
            </w:r>
          </w:p>
          <w:p w14:paraId="52941865" w14:textId="77777777" w:rsidR="0037050E" w:rsidRPr="0037050E" w:rsidRDefault="00790DD1" w:rsidP="0037050E">
            <w:pPr>
              <w:pStyle w:val="a7"/>
              <w:numPr>
                <w:ilvl w:val="0"/>
                <w:numId w:val="20"/>
              </w:numPr>
              <w:tabs>
                <w:tab w:val="left" w:pos="-72"/>
              </w:tabs>
              <w:spacing w:line="400" w:lineRule="exact"/>
              <w:ind w:left="680" w:hanging="283"/>
              <w:jc w:val="both"/>
              <w:rPr>
                <w:rFonts w:ascii="Times New Roman" w:eastAsia="標楷體" w:hAnsi="Times New Roman"/>
                <w:color w:val="000000"/>
                <w:sz w:val="28"/>
                <w:szCs w:val="28"/>
              </w:rPr>
            </w:pPr>
            <w:r>
              <w:rPr>
                <w:rFonts w:ascii="Times New Roman" w:eastAsia="標楷體" w:hAnsi="Times New Roman" w:hint="eastAsia"/>
                <w:color w:val="000000"/>
                <w:sz w:val="28"/>
                <w:szCs w:val="28"/>
              </w:rPr>
              <w:t>非常高風險：</w:t>
            </w:r>
            <w:r w:rsidR="0037050E">
              <w:rPr>
                <w:rFonts w:ascii="Times New Roman" w:eastAsia="標楷體" w:hAnsi="Times New Roman"/>
                <w:color w:val="000000"/>
                <w:sz w:val="28"/>
                <w:szCs w:val="28"/>
              </w:rPr>
              <w:t>經影像檢查確認有</w:t>
            </w:r>
            <w:proofErr w:type="gramStart"/>
            <w:r w:rsidR="0037050E">
              <w:rPr>
                <w:rFonts w:ascii="Times New Roman" w:eastAsia="標楷體" w:hAnsi="Times New Roman"/>
                <w:color w:val="000000"/>
                <w:sz w:val="28"/>
                <w:szCs w:val="28"/>
              </w:rPr>
              <w:t>顯著斑</w:t>
            </w:r>
            <w:proofErr w:type="gramEnd"/>
            <w:r w:rsidR="0037050E">
              <w:rPr>
                <w:rFonts w:ascii="Times New Roman" w:eastAsia="標楷體" w:hAnsi="Times New Roman"/>
                <w:color w:val="000000"/>
                <w:sz w:val="28"/>
                <w:szCs w:val="28"/>
              </w:rPr>
              <w:t>塊負擔，定義為</w:t>
            </w:r>
            <w:proofErr w:type="gramStart"/>
            <w:r w:rsidR="0037050E" w:rsidRPr="0037050E">
              <w:rPr>
                <w:rFonts w:ascii="新細明體" w:hAnsi="新細明體" w:cs="新細明體" w:hint="eastAsia"/>
                <w:color w:val="000000"/>
                <w:sz w:val="28"/>
                <w:szCs w:val="28"/>
              </w:rPr>
              <w:t>≧</w:t>
            </w:r>
            <w:proofErr w:type="gramEnd"/>
            <w:r w:rsidR="0037050E">
              <w:rPr>
                <w:rFonts w:ascii="Times New Roman" w:eastAsia="標楷體" w:hAnsi="Times New Roman"/>
                <w:color w:val="000000"/>
                <w:sz w:val="28"/>
                <w:szCs w:val="28"/>
              </w:rPr>
              <w:t>50%</w:t>
            </w:r>
            <w:r w:rsidR="0037050E">
              <w:rPr>
                <w:rFonts w:ascii="Times New Roman" w:eastAsia="標楷體" w:hAnsi="Times New Roman"/>
                <w:color w:val="000000"/>
                <w:sz w:val="28"/>
                <w:szCs w:val="28"/>
              </w:rPr>
              <w:t>直徑狹窄</w:t>
            </w:r>
            <w:r w:rsidR="009F245E">
              <w:rPr>
                <w:rFonts w:ascii="Times New Roman" w:eastAsia="標楷體" w:hAnsi="Times New Roman" w:hint="eastAsia"/>
                <w:color w:val="000000"/>
                <w:sz w:val="28"/>
                <w:szCs w:val="28"/>
              </w:rPr>
              <w:t>。</w:t>
            </w:r>
          </w:p>
          <w:p w14:paraId="1678BFB3" w14:textId="77777777" w:rsidR="0037050E" w:rsidRDefault="00790DD1" w:rsidP="0037050E">
            <w:pPr>
              <w:pStyle w:val="a7"/>
              <w:numPr>
                <w:ilvl w:val="0"/>
                <w:numId w:val="20"/>
              </w:numPr>
              <w:tabs>
                <w:tab w:val="left" w:pos="-72"/>
              </w:tabs>
              <w:spacing w:line="400" w:lineRule="exact"/>
              <w:ind w:left="680" w:hanging="283"/>
              <w:jc w:val="both"/>
              <w:rPr>
                <w:rFonts w:ascii="Times New Roman" w:eastAsia="標楷體" w:hAnsi="Times New Roman"/>
                <w:color w:val="000000"/>
                <w:sz w:val="28"/>
                <w:szCs w:val="28"/>
              </w:rPr>
            </w:pPr>
            <w:r>
              <w:rPr>
                <w:rFonts w:ascii="Times New Roman" w:eastAsia="標楷體" w:hAnsi="Times New Roman" w:hint="eastAsia"/>
                <w:color w:val="000000"/>
                <w:sz w:val="28"/>
                <w:szCs w:val="28"/>
              </w:rPr>
              <w:t>極高風險：</w:t>
            </w:r>
            <w:r w:rsidR="0037050E">
              <w:rPr>
                <w:rFonts w:ascii="Times New Roman" w:eastAsia="標楷體" w:hAnsi="Times New Roman"/>
                <w:color w:val="000000"/>
                <w:sz w:val="28"/>
                <w:szCs w:val="28"/>
              </w:rPr>
              <w:t>冠狀動脈疾病合併列出的任一臨床狀況</w:t>
            </w:r>
            <w:r w:rsidR="009F245E">
              <w:rPr>
                <w:rFonts w:ascii="Times New Roman" w:eastAsia="標楷體" w:hAnsi="Times New Roman" w:hint="eastAsia"/>
                <w:color w:val="000000"/>
                <w:sz w:val="28"/>
                <w:szCs w:val="28"/>
              </w:rPr>
              <w:t>。</w:t>
            </w:r>
          </w:p>
          <w:p w14:paraId="315EE3CF" w14:textId="77777777" w:rsidR="0037050E" w:rsidRPr="00A82B21" w:rsidRDefault="00790DD1" w:rsidP="0037050E">
            <w:pPr>
              <w:pStyle w:val="a7"/>
              <w:numPr>
                <w:ilvl w:val="0"/>
                <w:numId w:val="20"/>
              </w:numPr>
              <w:tabs>
                <w:tab w:val="left" w:pos="-72"/>
              </w:tabs>
              <w:spacing w:line="400" w:lineRule="exact"/>
              <w:ind w:left="680" w:hanging="283"/>
              <w:jc w:val="both"/>
              <w:rPr>
                <w:rFonts w:ascii="Times New Roman" w:eastAsia="標楷體" w:hAnsi="Times New Roman"/>
                <w:color w:val="000000"/>
                <w:sz w:val="28"/>
                <w:szCs w:val="28"/>
              </w:rPr>
            </w:pPr>
            <w:r>
              <w:rPr>
                <w:rFonts w:ascii="Times New Roman" w:eastAsia="標楷體" w:hAnsi="Times New Roman" w:hint="eastAsia"/>
                <w:color w:val="000000"/>
                <w:sz w:val="28"/>
                <w:szCs w:val="28"/>
              </w:rPr>
              <w:t>極高風險：</w:t>
            </w:r>
            <w:r w:rsidR="0037050E" w:rsidRPr="00182A70">
              <w:rPr>
                <w:rFonts w:ascii="Times New Roman" w:eastAsia="標楷體" w:hAnsi="Times New Roman"/>
                <w:color w:val="000000"/>
                <w:sz w:val="28"/>
                <w:szCs w:val="28"/>
              </w:rPr>
              <w:t>周邊動脈疾病合併列出的任一臨床狀況</w:t>
            </w:r>
            <w:r w:rsidR="009F245E">
              <w:rPr>
                <w:rFonts w:ascii="Times New Roman" w:eastAsia="標楷體" w:hAnsi="Times New Roman" w:hint="eastAsia"/>
                <w:color w:val="000000"/>
                <w:sz w:val="28"/>
                <w:szCs w:val="28"/>
              </w:rPr>
              <w:t>。</w:t>
            </w:r>
          </w:p>
          <w:p w14:paraId="2056555E" w14:textId="77777777" w:rsidR="00311224" w:rsidRDefault="006C08F6" w:rsidP="00A82B21">
            <w:pPr>
              <w:pStyle w:val="a7"/>
              <w:numPr>
                <w:ilvl w:val="0"/>
                <w:numId w:val="19"/>
              </w:numPr>
              <w:tabs>
                <w:tab w:val="left" w:pos="-72"/>
              </w:tabs>
              <w:spacing w:line="400" w:lineRule="exact"/>
              <w:ind w:left="397"/>
              <w:jc w:val="both"/>
              <w:rPr>
                <w:rFonts w:ascii="Times New Roman" w:eastAsia="標楷體" w:hAnsi="Times New Roman"/>
                <w:color w:val="000000"/>
                <w:sz w:val="28"/>
                <w:szCs w:val="28"/>
              </w:rPr>
            </w:pPr>
            <w:r>
              <w:rPr>
                <w:rFonts w:ascii="Times New Roman" w:eastAsia="標楷體" w:hAnsi="Times New Roman"/>
                <w:color w:val="000000"/>
                <w:sz w:val="28"/>
                <w:szCs w:val="28"/>
              </w:rPr>
              <w:t>本方案風險分級係</w:t>
            </w:r>
            <w:proofErr w:type="gramStart"/>
            <w:r>
              <w:rPr>
                <w:rFonts w:ascii="Times New Roman" w:eastAsia="標楷體" w:hAnsi="Times New Roman"/>
                <w:color w:val="000000"/>
                <w:sz w:val="28"/>
                <w:szCs w:val="28"/>
              </w:rPr>
              <w:t>採</w:t>
            </w:r>
            <w:proofErr w:type="gramEnd"/>
            <w:r>
              <w:rPr>
                <w:rFonts w:ascii="Times New Roman" w:eastAsia="標楷體" w:hAnsi="Times New Roman"/>
                <w:color w:val="000000"/>
                <w:sz w:val="28"/>
                <w:szCs w:val="28"/>
              </w:rPr>
              <w:t>「符合任</w:t>
            </w:r>
            <w:proofErr w:type="gramStart"/>
            <w:r>
              <w:rPr>
                <w:rFonts w:ascii="Times New Roman" w:eastAsia="標楷體" w:hAnsi="Times New Roman"/>
                <w:color w:val="000000"/>
                <w:sz w:val="28"/>
                <w:szCs w:val="28"/>
              </w:rPr>
              <w:t>一</w:t>
            </w:r>
            <w:proofErr w:type="gramEnd"/>
            <w:r>
              <w:rPr>
                <w:rFonts w:ascii="Times New Roman" w:eastAsia="標楷體" w:hAnsi="Times New Roman"/>
                <w:color w:val="000000"/>
                <w:sz w:val="28"/>
                <w:szCs w:val="28"/>
              </w:rPr>
              <w:t>條件即成立」之認定方式：</w:t>
            </w:r>
            <w:r>
              <w:rPr>
                <w:rFonts w:ascii="Times New Roman" w:eastAsia="標楷體" w:hAnsi="Times New Roman"/>
                <w:color w:val="000000"/>
                <w:sz w:val="28"/>
                <w:szCs w:val="28"/>
              </w:rPr>
              <w:t>(1)</w:t>
            </w:r>
            <w:r w:rsidR="00487AF3">
              <w:rPr>
                <w:rFonts w:ascii="Times New Roman" w:eastAsia="標楷體" w:hAnsi="Times New Roman" w:hint="eastAsia"/>
                <w:color w:val="000000"/>
                <w:sz w:val="28"/>
                <w:szCs w:val="28"/>
              </w:rPr>
              <w:t>或</w:t>
            </w:r>
            <w:r>
              <w:rPr>
                <w:rFonts w:ascii="Times New Roman" w:eastAsia="標楷體" w:hAnsi="Times New Roman"/>
                <w:color w:val="000000"/>
                <w:sz w:val="28"/>
                <w:szCs w:val="28"/>
              </w:rPr>
              <w:t>(2)</w:t>
            </w:r>
            <w:r>
              <w:rPr>
                <w:rFonts w:ascii="Times New Roman" w:eastAsia="標楷體" w:hAnsi="Times New Roman"/>
                <w:color w:val="000000"/>
                <w:sz w:val="28"/>
                <w:szCs w:val="28"/>
              </w:rPr>
              <w:t>為「非常高風險」之判定條件；</w:t>
            </w:r>
            <w:r>
              <w:rPr>
                <w:rFonts w:ascii="Times New Roman" w:eastAsia="標楷體" w:hAnsi="Times New Roman"/>
                <w:color w:val="000000"/>
                <w:sz w:val="28"/>
                <w:szCs w:val="28"/>
              </w:rPr>
              <w:t>(3)</w:t>
            </w:r>
            <w:r w:rsidR="00487AF3">
              <w:rPr>
                <w:rFonts w:ascii="Times New Roman" w:eastAsia="標楷體" w:hAnsi="Times New Roman" w:hint="eastAsia"/>
                <w:color w:val="000000"/>
                <w:sz w:val="28"/>
                <w:szCs w:val="28"/>
              </w:rPr>
              <w:t>或</w:t>
            </w:r>
            <w:r>
              <w:rPr>
                <w:rFonts w:ascii="Times New Roman" w:eastAsia="標楷體" w:hAnsi="Times New Roman"/>
                <w:color w:val="000000"/>
                <w:sz w:val="28"/>
                <w:szCs w:val="28"/>
              </w:rPr>
              <w:t>(4)</w:t>
            </w:r>
            <w:r>
              <w:rPr>
                <w:rFonts w:ascii="Times New Roman" w:eastAsia="標楷體" w:hAnsi="Times New Roman"/>
                <w:color w:val="000000"/>
                <w:sz w:val="28"/>
                <w:szCs w:val="28"/>
              </w:rPr>
              <w:t>為「極高風險」之判定條件。病人如同時符合多項條件，擇</w:t>
            </w:r>
            <w:proofErr w:type="gramStart"/>
            <w:r>
              <w:rPr>
                <w:rFonts w:ascii="Times New Roman" w:eastAsia="標楷體" w:hAnsi="Times New Roman"/>
                <w:color w:val="000000"/>
                <w:sz w:val="28"/>
                <w:szCs w:val="28"/>
              </w:rPr>
              <w:t>一</w:t>
            </w:r>
            <w:proofErr w:type="gramEnd"/>
            <w:r>
              <w:rPr>
                <w:rFonts w:ascii="Times New Roman" w:eastAsia="標楷體" w:hAnsi="Times New Roman"/>
                <w:color w:val="000000"/>
                <w:sz w:val="28"/>
                <w:szCs w:val="28"/>
              </w:rPr>
              <w:t>最符合、且風險最高者認定。</w:t>
            </w:r>
          </w:p>
        </w:tc>
      </w:tr>
      <w:tr w:rsidR="00311224" w14:paraId="3E07009E" w14:textId="77777777" w:rsidTr="005D1545">
        <w:trPr>
          <w:trHeight w:val="2200"/>
        </w:trPr>
        <w:tc>
          <w:tcPr>
            <w:tcW w:w="4111" w:type="dxa"/>
            <w:shd w:val="clear" w:color="auto" w:fill="auto"/>
            <w:tcMar>
              <w:top w:w="15" w:type="dxa"/>
              <w:left w:w="28" w:type="dxa"/>
              <w:bottom w:w="0" w:type="dxa"/>
              <w:right w:w="28" w:type="dxa"/>
            </w:tcMar>
          </w:tcPr>
          <w:p w14:paraId="7A1FC3B5" w14:textId="77777777" w:rsidR="00311224" w:rsidRDefault="006C08F6" w:rsidP="001E7E7F">
            <w:pPr>
              <w:pStyle w:val="a7"/>
              <w:numPr>
                <w:ilvl w:val="0"/>
                <w:numId w:val="6"/>
              </w:numPr>
              <w:tabs>
                <w:tab w:val="left" w:pos="537"/>
              </w:tabs>
              <w:spacing w:line="400" w:lineRule="exact"/>
              <w:ind w:left="395" w:hanging="395"/>
              <w:jc w:val="both"/>
              <w:rPr>
                <w:rFonts w:ascii="Times New Roman" w:eastAsia="標楷體" w:hAnsi="Times New Roman"/>
                <w:color w:val="000000"/>
                <w:sz w:val="28"/>
                <w:szCs w:val="28"/>
              </w:rPr>
            </w:pPr>
            <w:r>
              <w:rPr>
                <w:rFonts w:ascii="Times New Roman" w:eastAsia="標楷體" w:hAnsi="Times New Roman"/>
                <w:color w:val="000000"/>
                <w:sz w:val="28"/>
                <w:szCs w:val="28"/>
              </w:rPr>
              <w:t>於</w:t>
            </w:r>
            <w:r w:rsidR="00A957EF">
              <w:rPr>
                <w:rFonts w:ascii="Times New Roman" w:eastAsia="標楷體" w:hAnsi="Times New Roman" w:hint="eastAsia"/>
                <w:color w:val="000000"/>
                <w:sz w:val="28"/>
                <w:szCs w:val="28"/>
              </w:rPr>
              <w:t>同</w:t>
            </w:r>
            <w:r>
              <w:rPr>
                <w:rFonts w:ascii="Times New Roman" w:eastAsia="標楷體" w:hAnsi="Times New Roman"/>
                <w:color w:val="000000"/>
                <w:sz w:val="28"/>
                <w:szCs w:val="28"/>
              </w:rPr>
              <w:t>體系醫院回診追蹤之個案是否仍符合本方案之收案條件</w:t>
            </w:r>
            <w:r>
              <w:rPr>
                <w:rFonts w:ascii="Times New Roman" w:eastAsia="標楷體" w:hAnsi="Times New Roman"/>
                <w:color w:val="000000"/>
                <w:sz w:val="28"/>
                <w:szCs w:val="28"/>
              </w:rPr>
              <w:t>?</w:t>
            </w:r>
            <w:r w:rsidR="00A957EF">
              <w:rPr>
                <w:rFonts w:ascii="Times New Roman" w:eastAsia="標楷體" w:hAnsi="Times New Roman"/>
                <w:color w:val="000000"/>
                <w:sz w:val="28"/>
                <w:szCs w:val="28"/>
              </w:rPr>
              <w:t>若追蹤抽血在其他分院進行，</w:t>
            </w:r>
            <w:proofErr w:type="gramStart"/>
            <w:r w:rsidR="00A957EF">
              <w:rPr>
                <w:rFonts w:ascii="Times New Roman" w:eastAsia="標楷體" w:hAnsi="Times New Roman"/>
                <w:color w:val="000000"/>
                <w:sz w:val="28"/>
                <w:szCs w:val="28"/>
              </w:rPr>
              <w:t>是否算原執行</w:t>
            </w:r>
            <w:proofErr w:type="gramEnd"/>
            <w:r w:rsidR="00A957EF">
              <w:rPr>
                <w:rFonts w:ascii="Times New Roman" w:eastAsia="標楷體" w:hAnsi="Times New Roman"/>
                <w:color w:val="000000"/>
                <w:sz w:val="28"/>
                <w:szCs w:val="28"/>
              </w:rPr>
              <w:t>院所</w:t>
            </w:r>
            <w:r w:rsidR="00A957EF">
              <w:rPr>
                <w:rFonts w:ascii="Times New Roman" w:eastAsia="標楷體" w:hAnsi="Times New Roman"/>
                <w:color w:val="000000"/>
                <w:sz w:val="28"/>
                <w:szCs w:val="28"/>
              </w:rPr>
              <w:t>?</w:t>
            </w:r>
            <w:r w:rsidR="00A957EF">
              <w:rPr>
                <w:rFonts w:ascii="Times New Roman" w:eastAsia="標楷體" w:hAnsi="Times New Roman"/>
                <w:color w:val="000000"/>
                <w:sz w:val="28"/>
                <w:szCs w:val="28"/>
              </w:rPr>
              <w:t>是否視為退出</w:t>
            </w:r>
            <w:r w:rsidR="00A957EF">
              <w:rPr>
                <w:rFonts w:ascii="Times New Roman" w:eastAsia="標楷體" w:hAnsi="Times New Roman"/>
                <w:color w:val="000000"/>
                <w:sz w:val="28"/>
                <w:szCs w:val="28"/>
              </w:rPr>
              <w:t>?</w:t>
            </w:r>
          </w:p>
        </w:tc>
        <w:tc>
          <w:tcPr>
            <w:tcW w:w="5954" w:type="dxa"/>
            <w:shd w:val="clear" w:color="auto" w:fill="auto"/>
            <w:tcMar>
              <w:top w:w="15" w:type="dxa"/>
              <w:left w:w="28" w:type="dxa"/>
              <w:bottom w:w="0" w:type="dxa"/>
              <w:right w:w="28" w:type="dxa"/>
            </w:tcMar>
          </w:tcPr>
          <w:p w14:paraId="2FA3E7F9" w14:textId="77777777" w:rsidR="00311224" w:rsidRPr="00296D7A" w:rsidRDefault="006533F8">
            <w:pPr>
              <w:spacing w:line="400" w:lineRule="exact"/>
              <w:jc w:val="both"/>
              <w:rPr>
                <w:rFonts w:ascii="Times New Roman" w:eastAsia="標楷體" w:hAnsi="Times New Roman"/>
                <w:color w:val="000000"/>
                <w:sz w:val="28"/>
                <w:szCs w:val="28"/>
              </w:rPr>
            </w:pPr>
            <w:r w:rsidRPr="00296D7A">
              <w:rPr>
                <w:rFonts w:ascii="Times New Roman" w:eastAsia="標楷體" w:hAnsi="Times New Roman" w:hint="eastAsia"/>
                <w:color w:val="000000"/>
                <w:sz w:val="28"/>
                <w:szCs w:val="28"/>
              </w:rPr>
              <w:t>於同體系醫院回診追蹤個案、於其他分院執行抽血追蹤，不符本方案收案條件。</w:t>
            </w:r>
          </w:p>
        </w:tc>
      </w:tr>
      <w:tr w:rsidR="004D6416" w14:paraId="24518E1F" w14:textId="77777777" w:rsidTr="005D1545">
        <w:trPr>
          <w:trHeight w:val="1259"/>
        </w:trPr>
        <w:tc>
          <w:tcPr>
            <w:tcW w:w="4111" w:type="dxa"/>
            <w:shd w:val="clear" w:color="auto" w:fill="auto"/>
            <w:tcMar>
              <w:top w:w="15" w:type="dxa"/>
              <w:left w:w="28" w:type="dxa"/>
              <w:bottom w:w="0" w:type="dxa"/>
              <w:right w:w="28" w:type="dxa"/>
            </w:tcMar>
          </w:tcPr>
          <w:p w14:paraId="2DAF79FA" w14:textId="77777777" w:rsidR="004D6416" w:rsidRPr="00547566" w:rsidRDefault="004D6416" w:rsidP="001E7E7F">
            <w:pPr>
              <w:pStyle w:val="a7"/>
              <w:numPr>
                <w:ilvl w:val="0"/>
                <w:numId w:val="6"/>
              </w:numPr>
              <w:tabs>
                <w:tab w:val="left" w:pos="537"/>
              </w:tabs>
              <w:spacing w:line="400" w:lineRule="exact"/>
              <w:ind w:left="395" w:hanging="395"/>
              <w:jc w:val="both"/>
              <w:rPr>
                <w:rFonts w:ascii="Times New Roman" w:eastAsia="標楷體" w:hAnsi="Times New Roman"/>
                <w:color w:val="000000"/>
                <w:sz w:val="28"/>
                <w:szCs w:val="28"/>
              </w:rPr>
            </w:pPr>
            <w:r w:rsidRPr="00547566">
              <w:rPr>
                <w:rFonts w:ascii="Times New Roman" w:eastAsia="標楷體" w:hAnsi="Times New Roman" w:hint="eastAsia"/>
                <w:color w:val="000000"/>
                <w:sz w:val="28"/>
                <w:szCs w:val="28"/>
              </w:rPr>
              <w:t>病人參與本方案</w:t>
            </w:r>
            <w:r w:rsidRPr="00547566">
              <w:rPr>
                <w:rFonts w:ascii="Times New Roman" w:eastAsia="標楷體" w:hAnsi="Times New Roman"/>
                <w:color w:val="000000"/>
                <w:sz w:val="28"/>
                <w:szCs w:val="28"/>
              </w:rPr>
              <w:t>一年結案後，若再次發生心血管事件是否可再次進行收案</w:t>
            </w:r>
            <w:r w:rsidRPr="00547566">
              <w:rPr>
                <w:rFonts w:ascii="Times New Roman" w:eastAsia="標楷體" w:hAnsi="Times New Roman"/>
                <w:color w:val="000000"/>
                <w:sz w:val="28"/>
                <w:szCs w:val="28"/>
              </w:rPr>
              <w:t>?</w:t>
            </w:r>
          </w:p>
        </w:tc>
        <w:tc>
          <w:tcPr>
            <w:tcW w:w="5954" w:type="dxa"/>
            <w:shd w:val="clear" w:color="auto" w:fill="auto"/>
            <w:tcMar>
              <w:top w:w="15" w:type="dxa"/>
              <w:left w:w="28" w:type="dxa"/>
              <w:bottom w:w="0" w:type="dxa"/>
              <w:right w:w="28" w:type="dxa"/>
            </w:tcMar>
          </w:tcPr>
          <w:p w14:paraId="3FE737B9" w14:textId="77777777" w:rsidR="004D6416" w:rsidRPr="00CC0395" w:rsidRDefault="004D6416" w:rsidP="00CC0395">
            <w:pPr>
              <w:spacing w:line="400" w:lineRule="exact"/>
              <w:jc w:val="both"/>
              <w:rPr>
                <w:rFonts w:ascii="Times New Roman" w:eastAsia="標楷體" w:hAnsi="Times New Roman"/>
                <w:color w:val="000000"/>
                <w:sz w:val="28"/>
                <w:szCs w:val="28"/>
              </w:rPr>
            </w:pPr>
            <w:r w:rsidRPr="00CC0395">
              <w:rPr>
                <w:rFonts w:ascii="Times New Roman" w:eastAsia="標楷體" w:hAnsi="Times New Roman"/>
                <w:color w:val="000000"/>
                <w:sz w:val="28"/>
                <w:szCs w:val="28"/>
              </w:rPr>
              <w:t>倘</w:t>
            </w:r>
            <w:r w:rsidRPr="00CC0395">
              <w:rPr>
                <w:rFonts w:ascii="Times New Roman" w:eastAsia="標楷體" w:hAnsi="Times New Roman" w:hint="eastAsia"/>
                <w:color w:val="000000"/>
                <w:sz w:val="28"/>
                <w:szCs w:val="28"/>
              </w:rPr>
              <w:t>病人</w:t>
            </w:r>
            <w:r w:rsidRPr="00CC0395">
              <w:rPr>
                <w:rFonts w:ascii="Times New Roman" w:eastAsia="標楷體" w:hAnsi="Times New Roman"/>
                <w:color w:val="000000"/>
                <w:sz w:val="28"/>
                <w:szCs w:val="28"/>
              </w:rPr>
              <w:t>結案後再次發生新的急性住院事件，可視為新的照護需求重新收案。</w:t>
            </w:r>
          </w:p>
        </w:tc>
      </w:tr>
      <w:tr w:rsidR="006F0029" w14:paraId="69EEB209" w14:textId="77777777" w:rsidTr="005D1545">
        <w:trPr>
          <w:trHeight w:val="1259"/>
        </w:trPr>
        <w:tc>
          <w:tcPr>
            <w:tcW w:w="4111" w:type="dxa"/>
            <w:shd w:val="clear" w:color="auto" w:fill="auto"/>
            <w:tcMar>
              <w:top w:w="15" w:type="dxa"/>
              <w:left w:w="28" w:type="dxa"/>
              <w:bottom w:w="0" w:type="dxa"/>
              <w:right w:w="28" w:type="dxa"/>
            </w:tcMar>
          </w:tcPr>
          <w:p w14:paraId="67C613E6" w14:textId="77777777" w:rsidR="006F0029" w:rsidRPr="00547566" w:rsidRDefault="006F0029" w:rsidP="001E7E7F">
            <w:pPr>
              <w:pStyle w:val="a7"/>
              <w:numPr>
                <w:ilvl w:val="0"/>
                <w:numId w:val="6"/>
              </w:numPr>
              <w:tabs>
                <w:tab w:val="left" w:pos="537"/>
              </w:tabs>
              <w:spacing w:line="400" w:lineRule="exact"/>
              <w:ind w:left="395" w:hanging="395"/>
              <w:jc w:val="both"/>
              <w:rPr>
                <w:rFonts w:ascii="Times New Roman" w:eastAsia="標楷體" w:hAnsi="Times New Roman"/>
                <w:color w:val="000000"/>
                <w:sz w:val="28"/>
                <w:szCs w:val="28"/>
              </w:rPr>
            </w:pPr>
            <w:r w:rsidRPr="006F0029">
              <w:rPr>
                <w:rFonts w:ascii="Times New Roman" w:eastAsia="標楷體" w:hAnsi="Times New Roman"/>
                <w:color w:val="000000"/>
                <w:sz w:val="28"/>
                <w:szCs w:val="28"/>
              </w:rPr>
              <w:t>若</w:t>
            </w:r>
            <w:r w:rsidRPr="005D7BF7">
              <w:rPr>
                <w:rFonts w:ascii="Times New Roman" w:eastAsia="標楷體" w:hAnsi="Times New Roman"/>
                <w:color w:val="000000"/>
                <w:sz w:val="28"/>
                <w:szCs w:val="28"/>
              </w:rPr>
              <w:t>病人在收案時已服用</w:t>
            </w:r>
            <w:proofErr w:type="spellStart"/>
            <w:r w:rsidR="00916E3F">
              <w:rPr>
                <w:rFonts w:ascii="Times New Roman" w:eastAsia="標楷體" w:hAnsi="Times New Roman"/>
                <w:color w:val="000000"/>
                <w:sz w:val="28"/>
                <w:szCs w:val="28"/>
              </w:rPr>
              <w:t>S</w:t>
            </w:r>
            <w:r w:rsidRPr="005D7BF7">
              <w:rPr>
                <w:rFonts w:ascii="Times New Roman" w:eastAsia="標楷體" w:hAnsi="Times New Roman"/>
                <w:color w:val="000000"/>
                <w:sz w:val="28"/>
                <w:szCs w:val="28"/>
              </w:rPr>
              <w:t>tatin+Ezetimibe</w:t>
            </w:r>
            <w:proofErr w:type="spellEnd"/>
            <w:r w:rsidRPr="005D7BF7">
              <w:rPr>
                <w:rFonts w:ascii="Times New Roman" w:eastAsia="標楷體" w:hAnsi="Times New Roman"/>
                <w:color w:val="000000"/>
                <w:sz w:val="28"/>
                <w:szCs w:val="28"/>
              </w:rPr>
              <w:t>，且未符合其他健保藥物調藥的空間</w:t>
            </w:r>
            <w:r w:rsidRPr="005D7BF7">
              <w:rPr>
                <w:rFonts w:ascii="Times New Roman" w:eastAsia="標楷體" w:hAnsi="Times New Roman"/>
                <w:color w:val="000000"/>
                <w:sz w:val="28"/>
                <w:szCs w:val="28"/>
              </w:rPr>
              <w:t>(</w:t>
            </w:r>
            <w:r w:rsidRPr="005D7BF7">
              <w:rPr>
                <w:rFonts w:ascii="Times New Roman" w:eastAsia="標楷體" w:hAnsi="Times New Roman"/>
                <w:color w:val="000000"/>
                <w:sz w:val="28"/>
                <w:szCs w:val="28"/>
              </w:rPr>
              <w:t>如</w:t>
            </w:r>
            <w:r w:rsidRPr="005D7BF7">
              <w:rPr>
                <w:rFonts w:ascii="Times New Roman" w:eastAsia="標楷體" w:hAnsi="Times New Roman"/>
                <w:color w:val="000000"/>
                <w:sz w:val="28"/>
                <w:szCs w:val="28"/>
              </w:rPr>
              <w:t>PCSK9)</w:t>
            </w:r>
            <w:r w:rsidRPr="005D7BF7">
              <w:rPr>
                <w:rFonts w:ascii="Times New Roman" w:eastAsia="標楷體" w:hAnsi="Times New Roman"/>
                <w:color w:val="000000"/>
                <w:sz w:val="28"/>
                <w:szCs w:val="28"/>
              </w:rPr>
              <w:t>，是否可以進行收案</w:t>
            </w:r>
            <w:r w:rsidRPr="005D7BF7">
              <w:rPr>
                <w:rFonts w:ascii="Times New Roman" w:eastAsia="標楷體" w:hAnsi="Times New Roman"/>
                <w:color w:val="000000"/>
                <w:sz w:val="28"/>
                <w:szCs w:val="28"/>
              </w:rPr>
              <w:t>?</w:t>
            </w:r>
            <w:r w:rsidRPr="005D7BF7">
              <w:rPr>
                <w:rFonts w:ascii="Times New Roman" w:eastAsia="標楷體" w:hAnsi="Times New Roman"/>
                <w:color w:val="000000"/>
                <w:sz w:val="28"/>
                <w:szCs w:val="28"/>
              </w:rPr>
              <w:t>若可以，收案日</w:t>
            </w:r>
            <w:r w:rsidRPr="005D7BF7">
              <w:rPr>
                <w:rFonts w:ascii="Times New Roman" w:eastAsia="標楷體" w:hAnsi="Times New Roman" w:hint="eastAsia"/>
                <w:color w:val="000000"/>
                <w:sz w:val="28"/>
                <w:szCs w:val="28"/>
              </w:rPr>
              <w:t>與</w:t>
            </w:r>
            <w:r w:rsidRPr="005D7BF7">
              <w:rPr>
                <w:rFonts w:ascii="Times New Roman" w:eastAsia="標楷體" w:hAnsi="Times New Roman"/>
                <w:color w:val="000000"/>
                <w:sz w:val="28"/>
                <w:szCs w:val="28"/>
              </w:rPr>
              <w:t>起始治療日</w:t>
            </w:r>
            <w:r w:rsidRPr="005D7BF7">
              <w:rPr>
                <w:rFonts w:ascii="Times New Roman" w:eastAsia="標楷體" w:hAnsi="Times New Roman" w:hint="eastAsia"/>
                <w:color w:val="000000"/>
                <w:sz w:val="28"/>
                <w:szCs w:val="28"/>
              </w:rPr>
              <w:t>為何日</w:t>
            </w:r>
            <w:r w:rsidRPr="005D7BF7">
              <w:rPr>
                <w:rFonts w:ascii="Times New Roman" w:eastAsia="標楷體" w:hAnsi="Times New Roman"/>
                <w:color w:val="000000"/>
                <w:sz w:val="28"/>
                <w:szCs w:val="28"/>
              </w:rPr>
              <w:t>?</w:t>
            </w:r>
          </w:p>
        </w:tc>
        <w:tc>
          <w:tcPr>
            <w:tcW w:w="5954" w:type="dxa"/>
            <w:shd w:val="clear" w:color="auto" w:fill="auto"/>
            <w:tcMar>
              <w:top w:w="15" w:type="dxa"/>
              <w:left w:w="28" w:type="dxa"/>
              <w:bottom w:w="0" w:type="dxa"/>
              <w:right w:w="28" w:type="dxa"/>
            </w:tcMar>
          </w:tcPr>
          <w:p w14:paraId="34F65A30" w14:textId="77777777" w:rsidR="006F0029" w:rsidRPr="006F0029" w:rsidRDefault="006F0029" w:rsidP="006F0029">
            <w:pPr>
              <w:spacing w:line="400" w:lineRule="exact"/>
              <w:jc w:val="both"/>
              <w:rPr>
                <w:rFonts w:ascii="Times New Roman" w:eastAsia="標楷體" w:hAnsi="Times New Roman"/>
                <w:color w:val="000000"/>
                <w:sz w:val="28"/>
                <w:szCs w:val="28"/>
              </w:rPr>
            </w:pPr>
            <w:r w:rsidRPr="005D7BF7">
              <w:rPr>
                <w:rFonts w:ascii="Times New Roman" w:eastAsia="標楷體" w:hAnsi="Times New Roman" w:hint="eastAsia"/>
                <w:color w:val="000000"/>
                <w:sz w:val="28"/>
                <w:szCs w:val="28"/>
              </w:rPr>
              <w:t>倘病人符合收案條件又</w:t>
            </w:r>
            <w:r>
              <w:rPr>
                <w:rFonts w:ascii="Times New Roman" w:eastAsia="標楷體" w:hAnsi="Times New Roman" w:hint="eastAsia"/>
                <w:color w:val="000000"/>
                <w:sz w:val="28"/>
                <w:szCs w:val="28"/>
              </w:rPr>
              <w:t>於本方案</w:t>
            </w:r>
            <w:r w:rsidRPr="005D7BF7">
              <w:rPr>
                <w:rFonts w:ascii="Times New Roman" w:eastAsia="標楷體" w:hAnsi="Times New Roman" w:hint="eastAsia"/>
                <w:color w:val="000000"/>
                <w:sz w:val="28"/>
                <w:szCs w:val="28"/>
              </w:rPr>
              <w:t>收案前已服用</w:t>
            </w:r>
            <w:proofErr w:type="spellStart"/>
            <w:r w:rsidR="00916E3F">
              <w:rPr>
                <w:rFonts w:ascii="Times New Roman" w:eastAsia="標楷體" w:hAnsi="Times New Roman"/>
                <w:color w:val="000000"/>
                <w:sz w:val="28"/>
                <w:szCs w:val="28"/>
              </w:rPr>
              <w:t>S</w:t>
            </w:r>
            <w:r w:rsidRPr="005D7BF7">
              <w:rPr>
                <w:rFonts w:ascii="Times New Roman" w:eastAsia="標楷體" w:hAnsi="Times New Roman" w:hint="eastAsia"/>
                <w:color w:val="000000"/>
                <w:sz w:val="28"/>
                <w:szCs w:val="28"/>
              </w:rPr>
              <w:t>tatin+</w:t>
            </w:r>
            <w:r w:rsidR="00916E3F">
              <w:rPr>
                <w:rFonts w:ascii="Times New Roman" w:eastAsia="標楷體" w:hAnsi="Times New Roman"/>
                <w:color w:val="000000"/>
                <w:sz w:val="28"/>
                <w:szCs w:val="28"/>
              </w:rPr>
              <w:t>E</w:t>
            </w:r>
            <w:r w:rsidRPr="005D7BF7">
              <w:rPr>
                <w:rFonts w:ascii="Times New Roman" w:eastAsia="標楷體" w:hAnsi="Times New Roman" w:hint="eastAsia"/>
                <w:color w:val="000000"/>
                <w:sz w:val="28"/>
                <w:szCs w:val="28"/>
              </w:rPr>
              <w:t>zetimibe</w:t>
            </w:r>
            <w:proofErr w:type="spellEnd"/>
            <w:r w:rsidRPr="005D7BF7">
              <w:rPr>
                <w:rFonts w:ascii="Times New Roman" w:eastAsia="標楷體" w:hAnsi="Times New Roman" w:hint="eastAsia"/>
                <w:color w:val="000000"/>
                <w:sz w:val="28"/>
                <w:szCs w:val="28"/>
              </w:rPr>
              <w:t>，可進行收案，並以本方案收案日作為</w:t>
            </w:r>
            <w:r w:rsidR="00E17E11">
              <w:rPr>
                <w:rFonts w:ascii="Times New Roman" w:eastAsia="標楷體" w:hAnsi="Times New Roman" w:hint="eastAsia"/>
                <w:color w:val="000000"/>
                <w:sz w:val="28"/>
                <w:szCs w:val="28"/>
              </w:rPr>
              <w:t>本</w:t>
            </w:r>
            <w:r w:rsidRPr="005D7BF7">
              <w:rPr>
                <w:rFonts w:ascii="Times New Roman" w:eastAsia="標楷體" w:hAnsi="Times New Roman" w:hint="eastAsia"/>
                <w:color w:val="000000"/>
                <w:sz w:val="28"/>
                <w:szCs w:val="28"/>
              </w:rPr>
              <w:t>方案個案管理</w:t>
            </w:r>
            <w:r w:rsidR="00E17E11">
              <w:rPr>
                <w:rFonts w:ascii="Times New Roman" w:eastAsia="標楷體" w:hAnsi="Times New Roman" w:hint="eastAsia"/>
                <w:color w:val="000000"/>
                <w:sz w:val="28"/>
                <w:szCs w:val="28"/>
              </w:rPr>
              <w:t>(</w:t>
            </w:r>
            <w:r w:rsidR="00E17E11">
              <w:rPr>
                <w:rFonts w:ascii="Times New Roman" w:eastAsia="標楷體" w:hAnsi="Times New Roman" w:hint="eastAsia"/>
                <w:color w:val="000000"/>
                <w:sz w:val="28"/>
                <w:szCs w:val="28"/>
              </w:rPr>
              <w:t>附件</w:t>
            </w:r>
            <w:r w:rsidR="00E17E11">
              <w:rPr>
                <w:rFonts w:ascii="Times New Roman" w:eastAsia="標楷體" w:hAnsi="Times New Roman" w:hint="eastAsia"/>
                <w:color w:val="000000"/>
                <w:sz w:val="28"/>
                <w:szCs w:val="28"/>
              </w:rPr>
              <w:t>5</w:t>
            </w:r>
            <w:r w:rsidR="00E17E11">
              <w:rPr>
                <w:rFonts w:ascii="Times New Roman" w:eastAsia="標楷體" w:hAnsi="Times New Roman" w:hint="eastAsia"/>
                <w:color w:val="000000"/>
                <w:sz w:val="28"/>
                <w:szCs w:val="28"/>
              </w:rPr>
              <w:t>，流程所示之</w:t>
            </w:r>
            <w:r w:rsidR="00E17E11">
              <w:rPr>
                <w:rFonts w:ascii="Times New Roman" w:eastAsia="標楷體" w:hAnsi="Times New Roman" w:hint="eastAsia"/>
                <w:color w:val="000000"/>
                <w:sz w:val="28"/>
                <w:szCs w:val="28"/>
              </w:rPr>
              <w:t>)</w:t>
            </w:r>
            <w:r w:rsidRPr="005D7BF7">
              <w:rPr>
                <w:rFonts w:ascii="Times New Roman" w:eastAsia="標楷體" w:hAnsi="Times New Roman" w:hint="eastAsia"/>
                <w:color w:val="000000"/>
                <w:sz w:val="28"/>
                <w:szCs w:val="28"/>
              </w:rPr>
              <w:t>起始治療日。</w:t>
            </w:r>
          </w:p>
        </w:tc>
      </w:tr>
      <w:tr w:rsidR="002D1506" w14:paraId="41BB8905" w14:textId="77777777" w:rsidTr="005D1545">
        <w:trPr>
          <w:trHeight w:val="543"/>
        </w:trPr>
        <w:tc>
          <w:tcPr>
            <w:tcW w:w="10065" w:type="dxa"/>
            <w:gridSpan w:val="2"/>
            <w:shd w:val="clear" w:color="auto" w:fill="FFF2CC"/>
            <w:tcMar>
              <w:top w:w="15" w:type="dxa"/>
              <w:left w:w="28" w:type="dxa"/>
              <w:bottom w:w="0" w:type="dxa"/>
              <w:right w:w="28" w:type="dxa"/>
            </w:tcMar>
            <w:vAlign w:val="center"/>
          </w:tcPr>
          <w:p w14:paraId="0530F1DE" w14:textId="77777777" w:rsidR="002D1506" w:rsidRDefault="002D1506" w:rsidP="002D1506">
            <w:pPr>
              <w:pStyle w:val="a7"/>
              <w:numPr>
                <w:ilvl w:val="0"/>
                <w:numId w:val="2"/>
              </w:numPr>
              <w:suppressAutoHyphens w:val="0"/>
              <w:autoSpaceDE w:val="0"/>
              <w:ind w:left="482" w:hanging="482"/>
              <w:jc w:val="both"/>
              <w:textAlignment w:val="auto"/>
              <w:rPr>
                <w:rFonts w:ascii="Times New Roman" w:eastAsia="標楷體" w:hAnsi="Times New Roman"/>
                <w:b/>
                <w:color w:val="000000"/>
                <w:sz w:val="28"/>
                <w:szCs w:val="28"/>
              </w:rPr>
            </w:pPr>
            <w:r>
              <w:rPr>
                <w:rFonts w:ascii="Times New Roman" w:eastAsia="標楷體" w:hAnsi="Times New Roman"/>
                <w:b/>
                <w:color w:val="000000"/>
                <w:sz w:val="28"/>
                <w:szCs w:val="28"/>
              </w:rPr>
              <w:lastRenderedPageBreak/>
              <w:t>結案</w:t>
            </w:r>
          </w:p>
        </w:tc>
      </w:tr>
      <w:tr w:rsidR="002D1506" w14:paraId="49A79D03" w14:textId="77777777" w:rsidTr="005D1545">
        <w:trPr>
          <w:trHeight w:val="2200"/>
        </w:trPr>
        <w:tc>
          <w:tcPr>
            <w:tcW w:w="4111" w:type="dxa"/>
            <w:shd w:val="clear" w:color="auto" w:fill="auto"/>
            <w:tcMar>
              <w:top w:w="15" w:type="dxa"/>
              <w:left w:w="28" w:type="dxa"/>
              <w:bottom w:w="0" w:type="dxa"/>
              <w:right w:w="28" w:type="dxa"/>
            </w:tcMar>
          </w:tcPr>
          <w:p w14:paraId="52846792" w14:textId="77777777" w:rsidR="002D1506" w:rsidRDefault="002D1506" w:rsidP="002D1506">
            <w:pPr>
              <w:pStyle w:val="a7"/>
              <w:numPr>
                <w:ilvl w:val="0"/>
                <w:numId w:val="12"/>
              </w:numPr>
              <w:tabs>
                <w:tab w:val="left" w:pos="537"/>
              </w:tabs>
              <w:spacing w:line="400" w:lineRule="exact"/>
              <w:ind w:left="387"/>
              <w:jc w:val="both"/>
              <w:rPr>
                <w:rFonts w:ascii="Times New Roman" w:eastAsia="標楷體" w:hAnsi="Times New Roman"/>
                <w:color w:val="000000"/>
                <w:sz w:val="28"/>
                <w:szCs w:val="28"/>
              </w:rPr>
            </w:pPr>
            <w:r>
              <w:rPr>
                <w:rFonts w:ascii="Times New Roman" w:eastAsia="標楷體" w:hAnsi="Times New Roman"/>
                <w:color w:val="000000"/>
                <w:sz w:val="28"/>
                <w:szCs w:val="28"/>
              </w:rPr>
              <w:t>結案原因中，病況穩定若是收案後</w:t>
            </w:r>
            <w:r>
              <w:rPr>
                <w:rFonts w:ascii="Times New Roman" w:eastAsia="標楷體" w:hAnsi="Times New Roman"/>
                <w:color w:val="000000"/>
                <w:sz w:val="28"/>
                <w:szCs w:val="28"/>
              </w:rPr>
              <w:t>6-8</w:t>
            </w:r>
            <w:proofErr w:type="gramStart"/>
            <w:r>
              <w:rPr>
                <w:rFonts w:ascii="Times New Roman" w:eastAsia="標楷體" w:hAnsi="Times New Roman"/>
                <w:color w:val="000000"/>
                <w:sz w:val="28"/>
                <w:szCs w:val="28"/>
              </w:rPr>
              <w:t>週</w:t>
            </w:r>
            <w:proofErr w:type="gramEnd"/>
            <w:r>
              <w:rPr>
                <w:rFonts w:ascii="Times New Roman" w:eastAsia="標楷體" w:hAnsi="Times New Roman"/>
                <w:color w:val="000000"/>
                <w:sz w:val="28"/>
                <w:szCs w:val="28"/>
              </w:rPr>
              <w:t>達標，</w:t>
            </w:r>
            <w:r>
              <w:rPr>
                <w:rFonts w:ascii="Times New Roman" w:eastAsia="標楷體" w:hAnsi="Times New Roman"/>
                <w:color w:val="000000"/>
                <w:sz w:val="28"/>
                <w:szCs w:val="28"/>
              </w:rPr>
              <w:t>6</w:t>
            </w:r>
            <w:r>
              <w:rPr>
                <w:rFonts w:ascii="Times New Roman" w:eastAsia="標楷體" w:hAnsi="Times New Roman"/>
                <w:color w:val="000000"/>
                <w:sz w:val="28"/>
                <w:szCs w:val="28"/>
              </w:rPr>
              <w:t>個月達標。則可結案</w:t>
            </w:r>
            <w:r>
              <w:rPr>
                <w:rFonts w:ascii="Times New Roman" w:eastAsia="標楷體" w:hAnsi="Times New Roman"/>
                <w:color w:val="000000"/>
                <w:sz w:val="28"/>
                <w:szCs w:val="28"/>
              </w:rPr>
              <w:t>?</w:t>
            </w:r>
          </w:p>
        </w:tc>
        <w:tc>
          <w:tcPr>
            <w:tcW w:w="5954" w:type="dxa"/>
            <w:shd w:val="clear" w:color="auto" w:fill="auto"/>
            <w:tcMar>
              <w:top w:w="15" w:type="dxa"/>
              <w:left w:w="28" w:type="dxa"/>
              <w:bottom w:w="0" w:type="dxa"/>
              <w:right w:w="28" w:type="dxa"/>
            </w:tcMar>
          </w:tcPr>
          <w:p w14:paraId="3C863550" w14:textId="77777777" w:rsidR="002D1506" w:rsidRDefault="002D1506" w:rsidP="002D1506">
            <w:pPr>
              <w:pStyle w:val="a7"/>
              <w:numPr>
                <w:ilvl w:val="0"/>
                <w:numId w:val="21"/>
              </w:numPr>
              <w:spacing w:line="400" w:lineRule="exact"/>
              <w:jc w:val="both"/>
              <w:rPr>
                <w:rFonts w:ascii="Times New Roman" w:eastAsia="標楷體" w:hAnsi="Times New Roman"/>
                <w:color w:val="000000"/>
                <w:sz w:val="28"/>
                <w:szCs w:val="28"/>
              </w:rPr>
            </w:pPr>
            <w:r w:rsidRPr="00C15134">
              <w:rPr>
                <w:rFonts w:ascii="Times New Roman" w:eastAsia="標楷體" w:hAnsi="Times New Roman"/>
                <w:color w:val="000000"/>
                <w:sz w:val="28"/>
                <w:szCs w:val="28"/>
              </w:rPr>
              <w:t>本方案對於「病況穩定」之結案條件定義為收案後經連續</w:t>
            </w:r>
            <w:r w:rsidRPr="00C15134">
              <w:rPr>
                <w:rFonts w:ascii="Times New Roman" w:eastAsia="標楷體" w:hAnsi="Times New Roman"/>
                <w:color w:val="000000"/>
                <w:sz w:val="28"/>
                <w:szCs w:val="28"/>
              </w:rPr>
              <w:t>2</w:t>
            </w:r>
            <w:r w:rsidRPr="00C15134">
              <w:rPr>
                <w:rFonts w:ascii="Times New Roman" w:eastAsia="標楷體" w:hAnsi="Times New Roman"/>
                <w:color w:val="000000"/>
                <w:sz w:val="28"/>
                <w:szCs w:val="28"/>
              </w:rPr>
              <w:t>次檢測</w:t>
            </w:r>
            <w:r w:rsidRPr="00C15134">
              <w:rPr>
                <w:rFonts w:ascii="Times New Roman" w:eastAsia="標楷體" w:hAnsi="Times New Roman"/>
                <w:color w:val="000000"/>
                <w:sz w:val="28"/>
                <w:szCs w:val="28"/>
              </w:rPr>
              <w:t>LDL-C</w:t>
            </w:r>
            <w:r w:rsidRPr="00C15134">
              <w:rPr>
                <w:rFonts w:ascii="Times New Roman" w:eastAsia="標楷體" w:hAnsi="Times New Roman"/>
                <w:color w:val="000000"/>
                <w:sz w:val="28"/>
                <w:szCs w:val="28"/>
              </w:rPr>
              <w:t>皆達標</w:t>
            </w:r>
            <w:r w:rsidRPr="00C15134">
              <w:rPr>
                <w:rFonts w:ascii="Times New Roman" w:eastAsia="標楷體" w:hAnsi="Times New Roman" w:hint="eastAsia"/>
                <w:color w:val="000000"/>
                <w:sz w:val="28"/>
                <w:szCs w:val="28"/>
              </w:rPr>
              <w:t>(</w:t>
            </w:r>
            <w:r w:rsidRPr="00C15134">
              <w:rPr>
                <w:rFonts w:ascii="Times New Roman" w:eastAsia="標楷體" w:hAnsi="Times New Roman" w:hint="eastAsia"/>
                <w:color w:val="000000"/>
                <w:sz w:val="28"/>
                <w:szCs w:val="28"/>
              </w:rPr>
              <w:t>非常高風險</w:t>
            </w:r>
            <w:r w:rsidRPr="00C15134">
              <w:rPr>
                <w:rFonts w:ascii="Times New Roman" w:eastAsia="標楷體" w:hAnsi="Times New Roman" w:hint="eastAsia"/>
                <w:color w:val="000000"/>
                <w:sz w:val="28"/>
                <w:szCs w:val="28"/>
              </w:rPr>
              <w:t>L</w:t>
            </w:r>
            <w:r w:rsidRPr="00C15134">
              <w:rPr>
                <w:rFonts w:ascii="Times New Roman" w:eastAsia="標楷體" w:hAnsi="Times New Roman"/>
                <w:color w:val="000000"/>
                <w:sz w:val="28"/>
                <w:szCs w:val="28"/>
              </w:rPr>
              <w:t>DL-C</w:t>
            </w:r>
            <w:r w:rsidRPr="0095312A">
              <w:t xml:space="preserve"> </w:t>
            </w:r>
            <w:r w:rsidRPr="00C15134">
              <w:rPr>
                <w:rFonts w:ascii="Times New Roman" w:eastAsia="標楷體" w:hAnsi="Times New Roman"/>
                <w:color w:val="000000"/>
                <w:sz w:val="28"/>
                <w:szCs w:val="28"/>
              </w:rPr>
              <w:t>&lt;70 mg/dL</w:t>
            </w:r>
            <w:r w:rsidRPr="00C15134">
              <w:rPr>
                <w:rFonts w:ascii="Times New Roman" w:eastAsia="標楷體" w:hAnsi="Times New Roman" w:hint="eastAsia"/>
                <w:color w:val="000000"/>
                <w:sz w:val="28"/>
                <w:szCs w:val="28"/>
              </w:rPr>
              <w:t>、極高風險</w:t>
            </w:r>
            <w:r w:rsidRPr="00C15134">
              <w:rPr>
                <w:rFonts w:ascii="Times New Roman" w:eastAsia="標楷體" w:hAnsi="Times New Roman" w:hint="eastAsia"/>
                <w:color w:val="000000"/>
                <w:sz w:val="28"/>
                <w:szCs w:val="28"/>
              </w:rPr>
              <w:t>L</w:t>
            </w:r>
            <w:r w:rsidRPr="00C15134">
              <w:rPr>
                <w:rFonts w:ascii="Times New Roman" w:eastAsia="標楷體" w:hAnsi="Times New Roman"/>
                <w:color w:val="000000"/>
                <w:sz w:val="28"/>
                <w:szCs w:val="28"/>
              </w:rPr>
              <w:t>DL-C</w:t>
            </w:r>
            <w:r w:rsidRPr="0095312A">
              <w:t xml:space="preserve"> </w:t>
            </w:r>
            <w:r w:rsidRPr="00C15134">
              <w:rPr>
                <w:rFonts w:ascii="Times New Roman" w:eastAsia="標楷體" w:hAnsi="Times New Roman"/>
                <w:color w:val="000000"/>
                <w:sz w:val="28"/>
                <w:szCs w:val="28"/>
              </w:rPr>
              <w:t>&lt;</w:t>
            </w:r>
            <w:r w:rsidRPr="00C15134">
              <w:rPr>
                <w:rFonts w:ascii="Times New Roman" w:eastAsia="標楷體" w:hAnsi="Times New Roman" w:hint="eastAsia"/>
                <w:color w:val="000000"/>
                <w:sz w:val="28"/>
                <w:szCs w:val="28"/>
              </w:rPr>
              <w:t>55</w:t>
            </w:r>
            <w:r w:rsidRPr="00C15134">
              <w:rPr>
                <w:rFonts w:ascii="Times New Roman" w:eastAsia="標楷體" w:hAnsi="Times New Roman"/>
                <w:color w:val="000000"/>
                <w:sz w:val="28"/>
                <w:szCs w:val="28"/>
              </w:rPr>
              <w:t xml:space="preserve"> mg/dL</w:t>
            </w:r>
            <w:r w:rsidRPr="00C15134">
              <w:rPr>
                <w:rFonts w:ascii="Times New Roman" w:eastAsia="標楷體" w:hAnsi="Times New Roman" w:hint="eastAsia"/>
                <w:color w:val="000000"/>
                <w:sz w:val="28"/>
                <w:szCs w:val="28"/>
              </w:rPr>
              <w:t>)</w:t>
            </w:r>
            <w:r w:rsidRPr="00C15134">
              <w:rPr>
                <w:rFonts w:ascii="Times New Roman" w:eastAsia="標楷體" w:hAnsi="Times New Roman"/>
                <w:color w:val="000000"/>
                <w:sz w:val="28"/>
                <w:szCs w:val="28"/>
              </w:rPr>
              <w:t>。</w:t>
            </w:r>
          </w:p>
          <w:p w14:paraId="03B81FC6" w14:textId="77777777" w:rsidR="002D1506" w:rsidRPr="00C15134" w:rsidRDefault="002D1506" w:rsidP="002D1506">
            <w:pPr>
              <w:pStyle w:val="a7"/>
              <w:numPr>
                <w:ilvl w:val="0"/>
                <w:numId w:val="21"/>
              </w:numPr>
              <w:spacing w:line="400" w:lineRule="exact"/>
              <w:jc w:val="both"/>
              <w:rPr>
                <w:rFonts w:ascii="Times New Roman" w:eastAsia="標楷體" w:hAnsi="Times New Roman"/>
                <w:color w:val="000000"/>
                <w:sz w:val="28"/>
                <w:szCs w:val="28"/>
              </w:rPr>
            </w:pPr>
            <w:r>
              <w:rPr>
                <w:rFonts w:ascii="Times New Roman" w:eastAsia="標楷體" w:hAnsi="Times New Roman" w:hint="eastAsia"/>
                <w:color w:val="000000"/>
                <w:sz w:val="28"/>
                <w:szCs w:val="28"/>
              </w:rPr>
              <w:t>若個案</w:t>
            </w:r>
            <w:r w:rsidRPr="00C15134">
              <w:rPr>
                <w:rFonts w:ascii="Times New Roman" w:eastAsia="標楷體" w:hAnsi="Times New Roman"/>
                <w:color w:val="000000"/>
                <w:sz w:val="28"/>
                <w:szCs w:val="28"/>
              </w:rPr>
              <w:t>於收案後</w:t>
            </w:r>
            <w:r w:rsidRPr="00C15134">
              <w:rPr>
                <w:rFonts w:ascii="Times New Roman" w:eastAsia="標楷體" w:hAnsi="Times New Roman"/>
                <w:color w:val="000000"/>
                <w:sz w:val="28"/>
                <w:szCs w:val="28"/>
              </w:rPr>
              <w:t>6</w:t>
            </w:r>
            <w:proofErr w:type="gramStart"/>
            <w:r w:rsidRPr="00C15134">
              <w:rPr>
                <w:rFonts w:ascii="Times New Roman" w:eastAsia="標楷體" w:hAnsi="Times New Roman"/>
                <w:color w:val="000000"/>
                <w:sz w:val="28"/>
                <w:szCs w:val="28"/>
              </w:rPr>
              <w:t>–</w:t>
            </w:r>
            <w:proofErr w:type="gramEnd"/>
            <w:r w:rsidRPr="00C15134">
              <w:rPr>
                <w:rFonts w:ascii="Times New Roman" w:eastAsia="標楷體" w:hAnsi="Times New Roman"/>
                <w:color w:val="000000"/>
                <w:sz w:val="28"/>
                <w:szCs w:val="28"/>
              </w:rPr>
              <w:t>8</w:t>
            </w:r>
            <w:proofErr w:type="gramStart"/>
            <w:r w:rsidRPr="00C15134">
              <w:rPr>
                <w:rFonts w:ascii="Times New Roman" w:eastAsia="標楷體" w:hAnsi="Times New Roman"/>
                <w:color w:val="000000"/>
                <w:sz w:val="28"/>
                <w:szCs w:val="28"/>
              </w:rPr>
              <w:t>週</w:t>
            </w:r>
            <w:proofErr w:type="gramEnd"/>
            <w:r w:rsidRPr="00C15134">
              <w:rPr>
                <w:rFonts w:ascii="Times New Roman" w:eastAsia="標楷體" w:hAnsi="Times New Roman"/>
                <w:color w:val="000000"/>
                <w:sz w:val="28"/>
                <w:szCs w:val="28"/>
              </w:rPr>
              <w:t>或</w:t>
            </w:r>
            <w:r w:rsidRPr="00C15134">
              <w:rPr>
                <w:rFonts w:ascii="Times New Roman" w:eastAsia="標楷體" w:hAnsi="Times New Roman"/>
                <w:color w:val="000000"/>
                <w:sz w:val="28"/>
                <w:szCs w:val="28"/>
              </w:rPr>
              <w:t>6</w:t>
            </w:r>
            <w:r w:rsidRPr="00C15134">
              <w:rPr>
                <w:rFonts w:ascii="Times New Roman" w:eastAsia="標楷體" w:hAnsi="Times New Roman"/>
                <w:color w:val="000000"/>
                <w:sz w:val="28"/>
                <w:szCs w:val="28"/>
              </w:rPr>
              <w:t>個月完成方案規定之追蹤評估，並達成控制目標，評估病況穩定者，</w:t>
            </w:r>
            <w:r>
              <w:rPr>
                <w:rFonts w:ascii="Times New Roman" w:eastAsia="標楷體" w:hAnsi="Times New Roman" w:hint="eastAsia"/>
                <w:color w:val="000000"/>
                <w:sz w:val="28"/>
                <w:szCs w:val="28"/>
              </w:rPr>
              <w:t>即符合</w:t>
            </w:r>
            <w:r w:rsidRPr="00C15134">
              <w:rPr>
                <w:rFonts w:ascii="Times New Roman" w:eastAsia="標楷體" w:hAnsi="Times New Roman"/>
                <w:color w:val="000000"/>
                <w:sz w:val="28"/>
                <w:szCs w:val="28"/>
              </w:rPr>
              <w:t>結案原因「病況穩定」</w:t>
            </w:r>
            <w:r>
              <w:rPr>
                <w:rFonts w:ascii="Times New Roman" w:eastAsia="標楷體" w:hAnsi="Times New Roman" w:hint="eastAsia"/>
                <w:color w:val="000000"/>
                <w:sz w:val="28"/>
                <w:szCs w:val="28"/>
              </w:rPr>
              <w:t>，</w:t>
            </w:r>
            <w:r w:rsidRPr="00C15134">
              <w:rPr>
                <w:rFonts w:ascii="Times New Roman" w:eastAsia="標楷體" w:hAnsi="Times New Roman"/>
                <w:color w:val="000000"/>
                <w:sz w:val="28"/>
                <w:szCs w:val="28"/>
              </w:rPr>
              <w:t>得</w:t>
            </w:r>
            <w:r w:rsidR="009A658A">
              <w:rPr>
                <w:rFonts w:ascii="Times New Roman" w:eastAsia="標楷體" w:hAnsi="Times New Roman" w:hint="eastAsia"/>
                <w:color w:val="000000"/>
                <w:sz w:val="28"/>
                <w:szCs w:val="28"/>
              </w:rPr>
              <w:t>於</w:t>
            </w:r>
            <w:r w:rsidR="009A658A">
              <w:rPr>
                <w:rFonts w:ascii="Times New Roman" w:eastAsia="標楷體" w:hAnsi="Times New Roman" w:hint="eastAsia"/>
                <w:color w:val="000000"/>
                <w:sz w:val="28"/>
                <w:szCs w:val="28"/>
              </w:rPr>
              <w:t>VPN</w:t>
            </w:r>
            <w:r w:rsidRPr="00C15134">
              <w:rPr>
                <w:rFonts w:ascii="Times New Roman" w:eastAsia="標楷體" w:hAnsi="Times New Roman"/>
                <w:color w:val="000000"/>
                <w:sz w:val="28"/>
                <w:szCs w:val="28"/>
              </w:rPr>
              <w:t>辦理結案。</w:t>
            </w:r>
          </w:p>
        </w:tc>
      </w:tr>
      <w:tr w:rsidR="002D1506" w14:paraId="184B2B0A" w14:textId="77777777" w:rsidTr="005D1545">
        <w:trPr>
          <w:trHeight w:val="2200"/>
        </w:trPr>
        <w:tc>
          <w:tcPr>
            <w:tcW w:w="4111" w:type="dxa"/>
            <w:shd w:val="clear" w:color="auto" w:fill="auto"/>
            <w:tcMar>
              <w:top w:w="15" w:type="dxa"/>
              <w:left w:w="28" w:type="dxa"/>
              <w:bottom w:w="0" w:type="dxa"/>
              <w:right w:w="28" w:type="dxa"/>
            </w:tcMar>
          </w:tcPr>
          <w:p w14:paraId="3E3F4AC4" w14:textId="77777777" w:rsidR="002D1506" w:rsidRDefault="002D1506" w:rsidP="002D1506">
            <w:pPr>
              <w:pStyle w:val="a7"/>
              <w:numPr>
                <w:ilvl w:val="0"/>
                <w:numId w:val="12"/>
              </w:numPr>
              <w:tabs>
                <w:tab w:val="left" w:pos="537"/>
              </w:tabs>
              <w:spacing w:line="400" w:lineRule="exact"/>
              <w:ind w:left="395" w:hanging="395"/>
              <w:jc w:val="both"/>
              <w:rPr>
                <w:rFonts w:ascii="Times New Roman" w:eastAsia="標楷體" w:hAnsi="Times New Roman"/>
                <w:color w:val="000000"/>
                <w:sz w:val="28"/>
                <w:szCs w:val="28"/>
              </w:rPr>
            </w:pPr>
            <w:r>
              <w:rPr>
                <w:rFonts w:ascii="Times New Roman" w:eastAsia="標楷體" w:hAnsi="Times New Roman"/>
                <w:color w:val="000000"/>
                <w:sz w:val="28"/>
                <w:szCs w:val="28"/>
              </w:rPr>
              <w:t>給付項目及支付標準包含</w:t>
            </w:r>
            <w:r>
              <w:rPr>
                <w:rFonts w:ascii="Times New Roman" w:eastAsia="標楷體" w:hAnsi="Times New Roman"/>
                <w:color w:val="000000"/>
                <w:sz w:val="28"/>
                <w:szCs w:val="28"/>
              </w:rPr>
              <w:t>P8902B</w:t>
            </w:r>
            <w:r>
              <w:rPr>
                <w:rFonts w:ascii="Times New Roman" w:eastAsia="標楷體" w:hAnsi="Times New Roman"/>
                <w:color w:val="000000"/>
                <w:sz w:val="28"/>
                <w:szCs w:val="28"/>
              </w:rPr>
              <w:t>「年度</w:t>
            </w:r>
            <w:proofErr w:type="gramStart"/>
            <w:r>
              <w:rPr>
                <w:rFonts w:ascii="Times New Roman" w:eastAsia="標楷體" w:hAnsi="Times New Roman"/>
                <w:color w:val="000000"/>
                <w:sz w:val="28"/>
                <w:szCs w:val="28"/>
              </w:rPr>
              <w:t>收案照護</w:t>
            </w:r>
            <w:proofErr w:type="gramEnd"/>
            <w:r>
              <w:rPr>
                <w:rFonts w:ascii="Times New Roman" w:eastAsia="標楷體" w:hAnsi="Times New Roman"/>
                <w:color w:val="000000"/>
                <w:sz w:val="28"/>
                <w:szCs w:val="28"/>
              </w:rPr>
              <w:t>費」，是對應</w:t>
            </w:r>
            <w:r>
              <w:rPr>
                <w:rFonts w:ascii="Times New Roman" w:eastAsia="標楷體" w:hAnsi="Times New Roman"/>
                <w:color w:val="000000"/>
                <w:sz w:val="28"/>
                <w:szCs w:val="28"/>
              </w:rPr>
              <w:t>VPN</w:t>
            </w:r>
            <w:r>
              <w:rPr>
                <w:rFonts w:ascii="Times New Roman" w:eastAsia="標楷體" w:hAnsi="Times New Roman"/>
                <w:color w:val="000000"/>
                <w:sz w:val="28"/>
                <w:szCs w:val="28"/>
              </w:rPr>
              <w:t>的</w:t>
            </w:r>
            <w:r>
              <w:rPr>
                <w:rFonts w:ascii="Times New Roman" w:eastAsia="標楷體" w:hAnsi="Times New Roman" w:hint="eastAsia"/>
                <w:color w:val="000000"/>
                <w:sz w:val="28"/>
                <w:szCs w:val="28"/>
              </w:rPr>
              <w:t>「</w:t>
            </w:r>
            <w:r>
              <w:rPr>
                <w:rFonts w:ascii="Times New Roman" w:eastAsia="標楷體" w:hAnsi="Times New Roman"/>
                <w:color w:val="000000"/>
                <w:sz w:val="28"/>
                <w:szCs w:val="28"/>
              </w:rPr>
              <w:t>追蹤管理必須登錄欄位」或</w:t>
            </w:r>
            <w:r>
              <w:rPr>
                <w:rFonts w:ascii="Times New Roman" w:eastAsia="標楷體" w:hAnsi="Times New Roman" w:hint="eastAsia"/>
                <w:color w:val="000000"/>
                <w:sz w:val="28"/>
                <w:szCs w:val="28"/>
              </w:rPr>
              <w:t>「</w:t>
            </w:r>
            <w:r>
              <w:rPr>
                <w:rFonts w:ascii="Times New Roman" w:eastAsia="標楷體" w:hAnsi="Times New Roman"/>
                <w:color w:val="000000"/>
                <w:sz w:val="28"/>
                <w:szCs w:val="28"/>
              </w:rPr>
              <w:t>結案必須登錄欄位」</w:t>
            </w:r>
            <w:r>
              <w:rPr>
                <w:rFonts w:ascii="Times New Roman" w:eastAsia="標楷體" w:hAnsi="Times New Roman"/>
                <w:color w:val="000000"/>
                <w:sz w:val="28"/>
                <w:szCs w:val="28"/>
              </w:rPr>
              <w:t>?VPN</w:t>
            </w:r>
            <w:r>
              <w:rPr>
                <w:rFonts w:ascii="Times New Roman" w:eastAsia="標楷體" w:hAnsi="Times New Roman"/>
                <w:color w:val="000000"/>
                <w:sz w:val="28"/>
                <w:szCs w:val="28"/>
              </w:rPr>
              <w:t>上追蹤管理日和結案日可否為同一天</w:t>
            </w:r>
            <w:r>
              <w:rPr>
                <w:rFonts w:ascii="Times New Roman" w:eastAsia="標楷體" w:hAnsi="Times New Roman"/>
                <w:color w:val="000000"/>
                <w:sz w:val="28"/>
                <w:szCs w:val="28"/>
              </w:rPr>
              <w:t>?</w:t>
            </w:r>
          </w:p>
        </w:tc>
        <w:tc>
          <w:tcPr>
            <w:tcW w:w="5954" w:type="dxa"/>
            <w:shd w:val="clear" w:color="auto" w:fill="auto"/>
            <w:tcMar>
              <w:top w:w="15" w:type="dxa"/>
              <w:left w:w="28" w:type="dxa"/>
              <w:bottom w:w="0" w:type="dxa"/>
              <w:right w:w="28" w:type="dxa"/>
            </w:tcMar>
          </w:tcPr>
          <w:p w14:paraId="1D241068" w14:textId="77777777" w:rsidR="002D1506" w:rsidRDefault="002D1506" w:rsidP="002D1506">
            <w:pPr>
              <w:pStyle w:val="a7"/>
              <w:numPr>
                <w:ilvl w:val="0"/>
                <w:numId w:val="13"/>
              </w:numPr>
              <w:spacing w:line="40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P8902B</w:t>
            </w:r>
            <w:r>
              <w:rPr>
                <w:rFonts w:ascii="Times New Roman" w:eastAsia="標楷體" w:hAnsi="Times New Roman"/>
                <w:color w:val="000000"/>
                <w:sz w:val="28"/>
                <w:szCs w:val="28"/>
              </w:rPr>
              <w:t>「年度</w:t>
            </w:r>
            <w:proofErr w:type="gramStart"/>
            <w:r>
              <w:rPr>
                <w:rFonts w:ascii="Times New Roman" w:eastAsia="標楷體" w:hAnsi="Times New Roman"/>
                <w:color w:val="000000"/>
                <w:sz w:val="28"/>
                <w:szCs w:val="28"/>
              </w:rPr>
              <w:t>收案照護</w:t>
            </w:r>
            <w:proofErr w:type="gramEnd"/>
            <w:r>
              <w:rPr>
                <w:rFonts w:ascii="Times New Roman" w:eastAsia="標楷體" w:hAnsi="Times New Roman"/>
                <w:color w:val="000000"/>
                <w:sz w:val="28"/>
                <w:szCs w:val="28"/>
              </w:rPr>
              <w:t>費」係以收案期間個案是否完成年度追蹤管理、依規定登錄追蹤管理相關資料認定。</w:t>
            </w:r>
          </w:p>
          <w:p w14:paraId="0B961909" w14:textId="77777777" w:rsidR="002D1506" w:rsidRDefault="002D1506" w:rsidP="002D1506">
            <w:pPr>
              <w:pStyle w:val="a7"/>
              <w:numPr>
                <w:ilvl w:val="0"/>
                <w:numId w:val="13"/>
              </w:numPr>
              <w:spacing w:line="40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若個案於最後一次追蹤管理後，評估已達成結案條件，可於同一天完成追蹤管理登錄並於同日登錄結案。</w:t>
            </w:r>
          </w:p>
        </w:tc>
      </w:tr>
      <w:tr w:rsidR="002D1506" w14:paraId="5F65F579" w14:textId="77777777" w:rsidTr="005D1545">
        <w:trPr>
          <w:trHeight w:val="2200"/>
        </w:trPr>
        <w:tc>
          <w:tcPr>
            <w:tcW w:w="4111" w:type="dxa"/>
            <w:shd w:val="clear" w:color="auto" w:fill="auto"/>
            <w:tcMar>
              <w:top w:w="15" w:type="dxa"/>
              <w:left w:w="28" w:type="dxa"/>
              <w:bottom w:w="0" w:type="dxa"/>
              <w:right w:w="28" w:type="dxa"/>
            </w:tcMar>
          </w:tcPr>
          <w:p w14:paraId="16BEDE06" w14:textId="77777777" w:rsidR="002D1506" w:rsidRDefault="002D1506" w:rsidP="002D1506">
            <w:pPr>
              <w:pStyle w:val="a7"/>
              <w:numPr>
                <w:ilvl w:val="0"/>
                <w:numId w:val="12"/>
              </w:numPr>
              <w:tabs>
                <w:tab w:val="left" w:pos="537"/>
              </w:tabs>
              <w:spacing w:line="400" w:lineRule="exact"/>
              <w:ind w:left="395" w:hanging="395"/>
              <w:jc w:val="both"/>
              <w:rPr>
                <w:rFonts w:ascii="Times New Roman" w:eastAsia="標楷體" w:hAnsi="Times New Roman"/>
                <w:color w:val="000000"/>
                <w:sz w:val="28"/>
                <w:szCs w:val="28"/>
              </w:rPr>
            </w:pPr>
            <w:r>
              <w:rPr>
                <w:rFonts w:ascii="Times New Roman" w:eastAsia="標楷體" w:hAnsi="Times New Roman"/>
                <w:color w:val="000000"/>
                <w:sz w:val="28"/>
                <w:szCs w:val="28"/>
              </w:rPr>
              <w:t>計畫中所述「如個案病況穩定，</w:t>
            </w:r>
            <w:proofErr w:type="gramStart"/>
            <w:r>
              <w:rPr>
                <w:rFonts w:ascii="Times New Roman" w:eastAsia="標楷體" w:hAnsi="Times New Roman"/>
                <w:color w:val="000000"/>
                <w:sz w:val="28"/>
                <w:szCs w:val="28"/>
              </w:rPr>
              <w:t>鼓勵下轉銜接</w:t>
            </w:r>
            <w:proofErr w:type="gramEnd"/>
            <w:r>
              <w:rPr>
                <w:rFonts w:ascii="Times New Roman" w:eastAsia="標楷體" w:hAnsi="Times New Roman"/>
                <w:color w:val="000000"/>
                <w:sz w:val="28"/>
                <w:szCs w:val="28"/>
              </w:rPr>
              <w:t>…</w:t>
            </w:r>
            <w:r>
              <w:rPr>
                <w:rFonts w:ascii="Times New Roman" w:eastAsia="標楷體" w:hAnsi="Times New Roman"/>
                <w:color w:val="000000"/>
                <w:sz w:val="28"/>
                <w:szCs w:val="28"/>
              </w:rPr>
              <w:t>」，</w:t>
            </w:r>
            <w:proofErr w:type="gramStart"/>
            <w:r>
              <w:rPr>
                <w:rFonts w:ascii="Times New Roman" w:eastAsia="標楷體" w:hAnsi="Times New Roman"/>
                <w:color w:val="000000"/>
                <w:sz w:val="28"/>
                <w:szCs w:val="28"/>
              </w:rPr>
              <w:t>下轉</w:t>
            </w:r>
            <w:r w:rsidR="00875256">
              <w:rPr>
                <w:rFonts w:ascii="Times New Roman" w:eastAsia="標楷體" w:hAnsi="Times New Roman" w:hint="eastAsia"/>
                <w:color w:val="000000"/>
                <w:sz w:val="28"/>
                <w:szCs w:val="28"/>
              </w:rPr>
              <w:t>定義</w:t>
            </w:r>
            <w:proofErr w:type="gramEnd"/>
            <w:r w:rsidR="00875256">
              <w:rPr>
                <w:rFonts w:ascii="Times New Roman" w:eastAsia="標楷體" w:hAnsi="Times New Roman" w:hint="eastAsia"/>
                <w:color w:val="000000"/>
                <w:sz w:val="28"/>
                <w:szCs w:val="28"/>
              </w:rPr>
              <w:t>係</w:t>
            </w:r>
            <w:r w:rsidR="00E92D10">
              <w:rPr>
                <w:rFonts w:ascii="Times New Roman" w:eastAsia="標楷體" w:hAnsi="Times New Roman" w:hint="eastAsia"/>
                <w:color w:val="000000"/>
                <w:sz w:val="28"/>
                <w:szCs w:val="28"/>
              </w:rPr>
              <w:t>指</w:t>
            </w:r>
            <w:r>
              <w:rPr>
                <w:rFonts w:ascii="Times New Roman" w:eastAsia="標楷體" w:hAnsi="Times New Roman"/>
                <w:color w:val="000000"/>
                <w:sz w:val="28"/>
                <w:szCs w:val="28"/>
              </w:rPr>
              <w:t>醫院</w:t>
            </w:r>
            <w:proofErr w:type="gramStart"/>
            <w:r>
              <w:rPr>
                <w:rFonts w:ascii="Times New Roman" w:eastAsia="標楷體" w:hAnsi="Times New Roman"/>
                <w:color w:val="000000"/>
                <w:sz w:val="28"/>
                <w:szCs w:val="28"/>
              </w:rPr>
              <w:t>層級下轉</w:t>
            </w:r>
            <w:proofErr w:type="gramEnd"/>
            <w:r>
              <w:rPr>
                <w:rFonts w:ascii="Times New Roman" w:eastAsia="標楷體" w:hAnsi="Times New Roman"/>
                <w:color w:val="000000"/>
                <w:sz w:val="28"/>
                <w:szCs w:val="28"/>
              </w:rPr>
              <w:t>?</w:t>
            </w:r>
            <w:r>
              <w:rPr>
                <w:rFonts w:ascii="Times New Roman" w:eastAsia="標楷體" w:hAnsi="Times New Roman"/>
                <w:color w:val="000000"/>
                <w:sz w:val="28"/>
                <w:szCs w:val="28"/>
              </w:rPr>
              <w:t>平轉</w:t>
            </w:r>
            <w:r w:rsidR="00E92D10">
              <w:rPr>
                <w:rFonts w:ascii="Times New Roman" w:eastAsia="標楷體" w:hAnsi="Times New Roman" w:hint="eastAsia"/>
                <w:color w:val="000000"/>
                <w:sz w:val="28"/>
                <w:szCs w:val="28"/>
              </w:rPr>
              <w:t>是否符合</w:t>
            </w:r>
            <w:r>
              <w:rPr>
                <w:rFonts w:ascii="Times New Roman" w:eastAsia="標楷體" w:hAnsi="Times New Roman"/>
                <w:color w:val="000000"/>
                <w:sz w:val="28"/>
                <w:szCs w:val="28"/>
              </w:rPr>
              <w:t>?</w:t>
            </w:r>
          </w:p>
        </w:tc>
        <w:tc>
          <w:tcPr>
            <w:tcW w:w="5954" w:type="dxa"/>
            <w:shd w:val="clear" w:color="auto" w:fill="auto"/>
            <w:tcMar>
              <w:top w:w="15" w:type="dxa"/>
              <w:left w:w="28" w:type="dxa"/>
              <w:bottom w:w="0" w:type="dxa"/>
              <w:right w:w="28" w:type="dxa"/>
            </w:tcMar>
          </w:tcPr>
          <w:p w14:paraId="33585948" w14:textId="77777777" w:rsidR="002D1506" w:rsidRDefault="002D1506" w:rsidP="002D1506">
            <w:pPr>
              <w:spacing w:line="40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查全民健康保險醫療服務給付項目及支付標準，</w:t>
            </w:r>
            <w:proofErr w:type="gramStart"/>
            <w:r>
              <w:rPr>
                <w:rFonts w:ascii="Times New Roman" w:eastAsia="標楷體" w:hAnsi="Times New Roman"/>
                <w:color w:val="000000"/>
                <w:sz w:val="28"/>
                <w:szCs w:val="28"/>
              </w:rPr>
              <w:t>下轉之</w:t>
            </w:r>
            <w:proofErr w:type="gramEnd"/>
            <w:r>
              <w:rPr>
                <w:rFonts w:ascii="Times New Roman" w:eastAsia="標楷體" w:hAnsi="Times New Roman"/>
                <w:color w:val="000000"/>
                <w:sz w:val="28"/>
                <w:szCs w:val="28"/>
              </w:rPr>
              <w:t>定義為醫院對收治之病人，其病情穩定後，已無需於該院繼續接受治療，但仍需接受門診或住院相關醫療服務，經病人同意，轉診至特約類別較低層級之適當院所。</w:t>
            </w:r>
            <w:proofErr w:type="gramStart"/>
            <w:r>
              <w:rPr>
                <w:rFonts w:ascii="Times New Roman" w:eastAsia="標楷體" w:hAnsi="Times New Roman"/>
                <w:color w:val="000000"/>
                <w:sz w:val="28"/>
                <w:szCs w:val="28"/>
              </w:rPr>
              <w:t>爰</w:t>
            </w:r>
            <w:proofErr w:type="gramEnd"/>
            <w:r>
              <w:rPr>
                <w:rFonts w:ascii="Times New Roman" w:eastAsia="標楷體" w:hAnsi="Times New Roman"/>
                <w:color w:val="000000"/>
                <w:sz w:val="28"/>
                <w:szCs w:val="28"/>
              </w:rPr>
              <w:t>不包括同層級院所間之平轉。</w:t>
            </w:r>
          </w:p>
        </w:tc>
      </w:tr>
      <w:tr w:rsidR="002D1506" w14:paraId="080CDF3B" w14:textId="77777777" w:rsidTr="00163E8A">
        <w:trPr>
          <w:trHeight w:val="684"/>
        </w:trPr>
        <w:tc>
          <w:tcPr>
            <w:tcW w:w="10065" w:type="dxa"/>
            <w:gridSpan w:val="2"/>
            <w:tcBorders>
              <w:top w:val="single" w:sz="4" w:space="0" w:color="000000"/>
            </w:tcBorders>
            <w:shd w:val="clear" w:color="auto" w:fill="FFF2CC"/>
            <w:tcMar>
              <w:top w:w="15" w:type="dxa"/>
              <w:left w:w="28" w:type="dxa"/>
              <w:bottom w:w="0" w:type="dxa"/>
              <w:right w:w="28" w:type="dxa"/>
            </w:tcMar>
            <w:vAlign w:val="center"/>
          </w:tcPr>
          <w:p w14:paraId="65870663" w14:textId="77777777" w:rsidR="002D1506" w:rsidRDefault="002D1506" w:rsidP="002D1506">
            <w:pPr>
              <w:pStyle w:val="a7"/>
              <w:numPr>
                <w:ilvl w:val="0"/>
                <w:numId w:val="2"/>
              </w:numPr>
              <w:suppressAutoHyphens w:val="0"/>
              <w:autoSpaceDE w:val="0"/>
              <w:ind w:left="482" w:hanging="482"/>
              <w:jc w:val="both"/>
              <w:textAlignment w:val="auto"/>
              <w:rPr>
                <w:rFonts w:ascii="Times New Roman" w:eastAsia="標楷體" w:hAnsi="Times New Roman"/>
                <w:b/>
                <w:color w:val="000000"/>
                <w:sz w:val="28"/>
                <w:szCs w:val="28"/>
              </w:rPr>
            </w:pPr>
            <w:r>
              <w:rPr>
                <w:rFonts w:ascii="Times New Roman" w:eastAsia="標楷體" w:hAnsi="Times New Roman"/>
                <w:b/>
                <w:color w:val="000000"/>
                <w:sz w:val="28"/>
                <w:szCs w:val="28"/>
              </w:rPr>
              <w:t>登錄</w:t>
            </w:r>
          </w:p>
        </w:tc>
      </w:tr>
      <w:tr w:rsidR="002D1506" w14:paraId="432A747A" w14:textId="77777777" w:rsidTr="005D1545">
        <w:trPr>
          <w:trHeight w:val="550"/>
        </w:trPr>
        <w:tc>
          <w:tcPr>
            <w:tcW w:w="4111" w:type="dxa"/>
            <w:shd w:val="clear" w:color="auto" w:fill="auto"/>
            <w:tcMar>
              <w:top w:w="15" w:type="dxa"/>
              <w:left w:w="28" w:type="dxa"/>
              <w:bottom w:w="0" w:type="dxa"/>
              <w:right w:w="28" w:type="dxa"/>
            </w:tcMar>
          </w:tcPr>
          <w:p w14:paraId="70DC970C" w14:textId="77777777" w:rsidR="002D1506" w:rsidRDefault="002D1506" w:rsidP="002D1506">
            <w:pPr>
              <w:pStyle w:val="a7"/>
              <w:numPr>
                <w:ilvl w:val="0"/>
                <w:numId w:val="14"/>
              </w:numPr>
              <w:tabs>
                <w:tab w:val="left" w:pos="408"/>
              </w:tabs>
              <w:spacing w:line="400" w:lineRule="exact"/>
              <w:ind w:left="408"/>
              <w:jc w:val="both"/>
            </w:pPr>
            <w:r>
              <w:rPr>
                <w:rFonts w:ascii="Times New Roman" w:eastAsia="標楷體" w:hAnsi="Times New Roman" w:hint="eastAsia"/>
                <w:color w:val="000000"/>
                <w:sz w:val="28"/>
                <w:szCs w:val="28"/>
              </w:rPr>
              <w:t>起始治療後，於</w:t>
            </w:r>
            <w:r>
              <w:rPr>
                <w:rFonts w:ascii="Times New Roman" w:eastAsia="標楷體" w:hAnsi="Times New Roman"/>
                <w:color w:val="000000"/>
                <w:sz w:val="28"/>
                <w:szCs w:val="28"/>
              </w:rPr>
              <w:t>6-8</w:t>
            </w:r>
            <w:proofErr w:type="gramStart"/>
            <w:r>
              <w:rPr>
                <w:rFonts w:ascii="Times New Roman" w:eastAsia="標楷體" w:hAnsi="Times New Roman"/>
                <w:color w:val="000000"/>
                <w:sz w:val="28"/>
                <w:szCs w:val="28"/>
              </w:rPr>
              <w:t>週</w:t>
            </w:r>
            <w:proofErr w:type="gramEnd"/>
            <w:r>
              <w:rPr>
                <w:rFonts w:ascii="Times New Roman" w:eastAsia="標楷體" w:hAnsi="Times New Roman"/>
                <w:color w:val="000000"/>
                <w:sz w:val="28"/>
                <w:szCs w:val="28"/>
              </w:rPr>
              <w:t>檢測血脂，若病人</w:t>
            </w:r>
            <w:r>
              <w:rPr>
                <w:rFonts w:ascii="Times New Roman" w:eastAsia="標楷體" w:hAnsi="Times New Roman"/>
                <w:color w:val="000000"/>
                <w:sz w:val="28"/>
                <w:szCs w:val="28"/>
              </w:rPr>
              <w:t>1</w:t>
            </w:r>
            <w:r>
              <w:rPr>
                <w:rFonts w:ascii="Times New Roman" w:eastAsia="標楷體" w:hAnsi="Times New Roman"/>
                <w:color w:val="000000"/>
                <w:sz w:val="28"/>
                <w:szCs w:val="28"/>
              </w:rPr>
              <w:t>個月即回診抽血是否算數</w:t>
            </w:r>
            <w:r>
              <w:rPr>
                <w:rFonts w:ascii="Times New Roman" w:eastAsia="標楷體" w:hAnsi="Times New Roman"/>
                <w:color w:val="000000"/>
                <w:sz w:val="28"/>
                <w:szCs w:val="28"/>
              </w:rPr>
              <w:t>?</w:t>
            </w:r>
            <w:r>
              <w:rPr>
                <w:rFonts w:ascii="Times New Roman" w:eastAsia="標楷體" w:hAnsi="Times New Roman"/>
                <w:color w:val="000000"/>
                <w:sz w:val="28"/>
                <w:szCs w:val="28"/>
              </w:rPr>
              <w:t>數據追蹤可採用</w:t>
            </w:r>
            <w:r>
              <w:rPr>
                <w:rFonts w:ascii="Times New Roman" w:eastAsia="標楷體" w:hAnsi="Times New Roman"/>
                <w:color w:val="000000"/>
                <w:sz w:val="28"/>
                <w:szCs w:val="28"/>
              </w:rPr>
              <w:t>30</w:t>
            </w:r>
            <w:r>
              <w:rPr>
                <w:rFonts w:ascii="Times New Roman" w:eastAsia="標楷體" w:hAnsi="Times New Roman"/>
                <w:color w:val="000000"/>
                <w:sz w:val="28"/>
                <w:szCs w:val="28"/>
              </w:rPr>
              <w:t>天內之結果</w:t>
            </w:r>
            <w:r>
              <w:rPr>
                <w:rFonts w:ascii="Times New Roman" w:eastAsia="標楷體" w:hAnsi="Times New Roman"/>
                <w:color w:val="000000"/>
                <w:sz w:val="28"/>
                <w:szCs w:val="28"/>
              </w:rPr>
              <w:t>(</w:t>
            </w:r>
            <w:r>
              <w:rPr>
                <w:rFonts w:ascii="Times New Roman" w:eastAsia="標楷體" w:hAnsi="Times New Roman"/>
                <w:color w:val="000000"/>
                <w:sz w:val="28"/>
                <w:szCs w:val="28"/>
              </w:rPr>
              <w:t>指收案日</w:t>
            </w:r>
            <w:r>
              <w:rPr>
                <w:rFonts w:ascii="Times New Roman" w:eastAsia="標楷體" w:hAnsi="Times New Roman" w:hint="eastAsia"/>
                <w:color w:val="000000"/>
                <w:sz w:val="28"/>
                <w:szCs w:val="28"/>
              </w:rPr>
              <w:t>或</w:t>
            </w:r>
            <w:r>
              <w:rPr>
                <w:rFonts w:ascii="Times New Roman" w:eastAsia="標楷體" w:hAnsi="Times New Roman"/>
                <w:color w:val="000000"/>
                <w:sz w:val="28"/>
                <w:szCs w:val="28"/>
              </w:rPr>
              <w:t>住院日</w:t>
            </w:r>
            <w:r>
              <w:rPr>
                <w:rFonts w:ascii="Times New Roman" w:eastAsia="標楷體" w:hAnsi="Times New Roman" w:hint="eastAsia"/>
                <w:color w:val="000000"/>
                <w:sz w:val="28"/>
                <w:szCs w:val="28"/>
              </w:rPr>
              <w:t>或</w:t>
            </w:r>
            <w:r>
              <w:rPr>
                <w:rFonts w:ascii="Times New Roman" w:eastAsia="標楷體" w:hAnsi="Times New Roman"/>
                <w:color w:val="000000"/>
                <w:sz w:val="28"/>
                <w:szCs w:val="28"/>
              </w:rPr>
              <w:t>起始治療時間</w:t>
            </w:r>
            <w:r>
              <w:rPr>
                <w:rFonts w:ascii="Times New Roman" w:eastAsia="標楷體" w:hAnsi="Times New Roman"/>
                <w:color w:val="000000"/>
                <w:sz w:val="28"/>
                <w:szCs w:val="28"/>
              </w:rPr>
              <w:t>)?</w:t>
            </w:r>
            <w:r>
              <w:rPr>
                <w:rFonts w:ascii="Times New Roman" w:eastAsia="標楷體" w:hAnsi="Times New Roman"/>
                <w:color w:val="000000"/>
                <w:sz w:val="28"/>
                <w:szCs w:val="28"/>
              </w:rPr>
              <w:t>在登錄各項檢驗數據包含</w:t>
            </w:r>
            <w:r>
              <w:rPr>
                <w:rFonts w:ascii="Times New Roman" w:eastAsia="標楷體" w:hAnsi="Times New Roman"/>
                <w:color w:val="000000"/>
                <w:sz w:val="28"/>
                <w:szCs w:val="28"/>
              </w:rPr>
              <w:t>HbA1C</w:t>
            </w:r>
            <w:r>
              <w:rPr>
                <w:rFonts w:ascii="Times New Roman" w:eastAsia="標楷體" w:hAnsi="Times New Roman"/>
                <w:color w:val="000000"/>
                <w:sz w:val="28"/>
                <w:szCs w:val="28"/>
              </w:rPr>
              <w:t>，</w:t>
            </w:r>
            <w:r>
              <w:rPr>
                <w:rFonts w:ascii="Times New Roman" w:eastAsia="標楷體" w:hAnsi="Times New Roman"/>
                <w:color w:val="000000"/>
                <w:sz w:val="28"/>
                <w:szCs w:val="28"/>
              </w:rPr>
              <w:t>AC</w:t>
            </w:r>
            <w:r>
              <w:rPr>
                <w:rFonts w:ascii="Times New Roman" w:eastAsia="標楷體" w:hAnsi="Times New Roman" w:hint="eastAsia"/>
                <w:color w:val="000000"/>
                <w:sz w:val="28"/>
                <w:szCs w:val="28"/>
              </w:rPr>
              <w:t xml:space="preserve"> </w:t>
            </w:r>
            <w:r>
              <w:rPr>
                <w:rFonts w:ascii="Times New Roman" w:eastAsia="標楷體" w:hAnsi="Times New Roman"/>
                <w:color w:val="000000"/>
                <w:sz w:val="28"/>
                <w:szCs w:val="28"/>
              </w:rPr>
              <w:t>sugar</w:t>
            </w:r>
            <w:r>
              <w:rPr>
                <w:rFonts w:ascii="Times New Roman" w:eastAsia="標楷體" w:hAnsi="Times New Roman"/>
                <w:color w:val="000000"/>
                <w:sz w:val="28"/>
                <w:szCs w:val="28"/>
              </w:rPr>
              <w:t>，</w:t>
            </w:r>
            <w:r>
              <w:rPr>
                <w:rFonts w:ascii="Times New Roman" w:eastAsia="標楷體" w:hAnsi="Times New Roman"/>
                <w:color w:val="000000"/>
                <w:sz w:val="28"/>
                <w:szCs w:val="28"/>
              </w:rPr>
              <w:t>LDL-C</w:t>
            </w:r>
            <w:r>
              <w:rPr>
                <w:rFonts w:ascii="Times New Roman" w:eastAsia="標楷體" w:hAnsi="Times New Roman"/>
                <w:color w:val="000000"/>
                <w:sz w:val="28"/>
                <w:szCs w:val="28"/>
              </w:rPr>
              <w:t>等，若日期欄位不同，是逐筆登錄該項檢驗日期</w:t>
            </w:r>
            <w:r>
              <w:rPr>
                <w:rFonts w:ascii="Times New Roman" w:eastAsia="標楷體" w:hAnsi="Times New Roman"/>
                <w:color w:val="000000"/>
                <w:sz w:val="28"/>
                <w:szCs w:val="28"/>
              </w:rPr>
              <w:t>?</w:t>
            </w:r>
          </w:p>
        </w:tc>
        <w:tc>
          <w:tcPr>
            <w:tcW w:w="5954" w:type="dxa"/>
            <w:shd w:val="clear" w:color="auto" w:fill="auto"/>
            <w:tcMar>
              <w:top w:w="15" w:type="dxa"/>
              <w:left w:w="28" w:type="dxa"/>
              <w:bottom w:w="0" w:type="dxa"/>
              <w:right w:w="28" w:type="dxa"/>
            </w:tcMar>
          </w:tcPr>
          <w:p w14:paraId="599BA58A" w14:textId="77777777" w:rsidR="002D1506" w:rsidRDefault="002D1506" w:rsidP="002D1506">
            <w:pPr>
              <w:spacing w:line="400" w:lineRule="exact"/>
              <w:jc w:val="both"/>
            </w:pPr>
            <w:r>
              <w:rPr>
                <w:rFonts w:ascii="Times New Roman" w:eastAsia="標楷體" w:hAnsi="Times New Roman"/>
                <w:color w:val="000000"/>
                <w:sz w:val="28"/>
                <w:szCs w:val="28"/>
              </w:rPr>
              <w:t>根據方案規定，數據追蹤可採用</w:t>
            </w:r>
            <w:r>
              <w:rPr>
                <w:rFonts w:ascii="Times New Roman" w:eastAsia="標楷體" w:hAnsi="Times New Roman"/>
                <w:color w:val="000000"/>
                <w:sz w:val="28"/>
                <w:szCs w:val="28"/>
              </w:rPr>
              <w:t>30</w:t>
            </w:r>
            <w:r>
              <w:rPr>
                <w:rFonts w:ascii="Times New Roman" w:eastAsia="標楷體" w:hAnsi="Times New Roman"/>
                <w:color w:val="000000"/>
                <w:sz w:val="28"/>
                <w:szCs w:val="28"/>
              </w:rPr>
              <w:t>天內之結果，係指採用</w:t>
            </w:r>
            <w:r>
              <w:rPr>
                <w:rFonts w:ascii="Times New Roman" w:eastAsia="標楷體" w:hAnsi="Times New Roman" w:hint="eastAsia"/>
                <w:color w:val="000000"/>
                <w:sz w:val="28"/>
                <w:szCs w:val="28"/>
              </w:rPr>
              <w:t>個案經</w:t>
            </w:r>
            <w:proofErr w:type="gramStart"/>
            <w:r w:rsidR="008861E4" w:rsidRPr="008861E4">
              <w:rPr>
                <w:rFonts w:ascii="Times New Roman" w:eastAsia="標楷體" w:hAnsi="Times New Roman" w:hint="eastAsia"/>
                <w:color w:val="000000" w:themeColor="text1"/>
                <w:sz w:val="28"/>
                <w:szCs w:val="28"/>
              </w:rPr>
              <w:t>回診</w:t>
            </w:r>
            <w:r w:rsidR="0099773D">
              <w:rPr>
                <w:rFonts w:ascii="Times New Roman" w:eastAsia="標楷體" w:hAnsi="Times New Roman" w:hint="eastAsia"/>
                <w:color w:val="000000" w:themeColor="text1"/>
                <w:sz w:val="28"/>
                <w:szCs w:val="28"/>
              </w:rPr>
              <w:t>日</w:t>
            </w:r>
            <w:r>
              <w:rPr>
                <w:rFonts w:ascii="Times New Roman" w:eastAsia="標楷體" w:hAnsi="Times New Roman"/>
                <w:color w:val="000000"/>
                <w:sz w:val="28"/>
                <w:szCs w:val="28"/>
              </w:rPr>
              <w:t>往前</w:t>
            </w:r>
            <w:proofErr w:type="gramEnd"/>
            <w:r>
              <w:rPr>
                <w:rFonts w:ascii="Times New Roman" w:eastAsia="標楷體" w:hAnsi="Times New Roman"/>
                <w:color w:val="000000"/>
                <w:sz w:val="28"/>
                <w:szCs w:val="28"/>
              </w:rPr>
              <w:t>30</w:t>
            </w:r>
            <w:r>
              <w:rPr>
                <w:rFonts w:ascii="Times New Roman" w:eastAsia="標楷體" w:hAnsi="Times New Roman"/>
                <w:color w:val="000000"/>
                <w:sz w:val="28"/>
                <w:szCs w:val="28"/>
              </w:rPr>
              <w:t>天內之結果，且檢驗日期不得與前次追蹤管理階段或收案評估階段的檢驗日期相同，每項檢驗數據需逐筆登錄對應的檢驗日期。</w:t>
            </w:r>
          </w:p>
        </w:tc>
      </w:tr>
      <w:tr w:rsidR="002D1506" w14:paraId="729AC6D7" w14:textId="77777777" w:rsidTr="005D1545">
        <w:trPr>
          <w:trHeight w:val="2200"/>
        </w:trPr>
        <w:tc>
          <w:tcPr>
            <w:tcW w:w="4111" w:type="dxa"/>
            <w:shd w:val="clear" w:color="auto" w:fill="auto"/>
            <w:tcMar>
              <w:top w:w="15" w:type="dxa"/>
              <w:left w:w="28" w:type="dxa"/>
              <w:bottom w:w="0" w:type="dxa"/>
              <w:right w:w="28" w:type="dxa"/>
            </w:tcMar>
          </w:tcPr>
          <w:p w14:paraId="4EC341E3" w14:textId="77777777" w:rsidR="002D1506" w:rsidRDefault="002D1506" w:rsidP="002D1506">
            <w:pPr>
              <w:pStyle w:val="a7"/>
              <w:numPr>
                <w:ilvl w:val="0"/>
                <w:numId w:val="14"/>
              </w:numPr>
              <w:tabs>
                <w:tab w:val="left" w:pos="537"/>
                <w:tab w:val="left" w:pos="720"/>
              </w:tabs>
              <w:spacing w:line="400" w:lineRule="exact"/>
              <w:ind w:left="395" w:hanging="395"/>
              <w:jc w:val="both"/>
              <w:rPr>
                <w:rFonts w:ascii="Times New Roman" w:eastAsia="標楷體" w:hAnsi="Times New Roman"/>
                <w:color w:val="000000"/>
                <w:sz w:val="28"/>
                <w:szCs w:val="28"/>
              </w:rPr>
            </w:pPr>
            <w:r>
              <w:rPr>
                <w:rFonts w:ascii="Times New Roman" w:eastAsia="標楷體" w:hAnsi="Times New Roman"/>
                <w:color w:val="000000"/>
                <w:sz w:val="28"/>
                <w:szCs w:val="28"/>
              </w:rPr>
              <w:lastRenderedPageBreak/>
              <w:t>心導管病人在住院前</w:t>
            </w:r>
            <w:r>
              <w:rPr>
                <w:rFonts w:ascii="Times New Roman" w:eastAsia="標楷體" w:hAnsi="Times New Roman"/>
                <w:color w:val="000000"/>
                <w:sz w:val="28"/>
                <w:szCs w:val="28"/>
              </w:rPr>
              <w:t>1-3</w:t>
            </w:r>
            <w:r>
              <w:rPr>
                <w:rFonts w:ascii="Times New Roman" w:eastAsia="標楷體" w:hAnsi="Times New Roman"/>
                <w:color w:val="000000"/>
                <w:sz w:val="28"/>
                <w:szCs w:val="28"/>
              </w:rPr>
              <w:t>個月已進行</w:t>
            </w:r>
            <w:r>
              <w:rPr>
                <w:rFonts w:ascii="Times New Roman" w:eastAsia="標楷體" w:hAnsi="Times New Roman"/>
                <w:color w:val="000000"/>
                <w:sz w:val="28"/>
                <w:szCs w:val="28"/>
              </w:rPr>
              <w:t>LDL-C</w:t>
            </w:r>
            <w:r>
              <w:rPr>
                <w:rFonts w:ascii="Times New Roman" w:eastAsia="標楷體" w:hAnsi="Times New Roman"/>
                <w:color w:val="000000"/>
                <w:sz w:val="28"/>
                <w:szCs w:val="28"/>
              </w:rPr>
              <w:t>檢測，該筆檢測數據是否可當作入院初始評估檢驗數據</w:t>
            </w:r>
            <w:r>
              <w:rPr>
                <w:rFonts w:ascii="Times New Roman" w:eastAsia="標楷體" w:hAnsi="Times New Roman"/>
                <w:color w:val="000000"/>
                <w:sz w:val="28"/>
                <w:szCs w:val="28"/>
              </w:rPr>
              <w:t>?</w:t>
            </w:r>
            <w:r>
              <w:rPr>
                <w:rFonts w:ascii="Times New Roman" w:eastAsia="標楷體" w:hAnsi="Times New Roman"/>
                <w:color w:val="000000"/>
                <w:sz w:val="28"/>
                <w:szCs w:val="28"/>
              </w:rPr>
              <w:t>依附件</w:t>
            </w:r>
            <w:r>
              <w:rPr>
                <w:rFonts w:ascii="Times New Roman" w:eastAsia="標楷體" w:hAnsi="Times New Roman"/>
                <w:color w:val="000000"/>
                <w:sz w:val="28"/>
                <w:szCs w:val="28"/>
              </w:rPr>
              <w:t>4(</w:t>
            </w:r>
            <w:r>
              <w:rPr>
                <w:rFonts w:ascii="Times New Roman" w:eastAsia="標楷體" w:hAnsi="Times New Roman"/>
                <w:color w:val="000000"/>
                <w:sz w:val="28"/>
                <w:szCs w:val="28"/>
              </w:rPr>
              <w:t>血脂管理臨床路徑</w:t>
            </w:r>
            <w:r>
              <w:rPr>
                <w:rFonts w:ascii="Times New Roman" w:eastAsia="標楷體" w:hAnsi="Times New Roman"/>
                <w:color w:val="000000"/>
                <w:sz w:val="28"/>
                <w:szCs w:val="28"/>
              </w:rPr>
              <w:t>)</w:t>
            </w:r>
            <w:r>
              <w:rPr>
                <w:rFonts w:ascii="Times New Roman" w:eastAsia="標楷體" w:hAnsi="Times New Roman"/>
                <w:color w:val="000000"/>
                <w:sz w:val="28"/>
                <w:szCs w:val="28"/>
              </w:rPr>
              <w:t>規定，急性病人應於入院後</w:t>
            </w:r>
            <w:r>
              <w:rPr>
                <w:rFonts w:ascii="Times New Roman" w:eastAsia="標楷體" w:hAnsi="Times New Roman"/>
                <w:color w:val="000000"/>
                <w:sz w:val="28"/>
                <w:szCs w:val="28"/>
              </w:rPr>
              <w:t>24</w:t>
            </w:r>
            <w:r>
              <w:rPr>
                <w:rFonts w:ascii="Times New Roman" w:eastAsia="標楷體" w:hAnsi="Times New Roman"/>
                <w:color w:val="000000"/>
                <w:sz w:val="28"/>
                <w:szCs w:val="28"/>
              </w:rPr>
              <w:t>小時內完成血脂檢測，該結果是否需要登錄在</w:t>
            </w:r>
            <w:r>
              <w:rPr>
                <w:rFonts w:ascii="Times New Roman" w:eastAsia="標楷體" w:hAnsi="Times New Roman"/>
                <w:color w:val="000000"/>
                <w:sz w:val="28"/>
                <w:szCs w:val="28"/>
              </w:rPr>
              <w:t>VPN?</w:t>
            </w:r>
          </w:p>
        </w:tc>
        <w:tc>
          <w:tcPr>
            <w:tcW w:w="5954" w:type="dxa"/>
            <w:shd w:val="clear" w:color="auto" w:fill="auto"/>
            <w:tcMar>
              <w:top w:w="15" w:type="dxa"/>
              <w:left w:w="28" w:type="dxa"/>
              <w:bottom w:w="0" w:type="dxa"/>
              <w:right w:w="28" w:type="dxa"/>
            </w:tcMar>
          </w:tcPr>
          <w:p w14:paraId="33C38BF0" w14:textId="77777777" w:rsidR="002D1506" w:rsidRPr="00743CEA" w:rsidRDefault="002D1506" w:rsidP="002D1506">
            <w:pPr>
              <w:pStyle w:val="a7"/>
              <w:numPr>
                <w:ilvl w:val="0"/>
                <w:numId w:val="22"/>
              </w:numPr>
              <w:spacing w:line="400" w:lineRule="exact"/>
              <w:jc w:val="both"/>
            </w:pPr>
            <w:r w:rsidRPr="00743CEA">
              <w:rPr>
                <w:rFonts w:ascii="Times New Roman" w:eastAsia="標楷體" w:hAnsi="Times New Roman"/>
                <w:color w:val="000000"/>
                <w:sz w:val="28"/>
                <w:szCs w:val="28"/>
              </w:rPr>
              <w:t>本方案係於出院後於回診</w:t>
            </w:r>
            <w:r w:rsidR="00BB458D">
              <w:rPr>
                <w:rFonts w:ascii="Times New Roman" w:eastAsia="標楷體" w:hAnsi="Times New Roman" w:hint="eastAsia"/>
                <w:color w:val="000000"/>
                <w:sz w:val="28"/>
                <w:szCs w:val="28"/>
              </w:rPr>
              <w:t>時</w:t>
            </w:r>
            <w:r w:rsidRPr="00743CEA">
              <w:rPr>
                <w:rFonts w:ascii="Times New Roman" w:eastAsia="標楷體" w:hAnsi="Times New Roman"/>
                <w:color w:val="000000"/>
                <w:sz w:val="28"/>
                <w:szCs w:val="28"/>
              </w:rPr>
              <w:t>收案，收案</w:t>
            </w:r>
            <w:r w:rsidR="00BB458D">
              <w:rPr>
                <w:rFonts w:ascii="Times New Roman" w:eastAsia="標楷體" w:hAnsi="Times New Roman" w:hint="eastAsia"/>
                <w:color w:val="000000"/>
                <w:sz w:val="28"/>
                <w:szCs w:val="28"/>
              </w:rPr>
              <w:t>時之</w:t>
            </w:r>
            <w:r w:rsidR="00BB458D">
              <w:rPr>
                <w:rFonts w:ascii="Times New Roman" w:eastAsia="標楷體" w:hAnsi="Times New Roman" w:hint="eastAsia"/>
                <w:color w:val="000000"/>
                <w:sz w:val="28"/>
                <w:szCs w:val="28"/>
              </w:rPr>
              <w:t>L</w:t>
            </w:r>
            <w:r w:rsidR="00BB458D">
              <w:rPr>
                <w:rFonts w:ascii="Times New Roman" w:eastAsia="標楷體" w:hAnsi="Times New Roman"/>
                <w:color w:val="000000"/>
                <w:sz w:val="28"/>
                <w:szCs w:val="28"/>
              </w:rPr>
              <w:t>DL-C</w:t>
            </w:r>
            <w:r w:rsidR="00BB458D">
              <w:rPr>
                <w:rFonts w:ascii="Times New Roman" w:eastAsia="標楷體" w:hAnsi="Times New Roman" w:hint="eastAsia"/>
                <w:color w:val="000000"/>
                <w:sz w:val="28"/>
                <w:szCs w:val="28"/>
              </w:rPr>
              <w:t>檢測，得採用前</w:t>
            </w:r>
            <w:r w:rsidR="00BB458D">
              <w:rPr>
                <w:rFonts w:ascii="Times New Roman" w:eastAsia="標楷體" w:hAnsi="Times New Roman" w:hint="eastAsia"/>
                <w:color w:val="000000"/>
                <w:sz w:val="28"/>
                <w:szCs w:val="28"/>
              </w:rPr>
              <w:t>30</w:t>
            </w:r>
            <w:r w:rsidR="00BB458D">
              <w:rPr>
                <w:rFonts w:ascii="Times New Roman" w:eastAsia="標楷體" w:hAnsi="Times New Roman" w:hint="eastAsia"/>
                <w:color w:val="000000"/>
                <w:sz w:val="28"/>
                <w:szCs w:val="28"/>
              </w:rPr>
              <w:t>日內之結果</w:t>
            </w:r>
            <w:r w:rsidRPr="00743CEA">
              <w:rPr>
                <w:rFonts w:ascii="Times New Roman" w:eastAsia="標楷體" w:hAnsi="Times New Roman"/>
                <w:color w:val="000000"/>
                <w:sz w:val="28"/>
                <w:szCs w:val="28"/>
              </w:rPr>
              <w:t>。</w:t>
            </w:r>
          </w:p>
          <w:p w14:paraId="6FDC544B" w14:textId="77777777" w:rsidR="002D1506" w:rsidRDefault="00BB458D" w:rsidP="002D1506">
            <w:pPr>
              <w:pStyle w:val="a7"/>
              <w:numPr>
                <w:ilvl w:val="0"/>
                <w:numId w:val="22"/>
              </w:numPr>
              <w:spacing w:line="400" w:lineRule="exact"/>
              <w:jc w:val="both"/>
            </w:pPr>
            <w:r>
              <w:rPr>
                <w:rFonts w:ascii="Times New Roman" w:eastAsia="標楷體" w:hAnsi="Times New Roman" w:hint="eastAsia"/>
                <w:color w:val="000000"/>
                <w:sz w:val="28"/>
                <w:szCs w:val="28"/>
              </w:rPr>
              <w:t>承上，新收案時採用之</w:t>
            </w:r>
            <w:r>
              <w:rPr>
                <w:rFonts w:ascii="Times New Roman" w:eastAsia="標楷體" w:hAnsi="Times New Roman" w:hint="eastAsia"/>
                <w:color w:val="000000"/>
                <w:sz w:val="28"/>
                <w:szCs w:val="28"/>
              </w:rPr>
              <w:t>L</w:t>
            </w:r>
            <w:r>
              <w:rPr>
                <w:rFonts w:ascii="Times New Roman" w:eastAsia="標楷體" w:hAnsi="Times New Roman"/>
                <w:color w:val="000000"/>
                <w:sz w:val="28"/>
                <w:szCs w:val="28"/>
              </w:rPr>
              <w:t>DL-C</w:t>
            </w:r>
            <w:r>
              <w:rPr>
                <w:rFonts w:ascii="Times New Roman" w:eastAsia="標楷體" w:hAnsi="Times New Roman" w:hint="eastAsia"/>
                <w:color w:val="000000"/>
                <w:sz w:val="28"/>
                <w:szCs w:val="28"/>
              </w:rPr>
              <w:t>檢測值，應登錄於</w:t>
            </w:r>
            <w:r>
              <w:rPr>
                <w:rFonts w:ascii="Times New Roman" w:eastAsia="標楷體" w:hAnsi="Times New Roman" w:hint="eastAsia"/>
                <w:color w:val="000000"/>
                <w:sz w:val="28"/>
                <w:szCs w:val="28"/>
              </w:rPr>
              <w:t>VPN</w:t>
            </w:r>
            <w:r>
              <w:rPr>
                <w:rFonts w:ascii="Times New Roman" w:eastAsia="標楷體" w:hAnsi="Times New Roman" w:hint="eastAsia"/>
                <w:color w:val="000000"/>
                <w:sz w:val="28"/>
                <w:szCs w:val="28"/>
              </w:rPr>
              <w:t>中</w:t>
            </w:r>
            <w:r w:rsidR="002D1506" w:rsidRPr="00743CEA">
              <w:rPr>
                <w:rFonts w:ascii="Times New Roman" w:eastAsia="標楷體" w:hAnsi="Times New Roman"/>
                <w:color w:val="000000"/>
                <w:sz w:val="28"/>
                <w:szCs w:val="28"/>
              </w:rPr>
              <w:t>。</w:t>
            </w:r>
          </w:p>
        </w:tc>
      </w:tr>
      <w:tr w:rsidR="002D1506" w14:paraId="7330CF3E" w14:textId="77777777" w:rsidTr="005D1545">
        <w:trPr>
          <w:trHeight w:val="1682"/>
        </w:trPr>
        <w:tc>
          <w:tcPr>
            <w:tcW w:w="4111" w:type="dxa"/>
            <w:shd w:val="clear" w:color="auto" w:fill="auto"/>
            <w:tcMar>
              <w:top w:w="15" w:type="dxa"/>
              <w:left w:w="28" w:type="dxa"/>
              <w:bottom w:w="0" w:type="dxa"/>
              <w:right w:w="28" w:type="dxa"/>
            </w:tcMar>
          </w:tcPr>
          <w:p w14:paraId="36CB2137" w14:textId="77777777" w:rsidR="002D1506" w:rsidRDefault="002D1506" w:rsidP="002D1506">
            <w:pPr>
              <w:pStyle w:val="a7"/>
              <w:numPr>
                <w:ilvl w:val="0"/>
                <w:numId w:val="14"/>
              </w:numPr>
              <w:tabs>
                <w:tab w:val="left" w:pos="537"/>
              </w:tabs>
              <w:spacing w:line="400" w:lineRule="exact"/>
              <w:ind w:left="395" w:hanging="395"/>
              <w:jc w:val="both"/>
              <w:rPr>
                <w:rFonts w:ascii="Times New Roman" w:eastAsia="標楷體" w:hAnsi="Times New Roman"/>
                <w:color w:val="000000"/>
                <w:sz w:val="28"/>
                <w:szCs w:val="28"/>
              </w:rPr>
            </w:pPr>
            <w:r>
              <w:rPr>
                <w:rFonts w:ascii="Times New Roman" w:eastAsia="標楷體" w:hAnsi="Times New Roman"/>
                <w:color w:val="000000"/>
                <w:sz w:val="28"/>
                <w:szCs w:val="28"/>
              </w:rPr>
              <w:t>病</w:t>
            </w:r>
            <w:r>
              <w:rPr>
                <w:rFonts w:ascii="Times New Roman" w:eastAsia="標楷體" w:hAnsi="Times New Roman" w:hint="eastAsia"/>
                <w:color w:val="000000"/>
                <w:sz w:val="28"/>
                <w:szCs w:val="28"/>
              </w:rPr>
              <w:t>人</w:t>
            </w:r>
            <w:r>
              <w:rPr>
                <w:rFonts w:ascii="Times New Roman" w:eastAsia="標楷體" w:hAnsi="Times New Roman"/>
                <w:color w:val="000000"/>
                <w:sz w:val="28"/>
                <w:szCs w:val="28"/>
              </w:rPr>
              <w:t>總共需完成</w:t>
            </w:r>
            <w:r>
              <w:rPr>
                <w:rFonts w:ascii="Times New Roman" w:eastAsia="標楷體" w:hAnsi="Times New Roman"/>
                <w:color w:val="000000"/>
                <w:sz w:val="28"/>
                <w:szCs w:val="28"/>
              </w:rPr>
              <w:t>3</w:t>
            </w:r>
            <w:r>
              <w:rPr>
                <w:rFonts w:ascii="Times New Roman" w:eastAsia="標楷體" w:hAnsi="Times New Roman"/>
                <w:color w:val="000000"/>
                <w:sz w:val="28"/>
                <w:szCs w:val="28"/>
              </w:rPr>
              <w:t>次</w:t>
            </w:r>
            <w:r>
              <w:rPr>
                <w:rFonts w:ascii="Times New Roman" w:eastAsia="標楷體" w:hAnsi="Times New Roman"/>
                <w:color w:val="000000"/>
                <w:sz w:val="28"/>
                <w:szCs w:val="28"/>
              </w:rPr>
              <w:t>VPN</w:t>
            </w:r>
            <w:r>
              <w:rPr>
                <w:rFonts w:ascii="Times New Roman" w:eastAsia="標楷體" w:hAnsi="Times New Roman"/>
                <w:color w:val="000000"/>
                <w:sz w:val="28"/>
                <w:szCs w:val="28"/>
              </w:rPr>
              <w:t>登錄</w:t>
            </w:r>
            <w:r>
              <w:rPr>
                <w:rFonts w:ascii="Times New Roman" w:eastAsia="標楷體" w:hAnsi="Times New Roman"/>
                <w:color w:val="000000"/>
                <w:sz w:val="28"/>
                <w:szCs w:val="28"/>
              </w:rPr>
              <w:t>?</w:t>
            </w:r>
            <w:r>
              <w:rPr>
                <w:rFonts w:ascii="Times New Roman" w:eastAsia="標楷體" w:hAnsi="Times New Roman"/>
                <w:color w:val="000000"/>
                <w:sz w:val="28"/>
                <w:szCs w:val="28"/>
              </w:rPr>
              <w:t>包含新收案、追蹤、結案</w:t>
            </w:r>
          </w:p>
        </w:tc>
        <w:tc>
          <w:tcPr>
            <w:tcW w:w="5954" w:type="dxa"/>
            <w:shd w:val="clear" w:color="auto" w:fill="auto"/>
            <w:tcMar>
              <w:top w:w="15" w:type="dxa"/>
              <w:left w:w="28" w:type="dxa"/>
              <w:bottom w:w="0" w:type="dxa"/>
              <w:right w:w="28" w:type="dxa"/>
            </w:tcMar>
          </w:tcPr>
          <w:p w14:paraId="29C5FF3E" w14:textId="77777777" w:rsidR="002D1506" w:rsidRDefault="002D1506" w:rsidP="002D1506">
            <w:pPr>
              <w:pStyle w:val="a7"/>
              <w:numPr>
                <w:ilvl w:val="0"/>
                <w:numId w:val="23"/>
              </w:numPr>
              <w:spacing w:line="400" w:lineRule="exact"/>
              <w:jc w:val="both"/>
              <w:rPr>
                <w:rFonts w:ascii="Times New Roman" w:eastAsia="標楷體" w:hAnsi="Times New Roman"/>
                <w:color w:val="000000"/>
                <w:sz w:val="28"/>
                <w:szCs w:val="28"/>
              </w:rPr>
            </w:pPr>
            <w:r w:rsidRPr="00D11754">
              <w:rPr>
                <w:rFonts w:ascii="Times New Roman" w:eastAsia="標楷體" w:hAnsi="Times New Roman"/>
                <w:color w:val="000000"/>
                <w:sz w:val="28"/>
                <w:szCs w:val="28"/>
              </w:rPr>
              <w:t>查本方案照護模式包含收案評估、追蹤管理、結案，亦訂有個案登錄系統</w:t>
            </w:r>
            <w:r w:rsidRPr="00D11754">
              <w:rPr>
                <w:rFonts w:ascii="Times New Roman" w:eastAsia="標楷體" w:hAnsi="Times New Roman"/>
                <w:color w:val="000000"/>
                <w:sz w:val="28"/>
                <w:szCs w:val="28"/>
              </w:rPr>
              <w:t>(VPN)</w:t>
            </w:r>
            <w:r w:rsidRPr="00D11754">
              <w:rPr>
                <w:rFonts w:ascii="Times New Roman" w:eastAsia="標楷體" w:hAnsi="Times New Roman"/>
                <w:color w:val="000000"/>
                <w:sz w:val="28"/>
                <w:szCs w:val="28"/>
              </w:rPr>
              <w:t>必要欄位，</w:t>
            </w:r>
            <w:r w:rsidRPr="00D11754">
              <w:rPr>
                <w:rFonts w:ascii="Times New Roman" w:eastAsia="標楷體" w:hAnsi="Times New Roman"/>
                <w:color w:val="000000"/>
                <w:sz w:val="28"/>
                <w:szCs w:val="28"/>
              </w:rPr>
              <w:t>VPN</w:t>
            </w:r>
            <w:r w:rsidRPr="00D11754">
              <w:rPr>
                <w:rFonts w:ascii="Times New Roman" w:eastAsia="標楷體" w:hAnsi="Times New Roman"/>
                <w:color w:val="000000"/>
                <w:sz w:val="28"/>
                <w:szCs w:val="28"/>
              </w:rPr>
              <w:t>登錄包含新收案與結案</w:t>
            </w:r>
            <w:r w:rsidRPr="00D11754">
              <w:rPr>
                <w:rFonts w:ascii="Times New Roman" w:eastAsia="標楷體" w:hAnsi="Times New Roman" w:hint="eastAsia"/>
                <w:color w:val="000000"/>
                <w:sz w:val="28"/>
                <w:szCs w:val="28"/>
              </w:rPr>
              <w:t>，</w:t>
            </w:r>
            <w:r w:rsidRPr="00D11754">
              <w:rPr>
                <w:rFonts w:ascii="Times New Roman" w:eastAsia="標楷體" w:hAnsi="Times New Roman"/>
                <w:color w:val="000000"/>
                <w:sz w:val="28"/>
                <w:szCs w:val="28"/>
              </w:rPr>
              <w:t>追蹤管理</w:t>
            </w:r>
            <w:r w:rsidRPr="00D11754">
              <w:rPr>
                <w:rFonts w:ascii="Times New Roman" w:eastAsia="標楷體" w:hAnsi="Times New Roman" w:hint="eastAsia"/>
                <w:color w:val="000000"/>
                <w:sz w:val="28"/>
                <w:szCs w:val="28"/>
              </w:rPr>
              <w:t>登錄</w:t>
            </w:r>
            <w:r w:rsidRPr="00D11754">
              <w:rPr>
                <w:rFonts w:ascii="Times New Roman" w:eastAsia="標楷體" w:hAnsi="Times New Roman"/>
                <w:color w:val="000000"/>
                <w:sz w:val="28"/>
                <w:szCs w:val="28"/>
              </w:rPr>
              <w:t>次數依個案是否達標而定</w:t>
            </w:r>
            <w:r w:rsidRPr="00D11754">
              <w:rPr>
                <w:rFonts w:ascii="Times New Roman" w:eastAsia="標楷體" w:hAnsi="Times New Roman" w:hint="eastAsia"/>
                <w:color w:val="000000"/>
                <w:sz w:val="28"/>
                <w:szCs w:val="28"/>
              </w:rPr>
              <w:t>。</w:t>
            </w:r>
          </w:p>
          <w:p w14:paraId="2BDDB335" w14:textId="77777777" w:rsidR="002D1506" w:rsidRPr="00D11754" w:rsidRDefault="002D1506" w:rsidP="002D1506">
            <w:pPr>
              <w:pStyle w:val="a7"/>
              <w:numPr>
                <w:ilvl w:val="0"/>
                <w:numId w:val="23"/>
              </w:numPr>
              <w:spacing w:line="400" w:lineRule="exact"/>
              <w:jc w:val="both"/>
              <w:rPr>
                <w:rFonts w:ascii="Times New Roman" w:eastAsia="標楷體" w:hAnsi="Times New Roman"/>
                <w:color w:val="000000"/>
                <w:sz w:val="28"/>
                <w:szCs w:val="28"/>
              </w:rPr>
            </w:pPr>
            <w:r w:rsidRPr="00D11754">
              <w:rPr>
                <w:rFonts w:ascii="Times New Roman" w:eastAsia="標楷體" w:hAnsi="Times New Roman" w:hint="eastAsia"/>
                <w:color w:val="000000"/>
                <w:sz w:val="28"/>
                <w:szCs w:val="28"/>
              </w:rPr>
              <w:t>依</w:t>
            </w:r>
            <w:r w:rsidRPr="00D11754">
              <w:rPr>
                <w:rFonts w:ascii="Times New Roman" w:eastAsia="標楷體" w:hAnsi="Times New Roman"/>
                <w:color w:val="000000"/>
                <w:sz w:val="28"/>
                <w:szCs w:val="28"/>
              </w:rPr>
              <w:t>方案附件</w:t>
            </w:r>
            <w:r w:rsidRPr="00D11754">
              <w:rPr>
                <w:rFonts w:ascii="Times New Roman" w:eastAsia="標楷體" w:hAnsi="Times New Roman"/>
                <w:color w:val="000000"/>
                <w:sz w:val="28"/>
                <w:szCs w:val="28"/>
              </w:rPr>
              <w:t>5</w:t>
            </w:r>
            <w:r w:rsidRPr="00D11754">
              <w:rPr>
                <w:rFonts w:ascii="Times New Roman" w:eastAsia="標楷體" w:hAnsi="Times New Roman"/>
                <w:color w:val="000000"/>
                <w:sz w:val="28"/>
                <w:szCs w:val="28"/>
              </w:rPr>
              <w:t>、全民健康保險高血脂醫療給付改善方案個案管理流程表，追蹤管理</w:t>
            </w:r>
            <w:r w:rsidRPr="00D11754">
              <w:rPr>
                <w:rFonts w:ascii="Times New Roman" w:eastAsia="標楷體" w:hAnsi="Times New Roman" w:hint="eastAsia"/>
                <w:color w:val="000000"/>
                <w:sz w:val="28"/>
                <w:szCs w:val="28"/>
              </w:rPr>
              <w:t>頻率為</w:t>
            </w:r>
            <w:r w:rsidRPr="00D11754">
              <w:rPr>
                <w:rFonts w:ascii="Times New Roman" w:eastAsia="標楷體" w:hAnsi="Times New Roman"/>
                <w:color w:val="000000"/>
                <w:sz w:val="28"/>
                <w:szCs w:val="28"/>
              </w:rPr>
              <w:t>個案於起始治療後之</w:t>
            </w:r>
            <w:r w:rsidRPr="00D11754">
              <w:rPr>
                <w:rFonts w:ascii="Times New Roman" w:eastAsia="標楷體" w:hAnsi="Times New Roman"/>
                <w:color w:val="000000"/>
                <w:sz w:val="28"/>
                <w:szCs w:val="28"/>
              </w:rPr>
              <w:t>6-8</w:t>
            </w:r>
            <w:proofErr w:type="gramStart"/>
            <w:r w:rsidRPr="00D11754">
              <w:rPr>
                <w:rFonts w:ascii="Times New Roman" w:eastAsia="標楷體" w:hAnsi="Times New Roman"/>
                <w:color w:val="000000"/>
                <w:sz w:val="28"/>
                <w:szCs w:val="28"/>
              </w:rPr>
              <w:t>週</w:t>
            </w:r>
            <w:proofErr w:type="gramEnd"/>
            <w:r w:rsidRPr="00D11754">
              <w:rPr>
                <w:rFonts w:ascii="Times New Roman" w:eastAsia="標楷體" w:hAnsi="Times New Roman"/>
                <w:color w:val="000000"/>
                <w:sz w:val="28"/>
                <w:szCs w:val="28"/>
              </w:rPr>
              <w:t>檢測血脂，倘達標則至少每</w:t>
            </w:r>
            <w:r w:rsidRPr="00D11754">
              <w:rPr>
                <w:rFonts w:ascii="Times New Roman" w:eastAsia="標楷體" w:hAnsi="Times New Roman"/>
                <w:color w:val="000000"/>
                <w:sz w:val="28"/>
                <w:szCs w:val="28"/>
              </w:rPr>
              <w:t>6</w:t>
            </w:r>
            <w:r w:rsidRPr="00D11754">
              <w:rPr>
                <w:rFonts w:ascii="Times New Roman" w:eastAsia="標楷體" w:hAnsi="Times New Roman"/>
                <w:color w:val="000000"/>
                <w:sz w:val="28"/>
                <w:szCs w:val="28"/>
              </w:rPr>
              <w:t>個月追蹤；未達標</w:t>
            </w:r>
            <w:r w:rsidRPr="00D11754">
              <w:rPr>
                <w:rFonts w:ascii="Times New Roman" w:eastAsia="標楷體" w:hAnsi="Times New Roman" w:hint="eastAsia"/>
                <w:color w:val="000000"/>
                <w:sz w:val="28"/>
                <w:szCs w:val="28"/>
              </w:rPr>
              <w:t>，</w:t>
            </w:r>
            <w:r w:rsidRPr="00D11754">
              <w:rPr>
                <w:rFonts w:ascii="Times New Roman" w:eastAsia="標楷體" w:hAnsi="Times New Roman"/>
                <w:color w:val="000000"/>
                <w:sz w:val="28"/>
                <w:szCs w:val="28"/>
              </w:rPr>
              <w:t>則調整治療，於</w:t>
            </w:r>
            <w:r w:rsidRPr="00D11754">
              <w:rPr>
                <w:rFonts w:ascii="Times New Roman" w:eastAsia="標楷體" w:hAnsi="Times New Roman"/>
                <w:color w:val="000000"/>
                <w:sz w:val="28"/>
                <w:szCs w:val="28"/>
              </w:rPr>
              <w:t>1-3</w:t>
            </w:r>
            <w:r w:rsidRPr="00D11754">
              <w:rPr>
                <w:rFonts w:ascii="Times New Roman" w:eastAsia="標楷體" w:hAnsi="Times New Roman"/>
                <w:color w:val="000000"/>
                <w:sz w:val="28"/>
                <w:szCs w:val="28"/>
              </w:rPr>
              <w:t>個月內追蹤成效，達標則至少每</w:t>
            </w:r>
            <w:r w:rsidRPr="00D11754">
              <w:rPr>
                <w:rFonts w:ascii="Times New Roman" w:eastAsia="標楷體" w:hAnsi="Times New Roman"/>
                <w:color w:val="000000"/>
                <w:sz w:val="28"/>
                <w:szCs w:val="28"/>
              </w:rPr>
              <w:t>6</w:t>
            </w:r>
            <w:r w:rsidRPr="00D11754">
              <w:rPr>
                <w:rFonts w:ascii="Times New Roman" w:eastAsia="標楷體" w:hAnsi="Times New Roman"/>
                <w:color w:val="000000"/>
                <w:sz w:val="28"/>
                <w:szCs w:val="28"/>
              </w:rPr>
              <w:t>個月追蹤。</w:t>
            </w:r>
          </w:p>
        </w:tc>
      </w:tr>
      <w:tr w:rsidR="002D1506" w14:paraId="06B82E5E" w14:textId="77777777" w:rsidTr="005D1545">
        <w:trPr>
          <w:trHeight w:val="1254"/>
        </w:trPr>
        <w:tc>
          <w:tcPr>
            <w:tcW w:w="4111" w:type="dxa"/>
            <w:shd w:val="clear" w:color="auto" w:fill="auto"/>
            <w:tcMar>
              <w:top w:w="15" w:type="dxa"/>
              <w:left w:w="28" w:type="dxa"/>
              <w:bottom w:w="0" w:type="dxa"/>
              <w:right w:w="28" w:type="dxa"/>
            </w:tcMar>
          </w:tcPr>
          <w:p w14:paraId="328B794E" w14:textId="77777777" w:rsidR="002D1506" w:rsidRDefault="002D1506" w:rsidP="002D1506">
            <w:pPr>
              <w:pStyle w:val="a7"/>
              <w:numPr>
                <w:ilvl w:val="0"/>
                <w:numId w:val="14"/>
              </w:numPr>
              <w:tabs>
                <w:tab w:val="left" w:pos="537"/>
              </w:tabs>
              <w:spacing w:line="400" w:lineRule="exact"/>
              <w:ind w:left="395" w:hanging="395"/>
              <w:jc w:val="both"/>
              <w:rPr>
                <w:rFonts w:ascii="Times New Roman" w:eastAsia="標楷體" w:hAnsi="Times New Roman"/>
                <w:color w:val="000000"/>
                <w:sz w:val="28"/>
                <w:szCs w:val="28"/>
              </w:rPr>
            </w:pPr>
            <w:r>
              <w:rPr>
                <w:rFonts w:ascii="Times New Roman" w:eastAsia="標楷體" w:hAnsi="Times New Roman"/>
                <w:color w:val="000000"/>
                <w:sz w:val="28"/>
                <w:szCs w:val="28"/>
              </w:rPr>
              <w:t>衛教及個案健康狀況調查，其方式是否有規範要面對面或者可電訪</w:t>
            </w:r>
            <w:r>
              <w:rPr>
                <w:rFonts w:ascii="Times New Roman" w:eastAsia="標楷體" w:hAnsi="Times New Roman"/>
                <w:color w:val="000000"/>
                <w:sz w:val="28"/>
                <w:szCs w:val="28"/>
              </w:rPr>
              <w:t>?</w:t>
            </w:r>
          </w:p>
        </w:tc>
        <w:tc>
          <w:tcPr>
            <w:tcW w:w="5954" w:type="dxa"/>
            <w:shd w:val="clear" w:color="auto" w:fill="auto"/>
            <w:tcMar>
              <w:top w:w="15" w:type="dxa"/>
              <w:left w:w="28" w:type="dxa"/>
              <w:bottom w:w="0" w:type="dxa"/>
              <w:right w:w="28" w:type="dxa"/>
            </w:tcMar>
          </w:tcPr>
          <w:p w14:paraId="2BB981E0" w14:textId="77777777" w:rsidR="002D1506" w:rsidRDefault="002D1506" w:rsidP="002D1506">
            <w:pPr>
              <w:spacing w:line="40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建議</w:t>
            </w:r>
            <w:proofErr w:type="gramStart"/>
            <w:r>
              <w:rPr>
                <w:rFonts w:ascii="Times New Roman" w:eastAsia="標楷體" w:hAnsi="Times New Roman"/>
                <w:color w:val="000000"/>
                <w:sz w:val="28"/>
                <w:szCs w:val="28"/>
              </w:rPr>
              <w:t>採</w:t>
            </w:r>
            <w:proofErr w:type="gramEnd"/>
            <w:r>
              <w:rPr>
                <w:rFonts w:ascii="Times New Roman" w:eastAsia="標楷體" w:hAnsi="Times New Roman"/>
                <w:color w:val="000000"/>
                <w:sz w:val="28"/>
                <w:szCs w:val="28"/>
              </w:rPr>
              <w:t>面對面進行衛教，若無法面對面，電話訪問亦可，但應妥善記錄與追蹤。</w:t>
            </w:r>
          </w:p>
        </w:tc>
      </w:tr>
      <w:tr w:rsidR="002D1506" w14:paraId="00FA26C8" w14:textId="77777777" w:rsidTr="005D1545">
        <w:trPr>
          <w:trHeight w:val="604"/>
        </w:trPr>
        <w:tc>
          <w:tcPr>
            <w:tcW w:w="10065" w:type="dxa"/>
            <w:gridSpan w:val="2"/>
            <w:shd w:val="clear" w:color="auto" w:fill="FFF2CC"/>
            <w:tcMar>
              <w:top w:w="15" w:type="dxa"/>
              <w:left w:w="28" w:type="dxa"/>
              <w:bottom w:w="0" w:type="dxa"/>
              <w:right w:w="28" w:type="dxa"/>
            </w:tcMar>
            <w:vAlign w:val="center"/>
          </w:tcPr>
          <w:p w14:paraId="62D78445" w14:textId="77777777" w:rsidR="002D1506" w:rsidRDefault="002D1506" w:rsidP="002D1506">
            <w:pPr>
              <w:pStyle w:val="a7"/>
              <w:numPr>
                <w:ilvl w:val="0"/>
                <w:numId w:val="2"/>
              </w:numPr>
              <w:suppressAutoHyphens w:val="0"/>
              <w:autoSpaceDE w:val="0"/>
              <w:ind w:left="482" w:hanging="482"/>
              <w:jc w:val="both"/>
              <w:textAlignment w:val="auto"/>
            </w:pPr>
            <w:r>
              <w:rPr>
                <w:rFonts w:ascii="Times New Roman" w:eastAsia="標楷體" w:hAnsi="Times New Roman"/>
                <w:b/>
                <w:color w:val="000000"/>
                <w:sz w:val="28"/>
                <w:szCs w:val="28"/>
              </w:rPr>
              <w:t>費用申報與支付方式</w:t>
            </w:r>
          </w:p>
        </w:tc>
      </w:tr>
      <w:tr w:rsidR="002D1506" w14:paraId="09D40C7B" w14:textId="77777777" w:rsidTr="005D1545">
        <w:trPr>
          <w:trHeight w:val="1401"/>
        </w:trPr>
        <w:tc>
          <w:tcPr>
            <w:tcW w:w="4111" w:type="dxa"/>
            <w:shd w:val="clear" w:color="auto" w:fill="auto"/>
            <w:tcMar>
              <w:top w:w="15" w:type="dxa"/>
              <w:left w:w="28" w:type="dxa"/>
              <w:bottom w:w="0" w:type="dxa"/>
              <w:right w:w="28" w:type="dxa"/>
            </w:tcMar>
          </w:tcPr>
          <w:p w14:paraId="17AE86B9" w14:textId="77777777" w:rsidR="002D1506" w:rsidRDefault="002D1506" w:rsidP="002D1506">
            <w:pPr>
              <w:pStyle w:val="a7"/>
              <w:numPr>
                <w:ilvl w:val="0"/>
                <w:numId w:val="15"/>
              </w:numPr>
              <w:spacing w:line="400" w:lineRule="exact"/>
              <w:ind w:left="408"/>
              <w:jc w:val="both"/>
            </w:pPr>
            <w:r>
              <w:rPr>
                <w:rFonts w:ascii="Times New Roman" w:eastAsia="標楷體" w:hAnsi="Times New Roman"/>
                <w:color w:val="000000"/>
                <w:sz w:val="28"/>
                <w:szCs w:val="28"/>
              </w:rPr>
              <w:t>若病人在</w:t>
            </w:r>
            <w:r>
              <w:rPr>
                <w:rFonts w:ascii="Times New Roman" w:eastAsia="標楷體" w:hAnsi="Times New Roman" w:hint="eastAsia"/>
                <w:color w:val="000000"/>
                <w:sz w:val="28"/>
                <w:szCs w:val="28"/>
              </w:rPr>
              <w:t>A</w:t>
            </w:r>
            <w:r>
              <w:rPr>
                <w:rFonts w:ascii="Times New Roman" w:eastAsia="標楷體" w:hAnsi="Times New Roman"/>
                <w:color w:val="000000"/>
                <w:sz w:val="28"/>
                <w:szCs w:val="28"/>
              </w:rPr>
              <w:t>院</w:t>
            </w:r>
            <w:r>
              <w:rPr>
                <w:rFonts w:ascii="Times New Roman" w:eastAsia="標楷體" w:hAnsi="Times New Roman" w:hint="eastAsia"/>
                <w:color w:val="000000"/>
                <w:sz w:val="28"/>
                <w:szCs w:val="28"/>
              </w:rPr>
              <w:t>為</w:t>
            </w:r>
            <w:r>
              <w:rPr>
                <w:rFonts w:ascii="Times New Roman" w:eastAsia="標楷體" w:hAnsi="Times New Roman"/>
                <w:color w:val="000000"/>
                <w:sz w:val="28"/>
                <w:szCs w:val="28"/>
              </w:rPr>
              <w:t>高血脂方案</w:t>
            </w:r>
            <w:r>
              <w:rPr>
                <w:rFonts w:ascii="Times New Roman" w:eastAsia="標楷體" w:hAnsi="Times New Roman" w:hint="eastAsia"/>
                <w:color w:val="000000"/>
                <w:sz w:val="28"/>
                <w:szCs w:val="28"/>
              </w:rPr>
              <w:t>收案者</w:t>
            </w:r>
            <w:r>
              <w:rPr>
                <w:rFonts w:ascii="Times New Roman" w:eastAsia="標楷體" w:hAnsi="Times New Roman"/>
                <w:color w:val="000000"/>
                <w:sz w:val="28"/>
                <w:szCs w:val="28"/>
              </w:rPr>
              <w:t>，結案後由同一院所之</w:t>
            </w:r>
            <w:r>
              <w:rPr>
                <w:rFonts w:ascii="Times New Roman" w:eastAsia="標楷體" w:hAnsi="Times New Roman"/>
                <w:color w:val="000000"/>
                <w:sz w:val="28"/>
                <w:szCs w:val="28"/>
              </w:rPr>
              <w:t>P4P-DM/CKD/DKD</w:t>
            </w:r>
            <w:r>
              <w:rPr>
                <w:rFonts w:ascii="Times New Roman" w:eastAsia="標楷體" w:hAnsi="Times New Roman"/>
                <w:color w:val="000000"/>
                <w:sz w:val="28"/>
                <w:szCs w:val="28"/>
              </w:rPr>
              <w:t>收案，是否可申報</w:t>
            </w:r>
            <w:r>
              <w:rPr>
                <w:rFonts w:ascii="Times New Roman" w:eastAsia="標楷體" w:hAnsi="Times New Roman"/>
                <w:color w:val="000000"/>
                <w:sz w:val="28"/>
                <w:szCs w:val="28"/>
              </w:rPr>
              <w:t>P8903B</w:t>
            </w:r>
            <w:r>
              <w:rPr>
                <w:rFonts w:ascii="Times New Roman" w:eastAsia="標楷體" w:hAnsi="Times New Roman" w:hint="eastAsia"/>
                <w:color w:val="000000"/>
                <w:sz w:val="28"/>
                <w:szCs w:val="28"/>
              </w:rPr>
              <w:t>「</w:t>
            </w:r>
            <w:r w:rsidRPr="00AD1FC0">
              <w:rPr>
                <w:rFonts w:ascii="Times New Roman" w:eastAsia="標楷體" w:hAnsi="Times New Roman" w:hint="eastAsia"/>
                <w:color w:val="000000"/>
                <w:sz w:val="28"/>
                <w:szCs w:val="28"/>
              </w:rPr>
              <w:t>成功轉</w:t>
            </w:r>
            <w:proofErr w:type="gramStart"/>
            <w:r w:rsidRPr="00AD1FC0">
              <w:rPr>
                <w:rFonts w:ascii="Times New Roman" w:eastAsia="標楷體" w:hAnsi="Times New Roman" w:hint="eastAsia"/>
                <w:color w:val="000000"/>
                <w:sz w:val="28"/>
                <w:szCs w:val="28"/>
              </w:rPr>
              <w:t>介</w:t>
            </w:r>
            <w:proofErr w:type="gramEnd"/>
            <w:r w:rsidRPr="00AD1FC0">
              <w:rPr>
                <w:rFonts w:ascii="Times New Roman" w:eastAsia="標楷體" w:hAnsi="Times New Roman" w:hint="eastAsia"/>
                <w:color w:val="000000"/>
                <w:sz w:val="28"/>
                <w:szCs w:val="28"/>
              </w:rPr>
              <w:t>費</w:t>
            </w:r>
            <w:r>
              <w:rPr>
                <w:rFonts w:ascii="Times New Roman" w:eastAsia="標楷體" w:hAnsi="Times New Roman" w:hint="eastAsia"/>
                <w:color w:val="000000"/>
                <w:sz w:val="28"/>
                <w:szCs w:val="28"/>
              </w:rPr>
              <w:t>(</w:t>
            </w:r>
            <w:r w:rsidRPr="00AD1FC0">
              <w:rPr>
                <w:rFonts w:ascii="Times New Roman" w:eastAsia="標楷體" w:hAnsi="Times New Roman" w:hint="eastAsia"/>
                <w:color w:val="000000"/>
                <w:sz w:val="28"/>
                <w:szCs w:val="28"/>
              </w:rPr>
              <w:t>轉出</w:t>
            </w:r>
            <w:r>
              <w:rPr>
                <w:rFonts w:ascii="Times New Roman" w:eastAsia="標楷體" w:hAnsi="Times New Roman" w:hint="eastAsia"/>
                <w:color w:val="000000"/>
                <w:sz w:val="28"/>
                <w:szCs w:val="28"/>
              </w:rPr>
              <w:t>)</w:t>
            </w:r>
            <w:r>
              <w:rPr>
                <w:rFonts w:ascii="Times New Roman" w:eastAsia="標楷體" w:hAnsi="Times New Roman" w:hint="eastAsia"/>
                <w:color w:val="000000"/>
                <w:sz w:val="28"/>
                <w:szCs w:val="28"/>
              </w:rPr>
              <w:t>」</w:t>
            </w:r>
            <w:r>
              <w:rPr>
                <w:rFonts w:ascii="Times New Roman" w:eastAsia="標楷體" w:hAnsi="Times New Roman" w:hint="eastAsia"/>
                <w:color w:val="000000"/>
                <w:sz w:val="28"/>
                <w:szCs w:val="28"/>
              </w:rPr>
              <w:t>?</w:t>
            </w:r>
          </w:p>
        </w:tc>
        <w:tc>
          <w:tcPr>
            <w:tcW w:w="5954" w:type="dxa"/>
            <w:shd w:val="clear" w:color="auto" w:fill="auto"/>
            <w:tcMar>
              <w:top w:w="15" w:type="dxa"/>
              <w:left w:w="28" w:type="dxa"/>
              <w:bottom w:w="0" w:type="dxa"/>
              <w:right w:w="28" w:type="dxa"/>
            </w:tcMar>
          </w:tcPr>
          <w:p w14:paraId="1D73264D" w14:textId="77777777" w:rsidR="002D1506" w:rsidRDefault="002D1506" w:rsidP="002D1506">
            <w:pPr>
              <w:pStyle w:val="a7"/>
              <w:numPr>
                <w:ilvl w:val="0"/>
                <w:numId w:val="16"/>
              </w:numPr>
              <w:spacing w:line="40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查本方案</w:t>
            </w:r>
            <w:r>
              <w:rPr>
                <w:rFonts w:ascii="Times New Roman" w:eastAsia="標楷體" w:hAnsi="Times New Roman"/>
                <w:color w:val="000000"/>
                <w:sz w:val="28"/>
                <w:szCs w:val="28"/>
              </w:rPr>
              <w:t>P8903B</w:t>
            </w:r>
            <w:r>
              <w:rPr>
                <w:rFonts w:ascii="Times New Roman" w:eastAsia="標楷體" w:hAnsi="Times New Roman"/>
                <w:color w:val="000000"/>
                <w:sz w:val="28"/>
                <w:szCs w:val="28"/>
              </w:rPr>
              <w:t>訂有個案病況</w:t>
            </w:r>
            <w:proofErr w:type="gramStart"/>
            <w:r>
              <w:rPr>
                <w:rFonts w:ascii="Times New Roman" w:eastAsia="標楷體" w:hAnsi="Times New Roman"/>
                <w:color w:val="000000"/>
                <w:sz w:val="28"/>
                <w:szCs w:val="28"/>
              </w:rPr>
              <w:t>穩定下轉後</w:t>
            </w:r>
            <w:proofErr w:type="gramEnd"/>
            <w:r>
              <w:rPr>
                <w:rFonts w:ascii="Times New Roman" w:eastAsia="標楷體" w:hAnsi="Times New Roman"/>
                <w:color w:val="000000"/>
                <w:sz w:val="28"/>
                <w:szCs w:val="28"/>
              </w:rPr>
              <w:t>，由「全民健康保險家庭醫師整合性照護計畫」、「全民健康保險醫療給付項目及支付標準第八部第二章糖尿病及初期慢性腎臟病照護整合方案」或「全民健康保險地區醫院全人全社區照護計畫」</w:t>
            </w:r>
            <w:proofErr w:type="gramStart"/>
            <w:r>
              <w:rPr>
                <w:rFonts w:ascii="Times New Roman" w:eastAsia="標楷體" w:hAnsi="Times New Roman"/>
                <w:color w:val="000000"/>
                <w:sz w:val="28"/>
                <w:szCs w:val="28"/>
              </w:rPr>
              <w:t>收案照護</w:t>
            </w:r>
            <w:proofErr w:type="gramEnd"/>
            <w:r>
              <w:rPr>
                <w:rFonts w:ascii="Times New Roman" w:eastAsia="標楷體" w:hAnsi="Times New Roman"/>
                <w:color w:val="000000"/>
                <w:sz w:val="28"/>
                <w:szCs w:val="28"/>
              </w:rPr>
              <w:t>，</w:t>
            </w:r>
            <w:proofErr w:type="gramStart"/>
            <w:r>
              <w:rPr>
                <w:rFonts w:ascii="Times New Roman" w:eastAsia="標楷體" w:hAnsi="Times New Roman"/>
                <w:color w:val="000000"/>
                <w:sz w:val="28"/>
                <w:szCs w:val="28"/>
              </w:rPr>
              <w:t>下轉係</w:t>
            </w:r>
            <w:proofErr w:type="gramEnd"/>
            <w:r>
              <w:rPr>
                <w:rFonts w:ascii="Times New Roman" w:eastAsia="標楷體" w:hAnsi="Times New Roman"/>
                <w:color w:val="000000"/>
                <w:sz w:val="28"/>
                <w:szCs w:val="28"/>
              </w:rPr>
              <w:t>經病人同意，轉診至特約類別較低層級之適當院所，</w:t>
            </w:r>
            <w:proofErr w:type="gramStart"/>
            <w:r>
              <w:rPr>
                <w:rFonts w:ascii="Times New Roman" w:eastAsia="標楷體" w:hAnsi="Times New Roman"/>
                <w:color w:val="000000"/>
                <w:sz w:val="28"/>
                <w:szCs w:val="28"/>
              </w:rPr>
              <w:t>爰</w:t>
            </w:r>
            <w:proofErr w:type="gramEnd"/>
            <w:r>
              <w:rPr>
                <w:rFonts w:ascii="Times New Roman" w:eastAsia="標楷體" w:hAnsi="Times New Roman"/>
                <w:color w:val="000000"/>
                <w:sz w:val="28"/>
                <w:szCs w:val="28"/>
              </w:rPr>
              <w:t>不包含同一院所內轉。</w:t>
            </w:r>
          </w:p>
          <w:p w14:paraId="659114B3" w14:textId="77777777" w:rsidR="00DD5F66" w:rsidRPr="007A4D83" w:rsidRDefault="00DD5F66" w:rsidP="00DD5F66">
            <w:pPr>
              <w:pStyle w:val="a7"/>
              <w:numPr>
                <w:ilvl w:val="0"/>
                <w:numId w:val="16"/>
              </w:numPr>
              <w:spacing w:line="400" w:lineRule="exact"/>
              <w:jc w:val="both"/>
              <w:rPr>
                <w:rFonts w:ascii="Times New Roman" w:eastAsia="標楷體" w:hAnsi="Times New Roman"/>
                <w:color w:val="000000"/>
                <w:sz w:val="28"/>
                <w:szCs w:val="28"/>
              </w:rPr>
            </w:pPr>
            <w:proofErr w:type="gramStart"/>
            <w:r w:rsidRPr="009F6C9B">
              <w:rPr>
                <w:rFonts w:ascii="Times New Roman" w:eastAsia="標楷體" w:hAnsi="Times New Roman" w:hint="eastAsia"/>
                <w:color w:val="000000"/>
                <w:sz w:val="28"/>
                <w:szCs w:val="28"/>
              </w:rPr>
              <w:t>轉</w:t>
            </w:r>
            <w:r w:rsidRPr="001B74FF">
              <w:rPr>
                <w:rFonts w:ascii="Times New Roman" w:eastAsia="標楷體" w:hAnsi="Times New Roman" w:hint="eastAsia"/>
                <w:color w:val="000000"/>
                <w:sz w:val="28"/>
                <w:szCs w:val="28"/>
              </w:rPr>
              <w:t>出費以</w:t>
            </w:r>
            <w:proofErr w:type="gramEnd"/>
            <w:r w:rsidRPr="001B74FF">
              <w:rPr>
                <w:rFonts w:ascii="Times New Roman" w:eastAsia="標楷體" w:hAnsi="Times New Roman" w:hint="eastAsia"/>
                <w:color w:val="000000"/>
                <w:sz w:val="28"/>
                <w:szCs w:val="28"/>
              </w:rPr>
              <w:t>不得重複給付為原則，</w:t>
            </w:r>
            <w:r w:rsidR="002059E7" w:rsidRPr="001B74FF">
              <w:rPr>
                <w:rFonts w:ascii="Times New Roman" w:eastAsia="標楷體" w:hAnsi="Times New Roman" w:hint="eastAsia"/>
                <w:color w:val="000000"/>
                <w:sz w:val="28"/>
                <w:szCs w:val="28"/>
              </w:rPr>
              <w:t>P</w:t>
            </w:r>
            <w:r w:rsidR="002059E7" w:rsidRPr="001B74FF">
              <w:rPr>
                <w:rFonts w:ascii="Times New Roman" w:eastAsia="標楷體" w:hAnsi="Times New Roman"/>
                <w:color w:val="000000"/>
                <w:sz w:val="28"/>
                <w:szCs w:val="28"/>
              </w:rPr>
              <w:t>8903</w:t>
            </w:r>
            <w:r w:rsidR="002059E7" w:rsidRPr="001B74FF">
              <w:rPr>
                <w:rFonts w:ascii="Times New Roman" w:eastAsia="標楷體" w:hAnsi="Times New Roman" w:hint="eastAsia"/>
                <w:color w:val="000000"/>
                <w:sz w:val="28"/>
                <w:szCs w:val="28"/>
              </w:rPr>
              <w:t>B</w:t>
            </w:r>
            <w:r w:rsidR="002059E7" w:rsidRPr="001B74FF">
              <w:rPr>
                <w:rFonts w:ascii="Times New Roman" w:eastAsia="標楷體" w:hAnsi="Times New Roman" w:hint="eastAsia"/>
                <w:color w:val="000000"/>
                <w:sz w:val="28"/>
                <w:szCs w:val="28"/>
              </w:rPr>
              <w:t>不可與</w:t>
            </w:r>
            <w:r w:rsidR="002D1506" w:rsidRPr="001B74FF">
              <w:rPr>
                <w:rFonts w:ascii="Times New Roman" w:eastAsia="標楷體" w:hAnsi="Times New Roman"/>
                <w:color w:val="000000"/>
                <w:sz w:val="28"/>
                <w:szCs w:val="28"/>
              </w:rPr>
              <w:t>01034B</w:t>
            </w:r>
            <w:r w:rsidR="002D1506" w:rsidRPr="001B74FF">
              <w:rPr>
                <w:rFonts w:ascii="Times New Roman" w:eastAsia="標楷體" w:hAnsi="Times New Roman" w:hint="eastAsia"/>
                <w:color w:val="000000"/>
                <w:sz w:val="28"/>
                <w:szCs w:val="28"/>
              </w:rPr>
              <w:t>、</w:t>
            </w:r>
            <w:r w:rsidR="002D1506" w:rsidRPr="001B74FF">
              <w:rPr>
                <w:rFonts w:ascii="Times New Roman" w:eastAsia="標楷體" w:hAnsi="Times New Roman"/>
                <w:color w:val="000000"/>
                <w:sz w:val="28"/>
                <w:szCs w:val="28"/>
              </w:rPr>
              <w:t>00192A</w:t>
            </w:r>
            <w:r w:rsidR="002D1506" w:rsidRPr="001B74FF">
              <w:rPr>
                <w:rFonts w:ascii="Times New Roman" w:eastAsia="標楷體" w:hAnsi="Times New Roman" w:hint="eastAsia"/>
                <w:color w:val="000000"/>
                <w:sz w:val="28"/>
                <w:szCs w:val="28"/>
              </w:rPr>
              <w:t>、</w:t>
            </w:r>
            <w:r w:rsidR="002D1506" w:rsidRPr="001B74FF">
              <w:rPr>
                <w:rFonts w:ascii="Times New Roman" w:eastAsia="標楷體" w:hAnsi="Times New Roman"/>
                <w:color w:val="000000"/>
                <w:sz w:val="28"/>
                <w:szCs w:val="28"/>
              </w:rPr>
              <w:t>00193C</w:t>
            </w:r>
            <w:r w:rsidR="002D1506" w:rsidRPr="001B74FF">
              <w:rPr>
                <w:rFonts w:ascii="Times New Roman" w:eastAsia="標楷體" w:hAnsi="Times New Roman" w:hint="eastAsia"/>
                <w:color w:val="000000"/>
                <w:sz w:val="28"/>
                <w:szCs w:val="28"/>
              </w:rPr>
              <w:t>或本保險任</w:t>
            </w:r>
            <w:proofErr w:type="gramStart"/>
            <w:r w:rsidR="002D1506" w:rsidRPr="001B74FF">
              <w:rPr>
                <w:rFonts w:ascii="Times New Roman" w:eastAsia="標楷體" w:hAnsi="Times New Roman" w:hint="eastAsia"/>
                <w:color w:val="000000"/>
                <w:sz w:val="28"/>
                <w:szCs w:val="28"/>
              </w:rPr>
              <w:t>一</w:t>
            </w:r>
            <w:proofErr w:type="gramEnd"/>
            <w:r w:rsidR="002D1506" w:rsidRPr="001B74FF">
              <w:rPr>
                <w:rFonts w:ascii="Times New Roman" w:eastAsia="標楷體" w:hAnsi="Times New Roman" w:hint="eastAsia"/>
                <w:color w:val="000000"/>
                <w:sz w:val="28"/>
                <w:szCs w:val="28"/>
              </w:rPr>
              <w:lastRenderedPageBreak/>
              <w:t>品質提升方案、照護計畫之相關轉診獎勵</w:t>
            </w:r>
            <w:r w:rsidR="002059E7" w:rsidRPr="001B74FF">
              <w:rPr>
                <w:rFonts w:ascii="Times New Roman" w:eastAsia="標楷體" w:hAnsi="Times New Roman" w:hint="eastAsia"/>
                <w:color w:val="000000"/>
                <w:sz w:val="28"/>
                <w:szCs w:val="28"/>
              </w:rPr>
              <w:t>同時申報</w:t>
            </w:r>
            <w:r w:rsidR="002D1506" w:rsidRPr="001B74FF">
              <w:rPr>
                <w:rFonts w:ascii="Times New Roman" w:eastAsia="標楷體" w:hAnsi="Times New Roman"/>
                <w:color w:val="000000"/>
                <w:sz w:val="28"/>
                <w:szCs w:val="28"/>
              </w:rPr>
              <w:t>。</w:t>
            </w:r>
          </w:p>
        </w:tc>
      </w:tr>
      <w:tr w:rsidR="002D1506" w14:paraId="0FE52151" w14:textId="77777777" w:rsidTr="005D1545">
        <w:trPr>
          <w:trHeight w:val="1494"/>
        </w:trPr>
        <w:tc>
          <w:tcPr>
            <w:tcW w:w="4111" w:type="dxa"/>
            <w:shd w:val="clear" w:color="auto" w:fill="auto"/>
            <w:tcMar>
              <w:top w:w="15" w:type="dxa"/>
              <w:left w:w="28" w:type="dxa"/>
              <w:bottom w:w="0" w:type="dxa"/>
              <w:right w:w="28" w:type="dxa"/>
            </w:tcMar>
          </w:tcPr>
          <w:p w14:paraId="26EF86A1" w14:textId="77777777" w:rsidR="002D1506" w:rsidRPr="002609D0" w:rsidRDefault="002D1506" w:rsidP="002D1506">
            <w:pPr>
              <w:pStyle w:val="a7"/>
              <w:numPr>
                <w:ilvl w:val="0"/>
                <w:numId w:val="15"/>
              </w:numPr>
              <w:tabs>
                <w:tab w:val="left" w:pos="537"/>
              </w:tabs>
              <w:spacing w:line="400" w:lineRule="exact"/>
              <w:ind w:left="395" w:hanging="395"/>
              <w:jc w:val="both"/>
              <w:rPr>
                <w:rFonts w:ascii="Times New Roman" w:eastAsia="標楷體" w:hAnsi="Times New Roman"/>
                <w:color w:val="000000"/>
                <w:sz w:val="28"/>
                <w:szCs w:val="28"/>
              </w:rPr>
            </w:pPr>
            <w:r w:rsidRPr="002609D0">
              <w:rPr>
                <w:rFonts w:ascii="Times New Roman" w:eastAsia="標楷體" w:hAnsi="Times New Roman"/>
                <w:color w:val="000000"/>
                <w:sz w:val="28"/>
                <w:szCs w:val="28"/>
              </w:rPr>
              <w:lastRenderedPageBreak/>
              <w:t>醫療費用申報門診醫療點數清單案件分類與特定治療項目代號是否有特定規範</w:t>
            </w:r>
            <w:r w:rsidRPr="002609D0">
              <w:rPr>
                <w:rFonts w:ascii="Times New Roman" w:eastAsia="標楷體" w:hAnsi="Times New Roman"/>
                <w:color w:val="000000"/>
                <w:sz w:val="28"/>
                <w:szCs w:val="28"/>
              </w:rPr>
              <w:t>?</w:t>
            </w:r>
          </w:p>
        </w:tc>
        <w:tc>
          <w:tcPr>
            <w:tcW w:w="5954" w:type="dxa"/>
            <w:shd w:val="clear" w:color="auto" w:fill="auto"/>
            <w:tcMar>
              <w:top w:w="15" w:type="dxa"/>
              <w:left w:w="28" w:type="dxa"/>
              <w:bottom w:w="0" w:type="dxa"/>
              <w:right w:w="28" w:type="dxa"/>
            </w:tcMar>
          </w:tcPr>
          <w:p w14:paraId="4E0C8DF4" w14:textId="77777777" w:rsidR="002D1506" w:rsidRPr="002609D0" w:rsidRDefault="002D1506" w:rsidP="002D1506">
            <w:pPr>
              <w:pStyle w:val="Default"/>
              <w:numPr>
                <w:ilvl w:val="0"/>
                <w:numId w:val="24"/>
              </w:numPr>
              <w:rPr>
                <w:rFonts w:eastAsia="標楷體"/>
                <w:sz w:val="28"/>
                <w:szCs w:val="28"/>
              </w:rPr>
            </w:pPr>
            <w:r w:rsidRPr="002609D0">
              <w:rPr>
                <w:rFonts w:eastAsia="標楷體"/>
                <w:sz w:val="28"/>
                <w:szCs w:val="28"/>
              </w:rPr>
              <w:t>P8901B</w:t>
            </w:r>
            <w:r w:rsidRPr="002609D0">
              <w:rPr>
                <w:rFonts w:eastAsia="標楷體"/>
                <w:sz w:val="28"/>
                <w:szCs w:val="28"/>
              </w:rPr>
              <w:t>「新收案照護費」、</w:t>
            </w:r>
            <w:r w:rsidRPr="002609D0">
              <w:rPr>
                <w:rFonts w:eastAsia="標楷體"/>
                <w:sz w:val="28"/>
                <w:szCs w:val="28"/>
              </w:rPr>
              <w:t>P8902B</w:t>
            </w:r>
            <w:r w:rsidRPr="002609D0">
              <w:rPr>
                <w:rFonts w:eastAsia="標楷體"/>
                <w:sz w:val="28"/>
                <w:szCs w:val="28"/>
              </w:rPr>
              <w:t>「年度收案照護」：門診醫療費用點數申報格式點數清單段之案件分類應填「</w:t>
            </w:r>
            <w:r w:rsidRPr="002609D0">
              <w:rPr>
                <w:rFonts w:eastAsia="標楷體"/>
                <w:sz w:val="28"/>
                <w:szCs w:val="28"/>
              </w:rPr>
              <w:t>E1</w:t>
            </w:r>
            <w:r w:rsidRPr="002609D0">
              <w:rPr>
                <w:rFonts w:eastAsia="標楷體"/>
                <w:sz w:val="28"/>
                <w:szCs w:val="28"/>
              </w:rPr>
              <w:t>」、醫令清單段之醫令類別請填寫「</w:t>
            </w:r>
            <w:r w:rsidRPr="002609D0">
              <w:rPr>
                <w:rFonts w:eastAsia="標楷體"/>
                <w:sz w:val="28"/>
                <w:szCs w:val="28"/>
              </w:rPr>
              <w:t>2</w:t>
            </w:r>
            <w:r w:rsidRPr="002609D0">
              <w:rPr>
                <w:rFonts w:eastAsia="標楷體"/>
                <w:sz w:val="28"/>
                <w:szCs w:val="28"/>
              </w:rPr>
              <w:t>」，特定治療項目代碼填「</w:t>
            </w:r>
            <w:r w:rsidR="00106DA5">
              <w:rPr>
                <w:rFonts w:eastAsia="標楷體"/>
                <w:sz w:val="28"/>
                <w:szCs w:val="28"/>
              </w:rPr>
              <w:t>EL</w:t>
            </w:r>
            <w:r w:rsidRPr="002609D0">
              <w:rPr>
                <w:rFonts w:eastAsia="標楷體"/>
                <w:sz w:val="28"/>
                <w:szCs w:val="28"/>
              </w:rPr>
              <w:t>」。</w:t>
            </w:r>
          </w:p>
          <w:p w14:paraId="52AE9DB6" w14:textId="77777777" w:rsidR="002D1506" w:rsidRPr="002609D0" w:rsidRDefault="002D1506" w:rsidP="002D1506">
            <w:pPr>
              <w:pStyle w:val="Default"/>
              <w:numPr>
                <w:ilvl w:val="0"/>
                <w:numId w:val="24"/>
              </w:numPr>
              <w:rPr>
                <w:rFonts w:eastAsia="標楷體"/>
                <w:sz w:val="28"/>
                <w:szCs w:val="28"/>
              </w:rPr>
            </w:pPr>
            <w:r w:rsidRPr="002609D0">
              <w:rPr>
                <w:rFonts w:eastAsia="標楷體"/>
                <w:sz w:val="28"/>
                <w:szCs w:val="28"/>
              </w:rPr>
              <w:t>P8903B</w:t>
            </w:r>
            <w:r w:rsidRPr="002609D0">
              <w:rPr>
                <w:rFonts w:eastAsia="標楷體"/>
                <w:sz w:val="28"/>
                <w:szCs w:val="28"/>
              </w:rPr>
              <w:t>：門診醫療費用點數申報格式點數清單段之案件分類應填「</w:t>
            </w:r>
            <w:r w:rsidRPr="002609D0">
              <w:rPr>
                <w:rFonts w:eastAsia="標楷體"/>
                <w:sz w:val="28"/>
                <w:szCs w:val="28"/>
              </w:rPr>
              <w:t>E1</w:t>
            </w:r>
            <w:r w:rsidRPr="002609D0">
              <w:rPr>
                <w:rFonts w:eastAsia="標楷體"/>
                <w:sz w:val="28"/>
                <w:szCs w:val="28"/>
              </w:rPr>
              <w:t>」、</w:t>
            </w:r>
            <w:proofErr w:type="gramStart"/>
            <w:r w:rsidRPr="002609D0">
              <w:rPr>
                <w:rFonts w:eastAsia="標楷體"/>
                <w:sz w:val="28"/>
                <w:szCs w:val="28"/>
              </w:rPr>
              <w:t>醫</w:t>
            </w:r>
            <w:proofErr w:type="gramEnd"/>
            <w:r w:rsidRPr="002609D0">
              <w:rPr>
                <w:rFonts w:eastAsia="標楷體"/>
                <w:sz w:val="28"/>
                <w:szCs w:val="28"/>
              </w:rPr>
              <w:t>令類別</w:t>
            </w:r>
            <w:r w:rsidRPr="002609D0">
              <w:rPr>
                <w:rFonts w:eastAsia="標楷體"/>
                <w:sz w:val="28"/>
                <w:szCs w:val="28"/>
              </w:rPr>
              <w:t>G</w:t>
            </w:r>
            <w:r w:rsidRPr="002609D0">
              <w:rPr>
                <w:rFonts w:eastAsia="標楷體"/>
                <w:sz w:val="28"/>
                <w:szCs w:val="28"/>
              </w:rPr>
              <w:t>。</w:t>
            </w:r>
          </w:p>
        </w:tc>
      </w:tr>
      <w:tr w:rsidR="002D1506" w14:paraId="1B2D7BB5" w14:textId="77777777" w:rsidTr="005D1545">
        <w:trPr>
          <w:trHeight w:val="1709"/>
        </w:trPr>
        <w:tc>
          <w:tcPr>
            <w:tcW w:w="4111" w:type="dxa"/>
            <w:shd w:val="clear" w:color="auto" w:fill="auto"/>
            <w:tcMar>
              <w:top w:w="15" w:type="dxa"/>
              <w:left w:w="28" w:type="dxa"/>
              <w:bottom w:w="0" w:type="dxa"/>
              <w:right w:w="28" w:type="dxa"/>
            </w:tcMar>
          </w:tcPr>
          <w:p w14:paraId="643BDDDD" w14:textId="77777777" w:rsidR="002D1506" w:rsidRDefault="002D1506" w:rsidP="002D1506">
            <w:pPr>
              <w:pStyle w:val="a7"/>
              <w:numPr>
                <w:ilvl w:val="0"/>
                <w:numId w:val="15"/>
              </w:numPr>
              <w:tabs>
                <w:tab w:val="left" w:pos="537"/>
              </w:tabs>
              <w:spacing w:line="400" w:lineRule="exact"/>
              <w:ind w:left="395" w:hanging="395"/>
              <w:jc w:val="both"/>
              <w:rPr>
                <w:rFonts w:ascii="Times New Roman" w:eastAsia="標楷體" w:hAnsi="Times New Roman"/>
                <w:color w:val="000000"/>
                <w:sz w:val="28"/>
                <w:szCs w:val="28"/>
              </w:rPr>
            </w:pPr>
            <w:r>
              <w:rPr>
                <w:rFonts w:ascii="Times New Roman" w:eastAsia="標楷體" w:hAnsi="Times New Roman"/>
                <w:color w:val="000000"/>
                <w:sz w:val="28"/>
                <w:szCs w:val="28"/>
              </w:rPr>
              <w:t>年度</w:t>
            </w:r>
            <w:proofErr w:type="gramStart"/>
            <w:r>
              <w:rPr>
                <w:rFonts w:ascii="Times New Roman" w:eastAsia="標楷體" w:hAnsi="Times New Roman"/>
                <w:color w:val="000000"/>
                <w:sz w:val="28"/>
                <w:szCs w:val="28"/>
              </w:rPr>
              <w:t>收案照護</w:t>
            </w:r>
            <w:proofErr w:type="gramEnd"/>
            <w:r>
              <w:rPr>
                <w:rFonts w:ascii="Times New Roman" w:eastAsia="標楷體" w:hAnsi="Times New Roman"/>
                <w:color w:val="000000"/>
                <w:sz w:val="28"/>
                <w:szCs w:val="28"/>
              </w:rPr>
              <w:t>費</w:t>
            </w:r>
            <w:r>
              <w:rPr>
                <w:rFonts w:ascii="Times New Roman" w:eastAsia="標楷體" w:hAnsi="Times New Roman"/>
                <w:color w:val="000000"/>
                <w:sz w:val="28"/>
                <w:szCs w:val="28"/>
              </w:rPr>
              <w:t>P8902B</w:t>
            </w:r>
            <w:r>
              <w:rPr>
                <w:rFonts w:ascii="Times New Roman" w:eastAsia="標楷體" w:hAnsi="Times New Roman"/>
                <w:color w:val="000000"/>
                <w:sz w:val="28"/>
                <w:szCs w:val="28"/>
              </w:rPr>
              <w:t>申報是否有期限時程規定，如申報新收</w:t>
            </w:r>
            <w:r w:rsidR="00DB26C6">
              <w:rPr>
                <w:rFonts w:ascii="Times New Roman" w:eastAsia="標楷體" w:hAnsi="Times New Roman" w:hint="eastAsia"/>
                <w:color w:val="000000"/>
                <w:sz w:val="28"/>
                <w:szCs w:val="28"/>
              </w:rPr>
              <w:t>案</w:t>
            </w:r>
            <w:r>
              <w:rPr>
                <w:rFonts w:ascii="Times New Roman" w:eastAsia="標楷體" w:hAnsi="Times New Roman"/>
                <w:color w:val="000000"/>
                <w:sz w:val="28"/>
                <w:szCs w:val="28"/>
              </w:rPr>
              <w:t>後至少須間隔幾天才能申報本項</w:t>
            </w:r>
            <w:r>
              <w:rPr>
                <w:rFonts w:ascii="Times New Roman" w:eastAsia="標楷體" w:hAnsi="Times New Roman"/>
                <w:color w:val="000000"/>
                <w:sz w:val="28"/>
                <w:szCs w:val="28"/>
              </w:rPr>
              <w:t>?</w:t>
            </w:r>
          </w:p>
        </w:tc>
        <w:tc>
          <w:tcPr>
            <w:tcW w:w="5954" w:type="dxa"/>
            <w:shd w:val="clear" w:color="auto" w:fill="auto"/>
            <w:tcMar>
              <w:top w:w="15" w:type="dxa"/>
              <w:left w:w="28" w:type="dxa"/>
              <w:bottom w:w="0" w:type="dxa"/>
              <w:right w:w="28" w:type="dxa"/>
            </w:tcMar>
          </w:tcPr>
          <w:p w14:paraId="67BB6563" w14:textId="77777777" w:rsidR="002D1506" w:rsidRDefault="002D1506" w:rsidP="002D1506">
            <w:pPr>
              <w:spacing w:line="400" w:lineRule="exact"/>
              <w:jc w:val="both"/>
            </w:pPr>
            <w:r>
              <w:rPr>
                <w:rFonts w:ascii="Times New Roman" w:eastAsia="標楷體" w:hAnsi="Times New Roman"/>
                <w:color w:val="000000"/>
                <w:sz w:val="28"/>
                <w:szCs w:val="28"/>
              </w:rPr>
              <w:t>個案符合結案條件之病況穩定</w:t>
            </w:r>
            <w:r>
              <w:rPr>
                <w:rFonts w:ascii="Times New Roman" w:eastAsia="標楷體" w:hAnsi="Times New Roman"/>
                <w:color w:val="000000"/>
                <w:sz w:val="28"/>
                <w:szCs w:val="28"/>
              </w:rPr>
              <w:t>(</w:t>
            </w:r>
            <w:r>
              <w:rPr>
                <w:rFonts w:ascii="Times New Roman" w:eastAsia="標楷體" w:hAnsi="Times New Roman"/>
                <w:color w:val="000000"/>
                <w:sz w:val="28"/>
                <w:szCs w:val="28"/>
              </w:rPr>
              <w:t>未滿一年</w:t>
            </w:r>
            <w:r>
              <w:rPr>
                <w:rFonts w:ascii="Times New Roman" w:eastAsia="標楷體" w:hAnsi="Times New Roman"/>
                <w:color w:val="000000"/>
                <w:sz w:val="28"/>
                <w:szCs w:val="28"/>
              </w:rPr>
              <w:t>)</w:t>
            </w:r>
            <w:r>
              <w:rPr>
                <w:rFonts w:ascii="Times New Roman" w:eastAsia="標楷體" w:hAnsi="Times New Roman"/>
                <w:color w:val="000000"/>
                <w:sz w:val="28"/>
                <w:szCs w:val="28"/>
              </w:rPr>
              <w:t>或收案追蹤滿一年者</w:t>
            </w:r>
            <w:r>
              <w:rPr>
                <w:rFonts w:ascii="Times New Roman" w:eastAsia="標楷體" w:hAnsi="Times New Roman" w:hint="eastAsia"/>
                <w:color w:val="000000"/>
                <w:sz w:val="28"/>
                <w:szCs w:val="28"/>
              </w:rPr>
              <w:t>，始得</w:t>
            </w:r>
            <w:r>
              <w:rPr>
                <w:rFonts w:ascii="Times New Roman" w:eastAsia="標楷體" w:hAnsi="Times New Roman"/>
                <w:color w:val="000000"/>
                <w:sz w:val="28"/>
                <w:szCs w:val="28"/>
              </w:rPr>
              <w:t>申報</w:t>
            </w:r>
            <w:r>
              <w:rPr>
                <w:rFonts w:ascii="Times New Roman" w:eastAsia="標楷體" w:hAnsi="Times New Roman"/>
                <w:color w:val="000000"/>
                <w:sz w:val="28"/>
                <w:szCs w:val="28"/>
              </w:rPr>
              <w:t>P8902B</w:t>
            </w:r>
            <w:r>
              <w:rPr>
                <w:rFonts w:ascii="Times New Roman" w:eastAsia="標楷體" w:hAnsi="Times New Roman"/>
                <w:color w:val="000000"/>
                <w:sz w:val="28"/>
                <w:szCs w:val="28"/>
              </w:rPr>
              <w:t>「年度</w:t>
            </w:r>
            <w:proofErr w:type="gramStart"/>
            <w:r>
              <w:rPr>
                <w:rFonts w:ascii="Times New Roman" w:eastAsia="標楷體" w:hAnsi="Times New Roman"/>
                <w:color w:val="000000"/>
                <w:sz w:val="28"/>
                <w:szCs w:val="28"/>
              </w:rPr>
              <w:t>收案照護</w:t>
            </w:r>
            <w:proofErr w:type="gramEnd"/>
            <w:r>
              <w:rPr>
                <w:rFonts w:ascii="Times New Roman" w:eastAsia="標楷體" w:hAnsi="Times New Roman"/>
                <w:color w:val="000000"/>
                <w:sz w:val="28"/>
                <w:szCs w:val="28"/>
              </w:rPr>
              <w:t>費」，同一病人於同一院所之同一心血管事件限申報一次。</w:t>
            </w:r>
          </w:p>
        </w:tc>
      </w:tr>
    </w:tbl>
    <w:p w14:paraId="3AEF8215" w14:textId="77777777" w:rsidR="00311224" w:rsidRDefault="00311224">
      <w:pPr>
        <w:jc w:val="both"/>
        <w:rPr>
          <w:rFonts w:ascii="標楷體" w:eastAsia="標楷體" w:hAnsi="標楷體"/>
          <w:color w:val="000000"/>
          <w:sz w:val="32"/>
          <w:szCs w:val="32"/>
        </w:rPr>
      </w:pPr>
    </w:p>
    <w:sectPr w:rsidR="00311224">
      <w:headerReference w:type="default" r:id="rId7"/>
      <w:footerReference w:type="default" r:id="rId8"/>
      <w:pgSz w:w="11906" w:h="16838"/>
      <w:pgMar w:top="1440" w:right="1800" w:bottom="1440" w:left="1800" w:header="720" w:footer="720" w:gutter="0"/>
      <w:cols w:space="720"/>
      <w:docGrid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40A09" w14:textId="77777777" w:rsidR="00E5348F" w:rsidRDefault="00E5348F">
      <w:r>
        <w:separator/>
      </w:r>
    </w:p>
  </w:endnote>
  <w:endnote w:type="continuationSeparator" w:id="0">
    <w:p w14:paraId="1664B491" w14:textId="77777777" w:rsidR="00E5348F" w:rsidRDefault="00E53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71641" w14:textId="77777777" w:rsidR="003E0DEA" w:rsidRDefault="006C08F6">
    <w:pPr>
      <w:pStyle w:val="a5"/>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20CD947B" w14:textId="77777777" w:rsidR="003E0DEA" w:rsidRDefault="00E534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DE049" w14:textId="77777777" w:rsidR="00E5348F" w:rsidRDefault="00E5348F">
      <w:r>
        <w:rPr>
          <w:color w:val="000000"/>
        </w:rPr>
        <w:separator/>
      </w:r>
    </w:p>
  </w:footnote>
  <w:footnote w:type="continuationSeparator" w:id="0">
    <w:p w14:paraId="4DF5B38A" w14:textId="77777777" w:rsidR="00E5348F" w:rsidRDefault="00E53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AD26E" w14:textId="77777777" w:rsidR="003E0DEA" w:rsidRDefault="006C08F6">
    <w:pPr>
      <w:pStyle w:val="a3"/>
      <w:jc w:val="center"/>
      <w:rPr>
        <w:rFonts w:ascii="標楷體" w:eastAsia="標楷體" w:hAnsi="標楷體"/>
        <w:b/>
        <w:sz w:val="36"/>
      </w:rPr>
    </w:pPr>
    <w:r>
      <w:rPr>
        <w:rFonts w:ascii="標楷體" w:eastAsia="標楷體" w:hAnsi="標楷體"/>
        <w:b/>
        <w:sz w:val="36"/>
      </w:rPr>
      <w:t>全民健康保險高血脂醫療給付改善方案問答</w:t>
    </w:r>
    <w:proofErr w:type="gramStart"/>
    <w:r>
      <w:rPr>
        <w:rFonts w:ascii="標楷體" w:eastAsia="標楷體" w:hAnsi="標楷體"/>
        <w:b/>
        <w:sz w:val="36"/>
      </w:rPr>
      <w:t>輯</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370A0"/>
    <w:multiLevelType w:val="multilevel"/>
    <w:tmpl w:val="1272FE70"/>
    <w:lvl w:ilvl="0">
      <w:start w:val="1"/>
      <w:numFmt w:val="decimal"/>
      <w:lvlText w:val="%1."/>
      <w:lvlJc w:val="left"/>
      <w:pPr>
        <w:ind w:left="720" w:hanging="360"/>
      </w:pPr>
      <w:rPr>
        <w:rFonts w:ascii="Times New Roman" w:hAnsi="Times New Roman" w:cs="Times New Roman"/>
        <w:sz w:val="28"/>
      </w:rPr>
    </w:lvl>
    <w:lvl w:ilvl="1">
      <w:start w:val="1"/>
      <w:numFmt w:val="decimal"/>
      <w:lvlText w:val="(%2)"/>
      <w:lvlJc w:val="left"/>
      <w:pPr>
        <w:ind w:left="1560" w:hanging="48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4AB4C2D"/>
    <w:multiLevelType w:val="multilevel"/>
    <w:tmpl w:val="445A9D1C"/>
    <w:lvl w:ilvl="0">
      <w:start w:val="1"/>
      <w:numFmt w:val="decimal"/>
      <w:lvlText w:val="%1."/>
      <w:lvlJc w:val="left"/>
      <w:pPr>
        <w:ind w:left="720" w:hanging="360"/>
      </w:pPr>
      <w:rPr>
        <w:rFonts w:ascii="Times New Roman" w:hAnsi="Times New Roman" w:cs="Times New Roman"/>
        <w:sz w:val="28"/>
      </w:rPr>
    </w:lvl>
    <w:lvl w:ilvl="1">
      <w:start w:val="1"/>
      <w:numFmt w:val="decimal"/>
      <w:lvlText w:val="(%2)"/>
      <w:lvlJc w:val="left"/>
      <w:pPr>
        <w:ind w:left="1560" w:hanging="48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8AF5614"/>
    <w:multiLevelType w:val="hybridMultilevel"/>
    <w:tmpl w:val="E77AF3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9C4DD7"/>
    <w:multiLevelType w:val="multilevel"/>
    <w:tmpl w:val="02ACF582"/>
    <w:lvl w:ilvl="0">
      <w:start w:val="1"/>
      <w:numFmt w:val="decimal"/>
      <w:lvlText w:val="%1."/>
      <w:lvlJc w:val="left"/>
      <w:pPr>
        <w:ind w:left="720" w:hanging="360"/>
      </w:pPr>
      <w:rPr>
        <w:rFonts w:ascii="Times New Roman" w:hAnsi="Times New Roman" w:cs="Times New Roman"/>
        <w:sz w:val="28"/>
      </w:rPr>
    </w:lvl>
    <w:lvl w:ilvl="1">
      <w:start w:val="1"/>
      <w:numFmt w:val="decimal"/>
      <w:lvlText w:val="(%2)"/>
      <w:lvlJc w:val="left"/>
      <w:pPr>
        <w:ind w:left="1560" w:hanging="48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ED06BAB"/>
    <w:multiLevelType w:val="multilevel"/>
    <w:tmpl w:val="9A44ABF8"/>
    <w:lvl w:ilvl="0">
      <w:start w:val="1"/>
      <w:numFmt w:val="decimal"/>
      <w:lvlText w:val="(%1)"/>
      <w:lvlJc w:val="left"/>
      <w:pPr>
        <w:ind w:left="876" w:hanging="480"/>
      </w:pPr>
      <w:rPr>
        <w:color w:val="000000"/>
        <w:sz w:val="28"/>
      </w:rPr>
    </w:lvl>
    <w:lvl w:ilvl="1">
      <w:start w:val="1"/>
      <w:numFmt w:val="ideographTraditional"/>
      <w:lvlText w:val="%2、"/>
      <w:lvlJc w:val="left"/>
      <w:pPr>
        <w:ind w:left="1356" w:hanging="480"/>
      </w:pPr>
    </w:lvl>
    <w:lvl w:ilvl="2">
      <w:start w:val="1"/>
      <w:numFmt w:val="lowerRoman"/>
      <w:lvlText w:val="%3."/>
      <w:lvlJc w:val="right"/>
      <w:pPr>
        <w:ind w:left="1836" w:hanging="480"/>
      </w:pPr>
    </w:lvl>
    <w:lvl w:ilvl="3">
      <w:start w:val="1"/>
      <w:numFmt w:val="decimal"/>
      <w:lvlText w:val="%4."/>
      <w:lvlJc w:val="left"/>
      <w:pPr>
        <w:ind w:left="2316" w:hanging="480"/>
      </w:pPr>
    </w:lvl>
    <w:lvl w:ilvl="4">
      <w:start w:val="1"/>
      <w:numFmt w:val="ideographTraditional"/>
      <w:lvlText w:val="%5、"/>
      <w:lvlJc w:val="left"/>
      <w:pPr>
        <w:ind w:left="2796" w:hanging="480"/>
      </w:pPr>
    </w:lvl>
    <w:lvl w:ilvl="5">
      <w:start w:val="1"/>
      <w:numFmt w:val="lowerRoman"/>
      <w:lvlText w:val="%6."/>
      <w:lvlJc w:val="right"/>
      <w:pPr>
        <w:ind w:left="3276" w:hanging="480"/>
      </w:pPr>
    </w:lvl>
    <w:lvl w:ilvl="6">
      <w:start w:val="1"/>
      <w:numFmt w:val="decimal"/>
      <w:lvlText w:val="%7."/>
      <w:lvlJc w:val="left"/>
      <w:pPr>
        <w:ind w:left="3756" w:hanging="480"/>
      </w:pPr>
    </w:lvl>
    <w:lvl w:ilvl="7">
      <w:start w:val="1"/>
      <w:numFmt w:val="ideographTraditional"/>
      <w:lvlText w:val="%8、"/>
      <w:lvlJc w:val="left"/>
      <w:pPr>
        <w:ind w:left="4236" w:hanging="480"/>
      </w:pPr>
    </w:lvl>
    <w:lvl w:ilvl="8">
      <w:start w:val="1"/>
      <w:numFmt w:val="lowerRoman"/>
      <w:lvlText w:val="%9."/>
      <w:lvlJc w:val="right"/>
      <w:pPr>
        <w:ind w:left="4716" w:hanging="480"/>
      </w:pPr>
    </w:lvl>
  </w:abstractNum>
  <w:abstractNum w:abstractNumId="5" w15:restartNumberingAfterBreak="0">
    <w:nsid w:val="1A8D5958"/>
    <w:multiLevelType w:val="hybridMultilevel"/>
    <w:tmpl w:val="88C6A2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21D329D"/>
    <w:multiLevelType w:val="multilevel"/>
    <w:tmpl w:val="BAAE2C26"/>
    <w:lvl w:ilvl="0">
      <w:start w:val="1"/>
      <w:numFmt w:val="decimal"/>
      <w:lvlText w:val="%1."/>
      <w:lvlJc w:val="left"/>
      <w:pPr>
        <w:ind w:left="720" w:hanging="360"/>
      </w:pPr>
      <w:rPr>
        <w:rFonts w:ascii="Times New Roman" w:hAnsi="Times New Roman" w:cs="Times New Roman"/>
        <w:sz w:val="28"/>
      </w:rPr>
    </w:lvl>
    <w:lvl w:ilvl="1">
      <w:start w:val="1"/>
      <w:numFmt w:val="decimal"/>
      <w:lvlText w:val="(%2)"/>
      <w:lvlJc w:val="left"/>
      <w:pPr>
        <w:ind w:left="1560" w:hanging="48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3C2649D"/>
    <w:multiLevelType w:val="multilevel"/>
    <w:tmpl w:val="445A9D1C"/>
    <w:lvl w:ilvl="0">
      <w:start w:val="1"/>
      <w:numFmt w:val="decimal"/>
      <w:lvlText w:val="%1."/>
      <w:lvlJc w:val="left"/>
      <w:pPr>
        <w:ind w:left="720" w:hanging="360"/>
      </w:pPr>
      <w:rPr>
        <w:rFonts w:ascii="Times New Roman" w:hAnsi="Times New Roman" w:cs="Times New Roman"/>
        <w:sz w:val="28"/>
      </w:rPr>
    </w:lvl>
    <w:lvl w:ilvl="1">
      <w:start w:val="1"/>
      <w:numFmt w:val="decimal"/>
      <w:lvlText w:val="(%2)"/>
      <w:lvlJc w:val="left"/>
      <w:pPr>
        <w:ind w:left="1560" w:hanging="48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8E90700"/>
    <w:multiLevelType w:val="multilevel"/>
    <w:tmpl w:val="6AF6F4E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94844EB"/>
    <w:multiLevelType w:val="hybridMultilevel"/>
    <w:tmpl w:val="80F26A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B8E02E2"/>
    <w:multiLevelType w:val="multilevel"/>
    <w:tmpl w:val="8C68085E"/>
    <w:lvl w:ilvl="0">
      <w:start w:val="1"/>
      <w:numFmt w:val="decimal"/>
      <w:lvlText w:val="%1."/>
      <w:lvlJc w:val="left"/>
      <w:pPr>
        <w:ind w:left="720" w:hanging="360"/>
      </w:pPr>
      <w:rPr>
        <w:rFonts w:ascii="Times New Roman" w:hAnsi="Times New Roman" w:cs="Times New Roman"/>
        <w:sz w:val="28"/>
      </w:rPr>
    </w:lvl>
    <w:lvl w:ilvl="1">
      <w:start w:val="1"/>
      <w:numFmt w:val="decimal"/>
      <w:lvlText w:val="(%2)"/>
      <w:lvlJc w:val="left"/>
      <w:pPr>
        <w:ind w:left="1560" w:hanging="48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00E21C9"/>
    <w:multiLevelType w:val="multilevel"/>
    <w:tmpl w:val="AD146BA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16D3FE2"/>
    <w:multiLevelType w:val="hybridMultilevel"/>
    <w:tmpl w:val="05A023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7943251"/>
    <w:multiLevelType w:val="hybridMultilevel"/>
    <w:tmpl w:val="3788E7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C9B1FCA"/>
    <w:multiLevelType w:val="hybridMultilevel"/>
    <w:tmpl w:val="275AEF38"/>
    <w:lvl w:ilvl="0" w:tplc="E3A6D8E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1C51AE"/>
    <w:multiLevelType w:val="multilevel"/>
    <w:tmpl w:val="7556DACE"/>
    <w:lvl w:ilvl="0">
      <w:start w:val="1"/>
      <w:numFmt w:val="decimal"/>
      <w:lvlText w:val="%1."/>
      <w:lvlJc w:val="left"/>
      <w:pPr>
        <w:ind w:left="720" w:hanging="360"/>
      </w:pPr>
      <w:rPr>
        <w:rFonts w:ascii="Times New Roman" w:hAnsi="Times New Roman" w:cs="Times New Roman"/>
        <w:sz w:val="28"/>
      </w:rPr>
    </w:lvl>
    <w:lvl w:ilvl="1">
      <w:start w:val="1"/>
      <w:numFmt w:val="decimal"/>
      <w:lvlText w:val="(%2)"/>
      <w:lvlJc w:val="left"/>
      <w:pPr>
        <w:ind w:left="1560" w:hanging="48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5C847C7E"/>
    <w:multiLevelType w:val="multilevel"/>
    <w:tmpl w:val="8A569FA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65AF38C7"/>
    <w:multiLevelType w:val="multilevel"/>
    <w:tmpl w:val="C458E4B6"/>
    <w:lvl w:ilvl="0">
      <w:start w:val="1"/>
      <w:numFmt w:val="decimal"/>
      <w:lvlText w:val="%1."/>
      <w:lvlJc w:val="left"/>
      <w:pPr>
        <w:ind w:left="480" w:hanging="480"/>
      </w:pPr>
      <w:rPr>
        <w:rFonts w:ascii="Times New Roman" w:hAnsi="Times New Roman" w:cs="Times New Roma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69953F6E"/>
    <w:multiLevelType w:val="hybridMultilevel"/>
    <w:tmpl w:val="3E34E4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F3167B2"/>
    <w:multiLevelType w:val="hybridMultilevel"/>
    <w:tmpl w:val="E96A439C"/>
    <w:lvl w:ilvl="0" w:tplc="2ED064A8">
      <w:start w:val="1"/>
      <w:numFmt w:val="decimal"/>
      <w:lvlText w:val="(%1)"/>
      <w:lvlJc w:val="left"/>
      <w:pPr>
        <w:ind w:left="877" w:hanging="480"/>
      </w:pPr>
      <w:rPr>
        <w:rFonts w:hint="eastAsia"/>
        <w:color w:val="000000" w:themeColor="text1"/>
        <w:sz w:val="28"/>
      </w:rPr>
    </w:lvl>
    <w:lvl w:ilvl="1" w:tplc="04090019" w:tentative="1">
      <w:start w:val="1"/>
      <w:numFmt w:val="ideographTraditional"/>
      <w:lvlText w:val="%2、"/>
      <w:lvlJc w:val="left"/>
      <w:pPr>
        <w:ind w:left="1357" w:hanging="480"/>
      </w:pPr>
    </w:lvl>
    <w:lvl w:ilvl="2" w:tplc="0409001B" w:tentative="1">
      <w:start w:val="1"/>
      <w:numFmt w:val="lowerRoman"/>
      <w:lvlText w:val="%3."/>
      <w:lvlJc w:val="right"/>
      <w:pPr>
        <w:ind w:left="1837" w:hanging="480"/>
      </w:pPr>
    </w:lvl>
    <w:lvl w:ilvl="3" w:tplc="0409000F" w:tentative="1">
      <w:start w:val="1"/>
      <w:numFmt w:val="decimal"/>
      <w:lvlText w:val="%4."/>
      <w:lvlJc w:val="left"/>
      <w:pPr>
        <w:ind w:left="2317" w:hanging="480"/>
      </w:pPr>
    </w:lvl>
    <w:lvl w:ilvl="4" w:tplc="04090019" w:tentative="1">
      <w:start w:val="1"/>
      <w:numFmt w:val="ideographTraditional"/>
      <w:lvlText w:val="%5、"/>
      <w:lvlJc w:val="left"/>
      <w:pPr>
        <w:ind w:left="2797" w:hanging="480"/>
      </w:pPr>
    </w:lvl>
    <w:lvl w:ilvl="5" w:tplc="0409001B" w:tentative="1">
      <w:start w:val="1"/>
      <w:numFmt w:val="lowerRoman"/>
      <w:lvlText w:val="%6."/>
      <w:lvlJc w:val="right"/>
      <w:pPr>
        <w:ind w:left="3277" w:hanging="480"/>
      </w:pPr>
    </w:lvl>
    <w:lvl w:ilvl="6" w:tplc="0409000F" w:tentative="1">
      <w:start w:val="1"/>
      <w:numFmt w:val="decimal"/>
      <w:lvlText w:val="%7."/>
      <w:lvlJc w:val="left"/>
      <w:pPr>
        <w:ind w:left="3757" w:hanging="480"/>
      </w:pPr>
    </w:lvl>
    <w:lvl w:ilvl="7" w:tplc="04090019" w:tentative="1">
      <w:start w:val="1"/>
      <w:numFmt w:val="ideographTraditional"/>
      <w:lvlText w:val="%8、"/>
      <w:lvlJc w:val="left"/>
      <w:pPr>
        <w:ind w:left="4237" w:hanging="480"/>
      </w:pPr>
    </w:lvl>
    <w:lvl w:ilvl="8" w:tplc="0409001B" w:tentative="1">
      <w:start w:val="1"/>
      <w:numFmt w:val="lowerRoman"/>
      <w:lvlText w:val="%9."/>
      <w:lvlJc w:val="right"/>
      <w:pPr>
        <w:ind w:left="4717" w:hanging="480"/>
      </w:pPr>
    </w:lvl>
  </w:abstractNum>
  <w:abstractNum w:abstractNumId="20" w15:restartNumberingAfterBreak="0">
    <w:nsid w:val="71BF7C76"/>
    <w:multiLevelType w:val="multilevel"/>
    <w:tmpl w:val="14A69B38"/>
    <w:lvl w:ilvl="0">
      <w:start w:val="1"/>
      <w:numFmt w:val="decimal"/>
      <w:lvlText w:val="%1."/>
      <w:lvlJc w:val="left"/>
      <w:pPr>
        <w:ind w:left="480"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72932FE2"/>
    <w:multiLevelType w:val="multilevel"/>
    <w:tmpl w:val="535A00B8"/>
    <w:lvl w:ilvl="0">
      <w:start w:val="1"/>
      <w:numFmt w:val="decimal"/>
      <w:lvlText w:val="%1."/>
      <w:lvlJc w:val="left"/>
      <w:pPr>
        <w:ind w:left="720" w:hanging="360"/>
      </w:pPr>
      <w:rPr>
        <w:rFonts w:ascii="Times New Roman" w:hAnsi="Times New Roman" w:cs="Times New Roman"/>
        <w:sz w:val="28"/>
      </w:rPr>
    </w:lvl>
    <w:lvl w:ilvl="1">
      <w:start w:val="1"/>
      <w:numFmt w:val="decimal"/>
      <w:lvlText w:val="(%2)"/>
      <w:lvlJc w:val="left"/>
      <w:pPr>
        <w:ind w:left="1560" w:hanging="48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79DB0B55"/>
    <w:multiLevelType w:val="multilevel"/>
    <w:tmpl w:val="655CD6F4"/>
    <w:lvl w:ilvl="0">
      <w:start w:val="1"/>
      <w:numFmt w:val="taiwaneseCountingThousand"/>
      <w:lvlText w:val="%1、"/>
      <w:lvlJc w:val="left"/>
      <w:pPr>
        <w:ind w:left="480" w:hanging="480"/>
      </w:pPr>
      <w:rPr>
        <w:rFonts w:ascii="標楷體" w:eastAsia="標楷體" w:hAnsi="標楷體"/>
        <w:b/>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C3014B3"/>
    <w:multiLevelType w:val="multilevel"/>
    <w:tmpl w:val="778CD07C"/>
    <w:lvl w:ilvl="0">
      <w:start w:val="1"/>
      <w:numFmt w:val="decimal"/>
      <w:lvlText w:val="%1."/>
      <w:lvlJc w:val="left"/>
      <w:pPr>
        <w:ind w:left="720" w:hanging="360"/>
      </w:pPr>
      <w:rPr>
        <w:rFonts w:ascii="Times New Roman" w:hAnsi="Times New Roman" w:cs="Times New Roman"/>
        <w:sz w:val="28"/>
      </w:rPr>
    </w:lvl>
    <w:lvl w:ilvl="1">
      <w:start w:val="1"/>
      <w:numFmt w:val="decimal"/>
      <w:lvlText w:val="(%2)"/>
      <w:lvlJc w:val="left"/>
      <w:pPr>
        <w:ind w:left="1560" w:hanging="48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7CC84B05"/>
    <w:multiLevelType w:val="multilevel"/>
    <w:tmpl w:val="9ACC0B98"/>
    <w:lvl w:ilvl="0">
      <w:start w:val="1"/>
      <w:numFmt w:val="decimal"/>
      <w:lvlText w:val="%1."/>
      <w:lvlJc w:val="left"/>
      <w:pPr>
        <w:ind w:left="480" w:hanging="480"/>
      </w:pPr>
      <w:rPr>
        <w:rFonts w:ascii="Times New Roman" w:hAnsi="Times New Roman" w:cs="Times New Roman" w:hint="default"/>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7F064DE9"/>
    <w:multiLevelType w:val="hybridMultilevel"/>
    <w:tmpl w:val="EB6062F2"/>
    <w:lvl w:ilvl="0" w:tplc="6D6C69AE">
      <w:start w:val="1"/>
      <w:numFmt w:val="decimal"/>
      <w:lvlText w:val="%1."/>
      <w:lvlJc w:val="left"/>
      <w:pPr>
        <w:ind w:left="602" w:hanging="480"/>
      </w:pPr>
      <w:rPr>
        <w:rFonts w:ascii="Times New Roman" w:hAnsi="Times New Roman" w:cs="Times New Roman" w:hint="default"/>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num w:numId="1">
    <w:abstractNumId w:val="3"/>
  </w:num>
  <w:num w:numId="2">
    <w:abstractNumId w:val="22"/>
  </w:num>
  <w:num w:numId="3">
    <w:abstractNumId w:val="23"/>
  </w:num>
  <w:num w:numId="4">
    <w:abstractNumId w:val="10"/>
  </w:num>
  <w:num w:numId="5">
    <w:abstractNumId w:val="8"/>
  </w:num>
  <w:num w:numId="6">
    <w:abstractNumId w:val="1"/>
  </w:num>
  <w:num w:numId="7">
    <w:abstractNumId w:val="20"/>
  </w:num>
  <w:num w:numId="8">
    <w:abstractNumId w:val="24"/>
  </w:num>
  <w:num w:numId="9">
    <w:abstractNumId w:val="4"/>
  </w:num>
  <w:num w:numId="10">
    <w:abstractNumId w:val="11"/>
  </w:num>
  <w:num w:numId="11">
    <w:abstractNumId w:val="6"/>
  </w:num>
  <w:num w:numId="12">
    <w:abstractNumId w:val="0"/>
  </w:num>
  <w:num w:numId="13">
    <w:abstractNumId w:val="17"/>
  </w:num>
  <w:num w:numId="14">
    <w:abstractNumId w:val="21"/>
  </w:num>
  <w:num w:numId="15">
    <w:abstractNumId w:val="15"/>
  </w:num>
  <w:num w:numId="16">
    <w:abstractNumId w:val="16"/>
  </w:num>
  <w:num w:numId="17">
    <w:abstractNumId w:val="25"/>
  </w:num>
  <w:num w:numId="18">
    <w:abstractNumId w:val="12"/>
  </w:num>
  <w:num w:numId="19">
    <w:abstractNumId w:val="7"/>
  </w:num>
  <w:num w:numId="20">
    <w:abstractNumId w:val="19"/>
  </w:num>
  <w:num w:numId="21">
    <w:abstractNumId w:val="2"/>
  </w:num>
  <w:num w:numId="22">
    <w:abstractNumId w:val="14"/>
  </w:num>
  <w:num w:numId="23">
    <w:abstractNumId w:val="18"/>
  </w:num>
  <w:num w:numId="24">
    <w:abstractNumId w:val="13"/>
  </w:num>
  <w:num w:numId="25">
    <w:abstractNumId w:val="9"/>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24"/>
    <w:rsid w:val="00007C78"/>
    <w:rsid w:val="000242C2"/>
    <w:rsid w:val="000435A5"/>
    <w:rsid w:val="000566F1"/>
    <w:rsid w:val="000608A4"/>
    <w:rsid w:val="000E4DC5"/>
    <w:rsid w:val="00101C55"/>
    <w:rsid w:val="00106DA5"/>
    <w:rsid w:val="001132BD"/>
    <w:rsid w:val="00163E8A"/>
    <w:rsid w:val="00177116"/>
    <w:rsid w:val="00182A70"/>
    <w:rsid w:val="001B0767"/>
    <w:rsid w:val="001B74FF"/>
    <w:rsid w:val="001C044C"/>
    <w:rsid w:val="001E7E7F"/>
    <w:rsid w:val="00202AD9"/>
    <w:rsid w:val="002059E7"/>
    <w:rsid w:val="002211EB"/>
    <w:rsid w:val="00234C5E"/>
    <w:rsid w:val="002609D0"/>
    <w:rsid w:val="00264F38"/>
    <w:rsid w:val="00287CC1"/>
    <w:rsid w:val="00296D7A"/>
    <w:rsid w:val="002B1378"/>
    <w:rsid w:val="002B649B"/>
    <w:rsid w:val="002D1506"/>
    <w:rsid w:val="002D34BA"/>
    <w:rsid w:val="002D3CD9"/>
    <w:rsid w:val="00311224"/>
    <w:rsid w:val="003131FD"/>
    <w:rsid w:val="00340351"/>
    <w:rsid w:val="003526C6"/>
    <w:rsid w:val="0037050E"/>
    <w:rsid w:val="00381C93"/>
    <w:rsid w:val="00385FC8"/>
    <w:rsid w:val="00391C53"/>
    <w:rsid w:val="003A4DE6"/>
    <w:rsid w:val="003A68E4"/>
    <w:rsid w:val="003B4A6C"/>
    <w:rsid w:val="003C6D46"/>
    <w:rsid w:val="003D3880"/>
    <w:rsid w:val="00414D91"/>
    <w:rsid w:val="004308AB"/>
    <w:rsid w:val="00431C76"/>
    <w:rsid w:val="00436015"/>
    <w:rsid w:val="0046282D"/>
    <w:rsid w:val="00471686"/>
    <w:rsid w:val="00477B41"/>
    <w:rsid w:val="00487AF3"/>
    <w:rsid w:val="004B2EC4"/>
    <w:rsid w:val="004B511E"/>
    <w:rsid w:val="004D6416"/>
    <w:rsid w:val="004F4CC7"/>
    <w:rsid w:val="004F7CCE"/>
    <w:rsid w:val="00517B8A"/>
    <w:rsid w:val="00520B23"/>
    <w:rsid w:val="00547566"/>
    <w:rsid w:val="005571F3"/>
    <w:rsid w:val="00557833"/>
    <w:rsid w:val="00584A28"/>
    <w:rsid w:val="005D04F2"/>
    <w:rsid w:val="005D1545"/>
    <w:rsid w:val="005D7BF7"/>
    <w:rsid w:val="005E3514"/>
    <w:rsid w:val="005F4591"/>
    <w:rsid w:val="005F7866"/>
    <w:rsid w:val="005F7938"/>
    <w:rsid w:val="00606723"/>
    <w:rsid w:val="00610336"/>
    <w:rsid w:val="00644E00"/>
    <w:rsid w:val="006533F8"/>
    <w:rsid w:val="00663DEE"/>
    <w:rsid w:val="006934F8"/>
    <w:rsid w:val="006A19C4"/>
    <w:rsid w:val="006A5717"/>
    <w:rsid w:val="006B0DB2"/>
    <w:rsid w:val="006C08F6"/>
    <w:rsid w:val="006E00C1"/>
    <w:rsid w:val="006E15AA"/>
    <w:rsid w:val="006E1933"/>
    <w:rsid w:val="006F0029"/>
    <w:rsid w:val="007043E5"/>
    <w:rsid w:val="00727104"/>
    <w:rsid w:val="007315FA"/>
    <w:rsid w:val="0073163A"/>
    <w:rsid w:val="00743CEA"/>
    <w:rsid w:val="007544E8"/>
    <w:rsid w:val="007629FA"/>
    <w:rsid w:val="007652EF"/>
    <w:rsid w:val="00790DD1"/>
    <w:rsid w:val="007A4D83"/>
    <w:rsid w:val="007B6992"/>
    <w:rsid w:val="007C2DD2"/>
    <w:rsid w:val="007E34A1"/>
    <w:rsid w:val="007F5648"/>
    <w:rsid w:val="007F7C7A"/>
    <w:rsid w:val="00832DDA"/>
    <w:rsid w:val="00837F5B"/>
    <w:rsid w:val="008571EC"/>
    <w:rsid w:val="00875256"/>
    <w:rsid w:val="0088046B"/>
    <w:rsid w:val="008861E4"/>
    <w:rsid w:val="008875FA"/>
    <w:rsid w:val="00897EF8"/>
    <w:rsid w:val="008D1D38"/>
    <w:rsid w:val="008D2826"/>
    <w:rsid w:val="008E25B5"/>
    <w:rsid w:val="008E60C8"/>
    <w:rsid w:val="008E6ED9"/>
    <w:rsid w:val="008F4718"/>
    <w:rsid w:val="00906793"/>
    <w:rsid w:val="00916E3F"/>
    <w:rsid w:val="00924C45"/>
    <w:rsid w:val="00931D41"/>
    <w:rsid w:val="0095312A"/>
    <w:rsid w:val="00967C58"/>
    <w:rsid w:val="0099773D"/>
    <w:rsid w:val="009A493E"/>
    <w:rsid w:val="009A658A"/>
    <w:rsid w:val="009B33FD"/>
    <w:rsid w:val="009B384E"/>
    <w:rsid w:val="009C62E7"/>
    <w:rsid w:val="009C665B"/>
    <w:rsid w:val="009F245E"/>
    <w:rsid w:val="009F6C9B"/>
    <w:rsid w:val="009F78A8"/>
    <w:rsid w:val="00A27CF7"/>
    <w:rsid w:val="00A30555"/>
    <w:rsid w:val="00A44D6E"/>
    <w:rsid w:val="00A52F12"/>
    <w:rsid w:val="00A55B8C"/>
    <w:rsid w:val="00A60A8B"/>
    <w:rsid w:val="00A82B21"/>
    <w:rsid w:val="00A957EF"/>
    <w:rsid w:val="00AB2326"/>
    <w:rsid w:val="00AC0FCF"/>
    <w:rsid w:val="00AD1FC0"/>
    <w:rsid w:val="00AD2EE7"/>
    <w:rsid w:val="00B0061F"/>
    <w:rsid w:val="00B47BDA"/>
    <w:rsid w:val="00B662D8"/>
    <w:rsid w:val="00B7026D"/>
    <w:rsid w:val="00B74B76"/>
    <w:rsid w:val="00B90939"/>
    <w:rsid w:val="00BB458D"/>
    <w:rsid w:val="00BE5C10"/>
    <w:rsid w:val="00C13EA3"/>
    <w:rsid w:val="00C15134"/>
    <w:rsid w:val="00C33414"/>
    <w:rsid w:val="00C6211F"/>
    <w:rsid w:val="00C82DEC"/>
    <w:rsid w:val="00C92E36"/>
    <w:rsid w:val="00C936E0"/>
    <w:rsid w:val="00C95196"/>
    <w:rsid w:val="00CB212C"/>
    <w:rsid w:val="00CB6692"/>
    <w:rsid w:val="00CC0395"/>
    <w:rsid w:val="00D00777"/>
    <w:rsid w:val="00D11754"/>
    <w:rsid w:val="00D21D6F"/>
    <w:rsid w:val="00D55CC2"/>
    <w:rsid w:val="00DA610F"/>
    <w:rsid w:val="00DB26C6"/>
    <w:rsid w:val="00DC38E3"/>
    <w:rsid w:val="00DD5F66"/>
    <w:rsid w:val="00DF03E3"/>
    <w:rsid w:val="00DF1F1A"/>
    <w:rsid w:val="00E16A01"/>
    <w:rsid w:val="00E17E11"/>
    <w:rsid w:val="00E22005"/>
    <w:rsid w:val="00E31203"/>
    <w:rsid w:val="00E5348F"/>
    <w:rsid w:val="00E92D10"/>
    <w:rsid w:val="00E92D27"/>
    <w:rsid w:val="00EB3B51"/>
    <w:rsid w:val="00EF24F4"/>
    <w:rsid w:val="00F46478"/>
    <w:rsid w:val="00F6192A"/>
    <w:rsid w:val="00F957B3"/>
    <w:rsid w:val="00FF0EE8"/>
    <w:rsid w:val="00FF2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20E9B"/>
  <w15:docId w15:val="{75D31C7A-78C5-4C3B-BB24-4B354620C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spacing w:line="480" w:lineRule="exact"/>
      <w:outlineLvl w:val="0"/>
    </w:pPr>
    <w:rPr>
      <w:rFonts w:ascii="標楷體" w:eastAsia="標楷體" w:hAnsi="標楷體"/>
      <w:b/>
      <w:bCs/>
      <w:sz w:val="28"/>
      <w:szCs w:val="28"/>
    </w:rPr>
  </w:style>
  <w:style w:type="paragraph" w:styleId="2">
    <w:name w:val="heading 2"/>
    <w:basedOn w:val="a"/>
    <w:next w:val="a"/>
    <w:uiPriority w:val="9"/>
    <w:semiHidden/>
    <w:unhideWhenUsed/>
    <w:qFormat/>
    <w:pPr>
      <w:keepNext/>
      <w:spacing w:line="720" w:lineRule="auto"/>
      <w:outlineLvl w:val="1"/>
    </w:pPr>
    <w:rPr>
      <w:rFonts w:ascii="Calibri Light" w:hAnsi="Calibri Light"/>
      <w:b/>
      <w:bCs/>
      <w:sz w:val="48"/>
      <w:szCs w:val="48"/>
    </w:rPr>
  </w:style>
  <w:style w:type="paragraph" w:styleId="3">
    <w:name w:val="heading 3"/>
    <w:basedOn w:val="a"/>
    <w:next w:val="a"/>
    <w:uiPriority w:val="9"/>
    <w:semiHidden/>
    <w:unhideWhenUsed/>
    <w:qFormat/>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paragraph" w:styleId="a8">
    <w:name w:val="Balloon Text"/>
    <w:basedOn w:val="a"/>
    <w:rPr>
      <w:rFonts w:ascii="Calibri Light" w:hAnsi="Calibri Light"/>
      <w:sz w:val="18"/>
      <w:szCs w:val="18"/>
    </w:rPr>
  </w:style>
  <w:style w:type="character" w:customStyle="1" w:styleId="a9">
    <w:name w:val="註解方塊文字 字元"/>
    <w:basedOn w:val="a0"/>
    <w:rPr>
      <w:rFonts w:ascii="Calibri Light" w:eastAsia="新細明體" w:hAnsi="Calibri Light" w:cs="Times New Roman"/>
      <w:sz w:val="18"/>
      <w:szCs w:val="18"/>
    </w:rPr>
  </w:style>
  <w:style w:type="character" w:styleId="aa">
    <w:name w:val="annotation reference"/>
    <w:basedOn w:val="a0"/>
    <w:rPr>
      <w:sz w:val="18"/>
      <w:szCs w:val="18"/>
    </w:rPr>
  </w:style>
  <w:style w:type="paragraph" w:styleId="ab">
    <w:name w:val="annotation text"/>
    <w:basedOn w:val="a"/>
  </w:style>
  <w:style w:type="character" w:customStyle="1" w:styleId="ac">
    <w:name w:val="註解文字 字元"/>
    <w:basedOn w:val="a0"/>
  </w:style>
  <w:style w:type="paragraph" w:styleId="ad">
    <w:name w:val="annotation subject"/>
    <w:basedOn w:val="ab"/>
    <w:next w:val="ab"/>
    <w:rPr>
      <w:b/>
      <w:bCs/>
    </w:rPr>
  </w:style>
  <w:style w:type="character" w:customStyle="1" w:styleId="ae">
    <w:name w:val="註解主旨 字元"/>
    <w:basedOn w:val="ac"/>
    <w:rPr>
      <w:b/>
      <w:bCs/>
    </w:rPr>
  </w:style>
  <w:style w:type="character" w:styleId="af">
    <w:name w:val="Strong"/>
    <w:basedOn w:val="a0"/>
    <w:rPr>
      <w:b/>
      <w:bCs/>
    </w:rPr>
  </w:style>
  <w:style w:type="character" w:customStyle="1" w:styleId="10">
    <w:name w:val="標題 1 字元"/>
    <w:basedOn w:val="a0"/>
    <w:rPr>
      <w:rFonts w:ascii="標楷體" w:eastAsia="標楷體" w:hAnsi="標楷體" w:cs="Times New Roman"/>
      <w:b/>
      <w:bCs/>
      <w:kern w:val="3"/>
      <w:sz w:val="28"/>
      <w:szCs w:val="28"/>
    </w:rPr>
  </w:style>
  <w:style w:type="character" w:customStyle="1" w:styleId="30">
    <w:name w:val="標題 3 字元"/>
    <w:basedOn w:val="a0"/>
    <w:rPr>
      <w:rFonts w:ascii="Calibri Light" w:eastAsia="新細明體" w:hAnsi="Calibri Light" w:cs="Times New Roman"/>
      <w:b/>
      <w:bCs/>
      <w:sz w:val="36"/>
      <w:szCs w:val="36"/>
    </w:rPr>
  </w:style>
  <w:style w:type="character" w:customStyle="1" w:styleId="20">
    <w:name w:val="標題 2 字元"/>
    <w:basedOn w:val="a0"/>
    <w:rPr>
      <w:rFonts w:ascii="Calibri Light" w:eastAsia="新細明體" w:hAnsi="Calibri Light" w:cs="Times New Roman"/>
      <w:b/>
      <w:bCs/>
      <w:sz w:val="48"/>
      <w:szCs w:val="48"/>
    </w:rPr>
  </w:style>
  <w:style w:type="paragraph" w:styleId="Web">
    <w:name w:val="Normal (Web)"/>
    <w:basedOn w:val="a"/>
    <w:pPr>
      <w:widowControl/>
      <w:suppressAutoHyphens w:val="0"/>
      <w:spacing w:before="100" w:after="100"/>
      <w:textAlignment w:val="auto"/>
    </w:pPr>
    <w:rPr>
      <w:rFonts w:ascii="新細明體" w:hAnsi="新細明體" w:cs="新細明體"/>
      <w:kern w:val="0"/>
      <w:szCs w:val="24"/>
    </w:rPr>
  </w:style>
  <w:style w:type="paragraph" w:customStyle="1" w:styleId="Default">
    <w:name w:val="Default"/>
    <w:pPr>
      <w:widowControl w:val="0"/>
      <w:autoSpaceDE w:val="0"/>
      <w:textAlignment w:val="auto"/>
    </w:pPr>
    <w:rPr>
      <w:rFonts w:ascii="Times New Roman" w:hAnsi="Times New Roman"/>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謝欣穎</dc:creator>
  <dc:description/>
  <cp:lastModifiedBy>健保署</cp:lastModifiedBy>
  <cp:revision>20</cp:revision>
  <cp:lastPrinted>2026-04-01T06:46:00Z</cp:lastPrinted>
  <dcterms:created xsi:type="dcterms:W3CDTF">2026-04-01T01:10:00Z</dcterms:created>
  <dcterms:modified xsi:type="dcterms:W3CDTF">2026-04-01T06:47:00Z</dcterms:modified>
</cp:coreProperties>
</file>